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22AC" w:rsidRPr="00920597" w:rsidRDefault="00C322AC" w:rsidP="00C322AC">
      <w:pPr>
        <w:spacing w:line="500" w:lineRule="exact"/>
        <w:jc w:val="both"/>
        <w:rPr>
          <w:rFonts w:ascii="標楷體" w:eastAsia="標楷體" w:hAnsi="標楷體"/>
          <w:bCs/>
          <w:color w:val="000000" w:themeColor="text1"/>
          <w:spacing w:val="16"/>
          <w:kern w:val="0"/>
          <w:sz w:val="36"/>
          <w:szCs w:val="36"/>
        </w:rPr>
      </w:pPr>
      <w:r w:rsidRPr="00920597">
        <w:rPr>
          <w:rFonts w:ascii="標楷體" w:eastAsia="標楷體" w:hAnsi="標楷體" w:hint="eastAsia"/>
          <w:bCs/>
          <w:color w:val="000000" w:themeColor="text1"/>
          <w:spacing w:val="16"/>
          <w:kern w:val="0"/>
          <w:sz w:val="36"/>
          <w:szCs w:val="36"/>
        </w:rPr>
        <w:t xml:space="preserve">立 法 院 第 10 屆 第 </w:t>
      </w:r>
      <w:r w:rsidR="00906B5E">
        <w:rPr>
          <w:rFonts w:ascii="標楷體" w:eastAsia="標楷體" w:hAnsi="標楷體" w:hint="eastAsia"/>
          <w:bCs/>
          <w:color w:val="000000" w:themeColor="text1"/>
          <w:spacing w:val="16"/>
          <w:kern w:val="0"/>
          <w:sz w:val="36"/>
          <w:szCs w:val="36"/>
        </w:rPr>
        <w:t>6</w:t>
      </w:r>
      <w:r w:rsidRPr="00920597">
        <w:rPr>
          <w:rFonts w:ascii="標楷體" w:eastAsia="標楷體" w:hAnsi="標楷體" w:hint="eastAsia"/>
          <w:bCs/>
          <w:color w:val="000000" w:themeColor="text1"/>
          <w:spacing w:val="16"/>
          <w:kern w:val="0"/>
          <w:sz w:val="36"/>
          <w:szCs w:val="36"/>
        </w:rPr>
        <w:t>會 期</w:t>
      </w:r>
    </w:p>
    <w:p w:rsidR="00C322AC" w:rsidRPr="00920597" w:rsidRDefault="00C322AC" w:rsidP="00C322AC">
      <w:pPr>
        <w:spacing w:line="500" w:lineRule="exact"/>
        <w:rPr>
          <w:rFonts w:ascii="標楷體" w:eastAsia="標楷體" w:hAnsi="標楷體"/>
          <w:bCs/>
          <w:snapToGrid w:val="0"/>
          <w:color w:val="000000" w:themeColor="text1"/>
          <w:kern w:val="0"/>
          <w:sz w:val="36"/>
          <w:szCs w:val="36"/>
        </w:rPr>
      </w:pPr>
      <w:r w:rsidRPr="00920597">
        <w:rPr>
          <w:rFonts w:ascii="標楷體" w:eastAsia="標楷體" w:hAnsi="標楷體" w:hint="eastAsia"/>
          <w:bCs/>
          <w:snapToGrid w:val="0"/>
          <w:color w:val="000000" w:themeColor="text1"/>
          <w:kern w:val="0"/>
          <w:sz w:val="36"/>
          <w:szCs w:val="36"/>
        </w:rPr>
        <w:t>中華</w:t>
      </w:r>
      <w:r w:rsidRPr="00920597">
        <w:rPr>
          <w:rFonts w:ascii="標楷體" w:eastAsia="標楷體" w:hAnsi="標楷體" w:hint="eastAsia"/>
          <w:bCs/>
          <w:snapToGrid w:val="0"/>
          <w:color w:val="000000" w:themeColor="text1"/>
          <w:spacing w:val="2"/>
          <w:kern w:val="0"/>
          <w:sz w:val="36"/>
          <w:szCs w:val="36"/>
        </w:rPr>
        <w:t>民國</w:t>
      </w:r>
      <w:r w:rsidRPr="00920597">
        <w:rPr>
          <w:rFonts w:ascii="標楷體" w:eastAsia="標楷體" w:hAnsi="標楷體" w:hint="eastAsia"/>
          <w:bCs/>
          <w:snapToGrid w:val="0"/>
          <w:color w:val="000000" w:themeColor="text1"/>
          <w:kern w:val="0"/>
          <w:sz w:val="36"/>
          <w:szCs w:val="36"/>
        </w:rPr>
        <w:t>1</w:t>
      </w:r>
      <w:r w:rsidR="0078677A" w:rsidRPr="00920597">
        <w:rPr>
          <w:rFonts w:ascii="標楷體" w:eastAsia="標楷體" w:hAnsi="標楷體"/>
          <w:bCs/>
          <w:snapToGrid w:val="0"/>
          <w:color w:val="000000" w:themeColor="text1"/>
          <w:kern w:val="0"/>
          <w:sz w:val="36"/>
          <w:szCs w:val="36"/>
        </w:rPr>
        <w:t>1</w:t>
      </w:r>
      <w:r w:rsidR="00DF6937" w:rsidRPr="00920597">
        <w:rPr>
          <w:rFonts w:ascii="標楷體" w:eastAsia="標楷體" w:hAnsi="標楷體"/>
          <w:bCs/>
          <w:snapToGrid w:val="0"/>
          <w:color w:val="000000" w:themeColor="text1"/>
          <w:kern w:val="0"/>
          <w:sz w:val="36"/>
          <w:szCs w:val="36"/>
        </w:rPr>
        <w:t>1</w:t>
      </w:r>
      <w:r w:rsidRPr="00920597">
        <w:rPr>
          <w:rFonts w:ascii="標楷體" w:eastAsia="標楷體" w:hAnsi="標楷體" w:hint="eastAsia"/>
          <w:bCs/>
          <w:snapToGrid w:val="0"/>
          <w:color w:val="000000" w:themeColor="text1"/>
          <w:kern w:val="0"/>
          <w:sz w:val="36"/>
          <w:szCs w:val="36"/>
        </w:rPr>
        <w:t>年</w:t>
      </w:r>
      <w:r w:rsidR="00906B5E">
        <w:rPr>
          <w:rFonts w:ascii="標楷體" w:eastAsia="標楷體" w:hAnsi="標楷體" w:hint="eastAsia"/>
          <w:bCs/>
          <w:snapToGrid w:val="0"/>
          <w:color w:val="000000" w:themeColor="text1"/>
          <w:kern w:val="0"/>
          <w:sz w:val="36"/>
          <w:szCs w:val="36"/>
        </w:rPr>
        <w:t>9</w:t>
      </w:r>
      <w:r w:rsidRPr="00920597">
        <w:rPr>
          <w:rFonts w:ascii="標楷體" w:eastAsia="標楷體" w:hAnsi="標楷體" w:hint="eastAsia"/>
          <w:bCs/>
          <w:snapToGrid w:val="0"/>
          <w:color w:val="000000" w:themeColor="text1"/>
          <w:kern w:val="0"/>
          <w:sz w:val="36"/>
          <w:szCs w:val="36"/>
        </w:rPr>
        <w:t>月至1</w:t>
      </w:r>
      <w:r w:rsidR="00F42E30" w:rsidRPr="00920597">
        <w:rPr>
          <w:rFonts w:ascii="標楷體" w:eastAsia="標楷體" w:hAnsi="標楷體" w:hint="eastAsia"/>
          <w:bCs/>
          <w:snapToGrid w:val="0"/>
          <w:color w:val="000000" w:themeColor="text1"/>
          <w:kern w:val="0"/>
          <w:sz w:val="36"/>
          <w:szCs w:val="36"/>
        </w:rPr>
        <w:t>1</w:t>
      </w:r>
      <w:r w:rsidR="007F5E78" w:rsidRPr="00920597">
        <w:rPr>
          <w:rFonts w:ascii="標楷體" w:eastAsia="標楷體" w:hAnsi="標楷體"/>
          <w:bCs/>
          <w:snapToGrid w:val="0"/>
          <w:color w:val="000000" w:themeColor="text1"/>
          <w:kern w:val="0"/>
          <w:sz w:val="36"/>
          <w:szCs w:val="36"/>
        </w:rPr>
        <w:t>1</w:t>
      </w:r>
      <w:r w:rsidRPr="00920597">
        <w:rPr>
          <w:rFonts w:ascii="標楷體" w:eastAsia="標楷體" w:hAnsi="標楷體" w:hint="eastAsia"/>
          <w:bCs/>
          <w:snapToGrid w:val="0"/>
          <w:color w:val="000000" w:themeColor="text1"/>
          <w:kern w:val="0"/>
          <w:sz w:val="36"/>
          <w:szCs w:val="36"/>
        </w:rPr>
        <w:t>年</w:t>
      </w:r>
      <w:r w:rsidR="00906B5E">
        <w:rPr>
          <w:rFonts w:ascii="標楷體" w:eastAsia="標楷體" w:hAnsi="標楷體" w:hint="eastAsia"/>
          <w:bCs/>
          <w:snapToGrid w:val="0"/>
          <w:color w:val="000000" w:themeColor="text1"/>
          <w:kern w:val="0"/>
          <w:sz w:val="36"/>
          <w:szCs w:val="36"/>
        </w:rPr>
        <w:t>12</w:t>
      </w:r>
      <w:r w:rsidRPr="00920597">
        <w:rPr>
          <w:rFonts w:ascii="標楷體" w:eastAsia="標楷體" w:hAnsi="標楷體" w:hint="eastAsia"/>
          <w:bCs/>
          <w:snapToGrid w:val="0"/>
          <w:color w:val="000000" w:themeColor="text1"/>
          <w:kern w:val="0"/>
          <w:sz w:val="36"/>
          <w:szCs w:val="36"/>
        </w:rPr>
        <w:t>月</w:t>
      </w:r>
    </w:p>
    <w:p w:rsidR="00C322AC" w:rsidRPr="00920597" w:rsidRDefault="00C322AC" w:rsidP="00C322AC">
      <w:pPr>
        <w:spacing w:line="560" w:lineRule="exact"/>
        <w:jc w:val="center"/>
        <w:rPr>
          <w:rFonts w:ascii="標楷體" w:eastAsia="標楷體" w:hAnsi="標楷體"/>
          <w:bCs/>
          <w:color w:val="000000" w:themeColor="text1"/>
          <w:sz w:val="40"/>
          <w:szCs w:val="40"/>
        </w:rPr>
      </w:pPr>
    </w:p>
    <w:p w:rsidR="00C322AC" w:rsidRPr="00920597" w:rsidRDefault="00C322AC" w:rsidP="00C322AC">
      <w:pPr>
        <w:spacing w:line="560" w:lineRule="exact"/>
        <w:jc w:val="center"/>
        <w:rPr>
          <w:rFonts w:ascii="標楷體" w:eastAsia="標楷體" w:hAnsi="標楷體"/>
          <w:b/>
          <w:bCs/>
          <w:color w:val="000000" w:themeColor="text1"/>
          <w:sz w:val="40"/>
          <w:szCs w:val="40"/>
        </w:rPr>
      </w:pPr>
    </w:p>
    <w:p w:rsidR="00C322AC" w:rsidRPr="00920597" w:rsidRDefault="00C322AC" w:rsidP="00C322AC">
      <w:pPr>
        <w:spacing w:line="560" w:lineRule="exact"/>
        <w:jc w:val="center"/>
        <w:rPr>
          <w:rFonts w:ascii="標楷體" w:eastAsia="標楷體" w:hAnsi="標楷體"/>
          <w:b/>
          <w:bCs/>
          <w:color w:val="000000" w:themeColor="text1"/>
          <w:sz w:val="40"/>
          <w:szCs w:val="40"/>
        </w:rPr>
      </w:pPr>
    </w:p>
    <w:p w:rsidR="00C322AC" w:rsidRPr="00920597" w:rsidRDefault="00C322AC" w:rsidP="00C322AC">
      <w:pPr>
        <w:spacing w:line="560" w:lineRule="exact"/>
        <w:jc w:val="center"/>
        <w:rPr>
          <w:rFonts w:ascii="標楷體" w:eastAsia="標楷體" w:hAnsi="標楷體"/>
          <w:b/>
          <w:bCs/>
          <w:color w:val="000000" w:themeColor="text1"/>
          <w:sz w:val="40"/>
          <w:szCs w:val="40"/>
        </w:rPr>
      </w:pPr>
    </w:p>
    <w:p w:rsidR="00C322AC" w:rsidRPr="00920597" w:rsidRDefault="00C322AC" w:rsidP="00C322AC">
      <w:pPr>
        <w:spacing w:line="560" w:lineRule="exact"/>
        <w:jc w:val="center"/>
        <w:rPr>
          <w:rFonts w:ascii="標楷體" w:eastAsia="標楷體" w:hAnsi="標楷體"/>
          <w:b/>
          <w:bCs/>
          <w:color w:val="000000" w:themeColor="text1"/>
          <w:sz w:val="40"/>
          <w:szCs w:val="40"/>
        </w:rPr>
      </w:pPr>
    </w:p>
    <w:p w:rsidR="00C322AC" w:rsidRPr="00920597" w:rsidRDefault="00C322AC" w:rsidP="00C322AC">
      <w:pPr>
        <w:spacing w:line="560" w:lineRule="exact"/>
        <w:jc w:val="center"/>
        <w:rPr>
          <w:rFonts w:ascii="標楷體" w:eastAsia="標楷體" w:hAnsi="標楷體"/>
          <w:b/>
          <w:bCs/>
          <w:color w:val="000000" w:themeColor="text1"/>
          <w:sz w:val="40"/>
          <w:szCs w:val="40"/>
        </w:rPr>
      </w:pPr>
    </w:p>
    <w:p w:rsidR="00246C71" w:rsidRPr="00920597" w:rsidRDefault="00246C71" w:rsidP="00C322AC">
      <w:pPr>
        <w:spacing w:line="560" w:lineRule="exact"/>
        <w:jc w:val="center"/>
        <w:rPr>
          <w:rFonts w:ascii="標楷體" w:eastAsia="標楷體" w:hAnsi="標楷體"/>
          <w:b/>
          <w:bCs/>
          <w:color w:val="000000" w:themeColor="text1"/>
          <w:sz w:val="40"/>
          <w:szCs w:val="40"/>
        </w:rPr>
      </w:pPr>
    </w:p>
    <w:p w:rsidR="00246C71" w:rsidRPr="00920597" w:rsidRDefault="00246C71" w:rsidP="00C322AC">
      <w:pPr>
        <w:spacing w:line="560" w:lineRule="exact"/>
        <w:jc w:val="center"/>
        <w:rPr>
          <w:rFonts w:ascii="標楷體" w:eastAsia="標楷體" w:hAnsi="標楷體"/>
          <w:b/>
          <w:bCs/>
          <w:color w:val="000000" w:themeColor="text1"/>
          <w:sz w:val="40"/>
          <w:szCs w:val="40"/>
        </w:rPr>
      </w:pPr>
    </w:p>
    <w:p w:rsidR="00C322AC" w:rsidRPr="00920597" w:rsidRDefault="00C322AC" w:rsidP="00C322AC">
      <w:pPr>
        <w:spacing w:line="560" w:lineRule="exact"/>
        <w:jc w:val="center"/>
        <w:rPr>
          <w:rFonts w:ascii="標楷體" w:eastAsia="標楷體" w:hAnsi="標楷體"/>
          <w:b/>
          <w:bCs/>
          <w:color w:val="000000" w:themeColor="text1"/>
          <w:sz w:val="40"/>
          <w:szCs w:val="40"/>
        </w:rPr>
      </w:pPr>
    </w:p>
    <w:p w:rsidR="00C322AC" w:rsidRPr="00A208D7" w:rsidRDefault="00C322AC" w:rsidP="00C322AC">
      <w:pPr>
        <w:jc w:val="center"/>
        <w:rPr>
          <w:rFonts w:ascii="標楷體" w:eastAsia="標楷體" w:hAnsi="標楷體"/>
          <w:bCs/>
          <w:sz w:val="64"/>
          <w:szCs w:val="64"/>
        </w:rPr>
      </w:pPr>
      <w:r w:rsidRPr="00A208D7">
        <w:rPr>
          <w:rFonts w:ascii="標楷體" w:eastAsia="標楷體" w:hAnsi="標楷體" w:hint="eastAsia"/>
          <w:bCs/>
          <w:sz w:val="64"/>
          <w:szCs w:val="64"/>
        </w:rPr>
        <w:t>教育及文化委員會會務報告</w:t>
      </w:r>
    </w:p>
    <w:p w:rsidR="00C322AC" w:rsidRPr="00920597" w:rsidRDefault="00C322AC" w:rsidP="00C322AC">
      <w:pPr>
        <w:spacing w:line="560" w:lineRule="exact"/>
        <w:rPr>
          <w:rFonts w:ascii="標楷體" w:eastAsia="標楷體" w:hAnsi="標楷體"/>
          <w:b/>
          <w:bCs/>
          <w:color w:val="000000" w:themeColor="text1"/>
          <w:sz w:val="36"/>
          <w:szCs w:val="36"/>
        </w:rPr>
      </w:pPr>
    </w:p>
    <w:p w:rsidR="00C322AC" w:rsidRPr="00920597" w:rsidRDefault="00C322AC" w:rsidP="00C322AC">
      <w:pPr>
        <w:spacing w:line="560" w:lineRule="exact"/>
        <w:rPr>
          <w:rFonts w:ascii="標楷體" w:eastAsia="標楷體" w:hAnsi="標楷體"/>
          <w:b/>
          <w:bCs/>
          <w:color w:val="000000" w:themeColor="text1"/>
          <w:sz w:val="36"/>
          <w:szCs w:val="36"/>
        </w:rPr>
      </w:pPr>
    </w:p>
    <w:p w:rsidR="00C322AC" w:rsidRPr="00920597" w:rsidRDefault="00C322AC" w:rsidP="00C322AC">
      <w:pPr>
        <w:spacing w:line="560" w:lineRule="exact"/>
        <w:rPr>
          <w:rFonts w:ascii="標楷體" w:eastAsia="標楷體" w:hAnsi="標楷體"/>
          <w:b/>
          <w:bCs/>
          <w:color w:val="000000" w:themeColor="text1"/>
          <w:sz w:val="36"/>
          <w:szCs w:val="36"/>
        </w:rPr>
      </w:pPr>
    </w:p>
    <w:p w:rsidR="00C322AC" w:rsidRPr="00920597" w:rsidRDefault="00C322AC" w:rsidP="00C322AC">
      <w:pPr>
        <w:spacing w:line="560" w:lineRule="exact"/>
        <w:rPr>
          <w:rFonts w:ascii="標楷體" w:eastAsia="標楷體" w:hAnsi="標楷體"/>
          <w:b/>
          <w:bCs/>
          <w:color w:val="000000" w:themeColor="text1"/>
          <w:sz w:val="36"/>
          <w:szCs w:val="36"/>
        </w:rPr>
      </w:pPr>
    </w:p>
    <w:p w:rsidR="00C322AC" w:rsidRPr="00920597" w:rsidRDefault="00C322AC" w:rsidP="00C322AC">
      <w:pPr>
        <w:spacing w:line="560" w:lineRule="exact"/>
        <w:rPr>
          <w:rFonts w:ascii="標楷體" w:eastAsia="標楷體" w:hAnsi="標楷體"/>
          <w:b/>
          <w:bCs/>
          <w:color w:val="000000" w:themeColor="text1"/>
          <w:sz w:val="36"/>
          <w:szCs w:val="36"/>
        </w:rPr>
      </w:pPr>
    </w:p>
    <w:p w:rsidR="00C322AC" w:rsidRPr="00920597" w:rsidRDefault="00C322AC" w:rsidP="00C322AC">
      <w:pPr>
        <w:spacing w:line="560" w:lineRule="exact"/>
        <w:rPr>
          <w:rFonts w:ascii="標楷體" w:eastAsia="標楷體" w:hAnsi="標楷體"/>
          <w:b/>
          <w:bCs/>
          <w:color w:val="000000" w:themeColor="text1"/>
          <w:sz w:val="36"/>
          <w:szCs w:val="36"/>
        </w:rPr>
      </w:pPr>
    </w:p>
    <w:p w:rsidR="00EE6711" w:rsidRPr="00920597" w:rsidRDefault="00EE6711" w:rsidP="00C322AC">
      <w:pPr>
        <w:spacing w:line="560" w:lineRule="exact"/>
        <w:rPr>
          <w:rFonts w:ascii="標楷體" w:eastAsia="標楷體" w:hAnsi="標楷體"/>
          <w:b/>
          <w:bCs/>
          <w:color w:val="000000" w:themeColor="text1"/>
          <w:sz w:val="36"/>
          <w:szCs w:val="36"/>
        </w:rPr>
      </w:pPr>
    </w:p>
    <w:p w:rsidR="00C322AC" w:rsidRPr="00920597" w:rsidRDefault="00BF7078" w:rsidP="00C322AC">
      <w:pPr>
        <w:spacing w:line="560" w:lineRule="exact"/>
        <w:rPr>
          <w:rFonts w:ascii="標楷體" w:eastAsia="標楷體" w:hAnsi="標楷體"/>
          <w:b/>
          <w:bCs/>
          <w:color w:val="000000" w:themeColor="text1"/>
          <w:sz w:val="36"/>
          <w:szCs w:val="36"/>
        </w:rPr>
      </w:pPr>
      <w:r w:rsidRPr="00920597">
        <w:rPr>
          <w:rFonts w:ascii="標楷體" w:eastAsia="標楷體" w:hAnsi="標楷體"/>
          <w:b/>
          <w:bCs/>
          <w:noProof/>
          <w:color w:val="000000" w:themeColor="text1"/>
          <w:sz w:val="36"/>
          <w:szCs w:val="36"/>
        </w:rPr>
        <mc:AlternateContent>
          <mc:Choice Requires="wps">
            <w:drawing>
              <wp:anchor distT="0" distB="0" distL="114300" distR="114300" simplePos="0" relativeHeight="251659776" behindDoc="0" locked="0" layoutInCell="1" allowOverlap="1">
                <wp:simplePos x="0" y="0"/>
                <wp:positionH relativeFrom="column">
                  <wp:posOffset>5048250</wp:posOffset>
                </wp:positionH>
                <wp:positionV relativeFrom="paragraph">
                  <wp:posOffset>339090</wp:posOffset>
                </wp:positionV>
                <wp:extent cx="1287780" cy="1173480"/>
                <wp:effectExtent l="0" t="0" r="0" b="7620"/>
                <wp:wrapNone/>
                <wp:docPr id="3" name="文字方塊 3"/>
                <wp:cNvGraphicFramePr/>
                <a:graphic xmlns:a="http://schemas.openxmlformats.org/drawingml/2006/main">
                  <a:graphicData uri="http://schemas.microsoft.com/office/word/2010/wordprocessingShape">
                    <wps:wsp>
                      <wps:cNvSpPr txBox="1"/>
                      <wps:spPr>
                        <a:xfrm>
                          <a:off x="0" y="0"/>
                          <a:ext cx="1287780" cy="1173480"/>
                        </a:xfrm>
                        <a:prstGeom prst="rect">
                          <a:avLst/>
                        </a:prstGeom>
                        <a:noFill/>
                        <a:ln w="6350">
                          <a:noFill/>
                        </a:ln>
                      </wps:spPr>
                      <wps:txbx>
                        <w:txbxContent>
                          <w:p w:rsidR="00CE31E0" w:rsidRDefault="00CE31E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文字方塊 3" o:spid="_x0000_s1026" type="#_x0000_t202" style="position:absolute;margin-left:397.5pt;margin-top:26.7pt;width:101.4pt;height:92.4pt;z-index:251659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" filled="f" stroked="f" strokeweight=".5pt">
                <v:textbox>
                  <w:txbxContent>
                    <w:p w:rsidR="00CE31E0" w:rsidRDefault="00CE31E0"/>
                  </w:txbxContent>
                </v:textbox>
              </v:shape>
            </w:pict>
          </mc:Fallback>
        </mc:AlternateContent>
      </w:r>
    </w:p>
    <w:p w:rsidR="00C322AC" w:rsidRPr="00920597" w:rsidRDefault="009B5839" w:rsidP="00C322AC">
      <w:pPr>
        <w:spacing w:line="560" w:lineRule="exact"/>
        <w:jc w:val="center"/>
        <w:rPr>
          <w:rFonts w:ascii="標楷體" w:eastAsia="標楷體" w:hAnsi="標楷體"/>
          <w:b/>
          <w:bCs/>
          <w:color w:val="000000" w:themeColor="text1"/>
          <w:sz w:val="36"/>
          <w:szCs w:val="36"/>
        </w:rPr>
      </w:pPr>
      <w:r w:rsidRPr="00920597">
        <w:rPr>
          <w:noProof/>
          <w:color w:val="000000" w:themeColor="text1"/>
        </w:rPr>
        <w:drawing>
          <wp:anchor distT="0" distB="0" distL="114300" distR="114300" simplePos="0" relativeHeight="251660800" behindDoc="0" locked="0" layoutInCell="1" allowOverlap="1">
            <wp:simplePos x="0" y="0"/>
            <wp:positionH relativeFrom="column">
              <wp:posOffset>5131435</wp:posOffset>
            </wp:positionH>
            <wp:positionV relativeFrom="paragraph">
              <wp:posOffset>176530</wp:posOffset>
            </wp:positionV>
            <wp:extent cx="938359" cy="1165860"/>
            <wp:effectExtent l="0" t="0" r="0" b="0"/>
            <wp:wrapNone/>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會務報告QRcode-1.png"/>
                    <pic:cNvPicPr/>
                  </pic:nvPicPr>
                  <pic:blipFill>
                    <a:blip r:embed="rId8">
                      <a:extLst>
                        <a:ext uri="{28A0092B-C50C-407E-A947-70E740481C1C}">
                          <a14:useLocalDpi xmlns:a14="http://schemas.microsoft.com/office/drawing/2010/main" val="0"/>
                        </a:ext>
                      </a:extLst>
                    </a:blip>
                    <a:stretch>
                      <a:fillRect/>
                    </a:stretch>
                  </pic:blipFill>
                  <pic:spPr>
                    <a:xfrm>
                      <a:off x="0" y="0"/>
                      <a:ext cx="938359" cy="1165860"/>
                    </a:xfrm>
                    <a:prstGeom prst="rect">
                      <a:avLst/>
                    </a:prstGeom>
                    <a:ln>
                      <a:noFill/>
                    </a:ln>
                  </pic:spPr>
                </pic:pic>
              </a:graphicData>
            </a:graphic>
            <wp14:sizeRelH relativeFrom="margin">
              <wp14:pctWidth>0</wp14:pctWidth>
            </wp14:sizeRelH>
            <wp14:sizeRelV relativeFrom="margin">
              <wp14:pctHeight>0</wp14:pctHeight>
            </wp14:sizeRelV>
          </wp:anchor>
        </w:drawing>
      </w:r>
    </w:p>
    <w:p w:rsidR="00C322AC" w:rsidRPr="00920597" w:rsidRDefault="00C322AC" w:rsidP="00C322AC">
      <w:pPr>
        <w:spacing w:line="560" w:lineRule="exact"/>
        <w:jc w:val="center"/>
        <w:rPr>
          <w:rFonts w:ascii="標楷體" w:eastAsia="標楷體" w:hAnsi="標楷體"/>
          <w:b/>
          <w:bCs/>
          <w:color w:val="000000" w:themeColor="text1"/>
          <w:sz w:val="36"/>
          <w:szCs w:val="36"/>
        </w:rPr>
      </w:pPr>
    </w:p>
    <w:p w:rsidR="009B5839" w:rsidRPr="00920597" w:rsidRDefault="009B5839" w:rsidP="00C9704C">
      <w:pPr>
        <w:spacing w:line="500" w:lineRule="exact"/>
        <w:ind w:leftChars="500" w:left="1200" w:firstLineChars="200" w:firstLine="800"/>
        <w:rPr>
          <w:rFonts w:ascii="標楷體" w:eastAsia="標楷體" w:hAnsi="標楷體"/>
          <w:bCs/>
          <w:color w:val="000000" w:themeColor="text1"/>
          <w:sz w:val="40"/>
          <w:szCs w:val="40"/>
        </w:rPr>
      </w:pPr>
    </w:p>
    <w:p w:rsidR="00C322AC" w:rsidRPr="00920597" w:rsidRDefault="00C322AC" w:rsidP="00C9704C">
      <w:pPr>
        <w:spacing w:line="500" w:lineRule="exact"/>
        <w:ind w:leftChars="500" w:left="1200" w:firstLineChars="200" w:firstLine="800"/>
        <w:rPr>
          <w:rFonts w:ascii="標楷體" w:eastAsia="標楷體" w:hAnsi="標楷體"/>
          <w:bCs/>
          <w:color w:val="000000" w:themeColor="text1"/>
          <w:sz w:val="40"/>
          <w:szCs w:val="40"/>
        </w:rPr>
      </w:pPr>
      <w:r w:rsidRPr="00920597">
        <w:rPr>
          <w:rFonts w:ascii="標楷體" w:eastAsia="標楷體" w:hAnsi="標楷體" w:hint="eastAsia"/>
          <w:bCs/>
          <w:color w:val="000000" w:themeColor="text1"/>
          <w:sz w:val="40"/>
          <w:szCs w:val="40"/>
        </w:rPr>
        <w:t>立法院教育及文化委員會  編印</w:t>
      </w:r>
    </w:p>
    <w:p w:rsidR="009B369A" w:rsidRPr="00920597" w:rsidRDefault="009B369A" w:rsidP="009B369A">
      <w:pPr>
        <w:spacing w:line="500" w:lineRule="exact"/>
        <w:rPr>
          <w:rFonts w:ascii="標楷體" w:eastAsia="標楷體" w:hAnsi="標楷體"/>
          <w:bCs/>
          <w:color w:val="000000" w:themeColor="text1"/>
          <w:sz w:val="40"/>
          <w:szCs w:val="40"/>
        </w:rPr>
      </w:pPr>
    </w:p>
    <w:p w:rsidR="009B369A" w:rsidRPr="00920597" w:rsidRDefault="009B369A" w:rsidP="009B369A">
      <w:pPr>
        <w:spacing w:line="500" w:lineRule="exact"/>
        <w:rPr>
          <w:rFonts w:ascii="標楷體" w:eastAsia="標楷體" w:hAnsi="標楷體"/>
          <w:bCs/>
          <w:color w:val="000000" w:themeColor="text1"/>
          <w:sz w:val="40"/>
          <w:szCs w:val="40"/>
        </w:rPr>
        <w:sectPr w:rsidR="009B369A" w:rsidRPr="00920597" w:rsidSect="00505BFB">
          <w:footerReference w:type="default" r:id="rId9"/>
          <w:pgSz w:w="11907" w:h="16840" w:code="9"/>
          <w:pgMar w:top="1134" w:right="1134" w:bottom="1134" w:left="1304" w:header="851" w:footer="992" w:gutter="0"/>
          <w:pgNumType w:fmt="upperRoman" w:start="1"/>
          <w:cols w:space="425"/>
          <w:titlePg/>
          <w:docGrid w:type="linesAndChars" w:linePitch="360"/>
        </w:sectPr>
      </w:pPr>
    </w:p>
    <w:p w:rsidR="00C322AC" w:rsidRPr="00920597" w:rsidRDefault="00C322AC" w:rsidP="00C44757">
      <w:pPr>
        <w:widowControl/>
        <w:rPr>
          <w:rFonts w:ascii="標楷體" w:eastAsia="標楷體" w:hAnsi="標楷體"/>
          <w:color w:val="000000" w:themeColor="text1"/>
          <w:sz w:val="40"/>
          <w:szCs w:val="40"/>
        </w:rPr>
      </w:pPr>
    </w:p>
    <w:p w:rsidR="00C322AC" w:rsidRPr="00920597" w:rsidRDefault="00C322AC" w:rsidP="00C44757">
      <w:pPr>
        <w:widowControl/>
        <w:rPr>
          <w:rFonts w:ascii="標楷體" w:eastAsia="標楷體" w:hAnsi="標楷體"/>
          <w:color w:val="000000" w:themeColor="text1"/>
          <w:sz w:val="40"/>
          <w:szCs w:val="40"/>
        </w:rPr>
      </w:pPr>
    </w:p>
    <w:p w:rsidR="00C322AC" w:rsidRPr="00920597" w:rsidRDefault="00C322AC" w:rsidP="00C44757">
      <w:pPr>
        <w:widowControl/>
        <w:rPr>
          <w:rFonts w:ascii="標楷體" w:eastAsia="標楷體" w:hAnsi="標楷體"/>
          <w:color w:val="000000" w:themeColor="text1"/>
          <w:sz w:val="40"/>
          <w:szCs w:val="40"/>
        </w:rPr>
      </w:pPr>
    </w:p>
    <w:p w:rsidR="00C322AC" w:rsidRPr="00920597" w:rsidRDefault="00C322AC" w:rsidP="00C44757">
      <w:pPr>
        <w:widowControl/>
        <w:rPr>
          <w:rFonts w:ascii="標楷體" w:eastAsia="標楷體" w:hAnsi="標楷體"/>
          <w:color w:val="000000" w:themeColor="text1"/>
          <w:sz w:val="40"/>
          <w:szCs w:val="40"/>
        </w:rPr>
      </w:pPr>
    </w:p>
    <w:p w:rsidR="00C322AC" w:rsidRPr="00920597" w:rsidRDefault="00C322AC" w:rsidP="00C44757">
      <w:pPr>
        <w:widowControl/>
        <w:rPr>
          <w:rFonts w:ascii="標楷體" w:eastAsia="標楷體" w:hAnsi="標楷體"/>
          <w:color w:val="000000" w:themeColor="text1"/>
          <w:sz w:val="40"/>
          <w:szCs w:val="40"/>
        </w:rPr>
      </w:pPr>
    </w:p>
    <w:p w:rsidR="00C322AC" w:rsidRPr="00920597" w:rsidRDefault="00C322AC" w:rsidP="00C44757">
      <w:pPr>
        <w:widowControl/>
        <w:rPr>
          <w:rFonts w:ascii="標楷體" w:eastAsia="標楷體" w:hAnsi="標楷體"/>
          <w:color w:val="000000" w:themeColor="text1"/>
          <w:sz w:val="40"/>
          <w:szCs w:val="40"/>
        </w:rPr>
      </w:pPr>
    </w:p>
    <w:p w:rsidR="00C322AC" w:rsidRPr="00920597" w:rsidRDefault="00C322AC" w:rsidP="00C44757">
      <w:pPr>
        <w:widowControl/>
        <w:rPr>
          <w:rFonts w:ascii="標楷體" w:eastAsia="標楷體" w:hAnsi="標楷體"/>
          <w:color w:val="000000" w:themeColor="text1"/>
          <w:sz w:val="40"/>
          <w:szCs w:val="40"/>
        </w:rPr>
      </w:pPr>
    </w:p>
    <w:p w:rsidR="00C322AC" w:rsidRPr="00920597" w:rsidRDefault="00C322AC" w:rsidP="00C44757">
      <w:pPr>
        <w:widowControl/>
        <w:rPr>
          <w:rFonts w:ascii="標楷體" w:eastAsia="標楷體" w:hAnsi="標楷體"/>
          <w:color w:val="000000" w:themeColor="text1"/>
          <w:sz w:val="40"/>
          <w:szCs w:val="40"/>
        </w:rPr>
      </w:pPr>
    </w:p>
    <w:p w:rsidR="00C322AC" w:rsidRPr="00920597" w:rsidRDefault="00C322AC" w:rsidP="00C44757">
      <w:pPr>
        <w:widowControl/>
        <w:rPr>
          <w:rFonts w:ascii="標楷體" w:eastAsia="標楷體" w:hAnsi="標楷體"/>
          <w:color w:val="000000" w:themeColor="text1"/>
          <w:sz w:val="40"/>
          <w:szCs w:val="40"/>
        </w:rPr>
      </w:pPr>
    </w:p>
    <w:p w:rsidR="00C322AC" w:rsidRPr="00920597" w:rsidRDefault="00C322AC" w:rsidP="00C44757">
      <w:pPr>
        <w:widowControl/>
        <w:rPr>
          <w:rFonts w:ascii="標楷體" w:eastAsia="標楷體" w:hAnsi="標楷體"/>
          <w:color w:val="000000" w:themeColor="text1"/>
          <w:sz w:val="40"/>
          <w:szCs w:val="40"/>
        </w:rPr>
      </w:pPr>
    </w:p>
    <w:p w:rsidR="00C322AC" w:rsidRPr="00920597" w:rsidRDefault="00C322AC" w:rsidP="00C44757">
      <w:pPr>
        <w:widowControl/>
        <w:rPr>
          <w:rFonts w:ascii="標楷體" w:eastAsia="標楷體" w:hAnsi="標楷體"/>
          <w:color w:val="000000" w:themeColor="text1"/>
          <w:sz w:val="40"/>
          <w:szCs w:val="40"/>
        </w:rPr>
      </w:pPr>
    </w:p>
    <w:p w:rsidR="00C322AC" w:rsidRPr="00920597" w:rsidRDefault="00C322AC" w:rsidP="00C44757">
      <w:pPr>
        <w:widowControl/>
        <w:rPr>
          <w:rFonts w:ascii="標楷體" w:eastAsia="標楷體" w:hAnsi="標楷體"/>
          <w:color w:val="000000" w:themeColor="text1"/>
          <w:sz w:val="40"/>
          <w:szCs w:val="40"/>
        </w:rPr>
      </w:pPr>
    </w:p>
    <w:p w:rsidR="00C322AC" w:rsidRPr="00920597" w:rsidRDefault="00C322AC" w:rsidP="00C44757">
      <w:pPr>
        <w:widowControl/>
        <w:rPr>
          <w:rFonts w:ascii="標楷體" w:eastAsia="標楷體" w:hAnsi="標楷體"/>
          <w:color w:val="000000" w:themeColor="text1"/>
          <w:sz w:val="40"/>
          <w:szCs w:val="40"/>
        </w:rPr>
      </w:pPr>
    </w:p>
    <w:p w:rsidR="00C322AC" w:rsidRPr="00920597" w:rsidRDefault="00C322AC" w:rsidP="00C44757">
      <w:pPr>
        <w:widowControl/>
        <w:rPr>
          <w:rFonts w:ascii="標楷體" w:eastAsia="標楷體" w:hAnsi="標楷體"/>
          <w:color w:val="000000" w:themeColor="text1"/>
          <w:sz w:val="40"/>
          <w:szCs w:val="40"/>
        </w:rPr>
      </w:pPr>
    </w:p>
    <w:p w:rsidR="00C322AC" w:rsidRPr="00920597" w:rsidRDefault="00C322AC" w:rsidP="00C44757">
      <w:pPr>
        <w:widowControl/>
        <w:rPr>
          <w:rFonts w:ascii="標楷體" w:eastAsia="標楷體" w:hAnsi="標楷體"/>
          <w:color w:val="000000" w:themeColor="text1"/>
          <w:sz w:val="40"/>
          <w:szCs w:val="40"/>
        </w:rPr>
      </w:pPr>
    </w:p>
    <w:p w:rsidR="00C322AC" w:rsidRPr="00920597" w:rsidRDefault="00C322AC" w:rsidP="00C44757">
      <w:pPr>
        <w:widowControl/>
        <w:rPr>
          <w:rFonts w:ascii="標楷體" w:eastAsia="標楷體" w:hAnsi="標楷體"/>
          <w:color w:val="000000" w:themeColor="text1"/>
          <w:sz w:val="40"/>
          <w:szCs w:val="40"/>
        </w:rPr>
      </w:pPr>
    </w:p>
    <w:p w:rsidR="00C322AC" w:rsidRPr="00920597" w:rsidRDefault="00C322AC" w:rsidP="00C44757">
      <w:pPr>
        <w:widowControl/>
        <w:rPr>
          <w:rFonts w:ascii="標楷體" w:eastAsia="標楷體" w:hAnsi="標楷體"/>
          <w:color w:val="000000" w:themeColor="text1"/>
          <w:sz w:val="40"/>
          <w:szCs w:val="40"/>
        </w:rPr>
      </w:pPr>
    </w:p>
    <w:p w:rsidR="00C322AC" w:rsidRPr="00920597" w:rsidRDefault="00C322AC" w:rsidP="00C44757">
      <w:pPr>
        <w:widowControl/>
        <w:rPr>
          <w:rFonts w:ascii="標楷體" w:eastAsia="標楷體" w:hAnsi="標楷體"/>
          <w:color w:val="000000" w:themeColor="text1"/>
          <w:sz w:val="40"/>
          <w:szCs w:val="40"/>
        </w:rPr>
      </w:pPr>
    </w:p>
    <w:p w:rsidR="00C322AC" w:rsidRPr="00920597" w:rsidRDefault="00C322AC" w:rsidP="00C44757">
      <w:pPr>
        <w:widowControl/>
        <w:rPr>
          <w:rFonts w:ascii="標楷體" w:eastAsia="標楷體" w:hAnsi="標楷體"/>
          <w:color w:val="000000" w:themeColor="text1"/>
          <w:sz w:val="40"/>
          <w:szCs w:val="40"/>
        </w:rPr>
      </w:pPr>
    </w:p>
    <w:p w:rsidR="00150A42" w:rsidRPr="00920597" w:rsidRDefault="00150A42" w:rsidP="00C44757">
      <w:pPr>
        <w:widowControl/>
        <w:rPr>
          <w:rFonts w:ascii="標楷體" w:eastAsia="標楷體" w:hAnsi="標楷體"/>
          <w:color w:val="000000" w:themeColor="text1"/>
          <w:sz w:val="40"/>
          <w:szCs w:val="40"/>
        </w:rPr>
        <w:sectPr w:rsidR="00150A42" w:rsidRPr="00920597" w:rsidSect="00E975D7">
          <w:footerReference w:type="default" r:id="rId10"/>
          <w:pgSz w:w="11907" w:h="16840" w:code="9"/>
          <w:pgMar w:top="1134" w:right="1134" w:bottom="1134" w:left="1134" w:header="851" w:footer="992" w:gutter="0"/>
          <w:pgNumType w:fmt="taiwaneseCountingThousand" w:start="0"/>
          <w:cols w:space="425"/>
          <w:docGrid w:type="linesAndChars" w:linePitch="360"/>
        </w:sectPr>
      </w:pPr>
    </w:p>
    <w:p w:rsidR="00C44757" w:rsidRPr="00920597" w:rsidRDefault="00C44757" w:rsidP="00C01E61">
      <w:pPr>
        <w:widowControl/>
        <w:jc w:val="center"/>
        <w:rPr>
          <w:rFonts w:ascii="標楷體" w:eastAsia="標楷體" w:hAnsi="標楷體"/>
          <w:color w:val="000000" w:themeColor="text1"/>
          <w:sz w:val="40"/>
          <w:szCs w:val="40"/>
        </w:rPr>
      </w:pPr>
      <w:r w:rsidRPr="00920597">
        <w:rPr>
          <w:rFonts w:ascii="標楷體" w:eastAsia="標楷體" w:hAnsi="標楷體" w:hint="eastAsia"/>
          <w:color w:val="000000" w:themeColor="text1"/>
          <w:sz w:val="40"/>
          <w:szCs w:val="40"/>
        </w:rPr>
        <w:lastRenderedPageBreak/>
        <w:t>立法院第</w:t>
      </w:r>
      <w:r w:rsidR="00422FB0" w:rsidRPr="00920597">
        <w:rPr>
          <w:rFonts w:ascii="標楷體" w:eastAsia="標楷體" w:hAnsi="標楷體" w:hint="eastAsia"/>
          <w:color w:val="000000" w:themeColor="text1"/>
          <w:sz w:val="40"/>
          <w:szCs w:val="40"/>
        </w:rPr>
        <w:t>10</w:t>
      </w:r>
      <w:r w:rsidRPr="00920597">
        <w:rPr>
          <w:rFonts w:ascii="標楷體" w:eastAsia="標楷體" w:hAnsi="標楷體" w:hint="eastAsia"/>
          <w:color w:val="000000" w:themeColor="text1"/>
          <w:sz w:val="40"/>
          <w:szCs w:val="40"/>
        </w:rPr>
        <w:t>屆第</w:t>
      </w:r>
      <w:r w:rsidR="00AC17FD">
        <w:rPr>
          <w:rFonts w:ascii="標楷體" w:eastAsia="標楷體" w:hAnsi="標楷體" w:hint="eastAsia"/>
          <w:color w:val="000000" w:themeColor="text1"/>
          <w:sz w:val="40"/>
          <w:szCs w:val="40"/>
        </w:rPr>
        <w:t>6</w:t>
      </w:r>
      <w:r w:rsidRPr="00920597">
        <w:rPr>
          <w:rFonts w:ascii="標楷體" w:eastAsia="標楷體" w:hAnsi="標楷體" w:hint="eastAsia"/>
          <w:color w:val="000000" w:themeColor="text1"/>
          <w:sz w:val="40"/>
          <w:szCs w:val="40"/>
        </w:rPr>
        <w:t>會期教育及文化委員會會務報告</w:t>
      </w:r>
    </w:p>
    <w:p w:rsidR="007C7731" w:rsidRPr="00920597" w:rsidRDefault="00C44757" w:rsidP="00BA1B63">
      <w:pPr>
        <w:spacing w:beforeLines="100" w:before="360" w:line="280" w:lineRule="exact"/>
        <w:ind w:left="4554" w:hangingChars="2128" w:hanging="4554"/>
        <w:jc w:val="right"/>
        <w:rPr>
          <w:rFonts w:ascii="標楷體" w:eastAsia="標楷體" w:hAnsi="標楷體"/>
          <w:color w:val="000000" w:themeColor="text1"/>
          <w:kern w:val="0"/>
          <w:sz w:val="28"/>
          <w:szCs w:val="28"/>
        </w:rPr>
      </w:pPr>
      <w:r w:rsidRPr="002A3317">
        <w:rPr>
          <w:rFonts w:ascii="標楷體" w:eastAsia="標楷體" w:hAnsi="標楷體" w:hint="eastAsia"/>
          <w:color w:val="000000" w:themeColor="text1"/>
          <w:spacing w:val="2"/>
          <w:w w:val="75"/>
          <w:kern w:val="0"/>
          <w:sz w:val="28"/>
          <w:szCs w:val="28"/>
          <w:fitText w:val="3339" w:id="-1579439359"/>
        </w:rPr>
        <w:t>1</w:t>
      </w:r>
      <w:r w:rsidR="0078677A" w:rsidRPr="002A3317">
        <w:rPr>
          <w:rFonts w:ascii="標楷體" w:eastAsia="標楷體" w:hAnsi="標楷體"/>
          <w:color w:val="000000" w:themeColor="text1"/>
          <w:spacing w:val="2"/>
          <w:w w:val="75"/>
          <w:kern w:val="0"/>
          <w:sz w:val="28"/>
          <w:szCs w:val="28"/>
          <w:fitText w:val="3339" w:id="-1579439359"/>
        </w:rPr>
        <w:t>1</w:t>
      </w:r>
      <w:r w:rsidR="00DF6937" w:rsidRPr="002A3317">
        <w:rPr>
          <w:rFonts w:ascii="標楷體" w:eastAsia="標楷體" w:hAnsi="標楷體"/>
          <w:color w:val="000000" w:themeColor="text1"/>
          <w:spacing w:val="2"/>
          <w:w w:val="75"/>
          <w:kern w:val="0"/>
          <w:sz w:val="28"/>
          <w:szCs w:val="28"/>
          <w:fitText w:val="3339" w:id="-1579439359"/>
        </w:rPr>
        <w:t>1</w:t>
      </w:r>
      <w:r w:rsidRPr="002A3317">
        <w:rPr>
          <w:rFonts w:ascii="標楷體" w:eastAsia="標楷體" w:hAnsi="標楷體" w:hint="eastAsia"/>
          <w:color w:val="000000" w:themeColor="text1"/>
          <w:spacing w:val="2"/>
          <w:w w:val="75"/>
          <w:kern w:val="0"/>
          <w:sz w:val="28"/>
          <w:szCs w:val="28"/>
          <w:fitText w:val="3339" w:id="-1579439359"/>
        </w:rPr>
        <w:t>年</w:t>
      </w:r>
      <w:r w:rsidR="00557DE5" w:rsidRPr="002A3317">
        <w:rPr>
          <w:rFonts w:ascii="標楷體" w:eastAsia="標楷體" w:hAnsi="標楷體" w:hint="eastAsia"/>
          <w:color w:val="000000" w:themeColor="text1"/>
          <w:spacing w:val="2"/>
          <w:w w:val="75"/>
          <w:kern w:val="0"/>
          <w:sz w:val="28"/>
          <w:szCs w:val="28"/>
          <w:fitText w:val="3339" w:id="-1579439359"/>
        </w:rPr>
        <w:t>9</w:t>
      </w:r>
      <w:r w:rsidRPr="002A3317">
        <w:rPr>
          <w:rFonts w:ascii="標楷體" w:eastAsia="標楷體" w:hAnsi="標楷體" w:hint="eastAsia"/>
          <w:color w:val="000000" w:themeColor="text1"/>
          <w:spacing w:val="2"/>
          <w:w w:val="75"/>
          <w:kern w:val="0"/>
          <w:sz w:val="28"/>
          <w:szCs w:val="28"/>
          <w:fitText w:val="3339" w:id="-1579439359"/>
        </w:rPr>
        <w:t>月</w:t>
      </w:r>
      <w:r w:rsidR="00557DE5" w:rsidRPr="002A3317">
        <w:rPr>
          <w:rFonts w:ascii="標楷體" w:eastAsia="標楷體" w:hAnsi="標楷體" w:hint="eastAsia"/>
          <w:color w:val="000000" w:themeColor="text1"/>
          <w:spacing w:val="2"/>
          <w:w w:val="75"/>
          <w:kern w:val="0"/>
          <w:sz w:val="28"/>
          <w:szCs w:val="28"/>
          <w:fitText w:val="3339" w:id="-1579439359"/>
        </w:rPr>
        <w:t>23</w:t>
      </w:r>
      <w:r w:rsidRPr="002A3317">
        <w:rPr>
          <w:rFonts w:ascii="標楷體" w:eastAsia="標楷體" w:hAnsi="標楷體" w:hint="eastAsia"/>
          <w:color w:val="000000" w:themeColor="text1"/>
          <w:spacing w:val="2"/>
          <w:w w:val="75"/>
          <w:kern w:val="0"/>
          <w:sz w:val="28"/>
          <w:szCs w:val="28"/>
          <w:fitText w:val="3339" w:id="-1579439359"/>
        </w:rPr>
        <w:t>日至</w:t>
      </w:r>
      <w:r w:rsidR="0078677A" w:rsidRPr="002A3317">
        <w:rPr>
          <w:rFonts w:ascii="標楷體" w:eastAsia="標楷體" w:hAnsi="標楷體" w:hint="eastAsia"/>
          <w:color w:val="000000" w:themeColor="text1"/>
          <w:spacing w:val="2"/>
          <w:w w:val="75"/>
          <w:kern w:val="0"/>
          <w:sz w:val="28"/>
          <w:szCs w:val="28"/>
          <w:fitText w:val="3339" w:id="-1579439359"/>
        </w:rPr>
        <w:t>1</w:t>
      </w:r>
      <w:r w:rsidR="0078677A" w:rsidRPr="002A3317">
        <w:rPr>
          <w:rFonts w:ascii="標楷體" w:eastAsia="標楷體" w:hAnsi="標楷體"/>
          <w:color w:val="000000" w:themeColor="text1"/>
          <w:spacing w:val="2"/>
          <w:w w:val="75"/>
          <w:kern w:val="0"/>
          <w:sz w:val="28"/>
          <w:szCs w:val="28"/>
          <w:fitText w:val="3339" w:id="-1579439359"/>
        </w:rPr>
        <w:t>1</w:t>
      </w:r>
      <w:r w:rsidR="00557DE5" w:rsidRPr="002A3317">
        <w:rPr>
          <w:rFonts w:ascii="標楷體" w:eastAsia="標楷體" w:hAnsi="標楷體" w:hint="eastAsia"/>
          <w:color w:val="000000" w:themeColor="text1"/>
          <w:spacing w:val="2"/>
          <w:w w:val="75"/>
          <w:kern w:val="0"/>
          <w:sz w:val="28"/>
          <w:szCs w:val="28"/>
          <w:fitText w:val="3339" w:id="-1579439359"/>
        </w:rPr>
        <w:t>2</w:t>
      </w:r>
      <w:r w:rsidRPr="002A3317">
        <w:rPr>
          <w:rFonts w:ascii="標楷體" w:eastAsia="標楷體" w:hAnsi="標楷體" w:hint="eastAsia"/>
          <w:color w:val="000000" w:themeColor="text1"/>
          <w:spacing w:val="2"/>
          <w:w w:val="75"/>
          <w:kern w:val="0"/>
          <w:sz w:val="28"/>
          <w:szCs w:val="28"/>
          <w:fitText w:val="3339" w:id="-1579439359"/>
        </w:rPr>
        <w:t>年</w:t>
      </w:r>
      <w:r w:rsidR="00557DE5" w:rsidRPr="002A3317">
        <w:rPr>
          <w:rFonts w:ascii="標楷體" w:eastAsia="標楷體" w:hAnsi="標楷體" w:hint="eastAsia"/>
          <w:color w:val="000000" w:themeColor="text1"/>
          <w:spacing w:val="2"/>
          <w:w w:val="75"/>
          <w:kern w:val="0"/>
          <w:sz w:val="28"/>
          <w:szCs w:val="28"/>
          <w:fitText w:val="3339" w:id="-1579439359"/>
        </w:rPr>
        <w:t>1</w:t>
      </w:r>
      <w:r w:rsidRPr="002A3317">
        <w:rPr>
          <w:rFonts w:ascii="標楷體" w:eastAsia="標楷體" w:hAnsi="標楷體" w:hint="eastAsia"/>
          <w:color w:val="000000" w:themeColor="text1"/>
          <w:spacing w:val="2"/>
          <w:w w:val="75"/>
          <w:kern w:val="0"/>
          <w:sz w:val="28"/>
          <w:szCs w:val="28"/>
          <w:fitText w:val="3339" w:id="-1579439359"/>
        </w:rPr>
        <w:t>月</w:t>
      </w:r>
      <w:r w:rsidR="002A3317" w:rsidRPr="002A3317">
        <w:rPr>
          <w:rFonts w:ascii="標楷體" w:eastAsia="標楷體" w:hAnsi="標楷體"/>
          <w:color w:val="000000" w:themeColor="text1"/>
          <w:spacing w:val="2"/>
          <w:w w:val="71"/>
          <w:kern w:val="0"/>
          <w:sz w:val="28"/>
          <w:szCs w:val="28"/>
          <w:fitText w:val="3339" w:id="-1579439359"/>
        </w:rPr>
        <w:t>19</w:t>
      </w:r>
      <w:r w:rsidRPr="002A3317">
        <w:rPr>
          <w:rFonts w:ascii="標楷體" w:eastAsia="標楷體" w:hAnsi="標楷體" w:hint="eastAsia"/>
          <w:color w:val="000000" w:themeColor="text1"/>
          <w:spacing w:val="-6"/>
          <w:w w:val="75"/>
          <w:kern w:val="0"/>
          <w:sz w:val="28"/>
          <w:szCs w:val="28"/>
          <w:fitText w:val="3339" w:id="-1579439359"/>
        </w:rPr>
        <w:t>日</w:t>
      </w:r>
    </w:p>
    <w:p w:rsidR="00C44757" w:rsidRPr="00920597" w:rsidRDefault="00C44757" w:rsidP="00C44757">
      <w:pPr>
        <w:spacing w:beforeLines="50" w:before="180" w:line="500" w:lineRule="exact"/>
        <w:ind w:left="8512" w:hangingChars="2128" w:hanging="8512"/>
        <w:jc w:val="center"/>
        <w:rPr>
          <w:rFonts w:ascii="標楷體" w:eastAsia="標楷體" w:hAnsi="標楷體"/>
          <w:color w:val="000000" w:themeColor="text1"/>
          <w:sz w:val="40"/>
          <w:szCs w:val="40"/>
        </w:rPr>
      </w:pPr>
      <w:r w:rsidRPr="00920597">
        <w:rPr>
          <w:rFonts w:ascii="標楷體" w:eastAsia="標楷體" w:hAnsi="標楷體" w:hint="eastAsia"/>
          <w:color w:val="000000" w:themeColor="text1"/>
          <w:sz w:val="40"/>
          <w:szCs w:val="40"/>
        </w:rPr>
        <w:t>目    錄</w:t>
      </w:r>
    </w:p>
    <w:p w:rsidR="00755C46" w:rsidRDefault="007579B4">
      <w:pPr>
        <w:pStyle w:val="11"/>
        <w:rPr>
          <w:rFonts w:asciiTheme="minorHAnsi" w:eastAsiaTheme="minorEastAsia" w:hAnsiTheme="minorHAnsi" w:cstheme="minorBidi"/>
          <w:b w:val="0"/>
          <w:bCs w:val="0"/>
          <w:kern w:val="2"/>
          <w:sz w:val="24"/>
          <w:szCs w:val="22"/>
        </w:rPr>
      </w:pPr>
      <w:r w:rsidRPr="00920597">
        <w:rPr>
          <w:rStyle w:val="ab"/>
          <w:b w:val="0"/>
          <w:bCs w:val="0"/>
          <w:color w:val="000000" w:themeColor="text1"/>
          <w:spacing w:val="-10"/>
          <w:kern w:val="2"/>
        </w:rPr>
        <w:fldChar w:fldCharType="begin"/>
      </w:r>
      <w:r w:rsidRPr="00920597">
        <w:rPr>
          <w:rStyle w:val="ab"/>
          <w:b w:val="0"/>
          <w:bCs w:val="0"/>
          <w:color w:val="000000" w:themeColor="text1"/>
          <w:spacing w:val="-10"/>
          <w:kern w:val="2"/>
        </w:rPr>
        <w:instrText xml:space="preserve"> TOC \o "1-3" \h \z \u </w:instrText>
      </w:r>
      <w:r w:rsidRPr="00920597">
        <w:rPr>
          <w:rStyle w:val="ab"/>
          <w:b w:val="0"/>
          <w:bCs w:val="0"/>
          <w:color w:val="000000" w:themeColor="text1"/>
          <w:spacing w:val="-10"/>
          <w:kern w:val="2"/>
        </w:rPr>
        <w:fldChar w:fldCharType="separate"/>
      </w:r>
      <w:hyperlink w:anchor="_Toc126068105" w:history="1">
        <w:r w:rsidR="00755C46" w:rsidRPr="0079737D">
          <w:rPr>
            <w:rStyle w:val="ab"/>
            <w:rFonts w:hint="eastAsia"/>
          </w:rPr>
          <w:t>壹、組織及業務簡介</w:t>
        </w:r>
        <w:r w:rsidR="00755C46" w:rsidRPr="00755C46">
          <w:rPr>
            <w:b w:val="0"/>
            <w:webHidden/>
            <w:sz w:val="28"/>
            <w:szCs w:val="28"/>
          </w:rPr>
          <w:tab/>
        </w:r>
        <w:r w:rsidR="00755C46" w:rsidRPr="00755C46">
          <w:rPr>
            <w:b w:val="0"/>
            <w:webHidden/>
            <w:sz w:val="28"/>
            <w:szCs w:val="28"/>
          </w:rPr>
          <w:fldChar w:fldCharType="begin"/>
        </w:r>
        <w:r w:rsidR="00755C46" w:rsidRPr="00755C46">
          <w:rPr>
            <w:b w:val="0"/>
            <w:webHidden/>
            <w:sz w:val="28"/>
            <w:szCs w:val="28"/>
          </w:rPr>
          <w:instrText xml:space="preserve"> PAGEREF _Toc126068105 \h </w:instrText>
        </w:r>
        <w:r w:rsidR="00755C46" w:rsidRPr="00755C46">
          <w:rPr>
            <w:b w:val="0"/>
            <w:webHidden/>
            <w:sz w:val="28"/>
            <w:szCs w:val="28"/>
          </w:rPr>
        </w:r>
        <w:r w:rsidR="00755C46" w:rsidRPr="00755C46">
          <w:rPr>
            <w:b w:val="0"/>
            <w:webHidden/>
            <w:sz w:val="28"/>
            <w:szCs w:val="28"/>
          </w:rPr>
          <w:fldChar w:fldCharType="separate"/>
        </w:r>
        <w:r w:rsidR="00A871B0">
          <w:rPr>
            <w:b w:val="0"/>
            <w:webHidden/>
            <w:sz w:val="28"/>
            <w:szCs w:val="28"/>
          </w:rPr>
          <w:t>1</w:t>
        </w:r>
        <w:r w:rsidR="00755C46" w:rsidRPr="00755C46">
          <w:rPr>
            <w:b w:val="0"/>
            <w:webHidden/>
            <w:sz w:val="28"/>
            <w:szCs w:val="28"/>
          </w:rPr>
          <w:fldChar w:fldCharType="end"/>
        </w:r>
      </w:hyperlink>
    </w:p>
    <w:p w:rsidR="00755C46" w:rsidRDefault="00641E57" w:rsidP="00755C46">
      <w:pPr>
        <w:pStyle w:val="21"/>
        <w:rPr>
          <w:rFonts w:asciiTheme="minorHAnsi" w:eastAsiaTheme="minorEastAsia" w:hAnsiTheme="minorHAnsi" w:cstheme="minorBidi"/>
          <w:sz w:val="24"/>
          <w:szCs w:val="22"/>
        </w:rPr>
      </w:pPr>
      <w:hyperlink w:anchor="_Toc126068106" w:history="1">
        <w:r w:rsidR="00755C46" w:rsidRPr="0079737D">
          <w:rPr>
            <w:rStyle w:val="ab"/>
            <w:rFonts w:hint="eastAsia"/>
          </w:rPr>
          <w:t>一、組織</w:t>
        </w:r>
        <w:r w:rsidR="00755C46">
          <w:rPr>
            <w:webHidden/>
          </w:rPr>
          <w:tab/>
        </w:r>
        <w:r w:rsidR="00755C46">
          <w:rPr>
            <w:webHidden/>
          </w:rPr>
          <w:fldChar w:fldCharType="begin"/>
        </w:r>
        <w:r w:rsidR="00755C46">
          <w:rPr>
            <w:webHidden/>
          </w:rPr>
          <w:instrText xml:space="preserve"> PAGEREF _Toc126068106 \h </w:instrText>
        </w:r>
        <w:r w:rsidR="00755C46">
          <w:rPr>
            <w:webHidden/>
          </w:rPr>
        </w:r>
        <w:r w:rsidR="00755C46">
          <w:rPr>
            <w:webHidden/>
          </w:rPr>
          <w:fldChar w:fldCharType="separate"/>
        </w:r>
        <w:r w:rsidR="00A871B0">
          <w:rPr>
            <w:webHidden/>
          </w:rPr>
          <w:t>1</w:t>
        </w:r>
        <w:r w:rsidR="00755C46">
          <w:rPr>
            <w:webHidden/>
          </w:rPr>
          <w:fldChar w:fldCharType="end"/>
        </w:r>
      </w:hyperlink>
    </w:p>
    <w:p w:rsidR="00755C46" w:rsidRDefault="00641E57" w:rsidP="00755C46">
      <w:pPr>
        <w:pStyle w:val="31"/>
        <w:rPr>
          <w:rFonts w:asciiTheme="minorHAnsi" w:eastAsiaTheme="minorEastAsia" w:hAnsiTheme="minorHAnsi" w:cstheme="minorBidi"/>
          <w:color w:val="auto"/>
          <w:spacing w:val="0"/>
          <w:sz w:val="24"/>
          <w:szCs w:val="22"/>
        </w:rPr>
      </w:pPr>
      <w:hyperlink w:anchor="_Toc126068107" w:history="1">
        <w:r w:rsidR="00755C46" w:rsidRPr="0079737D">
          <w:rPr>
            <w:rStyle w:val="ab"/>
            <w:rFonts w:hint="eastAsia"/>
          </w:rPr>
          <w:t>（一）本會期本會委員名單</w:t>
        </w:r>
        <w:r w:rsidR="00755C46">
          <w:rPr>
            <w:webHidden/>
          </w:rPr>
          <w:tab/>
        </w:r>
        <w:r w:rsidR="00755C46">
          <w:rPr>
            <w:webHidden/>
          </w:rPr>
          <w:fldChar w:fldCharType="begin"/>
        </w:r>
        <w:r w:rsidR="00755C46">
          <w:rPr>
            <w:webHidden/>
          </w:rPr>
          <w:instrText xml:space="preserve"> PAGEREF _Toc126068107 \h </w:instrText>
        </w:r>
        <w:r w:rsidR="00755C46">
          <w:rPr>
            <w:webHidden/>
          </w:rPr>
        </w:r>
        <w:r w:rsidR="00755C46">
          <w:rPr>
            <w:webHidden/>
          </w:rPr>
          <w:fldChar w:fldCharType="separate"/>
        </w:r>
        <w:r w:rsidR="00A871B0">
          <w:rPr>
            <w:webHidden/>
          </w:rPr>
          <w:t>1</w:t>
        </w:r>
        <w:r w:rsidR="00755C46">
          <w:rPr>
            <w:webHidden/>
          </w:rPr>
          <w:fldChar w:fldCharType="end"/>
        </w:r>
      </w:hyperlink>
    </w:p>
    <w:p w:rsidR="00755C46" w:rsidRDefault="00641E57" w:rsidP="00755C46">
      <w:pPr>
        <w:pStyle w:val="31"/>
        <w:rPr>
          <w:rFonts w:asciiTheme="minorHAnsi" w:eastAsiaTheme="minorEastAsia" w:hAnsiTheme="minorHAnsi" w:cstheme="minorBidi"/>
          <w:color w:val="auto"/>
          <w:spacing w:val="0"/>
          <w:sz w:val="24"/>
          <w:szCs w:val="22"/>
        </w:rPr>
      </w:pPr>
      <w:hyperlink w:anchor="_Toc126068108" w:history="1">
        <w:r w:rsidR="00755C46" w:rsidRPr="0079737D">
          <w:rPr>
            <w:rStyle w:val="ab"/>
            <w:rFonts w:hint="eastAsia"/>
          </w:rPr>
          <w:t>（二）本會期本會召集委員名單</w:t>
        </w:r>
        <w:r w:rsidR="00755C46">
          <w:rPr>
            <w:webHidden/>
          </w:rPr>
          <w:tab/>
        </w:r>
        <w:r w:rsidR="00755C46">
          <w:rPr>
            <w:webHidden/>
          </w:rPr>
          <w:fldChar w:fldCharType="begin"/>
        </w:r>
        <w:r w:rsidR="00755C46">
          <w:rPr>
            <w:webHidden/>
          </w:rPr>
          <w:instrText xml:space="preserve"> PAGEREF _Toc126068108 \h </w:instrText>
        </w:r>
        <w:r w:rsidR="00755C46">
          <w:rPr>
            <w:webHidden/>
          </w:rPr>
        </w:r>
        <w:r w:rsidR="00755C46">
          <w:rPr>
            <w:webHidden/>
          </w:rPr>
          <w:fldChar w:fldCharType="separate"/>
        </w:r>
        <w:r w:rsidR="00A871B0">
          <w:rPr>
            <w:webHidden/>
          </w:rPr>
          <w:t>1</w:t>
        </w:r>
        <w:r w:rsidR="00755C46">
          <w:rPr>
            <w:webHidden/>
          </w:rPr>
          <w:fldChar w:fldCharType="end"/>
        </w:r>
      </w:hyperlink>
    </w:p>
    <w:p w:rsidR="00755C46" w:rsidRDefault="00641E57" w:rsidP="00755C46">
      <w:pPr>
        <w:pStyle w:val="31"/>
        <w:rPr>
          <w:rFonts w:asciiTheme="minorHAnsi" w:eastAsiaTheme="minorEastAsia" w:hAnsiTheme="minorHAnsi" w:cstheme="minorBidi"/>
          <w:color w:val="auto"/>
          <w:spacing w:val="0"/>
          <w:sz w:val="24"/>
          <w:szCs w:val="22"/>
        </w:rPr>
      </w:pPr>
      <w:hyperlink w:anchor="_Toc126068109" w:history="1">
        <w:r w:rsidR="00755C46" w:rsidRPr="0079737D">
          <w:rPr>
            <w:rStyle w:val="ab"/>
            <w:rFonts w:hint="eastAsia"/>
          </w:rPr>
          <w:t>（三）本會期擔任紀律委員會召集委員名單</w:t>
        </w:r>
        <w:r w:rsidR="00755C46">
          <w:rPr>
            <w:webHidden/>
          </w:rPr>
          <w:tab/>
        </w:r>
        <w:r w:rsidR="00755C46">
          <w:rPr>
            <w:webHidden/>
          </w:rPr>
          <w:fldChar w:fldCharType="begin"/>
        </w:r>
        <w:r w:rsidR="00755C46">
          <w:rPr>
            <w:webHidden/>
          </w:rPr>
          <w:instrText xml:space="preserve"> PAGEREF _Toc126068109 \h </w:instrText>
        </w:r>
        <w:r w:rsidR="00755C46">
          <w:rPr>
            <w:webHidden/>
          </w:rPr>
        </w:r>
        <w:r w:rsidR="00755C46">
          <w:rPr>
            <w:webHidden/>
          </w:rPr>
          <w:fldChar w:fldCharType="separate"/>
        </w:r>
        <w:r w:rsidR="00A871B0">
          <w:rPr>
            <w:webHidden/>
          </w:rPr>
          <w:t>1</w:t>
        </w:r>
        <w:r w:rsidR="00755C46">
          <w:rPr>
            <w:webHidden/>
          </w:rPr>
          <w:fldChar w:fldCharType="end"/>
        </w:r>
      </w:hyperlink>
    </w:p>
    <w:p w:rsidR="00755C46" w:rsidRDefault="00641E57" w:rsidP="00755C46">
      <w:pPr>
        <w:pStyle w:val="21"/>
        <w:rPr>
          <w:rFonts w:asciiTheme="minorHAnsi" w:eastAsiaTheme="minorEastAsia" w:hAnsiTheme="minorHAnsi" w:cstheme="minorBidi"/>
          <w:sz w:val="24"/>
          <w:szCs w:val="22"/>
        </w:rPr>
      </w:pPr>
      <w:hyperlink w:anchor="_Toc126068110" w:history="1">
        <w:r w:rsidR="00755C46" w:rsidRPr="0079737D">
          <w:rPr>
            <w:rStyle w:val="ab"/>
            <w:rFonts w:hint="eastAsia"/>
          </w:rPr>
          <w:t>二、業務簡介</w:t>
        </w:r>
        <w:r w:rsidR="00755C46">
          <w:rPr>
            <w:webHidden/>
          </w:rPr>
          <w:tab/>
        </w:r>
        <w:r w:rsidR="00755C46">
          <w:rPr>
            <w:webHidden/>
          </w:rPr>
          <w:fldChar w:fldCharType="begin"/>
        </w:r>
        <w:r w:rsidR="00755C46">
          <w:rPr>
            <w:webHidden/>
          </w:rPr>
          <w:instrText xml:space="preserve"> PAGEREF _Toc126068110 \h </w:instrText>
        </w:r>
        <w:r w:rsidR="00755C46">
          <w:rPr>
            <w:webHidden/>
          </w:rPr>
        </w:r>
        <w:r w:rsidR="00755C46">
          <w:rPr>
            <w:webHidden/>
          </w:rPr>
          <w:fldChar w:fldCharType="separate"/>
        </w:r>
        <w:r w:rsidR="00A871B0">
          <w:rPr>
            <w:webHidden/>
          </w:rPr>
          <w:t>1</w:t>
        </w:r>
        <w:r w:rsidR="00755C46">
          <w:rPr>
            <w:webHidden/>
          </w:rPr>
          <w:fldChar w:fldCharType="end"/>
        </w:r>
      </w:hyperlink>
    </w:p>
    <w:p w:rsidR="00755C46" w:rsidRDefault="00641E57">
      <w:pPr>
        <w:pStyle w:val="11"/>
        <w:rPr>
          <w:rFonts w:asciiTheme="minorHAnsi" w:eastAsiaTheme="minorEastAsia" w:hAnsiTheme="minorHAnsi" w:cstheme="minorBidi"/>
          <w:b w:val="0"/>
          <w:bCs w:val="0"/>
          <w:kern w:val="2"/>
          <w:sz w:val="24"/>
          <w:szCs w:val="22"/>
        </w:rPr>
      </w:pPr>
      <w:hyperlink w:anchor="_Toc126068111" w:history="1">
        <w:r w:rsidR="00755C46" w:rsidRPr="0079737D">
          <w:rPr>
            <w:rStyle w:val="ab"/>
            <w:rFonts w:hint="eastAsia"/>
          </w:rPr>
          <w:t>貳、本會期會務概況</w:t>
        </w:r>
        <w:r w:rsidR="00755C46" w:rsidRPr="00755C46">
          <w:rPr>
            <w:b w:val="0"/>
            <w:webHidden/>
            <w:sz w:val="28"/>
            <w:szCs w:val="28"/>
          </w:rPr>
          <w:tab/>
        </w:r>
        <w:r w:rsidR="00755C46" w:rsidRPr="00755C46">
          <w:rPr>
            <w:b w:val="0"/>
            <w:webHidden/>
            <w:sz w:val="28"/>
            <w:szCs w:val="28"/>
          </w:rPr>
          <w:fldChar w:fldCharType="begin"/>
        </w:r>
        <w:r w:rsidR="00755C46" w:rsidRPr="00755C46">
          <w:rPr>
            <w:b w:val="0"/>
            <w:webHidden/>
            <w:sz w:val="28"/>
            <w:szCs w:val="28"/>
          </w:rPr>
          <w:instrText xml:space="preserve"> PAGEREF _Toc126068111 \h </w:instrText>
        </w:r>
        <w:r w:rsidR="00755C46" w:rsidRPr="00755C46">
          <w:rPr>
            <w:b w:val="0"/>
            <w:webHidden/>
            <w:sz w:val="28"/>
            <w:szCs w:val="28"/>
          </w:rPr>
        </w:r>
        <w:r w:rsidR="00755C46" w:rsidRPr="00755C46">
          <w:rPr>
            <w:b w:val="0"/>
            <w:webHidden/>
            <w:sz w:val="28"/>
            <w:szCs w:val="28"/>
          </w:rPr>
          <w:fldChar w:fldCharType="separate"/>
        </w:r>
        <w:r w:rsidR="00A871B0">
          <w:rPr>
            <w:b w:val="0"/>
            <w:webHidden/>
            <w:sz w:val="28"/>
            <w:szCs w:val="28"/>
          </w:rPr>
          <w:t>2</w:t>
        </w:r>
        <w:r w:rsidR="00755C46" w:rsidRPr="00755C46">
          <w:rPr>
            <w:b w:val="0"/>
            <w:webHidden/>
            <w:sz w:val="28"/>
            <w:szCs w:val="28"/>
          </w:rPr>
          <w:fldChar w:fldCharType="end"/>
        </w:r>
      </w:hyperlink>
    </w:p>
    <w:p w:rsidR="00755C46" w:rsidRDefault="00641E57" w:rsidP="00755C46">
      <w:pPr>
        <w:pStyle w:val="21"/>
        <w:rPr>
          <w:rFonts w:asciiTheme="minorHAnsi" w:eastAsiaTheme="minorEastAsia" w:hAnsiTheme="minorHAnsi" w:cstheme="minorBidi"/>
          <w:sz w:val="24"/>
          <w:szCs w:val="22"/>
        </w:rPr>
      </w:pPr>
      <w:hyperlink w:anchor="_Toc126068112" w:history="1">
        <w:r w:rsidR="00755C46" w:rsidRPr="0079737D">
          <w:rPr>
            <w:rStyle w:val="ab"/>
            <w:rFonts w:hint="eastAsia"/>
          </w:rPr>
          <w:t>一、會務概況一覽表</w:t>
        </w:r>
        <w:r w:rsidR="00755C46">
          <w:rPr>
            <w:webHidden/>
          </w:rPr>
          <w:tab/>
        </w:r>
        <w:r w:rsidR="00755C46">
          <w:rPr>
            <w:webHidden/>
          </w:rPr>
          <w:fldChar w:fldCharType="begin"/>
        </w:r>
        <w:r w:rsidR="00755C46">
          <w:rPr>
            <w:webHidden/>
          </w:rPr>
          <w:instrText xml:space="preserve"> PAGEREF _Toc126068112 \h </w:instrText>
        </w:r>
        <w:r w:rsidR="00755C46">
          <w:rPr>
            <w:webHidden/>
          </w:rPr>
        </w:r>
        <w:r w:rsidR="00755C46">
          <w:rPr>
            <w:webHidden/>
          </w:rPr>
          <w:fldChar w:fldCharType="separate"/>
        </w:r>
        <w:r w:rsidR="00A871B0">
          <w:rPr>
            <w:webHidden/>
          </w:rPr>
          <w:t>2</w:t>
        </w:r>
        <w:r w:rsidR="00755C46">
          <w:rPr>
            <w:webHidden/>
          </w:rPr>
          <w:fldChar w:fldCharType="end"/>
        </w:r>
      </w:hyperlink>
    </w:p>
    <w:p w:rsidR="00755C46" w:rsidRDefault="00641E57" w:rsidP="00755C46">
      <w:pPr>
        <w:pStyle w:val="21"/>
        <w:rPr>
          <w:rFonts w:asciiTheme="minorHAnsi" w:eastAsiaTheme="minorEastAsia" w:hAnsiTheme="minorHAnsi" w:cstheme="minorBidi"/>
          <w:sz w:val="24"/>
          <w:szCs w:val="22"/>
        </w:rPr>
      </w:pPr>
      <w:hyperlink w:anchor="_Toc126068113" w:history="1">
        <w:r w:rsidR="00755C46" w:rsidRPr="0079737D">
          <w:rPr>
            <w:rStyle w:val="ab"/>
            <w:rFonts w:hint="eastAsia"/>
          </w:rPr>
          <w:t>二、公聽會</w:t>
        </w:r>
        <w:r w:rsidR="00755C46">
          <w:rPr>
            <w:webHidden/>
          </w:rPr>
          <w:tab/>
        </w:r>
        <w:r w:rsidR="00755C46">
          <w:rPr>
            <w:webHidden/>
          </w:rPr>
          <w:fldChar w:fldCharType="begin"/>
        </w:r>
        <w:r w:rsidR="00755C46">
          <w:rPr>
            <w:webHidden/>
          </w:rPr>
          <w:instrText xml:space="preserve"> PAGEREF _Toc126068113 \h </w:instrText>
        </w:r>
        <w:r w:rsidR="00755C46">
          <w:rPr>
            <w:webHidden/>
          </w:rPr>
        </w:r>
        <w:r w:rsidR="00755C46">
          <w:rPr>
            <w:webHidden/>
          </w:rPr>
          <w:fldChar w:fldCharType="separate"/>
        </w:r>
        <w:r w:rsidR="00A871B0">
          <w:rPr>
            <w:webHidden/>
          </w:rPr>
          <w:t>18</w:t>
        </w:r>
        <w:r w:rsidR="00755C46">
          <w:rPr>
            <w:webHidden/>
          </w:rPr>
          <w:fldChar w:fldCharType="end"/>
        </w:r>
      </w:hyperlink>
    </w:p>
    <w:p w:rsidR="00755C46" w:rsidRDefault="00641E57" w:rsidP="00755C46">
      <w:pPr>
        <w:pStyle w:val="21"/>
        <w:rPr>
          <w:rFonts w:asciiTheme="minorHAnsi" w:eastAsiaTheme="minorEastAsia" w:hAnsiTheme="minorHAnsi" w:cstheme="minorBidi"/>
          <w:sz w:val="24"/>
          <w:szCs w:val="22"/>
        </w:rPr>
      </w:pPr>
      <w:hyperlink w:anchor="_Toc126068114" w:history="1">
        <w:r w:rsidR="00755C46" w:rsidRPr="0079737D">
          <w:rPr>
            <w:rStyle w:val="ab"/>
            <w:rFonts w:hint="eastAsia"/>
          </w:rPr>
          <w:t>三、考察活動</w:t>
        </w:r>
        <w:r w:rsidR="00755C46">
          <w:rPr>
            <w:webHidden/>
          </w:rPr>
          <w:tab/>
        </w:r>
        <w:r w:rsidR="00755C46">
          <w:rPr>
            <w:webHidden/>
          </w:rPr>
          <w:fldChar w:fldCharType="begin"/>
        </w:r>
        <w:r w:rsidR="00755C46">
          <w:rPr>
            <w:webHidden/>
          </w:rPr>
          <w:instrText xml:space="preserve"> PAGEREF _Toc126068114 \h </w:instrText>
        </w:r>
        <w:r w:rsidR="00755C46">
          <w:rPr>
            <w:webHidden/>
          </w:rPr>
        </w:r>
        <w:r w:rsidR="00755C46">
          <w:rPr>
            <w:webHidden/>
          </w:rPr>
          <w:fldChar w:fldCharType="separate"/>
        </w:r>
        <w:r w:rsidR="00A871B0">
          <w:rPr>
            <w:webHidden/>
          </w:rPr>
          <w:t>20</w:t>
        </w:r>
        <w:r w:rsidR="00755C46">
          <w:rPr>
            <w:webHidden/>
          </w:rPr>
          <w:fldChar w:fldCharType="end"/>
        </w:r>
      </w:hyperlink>
    </w:p>
    <w:p w:rsidR="00755C46" w:rsidRDefault="00641E57" w:rsidP="00755C46">
      <w:pPr>
        <w:pStyle w:val="21"/>
        <w:rPr>
          <w:rFonts w:asciiTheme="minorHAnsi" w:eastAsiaTheme="minorEastAsia" w:hAnsiTheme="minorHAnsi" w:cstheme="minorBidi"/>
          <w:sz w:val="24"/>
          <w:szCs w:val="22"/>
        </w:rPr>
      </w:pPr>
      <w:hyperlink w:anchor="_Toc126068115" w:history="1">
        <w:r w:rsidR="00755C46" w:rsidRPr="0079737D">
          <w:rPr>
            <w:rStyle w:val="ab"/>
            <w:rFonts w:hint="eastAsia"/>
          </w:rPr>
          <w:t>四、本會期本會各項議案審竣統計表</w:t>
        </w:r>
        <w:r w:rsidR="00755C46">
          <w:rPr>
            <w:webHidden/>
          </w:rPr>
          <w:tab/>
        </w:r>
        <w:r w:rsidR="00755C46">
          <w:rPr>
            <w:webHidden/>
          </w:rPr>
          <w:fldChar w:fldCharType="begin"/>
        </w:r>
        <w:r w:rsidR="00755C46">
          <w:rPr>
            <w:webHidden/>
          </w:rPr>
          <w:instrText xml:space="preserve"> PAGEREF _Toc126068115 \h </w:instrText>
        </w:r>
        <w:r w:rsidR="00755C46">
          <w:rPr>
            <w:webHidden/>
          </w:rPr>
        </w:r>
        <w:r w:rsidR="00755C46">
          <w:rPr>
            <w:webHidden/>
          </w:rPr>
          <w:fldChar w:fldCharType="separate"/>
        </w:r>
        <w:r w:rsidR="00A871B0">
          <w:rPr>
            <w:webHidden/>
          </w:rPr>
          <w:t>26</w:t>
        </w:r>
        <w:r w:rsidR="00755C46">
          <w:rPr>
            <w:webHidden/>
          </w:rPr>
          <w:fldChar w:fldCharType="end"/>
        </w:r>
      </w:hyperlink>
    </w:p>
    <w:p w:rsidR="00755C46" w:rsidRDefault="00641E57" w:rsidP="00755C46">
      <w:pPr>
        <w:pStyle w:val="21"/>
        <w:rPr>
          <w:rFonts w:asciiTheme="minorHAnsi" w:eastAsiaTheme="minorEastAsia" w:hAnsiTheme="minorHAnsi" w:cstheme="minorBidi"/>
          <w:sz w:val="24"/>
          <w:szCs w:val="22"/>
        </w:rPr>
      </w:pPr>
      <w:hyperlink w:anchor="_Toc126068116" w:history="1">
        <w:r w:rsidR="00755C46" w:rsidRPr="0079737D">
          <w:rPr>
            <w:rStyle w:val="ab"/>
            <w:rFonts w:hint="eastAsia"/>
          </w:rPr>
          <w:t>五、各會期院會通過各項議案統計表</w:t>
        </w:r>
        <w:r w:rsidR="00755C46">
          <w:rPr>
            <w:webHidden/>
          </w:rPr>
          <w:tab/>
        </w:r>
        <w:r w:rsidR="00755C46">
          <w:rPr>
            <w:webHidden/>
          </w:rPr>
          <w:fldChar w:fldCharType="begin"/>
        </w:r>
        <w:r w:rsidR="00755C46">
          <w:rPr>
            <w:webHidden/>
          </w:rPr>
          <w:instrText xml:space="preserve"> PAGEREF _Toc126068116 \h </w:instrText>
        </w:r>
        <w:r w:rsidR="00755C46">
          <w:rPr>
            <w:webHidden/>
          </w:rPr>
        </w:r>
        <w:r w:rsidR="00755C46">
          <w:rPr>
            <w:webHidden/>
          </w:rPr>
          <w:fldChar w:fldCharType="separate"/>
        </w:r>
        <w:r w:rsidR="00A871B0">
          <w:rPr>
            <w:webHidden/>
          </w:rPr>
          <w:t>27</w:t>
        </w:r>
        <w:r w:rsidR="00755C46">
          <w:rPr>
            <w:webHidden/>
          </w:rPr>
          <w:fldChar w:fldCharType="end"/>
        </w:r>
      </w:hyperlink>
    </w:p>
    <w:p w:rsidR="00755C46" w:rsidRDefault="00641E57">
      <w:pPr>
        <w:pStyle w:val="11"/>
        <w:rPr>
          <w:rFonts w:asciiTheme="minorHAnsi" w:eastAsiaTheme="minorEastAsia" w:hAnsiTheme="minorHAnsi" w:cstheme="minorBidi"/>
          <w:b w:val="0"/>
          <w:bCs w:val="0"/>
          <w:kern w:val="2"/>
          <w:sz w:val="24"/>
          <w:szCs w:val="22"/>
        </w:rPr>
      </w:pPr>
      <w:hyperlink w:anchor="_Toc126068117" w:history="1">
        <w:r w:rsidR="00755C46" w:rsidRPr="0079737D">
          <w:rPr>
            <w:rStyle w:val="ab"/>
            <w:rFonts w:hint="eastAsia"/>
          </w:rPr>
          <w:t>參、本會期審查</w:t>
        </w:r>
        <w:r w:rsidR="00755C46" w:rsidRPr="0079737D">
          <w:rPr>
            <w:rStyle w:val="ab"/>
          </w:rPr>
          <w:t>(</w:t>
        </w:r>
        <w:r w:rsidR="00755C46" w:rsidRPr="0079737D">
          <w:rPr>
            <w:rStyle w:val="ab"/>
            <w:rFonts w:hint="eastAsia"/>
          </w:rPr>
          <w:t>處理</w:t>
        </w:r>
        <w:r w:rsidR="00755C46" w:rsidRPr="0079737D">
          <w:rPr>
            <w:rStyle w:val="ab"/>
          </w:rPr>
          <w:t>)</w:t>
        </w:r>
        <w:r w:rsidR="00755C46" w:rsidRPr="0079737D">
          <w:rPr>
            <w:rStyle w:val="ab"/>
            <w:rFonts w:hint="eastAsia"/>
          </w:rPr>
          <w:t>完竣議案</w:t>
        </w:r>
        <w:r w:rsidR="00755C46" w:rsidRPr="0079737D">
          <w:rPr>
            <w:rStyle w:val="ab"/>
          </w:rPr>
          <w:t>(</w:t>
        </w:r>
        <w:r w:rsidR="00755C46" w:rsidRPr="0079737D">
          <w:rPr>
            <w:rStyle w:val="ab"/>
            <w:rFonts w:hint="eastAsia"/>
          </w:rPr>
          <w:t>含逕付二讀</w:t>
        </w:r>
        <w:r w:rsidR="00755C46" w:rsidRPr="0079737D">
          <w:rPr>
            <w:rStyle w:val="ab"/>
          </w:rPr>
          <w:t>) (137</w:t>
        </w:r>
        <w:r w:rsidR="00755C46" w:rsidRPr="0079737D">
          <w:rPr>
            <w:rStyle w:val="ab"/>
            <w:rFonts w:hint="eastAsia"/>
          </w:rPr>
          <w:t>案</w:t>
        </w:r>
        <w:r w:rsidR="00755C46" w:rsidRPr="0079737D">
          <w:rPr>
            <w:rStyle w:val="ab"/>
          </w:rPr>
          <w:t>)</w:t>
        </w:r>
        <w:r w:rsidR="00755C46" w:rsidRPr="00755C46">
          <w:rPr>
            <w:b w:val="0"/>
            <w:webHidden/>
            <w:sz w:val="28"/>
            <w:szCs w:val="28"/>
          </w:rPr>
          <w:tab/>
        </w:r>
        <w:r w:rsidR="00755C46" w:rsidRPr="00755C46">
          <w:rPr>
            <w:b w:val="0"/>
            <w:webHidden/>
            <w:sz w:val="28"/>
            <w:szCs w:val="28"/>
          </w:rPr>
          <w:fldChar w:fldCharType="begin"/>
        </w:r>
        <w:r w:rsidR="00755C46" w:rsidRPr="00755C46">
          <w:rPr>
            <w:b w:val="0"/>
            <w:webHidden/>
            <w:sz w:val="28"/>
            <w:szCs w:val="28"/>
          </w:rPr>
          <w:instrText xml:space="preserve"> PAGEREF _Toc126068117 \h </w:instrText>
        </w:r>
        <w:r w:rsidR="00755C46" w:rsidRPr="00755C46">
          <w:rPr>
            <w:b w:val="0"/>
            <w:webHidden/>
            <w:sz w:val="28"/>
            <w:szCs w:val="28"/>
          </w:rPr>
        </w:r>
        <w:r w:rsidR="00755C46" w:rsidRPr="00755C46">
          <w:rPr>
            <w:b w:val="0"/>
            <w:webHidden/>
            <w:sz w:val="28"/>
            <w:szCs w:val="28"/>
          </w:rPr>
          <w:fldChar w:fldCharType="separate"/>
        </w:r>
        <w:r w:rsidR="00A871B0">
          <w:rPr>
            <w:b w:val="0"/>
            <w:webHidden/>
            <w:sz w:val="28"/>
            <w:szCs w:val="28"/>
          </w:rPr>
          <w:t>28</w:t>
        </w:r>
        <w:r w:rsidR="00755C46" w:rsidRPr="00755C46">
          <w:rPr>
            <w:b w:val="0"/>
            <w:webHidden/>
            <w:sz w:val="28"/>
            <w:szCs w:val="28"/>
          </w:rPr>
          <w:fldChar w:fldCharType="end"/>
        </w:r>
      </w:hyperlink>
    </w:p>
    <w:p w:rsidR="00755C46" w:rsidRDefault="00641E57" w:rsidP="00755C46">
      <w:pPr>
        <w:pStyle w:val="21"/>
        <w:rPr>
          <w:rFonts w:asciiTheme="minorHAnsi" w:eastAsiaTheme="minorEastAsia" w:hAnsiTheme="minorHAnsi" w:cstheme="minorBidi"/>
          <w:sz w:val="24"/>
          <w:szCs w:val="22"/>
        </w:rPr>
      </w:pPr>
      <w:hyperlink w:anchor="_Toc126068118" w:history="1">
        <w:r w:rsidR="00755C46" w:rsidRPr="0079737D">
          <w:rPr>
            <w:rStyle w:val="ab"/>
            <w:rFonts w:hint="eastAsia"/>
          </w:rPr>
          <w:t>一、預</w:t>
        </w:r>
        <w:r w:rsidR="00755C46" w:rsidRPr="0079737D">
          <w:rPr>
            <w:rStyle w:val="ab"/>
          </w:rPr>
          <w:t>(</w:t>
        </w:r>
        <w:r w:rsidR="00755C46" w:rsidRPr="0079737D">
          <w:rPr>
            <w:rStyle w:val="ab"/>
            <w:rFonts w:hint="eastAsia"/>
          </w:rPr>
          <w:t>決</w:t>
        </w:r>
        <w:r w:rsidR="00755C46" w:rsidRPr="0079737D">
          <w:rPr>
            <w:rStyle w:val="ab"/>
          </w:rPr>
          <w:t>)</w:t>
        </w:r>
        <w:r w:rsidR="00755C46" w:rsidRPr="0079737D">
          <w:rPr>
            <w:rStyle w:val="ab"/>
            <w:rFonts w:hint="eastAsia"/>
          </w:rPr>
          <w:t>算案（</w:t>
        </w:r>
        <w:r w:rsidR="00755C46" w:rsidRPr="0079737D">
          <w:rPr>
            <w:rStyle w:val="ab"/>
          </w:rPr>
          <w:t>20</w:t>
        </w:r>
        <w:r w:rsidR="00755C46" w:rsidRPr="0079737D">
          <w:rPr>
            <w:rStyle w:val="ab"/>
            <w:rFonts w:hint="eastAsia"/>
          </w:rPr>
          <w:t>案）</w:t>
        </w:r>
        <w:r w:rsidR="00755C46">
          <w:rPr>
            <w:webHidden/>
          </w:rPr>
          <w:tab/>
        </w:r>
        <w:r w:rsidR="00755C46">
          <w:rPr>
            <w:webHidden/>
          </w:rPr>
          <w:fldChar w:fldCharType="begin"/>
        </w:r>
        <w:r w:rsidR="00755C46">
          <w:rPr>
            <w:webHidden/>
          </w:rPr>
          <w:instrText xml:space="preserve"> PAGEREF _Toc126068118 \h </w:instrText>
        </w:r>
        <w:r w:rsidR="00755C46">
          <w:rPr>
            <w:webHidden/>
          </w:rPr>
        </w:r>
        <w:r w:rsidR="00755C46">
          <w:rPr>
            <w:webHidden/>
          </w:rPr>
          <w:fldChar w:fldCharType="separate"/>
        </w:r>
        <w:r w:rsidR="00A871B0">
          <w:rPr>
            <w:webHidden/>
          </w:rPr>
          <w:t>28</w:t>
        </w:r>
        <w:r w:rsidR="00755C46">
          <w:rPr>
            <w:webHidden/>
          </w:rPr>
          <w:fldChar w:fldCharType="end"/>
        </w:r>
      </w:hyperlink>
    </w:p>
    <w:p w:rsidR="00755C46" w:rsidRDefault="00641E57" w:rsidP="00755C46">
      <w:pPr>
        <w:pStyle w:val="31"/>
        <w:rPr>
          <w:rFonts w:asciiTheme="minorHAnsi" w:eastAsiaTheme="minorEastAsia" w:hAnsiTheme="minorHAnsi" w:cstheme="minorBidi"/>
          <w:color w:val="auto"/>
          <w:spacing w:val="0"/>
          <w:sz w:val="24"/>
          <w:szCs w:val="22"/>
        </w:rPr>
      </w:pPr>
      <w:hyperlink w:anchor="_Toc126068119" w:history="1">
        <w:r w:rsidR="00755C46" w:rsidRPr="0079737D">
          <w:rPr>
            <w:rStyle w:val="ab"/>
          </w:rPr>
          <w:t>(</w:t>
        </w:r>
        <w:r w:rsidR="00755C46" w:rsidRPr="0079737D">
          <w:rPr>
            <w:rStyle w:val="ab"/>
            <w:rFonts w:hint="eastAsia"/>
          </w:rPr>
          <w:t>一</w:t>
        </w:r>
        <w:r w:rsidR="00755C46" w:rsidRPr="0079737D">
          <w:rPr>
            <w:rStyle w:val="ab"/>
          </w:rPr>
          <w:t>)112</w:t>
        </w:r>
        <w:r w:rsidR="00755C46" w:rsidRPr="0079737D">
          <w:rPr>
            <w:rStyle w:val="ab"/>
            <w:rFonts w:hint="eastAsia"/>
          </w:rPr>
          <w:t>年度中央政府總預算案</w:t>
        </w:r>
        <w:r w:rsidR="00755C46" w:rsidRPr="0079737D">
          <w:rPr>
            <w:rStyle w:val="ab"/>
          </w:rPr>
          <w:t xml:space="preserve"> (2</w:t>
        </w:r>
        <w:r w:rsidR="00755C46" w:rsidRPr="0079737D">
          <w:rPr>
            <w:rStyle w:val="ab"/>
            <w:rFonts w:hint="eastAsia"/>
          </w:rPr>
          <w:t>案</w:t>
        </w:r>
        <w:r w:rsidR="00755C46" w:rsidRPr="0079737D">
          <w:rPr>
            <w:rStyle w:val="ab"/>
          </w:rPr>
          <w:t>)</w:t>
        </w:r>
        <w:r w:rsidR="00755C46">
          <w:rPr>
            <w:webHidden/>
          </w:rPr>
          <w:tab/>
        </w:r>
        <w:r w:rsidR="00755C46">
          <w:rPr>
            <w:webHidden/>
          </w:rPr>
          <w:fldChar w:fldCharType="begin"/>
        </w:r>
        <w:r w:rsidR="00755C46">
          <w:rPr>
            <w:webHidden/>
          </w:rPr>
          <w:instrText xml:space="preserve"> PAGEREF _Toc126068119 \h </w:instrText>
        </w:r>
        <w:r w:rsidR="00755C46">
          <w:rPr>
            <w:webHidden/>
          </w:rPr>
        </w:r>
        <w:r w:rsidR="00755C46">
          <w:rPr>
            <w:webHidden/>
          </w:rPr>
          <w:fldChar w:fldCharType="separate"/>
        </w:r>
        <w:r w:rsidR="00A871B0">
          <w:rPr>
            <w:webHidden/>
          </w:rPr>
          <w:t>28</w:t>
        </w:r>
        <w:r w:rsidR="00755C46">
          <w:rPr>
            <w:webHidden/>
          </w:rPr>
          <w:fldChar w:fldCharType="end"/>
        </w:r>
      </w:hyperlink>
    </w:p>
    <w:p w:rsidR="00755C46" w:rsidRDefault="00755C46" w:rsidP="00755C46">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26068120" w:history="1">
        <w:r w:rsidRPr="0079737D">
          <w:rPr>
            <w:rStyle w:val="ab"/>
          </w:rPr>
          <w:t>1.</w:t>
        </w:r>
        <w:r w:rsidRPr="0079737D">
          <w:rPr>
            <w:rStyle w:val="ab"/>
            <w:rFonts w:hint="eastAsia"/>
          </w:rPr>
          <w:t>尚待院會通過</w:t>
        </w:r>
        <w:r w:rsidRPr="0079737D">
          <w:rPr>
            <w:rStyle w:val="ab"/>
          </w:rPr>
          <w:t>(</w:t>
        </w:r>
        <w:r w:rsidRPr="0079737D">
          <w:rPr>
            <w:rStyle w:val="ab"/>
            <w:rFonts w:hint="eastAsia"/>
          </w:rPr>
          <w:t>非營業基金預算</w:t>
        </w:r>
        <w:r w:rsidRPr="0079737D">
          <w:rPr>
            <w:rStyle w:val="ab"/>
          </w:rPr>
          <w:t>) (1</w:t>
        </w:r>
        <w:r w:rsidRPr="0079737D">
          <w:rPr>
            <w:rStyle w:val="ab"/>
            <w:rFonts w:hint="eastAsia"/>
          </w:rPr>
          <w:t>案</w:t>
        </w:r>
        <w:r w:rsidRPr="0079737D">
          <w:rPr>
            <w:rStyle w:val="ab"/>
          </w:rPr>
          <w:t>)</w:t>
        </w:r>
        <w:r>
          <w:rPr>
            <w:webHidden/>
          </w:rPr>
          <w:tab/>
        </w:r>
        <w:r>
          <w:rPr>
            <w:webHidden/>
          </w:rPr>
          <w:fldChar w:fldCharType="begin"/>
        </w:r>
        <w:r>
          <w:rPr>
            <w:webHidden/>
          </w:rPr>
          <w:instrText xml:space="preserve"> PAGEREF _Toc126068120 \h </w:instrText>
        </w:r>
        <w:r>
          <w:rPr>
            <w:webHidden/>
          </w:rPr>
        </w:r>
        <w:r>
          <w:rPr>
            <w:webHidden/>
          </w:rPr>
          <w:fldChar w:fldCharType="separate"/>
        </w:r>
        <w:r w:rsidR="00A871B0">
          <w:rPr>
            <w:webHidden/>
          </w:rPr>
          <w:t>28</w:t>
        </w:r>
        <w:r>
          <w:rPr>
            <w:webHidden/>
          </w:rPr>
          <w:fldChar w:fldCharType="end"/>
        </w:r>
      </w:hyperlink>
    </w:p>
    <w:p w:rsidR="00755C46" w:rsidRDefault="00755C46" w:rsidP="00755C46">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26068121" w:history="1">
        <w:r w:rsidRPr="0079737D">
          <w:rPr>
            <w:rStyle w:val="ab"/>
          </w:rPr>
          <w:t>2.</w:t>
        </w:r>
        <w:r w:rsidRPr="0079737D">
          <w:rPr>
            <w:rStyle w:val="ab"/>
            <w:rFonts w:hint="eastAsia"/>
          </w:rPr>
          <w:t>院會通過</w:t>
        </w:r>
        <w:r w:rsidRPr="0079737D">
          <w:rPr>
            <w:rStyle w:val="ab"/>
          </w:rPr>
          <w:t>(</w:t>
        </w:r>
        <w:r w:rsidRPr="0079737D">
          <w:rPr>
            <w:rStyle w:val="ab"/>
            <w:rFonts w:hint="eastAsia"/>
          </w:rPr>
          <w:t>公務預算</w:t>
        </w:r>
        <w:r w:rsidRPr="0079737D">
          <w:rPr>
            <w:rStyle w:val="ab"/>
          </w:rPr>
          <w:t>) (1</w:t>
        </w:r>
        <w:r w:rsidRPr="0079737D">
          <w:rPr>
            <w:rStyle w:val="ab"/>
            <w:rFonts w:hint="eastAsia"/>
          </w:rPr>
          <w:t>案</w:t>
        </w:r>
        <w:r w:rsidRPr="0079737D">
          <w:rPr>
            <w:rStyle w:val="ab"/>
          </w:rPr>
          <w:t>)</w:t>
        </w:r>
        <w:r>
          <w:rPr>
            <w:webHidden/>
          </w:rPr>
          <w:tab/>
        </w:r>
        <w:r>
          <w:rPr>
            <w:webHidden/>
          </w:rPr>
          <w:fldChar w:fldCharType="begin"/>
        </w:r>
        <w:r>
          <w:rPr>
            <w:webHidden/>
          </w:rPr>
          <w:instrText xml:space="preserve"> PAGEREF _Toc126068121 \h </w:instrText>
        </w:r>
        <w:r>
          <w:rPr>
            <w:webHidden/>
          </w:rPr>
        </w:r>
        <w:r>
          <w:rPr>
            <w:webHidden/>
          </w:rPr>
          <w:fldChar w:fldCharType="separate"/>
        </w:r>
        <w:r w:rsidR="00A871B0">
          <w:rPr>
            <w:webHidden/>
          </w:rPr>
          <w:t>29</w:t>
        </w:r>
        <w:r>
          <w:rPr>
            <w:webHidden/>
          </w:rPr>
          <w:fldChar w:fldCharType="end"/>
        </w:r>
      </w:hyperlink>
    </w:p>
    <w:p w:rsidR="00755C46" w:rsidRDefault="00641E57" w:rsidP="00755C46">
      <w:pPr>
        <w:pStyle w:val="31"/>
        <w:rPr>
          <w:rFonts w:asciiTheme="minorHAnsi" w:eastAsiaTheme="minorEastAsia" w:hAnsiTheme="minorHAnsi" w:cstheme="minorBidi"/>
          <w:color w:val="auto"/>
          <w:spacing w:val="0"/>
          <w:sz w:val="24"/>
          <w:szCs w:val="22"/>
        </w:rPr>
      </w:pPr>
      <w:hyperlink w:anchor="_Toc126068122" w:history="1">
        <w:r w:rsidR="00755C46" w:rsidRPr="0079737D">
          <w:rPr>
            <w:rStyle w:val="ab"/>
          </w:rPr>
          <w:t>(</w:t>
        </w:r>
        <w:r w:rsidR="00755C46" w:rsidRPr="0079737D">
          <w:rPr>
            <w:rStyle w:val="ab"/>
            <w:rFonts w:hint="eastAsia"/>
          </w:rPr>
          <w:t>二</w:t>
        </w:r>
        <w:r w:rsidR="00755C46" w:rsidRPr="0079737D">
          <w:rPr>
            <w:rStyle w:val="ab"/>
          </w:rPr>
          <w:t>)</w:t>
        </w:r>
        <w:r w:rsidR="00755C46" w:rsidRPr="0079737D">
          <w:rPr>
            <w:rStyle w:val="ab"/>
            <w:rFonts w:hint="eastAsia"/>
          </w:rPr>
          <w:t>行政法人預算案</w:t>
        </w:r>
        <w:r w:rsidR="00755C46" w:rsidRPr="0079737D">
          <w:rPr>
            <w:rStyle w:val="ab"/>
          </w:rPr>
          <w:t xml:space="preserve"> (3</w:t>
        </w:r>
        <w:r w:rsidR="00755C46" w:rsidRPr="0079737D">
          <w:rPr>
            <w:rStyle w:val="ab"/>
            <w:rFonts w:hint="eastAsia"/>
          </w:rPr>
          <w:t>案</w:t>
        </w:r>
        <w:r w:rsidR="00755C46" w:rsidRPr="0079737D">
          <w:rPr>
            <w:rStyle w:val="ab"/>
          </w:rPr>
          <w:t>)</w:t>
        </w:r>
        <w:r w:rsidR="00755C46">
          <w:rPr>
            <w:webHidden/>
          </w:rPr>
          <w:tab/>
        </w:r>
        <w:r w:rsidR="00755C46">
          <w:rPr>
            <w:webHidden/>
          </w:rPr>
          <w:fldChar w:fldCharType="begin"/>
        </w:r>
        <w:r w:rsidR="00755C46">
          <w:rPr>
            <w:webHidden/>
          </w:rPr>
          <w:instrText xml:space="preserve"> PAGEREF _Toc126068122 \h </w:instrText>
        </w:r>
        <w:r w:rsidR="00755C46">
          <w:rPr>
            <w:webHidden/>
          </w:rPr>
        </w:r>
        <w:r w:rsidR="00755C46">
          <w:rPr>
            <w:webHidden/>
          </w:rPr>
          <w:fldChar w:fldCharType="separate"/>
        </w:r>
        <w:r w:rsidR="00A871B0">
          <w:rPr>
            <w:webHidden/>
          </w:rPr>
          <w:t>31</w:t>
        </w:r>
        <w:r w:rsidR="00755C46">
          <w:rPr>
            <w:webHidden/>
          </w:rPr>
          <w:fldChar w:fldCharType="end"/>
        </w:r>
      </w:hyperlink>
    </w:p>
    <w:p w:rsidR="00755C46" w:rsidRDefault="00641E57" w:rsidP="00755C46">
      <w:pPr>
        <w:pStyle w:val="31"/>
        <w:rPr>
          <w:rFonts w:asciiTheme="minorHAnsi" w:eastAsiaTheme="minorEastAsia" w:hAnsiTheme="minorHAnsi" w:cstheme="minorBidi"/>
          <w:color w:val="auto"/>
          <w:spacing w:val="0"/>
          <w:sz w:val="24"/>
          <w:szCs w:val="22"/>
        </w:rPr>
      </w:pPr>
      <w:hyperlink w:anchor="_Toc126068123" w:history="1">
        <w:r w:rsidR="00755C46" w:rsidRPr="0079737D">
          <w:rPr>
            <w:rStyle w:val="ab"/>
          </w:rPr>
          <w:t>(</w:t>
        </w:r>
        <w:r w:rsidR="00755C46" w:rsidRPr="0079737D">
          <w:rPr>
            <w:rStyle w:val="ab"/>
            <w:rFonts w:hint="eastAsia"/>
          </w:rPr>
          <w:t>三</w:t>
        </w:r>
        <w:r w:rsidR="00755C46" w:rsidRPr="0079737D">
          <w:rPr>
            <w:rStyle w:val="ab"/>
          </w:rPr>
          <w:t>)</w:t>
        </w:r>
        <w:r w:rsidR="00755C46" w:rsidRPr="0079737D">
          <w:rPr>
            <w:rStyle w:val="ab"/>
            <w:rFonts w:hint="eastAsia"/>
          </w:rPr>
          <w:t>財團法人預決算案</w:t>
        </w:r>
        <w:r w:rsidR="00755C46" w:rsidRPr="0079737D">
          <w:rPr>
            <w:rStyle w:val="ab"/>
          </w:rPr>
          <w:t xml:space="preserve"> (8</w:t>
        </w:r>
        <w:r w:rsidR="00755C46" w:rsidRPr="0079737D">
          <w:rPr>
            <w:rStyle w:val="ab"/>
            <w:rFonts w:hint="eastAsia"/>
          </w:rPr>
          <w:t>案</w:t>
        </w:r>
        <w:r w:rsidR="00755C46" w:rsidRPr="0079737D">
          <w:rPr>
            <w:rStyle w:val="ab"/>
          </w:rPr>
          <w:t>)</w:t>
        </w:r>
        <w:r w:rsidR="00755C46">
          <w:rPr>
            <w:webHidden/>
          </w:rPr>
          <w:tab/>
        </w:r>
        <w:r w:rsidR="00755C46">
          <w:rPr>
            <w:webHidden/>
          </w:rPr>
          <w:fldChar w:fldCharType="begin"/>
        </w:r>
        <w:r w:rsidR="00755C46">
          <w:rPr>
            <w:webHidden/>
          </w:rPr>
          <w:instrText xml:space="preserve"> PAGEREF _Toc126068123 \h </w:instrText>
        </w:r>
        <w:r w:rsidR="00755C46">
          <w:rPr>
            <w:webHidden/>
          </w:rPr>
        </w:r>
        <w:r w:rsidR="00755C46">
          <w:rPr>
            <w:webHidden/>
          </w:rPr>
          <w:fldChar w:fldCharType="separate"/>
        </w:r>
        <w:r w:rsidR="00A871B0">
          <w:rPr>
            <w:webHidden/>
          </w:rPr>
          <w:t>31</w:t>
        </w:r>
        <w:r w:rsidR="00755C46">
          <w:rPr>
            <w:webHidden/>
          </w:rPr>
          <w:fldChar w:fldCharType="end"/>
        </w:r>
      </w:hyperlink>
    </w:p>
    <w:p w:rsidR="00755C46" w:rsidRDefault="00641E57" w:rsidP="00755C46">
      <w:pPr>
        <w:pStyle w:val="31"/>
        <w:rPr>
          <w:rFonts w:asciiTheme="minorHAnsi" w:eastAsiaTheme="minorEastAsia" w:hAnsiTheme="minorHAnsi" w:cstheme="minorBidi"/>
          <w:color w:val="auto"/>
          <w:spacing w:val="0"/>
          <w:sz w:val="24"/>
          <w:szCs w:val="22"/>
        </w:rPr>
      </w:pPr>
      <w:hyperlink w:anchor="_Toc126068124" w:history="1">
        <w:r w:rsidR="00755C46" w:rsidRPr="0079737D">
          <w:rPr>
            <w:rStyle w:val="ab"/>
          </w:rPr>
          <w:t>(</w:t>
        </w:r>
        <w:r w:rsidR="00755C46" w:rsidRPr="0079737D">
          <w:rPr>
            <w:rStyle w:val="ab"/>
            <w:rFonts w:hint="eastAsia"/>
          </w:rPr>
          <w:t>四</w:t>
        </w:r>
        <w:r w:rsidR="00755C46" w:rsidRPr="0079737D">
          <w:rPr>
            <w:rStyle w:val="ab"/>
          </w:rPr>
          <w:t>)</w:t>
        </w:r>
        <w:r w:rsidR="00755C46" w:rsidRPr="0079737D">
          <w:rPr>
            <w:rStyle w:val="ab"/>
            <w:rFonts w:hint="eastAsia"/>
          </w:rPr>
          <w:t>預算凍結案</w:t>
        </w:r>
        <w:r w:rsidR="00755C46" w:rsidRPr="0079737D">
          <w:rPr>
            <w:rStyle w:val="ab"/>
          </w:rPr>
          <w:t xml:space="preserve"> (7</w:t>
        </w:r>
        <w:r w:rsidR="00755C46" w:rsidRPr="0079737D">
          <w:rPr>
            <w:rStyle w:val="ab"/>
            <w:rFonts w:hint="eastAsia"/>
          </w:rPr>
          <w:t>案）</w:t>
        </w:r>
        <w:r w:rsidR="00755C46">
          <w:rPr>
            <w:webHidden/>
          </w:rPr>
          <w:tab/>
        </w:r>
        <w:r w:rsidR="00755C46">
          <w:rPr>
            <w:webHidden/>
          </w:rPr>
          <w:fldChar w:fldCharType="begin"/>
        </w:r>
        <w:r w:rsidR="00755C46">
          <w:rPr>
            <w:webHidden/>
          </w:rPr>
          <w:instrText xml:space="preserve"> PAGEREF _Toc126068124 \h </w:instrText>
        </w:r>
        <w:r w:rsidR="00755C46">
          <w:rPr>
            <w:webHidden/>
          </w:rPr>
        </w:r>
        <w:r w:rsidR="00755C46">
          <w:rPr>
            <w:webHidden/>
          </w:rPr>
          <w:fldChar w:fldCharType="separate"/>
        </w:r>
        <w:r w:rsidR="00A871B0">
          <w:rPr>
            <w:webHidden/>
          </w:rPr>
          <w:t>33</w:t>
        </w:r>
        <w:r w:rsidR="00755C46">
          <w:rPr>
            <w:webHidden/>
          </w:rPr>
          <w:fldChar w:fldCharType="end"/>
        </w:r>
      </w:hyperlink>
    </w:p>
    <w:p w:rsidR="00755C46" w:rsidRDefault="00755C46" w:rsidP="00755C46">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26068125" w:history="1">
        <w:r w:rsidRPr="0079737D">
          <w:rPr>
            <w:rStyle w:val="ab"/>
          </w:rPr>
          <w:t>1.</w:t>
        </w:r>
        <w:r w:rsidRPr="0079737D">
          <w:rPr>
            <w:rStyle w:val="ab"/>
            <w:rFonts w:hint="eastAsia"/>
          </w:rPr>
          <w:t>教育部</w:t>
        </w:r>
        <w:r w:rsidRPr="0079737D">
          <w:rPr>
            <w:rStyle w:val="ab"/>
          </w:rPr>
          <w:t xml:space="preserve"> (2</w:t>
        </w:r>
        <w:r w:rsidRPr="0079737D">
          <w:rPr>
            <w:rStyle w:val="ab"/>
            <w:rFonts w:hint="eastAsia"/>
          </w:rPr>
          <w:t>案）</w:t>
        </w:r>
        <w:r>
          <w:rPr>
            <w:webHidden/>
          </w:rPr>
          <w:tab/>
        </w:r>
        <w:r>
          <w:rPr>
            <w:webHidden/>
          </w:rPr>
          <w:fldChar w:fldCharType="begin"/>
        </w:r>
        <w:r>
          <w:rPr>
            <w:webHidden/>
          </w:rPr>
          <w:instrText xml:space="preserve"> PAGEREF _Toc126068125 \h </w:instrText>
        </w:r>
        <w:r>
          <w:rPr>
            <w:webHidden/>
          </w:rPr>
        </w:r>
        <w:r>
          <w:rPr>
            <w:webHidden/>
          </w:rPr>
          <w:fldChar w:fldCharType="separate"/>
        </w:r>
        <w:r w:rsidR="00A871B0">
          <w:rPr>
            <w:webHidden/>
          </w:rPr>
          <w:t>33</w:t>
        </w:r>
        <w:r>
          <w:rPr>
            <w:webHidden/>
          </w:rPr>
          <w:fldChar w:fldCharType="end"/>
        </w:r>
      </w:hyperlink>
    </w:p>
    <w:p w:rsidR="00755C46" w:rsidRDefault="00755C46" w:rsidP="00755C46">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26068126" w:history="1">
        <w:r w:rsidRPr="0079737D">
          <w:rPr>
            <w:rStyle w:val="ab"/>
          </w:rPr>
          <w:t>2.</w:t>
        </w:r>
        <w:r w:rsidRPr="0079737D">
          <w:rPr>
            <w:rStyle w:val="ab"/>
            <w:rFonts w:hint="eastAsia"/>
          </w:rPr>
          <w:t>文化部</w:t>
        </w:r>
        <w:r w:rsidRPr="0079737D">
          <w:rPr>
            <w:rStyle w:val="ab"/>
          </w:rPr>
          <w:t xml:space="preserve"> (1</w:t>
        </w:r>
        <w:r w:rsidRPr="0079737D">
          <w:rPr>
            <w:rStyle w:val="ab"/>
            <w:rFonts w:hint="eastAsia"/>
          </w:rPr>
          <w:t>案）</w:t>
        </w:r>
        <w:r>
          <w:rPr>
            <w:webHidden/>
          </w:rPr>
          <w:tab/>
        </w:r>
        <w:r>
          <w:rPr>
            <w:webHidden/>
          </w:rPr>
          <w:fldChar w:fldCharType="begin"/>
        </w:r>
        <w:r>
          <w:rPr>
            <w:webHidden/>
          </w:rPr>
          <w:instrText xml:space="preserve"> PAGEREF _Toc126068126 \h </w:instrText>
        </w:r>
        <w:r>
          <w:rPr>
            <w:webHidden/>
          </w:rPr>
        </w:r>
        <w:r>
          <w:rPr>
            <w:webHidden/>
          </w:rPr>
          <w:fldChar w:fldCharType="separate"/>
        </w:r>
        <w:r w:rsidR="00A871B0">
          <w:rPr>
            <w:webHidden/>
          </w:rPr>
          <w:t>33</w:t>
        </w:r>
        <w:r>
          <w:rPr>
            <w:webHidden/>
          </w:rPr>
          <w:fldChar w:fldCharType="end"/>
        </w:r>
      </w:hyperlink>
    </w:p>
    <w:p w:rsidR="00755C46" w:rsidRDefault="00755C46" w:rsidP="00755C46">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26068127" w:history="1">
        <w:r w:rsidRPr="0079737D">
          <w:rPr>
            <w:rStyle w:val="ab"/>
          </w:rPr>
          <w:t>3.</w:t>
        </w:r>
        <w:r w:rsidRPr="0079737D">
          <w:rPr>
            <w:rStyle w:val="ab"/>
            <w:rFonts w:hint="eastAsia"/>
          </w:rPr>
          <w:t>國家科學及技術委員會</w:t>
        </w:r>
        <w:r w:rsidRPr="0079737D">
          <w:rPr>
            <w:rStyle w:val="ab"/>
          </w:rPr>
          <w:t xml:space="preserve"> (3</w:t>
        </w:r>
        <w:r w:rsidRPr="0079737D">
          <w:rPr>
            <w:rStyle w:val="ab"/>
            <w:rFonts w:hint="eastAsia"/>
          </w:rPr>
          <w:t>案）</w:t>
        </w:r>
        <w:r>
          <w:rPr>
            <w:webHidden/>
          </w:rPr>
          <w:tab/>
        </w:r>
        <w:r>
          <w:rPr>
            <w:webHidden/>
          </w:rPr>
          <w:fldChar w:fldCharType="begin"/>
        </w:r>
        <w:r>
          <w:rPr>
            <w:webHidden/>
          </w:rPr>
          <w:instrText xml:space="preserve"> PAGEREF _Toc126068127 \h </w:instrText>
        </w:r>
        <w:r>
          <w:rPr>
            <w:webHidden/>
          </w:rPr>
        </w:r>
        <w:r>
          <w:rPr>
            <w:webHidden/>
          </w:rPr>
          <w:fldChar w:fldCharType="separate"/>
        </w:r>
        <w:r w:rsidR="00A871B0">
          <w:rPr>
            <w:webHidden/>
          </w:rPr>
          <w:t>33</w:t>
        </w:r>
        <w:r>
          <w:rPr>
            <w:webHidden/>
          </w:rPr>
          <w:fldChar w:fldCharType="end"/>
        </w:r>
      </w:hyperlink>
    </w:p>
    <w:p w:rsidR="00755C46" w:rsidRDefault="00755C46" w:rsidP="00755C46">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26068128" w:history="1">
        <w:r w:rsidRPr="0079737D">
          <w:rPr>
            <w:rStyle w:val="ab"/>
          </w:rPr>
          <w:t>4.</w:t>
        </w:r>
        <w:r w:rsidRPr="0079737D">
          <w:rPr>
            <w:rStyle w:val="ab"/>
            <w:rFonts w:hint="eastAsia"/>
          </w:rPr>
          <w:t>國立故宮博物院</w:t>
        </w:r>
        <w:r w:rsidRPr="0079737D">
          <w:rPr>
            <w:rStyle w:val="ab"/>
          </w:rPr>
          <w:t xml:space="preserve"> (1</w:t>
        </w:r>
        <w:r w:rsidRPr="0079737D">
          <w:rPr>
            <w:rStyle w:val="ab"/>
            <w:rFonts w:hint="eastAsia"/>
          </w:rPr>
          <w:t>案）</w:t>
        </w:r>
        <w:r>
          <w:rPr>
            <w:webHidden/>
          </w:rPr>
          <w:tab/>
        </w:r>
        <w:r>
          <w:rPr>
            <w:webHidden/>
          </w:rPr>
          <w:fldChar w:fldCharType="begin"/>
        </w:r>
        <w:r>
          <w:rPr>
            <w:webHidden/>
          </w:rPr>
          <w:instrText xml:space="preserve"> PAGEREF _Toc126068128 \h </w:instrText>
        </w:r>
        <w:r>
          <w:rPr>
            <w:webHidden/>
          </w:rPr>
        </w:r>
        <w:r>
          <w:rPr>
            <w:webHidden/>
          </w:rPr>
          <w:fldChar w:fldCharType="separate"/>
        </w:r>
        <w:r w:rsidR="00A871B0">
          <w:rPr>
            <w:webHidden/>
          </w:rPr>
          <w:t>34</w:t>
        </w:r>
        <w:r>
          <w:rPr>
            <w:webHidden/>
          </w:rPr>
          <w:fldChar w:fldCharType="end"/>
        </w:r>
      </w:hyperlink>
    </w:p>
    <w:p w:rsidR="00755C46" w:rsidRDefault="00641E57" w:rsidP="00755C46">
      <w:pPr>
        <w:pStyle w:val="21"/>
        <w:rPr>
          <w:rFonts w:asciiTheme="minorHAnsi" w:eastAsiaTheme="minorEastAsia" w:hAnsiTheme="minorHAnsi" w:cstheme="minorBidi"/>
          <w:sz w:val="24"/>
          <w:szCs w:val="22"/>
        </w:rPr>
      </w:pPr>
      <w:hyperlink w:anchor="_Toc126068129" w:history="1">
        <w:r w:rsidR="00755C46" w:rsidRPr="0079737D">
          <w:rPr>
            <w:rStyle w:val="ab"/>
            <w:rFonts w:hint="eastAsia"/>
          </w:rPr>
          <w:t>二、行政命令案（</w:t>
        </w:r>
        <w:r w:rsidR="00755C46" w:rsidRPr="0079737D">
          <w:rPr>
            <w:rStyle w:val="ab"/>
          </w:rPr>
          <w:t>10</w:t>
        </w:r>
        <w:r w:rsidR="00755C46" w:rsidRPr="0079737D">
          <w:rPr>
            <w:rStyle w:val="ab"/>
            <w:rFonts w:hint="eastAsia"/>
          </w:rPr>
          <w:t>案）</w:t>
        </w:r>
        <w:r w:rsidR="00755C46">
          <w:rPr>
            <w:webHidden/>
          </w:rPr>
          <w:tab/>
        </w:r>
        <w:r w:rsidR="00755C46">
          <w:rPr>
            <w:webHidden/>
          </w:rPr>
          <w:fldChar w:fldCharType="begin"/>
        </w:r>
        <w:r w:rsidR="00755C46">
          <w:rPr>
            <w:webHidden/>
          </w:rPr>
          <w:instrText xml:space="preserve"> PAGEREF _Toc126068129 \h </w:instrText>
        </w:r>
        <w:r w:rsidR="00755C46">
          <w:rPr>
            <w:webHidden/>
          </w:rPr>
        </w:r>
        <w:r w:rsidR="00755C46">
          <w:rPr>
            <w:webHidden/>
          </w:rPr>
          <w:fldChar w:fldCharType="separate"/>
        </w:r>
        <w:r w:rsidR="00A871B0">
          <w:rPr>
            <w:webHidden/>
          </w:rPr>
          <w:t>35</w:t>
        </w:r>
        <w:r w:rsidR="00755C46">
          <w:rPr>
            <w:webHidden/>
          </w:rPr>
          <w:fldChar w:fldCharType="end"/>
        </w:r>
      </w:hyperlink>
    </w:p>
    <w:p w:rsidR="00755C46" w:rsidRDefault="00641E57" w:rsidP="00755C46">
      <w:pPr>
        <w:pStyle w:val="21"/>
        <w:rPr>
          <w:rFonts w:asciiTheme="minorHAnsi" w:eastAsiaTheme="minorEastAsia" w:hAnsiTheme="minorHAnsi" w:cstheme="minorBidi"/>
          <w:sz w:val="24"/>
          <w:szCs w:val="22"/>
        </w:rPr>
      </w:pPr>
      <w:hyperlink w:anchor="_Toc126068130" w:history="1">
        <w:r w:rsidR="00755C46" w:rsidRPr="0079737D">
          <w:rPr>
            <w:rStyle w:val="ab"/>
            <w:rFonts w:hint="eastAsia"/>
          </w:rPr>
          <w:t>三、其他議案（</w:t>
        </w:r>
        <w:r w:rsidR="00755C46" w:rsidRPr="0079737D">
          <w:rPr>
            <w:rStyle w:val="ab"/>
          </w:rPr>
          <w:t>106</w:t>
        </w:r>
        <w:r w:rsidR="00755C46" w:rsidRPr="0079737D">
          <w:rPr>
            <w:rStyle w:val="ab"/>
            <w:rFonts w:hint="eastAsia"/>
          </w:rPr>
          <w:t>案）</w:t>
        </w:r>
        <w:r w:rsidR="00755C46">
          <w:rPr>
            <w:webHidden/>
          </w:rPr>
          <w:tab/>
        </w:r>
        <w:r w:rsidR="00755C46">
          <w:rPr>
            <w:webHidden/>
          </w:rPr>
          <w:fldChar w:fldCharType="begin"/>
        </w:r>
        <w:r w:rsidR="00755C46">
          <w:rPr>
            <w:webHidden/>
          </w:rPr>
          <w:instrText xml:space="preserve"> PAGEREF _Toc126068130 \h </w:instrText>
        </w:r>
        <w:r w:rsidR="00755C46">
          <w:rPr>
            <w:webHidden/>
          </w:rPr>
        </w:r>
        <w:r w:rsidR="00755C46">
          <w:rPr>
            <w:webHidden/>
          </w:rPr>
          <w:fldChar w:fldCharType="separate"/>
        </w:r>
        <w:r w:rsidR="00A871B0">
          <w:rPr>
            <w:webHidden/>
          </w:rPr>
          <w:t>37</w:t>
        </w:r>
        <w:r w:rsidR="00755C46">
          <w:rPr>
            <w:webHidden/>
          </w:rPr>
          <w:fldChar w:fldCharType="end"/>
        </w:r>
      </w:hyperlink>
    </w:p>
    <w:p w:rsidR="00755C46" w:rsidRPr="00755C46" w:rsidRDefault="00641E57" w:rsidP="00755C46">
      <w:pPr>
        <w:pStyle w:val="21"/>
        <w:rPr>
          <w:rFonts w:asciiTheme="minorHAnsi" w:eastAsiaTheme="minorEastAsia" w:hAnsiTheme="minorHAnsi" w:cstheme="minorBidi"/>
          <w:sz w:val="24"/>
          <w:szCs w:val="22"/>
        </w:rPr>
      </w:pPr>
      <w:hyperlink w:anchor="_Toc126068131" w:history="1">
        <w:r w:rsidR="00755C46" w:rsidRPr="00755C46">
          <w:rPr>
            <w:rStyle w:val="ab"/>
            <w:rFonts w:hint="eastAsia"/>
          </w:rPr>
          <w:t>四、人民請願案（</w:t>
        </w:r>
        <w:r w:rsidR="00755C46" w:rsidRPr="00755C46">
          <w:rPr>
            <w:rStyle w:val="ab"/>
          </w:rPr>
          <w:t>1</w:t>
        </w:r>
        <w:r w:rsidR="00755C46" w:rsidRPr="00755C46">
          <w:rPr>
            <w:rStyle w:val="ab"/>
            <w:rFonts w:hint="eastAsia"/>
          </w:rPr>
          <w:t>案）</w:t>
        </w:r>
        <w:r w:rsidR="00755C46" w:rsidRPr="00755C46">
          <w:rPr>
            <w:webHidden/>
          </w:rPr>
          <w:tab/>
        </w:r>
        <w:r w:rsidR="00755C46" w:rsidRPr="00755C46">
          <w:rPr>
            <w:webHidden/>
          </w:rPr>
          <w:fldChar w:fldCharType="begin"/>
        </w:r>
        <w:r w:rsidR="00755C46" w:rsidRPr="00755C46">
          <w:rPr>
            <w:webHidden/>
          </w:rPr>
          <w:instrText xml:space="preserve"> PAGEREF _Toc126068131 \h </w:instrText>
        </w:r>
        <w:r w:rsidR="00755C46" w:rsidRPr="00755C46">
          <w:rPr>
            <w:webHidden/>
          </w:rPr>
        </w:r>
        <w:r w:rsidR="00755C46" w:rsidRPr="00755C46">
          <w:rPr>
            <w:webHidden/>
          </w:rPr>
          <w:fldChar w:fldCharType="separate"/>
        </w:r>
        <w:r w:rsidR="00A871B0">
          <w:rPr>
            <w:webHidden/>
          </w:rPr>
          <w:t>53</w:t>
        </w:r>
        <w:r w:rsidR="00755C46" w:rsidRPr="00755C46">
          <w:rPr>
            <w:webHidden/>
          </w:rPr>
          <w:fldChar w:fldCharType="end"/>
        </w:r>
      </w:hyperlink>
    </w:p>
    <w:p w:rsidR="00755C46" w:rsidRDefault="00641E57">
      <w:pPr>
        <w:pStyle w:val="11"/>
        <w:rPr>
          <w:rFonts w:asciiTheme="minorHAnsi" w:eastAsiaTheme="minorEastAsia" w:hAnsiTheme="minorHAnsi" w:cstheme="minorBidi"/>
          <w:b w:val="0"/>
          <w:bCs w:val="0"/>
          <w:kern w:val="2"/>
          <w:sz w:val="24"/>
          <w:szCs w:val="22"/>
        </w:rPr>
      </w:pPr>
      <w:hyperlink w:anchor="_Toc126068132" w:history="1">
        <w:r w:rsidR="00755C46" w:rsidRPr="0079737D">
          <w:rPr>
            <w:rStyle w:val="ab"/>
            <w:rFonts w:hint="eastAsia"/>
          </w:rPr>
          <w:t>肆、本會期院會通過之議案</w:t>
        </w:r>
        <w:r w:rsidR="00755C46" w:rsidRPr="0079737D">
          <w:rPr>
            <w:rStyle w:val="ab"/>
          </w:rPr>
          <w:t>(</w:t>
        </w:r>
        <w:r w:rsidR="00755C46" w:rsidRPr="0079737D">
          <w:rPr>
            <w:rStyle w:val="ab"/>
            <w:rFonts w:hint="eastAsia"/>
          </w:rPr>
          <w:t>含逕付二讀</w:t>
        </w:r>
        <w:r w:rsidR="00755C46" w:rsidRPr="0079737D">
          <w:rPr>
            <w:rStyle w:val="ab"/>
          </w:rPr>
          <w:t>) (189</w:t>
        </w:r>
        <w:r w:rsidR="00755C46" w:rsidRPr="0079737D">
          <w:rPr>
            <w:rStyle w:val="ab"/>
            <w:rFonts w:hint="eastAsia"/>
          </w:rPr>
          <w:t>案</w:t>
        </w:r>
        <w:r w:rsidR="00755C46" w:rsidRPr="0079737D">
          <w:rPr>
            <w:rStyle w:val="ab"/>
          </w:rPr>
          <w:t>)</w:t>
        </w:r>
        <w:r w:rsidR="00755C46" w:rsidRPr="00755C46">
          <w:rPr>
            <w:b w:val="0"/>
            <w:webHidden/>
            <w:sz w:val="28"/>
            <w:szCs w:val="28"/>
          </w:rPr>
          <w:tab/>
        </w:r>
        <w:r w:rsidR="00755C46" w:rsidRPr="00755C46">
          <w:rPr>
            <w:b w:val="0"/>
            <w:webHidden/>
            <w:sz w:val="28"/>
            <w:szCs w:val="28"/>
          </w:rPr>
          <w:fldChar w:fldCharType="begin"/>
        </w:r>
        <w:r w:rsidR="00755C46" w:rsidRPr="00755C46">
          <w:rPr>
            <w:b w:val="0"/>
            <w:webHidden/>
            <w:sz w:val="28"/>
            <w:szCs w:val="28"/>
          </w:rPr>
          <w:instrText xml:space="preserve"> PAGEREF _Toc126068132 \h </w:instrText>
        </w:r>
        <w:r w:rsidR="00755C46" w:rsidRPr="00755C46">
          <w:rPr>
            <w:b w:val="0"/>
            <w:webHidden/>
            <w:sz w:val="28"/>
            <w:szCs w:val="28"/>
          </w:rPr>
        </w:r>
        <w:r w:rsidR="00755C46" w:rsidRPr="00755C46">
          <w:rPr>
            <w:b w:val="0"/>
            <w:webHidden/>
            <w:sz w:val="28"/>
            <w:szCs w:val="28"/>
          </w:rPr>
          <w:fldChar w:fldCharType="separate"/>
        </w:r>
        <w:r w:rsidR="00A871B0">
          <w:rPr>
            <w:b w:val="0"/>
            <w:webHidden/>
            <w:sz w:val="28"/>
            <w:szCs w:val="28"/>
          </w:rPr>
          <w:t>54</w:t>
        </w:r>
        <w:r w:rsidR="00755C46" w:rsidRPr="00755C46">
          <w:rPr>
            <w:b w:val="0"/>
            <w:webHidden/>
            <w:sz w:val="28"/>
            <w:szCs w:val="28"/>
          </w:rPr>
          <w:fldChar w:fldCharType="end"/>
        </w:r>
      </w:hyperlink>
    </w:p>
    <w:p w:rsidR="00755C46" w:rsidRDefault="00641E57" w:rsidP="00755C46">
      <w:pPr>
        <w:pStyle w:val="21"/>
        <w:rPr>
          <w:rFonts w:asciiTheme="minorHAnsi" w:eastAsiaTheme="minorEastAsia" w:hAnsiTheme="minorHAnsi" w:cstheme="minorBidi"/>
          <w:sz w:val="24"/>
          <w:szCs w:val="22"/>
        </w:rPr>
      </w:pPr>
      <w:hyperlink w:anchor="_Toc126068133" w:history="1">
        <w:r w:rsidR="00755C46" w:rsidRPr="0079737D">
          <w:rPr>
            <w:rStyle w:val="ab"/>
            <w:rFonts w:hint="eastAsia"/>
          </w:rPr>
          <w:t>一、法律案（</w:t>
        </w:r>
        <w:r w:rsidR="00755C46" w:rsidRPr="0079737D">
          <w:rPr>
            <w:rStyle w:val="ab"/>
          </w:rPr>
          <w:t>7</w:t>
        </w:r>
        <w:r w:rsidR="00755C46" w:rsidRPr="0079737D">
          <w:rPr>
            <w:rStyle w:val="ab"/>
            <w:rFonts w:hint="eastAsia"/>
          </w:rPr>
          <w:t>案）</w:t>
        </w:r>
        <w:r w:rsidR="00755C46">
          <w:rPr>
            <w:webHidden/>
          </w:rPr>
          <w:tab/>
        </w:r>
        <w:r w:rsidR="00755C46">
          <w:rPr>
            <w:webHidden/>
          </w:rPr>
          <w:fldChar w:fldCharType="begin"/>
        </w:r>
        <w:r w:rsidR="00755C46">
          <w:rPr>
            <w:webHidden/>
          </w:rPr>
          <w:instrText xml:space="preserve"> PAGEREF _Toc126068133 \h </w:instrText>
        </w:r>
        <w:r w:rsidR="00755C46">
          <w:rPr>
            <w:webHidden/>
          </w:rPr>
        </w:r>
        <w:r w:rsidR="00755C46">
          <w:rPr>
            <w:webHidden/>
          </w:rPr>
          <w:fldChar w:fldCharType="separate"/>
        </w:r>
        <w:r w:rsidR="00A871B0">
          <w:rPr>
            <w:webHidden/>
          </w:rPr>
          <w:t>54</w:t>
        </w:r>
        <w:r w:rsidR="00755C46">
          <w:rPr>
            <w:webHidden/>
          </w:rPr>
          <w:fldChar w:fldCharType="end"/>
        </w:r>
      </w:hyperlink>
    </w:p>
    <w:p w:rsidR="00755C46" w:rsidRDefault="00641E57" w:rsidP="00755C46">
      <w:pPr>
        <w:pStyle w:val="31"/>
        <w:rPr>
          <w:rFonts w:asciiTheme="minorHAnsi" w:eastAsiaTheme="minorEastAsia" w:hAnsiTheme="minorHAnsi" w:cstheme="minorBidi"/>
          <w:color w:val="auto"/>
          <w:spacing w:val="0"/>
          <w:sz w:val="24"/>
          <w:szCs w:val="22"/>
        </w:rPr>
      </w:pPr>
      <w:hyperlink w:anchor="_Toc126068134" w:history="1">
        <w:r w:rsidR="00755C46" w:rsidRPr="0079737D">
          <w:rPr>
            <w:rStyle w:val="ab"/>
          </w:rPr>
          <w:t>(</w:t>
        </w:r>
        <w:r w:rsidR="00755C46" w:rsidRPr="0079737D">
          <w:rPr>
            <w:rStyle w:val="ab"/>
            <w:rFonts w:hint="eastAsia"/>
          </w:rPr>
          <w:t>一</w:t>
        </w:r>
        <w:r w:rsidR="00755C46" w:rsidRPr="0079737D">
          <w:rPr>
            <w:rStyle w:val="ab"/>
          </w:rPr>
          <w:t>)</w:t>
        </w:r>
        <w:r w:rsidR="00755C46" w:rsidRPr="0079737D">
          <w:rPr>
            <w:rStyle w:val="ab"/>
            <w:rFonts w:hint="eastAsia"/>
          </w:rPr>
          <w:t>文化部（</w:t>
        </w:r>
        <w:r w:rsidR="00755C46" w:rsidRPr="0079737D">
          <w:rPr>
            <w:rStyle w:val="ab"/>
          </w:rPr>
          <w:t>7</w:t>
        </w:r>
        <w:r w:rsidR="00755C46" w:rsidRPr="0079737D">
          <w:rPr>
            <w:rStyle w:val="ab"/>
            <w:rFonts w:hint="eastAsia"/>
          </w:rPr>
          <w:t>案）</w:t>
        </w:r>
        <w:r w:rsidR="00755C46">
          <w:rPr>
            <w:webHidden/>
          </w:rPr>
          <w:tab/>
        </w:r>
        <w:r w:rsidR="00755C46">
          <w:rPr>
            <w:webHidden/>
          </w:rPr>
          <w:fldChar w:fldCharType="begin"/>
        </w:r>
        <w:r w:rsidR="00755C46">
          <w:rPr>
            <w:webHidden/>
          </w:rPr>
          <w:instrText xml:space="preserve"> PAGEREF _Toc126068134 \h </w:instrText>
        </w:r>
        <w:r w:rsidR="00755C46">
          <w:rPr>
            <w:webHidden/>
          </w:rPr>
        </w:r>
        <w:r w:rsidR="00755C46">
          <w:rPr>
            <w:webHidden/>
          </w:rPr>
          <w:fldChar w:fldCharType="separate"/>
        </w:r>
        <w:r w:rsidR="00A871B0">
          <w:rPr>
            <w:webHidden/>
          </w:rPr>
          <w:t>54</w:t>
        </w:r>
        <w:r w:rsidR="00755C46">
          <w:rPr>
            <w:webHidden/>
          </w:rPr>
          <w:fldChar w:fldCharType="end"/>
        </w:r>
      </w:hyperlink>
    </w:p>
    <w:p w:rsidR="00755C46" w:rsidRDefault="00641E57" w:rsidP="00755C46">
      <w:pPr>
        <w:pStyle w:val="21"/>
        <w:rPr>
          <w:rFonts w:asciiTheme="minorHAnsi" w:eastAsiaTheme="minorEastAsia" w:hAnsiTheme="minorHAnsi" w:cstheme="minorBidi"/>
          <w:sz w:val="24"/>
          <w:szCs w:val="22"/>
        </w:rPr>
      </w:pPr>
      <w:hyperlink w:anchor="_Toc126068135" w:history="1">
        <w:r w:rsidR="00755C46" w:rsidRPr="0079737D">
          <w:rPr>
            <w:rStyle w:val="ab"/>
            <w:rFonts w:hint="eastAsia"/>
          </w:rPr>
          <w:t>二、預</w:t>
        </w:r>
        <w:r w:rsidR="00755C46" w:rsidRPr="0079737D">
          <w:rPr>
            <w:rStyle w:val="ab"/>
          </w:rPr>
          <w:t>(</w:t>
        </w:r>
        <w:r w:rsidR="00755C46" w:rsidRPr="0079737D">
          <w:rPr>
            <w:rStyle w:val="ab"/>
            <w:rFonts w:hint="eastAsia"/>
          </w:rPr>
          <w:t>決</w:t>
        </w:r>
        <w:r w:rsidR="00755C46" w:rsidRPr="0079737D">
          <w:rPr>
            <w:rStyle w:val="ab"/>
          </w:rPr>
          <w:t>)</w:t>
        </w:r>
        <w:r w:rsidR="00755C46" w:rsidRPr="0079737D">
          <w:rPr>
            <w:rStyle w:val="ab"/>
            <w:rFonts w:hint="eastAsia"/>
          </w:rPr>
          <w:t>算案（</w:t>
        </w:r>
        <w:r w:rsidR="00755C46" w:rsidRPr="0079737D">
          <w:rPr>
            <w:rStyle w:val="ab"/>
          </w:rPr>
          <w:t>66</w:t>
        </w:r>
        <w:r w:rsidR="00755C46" w:rsidRPr="0079737D">
          <w:rPr>
            <w:rStyle w:val="ab"/>
            <w:rFonts w:hint="eastAsia"/>
          </w:rPr>
          <w:t>案）</w:t>
        </w:r>
        <w:r w:rsidR="00755C46">
          <w:rPr>
            <w:webHidden/>
          </w:rPr>
          <w:tab/>
        </w:r>
        <w:r w:rsidR="00755C46">
          <w:rPr>
            <w:webHidden/>
          </w:rPr>
          <w:fldChar w:fldCharType="begin"/>
        </w:r>
        <w:r w:rsidR="00755C46">
          <w:rPr>
            <w:webHidden/>
          </w:rPr>
          <w:instrText xml:space="preserve"> PAGEREF _Toc126068135 \h </w:instrText>
        </w:r>
        <w:r w:rsidR="00755C46">
          <w:rPr>
            <w:webHidden/>
          </w:rPr>
        </w:r>
        <w:r w:rsidR="00755C46">
          <w:rPr>
            <w:webHidden/>
          </w:rPr>
          <w:fldChar w:fldCharType="separate"/>
        </w:r>
        <w:r w:rsidR="00A871B0">
          <w:rPr>
            <w:webHidden/>
          </w:rPr>
          <w:t>55</w:t>
        </w:r>
        <w:r w:rsidR="00755C46">
          <w:rPr>
            <w:webHidden/>
          </w:rPr>
          <w:fldChar w:fldCharType="end"/>
        </w:r>
      </w:hyperlink>
    </w:p>
    <w:p w:rsidR="00755C46" w:rsidRDefault="00641E57" w:rsidP="00755C46">
      <w:pPr>
        <w:pStyle w:val="31"/>
        <w:rPr>
          <w:rFonts w:asciiTheme="minorHAnsi" w:eastAsiaTheme="minorEastAsia" w:hAnsiTheme="minorHAnsi" w:cstheme="minorBidi"/>
          <w:color w:val="auto"/>
          <w:spacing w:val="0"/>
          <w:sz w:val="24"/>
          <w:szCs w:val="22"/>
        </w:rPr>
      </w:pPr>
      <w:hyperlink w:anchor="_Toc126068136" w:history="1">
        <w:r w:rsidR="00755C46" w:rsidRPr="0079737D">
          <w:rPr>
            <w:rStyle w:val="ab"/>
          </w:rPr>
          <w:t>(</w:t>
        </w:r>
        <w:r w:rsidR="00755C46" w:rsidRPr="0079737D">
          <w:rPr>
            <w:rStyle w:val="ab"/>
            <w:rFonts w:hint="eastAsia"/>
          </w:rPr>
          <w:t>一</w:t>
        </w:r>
        <w:r w:rsidR="00755C46" w:rsidRPr="0079737D">
          <w:rPr>
            <w:rStyle w:val="ab"/>
          </w:rPr>
          <w:t>)111</w:t>
        </w:r>
        <w:r w:rsidR="00755C46" w:rsidRPr="0079737D">
          <w:rPr>
            <w:rStyle w:val="ab"/>
            <w:rFonts w:hint="eastAsia"/>
          </w:rPr>
          <w:t>年度中央政府總預算案</w:t>
        </w:r>
        <w:r w:rsidR="00755C46" w:rsidRPr="0079737D">
          <w:rPr>
            <w:rStyle w:val="ab"/>
          </w:rPr>
          <w:t>(</w:t>
        </w:r>
        <w:r w:rsidR="00755C46" w:rsidRPr="0079737D">
          <w:rPr>
            <w:rStyle w:val="ab"/>
            <w:rFonts w:hint="eastAsia"/>
          </w:rPr>
          <w:t>非營業基金預算</w:t>
        </w:r>
        <w:r w:rsidR="00755C46" w:rsidRPr="0079737D">
          <w:rPr>
            <w:rStyle w:val="ab"/>
          </w:rPr>
          <w:t>) (1</w:t>
        </w:r>
        <w:r w:rsidR="00755C46" w:rsidRPr="0079737D">
          <w:rPr>
            <w:rStyle w:val="ab"/>
            <w:rFonts w:hint="eastAsia"/>
          </w:rPr>
          <w:t>案</w:t>
        </w:r>
        <w:r w:rsidR="00755C46" w:rsidRPr="0079737D">
          <w:rPr>
            <w:rStyle w:val="ab"/>
          </w:rPr>
          <w:t>)</w:t>
        </w:r>
        <w:r w:rsidR="00755C46">
          <w:rPr>
            <w:webHidden/>
          </w:rPr>
          <w:tab/>
        </w:r>
        <w:r w:rsidR="00755C46">
          <w:rPr>
            <w:webHidden/>
          </w:rPr>
          <w:fldChar w:fldCharType="begin"/>
        </w:r>
        <w:r w:rsidR="00755C46">
          <w:rPr>
            <w:webHidden/>
          </w:rPr>
          <w:instrText xml:space="preserve"> PAGEREF _Toc126068136 \h </w:instrText>
        </w:r>
        <w:r w:rsidR="00755C46">
          <w:rPr>
            <w:webHidden/>
          </w:rPr>
        </w:r>
        <w:r w:rsidR="00755C46">
          <w:rPr>
            <w:webHidden/>
          </w:rPr>
          <w:fldChar w:fldCharType="separate"/>
        </w:r>
        <w:r w:rsidR="00A871B0">
          <w:rPr>
            <w:webHidden/>
          </w:rPr>
          <w:t>55</w:t>
        </w:r>
        <w:r w:rsidR="00755C46">
          <w:rPr>
            <w:webHidden/>
          </w:rPr>
          <w:fldChar w:fldCharType="end"/>
        </w:r>
      </w:hyperlink>
    </w:p>
    <w:p w:rsidR="00755C46" w:rsidRPr="00755C46" w:rsidRDefault="00641E57" w:rsidP="00755C46">
      <w:pPr>
        <w:pStyle w:val="31"/>
        <w:rPr>
          <w:rFonts w:asciiTheme="minorHAnsi" w:eastAsiaTheme="minorEastAsia" w:hAnsiTheme="minorHAnsi" w:cstheme="minorBidi"/>
          <w:color w:val="auto"/>
          <w:spacing w:val="0"/>
          <w:sz w:val="24"/>
          <w:szCs w:val="22"/>
        </w:rPr>
      </w:pPr>
      <w:hyperlink w:anchor="_Toc126068137" w:history="1">
        <w:r w:rsidR="00755C46" w:rsidRPr="00755C46">
          <w:rPr>
            <w:rStyle w:val="ab"/>
          </w:rPr>
          <w:t>(</w:t>
        </w:r>
        <w:r w:rsidR="00755C46" w:rsidRPr="00755C46">
          <w:rPr>
            <w:rStyle w:val="ab"/>
            <w:rFonts w:hint="eastAsia"/>
          </w:rPr>
          <w:t>二</w:t>
        </w:r>
        <w:r w:rsidR="00755C46" w:rsidRPr="00755C46">
          <w:rPr>
            <w:rStyle w:val="ab"/>
          </w:rPr>
          <w:t>)112</w:t>
        </w:r>
        <w:r w:rsidR="00755C46" w:rsidRPr="00755C46">
          <w:rPr>
            <w:rStyle w:val="ab"/>
            <w:rFonts w:hint="eastAsia"/>
          </w:rPr>
          <w:t>年度中央政府總預算案</w:t>
        </w:r>
        <w:r w:rsidR="00755C46" w:rsidRPr="00755C46">
          <w:rPr>
            <w:rStyle w:val="ab"/>
          </w:rPr>
          <w:t>(</w:t>
        </w:r>
        <w:r w:rsidR="00755C46" w:rsidRPr="00755C46">
          <w:rPr>
            <w:rStyle w:val="ab"/>
            <w:rFonts w:hint="eastAsia"/>
          </w:rPr>
          <w:t>公務預算</w:t>
        </w:r>
        <w:r w:rsidR="00755C46" w:rsidRPr="00755C46">
          <w:rPr>
            <w:rStyle w:val="ab"/>
          </w:rPr>
          <w:t>) (1</w:t>
        </w:r>
        <w:r w:rsidR="00755C46" w:rsidRPr="00755C46">
          <w:rPr>
            <w:rStyle w:val="ab"/>
            <w:rFonts w:hint="eastAsia"/>
          </w:rPr>
          <w:t>案</w:t>
        </w:r>
        <w:r w:rsidR="00755C46" w:rsidRPr="00755C46">
          <w:rPr>
            <w:rStyle w:val="ab"/>
          </w:rPr>
          <w:t>)</w:t>
        </w:r>
        <w:r w:rsidR="00755C46" w:rsidRPr="00755C46">
          <w:rPr>
            <w:webHidden/>
          </w:rPr>
          <w:tab/>
        </w:r>
        <w:r w:rsidR="00755C46" w:rsidRPr="00755C46">
          <w:rPr>
            <w:webHidden/>
          </w:rPr>
          <w:fldChar w:fldCharType="begin"/>
        </w:r>
        <w:r w:rsidR="00755C46" w:rsidRPr="00755C46">
          <w:rPr>
            <w:webHidden/>
          </w:rPr>
          <w:instrText xml:space="preserve"> PAGEREF _Toc126068137 \h </w:instrText>
        </w:r>
        <w:r w:rsidR="00755C46" w:rsidRPr="00755C46">
          <w:rPr>
            <w:webHidden/>
          </w:rPr>
        </w:r>
        <w:r w:rsidR="00755C46" w:rsidRPr="00755C46">
          <w:rPr>
            <w:webHidden/>
          </w:rPr>
          <w:fldChar w:fldCharType="separate"/>
        </w:r>
        <w:r w:rsidR="00A871B0">
          <w:rPr>
            <w:webHidden/>
          </w:rPr>
          <w:t>56</w:t>
        </w:r>
        <w:r w:rsidR="00755C46" w:rsidRPr="00755C46">
          <w:rPr>
            <w:webHidden/>
          </w:rPr>
          <w:fldChar w:fldCharType="end"/>
        </w:r>
      </w:hyperlink>
    </w:p>
    <w:p w:rsidR="00755C46" w:rsidRDefault="00641E57" w:rsidP="00755C46">
      <w:pPr>
        <w:pStyle w:val="31"/>
        <w:rPr>
          <w:rFonts w:asciiTheme="minorHAnsi" w:eastAsiaTheme="minorEastAsia" w:hAnsiTheme="minorHAnsi" w:cstheme="minorBidi"/>
          <w:color w:val="auto"/>
          <w:spacing w:val="0"/>
          <w:sz w:val="24"/>
          <w:szCs w:val="22"/>
        </w:rPr>
      </w:pPr>
      <w:hyperlink w:anchor="_Toc126068138" w:history="1">
        <w:r w:rsidR="00755C46" w:rsidRPr="0079737D">
          <w:rPr>
            <w:rStyle w:val="ab"/>
          </w:rPr>
          <w:t>(</w:t>
        </w:r>
        <w:r w:rsidR="00755C46" w:rsidRPr="0079737D">
          <w:rPr>
            <w:rStyle w:val="ab"/>
            <w:rFonts w:hint="eastAsia"/>
          </w:rPr>
          <w:t>三</w:t>
        </w:r>
        <w:r w:rsidR="00755C46" w:rsidRPr="0079737D">
          <w:rPr>
            <w:rStyle w:val="ab"/>
          </w:rPr>
          <w:t>)</w:t>
        </w:r>
        <w:r w:rsidR="00755C46" w:rsidRPr="0079737D">
          <w:rPr>
            <w:rStyle w:val="ab"/>
            <w:rFonts w:hint="eastAsia"/>
          </w:rPr>
          <w:t>行政法人預算案</w:t>
        </w:r>
        <w:r w:rsidR="00755C46" w:rsidRPr="0079737D">
          <w:rPr>
            <w:rStyle w:val="ab"/>
          </w:rPr>
          <w:t xml:space="preserve"> (3</w:t>
        </w:r>
        <w:r w:rsidR="00755C46" w:rsidRPr="0079737D">
          <w:rPr>
            <w:rStyle w:val="ab"/>
            <w:rFonts w:hint="eastAsia"/>
          </w:rPr>
          <w:t>案</w:t>
        </w:r>
        <w:r w:rsidR="00755C46" w:rsidRPr="0079737D">
          <w:rPr>
            <w:rStyle w:val="ab"/>
          </w:rPr>
          <w:t>)</w:t>
        </w:r>
        <w:r w:rsidR="00755C46">
          <w:rPr>
            <w:webHidden/>
          </w:rPr>
          <w:tab/>
        </w:r>
        <w:r w:rsidR="00755C46">
          <w:rPr>
            <w:webHidden/>
          </w:rPr>
          <w:fldChar w:fldCharType="begin"/>
        </w:r>
        <w:r w:rsidR="00755C46">
          <w:rPr>
            <w:webHidden/>
          </w:rPr>
          <w:instrText xml:space="preserve"> PAGEREF _Toc126068138 \h </w:instrText>
        </w:r>
        <w:r w:rsidR="00755C46">
          <w:rPr>
            <w:webHidden/>
          </w:rPr>
        </w:r>
        <w:r w:rsidR="00755C46">
          <w:rPr>
            <w:webHidden/>
          </w:rPr>
          <w:fldChar w:fldCharType="separate"/>
        </w:r>
        <w:r w:rsidR="00A871B0">
          <w:rPr>
            <w:webHidden/>
          </w:rPr>
          <w:t>58</w:t>
        </w:r>
        <w:r w:rsidR="00755C46">
          <w:rPr>
            <w:webHidden/>
          </w:rPr>
          <w:fldChar w:fldCharType="end"/>
        </w:r>
      </w:hyperlink>
    </w:p>
    <w:p w:rsidR="00755C46" w:rsidRDefault="00641E57" w:rsidP="00755C46">
      <w:pPr>
        <w:pStyle w:val="31"/>
        <w:rPr>
          <w:rFonts w:asciiTheme="minorHAnsi" w:eastAsiaTheme="minorEastAsia" w:hAnsiTheme="minorHAnsi" w:cstheme="minorBidi"/>
          <w:color w:val="auto"/>
          <w:spacing w:val="0"/>
          <w:sz w:val="24"/>
          <w:szCs w:val="22"/>
        </w:rPr>
      </w:pPr>
      <w:hyperlink w:anchor="_Toc126068139" w:history="1">
        <w:r w:rsidR="00755C46" w:rsidRPr="0079737D">
          <w:rPr>
            <w:rStyle w:val="ab"/>
          </w:rPr>
          <w:t>(</w:t>
        </w:r>
        <w:r w:rsidR="00755C46" w:rsidRPr="0079737D">
          <w:rPr>
            <w:rStyle w:val="ab"/>
            <w:rFonts w:hint="eastAsia"/>
          </w:rPr>
          <w:t>四</w:t>
        </w:r>
        <w:r w:rsidR="00755C46" w:rsidRPr="0079737D">
          <w:rPr>
            <w:rStyle w:val="ab"/>
          </w:rPr>
          <w:t>)</w:t>
        </w:r>
        <w:r w:rsidR="00755C46" w:rsidRPr="0079737D">
          <w:rPr>
            <w:rStyle w:val="ab"/>
            <w:rFonts w:hint="eastAsia"/>
          </w:rPr>
          <w:t>財團法人預決算案</w:t>
        </w:r>
        <w:r w:rsidR="00755C46" w:rsidRPr="0079737D">
          <w:rPr>
            <w:rStyle w:val="ab"/>
          </w:rPr>
          <w:t xml:space="preserve"> (8</w:t>
        </w:r>
        <w:r w:rsidR="00755C46" w:rsidRPr="0079737D">
          <w:rPr>
            <w:rStyle w:val="ab"/>
            <w:rFonts w:hint="eastAsia"/>
          </w:rPr>
          <w:t>案</w:t>
        </w:r>
        <w:r w:rsidR="00755C46" w:rsidRPr="0079737D">
          <w:rPr>
            <w:rStyle w:val="ab"/>
          </w:rPr>
          <w:t>)</w:t>
        </w:r>
        <w:r w:rsidR="00755C46">
          <w:rPr>
            <w:webHidden/>
          </w:rPr>
          <w:tab/>
        </w:r>
        <w:r w:rsidR="00755C46">
          <w:rPr>
            <w:webHidden/>
          </w:rPr>
          <w:fldChar w:fldCharType="begin"/>
        </w:r>
        <w:r w:rsidR="00755C46">
          <w:rPr>
            <w:webHidden/>
          </w:rPr>
          <w:instrText xml:space="preserve"> PAGEREF _Toc126068139 \h </w:instrText>
        </w:r>
        <w:r w:rsidR="00755C46">
          <w:rPr>
            <w:webHidden/>
          </w:rPr>
        </w:r>
        <w:r w:rsidR="00755C46">
          <w:rPr>
            <w:webHidden/>
          </w:rPr>
          <w:fldChar w:fldCharType="separate"/>
        </w:r>
        <w:r w:rsidR="00A871B0">
          <w:rPr>
            <w:webHidden/>
          </w:rPr>
          <w:t>58</w:t>
        </w:r>
        <w:r w:rsidR="00755C46">
          <w:rPr>
            <w:webHidden/>
          </w:rPr>
          <w:fldChar w:fldCharType="end"/>
        </w:r>
      </w:hyperlink>
    </w:p>
    <w:p w:rsidR="00755C46" w:rsidRDefault="00641E57" w:rsidP="00755C46">
      <w:pPr>
        <w:pStyle w:val="31"/>
        <w:rPr>
          <w:rFonts w:asciiTheme="minorHAnsi" w:eastAsiaTheme="minorEastAsia" w:hAnsiTheme="minorHAnsi" w:cstheme="minorBidi"/>
          <w:color w:val="auto"/>
          <w:spacing w:val="0"/>
          <w:sz w:val="24"/>
          <w:szCs w:val="22"/>
        </w:rPr>
      </w:pPr>
      <w:hyperlink w:anchor="_Toc126068140" w:history="1">
        <w:r w:rsidR="00755C46" w:rsidRPr="0079737D">
          <w:rPr>
            <w:rStyle w:val="ab"/>
          </w:rPr>
          <w:t>(</w:t>
        </w:r>
        <w:r w:rsidR="00755C46" w:rsidRPr="0079737D">
          <w:rPr>
            <w:rStyle w:val="ab"/>
            <w:rFonts w:hint="eastAsia"/>
          </w:rPr>
          <w:t>五</w:t>
        </w:r>
        <w:r w:rsidR="00755C46" w:rsidRPr="0079737D">
          <w:rPr>
            <w:rStyle w:val="ab"/>
          </w:rPr>
          <w:t>)</w:t>
        </w:r>
        <w:r w:rsidR="00755C46" w:rsidRPr="0079737D">
          <w:rPr>
            <w:rStyle w:val="ab"/>
            <w:rFonts w:hint="eastAsia"/>
          </w:rPr>
          <w:t>預算凍結案（</w:t>
        </w:r>
        <w:r w:rsidR="00755C46" w:rsidRPr="0079737D">
          <w:rPr>
            <w:rStyle w:val="ab"/>
          </w:rPr>
          <w:t>53</w:t>
        </w:r>
        <w:r w:rsidR="00755C46" w:rsidRPr="0079737D">
          <w:rPr>
            <w:rStyle w:val="ab"/>
            <w:rFonts w:hint="eastAsia"/>
          </w:rPr>
          <w:t>案）</w:t>
        </w:r>
        <w:r w:rsidR="00755C46">
          <w:rPr>
            <w:webHidden/>
          </w:rPr>
          <w:tab/>
        </w:r>
        <w:r w:rsidR="00755C46">
          <w:rPr>
            <w:webHidden/>
          </w:rPr>
          <w:fldChar w:fldCharType="begin"/>
        </w:r>
        <w:r w:rsidR="00755C46">
          <w:rPr>
            <w:webHidden/>
          </w:rPr>
          <w:instrText xml:space="preserve"> PAGEREF _Toc126068140 \h </w:instrText>
        </w:r>
        <w:r w:rsidR="00755C46">
          <w:rPr>
            <w:webHidden/>
          </w:rPr>
        </w:r>
        <w:r w:rsidR="00755C46">
          <w:rPr>
            <w:webHidden/>
          </w:rPr>
          <w:fldChar w:fldCharType="separate"/>
        </w:r>
        <w:r w:rsidR="00A871B0">
          <w:rPr>
            <w:webHidden/>
          </w:rPr>
          <w:t>59</w:t>
        </w:r>
        <w:r w:rsidR="00755C46">
          <w:rPr>
            <w:webHidden/>
          </w:rPr>
          <w:fldChar w:fldCharType="end"/>
        </w:r>
      </w:hyperlink>
    </w:p>
    <w:p w:rsidR="00755C46" w:rsidRDefault="00755C46" w:rsidP="00755C46">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26068141" w:history="1">
        <w:r w:rsidRPr="0079737D">
          <w:rPr>
            <w:rStyle w:val="ab"/>
          </w:rPr>
          <w:t>1.</w:t>
        </w:r>
        <w:r w:rsidRPr="0079737D">
          <w:rPr>
            <w:rStyle w:val="ab"/>
            <w:rFonts w:hint="eastAsia"/>
          </w:rPr>
          <w:t>教育部</w:t>
        </w:r>
        <w:r w:rsidRPr="0079737D">
          <w:rPr>
            <w:rStyle w:val="ab"/>
          </w:rPr>
          <w:t xml:space="preserve"> (2</w:t>
        </w:r>
        <w:r w:rsidRPr="0079737D">
          <w:rPr>
            <w:rStyle w:val="ab"/>
            <w:rFonts w:hint="eastAsia"/>
          </w:rPr>
          <w:t>案</w:t>
        </w:r>
        <w:r w:rsidRPr="0079737D">
          <w:rPr>
            <w:rStyle w:val="ab"/>
          </w:rPr>
          <w:t>)</w:t>
        </w:r>
        <w:r>
          <w:rPr>
            <w:webHidden/>
          </w:rPr>
          <w:tab/>
        </w:r>
        <w:r>
          <w:rPr>
            <w:webHidden/>
          </w:rPr>
          <w:fldChar w:fldCharType="begin"/>
        </w:r>
        <w:r>
          <w:rPr>
            <w:webHidden/>
          </w:rPr>
          <w:instrText xml:space="preserve"> PAGEREF _Toc126068141 \h </w:instrText>
        </w:r>
        <w:r>
          <w:rPr>
            <w:webHidden/>
          </w:rPr>
        </w:r>
        <w:r>
          <w:rPr>
            <w:webHidden/>
          </w:rPr>
          <w:fldChar w:fldCharType="separate"/>
        </w:r>
        <w:r w:rsidR="00A871B0">
          <w:rPr>
            <w:webHidden/>
          </w:rPr>
          <w:t>59</w:t>
        </w:r>
        <w:r>
          <w:rPr>
            <w:webHidden/>
          </w:rPr>
          <w:fldChar w:fldCharType="end"/>
        </w:r>
      </w:hyperlink>
    </w:p>
    <w:p w:rsidR="00755C46" w:rsidRDefault="00755C46" w:rsidP="00755C46">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26068142" w:history="1">
        <w:r w:rsidRPr="0079737D">
          <w:rPr>
            <w:rStyle w:val="ab"/>
          </w:rPr>
          <w:t>2.</w:t>
        </w:r>
        <w:r w:rsidRPr="0079737D">
          <w:rPr>
            <w:rStyle w:val="ab"/>
            <w:rFonts w:hint="eastAsia"/>
          </w:rPr>
          <w:t>文化部</w:t>
        </w:r>
        <w:r w:rsidRPr="0079737D">
          <w:rPr>
            <w:rStyle w:val="ab"/>
          </w:rPr>
          <w:t xml:space="preserve"> (31</w:t>
        </w:r>
        <w:r w:rsidRPr="0079737D">
          <w:rPr>
            <w:rStyle w:val="ab"/>
            <w:rFonts w:hint="eastAsia"/>
          </w:rPr>
          <w:t>案</w:t>
        </w:r>
        <w:r w:rsidRPr="0079737D">
          <w:rPr>
            <w:rStyle w:val="ab"/>
          </w:rPr>
          <w:t>)</w:t>
        </w:r>
        <w:r>
          <w:rPr>
            <w:webHidden/>
          </w:rPr>
          <w:tab/>
        </w:r>
        <w:r>
          <w:rPr>
            <w:webHidden/>
          </w:rPr>
          <w:fldChar w:fldCharType="begin"/>
        </w:r>
        <w:r>
          <w:rPr>
            <w:webHidden/>
          </w:rPr>
          <w:instrText xml:space="preserve"> PAGEREF _Toc126068142 \h </w:instrText>
        </w:r>
        <w:r>
          <w:rPr>
            <w:webHidden/>
          </w:rPr>
        </w:r>
        <w:r>
          <w:rPr>
            <w:webHidden/>
          </w:rPr>
          <w:fldChar w:fldCharType="separate"/>
        </w:r>
        <w:r w:rsidR="00A871B0">
          <w:rPr>
            <w:webHidden/>
          </w:rPr>
          <w:t>60</w:t>
        </w:r>
        <w:r>
          <w:rPr>
            <w:webHidden/>
          </w:rPr>
          <w:fldChar w:fldCharType="end"/>
        </w:r>
      </w:hyperlink>
    </w:p>
    <w:p w:rsidR="00755C46" w:rsidRDefault="00755C46" w:rsidP="00755C46">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26068143" w:history="1">
        <w:r w:rsidRPr="0079737D">
          <w:rPr>
            <w:rStyle w:val="ab"/>
          </w:rPr>
          <w:t>3.</w:t>
        </w:r>
        <w:r w:rsidRPr="0079737D">
          <w:rPr>
            <w:rStyle w:val="ab"/>
            <w:rFonts w:hint="eastAsia"/>
          </w:rPr>
          <w:t>國家科學及技術委員會</w:t>
        </w:r>
        <w:r w:rsidRPr="0079737D">
          <w:rPr>
            <w:rStyle w:val="ab"/>
          </w:rPr>
          <w:t xml:space="preserve"> (3</w:t>
        </w:r>
        <w:r w:rsidRPr="0079737D">
          <w:rPr>
            <w:rStyle w:val="ab"/>
            <w:rFonts w:hint="eastAsia"/>
          </w:rPr>
          <w:t>案）</w:t>
        </w:r>
        <w:r>
          <w:rPr>
            <w:webHidden/>
          </w:rPr>
          <w:tab/>
        </w:r>
        <w:r>
          <w:rPr>
            <w:webHidden/>
          </w:rPr>
          <w:fldChar w:fldCharType="begin"/>
        </w:r>
        <w:r>
          <w:rPr>
            <w:webHidden/>
          </w:rPr>
          <w:instrText xml:space="preserve"> PAGEREF _Toc126068143 \h </w:instrText>
        </w:r>
        <w:r>
          <w:rPr>
            <w:webHidden/>
          </w:rPr>
        </w:r>
        <w:r>
          <w:rPr>
            <w:webHidden/>
          </w:rPr>
          <w:fldChar w:fldCharType="separate"/>
        </w:r>
        <w:r w:rsidR="00A871B0">
          <w:rPr>
            <w:webHidden/>
          </w:rPr>
          <w:t>66</w:t>
        </w:r>
        <w:r>
          <w:rPr>
            <w:webHidden/>
          </w:rPr>
          <w:fldChar w:fldCharType="end"/>
        </w:r>
      </w:hyperlink>
    </w:p>
    <w:p w:rsidR="00755C46" w:rsidRDefault="00755C46" w:rsidP="00755C46">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26068144" w:history="1">
        <w:r w:rsidRPr="0079737D">
          <w:rPr>
            <w:rStyle w:val="ab"/>
          </w:rPr>
          <w:t>4.</w:t>
        </w:r>
        <w:r w:rsidRPr="0079737D">
          <w:rPr>
            <w:rStyle w:val="ab"/>
            <w:rFonts w:hint="eastAsia"/>
          </w:rPr>
          <w:t>行政院原子能委員會</w:t>
        </w:r>
        <w:r w:rsidRPr="0079737D">
          <w:rPr>
            <w:rStyle w:val="ab"/>
          </w:rPr>
          <w:t xml:space="preserve"> (3</w:t>
        </w:r>
        <w:r w:rsidRPr="0079737D">
          <w:rPr>
            <w:rStyle w:val="ab"/>
            <w:rFonts w:hint="eastAsia"/>
          </w:rPr>
          <w:t>案）</w:t>
        </w:r>
        <w:r>
          <w:rPr>
            <w:webHidden/>
          </w:rPr>
          <w:tab/>
        </w:r>
        <w:r>
          <w:rPr>
            <w:webHidden/>
          </w:rPr>
          <w:fldChar w:fldCharType="begin"/>
        </w:r>
        <w:r>
          <w:rPr>
            <w:webHidden/>
          </w:rPr>
          <w:instrText xml:space="preserve"> PAGEREF _Toc126068144 \h </w:instrText>
        </w:r>
        <w:r>
          <w:rPr>
            <w:webHidden/>
          </w:rPr>
        </w:r>
        <w:r>
          <w:rPr>
            <w:webHidden/>
          </w:rPr>
          <w:fldChar w:fldCharType="separate"/>
        </w:r>
        <w:r w:rsidR="00A871B0">
          <w:rPr>
            <w:webHidden/>
          </w:rPr>
          <w:t>66</w:t>
        </w:r>
        <w:r>
          <w:rPr>
            <w:webHidden/>
          </w:rPr>
          <w:fldChar w:fldCharType="end"/>
        </w:r>
      </w:hyperlink>
    </w:p>
    <w:p w:rsidR="00755C46" w:rsidRDefault="00755C46" w:rsidP="00755C46">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26068145" w:history="1">
        <w:r w:rsidRPr="0079737D">
          <w:rPr>
            <w:rStyle w:val="ab"/>
          </w:rPr>
          <w:t>5.</w:t>
        </w:r>
        <w:r w:rsidRPr="0079737D">
          <w:rPr>
            <w:rStyle w:val="ab"/>
            <w:rFonts w:hint="eastAsia"/>
          </w:rPr>
          <w:t>國立故宮博物院</w:t>
        </w:r>
        <w:r w:rsidRPr="0079737D">
          <w:rPr>
            <w:rStyle w:val="ab"/>
          </w:rPr>
          <w:t xml:space="preserve"> (5</w:t>
        </w:r>
        <w:r w:rsidRPr="0079737D">
          <w:rPr>
            <w:rStyle w:val="ab"/>
            <w:rFonts w:hint="eastAsia"/>
          </w:rPr>
          <w:t>案）</w:t>
        </w:r>
        <w:r>
          <w:rPr>
            <w:webHidden/>
          </w:rPr>
          <w:tab/>
        </w:r>
        <w:r>
          <w:rPr>
            <w:webHidden/>
          </w:rPr>
          <w:fldChar w:fldCharType="begin"/>
        </w:r>
        <w:r>
          <w:rPr>
            <w:webHidden/>
          </w:rPr>
          <w:instrText xml:space="preserve"> PAGEREF _Toc126068145 \h </w:instrText>
        </w:r>
        <w:r>
          <w:rPr>
            <w:webHidden/>
          </w:rPr>
        </w:r>
        <w:r>
          <w:rPr>
            <w:webHidden/>
          </w:rPr>
          <w:fldChar w:fldCharType="separate"/>
        </w:r>
        <w:r w:rsidR="00A871B0">
          <w:rPr>
            <w:webHidden/>
          </w:rPr>
          <w:t>67</w:t>
        </w:r>
        <w:r>
          <w:rPr>
            <w:webHidden/>
          </w:rPr>
          <w:fldChar w:fldCharType="end"/>
        </w:r>
      </w:hyperlink>
    </w:p>
    <w:p w:rsidR="00755C46" w:rsidRDefault="00755C46" w:rsidP="00755C46">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26068146" w:history="1">
        <w:r w:rsidRPr="0079737D">
          <w:rPr>
            <w:rStyle w:val="ab"/>
          </w:rPr>
          <w:t>6.</w:t>
        </w:r>
        <w:r w:rsidRPr="0079737D">
          <w:rPr>
            <w:rStyle w:val="ab"/>
            <w:rFonts w:hint="eastAsia"/>
          </w:rPr>
          <w:t>中央研究院</w:t>
        </w:r>
        <w:r w:rsidRPr="0079737D">
          <w:rPr>
            <w:rStyle w:val="ab"/>
          </w:rPr>
          <w:t xml:space="preserve"> (9</w:t>
        </w:r>
        <w:r w:rsidRPr="0079737D">
          <w:rPr>
            <w:rStyle w:val="ab"/>
            <w:rFonts w:hint="eastAsia"/>
          </w:rPr>
          <w:t>案）</w:t>
        </w:r>
        <w:r>
          <w:rPr>
            <w:webHidden/>
          </w:rPr>
          <w:tab/>
        </w:r>
        <w:r>
          <w:rPr>
            <w:webHidden/>
          </w:rPr>
          <w:fldChar w:fldCharType="begin"/>
        </w:r>
        <w:r>
          <w:rPr>
            <w:webHidden/>
          </w:rPr>
          <w:instrText xml:space="preserve"> PAGEREF _Toc126068146 \h </w:instrText>
        </w:r>
        <w:r>
          <w:rPr>
            <w:webHidden/>
          </w:rPr>
        </w:r>
        <w:r>
          <w:rPr>
            <w:webHidden/>
          </w:rPr>
          <w:fldChar w:fldCharType="separate"/>
        </w:r>
        <w:r w:rsidR="00A871B0">
          <w:rPr>
            <w:webHidden/>
          </w:rPr>
          <w:t>68</w:t>
        </w:r>
        <w:r>
          <w:rPr>
            <w:webHidden/>
          </w:rPr>
          <w:fldChar w:fldCharType="end"/>
        </w:r>
      </w:hyperlink>
    </w:p>
    <w:p w:rsidR="00755C46" w:rsidRDefault="00641E57" w:rsidP="00755C46">
      <w:pPr>
        <w:pStyle w:val="21"/>
        <w:rPr>
          <w:rFonts w:asciiTheme="minorHAnsi" w:eastAsiaTheme="minorEastAsia" w:hAnsiTheme="minorHAnsi" w:cstheme="minorBidi"/>
          <w:sz w:val="24"/>
          <w:szCs w:val="22"/>
        </w:rPr>
      </w:pPr>
      <w:hyperlink w:anchor="_Toc126068147" w:history="1">
        <w:r w:rsidR="00755C46" w:rsidRPr="0079737D">
          <w:rPr>
            <w:rStyle w:val="ab"/>
            <w:rFonts w:hint="eastAsia"/>
          </w:rPr>
          <w:t>三、行政命令案（</w:t>
        </w:r>
        <w:r w:rsidR="00755C46" w:rsidRPr="0079737D">
          <w:rPr>
            <w:rStyle w:val="ab"/>
          </w:rPr>
          <w:t>9</w:t>
        </w:r>
        <w:r w:rsidR="00755C46" w:rsidRPr="0079737D">
          <w:rPr>
            <w:rStyle w:val="ab"/>
            <w:rFonts w:hint="eastAsia"/>
          </w:rPr>
          <w:t>案）</w:t>
        </w:r>
        <w:r w:rsidR="00755C46">
          <w:rPr>
            <w:webHidden/>
          </w:rPr>
          <w:tab/>
        </w:r>
        <w:r w:rsidR="00755C46">
          <w:rPr>
            <w:webHidden/>
          </w:rPr>
          <w:fldChar w:fldCharType="begin"/>
        </w:r>
        <w:r w:rsidR="00755C46">
          <w:rPr>
            <w:webHidden/>
          </w:rPr>
          <w:instrText xml:space="preserve"> PAGEREF _Toc126068147 \h </w:instrText>
        </w:r>
        <w:r w:rsidR="00755C46">
          <w:rPr>
            <w:webHidden/>
          </w:rPr>
        </w:r>
        <w:r w:rsidR="00755C46">
          <w:rPr>
            <w:webHidden/>
          </w:rPr>
          <w:fldChar w:fldCharType="separate"/>
        </w:r>
        <w:r w:rsidR="00A871B0">
          <w:rPr>
            <w:webHidden/>
          </w:rPr>
          <w:t>70</w:t>
        </w:r>
        <w:r w:rsidR="00755C46">
          <w:rPr>
            <w:webHidden/>
          </w:rPr>
          <w:fldChar w:fldCharType="end"/>
        </w:r>
      </w:hyperlink>
    </w:p>
    <w:p w:rsidR="00755C46" w:rsidRDefault="00641E57" w:rsidP="00755C46">
      <w:pPr>
        <w:pStyle w:val="21"/>
        <w:rPr>
          <w:rFonts w:asciiTheme="minorHAnsi" w:eastAsiaTheme="minorEastAsia" w:hAnsiTheme="minorHAnsi" w:cstheme="minorBidi"/>
          <w:sz w:val="24"/>
          <w:szCs w:val="22"/>
        </w:rPr>
      </w:pPr>
      <w:hyperlink w:anchor="_Toc126068148" w:history="1">
        <w:r w:rsidR="00755C46" w:rsidRPr="0079737D">
          <w:rPr>
            <w:rStyle w:val="ab"/>
            <w:rFonts w:hint="eastAsia"/>
          </w:rPr>
          <w:t>四、其他議案（</w:t>
        </w:r>
        <w:r w:rsidR="00755C46" w:rsidRPr="0079737D">
          <w:rPr>
            <w:rStyle w:val="ab"/>
          </w:rPr>
          <w:t>106</w:t>
        </w:r>
        <w:r w:rsidR="00755C46" w:rsidRPr="0079737D">
          <w:rPr>
            <w:rStyle w:val="ab"/>
            <w:rFonts w:hint="eastAsia"/>
          </w:rPr>
          <w:t>案）</w:t>
        </w:r>
        <w:r w:rsidR="00755C46">
          <w:rPr>
            <w:webHidden/>
          </w:rPr>
          <w:tab/>
        </w:r>
        <w:r w:rsidR="00755C46">
          <w:rPr>
            <w:webHidden/>
          </w:rPr>
          <w:fldChar w:fldCharType="begin"/>
        </w:r>
        <w:r w:rsidR="00755C46">
          <w:rPr>
            <w:webHidden/>
          </w:rPr>
          <w:instrText xml:space="preserve"> PAGEREF _Toc126068148 \h </w:instrText>
        </w:r>
        <w:r w:rsidR="00755C46">
          <w:rPr>
            <w:webHidden/>
          </w:rPr>
        </w:r>
        <w:r w:rsidR="00755C46">
          <w:rPr>
            <w:webHidden/>
          </w:rPr>
          <w:fldChar w:fldCharType="separate"/>
        </w:r>
        <w:r w:rsidR="00A871B0">
          <w:rPr>
            <w:webHidden/>
          </w:rPr>
          <w:t>72</w:t>
        </w:r>
        <w:r w:rsidR="00755C46">
          <w:rPr>
            <w:webHidden/>
          </w:rPr>
          <w:fldChar w:fldCharType="end"/>
        </w:r>
      </w:hyperlink>
    </w:p>
    <w:p w:rsidR="00755C46" w:rsidRDefault="00641E57" w:rsidP="00755C46">
      <w:pPr>
        <w:pStyle w:val="21"/>
        <w:rPr>
          <w:rFonts w:asciiTheme="minorHAnsi" w:eastAsiaTheme="minorEastAsia" w:hAnsiTheme="minorHAnsi" w:cstheme="minorBidi"/>
          <w:sz w:val="24"/>
          <w:szCs w:val="22"/>
        </w:rPr>
      </w:pPr>
      <w:hyperlink w:anchor="_Toc126068149" w:history="1">
        <w:r w:rsidR="00755C46" w:rsidRPr="0079737D">
          <w:rPr>
            <w:rStyle w:val="ab"/>
            <w:rFonts w:hint="eastAsia"/>
          </w:rPr>
          <w:t>五、人民請願案（</w:t>
        </w:r>
        <w:r w:rsidR="00755C46" w:rsidRPr="0079737D">
          <w:rPr>
            <w:rStyle w:val="ab"/>
          </w:rPr>
          <w:t>1</w:t>
        </w:r>
        <w:r w:rsidR="00755C46" w:rsidRPr="0079737D">
          <w:rPr>
            <w:rStyle w:val="ab"/>
            <w:rFonts w:hint="eastAsia"/>
          </w:rPr>
          <w:t>案）</w:t>
        </w:r>
        <w:r w:rsidR="00755C46">
          <w:rPr>
            <w:webHidden/>
          </w:rPr>
          <w:tab/>
        </w:r>
        <w:r w:rsidR="00755C46">
          <w:rPr>
            <w:webHidden/>
          </w:rPr>
          <w:fldChar w:fldCharType="begin"/>
        </w:r>
        <w:r w:rsidR="00755C46">
          <w:rPr>
            <w:webHidden/>
          </w:rPr>
          <w:instrText xml:space="preserve"> PAGEREF _Toc126068149 \h </w:instrText>
        </w:r>
        <w:r w:rsidR="00755C46">
          <w:rPr>
            <w:webHidden/>
          </w:rPr>
        </w:r>
        <w:r w:rsidR="00755C46">
          <w:rPr>
            <w:webHidden/>
          </w:rPr>
          <w:fldChar w:fldCharType="separate"/>
        </w:r>
        <w:r w:rsidR="00A871B0">
          <w:rPr>
            <w:webHidden/>
          </w:rPr>
          <w:t>88</w:t>
        </w:r>
        <w:r w:rsidR="00755C46">
          <w:rPr>
            <w:webHidden/>
          </w:rPr>
          <w:fldChar w:fldCharType="end"/>
        </w:r>
      </w:hyperlink>
    </w:p>
    <w:p w:rsidR="00755C46" w:rsidRDefault="00641E57">
      <w:pPr>
        <w:pStyle w:val="11"/>
        <w:rPr>
          <w:rFonts w:asciiTheme="minorHAnsi" w:eastAsiaTheme="minorEastAsia" w:hAnsiTheme="minorHAnsi" w:cstheme="minorBidi"/>
          <w:b w:val="0"/>
          <w:bCs w:val="0"/>
          <w:kern w:val="2"/>
          <w:sz w:val="24"/>
          <w:szCs w:val="22"/>
        </w:rPr>
      </w:pPr>
      <w:hyperlink w:anchor="_Toc126068150" w:history="1">
        <w:r w:rsidR="00755C46" w:rsidRPr="0079737D">
          <w:rPr>
            <w:rStyle w:val="ab"/>
            <w:rFonts w:hint="eastAsia"/>
          </w:rPr>
          <w:t>伍、尚待院會審議之議案</w:t>
        </w:r>
        <w:r w:rsidR="00755C46" w:rsidRPr="0079737D">
          <w:rPr>
            <w:rStyle w:val="ab"/>
          </w:rPr>
          <w:t xml:space="preserve"> (42</w:t>
        </w:r>
        <w:r w:rsidR="00755C46" w:rsidRPr="0079737D">
          <w:rPr>
            <w:rStyle w:val="ab"/>
            <w:rFonts w:hint="eastAsia"/>
          </w:rPr>
          <w:t>案</w:t>
        </w:r>
        <w:r w:rsidR="00755C46" w:rsidRPr="0079737D">
          <w:rPr>
            <w:rStyle w:val="ab"/>
          </w:rPr>
          <w:t>)</w:t>
        </w:r>
        <w:r w:rsidR="00755C46" w:rsidRPr="00755C46">
          <w:rPr>
            <w:b w:val="0"/>
            <w:webHidden/>
            <w:sz w:val="28"/>
            <w:szCs w:val="28"/>
          </w:rPr>
          <w:tab/>
        </w:r>
        <w:r w:rsidR="00755C46" w:rsidRPr="00755C46">
          <w:rPr>
            <w:b w:val="0"/>
            <w:webHidden/>
            <w:sz w:val="28"/>
            <w:szCs w:val="28"/>
          </w:rPr>
          <w:fldChar w:fldCharType="begin"/>
        </w:r>
        <w:r w:rsidR="00755C46" w:rsidRPr="00755C46">
          <w:rPr>
            <w:b w:val="0"/>
            <w:webHidden/>
            <w:sz w:val="28"/>
            <w:szCs w:val="28"/>
          </w:rPr>
          <w:instrText xml:space="preserve"> PAGEREF _Toc126068150 \h </w:instrText>
        </w:r>
        <w:r w:rsidR="00755C46" w:rsidRPr="00755C46">
          <w:rPr>
            <w:b w:val="0"/>
            <w:webHidden/>
            <w:sz w:val="28"/>
            <w:szCs w:val="28"/>
          </w:rPr>
        </w:r>
        <w:r w:rsidR="00755C46" w:rsidRPr="00755C46">
          <w:rPr>
            <w:b w:val="0"/>
            <w:webHidden/>
            <w:sz w:val="28"/>
            <w:szCs w:val="28"/>
          </w:rPr>
          <w:fldChar w:fldCharType="separate"/>
        </w:r>
        <w:r w:rsidR="00A871B0">
          <w:rPr>
            <w:b w:val="0"/>
            <w:webHidden/>
            <w:sz w:val="28"/>
            <w:szCs w:val="28"/>
          </w:rPr>
          <w:t>89</w:t>
        </w:r>
        <w:r w:rsidR="00755C46" w:rsidRPr="00755C46">
          <w:rPr>
            <w:b w:val="0"/>
            <w:webHidden/>
            <w:sz w:val="28"/>
            <w:szCs w:val="28"/>
          </w:rPr>
          <w:fldChar w:fldCharType="end"/>
        </w:r>
      </w:hyperlink>
    </w:p>
    <w:p w:rsidR="00755C46" w:rsidRDefault="00641E57" w:rsidP="00755C46">
      <w:pPr>
        <w:pStyle w:val="21"/>
        <w:rPr>
          <w:rFonts w:asciiTheme="minorHAnsi" w:eastAsiaTheme="minorEastAsia" w:hAnsiTheme="minorHAnsi" w:cstheme="minorBidi"/>
          <w:sz w:val="24"/>
          <w:szCs w:val="22"/>
        </w:rPr>
      </w:pPr>
      <w:hyperlink w:anchor="_Toc126068151" w:history="1">
        <w:r w:rsidR="00755C46" w:rsidRPr="0079737D">
          <w:rPr>
            <w:rStyle w:val="ab"/>
            <w:rFonts w:hint="eastAsia"/>
          </w:rPr>
          <w:t>一、法律案（</w:t>
        </w:r>
        <w:r w:rsidR="00755C46" w:rsidRPr="0079737D">
          <w:rPr>
            <w:rStyle w:val="ab"/>
          </w:rPr>
          <w:t>38</w:t>
        </w:r>
        <w:r w:rsidR="00755C46" w:rsidRPr="0079737D">
          <w:rPr>
            <w:rStyle w:val="ab"/>
            <w:rFonts w:hint="eastAsia"/>
          </w:rPr>
          <w:t>案）</w:t>
        </w:r>
        <w:r w:rsidR="00755C46">
          <w:rPr>
            <w:webHidden/>
          </w:rPr>
          <w:tab/>
        </w:r>
        <w:r w:rsidR="00755C46">
          <w:rPr>
            <w:webHidden/>
          </w:rPr>
          <w:fldChar w:fldCharType="begin"/>
        </w:r>
        <w:r w:rsidR="00755C46">
          <w:rPr>
            <w:webHidden/>
          </w:rPr>
          <w:instrText xml:space="preserve"> PAGEREF _Toc126068151 \h </w:instrText>
        </w:r>
        <w:r w:rsidR="00755C46">
          <w:rPr>
            <w:webHidden/>
          </w:rPr>
        </w:r>
        <w:r w:rsidR="00755C46">
          <w:rPr>
            <w:webHidden/>
          </w:rPr>
          <w:fldChar w:fldCharType="separate"/>
        </w:r>
        <w:r w:rsidR="00A871B0">
          <w:rPr>
            <w:webHidden/>
          </w:rPr>
          <w:t>89</w:t>
        </w:r>
        <w:r w:rsidR="00755C46">
          <w:rPr>
            <w:webHidden/>
          </w:rPr>
          <w:fldChar w:fldCharType="end"/>
        </w:r>
      </w:hyperlink>
    </w:p>
    <w:p w:rsidR="00755C46" w:rsidRDefault="00641E57" w:rsidP="00755C46">
      <w:pPr>
        <w:pStyle w:val="31"/>
        <w:rPr>
          <w:rFonts w:asciiTheme="minorHAnsi" w:eastAsiaTheme="minorEastAsia" w:hAnsiTheme="minorHAnsi" w:cstheme="minorBidi"/>
          <w:color w:val="auto"/>
          <w:spacing w:val="0"/>
          <w:sz w:val="24"/>
          <w:szCs w:val="22"/>
        </w:rPr>
      </w:pPr>
      <w:hyperlink w:anchor="_Toc126068152" w:history="1">
        <w:r w:rsidR="00755C46" w:rsidRPr="0079737D">
          <w:rPr>
            <w:rStyle w:val="ab"/>
          </w:rPr>
          <w:t>(</w:t>
        </w:r>
        <w:r w:rsidR="00755C46" w:rsidRPr="0079737D">
          <w:rPr>
            <w:rStyle w:val="ab"/>
            <w:rFonts w:hint="eastAsia"/>
          </w:rPr>
          <w:t>一</w:t>
        </w:r>
        <w:r w:rsidR="00755C46" w:rsidRPr="0079737D">
          <w:rPr>
            <w:rStyle w:val="ab"/>
          </w:rPr>
          <w:t>)</w:t>
        </w:r>
        <w:r w:rsidR="00755C46" w:rsidRPr="0079737D">
          <w:rPr>
            <w:rStyle w:val="ab"/>
            <w:rFonts w:hint="eastAsia"/>
          </w:rPr>
          <w:t>教育部</w:t>
        </w:r>
        <w:r w:rsidR="00755C46" w:rsidRPr="0079737D">
          <w:rPr>
            <w:rStyle w:val="ab"/>
          </w:rPr>
          <w:t xml:space="preserve"> (38</w:t>
        </w:r>
        <w:r w:rsidR="00755C46" w:rsidRPr="0079737D">
          <w:rPr>
            <w:rStyle w:val="ab"/>
            <w:rFonts w:hint="eastAsia"/>
          </w:rPr>
          <w:t>案）</w:t>
        </w:r>
        <w:r w:rsidR="00755C46">
          <w:rPr>
            <w:webHidden/>
          </w:rPr>
          <w:tab/>
        </w:r>
        <w:r w:rsidR="00755C46">
          <w:rPr>
            <w:webHidden/>
          </w:rPr>
          <w:fldChar w:fldCharType="begin"/>
        </w:r>
        <w:r w:rsidR="00755C46">
          <w:rPr>
            <w:webHidden/>
          </w:rPr>
          <w:instrText xml:space="preserve"> PAGEREF _Toc126068152 \h </w:instrText>
        </w:r>
        <w:r w:rsidR="00755C46">
          <w:rPr>
            <w:webHidden/>
          </w:rPr>
        </w:r>
        <w:r w:rsidR="00755C46">
          <w:rPr>
            <w:webHidden/>
          </w:rPr>
          <w:fldChar w:fldCharType="separate"/>
        </w:r>
        <w:r w:rsidR="00A871B0">
          <w:rPr>
            <w:webHidden/>
          </w:rPr>
          <w:t>89</w:t>
        </w:r>
        <w:r w:rsidR="00755C46">
          <w:rPr>
            <w:webHidden/>
          </w:rPr>
          <w:fldChar w:fldCharType="end"/>
        </w:r>
      </w:hyperlink>
    </w:p>
    <w:p w:rsidR="00755C46" w:rsidRDefault="00641E57" w:rsidP="00755C46">
      <w:pPr>
        <w:pStyle w:val="21"/>
        <w:rPr>
          <w:rFonts w:asciiTheme="minorHAnsi" w:eastAsiaTheme="minorEastAsia" w:hAnsiTheme="minorHAnsi" w:cstheme="minorBidi"/>
          <w:sz w:val="24"/>
          <w:szCs w:val="22"/>
        </w:rPr>
      </w:pPr>
      <w:hyperlink w:anchor="_Toc126068153" w:history="1">
        <w:r w:rsidR="00755C46" w:rsidRPr="0079737D">
          <w:rPr>
            <w:rStyle w:val="ab"/>
            <w:rFonts w:hint="eastAsia"/>
          </w:rPr>
          <w:t>二、預</w:t>
        </w:r>
        <w:r w:rsidR="00755C46" w:rsidRPr="0079737D">
          <w:rPr>
            <w:rStyle w:val="ab"/>
          </w:rPr>
          <w:t>(</w:t>
        </w:r>
        <w:r w:rsidR="00755C46" w:rsidRPr="0079737D">
          <w:rPr>
            <w:rStyle w:val="ab"/>
            <w:rFonts w:hint="eastAsia"/>
          </w:rPr>
          <w:t>決</w:t>
        </w:r>
        <w:r w:rsidR="00755C46" w:rsidRPr="0079737D">
          <w:rPr>
            <w:rStyle w:val="ab"/>
          </w:rPr>
          <w:t>)</w:t>
        </w:r>
        <w:r w:rsidR="00755C46" w:rsidRPr="0079737D">
          <w:rPr>
            <w:rStyle w:val="ab"/>
            <w:rFonts w:hint="eastAsia"/>
          </w:rPr>
          <w:t>算案（</w:t>
        </w:r>
        <w:r w:rsidR="00755C46" w:rsidRPr="0079737D">
          <w:rPr>
            <w:rStyle w:val="ab"/>
          </w:rPr>
          <w:t>1</w:t>
        </w:r>
        <w:r w:rsidR="00755C46" w:rsidRPr="0079737D">
          <w:rPr>
            <w:rStyle w:val="ab"/>
            <w:rFonts w:hint="eastAsia"/>
          </w:rPr>
          <w:t>案）</w:t>
        </w:r>
        <w:r w:rsidR="00755C46">
          <w:rPr>
            <w:webHidden/>
          </w:rPr>
          <w:tab/>
        </w:r>
        <w:r w:rsidR="00755C46">
          <w:rPr>
            <w:webHidden/>
          </w:rPr>
          <w:fldChar w:fldCharType="begin"/>
        </w:r>
        <w:r w:rsidR="00755C46">
          <w:rPr>
            <w:webHidden/>
          </w:rPr>
          <w:instrText xml:space="preserve"> PAGEREF _Toc126068153 \h </w:instrText>
        </w:r>
        <w:r w:rsidR="00755C46">
          <w:rPr>
            <w:webHidden/>
          </w:rPr>
        </w:r>
        <w:r w:rsidR="00755C46">
          <w:rPr>
            <w:webHidden/>
          </w:rPr>
          <w:fldChar w:fldCharType="separate"/>
        </w:r>
        <w:r w:rsidR="00A871B0">
          <w:rPr>
            <w:webHidden/>
          </w:rPr>
          <w:t>94</w:t>
        </w:r>
        <w:r w:rsidR="00755C46">
          <w:rPr>
            <w:webHidden/>
          </w:rPr>
          <w:fldChar w:fldCharType="end"/>
        </w:r>
      </w:hyperlink>
    </w:p>
    <w:p w:rsidR="00755C46" w:rsidRDefault="00641E57" w:rsidP="00755C46">
      <w:pPr>
        <w:pStyle w:val="31"/>
        <w:rPr>
          <w:rFonts w:asciiTheme="minorHAnsi" w:eastAsiaTheme="minorEastAsia" w:hAnsiTheme="minorHAnsi" w:cstheme="minorBidi"/>
          <w:color w:val="auto"/>
          <w:spacing w:val="0"/>
          <w:sz w:val="24"/>
          <w:szCs w:val="22"/>
        </w:rPr>
      </w:pPr>
      <w:hyperlink w:anchor="_Toc126068154" w:history="1">
        <w:r w:rsidR="00755C46" w:rsidRPr="0079737D">
          <w:rPr>
            <w:rStyle w:val="ab"/>
          </w:rPr>
          <w:t>(</w:t>
        </w:r>
        <w:r w:rsidR="00755C46" w:rsidRPr="0079737D">
          <w:rPr>
            <w:rStyle w:val="ab"/>
            <w:rFonts w:hint="eastAsia"/>
          </w:rPr>
          <w:t>一</w:t>
        </w:r>
        <w:r w:rsidR="00755C46" w:rsidRPr="0079737D">
          <w:rPr>
            <w:rStyle w:val="ab"/>
          </w:rPr>
          <w:t>)112</w:t>
        </w:r>
        <w:r w:rsidR="00755C46" w:rsidRPr="0079737D">
          <w:rPr>
            <w:rStyle w:val="ab"/>
            <w:rFonts w:hint="eastAsia"/>
          </w:rPr>
          <w:t>年度中央政府總預算案</w:t>
        </w:r>
        <w:r w:rsidR="00755C46" w:rsidRPr="0079737D">
          <w:rPr>
            <w:rStyle w:val="ab"/>
          </w:rPr>
          <w:t>(</w:t>
        </w:r>
        <w:r w:rsidR="00755C46" w:rsidRPr="0079737D">
          <w:rPr>
            <w:rStyle w:val="ab"/>
            <w:rFonts w:hint="eastAsia"/>
          </w:rPr>
          <w:t>非營業基金預算</w:t>
        </w:r>
        <w:r w:rsidR="00755C46" w:rsidRPr="0079737D">
          <w:rPr>
            <w:rStyle w:val="ab"/>
          </w:rPr>
          <w:t>) (1</w:t>
        </w:r>
        <w:r w:rsidR="00755C46" w:rsidRPr="0079737D">
          <w:rPr>
            <w:rStyle w:val="ab"/>
            <w:rFonts w:hint="eastAsia"/>
          </w:rPr>
          <w:t>案</w:t>
        </w:r>
        <w:r w:rsidR="00755C46" w:rsidRPr="0079737D">
          <w:rPr>
            <w:rStyle w:val="ab"/>
          </w:rPr>
          <w:t>)</w:t>
        </w:r>
        <w:r w:rsidR="00755C46">
          <w:rPr>
            <w:webHidden/>
          </w:rPr>
          <w:tab/>
        </w:r>
        <w:r w:rsidR="00755C46">
          <w:rPr>
            <w:webHidden/>
          </w:rPr>
          <w:fldChar w:fldCharType="begin"/>
        </w:r>
        <w:r w:rsidR="00755C46">
          <w:rPr>
            <w:webHidden/>
          </w:rPr>
          <w:instrText xml:space="preserve"> PAGEREF _Toc126068154 \h </w:instrText>
        </w:r>
        <w:r w:rsidR="00755C46">
          <w:rPr>
            <w:webHidden/>
          </w:rPr>
        </w:r>
        <w:r w:rsidR="00755C46">
          <w:rPr>
            <w:webHidden/>
          </w:rPr>
          <w:fldChar w:fldCharType="separate"/>
        </w:r>
        <w:r w:rsidR="00A871B0">
          <w:rPr>
            <w:webHidden/>
          </w:rPr>
          <w:t>94</w:t>
        </w:r>
        <w:r w:rsidR="00755C46">
          <w:rPr>
            <w:webHidden/>
          </w:rPr>
          <w:fldChar w:fldCharType="end"/>
        </w:r>
      </w:hyperlink>
    </w:p>
    <w:p w:rsidR="00755C46" w:rsidRPr="00755C46" w:rsidRDefault="00641E57" w:rsidP="00755C46">
      <w:pPr>
        <w:pStyle w:val="21"/>
        <w:rPr>
          <w:rFonts w:asciiTheme="minorHAnsi" w:eastAsiaTheme="minorEastAsia" w:hAnsiTheme="minorHAnsi" w:cstheme="minorBidi"/>
          <w:sz w:val="24"/>
          <w:szCs w:val="22"/>
        </w:rPr>
      </w:pPr>
      <w:hyperlink w:anchor="_Toc126068155" w:history="1">
        <w:r w:rsidR="00755C46" w:rsidRPr="00755C46">
          <w:rPr>
            <w:rStyle w:val="ab"/>
            <w:rFonts w:hint="eastAsia"/>
          </w:rPr>
          <w:t>三、行政命令（</w:t>
        </w:r>
        <w:r w:rsidR="00755C46" w:rsidRPr="00755C46">
          <w:rPr>
            <w:rStyle w:val="ab"/>
          </w:rPr>
          <w:t>3</w:t>
        </w:r>
        <w:r w:rsidR="00755C46" w:rsidRPr="00755C46">
          <w:rPr>
            <w:rStyle w:val="ab"/>
            <w:rFonts w:hint="eastAsia"/>
          </w:rPr>
          <w:t>案）</w:t>
        </w:r>
        <w:r w:rsidR="00755C46" w:rsidRPr="00755C46">
          <w:rPr>
            <w:webHidden/>
          </w:rPr>
          <w:tab/>
        </w:r>
        <w:r w:rsidR="00755C46" w:rsidRPr="00755C46">
          <w:rPr>
            <w:webHidden/>
          </w:rPr>
          <w:fldChar w:fldCharType="begin"/>
        </w:r>
        <w:r w:rsidR="00755C46" w:rsidRPr="00755C46">
          <w:rPr>
            <w:webHidden/>
          </w:rPr>
          <w:instrText xml:space="preserve"> PAGEREF _Toc126068155 \h </w:instrText>
        </w:r>
        <w:r w:rsidR="00755C46" w:rsidRPr="00755C46">
          <w:rPr>
            <w:webHidden/>
          </w:rPr>
        </w:r>
        <w:r w:rsidR="00755C46" w:rsidRPr="00755C46">
          <w:rPr>
            <w:webHidden/>
          </w:rPr>
          <w:fldChar w:fldCharType="separate"/>
        </w:r>
        <w:r w:rsidR="00A871B0">
          <w:rPr>
            <w:webHidden/>
          </w:rPr>
          <w:t>96</w:t>
        </w:r>
        <w:r w:rsidR="00755C46" w:rsidRPr="00755C46">
          <w:rPr>
            <w:webHidden/>
          </w:rPr>
          <w:fldChar w:fldCharType="end"/>
        </w:r>
      </w:hyperlink>
    </w:p>
    <w:p w:rsidR="00755C46" w:rsidRDefault="00641E57">
      <w:pPr>
        <w:pStyle w:val="11"/>
        <w:rPr>
          <w:rFonts w:asciiTheme="minorHAnsi" w:eastAsiaTheme="minorEastAsia" w:hAnsiTheme="minorHAnsi" w:cstheme="minorBidi"/>
          <w:b w:val="0"/>
          <w:bCs w:val="0"/>
          <w:kern w:val="2"/>
          <w:sz w:val="24"/>
          <w:szCs w:val="22"/>
        </w:rPr>
      </w:pPr>
      <w:hyperlink w:anchor="_Toc126068156" w:history="1">
        <w:r w:rsidR="00755C46" w:rsidRPr="0079737D">
          <w:rPr>
            <w:rStyle w:val="ab"/>
            <w:rFonts w:hint="eastAsia"/>
          </w:rPr>
          <w:t>陸、本會待審</w:t>
        </w:r>
        <w:r w:rsidR="00755C46" w:rsidRPr="0079737D">
          <w:rPr>
            <w:rStyle w:val="ab"/>
          </w:rPr>
          <w:t>(</w:t>
        </w:r>
        <w:r w:rsidR="00755C46" w:rsidRPr="0079737D">
          <w:rPr>
            <w:rStyle w:val="ab"/>
            <w:rFonts w:hint="eastAsia"/>
          </w:rPr>
          <w:t>處理</w:t>
        </w:r>
        <w:r w:rsidR="00755C46" w:rsidRPr="0079737D">
          <w:rPr>
            <w:rStyle w:val="ab"/>
          </w:rPr>
          <w:t>)</w:t>
        </w:r>
        <w:r w:rsidR="00755C46" w:rsidRPr="0079737D">
          <w:rPr>
            <w:rStyle w:val="ab"/>
            <w:rFonts w:hint="eastAsia"/>
          </w:rPr>
          <w:t>之議案</w:t>
        </w:r>
        <w:r w:rsidR="00755C46" w:rsidRPr="0079737D">
          <w:rPr>
            <w:rStyle w:val="ab"/>
          </w:rPr>
          <w:t xml:space="preserve"> (951</w:t>
        </w:r>
        <w:r w:rsidR="00755C46" w:rsidRPr="0079737D">
          <w:rPr>
            <w:rStyle w:val="ab"/>
            <w:rFonts w:hint="eastAsia"/>
          </w:rPr>
          <w:t>案</w:t>
        </w:r>
        <w:r w:rsidR="00755C46" w:rsidRPr="0079737D">
          <w:rPr>
            <w:rStyle w:val="ab"/>
          </w:rPr>
          <w:t>)</w:t>
        </w:r>
        <w:r w:rsidR="00755C46" w:rsidRPr="00755C46">
          <w:rPr>
            <w:b w:val="0"/>
            <w:webHidden/>
            <w:sz w:val="28"/>
            <w:szCs w:val="28"/>
          </w:rPr>
          <w:tab/>
        </w:r>
        <w:r w:rsidR="00755C46" w:rsidRPr="00755C46">
          <w:rPr>
            <w:b w:val="0"/>
            <w:webHidden/>
            <w:sz w:val="28"/>
            <w:szCs w:val="28"/>
          </w:rPr>
          <w:fldChar w:fldCharType="begin"/>
        </w:r>
        <w:r w:rsidR="00755C46" w:rsidRPr="00755C46">
          <w:rPr>
            <w:b w:val="0"/>
            <w:webHidden/>
            <w:sz w:val="28"/>
            <w:szCs w:val="28"/>
          </w:rPr>
          <w:instrText xml:space="preserve"> PAGEREF _Toc126068156 \h </w:instrText>
        </w:r>
        <w:r w:rsidR="00755C46" w:rsidRPr="00755C46">
          <w:rPr>
            <w:b w:val="0"/>
            <w:webHidden/>
            <w:sz w:val="28"/>
            <w:szCs w:val="28"/>
          </w:rPr>
        </w:r>
        <w:r w:rsidR="00755C46" w:rsidRPr="00755C46">
          <w:rPr>
            <w:b w:val="0"/>
            <w:webHidden/>
            <w:sz w:val="28"/>
            <w:szCs w:val="28"/>
          </w:rPr>
          <w:fldChar w:fldCharType="separate"/>
        </w:r>
        <w:r w:rsidR="00A871B0">
          <w:rPr>
            <w:b w:val="0"/>
            <w:webHidden/>
            <w:sz w:val="28"/>
            <w:szCs w:val="28"/>
          </w:rPr>
          <w:t>97</w:t>
        </w:r>
        <w:r w:rsidR="00755C46" w:rsidRPr="00755C46">
          <w:rPr>
            <w:b w:val="0"/>
            <w:webHidden/>
            <w:sz w:val="28"/>
            <w:szCs w:val="28"/>
          </w:rPr>
          <w:fldChar w:fldCharType="end"/>
        </w:r>
      </w:hyperlink>
    </w:p>
    <w:p w:rsidR="00755C46" w:rsidRDefault="00641E57" w:rsidP="00755C46">
      <w:pPr>
        <w:pStyle w:val="21"/>
        <w:rPr>
          <w:rFonts w:asciiTheme="minorHAnsi" w:eastAsiaTheme="minorEastAsia" w:hAnsiTheme="minorHAnsi" w:cstheme="minorBidi"/>
          <w:sz w:val="24"/>
          <w:szCs w:val="22"/>
        </w:rPr>
      </w:pPr>
      <w:hyperlink w:anchor="_Toc126068157" w:history="1">
        <w:r w:rsidR="00755C46" w:rsidRPr="0079737D">
          <w:rPr>
            <w:rStyle w:val="ab"/>
            <w:rFonts w:hint="eastAsia"/>
          </w:rPr>
          <w:t>一、法律案</w:t>
        </w:r>
        <w:r w:rsidR="00755C46" w:rsidRPr="0079737D">
          <w:rPr>
            <w:rStyle w:val="ab"/>
          </w:rPr>
          <w:t xml:space="preserve"> (350</w:t>
        </w:r>
        <w:r w:rsidR="00755C46" w:rsidRPr="0079737D">
          <w:rPr>
            <w:rStyle w:val="ab"/>
            <w:rFonts w:hint="eastAsia"/>
          </w:rPr>
          <w:t>案）</w:t>
        </w:r>
        <w:r w:rsidR="00755C46">
          <w:rPr>
            <w:webHidden/>
          </w:rPr>
          <w:tab/>
        </w:r>
        <w:r w:rsidR="00755C46">
          <w:rPr>
            <w:webHidden/>
          </w:rPr>
          <w:fldChar w:fldCharType="begin"/>
        </w:r>
        <w:r w:rsidR="00755C46">
          <w:rPr>
            <w:webHidden/>
          </w:rPr>
          <w:instrText xml:space="preserve"> PAGEREF _Toc126068157 \h </w:instrText>
        </w:r>
        <w:r w:rsidR="00755C46">
          <w:rPr>
            <w:webHidden/>
          </w:rPr>
        </w:r>
        <w:r w:rsidR="00755C46">
          <w:rPr>
            <w:webHidden/>
          </w:rPr>
          <w:fldChar w:fldCharType="separate"/>
        </w:r>
        <w:r w:rsidR="00A871B0">
          <w:rPr>
            <w:webHidden/>
          </w:rPr>
          <w:t>97</w:t>
        </w:r>
        <w:r w:rsidR="00755C46">
          <w:rPr>
            <w:webHidden/>
          </w:rPr>
          <w:fldChar w:fldCharType="end"/>
        </w:r>
      </w:hyperlink>
    </w:p>
    <w:p w:rsidR="00755C46" w:rsidRDefault="00641E57" w:rsidP="00755C46">
      <w:pPr>
        <w:pStyle w:val="31"/>
        <w:rPr>
          <w:rFonts w:asciiTheme="minorHAnsi" w:eastAsiaTheme="minorEastAsia" w:hAnsiTheme="minorHAnsi" w:cstheme="minorBidi"/>
          <w:color w:val="auto"/>
          <w:spacing w:val="0"/>
          <w:sz w:val="24"/>
          <w:szCs w:val="22"/>
        </w:rPr>
      </w:pPr>
      <w:hyperlink w:anchor="_Toc126068158" w:history="1">
        <w:r w:rsidR="00755C46" w:rsidRPr="0079737D">
          <w:rPr>
            <w:rStyle w:val="ab"/>
          </w:rPr>
          <w:t>(</w:t>
        </w:r>
        <w:r w:rsidR="00755C46" w:rsidRPr="0079737D">
          <w:rPr>
            <w:rStyle w:val="ab"/>
            <w:rFonts w:hint="eastAsia"/>
          </w:rPr>
          <w:t>一</w:t>
        </w:r>
        <w:r w:rsidR="00755C46" w:rsidRPr="0079737D">
          <w:rPr>
            <w:rStyle w:val="ab"/>
          </w:rPr>
          <w:t>)</w:t>
        </w:r>
        <w:r w:rsidR="00755C46" w:rsidRPr="0079737D">
          <w:rPr>
            <w:rStyle w:val="ab"/>
            <w:rFonts w:hint="eastAsia"/>
          </w:rPr>
          <w:t>教育部</w:t>
        </w:r>
        <w:r w:rsidR="00755C46" w:rsidRPr="0079737D">
          <w:rPr>
            <w:rStyle w:val="ab"/>
          </w:rPr>
          <w:t xml:space="preserve"> (254</w:t>
        </w:r>
        <w:r w:rsidR="00755C46" w:rsidRPr="0079737D">
          <w:rPr>
            <w:rStyle w:val="ab"/>
            <w:rFonts w:hint="eastAsia"/>
          </w:rPr>
          <w:t>案）</w:t>
        </w:r>
        <w:r w:rsidR="00755C46">
          <w:rPr>
            <w:webHidden/>
          </w:rPr>
          <w:tab/>
        </w:r>
        <w:r w:rsidR="00755C46">
          <w:rPr>
            <w:webHidden/>
          </w:rPr>
          <w:fldChar w:fldCharType="begin"/>
        </w:r>
        <w:r w:rsidR="00755C46">
          <w:rPr>
            <w:webHidden/>
          </w:rPr>
          <w:instrText xml:space="preserve"> PAGEREF _Toc126068158 \h </w:instrText>
        </w:r>
        <w:r w:rsidR="00755C46">
          <w:rPr>
            <w:webHidden/>
          </w:rPr>
        </w:r>
        <w:r w:rsidR="00755C46">
          <w:rPr>
            <w:webHidden/>
          </w:rPr>
          <w:fldChar w:fldCharType="separate"/>
        </w:r>
        <w:r w:rsidR="00A871B0">
          <w:rPr>
            <w:webHidden/>
          </w:rPr>
          <w:t>97</w:t>
        </w:r>
        <w:r w:rsidR="00755C46">
          <w:rPr>
            <w:webHidden/>
          </w:rPr>
          <w:fldChar w:fldCharType="end"/>
        </w:r>
      </w:hyperlink>
    </w:p>
    <w:p w:rsidR="00755C46" w:rsidRDefault="00641E57" w:rsidP="00755C46">
      <w:pPr>
        <w:pStyle w:val="31"/>
        <w:rPr>
          <w:rFonts w:asciiTheme="minorHAnsi" w:eastAsiaTheme="minorEastAsia" w:hAnsiTheme="minorHAnsi" w:cstheme="minorBidi"/>
          <w:color w:val="auto"/>
          <w:spacing w:val="0"/>
          <w:sz w:val="24"/>
          <w:szCs w:val="22"/>
        </w:rPr>
      </w:pPr>
      <w:hyperlink w:anchor="_Toc126068159" w:history="1">
        <w:r w:rsidR="00755C46" w:rsidRPr="0079737D">
          <w:rPr>
            <w:rStyle w:val="ab"/>
          </w:rPr>
          <w:t>(</w:t>
        </w:r>
        <w:r w:rsidR="00755C46" w:rsidRPr="0079737D">
          <w:rPr>
            <w:rStyle w:val="ab"/>
            <w:rFonts w:hint="eastAsia"/>
          </w:rPr>
          <w:t>二</w:t>
        </w:r>
        <w:r w:rsidR="00755C46" w:rsidRPr="0079737D">
          <w:rPr>
            <w:rStyle w:val="ab"/>
          </w:rPr>
          <w:t>)</w:t>
        </w:r>
        <w:r w:rsidR="00755C46" w:rsidRPr="0079737D">
          <w:rPr>
            <w:rStyle w:val="ab"/>
            <w:rFonts w:hint="eastAsia"/>
          </w:rPr>
          <w:t>文化部</w:t>
        </w:r>
        <w:r w:rsidR="00755C46" w:rsidRPr="0079737D">
          <w:rPr>
            <w:rStyle w:val="ab"/>
          </w:rPr>
          <w:t xml:space="preserve"> (49</w:t>
        </w:r>
        <w:r w:rsidR="00755C46" w:rsidRPr="0079737D">
          <w:rPr>
            <w:rStyle w:val="ab"/>
            <w:rFonts w:hint="eastAsia"/>
          </w:rPr>
          <w:t>案）</w:t>
        </w:r>
        <w:r w:rsidR="00755C46">
          <w:rPr>
            <w:webHidden/>
          </w:rPr>
          <w:tab/>
        </w:r>
        <w:r w:rsidR="00755C46">
          <w:rPr>
            <w:webHidden/>
          </w:rPr>
          <w:fldChar w:fldCharType="begin"/>
        </w:r>
        <w:r w:rsidR="00755C46">
          <w:rPr>
            <w:webHidden/>
          </w:rPr>
          <w:instrText xml:space="preserve"> PAGEREF _Toc126068159 \h </w:instrText>
        </w:r>
        <w:r w:rsidR="00755C46">
          <w:rPr>
            <w:webHidden/>
          </w:rPr>
        </w:r>
        <w:r w:rsidR="00755C46">
          <w:rPr>
            <w:webHidden/>
          </w:rPr>
          <w:fldChar w:fldCharType="separate"/>
        </w:r>
        <w:r w:rsidR="00A871B0">
          <w:rPr>
            <w:webHidden/>
          </w:rPr>
          <w:t>156</w:t>
        </w:r>
        <w:r w:rsidR="00755C46">
          <w:rPr>
            <w:webHidden/>
          </w:rPr>
          <w:fldChar w:fldCharType="end"/>
        </w:r>
      </w:hyperlink>
    </w:p>
    <w:p w:rsidR="00755C46" w:rsidRDefault="00641E57" w:rsidP="00755C46">
      <w:pPr>
        <w:pStyle w:val="31"/>
        <w:rPr>
          <w:rFonts w:asciiTheme="minorHAnsi" w:eastAsiaTheme="minorEastAsia" w:hAnsiTheme="minorHAnsi" w:cstheme="minorBidi"/>
          <w:color w:val="auto"/>
          <w:spacing w:val="0"/>
          <w:sz w:val="24"/>
          <w:szCs w:val="22"/>
        </w:rPr>
      </w:pPr>
      <w:hyperlink w:anchor="_Toc126068160" w:history="1">
        <w:r w:rsidR="00755C46" w:rsidRPr="0079737D">
          <w:rPr>
            <w:rStyle w:val="ab"/>
          </w:rPr>
          <w:t>(</w:t>
        </w:r>
        <w:r w:rsidR="00755C46" w:rsidRPr="0079737D">
          <w:rPr>
            <w:rStyle w:val="ab"/>
            <w:rFonts w:hint="eastAsia"/>
          </w:rPr>
          <w:t>三</w:t>
        </w:r>
        <w:r w:rsidR="00755C46" w:rsidRPr="0079737D">
          <w:rPr>
            <w:rStyle w:val="ab"/>
          </w:rPr>
          <w:t>)</w:t>
        </w:r>
        <w:r w:rsidR="00755C46" w:rsidRPr="0079737D">
          <w:rPr>
            <w:rStyle w:val="ab"/>
            <w:rFonts w:hint="eastAsia"/>
          </w:rPr>
          <w:t>國家科學及技術委員會</w:t>
        </w:r>
        <w:r w:rsidR="00755C46" w:rsidRPr="0079737D">
          <w:rPr>
            <w:rStyle w:val="ab"/>
          </w:rPr>
          <w:t xml:space="preserve"> (42</w:t>
        </w:r>
        <w:r w:rsidR="00755C46" w:rsidRPr="0079737D">
          <w:rPr>
            <w:rStyle w:val="ab"/>
            <w:rFonts w:hint="eastAsia"/>
          </w:rPr>
          <w:t>案）</w:t>
        </w:r>
        <w:r w:rsidR="00755C46">
          <w:rPr>
            <w:webHidden/>
          </w:rPr>
          <w:tab/>
        </w:r>
        <w:r w:rsidR="00755C46">
          <w:rPr>
            <w:webHidden/>
          </w:rPr>
          <w:fldChar w:fldCharType="begin"/>
        </w:r>
        <w:r w:rsidR="00755C46">
          <w:rPr>
            <w:webHidden/>
          </w:rPr>
          <w:instrText xml:space="preserve"> PAGEREF _Toc126068160 \h </w:instrText>
        </w:r>
        <w:r w:rsidR="00755C46">
          <w:rPr>
            <w:webHidden/>
          </w:rPr>
        </w:r>
        <w:r w:rsidR="00755C46">
          <w:rPr>
            <w:webHidden/>
          </w:rPr>
          <w:fldChar w:fldCharType="separate"/>
        </w:r>
        <w:r w:rsidR="00A871B0">
          <w:rPr>
            <w:webHidden/>
          </w:rPr>
          <w:t>168</w:t>
        </w:r>
        <w:r w:rsidR="00755C46">
          <w:rPr>
            <w:webHidden/>
          </w:rPr>
          <w:fldChar w:fldCharType="end"/>
        </w:r>
      </w:hyperlink>
    </w:p>
    <w:p w:rsidR="00755C46" w:rsidRDefault="00641E57" w:rsidP="00755C46">
      <w:pPr>
        <w:pStyle w:val="31"/>
        <w:rPr>
          <w:rFonts w:asciiTheme="minorHAnsi" w:eastAsiaTheme="minorEastAsia" w:hAnsiTheme="minorHAnsi" w:cstheme="minorBidi"/>
          <w:color w:val="auto"/>
          <w:spacing w:val="0"/>
          <w:sz w:val="24"/>
          <w:szCs w:val="22"/>
        </w:rPr>
      </w:pPr>
      <w:hyperlink w:anchor="_Toc126068161" w:history="1">
        <w:r w:rsidR="00755C46" w:rsidRPr="0079737D">
          <w:rPr>
            <w:rStyle w:val="ab"/>
          </w:rPr>
          <w:t>(</w:t>
        </w:r>
        <w:r w:rsidR="00755C46" w:rsidRPr="0079737D">
          <w:rPr>
            <w:rStyle w:val="ab"/>
            <w:rFonts w:hint="eastAsia"/>
          </w:rPr>
          <w:t>四</w:t>
        </w:r>
        <w:r w:rsidR="00755C46" w:rsidRPr="0079737D">
          <w:rPr>
            <w:rStyle w:val="ab"/>
          </w:rPr>
          <w:t>)</w:t>
        </w:r>
        <w:r w:rsidR="00755C46" w:rsidRPr="0079737D">
          <w:rPr>
            <w:rStyle w:val="ab"/>
            <w:rFonts w:hint="eastAsia"/>
          </w:rPr>
          <w:t>行政院原子能委員會</w:t>
        </w:r>
        <w:r w:rsidR="00755C46" w:rsidRPr="0079737D">
          <w:rPr>
            <w:rStyle w:val="ab"/>
          </w:rPr>
          <w:t xml:space="preserve"> (5</w:t>
        </w:r>
        <w:r w:rsidR="00755C46" w:rsidRPr="0079737D">
          <w:rPr>
            <w:rStyle w:val="ab"/>
            <w:rFonts w:hint="eastAsia"/>
          </w:rPr>
          <w:t>案）</w:t>
        </w:r>
        <w:r w:rsidR="00755C46">
          <w:rPr>
            <w:webHidden/>
          </w:rPr>
          <w:tab/>
        </w:r>
        <w:r w:rsidR="00755C46">
          <w:rPr>
            <w:webHidden/>
          </w:rPr>
          <w:fldChar w:fldCharType="begin"/>
        </w:r>
        <w:r w:rsidR="00755C46">
          <w:rPr>
            <w:webHidden/>
          </w:rPr>
          <w:instrText xml:space="preserve"> PAGEREF _Toc126068161 \h </w:instrText>
        </w:r>
        <w:r w:rsidR="00755C46">
          <w:rPr>
            <w:webHidden/>
          </w:rPr>
        </w:r>
        <w:r w:rsidR="00755C46">
          <w:rPr>
            <w:webHidden/>
          </w:rPr>
          <w:fldChar w:fldCharType="separate"/>
        </w:r>
        <w:r w:rsidR="00A871B0">
          <w:rPr>
            <w:webHidden/>
          </w:rPr>
          <w:t>177</w:t>
        </w:r>
        <w:r w:rsidR="00755C46">
          <w:rPr>
            <w:webHidden/>
          </w:rPr>
          <w:fldChar w:fldCharType="end"/>
        </w:r>
      </w:hyperlink>
    </w:p>
    <w:p w:rsidR="00755C46" w:rsidRDefault="00641E57" w:rsidP="00755C46">
      <w:pPr>
        <w:pStyle w:val="21"/>
        <w:rPr>
          <w:rFonts w:asciiTheme="minorHAnsi" w:eastAsiaTheme="minorEastAsia" w:hAnsiTheme="minorHAnsi" w:cstheme="minorBidi"/>
          <w:sz w:val="24"/>
          <w:szCs w:val="22"/>
        </w:rPr>
      </w:pPr>
      <w:hyperlink w:anchor="_Toc126068162" w:history="1">
        <w:r w:rsidR="00755C46" w:rsidRPr="0079737D">
          <w:rPr>
            <w:rStyle w:val="ab"/>
            <w:rFonts w:hint="eastAsia"/>
          </w:rPr>
          <w:t>二、預</w:t>
        </w:r>
        <w:r w:rsidR="00755C46" w:rsidRPr="0079737D">
          <w:rPr>
            <w:rStyle w:val="ab"/>
          </w:rPr>
          <w:t>(</w:t>
        </w:r>
        <w:r w:rsidR="00755C46" w:rsidRPr="0079737D">
          <w:rPr>
            <w:rStyle w:val="ab"/>
            <w:rFonts w:hint="eastAsia"/>
          </w:rPr>
          <w:t>決</w:t>
        </w:r>
        <w:r w:rsidR="00755C46" w:rsidRPr="0079737D">
          <w:rPr>
            <w:rStyle w:val="ab"/>
          </w:rPr>
          <w:t>)</w:t>
        </w:r>
        <w:r w:rsidR="00755C46" w:rsidRPr="0079737D">
          <w:rPr>
            <w:rStyle w:val="ab"/>
            <w:rFonts w:hint="eastAsia"/>
          </w:rPr>
          <w:t>算案（</w:t>
        </w:r>
        <w:r w:rsidR="00755C46" w:rsidRPr="0079737D">
          <w:rPr>
            <w:rStyle w:val="ab"/>
          </w:rPr>
          <w:t>25</w:t>
        </w:r>
        <w:r w:rsidR="00755C46" w:rsidRPr="0079737D">
          <w:rPr>
            <w:rStyle w:val="ab"/>
            <w:rFonts w:hint="eastAsia"/>
          </w:rPr>
          <w:t>案）</w:t>
        </w:r>
        <w:r w:rsidR="00755C46">
          <w:rPr>
            <w:webHidden/>
          </w:rPr>
          <w:tab/>
        </w:r>
        <w:r w:rsidR="00755C46">
          <w:rPr>
            <w:webHidden/>
          </w:rPr>
          <w:fldChar w:fldCharType="begin"/>
        </w:r>
        <w:r w:rsidR="00755C46">
          <w:rPr>
            <w:webHidden/>
          </w:rPr>
          <w:instrText xml:space="preserve"> PAGEREF _Toc126068162 \h </w:instrText>
        </w:r>
        <w:r w:rsidR="00755C46">
          <w:rPr>
            <w:webHidden/>
          </w:rPr>
        </w:r>
        <w:r w:rsidR="00755C46">
          <w:rPr>
            <w:webHidden/>
          </w:rPr>
          <w:fldChar w:fldCharType="separate"/>
        </w:r>
        <w:r w:rsidR="00A871B0">
          <w:rPr>
            <w:webHidden/>
          </w:rPr>
          <w:t>179</w:t>
        </w:r>
        <w:r w:rsidR="00755C46">
          <w:rPr>
            <w:webHidden/>
          </w:rPr>
          <w:fldChar w:fldCharType="end"/>
        </w:r>
      </w:hyperlink>
    </w:p>
    <w:p w:rsidR="00755C46" w:rsidRDefault="00641E57" w:rsidP="00755C46">
      <w:pPr>
        <w:pStyle w:val="31"/>
        <w:rPr>
          <w:rFonts w:asciiTheme="minorHAnsi" w:eastAsiaTheme="minorEastAsia" w:hAnsiTheme="minorHAnsi" w:cstheme="minorBidi"/>
          <w:color w:val="auto"/>
          <w:spacing w:val="0"/>
          <w:sz w:val="24"/>
          <w:szCs w:val="22"/>
        </w:rPr>
      </w:pPr>
      <w:hyperlink w:anchor="_Toc126068163" w:history="1">
        <w:r w:rsidR="00755C46" w:rsidRPr="0079737D">
          <w:rPr>
            <w:rStyle w:val="ab"/>
          </w:rPr>
          <w:t>(</w:t>
        </w:r>
        <w:r w:rsidR="00755C46" w:rsidRPr="0079737D">
          <w:rPr>
            <w:rStyle w:val="ab"/>
            <w:rFonts w:hint="eastAsia"/>
          </w:rPr>
          <w:t>一</w:t>
        </w:r>
        <w:r w:rsidR="00755C46" w:rsidRPr="0079737D">
          <w:rPr>
            <w:rStyle w:val="ab"/>
          </w:rPr>
          <w:t>)</w:t>
        </w:r>
        <w:r w:rsidR="00755C46" w:rsidRPr="0079737D">
          <w:rPr>
            <w:rStyle w:val="ab"/>
            <w:rFonts w:hint="eastAsia"/>
          </w:rPr>
          <w:t>財團法人預決算案（</w:t>
        </w:r>
        <w:r w:rsidR="00755C46" w:rsidRPr="0079737D">
          <w:rPr>
            <w:rStyle w:val="ab"/>
          </w:rPr>
          <w:t>18</w:t>
        </w:r>
        <w:r w:rsidR="00755C46" w:rsidRPr="0079737D">
          <w:rPr>
            <w:rStyle w:val="ab"/>
            <w:rFonts w:hint="eastAsia"/>
          </w:rPr>
          <w:t>案）</w:t>
        </w:r>
        <w:r w:rsidR="00755C46">
          <w:rPr>
            <w:webHidden/>
          </w:rPr>
          <w:tab/>
        </w:r>
        <w:r w:rsidR="00755C46">
          <w:rPr>
            <w:webHidden/>
          </w:rPr>
          <w:fldChar w:fldCharType="begin"/>
        </w:r>
        <w:r w:rsidR="00755C46">
          <w:rPr>
            <w:webHidden/>
          </w:rPr>
          <w:instrText xml:space="preserve"> PAGEREF _Toc126068163 \h </w:instrText>
        </w:r>
        <w:r w:rsidR="00755C46">
          <w:rPr>
            <w:webHidden/>
          </w:rPr>
        </w:r>
        <w:r w:rsidR="00755C46">
          <w:rPr>
            <w:webHidden/>
          </w:rPr>
          <w:fldChar w:fldCharType="separate"/>
        </w:r>
        <w:r w:rsidR="00A871B0">
          <w:rPr>
            <w:webHidden/>
          </w:rPr>
          <w:t>179</w:t>
        </w:r>
        <w:r w:rsidR="00755C46">
          <w:rPr>
            <w:webHidden/>
          </w:rPr>
          <w:fldChar w:fldCharType="end"/>
        </w:r>
      </w:hyperlink>
    </w:p>
    <w:p w:rsidR="00755C46" w:rsidRDefault="00641E57" w:rsidP="00755C46">
      <w:pPr>
        <w:pStyle w:val="31"/>
        <w:rPr>
          <w:rFonts w:asciiTheme="minorHAnsi" w:eastAsiaTheme="minorEastAsia" w:hAnsiTheme="minorHAnsi" w:cstheme="minorBidi"/>
          <w:color w:val="auto"/>
          <w:spacing w:val="0"/>
          <w:sz w:val="24"/>
          <w:szCs w:val="22"/>
        </w:rPr>
      </w:pPr>
      <w:hyperlink w:anchor="_Toc126068164" w:history="1">
        <w:r w:rsidR="00755C46" w:rsidRPr="0079737D">
          <w:rPr>
            <w:rStyle w:val="ab"/>
          </w:rPr>
          <w:t>(</w:t>
        </w:r>
        <w:r w:rsidR="00755C46" w:rsidRPr="0079737D">
          <w:rPr>
            <w:rStyle w:val="ab"/>
            <w:rFonts w:hint="eastAsia"/>
          </w:rPr>
          <w:t>二</w:t>
        </w:r>
        <w:r w:rsidR="00755C46" w:rsidRPr="0079737D">
          <w:rPr>
            <w:rStyle w:val="ab"/>
          </w:rPr>
          <w:t>)</w:t>
        </w:r>
        <w:r w:rsidR="00755C46" w:rsidRPr="0079737D">
          <w:rPr>
            <w:rStyle w:val="ab"/>
            <w:rFonts w:hint="eastAsia"/>
          </w:rPr>
          <w:t>預算凍結案</w:t>
        </w:r>
        <w:r w:rsidR="00755C46" w:rsidRPr="0079737D">
          <w:rPr>
            <w:rStyle w:val="ab"/>
          </w:rPr>
          <w:t xml:space="preserve"> (7</w:t>
        </w:r>
        <w:r w:rsidR="00755C46" w:rsidRPr="0079737D">
          <w:rPr>
            <w:rStyle w:val="ab"/>
            <w:rFonts w:hint="eastAsia"/>
          </w:rPr>
          <w:t>案）</w:t>
        </w:r>
        <w:r w:rsidR="00755C46">
          <w:rPr>
            <w:webHidden/>
          </w:rPr>
          <w:tab/>
        </w:r>
        <w:r w:rsidR="00755C46">
          <w:rPr>
            <w:webHidden/>
          </w:rPr>
          <w:fldChar w:fldCharType="begin"/>
        </w:r>
        <w:r w:rsidR="00755C46">
          <w:rPr>
            <w:webHidden/>
          </w:rPr>
          <w:instrText xml:space="preserve"> PAGEREF _Toc126068164 \h </w:instrText>
        </w:r>
        <w:r w:rsidR="00755C46">
          <w:rPr>
            <w:webHidden/>
          </w:rPr>
        </w:r>
        <w:r w:rsidR="00755C46">
          <w:rPr>
            <w:webHidden/>
          </w:rPr>
          <w:fldChar w:fldCharType="separate"/>
        </w:r>
        <w:r w:rsidR="00A871B0">
          <w:rPr>
            <w:webHidden/>
          </w:rPr>
          <w:t>182</w:t>
        </w:r>
        <w:r w:rsidR="00755C46">
          <w:rPr>
            <w:webHidden/>
          </w:rPr>
          <w:fldChar w:fldCharType="end"/>
        </w:r>
      </w:hyperlink>
    </w:p>
    <w:p w:rsidR="00755C46" w:rsidRDefault="00755C46" w:rsidP="00755C46">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26068165" w:history="1">
        <w:r w:rsidRPr="0079737D">
          <w:rPr>
            <w:rStyle w:val="ab"/>
          </w:rPr>
          <w:t>1.</w:t>
        </w:r>
        <w:r w:rsidRPr="0079737D">
          <w:rPr>
            <w:rStyle w:val="ab"/>
            <w:rFonts w:hint="eastAsia"/>
          </w:rPr>
          <w:t>文化部</w:t>
        </w:r>
        <w:r w:rsidRPr="0079737D">
          <w:rPr>
            <w:rStyle w:val="ab"/>
          </w:rPr>
          <w:t xml:space="preserve"> (1</w:t>
        </w:r>
        <w:r w:rsidRPr="0079737D">
          <w:rPr>
            <w:rStyle w:val="ab"/>
            <w:rFonts w:hint="eastAsia"/>
          </w:rPr>
          <w:t>案）</w:t>
        </w:r>
        <w:r>
          <w:rPr>
            <w:webHidden/>
          </w:rPr>
          <w:tab/>
        </w:r>
        <w:r>
          <w:rPr>
            <w:webHidden/>
          </w:rPr>
          <w:fldChar w:fldCharType="begin"/>
        </w:r>
        <w:r>
          <w:rPr>
            <w:webHidden/>
          </w:rPr>
          <w:instrText xml:space="preserve"> PAGEREF _Toc126068165 \h </w:instrText>
        </w:r>
        <w:r>
          <w:rPr>
            <w:webHidden/>
          </w:rPr>
        </w:r>
        <w:r>
          <w:rPr>
            <w:webHidden/>
          </w:rPr>
          <w:fldChar w:fldCharType="separate"/>
        </w:r>
        <w:r w:rsidR="00A871B0">
          <w:rPr>
            <w:webHidden/>
          </w:rPr>
          <w:t>182</w:t>
        </w:r>
        <w:r>
          <w:rPr>
            <w:webHidden/>
          </w:rPr>
          <w:fldChar w:fldCharType="end"/>
        </w:r>
      </w:hyperlink>
    </w:p>
    <w:p w:rsidR="00755C46" w:rsidRDefault="00755C46" w:rsidP="00755C46">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26068166" w:history="1">
        <w:r w:rsidRPr="0079737D">
          <w:rPr>
            <w:rStyle w:val="ab"/>
          </w:rPr>
          <w:t>2.</w:t>
        </w:r>
        <w:r w:rsidRPr="0079737D">
          <w:rPr>
            <w:rStyle w:val="ab"/>
            <w:rFonts w:hint="eastAsia"/>
          </w:rPr>
          <w:t>國家科學及技術委員會</w:t>
        </w:r>
        <w:r w:rsidRPr="0079737D">
          <w:rPr>
            <w:rStyle w:val="ab"/>
          </w:rPr>
          <w:t xml:space="preserve"> (1</w:t>
        </w:r>
        <w:r w:rsidRPr="0079737D">
          <w:rPr>
            <w:rStyle w:val="ab"/>
            <w:rFonts w:hint="eastAsia"/>
          </w:rPr>
          <w:t>案）</w:t>
        </w:r>
        <w:r>
          <w:rPr>
            <w:webHidden/>
          </w:rPr>
          <w:tab/>
        </w:r>
        <w:r>
          <w:rPr>
            <w:webHidden/>
          </w:rPr>
          <w:fldChar w:fldCharType="begin"/>
        </w:r>
        <w:r>
          <w:rPr>
            <w:webHidden/>
          </w:rPr>
          <w:instrText xml:space="preserve"> PAGEREF _Toc126068166 \h </w:instrText>
        </w:r>
        <w:r>
          <w:rPr>
            <w:webHidden/>
          </w:rPr>
        </w:r>
        <w:r>
          <w:rPr>
            <w:webHidden/>
          </w:rPr>
          <w:fldChar w:fldCharType="separate"/>
        </w:r>
        <w:r w:rsidR="00A871B0">
          <w:rPr>
            <w:webHidden/>
          </w:rPr>
          <w:t>182</w:t>
        </w:r>
        <w:r>
          <w:rPr>
            <w:webHidden/>
          </w:rPr>
          <w:fldChar w:fldCharType="end"/>
        </w:r>
      </w:hyperlink>
    </w:p>
    <w:p w:rsidR="00755C46" w:rsidRDefault="00755C46" w:rsidP="00755C46">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26068167" w:history="1">
        <w:r w:rsidRPr="0079737D">
          <w:rPr>
            <w:rStyle w:val="ab"/>
          </w:rPr>
          <w:t>3.</w:t>
        </w:r>
        <w:r w:rsidRPr="0079737D">
          <w:rPr>
            <w:rStyle w:val="ab"/>
            <w:rFonts w:hint="eastAsia"/>
          </w:rPr>
          <w:t>國立故宮博物院</w:t>
        </w:r>
        <w:r w:rsidRPr="0079737D">
          <w:rPr>
            <w:rStyle w:val="ab"/>
          </w:rPr>
          <w:t xml:space="preserve"> (5</w:t>
        </w:r>
        <w:r w:rsidRPr="0079737D">
          <w:rPr>
            <w:rStyle w:val="ab"/>
            <w:rFonts w:hint="eastAsia"/>
          </w:rPr>
          <w:t>案）</w:t>
        </w:r>
        <w:r>
          <w:rPr>
            <w:webHidden/>
          </w:rPr>
          <w:tab/>
        </w:r>
        <w:r>
          <w:rPr>
            <w:webHidden/>
          </w:rPr>
          <w:fldChar w:fldCharType="begin"/>
        </w:r>
        <w:r>
          <w:rPr>
            <w:webHidden/>
          </w:rPr>
          <w:instrText xml:space="preserve"> PAGEREF _Toc126068167 \h </w:instrText>
        </w:r>
        <w:r>
          <w:rPr>
            <w:webHidden/>
          </w:rPr>
        </w:r>
        <w:r>
          <w:rPr>
            <w:webHidden/>
          </w:rPr>
          <w:fldChar w:fldCharType="separate"/>
        </w:r>
        <w:r w:rsidR="00A871B0">
          <w:rPr>
            <w:webHidden/>
          </w:rPr>
          <w:t>182</w:t>
        </w:r>
        <w:r>
          <w:rPr>
            <w:webHidden/>
          </w:rPr>
          <w:fldChar w:fldCharType="end"/>
        </w:r>
      </w:hyperlink>
    </w:p>
    <w:p w:rsidR="00755C46" w:rsidRDefault="00641E57" w:rsidP="00755C46">
      <w:pPr>
        <w:pStyle w:val="21"/>
        <w:rPr>
          <w:rFonts w:asciiTheme="minorHAnsi" w:eastAsiaTheme="minorEastAsia" w:hAnsiTheme="minorHAnsi" w:cstheme="minorBidi"/>
          <w:sz w:val="24"/>
          <w:szCs w:val="22"/>
        </w:rPr>
      </w:pPr>
      <w:hyperlink w:anchor="_Toc126068168" w:history="1">
        <w:r w:rsidR="00755C46" w:rsidRPr="0079737D">
          <w:rPr>
            <w:rStyle w:val="ab"/>
            <w:rFonts w:hint="eastAsia"/>
          </w:rPr>
          <w:t>三、行政命令案（</w:t>
        </w:r>
        <w:r w:rsidR="00755C46" w:rsidRPr="0079737D">
          <w:rPr>
            <w:rStyle w:val="ab"/>
          </w:rPr>
          <w:t>17</w:t>
        </w:r>
        <w:r w:rsidR="00755C46" w:rsidRPr="0079737D">
          <w:rPr>
            <w:rStyle w:val="ab"/>
            <w:rFonts w:hint="eastAsia"/>
          </w:rPr>
          <w:t>案）</w:t>
        </w:r>
        <w:r w:rsidR="00755C46">
          <w:rPr>
            <w:webHidden/>
          </w:rPr>
          <w:tab/>
        </w:r>
        <w:r w:rsidR="00755C46">
          <w:rPr>
            <w:webHidden/>
          </w:rPr>
          <w:fldChar w:fldCharType="begin"/>
        </w:r>
        <w:r w:rsidR="00755C46">
          <w:rPr>
            <w:webHidden/>
          </w:rPr>
          <w:instrText xml:space="preserve"> PAGEREF _Toc126068168 \h </w:instrText>
        </w:r>
        <w:r w:rsidR="00755C46">
          <w:rPr>
            <w:webHidden/>
          </w:rPr>
        </w:r>
        <w:r w:rsidR="00755C46">
          <w:rPr>
            <w:webHidden/>
          </w:rPr>
          <w:fldChar w:fldCharType="separate"/>
        </w:r>
        <w:r w:rsidR="00A871B0">
          <w:rPr>
            <w:webHidden/>
          </w:rPr>
          <w:t>184</w:t>
        </w:r>
        <w:r w:rsidR="00755C46">
          <w:rPr>
            <w:webHidden/>
          </w:rPr>
          <w:fldChar w:fldCharType="end"/>
        </w:r>
      </w:hyperlink>
    </w:p>
    <w:p w:rsidR="00755C46" w:rsidRDefault="00641E57" w:rsidP="00755C46">
      <w:pPr>
        <w:pStyle w:val="21"/>
        <w:rPr>
          <w:rFonts w:asciiTheme="minorHAnsi" w:eastAsiaTheme="minorEastAsia" w:hAnsiTheme="minorHAnsi" w:cstheme="minorBidi"/>
          <w:sz w:val="24"/>
          <w:szCs w:val="22"/>
        </w:rPr>
      </w:pPr>
      <w:hyperlink w:anchor="_Toc126068169" w:history="1">
        <w:r w:rsidR="00755C46" w:rsidRPr="0079737D">
          <w:rPr>
            <w:rStyle w:val="ab"/>
            <w:rFonts w:hint="eastAsia"/>
          </w:rPr>
          <w:t>四、其他議案（</w:t>
        </w:r>
        <w:r w:rsidR="00755C46" w:rsidRPr="0079737D">
          <w:rPr>
            <w:rStyle w:val="ab"/>
          </w:rPr>
          <w:t>559</w:t>
        </w:r>
        <w:r w:rsidR="00755C46" w:rsidRPr="0079737D">
          <w:rPr>
            <w:rStyle w:val="ab"/>
            <w:rFonts w:hint="eastAsia"/>
          </w:rPr>
          <w:t>案）</w:t>
        </w:r>
        <w:r w:rsidR="00755C46">
          <w:rPr>
            <w:webHidden/>
          </w:rPr>
          <w:tab/>
        </w:r>
        <w:r w:rsidR="00755C46">
          <w:rPr>
            <w:webHidden/>
          </w:rPr>
          <w:fldChar w:fldCharType="begin"/>
        </w:r>
        <w:r w:rsidR="00755C46">
          <w:rPr>
            <w:webHidden/>
          </w:rPr>
          <w:instrText xml:space="preserve"> PAGEREF _Toc126068169 \h </w:instrText>
        </w:r>
        <w:r w:rsidR="00755C46">
          <w:rPr>
            <w:webHidden/>
          </w:rPr>
        </w:r>
        <w:r w:rsidR="00755C46">
          <w:rPr>
            <w:webHidden/>
          </w:rPr>
          <w:fldChar w:fldCharType="separate"/>
        </w:r>
        <w:r w:rsidR="00A871B0">
          <w:rPr>
            <w:webHidden/>
          </w:rPr>
          <w:t>186</w:t>
        </w:r>
        <w:r w:rsidR="00755C46">
          <w:rPr>
            <w:webHidden/>
          </w:rPr>
          <w:fldChar w:fldCharType="end"/>
        </w:r>
      </w:hyperlink>
    </w:p>
    <w:p w:rsidR="00755C46" w:rsidRDefault="00641E57">
      <w:pPr>
        <w:pStyle w:val="11"/>
        <w:rPr>
          <w:rFonts w:asciiTheme="minorHAnsi" w:eastAsiaTheme="minorEastAsia" w:hAnsiTheme="minorHAnsi" w:cstheme="minorBidi"/>
          <w:b w:val="0"/>
          <w:bCs w:val="0"/>
          <w:kern w:val="2"/>
          <w:sz w:val="24"/>
          <w:szCs w:val="22"/>
        </w:rPr>
      </w:pPr>
      <w:hyperlink w:anchor="_Toc126068170" w:history="1">
        <w:r w:rsidR="00755C46" w:rsidRPr="0079737D">
          <w:rPr>
            <w:rStyle w:val="ab"/>
            <w:rFonts w:hint="eastAsia"/>
          </w:rPr>
          <w:t>附錄</w:t>
        </w:r>
        <w:r w:rsidR="00755C46" w:rsidRPr="0079737D">
          <w:rPr>
            <w:rStyle w:val="ab"/>
          </w:rPr>
          <w:t xml:space="preserve">  </w:t>
        </w:r>
        <w:r w:rsidR="00755C46" w:rsidRPr="0079737D">
          <w:rPr>
            <w:rStyle w:val="ab"/>
            <w:rFonts w:hint="eastAsia"/>
          </w:rPr>
          <w:t>本會期歷次會議議事錄</w:t>
        </w:r>
        <w:r w:rsidR="00755C46" w:rsidRPr="00755C46">
          <w:rPr>
            <w:b w:val="0"/>
            <w:webHidden/>
            <w:sz w:val="28"/>
            <w:szCs w:val="28"/>
          </w:rPr>
          <w:tab/>
        </w:r>
        <w:r w:rsidR="00755C46" w:rsidRPr="00755C46">
          <w:rPr>
            <w:b w:val="0"/>
            <w:webHidden/>
            <w:sz w:val="28"/>
            <w:szCs w:val="28"/>
          </w:rPr>
          <w:fldChar w:fldCharType="begin"/>
        </w:r>
        <w:r w:rsidR="00755C46" w:rsidRPr="00755C46">
          <w:rPr>
            <w:b w:val="0"/>
            <w:webHidden/>
            <w:sz w:val="28"/>
            <w:szCs w:val="28"/>
          </w:rPr>
          <w:instrText xml:space="preserve"> PAGEREF _Toc126068170 \h </w:instrText>
        </w:r>
        <w:r w:rsidR="00755C46" w:rsidRPr="00755C46">
          <w:rPr>
            <w:b w:val="0"/>
            <w:webHidden/>
            <w:sz w:val="28"/>
            <w:szCs w:val="28"/>
          </w:rPr>
        </w:r>
        <w:r w:rsidR="00755C46" w:rsidRPr="00755C46">
          <w:rPr>
            <w:b w:val="0"/>
            <w:webHidden/>
            <w:sz w:val="28"/>
            <w:szCs w:val="28"/>
          </w:rPr>
          <w:fldChar w:fldCharType="separate"/>
        </w:r>
        <w:r w:rsidR="00A871B0">
          <w:rPr>
            <w:b w:val="0"/>
            <w:webHidden/>
            <w:sz w:val="28"/>
            <w:szCs w:val="28"/>
          </w:rPr>
          <w:t>255</w:t>
        </w:r>
        <w:r w:rsidR="00755C46" w:rsidRPr="00755C46">
          <w:rPr>
            <w:b w:val="0"/>
            <w:webHidden/>
            <w:sz w:val="28"/>
            <w:szCs w:val="28"/>
          </w:rPr>
          <w:fldChar w:fldCharType="end"/>
        </w:r>
      </w:hyperlink>
    </w:p>
    <w:p w:rsidR="00755C46" w:rsidRDefault="00641E57" w:rsidP="00755C46">
      <w:pPr>
        <w:pStyle w:val="21"/>
        <w:rPr>
          <w:rFonts w:asciiTheme="minorHAnsi" w:eastAsiaTheme="minorEastAsia" w:hAnsiTheme="minorHAnsi" w:cstheme="minorBidi"/>
          <w:sz w:val="24"/>
          <w:szCs w:val="22"/>
        </w:rPr>
      </w:pPr>
      <w:hyperlink w:anchor="_Toc126068171" w:history="1">
        <w:r w:rsidR="00755C46" w:rsidRPr="0079737D">
          <w:rPr>
            <w:rStyle w:val="ab"/>
            <w:rFonts w:hint="eastAsia"/>
          </w:rPr>
          <w:t>一、召集委員會議議事錄</w:t>
        </w:r>
        <w:r w:rsidR="00755C46">
          <w:rPr>
            <w:webHidden/>
          </w:rPr>
          <w:tab/>
        </w:r>
        <w:r w:rsidR="00755C46">
          <w:rPr>
            <w:webHidden/>
          </w:rPr>
          <w:fldChar w:fldCharType="begin"/>
        </w:r>
        <w:r w:rsidR="00755C46">
          <w:rPr>
            <w:webHidden/>
          </w:rPr>
          <w:instrText xml:space="preserve"> PAGEREF _Toc126068171 \h </w:instrText>
        </w:r>
        <w:r w:rsidR="00755C46">
          <w:rPr>
            <w:webHidden/>
          </w:rPr>
        </w:r>
        <w:r w:rsidR="00755C46">
          <w:rPr>
            <w:webHidden/>
          </w:rPr>
          <w:fldChar w:fldCharType="separate"/>
        </w:r>
        <w:r w:rsidR="00A871B0">
          <w:rPr>
            <w:webHidden/>
          </w:rPr>
          <w:t>255</w:t>
        </w:r>
        <w:r w:rsidR="00755C46">
          <w:rPr>
            <w:webHidden/>
          </w:rPr>
          <w:fldChar w:fldCharType="end"/>
        </w:r>
      </w:hyperlink>
    </w:p>
    <w:p w:rsidR="00755C46" w:rsidRDefault="00641E57" w:rsidP="00755C46">
      <w:pPr>
        <w:pStyle w:val="31"/>
        <w:rPr>
          <w:rFonts w:asciiTheme="minorHAnsi" w:eastAsiaTheme="minorEastAsia" w:hAnsiTheme="minorHAnsi" w:cstheme="minorBidi"/>
          <w:color w:val="auto"/>
          <w:spacing w:val="0"/>
          <w:sz w:val="24"/>
          <w:szCs w:val="22"/>
        </w:rPr>
      </w:pPr>
      <w:hyperlink w:anchor="_Toc126068172" w:history="1">
        <w:r w:rsidR="00755C46" w:rsidRPr="00BC234D">
          <w:rPr>
            <w:rStyle w:val="ab"/>
            <w:rFonts w:hint="eastAsia"/>
            <w:spacing w:val="-8"/>
          </w:rPr>
          <w:t>立法院第</w:t>
        </w:r>
        <w:r w:rsidR="00755C46" w:rsidRPr="00BC234D">
          <w:rPr>
            <w:rStyle w:val="ab"/>
            <w:spacing w:val="-8"/>
          </w:rPr>
          <w:t>10</w:t>
        </w:r>
        <w:r w:rsidR="00755C46" w:rsidRPr="00BC234D">
          <w:rPr>
            <w:rStyle w:val="ab"/>
            <w:rFonts w:hint="eastAsia"/>
            <w:spacing w:val="-8"/>
          </w:rPr>
          <w:t>屆第</w:t>
        </w:r>
        <w:r w:rsidR="00755C46" w:rsidRPr="00BC234D">
          <w:rPr>
            <w:rStyle w:val="ab"/>
            <w:spacing w:val="-8"/>
          </w:rPr>
          <w:t>6</w:t>
        </w:r>
        <w:r w:rsidR="00755C46" w:rsidRPr="00BC234D">
          <w:rPr>
            <w:rStyle w:val="ab"/>
            <w:rFonts w:hint="eastAsia"/>
            <w:spacing w:val="-8"/>
          </w:rPr>
          <w:t>會期教育及文化委員會第</w:t>
        </w:r>
        <w:r w:rsidR="00755C46" w:rsidRPr="00BC234D">
          <w:rPr>
            <w:rStyle w:val="ab"/>
            <w:spacing w:val="-8"/>
          </w:rPr>
          <w:t>1</w:t>
        </w:r>
        <w:r w:rsidR="00755C46" w:rsidRPr="00BC234D">
          <w:rPr>
            <w:rStyle w:val="ab"/>
            <w:rFonts w:hint="eastAsia"/>
            <w:spacing w:val="-8"/>
          </w:rPr>
          <w:t>次召集委員會議議事錄</w:t>
        </w:r>
        <w:r w:rsidR="00755C46">
          <w:rPr>
            <w:webHidden/>
          </w:rPr>
          <w:tab/>
        </w:r>
        <w:r w:rsidR="00755C46">
          <w:rPr>
            <w:webHidden/>
          </w:rPr>
          <w:fldChar w:fldCharType="begin"/>
        </w:r>
        <w:r w:rsidR="00755C46">
          <w:rPr>
            <w:webHidden/>
          </w:rPr>
          <w:instrText xml:space="preserve"> PAGEREF _Toc126068172 \h </w:instrText>
        </w:r>
        <w:r w:rsidR="00755C46">
          <w:rPr>
            <w:webHidden/>
          </w:rPr>
        </w:r>
        <w:r w:rsidR="00755C46">
          <w:rPr>
            <w:webHidden/>
          </w:rPr>
          <w:fldChar w:fldCharType="separate"/>
        </w:r>
        <w:r w:rsidR="00A871B0">
          <w:rPr>
            <w:webHidden/>
          </w:rPr>
          <w:t>255</w:t>
        </w:r>
        <w:r w:rsidR="00755C46">
          <w:rPr>
            <w:webHidden/>
          </w:rPr>
          <w:fldChar w:fldCharType="end"/>
        </w:r>
      </w:hyperlink>
    </w:p>
    <w:p w:rsidR="00755C46" w:rsidRDefault="00641E57" w:rsidP="00755C46">
      <w:pPr>
        <w:pStyle w:val="21"/>
        <w:rPr>
          <w:rFonts w:asciiTheme="minorHAnsi" w:eastAsiaTheme="minorEastAsia" w:hAnsiTheme="minorHAnsi" w:cstheme="minorBidi"/>
          <w:sz w:val="24"/>
          <w:szCs w:val="22"/>
        </w:rPr>
      </w:pPr>
      <w:hyperlink w:anchor="_Toc126068173" w:history="1">
        <w:r w:rsidR="00755C46" w:rsidRPr="0079737D">
          <w:rPr>
            <w:rStyle w:val="ab"/>
            <w:rFonts w:hint="eastAsia"/>
          </w:rPr>
          <w:t>二、本會全體委員會議議事錄</w:t>
        </w:r>
        <w:r w:rsidR="00755C46">
          <w:rPr>
            <w:webHidden/>
          </w:rPr>
          <w:tab/>
        </w:r>
        <w:r w:rsidR="00755C46">
          <w:rPr>
            <w:webHidden/>
          </w:rPr>
          <w:fldChar w:fldCharType="begin"/>
        </w:r>
        <w:r w:rsidR="00755C46">
          <w:rPr>
            <w:webHidden/>
          </w:rPr>
          <w:instrText xml:space="preserve"> PAGEREF _Toc126068173 \h </w:instrText>
        </w:r>
        <w:r w:rsidR="00755C46">
          <w:rPr>
            <w:webHidden/>
          </w:rPr>
        </w:r>
        <w:r w:rsidR="00755C46">
          <w:rPr>
            <w:webHidden/>
          </w:rPr>
          <w:fldChar w:fldCharType="separate"/>
        </w:r>
        <w:r w:rsidR="00A871B0">
          <w:rPr>
            <w:webHidden/>
          </w:rPr>
          <w:t>259</w:t>
        </w:r>
        <w:r w:rsidR="00755C46">
          <w:rPr>
            <w:webHidden/>
          </w:rPr>
          <w:fldChar w:fldCharType="end"/>
        </w:r>
      </w:hyperlink>
    </w:p>
    <w:p w:rsidR="00755C46" w:rsidRDefault="00641E57" w:rsidP="00755C46">
      <w:pPr>
        <w:pStyle w:val="31"/>
        <w:rPr>
          <w:rFonts w:asciiTheme="minorHAnsi" w:eastAsiaTheme="minorEastAsia" w:hAnsiTheme="minorHAnsi" w:cstheme="minorBidi"/>
          <w:color w:val="auto"/>
          <w:spacing w:val="0"/>
          <w:sz w:val="24"/>
          <w:szCs w:val="22"/>
        </w:rPr>
      </w:pPr>
      <w:hyperlink w:anchor="_Toc126068174" w:history="1">
        <w:r w:rsidR="00755C46" w:rsidRPr="00BC234D">
          <w:rPr>
            <w:rStyle w:val="ab"/>
            <w:rFonts w:hint="eastAsia"/>
            <w:spacing w:val="-8"/>
          </w:rPr>
          <w:t>立法院第</w:t>
        </w:r>
        <w:r w:rsidR="00755C46" w:rsidRPr="00BC234D">
          <w:rPr>
            <w:rStyle w:val="ab"/>
            <w:spacing w:val="-8"/>
          </w:rPr>
          <w:t>10</w:t>
        </w:r>
        <w:r w:rsidR="00755C46" w:rsidRPr="00BC234D">
          <w:rPr>
            <w:rStyle w:val="ab"/>
            <w:rFonts w:hint="eastAsia"/>
            <w:spacing w:val="-8"/>
          </w:rPr>
          <w:t>屆第</w:t>
        </w:r>
        <w:r w:rsidR="00755C46" w:rsidRPr="00BC234D">
          <w:rPr>
            <w:rStyle w:val="ab"/>
            <w:spacing w:val="-8"/>
          </w:rPr>
          <w:t>6</w:t>
        </w:r>
        <w:r w:rsidR="00755C46" w:rsidRPr="00BC234D">
          <w:rPr>
            <w:rStyle w:val="ab"/>
            <w:rFonts w:hint="eastAsia"/>
            <w:spacing w:val="-8"/>
          </w:rPr>
          <w:t>會期教育及文化委員會第</w:t>
        </w:r>
        <w:r w:rsidR="00755C46" w:rsidRPr="00BC234D">
          <w:rPr>
            <w:rStyle w:val="ab"/>
            <w:spacing w:val="-8"/>
          </w:rPr>
          <w:t>1</w:t>
        </w:r>
        <w:r w:rsidR="00755C46" w:rsidRPr="00BC234D">
          <w:rPr>
            <w:rStyle w:val="ab"/>
            <w:rFonts w:hint="eastAsia"/>
            <w:spacing w:val="-8"/>
          </w:rPr>
          <w:t>次全體委員會議議事錄</w:t>
        </w:r>
        <w:r w:rsidR="00755C46">
          <w:rPr>
            <w:webHidden/>
          </w:rPr>
          <w:tab/>
        </w:r>
        <w:r w:rsidR="00755C46">
          <w:rPr>
            <w:webHidden/>
          </w:rPr>
          <w:fldChar w:fldCharType="begin"/>
        </w:r>
        <w:r w:rsidR="00755C46">
          <w:rPr>
            <w:webHidden/>
          </w:rPr>
          <w:instrText xml:space="preserve"> PAGEREF _Toc126068174 \h </w:instrText>
        </w:r>
        <w:r w:rsidR="00755C46">
          <w:rPr>
            <w:webHidden/>
          </w:rPr>
        </w:r>
        <w:r w:rsidR="00755C46">
          <w:rPr>
            <w:webHidden/>
          </w:rPr>
          <w:fldChar w:fldCharType="separate"/>
        </w:r>
        <w:r w:rsidR="00A871B0">
          <w:rPr>
            <w:webHidden/>
          </w:rPr>
          <w:t>259</w:t>
        </w:r>
        <w:r w:rsidR="00755C46">
          <w:rPr>
            <w:webHidden/>
          </w:rPr>
          <w:fldChar w:fldCharType="end"/>
        </w:r>
      </w:hyperlink>
    </w:p>
    <w:p w:rsidR="00755C46" w:rsidRDefault="00CE31E0" w:rsidP="00755C46">
      <w:pPr>
        <w:pStyle w:val="31"/>
        <w:rPr>
          <w:rFonts w:asciiTheme="minorHAnsi" w:eastAsiaTheme="minorEastAsia" w:hAnsiTheme="minorHAnsi" w:cstheme="minorBidi"/>
          <w:color w:val="auto"/>
          <w:spacing w:val="0"/>
          <w:sz w:val="24"/>
          <w:szCs w:val="22"/>
        </w:rPr>
      </w:pPr>
      <w:hyperlink w:anchor="_Toc126068175" w:history="1">
        <w:r w:rsidR="00755C46" w:rsidRPr="00BC234D">
          <w:rPr>
            <w:rStyle w:val="ab"/>
            <w:rFonts w:hint="eastAsia"/>
            <w:spacing w:val="-8"/>
          </w:rPr>
          <w:t>立法院第</w:t>
        </w:r>
        <w:r w:rsidR="00755C46" w:rsidRPr="00BC234D">
          <w:rPr>
            <w:rStyle w:val="ab"/>
            <w:spacing w:val="-8"/>
          </w:rPr>
          <w:t>10</w:t>
        </w:r>
        <w:r w:rsidR="00755C46" w:rsidRPr="00BC234D">
          <w:rPr>
            <w:rStyle w:val="ab"/>
            <w:rFonts w:hint="eastAsia"/>
            <w:spacing w:val="-8"/>
          </w:rPr>
          <w:t>屆第</w:t>
        </w:r>
        <w:r w:rsidR="00755C46" w:rsidRPr="00BC234D">
          <w:rPr>
            <w:rStyle w:val="ab"/>
            <w:spacing w:val="-8"/>
          </w:rPr>
          <w:t>6</w:t>
        </w:r>
        <w:r w:rsidR="00755C46" w:rsidRPr="00BC234D">
          <w:rPr>
            <w:rStyle w:val="ab"/>
            <w:rFonts w:hint="eastAsia"/>
            <w:spacing w:val="-8"/>
          </w:rPr>
          <w:t>會期教育及文化委員會第</w:t>
        </w:r>
        <w:r w:rsidR="00755C46" w:rsidRPr="00BC234D">
          <w:rPr>
            <w:rStyle w:val="ab"/>
            <w:spacing w:val="-8"/>
          </w:rPr>
          <w:t>2</w:t>
        </w:r>
        <w:r w:rsidR="00755C46" w:rsidRPr="00BC234D">
          <w:rPr>
            <w:rStyle w:val="ab"/>
            <w:rFonts w:hint="eastAsia"/>
            <w:spacing w:val="-8"/>
          </w:rPr>
          <w:t>次全體委員會議議事錄</w:t>
        </w:r>
        <w:r w:rsidR="00755C46">
          <w:rPr>
            <w:webHidden/>
          </w:rPr>
          <w:tab/>
        </w:r>
        <w:r w:rsidR="00755C46">
          <w:rPr>
            <w:webHidden/>
          </w:rPr>
          <w:fldChar w:fldCharType="begin"/>
        </w:r>
        <w:r w:rsidR="00755C46">
          <w:rPr>
            <w:webHidden/>
          </w:rPr>
          <w:instrText xml:space="preserve"> PAGEREF _Toc126068175 \h </w:instrText>
        </w:r>
        <w:r w:rsidR="00755C46">
          <w:rPr>
            <w:webHidden/>
          </w:rPr>
        </w:r>
        <w:r w:rsidR="00755C46">
          <w:rPr>
            <w:webHidden/>
          </w:rPr>
          <w:fldChar w:fldCharType="separate"/>
        </w:r>
        <w:r w:rsidR="00A871B0">
          <w:rPr>
            <w:webHidden/>
          </w:rPr>
          <w:t>260</w:t>
        </w:r>
        <w:r w:rsidR="00755C46">
          <w:rPr>
            <w:webHidden/>
          </w:rPr>
          <w:fldChar w:fldCharType="end"/>
        </w:r>
      </w:hyperlink>
    </w:p>
    <w:p w:rsidR="00755C46" w:rsidRDefault="00CE31E0" w:rsidP="00755C46">
      <w:pPr>
        <w:pStyle w:val="31"/>
        <w:rPr>
          <w:rFonts w:asciiTheme="minorHAnsi" w:eastAsiaTheme="minorEastAsia" w:hAnsiTheme="minorHAnsi" w:cstheme="minorBidi"/>
          <w:color w:val="auto"/>
          <w:spacing w:val="0"/>
          <w:sz w:val="24"/>
          <w:szCs w:val="22"/>
        </w:rPr>
      </w:pPr>
      <w:hyperlink w:anchor="_Toc126068176" w:history="1">
        <w:r w:rsidR="00755C46" w:rsidRPr="00BC234D">
          <w:rPr>
            <w:rStyle w:val="ab"/>
            <w:rFonts w:hint="eastAsia"/>
            <w:spacing w:val="-8"/>
          </w:rPr>
          <w:t>立法院第</w:t>
        </w:r>
        <w:r w:rsidR="00755C46" w:rsidRPr="00BC234D">
          <w:rPr>
            <w:rStyle w:val="ab"/>
            <w:spacing w:val="-8"/>
          </w:rPr>
          <w:t>10</w:t>
        </w:r>
        <w:r w:rsidR="00755C46" w:rsidRPr="00BC234D">
          <w:rPr>
            <w:rStyle w:val="ab"/>
            <w:rFonts w:hint="eastAsia"/>
            <w:spacing w:val="-8"/>
          </w:rPr>
          <w:t>屆第</w:t>
        </w:r>
        <w:r w:rsidR="00755C46" w:rsidRPr="00BC234D">
          <w:rPr>
            <w:rStyle w:val="ab"/>
            <w:spacing w:val="-8"/>
          </w:rPr>
          <w:t>6</w:t>
        </w:r>
        <w:r w:rsidR="00755C46" w:rsidRPr="00BC234D">
          <w:rPr>
            <w:rStyle w:val="ab"/>
            <w:rFonts w:hint="eastAsia"/>
            <w:spacing w:val="-8"/>
          </w:rPr>
          <w:t>會期教育及文化委員會第</w:t>
        </w:r>
        <w:r w:rsidR="00755C46" w:rsidRPr="00BC234D">
          <w:rPr>
            <w:rStyle w:val="ab"/>
            <w:spacing w:val="-8"/>
          </w:rPr>
          <w:t>3</w:t>
        </w:r>
        <w:r w:rsidR="00755C46" w:rsidRPr="00BC234D">
          <w:rPr>
            <w:rStyle w:val="ab"/>
            <w:rFonts w:hint="eastAsia"/>
            <w:spacing w:val="-8"/>
          </w:rPr>
          <w:t>次全體委員會議議事錄</w:t>
        </w:r>
        <w:r w:rsidR="00755C46">
          <w:rPr>
            <w:webHidden/>
          </w:rPr>
          <w:tab/>
        </w:r>
        <w:r w:rsidR="00755C46">
          <w:rPr>
            <w:webHidden/>
          </w:rPr>
          <w:fldChar w:fldCharType="begin"/>
        </w:r>
        <w:r w:rsidR="00755C46">
          <w:rPr>
            <w:webHidden/>
          </w:rPr>
          <w:instrText xml:space="preserve"> PAGEREF _Toc126068176 \h </w:instrText>
        </w:r>
        <w:r w:rsidR="00755C46">
          <w:rPr>
            <w:webHidden/>
          </w:rPr>
        </w:r>
        <w:r w:rsidR="00755C46">
          <w:rPr>
            <w:webHidden/>
          </w:rPr>
          <w:fldChar w:fldCharType="separate"/>
        </w:r>
        <w:r w:rsidR="00A871B0">
          <w:rPr>
            <w:webHidden/>
          </w:rPr>
          <w:t>263</w:t>
        </w:r>
        <w:r w:rsidR="00755C46">
          <w:rPr>
            <w:webHidden/>
          </w:rPr>
          <w:fldChar w:fldCharType="end"/>
        </w:r>
      </w:hyperlink>
    </w:p>
    <w:p w:rsidR="00755C46" w:rsidRDefault="00CE31E0" w:rsidP="00755C46">
      <w:pPr>
        <w:pStyle w:val="31"/>
        <w:rPr>
          <w:rFonts w:asciiTheme="minorHAnsi" w:eastAsiaTheme="minorEastAsia" w:hAnsiTheme="minorHAnsi" w:cstheme="minorBidi"/>
          <w:color w:val="auto"/>
          <w:spacing w:val="0"/>
          <w:sz w:val="24"/>
          <w:szCs w:val="22"/>
        </w:rPr>
      </w:pPr>
      <w:hyperlink w:anchor="_Toc126068177" w:history="1">
        <w:r w:rsidR="00755C46" w:rsidRPr="00BC234D">
          <w:rPr>
            <w:rStyle w:val="ab"/>
            <w:rFonts w:hint="eastAsia"/>
            <w:spacing w:val="-8"/>
          </w:rPr>
          <w:t>立法院第</w:t>
        </w:r>
        <w:r w:rsidR="00755C46" w:rsidRPr="00BC234D">
          <w:rPr>
            <w:rStyle w:val="ab"/>
            <w:spacing w:val="-8"/>
          </w:rPr>
          <w:t>10</w:t>
        </w:r>
        <w:r w:rsidR="00755C46" w:rsidRPr="00BC234D">
          <w:rPr>
            <w:rStyle w:val="ab"/>
            <w:rFonts w:hint="eastAsia"/>
            <w:spacing w:val="-8"/>
          </w:rPr>
          <w:t>屆第</w:t>
        </w:r>
        <w:r w:rsidR="00755C46" w:rsidRPr="00BC234D">
          <w:rPr>
            <w:rStyle w:val="ab"/>
            <w:spacing w:val="-8"/>
          </w:rPr>
          <w:t>6</w:t>
        </w:r>
        <w:r w:rsidR="00755C46" w:rsidRPr="00BC234D">
          <w:rPr>
            <w:rStyle w:val="ab"/>
            <w:rFonts w:hint="eastAsia"/>
            <w:spacing w:val="-8"/>
          </w:rPr>
          <w:t>會期教育及文化委員會第</w:t>
        </w:r>
        <w:r w:rsidR="00755C46" w:rsidRPr="00BC234D">
          <w:rPr>
            <w:rStyle w:val="ab"/>
            <w:spacing w:val="-8"/>
          </w:rPr>
          <w:t>4</w:t>
        </w:r>
        <w:r w:rsidR="00755C46" w:rsidRPr="00BC234D">
          <w:rPr>
            <w:rStyle w:val="ab"/>
            <w:rFonts w:hint="eastAsia"/>
            <w:spacing w:val="-8"/>
          </w:rPr>
          <w:t>次全體委員會議議事錄</w:t>
        </w:r>
        <w:r w:rsidR="00755C46">
          <w:rPr>
            <w:webHidden/>
          </w:rPr>
          <w:tab/>
        </w:r>
        <w:r w:rsidR="00755C46">
          <w:rPr>
            <w:webHidden/>
          </w:rPr>
          <w:fldChar w:fldCharType="begin"/>
        </w:r>
        <w:r w:rsidR="00755C46">
          <w:rPr>
            <w:webHidden/>
          </w:rPr>
          <w:instrText xml:space="preserve"> PAGEREF _Toc126068177 \h </w:instrText>
        </w:r>
        <w:r w:rsidR="00755C46">
          <w:rPr>
            <w:webHidden/>
          </w:rPr>
        </w:r>
        <w:r w:rsidR="00755C46">
          <w:rPr>
            <w:webHidden/>
          </w:rPr>
          <w:fldChar w:fldCharType="separate"/>
        </w:r>
        <w:r w:rsidR="00A871B0">
          <w:rPr>
            <w:webHidden/>
          </w:rPr>
          <w:t>265</w:t>
        </w:r>
        <w:r w:rsidR="00755C46">
          <w:rPr>
            <w:webHidden/>
          </w:rPr>
          <w:fldChar w:fldCharType="end"/>
        </w:r>
      </w:hyperlink>
    </w:p>
    <w:p w:rsidR="00755C46" w:rsidRDefault="00641E57" w:rsidP="00755C46">
      <w:pPr>
        <w:pStyle w:val="31"/>
        <w:rPr>
          <w:rFonts w:asciiTheme="minorHAnsi" w:eastAsiaTheme="minorEastAsia" w:hAnsiTheme="minorHAnsi" w:cstheme="minorBidi"/>
          <w:color w:val="auto"/>
          <w:spacing w:val="0"/>
          <w:sz w:val="24"/>
          <w:szCs w:val="22"/>
        </w:rPr>
      </w:pPr>
      <w:hyperlink w:anchor="_Toc126068178" w:history="1">
        <w:r w:rsidR="00755C46" w:rsidRPr="00BC234D">
          <w:rPr>
            <w:rStyle w:val="ab"/>
            <w:rFonts w:hint="eastAsia"/>
            <w:spacing w:val="-8"/>
          </w:rPr>
          <w:t>立法院第</w:t>
        </w:r>
        <w:r w:rsidR="00755C46" w:rsidRPr="00BC234D">
          <w:rPr>
            <w:rStyle w:val="ab"/>
            <w:spacing w:val="-8"/>
          </w:rPr>
          <w:t>10</w:t>
        </w:r>
        <w:r w:rsidR="00755C46" w:rsidRPr="00BC234D">
          <w:rPr>
            <w:rStyle w:val="ab"/>
            <w:rFonts w:hint="eastAsia"/>
            <w:spacing w:val="-8"/>
          </w:rPr>
          <w:t>屆第</w:t>
        </w:r>
        <w:r w:rsidR="00755C46" w:rsidRPr="00BC234D">
          <w:rPr>
            <w:rStyle w:val="ab"/>
            <w:spacing w:val="-8"/>
          </w:rPr>
          <w:t>6</w:t>
        </w:r>
        <w:r w:rsidR="00755C46" w:rsidRPr="00BC234D">
          <w:rPr>
            <w:rStyle w:val="ab"/>
            <w:rFonts w:hint="eastAsia"/>
            <w:spacing w:val="-8"/>
          </w:rPr>
          <w:t>會期教育及文化委員會第</w:t>
        </w:r>
        <w:r w:rsidR="00755C46" w:rsidRPr="00BC234D">
          <w:rPr>
            <w:rStyle w:val="ab"/>
            <w:spacing w:val="-8"/>
          </w:rPr>
          <w:t>5</w:t>
        </w:r>
        <w:r w:rsidR="00755C46" w:rsidRPr="00BC234D">
          <w:rPr>
            <w:rStyle w:val="ab"/>
            <w:rFonts w:hint="eastAsia"/>
            <w:spacing w:val="-8"/>
          </w:rPr>
          <w:t>次全體委員會議議事錄</w:t>
        </w:r>
        <w:r w:rsidR="00755C46">
          <w:rPr>
            <w:webHidden/>
          </w:rPr>
          <w:tab/>
        </w:r>
        <w:r w:rsidR="00755C46">
          <w:rPr>
            <w:webHidden/>
          </w:rPr>
          <w:fldChar w:fldCharType="begin"/>
        </w:r>
        <w:r w:rsidR="00755C46">
          <w:rPr>
            <w:webHidden/>
          </w:rPr>
          <w:instrText xml:space="preserve"> PAGEREF _Toc126068178 \h </w:instrText>
        </w:r>
        <w:r w:rsidR="00755C46">
          <w:rPr>
            <w:webHidden/>
          </w:rPr>
        </w:r>
        <w:r w:rsidR="00755C46">
          <w:rPr>
            <w:webHidden/>
          </w:rPr>
          <w:fldChar w:fldCharType="separate"/>
        </w:r>
        <w:r w:rsidR="00A871B0">
          <w:rPr>
            <w:webHidden/>
          </w:rPr>
          <w:t>270</w:t>
        </w:r>
        <w:r w:rsidR="00755C46">
          <w:rPr>
            <w:webHidden/>
          </w:rPr>
          <w:fldChar w:fldCharType="end"/>
        </w:r>
      </w:hyperlink>
    </w:p>
    <w:p w:rsidR="00755C46" w:rsidRDefault="00641E57" w:rsidP="00755C46">
      <w:pPr>
        <w:pStyle w:val="31"/>
        <w:rPr>
          <w:rFonts w:asciiTheme="minorHAnsi" w:eastAsiaTheme="minorEastAsia" w:hAnsiTheme="minorHAnsi" w:cstheme="minorBidi"/>
          <w:color w:val="auto"/>
          <w:spacing w:val="0"/>
          <w:sz w:val="24"/>
          <w:szCs w:val="22"/>
        </w:rPr>
      </w:pPr>
      <w:hyperlink w:anchor="_Toc126068179" w:history="1">
        <w:r w:rsidR="00755C46" w:rsidRPr="00BC234D">
          <w:rPr>
            <w:rStyle w:val="ab"/>
            <w:rFonts w:hint="eastAsia"/>
            <w:spacing w:val="-8"/>
          </w:rPr>
          <w:t>立法院第</w:t>
        </w:r>
        <w:r w:rsidR="00755C46" w:rsidRPr="00BC234D">
          <w:rPr>
            <w:rStyle w:val="ab"/>
            <w:spacing w:val="-8"/>
          </w:rPr>
          <w:t>10</w:t>
        </w:r>
        <w:r w:rsidR="00755C46" w:rsidRPr="00BC234D">
          <w:rPr>
            <w:rStyle w:val="ab"/>
            <w:rFonts w:hint="eastAsia"/>
            <w:spacing w:val="-8"/>
          </w:rPr>
          <w:t>屆第</w:t>
        </w:r>
        <w:r w:rsidR="00755C46" w:rsidRPr="00BC234D">
          <w:rPr>
            <w:rStyle w:val="ab"/>
            <w:spacing w:val="-8"/>
          </w:rPr>
          <w:t>6</w:t>
        </w:r>
        <w:r w:rsidR="00755C46" w:rsidRPr="00BC234D">
          <w:rPr>
            <w:rStyle w:val="ab"/>
            <w:rFonts w:hint="eastAsia"/>
            <w:spacing w:val="-8"/>
          </w:rPr>
          <w:t>會期教育及文化委員會第</w:t>
        </w:r>
        <w:r w:rsidR="00755C46" w:rsidRPr="00BC234D">
          <w:rPr>
            <w:rStyle w:val="ab"/>
            <w:spacing w:val="-8"/>
          </w:rPr>
          <w:t>6</w:t>
        </w:r>
        <w:r w:rsidR="00755C46" w:rsidRPr="00BC234D">
          <w:rPr>
            <w:rStyle w:val="ab"/>
            <w:rFonts w:hint="eastAsia"/>
            <w:spacing w:val="-8"/>
          </w:rPr>
          <w:t>次全體委員會議議事錄</w:t>
        </w:r>
        <w:r w:rsidR="00755C46">
          <w:rPr>
            <w:webHidden/>
          </w:rPr>
          <w:tab/>
        </w:r>
        <w:r w:rsidR="00755C46">
          <w:rPr>
            <w:webHidden/>
          </w:rPr>
          <w:fldChar w:fldCharType="begin"/>
        </w:r>
        <w:r w:rsidR="00755C46">
          <w:rPr>
            <w:webHidden/>
          </w:rPr>
          <w:instrText xml:space="preserve"> PAGEREF _Toc126068179 \h </w:instrText>
        </w:r>
        <w:r w:rsidR="00755C46">
          <w:rPr>
            <w:webHidden/>
          </w:rPr>
        </w:r>
        <w:r w:rsidR="00755C46">
          <w:rPr>
            <w:webHidden/>
          </w:rPr>
          <w:fldChar w:fldCharType="separate"/>
        </w:r>
        <w:r w:rsidR="00A871B0">
          <w:rPr>
            <w:webHidden/>
          </w:rPr>
          <w:t>273</w:t>
        </w:r>
        <w:r w:rsidR="00755C46">
          <w:rPr>
            <w:webHidden/>
          </w:rPr>
          <w:fldChar w:fldCharType="end"/>
        </w:r>
      </w:hyperlink>
    </w:p>
    <w:p w:rsidR="00755C46" w:rsidRDefault="00CE31E0" w:rsidP="00755C46">
      <w:pPr>
        <w:pStyle w:val="31"/>
        <w:rPr>
          <w:rFonts w:asciiTheme="minorHAnsi" w:eastAsiaTheme="minorEastAsia" w:hAnsiTheme="minorHAnsi" w:cstheme="minorBidi"/>
          <w:color w:val="auto"/>
          <w:spacing w:val="0"/>
          <w:sz w:val="24"/>
          <w:szCs w:val="22"/>
        </w:rPr>
      </w:pPr>
      <w:hyperlink w:anchor="_Toc126068180" w:history="1">
        <w:r w:rsidR="00755C46" w:rsidRPr="00BC234D">
          <w:rPr>
            <w:rStyle w:val="ab"/>
            <w:rFonts w:hint="eastAsia"/>
            <w:spacing w:val="-8"/>
          </w:rPr>
          <w:t>立法院第</w:t>
        </w:r>
        <w:r w:rsidR="00755C46" w:rsidRPr="00BC234D">
          <w:rPr>
            <w:rStyle w:val="ab"/>
            <w:spacing w:val="-8"/>
          </w:rPr>
          <w:t>10</w:t>
        </w:r>
        <w:r w:rsidR="00755C46" w:rsidRPr="00BC234D">
          <w:rPr>
            <w:rStyle w:val="ab"/>
            <w:rFonts w:hint="eastAsia"/>
            <w:spacing w:val="-8"/>
          </w:rPr>
          <w:t>屆第</w:t>
        </w:r>
        <w:r w:rsidR="00755C46" w:rsidRPr="00BC234D">
          <w:rPr>
            <w:rStyle w:val="ab"/>
            <w:spacing w:val="-8"/>
          </w:rPr>
          <w:t>6</w:t>
        </w:r>
        <w:r w:rsidR="00755C46" w:rsidRPr="00BC234D">
          <w:rPr>
            <w:rStyle w:val="ab"/>
            <w:rFonts w:hint="eastAsia"/>
            <w:spacing w:val="-8"/>
          </w:rPr>
          <w:t>會期教育及文化委員會第</w:t>
        </w:r>
        <w:r w:rsidR="00755C46" w:rsidRPr="00BC234D">
          <w:rPr>
            <w:rStyle w:val="ab"/>
            <w:spacing w:val="-8"/>
          </w:rPr>
          <w:t>7</w:t>
        </w:r>
        <w:r w:rsidR="00755C46" w:rsidRPr="00BC234D">
          <w:rPr>
            <w:rStyle w:val="ab"/>
            <w:rFonts w:hint="eastAsia"/>
            <w:spacing w:val="-8"/>
          </w:rPr>
          <w:t>次全體委員會議議事錄</w:t>
        </w:r>
        <w:r w:rsidR="00755C46">
          <w:rPr>
            <w:webHidden/>
          </w:rPr>
          <w:tab/>
        </w:r>
        <w:r w:rsidR="00755C46">
          <w:rPr>
            <w:webHidden/>
          </w:rPr>
          <w:fldChar w:fldCharType="begin"/>
        </w:r>
        <w:r w:rsidR="00755C46">
          <w:rPr>
            <w:webHidden/>
          </w:rPr>
          <w:instrText xml:space="preserve"> PAGEREF _Toc126068180 \h </w:instrText>
        </w:r>
        <w:r w:rsidR="00755C46">
          <w:rPr>
            <w:webHidden/>
          </w:rPr>
        </w:r>
        <w:r w:rsidR="00755C46">
          <w:rPr>
            <w:webHidden/>
          </w:rPr>
          <w:fldChar w:fldCharType="separate"/>
        </w:r>
        <w:r w:rsidR="00A871B0">
          <w:rPr>
            <w:webHidden/>
          </w:rPr>
          <w:t>406</w:t>
        </w:r>
        <w:r w:rsidR="00755C46">
          <w:rPr>
            <w:webHidden/>
          </w:rPr>
          <w:fldChar w:fldCharType="end"/>
        </w:r>
      </w:hyperlink>
    </w:p>
    <w:p w:rsidR="00755C46" w:rsidRDefault="00641E57" w:rsidP="00755C46">
      <w:pPr>
        <w:pStyle w:val="31"/>
        <w:rPr>
          <w:rFonts w:asciiTheme="minorHAnsi" w:eastAsiaTheme="minorEastAsia" w:hAnsiTheme="minorHAnsi" w:cstheme="minorBidi"/>
          <w:color w:val="auto"/>
          <w:spacing w:val="0"/>
          <w:sz w:val="24"/>
          <w:szCs w:val="22"/>
        </w:rPr>
      </w:pPr>
      <w:hyperlink w:anchor="_Toc126068181" w:history="1">
        <w:r w:rsidR="00755C46" w:rsidRPr="00BC234D">
          <w:rPr>
            <w:rStyle w:val="ab"/>
            <w:rFonts w:hint="eastAsia"/>
            <w:spacing w:val="-8"/>
          </w:rPr>
          <w:t>立法院第</w:t>
        </w:r>
        <w:r w:rsidR="00755C46" w:rsidRPr="00BC234D">
          <w:rPr>
            <w:rStyle w:val="ab"/>
            <w:spacing w:val="-8"/>
          </w:rPr>
          <w:t>10</w:t>
        </w:r>
        <w:r w:rsidR="00755C46" w:rsidRPr="00BC234D">
          <w:rPr>
            <w:rStyle w:val="ab"/>
            <w:rFonts w:hint="eastAsia"/>
            <w:spacing w:val="-8"/>
          </w:rPr>
          <w:t>屆第</w:t>
        </w:r>
        <w:r w:rsidR="00755C46" w:rsidRPr="00BC234D">
          <w:rPr>
            <w:rStyle w:val="ab"/>
            <w:spacing w:val="-8"/>
          </w:rPr>
          <w:t>6</w:t>
        </w:r>
        <w:r w:rsidR="00755C46" w:rsidRPr="00BC234D">
          <w:rPr>
            <w:rStyle w:val="ab"/>
            <w:rFonts w:hint="eastAsia"/>
            <w:spacing w:val="-8"/>
          </w:rPr>
          <w:t>會期教育及文化委員會第</w:t>
        </w:r>
        <w:r w:rsidR="00755C46" w:rsidRPr="00BC234D">
          <w:rPr>
            <w:rStyle w:val="ab"/>
            <w:spacing w:val="-8"/>
          </w:rPr>
          <w:t>8</w:t>
        </w:r>
        <w:r w:rsidR="00755C46" w:rsidRPr="00BC234D">
          <w:rPr>
            <w:rStyle w:val="ab"/>
            <w:rFonts w:hint="eastAsia"/>
            <w:spacing w:val="-8"/>
          </w:rPr>
          <w:t>次全體委員會議議事錄</w:t>
        </w:r>
        <w:r w:rsidR="00755C46">
          <w:rPr>
            <w:webHidden/>
          </w:rPr>
          <w:tab/>
        </w:r>
        <w:r w:rsidR="00755C46">
          <w:rPr>
            <w:webHidden/>
          </w:rPr>
          <w:fldChar w:fldCharType="begin"/>
        </w:r>
        <w:r w:rsidR="00755C46">
          <w:rPr>
            <w:webHidden/>
          </w:rPr>
          <w:instrText xml:space="preserve"> PAGEREF _Toc126068181 \h </w:instrText>
        </w:r>
        <w:r w:rsidR="00755C46">
          <w:rPr>
            <w:webHidden/>
          </w:rPr>
        </w:r>
        <w:r w:rsidR="00755C46">
          <w:rPr>
            <w:webHidden/>
          </w:rPr>
          <w:fldChar w:fldCharType="separate"/>
        </w:r>
        <w:r w:rsidR="00A871B0">
          <w:rPr>
            <w:webHidden/>
          </w:rPr>
          <w:t>410</w:t>
        </w:r>
        <w:r w:rsidR="00755C46">
          <w:rPr>
            <w:webHidden/>
          </w:rPr>
          <w:fldChar w:fldCharType="end"/>
        </w:r>
      </w:hyperlink>
    </w:p>
    <w:p w:rsidR="00755C46" w:rsidRDefault="00641E57" w:rsidP="00755C46">
      <w:pPr>
        <w:pStyle w:val="31"/>
        <w:rPr>
          <w:rFonts w:asciiTheme="minorHAnsi" w:eastAsiaTheme="minorEastAsia" w:hAnsiTheme="minorHAnsi" w:cstheme="minorBidi"/>
          <w:color w:val="auto"/>
          <w:spacing w:val="0"/>
          <w:sz w:val="24"/>
          <w:szCs w:val="22"/>
        </w:rPr>
      </w:pPr>
      <w:hyperlink w:anchor="_Toc126068182" w:history="1">
        <w:r w:rsidR="00755C46" w:rsidRPr="00BC234D">
          <w:rPr>
            <w:rStyle w:val="ab"/>
            <w:rFonts w:hint="eastAsia"/>
            <w:spacing w:val="-8"/>
          </w:rPr>
          <w:t>立法院第</w:t>
        </w:r>
        <w:r w:rsidR="00755C46" w:rsidRPr="00BC234D">
          <w:rPr>
            <w:rStyle w:val="ab"/>
            <w:spacing w:val="-8"/>
          </w:rPr>
          <w:t>10</w:t>
        </w:r>
        <w:r w:rsidR="00755C46" w:rsidRPr="00BC234D">
          <w:rPr>
            <w:rStyle w:val="ab"/>
            <w:rFonts w:hint="eastAsia"/>
            <w:spacing w:val="-8"/>
          </w:rPr>
          <w:t>屆第</w:t>
        </w:r>
        <w:r w:rsidR="00755C46" w:rsidRPr="00BC234D">
          <w:rPr>
            <w:rStyle w:val="ab"/>
            <w:spacing w:val="-8"/>
          </w:rPr>
          <w:t>6</w:t>
        </w:r>
        <w:r w:rsidR="00755C46" w:rsidRPr="00BC234D">
          <w:rPr>
            <w:rStyle w:val="ab"/>
            <w:rFonts w:hint="eastAsia"/>
            <w:spacing w:val="-8"/>
          </w:rPr>
          <w:t>會期教育及文化委員會第</w:t>
        </w:r>
        <w:r w:rsidR="00755C46" w:rsidRPr="00BC234D">
          <w:rPr>
            <w:rStyle w:val="ab"/>
            <w:spacing w:val="-8"/>
          </w:rPr>
          <w:t>9</w:t>
        </w:r>
        <w:r w:rsidR="00755C46" w:rsidRPr="00BC234D">
          <w:rPr>
            <w:rStyle w:val="ab"/>
            <w:rFonts w:hint="eastAsia"/>
            <w:spacing w:val="-8"/>
          </w:rPr>
          <w:t>次全體委員會議議事錄</w:t>
        </w:r>
        <w:r w:rsidR="00755C46">
          <w:rPr>
            <w:webHidden/>
          </w:rPr>
          <w:tab/>
        </w:r>
        <w:r w:rsidR="00755C46">
          <w:rPr>
            <w:webHidden/>
          </w:rPr>
          <w:fldChar w:fldCharType="begin"/>
        </w:r>
        <w:r w:rsidR="00755C46">
          <w:rPr>
            <w:webHidden/>
          </w:rPr>
          <w:instrText xml:space="preserve"> PAGEREF _Toc126068182 \h </w:instrText>
        </w:r>
        <w:r w:rsidR="00755C46">
          <w:rPr>
            <w:webHidden/>
          </w:rPr>
        </w:r>
        <w:r w:rsidR="00755C46">
          <w:rPr>
            <w:webHidden/>
          </w:rPr>
          <w:fldChar w:fldCharType="separate"/>
        </w:r>
        <w:r w:rsidR="00A871B0">
          <w:rPr>
            <w:webHidden/>
          </w:rPr>
          <w:t>412</w:t>
        </w:r>
        <w:r w:rsidR="00755C46">
          <w:rPr>
            <w:webHidden/>
          </w:rPr>
          <w:fldChar w:fldCharType="end"/>
        </w:r>
      </w:hyperlink>
    </w:p>
    <w:p w:rsidR="00755C46" w:rsidRDefault="00641E57" w:rsidP="00755C46">
      <w:pPr>
        <w:pStyle w:val="31"/>
        <w:rPr>
          <w:rFonts w:asciiTheme="minorHAnsi" w:eastAsiaTheme="minorEastAsia" w:hAnsiTheme="minorHAnsi" w:cstheme="minorBidi"/>
          <w:color w:val="auto"/>
          <w:spacing w:val="0"/>
          <w:sz w:val="24"/>
          <w:szCs w:val="22"/>
        </w:rPr>
      </w:pPr>
      <w:hyperlink w:anchor="_Toc126068183" w:history="1">
        <w:r w:rsidR="00755C46" w:rsidRPr="00BC234D">
          <w:rPr>
            <w:rStyle w:val="ab"/>
            <w:rFonts w:hint="eastAsia"/>
            <w:spacing w:val="-8"/>
          </w:rPr>
          <w:t>立法院第</w:t>
        </w:r>
        <w:r w:rsidR="00755C46" w:rsidRPr="00BC234D">
          <w:rPr>
            <w:rStyle w:val="ab"/>
            <w:spacing w:val="-8"/>
          </w:rPr>
          <w:t>10</w:t>
        </w:r>
        <w:r w:rsidR="00755C46" w:rsidRPr="00BC234D">
          <w:rPr>
            <w:rStyle w:val="ab"/>
            <w:rFonts w:hint="eastAsia"/>
            <w:spacing w:val="-8"/>
          </w:rPr>
          <w:t>屆第</w:t>
        </w:r>
        <w:r w:rsidR="00755C46" w:rsidRPr="00BC234D">
          <w:rPr>
            <w:rStyle w:val="ab"/>
            <w:spacing w:val="-8"/>
          </w:rPr>
          <w:t>6</w:t>
        </w:r>
        <w:r w:rsidR="00755C46" w:rsidRPr="00BC234D">
          <w:rPr>
            <w:rStyle w:val="ab"/>
            <w:rFonts w:hint="eastAsia"/>
            <w:spacing w:val="-8"/>
          </w:rPr>
          <w:t>會期教育及文化委員會第</w:t>
        </w:r>
        <w:r w:rsidR="00755C46" w:rsidRPr="00BC234D">
          <w:rPr>
            <w:rStyle w:val="ab"/>
            <w:spacing w:val="-8"/>
          </w:rPr>
          <w:t>10</w:t>
        </w:r>
        <w:r w:rsidR="00755C46" w:rsidRPr="00BC234D">
          <w:rPr>
            <w:rStyle w:val="ab"/>
            <w:rFonts w:hint="eastAsia"/>
            <w:spacing w:val="-8"/>
          </w:rPr>
          <w:t>次全體委員會議議事錄</w:t>
        </w:r>
        <w:r w:rsidR="00755C46">
          <w:rPr>
            <w:webHidden/>
          </w:rPr>
          <w:tab/>
        </w:r>
        <w:r w:rsidR="00755C46">
          <w:rPr>
            <w:webHidden/>
          </w:rPr>
          <w:fldChar w:fldCharType="begin"/>
        </w:r>
        <w:r w:rsidR="00755C46">
          <w:rPr>
            <w:webHidden/>
          </w:rPr>
          <w:instrText xml:space="preserve"> PAGEREF _Toc126068183 \h </w:instrText>
        </w:r>
        <w:r w:rsidR="00755C46">
          <w:rPr>
            <w:webHidden/>
          </w:rPr>
        </w:r>
        <w:r w:rsidR="00755C46">
          <w:rPr>
            <w:webHidden/>
          </w:rPr>
          <w:fldChar w:fldCharType="separate"/>
        </w:r>
        <w:r w:rsidR="00A871B0">
          <w:rPr>
            <w:webHidden/>
          </w:rPr>
          <w:t>414</w:t>
        </w:r>
        <w:r w:rsidR="00755C46">
          <w:rPr>
            <w:webHidden/>
          </w:rPr>
          <w:fldChar w:fldCharType="end"/>
        </w:r>
      </w:hyperlink>
    </w:p>
    <w:p w:rsidR="00755C46" w:rsidRDefault="00641E57" w:rsidP="00755C46">
      <w:pPr>
        <w:pStyle w:val="31"/>
        <w:rPr>
          <w:rFonts w:asciiTheme="minorHAnsi" w:eastAsiaTheme="minorEastAsia" w:hAnsiTheme="minorHAnsi" w:cstheme="minorBidi"/>
          <w:color w:val="auto"/>
          <w:spacing w:val="0"/>
          <w:sz w:val="24"/>
          <w:szCs w:val="22"/>
        </w:rPr>
      </w:pPr>
      <w:hyperlink w:anchor="_Toc126068184" w:history="1">
        <w:r w:rsidR="00755C46" w:rsidRPr="00BC234D">
          <w:rPr>
            <w:rStyle w:val="ab"/>
            <w:rFonts w:hint="eastAsia"/>
            <w:spacing w:val="-8"/>
          </w:rPr>
          <w:t>立法院第</w:t>
        </w:r>
        <w:r w:rsidR="00755C46" w:rsidRPr="00BC234D">
          <w:rPr>
            <w:rStyle w:val="ab"/>
            <w:spacing w:val="-8"/>
          </w:rPr>
          <w:t>10</w:t>
        </w:r>
        <w:r w:rsidR="00755C46" w:rsidRPr="00BC234D">
          <w:rPr>
            <w:rStyle w:val="ab"/>
            <w:rFonts w:hint="eastAsia"/>
            <w:spacing w:val="-8"/>
          </w:rPr>
          <w:t>屆第</w:t>
        </w:r>
        <w:r w:rsidR="00755C46" w:rsidRPr="00BC234D">
          <w:rPr>
            <w:rStyle w:val="ab"/>
            <w:spacing w:val="-8"/>
          </w:rPr>
          <w:t>6</w:t>
        </w:r>
        <w:r w:rsidR="00755C46" w:rsidRPr="00BC234D">
          <w:rPr>
            <w:rStyle w:val="ab"/>
            <w:rFonts w:hint="eastAsia"/>
            <w:spacing w:val="-8"/>
          </w:rPr>
          <w:t>會期教育及文化委員會第</w:t>
        </w:r>
        <w:r w:rsidR="00755C46" w:rsidRPr="00BC234D">
          <w:rPr>
            <w:rStyle w:val="ab"/>
            <w:spacing w:val="-8"/>
          </w:rPr>
          <w:t>11</w:t>
        </w:r>
        <w:r w:rsidR="00755C46" w:rsidRPr="00BC234D">
          <w:rPr>
            <w:rStyle w:val="ab"/>
            <w:rFonts w:hint="eastAsia"/>
            <w:spacing w:val="-8"/>
          </w:rPr>
          <w:t>次全體委員會議議事錄</w:t>
        </w:r>
        <w:r w:rsidR="00755C46">
          <w:rPr>
            <w:webHidden/>
          </w:rPr>
          <w:tab/>
        </w:r>
        <w:r w:rsidR="00755C46">
          <w:rPr>
            <w:webHidden/>
          </w:rPr>
          <w:fldChar w:fldCharType="begin"/>
        </w:r>
        <w:r w:rsidR="00755C46">
          <w:rPr>
            <w:webHidden/>
          </w:rPr>
          <w:instrText xml:space="preserve"> PAGEREF _Toc126068184 \h </w:instrText>
        </w:r>
        <w:r w:rsidR="00755C46">
          <w:rPr>
            <w:webHidden/>
          </w:rPr>
        </w:r>
        <w:r w:rsidR="00755C46">
          <w:rPr>
            <w:webHidden/>
          </w:rPr>
          <w:fldChar w:fldCharType="separate"/>
        </w:r>
        <w:r w:rsidR="00A871B0">
          <w:rPr>
            <w:webHidden/>
          </w:rPr>
          <w:t>416</w:t>
        </w:r>
        <w:r w:rsidR="00755C46">
          <w:rPr>
            <w:webHidden/>
          </w:rPr>
          <w:fldChar w:fldCharType="end"/>
        </w:r>
      </w:hyperlink>
    </w:p>
    <w:p w:rsidR="00755C46" w:rsidRDefault="00641E57" w:rsidP="00755C46">
      <w:pPr>
        <w:pStyle w:val="31"/>
        <w:rPr>
          <w:rFonts w:asciiTheme="minorHAnsi" w:eastAsiaTheme="minorEastAsia" w:hAnsiTheme="minorHAnsi" w:cstheme="minorBidi"/>
          <w:color w:val="auto"/>
          <w:spacing w:val="0"/>
          <w:sz w:val="24"/>
          <w:szCs w:val="22"/>
        </w:rPr>
      </w:pPr>
      <w:hyperlink w:anchor="_Toc126068185" w:history="1">
        <w:r w:rsidR="00755C46" w:rsidRPr="00BC234D">
          <w:rPr>
            <w:rStyle w:val="ab"/>
            <w:rFonts w:hint="eastAsia"/>
            <w:spacing w:val="-8"/>
          </w:rPr>
          <w:t>立法院第</w:t>
        </w:r>
        <w:r w:rsidR="00755C46" w:rsidRPr="00BC234D">
          <w:rPr>
            <w:rStyle w:val="ab"/>
            <w:spacing w:val="-8"/>
          </w:rPr>
          <w:t>10</w:t>
        </w:r>
        <w:r w:rsidR="00755C46" w:rsidRPr="00BC234D">
          <w:rPr>
            <w:rStyle w:val="ab"/>
            <w:rFonts w:hint="eastAsia"/>
            <w:spacing w:val="-8"/>
          </w:rPr>
          <w:t>屆第</w:t>
        </w:r>
        <w:r w:rsidR="00755C46" w:rsidRPr="00BC234D">
          <w:rPr>
            <w:rStyle w:val="ab"/>
            <w:spacing w:val="-8"/>
          </w:rPr>
          <w:t>6</w:t>
        </w:r>
        <w:r w:rsidR="00755C46" w:rsidRPr="00BC234D">
          <w:rPr>
            <w:rStyle w:val="ab"/>
            <w:rFonts w:hint="eastAsia"/>
            <w:spacing w:val="-8"/>
          </w:rPr>
          <w:t>會期教育及文化委員會第</w:t>
        </w:r>
        <w:r w:rsidR="00755C46" w:rsidRPr="00BC234D">
          <w:rPr>
            <w:rStyle w:val="ab"/>
            <w:spacing w:val="-8"/>
          </w:rPr>
          <w:t>12</w:t>
        </w:r>
        <w:r w:rsidR="00755C46" w:rsidRPr="00BC234D">
          <w:rPr>
            <w:rStyle w:val="ab"/>
            <w:rFonts w:hint="eastAsia"/>
            <w:spacing w:val="-8"/>
          </w:rPr>
          <w:t>次全體委員會議議事錄</w:t>
        </w:r>
        <w:r w:rsidR="00755C46">
          <w:rPr>
            <w:webHidden/>
          </w:rPr>
          <w:tab/>
        </w:r>
        <w:r w:rsidR="00755C46">
          <w:rPr>
            <w:webHidden/>
          </w:rPr>
          <w:fldChar w:fldCharType="begin"/>
        </w:r>
        <w:r w:rsidR="00755C46">
          <w:rPr>
            <w:webHidden/>
          </w:rPr>
          <w:instrText xml:space="preserve"> PAGEREF _Toc126068185 \h </w:instrText>
        </w:r>
        <w:r w:rsidR="00755C46">
          <w:rPr>
            <w:webHidden/>
          </w:rPr>
        </w:r>
        <w:r w:rsidR="00755C46">
          <w:rPr>
            <w:webHidden/>
          </w:rPr>
          <w:fldChar w:fldCharType="separate"/>
        </w:r>
        <w:r w:rsidR="00A871B0">
          <w:rPr>
            <w:webHidden/>
          </w:rPr>
          <w:t>418</w:t>
        </w:r>
        <w:r w:rsidR="00755C46">
          <w:rPr>
            <w:webHidden/>
          </w:rPr>
          <w:fldChar w:fldCharType="end"/>
        </w:r>
      </w:hyperlink>
    </w:p>
    <w:p w:rsidR="00755C46" w:rsidRDefault="00641E57" w:rsidP="00755C46">
      <w:pPr>
        <w:pStyle w:val="31"/>
        <w:rPr>
          <w:rFonts w:asciiTheme="minorHAnsi" w:eastAsiaTheme="minorEastAsia" w:hAnsiTheme="minorHAnsi" w:cstheme="minorBidi"/>
          <w:color w:val="auto"/>
          <w:spacing w:val="0"/>
          <w:sz w:val="24"/>
          <w:szCs w:val="22"/>
        </w:rPr>
      </w:pPr>
      <w:hyperlink w:anchor="_Toc126068186" w:history="1">
        <w:r w:rsidR="00755C46" w:rsidRPr="00BC234D">
          <w:rPr>
            <w:rStyle w:val="ab"/>
            <w:rFonts w:hint="eastAsia"/>
            <w:spacing w:val="-8"/>
          </w:rPr>
          <w:t>立法院第</w:t>
        </w:r>
        <w:r w:rsidR="00755C46" w:rsidRPr="00BC234D">
          <w:rPr>
            <w:rStyle w:val="ab"/>
            <w:spacing w:val="-8"/>
          </w:rPr>
          <w:t>10</w:t>
        </w:r>
        <w:r w:rsidR="00755C46" w:rsidRPr="00BC234D">
          <w:rPr>
            <w:rStyle w:val="ab"/>
            <w:rFonts w:hint="eastAsia"/>
            <w:spacing w:val="-8"/>
          </w:rPr>
          <w:t>屆第</w:t>
        </w:r>
        <w:r w:rsidR="00755C46" w:rsidRPr="00BC234D">
          <w:rPr>
            <w:rStyle w:val="ab"/>
            <w:spacing w:val="-8"/>
          </w:rPr>
          <w:t>6</w:t>
        </w:r>
        <w:r w:rsidR="00755C46" w:rsidRPr="00BC234D">
          <w:rPr>
            <w:rStyle w:val="ab"/>
            <w:rFonts w:hint="eastAsia"/>
            <w:spacing w:val="-8"/>
          </w:rPr>
          <w:t>會期教育及文化委員會第</w:t>
        </w:r>
        <w:r w:rsidR="00755C46" w:rsidRPr="00BC234D">
          <w:rPr>
            <w:rStyle w:val="ab"/>
            <w:spacing w:val="-8"/>
          </w:rPr>
          <w:t>13</w:t>
        </w:r>
        <w:r w:rsidR="00755C46" w:rsidRPr="00BC234D">
          <w:rPr>
            <w:rStyle w:val="ab"/>
            <w:rFonts w:hint="eastAsia"/>
            <w:spacing w:val="-8"/>
          </w:rPr>
          <w:t>次全體委員會議議事錄</w:t>
        </w:r>
        <w:r w:rsidR="00755C46">
          <w:rPr>
            <w:webHidden/>
          </w:rPr>
          <w:tab/>
        </w:r>
        <w:r w:rsidR="00755C46">
          <w:rPr>
            <w:webHidden/>
          </w:rPr>
          <w:fldChar w:fldCharType="begin"/>
        </w:r>
        <w:r w:rsidR="00755C46">
          <w:rPr>
            <w:webHidden/>
          </w:rPr>
          <w:instrText xml:space="preserve"> PAGEREF _Toc126068186 \h </w:instrText>
        </w:r>
        <w:r w:rsidR="00755C46">
          <w:rPr>
            <w:webHidden/>
          </w:rPr>
        </w:r>
        <w:r w:rsidR="00755C46">
          <w:rPr>
            <w:webHidden/>
          </w:rPr>
          <w:fldChar w:fldCharType="separate"/>
        </w:r>
        <w:r w:rsidR="00A871B0">
          <w:rPr>
            <w:webHidden/>
          </w:rPr>
          <w:t>457</w:t>
        </w:r>
        <w:r w:rsidR="00755C46">
          <w:rPr>
            <w:webHidden/>
          </w:rPr>
          <w:fldChar w:fldCharType="end"/>
        </w:r>
      </w:hyperlink>
    </w:p>
    <w:p w:rsidR="00755C46" w:rsidRDefault="00641E57" w:rsidP="00755C46">
      <w:pPr>
        <w:pStyle w:val="31"/>
        <w:rPr>
          <w:rFonts w:asciiTheme="minorHAnsi" w:eastAsiaTheme="minorEastAsia" w:hAnsiTheme="minorHAnsi" w:cstheme="minorBidi"/>
          <w:color w:val="auto"/>
          <w:spacing w:val="0"/>
          <w:sz w:val="24"/>
          <w:szCs w:val="22"/>
        </w:rPr>
      </w:pPr>
      <w:hyperlink w:anchor="_Toc126068187" w:history="1">
        <w:r w:rsidR="00755C46" w:rsidRPr="00BC234D">
          <w:rPr>
            <w:rStyle w:val="ab"/>
            <w:rFonts w:hint="eastAsia"/>
            <w:spacing w:val="-8"/>
          </w:rPr>
          <w:t>立法院第</w:t>
        </w:r>
        <w:r w:rsidR="00755C46" w:rsidRPr="00BC234D">
          <w:rPr>
            <w:rStyle w:val="ab"/>
            <w:spacing w:val="-8"/>
          </w:rPr>
          <w:t>10</w:t>
        </w:r>
        <w:r w:rsidR="00755C46" w:rsidRPr="00BC234D">
          <w:rPr>
            <w:rStyle w:val="ab"/>
            <w:rFonts w:hint="eastAsia"/>
            <w:spacing w:val="-8"/>
          </w:rPr>
          <w:t>屆第</w:t>
        </w:r>
        <w:r w:rsidR="00755C46" w:rsidRPr="00BC234D">
          <w:rPr>
            <w:rStyle w:val="ab"/>
            <w:spacing w:val="-8"/>
          </w:rPr>
          <w:t>6</w:t>
        </w:r>
        <w:r w:rsidR="00755C46" w:rsidRPr="00BC234D">
          <w:rPr>
            <w:rStyle w:val="ab"/>
            <w:rFonts w:hint="eastAsia"/>
            <w:spacing w:val="-8"/>
          </w:rPr>
          <w:t>會期教育及文化委員會第</w:t>
        </w:r>
        <w:r w:rsidR="00755C46" w:rsidRPr="00BC234D">
          <w:rPr>
            <w:rStyle w:val="ab"/>
            <w:spacing w:val="-8"/>
          </w:rPr>
          <w:t>14</w:t>
        </w:r>
        <w:r w:rsidR="00755C46" w:rsidRPr="00BC234D">
          <w:rPr>
            <w:rStyle w:val="ab"/>
            <w:rFonts w:hint="eastAsia"/>
            <w:spacing w:val="-8"/>
          </w:rPr>
          <w:t>次全體委員會議議事錄</w:t>
        </w:r>
        <w:r w:rsidR="00755C46">
          <w:rPr>
            <w:webHidden/>
          </w:rPr>
          <w:tab/>
        </w:r>
        <w:r w:rsidR="00755C46">
          <w:rPr>
            <w:webHidden/>
          </w:rPr>
          <w:fldChar w:fldCharType="begin"/>
        </w:r>
        <w:r w:rsidR="00755C46">
          <w:rPr>
            <w:webHidden/>
          </w:rPr>
          <w:instrText xml:space="preserve"> PAGEREF _Toc126068187 \h </w:instrText>
        </w:r>
        <w:r w:rsidR="00755C46">
          <w:rPr>
            <w:webHidden/>
          </w:rPr>
        </w:r>
        <w:r w:rsidR="00755C46">
          <w:rPr>
            <w:webHidden/>
          </w:rPr>
          <w:fldChar w:fldCharType="separate"/>
        </w:r>
        <w:r w:rsidR="00A871B0">
          <w:rPr>
            <w:webHidden/>
          </w:rPr>
          <w:t>571</w:t>
        </w:r>
        <w:r w:rsidR="00755C46">
          <w:rPr>
            <w:webHidden/>
          </w:rPr>
          <w:fldChar w:fldCharType="end"/>
        </w:r>
      </w:hyperlink>
    </w:p>
    <w:p w:rsidR="00755C46" w:rsidRDefault="00641E57" w:rsidP="00755C46">
      <w:pPr>
        <w:pStyle w:val="31"/>
        <w:rPr>
          <w:rFonts w:asciiTheme="minorHAnsi" w:eastAsiaTheme="minorEastAsia" w:hAnsiTheme="minorHAnsi" w:cstheme="minorBidi"/>
          <w:color w:val="auto"/>
          <w:spacing w:val="0"/>
          <w:sz w:val="24"/>
          <w:szCs w:val="22"/>
        </w:rPr>
      </w:pPr>
      <w:hyperlink w:anchor="_Toc126068188" w:history="1">
        <w:r w:rsidR="00755C46" w:rsidRPr="00BC234D">
          <w:rPr>
            <w:rStyle w:val="ab"/>
            <w:rFonts w:hint="eastAsia"/>
            <w:spacing w:val="-8"/>
          </w:rPr>
          <w:t>立法院第</w:t>
        </w:r>
        <w:r w:rsidR="00755C46" w:rsidRPr="00BC234D">
          <w:rPr>
            <w:rStyle w:val="ab"/>
            <w:spacing w:val="-8"/>
          </w:rPr>
          <w:t>10</w:t>
        </w:r>
        <w:r w:rsidR="00755C46" w:rsidRPr="00BC234D">
          <w:rPr>
            <w:rStyle w:val="ab"/>
            <w:rFonts w:hint="eastAsia"/>
            <w:spacing w:val="-8"/>
          </w:rPr>
          <w:t>屆第</w:t>
        </w:r>
        <w:r w:rsidR="00755C46" w:rsidRPr="00BC234D">
          <w:rPr>
            <w:rStyle w:val="ab"/>
            <w:spacing w:val="-8"/>
          </w:rPr>
          <w:t>6</w:t>
        </w:r>
        <w:r w:rsidR="00755C46" w:rsidRPr="00BC234D">
          <w:rPr>
            <w:rStyle w:val="ab"/>
            <w:rFonts w:hint="eastAsia"/>
            <w:spacing w:val="-8"/>
          </w:rPr>
          <w:t>會期教育及文化委員會第</w:t>
        </w:r>
        <w:r w:rsidR="00755C46" w:rsidRPr="00BC234D">
          <w:rPr>
            <w:rStyle w:val="ab"/>
            <w:spacing w:val="-8"/>
          </w:rPr>
          <w:t>15</w:t>
        </w:r>
        <w:r w:rsidR="00755C46" w:rsidRPr="00BC234D">
          <w:rPr>
            <w:rStyle w:val="ab"/>
            <w:rFonts w:hint="eastAsia"/>
            <w:spacing w:val="-8"/>
          </w:rPr>
          <w:t>次全體委員會議議事錄</w:t>
        </w:r>
        <w:r w:rsidR="00755C46">
          <w:rPr>
            <w:webHidden/>
          </w:rPr>
          <w:tab/>
        </w:r>
        <w:r w:rsidR="00755C46">
          <w:rPr>
            <w:webHidden/>
          </w:rPr>
          <w:fldChar w:fldCharType="begin"/>
        </w:r>
        <w:r w:rsidR="00755C46">
          <w:rPr>
            <w:webHidden/>
          </w:rPr>
          <w:instrText xml:space="preserve"> PAGEREF _Toc126068188 \h </w:instrText>
        </w:r>
        <w:r w:rsidR="00755C46">
          <w:rPr>
            <w:webHidden/>
          </w:rPr>
        </w:r>
        <w:r w:rsidR="00755C46">
          <w:rPr>
            <w:webHidden/>
          </w:rPr>
          <w:fldChar w:fldCharType="separate"/>
        </w:r>
        <w:r w:rsidR="00A871B0">
          <w:rPr>
            <w:webHidden/>
          </w:rPr>
          <w:t>611</w:t>
        </w:r>
        <w:r w:rsidR="00755C46">
          <w:rPr>
            <w:webHidden/>
          </w:rPr>
          <w:fldChar w:fldCharType="end"/>
        </w:r>
      </w:hyperlink>
    </w:p>
    <w:p w:rsidR="00755C46" w:rsidRDefault="00641E57" w:rsidP="00755C46">
      <w:pPr>
        <w:pStyle w:val="31"/>
        <w:rPr>
          <w:rFonts w:asciiTheme="minorHAnsi" w:eastAsiaTheme="minorEastAsia" w:hAnsiTheme="minorHAnsi" w:cstheme="minorBidi"/>
          <w:color w:val="auto"/>
          <w:spacing w:val="0"/>
          <w:sz w:val="24"/>
          <w:szCs w:val="22"/>
        </w:rPr>
      </w:pPr>
      <w:hyperlink w:anchor="_Toc126068189" w:history="1">
        <w:r w:rsidR="00755C46" w:rsidRPr="00BC234D">
          <w:rPr>
            <w:rStyle w:val="ab"/>
            <w:rFonts w:hint="eastAsia"/>
            <w:spacing w:val="-8"/>
          </w:rPr>
          <w:t>立法院第</w:t>
        </w:r>
        <w:r w:rsidR="00755C46" w:rsidRPr="00BC234D">
          <w:rPr>
            <w:rStyle w:val="ab"/>
            <w:spacing w:val="-8"/>
          </w:rPr>
          <w:t>10</w:t>
        </w:r>
        <w:r w:rsidR="00755C46" w:rsidRPr="00BC234D">
          <w:rPr>
            <w:rStyle w:val="ab"/>
            <w:rFonts w:hint="eastAsia"/>
            <w:spacing w:val="-8"/>
          </w:rPr>
          <w:t>屆第</w:t>
        </w:r>
        <w:r w:rsidR="00755C46" w:rsidRPr="00BC234D">
          <w:rPr>
            <w:rStyle w:val="ab"/>
            <w:spacing w:val="-8"/>
          </w:rPr>
          <w:t>6</w:t>
        </w:r>
        <w:r w:rsidR="00755C46" w:rsidRPr="00BC234D">
          <w:rPr>
            <w:rStyle w:val="ab"/>
            <w:rFonts w:hint="eastAsia"/>
            <w:spacing w:val="-8"/>
          </w:rPr>
          <w:t>會期教育及文化委員會第</w:t>
        </w:r>
        <w:r w:rsidR="00755C46" w:rsidRPr="00BC234D">
          <w:rPr>
            <w:rStyle w:val="ab"/>
            <w:spacing w:val="-8"/>
          </w:rPr>
          <w:t>16</w:t>
        </w:r>
        <w:r w:rsidR="00755C46" w:rsidRPr="00BC234D">
          <w:rPr>
            <w:rStyle w:val="ab"/>
            <w:rFonts w:hint="eastAsia"/>
            <w:spacing w:val="-8"/>
          </w:rPr>
          <w:t>次全體委員會議議事錄</w:t>
        </w:r>
        <w:r w:rsidR="00755C46">
          <w:rPr>
            <w:webHidden/>
          </w:rPr>
          <w:tab/>
        </w:r>
        <w:r w:rsidR="00755C46">
          <w:rPr>
            <w:webHidden/>
          </w:rPr>
          <w:fldChar w:fldCharType="begin"/>
        </w:r>
        <w:r w:rsidR="00755C46">
          <w:rPr>
            <w:webHidden/>
          </w:rPr>
          <w:instrText xml:space="preserve"> PAGEREF _Toc126068189 \h </w:instrText>
        </w:r>
        <w:r w:rsidR="00755C46">
          <w:rPr>
            <w:webHidden/>
          </w:rPr>
        </w:r>
        <w:r w:rsidR="00755C46">
          <w:rPr>
            <w:webHidden/>
          </w:rPr>
          <w:fldChar w:fldCharType="separate"/>
        </w:r>
        <w:r w:rsidR="00A871B0">
          <w:rPr>
            <w:webHidden/>
          </w:rPr>
          <w:t>727</w:t>
        </w:r>
        <w:r w:rsidR="00755C46">
          <w:rPr>
            <w:webHidden/>
          </w:rPr>
          <w:fldChar w:fldCharType="end"/>
        </w:r>
      </w:hyperlink>
    </w:p>
    <w:p w:rsidR="004878EE" w:rsidRDefault="007579B4" w:rsidP="00755C46">
      <w:pPr>
        <w:pStyle w:val="31"/>
        <w:rPr>
          <w:rStyle w:val="ab"/>
          <w:color w:val="000000" w:themeColor="text1"/>
          <w:spacing w:val="-10"/>
        </w:rPr>
        <w:sectPr w:rsidR="004878EE" w:rsidSect="004B23A4">
          <w:footerReference w:type="default" r:id="rId11"/>
          <w:type w:val="continuous"/>
          <w:pgSz w:w="11907" w:h="16840" w:code="9"/>
          <w:pgMar w:top="1134" w:right="1134" w:bottom="1134" w:left="1134" w:header="851" w:footer="992" w:gutter="0"/>
          <w:pgNumType w:fmt="upperRoman" w:start="1"/>
          <w:cols w:space="425"/>
          <w:docGrid w:type="linesAndChars" w:linePitch="360"/>
        </w:sectPr>
      </w:pPr>
      <w:r w:rsidRPr="00920597">
        <w:rPr>
          <w:rStyle w:val="ab"/>
          <w:color w:val="000000" w:themeColor="text1"/>
          <w:spacing w:val="-10"/>
        </w:rPr>
        <w:fldChar w:fldCharType="end"/>
      </w:r>
    </w:p>
    <w:p w:rsidR="00094DDD" w:rsidRPr="00920597" w:rsidRDefault="00094DDD" w:rsidP="00755C46">
      <w:pPr>
        <w:pStyle w:val="31"/>
        <w:rPr>
          <w:rStyle w:val="ab"/>
          <w:color w:val="000000" w:themeColor="text1"/>
          <w:spacing w:val="-10"/>
        </w:rPr>
        <w:sectPr w:rsidR="00094DDD" w:rsidRPr="00920597" w:rsidSect="004878EE">
          <w:footerReference w:type="default" r:id="rId12"/>
          <w:pgSz w:w="11907" w:h="16840" w:code="9"/>
          <w:pgMar w:top="1134" w:right="1134" w:bottom="1134" w:left="1134" w:header="851" w:footer="992" w:gutter="0"/>
          <w:pgNumType w:fmt="upperRoman" w:start="1"/>
          <w:cols w:space="425"/>
          <w:docGrid w:type="linesAndChars" w:linePitch="360"/>
        </w:sectPr>
      </w:pPr>
    </w:p>
    <w:p w:rsidR="00064388" w:rsidRPr="00920597" w:rsidRDefault="00064388" w:rsidP="00990F4F">
      <w:pPr>
        <w:pStyle w:val="01-11"/>
        <w:rPr>
          <w:color w:val="000000" w:themeColor="text1"/>
        </w:rPr>
      </w:pPr>
      <w:bookmarkStart w:id="0" w:name="_壹、組織及業務簡介"/>
      <w:bookmarkStart w:id="1" w:name="_Toc163381670"/>
      <w:bookmarkStart w:id="2" w:name="_Toc163899070"/>
      <w:bookmarkStart w:id="3" w:name="_Toc167872431"/>
      <w:bookmarkStart w:id="4" w:name="_Toc169687160"/>
      <w:bookmarkStart w:id="5" w:name="_Toc510167613"/>
      <w:bookmarkStart w:id="6" w:name="_Toc1401017"/>
      <w:bookmarkStart w:id="7" w:name="_Toc61516580"/>
      <w:bookmarkStart w:id="8" w:name="_Toc61597453"/>
      <w:bookmarkStart w:id="9" w:name="_Toc61597502"/>
      <w:bookmarkStart w:id="10" w:name="_Toc61597835"/>
      <w:bookmarkStart w:id="11" w:name="_Toc126068105"/>
      <w:bookmarkEnd w:id="0"/>
      <w:r w:rsidRPr="00920597">
        <w:rPr>
          <w:color w:val="000000" w:themeColor="text1"/>
        </w:rPr>
        <w:lastRenderedPageBreak/>
        <w:t>壹、組織及業務</w:t>
      </w:r>
      <w:bookmarkEnd w:id="1"/>
      <w:bookmarkEnd w:id="2"/>
      <w:bookmarkEnd w:id="3"/>
      <w:bookmarkEnd w:id="4"/>
      <w:r w:rsidRPr="00920597">
        <w:rPr>
          <w:color w:val="000000" w:themeColor="text1"/>
        </w:rPr>
        <w:t>簡介</w:t>
      </w:r>
      <w:bookmarkEnd w:id="5"/>
      <w:bookmarkEnd w:id="6"/>
      <w:bookmarkEnd w:id="7"/>
      <w:bookmarkEnd w:id="8"/>
      <w:bookmarkEnd w:id="9"/>
      <w:bookmarkEnd w:id="10"/>
      <w:bookmarkEnd w:id="11"/>
    </w:p>
    <w:p w:rsidR="00064388" w:rsidRPr="00920597" w:rsidRDefault="00064388" w:rsidP="00990F4F">
      <w:pPr>
        <w:pStyle w:val="01-21"/>
        <w:rPr>
          <w:color w:val="000000" w:themeColor="text1"/>
        </w:rPr>
      </w:pPr>
      <w:bookmarkStart w:id="12" w:name="_一、本會期本會委員名單"/>
      <w:bookmarkStart w:id="13" w:name="_Toc61516581"/>
      <w:bookmarkStart w:id="14" w:name="_Toc61597454"/>
      <w:bookmarkStart w:id="15" w:name="_Toc61597503"/>
      <w:bookmarkStart w:id="16" w:name="_Toc61597836"/>
      <w:bookmarkStart w:id="17" w:name="_Toc126068106"/>
      <w:bookmarkStart w:id="18" w:name="_Toc163381671"/>
      <w:bookmarkStart w:id="19" w:name="_Toc163899071"/>
      <w:bookmarkStart w:id="20" w:name="_Toc167872432"/>
      <w:bookmarkStart w:id="21" w:name="_Toc169687161"/>
      <w:bookmarkStart w:id="22" w:name="_Toc510167614"/>
      <w:bookmarkStart w:id="23" w:name="_Toc1401018"/>
      <w:bookmarkEnd w:id="12"/>
      <w:r w:rsidRPr="00920597">
        <w:rPr>
          <w:color w:val="000000" w:themeColor="text1"/>
        </w:rPr>
        <w:t>一、組織</w:t>
      </w:r>
      <w:bookmarkEnd w:id="13"/>
      <w:bookmarkEnd w:id="14"/>
      <w:bookmarkEnd w:id="15"/>
      <w:bookmarkEnd w:id="16"/>
      <w:bookmarkEnd w:id="17"/>
    </w:p>
    <w:p w:rsidR="00064388" w:rsidRPr="00920597" w:rsidRDefault="00064388" w:rsidP="008D0A60">
      <w:pPr>
        <w:pStyle w:val="01-3"/>
        <w:rPr>
          <w:color w:val="000000" w:themeColor="text1"/>
        </w:rPr>
      </w:pPr>
      <w:bookmarkStart w:id="24" w:name="_Toc126068107"/>
      <w:r w:rsidRPr="00920597">
        <w:rPr>
          <w:rFonts w:hint="eastAsia"/>
          <w:color w:val="000000" w:themeColor="text1"/>
        </w:rPr>
        <w:t>（一）</w:t>
      </w:r>
      <w:r w:rsidRPr="00920597">
        <w:rPr>
          <w:color w:val="000000" w:themeColor="text1"/>
        </w:rPr>
        <w:t>本會期本會委員名單</w:t>
      </w:r>
      <w:bookmarkEnd w:id="18"/>
      <w:bookmarkEnd w:id="19"/>
      <w:bookmarkEnd w:id="20"/>
      <w:bookmarkEnd w:id="21"/>
      <w:bookmarkEnd w:id="22"/>
      <w:bookmarkEnd w:id="23"/>
      <w:bookmarkEnd w:id="24"/>
    </w:p>
    <w:p w:rsidR="00064388" w:rsidRPr="00920597" w:rsidRDefault="00064388" w:rsidP="00C05B0A">
      <w:pPr>
        <w:pStyle w:val="01-6"/>
        <w:ind w:firstLineChars="348" w:firstLine="974"/>
        <w:rPr>
          <w:color w:val="000000" w:themeColor="text1"/>
        </w:rPr>
      </w:pPr>
      <w:bookmarkStart w:id="25" w:name="_二、本會期本會召集委員名單"/>
      <w:bookmarkStart w:id="26" w:name="_Toc163381672"/>
      <w:bookmarkStart w:id="27" w:name="_Toc163899072"/>
      <w:bookmarkStart w:id="28" w:name="_Toc167872433"/>
      <w:bookmarkStart w:id="29" w:name="_Toc169687162"/>
      <w:bookmarkStart w:id="30" w:name="_Toc510167615"/>
      <w:bookmarkStart w:id="31" w:name="_Toc1401019"/>
      <w:bookmarkEnd w:id="25"/>
      <w:r w:rsidRPr="00920597">
        <w:rPr>
          <w:rFonts w:hint="eastAsia"/>
          <w:color w:val="000000" w:themeColor="text1"/>
        </w:rPr>
        <w:t xml:space="preserve">吳思瑤   林宜瑾   </w:t>
      </w:r>
      <w:r w:rsidR="00AC42DD" w:rsidRPr="00920597">
        <w:rPr>
          <w:rFonts w:hint="eastAsia"/>
          <w:color w:val="000000" w:themeColor="text1"/>
        </w:rPr>
        <w:t xml:space="preserve">陳秀寳   </w:t>
      </w:r>
      <w:r w:rsidR="00C01581" w:rsidRPr="00920597">
        <w:rPr>
          <w:rFonts w:hint="eastAsia"/>
          <w:color w:val="000000" w:themeColor="text1"/>
        </w:rPr>
        <w:t xml:space="preserve">賴品妤 </w:t>
      </w:r>
      <w:r w:rsidR="00C01581" w:rsidRPr="00920597">
        <w:rPr>
          <w:color w:val="000000" w:themeColor="text1"/>
        </w:rPr>
        <w:t xml:space="preserve">  </w:t>
      </w:r>
      <w:r w:rsidRPr="00920597">
        <w:rPr>
          <w:rFonts w:hint="eastAsia"/>
          <w:color w:val="000000" w:themeColor="text1"/>
        </w:rPr>
        <w:t>張廖萬堅</w:t>
      </w:r>
    </w:p>
    <w:p w:rsidR="00AC42DD" w:rsidRPr="00920597" w:rsidRDefault="00AC42DD" w:rsidP="00C05B0A">
      <w:pPr>
        <w:pStyle w:val="01-6"/>
        <w:ind w:firstLineChars="348" w:firstLine="974"/>
        <w:rPr>
          <w:color w:val="000000" w:themeColor="text1"/>
        </w:rPr>
      </w:pPr>
      <w:bookmarkStart w:id="32" w:name="_Toc61516582"/>
      <w:r w:rsidRPr="00920597">
        <w:rPr>
          <w:rFonts w:hint="eastAsia"/>
          <w:color w:val="000000" w:themeColor="text1"/>
        </w:rPr>
        <w:t xml:space="preserve">范  雲   </w:t>
      </w:r>
      <w:r w:rsidR="00F955B1" w:rsidRPr="00920597">
        <w:rPr>
          <w:rFonts w:hint="eastAsia"/>
          <w:color w:val="000000" w:themeColor="text1"/>
        </w:rPr>
        <w:t>何欣純</w:t>
      </w:r>
      <w:r w:rsidRPr="00920597">
        <w:rPr>
          <w:rFonts w:hint="eastAsia"/>
          <w:color w:val="000000" w:themeColor="text1"/>
        </w:rPr>
        <w:t xml:space="preserve">   林奕華   </w:t>
      </w:r>
      <w:r w:rsidR="00F955B1" w:rsidRPr="00920597">
        <w:rPr>
          <w:rFonts w:hint="eastAsia"/>
          <w:color w:val="000000" w:themeColor="text1"/>
        </w:rPr>
        <w:t xml:space="preserve">鄭正鈐   </w:t>
      </w:r>
      <w:r w:rsidRPr="00920597">
        <w:rPr>
          <w:rFonts w:hint="eastAsia"/>
          <w:color w:val="000000" w:themeColor="text1"/>
        </w:rPr>
        <w:t>高金素梅</w:t>
      </w:r>
    </w:p>
    <w:p w:rsidR="00064388" w:rsidRPr="00920597" w:rsidRDefault="00F955B1" w:rsidP="00C05B0A">
      <w:pPr>
        <w:pStyle w:val="01-6"/>
        <w:ind w:firstLineChars="348" w:firstLine="974"/>
        <w:rPr>
          <w:color w:val="000000" w:themeColor="text1"/>
        </w:rPr>
      </w:pPr>
      <w:r w:rsidRPr="00920597">
        <w:rPr>
          <w:rFonts w:hint="eastAsia"/>
          <w:color w:val="000000" w:themeColor="text1"/>
        </w:rPr>
        <w:t>萬美玲</w:t>
      </w:r>
      <w:r w:rsidR="00064388" w:rsidRPr="00920597">
        <w:rPr>
          <w:rFonts w:hint="eastAsia"/>
          <w:color w:val="000000" w:themeColor="text1"/>
        </w:rPr>
        <w:t xml:space="preserve">   </w:t>
      </w:r>
      <w:bookmarkEnd w:id="32"/>
      <w:r w:rsidRPr="00920597">
        <w:rPr>
          <w:rFonts w:hint="eastAsia"/>
          <w:color w:val="000000" w:themeColor="text1"/>
        </w:rPr>
        <w:t>吳怡玎</w:t>
      </w:r>
      <w:r w:rsidR="00AC42DD" w:rsidRPr="00920597">
        <w:rPr>
          <w:rFonts w:hint="eastAsia"/>
          <w:color w:val="000000" w:themeColor="text1"/>
        </w:rPr>
        <w:t xml:space="preserve">   王婉諭</w:t>
      </w:r>
      <w:r w:rsidRPr="00920597">
        <w:rPr>
          <w:rFonts w:hint="eastAsia"/>
          <w:color w:val="000000" w:themeColor="text1"/>
        </w:rPr>
        <w:t xml:space="preserve">   黃國書</w:t>
      </w:r>
    </w:p>
    <w:p w:rsidR="00064388" w:rsidRPr="00920597" w:rsidRDefault="00064388" w:rsidP="00C05B0A">
      <w:pPr>
        <w:pStyle w:val="01-6"/>
        <w:ind w:firstLineChars="348" w:firstLine="974"/>
        <w:rPr>
          <w:color w:val="000000" w:themeColor="text1"/>
        </w:rPr>
      </w:pPr>
      <w:bookmarkStart w:id="33" w:name="_Toc61516584"/>
      <w:r w:rsidRPr="00920597">
        <w:rPr>
          <w:rFonts w:hint="eastAsia"/>
          <w:color w:val="000000" w:themeColor="text1"/>
        </w:rPr>
        <w:t>共</w:t>
      </w:r>
      <w:r w:rsidR="00AC42DD" w:rsidRPr="00920597">
        <w:rPr>
          <w:rFonts w:hint="eastAsia"/>
          <w:color w:val="000000" w:themeColor="text1"/>
        </w:rPr>
        <w:t>1</w:t>
      </w:r>
      <w:r w:rsidR="00F955B1" w:rsidRPr="00920597">
        <w:rPr>
          <w:rFonts w:hint="eastAsia"/>
          <w:color w:val="000000" w:themeColor="text1"/>
        </w:rPr>
        <w:t>4</w:t>
      </w:r>
      <w:r w:rsidRPr="00920597">
        <w:rPr>
          <w:rFonts w:hint="eastAsia"/>
          <w:color w:val="000000" w:themeColor="text1"/>
        </w:rPr>
        <w:t>人</w:t>
      </w:r>
      <w:bookmarkEnd w:id="33"/>
    </w:p>
    <w:p w:rsidR="00064388" w:rsidRPr="00920597" w:rsidRDefault="00064388" w:rsidP="008D0A60">
      <w:pPr>
        <w:pStyle w:val="01-3"/>
        <w:rPr>
          <w:color w:val="000000" w:themeColor="text1"/>
        </w:rPr>
      </w:pPr>
      <w:bookmarkStart w:id="34" w:name="_Toc126068108"/>
      <w:r w:rsidRPr="00920597">
        <w:rPr>
          <w:rFonts w:hint="eastAsia"/>
          <w:color w:val="000000" w:themeColor="text1"/>
        </w:rPr>
        <w:t>（二）</w:t>
      </w:r>
      <w:r w:rsidRPr="00920597">
        <w:rPr>
          <w:color w:val="000000" w:themeColor="text1"/>
        </w:rPr>
        <w:t>本會期本會召集委員</w:t>
      </w:r>
      <w:bookmarkEnd w:id="26"/>
      <w:bookmarkEnd w:id="27"/>
      <w:bookmarkEnd w:id="28"/>
      <w:bookmarkEnd w:id="29"/>
      <w:r w:rsidRPr="00920597">
        <w:rPr>
          <w:color w:val="000000" w:themeColor="text1"/>
        </w:rPr>
        <w:t>名單</w:t>
      </w:r>
      <w:bookmarkEnd w:id="30"/>
      <w:bookmarkEnd w:id="31"/>
      <w:bookmarkEnd w:id="34"/>
    </w:p>
    <w:p w:rsidR="00064388" w:rsidRPr="00920597" w:rsidRDefault="0099788C" w:rsidP="00C05B0A">
      <w:pPr>
        <w:pStyle w:val="01-6"/>
        <w:ind w:firstLineChars="348" w:firstLine="974"/>
        <w:rPr>
          <w:color w:val="000000" w:themeColor="text1"/>
        </w:rPr>
      </w:pPr>
      <w:r>
        <w:rPr>
          <w:rFonts w:hint="eastAsia"/>
          <w:color w:val="000000" w:themeColor="text1"/>
        </w:rPr>
        <w:t>陳</w:t>
      </w:r>
      <w:r w:rsidR="00737A22" w:rsidRPr="00920597">
        <w:rPr>
          <w:rFonts w:hint="eastAsia"/>
          <w:color w:val="000000" w:themeColor="text1"/>
        </w:rPr>
        <w:t>委員</w:t>
      </w:r>
      <w:r>
        <w:rPr>
          <w:rFonts w:hint="eastAsia"/>
          <w:color w:val="000000" w:themeColor="text1"/>
        </w:rPr>
        <w:t>秀寳</w:t>
      </w:r>
      <w:r w:rsidR="00737A22" w:rsidRPr="00920597">
        <w:rPr>
          <w:rFonts w:hint="eastAsia"/>
          <w:color w:val="000000" w:themeColor="text1"/>
        </w:rPr>
        <w:t>、</w:t>
      </w:r>
      <w:r>
        <w:rPr>
          <w:rFonts w:hint="eastAsia"/>
          <w:color w:val="000000" w:themeColor="text1"/>
        </w:rPr>
        <w:t>鄭</w:t>
      </w:r>
      <w:r w:rsidR="00064388" w:rsidRPr="00920597">
        <w:rPr>
          <w:rFonts w:hint="eastAsia"/>
          <w:color w:val="000000" w:themeColor="text1"/>
        </w:rPr>
        <w:t>委員</w:t>
      </w:r>
      <w:r>
        <w:rPr>
          <w:rFonts w:hint="eastAsia"/>
          <w:color w:val="000000" w:themeColor="text1"/>
        </w:rPr>
        <w:t>正鈐</w:t>
      </w:r>
    </w:p>
    <w:p w:rsidR="00064388" w:rsidRPr="00920597" w:rsidRDefault="00064388" w:rsidP="008D0A60">
      <w:pPr>
        <w:pStyle w:val="01-3"/>
        <w:rPr>
          <w:color w:val="000000" w:themeColor="text1"/>
        </w:rPr>
      </w:pPr>
      <w:bookmarkStart w:id="35" w:name="_三、本會期本會參加程序委員會委員名單"/>
      <w:bookmarkStart w:id="36" w:name="_Toc126068109"/>
      <w:bookmarkEnd w:id="35"/>
      <w:r w:rsidRPr="00920597">
        <w:rPr>
          <w:rFonts w:hint="eastAsia"/>
          <w:color w:val="000000" w:themeColor="text1"/>
        </w:rPr>
        <w:t>（三）本會期擔任紀律委員會召集委員名單</w:t>
      </w:r>
      <w:bookmarkEnd w:id="36"/>
    </w:p>
    <w:p w:rsidR="00064388" w:rsidRPr="00920597" w:rsidRDefault="0099788C" w:rsidP="00C05B0A">
      <w:pPr>
        <w:pStyle w:val="01-6"/>
        <w:ind w:firstLineChars="348" w:firstLine="974"/>
        <w:rPr>
          <w:color w:val="000000" w:themeColor="text1"/>
        </w:rPr>
      </w:pPr>
      <w:r>
        <w:rPr>
          <w:rFonts w:hint="eastAsia"/>
          <w:color w:val="000000" w:themeColor="text1"/>
        </w:rPr>
        <w:t>鄭</w:t>
      </w:r>
      <w:r w:rsidR="00F955B1" w:rsidRPr="00920597">
        <w:rPr>
          <w:rFonts w:hint="eastAsia"/>
          <w:color w:val="000000" w:themeColor="text1"/>
        </w:rPr>
        <w:t>委員</w:t>
      </w:r>
      <w:r>
        <w:rPr>
          <w:rFonts w:hint="eastAsia"/>
          <w:color w:val="000000" w:themeColor="text1"/>
        </w:rPr>
        <w:t>正鈐</w:t>
      </w:r>
    </w:p>
    <w:p w:rsidR="00064388" w:rsidRPr="00920597" w:rsidRDefault="00064388" w:rsidP="00990F4F">
      <w:pPr>
        <w:pStyle w:val="01-21"/>
        <w:rPr>
          <w:color w:val="000000" w:themeColor="text1"/>
        </w:rPr>
      </w:pPr>
      <w:bookmarkStart w:id="37" w:name="_Toc510167617"/>
      <w:bookmarkStart w:id="38" w:name="_Toc1401021"/>
      <w:bookmarkStart w:id="39" w:name="_Toc61516585"/>
      <w:bookmarkStart w:id="40" w:name="_Toc61597455"/>
      <w:bookmarkStart w:id="41" w:name="_Toc61597504"/>
      <w:bookmarkStart w:id="42" w:name="_Toc61597837"/>
      <w:bookmarkStart w:id="43" w:name="_Toc126068110"/>
      <w:r w:rsidRPr="00920597">
        <w:rPr>
          <w:rFonts w:hint="eastAsia"/>
          <w:color w:val="000000" w:themeColor="text1"/>
        </w:rPr>
        <w:t>二</w:t>
      </w:r>
      <w:r w:rsidRPr="00920597">
        <w:rPr>
          <w:color w:val="000000" w:themeColor="text1"/>
        </w:rPr>
        <w:t>、業務簡介</w:t>
      </w:r>
      <w:bookmarkEnd w:id="37"/>
      <w:bookmarkEnd w:id="38"/>
      <w:bookmarkEnd w:id="39"/>
      <w:bookmarkEnd w:id="40"/>
      <w:bookmarkEnd w:id="41"/>
      <w:bookmarkEnd w:id="42"/>
      <w:bookmarkEnd w:id="43"/>
    </w:p>
    <w:p w:rsidR="00064388" w:rsidRPr="00920597" w:rsidRDefault="00C05B0A" w:rsidP="00C05B0A">
      <w:pPr>
        <w:snapToGrid w:val="0"/>
        <w:spacing w:line="440" w:lineRule="exact"/>
        <w:ind w:leftChars="100" w:left="240" w:firstLineChars="100" w:firstLine="272"/>
        <w:jc w:val="both"/>
        <w:rPr>
          <w:rFonts w:ascii="標楷體" w:eastAsia="標楷體" w:hAnsi="標楷體"/>
          <w:color w:val="000000" w:themeColor="text1"/>
          <w:spacing w:val="-4"/>
          <w:sz w:val="28"/>
          <w:szCs w:val="28"/>
        </w:rPr>
      </w:pPr>
      <w:r w:rsidRPr="00920597">
        <w:rPr>
          <w:rFonts w:ascii="標楷體" w:eastAsia="標楷體" w:hAnsi="標楷體" w:hint="eastAsia"/>
          <w:color w:val="000000" w:themeColor="text1"/>
          <w:spacing w:val="-4"/>
          <w:sz w:val="28"/>
          <w:szCs w:val="28"/>
        </w:rPr>
        <w:t>(一)</w:t>
      </w:r>
      <w:r w:rsidR="00064388" w:rsidRPr="00920597">
        <w:rPr>
          <w:rFonts w:ascii="標楷體" w:eastAsia="標楷體" w:hAnsi="標楷體" w:hint="eastAsia"/>
          <w:color w:val="000000" w:themeColor="text1"/>
          <w:spacing w:val="-4"/>
          <w:sz w:val="28"/>
          <w:szCs w:val="28"/>
        </w:rPr>
        <w:t>依據本院各委員會組織法第2條規定</w:t>
      </w:r>
    </w:p>
    <w:p w:rsidR="00064388" w:rsidRPr="00920597" w:rsidRDefault="00064388" w:rsidP="00064388">
      <w:pPr>
        <w:snapToGrid w:val="0"/>
        <w:spacing w:line="440" w:lineRule="exact"/>
        <w:ind w:leftChars="472" w:left="1133"/>
        <w:jc w:val="both"/>
        <w:rPr>
          <w:rFonts w:ascii="標楷體" w:eastAsia="標楷體" w:hAnsi="標楷體"/>
          <w:color w:val="000000" w:themeColor="text1"/>
          <w:spacing w:val="-4"/>
          <w:sz w:val="28"/>
          <w:szCs w:val="28"/>
        </w:rPr>
      </w:pPr>
      <w:r w:rsidRPr="00920597">
        <w:rPr>
          <w:rFonts w:ascii="標楷體" w:eastAsia="標楷體" w:hAnsi="標楷體" w:hint="eastAsia"/>
          <w:color w:val="000000" w:themeColor="text1"/>
          <w:spacing w:val="-4"/>
          <w:sz w:val="28"/>
          <w:szCs w:val="28"/>
        </w:rPr>
        <w:t xml:space="preserve">    各委員會審查本院會議交付審查之議案及人民請願書，並得於每會期開始時，邀請相關部會作業務報告，並備質詢。</w:t>
      </w:r>
    </w:p>
    <w:p w:rsidR="00064388" w:rsidRPr="00920597" w:rsidRDefault="00064388" w:rsidP="00982D07">
      <w:pPr>
        <w:snapToGrid w:val="0"/>
        <w:spacing w:line="440" w:lineRule="exact"/>
        <w:ind w:leftChars="236" w:left="1110" w:hangingChars="200" w:hanging="544"/>
        <w:jc w:val="both"/>
        <w:rPr>
          <w:rFonts w:ascii="標楷體" w:eastAsia="標楷體" w:hAnsi="標楷體"/>
          <w:color w:val="000000" w:themeColor="text1"/>
          <w:spacing w:val="-4"/>
          <w:sz w:val="28"/>
          <w:szCs w:val="28"/>
        </w:rPr>
      </w:pPr>
      <w:r w:rsidRPr="00920597">
        <w:rPr>
          <w:rFonts w:ascii="標楷體" w:eastAsia="標楷體" w:hAnsi="標楷體" w:hint="eastAsia"/>
          <w:color w:val="000000" w:themeColor="text1"/>
          <w:spacing w:val="-4"/>
          <w:sz w:val="28"/>
          <w:szCs w:val="28"/>
        </w:rPr>
        <w:t>(二)依據本院程序委員會組織規程第5條第1項第5款規定</w:t>
      </w:r>
      <w:r w:rsidRPr="00920597">
        <w:rPr>
          <w:rFonts w:ascii="標楷體" w:eastAsia="標楷體" w:hAnsi="標楷體" w:hint="eastAsia"/>
          <w:color w:val="000000" w:themeColor="text1"/>
          <w:spacing w:val="-4"/>
          <w:sz w:val="28"/>
          <w:szCs w:val="28"/>
        </w:rPr>
        <w:br/>
        <w:t xml:space="preserve">    教育及文化委員會：審查教育、文化政策及有關教育部、行政院文化建設委員會(已於101年5月20日改制為文化部)、國立故宮博物院、行政院新聞局(已於101年5月20日裁撤)、行政院青年輔導委員會(已於102年1月1日改制為教育部青年發展署)、行政院體育委員會(已於102年1月1日改制為教育部體育署)、中央研究院、</w:t>
      </w:r>
      <w:r w:rsidRPr="00B72E65">
        <w:rPr>
          <w:rFonts w:ascii="標楷體" w:eastAsia="標楷體" w:hAnsi="標楷體" w:hint="eastAsia"/>
          <w:spacing w:val="-4"/>
          <w:sz w:val="28"/>
          <w:szCs w:val="28"/>
        </w:rPr>
        <w:t>行政院國家科學委員會(已於103年3月3日改制為科技部</w:t>
      </w:r>
      <w:r w:rsidR="00982D07" w:rsidRPr="00B72E65">
        <w:rPr>
          <w:rFonts w:ascii="標楷體" w:eastAsia="標楷體" w:hAnsi="標楷體" w:hint="eastAsia"/>
          <w:spacing w:val="-4"/>
          <w:sz w:val="28"/>
          <w:szCs w:val="28"/>
        </w:rPr>
        <w:t>，又於111年7月27日改制為</w:t>
      </w:r>
      <w:r w:rsidR="00982D07" w:rsidRPr="00B72E65">
        <w:rPr>
          <w:rFonts w:ascii="標楷體" w:eastAsia="標楷體" w:hAnsi="標楷體"/>
          <w:spacing w:val="-4"/>
          <w:sz w:val="28"/>
          <w:szCs w:val="28"/>
        </w:rPr>
        <w:t>國家科學及技術委員會</w:t>
      </w:r>
      <w:r w:rsidRPr="00B72E65">
        <w:rPr>
          <w:rFonts w:ascii="標楷體" w:eastAsia="標楷體" w:hAnsi="標楷體" w:hint="eastAsia"/>
          <w:spacing w:val="-4"/>
          <w:sz w:val="28"/>
          <w:szCs w:val="28"/>
        </w:rPr>
        <w:t>)</w:t>
      </w:r>
      <w:r w:rsidRPr="00920597">
        <w:rPr>
          <w:rFonts w:ascii="標楷體" w:eastAsia="標楷體" w:hAnsi="標楷體" w:hint="eastAsia"/>
          <w:color w:val="000000" w:themeColor="text1"/>
          <w:spacing w:val="-4"/>
          <w:sz w:val="28"/>
          <w:szCs w:val="28"/>
        </w:rPr>
        <w:t>、行政院原子能委員會掌理事項之議案。</w:t>
      </w:r>
    </w:p>
    <w:p w:rsidR="00064388" w:rsidRPr="00920597" w:rsidRDefault="00064388" w:rsidP="00064388">
      <w:pPr>
        <w:snapToGrid w:val="0"/>
        <w:spacing w:line="440" w:lineRule="exact"/>
        <w:ind w:leftChars="236" w:left="566"/>
        <w:jc w:val="both"/>
        <w:rPr>
          <w:rFonts w:ascii="標楷體" w:eastAsia="標楷體" w:hAnsi="標楷體"/>
          <w:color w:val="000000" w:themeColor="text1"/>
          <w:spacing w:val="-4"/>
          <w:sz w:val="28"/>
          <w:szCs w:val="28"/>
        </w:rPr>
      </w:pPr>
      <w:r w:rsidRPr="00920597">
        <w:rPr>
          <w:rFonts w:ascii="標楷體" w:eastAsia="標楷體" w:hAnsi="標楷體" w:hint="eastAsia"/>
          <w:color w:val="000000" w:themeColor="text1"/>
          <w:spacing w:val="-4"/>
          <w:sz w:val="28"/>
          <w:szCs w:val="28"/>
        </w:rPr>
        <w:t>(三)本會現有職員</w:t>
      </w:r>
    </w:p>
    <w:p w:rsidR="00990F4F" w:rsidRPr="00920597" w:rsidRDefault="00064388" w:rsidP="00064388">
      <w:pPr>
        <w:snapToGrid w:val="0"/>
        <w:spacing w:line="440" w:lineRule="exact"/>
        <w:ind w:leftChars="236" w:left="1110" w:hangingChars="200" w:hanging="544"/>
        <w:jc w:val="both"/>
        <w:rPr>
          <w:rFonts w:ascii="標楷體" w:eastAsia="標楷體" w:hAnsi="標楷體"/>
          <w:color w:val="000000" w:themeColor="text1"/>
          <w:spacing w:val="-4"/>
          <w:sz w:val="28"/>
          <w:szCs w:val="28"/>
        </w:rPr>
        <w:sectPr w:rsidR="00990F4F" w:rsidRPr="00920597" w:rsidSect="00833CFC">
          <w:footerReference w:type="default" r:id="rId13"/>
          <w:pgSz w:w="11907" w:h="16840" w:code="9"/>
          <w:pgMar w:top="1134" w:right="1134" w:bottom="1134" w:left="1134" w:header="851" w:footer="992" w:gutter="0"/>
          <w:pgNumType w:start="1"/>
          <w:cols w:space="425"/>
          <w:docGrid w:type="linesAndChars" w:linePitch="360"/>
        </w:sectPr>
      </w:pPr>
      <w:r w:rsidRPr="00920597">
        <w:rPr>
          <w:rFonts w:ascii="標楷體" w:eastAsia="標楷體" w:hAnsi="標楷體" w:hint="eastAsia"/>
          <w:color w:val="000000" w:themeColor="text1"/>
          <w:spacing w:val="-4"/>
          <w:sz w:val="28"/>
          <w:szCs w:val="28"/>
        </w:rPr>
        <w:t xml:space="preserve">        本會現有職員為主任秘書、專門委員、簡任秘書、簡任編審、科長、專員各1人、科員4人及技工1人，共計11人。</w:t>
      </w:r>
    </w:p>
    <w:p w:rsidR="00064388" w:rsidRPr="00920597" w:rsidRDefault="00064388" w:rsidP="00990F4F">
      <w:pPr>
        <w:pStyle w:val="01-11"/>
        <w:rPr>
          <w:color w:val="000000" w:themeColor="text1"/>
        </w:rPr>
      </w:pPr>
      <w:bookmarkStart w:id="44" w:name="_Toc61516586"/>
      <w:bookmarkStart w:id="45" w:name="_Toc61597456"/>
      <w:bookmarkStart w:id="46" w:name="_Toc61597505"/>
      <w:bookmarkStart w:id="47" w:name="_Toc61597838"/>
      <w:bookmarkStart w:id="48" w:name="_Toc126068111"/>
      <w:r w:rsidRPr="00920597">
        <w:rPr>
          <w:rFonts w:hint="eastAsia"/>
          <w:color w:val="000000" w:themeColor="text1"/>
        </w:rPr>
        <w:lastRenderedPageBreak/>
        <w:t>貳、本會期會務概況</w:t>
      </w:r>
      <w:bookmarkEnd w:id="44"/>
      <w:bookmarkEnd w:id="45"/>
      <w:bookmarkEnd w:id="46"/>
      <w:bookmarkEnd w:id="47"/>
      <w:bookmarkEnd w:id="48"/>
    </w:p>
    <w:p w:rsidR="00064388" w:rsidRPr="00920597" w:rsidRDefault="00064388" w:rsidP="00990F4F">
      <w:pPr>
        <w:pStyle w:val="01-21"/>
        <w:rPr>
          <w:color w:val="000000" w:themeColor="text1"/>
        </w:rPr>
      </w:pPr>
      <w:bookmarkStart w:id="49" w:name="_Toc61516587"/>
      <w:bookmarkStart w:id="50" w:name="_Toc61597457"/>
      <w:bookmarkStart w:id="51" w:name="_Toc61597506"/>
      <w:bookmarkStart w:id="52" w:name="_Toc61597839"/>
      <w:bookmarkStart w:id="53" w:name="_Toc126068112"/>
      <w:r w:rsidRPr="00920597">
        <w:rPr>
          <w:rFonts w:hint="eastAsia"/>
          <w:color w:val="000000" w:themeColor="text1"/>
        </w:rPr>
        <w:t>一、會務概況一覽表</w:t>
      </w:r>
      <w:bookmarkEnd w:id="49"/>
      <w:bookmarkEnd w:id="50"/>
      <w:bookmarkEnd w:id="51"/>
      <w:bookmarkEnd w:id="52"/>
      <w:bookmarkEnd w:id="53"/>
    </w:p>
    <w:p w:rsidR="00064388" w:rsidRPr="00920597" w:rsidRDefault="00064388" w:rsidP="00F11FBA">
      <w:pPr>
        <w:ind w:leftChars="200" w:left="480"/>
        <w:rPr>
          <w:rFonts w:ascii="標楷體" w:eastAsia="標楷體" w:hAnsi="標楷體"/>
          <w:b/>
          <w:color w:val="000000" w:themeColor="text1"/>
          <w:sz w:val="28"/>
          <w:szCs w:val="28"/>
        </w:rPr>
      </w:pPr>
      <w:r w:rsidRPr="00920597">
        <w:rPr>
          <w:rFonts w:ascii="標楷體" w:eastAsia="標楷體" w:hAnsi="標楷體" w:hint="eastAsia"/>
          <w:b/>
          <w:color w:val="000000" w:themeColor="text1"/>
          <w:sz w:val="28"/>
          <w:szCs w:val="28"/>
        </w:rPr>
        <w:t>(一)會議概況表</w:t>
      </w:r>
    </w:p>
    <w:tbl>
      <w:tblPr>
        <w:tblW w:w="5045" w:type="pct"/>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94"/>
        <w:gridCol w:w="1337"/>
        <w:gridCol w:w="1514"/>
        <w:gridCol w:w="1576"/>
        <w:gridCol w:w="2790"/>
        <w:gridCol w:w="1805"/>
      </w:tblGrid>
      <w:tr w:rsidR="00947F23" w:rsidRPr="00947F23" w:rsidTr="005534EB">
        <w:trPr>
          <w:cantSplit/>
          <w:trHeight w:val="697"/>
        </w:trPr>
        <w:tc>
          <w:tcPr>
            <w:tcW w:w="357" w:type="pct"/>
            <w:tcBorders>
              <w:top w:val="single" w:sz="4" w:space="0" w:color="auto"/>
              <w:left w:val="single" w:sz="4" w:space="0" w:color="auto"/>
              <w:bottom w:val="single" w:sz="4" w:space="0" w:color="auto"/>
              <w:right w:val="single" w:sz="4" w:space="0" w:color="auto"/>
            </w:tcBorders>
            <w:vAlign w:val="center"/>
            <w:hideMark/>
          </w:tcPr>
          <w:p w:rsidR="00947F23" w:rsidRPr="00947F23" w:rsidRDefault="00947F23" w:rsidP="00947F23">
            <w:pPr>
              <w:rPr>
                <w:rFonts w:ascii="標楷體" w:eastAsia="標楷體" w:hAnsi="標楷體"/>
                <w:b/>
                <w:bCs/>
                <w:spacing w:val="-20"/>
                <w:sz w:val="28"/>
                <w:szCs w:val="28"/>
              </w:rPr>
            </w:pPr>
            <w:r w:rsidRPr="00947F23">
              <w:rPr>
                <w:rFonts w:ascii="標楷體" w:eastAsia="標楷體" w:hAnsi="標楷體" w:hint="eastAsia"/>
                <w:b/>
                <w:bCs/>
                <w:spacing w:val="-20"/>
                <w:sz w:val="28"/>
                <w:szCs w:val="28"/>
              </w:rPr>
              <w:t>編號</w:t>
            </w:r>
          </w:p>
        </w:tc>
        <w:tc>
          <w:tcPr>
            <w:tcW w:w="688" w:type="pct"/>
            <w:tcBorders>
              <w:top w:val="single" w:sz="4" w:space="0" w:color="auto"/>
              <w:left w:val="single" w:sz="4" w:space="0" w:color="auto"/>
              <w:bottom w:val="single" w:sz="4" w:space="0" w:color="auto"/>
              <w:right w:val="single" w:sz="4" w:space="0" w:color="auto"/>
            </w:tcBorders>
            <w:vAlign w:val="center"/>
            <w:hideMark/>
          </w:tcPr>
          <w:p w:rsidR="00947F23" w:rsidRPr="00947F23" w:rsidRDefault="00947F23" w:rsidP="00947F23">
            <w:pPr>
              <w:jc w:val="distribute"/>
              <w:rPr>
                <w:rFonts w:ascii="標楷體" w:eastAsia="標楷體" w:hAnsi="標楷體"/>
                <w:b/>
                <w:bCs/>
                <w:sz w:val="28"/>
              </w:rPr>
            </w:pPr>
            <w:r w:rsidRPr="00947F23">
              <w:rPr>
                <w:rFonts w:ascii="標楷體" w:eastAsia="標楷體" w:hAnsi="標楷體" w:hint="eastAsia"/>
                <w:b/>
                <w:bCs/>
                <w:sz w:val="28"/>
              </w:rPr>
              <w:t>日期</w:t>
            </w:r>
          </w:p>
        </w:tc>
        <w:tc>
          <w:tcPr>
            <w:tcW w:w="779" w:type="pct"/>
            <w:tcBorders>
              <w:top w:val="single" w:sz="4" w:space="0" w:color="auto"/>
              <w:left w:val="single" w:sz="4" w:space="0" w:color="auto"/>
              <w:bottom w:val="single" w:sz="4" w:space="0" w:color="auto"/>
              <w:right w:val="single" w:sz="4" w:space="0" w:color="auto"/>
            </w:tcBorders>
            <w:vAlign w:val="center"/>
            <w:hideMark/>
          </w:tcPr>
          <w:p w:rsidR="00947F23" w:rsidRPr="00947F23" w:rsidRDefault="00947F23" w:rsidP="00947F23">
            <w:pPr>
              <w:jc w:val="both"/>
              <w:rPr>
                <w:rFonts w:ascii="標楷體" w:eastAsia="標楷體" w:hAnsi="標楷體"/>
                <w:b/>
                <w:bCs/>
                <w:sz w:val="28"/>
              </w:rPr>
            </w:pPr>
            <w:r w:rsidRPr="00947F23">
              <w:rPr>
                <w:rFonts w:ascii="標楷體" w:eastAsia="標楷體" w:hAnsi="標楷體" w:hint="eastAsia"/>
                <w:b/>
                <w:bCs/>
                <w:spacing w:val="47"/>
                <w:kern w:val="0"/>
                <w:sz w:val="28"/>
                <w:fitText w:val="1400" w:id="-1323145216"/>
              </w:rPr>
              <w:t>會議名</w:t>
            </w:r>
            <w:r w:rsidRPr="00947F23">
              <w:rPr>
                <w:rFonts w:ascii="標楷體" w:eastAsia="標楷體" w:hAnsi="標楷體" w:hint="eastAsia"/>
                <w:b/>
                <w:bCs/>
                <w:spacing w:val="-1"/>
                <w:kern w:val="0"/>
                <w:sz w:val="28"/>
                <w:fitText w:val="1400" w:id="-1323145216"/>
              </w:rPr>
              <w:t>稱</w:t>
            </w:r>
          </w:p>
        </w:tc>
        <w:tc>
          <w:tcPr>
            <w:tcW w:w="811" w:type="pct"/>
            <w:tcBorders>
              <w:top w:val="single" w:sz="4" w:space="0" w:color="auto"/>
              <w:left w:val="single" w:sz="4" w:space="0" w:color="auto"/>
              <w:bottom w:val="single" w:sz="4" w:space="0" w:color="auto"/>
              <w:right w:val="single" w:sz="4" w:space="0" w:color="auto"/>
            </w:tcBorders>
            <w:vAlign w:val="center"/>
            <w:hideMark/>
          </w:tcPr>
          <w:p w:rsidR="00947F23" w:rsidRPr="00947F23" w:rsidRDefault="00947F23" w:rsidP="00947F23">
            <w:pPr>
              <w:ind w:rightChars="17" w:right="41"/>
              <w:jc w:val="center"/>
              <w:rPr>
                <w:rFonts w:ascii="標楷體" w:eastAsia="標楷體" w:hAnsi="標楷體"/>
                <w:b/>
                <w:bCs/>
                <w:sz w:val="28"/>
              </w:rPr>
            </w:pPr>
            <w:r w:rsidRPr="00947F23">
              <w:rPr>
                <w:rFonts w:ascii="標楷體" w:eastAsia="標楷體" w:hAnsi="標楷體" w:hint="eastAsia"/>
                <w:b/>
                <w:bCs/>
                <w:sz w:val="28"/>
              </w:rPr>
              <w:t>主席</w:t>
            </w:r>
          </w:p>
        </w:tc>
        <w:tc>
          <w:tcPr>
            <w:tcW w:w="1436" w:type="pct"/>
            <w:tcBorders>
              <w:top w:val="single" w:sz="4" w:space="0" w:color="auto"/>
              <w:left w:val="single" w:sz="4" w:space="0" w:color="auto"/>
              <w:bottom w:val="single" w:sz="4" w:space="0" w:color="auto"/>
              <w:right w:val="single" w:sz="4" w:space="0" w:color="auto"/>
            </w:tcBorders>
            <w:vAlign w:val="center"/>
            <w:hideMark/>
          </w:tcPr>
          <w:p w:rsidR="00947F23" w:rsidRPr="00947F23" w:rsidRDefault="00947F23" w:rsidP="00947F23">
            <w:pPr>
              <w:jc w:val="distribute"/>
              <w:rPr>
                <w:rFonts w:ascii="標楷體" w:eastAsia="標楷體" w:hAnsi="標楷體"/>
                <w:b/>
                <w:bCs/>
                <w:sz w:val="28"/>
              </w:rPr>
            </w:pPr>
            <w:r w:rsidRPr="00947F23">
              <w:rPr>
                <w:rFonts w:ascii="標楷體" w:eastAsia="標楷體" w:hAnsi="標楷體" w:hint="eastAsia"/>
                <w:b/>
                <w:bCs/>
                <w:sz w:val="28"/>
              </w:rPr>
              <w:t>會議內容</w:t>
            </w:r>
          </w:p>
        </w:tc>
        <w:tc>
          <w:tcPr>
            <w:tcW w:w="929"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jc w:val="distribute"/>
              <w:rPr>
                <w:rFonts w:ascii="標楷體" w:eastAsia="標楷體" w:hAnsi="標楷體"/>
                <w:b/>
                <w:bCs/>
                <w:sz w:val="28"/>
              </w:rPr>
            </w:pPr>
            <w:r w:rsidRPr="00947F23">
              <w:rPr>
                <w:rFonts w:ascii="標楷體" w:eastAsia="標楷體" w:hAnsi="標楷體" w:hint="eastAsia"/>
                <w:b/>
                <w:bCs/>
                <w:sz w:val="28"/>
              </w:rPr>
              <w:t>公報卷期</w:t>
            </w:r>
          </w:p>
        </w:tc>
      </w:tr>
      <w:tr w:rsidR="00947F23" w:rsidRPr="00947F23" w:rsidTr="005534EB">
        <w:trPr>
          <w:trHeight w:val="567"/>
        </w:trPr>
        <w:tc>
          <w:tcPr>
            <w:tcW w:w="357" w:type="pct"/>
            <w:tcBorders>
              <w:top w:val="single" w:sz="4" w:space="0" w:color="auto"/>
              <w:left w:val="single" w:sz="4" w:space="0" w:color="auto"/>
              <w:bottom w:val="single" w:sz="4" w:space="0" w:color="auto"/>
              <w:right w:val="single" w:sz="4" w:space="0" w:color="auto"/>
            </w:tcBorders>
            <w:hideMark/>
          </w:tcPr>
          <w:p w:rsidR="00947F23" w:rsidRPr="00947F23" w:rsidRDefault="00947F23" w:rsidP="00947F23">
            <w:pPr>
              <w:jc w:val="center"/>
              <w:rPr>
                <w:rFonts w:ascii="標楷體" w:eastAsia="標楷體" w:hAnsi="標楷體"/>
                <w:sz w:val="28"/>
              </w:rPr>
            </w:pPr>
            <w:r w:rsidRPr="00947F23">
              <w:rPr>
                <w:rFonts w:ascii="標楷體" w:eastAsia="標楷體" w:hAnsi="標楷體" w:hint="eastAsia"/>
                <w:sz w:val="28"/>
              </w:rPr>
              <w:t>1</w:t>
            </w:r>
          </w:p>
        </w:tc>
        <w:tc>
          <w:tcPr>
            <w:tcW w:w="688"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111.9.28</w:t>
            </w:r>
          </w:p>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(星期三)</w:t>
            </w:r>
          </w:p>
        </w:tc>
        <w:tc>
          <w:tcPr>
            <w:tcW w:w="779"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第1次全體委員會議</w:t>
            </w:r>
          </w:p>
        </w:tc>
        <w:tc>
          <w:tcPr>
            <w:tcW w:w="811"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jc w:val="center"/>
              <w:rPr>
                <w:rFonts w:ascii="標楷體" w:eastAsia="標楷體" w:hAnsi="標楷體"/>
                <w:sz w:val="28"/>
                <w:szCs w:val="28"/>
              </w:rPr>
            </w:pPr>
            <w:r w:rsidRPr="00947F23">
              <w:rPr>
                <w:rFonts w:ascii="標楷體" w:eastAsia="標楷體" w:hAnsi="標楷體" w:hint="eastAsia"/>
                <w:sz w:val="28"/>
                <w:szCs w:val="28"/>
              </w:rPr>
              <w:t>由在場委員推舉范委員雲擔任主席</w:t>
            </w:r>
          </w:p>
        </w:tc>
        <w:tc>
          <w:tcPr>
            <w:tcW w:w="1436"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選舉第10屆第6會期本會召集委員</w:t>
            </w:r>
          </w:p>
        </w:tc>
        <w:tc>
          <w:tcPr>
            <w:tcW w:w="929" w:type="pct"/>
            <w:tcBorders>
              <w:top w:val="single" w:sz="4" w:space="0" w:color="auto"/>
              <w:left w:val="single" w:sz="4" w:space="0" w:color="auto"/>
              <w:bottom w:val="single" w:sz="4" w:space="0" w:color="auto"/>
              <w:right w:val="single" w:sz="4" w:space="0" w:color="auto"/>
            </w:tcBorders>
          </w:tcPr>
          <w:p w:rsidR="00947F23" w:rsidRPr="0090254B" w:rsidRDefault="0090254B" w:rsidP="0090254B">
            <w:pPr>
              <w:spacing w:line="400" w:lineRule="exact"/>
              <w:jc w:val="center"/>
            </w:pPr>
            <w:r w:rsidRPr="0090254B">
              <w:rPr>
                <w:rFonts w:ascii="標楷體" w:eastAsia="標楷體" w:hAnsi="標楷體" w:hint="eastAsia"/>
                <w:sz w:val="28"/>
                <w:szCs w:val="28"/>
              </w:rPr>
              <w:t>立法院第 111 卷 第 87 期(5058) 公報</w:t>
            </w:r>
            <w:r w:rsidR="00947F23" w:rsidRPr="0090254B">
              <w:rPr>
                <w:rFonts w:ascii="標楷體" w:eastAsia="標楷體" w:hAnsi="標楷體" w:hint="eastAsia"/>
                <w:sz w:val="28"/>
                <w:szCs w:val="28"/>
              </w:rPr>
              <w:t xml:space="preserve">  </w:t>
            </w:r>
          </w:p>
        </w:tc>
      </w:tr>
      <w:tr w:rsidR="00947F23" w:rsidRPr="00947F23" w:rsidTr="005534EB">
        <w:trPr>
          <w:trHeight w:val="567"/>
        </w:trPr>
        <w:tc>
          <w:tcPr>
            <w:tcW w:w="357"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jc w:val="center"/>
              <w:rPr>
                <w:rFonts w:ascii="標楷體" w:eastAsia="標楷體" w:hAnsi="標楷體"/>
                <w:sz w:val="28"/>
              </w:rPr>
            </w:pPr>
            <w:r w:rsidRPr="00947F23">
              <w:rPr>
                <w:rFonts w:ascii="標楷體" w:eastAsia="標楷體" w:hAnsi="標楷體" w:hint="eastAsia"/>
                <w:sz w:val="28"/>
              </w:rPr>
              <w:t>2</w:t>
            </w:r>
          </w:p>
        </w:tc>
        <w:tc>
          <w:tcPr>
            <w:tcW w:w="688"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111.10.3</w:t>
            </w:r>
          </w:p>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(星期一)</w:t>
            </w:r>
          </w:p>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111.10.5</w:t>
            </w:r>
          </w:p>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(星期三)</w:t>
            </w:r>
          </w:p>
          <w:p w:rsidR="00947F23" w:rsidRPr="00947F23" w:rsidRDefault="00947F23" w:rsidP="00947F23">
            <w:pPr>
              <w:spacing w:line="400" w:lineRule="exact"/>
              <w:rPr>
                <w:rFonts w:ascii="標楷體" w:eastAsia="標楷體" w:hAnsi="標楷體"/>
                <w:sz w:val="28"/>
                <w:szCs w:val="28"/>
              </w:rPr>
            </w:pPr>
          </w:p>
        </w:tc>
        <w:tc>
          <w:tcPr>
            <w:tcW w:w="779"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第2次全體委員會議</w:t>
            </w:r>
          </w:p>
        </w:tc>
        <w:tc>
          <w:tcPr>
            <w:tcW w:w="811"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jc w:val="center"/>
              <w:rPr>
                <w:rFonts w:ascii="標楷體" w:eastAsia="標楷體" w:hAnsi="標楷體"/>
                <w:sz w:val="28"/>
                <w:szCs w:val="28"/>
              </w:rPr>
            </w:pPr>
            <w:r w:rsidRPr="00947F23">
              <w:rPr>
                <w:rFonts w:ascii="標楷體" w:eastAsia="標楷體" w:hAnsi="標楷體" w:hint="eastAsia"/>
                <w:sz w:val="28"/>
                <w:szCs w:val="28"/>
              </w:rPr>
              <w:t>陳秀</w:t>
            </w:r>
          </w:p>
        </w:tc>
        <w:tc>
          <w:tcPr>
            <w:tcW w:w="1436"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(10月3日)</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一、邀請國立故宮博物院院長吳密察列席報告業務概況，並備質詢。</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二、邀請國立故宮博物院院長吳密察列席就「國境開放後故宮博物院應如何延攬國外觀光客」進行專題報告，並備質詢。</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(10月5日)</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邀請教育部部長潘文忠列席報告業務概況，並備質詢。</w:t>
            </w:r>
          </w:p>
        </w:tc>
        <w:tc>
          <w:tcPr>
            <w:tcW w:w="929" w:type="pct"/>
            <w:tcBorders>
              <w:top w:val="single" w:sz="4" w:space="0" w:color="auto"/>
              <w:left w:val="single" w:sz="4" w:space="0" w:color="auto"/>
              <w:bottom w:val="single" w:sz="4" w:space="0" w:color="auto"/>
              <w:right w:val="single" w:sz="4" w:space="0" w:color="auto"/>
            </w:tcBorders>
          </w:tcPr>
          <w:p w:rsidR="00947F23" w:rsidRDefault="0090254B" w:rsidP="00947F23">
            <w:pPr>
              <w:spacing w:line="400" w:lineRule="exact"/>
              <w:jc w:val="both"/>
              <w:rPr>
                <w:rFonts w:ascii="標楷體" w:eastAsia="標楷體" w:hAnsi="標楷體"/>
                <w:color w:val="000000"/>
                <w:sz w:val="28"/>
                <w:szCs w:val="28"/>
              </w:rPr>
            </w:pPr>
            <w:r w:rsidRPr="0090254B">
              <w:rPr>
                <w:rFonts w:ascii="標楷體" w:eastAsia="標楷體" w:hAnsi="標楷體" w:hint="eastAsia"/>
                <w:color w:val="000000"/>
                <w:sz w:val="28"/>
                <w:szCs w:val="28"/>
              </w:rPr>
              <w:t>立法院第 111 卷 第 88 期(5059) 公報</w:t>
            </w:r>
          </w:p>
          <w:p w:rsidR="0090254B" w:rsidRDefault="0090254B" w:rsidP="00947F23">
            <w:pPr>
              <w:spacing w:line="400" w:lineRule="exact"/>
              <w:jc w:val="both"/>
              <w:rPr>
                <w:rFonts w:ascii="標楷體" w:eastAsia="標楷體" w:hAnsi="標楷體"/>
                <w:color w:val="000000"/>
                <w:sz w:val="28"/>
                <w:szCs w:val="28"/>
              </w:rPr>
            </w:pPr>
          </w:p>
          <w:p w:rsidR="0090254B" w:rsidRDefault="0090254B" w:rsidP="00947F23">
            <w:pPr>
              <w:spacing w:line="400" w:lineRule="exact"/>
              <w:jc w:val="both"/>
              <w:rPr>
                <w:rFonts w:ascii="標楷體" w:eastAsia="標楷體" w:hAnsi="標楷體"/>
                <w:color w:val="000000"/>
                <w:sz w:val="28"/>
                <w:szCs w:val="28"/>
              </w:rPr>
            </w:pPr>
          </w:p>
          <w:p w:rsidR="0090254B" w:rsidRDefault="0090254B" w:rsidP="00947F23">
            <w:pPr>
              <w:spacing w:line="400" w:lineRule="exact"/>
              <w:jc w:val="both"/>
              <w:rPr>
                <w:rFonts w:ascii="標楷體" w:eastAsia="標楷體" w:hAnsi="標楷體"/>
                <w:color w:val="000000"/>
                <w:sz w:val="28"/>
                <w:szCs w:val="28"/>
              </w:rPr>
            </w:pPr>
          </w:p>
          <w:p w:rsidR="0090254B" w:rsidRDefault="0090254B" w:rsidP="00947F23">
            <w:pPr>
              <w:spacing w:line="400" w:lineRule="exact"/>
              <w:jc w:val="both"/>
              <w:rPr>
                <w:rFonts w:ascii="標楷體" w:eastAsia="標楷體" w:hAnsi="標楷體"/>
                <w:color w:val="000000"/>
                <w:sz w:val="28"/>
                <w:szCs w:val="28"/>
              </w:rPr>
            </w:pPr>
          </w:p>
          <w:p w:rsidR="0090254B" w:rsidRDefault="0090254B" w:rsidP="00947F23">
            <w:pPr>
              <w:spacing w:line="400" w:lineRule="exact"/>
              <w:jc w:val="both"/>
              <w:rPr>
                <w:rFonts w:ascii="標楷體" w:eastAsia="標楷體" w:hAnsi="標楷體"/>
                <w:color w:val="000000"/>
                <w:sz w:val="28"/>
                <w:szCs w:val="28"/>
              </w:rPr>
            </w:pPr>
          </w:p>
          <w:p w:rsidR="0090254B" w:rsidRDefault="0090254B" w:rsidP="00947F23">
            <w:pPr>
              <w:spacing w:line="400" w:lineRule="exact"/>
              <w:jc w:val="both"/>
              <w:rPr>
                <w:rFonts w:ascii="標楷體" w:eastAsia="標楷體" w:hAnsi="標楷體"/>
                <w:color w:val="000000"/>
                <w:sz w:val="28"/>
                <w:szCs w:val="28"/>
              </w:rPr>
            </w:pPr>
          </w:p>
          <w:p w:rsidR="0090254B" w:rsidRDefault="0090254B" w:rsidP="00947F23">
            <w:pPr>
              <w:spacing w:line="400" w:lineRule="exact"/>
              <w:jc w:val="both"/>
              <w:rPr>
                <w:rFonts w:ascii="標楷體" w:eastAsia="標楷體" w:hAnsi="標楷體"/>
                <w:color w:val="000000"/>
                <w:sz w:val="28"/>
                <w:szCs w:val="28"/>
              </w:rPr>
            </w:pPr>
          </w:p>
          <w:p w:rsidR="0090254B" w:rsidRDefault="0090254B" w:rsidP="00947F23">
            <w:pPr>
              <w:spacing w:line="400" w:lineRule="exact"/>
              <w:jc w:val="both"/>
              <w:rPr>
                <w:rFonts w:ascii="標楷體" w:eastAsia="標楷體" w:hAnsi="標楷體"/>
                <w:color w:val="000000"/>
                <w:sz w:val="28"/>
                <w:szCs w:val="28"/>
              </w:rPr>
            </w:pPr>
          </w:p>
          <w:p w:rsidR="0090254B" w:rsidRDefault="0090254B" w:rsidP="00947F23">
            <w:pPr>
              <w:spacing w:line="400" w:lineRule="exact"/>
              <w:jc w:val="both"/>
              <w:rPr>
                <w:rFonts w:ascii="標楷體" w:eastAsia="標楷體" w:hAnsi="標楷體"/>
                <w:color w:val="000000"/>
                <w:sz w:val="28"/>
                <w:szCs w:val="28"/>
              </w:rPr>
            </w:pPr>
          </w:p>
          <w:p w:rsidR="0090254B" w:rsidRPr="00947F23" w:rsidRDefault="0090254B" w:rsidP="00947F23">
            <w:pPr>
              <w:spacing w:line="400" w:lineRule="exact"/>
              <w:jc w:val="both"/>
              <w:rPr>
                <w:rFonts w:ascii="標楷體" w:eastAsia="標楷體" w:hAnsi="標楷體"/>
                <w:color w:val="000000"/>
                <w:sz w:val="28"/>
                <w:szCs w:val="28"/>
              </w:rPr>
            </w:pPr>
          </w:p>
        </w:tc>
      </w:tr>
      <w:tr w:rsidR="00947F23" w:rsidRPr="00947F23" w:rsidTr="005534EB">
        <w:trPr>
          <w:trHeight w:val="567"/>
        </w:trPr>
        <w:tc>
          <w:tcPr>
            <w:tcW w:w="357"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jc w:val="center"/>
              <w:rPr>
                <w:rFonts w:ascii="標楷體" w:eastAsia="標楷體" w:hAnsi="標楷體"/>
                <w:sz w:val="28"/>
              </w:rPr>
            </w:pPr>
            <w:r w:rsidRPr="00947F23">
              <w:rPr>
                <w:rFonts w:ascii="標楷體" w:eastAsia="標楷體" w:hAnsi="標楷體" w:hint="eastAsia"/>
                <w:sz w:val="28"/>
              </w:rPr>
              <w:t>3</w:t>
            </w:r>
          </w:p>
        </w:tc>
        <w:tc>
          <w:tcPr>
            <w:tcW w:w="688"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111.10.12</w:t>
            </w:r>
          </w:p>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(星期三)</w:t>
            </w:r>
          </w:p>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111.10.13</w:t>
            </w:r>
          </w:p>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第3次全體委員會議</w:t>
            </w:r>
          </w:p>
        </w:tc>
        <w:tc>
          <w:tcPr>
            <w:tcW w:w="811"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jc w:val="center"/>
              <w:rPr>
                <w:rFonts w:ascii="標楷體" w:eastAsia="標楷體" w:hAnsi="標楷體"/>
                <w:sz w:val="28"/>
                <w:szCs w:val="28"/>
              </w:rPr>
            </w:pPr>
            <w:r w:rsidRPr="00947F23">
              <w:rPr>
                <w:rFonts w:ascii="標楷體" w:eastAsia="標楷體" w:hAnsi="標楷體" w:hint="eastAsia"/>
                <w:sz w:val="28"/>
                <w:szCs w:val="28"/>
              </w:rPr>
              <w:t>鄭正鈐</w:t>
            </w:r>
          </w:p>
        </w:tc>
        <w:tc>
          <w:tcPr>
            <w:tcW w:w="1436"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一、邀請文化部部長李永得、財團法人公共電視文化事業基金會、中華電視公司列席就「近年委辦台語台節目招標問題和檢討」進行專題報告，並備質詢。</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二、邀請文化部部長李永得、財團法人公</w:t>
            </w:r>
            <w:r w:rsidRPr="00947F23">
              <w:rPr>
                <w:rFonts w:ascii="標楷體" w:eastAsia="標楷體" w:hAnsi="標楷體" w:hint="eastAsia"/>
                <w:color w:val="000000"/>
                <w:sz w:val="28"/>
                <w:szCs w:val="28"/>
              </w:rPr>
              <w:lastRenderedPageBreak/>
              <w:t>共電視文化事業基金會列席就「國際影音串流平台TaiwanPlus 經營績效與未來規劃」進行專題報告，並備質詢。</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三、邀請國家通訊傳播委員會主任委員陳耀祥、中華電視公司列席就「中華電視公司入主有線電視52台頻道經營績效」進行專題報告，並備質詢。</w:t>
            </w:r>
          </w:p>
        </w:tc>
        <w:tc>
          <w:tcPr>
            <w:tcW w:w="929" w:type="pct"/>
            <w:tcBorders>
              <w:top w:val="single" w:sz="4" w:space="0" w:color="auto"/>
              <w:left w:val="single" w:sz="4" w:space="0" w:color="auto"/>
              <w:bottom w:val="single" w:sz="4" w:space="0" w:color="auto"/>
              <w:right w:val="single" w:sz="4" w:space="0" w:color="auto"/>
            </w:tcBorders>
          </w:tcPr>
          <w:p w:rsidR="00947F23" w:rsidRPr="00947F23" w:rsidRDefault="0090254B" w:rsidP="00947F23">
            <w:pPr>
              <w:spacing w:line="400" w:lineRule="exact"/>
              <w:jc w:val="both"/>
              <w:rPr>
                <w:rFonts w:ascii="標楷體" w:eastAsia="標楷體" w:hAnsi="標楷體"/>
                <w:color w:val="000000"/>
                <w:sz w:val="28"/>
                <w:szCs w:val="28"/>
              </w:rPr>
            </w:pPr>
            <w:r w:rsidRPr="0090254B">
              <w:rPr>
                <w:rFonts w:ascii="標楷體" w:eastAsia="標楷體" w:hAnsi="標楷體" w:hint="eastAsia"/>
                <w:color w:val="000000"/>
                <w:sz w:val="28"/>
                <w:szCs w:val="28"/>
              </w:rPr>
              <w:lastRenderedPageBreak/>
              <w:t>立法院第 111 卷 第 91 期(5062) 公報</w:t>
            </w:r>
          </w:p>
        </w:tc>
      </w:tr>
      <w:tr w:rsidR="00947F23" w:rsidRPr="00947F23" w:rsidTr="005534EB">
        <w:trPr>
          <w:trHeight w:val="567"/>
        </w:trPr>
        <w:tc>
          <w:tcPr>
            <w:tcW w:w="357"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jc w:val="center"/>
              <w:rPr>
                <w:rFonts w:ascii="標楷體" w:eastAsia="標楷體" w:hAnsi="標楷體"/>
                <w:sz w:val="28"/>
              </w:rPr>
            </w:pPr>
            <w:r w:rsidRPr="00947F23">
              <w:rPr>
                <w:rFonts w:ascii="標楷體" w:eastAsia="標楷體" w:hAnsi="標楷體" w:hint="eastAsia"/>
                <w:sz w:val="28"/>
              </w:rPr>
              <w:t>4</w:t>
            </w:r>
          </w:p>
        </w:tc>
        <w:tc>
          <w:tcPr>
            <w:tcW w:w="688"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sz w:val="28"/>
                <w:szCs w:val="28"/>
              </w:rPr>
              <w:t>111.10.1</w:t>
            </w:r>
            <w:r w:rsidRPr="00947F23">
              <w:rPr>
                <w:rFonts w:ascii="標楷體" w:eastAsia="標楷體" w:hAnsi="標楷體" w:hint="eastAsia"/>
                <w:sz w:val="28"/>
                <w:szCs w:val="28"/>
              </w:rPr>
              <w:t>9</w:t>
            </w:r>
          </w:p>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(星期三)</w:t>
            </w:r>
          </w:p>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sz w:val="28"/>
                <w:szCs w:val="28"/>
              </w:rPr>
              <w:t>111.10.</w:t>
            </w:r>
            <w:r w:rsidRPr="00947F23">
              <w:rPr>
                <w:rFonts w:ascii="標楷體" w:eastAsia="標楷體" w:hAnsi="標楷體" w:hint="eastAsia"/>
                <w:sz w:val="28"/>
                <w:szCs w:val="28"/>
              </w:rPr>
              <w:t>20</w:t>
            </w:r>
          </w:p>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第4次全體委員會議</w:t>
            </w:r>
          </w:p>
        </w:tc>
        <w:tc>
          <w:tcPr>
            <w:tcW w:w="811"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jc w:val="center"/>
              <w:rPr>
                <w:rFonts w:ascii="標楷體" w:eastAsia="標楷體" w:hAnsi="標楷體"/>
                <w:sz w:val="28"/>
                <w:szCs w:val="28"/>
              </w:rPr>
            </w:pPr>
            <w:r w:rsidRPr="00947F23">
              <w:rPr>
                <w:rFonts w:ascii="標楷體" w:eastAsia="標楷體" w:hAnsi="標楷體" w:hint="eastAsia"/>
                <w:sz w:val="28"/>
                <w:szCs w:val="28"/>
              </w:rPr>
              <w:t>陳秀</w:t>
            </w:r>
          </w:p>
        </w:tc>
        <w:tc>
          <w:tcPr>
            <w:tcW w:w="1436"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(10月19日)</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一、審查112年度中央政府總預算案有關國立故宮博物院單位預算案。</w:t>
            </w:r>
          </w:p>
          <w:p w:rsid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二、審查112年度中央政府總預算案有關國立故宮博物院主管故宮文物藝術發展基金附屬單位預算案。</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(僅進行詢答)</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(10月20日)</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一、審查112年度中央政府總預算案有關教育部及所屬單位預算案。</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二、審查112年度教育部主管47所國立大學校院校務基金、國立臺灣大學附設醫院作業基金、國立成功大</w:t>
            </w:r>
            <w:r w:rsidRPr="00947F23">
              <w:rPr>
                <w:rFonts w:ascii="標楷體" w:eastAsia="標楷體" w:hAnsi="標楷體" w:hint="eastAsia"/>
                <w:color w:val="000000"/>
                <w:sz w:val="28"/>
                <w:szCs w:val="28"/>
              </w:rPr>
              <w:lastRenderedPageBreak/>
              <w:t>學附設醫院作業基金、國立陽明交通大學附設醫院作業基金、教育部所屬機構作業基金、國立高級中等學校校務基金、學產基金、運動發展基金、私立高級中等以上學校退場基金預算案。</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三、審查112年度行政法人國家運動訓練中心預算案。</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四、邀請教育部部長潘文忠列席就「如何有效防止校園霸凌並提升友善校園意識」進行專題報告，並備質詢。</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（第一案至第三案僅進行詢答。)</w:t>
            </w:r>
          </w:p>
        </w:tc>
        <w:tc>
          <w:tcPr>
            <w:tcW w:w="929" w:type="pct"/>
            <w:tcBorders>
              <w:top w:val="single" w:sz="4" w:space="0" w:color="auto"/>
              <w:left w:val="single" w:sz="4" w:space="0" w:color="auto"/>
              <w:bottom w:val="single" w:sz="4" w:space="0" w:color="auto"/>
              <w:right w:val="single" w:sz="4" w:space="0" w:color="auto"/>
            </w:tcBorders>
          </w:tcPr>
          <w:p w:rsidR="00947F23" w:rsidRPr="00947F23" w:rsidRDefault="0090254B" w:rsidP="00947F23">
            <w:pPr>
              <w:spacing w:line="400" w:lineRule="exact"/>
              <w:jc w:val="both"/>
              <w:rPr>
                <w:rFonts w:ascii="標楷體" w:eastAsia="標楷體" w:hAnsi="標楷體"/>
                <w:color w:val="000000"/>
                <w:sz w:val="28"/>
                <w:szCs w:val="28"/>
              </w:rPr>
            </w:pPr>
            <w:r w:rsidRPr="0090254B">
              <w:rPr>
                <w:rFonts w:ascii="標楷體" w:eastAsia="標楷體" w:hAnsi="標楷體" w:hint="eastAsia"/>
                <w:color w:val="000000"/>
                <w:sz w:val="28"/>
                <w:szCs w:val="28"/>
              </w:rPr>
              <w:lastRenderedPageBreak/>
              <w:t>立法院第 111 卷 第 95 期(5066) 公報</w:t>
            </w:r>
          </w:p>
        </w:tc>
      </w:tr>
      <w:tr w:rsidR="00947F23" w:rsidRPr="00947F23" w:rsidTr="005534EB">
        <w:trPr>
          <w:trHeight w:val="567"/>
        </w:trPr>
        <w:tc>
          <w:tcPr>
            <w:tcW w:w="357"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jc w:val="center"/>
              <w:rPr>
                <w:rFonts w:ascii="標楷體" w:eastAsia="標楷體" w:hAnsi="標楷體"/>
                <w:sz w:val="28"/>
              </w:rPr>
            </w:pPr>
            <w:r w:rsidRPr="00947F23">
              <w:rPr>
                <w:rFonts w:ascii="標楷體" w:eastAsia="標楷體" w:hAnsi="標楷體" w:hint="eastAsia"/>
                <w:sz w:val="28"/>
              </w:rPr>
              <w:t>5</w:t>
            </w:r>
          </w:p>
        </w:tc>
        <w:tc>
          <w:tcPr>
            <w:tcW w:w="688"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sz w:val="28"/>
                <w:szCs w:val="28"/>
              </w:rPr>
              <w:t>111.10.</w:t>
            </w:r>
            <w:r w:rsidRPr="00947F23">
              <w:rPr>
                <w:rFonts w:ascii="標楷體" w:eastAsia="標楷體" w:hAnsi="標楷體" w:hint="eastAsia"/>
                <w:sz w:val="28"/>
                <w:szCs w:val="28"/>
              </w:rPr>
              <w:t>24</w:t>
            </w:r>
          </w:p>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(星期一)</w:t>
            </w:r>
          </w:p>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sz w:val="28"/>
                <w:szCs w:val="28"/>
              </w:rPr>
              <w:t>111.10.</w:t>
            </w:r>
            <w:r w:rsidRPr="00947F23">
              <w:rPr>
                <w:rFonts w:ascii="標楷體" w:eastAsia="標楷體" w:hAnsi="標楷體" w:hint="eastAsia"/>
                <w:sz w:val="28"/>
                <w:szCs w:val="28"/>
              </w:rPr>
              <w:t>26</w:t>
            </w:r>
          </w:p>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(星期三)</w:t>
            </w:r>
            <w:r w:rsidRPr="00947F23">
              <w:rPr>
                <w:rFonts w:ascii="標楷體" w:eastAsia="標楷體" w:hAnsi="標楷體" w:hint="eastAsia"/>
                <w:color w:val="000000"/>
                <w:sz w:val="28"/>
                <w:szCs w:val="28"/>
              </w:rPr>
              <w:t xml:space="preserve"> </w:t>
            </w:r>
            <w:r w:rsidRPr="00947F23">
              <w:rPr>
                <w:rFonts w:ascii="標楷體" w:eastAsia="標楷體" w:hAnsi="標楷體" w:hint="eastAsia"/>
                <w:sz w:val="28"/>
                <w:szCs w:val="28"/>
              </w:rPr>
              <w:t>上午</w:t>
            </w:r>
          </w:p>
        </w:tc>
        <w:tc>
          <w:tcPr>
            <w:tcW w:w="779"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第5次全體委員會議</w:t>
            </w:r>
          </w:p>
        </w:tc>
        <w:tc>
          <w:tcPr>
            <w:tcW w:w="811"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jc w:val="center"/>
              <w:rPr>
                <w:rFonts w:ascii="標楷體" w:eastAsia="標楷體" w:hAnsi="標楷體"/>
                <w:sz w:val="28"/>
                <w:szCs w:val="28"/>
              </w:rPr>
            </w:pPr>
            <w:r w:rsidRPr="00947F23">
              <w:rPr>
                <w:rFonts w:ascii="標楷體" w:eastAsia="標楷體" w:hAnsi="標楷體" w:hint="eastAsia"/>
                <w:sz w:val="28"/>
                <w:szCs w:val="28"/>
              </w:rPr>
              <w:t>鄭正鈐</w:t>
            </w:r>
          </w:p>
        </w:tc>
        <w:tc>
          <w:tcPr>
            <w:tcW w:w="1436"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(10月24日)</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一、邀請文化部部長李永得列席報告業務概況，並備質詢。二、處理文化部函送文化內容策進院111年度</w:t>
            </w:r>
            <w:r w:rsidRPr="00947F23">
              <w:rPr>
                <w:rFonts w:ascii="標楷體" w:eastAsia="標楷體" w:hAnsi="標楷體"/>
                <w:color w:val="000000"/>
                <w:sz w:val="28"/>
                <w:szCs w:val="28"/>
              </w:rPr>
              <w:t>預算</w:t>
            </w:r>
            <w:r w:rsidRPr="00947F23">
              <w:rPr>
                <w:rFonts w:ascii="標楷體" w:eastAsia="標楷體" w:hAnsi="標楷體" w:hint="eastAsia"/>
                <w:color w:val="000000"/>
                <w:sz w:val="28"/>
                <w:szCs w:val="28"/>
              </w:rPr>
              <w:t>凍結專案報告案。</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 xml:space="preserve">(10月26日上午) </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邀請國家科學及技術委員會主任委員吳政忠列席報告業務概況，並備質詢。</w:t>
            </w:r>
          </w:p>
        </w:tc>
        <w:tc>
          <w:tcPr>
            <w:tcW w:w="929" w:type="pct"/>
            <w:tcBorders>
              <w:top w:val="single" w:sz="4" w:space="0" w:color="auto"/>
              <w:left w:val="single" w:sz="4" w:space="0" w:color="auto"/>
              <w:bottom w:val="single" w:sz="4" w:space="0" w:color="auto"/>
              <w:right w:val="single" w:sz="4" w:space="0" w:color="auto"/>
            </w:tcBorders>
          </w:tcPr>
          <w:p w:rsidR="00947F23" w:rsidRPr="00947F23" w:rsidRDefault="0090254B" w:rsidP="00947F23">
            <w:pPr>
              <w:spacing w:line="400" w:lineRule="exact"/>
              <w:jc w:val="both"/>
              <w:rPr>
                <w:rFonts w:ascii="標楷體" w:eastAsia="標楷體" w:hAnsi="標楷體"/>
                <w:color w:val="000000"/>
                <w:sz w:val="28"/>
                <w:szCs w:val="28"/>
              </w:rPr>
            </w:pPr>
            <w:r w:rsidRPr="0090254B">
              <w:rPr>
                <w:rFonts w:ascii="標楷體" w:eastAsia="標楷體" w:hAnsi="標楷體" w:hint="eastAsia"/>
                <w:color w:val="000000"/>
                <w:sz w:val="28"/>
                <w:szCs w:val="28"/>
              </w:rPr>
              <w:t>立法院第 111 卷 第 97 期(5068) 公報</w:t>
            </w:r>
          </w:p>
        </w:tc>
      </w:tr>
      <w:tr w:rsidR="00947F23" w:rsidRPr="00947F23" w:rsidTr="005534EB">
        <w:trPr>
          <w:trHeight w:val="567"/>
        </w:trPr>
        <w:tc>
          <w:tcPr>
            <w:tcW w:w="357"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jc w:val="center"/>
              <w:rPr>
                <w:rFonts w:ascii="標楷體" w:eastAsia="標楷體" w:hAnsi="標楷體"/>
                <w:sz w:val="28"/>
              </w:rPr>
            </w:pPr>
            <w:r w:rsidRPr="00947F23">
              <w:rPr>
                <w:rFonts w:ascii="標楷體" w:eastAsia="標楷體" w:hAnsi="標楷體" w:hint="eastAsia"/>
                <w:sz w:val="28"/>
              </w:rPr>
              <w:lastRenderedPageBreak/>
              <w:t>6</w:t>
            </w:r>
          </w:p>
        </w:tc>
        <w:tc>
          <w:tcPr>
            <w:tcW w:w="688"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sz w:val="28"/>
                <w:szCs w:val="28"/>
              </w:rPr>
              <w:t>111.1</w:t>
            </w:r>
            <w:r w:rsidRPr="00947F23">
              <w:rPr>
                <w:rFonts w:ascii="標楷體" w:eastAsia="標楷體" w:hAnsi="標楷體" w:hint="eastAsia"/>
                <w:sz w:val="28"/>
                <w:szCs w:val="28"/>
              </w:rPr>
              <w:t>1</w:t>
            </w:r>
            <w:r w:rsidRPr="00947F23">
              <w:rPr>
                <w:rFonts w:ascii="標楷體" w:eastAsia="標楷體" w:hAnsi="標楷體"/>
                <w:sz w:val="28"/>
                <w:szCs w:val="28"/>
              </w:rPr>
              <w:t>.</w:t>
            </w:r>
            <w:r w:rsidRPr="00947F23">
              <w:rPr>
                <w:rFonts w:ascii="標楷體" w:eastAsia="標楷體" w:hAnsi="標楷體" w:hint="eastAsia"/>
                <w:sz w:val="28"/>
                <w:szCs w:val="28"/>
              </w:rPr>
              <w:t>2</w:t>
            </w:r>
          </w:p>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(星期三)</w:t>
            </w:r>
          </w:p>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sz w:val="28"/>
                <w:szCs w:val="28"/>
              </w:rPr>
              <w:t>111.1</w:t>
            </w:r>
            <w:r w:rsidRPr="00947F23">
              <w:rPr>
                <w:rFonts w:ascii="標楷體" w:eastAsia="標楷體" w:hAnsi="標楷體" w:hint="eastAsia"/>
                <w:sz w:val="28"/>
                <w:szCs w:val="28"/>
              </w:rPr>
              <w:t>1</w:t>
            </w:r>
            <w:r w:rsidRPr="00947F23">
              <w:rPr>
                <w:rFonts w:ascii="標楷體" w:eastAsia="標楷體" w:hAnsi="標楷體"/>
                <w:sz w:val="28"/>
                <w:szCs w:val="28"/>
              </w:rPr>
              <w:t>.</w:t>
            </w:r>
            <w:r w:rsidRPr="00947F23">
              <w:rPr>
                <w:rFonts w:ascii="標楷體" w:eastAsia="標楷體" w:hAnsi="標楷體" w:hint="eastAsia"/>
                <w:sz w:val="28"/>
                <w:szCs w:val="28"/>
              </w:rPr>
              <w:t>3</w:t>
            </w:r>
          </w:p>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第6次全體委員會議</w:t>
            </w:r>
          </w:p>
        </w:tc>
        <w:tc>
          <w:tcPr>
            <w:tcW w:w="811"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jc w:val="center"/>
              <w:rPr>
                <w:rFonts w:ascii="標楷體" w:eastAsia="標楷體" w:hAnsi="標楷體"/>
                <w:sz w:val="28"/>
                <w:szCs w:val="28"/>
              </w:rPr>
            </w:pPr>
            <w:r w:rsidRPr="00947F23">
              <w:rPr>
                <w:rFonts w:ascii="標楷體" w:eastAsia="標楷體" w:hAnsi="標楷體" w:hint="eastAsia"/>
                <w:sz w:val="28"/>
                <w:szCs w:val="28"/>
              </w:rPr>
              <w:t>陳秀</w:t>
            </w:r>
          </w:p>
        </w:tc>
        <w:tc>
          <w:tcPr>
            <w:tcW w:w="1436"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一、繼續審查112年度中央政府總預算案有關教育部及所屬單位預算案。</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二、繼續審查112年度教育部主管47所國立大學校院校務基金、國立臺灣大學附設醫院作業基金、國立成功大學附設醫院作業基金、國立陽明交通大學附設醫院作業基金、教育部所屬機構作業基金、國立高級中等學校校務基金、學產基金、運動發展基金、私立高級中等以上學校退場基金預算案。</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三、繼續審查112年度行政法人國家運動訓練中心預算案。</w:t>
            </w:r>
          </w:p>
        </w:tc>
        <w:tc>
          <w:tcPr>
            <w:tcW w:w="929" w:type="pct"/>
            <w:tcBorders>
              <w:top w:val="single" w:sz="4" w:space="0" w:color="auto"/>
              <w:left w:val="single" w:sz="4" w:space="0" w:color="auto"/>
              <w:bottom w:val="single" w:sz="4" w:space="0" w:color="auto"/>
              <w:right w:val="single" w:sz="4" w:space="0" w:color="auto"/>
            </w:tcBorders>
          </w:tcPr>
          <w:p w:rsidR="00947F23" w:rsidRPr="00947F23" w:rsidRDefault="00FE2CB7" w:rsidP="00947F23">
            <w:pPr>
              <w:spacing w:line="400" w:lineRule="exact"/>
              <w:jc w:val="both"/>
              <w:rPr>
                <w:rFonts w:ascii="標楷體" w:eastAsia="標楷體" w:hAnsi="標楷體"/>
                <w:color w:val="000000"/>
                <w:sz w:val="28"/>
                <w:szCs w:val="28"/>
              </w:rPr>
            </w:pPr>
            <w:r w:rsidRPr="00FE2CB7">
              <w:rPr>
                <w:rFonts w:ascii="標楷體" w:eastAsia="標楷體" w:hAnsi="標楷體" w:hint="eastAsia"/>
                <w:color w:val="000000"/>
                <w:sz w:val="28"/>
                <w:szCs w:val="28"/>
              </w:rPr>
              <w:t>立法院第 111 卷 第 102 期(5073) 上</w:t>
            </w:r>
            <w:r>
              <w:rPr>
                <w:rFonts w:ascii="標楷體" w:eastAsia="標楷體" w:hAnsi="標楷體" w:hint="eastAsia"/>
                <w:color w:val="000000"/>
                <w:sz w:val="28"/>
                <w:szCs w:val="28"/>
              </w:rPr>
              <w:t>、下</w:t>
            </w:r>
            <w:r w:rsidRPr="00FE2CB7">
              <w:rPr>
                <w:rFonts w:ascii="標楷體" w:eastAsia="標楷體" w:hAnsi="標楷體" w:hint="eastAsia"/>
                <w:color w:val="000000"/>
                <w:sz w:val="28"/>
                <w:szCs w:val="28"/>
              </w:rPr>
              <w:t xml:space="preserve"> 冊公報</w:t>
            </w:r>
          </w:p>
        </w:tc>
      </w:tr>
      <w:tr w:rsidR="00947F23" w:rsidRPr="00947F23" w:rsidTr="005534EB">
        <w:trPr>
          <w:trHeight w:val="567"/>
        </w:trPr>
        <w:tc>
          <w:tcPr>
            <w:tcW w:w="357"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jc w:val="center"/>
              <w:rPr>
                <w:rFonts w:ascii="標楷體" w:eastAsia="標楷體" w:hAnsi="標楷體"/>
                <w:sz w:val="28"/>
              </w:rPr>
            </w:pPr>
            <w:r w:rsidRPr="00947F23">
              <w:rPr>
                <w:rFonts w:ascii="標楷體" w:eastAsia="標楷體" w:hAnsi="標楷體" w:hint="eastAsia"/>
                <w:sz w:val="28"/>
              </w:rPr>
              <w:t>7</w:t>
            </w:r>
          </w:p>
        </w:tc>
        <w:tc>
          <w:tcPr>
            <w:tcW w:w="688"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sz w:val="28"/>
                <w:szCs w:val="28"/>
              </w:rPr>
              <w:t>111.11.</w:t>
            </w:r>
            <w:r w:rsidRPr="00947F23">
              <w:rPr>
                <w:rFonts w:ascii="標楷體" w:eastAsia="標楷體" w:hAnsi="標楷體" w:hint="eastAsia"/>
                <w:sz w:val="28"/>
                <w:szCs w:val="28"/>
              </w:rPr>
              <w:t>9</w:t>
            </w:r>
          </w:p>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(星期三)</w:t>
            </w:r>
          </w:p>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sz w:val="28"/>
                <w:szCs w:val="28"/>
              </w:rPr>
              <w:t>111.11.</w:t>
            </w:r>
            <w:r w:rsidRPr="00947F23">
              <w:rPr>
                <w:rFonts w:ascii="標楷體" w:eastAsia="標楷體" w:hAnsi="標楷體" w:hint="eastAsia"/>
                <w:sz w:val="28"/>
                <w:szCs w:val="28"/>
              </w:rPr>
              <w:t>10</w:t>
            </w:r>
          </w:p>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第7次全體委員會議</w:t>
            </w:r>
          </w:p>
        </w:tc>
        <w:tc>
          <w:tcPr>
            <w:tcW w:w="811"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jc w:val="center"/>
              <w:rPr>
                <w:rFonts w:ascii="標楷體" w:eastAsia="標楷體" w:hAnsi="標楷體"/>
                <w:sz w:val="28"/>
                <w:szCs w:val="28"/>
              </w:rPr>
            </w:pPr>
            <w:r w:rsidRPr="00947F23">
              <w:rPr>
                <w:rFonts w:ascii="標楷體" w:eastAsia="標楷體" w:hAnsi="標楷體" w:hint="eastAsia"/>
                <w:sz w:val="28"/>
                <w:szCs w:val="28"/>
              </w:rPr>
              <w:t>鄭正鈐</w:t>
            </w:r>
          </w:p>
        </w:tc>
        <w:tc>
          <w:tcPr>
            <w:tcW w:w="1436"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(1</w:t>
            </w:r>
            <w:r w:rsidRPr="00947F23">
              <w:rPr>
                <w:rFonts w:ascii="標楷體" w:eastAsia="標楷體" w:hAnsi="標楷體"/>
                <w:color w:val="000000"/>
                <w:sz w:val="28"/>
                <w:szCs w:val="28"/>
              </w:rPr>
              <w:t>1</w:t>
            </w:r>
            <w:r w:rsidRPr="00947F23">
              <w:rPr>
                <w:rFonts w:ascii="標楷體" w:eastAsia="標楷體" w:hAnsi="標楷體" w:hint="eastAsia"/>
                <w:color w:val="000000"/>
                <w:sz w:val="28"/>
                <w:szCs w:val="28"/>
              </w:rPr>
              <w:t>月</w:t>
            </w:r>
            <w:r w:rsidRPr="00947F23">
              <w:rPr>
                <w:rFonts w:ascii="標楷體" w:eastAsia="標楷體" w:hAnsi="標楷體"/>
                <w:color w:val="000000"/>
                <w:sz w:val="28"/>
                <w:szCs w:val="28"/>
              </w:rPr>
              <w:t>9</w:t>
            </w:r>
            <w:r w:rsidRPr="00947F23">
              <w:rPr>
                <w:rFonts w:ascii="標楷體" w:eastAsia="標楷體" w:hAnsi="標楷體" w:hint="eastAsia"/>
                <w:color w:val="000000"/>
                <w:sz w:val="28"/>
                <w:szCs w:val="28"/>
              </w:rPr>
              <w:t>日)</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一、審查112年度中央政府總預算案有關國家科學及技術委員會與所屬單位預算案。</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二、審查112年度中央政府總預算案有關行政院主管行政院國家科學技術發展基金附屬單位預算案。</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三、審查112年度中央政府總預算案有關國家科學及技術委員會</w:t>
            </w:r>
            <w:r w:rsidRPr="00947F23">
              <w:rPr>
                <w:rFonts w:ascii="標楷體" w:eastAsia="標楷體" w:hAnsi="標楷體" w:hint="eastAsia"/>
                <w:color w:val="000000"/>
                <w:sz w:val="28"/>
                <w:szCs w:val="28"/>
              </w:rPr>
              <w:lastRenderedPageBreak/>
              <w:t>主管科學園區管理局作業基金附屬單位預算案。</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四、審查112年度行政法人國家災害防救科技中心預算案。</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（僅進行詢答，相關提案請於11月17日下午3時前提出）</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(1</w:t>
            </w:r>
            <w:r w:rsidRPr="00947F23">
              <w:rPr>
                <w:rFonts w:ascii="標楷體" w:eastAsia="標楷體" w:hAnsi="標楷體"/>
                <w:color w:val="000000"/>
                <w:sz w:val="28"/>
                <w:szCs w:val="28"/>
              </w:rPr>
              <w:t>1</w:t>
            </w:r>
            <w:r w:rsidRPr="00947F23">
              <w:rPr>
                <w:rFonts w:ascii="標楷體" w:eastAsia="標楷體" w:hAnsi="標楷體" w:hint="eastAsia"/>
                <w:color w:val="000000"/>
                <w:sz w:val="28"/>
                <w:szCs w:val="28"/>
              </w:rPr>
              <w:t>月</w:t>
            </w:r>
            <w:r w:rsidRPr="00947F23">
              <w:rPr>
                <w:rFonts w:ascii="標楷體" w:eastAsia="標楷體" w:hAnsi="標楷體"/>
                <w:color w:val="000000"/>
                <w:sz w:val="28"/>
                <w:szCs w:val="28"/>
              </w:rPr>
              <w:t>10</w:t>
            </w:r>
            <w:r w:rsidRPr="00947F23">
              <w:rPr>
                <w:rFonts w:ascii="標楷體" w:eastAsia="標楷體" w:hAnsi="標楷體" w:hint="eastAsia"/>
                <w:color w:val="000000"/>
                <w:sz w:val="28"/>
                <w:szCs w:val="28"/>
              </w:rPr>
              <w:t>日)</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一、審查112年度中央政府總預算案有關文化部及所屬單位預算案。</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二、審查112年度中央政府總預算案有關文化部主管國立文化機構作業基金附屬單位預算案。</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三、審查112年度中央政府總預算案有關文化部主管文化發展基金附屬單位預算案。</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四、審查112年度行政法人國家表演藝術中心、文化內容策進院、國家電影及視聽文化中心預算案。</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(僅進行詢答，相關提案請於11月24日下午3時前提出)</w:t>
            </w:r>
          </w:p>
        </w:tc>
        <w:tc>
          <w:tcPr>
            <w:tcW w:w="929" w:type="pct"/>
            <w:tcBorders>
              <w:top w:val="single" w:sz="4" w:space="0" w:color="auto"/>
              <w:left w:val="single" w:sz="4" w:space="0" w:color="auto"/>
              <w:bottom w:val="single" w:sz="4" w:space="0" w:color="auto"/>
              <w:right w:val="single" w:sz="4" w:space="0" w:color="auto"/>
            </w:tcBorders>
          </w:tcPr>
          <w:p w:rsidR="00947F23" w:rsidRPr="00947F23" w:rsidRDefault="00FE2CB7" w:rsidP="00947F23">
            <w:pPr>
              <w:spacing w:line="400" w:lineRule="exact"/>
              <w:jc w:val="both"/>
              <w:rPr>
                <w:rFonts w:ascii="標楷體" w:eastAsia="標楷體" w:hAnsi="標楷體"/>
                <w:color w:val="000000"/>
                <w:sz w:val="28"/>
                <w:szCs w:val="28"/>
              </w:rPr>
            </w:pPr>
            <w:r w:rsidRPr="00FE2CB7">
              <w:rPr>
                <w:rFonts w:ascii="標楷體" w:eastAsia="標楷體" w:hAnsi="標楷體" w:hint="eastAsia"/>
                <w:color w:val="000000"/>
                <w:sz w:val="28"/>
                <w:szCs w:val="28"/>
              </w:rPr>
              <w:lastRenderedPageBreak/>
              <w:t>立法院第 111 卷 第 105 期(5076) 下 冊公報</w:t>
            </w:r>
          </w:p>
        </w:tc>
      </w:tr>
      <w:tr w:rsidR="00947F23" w:rsidRPr="00947F23" w:rsidTr="005534EB">
        <w:trPr>
          <w:trHeight w:val="567"/>
        </w:trPr>
        <w:tc>
          <w:tcPr>
            <w:tcW w:w="357"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jc w:val="center"/>
              <w:rPr>
                <w:rFonts w:ascii="標楷體" w:eastAsia="標楷體" w:hAnsi="標楷體"/>
                <w:sz w:val="28"/>
              </w:rPr>
            </w:pPr>
            <w:r w:rsidRPr="00947F23">
              <w:rPr>
                <w:rFonts w:ascii="標楷體" w:eastAsia="標楷體" w:hAnsi="標楷體" w:hint="eastAsia"/>
                <w:sz w:val="28"/>
              </w:rPr>
              <w:t>8</w:t>
            </w:r>
          </w:p>
        </w:tc>
        <w:tc>
          <w:tcPr>
            <w:tcW w:w="688"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sz w:val="28"/>
                <w:szCs w:val="28"/>
              </w:rPr>
              <w:t>111.1</w:t>
            </w:r>
            <w:r w:rsidRPr="00947F23">
              <w:rPr>
                <w:rFonts w:ascii="標楷體" w:eastAsia="標楷體" w:hAnsi="標楷體" w:hint="eastAsia"/>
                <w:sz w:val="28"/>
                <w:szCs w:val="28"/>
              </w:rPr>
              <w:t>1</w:t>
            </w:r>
            <w:r w:rsidRPr="00947F23">
              <w:rPr>
                <w:rFonts w:ascii="標楷體" w:eastAsia="標楷體" w:hAnsi="標楷體"/>
                <w:sz w:val="28"/>
                <w:szCs w:val="28"/>
              </w:rPr>
              <w:t>.</w:t>
            </w:r>
            <w:r w:rsidRPr="00947F23">
              <w:rPr>
                <w:rFonts w:ascii="標楷體" w:eastAsia="標楷體" w:hAnsi="標楷體" w:hint="eastAsia"/>
                <w:sz w:val="28"/>
                <w:szCs w:val="28"/>
              </w:rPr>
              <w:t>16</w:t>
            </w:r>
          </w:p>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(星期三)</w:t>
            </w:r>
          </w:p>
          <w:p w:rsidR="00947F23" w:rsidRPr="00947F23" w:rsidRDefault="00947F23" w:rsidP="00947F23">
            <w:pPr>
              <w:spacing w:line="400" w:lineRule="exact"/>
              <w:rPr>
                <w:rFonts w:ascii="標楷體" w:eastAsia="標楷體" w:hAnsi="標楷體"/>
                <w:sz w:val="28"/>
                <w:szCs w:val="28"/>
              </w:rPr>
            </w:pPr>
          </w:p>
        </w:tc>
        <w:tc>
          <w:tcPr>
            <w:tcW w:w="779"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第8次全體委員會議</w:t>
            </w:r>
          </w:p>
        </w:tc>
        <w:tc>
          <w:tcPr>
            <w:tcW w:w="811"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jc w:val="center"/>
              <w:rPr>
                <w:rFonts w:ascii="標楷體" w:eastAsia="標楷體" w:hAnsi="標楷體"/>
                <w:sz w:val="28"/>
                <w:szCs w:val="28"/>
              </w:rPr>
            </w:pPr>
            <w:r w:rsidRPr="00947F23">
              <w:rPr>
                <w:rFonts w:ascii="標楷體" w:eastAsia="標楷體" w:hAnsi="標楷體" w:hint="eastAsia"/>
                <w:sz w:val="28"/>
                <w:szCs w:val="28"/>
              </w:rPr>
              <w:t>陳秀</w:t>
            </w:r>
          </w:p>
        </w:tc>
        <w:tc>
          <w:tcPr>
            <w:tcW w:w="1436"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邀請文化部部長李永得列席就「文化部推動文化禮金規劃辦理情形」進行專題報</w:t>
            </w:r>
            <w:r w:rsidRPr="00947F23">
              <w:rPr>
                <w:rFonts w:ascii="標楷體" w:eastAsia="標楷體" w:hAnsi="標楷體" w:hint="eastAsia"/>
                <w:color w:val="000000"/>
                <w:sz w:val="28"/>
                <w:szCs w:val="28"/>
              </w:rPr>
              <w:lastRenderedPageBreak/>
              <w:t>告，並備質詢。</w:t>
            </w:r>
          </w:p>
        </w:tc>
        <w:tc>
          <w:tcPr>
            <w:tcW w:w="929" w:type="pct"/>
            <w:tcBorders>
              <w:top w:val="single" w:sz="4" w:space="0" w:color="auto"/>
              <w:left w:val="single" w:sz="4" w:space="0" w:color="auto"/>
              <w:bottom w:val="single" w:sz="4" w:space="0" w:color="auto"/>
              <w:right w:val="single" w:sz="4" w:space="0" w:color="auto"/>
            </w:tcBorders>
          </w:tcPr>
          <w:p w:rsidR="00947F23" w:rsidRPr="00947F23" w:rsidRDefault="00FE2CB7" w:rsidP="00947F23">
            <w:pPr>
              <w:spacing w:line="400" w:lineRule="exact"/>
              <w:jc w:val="both"/>
              <w:rPr>
                <w:rFonts w:ascii="標楷體" w:eastAsia="標楷體" w:hAnsi="標楷體"/>
                <w:color w:val="000000"/>
                <w:sz w:val="28"/>
                <w:szCs w:val="28"/>
              </w:rPr>
            </w:pPr>
            <w:r w:rsidRPr="00FE2CB7">
              <w:rPr>
                <w:rFonts w:ascii="標楷體" w:eastAsia="標楷體" w:hAnsi="標楷體" w:hint="eastAsia"/>
                <w:color w:val="000000"/>
                <w:sz w:val="28"/>
                <w:szCs w:val="28"/>
              </w:rPr>
              <w:lastRenderedPageBreak/>
              <w:t>立法院第 111 卷 第 107 期(5078) 公報</w:t>
            </w:r>
          </w:p>
        </w:tc>
      </w:tr>
      <w:tr w:rsidR="00947F23" w:rsidRPr="00947F23" w:rsidTr="005534EB">
        <w:trPr>
          <w:trHeight w:val="567"/>
        </w:trPr>
        <w:tc>
          <w:tcPr>
            <w:tcW w:w="357"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jc w:val="center"/>
              <w:rPr>
                <w:rFonts w:ascii="標楷體" w:eastAsia="標楷體" w:hAnsi="標楷體"/>
                <w:sz w:val="28"/>
              </w:rPr>
            </w:pPr>
            <w:r w:rsidRPr="00947F23">
              <w:rPr>
                <w:rFonts w:ascii="標楷體" w:eastAsia="標楷體" w:hAnsi="標楷體" w:hint="eastAsia"/>
                <w:sz w:val="28"/>
              </w:rPr>
              <w:t>9</w:t>
            </w:r>
          </w:p>
        </w:tc>
        <w:tc>
          <w:tcPr>
            <w:tcW w:w="688"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sz w:val="28"/>
                <w:szCs w:val="28"/>
              </w:rPr>
              <w:t>111.11.21</w:t>
            </w:r>
          </w:p>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(星期一)</w:t>
            </w:r>
          </w:p>
          <w:p w:rsidR="00947F23" w:rsidRPr="00947F23" w:rsidRDefault="00947F23" w:rsidP="00947F23">
            <w:pPr>
              <w:spacing w:line="400" w:lineRule="exact"/>
              <w:rPr>
                <w:rFonts w:ascii="標楷體" w:eastAsia="標楷體" w:hAnsi="標楷體"/>
                <w:sz w:val="28"/>
                <w:szCs w:val="28"/>
              </w:rPr>
            </w:pPr>
          </w:p>
        </w:tc>
        <w:tc>
          <w:tcPr>
            <w:tcW w:w="779"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第9次全體委員會議</w:t>
            </w:r>
          </w:p>
        </w:tc>
        <w:tc>
          <w:tcPr>
            <w:tcW w:w="811"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jc w:val="center"/>
              <w:rPr>
                <w:rFonts w:ascii="標楷體" w:eastAsia="標楷體" w:hAnsi="標楷體"/>
                <w:sz w:val="28"/>
                <w:szCs w:val="28"/>
              </w:rPr>
            </w:pPr>
            <w:r w:rsidRPr="00947F23">
              <w:rPr>
                <w:rFonts w:ascii="標楷體" w:eastAsia="標楷體" w:hAnsi="標楷體" w:hint="eastAsia"/>
                <w:sz w:val="28"/>
                <w:szCs w:val="28"/>
              </w:rPr>
              <w:t>鄭正鈐</w:t>
            </w:r>
          </w:p>
        </w:tc>
        <w:tc>
          <w:tcPr>
            <w:tcW w:w="1436"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邀請國家科學及技術委員會主任委員吳政忠、經濟部部長王美花、衛生福利部部長薛瑞元、數位發展部部長唐鳳列席就「科技會報跨部會署科發基金計畫之各部會歷年執行成效」進行專題報告，並備質詢。</w:t>
            </w:r>
          </w:p>
        </w:tc>
        <w:tc>
          <w:tcPr>
            <w:tcW w:w="929" w:type="pct"/>
            <w:tcBorders>
              <w:top w:val="single" w:sz="4" w:space="0" w:color="auto"/>
              <w:left w:val="single" w:sz="4" w:space="0" w:color="auto"/>
              <w:bottom w:val="single" w:sz="4" w:space="0" w:color="auto"/>
              <w:right w:val="single" w:sz="4" w:space="0" w:color="auto"/>
            </w:tcBorders>
          </w:tcPr>
          <w:p w:rsidR="00947F23" w:rsidRPr="00947F23" w:rsidRDefault="00FE2CB7" w:rsidP="00947F23">
            <w:pPr>
              <w:spacing w:line="400" w:lineRule="exact"/>
              <w:jc w:val="both"/>
              <w:rPr>
                <w:rFonts w:ascii="標楷體" w:eastAsia="標楷體" w:hAnsi="標楷體"/>
                <w:color w:val="000000"/>
                <w:sz w:val="28"/>
                <w:szCs w:val="28"/>
              </w:rPr>
            </w:pPr>
            <w:r w:rsidRPr="00FE2CB7">
              <w:rPr>
                <w:rFonts w:ascii="標楷體" w:eastAsia="標楷體" w:hAnsi="標楷體" w:hint="eastAsia"/>
                <w:color w:val="000000"/>
                <w:sz w:val="28"/>
                <w:szCs w:val="28"/>
              </w:rPr>
              <w:t>立法院第 111 卷 第 109 期(5080) 上 冊公報</w:t>
            </w:r>
          </w:p>
        </w:tc>
      </w:tr>
      <w:tr w:rsidR="00947F23" w:rsidRPr="00947F23" w:rsidTr="005534EB">
        <w:trPr>
          <w:trHeight w:val="567"/>
        </w:trPr>
        <w:tc>
          <w:tcPr>
            <w:tcW w:w="357"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jc w:val="center"/>
              <w:rPr>
                <w:rFonts w:ascii="標楷體" w:eastAsia="標楷體" w:hAnsi="標楷體"/>
                <w:sz w:val="28"/>
              </w:rPr>
            </w:pPr>
            <w:r w:rsidRPr="00947F23">
              <w:rPr>
                <w:rFonts w:ascii="標楷體" w:eastAsia="標楷體" w:hAnsi="標楷體" w:hint="eastAsia"/>
                <w:sz w:val="28"/>
              </w:rPr>
              <w:t>10</w:t>
            </w:r>
          </w:p>
        </w:tc>
        <w:tc>
          <w:tcPr>
            <w:tcW w:w="688"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sz w:val="28"/>
                <w:szCs w:val="28"/>
              </w:rPr>
              <w:t>111.11.23</w:t>
            </w:r>
          </w:p>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(星期三)</w:t>
            </w:r>
          </w:p>
          <w:p w:rsidR="00947F23" w:rsidRPr="00947F23" w:rsidRDefault="00947F23" w:rsidP="00947F23">
            <w:pPr>
              <w:spacing w:line="400" w:lineRule="exact"/>
              <w:rPr>
                <w:rFonts w:ascii="標楷體" w:eastAsia="標楷體" w:hAnsi="標楷體"/>
                <w:sz w:val="28"/>
                <w:szCs w:val="28"/>
              </w:rPr>
            </w:pPr>
          </w:p>
        </w:tc>
        <w:tc>
          <w:tcPr>
            <w:tcW w:w="779" w:type="pct"/>
            <w:tcBorders>
              <w:top w:val="single" w:sz="4" w:space="0" w:color="auto"/>
              <w:left w:val="single" w:sz="4" w:space="0" w:color="auto"/>
              <w:bottom w:val="single" w:sz="4" w:space="0" w:color="auto"/>
              <w:right w:val="single" w:sz="4" w:space="0" w:color="auto"/>
            </w:tcBorders>
          </w:tcPr>
          <w:p w:rsidR="00947F23" w:rsidRPr="00947F23" w:rsidRDefault="00947F23" w:rsidP="00E27492">
            <w:pPr>
              <w:spacing w:line="400" w:lineRule="exact"/>
              <w:jc w:val="both"/>
              <w:rPr>
                <w:rFonts w:ascii="標楷體" w:eastAsia="標楷體" w:hAnsi="標楷體"/>
                <w:sz w:val="28"/>
                <w:szCs w:val="28"/>
              </w:rPr>
            </w:pPr>
            <w:r w:rsidRPr="00947F23">
              <w:rPr>
                <w:rFonts w:ascii="標楷體" w:eastAsia="標楷體" w:hAnsi="標楷體" w:hint="eastAsia"/>
                <w:sz w:val="28"/>
                <w:szCs w:val="28"/>
              </w:rPr>
              <w:t>第10次全體委員會議</w:t>
            </w:r>
          </w:p>
        </w:tc>
        <w:tc>
          <w:tcPr>
            <w:tcW w:w="811"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jc w:val="center"/>
              <w:rPr>
                <w:rFonts w:ascii="標楷體" w:eastAsia="標楷體" w:hAnsi="標楷體"/>
                <w:sz w:val="28"/>
                <w:szCs w:val="28"/>
              </w:rPr>
            </w:pPr>
            <w:r w:rsidRPr="00947F23">
              <w:rPr>
                <w:rFonts w:ascii="標楷體" w:eastAsia="標楷體" w:hAnsi="標楷體" w:hint="eastAsia"/>
                <w:sz w:val="28"/>
                <w:szCs w:val="28"/>
              </w:rPr>
              <w:t>鄭正鈐</w:t>
            </w:r>
          </w:p>
        </w:tc>
        <w:tc>
          <w:tcPr>
            <w:tcW w:w="1436"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一、邀請中央研究院院長廖俊智列席報告業務概況，並備質詢。</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二、審查112年度中央政府總預算案有關中央研究院單位預算案。</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三、審查112年度中央政府總預算案有關中央研究院科學研究基金附屬單位預算案。</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（僅進行詢答，相關提案請於12月1日下午3時前提出）</w:t>
            </w:r>
          </w:p>
        </w:tc>
        <w:tc>
          <w:tcPr>
            <w:tcW w:w="929" w:type="pct"/>
            <w:tcBorders>
              <w:top w:val="single" w:sz="4" w:space="0" w:color="auto"/>
              <w:left w:val="single" w:sz="4" w:space="0" w:color="auto"/>
              <w:bottom w:val="single" w:sz="4" w:space="0" w:color="auto"/>
              <w:right w:val="single" w:sz="4" w:space="0" w:color="auto"/>
            </w:tcBorders>
          </w:tcPr>
          <w:p w:rsidR="00947F23" w:rsidRPr="00947F23" w:rsidRDefault="00FE2CB7" w:rsidP="00947F23">
            <w:pPr>
              <w:spacing w:line="400" w:lineRule="exact"/>
              <w:jc w:val="both"/>
              <w:rPr>
                <w:rFonts w:ascii="標楷體" w:eastAsia="標楷體" w:hAnsi="標楷體"/>
                <w:color w:val="000000"/>
                <w:sz w:val="28"/>
                <w:szCs w:val="28"/>
              </w:rPr>
            </w:pPr>
            <w:r w:rsidRPr="00FE2CB7">
              <w:rPr>
                <w:rFonts w:ascii="標楷體" w:eastAsia="標楷體" w:hAnsi="標楷體" w:hint="eastAsia"/>
                <w:color w:val="000000"/>
                <w:sz w:val="28"/>
                <w:szCs w:val="28"/>
              </w:rPr>
              <w:t>立法院第 111 卷 第 110 期(5081) 下 冊公報</w:t>
            </w:r>
          </w:p>
        </w:tc>
      </w:tr>
      <w:tr w:rsidR="00947F23" w:rsidRPr="00947F23" w:rsidTr="005534EB">
        <w:trPr>
          <w:trHeight w:val="567"/>
        </w:trPr>
        <w:tc>
          <w:tcPr>
            <w:tcW w:w="357"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jc w:val="center"/>
              <w:rPr>
                <w:rFonts w:ascii="標楷體" w:eastAsia="標楷體" w:hAnsi="標楷體"/>
                <w:sz w:val="28"/>
              </w:rPr>
            </w:pPr>
            <w:r w:rsidRPr="00947F23">
              <w:rPr>
                <w:rFonts w:ascii="標楷體" w:eastAsia="標楷體" w:hAnsi="標楷體" w:hint="eastAsia"/>
                <w:sz w:val="28"/>
              </w:rPr>
              <w:t>11</w:t>
            </w:r>
          </w:p>
        </w:tc>
        <w:tc>
          <w:tcPr>
            <w:tcW w:w="688"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sz w:val="28"/>
                <w:szCs w:val="28"/>
              </w:rPr>
              <w:t>111.11.24</w:t>
            </w:r>
          </w:p>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第11次全體委員會議</w:t>
            </w:r>
          </w:p>
        </w:tc>
        <w:tc>
          <w:tcPr>
            <w:tcW w:w="811"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jc w:val="center"/>
              <w:rPr>
                <w:rFonts w:ascii="標楷體" w:eastAsia="標楷體" w:hAnsi="標楷體"/>
                <w:sz w:val="28"/>
                <w:szCs w:val="28"/>
              </w:rPr>
            </w:pPr>
            <w:r w:rsidRPr="00947F23">
              <w:rPr>
                <w:rFonts w:ascii="標楷體" w:eastAsia="標楷體" w:hAnsi="標楷體" w:hint="eastAsia"/>
                <w:sz w:val="28"/>
                <w:szCs w:val="28"/>
              </w:rPr>
              <w:t>鄭正鈐</w:t>
            </w:r>
          </w:p>
        </w:tc>
        <w:tc>
          <w:tcPr>
            <w:tcW w:w="1436"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邀請教育部部長潘文忠列席就「依十二年國教課綱編輯之教科書審查機制相關規範」進行專題報告，並備質詢。</w:t>
            </w:r>
          </w:p>
        </w:tc>
        <w:tc>
          <w:tcPr>
            <w:tcW w:w="929" w:type="pct"/>
            <w:tcBorders>
              <w:top w:val="single" w:sz="4" w:space="0" w:color="auto"/>
              <w:left w:val="single" w:sz="4" w:space="0" w:color="auto"/>
              <w:bottom w:val="single" w:sz="4" w:space="0" w:color="auto"/>
              <w:right w:val="single" w:sz="4" w:space="0" w:color="auto"/>
            </w:tcBorders>
          </w:tcPr>
          <w:p w:rsidR="00947F23" w:rsidRPr="00947F23" w:rsidRDefault="00FE2CB7" w:rsidP="00947F23">
            <w:pPr>
              <w:spacing w:line="400" w:lineRule="exact"/>
              <w:jc w:val="both"/>
              <w:rPr>
                <w:rFonts w:ascii="標楷體" w:eastAsia="標楷體" w:hAnsi="標楷體"/>
                <w:color w:val="000000"/>
                <w:sz w:val="28"/>
                <w:szCs w:val="28"/>
              </w:rPr>
            </w:pPr>
            <w:r w:rsidRPr="00FE2CB7">
              <w:rPr>
                <w:rFonts w:ascii="標楷體" w:eastAsia="標楷體" w:hAnsi="標楷體" w:hint="eastAsia"/>
                <w:color w:val="000000"/>
                <w:sz w:val="28"/>
                <w:szCs w:val="28"/>
              </w:rPr>
              <w:t>立法院第 111 卷 第 111 期(5082) 上 冊公報</w:t>
            </w:r>
          </w:p>
        </w:tc>
      </w:tr>
      <w:tr w:rsidR="00947F23" w:rsidRPr="00947F23" w:rsidTr="005534EB">
        <w:trPr>
          <w:trHeight w:val="567"/>
        </w:trPr>
        <w:tc>
          <w:tcPr>
            <w:tcW w:w="357"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jc w:val="center"/>
              <w:rPr>
                <w:rFonts w:ascii="標楷體" w:eastAsia="標楷體" w:hAnsi="標楷體"/>
                <w:sz w:val="28"/>
              </w:rPr>
            </w:pPr>
            <w:r w:rsidRPr="00947F23">
              <w:rPr>
                <w:rFonts w:ascii="標楷體" w:eastAsia="標楷體" w:hAnsi="標楷體" w:hint="eastAsia"/>
                <w:sz w:val="28"/>
              </w:rPr>
              <w:t>1</w:t>
            </w:r>
            <w:r w:rsidRPr="00947F23">
              <w:rPr>
                <w:rFonts w:ascii="標楷體" w:eastAsia="標楷體" w:hAnsi="標楷體"/>
                <w:sz w:val="28"/>
              </w:rPr>
              <w:t>2</w:t>
            </w:r>
          </w:p>
        </w:tc>
        <w:tc>
          <w:tcPr>
            <w:tcW w:w="688"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sz w:val="28"/>
                <w:szCs w:val="28"/>
              </w:rPr>
              <w:t>111.11.30</w:t>
            </w:r>
          </w:p>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(星期三)</w:t>
            </w:r>
          </w:p>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sz w:val="28"/>
                <w:szCs w:val="28"/>
              </w:rPr>
              <w:t>111.12.1</w:t>
            </w:r>
          </w:p>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lastRenderedPageBreak/>
              <w:t>(星期四)</w:t>
            </w:r>
          </w:p>
        </w:tc>
        <w:tc>
          <w:tcPr>
            <w:tcW w:w="779"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lastRenderedPageBreak/>
              <w:t>第1</w:t>
            </w:r>
            <w:r w:rsidRPr="00947F23">
              <w:rPr>
                <w:rFonts w:ascii="標楷體" w:eastAsia="標楷體" w:hAnsi="標楷體"/>
                <w:sz w:val="28"/>
                <w:szCs w:val="28"/>
              </w:rPr>
              <w:t>2</w:t>
            </w:r>
            <w:r w:rsidRPr="00947F23">
              <w:rPr>
                <w:rFonts w:ascii="標楷體" w:eastAsia="標楷體" w:hAnsi="標楷體" w:hint="eastAsia"/>
                <w:sz w:val="28"/>
                <w:szCs w:val="28"/>
              </w:rPr>
              <w:t>次全體委員會議</w:t>
            </w:r>
          </w:p>
        </w:tc>
        <w:tc>
          <w:tcPr>
            <w:tcW w:w="811"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jc w:val="center"/>
              <w:rPr>
                <w:rFonts w:ascii="標楷體" w:eastAsia="標楷體" w:hAnsi="標楷體"/>
                <w:sz w:val="28"/>
                <w:szCs w:val="28"/>
              </w:rPr>
            </w:pPr>
            <w:r w:rsidRPr="00947F23">
              <w:rPr>
                <w:rFonts w:ascii="標楷體" w:eastAsia="標楷體" w:hAnsi="標楷體" w:hint="eastAsia"/>
                <w:sz w:val="28"/>
                <w:szCs w:val="28"/>
              </w:rPr>
              <w:t>陳秀</w:t>
            </w:r>
          </w:p>
        </w:tc>
        <w:tc>
          <w:tcPr>
            <w:tcW w:w="1436"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(11月</w:t>
            </w:r>
            <w:r w:rsidRPr="00947F23">
              <w:rPr>
                <w:rFonts w:ascii="標楷體" w:eastAsia="標楷體" w:hAnsi="標楷體"/>
                <w:color w:val="000000"/>
                <w:sz w:val="28"/>
                <w:szCs w:val="28"/>
              </w:rPr>
              <w:t>30</w:t>
            </w:r>
            <w:r w:rsidRPr="00947F23">
              <w:rPr>
                <w:rFonts w:ascii="標楷體" w:eastAsia="標楷體" w:hAnsi="標楷體" w:hint="eastAsia"/>
                <w:color w:val="000000"/>
                <w:sz w:val="28"/>
                <w:szCs w:val="28"/>
              </w:rPr>
              <w:t>日上午9時至12時)</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一、邀請行政院原子</w:t>
            </w:r>
            <w:r w:rsidRPr="00947F23">
              <w:rPr>
                <w:rFonts w:ascii="標楷體" w:eastAsia="標楷體" w:hAnsi="標楷體" w:hint="eastAsia"/>
                <w:color w:val="000000"/>
                <w:sz w:val="28"/>
                <w:szCs w:val="28"/>
              </w:rPr>
              <w:lastRenderedPageBreak/>
              <w:t>能委員會主任委員謝曉星列席報告業務概況，並備質詢。</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二、審查112年度中央政府總預算案有關行政院原子能委員會及所屬單位預算案。</w:t>
            </w:r>
          </w:p>
          <w:p w:rsid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三、審查112年度中央政府總預算案有關原子能委員會主管核子事故緊急應變基金附屬單位預算案。（僅進行詢答，相關提案請於12月7日下午3時前提出）</w:t>
            </w:r>
          </w:p>
          <w:p w:rsidR="00947F23" w:rsidRPr="00947F23" w:rsidRDefault="00947F23" w:rsidP="00947F23">
            <w:pPr>
              <w:spacing w:beforeLines="20" w:before="72"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(11月</w:t>
            </w:r>
            <w:r w:rsidRPr="00947F23">
              <w:rPr>
                <w:rFonts w:ascii="標楷體" w:eastAsia="標楷體" w:hAnsi="標楷體"/>
                <w:color w:val="000000"/>
                <w:sz w:val="28"/>
                <w:szCs w:val="28"/>
              </w:rPr>
              <w:t>30</w:t>
            </w:r>
            <w:r w:rsidRPr="00947F23">
              <w:rPr>
                <w:rFonts w:ascii="標楷體" w:eastAsia="標楷體" w:hAnsi="標楷體" w:hint="eastAsia"/>
                <w:color w:val="000000"/>
                <w:sz w:val="28"/>
                <w:szCs w:val="28"/>
              </w:rPr>
              <w:t>日下午</w:t>
            </w:r>
            <w:r>
              <w:rPr>
                <w:rFonts w:ascii="標楷體" w:eastAsia="標楷體" w:hAnsi="標楷體" w:hint="eastAsia"/>
                <w:color w:val="000000"/>
                <w:sz w:val="28"/>
                <w:szCs w:val="28"/>
              </w:rPr>
              <w:t>2</w:t>
            </w:r>
            <w:r w:rsidRPr="00947F23">
              <w:rPr>
                <w:rFonts w:ascii="標楷體" w:eastAsia="標楷體" w:hAnsi="標楷體" w:hint="eastAsia"/>
                <w:color w:val="000000"/>
                <w:sz w:val="28"/>
                <w:szCs w:val="28"/>
              </w:rPr>
              <w:t>時至</w:t>
            </w:r>
            <w:r>
              <w:rPr>
                <w:rFonts w:ascii="標楷體" w:eastAsia="標楷體" w:hAnsi="標楷體" w:hint="eastAsia"/>
                <w:color w:val="000000"/>
                <w:sz w:val="28"/>
                <w:szCs w:val="28"/>
              </w:rPr>
              <w:t>5</w:t>
            </w:r>
            <w:r w:rsidRPr="00947F23">
              <w:rPr>
                <w:rFonts w:ascii="標楷體" w:eastAsia="標楷體" w:hAnsi="標楷體" w:hint="eastAsia"/>
                <w:color w:val="000000"/>
                <w:sz w:val="28"/>
                <w:szCs w:val="28"/>
              </w:rPr>
              <w:t>時30分)</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一、繼續審查112年度中央政府總預算案有關國立故宮博物院單位預算案。</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二、繼續審查112年度中央政府總預算案有關國立故宮博物院主管故宮文物藝術發展基金附屬單位預算案。</w:t>
            </w:r>
          </w:p>
          <w:p w:rsidR="00947F23" w:rsidRPr="00947F23" w:rsidRDefault="00947F23" w:rsidP="00947F23">
            <w:pPr>
              <w:spacing w:beforeLines="30" w:before="108"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(1</w:t>
            </w:r>
            <w:r w:rsidRPr="00947F23">
              <w:rPr>
                <w:rFonts w:ascii="標楷體" w:eastAsia="標楷體" w:hAnsi="標楷體"/>
                <w:color w:val="000000"/>
                <w:sz w:val="28"/>
                <w:szCs w:val="28"/>
              </w:rPr>
              <w:t>2</w:t>
            </w:r>
            <w:r w:rsidRPr="00947F23">
              <w:rPr>
                <w:rFonts w:ascii="標楷體" w:eastAsia="標楷體" w:hAnsi="標楷體" w:hint="eastAsia"/>
                <w:color w:val="000000"/>
                <w:sz w:val="28"/>
                <w:szCs w:val="28"/>
              </w:rPr>
              <w:t>月1日)</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一、審查(一)行政院函請審議「國民教育法修正草案」案。(二)委員張育美等17人擬具「國民教育法第二條、第三條及第六條條文修正草案」</w:t>
            </w:r>
            <w:r w:rsidRPr="00947F23">
              <w:rPr>
                <w:rFonts w:ascii="標楷體" w:eastAsia="標楷體" w:hAnsi="標楷體" w:hint="eastAsia"/>
                <w:color w:val="000000"/>
                <w:sz w:val="28"/>
                <w:szCs w:val="28"/>
              </w:rPr>
              <w:lastRenderedPageBreak/>
              <w:t>案。(三)委員廖婉汝等22人擬具「國民教育法第二條、第三條及第六條條文修正草案」案。(四)委員賴品妤等16人擬具「國民教育法第八條之二及第八條之三條文修正草案」案。(五)委員賴品妤等16人擬具「國民教育法第二十條之一條文修正草案」案。(六)委員陳玉珍等18人擬具「國民教育法第二條、第三條及第六條條文修正草案」案。(七)委員何志偉等22人擬具「國民教育法修正草案」案。(八)委員陳秀寳等</w:t>
            </w:r>
            <w:r w:rsidRPr="00947F23">
              <w:rPr>
                <w:rFonts w:ascii="標楷體" w:eastAsia="標楷體" w:hAnsi="標楷體"/>
                <w:color w:val="000000"/>
                <w:sz w:val="28"/>
                <w:szCs w:val="28"/>
              </w:rPr>
              <w:t>20</w:t>
            </w:r>
            <w:r w:rsidRPr="00947F23">
              <w:rPr>
                <w:rFonts w:ascii="標楷體" w:eastAsia="標楷體" w:hAnsi="標楷體" w:hint="eastAsia"/>
                <w:color w:val="000000"/>
                <w:sz w:val="28"/>
                <w:szCs w:val="28"/>
              </w:rPr>
              <w:t>人擬具「國民教育法修正草案」案。</w:t>
            </w:r>
            <w:r w:rsidRPr="00947F23">
              <w:rPr>
                <w:rFonts w:ascii="標楷體" w:eastAsia="標楷體" w:hAnsi="標楷體"/>
                <w:color w:val="000000"/>
                <w:sz w:val="28"/>
                <w:szCs w:val="28"/>
              </w:rPr>
              <w:t>(</w:t>
            </w:r>
            <w:r w:rsidRPr="00947F23">
              <w:rPr>
                <w:rFonts w:ascii="標楷體" w:eastAsia="標楷體" w:hAnsi="標楷體" w:hint="eastAsia"/>
                <w:color w:val="000000"/>
                <w:sz w:val="28"/>
                <w:szCs w:val="28"/>
              </w:rPr>
              <w:t>九</w:t>
            </w:r>
            <w:r w:rsidRPr="00947F23">
              <w:rPr>
                <w:rFonts w:ascii="標楷體" w:eastAsia="標楷體" w:hAnsi="標楷體"/>
                <w:color w:val="000000"/>
                <w:sz w:val="28"/>
                <w:szCs w:val="28"/>
              </w:rPr>
              <w:t>)</w:t>
            </w:r>
            <w:r w:rsidRPr="00947F23">
              <w:rPr>
                <w:rFonts w:ascii="標楷體" w:eastAsia="標楷體" w:hAnsi="標楷體" w:hint="eastAsia"/>
                <w:color w:val="000000"/>
                <w:sz w:val="28"/>
                <w:szCs w:val="28"/>
              </w:rPr>
              <w:t>委員林文瑞等</w:t>
            </w:r>
            <w:r w:rsidRPr="00947F23">
              <w:rPr>
                <w:rFonts w:ascii="標楷體" w:eastAsia="標楷體" w:hAnsi="標楷體"/>
                <w:color w:val="000000"/>
                <w:sz w:val="28"/>
                <w:szCs w:val="28"/>
              </w:rPr>
              <w:t>16</w:t>
            </w:r>
            <w:r w:rsidRPr="00947F23">
              <w:rPr>
                <w:rFonts w:ascii="標楷體" w:eastAsia="標楷體" w:hAnsi="標楷體" w:hint="eastAsia"/>
                <w:color w:val="000000"/>
                <w:sz w:val="28"/>
                <w:szCs w:val="28"/>
              </w:rPr>
              <w:t>人擬具「國民教育法第八條之一條文修正草案」案。</w:t>
            </w:r>
            <w:r w:rsidRPr="00947F23">
              <w:rPr>
                <w:rFonts w:ascii="標楷體" w:eastAsia="標楷體" w:hAnsi="標楷體"/>
                <w:color w:val="000000"/>
                <w:sz w:val="28"/>
                <w:szCs w:val="28"/>
              </w:rPr>
              <w:t>(</w:t>
            </w:r>
            <w:r w:rsidRPr="00947F23">
              <w:rPr>
                <w:rFonts w:ascii="標楷體" w:eastAsia="標楷體" w:hAnsi="標楷體" w:hint="eastAsia"/>
                <w:color w:val="000000"/>
                <w:sz w:val="28"/>
                <w:szCs w:val="28"/>
              </w:rPr>
              <w:t>十</w:t>
            </w:r>
            <w:r w:rsidRPr="00947F23">
              <w:rPr>
                <w:rFonts w:ascii="標楷體" w:eastAsia="標楷體" w:hAnsi="標楷體"/>
                <w:color w:val="000000"/>
                <w:sz w:val="28"/>
                <w:szCs w:val="28"/>
              </w:rPr>
              <w:t>)</w:t>
            </w:r>
            <w:r w:rsidRPr="00947F23">
              <w:rPr>
                <w:rFonts w:ascii="標楷體" w:eastAsia="標楷體" w:hAnsi="標楷體" w:hint="eastAsia"/>
                <w:color w:val="000000"/>
                <w:sz w:val="28"/>
                <w:szCs w:val="28"/>
              </w:rPr>
              <w:t>委員黃國書等</w:t>
            </w:r>
            <w:r w:rsidRPr="00947F23">
              <w:rPr>
                <w:rFonts w:ascii="標楷體" w:eastAsia="標楷體" w:hAnsi="標楷體"/>
                <w:color w:val="000000"/>
                <w:sz w:val="28"/>
                <w:szCs w:val="28"/>
              </w:rPr>
              <w:t>17</w:t>
            </w:r>
            <w:r w:rsidRPr="00947F23">
              <w:rPr>
                <w:rFonts w:ascii="標楷體" w:eastAsia="標楷體" w:hAnsi="標楷體" w:hint="eastAsia"/>
                <w:color w:val="000000"/>
                <w:sz w:val="28"/>
                <w:szCs w:val="28"/>
              </w:rPr>
              <w:t>人擬具「國民教育法修正草案」案。</w:t>
            </w:r>
            <w:r w:rsidRPr="00947F23">
              <w:rPr>
                <w:rFonts w:ascii="標楷體" w:eastAsia="標楷體" w:hAnsi="標楷體"/>
                <w:color w:val="000000"/>
                <w:sz w:val="28"/>
                <w:szCs w:val="28"/>
              </w:rPr>
              <w:t>(</w:t>
            </w:r>
            <w:r w:rsidRPr="00947F23">
              <w:rPr>
                <w:rFonts w:ascii="標楷體" w:eastAsia="標楷體" w:hAnsi="標楷體" w:hint="eastAsia"/>
                <w:color w:val="000000"/>
                <w:sz w:val="28"/>
                <w:szCs w:val="28"/>
              </w:rPr>
              <w:t>十一</w:t>
            </w:r>
            <w:r w:rsidRPr="00947F23">
              <w:rPr>
                <w:rFonts w:ascii="標楷體" w:eastAsia="標楷體" w:hAnsi="標楷體"/>
                <w:color w:val="000000"/>
                <w:sz w:val="28"/>
                <w:szCs w:val="28"/>
              </w:rPr>
              <w:t>)</w:t>
            </w:r>
            <w:r w:rsidRPr="00947F23">
              <w:rPr>
                <w:rFonts w:ascii="標楷體" w:eastAsia="標楷體" w:hAnsi="標楷體" w:hint="eastAsia"/>
                <w:color w:val="000000"/>
                <w:sz w:val="28"/>
                <w:szCs w:val="28"/>
              </w:rPr>
              <w:t>委員馬文君等</w:t>
            </w:r>
            <w:r w:rsidRPr="00947F23">
              <w:rPr>
                <w:rFonts w:ascii="標楷體" w:eastAsia="標楷體" w:hAnsi="標楷體"/>
                <w:color w:val="000000"/>
                <w:sz w:val="28"/>
                <w:szCs w:val="28"/>
              </w:rPr>
              <w:t>16</w:t>
            </w:r>
            <w:r w:rsidRPr="00947F23">
              <w:rPr>
                <w:rFonts w:ascii="標楷體" w:eastAsia="標楷體" w:hAnsi="標楷體" w:hint="eastAsia"/>
                <w:color w:val="000000"/>
                <w:sz w:val="28"/>
                <w:szCs w:val="28"/>
              </w:rPr>
              <w:t>人擬具「國民教育法第八條之三條文修正草案」案。</w:t>
            </w:r>
            <w:r w:rsidRPr="00947F23">
              <w:rPr>
                <w:rFonts w:ascii="標楷體" w:eastAsia="標楷體" w:hAnsi="標楷體"/>
                <w:color w:val="000000"/>
                <w:sz w:val="28"/>
                <w:szCs w:val="28"/>
              </w:rPr>
              <w:t>(</w:t>
            </w:r>
            <w:r w:rsidRPr="00947F23">
              <w:rPr>
                <w:rFonts w:ascii="標楷體" w:eastAsia="標楷體" w:hAnsi="標楷體" w:hint="eastAsia"/>
                <w:color w:val="000000"/>
                <w:sz w:val="28"/>
                <w:szCs w:val="28"/>
              </w:rPr>
              <w:t>十二</w:t>
            </w:r>
            <w:r w:rsidRPr="00947F23">
              <w:rPr>
                <w:rFonts w:ascii="標楷體" w:eastAsia="標楷體" w:hAnsi="標楷體"/>
                <w:color w:val="000000"/>
                <w:sz w:val="28"/>
                <w:szCs w:val="28"/>
              </w:rPr>
              <w:t>)</w:t>
            </w:r>
            <w:r w:rsidRPr="00947F23">
              <w:rPr>
                <w:rFonts w:ascii="標楷體" w:eastAsia="標楷體" w:hAnsi="標楷體" w:hint="eastAsia"/>
                <w:color w:val="000000"/>
                <w:sz w:val="28"/>
                <w:szCs w:val="28"/>
              </w:rPr>
              <w:t>委員吳思瑤等</w:t>
            </w:r>
            <w:r w:rsidRPr="00947F23">
              <w:rPr>
                <w:rFonts w:ascii="標楷體" w:eastAsia="標楷體" w:hAnsi="標楷體"/>
                <w:color w:val="000000"/>
                <w:sz w:val="28"/>
                <w:szCs w:val="28"/>
              </w:rPr>
              <w:t>16</w:t>
            </w:r>
            <w:r w:rsidRPr="00947F23">
              <w:rPr>
                <w:rFonts w:ascii="標楷體" w:eastAsia="標楷體" w:hAnsi="標楷體" w:hint="eastAsia"/>
                <w:color w:val="000000"/>
                <w:sz w:val="28"/>
                <w:szCs w:val="28"/>
              </w:rPr>
              <w:t>人擬具「國民教育法第二十條之一</w:t>
            </w:r>
            <w:r w:rsidRPr="00947F23">
              <w:rPr>
                <w:rFonts w:ascii="標楷體" w:eastAsia="標楷體" w:hAnsi="標楷體" w:hint="eastAsia"/>
                <w:color w:val="000000"/>
                <w:sz w:val="28"/>
                <w:szCs w:val="28"/>
              </w:rPr>
              <w:lastRenderedPageBreak/>
              <w:t>條文修正草案」案。</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二、處理教育部函為111年度中央政府總預算決議，檢送國民及學前教育署「國民及學前教育」繼續凍結1,000萬元專案報告，請查照案。(第一案僅進行詢答)</w:t>
            </w:r>
          </w:p>
        </w:tc>
        <w:tc>
          <w:tcPr>
            <w:tcW w:w="929" w:type="pct"/>
            <w:tcBorders>
              <w:top w:val="single" w:sz="4" w:space="0" w:color="auto"/>
              <w:left w:val="single" w:sz="4" w:space="0" w:color="auto"/>
              <w:bottom w:val="single" w:sz="4" w:space="0" w:color="auto"/>
              <w:right w:val="single" w:sz="4" w:space="0" w:color="auto"/>
            </w:tcBorders>
          </w:tcPr>
          <w:p w:rsidR="00947F23" w:rsidRDefault="00D77ABD" w:rsidP="00947F23">
            <w:pPr>
              <w:spacing w:line="400" w:lineRule="exact"/>
              <w:jc w:val="both"/>
              <w:rPr>
                <w:rFonts w:ascii="標楷體" w:eastAsia="標楷體" w:hAnsi="標楷體"/>
                <w:color w:val="000000"/>
                <w:sz w:val="28"/>
                <w:szCs w:val="28"/>
              </w:rPr>
            </w:pPr>
            <w:r w:rsidRPr="00D77ABD">
              <w:rPr>
                <w:rFonts w:ascii="標楷體" w:eastAsia="標楷體" w:hAnsi="標楷體" w:hint="eastAsia"/>
                <w:color w:val="000000"/>
                <w:sz w:val="28"/>
                <w:szCs w:val="28"/>
              </w:rPr>
              <w:lastRenderedPageBreak/>
              <w:t>立法院第 111 卷 第 114 期(5085) 下 冊</w:t>
            </w:r>
            <w:r w:rsidRPr="00D77ABD">
              <w:rPr>
                <w:rFonts w:ascii="標楷體" w:eastAsia="標楷體" w:hAnsi="標楷體" w:hint="eastAsia"/>
                <w:color w:val="000000"/>
                <w:sz w:val="28"/>
                <w:szCs w:val="28"/>
              </w:rPr>
              <w:lastRenderedPageBreak/>
              <w:t>公報</w:t>
            </w:r>
          </w:p>
          <w:p w:rsidR="00944F13" w:rsidRDefault="00944F13" w:rsidP="00947F23">
            <w:pPr>
              <w:spacing w:line="400" w:lineRule="exact"/>
              <w:jc w:val="both"/>
              <w:rPr>
                <w:rFonts w:ascii="標楷體" w:eastAsia="標楷體" w:hAnsi="標楷體"/>
                <w:color w:val="000000"/>
                <w:sz w:val="28"/>
                <w:szCs w:val="28"/>
              </w:rPr>
            </w:pPr>
          </w:p>
          <w:p w:rsidR="00944F13" w:rsidRDefault="00944F13" w:rsidP="00947F23">
            <w:pPr>
              <w:spacing w:line="400" w:lineRule="exact"/>
              <w:jc w:val="both"/>
              <w:rPr>
                <w:rFonts w:ascii="標楷體" w:eastAsia="標楷體" w:hAnsi="標楷體"/>
                <w:color w:val="000000"/>
                <w:sz w:val="28"/>
                <w:szCs w:val="28"/>
              </w:rPr>
            </w:pPr>
          </w:p>
          <w:p w:rsidR="00944F13" w:rsidRDefault="00944F13" w:rsidP="00947F23">
            <w:pPr>
              <w:spacing w:line="400" w:lineRule="exact"/>
              <w:jc w:val="both"/>
              <w:rPr>
                <w:rFonts w:ascii="標楷體" w:eastAsia="標楷體" w:hAnsi="標楷體"/>
                <w:color w:val="000000"/>
                <w:sz w:val="28"/>
                <w:szCs w:val="28"/>
              </w:rPr>
            </w:pPr>
          </w:p>
          <w:p w:rsidR="00944F13" w:rsidRDefault="00944F13" w:rsidP="00947F23">
            <w:pPr>
              <w:spacing w:line="400" w:lineRule="exact"/>
              <w:jc w:val="both"/>
              <w:rPr>
                <w:rFonts w:ascii="標楷體" w:eastAsia="標楷體" w:hAnsi="標楷體"/>
                <w:color w:val="000000"/>
                <w:sz w:val="28"/>
                <w:szCs w:val="28"/>
              </w:rPr>
            </w:pPr>
          </w:p>
          <w:p w:rsidR="00944F13" w:rsidRDefault="00944F13" w:rsidP="00947F23">
            <w:pPr>
              <w:spacing w:line="400" w:lineRule="exact"/>
              <w:jc w:val="both"/>
              <w:rPr>
                <w:rFonts w:ascii="標楷體" w:eastAsia="標楷體" w:hAnsi="標楷體"/>
                <w:color w:val="000000"/>
                <w:sz w:val="28"/>
                <w:szCs w:val="28"/>
              </w:rPr>
            </w:pPr>
          </w:p>
          <w:p w:rsidR="00944F13" w:rsidRDefault="00944F13" w:rsidP="00947F23">
            <w:pPr>
              <w:spacing w:line="400" w:lineRule="exact"/>
              <w:jc w:val="both"/>
              <w:rPr>
                <w:rFonts w:ascii="標楷體" w:eastAsia="標楷體" w:hAnsi="標楷體"/>
                <w:color w:val="000000"/>
                <w:sz w:val="28"/>
                <w:szCs w:val="28"/>
              </w:rPr>
            </w:pPr>
          </w:p>
          <w:p w:rsidR="00944F13" w:rsidRDefault="00944F13" w:rsidP="00947F23">
            <w:pPr>
              <w:spacing w:line="400" w:lineRule="exact"/>
              <w:jc w:val="both"/>
              <w:rPr>
                <w:rFonts w:ascii="標楷體" w:eastAsia="標楷體" w:hAnsi="標楷體"/>
                <w:color w:val="000000"/>
                <w:sz w:val="28"/>
                <w:szCs w:val="28"/>
              </w:rPr>
            </w:pPr>
          </w:p>
          <w:p w:rsidR="00944F13" w:rsidRDefault="00944F13" w:rsidP="00947F23">
            <w:pPr>
              <w:spacing w:line="400" w:lineRule="exact"/>
              <w:jc w:val="both"/>
              <w:rPr>
                <w:rFonts w:ascii="標楷體" w:eastAsia="標楷體" w:hAnsi="標楷體"/>
                <w:color w:val="000000"/>
                <w:sz w:val="28"/>
                <w:szCs w:val="28"/>
              </w:rPr>
            </w:pPr>
          </w:p>
          <w:p w:rsidR="00944F13" w:rsidRDefault="00944F13" w:rsidP="00947F23">
            <w:pPr>
              <w:spacing w:line="400" w:lineRule="exact"/>
              <w:jc w:val="both"/>
              <w:rPr>
                <w:rFonts w:ascii="標楷體" w:eastAsia="標楷體" w:hAnsi="標楷體"/>
                <w:color w:val="000000"/>
                <w:sz w:val="28"/>
                <w:szCs w:val="28"/>
              </w:rPr>
            </w:pPr>
          </w:p>
          <w:p w:rsidR="00944F13" w:rsidRDefault="00944F13" w:rsidP="00947F23">
            <w:pPr>
              <w:spacing w:line="400" w:lineRule="exact"/>
              <w:jc w:val="both"/>
              <w:rPr>
                <w:rFonts w:ascii="標楷體" w:eastAsia="標楷體" w:hAnsi="標楷體"/>
                <w:color w:val="000000"/>
                <w:sz w:val="28"/>
                <w:szCs w:val="28"/>
              </w:rPr>
            </w:pPr>
          </w:p>
          <w:p w:rsidR="00944F13" w:rsidRDefault="00944F13" w:rsidP="00947F23">
            <w:pPr>
              <w:spacing w:line="400" w:lineRule="exact"/>
              <w:jc w:val="both"/>
              <w:rPr>
                <w:rFonts w:ascii="標楷體" w:eastAsia="標楷體" w:hAnsi="標楷體"/>
                <w:color w:val="000000"/>
                <w:sz w:val="28"/>
                <w:szCs w:val="28"/>
              </w:rPr>
            </w:pPr>
          </w:p>
          <w:p w:rsidR="00944F13" w:rsidRDefault="00944F13" w:rsidP="00947F23">
            <w:pPr>
              <w:spacing w:line="400" w:lineRule="exact"/>
              <w:jc w:val="both"/>
              <w:rPr>
                <w:rFonts w:ascii="標楷體" w:eastAsia="標楷體" w:hAnsi="標楷體"/>
                <w:color w:val="000000"/>
                <w:sz w:val="28"/>
                <w:szCs w:val="28"/>
              </w:rPr>
            </w:pPr>
          </w:p>
          <w:p w:rsidR="00944F13" w:rsidRDefault="00944F13" w:rsidP="00947F23">
            <w:pPr>
              <w:spacing w:line="400" w:lineRule="exact"/>
              <w:jc w:val="both"/>
              <w:rPr>
                <w:rFonts w:ascii="標楷體" w:eastAsia="標楷體" w:hAnsi="標楷體"/>
                <w:color w:val="000000"/>
                <w:sz w:val="28"/>
                <w:szCs w:val="28"/>
              </w:rPr>
            </w:pPr>
          </w:p>
          <w:p w:rsidR="00944F13" w:rsidRDefault="00944F13" w:rsidP="00947F23">
            <w:pPr>
              <w:spacing w:line="400" w:lineRule="exact"/>
              <w:jc w:val="both"/>
              <w:rPr>
                <w:rFonts w:ascii="標楷體" w:eastAsia="標楷體" w:hAnsi="標楷體"/>
                <w:color w:val="000000"/>
                <w:sz w:val="28"/>
                <w:szCs w:val="28"/>
              </w:rPr>
            </w:pPr>
          </w:p>
          <w:p w:rsidR="00944F13" w:rsidRDefault="00944F13" w:rsidP="00947F23">
            <w:pPr>
              <w:spacing w:line="400" w:lineRule="exact"/>
              <w:jc w:val="both"/>
              <w:rPr>
                <w:rFonts w:ascii="標楷體" w:eastAsia="標楷體" w:hAnsi="標楷體"/>
                <w:color w:val="000000"/>
                <w:sz w:val="28"/>
                <w:szCs w:val="28"/>
              </w:rPr>
            </w:pPr>
          </w:p>
          <w:p w:rsidR="00944F13" w:rsidRDefault="00944F13" w:rsidP="00947F23">
            <w:pPr>
              <w:spacing w:line="400" w:lineRule="exact"/>
              <w:jc w:val="both"/>
              <w:rPr>
                <w:rFonts w:ascii="標楷體" w:eastAsia="標楷體" w:hAnsi="標楷體"/>
                <w:color w:val="000000"/>
                <w:sz w:val="28"/>
                <w:szCs w:val="28"/>
              </w:rPr>
            </w:pPr>
          </w:p>
          <w:p w:rsidR="00944F13" w:rsidRDefault="00944F13" w:rsidP="00947F23">
            <w:pPr>
              <w:spacing w:line="400" w:lineRule="exact"/>
              <w:jc w:val="both"/>
              <w:rPr>
                <w:rFonts w:ascii="標楷體" w:eastAsia="標楷體" w:hAnsi="標楷體"/>
                <w:color w:val="000000"/>
                <w:sz w:val="28"/>
                <w:szCs w:val="28"/>
              </w:rPr>
            </w:pPr>
          </w:p>
          <w:p w:rsidR="00944F13" w:rsidRDefault="00944F13" w:rsidP="00947F23">
            <w:pPr>
              <w:spacing w:line="400" w:lineRule="exact"/>
              <w:jc w:val="both"/>
              <w:rPr>
                <w:rFonts w:ascii="標楷體" w:eastAsia="標楷體" w:hAnsi="標楷體"/>
                <w:color w:val="000000"/>
                <w:sz w:val="28"/>
                <w:szCs w:val="28"/>
              </w:rPr>
            </w:pPr>
          </w:p>
          <w:p w:rsidR="00944F13" w:rsidRDefault="00944F13" w:rsidP="00947F23">
            <w:pPr>
              <w:spacing w:line="400" w:lineRule="exact"/>
              <w:jc w:val="both"/>
              <w:rPr>
                <w:rFonts w:ascii="標楷體" w:eastAsia="標楷體" w:hAnsi="標楷體"/>
                <w:color w:val="000000"/>
                <w:sz w:val="28"/>
                <w:szCs w:val="28"/>
              </w:rPr>
            </w:pPr>
          </w:p>
          <w:p w:rsidR="00944F13" w:rsidRDefault="00944F13" w:rsidP="00947F23">
            <w:pPr>
              <w:spacing w:line="400" w:lineRule="exact"/>
              <w:jc w:val="both"/>
              <w:rPr>
                <w:rFonts w:ascii="標楷體" w:eastAsia="標楷體" w:hAnsi="標楷體"/>
                <w:color w:val="000000"/>
                <w:sz w:val="28"/>
                <w:szCs w:val="28"/>
              </w:rPr>
            </w:pPr>
          </w:p>
          <w:p w:rsidR="00944F13" w:rsidRDefault="00944F13" w:rsidP="00947F23">
            <w:pPr>
              <w:spacing w:line="400" w:lineRule="exact"/>
              <w:jc w:val="both"/>
              <w:rPr>
                <w:rFonts w:ascii="標楷體" w:eastAsia="標楷體" w:hAnsi="標楷體"/>
                <w:color w:val="000000"/>
                <w:sz w:val="28"/>
                <w:szCs w:val="28"/>
              </w:rPr>
            </w:pPr>
          </w:p>
          <w:p w:rsidR="00944F13" w:rsidRDefault="00944F13" w:rsidP="00947F23">
            <w:pPr>
              <w:spacing w:line="400" w:lineRule="exact"/>
              <w:jc w:val="both"/>
              <w:rPr>
                <w:rFonts w:ascii="標楷體" w:eastAsia="標楷體" w:hAnsi="標楷體"/>
                <w:color w:val="000000"/>
                <w:sz w:val="28"/>
                <w:szCs w:val="28"/>
              </w:rPr>
            </w:pPr>
          </w:p>
          <w:p w:rsidR="00944F13" w:rsidRDefault="00944F13" w:rsidP="00947F23">
            <w:pPr>
              <w:spacing w:line="400" w:lineRule="exact"/>
              <w:jc w:val="both"/>
              <w:rPr>
                <w:rFonts w:ascii="標楷體" w:eastAsia="標楷體" w:hAnsi="標楷體"/>
                <w:color w:val="000000"/>
                <w:sz w:val="28"/>
                <w:szCs w:val="28"/>
              </w:rPr>
            </w:pPr>
          </w:p>
          <w:p w:rsidR="00944F13" w:rsidRDefault="00944F13" w:rsidP="00947F23">
            <w:pPr>
              <w:spacing w:line="400" w:lineRule="exact"/>
              <w:jc w:val="both"/>
              <w:rPr>
                <w:rFonts w:ascii="標楷體" w:eastAsia="標楷體" w:hAnsi="標楷體"/>
                <w:color w:val="000000"/>
                <w:sz w:val="28"/>
                <w:szCs w:val="28"/>
              </w:rPr>
            </w:pPr>
          </w:p>
          <w:p w:rsidR="00944F13" w:rsidRDefault="00944F13" w:rsidP="00947F23">
            <w:pPr>
              <w:spacing w:line="400" w:lineRule="exact"/>
              <w:jc w:val="both"/>
              <w:rPr>
                <w:rFonts w:ascii="標楷體" w:eastAsia="標楷體" w:hAnsi="標楷體"/>
                <w:color w:val="000000"/>
                <w:sz w:val="28"/>
                <w:szCs w:val="28"/>
              </w:rPr>
            </w:pPr>
          </w:p>
          <w:p w:rsidR="00944F13" w:rsidRDefault="00944F13" w:rsidP="00947F23">
            <w:pPr>
              <w:spacing w:line="400" w:lineRule="exact"/>
              <w:jc w:val="both"/>
              <w:rPr>
                <w:rFonts w:ascii="標楷體" w:eastAsia="標楷體" w:hAnsi="標楷體"/>
                <w:color w:val="000000"/>
                <w:sz w:val="28"/>
                <w:szCs w:val="28"/>
              </w:rPr>
            </w:pPr>
          </w:p>
          <w:p w:rsidR="00944F13" w:rsidRDefault="00944F13" w:rsidP="00947F23">
            <w:pPr>
              <w:spacing w:line="400" w:lineRule="exact"/>
              <w:jc w:val="both"/>
              <w:rPr>
                <w:rFonts w:ascii="標楷體" w:eastAsia="標楷體" w:hAnsi="標楷體"/>
                <w:color w:val="000000"/>
                <w:sz w:val="28"/>
                <w:szCs w:val="28"/>
              </w:rPr>
            </w:pPr>
          </w:p>
          <w:p w:rsidR="00944F13" w:rsidRDefault="00944F13" w:rsidP="00947F23">
            <w:pPr>
              <w:spacing w:line="400" w:lineRule="exact"/>
              <w:jc w:val="both"/>
              <w:rPr>
                <w:rFonts w:ascii="標楷體" w:eastAsia="標楷體" w:hAnsi="標楷體"/>
                <w:color w:val="000000"/>
                <w:sz w:val="28"/>
                <w:szCs w:val="28"/>
              </w:rPr>
            </w:pPr>
          </w:p>
          <w:p w:rsidR="00944F13" w:rsidRDefault="00944F13" w:rsidP="00947F23">
            <w:pPr>
              <w:spacing w:line="400" w:lineRule="exact"/>
              <w:jc w:val="both"/>
              <w:rPr>
                <w:rFonts w:ascii="標楷體" w:eastAsia="標楷體" w:hAnsi="標楷體"/>
                <w:color w:val="000000"/>
                <w:sz w:val="28"/>
                <w:szCs w:val="28"/>
              </w:rPr>
            </w:pPr>
          </w:p>
          <w:p w:rsidR="00944F13" w:rsidRDefault="00944F13" w:rsidP="00947F23">
            <w:pPr>
              <w:spacing w:line="400" w:lineRule="exact"/>
              <w:jc w:val="both"/>
              <w:rPr>
                <w:rFonts w:ascii="標楷體" w:eastAsia="標楷體" w:hAnsi="標楷體"/>
                <w:color w:val="000000"/>
                <w:sz w:val="28"/>
                <w:szCs w:val="28"/>
              </w:rPr>
            </w:pPr>
          </w:p>
          <w:p w:rsidR="00944F13" w:rsidRDefault="00944F13" w:rsidP="00947F23">
            <w:pPr>
              <w:spacing w:line="400" w:lineRule="exact"/>
              <w:jc w:val="both"/>
              <w:rPr>
                <w:rFonts w:ascii="標楷體" w:eastAsia="標楷體" w:hAnsi="標楷體"/>
                <w:color w:val="000000"/>
                <w:sz w:val="28"/>
                <w:szCs w:val="28"/>
              </w:rPr>
            </w:pPr>
          </w:p>
          <w:p w:rsidR="00944F13" w:rsidRDefault="00944F13" w:rsidP="00947F23">
            <w:pPr>
              <w:spacing w:line="400" w:lineRule="exact"/>
              <w:jc w:val="both"/>
              <w:rPr>
                <w:rFonts w:ascii="標楷體" w:eastAsia="標楷體" w:hAnsi="標楷體"/>
                <w:color w:val="000000"/>
                <w:sz w:val="28"/>
                <w:szCs w:val="28"/>
              </w:rPr>
            </w:pPr>
          </w:p>
          <w:p w:rsidR="00944F13" w:rsidRDefault="00944F13" w:rsidP="00947F23">
            <w:pPr>
              <w:spacing w:line="400" w:lineRule="exact"/>
              <w:jc w:val="both"/>
              <w:rPr>
                <w:rFonts w:ascii="標楷體" w:eastAsia="標楷體" w:hAnsi="標楷體"/>
                <w:color w:val="000000"/>
                <w:sz w:val="28"/>
                <w:szCs w:val="28"/>
              </w:rPr>
            </w:pPr>
          </w:p>
          <w:p w:rsidR="00944F13" w:rsidRDefault="00944F13" w:rsidP="00947F23">
            <w:pPr>
              <w:spacing w:line="400" w:lineRule="exact"/>
              <w:jc w:val="both"/>
              <w:rPr>
                <w:rFonts w:ascii="標楷體" w:eastAsia="標楷體" w:hAnsi="標楷體"/>
                <w:color w:val="000000"/>
                <w:sz w:val="28"/>
                <w:szCs w:val="28"/>
              </w:rPr>
            </w:pPr>
          </w:p>
          <w:p w:rsidR="00944F13" w:rsidRPr="00947F23" w:rsidRDefault="00944F13" w:rsidP="00947F23">
            <w:pPr>
              <w:spacing w:line="400" w:lineRule="exact"/>
              <w:jc w:val="both"/>
              <w:rPr>
                <w:rFonts w:ascii="標楷體" w:eastAsia="標楷體" w:hAnsi="標楷體"/>
                <w:color w:val="000000"/>
                <w:sz w:val="28"/>
                <w:szCs w:val="28"/>
              </w:rPr>
            </w:pPr>
          </w:p>
        </w:tc>
      </w:tr>
      <w:tr w:rsidR="00947F23" w:rsidRPr="00947F23" w:rsidTr="005534EB">
        <w:trPr>
          <w:trHeight w:val="567"/>
        </w:trPr>
        <w:tc>
          <w:tcPr>
            <w:tcW w:w="357"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jc w:val="center"/>
              <w:rPr>
                <w:rFonts w:ascii="標楷體" w:eastAsia="標楷體" w:hAnsi="標楷體"/>
                <w:sz w:val="28"/>
              </w:rPr>
            </w:pPr>
            <w:r w:rsidRPr="00947F23">
              <w:rPr>
                <w:rFonts w:ascii="標楷體" w:eastAsia="標楷體" w:hAnsi="標楷體" w:hint="eastAsia"/>
                <w:sz w:val="28"/>
              </w:rPr>
              <w:lastRenderedPageBreak/>
              <w:t>13</w:t>
            </w:r>
          </w:p>
        </w:tc>
        <w:tc>
          <w:tcPr>
            <w:tcW w:w="688"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sz w:val="28"/>
                <w:szCs w:val="28"/>
              </w:rPr>
              <w:t>111.1</w:t>
            </w:r>
            <w:r w:rsidRPr="00947F23">
              <w:rPr>
                <w:rFonts w:ascii="標楷體" w:eastAsia="標楷體" w:hAnsi="標楷體" w:hint="eastAsia"/>
                <w:sz w:val="28"/>
                <w:szCs w:val="28"/>
              </w:rPr>
              <w:t>2</w:t>
            </w:r>
            <w:r w:rsidRPr="00947F23">
              <w:rPr>
                <w:rFonts w:ascii="標楷體" w:eastAsia="標楷體" w:hAnsi="標楷體"/>
                <w:sz w:val="28"/>
                <w:szCs w:val="28"/>
              </w:rPr>
              <w:t>.</w:t>
            </w:r>
            <w:r w:rsidRPr="00947F23">
              <w:rPr>
                <w:rFonts w:ascii="標楷體" w:eastAsia="標楷體" w:hAnsi="標楷體" w:hint="eastAsia"/>
                <w:sz w:val="28"/>
                <w:szCs w:val="28"/>
              </w:rPr>
              <w:t>7</w:t>
            </w:r>
          </w:p>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(星期三)</w:t>
            </w:r>
          </w:p>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sz w:val="28"/>
                <w:szCs w:val="28"/>
              </w:rPr>
              <w:t>111.12.</w:t>
            </w:r>
            <w:r w:rsidRPr="00947F23">
              <w:rPr>
                <w:rFonts w:ascii="標楷體" w:eastAsia="標楷體" w:hAnsi="標楷體" w:hint="eastAsia"/>
                <w:sz w:val="28"/>
                <w:szCs w:val="28"/>
              </w:rPr>
              <w:t>8</w:t>
            </w:r>
          </w:p>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第13次全體委員會議</w:t>
            </w:r>
          </w:p>
        </w:tc>
        <w:tc>
          <w:tcPr>
            <w:tcW w:w="811"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jc w:val="center"/>
              <w:rPr>
                <w:rFonts w:ascii="標楷體" w:eastAsia="標楷體" w:hAnsi="標楷體"/>
                <w:sz w:val="28"/>
                <w:szCs w:val="28"/>
              </w:rPr>
            </w:pPr>
            <w:r w:rsidRPr="00947F23">
              <w:rPr>
                <w:rFonts w:ascii="標楷體" w:eastAsia="標楷體" w:hAnsi="標楷體" w:hint="eastAsia"/>
                <w:sz w:val="28"/>
                <w:szCs w:val="28"/>
              </w:rPr>
              <w:t>鄭正鈐</w:t>
            </w:r>
          </w:p>
        </w:tc>
        <w:tc>
          <w:tcPr>
            <w:tcW w:w="1436"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(1</w:t>
            </w:r>
            <w:r w:rsidRPr="00947F23">
              <w:rPr>
                <w:rFonts w:ascii="標楷體" w:eastAsia="標楷體" w:hAnsi="標楷體"/>
                <w:color w:val="000000"/>
                <w:sz w:val="28"/>
                <w:szCs w:val="28"/>
              </w:rPr>
              <w:t>2</w:t>
            </w:r>
            <w:r w:rsidRPr="00947F23">
              <w:rPr>
                <w:rFonts w:ascii="標楷體" w:eastAsia="標楷體" w:hAnsi="標楷體" w:hint="eastAsia"/>
                <w:color w:val="000000"/>
                <w:sz w:val="28"/>
                <w:szCs w:val="28"/>
              </w:rPr>
              <w:t>月7日)</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一、繼續審查112年度中央政府總預算案有關中央研究院單位預算案。</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二、繼續審查112年度中央政府總預算案有關中央研究院科學研究基金附屬單位預算案。</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(1</w:t>
            </w:r>
            <w:r w:rsidRPr="00947F23">
              <w:rPr>
                <w:rFonts w:ascii="標楷體" w:eastAsia="標楷體" w:hAnsi="標楷體"/>
                <w:color w:val="000000"/>
                <w:sz w:val="28"/>
                <w:szCs w:val="28"/>
              </w:rPr>
              <w:t>2</w:t>
            </w:r>
            <w:r w:rsidRPr="00947F23">
              <w:rPr>
                <w:rFonts w:ascii="標楷體" w:eastAsia="標楷體" w:hAnsi="標楷體" w:hint="eastAsia"/>
                <w:color w:val="000000"/>
                <w:sz w:val="28"/>
                <w:szCs w:val="28"/>
              </w:rPr>
              <w:t>月8日)</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一、繼續審查112年度中央政府總預算案有關國家科學及技術委員會與所屬單位預算案。</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二、繼續審查112年度中央政府總預算案有關行政院主管行政院國家科學技術發展基金附屬單位預算案。</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三、繼續審查112年度中央政府總預算案有關國家科學及技術委員會主管科學園區管理局作業基金附屬單</w:t>
            </w:r>
            <w:r w:rsidRPr="00947F23">
              <w:rPr>
                <w:rFonts w:ascii="標楷體" w:eastAsia="標楷體" w:hAnsi="標楷體" w:hint="eastAsia"/>
                <w:color w:val="000000"/>
                <w:sz w:val="28"/>
                <w:szCs w:val="28"/>
              </w:rPr>
              <w:lastRenderedPageBreak/>
              <w:t>位預算案。</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四、繼續審查112年度行政法人國家災害防救科技中心預算案。</w:t>
            </w:r>
          </w:p>
        </w:tc>
        <w:tc>
          <w:tcPr>
            <w:tcW w:w="929" w:type="pct"/>
            <w:tcBorders>
              <w:top w:val="single" w:sz="4" w:space="0" w:color="auto"/>
              <w:left w:val="single" w:sz="4" w:space="0" w:color="auto"/>
              <w:bottom w:val="single" w:sz="4" w:space="0" w:color="auto"/>
              <w:right w:val="single" w:sz="4" w:space="0" w:color="auto"/>
            </w:tcBorders>
          </w:tcPr>
          <w:p w:rsidR="0071156A" w:rsidRDefault="0071156A" w:rsidP="0071156A">
            <w:pPr>
              <w:spacing w:line="400" w:lineRule="exact"/>
              <w:jc w:val="both"/>
              <w:rPr>
                <w:rFonts w:ascii="標楷體" w:eastAsia="標楷體" w:hAnsi="標楷體"/>
                <w:color w:val="000000"/>
                <w:sz w:val="28"/>
                <w:szCs w:val="28"/>
              </w:rPr>
            </w:pPr>
            <w:r w:rsidRPr="0071156A">
              <w:rPr>
                <w:rFonts w:ascii="標楷體" w:eastAsia="標楷體" w:hAnsi="標楷體" w:hint="eastAsia"/>
                <w:color w:val="000000"/>
                <w:sz w:val="28"/>
                <w:szCs w:val="28"/>
              </w:rPr>
              <w:lastRenderedPageBreak/>
              <w:t>立法院第112卷 第04期(5089)公報上冊</w:t>
            </w:r>
          </w:p>
          <w:p w:rsidR="0071156A" w:rsidRDefault="0071156A" w:rsidP="0071156A">
            <w:pPr>
              <w:spacing w:line="400" w:lineRule="exact"/>
              <w:jc w:val="both"/>
              <w:rPr>
                <w:rFonts w:ascii="標楷體" w:eastAsia="標楷體" w:hAnsi="標楷體"/>
                <w:color w:val="000000"/>
                <w:sz w:val="28"/>
                <w:szCs w:val="28"/>
              </w:rPr>
            </w:pPr>
          </w:p>
          <w:p w:rsidR="0071156A" w:rsidRDefault="0071156A" w:rsidP="0071156A">
            <w:pPr>
              <w:spacing w:line="400" w:lineRule="exact"/>
              <w:jc w:val="both"/>
              <w:rPr>
                <w:rFonts w:ascii="標楷體" w:eastAsia="標楷體" w:hAnsi="標楷體"/>
                <w:color w:val="000000"/>
                <w:sz w:val="28"/>
                <w:szCs w:val="28"/>
              </w:rPr>
            </w:pPr>
          </w:p>
          <w:p w:rsidR="0071156A" w:rsidRDefault="0071156A" w:rsidP="0071156A">
            <w:pPr>
              <w:spacing w:line="400" w:lineRule="exact"/>
              <w:jc w:val="both"/>
              <w:rPr>
                <w:rFonts w:ascii="標楷體" w:eastAsia="標楷體" w:hAnsi="標楷體"/>
                <w:color w:val="000000"/>
                <w:sz w:val="28"/>
                <w:szCs w:val="28"/>
              </w:rPr>
            </w:pPr>
          </w:p>
          <w:p w:rsidR="0071156A" w:rsidRDefault="0071156A" w:rsidP="0071156A">
            <w:pPr>
              <w:spacing w:line="400" w:lineRule="exact"/>
              <w:jc w:val="both"/>
              <w:rPr>
                <w:rFonts w:ascii="標楷體" w:eastAsia="標楷體" w:hAnsi="標楷體"/>
                <w:color w:val="000000"/>
                <w:sz w:val="28"/>
                <w:szCs w:val="28"/>
              </w:rPr>
            </w:pPr>
          </w:p>
          <w:p w:rsidR="0071156A" w:rsidRDefault="0071156A" w:rsidP="0071156A">
            <w:pPr>
              <w:spacing w:line="400" w:lineRule="exact"/>
              <w:jc w:val="both"/>
              <w:rPr>
                <w:rFonts w:ascii="標楷體" w:eastAsia="標楷體" w:hAnsi="標楷體"/>
                <w:color w:val="000000"/>
                <w:sz w:val="28"/>
                <w:szCs w:val="28"/>
              </w:rPr>
            </w:pPr>
          </w:p>
          <w:p w:rsidR="0071156A" w:rsidRDefault="0071156A" w:rsidP="0071156A">
            <w:pPr>
              <w:spacing w:line="400" w:lineRule="exact"/>
              <w:jc w:val="both"/>
              <w:rPr>
                <w:rFonts w:ascii="標楷體" w:eastAsia="標楷體" w:hAnsi="標楷體"/>
                <w:color w:val="000000"/>
                <w:sz w:val="28"/>
                <w:szCs w:val="28"/>
              </w:rPr>
            </w:pPr>
          </w:p>
          <w:p w:rsidR="0071156A" w:rsidRPr="0071156A" w:rsidRDefault="0071156A" w:rsidP="0071156A">
            <w:pPr>
              <w:spacing w:line="400" w:lineRule="exact"/>
              <w:jc w:val="both"/>
              <w:rPr>
                <w:rFonts w:ascii="標楷體" w:eastAsia="標楷體" w:hAnsi="標楷體"/>
                <w:sz w:val="28"/>
                <w:szCs w:val="28"/>
              </w:rPr>
            </w:pPr>
            <w:r w:rsidRPr="0071156A">
              <w:rPr>
                <w:rFonts w:ascii="標楷體" w:eastAsia="標楷體" w:hAnsi="標楷體" w:hint="eastAsia"/>
                <w:color w:val="000000"/>
                <w:sz w:val="28"/>
                <w:szCs w:val="28"/>
              </w:rPr>
              <w:t>立法院第112卷 第04期(5089)公報中冊</w:t>
            </w:r>
          </w:p>
        </w:tc>
      </w:tr>
      <w:tr w:rsidR="00947F23" w:rsidRPr="00947F23" w:rsidTr="005534EB">
        <w:trPr>
          <w:trHeight w:val="567"/>
        </w:trPr>
        <w:tc>
          <w:tcPr>
            <w:tcW w:w="357"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jc w:val="center"/>
              <w:rPr>
                <w:rFonts w:ascii="標楷體" w:eastAsia="標楷體" w:hAnsi="標楷體"/>
                <w:sz w:val="28"/>
              </w:rPr>
            </w:pPr>
            <w:r w:rsidRPr="00947F23">
              <w:rPr>
                <w:rFonts w:ascii="標楷體" w:eastAsia="標楷體" w:hAnsi="標楷體" w:hint="eastAsia"/>
                <w:sz w:val="28"/>
              </w:rPr>
              <w:t>14</w:t>
            </w:r>
          </w:p>
        </w:tc>
        <w:tc>
          <w:tcPr>
            <w:tcW w:w="688"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sz w:val="28"/>
                <w:szCs w:val="28"/>
              </w:rPr>
              <w:t>111.12.12</w:t>
            </w:r>
          </w:p>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(星期一)</w:t>
            </w:r>
          </w:p>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sz w:val="28"/>
                <w:szCs w:val="28"/>
              </w:rPr>
              <w:t>111.12.14</w:t>
            </w:r>
          </w:p>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(星期三)</w:t>
            </w:r>
          </w:p>
        </w:tc>
        <w:tc>
          <w:tcPr>
            <w:tcW w:w="779"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第14次全體委員會議</w:t>
            </w:r>
          </w:p>
        </w:tc>
        <w:tc>
          <w:tcPr>
            <w:tcW w:w="811"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jc w:val="center"/>
              <w:rPr>
                <w:rFonts w:ascii="標楷體" w:eastAsia="標楷體" w:hAnsi="標楷體"/>
                <w:sz w:val="28"/>
                <w:szCs w:val="28"/>
              </w:rPr>
            </w:pPr>
            <w:r w:rsidRPr="00947F23">
              <w:rPr>
                <w:rFonts w:ascii="標楷體" w:eastAsia="標楷體" w:hAnsi="標楷體" w:hint="eastAsia"/>
                <w:sz w:val="28"/>
                <w:szCs w:val="28"/>
              </w:rPr>
              <w:t>陳秀</w:t>
            </w:r>
          </w:p>
        </w:tc>
        <w:tc>
          <w:tcPr>
            <w:tcW w:w="1436"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(12月</w:t>
            </w:r>
            <w:r w:rsidRPr="00947F23">
              <w:rPr>
                <w:rFonts w:ascii="標楷體" w:eastAsia="標楷體" w:hAnsi="標楷體"/>
                <w:color w:val="000000"/>
                <w:sz w:val="28"/>
                <w:szCs w:val="28"/>
              </w:rPr>
              <w:t>12</w:t>
            </w:r>
            <w:r w:rsidRPr="00947F23">
              <w:rPr>
                <w:rFonts w:ascii="標楷體" w:eastAsia="標楷體" w:hAnsi="標楷體" w:hint="eastAsia"/>
                <w:color w:val="000000"/>
                <w:sz w:val="28"/>
                <w:szCs w:val="28"/>
              </w:rPr>
              <w:t>日)</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邀請教育部部長潘文忠列席就「足球運動推動現況與後續輔導作為」進行專題報告，並備質詢。</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(12月</w:t>
            </w:r>
            <w:r w:rsidRPr="00947F23">
              <w:rPr>
                <w:rFonts w:ascii="標楷體" w:eastAsia="標楷體" w:hAnsi="標楷體"/>
                <w:color w:val="000000"/>
                <w:sz w:val="28"/>
                <w:szCs w:val="28"/>
              </w:rPr>
              <w:t>14</w:t>
            </w:r>
            <w:r w:rsidRPr="00947F23">
              <w:rPr>
                <w:rFonts w:ascii="標楷體" w:eastAsia="標楷體" w:hAnsi="標楷體" w:hint="eastAsia"/>
                <w:color w:val="000000"/>
                <w:sz w:val="28"/>
                <w:szCs w:val="28"/>
              </w:rPr>
              <w:t>日)</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一、繼續審查112年度中央政府總預算案有關行政院原子能委員會及所屬單位預算案。</w:t>
            </w:r>
          </w:p>
          <w:p w:rsidR="00947F23" w:rsidRPr="00947F23" w:rsidRDefault="00947F23"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二、繼續審查112年度中央政府總預算案有關原子能委員會主管核子事故緊急應變基金附屬單位預算案。</w:t>
            </w:r>
          </w:p>
        </w:tc>
        <w:tc>
          <w:tcPr>
            <w:tcW w:w="929" w:type="pct"/>
            <w:tcBorders>
              <w:top w:val="single" w:sz="4" w:space="0" w:color="auto"/>
              <w:left w:val="single" w:sz="4" w:space="0" w:color="auto"/>
              <w:bottom w:val="single" w:sz="4" w:space="0" w:color="auto"/>
              <w:right w:val="single" w:sz="4" w:space="0" w:color="auto"/>
            </w:tcBorders>
          </w:tcPr>
          <w:p w:rsidR="0071156A" w:rsidRPr="0071156A" w:rsidRDefault="0071156A" w:rsidP="0071156A">
            <w:pPr>
              <w:spacing w:line="400" w:lineRule="exact"/>
              <w:jc w:val="both"/>
              <w:rPr>
                <w:rFonts w:ascii="標楷體" w:eastAsia="標楷體" w:hAnsi="標楷體"/>
                <w:bCs/>
                <w:color w:val="000000"/>
                <w:sz w:val="28"/>
                <w:szCs w:val="28"/>
              </w:rPr>
            </w:pPr>
            <w:r w:rsidRPr="0071156A">
              <w:rPr>
                <w:rFonts w:ascii="標楷體" w:eastAsia="標楷體" w:hAnsi="標楷體"/>
                <w:bCs/>
                <w:color w:val="000000"/>
                <w:sz w:val="28"/>
                <w:szCs w:val="28"/>
              </w:rPr>
              <w:t>立法院第112卷 第07期(5092)公報中冊</w:t>
            </w:r>
          </w:p>
          <w:p w:rsidR="00947F23" w:rsidRDefault="00947F23" w:rsidP="00947F23">
            <w:pPr>
              <w:spacing w:line="400" w:lineRule="exact"/>
              <w:jc w:val="both"/>
              <w:rPr>
                <w:rFonts w:ascii="標楷體" w:eastAsia="標楷體" w:hAnsi="標楷體"/>
                <w:color w:val="000000"/>
                <w:sz w:val="28"/>
                <w:szCs w:val="28"/>
              </w:rPr>
            </w:pPr>
          </w:p>
          <w:p w:rsidR="0071156A" w:rsidRDefault="0071156A" w:rsidP="00947F23">
            <w:pPr>
              <w:spacing w:line="400" w:lineRule="exact"/>
              <w:jc w:val="both"/>
              <w:rPr>
                <w:rFonts w:ascii="標楷體" w:eastAsia="標楷體" w:hAnsi="標楷體"/>
                <w:color w:val="000000"/>
                <w:sz w:val="28"/>
                <w:szCs w:val="28"/>
              </w:rPr>
            </w:pPr>
          </w:p>
          <w:p w:rsidR="0071156A" w:rsidRDefault="0071156A" w:rsidP="00947F23">
            <w:pPr>
              <w:spacing w:line="400" w:lineRule="exact"/>
              <w:jc w:val="both"/>
              <w:rPr>
                <w:rFonts w:ascii="標楷體" w:eastAsia="標楷體" w:hAnsi="標楷體"/>
                <w:color w:val="000000"/>
                <w:sz w:val="28"/>
                <w:szCs w:val="28"/>
              </w:rPr>
            </w:pPr>
          </w:p>
          <w:p w:rsidR="0071156A" w:rsidRPr="00947F23" w:rsidRDefault="0071156A" w:rsidP="00947F23">
            <w:pPr>
              <w:spacing w:line="400" w:lineRule="exact"/>
              <w:jc w:val="both"/>
              <w:rPr>
                <w:rFonts w:ascii="標楷體" w:eastAsia="標楷體" w:hAnsi="標楷體"/>
                <w:color w:val="000000"/>
                <w:sz w:val="28"/>
                <w:szCs w:val="28"/>
              </w:rPr>
            </w:pPr>
          </w:p>
        </w:tc>
      </w:tr>
      <w:tr w:rsidR="00947F23" w:rsidRPr="00947F23" w:rsidTr="005534EB">
        <w:trPr>
          <w:trHeight w:val="567"/>
        </w:trPr>
        <w:tc>
          <w:tcPr>
            <w:tcW w:w="357"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jc w:val="center"/>
              <w:rPr>
                <w:rFonts w:ascii="標楷體" w:eastAsia="標楷體" w:hAnsi="標楷體"/>
                <w:sz w:val="28"/>
              </w:rPr>
            </w:pPr>
            <w:r w:rsidRPr="00947F23">
              <w:rPr>
                <w:rFonts w:ascii="標楷體" w:eastAsia="標楷體" w:hAnsi="標楷體" w:hint="eastAsia"/>
                <w:sz w:val="28"/>
              </w:rPr>
              <w:t>1</w:t>
            </w:r>
            <w:r w:rsidRPr="00947F23">
              <w:rPr>
                <w:rFonts w:ascii="標楷體" w:eastAsia="標楷體" w:hAnsi="標楷體"/>
                <w:sz w:val="28"/>
              </w:rPr>
              <w:t>5</w:t>
            </w:r>
          </w:p>
        </w:tc>
        <w:tc>
          <w:tcPr>
            <w:tcW w:w="688"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sz w:val="28"/>
                <w:szCs w:val="28"/>
              </w:rPr>
              <w:t>111.12.19</w:t>
            </w:r>
            <w:r w:rsidR="00B71A5E" w:rsidRPr="00947F23">
              <w:rPr>
                <w:rFonts w:ascii="標楷體" w:eastAsia="標楷體" w:hAnsi="標楷體"/>
                <w:sz w:val="28"/>
                <w:szCs w:val="28"/>
              </w:rPr>
              <w:t xml:space="preserve"> </w:t>
            </w:r>
          </w:p>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(星期一)</w:t>
            </w:r>
            <w:r w:rsidR="00B71A5E">
              <w:rPr>
                <w:rFonts w:ascii="標楷體" w:eastAsia="標楷體" w:hAnsi="標楷體" w:hint="eastAsia"/>
                <w:sz w:val="28"/>
                <w:szCs w:val="28"/>
              </w:rPr>
              <w:t>上午</w:t>
            </w:r>
          </w:p>
          <w:p w:rsidR="00947F23" w:rsidRPr="00947F23" w:rsidRDefault="00947F23" w:rsidP="00947F23">
            <w:pPr>
              <w:spacing w:line="400" w:lineRule="exact"/>
              <w:rPr>
                <w:rFonts w:ascii="標楷體" w:eastAsia="標楷體" w:hAnsi="標楷體"/>
                <w:sz w:val="28"/>
                <w:szCs w:val="28"/>
              </w:rPr>
            </w:pPr>
          </w:p>
        </w:tc>
        <w:tc>
          <w:tcPr>
            <w:tcW w:w="779"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rPr>
                <w:rFonts w:ascii="標楷體" w:eastAsia="標楷體" w:hAnsi="標楷體"/>
                <w:sz w:val="28"/>
                <w:szCs w:val="28"/>
              </w:rPr>
            </w:pPr>
            <w:r w:rsidRPr="00947F23">
              <w:rPr>
                <w:rFonts w:ascii="標楷體" w:eastAsia="標楷體" w:hAnsi="標楷體" w:hint="eastAsia"/>
                <w:sz w:val="28"/>
                <w:szCs w:val="28"/>
              </w:rPr>
              <w:t>公聽會</w:t>
            </w:r>
          </w:p>
        </w:tc>
        <w:tc>
          <w:tcPr>
            <w:tcW w:w="811" w:type="pct"/>
            <w:tcBorders>
              <w:top w:val="single" w:sz="4" w:space="0" w:color="auto"/>
              <w:left w:val="single" w:sz="4" w:space="0" w:color="auto"/>
              <w:bottom w:val="single" w:sz="4" w:space="0" w:color="auto"/>
              <w:right w:val="single" w:sz="4" w:space="0" w:color="auto"/>
            </w:tcBorders>
          </w:tcPr>
          <w:p w:rsidR="00947F23" w:rsidRPr="00947F23" w:rsidRDefault="00947F23" w:rsidP="00947F23">
            <w:pPr>
              <w:spacing w:line="400" w:lineRule="exact"/>
              <w:jc w:val="center"/>
              <w:rPr>
                <w:rFonts w:ascii="標楷體" w:eastAsia="標楷體" w:hAnsi="標楷體"/>
                <w:sz w:val="28"/>
                <w:szCs w:val="28"/>
              </w:rPr>
            </w:pPr>
            <w:r w:rsidRPr="00947F23">
              <w:rPr>
                <w:rFonts w:ascii="標楷體" w:eastAsia="標楷體" w:hAnsi="標楷體" w:hint="eastAsia"/>
                <w:sz w:val="28"/>
                <w:szCs w:val="28"/>
              </w:rPr>
              <w:t>鄭正鈐</w:t>
            </w:r>
          </w:p>
        </w:tc>
        <w:tc>
          <w:tcPr>
            <w:tcW w:w="1436" w:type="pct"/>
            <w:tcBorders>
              <w:top w:val="single" w:sz="4" w:space="0" w:color="auto"/>
              <w:left w:val="single" w:sz="4" w:space="0" w:color="auto"/>
              <w:bottom w:val="single" w:sz="4" w:space="0" w:color="auto"/>
              <w:right w:val="single" w:sz="4" w:space="0" w:color="auto"/>
            </w:tcBorders>
          </w:tcPr>
          <w:p w:rsidR="00947F23" w:rsidRPr="00947F23" w:rsidRDefault="00B71A5E" w:rsidP="00947F23">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w:t>
            </w:r>
            <w:r w:rsidR="00947F23" w:rsidRPr="00947F23">
              <w:rPr>
                <w:rFonts w:ascii="標楷體" w:eastAsia="標楷體" w:hAnsi="標楷體" w:hint="eastAsia"/>
                <w:color w:val="000000"/>
                <w:sz w:val="28"/>
                <w:szCs w:val="28"/>
              </w:rPr>
              <w:t>上午9時至12時)</w:t>
            </w:r>
          </w:p>
          <w:p w:rsidR="00947F23" w:rsidRPr="00947F23" w:rsidRDefault="00947F23" w:rsidP="00BC67E4">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「人工智慧、虛擬貨幣、數位資產、數位人權、金融科技、元宇宙」校園反詐騙與反洗錢教育宣導公聽會。</w:t>
            </w:r>
          </w:p>
        </w:tc>
        <w:tc>
          <w:tcPr>
            <w:tcW w:w="929" w:type="pct"/>
            <w:tcBorders>
              <w:top w:val="single" w:sz="4" w:space="0" w:color="auto"/>
              <w:left w:val="single" w:sz="4" w:space="0" w:color="auto"/>
              <w:bottom w:val="single" w:sz="4" w:space="0" w:color="auto"/>
              <w:right w:val="single" w:sz="4" w:space="0" w:color="auto"/>
            </w:tcBorders>
          </w:tcPr>
          <w:p w:rsidR="00947F23" w:rsidRPr="00947F23" w:rsidRDefault="00225B53" w:rsidP="00947F23">
            <w:pPr>
              <w:spacing w:line="400" w:lineRule="exact"/>
              <w:jc w:val="both"/>
              <w:rPr>
                <w:rFonts w:ascii="標楷體" w:eastAsia="標楷體" w:hAnsi="標楷體"/>
                <w:color w:val="000000"/>
                <w:sz w:val="28"/>
                <w:szCs w:val="28"/>
              </w:rPr>
            </w:pPr>
            <w:r w:rsidRPr="00225B53">
              <w:rPr>
                <w:rFonts w:ascii="標楷體" w:eastAsia="標楷體" w:hAnsi="標楷體" w:hint="eastAsia"/>
                <w:color w:val="000000"/>
                <w:sz w:val="28"/>
                <w:szCs w:val="28"/>
              </w:rPr>
              <w:t>立法院第112卷 第07期(5092)公報上冊</w:t>
            </w:r>
          </w:p>
        </w:tc>
      </w:tr>
      <w:tr w:rsidR="00B71A5E" w:rsidRPr="00947F23" w:rsidTr="005534EB">
        <w:trPr>
          <w:trHeight w:val="567"/>
        </w:trPr>
        <w:tc>
          <w:tcPr>
            <w:tcW w:w="357" w:type="pct"/>
            <w:tcBorders>
              <w:top w:val="single" w:sz="4" w:space="0" w:color="auto"/>
              <w:left w:val="single" w:sz="4" w:space="0" w:color="auto"/>
              <w:bottom w:val="single" w:sz="4" w:space="0" w:color="auto"/>
              <w:right w:val="single" w:sz="4" w:space="0" w:color="auto"/>
            </w:tcBorders>
          </w:tcPr>
          <w:p w:rsidR="00B71A5E" w:rsidRPr="00947F23" w:rsidRDefault="00B71A5E" w:rsidP="00B71A5E">
            <w:pPr>
              <w:jc w:val="center"/>
              <w:rPr>
                <w:rFonts w:ascii="標楷體" w:eastAsia="標楷體" w:hAnsi="標楷體"/>
                <w:sz w:val="28"/>
              </w:rPr>
            </w:pPr>
            <w:r>
              <w:rPr>
                <w:rFonts w:ascii="標楷體" w:eastAsia="標楷體" w:hAnsi="標楷體" w:hint="eastAsia"/>
                <w:sz w:val="28"/>
              </w:rPr>
              <w:t>16</w:t>
            </w:r>
          </w:p>
        </w:tc>
        <w:tc>
          <w:tcPr>
            <w:tcW w:w="688" w:type="pct"/>
            <w:tcBorders>
              <w:top w:val="single" w:sz="4" w:space="0" w:color="auto"/>
              <w:left w:val="single" w:sz="4" w:space="0" w:color="auto"/>
              <w:bottom w:val="single" w:sz="4" w:space="0" w:color="auto"/>
              <w:right w:val="single" w:sz="4" w:space="0" w:color="auto"/>
            </w:tcBorders>
          </w:tcPr>
          <w:p w:rsidR="00B71A5E" w:rsidRPr="00947F23" w:rsidRDefault="00B71A5E" w:rsidP="00B71A5E">
            <w:pPr>
              <w:spacing w:line="400" w:lineRule="exact"/>
              <w:rPr>
                <w:rFonts w:ascii="標楷體" w:eastAsia="標楷體" w:hAnsi="標楷體"/>
                <w:sz w:val="28"/>
                <w:szCs w:val="28"/>
              </w:rPr>
            </w:pPr>
            <w:r w:rsidRPr="00947F23">
              <w:rPr>
                <w:rFonts w:ascii="標楷體" w:eastAsia="標楷體" w:hAnsi="標楷體"/>
                <w:sz w:val="28"/>
                <w:szCs w:val="28"/>
              </w:rPr>
              <w:t xml:space="preserve">111.12.19 </w:t>
            </w:r>
          </w:p>
          <w:p w:rsidR="00B71A5E" w:rsidRPr="00947F23" w:rsidRDefault="00B71A5E" w:rsidP="00B71A5E">
            <w:pPr>
              <w:spacing w:line="400" w:lineRule="exact"/>
              <w:rPr>
                <w:rFonts w:ascii="標楷體" w:eastAsia="標楷體" w:hAnsi="標楷體"/>
                <w:sz w:val="28"/>
                <w:szCs w:val="28"/>
              </w:rPr>
            </w:pPr>
            <w:r w:rsidRPr="00947F23">
              <w:rPr>
                <w:rFonts w:ascii="標楷體" w:eastAsia="標楷體" w:hAnsi="標楷體" w:hint="eastAsia"/>
                <w:sz w:val="28"/>
                <w:szCs w:val="28"/>
              </w:rPr>
              <w:t>(星期一)</w:t>
            </w:r>
            <w:r>
              <w:rPr>
                <w:rFonts w:ascii="標楷體" w:eastAsia="標楷體" w:hAnsi="標楷體" w:hint="eastAsia"/>
                <w:sz w:val="28"/>
                <w:szCs w:val="28"/>
              </w:rPr>
              <w:t>下午</w:t>
            </w:r>
          </w:p>
          <w:p w:rsidR="00B71A5E" w:rsidRPr="00947F23" w:rsidRDefault="00B71A5E" w:rsidP="00B71A5E">
            <w:pPr>
              <w:spacing w:line="400" w:lineRule="exact"/>
              <w:rPr>
                <w:rFonts w:ascii="標楷體" w:eastAsia="標楷體" w:hAnsi="標楷體"/>
                <w:sz w:val="28"/>
                <w:szCs w:val="28"/>
              </w:rPr>
            </w:pPr>
          </w:p>
        </w:tc>
        <w:tc>
          <w:tcPr>
            <w:tcW w:w="779" w:type="pct"/>
            <w:tcBorders>
              <w:top w:val="single" w:sz="4" w:space="0" w:color="auto"/>
              <w:left w:val="single" w:sz="4" w:space="0" w:color="auto"/>
              <w:bottom w:val="single" w:sz="4" w:space="0" w:color="auto"/>
              <w:right w:val="single" w:sz="4" w:space="0" w:color="auto"/>
            </w:tcBorders>
          </w:tcPr>
          <w:p w:rsidR="00B71A5E" w:rsidRPr="00947F23" w:rsidRDefault="00B71A5E" w:rsidP="00B71A5E">
            <w:pPr>
              <w:spacing w:line="400" w:lineRule="exact"/>
              <w:rPr>
                <w:rFonts w:ascii="標楷體" w:eastAsia="標楷體" w:hAnsi="標楷體"/>
                <w:sz w:val="28"/>
                <w:szCs w:val="28"/>
              </w:rPr>
            </w:pPr>
            <w:r w:rsidRPr="00947F23">
              <w:rPr>
                <w:rFonts w:ascii="標楷體" w:eastAsia="標楷體" w:hAnsi="標楷體" w:hint="eastAsia"/>
                <w:sz w:val="28"/>
                <w:szCs w:val="28"/>
              </w:rPr>
              <w:t>公聽會</w:t>
            </w:r>
          </w:p>
        </w:tc>
        <w:tc>
          <w:tcPr>
            <w:tcW w:w="811" w:type="pct"/>
            <w:tcBorders>
              <w:top w:val="single" w:sz="4" w:space="0" w:color="auto"/>
              <w:left w:val="single" w:sz="4" w:space="0" w:color="auto"/>
              <w:bottom w:val="single" w:sz="4" w:space="0" w:color="auto"/>
              <w:right w:val="single" w:sz="4" w:space="0" w:color="auto"/>
            </w:tcBorders>
          </w:tcPr>
          <w:p w:rsidR="00B71A5E" w:rsidRPr="00947F23" w:rsidRDefault="00B71A5E" w:rsidP="00B71A5E">
            <w:pPr>
              <w:spacing w:line="400" w:lineRule="exact"/>
              <w:jc w:val="center"/>
              <w:rPr>
                <w:rFonts w:ascii="標楷體" w:eastAsia="標楷體" w:hAnsi="標楷體"/>
                <w:sz w:val="28"/>
                <w:szCs w:val="28"/>
              </w:rPr>
            </w:pPr>
            <w:r w:rsidRPr="00947F23">
              <w:rPr>
                <w:rFonts w:ascii="標楷體" w:eastAsia="標楷體" w:hAnsi="標楷體" w:hint="eastAsia"/>
                <w:sz w:val="28"/>
                <w:szCs w:val="28"/>
              </w:rPr>
              <w:t>鄭正鈐</w:t>
            </w:r>
          </w:p>
        </w:tc>
        <w:tc>
          <w:tcPr>
            <w:tcW w:w="1436" w:type="pct"/>
            <w:tcBorders>
              <w:top w:val="single" w:sz="4" w:space="0" w:color="auto"/>
              <w:left w:val="single" w:sz="4" w:space="0" w:color="auto"/>
              <w:bottom w:val="single" w:sz="4" w:space="0" w:color="auto"/>
              <w:right w:val="single" w:sz="4" w:space="0" w:color="auto"/>
            </w:tcBorders>
          </w:tcPr>
          <w:p w:rsidR="00B71A5E" w:rsidRPr="00947F23" w:rsidRDefault="00B71A5E" w:rsidP="00B71A5E">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(下午2時30分至5時30分)</w:t>
            </w:r>
          </w:p>
          <w:p w:rsidR="00B71A5E" w:rsidRPr="00947F23" w:rsidRDefault="00B71A5E" w:rsidP="00B71A5E">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「國立故宮博物院近來作為是否符合公共性？」公聽會。</w:t>
            </w:r>
          </w:p>
        </w:tc>
        <w:tc>
          <w:tcPr>
            <w:tcW w:w="929" w:type="pct"/>
            <w:tcBorders>
              <w:top w:val="single" w:sz="4" w:space="0" w:color="auto"/>
              <w:left w:val="single" w:sz="4" w:space="0" w:color="auto"/>
              <w:bottom w:val="single" w:sz="4" w:space="0" w:color="auto"/>
              <w:right w:val="single" w:sz="4" w:space="0" w:color="auto"/>
            </w:tcBorders>
          </w:tcPr>
          <w:p w:rsidR="00B71A5E" w:rsidRPr="00947F23" w:rsidRDefault="00225B53" w:rsidP="00B71A5E">
            <w:pPr>
              <w:spacing w:line="400" w:lineRule="exact"/>
              <w:jc w:val="both"/>
              <w:rPr>
                <w:rFonts w:ascii="標楷體" w:eastAsia="標楷體" w:hAnsi="標楷體"/>
                <w:color w:val="000000"/>
                <w:sz w:val="28"/>
                <w:szCs w:val="28"/>
              </w:rPr>
            </w:pPr>
            <w:r w:rsidRPr="00225B53">
              <w:rPr>
                <w:rFonts w:ascii="標楷體" w:eastAsia="標楷體" w:hAnsi="標楷體" w:hint="eastAsia"/>
                <w:color w:val="000000"/>
                <w:sz w:val="28"/>
                <w:szCs w:val="28"/>
              </w:rPr>
              <w:t>立法院第112卷 第07期(5092)公報上冊</w:t>
            </w:r>
          </w:p>
        </w:tc>
      </w:tr>
      <w:tr w:rsidR="00B71A5E" w:rsidRPr="00947F23" w:rsidTr="005534EB">
        <w:trPr>
          <w:trHeight w:val="567"/>
        </w:trPr>
        <w:tc>
          <w:tcPr>
            <w:tcW w:w="357" w:type="pct"/>
            <w:tcBorders>
              <w:top w:val="single" w:sz="4" w:space="0" w:color="auto"/>
              <w:left w:val="single" w:sz="4" w:space="0" w:color="auto"/>
              <w:bottom w:val="single" w:sz="4" w:space="0" w:color="auto"/>
              <w:right w:val="single" w:sz="4" w:space="0" w:color="auto"/>
            </w:tcBorders>
          </w:tcPr>
          <w:p w:rsidR="00B71A5E" w:rsidRPr="00947F23" w:rsidRDefault="00B71A5E" w:rsidP="00B71A5E">
            <w:pPr>
              <w:jc w:val="center"/>
              <w:rPr>
                <w:rFonts w:ascii="標楷體" w:eastAsia="標楷體" w:hAnsi="標楷體"/>
                <w:sz w:val="28"/>
              </w:rPr>
            </w:pPr>
            <w:r w:rsidRPr="00947F23">
              <w:rPr>
                <w:rFonts w:ascii="標楷體" w:eastAsia="標楷體" w:hAnsi="標楷體" w:hint="eastAsia"/>
                <w:sz w:val="28"/>
              </w:rPr>
              <w:t>1</w:t>
            </w:r>
            <w:r>
              <w:rPr>
                <w:rFonts w:ascii="標楷體" w:eastAsia="標楷體" w:hAnsi="標楷體" w:hint="eastAsia"/>
                <w:sz w:val="28"/>
              </w:rPr>
              <w:t>7</w:t>
            </w:r>
          </w:p>
        </w:tc>
        <w:tc>
          <w:tcPr>
            <w:tcW w:w="688" w:type="pct"/>
            <w:tcBorders>
              <w:top w:val="single" w:sz="4" w:space="0" w:color="auto"/>
              <w:left w:val="single" w:sz="4" w:space="0" w:color="auto"/>
              <w:bottom w:val="single" w:sz="4" w:space="0" w:color="auto"/>
              <w:right w:val="single" w:sz="4" w:space="0" w:color="auto"/>
            </w:tcBorders>
          </w:tcPr>
          <w:p w:rsidR="00B71A5E" w:rsidRPr="00947F23" w:rsidRDefault="00B71A5E" w:rsidP="00B71A5E">
            <w:pPr>
              <w:spacing w:line="400" w:lineRule="exact"/>
              <w:rPr>
                <w:rFonts w:ascii="標楷體" w:eastAsia="標楷體" w:hAnsi="標楷體"/>
                <w:sz w:val="28"/>
                <w:szCs w:val="28"/>
              </w:rPr>
            </w:pPr>
            <w:r w:rsidRPr="00947F23">
              <w:rPr>
                <w:rFonts w:ascii="標楷體" w:eastAsia="標楷體" w:hAnsi="標楷體" w:hint="eastAsia"/>
                <w:sz w:val="28"/>
                <w:szCs w:val="28"/>
              </w:rPr>
              <w:t>111.12.21</w:t>
            </w:r>
          </w:p>
          <w:p w:rsidR="00B71A5E" w:rsidRPr="00947F23" w:rsidRDefault="00B71A5E" w:rsidP="00B71A5E">
            <w:pPr>
              <w:spacing w:line="400" w:lineRule="exact"/>
              <w:rPr>
                <w:rFonts w:ascii="標楷體" w:eastAsia="標楷體" w:hAnsi="標楷體"/>
                <w:sz w:val="28"/>
                <w:szCs w:val="28"/>
              </w:rPr>
            </w:pPr>
            <w:r w:rsidRPr="00947F23">
              <w:rPr>
                <w:rFonts w:ascii="標楷體" w:eastAsia="標楷體" w:hAnsi="標楷體" w:hint="eastAsia"/>
                <w:sz w:val="28"/>
                <w:szCs w:val="28"/>
              </w:rPr>
              <w:t>(星期三)</w:t>
            </w:r>
          </w:p>
          <w:p w:rsidR="00B71A5E" w:rsidRPr="00947F23" w:rsidRDefault="00B71A5E" w:rsidP="00B71A5E">
            <w:pPr>
              <w:spacing w:line="400" w:lineRule="exact"/>
              <w:rPr>
                <w:rFonts w:ascii="標楷體" w:eastAsia="標楷體" w:hAnsi="標楷體"/>
                <w:sz w:val="28"/>
                <w:szCs w:val="28"/>
              </w:rPr>
            </w:pPr>
            <w:r w:rsidRPr="00947F23">
              <w:rPr>
                <w:rFonts w:ascii="標楷體" w:eastAsia="標楷體" w:hAnsi="標楷體"/>
                <w:sz w:val="28"/>
                <w:szCs w:val="28"/>
              </w:rPr>
              <w:lastRenderedPageBreak/>
              <w:t>111.12.2</w:t>
            </w:r>
            <w:r w:rsidRPr="00947F23">
              <w:rPr>
                <w:rFonts w:ascii="標楷體" w:eastAsia="標楷體" w:hAnsi="標楷體" w:hint="eastAsia"/>
                <w:sz w:val="28"/>
                <w:szCs w:val="28"/>
              </w:rPr>
              <w:t>2</w:t>
            </w:r>
          </w:p>
          <w:p w:rsidR="00B71A5E" w:rsidRPr="00947F23" w:rsidRDefault="00B71A5E" w:rsidP="00B71A5E">
            <w:pPr>
              <w:spacing w:line="400" w:lineRule="exact"/>
              <w:rPr>
                <w:rFonts w:ascii="標楷體" w:eastAsia="標楷體" w:hAnsi="標楷體"/>
                <w:sz w:val="28"/>
                <w:szCs w:val="28"/>
              </w:rPr>
            </w:pPr>
            <w:r w:rsidRPr="00947F23">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B71A5E" w:rsidRPr="00947F23" w:rsidRDefault="00B71A5E" w:rsidP="00B71A5E">
            <w:pPr>
              <w:spacing w:line="400" w:lineRule="exact"/>
              <w:rPr>
                <w:rFonts w:ascii="標楷體" w:eastAsia="標楷體" w:hAnsi="標楷體"/>
                <w:sz w:val="28"/>
                <w:szCs w:val="28"/>
              </w:rPr>
            </w:pPr>
            <w:r w:rsidRPr="00947F23">
              <w:rPr>
                <w:rFonts w:ascii="標楷體" w:eastAsia="標楷體" w:hAnsi="標楷體" w:hint="eastAsia"/>
                <w:sz w:val="28"/>
                <w:szCs w:val="28"/>
              </w:rPr>
              <w:lastRenderedPageBreak/>
              <w:t>第15次全體委員會議</w:t>
            </w:r>
          </w:p>
        </w:tc>
        <w:tc>
          <w:tcPr>
            <w:tcW w:w="811" w:type="pct"/>
            <w:tcBorders>
              <w:top w:val="single" w:sz="4" w:space="0" w:color="auto"/>
              <w:left w:val="single" w:sz="4" w:space="0" w:color="auto"/>
              <w:bottom w:val="single" w:sz="4" w:space="0" w:color="auto"/>
              <w:right w:val="single" w:sz="4" w:space="0" w:color="auto"/>
            </w:tcBorders>
          </w:tcPr>
          <w:p w:rsidR="00B71A5E" w:rsidRPr="00947F23" w:rsidRDefault="00B71A5E" w:rsidP="00B71A5E">
            <w:pPr>
              <w:spacing w:line="400" w:lineRule="exact"/>
              <w:jc w:val="center"/>
              <w:rPr>
                <w:rFonts w:ascii="標楷體" w:eastAsia="標楷體" w:hAnsi="標楷體"/>
                <w:sz w:val="28"/>
                <w:szCs w:val="28"/>
              </w:rPr>
            </w:pPr>
            <w:r w:rsidRPr="00947F23">
              <w:rPr>
                <w:rFonts w:ascii="標楷體" w:eastAsia="標楷體" w:hAnsi="標楷體" w:hint="eastAsia"/>
                <w:sz w:val="28"/>
                <w:szCs w:val="28"/>
              </w:rPr>
              <w:t>鄭正鈐</w:t>
            </w:r>
          </w:p>
        </w:tc>
        <w:tc>
          <w:tcPr>
            <w:tcW w:w="1436" w:type="pct"/>
            <w:tcBorders>
              <w:top w:val="single" w:sz="4" w:space="0" w:color="auto"/>
              <w:left w:val="single" w:sz="4" w:space="0" w:color="auto"/>
              <w:bottom w:val="single" w:sz="4" w:space="0" w:color="auto"/>
              <w:right w:val="single" w:sz="4" w:space="0" w:color="auto"/>
            </w:tcBorders>
          </w:tcPr>
          <w:p w:rsidR="00B71A5E" w:rsidRPr="00947F23" w:rsidRDefault="00B71A5E" w:rsidP="00B71A5E">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一、繼續審查112年度中央政府總預算案有</w:t>
            </w:r>
            <w:r w:rsidRPr="00947F23">
              <w:rPr>
                <w:rFonts w:ascii="標楷體" w:eastAsia="標楷體" w:hAnsi="標楷體" w:hint="eastAsia"/>
                <w:color w:val="000000"/>
                <w:sz w:val="28"/>
                <w:szCs w:val="28"/>
              </w:rPr>
              <w:lastRenderedPageBreak/>
              <w:t>關文化部及所屬單位預算案。</w:t>
            </w:r>
          </w:p>
          <w:p w:rsidR="00B71A5E" w:rsidRPr="00947F23" w:rsidRDefault="00B71A5E" w:rsidP="00B71A5E">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二、繼續審查112年度中央政府總預算案有關文化部主管國立文化機構作業基金附屬單位預算案。</w:t>
            </w:r>
          </w:p>
          <w:p w:rsidR="00B71A5E" w:rsidRPr="00947F23" w:rsidRDefault="00B71A5E" w:rsidP="00B71A5E">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三、繼續審查112年度中央政府總預算案有關文化部主管文化發展基金附屬單位預算案。</w:t>
            </w:r>
          </w:p>
          <w:p w:rsidR="00B71A5E" w:rsidRPr="00947F23" w:rsidRDefault="00B71A5E" w:rsidP="00B71A5E">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四、繼續審查112年度行政法人國家表演藝術中心、文化內容策進院、國家電影及視聽文化中心預算案。</w:t>
            </w:r>
          </w:p>
        </w:tc>
        <w:tc>
          <w:tcPr>
            <w:tcW w:w="929" w:type="pct"/>
            <w:tcBorders>
              <w:top w:val="single" w:sz="4" w:space="0" w:color="auto"/>
              <w:left w:val="single" w:sz="4" w:space="0" w:color="auto"/>
              <w:bottom w:val="single" w:sz="4" w:space="0" w:color="auto"/>
              <w:right w:val="single" w:sz="4" w:space="0" w:color="auto"/>
            </w:tcBorders>
          </w:tcPr>
          <w:p w:rsidR="00B71A5E" w:rsidRPr="00947F23" w:rsidRDefault="00225B53" w:rsidP="00B71A5E">
            <w:pPr>
              <w:spacing w:line="400" w:lineRule="exact"/>
              <w:jc w:val="both"/>
              <w:rPr>
                <w:rFonts w:ascii="標楷體" w:eastAsia="標楷體" w:hAnsi="標楷體"/>
                <w:color w:val="000000"/>
                <w:sz w:val="28"/>
                <w:szCs w:val="28"/>
              </w:rPr>
            </w:pPr>
            <w:r w:rsidRPr="00225B53">
              <w:rPr>
                <w:rFonts w:ascii="標楷體" w:eastAsia="標楷體" w:hAnsi="標楷體" w:hint="eastAsia"/>
                <w:color w:val="000000"/>
                <w:sz w:val="28"/>
                <w:szCs w:val="28"/>
              </w:rPr>
              <w:lastRenderedPageBreak/>
              <w:t>立法院第112卷 第11期</w:t>
            </w:r>
            <w:r w:rsidRPr="00225B53">
              <w:rPr>
                <w:rFonts w:ascii="標楷體" w:eastAsia="標楷體" w:hAnsi="標楷體" w:hint="eastAsia"/>
                <w:color w:val="000000"/>
                <w:sz w:val="28"/>
                <w:szCs w:val="28"/>
              </w:rPr>
              <w:lastRenderedPageBreak/>
              <w:t>(5096)公報上冊</w:t>
            </w:r>
          </w:p>
        </w:tc>
      </w:tr>
      <w:tr w:rsidR="00B71A5E" w:rsidRPr="00947F23" w:rsidTr="005534EB">
        <w:trPr>
          <w:trHeight w:val="567"/>
        </w:trPr>
        <w:tc>
          <w:tcPr>
            <w:tcW w:w="357" w:type="pct"/>
            <w:tcBorders>
              <w:top w:val="single" w:sz="4" w:space="0" w:color="auto"/>
              <w:left w:val="single" w:sz="4" w:space="0" w:color="auto"/>
              <w:bottom w:val="single" w:sz="4" w:space="0" w:color="auto"/>
              <w:right w:val="single" w:sz="4" w:space="0" w:color="auto"/>
            </w:tcBorders>
          </w:tcPr>
          <w:p w:rsidR="00B71A5E" w:rsidRPr="00947F23" w:rsidRDefault="00B71A5E" w:rsidP="00B71A5E">
            <w:pPr>
              <w:jc w:val="center"/>
              <w:rPr>
                <w:rFonts w:ascii="標楷體" w:eastAsia="標楷體" w:hAnsi="標楷體"/>
                <w:sz w:val="28"/>
              </w:rPr>
            </w:pPr>
            <w:r w:rsidRPr="00947F23">
              <w:rPr>
                <w:rFonts w:ascii="標楷體" w:eastAsia="標楷體" w:hAnsi="標楷體" w:hint="eastAsia"/>
                <w:sz w:val="28"/>
              </w:rPr>
              <w:lastRenderedPageBreak/>
              <w:t>1</w:t>
            </w:r>
            <w:r>
              <w:rPr>
                <w:rFonts w:ascii="標楷體" w:eastAsia="標楷體" w:hAnsi="標楷體" w:hint="eastAsia"/>
                <w:sz w:val="28"/>
              </w:rPr>
              <w:t>8</w:t>
            </w:r>
          </w:p>
        </w:tc>
        <w:tc>
          <w:tcPr>
            <w:tcW w:w="688" w:type="pct"/>
            <w:tcBorders>
              <w:top w:val="single" w:sz="4" w:space="0" w:color="auto"/>
              <w:left w:val="single" w:sz="4" w:space="0" w:color="auto"/>
              <w:bottom w:val="single" w:sz="4" w:space="0" w:color="auto"/>
              <w:right w:val="single" w:sz="4" w:space="0" w:color="auto"/>
            </w:tcBorders>
          </w:tcPr>
          <w:p w:rsidR="00B71A5E" w:rsidRPr="00947F23" w:rsidRDefault="00B71A5E" w:rsidP="00B71A5E">
            <w:pPr>
              <w:spacing w:line="400" w:lineRule="exact"/>
              <w:rPr>
                <w:rFonts w:ascii="標楷體" w:eastAsia="標楷體" w:hAnsi="標楷體"/>
                <w:sz w:val="28"/>
                <w:szCs w:val="28"/>
              </w:rPr>
            </w:pPr>
            <w:r w:rsidRPr="00947F23">
              <w:rPr>
                <w:rFonts w:ascii="標楷體" w:eastAsia="標楷體" w:hAnsi="標楷體"/>
                <w:sz w:val="28"/>
                <w:szCs w:val="28"/>
              </w:rPr>
              <w:t>111.12.</w:t>
            </w:r>
            <w:r w:rsidRPr="00947F23">
              <w:rPr>
                <w:rFonts w:ascii="標楷體" w:eastAsia="標楷體" w:hAnsi="標楷體" w:hint="eastAsia"/>
                <w:sz w:val="28"/>
                <w:szCs w:val="28"/>
              </w:rPr>
              <w:t>26</w:t>
            </w:r>
          </w:p>
          <w:p w:rsidR="00B71A5E" w:rsidRPr="00947F23" w:rsidRDefault="00B71A5E" w:rsidP="00B71A5E">
            <w:pPr>
              <w:spacing w:line="400" w:lineRule="exact"/>
              <w:rPr>
                <w:rFonts w:ascii="標楷體" w:eastAsia="標楷體" w:hAnsi="標楷體"/>
                <w:sz w:val="28"/>
                <w:szCs w:val="28"/>
              </w:rPr>
            </w:pPr>
            <w:r w:rsidRPr="00947F23">
              <w:rPr>
                <w:rFonts w:ascii="標楷體" w:eastAsia="標楷體" w:hAnsi="標楷體" w:hint="eastAsia"/>
                <w:sz w:val="28"/>
                <w:szCs w:val="28"/>
              </w:rPr>
              <w:t>(星期一)</w:t>
            </w:r>
          </w:p>
        </w:tc>
        <w:tc>
          <w:tcPr>
            <w:tcW w:w="779" w:type="pct"/>
            <w:tcBorders>
              <w:top w:val="single" w:sz="4" w:space="0" w:color="auto"/>
              <w:left w:val="single" w:sz="4" w:space="0" w:color="auto"/>
              <w:bottom w:val="single" w:sz="4" w:space="0" w:color="auto"/>
              <w:right w:val="single" w:sz="4" w:space="0" w:color="auto"/>
            </w:tcBorders>
          </w:tcPr>
          <w:p w:rsidR="00B71A5E" w:rsidRPr="00947F23" w:rsidRDefault="00B71A5E" w:rsidP="00B71A5E">
            <w:pPr>
              <w:spacing w:line="400" w:lineRule="exact"/>
              <w:rPr>
                <w:rFonts w:ascii="標楷體" w:eastAsia="標楷體" w:hAnsi="標楷體"/>
                <w:sz w:val="28"/>
                <w:szCs w:val="28"/>
              </w:rPr>
            </w:pPr>
            <w:r w:rsidRPr="00947F23">
              <w:rPr>
                <w:rFonts w:ascii="標楷體" w:eastAsia="標楷體" w:hAnsi="標楷體" w:hint="eastAsia"/>
                <w:sz w:val="28"/>
                <w:szCs w:val="28"/>
              </w:rPr>
              <w:t>第16次全體委員會議</w:t>
            </w:r>
          </w:p>
        </w:tc>
        <w:tc>
          <w:tcPr>
            <w:tcW w:w="811" w:type="pct"/>
            <w:tcBorders>
              <w:top w:val="single" w:sz="4" w:space="0" w:color="auto"/>
              <w:left w:val="single" w:sz="4" w:space="0" w:color="auto"/>
              <w:bottom w:val="single" w:sz="4" w:space="0" w:color="auto"/>
              <w:right w:val="single" w:sz="4" w:space="0" w:color="auto"/>
            </w:tcBorders>
          </w:tcPr>
          <w:p w:rsidR="00B71A5E" w:rsidRPr="00947F23" w:rsidRDefault="00B71A5E" w:rsidP="00B71A5E">
            <w:pPr>
              <w:spacing w:line="400" w:lineRule="exact"/>
              <w:jc w:val="center"/>
              <w:rPr>
                <w:rFonts w:ascii="標楷體" w:eastAsia="標楷體" w:hAnsi="標楷體"/>
                <w:sz w:val="28"/>
                <w:szCs w:val="28"/>
              </w:rPr>
            </w:pPr>
            <w:r w:rsidRPr="00947F23">
              <w:rPr>
                <w:rFonts w:ascii="標楷體" w:eastAsia="標楷體" w:hAnsi="標楷體" w:hint="eastAsia"/>
                <w:sz w:val="28"/>
                <w:szCs w:val="28"/>
              </w:rPr>
              <w:t>陳秀</w:t>
            </w:r>
          </w:p>
        </w:tc>
        <w:tc>
          <w:tcPr>
            <w:tcW w:w="1436" w:type="pct"/>
            <w:tcBorders>
              <w:top w:val="single" w:sz="4" w:space="0" w:color="auto"/>
              <w:left w:val="single" w:sz="4" w:space="0" w:color="auto"/>
              <w:bottom w:val="single" w:sz="4" w:space="0" w:color="auto"/>
              <w:right w:val="single" w:sz="4" w:space="0" w:color="auto"/>
            </w:tcBorders>
          </w:tcPr>
          <w:p w:rsidR="00B71A5E" w:rsidRPr="00947F23" w:rsidRDefault="00B71A5E" w:rsidP="00B71A5E">
            <w:pPr>
              <w:spacing w:line="400" w:lineRule="exact"/>
              <w:jc w:val="both"/>
              <w:rPr>
                <w:rFonts w:ascii="標楷體" w:eastAsia="標楷體" w:hAnsi="標楷體"/>
                <w:color w:val="000000"/>
                <w:sz w:val="28"/>
                <w:szCs w:val="28"/>
              </w:rPr>
            </w:pPr>
            <w:r w:rsidRPr="00947F23">
              <w:rPr>
                <w:rFonts w:ascii="標楷體" w:eastAsia="標楷體" w:hAnsi="標楷體" w:hint="eastAsia"/>
                <w:color w:val="000000"/>
                <w:sz w:val="28"/>
                <w:szCs w:val="28"/>
              </w:rPr>
              <w:t>審查人民請願案1案。</w:t>
            </w:r>
          </w:p>
        </w:tc>
        <w:tc>
          <w:tcPr>
            <w:tcW w:w="929" w:type="pct"/>
            <w:tcBorders>
              <w:top w:val="single" w:sz="4" w:space="0" w:color="auto"/>
              <w:left w:val="single" w:sz="4" w:space="0" w:color="auto"/>
              <w:bottom w:val="single" w:sz="4" w:space="0" w:color="auto"/>
              <w:right w:val="single" w:sz="4" w:space="0" w:color="auto"/>
            </w:tcBorders>
          </w:tcPr>
          <w:p w:rsidR="00B71A5E" w:rsidRPr="00947F23" w:rsidRDefault="00225B53" w:rsidP="00B71A5E">
            <w:pPr>
              <w:spacing w:line="400" w:lineRule="exact"/>
              <w:jc w:val="both"/>
              <w:rPr>
                <w:rFonts w:ascii="標楷體" w:eastAsia="標楷體" w:hAnsi="標楷體"/>
                <w:color w:val="000000"/>
                <w:sz w:val="28"/>
                <w:szCs w:val="28"/>
              </w:rPr>
            </w:pPr>
            <w:r w:rsidRPr="00225B53">
              <w:rPr>
                <w:rFonts w:ascii="標楷體" w:eastAsia="標楷體" w:hAnsi="標楷體" w:hint="eastAsia"/>
                <w:color w:val="000000"/>
                <w:sz w:val="28"/>
                <w:szCs w:val="28"/>
              </w:rPr>
              <w:t>立法院第112卷 第13期(5098)公報下冊</w:t>
            </w:r>
          </w:p>
        </w:tc>
      </w:tr>
    </w:tbl>
    <w:p w:rsidR="00FB74ED" w:rsidRPr="00920597" w:rsidRDefault="00FB74ED" w:rsidP="00F11FBA">
      <w:pPr>
        <w:ind w:leftChars="200" w:left="480"/>
        <w:rPr>
          <w:rFonts w:ascii="標楷體" w:eastAsia="標楷體" w:hAnsi="標楷體"/>
          <w:b/>
          <w:color w:val="000000" w:themeColor="text1"/>
          <w:sz w:val="28"/>
          <w:szCs w:val="28"/>
        </w:rPr>
      </w:pPr>
    </w:p>
    <w:p w:rsidR="00064388" w:rsidRPr="00920597" w:rsidRDefault="006D3A4B" w:rsidP="00F11FBA">
      <w:pPr>
        <w:ind w:leftChars="200" w:left="480"/>
        <w:rPr>
          <w:rFonts w:ascii="標楷體" w:eastAsia="標楷體" w:hAnsi="標楷體"/>
          <w:b/>
          <w:color w:val="000000" w:themeColor="text1"/>
          <w:sz w:val="28"/>
          <w:szCs w:val="28"/>
        </w:rPr>
      </w:pPr>
      <w:r w:rsidRPr="00920597">
        <w:rPr>
          <w:rFonts w:ascii="標楷體" w:eastAsia="標楷體" w:hAnsi="標楷體"/>
          <w:b/>
          <w:color w:val="000000" w:themeColor="text1"/>
          <w:sz w:val="28"/>
          <w:szCs w:val="28"/>
        </w:rPr>
        <w:br w:type="page"/>
      </w:r>
      <w:r w:rsidR="00064388" w:rsidRPr="00920597">
        <w:rPr>
          <w:rFonts w:ascii="標楷體" w:eastAsia="標楷體" w:hAnsi="標楷體" w:hint="eastAsia"/>
          <w:b/>
          <w:color w:val="000000" w:themeColor="text1"/>
          <w:sz w:val="28"/>
          <w:szCs w:val="28"/>
        </w:rPr>
        <w:lastRenderedPageBreak/>
        <w:t>(二)考察活動概況表</w:t>
      </w:r>
    </w:p>
    <w:tbl>
      <w:tblPr>
        <w:tblW w:w="5006" w:type="pct"/>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10"/>
        <w:gridCol w:w="1419"/>
        <w:gridCol w:w="1415"/>
        <w:gridCol w:w="3833"/>
        <w:gridCol w:w="2264"/>
      </w:tblGrid>
      <w:tr w:rsidR="00920597" w:rsidRPr="00920597" w:rsidTr="00392E83">
        <w:trPr>
          <w:cantSplit/>
          <w:trHeight w:val="697"/>
        </w:trPr>
        <w:tc>
          <w:tcPr>
            <w:tcW w:w="368" w:type="pct"/>
            <w:vAlign w:val="center"/>
          </w:tcPr>
          <w:p w:rsidR="00754B97" w:rsidRPr="00920597" w:rsidRDefault="00754B97" w:rsidP="00C564AC">
            <w:pPr>
              <w:widowControl/>
              <w:snapToGrid w:val="0"/>
              <w:jc w:val="center"/>
              <w:rPr>
                <w:rFonts w:ascii="標楷體" w:eastAsia="標楷體" w:hAnsi="標楷體" w:cs="新細明體"/>
                <w:b/>
                <w:bCs/>
                <w:color w:val="000000" w:themeColor="text1"/>
                <w:kern w:val="0"/>
                <w:sz w:val="28"/>
                <w:szCs w:val="28"/>
              </w:rPr>
            </w:pPr>
            <w:r w:rsidRPr="00920597">
              <w:rPr>
                <w:rFonts w:ascii="標楷體" w:eastAsia="標楷體" w:hAnsi="標楷體" w:cs="新細明體" w:hint="eastAsia"/>
                <w:b/>
                <w:bCs/>
                <w:color w:val="000000" w:themeColor="text1"/>
                <w:kern w:val="0"/>
                <w:sz w:val="28"/>
                <w:szCs w:val="28"/>
              </w:rPr>
              <w:t>序號</w:t>
            </w:r>
          </w:p>
        </w:tc>
        <w:tc>
          <w:tcPr>
            <w:tcW w:w="736" w:type="pct"/>
            <w:vAlign w:val="center"/>
          </w:tcPr>
          <w:p w:rsidR="00754B97" w:rsidRPr="00920597" w:rsidRDefault="00754B97" w:rsidP="00CB09CB">
            <w:pPr>
              <w:widowControl/>
              <w:snapToGrid w:val="0"/>
              <w:ind w:rightChars="63" w:right="151" w:firstLineChars="50" w:firstLine="140"/>
              <w:jc w:val="center"/>
              <w:rPr>
                <w:rFonts w:ascii="標楷體" w:eastAsia="標楷體" w:hAnsi="標楷體" w:cs="新細明體"/>
                <w:b/>
                <w:bCs/>
                <w:color w:val="000000" w:themeColor="text1"/>
                <w:kern w:val="0"/>
                <w:sz w:val="28"/>
                <w:szCs w:val="28"/>
              </w:rPr>
            </w:pPr>
            <w:r w:rsidRPr="00920597">
              <w:rPr>
                <w:rFonts w:ascii="標楷體" w:eastAsia="標楷體" w:hAnsi="標楷體" w:cs="新細明體" w:hint="eastAsia"/>
                <w:b/>
                <w:bCs/>
                <w:color w:val="000000" w:themeColor="text1"/>
                <w:kern w:val="0"/>
                <w:sz w:val="28"/>
                <w:szCs w:val="28"/>
              </w:rPr>
              <w:t>日</w:t>
            </w:r>
            <w:r w:rsidR="00392E83" w:rsidRPr="00920597">
              <w:rPr>
                <w:rFonts w:ascii="標楷體" w:eastAsia="標楷體" w:hAnsi="標楷體" w:cs="新細明體" w:hint="eastAsia"/>
                <w:b/>
                <w:bCs/>
                <w:color w:val="000000" w:themeColor="text1"/>
                <w:kern w:val="0"/>
                <w:sz w:val="28"/>
                <w:szCs w:val="28"/>
              </w:rPr>
              <w:t xml:space="preserve"> </w:t>
            </w:r>
            <w:r w:rsidRPr="00920597">
              <w:rPr>
                <w:rFonts w:ascii="標楷體" w:eastAsia="標楷體" w:hAnsi="標楷體" w:cs="新細明體" w:hint="eastAsia"/>
                <w:b/>
                <w:bCs/>
                <w:color w:val="000000" w:themeColor="text1"/>
                <w:kern w:val="0"/>
                <w:sz w:val="28"/>
                <w:szCs w:val="28"/>
              </w:rPr>
              <w:t>期</w:t>
            </w:r>
          </w:p>
        </w:tc>
        <w:tc>
          <w:tcPr>
            <w:tcW w:w="734" w:type="pct"/>
            <w:vAlign w:val="center"/>
          </w:tcPr>
          <w:p w:rsidR="00754B97" w:rsidRPr="00920597" w:rsidRDefault="00754B97" w:rsidP="00754B97">
            <w:pPr>
              <w:widowControl/>
              <w:snapToGrid w:val="0"/>
              <w:jc w:val="center"/>
              <w:rPr>
                <w:rFonts w:ascii="標楷體" w:eastAsia="標楷體" w:hAnsi="標楷體" w:cs="新細明體"/>
                <w:b/>
                <w:bCs/>
                <w:color w:val="000000" w:themeColor="text1"/>
                <w:kern w:val="0"/>
                <w:sz w:val="28"/>
                <w:szCs w:val="28"/>
              </w:rPr>
            </w:pPr>
            <w:r w:rsidRPr="00920597">
              <w:rPr>
                <w:rFonts w:ascii="標楷體" w:eastAsia="標楷體" w:hAnsi="標楷體" w:cs="新細明體" w:hint="eastAsia"/>
                <w:b/>
                <w:bCs/>
                <w:color w:val="000000" w:themeColor="text1"/>
                <w:kern w:val="0"/>
                <w:sz w:val="28"/>
                <w:szCs w:val="28"/>
              </w:rPr>
              <w:t>召集委員</w:t>
            </w:r>
          </w:p>
          <w:p w:rsidR="00754B97" w:rsidRPr="00920597" w:rsidRDefault="00754B97" w:rsidP="00754B97">
            <w:pPr>
              <w:widowControl/>
              <w:snapToGrid w:val="0"/>
              <w:jc w:val="center"/>
              <w:rPr>
                <w:rFonts w:ascii="標楷體" w:eastAsia="標楷體" w:hAnsi="標楷體" w:cs="新細明體"/>
                <w:b/>
                <w:bCs/>
                <w:color w:val="000000" w:themeColor="text1"/>
                <w:kern w:val="0"/>
                <w:sz w:val="32"/>
                <w:szCs w:val="32"/>
              </w:rPr>
            </w:pPr>
            <w:r w:rsidRPr="00920597">
              <w:rPr>
                <w:rFonts w:ascii="標楷體" w:eastAsia="標楷體" w:hAnsi="標楷體" w:cs="新細明體" w:hint="eastAsia"/>
                <w:b/>
                <w:bCs/>
                <w:color w:val="000000" w:themeColor="text1"/>
                <w:kern w:val="0"/>
                <w:sz w:val="28"/>
                <w:szCs w:val="28"/>
              </w:rPr>
              <w:t>(領隊)</w:t>
            </w:r>
          </w:p>
        </w:tc>
        <w:tc>
          <w:tcPr>
            <w:tcW w:w="1988" w:type="pct"/>
            <w:vAlign w:val="center"/>
          </w:tcPr>
          <w:p w:rsidR="00754B97" w:rsidRPr="00920597" w:rsidRDefault="00754B97" w:rsidP="00754B97">
            <w:pPr>
              <w:widowControl/>
              <w:snapToGrid w:val="0"/>
              <w:ind w:left="-28" w:rightChars="2" w:right="5" w:firstLine="2"/>
              <w:jc w:val="center"/>
              <w:rPr>
                <w:rFonts w:ascii="標楷體" w:eastAsia="標楷體" w:hAnsi="標楷體" w:cs="新細明體"/>
                <w:b/>
                <w:bCs/>
                <w:color w:val="000000" w:themeColor="text1"/>
                <w:kern w:val="0"/>
                <w:sz w:val="28"/>
                <w:szCs w:val="28"/>
              </w:rPr>
            </w:pPr>
            <w:r w:rsidRPr="00920597">
              <w:rPr>
                <w:rFonts w:ascii="標楷體" w:eastAsia="標楷體" w:hAnsi="標楷體" w:cs="新細明體" w:hint="eastAsia"/>
                <w:b/>
                <w:bCs/>
                <w:color w:val="000000" w:themeColor="text1"/>
                <w:kern w:val="0"/>
                <w:sz w:val="28"/>
                <w:szCs w:val="28"/>
              </w:rPr>
              <w:t>概</w:t>
            </w:r>
            <w:r w:rsidR="00392E83" w:rsidRPr="00920597">
              <w:rPr>
                <w:rFonts w:ascii="標楷體" w:eastAsia="標楷體" w:hAnsi="標楷體" w:cs="新細明體" w:hint="eastAsia"/>
                <w:b/>
                <w:bCs/>
                <w:color w:val="000000" w:themeColor="text1"/>
                <w:kern w:val="0"/>
                <w:sz w:val="28"/>
                <w:szCs w:val="28"/>
              </w:rPr>
              <w:t xml:space="preserve"> </w:t>
            </w:r>
            <w:r w:rsidRPr="00920597">
              <w:rPr>
                <w:rFonts w:ascii="標楷體" w:eastAsia="標楷體" w:hAnsi="標楷體" w:cs="新細明體" w:hint="eastAsia"/>
                <w:b/>
                <w:bCs/>
                <w:color w:val="000000" w:themeColor="text1"/>
                <w:kern w:val="0"/>
                <w:sz w:val="28"/>
                <w:szCs w:val="28"/>
              </w:rPr>
              <w:t>要</w:t>
            </w:r>
          </w:p>
        </w:tc>
        <w:tc>
          <w:tcPr>
            <w:tcW w:w="1174" w:type="pct"/>
            <w:vAlign w:val="center"/>
          </w:tcPr>
          <w:p w:rsidR="00754B97" w:rsidRPr="00920597" w:rsidRDefault="00754B97" w:rsidP="00754B97">
            <w:pPr>
              <w:widowControl/>
              <w:ind w:left="-28" w:rightChars="2" w:right="5" w:firstLine="2"/>
              <w:jc w:val="center"/>
              <w:rPr>
                <w:rFonts w:ascii="標楷體" w:eastAsia="標楷體" w:hAnsi="標楷體" w:cs="新細明體"/>
                <w:b/>
                <w:bCs/>
                <w:color w:val="000000" w:themeColor="text1"/>
                <w:kern w:val="0"/>
                <w:sz w:val="28"/>
                <w:szCs w:val="28"/>
              </w:rPr>
            </w:pPr>
            <w:r w:rsidRPr="00920597">
              <w:rPr>
                <w:rFonts w:ascii="標楷體" w:eastAsia="標楷體" w:hAnsi="標楷體" w:cs="新細明體" w:hint="eastAsia"/>
                <w:b/>
                <w:bCs/>
                <w:color w:val="000000" w:themeColor="text1"/>
                <w:kern w:val="0"/>
                <w:sz w:val="28"/>
                <w:szCs w:val="28"/>
              </w:rPr>
              <w:t>考察記錄</w:t>
            </w:r>
          </w:p>
          <w:p w:rsidR="00754B97" w:rsidRPr="00920597" w:rsidRDefault="00754B97" w:rsidP="00754B97">
            <w:pPr>
              <w:widowControl/>
              <w:snapToGrid w:val="0"/>
              <w:ind w:left="-28" w:rightChars="2" w:right="5"/>
              <w:jc w:val="both"/>
              <w:rPr>
                <w:rFonts w:ascii="標楷體" w:eastAsia="標楷體" w:hAnsi="標楷體" w:cs="新細明體"/>
                <w:b/>
                <w:bCs/>
                <w:color w:val="000000" w:themeColor="text1"/>
                <w:kern w:val="0"/>
                <w:sz w:val="22"/>
                <w:szCs w:val="22"/>
              </w:rPr>
            </w:pPr>
            <w:r w:rsidRPr="00920597">
              <w:rPr>
                <w:rFonts w:ascii="標楷體" w:eastAsia="標楷體" w:hAnsi="標楷體" w:cs="新細明體" w:hint="eastAsia"/>
                <w:color w:val="000000" w:themeColor="text1"/>
                <w:kern w:val="0"/>
                <w:sz w:val="22"/>
                <w:szCs w:val="22"/>
              </w:rPr>
              <w:t>公告於立法院全球資訊網：「教育及文化委員會/業務成果/考察活動/第10屆」</w:t>
            </w:r>
          </w:p>
        </w:tc>
      </w:tr>
      <w:tr w:rsidR="0011039C" w:rsidRPr="00920597" w:rsidTr="00392E83">
        <w:trPr>
          <w:trHeight w:val="893"/>
        </w:trPr>
        <w:tc>
          <w:tcPr>
            <w:tcW w:w="368" w:type="pct"/>
            <w:vAlign w:val="center"/>
          </w:tcPr>
          <w:p w:rsidR="0011039C" w:rsidRPr="00920597" w:rsidRDefault="0011039C" w:rsidP="006934DD">
            <w:pPr>
              <w:widowControl/>
              <w:numPr>
                <w:ilvl w:val="0"/>
                <w:numId w:val="18"/>
              </w:numPr>
              <w:rPr>
                <w:rFonts w:ascii="標楷體" w:eastAsia="標楷體" w:hAnsi="標楷體"/>
                <w:color w:val="000000" w:themeColor="text1"/>
                <w:sz w:val="28"/>
              </w:rPr>
            </w:pPr>
          </w:p>
        </w:tc>
        <w:tc>
          <w:tcPr>
            <w:tcW w:w="736" w:type="pct"/>
            <w:vAlign w:val="center"/>
          </w:tcPr>
          <w:p w:rsidR="0011039C" w:rsidRPr="008D156F" w:rsidRDefault="0011039C" w:rsidP="0011039C">
            <w:pPr>
              <w:pStyle w:val="a4"/>
              <w:snapToGrid w:val="0"/>
              <w:ind w:leftChars="0" w:left="0"/>
              <w:jc w:val="center"/>
              <w:rPr>
                <w:rFonts w:ascii="標楷體" w:eastAsia="標楷體" w:hAnsi="標楷體"/>
                <w:color w:val="000000"/>
                <w:sz w:val="28"/>
                <w:szCs w:val="28"/>
              </w:rPr>
            </w:pPr>
            <w:r w:rsidRPr="008D156F">
              <w:rPr>
                <w:rFonts w:ascii="標楷體" w:eastAsia="標楷體" w:hAnsi="標楷體" w:hint="eastAsia"/>
                <w:color w:val="000000"/>
                <w:sz w:val="28"/>
                <w:szCs w:val="28"/>
              </w:rPr>
              <w:t>111.10.6</w:t>
            </w:r>
          </w:p>
          <w:p w:rsidR="0011039C" w:rsidRPr="008D156F" w:rsidRDefault="0011039C" w:rsidP="0011039C">
            <w:pPr>
              <w:pStyle w:val="a4"/>
              <w:snapToGrid w:val="0"/>
              <w:ind w:leftChars="0" w:left="0"/>
              <w:jc w:val="center"/>
              <w:rPr>
                <w:rFonts w:ascii="標楷體" w:eastAsia="標楷體" w:hAnsi="標楷體"/>
                <w:color w:val="000000"/>
                <w:sz w:val="28"/>
                <w:szCs w:val="28"/>
              </w:rPr>
            </w:pPr>
            <w:r w:rsidRPr="008D156F">
              <w:rPr>
                <w:rFonts w:ascii="標楷體" w:eastAsia="標楷體" w:hAnsi="標楷體" w:hint="eastAsia"/>
                <w:color w:val="000000"/>
                <w:sz w:val="28"/>
                <w:szCs w:val="28"/>
              </w:rPr>
              <w:t>(星期四)</w:t>
            </w:r>
          </w:p>
        </w:tc>
        <w:tc>
          <w:tcPr>
            <w:tcW w:w="734" w:type="pct"/>
            <w:vAlign w:val="center"/>
          </w:tcPr>
          <w:p w:rsidR="0011039C" w:rsidRPr="008D156F" w:rsidRDefault="0011039C" w:rsidP="0011039C">
            <w:pPr>
              <w:pStyle w:val="a4"/>
              <w:snapToGrid w:val="0"/>
              <w:ind w:leftChars="0" w:left="0"/>
              <w:jc w:val="center"/>
              <w:rPr>
                <w:rFonts w:ascii="標楷體" w:eastAsia="標楷體" w:hAnsi="標楷體"/>
                <w:color w:val="000000"/>
                <w:sz w:val="28"/>
                <w:szCs w:val="28"/>
              </w:rPr>
            </w:pPr>
            <w:r w:rsidRPr="008D156F">
              <w:rPr>
                <w:rFonts w:ascii="標楷體" w:eastAsia="標楷體" w:hAnsi="標楷體" w:hint="eastAsia"/>
                <w:color w:val="000000"/>
                <w:sz w:val="28"/>
                <w:szCs w:val="28"/>
              </w:rPr>
              <w:t>陳秀寳</w:t>
            </w:r>
          </w:p>
        </w:tc>
        <w:tc>
          <w:tcPr>
            <w:tcW w:w="1988" w:type="pct"/>
            <w:vAlign w:val="center"/>
          </w:tcPr>
          <w:p w:rsidR="0011039C" w:rsidRPr="00920597" w:rsidRDefault="0011039C" w:rsidP="0011039C">
            <w:pPr>
              <w:pStyle w:val="a4"/>
              <w:snapToGrid w:val="0"/>
              <w:ind w:leftChars="11" w:left="334" w:hangingChars="110" w:hanging="308"/>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w:t>
            </w:r>
            <w:r w:rsidRPr="0011039C">
              <w:rPr>
                <w:rFonts w:ascii="標楷體" w:eastAsia="標楷體" w:hAnsi="標楷體" w:hint="eastAsia"/>
                <w:color w:val="000000" w:themeColor="text1"/>
                <w:sz w:val="28"/>
                <w:szCs w:val="28"/>
              </w:rPr>
              <w:t>考察國家實驗研究院國家地震工程研究中心。</w:t>
            </w:r>
          </w:p>
          <w:p w:rsidR="0011039C" w:rsidRPr="00920597" w:rsidRDefault="0011039C" w:rsidP="00A871B0">
            <w:pPr>
              <w:pStyle w:val="a4"/>
              <w:snapToGrid w:val="0"/>
              <w:ind w:leftChars="11" w:left="334" w:hangingChars="110" w:hanging="308"/>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2.</w:t>
            </w:r>
            <w:r w:rsidRPr="0011039C">
              <w:rPr>
                <w:rFonts w:ascii="標楷體" w:eastAsia="標楷體" w:hAnsi="標楷體"/>
                <w:color w:val="000000" w:themeColor="text1"/>
                <w:sz w:val="28"/>
                <w:szCs w:val="28"/>
              </w:rPr>
              <w:t>考察簡介：</w:t>
            </w:r>
            <w:r w:rsidRPr="0011039C">
              <w:rPr>
                <w:rFonts w:ascii="標楷體" w:eastAsia="標楷體" w:hAnsi="標楷體" w:hint="eastAsia"/>
                <w:color w:val="000000" w:themeColor="text1"/>
                <w:sz w:val="28"/>
                <w:szCs w:val="28"/>
              </w:rPr>
              <w:t>委員陳秀寳領隊，委員王婉諭同行，由國家科學及技術委員會主任秘書林廣宏等陪同考察。</w:t>
            </w:r>
            <w:r w:rsidRPr="0011039C">
              <w:rPr>
                <w:rFonts w:ascii="標楷體" w:eastAsia="標楷體" w:hAnsi="標楷體"/>
                <w:color w:val="000000" w:themeColor="text1"/>
                <w:sz w:val="28"/>
                <w:szCs w:val="28"/>
              </w:rPr>
              <w:t>(教育及文化委員會職員由簡任</w:t>
            </w:r>
            <w:r w:rsidR="00A871B0">
              <w:rPr>
                <w:rFonts w:ascii="標楷體" w:eastAsia="標楷體" w:hAnsi="標楷體" w:hint="eastAsia"/>
                <w:color w:val="000000" w:themeColor="text1"/>
                <w:sz w:val="28"/>
                <w:szCs w:val="28"/>
              </w:rPr>
              <w:t>秘書</w:t>
            </w:r>
            <w:r w:rsidRPr="0011039C">
              <w:rPr>
                <w:rFonts w:ascii="標楷體" w:eastAsia="標楷體" w:hAnsi="標楷體"/>
                <w:color w:val="000000" w:themeColor="text1"/>
                <w:sz w:val="28"/>
                <w:szCs w:val="28"/>
              </w:rPr>
              <w:t>林素惠、薦任科員郭欽堯陪同)</w:t>
            </w:r>
          </w:p>
        </w:tc>
        <w:tc>
          <w:tcPr>
            <w:tcW w:w="1174" w:type="pct"/>
          </w:tcPr>
          <w:p w:rsidR="0011039C" w:rsidRPr="00920597" w:rsidRDefault="0011039C" w:rsidP="0011039C">
            <w:pPr>
              <w:snapToGrid w:val="0"/>
              <w:ind w:left="-28" w:rightChars="2" w:right="5"/>
              <w:jc w:val="both"/>
              <w:rPr>
                <w:rFonts w:ascii="標楷體" w:eastAsia="標楷體" w:hAnsi="標楷體"/>
                <w:color w:val="000000" w:themeColor="text1"/>
                <w:sz w:val="28"/>
                <w:szCs w:val="28"/>
              </w:rPr>
            </w:pPr>
            <w:r w:rsidRPr="0011039C">
              <w:rPr>
                <w:rFonts w:ascii="標楷體" w:eastAsia="標楷體" w:hAnsi="標楷體" w:hint="eastAsia"/>
                <w:color w:val="000000" w:themeColor="text1"/>
                <w:sz w:val="28"/>
                <w:szCs w:val="28"/>
              </w:rPr>
              <w:t>考察相關資料，請參見「1111006</w:t>
            </w:r>
            <w:r w:rsidRPr="0011039C">
              <w:rPr>
                <w:rFonts w:ascii="標楷體" w:eastAsia="標楷體" w:hAnsi="標楷體"/>
                <w:color w:val="000000" w:themeColor="text1"/>
                <w:sz w:val="28"/>
                <w:szCs w:val="28"/>
              </w:rPr>
              <w:tab/>
              <w:t>考察國家實驗研究院國家地震工程研究中心</w:t>
            </w:r>
            <w:r w:rsidRPr="0011039C">
              <w:rPr>
                <w:rFonts w:ascii="標楷體" w:eastAsia="標楷體" w:hAnsi="標楷體" w:hint="eastAsia"/>
                <w:color w:val="000000" w:themeColor="text1"/>
                <w:sz w:val="28"/>
                <w:szCs w:val="28"/>
              </w:rPr>
              <w:t>」資料夾。</w:t>
            </w:r>
          </w:p>
        </w:tc>
      </w:tr>
      <w:tr w:rsidR="0011039C" w:rsidRPr="00920597" w:rsidTr="00392E83">
        <w:trPr>
          <w:trHeight w:val="893"/>
        </w:trPr>
        <w:tc>
          <w:tcPr>
            <w:tcW w:w="368" w:type="pct"/>
            <w:vAlign w:val="center"/>
          </w:tcPr>
          <w:p w:rsidR="0011039C" w:rsidRPr="00920597" w:rsidRDefault="0011039C" w:rsidP="006934DD">
            <w:pPr>
              <w:widowControl/>
              <w:numPr>
                <w:ilvl w:val="0"/>
                <w:numId w:val="18"/>
              </w:numPr>
              <w:rPr>
                <w:rFonts w:ascii="標楷體" w:eastAsia="標楷體" w:hAnsi="標楷體"/>
                <w:color w:val="000000" w:themeColor="text1"/>
                <w:sz w:val="28"/>
              </w:rPr>
            </w:pPr>
          </w:p>
        </w:tc>
        <w:tc>
          <w:tcPr>
            <w:tcW w:w="736" w:type="pct"/>
            <w:vAlign w:val="center"/>
          </w:tcPr>
          <w:p w:rsidR="0011039C" w:rsidRPr="00DC3717" w:rsidRDefault="0011039C" w:rsidP="00DC3717">
            <w:pPr>
              <w:pStyle w:val="a4"/>
              <w:snapToGrid w:val="0"/>
              <w:ind w:leftChars="0" w:left="0"/>
              <w:jc w:val="center"/>
              <w:rPr>
                <w:rFonts w:ascii="標楷體" w:eastAsia="標楷體" w:hAnsi="標楷體"/>
                <w:color w:val="000000"/>
                <w:sz w:val="28"/>
                <w:szCs w:val="28"/>
              </w:rPr>
            </w:pPr>
            <w:r>
              <w:rPr>
                <w:rFonts w:ascii="標楷體" w:eastAsia="標楷體" w:hAnsi="標楷體" w:hint="eastAsia"/>
                <w:sz w:val="28"/>
                <w:szCs w:val="28"/>
              </w:rPr>
              <w:t xml:space="preserve"> </w:t>
            </w:r>
            <w:r w:rsidRPr="00DC3717">
              <w:rPr>
                <w:rFonts w:ascii="標楷體" w:eastAsia="標楷體" w:hAnsi="標楷體"/>
                <w:color w:val="000000"/>
                <w:sz w:val="28"/>
                <w:szCs w:val="28"/>
              </w:rPr>
              <w:t>111.</w:t>
            </w:r>
            <w:r w:rsidRPr="00DC3717">
              <w:rPr>
                <w:rFonts w:ascii="標楷體" w:eastAsia="標楷體" w:hAnsi="標楷體" w:hint="eastAsia"/>
                <w:color w:val="000000"/>
                <w:sz w:val="28"/>
                <w:szCs w:val="28"/>
              </w:rPr>
              <w:t>10</w:t>
            </w:r>
            <w:r w:rsidRPr="00DC3717">
              <w:rPr>
                <w:rFonts w:ascii="標楷體" w:eastAsia="標楷體" w:hAnsi="標楷體"/>
                <w:color w:val="000000"/>
                <w:sz w:val="28"/>
                <w:szCs w:val="28"/>
              </w:rPr>
              <w:t>.</w:t>
            </w:r>
            <w:r w:rsidRPr="00DC3717">
              <w:rPr>
                <w:rFonts w:ascii="標楷體" w:eastAsia="標楷體" w:hAnsi="標楷體" w:hint="eastAsia"/>
                <w:color w:val="000000"/>
                <w:sz w:val="28"/>
                <w:szCs w:val="28"/>
              </w:rPr>
              <w:t>17</w:t>
            </w:r>
          </w:p>
          <w:p w:rsidR="0011039C" w:rsidRDefault="0011039C" w:rsidP="0011039C">
            <w:pPr>
              <w:pStyle w:val="a4"/>
              <w:snapToGrid w:val="0"/>
              <w:ind w:leftChars="0" w:left="0"/>
              <w:jc w:val="center"/>
              <w:rPr>
                <w:rFonts w:ascii="標楷體" w:eastAsia="標楷體" w:hAnsi="標楷體"/>
                <w:sz w:val="28"/>
                <w:szCs w:val="28"/>
              </w:rPr>
            </w:pPr>
            <w:r w:rsidRPr="00DC3717">
              <w:rPr>
                <w:rFonts w:ascii="標楷體" w:eastAsia="標楷體" w:hAnsi="標楷體"/>
                <w:color w:val="000000"/>
                <w:sz w:val="28"/>
                <w:szCs w:val="28"/>
              </w:rPr>
              <w:t>(星期</w:t>
            </w:r>
            <w:r w:rsidRPr="00DC3717">
              <w:rPr>
                <w:rFonts w:ascii="標楷體" w:eastAsia="標楷體" w:hAnsi="標楷體" w:hint="eastAsia"/>
                <w:color w:val="000000"/>
                <w:sz w:val="28"/>
                <w:szCs w:val="28"/>
              </w:rPr>
              <w:t>一</w:t>
            </w:r>
            <w:r w:rsidRPr="00DC3717">
              <w:rPr>
                <w:rFonts w:ascii="標楷體" w:eastAsia="標楷體" w:hAnsi="標楷體"/>
                <w:color w:val="000000"/>
                <w:sz w:val="28"/>
                <w:szCs w:val="28"/>
              </w:rPr>
              <w:t>)</w:t>
            </w:r>
          </w:p>
        </w:tc>
        <w:tc>
          <w:tcPr>
            <w:tcW w:w="734" w:type="pct"/>
            <w:vAlign w:val="center"/>
          </w:tcPr>
          <w:p w:rsidR="0011039C" w:rsidRPr="00C2562C" w:rsidRDefault="0011039C" w:rsidP="0011039C">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陳秀寳</w:t>
            </w:r>
          </w:p>
        </w:tc>
        <w:tc>
          <w:tcPr>
            <w:tcW w:w="1988" w:type="pct"/>
            <w:vAlign w:val="center"/>
          </w:tcPr>
          <w:p w:rsidR="0011039C" w:rsidRDefault="0011039C" w:rsidP="0011039C">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1.</w:t>
            </w:r>
            <w:r w:rsidRPr="00D6549C">
              <w:rPr>
                <w:rFonts w:ascii="標楷體" w:eastAsia="標楷體" w:hAnsi="標楷體" w:hint="eastAsia"/>
                <w:sz w:val="28"/>
                <w:szCs w:val="28"/>
              </w:rPr>
              <w:t>考察</w:t>
            </w:r>
            <w:r>
              <w:rPr>
                <w:rFonts w:ascii="標楷體" w:eastAsia="標楷體" w:hAnsi="標楷體" w:hint="eastAsia"/>
                <w:sz w:val="28"/>
                <w:szCs w:val="28"/>
              </w:rPr>
              <w:t>彰化</w:t>
            </w:r>
            <w:r w:rsidRPr="00D6549C">
              <w:rPr>
                <w:rFonts w:ascii="標楷體" w:eastAsia="標楷體" w:hAnsi="標楷體" w:hint="eastAsia"/>
                <w:sz w:val="28"/>
                <w:szCs w:val="28"/>
              </w:rPr>
              <w:t>地區文化</w:t>
            </w:r>
            <w:r>
              <w:rPr>
                <w:rFonts w:ascii="標楷體" w:eastAsia="標楷體" w:hAnsi="標楷體" w:hint="eastAsia"/>
                <w:sz w:val="28"/>
                <w:szCs w:val="28"/>
              </w:rPr>
              <w:t>資產建設。</w:t>
            </w:r>
          </w:p>
          <w:p w:rsidR="0011039C" w:rsidRDefault="0011039C" w:rsidP="0011039C">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2.</w:t>
            </w:r>
            <w:r w:rsidRPr="00C2562C">
              <w:rPr>
                <w:rFonts w:ascii="標楷體" w:eastAsia="標楷體" w:hAnsi="標楷體"/>
                <w:sz w:val="28"/>
                <w:szCs w:val="28"/>
              </w:rPr>
              <w:tab/>
            </w:r>
            <w:r>
              <w:rPr>
                <w:rFonts w:ascii="標楷體" w:eastAsia="標楷體" w:hAnsi="標楷體" w:hint="eastAsia"/>
                <w:sz w:val="28"/>
                <w:szCs w:val="28"/>
              </w:rPr>
              <w:t>考</w:t>
            </w:r>
            <w:r w:rsidRPr="00C2562C">
              <w:rPr>
                <w:rFonts w:ascii="標楷體" w:eastAsia="標楷體" w:hAnsi="標楷體"/>
                <w:sz w:val="28"/>
                <w:szCs w:val="28"/>
              </w:rPr>
              <w:t>察簡介：</w:t>
            </w:r>
            <w:r w:rsidRPr="00D6549C">
              <w:rPr>
                <w:rFonts w:ascii="標楷體" w:eastAsia="標楷體" w:hAnsi="標楷體" w:hint="eastAsia"/>
                <w:sz w:val="28"/>
                <w:szCs w:val="28"/>
              </w:rPr>
              <w:t>委員</w:t>
            </w:r>
            <w:r>
              <w:rPr>
                <w:rFonts w:ascii="標楷體" w:eastAsia="標楷體" w:hAnsi="標楷體" w:hint="eastAsia"/>
                <w:sz w:val="28"/>
                <w:szCs w:val="28"/>
              </w:rPr>
              <w:t>陳秀寳</w:t>
            </w:r>
            <w:r w:rsidRPr="00D6549C">
              <w:rPr>
                <w:rFonts w:ascii="標楷體" w:eastAsia="標楷體" w:hAnsi="標楷體" w:hint="eastAsia"/>
                <w:sz w:val="28"/>
                <w:szCs w:val="28"/>
              </w:rPr>
              <w:t>領隊，</w:t>
            </w:r>
            <w:r w:rsidRPr="00C2562C">
              <w:rPr>
                <w:rFonts w:ascii="標楷體" w:eastAsia="標楷體" w:hAnsi="標楷體" w:hint="eastAsia"/>
                <w:sz w:val="28"/>
                <w:szCs w:val="28"/>
              </w:rPr>
              <w:t>委員</w:t>
            </w:r>
            <w:r w:rsidRPr="00C765E2">
              <w:rPr>
                <w:rFonts w:ascii="標楷體" w:eastAsia="標楷體" w:hAnsi="標楷體" w:hint="eastAsia"/>
                <w:sz w:val="28"/>
                <w:szCs w:val="28"/>
              </w:rPr>
              <w:t>王婉諭</w:t>
            </w:r>
            <w:r w:rsidRPr="00C2562C">
              <w:rPr>
                <w:rFonts w:ascii="標楷體" w:eastAsia="標楷體" w:hAnsi="標楷體" w:hint="eastAsia"/>
                <w:sz w:val="28"/>
                <w:szCs w:val="28"/>
              </w:rPr>
              <w:t>、</w:t>
            </w:r>
            <w:r>
              <w:rPr>
                <w:rFonts w:ascii="標楷體" w:eastAsia="標楷體" w:hAnsi="標楷體" w:hint="eastAsia"/>
                <w:sz w:val="28"/>
                <w:szCs w:val="28"/>
              </w:rPr>
              <w:t>黃秀芳</w:t>
            </w:r>
            <w:r w:rsidRPr="00C2562C">
              <w:rPr>
                <w:rFonts w:ascii="標楷體" w:eastAsia="標楷體" w:hAnsi="標楷體" w:hint="eastAsia"/>
                <w:sz w:val="28"/>
                <w:szCs w:val="28"/>
              </w:rPr>
              <w:t>同行，</w:t>
            </w:r>
            <w:r w:rsidRPr="00F64889">
              <w:rPr>
                <w:rFonts w:ascii="標楷體" w:eastAsia="標楷體" w:hAnsi="標楷體" w:hint="eastAsia"/>
                <w:sz w:val="28"/>
                <w:szCs w:val="28"/>
              </w:rPr>
              <w:t>由文化部</w:t>
            </w:r>
            <w:r>
              <w:rPr>
                <w:rFonts w:ascii="標楷體" w:eastAsia="標楷體" w:hAnsi="標楷體" w:hint="eastAsia"/>
                <w:sz w:val="28"/>
                <w:szCs w:val="28"/>
              </w:rPr>
              <w:t>部長李永得、財團法人中央廣播分臺副總臺長李明俐</w:t>
            </w:r>
            <w:r w:rsidRPr="00F64889">
              <w:rPr>
                <w:rFonts w:ascii="標楷體" w:eastAsia="標楷體" w:hAnsi="標楷體" w:hint="eastAsia"/>
                <w:sz w:val="28"/>
                <w:szCs w:val="28"/>
              </w:rPr>
              <w:t>、</w:t>
            </w:r>
            <w:r>
              <w:rPr>
                <w:rFonts w:ascii="標楷體" w:eastAsia="標楷體" w:hAnsi="標楷體" w:hint="eastAsia"/>
                <w:sz w:val="28"/>
                <w:szCs w:val="28"/>
              </w:rPr>
              <w:t>國防部政治作戰局副局長張維新</w:t>
            </w:r>
            <w:r w:rsidRPr="00F64889">
              <w:rPr>
                <w:rFonts w:ascii="標楷體" w:eastAsia="標楷體" w:hAnsi="標楷體" w:hint="eastAsia"/>
                <w:sz w:val="28"/>
                <w:szCs w:val="28"/>
              </w:rPr>
              <w:t>及</w:t>
            </w:r>
            <w:r>
              <w:rPr>
                <w:rFonts w:ascii="標楷體" w:eastAsia="標楷體" w:hAnsi="標楷體" w:hint="eastAsia"/>
                <w:sz w:val="28"/>
                <w:szCs w:val="28"/>
              </w:rPr>
              <w:t>財政部國有財產署中區分署副分署長卓翠雲</w:t>
            </w:r>
            <w:r w:rsidRPr="00F64889">
              <w:rPr>
                <w:rFonts w:ascii="標楷體" w:eastAsia="標楷體" w:hAnsi="標楷體" w:hint="eastAsia"/>
                <w:sz w:val="28"/>
                <w:szCs w:val="28"/>
              </w:rPr>
              <w:t>等陪同</w:t>
            </w:r>
            <w:r>
              <w:rPr>
                <w:rFonts w:ascii="標楷體" w:eastAsia="標楷體" w:hAnsi="標楷體" w:hint="eastAsia"/>
                <w:sz w:val="28"/>
                <w:szCs w:val="28"/>
              </w:rPr>
              <w:t>考察</w:t>
            </w:r>
            <w:r w:rsidRPr="00E2545E">
              <w:rPr>
                <w:rFonts w:ascii="標楷體" w:eastAsia="標楷體" w:hAnsi="標楷體" w:hint="eastAsia"/>
                <w:sz w:val="28"/>
                <w:szCs w:val="28"/>
              </w:rPr>
              <w:t>。</w:t>
            </w:r>
            <w:r w:rsidRPr="00E2545E">
              <w:rPr>
                <w:rFonts w:ascii="標楷體" w:eastAsia="標楷體" w:hAnsi="標楷體"/>
                <w:sz w:val="28"/>
                <w:szCs w:val="28"/>
              </w:rPr>
              <w:t>(教育及文化委員會職員由簡任編審蔡月秋、</w:t>
            </w:r>
            <w:r w:rsidRPr="00C2562C">
              <w:rPr>
                <w:rFonts w:ascii="標楷體" w:eastAsia="標楷體" w:hAnsi="標楷體"/>
                <w:sz w:val="28"/>
                <w:szCs w:val="28"/>
              </w:rPr>
              <w:t>薦任科員</w:t>
            </w:r>
            <w:r>
              <w:rPr>
                <w:rFonts w:ascii="標楷體" w:eastAsia="標楷體" w:hAnsi="標楷體" w:hint="eastAsia"/>
                <w:sz w:val="28"/>
                <w:szCs w:val="28"/>
              </w:rPr>
              <w:t>曾盈慈</w:t>
            </w:r>
            <w:r w:rsidRPr="00E2545E">
              <w:rPr>
                <w:rFonts w:ascii="標楷體" w:eastAsia="標楷體" w:hAnsi="標楷體"/>
                <w:sz w:val="28"/>
                <w:szCs w:val="28"/>
              </w:rPr>
              <w:t>陪同)</w:t>
            </w:r>
          </w:p>
        </w:tc>
        <w:tc>
          <w:tcPr>
            <w:tcW w:w="1174" w:type="pct"/>
          </w:tcPr>
          <w:p w:rsidR="0011039C" w:rsidRPr="00C2562C" w:rsidRDefault="0011039C" w:rsidP="0011039C">
            <w:pPr>
              <w:snapToGrid w:val="0"/>
              <w:ind w:left="-28" w:rightChars="2" w:right="5"/>
              <w:jc w:val="both"/>
              <w:rPr>
                <w:rFonts w:ascii="標楷體" w:eastAsia="標楷體" w:hAnsi="標楷體"/>
                <w:sz w:val="28"/>
                <w:szCs w:val="28"/>
              </w:rPr>
            </w:pPr>
            <w:r w:rsidRPr="00C2562C">
              <w:rPr>
                <w:rFonts w:ascii="標楷體" w:eastAsia="標楷體" w:hAnsi="標楷體" w:hint="eastAsia"/>
                <w:sz w:val="28"/>
                <w:szCs w:val="28"/>
              </w:rPr>
              <w:t>考察相關資料，請參見「</w:t>
            </w:r>
            <w:r w:rsidRPr="00C2562C">
              <w:rPr>
                <w:rFonts w:ascii="標楷體" w:eastAsia="標楷體" w:hAnsi="標楷體"/>
                <w:sz w:val="28"/>
                <w:szCs w:val="28"/>
              </w:rPr>
              <w:t>111</w:t>
            </w:r>
            <w:r>
              <w:rPr>
                <w:rFonts w:ascii="標楷體" w:eastAsia="標楷體" w:hAnsi="標楷體" w:hint="eastAsia"/>
                <w:sz w:val="28"/>
                <w:szCs w:val="28"/>
              </w:rPr>
              <w:t>1017</w:t>
            </w:r>
            <w:r w:rsidRPr="00D6549C">
              <w:rPr>
                <w:rFonts w:ascii="標楷體" w:eastAsia="標楷體" w:hAnsi="標楷體" w:hint="eastAsia"/>
                <w:sz w:val="28"/>
                <w:szCs w:val="28"/>
              </w:rPr>
              <w:t>考察</w:t>
            </w:r>
            <w:r>
              <w:rPr>
                <w:rFonts w:ascii="標楷體" w:eastAsia="標楷體" w:hAnsi="標楷體" w:hint="eastAsia"/>
                <w:sz w:val="28"/>
                <w:szCs w:val="28"/>
              </w:rPr>
              <w:t>彰化</w:t>
            </w:r>
            <w:r w:rsidRPr="00D6549C">
              <w:rPr>
                <w:rFonts w:ascii="標楷體" w:eastAsia="標楷體" w:hAnsi="標楷體" w:hint="eastAsia"/>
                <w:sz w:val="28"/>
                <w:szCs w:val="28"/>
              </w:rPr>
              <w:t>地區文化</w:t>
            </w:r>
            <w:r>
              <w:rPr>
                <w:rFonts w:ascii="標楷體" w:eastAsia="標楷體" w:hAnsi="標楷體" w:hint="eastAsia"/>
                <w:sz w:val="28"/>
                <w:szCs w:val="28"/>
              </w:rPr>
              <w:t>資產建設</w:t>
            </w:r>
            <w:r w:rsidRPr="00C2562C">
              <w:rPr>
                <w:rFonts w:ascii="標楷體" w:eastAsia="標楷體" w:hAnsi="標楷體"/>
                <w:sz w:val="28"/>
                <w:szCs w:val="28"/>
              </w:rPr>
              <w:t>」資料夾。</w:t>
            </w:r>
          </w:p>
        </w:tc>
      </w:tr>
      <w:tr w:rsidR="0011039C" w:rsidRPr="00920597" w:rsidTr="00DC3717">
        <w:trPr>
          <w:trHeight w:val="699"/>
        </w:trPr>
        <w:tc>
          <w:tcPr>
            <w:tcW w:w="368" w:type="pct"/>
            <w:vAlign w:val="center"/>
          </w:tcPr>
          <w:p w:rsidR="0011039C" w:rsidRPr="00920597" w:rsidRDefault="0011039C" w:rsidP="006934DD">
            <w:pPr>
              <w:widowControl/>
              <w:numPr>
                <w:ilvl w:val="0"/>
                <w:numId w:val="18"/>
              </w:numPr>
              <w:rPr>
                <w:rFonts w:ascii="標楷體" w:eastAsia="標楷體" w:hAnsi="標楷體"/>
                <w:color w:val="000000" w:themeColor="text1"/>
                <w:sz w:val="28"/>
              </w:rPr>
            </w:pPr>
          </w:p>
        </w:tc>
        <w:tc>
          <w:tcPr>
            <w:tcW w:w="736" w:type="pct"/>
            <w:vAlign w:val="center"/>
          </w:tcPr>
          <w:p w:rsidR="0011039C" w:rsidRPr="00DC3717" w:rsidRDefault="0011039C" w:rsidP="00DC3717">
            <w:pPr>
              <w:pStyle w:val="a4"/>
              <w:snapToGrid w:val="0"/>
              <w:ind w:leftChars="0" w:left="0"/>
              <w:jc w:val="center"/>
              <w:rPr>
                <w:rFonts w:ascii="標楷體" w:eastAsia="標楷體" w:hAnsi="標楷體"/>
                <w:color w:val="000000"/>
                <w:sz w:val="28"/>
                <w:szCs w:val="28"/>
              </w:rPr>
            </w:pPr>
            <w:r>
              <w:rPr>
                <w:rFonts w:ascii="標楷體" w:eastAsia="標楷體" w:hAnsi="標楷體" w:hint="eastAsia"/>
                <w:sz w:val="28"/>
                <w:szCs w:val="28"/>
              </w:rPr>
              <w:t xml:space="preserve"> </w:t>
            </w:r>
            <w:r w:rsidRPr="00DC3717">
              <w:rPr>
                <w:rFonts w:ascii="標楷體" w:eastAsia="標楷體" w:hAnsi="標楷體"/>
                <w:color w:val="000000"/>
                <w:sz w:val="28"/>
                <w:szCs w:val="28"/>
              </w:rPr>
              <w:t>111.</w:t>
            </w:r>
            <w:r w:rsidRPr="00DC3717">
              <w:rPr>
                <w:rFonts w:ascii="標楷體" w:eastAsia="標楷體" w:hAnsi="標楷體" w:hint="eastAsia"/>
                <w:color w:val="000000"/>
                <w:sz w:val="28"/>
                <w:szCs w:val="28"/>
              </w:rPr>
              <w:t>10</w:t>
            </w:r>
            <w:r w:rsidRPr="00DC3717">
              <w:rPr>
                <w:rFonts w:ascii="標楷體" w:eastAsia="標楷體" w:hAnsi="標楷體"/>
                <w:color w:val="000000"/>
                <w:sz w:val="28"/>
                <w:szCs w:val="28"/>
              </w:rPr>
              <w:t>.26</w:t>
            </w:r>
          </w:p>
          <w:p w:rsidR="0011039C" w:rsidRDefault="0011039C" w:rsidP="00DC3717">
            <w:pPr>
              <w:pStyle w:val="a4"/>
              <w:snapToGrid w:val="0"/>
              <w:ind w:leftChars="0" w:left="0"/>
              <w:jc w:val="center"/>
              <w:rPr>
                <w:rFonts w:ascii="標楷體" w:eastAsia="標楷體" w:hAnsi="標楷體"/>
                <w:sz w:val="28"/>
                <w:szCs w:val="28"/>
              </w:rPr>
            </w:pPr>
            <w:r w:rsidRPr="00DC3717">
              <w:rPr>
                <w:rFonts w:ascii="標楷體" w:eastAsia="標楷體" w:hAnsi="標楷體"/>
                <w:color w:val="000000"/>
                <w:sz w:val="28"/>
                <w:szCs w:val="28"/>
              </w:rPr>
              <w:t>(星期</w:t>
            </w:r>
            <w:r w:rsidRPr="00DC3717">
              <w:rPr>
                <w:rFonts w:ascii="標楷體" w:eastAsia="標楷體" w:hAnsi="標楷體" w:hint="eastAsia"/>
                <w:color w:val="000000"/>
                <w:sz w:val="28"/>
                <w:szCs w:val="28"/>
              </w:rPr>
              <w:t>三</w:t>
            </w:r>
            <w:r w:rsidRPr="00DC3717">
              <w:rPr>
                <w:rFonts w:ascii="標楷體" w:eastAsia="標楷體" w:hAnsi="標楷體"/>
                <w:color w:val="000000"/>
                <w:sz w:val="28"/>
                <w:szCs w:val="28"/>
              </w:rPr>
              <w:t>)</w:t>
            </w:r>
          </w:p>
        </w:tc>
        <w:tc>
          <w:tcPr>
            <w:tcW w:w="734" w:type="pct"/>
            <w:vAlign w:val="center"/>
          </w:tcPr>
          <w:p w:rsidR="0011039C" w:rsidRPr="00C2562C" w:rsidRDefault="0011039C" w:rsidP="0011039C">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鄭正鈐</w:t>
            </w:r>
          </w:p>
        </w:tc>
        <w:tc>
          <w:tcPr>
            <w:tcW w:w="1988" w:type="pct"/>
            <w:vAlign w:val="center"/>
          </w:tcPr>
          <w:p w:rsidR="0011039C" w:rsidRDefault="0011039C" w:rsidP="0011039C">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1.</w:t>
            </w:r>
            <w:r w:rsidRPr="00766BBD">
              <w:rPr>
                <w:rFonts w:ascii="標楷體" w:eastAsia="標楷體" w:hAnsi="標楷體" w:hint="eastAsia"/>
                <w:sz w:val="28"/>
                <w:szCs w:val="28"/>
              </w:rPr>
              <w:t>考察桃園市新設完全中學招生之規劃</w:t>
            </w:r>
            <w:r>
              <w:rPr>
                <w:rFonts w:ascii="標楷體" w:eastAsia="標楷體" w:hAnsi="標楷體" w:hint="eastAsia"/>
                <w:sz w:val="28"/>
                <w:szCs w:val="28"/>
              </w:rPr>
              <w:t>。</w:t>
            </w:r>
          </w:p>
          <w:p w:rsidR="0011039C" w:rsidRPr="00766BBD" w:rsidRDefault="0011039C" w:rsidP="0011039C">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2.</w:t>
            </w:r>
            <w:r w:rsidRPr="00C2562C">
              <w:rPr>
                <w:rFonts w:ascii="標楷體" w:eastAsia="標楷體" w:hAnsi="標楷體"/>
                <w:sz w:val="28"/>
                <w:szCs w:val="28"/>
              </w:rPr>
              <w:tab/>
              <w:t>考察簡介：</w:t>
            </w:r>
            <w:r w:rsidRPr="00766BBD">
              <w:rPr>
                <w:rFonts w:ascii="標楷體" w:eastAsia="標楷體" w:hAnsi="標楷體" w:hint="eastAsia"/>
                <w:sz w:val="28"/>
                <w:szCs w:val="28"/>
              </w:rPr>
              <w:t>召集委員鄭正鈐領隊，委員萬美玲、賴香伶同行，教育部政務次長蔡清華、國民及學前教育署署長彭富源及桃園市政府教育局局長林明裕等人陪同考察並舉行座談會。</w:t>
            </w:r>
            <w:r w:rsidRPr="00766BBD">
              <w:rPr>
                <w:rFonts w:ascii="標楷體" w:eastAsia="標楷體" w:hAnsi="標楷體"/>
                <w:sz w:val="28"/>
                <w:szCs w:val="28"/>
              </w:rPr>
              <w:t>(教育及文化</w:t>
            </w:r>
            <w:r w:rsidRPr="00766BBD">
              <w:rPr>
                <w:rFonts w:ascii="標楷體" w:eastAsia="標楷體" w:hAnsi="標楷體"/>
                <w:sz w:val="28"/>
                <w:szCs w:val="28"/>
              </w:rPr>
              <w:lastRenderedPageBreak/>
              <w:t>委員會職員由主任秘書陳錫欽、薦任科員黃敏萱陪同)</w:t>
            </w:r>
          </w:p>
        </w:tc>
        <w:tc>
          <w:tcPr>
            <w:tcW w:w="1174" w:type="pct"/>
          </w:tcPr>
          <w:p w:rsidR="0011039C" w:rsidRPr="00C2562C" w:rsidRDefault="0011039C" w:rsidP="0011039C">
            <w:pPr>
              <w:snapToGrid w:val="0"/>
              <w:ind w:left="-28" w:rightChars="2" w:right="5"/>
              <w:jc w:val="both"/>
              <w:rPr>
                <w:rFonts w:ascii="標楷體" w:eastAsia="標楷體" w:hAnsi="標楷體"/>
                <w:sz w:val="28"/>
                <w:szCs w:val="28"/>
              </w:rPr>
            </w:pPr>
            <w:r w:rsidRPr="00C2562C">
              <w:rPr>
                <w:rFonts w:ascii="標楷體" w:eastAsia="標楷體" w:hAnsi="標楷體" w:hint="eastAsia"/>
                <w:sz w:val="28"/>
                <w:szCs w:val="28"/>
              </w:rPr>
              <w:lastRenderedPageBreak/>
              <w:t>考察相關資料，請參見「</w:t>
            </w:r>
            <w:r w:rsidRPr="00C2562C">
              <w:rPr>
                <w:rFonts w:ascii="標楷體" w:eastAsia="標楷體" w:hAnsi="標楷體"/>
                <w:sz w:val="28"/>
                <w:szCs w:val="28"/>
              </w:rPr>
              <w:t>111</w:t>
            </w:r>
            <w:r>
              <w:rPr>
                <w:rFonts w:ascii="標楷體" w:eastAsia="標楷體" w:hAnsi="標楷體" w:hint="eastAsia"/>
                <w:sz w:val="28"/>
                <w:szCs w:val="28"/>
              </w:rPr>
              <w:t>1026</w:t>
            </w:r>
            <w:r w:rsidRPr="00766BBD">
              <w:rPr>
                <w:rFonts w:ascii="標楷體" w:eastAsia="標楷體" w:hAnsi="標楷體" w:hint="eastAsia"/>
                <w:sz w:val="28"/>
                <w:szCs w:val="28"/>
              </w:rPr>
              <w:t>考察桃園市新設完全中學招生之規劃</w:t>
            </w:r>
            <w:r w:rsidRPr="00C2562C">
              <w:rPr>
                <w:rFonts w:ascii="標楷體" w:eastAsia="標楷體" w:hAnsi="標楷體"/>
                <w:sz w:val="28"/>
                <w:szCs w:val="28"/>
              </w:rPr>
              <w:t>」資料夾。</w:t>
            </w:r>
          </w:p>
        </w:tc>
      </w:tr>
      <w:tr w:rsidR="0011039C" w:rsidRPr="00920597" w:rsidTr="00392E83">
        <w:trPr>
          <w:trHeight w:val="893"/>
        </w:trPr>
        <w:tc>
          <w:tcPr>
            <w:tcW w:w="368" w:type="pct"/>
            <w:vAlign w:val="center"/>
          </w:tcPr>
          <w:p w:rsidR="0011039C" w:rsidRPr="00920597" w:rsidRDefault="0011039C" w:rsidP="006934DD">
            <w:pPr>
              <w:widowControl/>
              <w:numPr>
                <w:ilvl w:val="0"/>
                <w:numId w:val="18"/>
              </w:numPr>
              <w:rPr>
                <w:rFonts w:ascii="標楷體" w:eastAsia="標楷體" w:hAnsi="標楷體"/>
                <w:color w:val="000000" w:themeColor="text1"/>
                <w:sz w:val="28"/>
              </w:rPr>
            </w:pPr>
          </w:p>
        </w:tc>
        <w:tc>
          <w:tcPr>
            <w:tcW w:w="736" w:type="pct"/>
            <w:vAlign w:val="center"/>
          </w:tcPr>
          <w:p w:rsidR="0011039C" w:rsidRPr="00DC3717" w:rsidRDefault="0011039C" w:rsidP="00DC3717">
            <w:pPr>
              <w:pStyle w:val="a4"/>
              <w:snapToGrid w:val="0"/>
              <w:ind w:leftChars="0" w:left="0"/>
              <w:jc w:val="center"/>
              <w:rPr>
                <w:rFonts w:ascii="標楷體" w:eastAsia="標楷體" w:hAnsi="標楷體"/>
                <w:color w:val="000000"/>
                <w:sz w:val="28"/>
                <w:szCs w:val="28"/>
              </w:rPr>
            </w:pPr>
            <w:r>
              <w:rPr>
                <w:rFonts w:ascii="標楷體" w:eastAsia="標楷體" w:hAnsi="標楷體" w:hint="eastAsia"/>
                <w:sz w:val="28"/>
                <w:szCs w:val="28"/>
              </w:rPr>
              <w:t xml:space="preserve"> </w:t>
            </w:r>
            <w:r w:rsidRPr="00DC3717">
              <w:rPr>
                <w:rFonts w:ascii="標楷體" w:eastAsia="標楷體" w:hAnsi="標楷體"/>
                <w:color w:val="000000"/>
                <w:sz w:val="28"/>
                <w:szCs w:val="28"/>
              </w:rPr>
              <w:t>111.</w:t>
            </w:r>
            <w:r w:rsidRPr="00DC3717">
              <w:rPr>
                <w:rFonts w:ascii="標楷體" w:eastAsia="標楷體" w:hAnsi="標楷體" w:hint="eastAsia"/>
                <w:color w:val="000000"/>
                <w:sz w:val="28"/>
                <w:szCs w:val="28"/>
              </w:rPr>
              <w:t>10</w:t>
            </w:r>
            <w:r w:rsidRPr="00DC3717">
              <w:rPr>
                <w:rFonts w:ascii="標楷體" w:eastAsia="標楷體" w:hAnsi="標楷體"/>
                <w:color w:val="000000"/>
                <w:sz w:val="28"/>
                <w:szCs w:val="28"/>
              </w:rPr>
              <w:t>.</w:t>
            </w:r>
            <w:r w:rsidRPr="00DC3717">
              <w:rPr>
                <w:rFonts w:ascii="標楷體" w:eastAsia="標楷體" w:hAnsi="標楷體" w:hint="eastAsia"/>
                <w:color w:val="000000"/>
                <w:sz w:val="28"/>
                <w:szCs w:val="28"/>
              </w:rPr>
              <w:t>27</w:t>
            </w:r>
          </w:p>
          <w:p w:rsidR="0011039C" w:rsidRDefault="0011039C" w:rsidP="00DC3717">
            <w:pPr>
              <w:pStyle w:val="a4"/>
              <w:snapToGrid w:val="0"/>
              <w:ind w:leftChars="0" w:left="0"/>
              <w:jc w:val="center"/>
              <w:rPr>
                <w:rFonts w:ascii="標楷體" w:eastAsia="標楷體" w:hAnsi="標楷體"/>
                <w:sz w:val="28"/>
                <w:szCs w:val="28"/>
              </w:rPr>
            </w:pPr>
            <w:r w:rsidRPr="00DC3717">
              <w:rPr>
                <w:rFonts w:ascii="標楷體" w:eastAsia="標楷體" w:hAnsi="標楷體"/>
                <w:color w:val="000000"/>
                <w:sz w:val="28"/>
                <w:szCs w:val="28"/>
              </w:rPr>
              <w:t>(星期</w:t>
            </w:r>
            <w:r w:rsidRPr="00DC3717">
              <w:rPr>
                <w:rFonts w:ascii="標楷體" w:eastAsia="標楷體" w:hAnsi="標楷體" w:hint="eastAsia"/>
                <w:color w:val="000000"/>
                <w:sz w:val="28"/>
                <w:szCs w:val="28"/>
              </w:rPr>
              <w:t>四</w:t>
            </w:r>
            <w:r w:rsidRPr="00DC3717">
              <w:rPr>
                <w:rFonts w:ascii="標楷體" w:eastAsia="標楷體" w:hAnsi="標楷體"/>
                <w:color w:val="000000"/>
                <w:sz w:val="28"/>
                <w:szCs w:val="28"/>
              </w:rPr>
              <w:t>)</w:t>
            </w:r>
          </w:p>
        </w:tc>
        <w:tc>
          <w:tcPr>
            <w:tcW w:w="734" w:type="pct"/>
            <w:vAlign w:val="center"/>
          </w:tcPr>
          <w:p w:rsidR="0011039C" w:rsidRPr="00C2562C" w:rsidRDefault="0011039C" w:rsidP="0011039C">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鄭正鈐</w:t>
            </w:r>
          </w:p>
        </w:tc>
        <w:tc>
          <w:tcPr>
            <w:tcW w:w="1988" w:type="pct"/>
            <w:vAlign w:val="center"/>
          </w:tcPr>
          <w:p w:rsidR="0011039C" w:rsidRDefault="0011039C" w:rsidP="0011039C">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1.</w:t>
            </w:r>
            <w:r w:rsidRPr="00766BBD">
              <w:rPr>
                <w:rFonts w:ascii="標楷體" w:eastAsia="標楷體" w:hAnsi="標楷體" w:hint="eastAsia"/>
                <w:sz w:val="28"/>
                <w:szCs w:val="28"/>
              </w:rPr>
              <w:t>考察新竹市立棒球場場地缺失改善進度與香山綜合休閒運動館（香山國民運動中心）新建現況及新竹市國民運動中心設施</w:t>
            </w:r>
            <w:r>
              <w:rPr>
                <w:rFonts w:ascii="標楷體" w:eastAsia="標楷體" w:hAnsi="標楷體" w:hint="eastAsia"/>
                <w:sz w:val="28"/>
                <w:szCs w:val="28"/>
              </w:rPr>
              <w:t>。</w:t>
            </w:r>
          </w:p>
          <w:p w:rsidR="0011039C" w:rsidRPr="00766BBD" w:rsidRDefault="0011039C" w:rsidP="00E35620">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2.</w:t>
            </w:r>
            <w:r w:rsidRPr="00C2562C">
              <w:rPr>
                <w:rFonts w:ascii="標楷體" w:eastAsia="標楷體" w:hAnsi="標楷體"/>
                <w:sz w:val="28"/>
                <w:szCs w:val="28"/>
              </w:rPr>
              <w:t>考察簡介：</w:t>
            </w:r>
            <w:r w:rsidRPr="00766BBD">
              <w:rPr>
                <w:rFonts w:ascii="標楷體" w:eastAsia="標楷體" w:hAnsi="標楷體" w:hint="eastAsia"/>
                <w:sz w:val="28"/>
                <w:szCs w:val="28"/>
              </w:rPr>
              <w:t>委員鄭正鈐領隊，委員張廖萬堅同行，由教育部常務次長兼體育署代理署長林騰蛟、體育署副組長蔡文娟、副研究員詹家誠、執行秘書蘇錦雀、新竹市政府秘書長江盛任、教育處處長賴榮光、工務處處長葉時青、行政處處長張哲修等陪同考察並舉行座談會。</w:t>
            </w:r>
            <w:r w:rsidRPr="00766BBD">
              <w:rPr>
                <w:rFonts w:ascii="標楷體" w:eastAsia="標楷體" w:hAnsi="標楷體"/>
                <w:sz w:val="28"/>
                <w:szCs w:val="28"/>
              </w:rPr>
              <w:t>(教育及文化委員會職員由專門委員朱蔚菁、薦任科員李宗一陪同)</w:t>
            </w:r>
          </w:p>
        </w:tc>
        <w:tc>
          <w:tcPr>
            <w:tcW w:w="1174" w:type="pct"/>
          </w:tcPr>
          <w:p w:rsidR="0011039C" w:rsidRPr="00C2562C" w:rsidRDefault="0011039C" w:rsidP="0011039C">
            <w:pPr>
              <w:snapToGrid w:val="0"/>
              <w:ind w:left="-28" w:rightChars="2" w:right="5"/>
              <w:jc w:val="both"/>
              <w:rPr>
                <w:rFonts w:ascii="標楷體" w:eastAsia="標楷體" w:hAnsi="標楷體"/>
                <w:sz w:val="28"/>
                <w:szCs w:val="28"/>
              </w:rPr>
            </w:pPr>
            <w:r w:rsidRPr="00C2562C">
              <w:rPr>
                <w:rFonts w:ascii="標楷體" w:eastAsia="標楷體" w:hAnsi="標楷體" w:hint="eastAsia"/>
                <w:sz w:val="28"/>
                <w:szCs w:val="28"/>
              </w:rPr>
              <w:t>考察相關資料，請參見「</w:t>
            </w:r>
            <w:r w:rsidRPr="00C2562C">
              <w:rPr>
                <w:rFonts w:ascii="標楷體" w:eastAsia="標楷體" w:hAnsi="標楷體"/>
                <w:sz w:val="28"/>
                <w:szCs w:val="28"/>
              </w:rPr>
              <w:t>111</w:t>
            </w:r>
            <w:r>
              <w:rPr>
                <w:rFonts w:ascii="標楷體" w:eastAsia="標楷體" w:hAnsi="標楷體" w:hint="eastAsia"/>
                <w:sz w:val="28"/>
                <w:szCs w:val="28"/>
              </w:rPr>
              <w:t>1027</w:t>
            </w:r>
            <w:r w:rsidRPr="00766BBD">
              <w:rPr>
                <w:rFonts w:ascii="標楷體" w:eastAsia="標楷體" w:hAnsi="標楷體" w:hint="eastAsia"/>
                <w:sz w:val="28"/>
                <w:szCs w:val="28"/>
              </w:rPr>
              <w:t>考察新竹市立棒球場場地缺失改善進度與香山綜合休閒運動館（香山國民運動中心）新建現況及新竹市國民運動中心設施</w:t>
            </w:r>
            <w:r w:rsidRPr="00C2562C">
              <w:rPr>
                <w:rFonts w:ascii="標楷體" w:eastAsia="標楷體" w:hAnsi="標楷體"/>
                <w:sz w:val="28"/>
                <w:szCs w:val="28"/>
              </w:rPr>
              <w:t>」資料夾。</w:t>
            </w:r>
          </w:p>
        </w:tc>
      </w:tr>
      <w:tr w:rsidR="0011039C" w:rsidRPr="00920597" w:rsidTr="0011039C">
        <w:trPr>
          <w:trHeight w:val="893"/>
        </w:trPr>
        <w:tc>
          <w:tcPr>
            <w:tcW w:w="368" w:type="pct"/>
            <w:vAlign w:val="center"/>
          </w:tcPr>
          <w:p w:rsidR="0011039C" w:rsidRPr="00920597" w:rsidRDefault="0011039C" w:rsidP="006934DD">
            <w:pPr>
              <w:widowControl/>
              <w:numPr>
                <w:ilvl w:val="0"/>
                <w:numId w:val="18"/>
              </w:numPr>
              <w:rPr>
                <w:rFonts w:ascii="標楷體" w:eastAsia="標楷體" w:hAnsi="標楷體"/>
                <w:color w:val="000000" w:themeColor="text1"/>
                <w:sz w:val="28"/>
              </w:rPr>
            </w:pPr>
          </w:p>
        </w:tc>
        <w:tc>
          <w:tcPr>
            <w:tcW w:w="736" w:type="pct"/>
            <w:vAlign w:val="center"/>
          </w:tcPr>
          <w:p w:rsidR="0011039C" w:rsidRPr="00DC3717" w:rsidRDefault="0011039C" w:rsidP="00DC3717">
            <w:pPr>
              <w:pStyle w:val="a4"/>
              <w:snapToGrid w:val="0"/>
              <w:ind w:leftChars="0" w:left="0"/>
              <w:jc w:val="center"/>
              <w:rPr>
                <w:rFonts w:ascii="標楷體" w:eastAsia="標楷體" w:hAnsi="標楷體"/>
                <w:color w:val="000000"/>
                <w:sz w:val="28"/>
                <w:szCs w:val="28"/>
              </w:rPr>
            </w:pPr>
            <w:r w:rsidRPr="00DC3717">
              <w:rPr>
                <w:rFonts w:ascii="標楷體" w:eastAsia="標楷體" w:hAnsi="標楷體"/>
                <w:color w:val="000000"/>
                <w:sz w:val="28"/>
                <w:szCs w:val="28"/>
              </w:rPr>
              <w:t>111.</w:t>
            </w:r>
            <w:r w:rsidRPr="00DC3717">
              <w:rPr>
                <w:rFonts w:ascii="標楷體" w:eastAsia="標楷體" w:hAnsi="標楷體" w:hint="eastAsia"/>
                <w:color w:val="000000"/>
                <w:sz w:val="28"/>
                <w:szCs w:val="28"/>
              </w:rPr>
              <w:t>10</w:t>
            </w:r>
            <w:r w:rsidRPr="00DC3717">
              <w:rPr>
                <w:rFonts w:ascii="標楷體" w:eastAsia="標楷體" w:hAnsi="標楷體"/>
                <w:color w:val="000000"/>
                <w:sz w:val="28"/>
                <w:szCs w:val="28"/>
              </w:rPr>
              <w:t>.</w:t>
            </w:r>
            <w:r w:rsidRPr="00DC3717">
              <w:rPr>
                <w:rFonts w:ascii="標楷體" w:eastAsia="標楷體" w:hAnsi="標楷體" w:hint="eastAsia"/>
                <w:color w:val="000000"/>
                <w:sz w:val="28"/>
                <w:szCs w:val="28"/>
              </w:rPr>
              <w:t>31</w:t>
            </w:r>
          </w:p>
          <w:p w:rsidR="0011039C" w:rsidRDefault="0011039C" w:rsidP="00DC3717">
            <w:pPr>
              <w:pStyle w:val="a4"/>
              <w:snapToGrid w:val="0"/>
              <w:ind w:leftChars="0" w:left="0"/>
              <w:jc w:val="center"/>
              <w:rPr>
                <w:rFonts w:ascii="標楷體" w:eastAsia="標楷體" w:hAnsi="標楷體"/>
                <w:sz w:val="28"/>
                <w:szCs w:val="28"/>
              </w:rPr>
            </w:pPr>
            <w:r w:rsidRPr="00DC3717">
              <w:rPr>
                <w:rFonts w:ascii="標楷體" w:eastAsia="標楷體" w:hAnsi="標楷體"/>
                <w:color w:val="000000"/>
                <w:sz w:val="28"/>
                <w:szCs w:val="28"/>
              </w:rPr>
              <w:t>(星期</w:t>
            </w:r>
            <w:r w:rsidRPr="00DC3717">
              <w:rPr>
                <w:rFonts w:ascii="標楷體" w:eastAsia="標楷體" w:hAnsi="標楷體" w:hint="eastAsia"/>
                <w:color w:val="000000"/>
                <w:sz w:val="28"/>
                <w:szCs w:val="28"/>
              </w:rPr>
              <w:t>一</w:t>
            </w:r>
            <w:r w:rsidRPr="00DC3717">
              <w:rPr>
                <w:rFonts w:ascii="標楷體" w:eastAsia="標楷體" w:hAnsi="標楷體"/>
                <w:color w:val="000000"/>
                <w:sz w:val="28"/>
                <w:szCs w:val="28"/>
              </w:rPr>
              <w:t>)</w:t>
            </w:r>
          </w:p>
        </w:tc>
        <w:tc>
          <w:tcPr>
            <w:tcW w:w="734" w:type="pct"/>
            <w:vAlign w:val="center"/>
          </w:tcPr>
          <w:p w:rsidR="0011039C" w:rsidRDefault="0011039C" w:rsidP="0011039C">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陳秀寳</w:t>
            </w:r>
          </w:p>
        </w:tc>
        <w:tc>
          <w:tcPr>
            <w:tcW w:w="1988" w:type="pct"/>
            <w:vAlign w:val="center"/>
          </w:tcPr>
          <w:p w:rsidR="0011039C" w:rsidRDefault="0011039C" w:rsidP="0011039C">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1.</w:t>
            </w:r>
            <w:r w:rsidRPr="0017469D">
              <w:rPr>
                <w:rFonts w:eastAsia="標楷體" w:hint="eastAsia"/>
                <w:color w:val="000000"/>
                <w:sz w:val="28"/>
                <w:szCs w:val="28"/>
              </w:rPr>
              <w:t>考察新北地區藝文建設</w:t>
            </w:r>
            <w:r>
              <w:rPr>
                <w:rFonts w:ascii="標楷體" w:eastAsia="標楷體" w:hAnsi="標楷體" w:hint="eastAsia"/>
                <w:sz w:val="28"/>
                <w:szCs w:val="28"/>
              </w:rPr>
              <w:t>。</w:t>
            </w:r>
          </w:p>
          <w:p w:rsidR="0011039C" w:rsidRDefault="0011039C" w:rsidP="0011039C">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2.</w:t>
            </w:r>
            <w:r w:rsidRPr="00C2562C">
              <w:rPr>
                <w:rFonts w:ascii="標楷體" w:eastAsia="標楷體" w:hAnsi="標楷體"/>
                <w:sz w:val="28"/>
                <w:szCs w:val="28"/>
              </w:rPr>
              <w:tab/>
              <w:t>考察簡介：</w:t>
            </w:r>
            <w:r w:rsidRPr="0017469D">
              <w:rPr>
                <w:rFonts w:eastAsia="標楷體" w:hint="eastAsia"/>
                <w:color w:val="000000"/>
                <w:sz w:val="28"/>
                <w:szCs w:val="28"/>
              </w:rPr>
              <w:t>委員范雲領隊，委員蘇巧慧同行，文化部政務次長蕭宗煌</w:t>
            </w:r>
            <w:r w:rsidRPr="0017469D">
              <w:rPr>
                <w:rFonts w:ascii="標楷體" w:eastAsia="標楷體" w:hAnsi="標楷體" w:hint="eastAsia"/>
                <w:color w:val="000000"/>
                <w:sz w:val="28"/>
                <w:szCs w:val="28"/>
              </w:rPr>
              <w:t>、</w:t>
            </w:r>
            <w:r w:rsidRPr="0017469D">
              <w:rPr>
                <w:rFonts w:eastAsia="標楷體" w:hint="eastAsia"/>
                <w:color w:val="000000"/>
                <w:sz w:val="28"/>
                <w:szCs w:val="28"/>
              </w:rPr>
              <w:t>藝術發展司司長陳春蘭、經濟部工業局組長林碧郁、台灣設計研究院副院長艾淑婷</w:t>
            </w:r>
            <w:r w:rsidRPr="0017469D">
              <w:rPr>
                <w:rFonts w:ascii="標楷體" w:eastAsia="標楷體" w:hAnsi="標楷體" w:hint="eastAsia"/>
                <w:color w:val="000000"/>
                <w:sz w:val="28"/>
                <w:szCs w:val="28"/>
              </w:rPr>
              <w:t>、</w:t>
            </w:r>
            <w:r w:rsidRPr="0017469D">
              <w:rPr>
                <w:rFonts w:eastAsia="標楷體" w:hint="eastAsia"/>
                <w:color w:val="000000"/>
                <w:sz w:val="28"/>
                <w:szCs w:val="28"/>
              </w:rPr>
              <w:t>交通部臺灣鐵路管理局副局長朱來順</w:t>
            </w:r>
            <w:r w:rsidRPr="00766BBD">
              <w:rPr>
                <w:rFonts w:ascii="標楷體" w:eastAsia="標楷體" w:hAnsi="標楷體" w:hint="eastAsia"/>
                <w:sz w:val="28"/>
                <w:szCs w:val="28"/>
              </w:rPr>
              <w:t>等陪同考察並舉行座談會。</w:t>
            </w:r>
            <w:r w:rsidRPr="00766BBD">
              <w:rPr>
                <w:rFonts w:ascii="標楷體" w:eastAsia="標楷體" w:hAnsi="標楷體"/>
                <w:sz w:val="28"/>
                <w:szCs w:val="28"/>
              </w:rPr>
              <w:t>(教育及文化委員會職員由</w:t>
            </w:r>
            <w:r w:rsidR="00DC3717" w:rsidRPr="00DC3717">
              <w:rPr>
                <w:rFonts w:ascii="標楷體" w:eastAsia="標楷體" w:hAnsi="標楷體"/>
                <w:sz w:val="28"/>
                <w:szCs w:val="28"/>
              </w:rPr>
              <w:t>簡任</w:t>
            </w:r>
            <w:r>
              <w:rPr>
                <w:rFonts w:ascii="標楷體" w:eastAsia="標楷體" w:hAnsi="標楷體" w:hint="eastAsia"/>
                <w:sz w:val="28"/>
                <w:szCs w:val="28"/>
              </w:rPr>
              <w:t>編審蔡月秋</w:t>
            </w:r>
            <w:r>
              <w:rPr>
                <w:rFonts w:ascii="標楷體" w:eastAsia="標楷體" w:hAnsi="標楷體"/>
                <w:sz w:val="28"/>
                <w:szCs w:val="28"/>
              </w:rPr>
              <w:t>、</w:t>
            </w:r>
            <w:r>
              <w:rPr>
                <w:rFonts w:ascii="標楷體" w:eastAsia="標楷體" w:hAnsi="標楷體" w:hint="eastAsia"/>
                <w:sz w:val="28"/>
                <w:szCs w:val="28"/>
              </w:rPr>
              <w:t>專員高珮玲</w:t>
            </w:r>
            <w:r w:rsidRPr="00766BBD">
              <w:rPr>
                <w:rFonts w:ascii="標楷體" w:eastAsia="標楷體" w:hAnsi="標楷體"/>
                <w:sz w:val="28"/>
                <w:szCs w:val="28"/>
              </w:rPr>
              <w:t>陪同)</w:t>
            </w:r>
          </w:p>
        </w:tc>
        <w:tc>
          <w:tcPr>
            <w:tcW w:w="1174" w:type="pct"/>
          </w:tcPr>
          <w:p w:rsidR="0011039C" w:rsidRPr="00C2562C" w:rsidRDefault="0011039C" w:rsidP="0011039C">
            <w:pPr>
              <w:snapToGrid w:val="0"/>
              <w:ind w:left="-28" w:rightChars="2" w:right="5"/>
              <w:jc w:val="both"/>
              <w:rPr>
                <w:rFonts w:ascii="標楷體" w:eastAsia="標楷體" w:hAnsi="標楷體"/>
                <w:sz w:val="28"/>
                <w:szCs w:val="28"/>
              </w:rPr>
            </w:pPr>
            <w:r w:rsidRPr="00C2562C">
              <w:rPr>
                <w:rFonts w:ascii="標楷體" w:eastAsia="標楷體" w:hAnsi="標楷體" w:hint="eastAsia"/>
                <w:sz w:val="28"/>
                <w:szCs w:val="28"/>
              </w:rPr>
              <w:t>考察相關資料，請參見「</w:t>
            </w:r>
            <w:r w:rsidRPr="00C2562C">
              <w:rPr>
                <w:rFonts w:ascii="標楷體" w:eastAsia="標楷體" w:hAnsi="標楷體"/>
                <w:sz w:val="28"/>
                <w:szCs w:val="28"/>
              </w:rPr>
              <w:t>111</w:t>
            </w:r>
            <w:r>
              <w:rPr>
                <w:rFonts w:ascii="標楷體" w:eastAsia="標楷體" w:hAnsi="標楷體" w:hint="eastAsia"/>
                <w:sz w:val="28"/>
                <w:szCs w:val="28"/>
              </w:rPr>
              <w:t>1031</w:t>
            </w:r>
            <w:r w:rsidRPr="0017469D">
              <w:rPr>
                <w:rFonts w:eastAsia="標楷體" w:hint="eastAsia"/>
                <w:color w:val="000000"/>
                <w:sz w:val="28"/>
                <w:szCs w:val="28"/>
              </w:rPr>
              <w:t>考察新北地區藝文建設</w:t>
            </w:r>
            <w:r w:rsidRPr="00C2562C">
              <w:rPr>
                <w:rFonts w:ascii="標楷體" w:eastAsia="標楷體" w:hAnsi="標楷體"/>
                <w:sz w:val="28"/>
                <w:szCs w:val="28"/>
              </w:rPr>
              <w:t>」資料夾。</w:t>
            </w:r>
          </w:p>
        </w:tc>
      </w:tr>
      <w:tr w:rsidR="0011039C" w:rsidRPr="00920597" w:rsidTr="0011039C">
        <w:trPr>
          <w:trHeight w:val="416"/>
        </w:trPr>
        <w:tc>
          <w:tcPr>
            <w:tcW w:w="368" w:type="pct"/>
            <w:vAlign w:val="center"/>
          </w:tcPr>
          <w:p w:rsidR="0011039C" w:rsidRPr="00920597" w:rsidRDefault="0011039C" w:rsidP="006934DD">
            <w:pPr>
              <w:widowControl/>
              <w:numPr>
                <w:ilvl w:val="0"/>
                <w:numId w:val="18"/>
              </w:numPr>
              <w:rPr>
                <w:rFonts w:ascii="標楷體" w:eastAsia="標楷體" w:hAnsi="標楷體"/>
                <w:color w:val="000000" w:themeColor="text1"/>
                <w:sz w:val="28"/>
              </w:rPr>
            </w:pPr>
          </w:p>
        </w:tc>
        <w:tc>
          <w:tcPr>
            <w:tcW w:w="736" w:type="pct"/>
            <w:vAlign w:val="center"/>
          </w:tcPr>
          <w:p w:rsidR="0011039C" w:rsidRPr="00DC3717" w:rsidRDefault="0011039C" w:rsidP="00DC3717">
            <w:pPr>
              <w:pStyle w:val="a4"/>
              <w:snapToGrid w:val="0"/>
              <w:ind w:leftChars="0" w:left="0"/>
              <w:jc w:val="center"/>
              <w:rPr>
                <w:rFonts w:ascii="標楷體" w:eastAsia="標楷體" w:hAnsi="標楷體"/>
                <w:color w:val="000000"/>
                <w:sz w:val="28"/>
                <w:szCs w:val="28"/>
              </w:rPr>
            </w:pPr>
            <w:r w:rsidRPr="00DC3717">
              <w:rPr>
                <w:rFonts w:ascii="標楷體" w:eastAsia="標楷體" w:hAnsi="標楷體"/>
                <w:color w:val="000000"/>
                <w:sz w:val="28"/>
                <w:szCs w:val="28"/>
              </w:rPr>
              <w:t>111.</w:t>
            </w:r>
            <w:r w:rsidRPr="00DC3717">
              <w:rPr>
                <w:rFonts w:ascii="標楷體" w:eastAsia="標楷體" w:hAnsi="標楷體" w:hint="eastAsia"/>
                <w:color w:val="000000"/>
                <w:sz w:val="28"/>
                <w:szCs w:val="28"/>
              </w:rPr>
              <w:t>11</w:t>
            </w:r>
            <w:r w:rsidRPr="00DC3717">
              <w:rPr>
                <w:rFonts w:ascii="標楷體" w:eastAsia="標楷體" w:hAnsi="標楷體"/>
                <w:color w:val="000000"/>
                <w:sz w:val="28"/>
                <w:szCs w:val="28"/>
              </w:rPr>
              <w:t>.</w:t>
            </w:r>
            <w:r w:rsidRPr="00DC3717">
              <w:rPr>
                <w:rFonts w:ascii="標楷體" w:eastAsia="標楷體" w:hAnsi="標楷體" w:hint="eastAsia"/>
                <w:color w:val="000000"/>
                <w:sz w:val="28"/>
                <w:szCs w:val="28"/>
              </w:rPr>
              <w:t>7</w:t>
            </w:r>
          </w:p>
          <w:p w:rsidR="0011039C" w:rsidRDefault="0011039C" w:rsidP="00DC3717">
            <w:pPr>
              <w:pStyle w:val="a4"/>
              <w:snapToGrid w:val="0"/>
              <w:ind w:leftChars="0" w:left="0"/>
              <w:jc w:val="center"/>
              <w:rPr>
                <w:rFonts w:ascii="標楷體" w:eastAsia="標楷體" w:hAnsi="標楷體"/>
                <w:sz w:val="28"/>
                <w:szCs w:val="28"/>
              </w:rPr>
            </w:pPr>
            <w:r w:rsidRPr="00DC3717">
              <w:rPr>
                <w:rFonts w:ascii="標楷體" w:eastAsia="標楷體" w:hAnsi="標楷體"/>
                <w:color w:val="000000"/>
                <w:sz w:val="28"/>
                <w:szCs w:val="28"/>
              </w:rPr>
              <w:t>(星期</w:t>
            </w:r>
            <w:r w:rsidRPr="00DC3717">
              <w:rPr>
                <w:rFonts w:ascii="標楷體" w:eastAsia="標楷體" w:hAnsi="標楷體" w:hint="eastAsia"/>
                <w:color w:val="000000"/>
                <w:sz w:val="28"/>
                <w:szCs w:val="28"/>
              </w:rPr>
              <w:t>一</w:t>
            </w:r>
            <w:r w:rsidRPr="00DC3717">
              <w:rPr>
                <w:rFonts w:ascii="標楷體" w:eastAsia="標楷體" w:hAnsi="標楷體"/>
                <w:color w:val="000000"/>
                <w:sz w:val="28"/>
                <w:szCs w:val="28"/>
              </w:rPr>
              <w:t>)</w:t>
            </w:r>
          </w:p>
        </w:tc>
        <w:tc>
          <w:tcPr>
            <w:tcW w:w="734" w:type="pct"/>
            <w:vAlign w:val="center"/>
          </w:tcPr>
          <w:p w:rsidR="0011039C" w:rsidRDefault="0011039C" w:rsidP="0011039C">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鄭正鈐</w:t>
            </w:r>
          </w:p>
        </w:tc>
        <w:tc>
          <w:tcPr>
            <w:tcW w:w="1988" w:type="pct"/>
            <w:vAlign w:val="center"/>
          </w:tcPr>
          <w:p w:rsidR="0011039C" w:rsidRDefault="0011039C" w:rsidP="0011039C">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1.考察國立故宮博物院庫房文物保存及管理情形。</w:t>
            </w:r>
          </w:p>
          <w:p w:rsidR="0011039C" w:rsidRDefault="0011039C" w:rsidP="0011039C">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2.</w:t>
            </w:r>
            <w:r w:rsidRPr="00C2562C">
              <w:rPr>
                <w:rFonts w:ascii="標楷體" w:eastAsia="標楷體" w:hAnsi="標楷體"/>
                <w:sz w:val="28"/>
                <w:szCs w:val="28"/>
              </w:rPr>
              <w:tab/>
              <w:t>考察簡介：</w:t>
            </w:r>
            <w:r w:rsidRPr="00DA5B0F">
              <w:rPr>
                <w:rFonts w:ascii="標楷體" w:eastAsia="標楷體" w:hAnsi="標楷體" w:hint="eastAsia"/>
                <w:sz w:val="28"/>
                <w:szCs w:val="28"/>
              </w:rPr>
              <w:t>委員鄭正鈐領隊，委員王婉諭、吳怡玎、林奕華、林德福、陳玉珍、陳以信同行，國立故宮博物</w:t>
            </w:r>
            <w:r w:rsidRPr="00DA5B0F">
              <w:rPr>
                <w:rFonts w:ascii="標楷體" w:eastAsia="標楷體" w:hAnsi="標楷體" w:hint="eastAsia"/>
                <w:sz w:val="28"/>
                <w:szCs w:val="28"/>
              </w:rPr>
              <w:lastRenderedPageBreak/>
              <w:t>院院長吳密察等人陪同考察</w:t>
            </w:r>
            <w:r w:rsidRPr="009F76B6">
              <w:rPr>
                <w:rFonts w:ascii="標楷體" w:eastAsia="標楷體" w:hAnsi="標楷體" w:hint="eastAsia"/>
                <w:sz w:val="28"/>
                <w:szCs w:val="28"/>
              </w:rPr>
              <w:t>並舉行座談會</w:t>
            </w:r>
            <w:r w:rsidRPr="00DA5B0F">
              <w:rPr>
                <w:rFonts w:ascii="標楷體" w:eastAsia="標楷體" w:hAnsi="標楷體" w:hint="eastAsia"/>
                <w:sz w:val="28"/>
                <w:szCs w:val="28"/>
              </w:rPr>
              <w:t>。</w:t>
            </w:r>
            <w:r w:rsidRPr="00DA5B0F">
              <w:rPr>
                <w:rFonts w:ascii="標楷體" w:eastAsia="標楷體" w:hAnsi="標楷體"/>
                <w:sz w:val="28"/>
                <w:szCs w:val="28"/>
              </w:rPr>
              <w:t>(教育及文化委員會職員由簡任秘書林素惠、科長蔡國治陪同)</w:t>
            </w:r>
          </w:p>
        </w:tc>
        <w:tc>
          <w:tcPr>
            <w:tcW w:w="1174" w:type="pct"/>
          </w:tcPr>
          <w:p w:rsidR="0011039C" w:rsidRPr="00C2562C" w:rsidRDefault="0011039C" w:rsidP="0011039C">
            <w:pPr>
              <w:snapToGrid w:val="0"/>
              <w:ind w:left="-28" w:rightChars="2" w:right="5"/>
              <w:jc w:val="both"/>
              <w:rPr>
                <w:rFonts w:ascii="標楷體" w:eastAsia="標楷體" w:hAnsi="標楷體"/>
                <w:sz w:val="28"/>
                <w:szCs w:val="28"/>
              </w:rPr>
            </w:pPr>
            <w:r w:rsidRPr="00C2562C">
              <w:rPr>
                <w:rFonts w:ascii="標楷體" w:eastAsia="標楷體" w:hAnsi="標楷體" w:hint="eastAsia"/>
                <w:sz w:val="28"/>
                <w:szCs w:val="28"/>
              </w:rPr>
              <w:lastRenderedPageBreak/>
              <w:t>考察相關資料，請參見「</w:t>
            </w:r>
            <w:r w:rsidRPr="00C2562C">
              <w:rPr>
                <w:rFonts w:ascii="標楷體" w:eastAsia="標楷體" w:hAnsi="標楷體"/>
                <w:sz w:val="28"/>
                <w:szCs w:val="28"/>
              </w:rPr>
              <w:t>111</w:t>
            </w:r>
            <w:r>
              <w:rPr>
                <w:rFonts w:ascii="標楷體" w:eastAsia="標楷體" w:hAnsi="標楷體" w:hint="eastAsia"/>
                <w:sz w:val="28"/>
                <w:szCs w:val="28"/>
              </w:rPr>
              <w:t>1107</w:t>
            </w:r>
            <w:r w:rsidRPr="00C979B3">
              <w:rPr>
                <w:rFonts w:ascii="標楷體" w:eastAsia="標楷體" w:hAnsi="標楷體" w:hint="eastAsia"/>
                <w:sz w:val="28"/>
                <w:szCs w:val="28"/>
              </w:rPr>
              <w:t>考察國立故宮博物院庫房文物保存及管理情形</w:t>
            </w:r>
            <w:r w:rsidRPr="00C2562C">
              <w:rPr>
                <w:rFonts w:ascii="標楷體" w:eastAsia="標楷體" w:hAnsi="標楷體"/>
                <w:sz w:val="28"/>
                <w:szCs w:val="28"/>
              </w:rPr>
              <w:t>」資料夾。</w:t>
            </w:r>
          </w:p>
        </w:tc>
      </w:tr>
      <w:tr w:rsidR="0011039C" w:rsidRPr="00920597" w:rsidTr="0011039C">
        <w:trPr>
          <w:trHeight w:val="558"/>
        </w:trPr>
        <w:tc>
          <w:tcPr>
            <w:tcW w:w="368" w:type="pct"/>
            <w:vAlign w:val="center"/>
          </w:tcPr>
          <w:p w:rsidR="0011039C" w:rsidRPr="00920597" w:rsidRDefault="0011039C" w:rsidP="006934DD">
            <w:pPr>
              <w:widowControl/>
              <w:numPr>
                <w:ilvl w:val="0"/>
                <w:numId w:val="18"/>
              </w:numPr>
              <w:rPr>
                <w:rFonts w:ascii="標楷體" w:eastAsia="標楷體" w:hAnsi="標楷體"/>
                <w:color w:val="000000" w:themeColor="text1"/>
                <w:sz w:val="28"/>
              </w:rPr>
            </w:pPr>
          </w:p>
        </w:tc>
        <w:tc>
          <w:tcPr>
            <w:tcW w:w="736" w:type="pct"/>
            <w:vAlign w:val="center"/>
          </w:tcPr>
          <w:p w:rsidR="0011039C" w:rsidRPr="00DC3717" w:rsidRDefault="0011039C" w:rsidP="00DC3717">
            <w:pPr>
              <w:pStyle w:val="a4"/>
              <w:snapToGrid w:val="0"/>
              <w:ind w:leftChars="0" w:left="0"/>
              <w:jc w:val="center"/>
              <w:rPr>
                <w:rFonts w:ascii="標楷體" w:eastAsia="標楷體" w:hAnsi="標楷體"/>
                <w:color w:val="000000"/>
                <w:sz w:val="28"/>
                <w:szCs w:val="28"/>
              </w:rPr>
            </w:pPr>
            <w:r w:rsidRPr="00DC3717">
              <w:rPr>
                <w:rFonts w:ascii="標楷體" w:eastAsia="標楷體" w:hAnsi="標楷體"/>
                <w:color w:val="000000"/>
                <w:sz w:val="28"/>
                <w:szCs w:val="28"/>
              </w:rPr>
              <w:t>111.</w:t>
            </w:r>
            <w:r w:rsidRPr="00DC3717">
              <w:rPr>
                <w:rFonts w:ascii="標楷體" w:eastAsia="標楷體" w:hAnsi="標楷體" w:hint="eastAsia"/>
                <w:color w:val="000000"/>
                <w:sz w:val="28"/>
                <w:szCs w:val="28"/>
              </w:rPr>
              <w:t>11</w:t>
            </w:r>
            <w:r w:rsidRPr="00DC3717">
              <w:rPr>
                <w:rFonts w:ascii="標楷體" w:eastAsia="標楷體" w:hAnsi="標楷體"/>
                <w:color w:val="000000"/>
                <w:sz w:val="28"/>
                <w:szCs w:val="28"/>
              </w:rPr>
              <w:t>.</w:t>
            </w:r>
            <w:r w:rsidRPr="00DC3717">
              <w:rPr>
                <w:rFonts w:ascii="標楷體" w:eastAsia="標楷體" w:hAnsi="標楷體" w:hint="eastAsia"/>
                <w:color w:val="000000"/>
                <w:sz w:val="28"/>
                <w:szCs w:val="28"/>
              </w:rPr>
              <w:t>14</w:t>
            </w:r>
          </w:p>
          <w:p w:rsidR="0011039C" w:rsidRDefault="0011039C" w:rsidP="00DC3717">
            <w:pPr>
              <w:pStyle w:val="a4"/>
              <w:snapToGrid w:val="0"/>
              <w:ind w:leftChars="0" w:left="0"/>
              <w:jc w:val="center"/>
              <w:rPr>
                <w:rFonts w:ascii="標楷體" w:eastAsia="標楷體" w:hAnsi="標楷體"/>
                <w:sz w:val="28"/>
                <w:szCs w:val="28"/>
              </w:rPr>
            </w:pPr>
            <w:r w:rsidRPr="00DC3717">
              <w:rPr>
                <w:rFonts w:ascii="標楷體" w:eastAsia="標楷體" w:hAnsi="標楷體"/>
                <w:color w:val="000000"/>
                <w:sz w:val="28"/>
                <w:szCs w:val="28"/>
              </w:rPr>
              <w:t>(星期</w:t>
            </w:r>
            <w:r w:rsidRPr="00DC3717">
              <w:rPr>
                <w:rFonts w:ascii="標楷體" w:eastAsia="標楷體" w:hAnsi="標楷體" w:hint="eastAsia"/>
                <w:color w:val="000000"/>
                <w:sz w:val="28"/>
                <w:szCs w:val="28"/>
              </w:rPr>
              <w:t>一</w:t>
            </w:r>
            <w:r w:rsidRPr="00DC3717">
              <w:rPr>
                <w:rFonts w:ascii="標楷體" w:eastAsia="標楷體" w:hAnsi="標楷體"/>
                <w:color w:val="000000"/>
                <w:sz w:val="28"/>
                <w:szCs w:val="28"/>
              </w:rPr>
              <w:t>)</w:t>
            </w:r>
          </w:p>
        </w:tc>
        <w:tc>
          <w:tcPr>
            <w:tcW w:w="734" w:type="pct"/>
            <w:vAlign w:val="center"/>
          </w:tcPr>
          <w:p w:rsidR="0011039C" w:rsidRDefault="0011039C" w:rsidP="0011039C">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陳秀寳</w:t>
            </w:r>
          </w:p>
        </w:tc>
        <w:tc>
          <w:tcPr>
            <w:tcW w:w="1988" w:type="pct"/>
            <w:vAlign w:val="center"/>
          </w:tcPr>
          <w:p w:rsidR="0011039C" w:rsidRPr="0011039C" w:rsidRDefault="0011039C" w:rsidP="0011039C">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1.</w:t>
            </w:r>
            <w:r w:rsidRPr="0011039C">
              <w:rPr>
                <w:rFonts w:ascii="標楷體" w:eastAsia="標楷體" w:hAnsi="標楷體" w:hint="eastAsia"/>
                <w:sz w:val="28"/>
                <w:szCs w:val="28"/>
              </w:rPr>
              <w:t>考察台中市學校教育及體育設施。</w:t>
            </w:r>
          </w:p>
          <w:p w:rsidR="0011039C" w:rsidRPr="00456487" w:rsidRDefault="0011039C" w:rsidP="0011039C">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2.</w:t>
            </w:r>
            <w:r w:rsidRPr="00456487">
              <w:rPr>
                <w:rFonts w:ascii="標楷體" w:eastAsia="標楷體" w:hAnsi="標楷體" w:hint="eastAsia"/>
                <w:sz w:val="28"/>
                <w:szCs w:val="28"/>
              </w:rPr>
              <w:t>考察簡介：委員黃國書</w:t>
            </w:r>
            <w:r>
              <w:rPr>
                <w:rFonts w:ascii="標楷體" w:eastAsia="標楷體" w:hAnsi="標楷體" w:hint="eastAsia"/>
                <w:sz w:val="28"/>
                <w:szCs w:val="28"/>
              </w:rPr>
              <w:t>、</w:t>
            </w:r>
            <w:r w:rsidRPr="00456487">
              <w:rPr>
                <w:rFonts w:ascii="標楷體" w:eastAsia="標楷體" w:hAnsi="標楷體"/>
                <w:sz w:val="28"/>
                <w:szCs w:val="28"/>
              </w:rPr>
              <w:t>張廖萬堅領隊，由教育部政務次長蔡清華陪同</w:t>
            </w:r>
            <w:r>
              <w:rPr>
                <w:rFonts w:ascii="標楷體" w:eastAsia="標楷體" w:hAnsi="標楷體" w:hint="eastAsia"/>
                <w:sz w:val="28"/>
                <w:szCs w:val="28"/>
              </w:rPr>
              <w:t>考察</w:t>
            </w:r>
            <w:r w:rsidRPr="00456487">
              <w:rPr>
                <w:rFonts w:ascii="標楷體" w:eastAsia="標楷體" w:hAnsi="標楷體"/>
                <w:sz w:val="28"/>
                <w:szCs w:val="28"/>
              </w:rPr>
              <w:t>。(教育及文化委員會職員由主任秘書陳錫欽、薦任科員郭欽堯陪同)</w:t>
            </w:r>
          </w:p>
        </w:tc>
        <w:tc>
          <w:tcPr>
            <w:tcW w:w="1174" w:type="pct"/>
          </w:tcPr>
          <w:p w:rsidR="0011039C" w:rsidRPr="00C2562C" w:rsidRDefault="0011039C" w:rsidP="0011039C">
            <w:pPr>
              <w:snapToGrid w:val="0"/>
              <w:ind w:left="-28" w:rightChars="2" w:right="5"/>
              <w:jc w:val="both"/>
              <w:rPr>
                <w:rFonts w:ascii="標楷體" w:eastAsia="標楷體" w:hAnsi="標楷體"/>
                <w:sz w:val="28"/>
                <w:szCs w:val="28"/>
              </w:rPr>
            </w:pPr>
            <w:r w:rsidRPr="00C2562C">
              <w:rPr>
                <w:rFonts w:ascii="標楷體" w:eastAsia="標楷體" w:hAnsi="標楷體" w:hint="eastAsia"/>
                <w:sz w:val="28"/>
                <w:szCs w:val="28"/>
              </w:rPr>
              <w:t>考察相關資料，請參見「</w:t>
            </w:r>
            <w:r w:rsidRPr="00C2562C">
              <w:rPr>
                <w:rFonts w:ascii="標楷體" w:eastAsia="標楷體" w:hAnsi="標楷體"/>
                <w:sz w:val="28"/>
                <w:szCs w:val="28"/>
              </w:rPr>
              <w:t>111</w:t>
            </w:r>
            <w:r>
              <w:rPr>
                <w:rFonts w:ascii="標楷體" w:eastAsia="標楷體" w:hAnsi="標楷體" w:hint="eastAsia"/>
                <w:sz w:val="28"/>
                <w:szCs w:val="28"/>
              </w:rPr>
              <w:t>1114</w:t>
            </w:r>
            <w:r w:rsidRPr="00456487">
              <w:rPr>
                <w:rFonts w:ascii="標楷體" w:eastAsia="標楷體" w:hAnsi="標楷體"/>
                <w:sz w:val="28"/>
                <w:szCs w:val="28"/>
              </w:rPr>
              <w:tab/>
              <w:t>考察台中市學校教育及體育設施</w:t>
            </w:r>
            <w:r w:rsidRPr="00C2562C">
              <w:rPr>
                <w:rFonts w:ascii="標楷體" w:eastAsia="標楷體" w:hAnsi="標楷體"/>
                <w:sz w:val="28"/>
                <w:szCs w:val="28"/>
              </w:rPr>
              <w:t>」資料夾。</w:t>
            </w:r>
          </w:p>
        </w:tc>
      </w:tr>
      <w:tr w:rsidR="0011039C" w:rsidRPr="00920597" w:rsidTr="00B5510D">
        <w:trPr>
          <w:trHeight w:val="558"/>
        </w:trPr>
        <w:tc>
          <w:tcPr>
            <w:tcW w:w="368" w:type="pct"/>
            <w:vAlign w:val="center"/>
          </w:tcPr>
          <w:p w:rsidR="0011039C" w:rsidRPr="00920597" w:rsidRDefault="0011039C" w:rsidP="006934DD">
            <w:pPr>
              <w:widowControl/>
              <w:numPr>
                <w:ilvl w:val="0"/>
                <w:numId w:val="18"/>
              </w:numPr>
              <w:rPr>
                <w:rFonts w:ascii="標楷體" w:eastAsia="標楷體" w:hAnsi="標楷體"/>
                <w:color w:val="000000" w:themeColor="text1"/>
                <w:sz w:val="28"/>
              </w:rPr>
            </w:pPr>
          </w:p>
        </w:tc>
        <w:tc>
          <w:tcPr>
            <w:tcW w:w="736" w:type="pct"/>
            <w:vAlign w:val="center"/>
          </w:tcPr>
          <w:p w:rsidR="0011039C" w:rsidRPr="00DC3717" w:rsidRDefault="0011039C" w:rsidP="00DC3717">
            <w:pPr>
              <w:pStyle w:val="a4"/>
              <w:snapToGrid w:val="0"/>
              <w:ind w:leftChars="0" w:left="0"/>
              <w:jc w:val="center"/>
              <w:rPr>
                <w:rFonts w:ascii="標楷體" w:eastAsia="標楷體" w:hAnsi="標楷體"/>
                <w:color w:val="000000"/>
                <w:sz w:val="28"/>
                <w:szCs w:val="28"/>
              </w:rPr>
            </w:pPr>
            <w:r w:rsidRPr="00DC3717">
              <w:rPr>
                <w:rFonts w:ascii="標楷體" w:eastAsia="標楷體" w:hAnsi="標楷體"/>
                <w:color w:val="000000"/>
                <w:sz w:val="28"/>
                <w:szCs w:val="28"/>
              </w:rPr>
              <w:t>111.</w:t>
            </w:r>
            <w:r w:rsidRPr="00DC3717">
              <w:rPr>
                <w:rFonts w:ascii="標楷體" w:eastAsia="標楷體" w:hAnsi="標楷體" w:hint="eastAsia"/>
                <w:color w:val="000000"/>
                <w:sz w:val="28"/>
                <w:szCs w:val="28"/>
              </w:rPr>
              <w:t>11</w:t>
            </w:r>
            <w:r w:rsidRPr="00DC3717">
              <w:rPr>
                <w:rFonts w:ascii="標楷體" w:eastAsia="標楷體" w:hAnsi="標楷體"/>
                <w:color w:val="000000"/>
                <w:sz w:val="28"/>
                <w:szCs w:val="28"/>
              </w:rPr>
              <w:t>.</w:t>
            </w:r>
            <w:r w:rsidRPr="00DC3717">
              <w:rPr>
                <w:rFonts w:ascii="標楷體" w:eastAsia="標楷體" w:hAnsi="標楷體" w:hint="eastAsia"/>
                <w:color w:val="000000"/>
                <w:sz w:val="28"/>
                <w:szCs w:val="28"/>
              </w:rPr>
              <w:t>17</w:t>
            </w:r>
          </w:p>
          <w:p w:rsidR="0011039C" w:rsidRDefault="0011039C" w:rsidP="00DC3717">
            <w:pPr>
              <w:pStyle w:val="a4"/>
              <w:snapToGrid w:val="0"/>
              <w:ind w:leftChars="0" w:left="0"/>
              <w:jc w:val="center"/>
              <w:rPr>
                <w:rFonts w:ascii="標楷體" w:eastAsia="標楷體" w:hAnsi="標楷體"/>
                <w:sz w:val="28"/>
                <w:szCs w:val="28"/>
              </w:rPr>
            </w:pPr>
            <w:r w:rsidRPr="00DC3717">
              <w:rPr>
                <w:rFonts w:ascii="標楷體" w:eastAsia="標楷體" w:hAnsi="標楷體"/>
                <w:color w:val="000000"/>
                <w:sz w:val="28"/>
                <w:szCs w:val="28"/>
              </w:rPr>
              <w:t>(星期</w:t>
            </w:r>
            <w:r w:rsidRPr="00DC3717">
              <w:rPr>
                <w:rFonts w:ascii="標楷體" w:eastAsia="標楷體" w:hAnsi="標楷體" w:hint="eastAsia"/>
                <w:color w:val="000000"/>
                <w:sz w:val="28"/>
                <w:szCs w:val="28"/>
              </w:rPr>
              <w:t>四</w:t>
            </w:r>
            <w:r w:rsidRPr="00DC3717">
              <w:rPr>
                <w:rFonts w:ascii="標楷體" w:eastAsia="標楷體" w:hAnsi="標楷體"/>
                <w:color w:val="000000"/>
                <w:sz w:val="28"/>
                <w:szCs w:val="28"/>
              </w:rPr>
              <w:t>)</w:t>
            </w:r>
          </w:p>
        </w:tc>
        <w:tc>
          <w:tcPr>
            <w:tcW w:w="734" w:type="pct"/>
            <w:vAlign w:val="center"/>
          </w:tcPr>
          <w:p w:rsidR="0011039C" w:rsidRDefault="0011039C" w:rsidP="0011039C">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陳秀寳</w:t>
            </w:r>
          </w:p>
        </w:tc>
        <w:tc>
          <w:tcPr>
            <w:tcW w:w="1988" w:type="pct"/>
            <w:vAlign w:val="center"/>
          </w:tcPr>
          <w:p w:rsidR="0011039C" w:rsidRDefault="0011039C" w:rsidP="0011039C">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1.</w:t>
            </w:r>
            <w:r w:rsidRPr="00C46365">
              <w:rPr>
                <w:rFonts w:ascii="標楷體" w:eastAsia="標楷體" w:hAnsi="標楷體" w:hint="eastAsia"/>
                <w:sz w:val="28"/>
                <w:szCs w:val="28"/>
              </w:rPr>
              <w:t>考察彰化縣學校教育及體育設施</w:t>
            </w:r>
            <w:r>
              <w:rPr>
                <w:rFonts w:ascii="標楷體" w:eastAsia="標楷體" w:hAnsi="標楷體" w:hint="eastAsia"/>
                <w:sz w:val="28"/>
                <w:szCs w:val="28"/>
              </w:rPr>
              <w:t>。</w:t>
            </w:r>
          </w:p>
          <w:p w:rsidR="0011039C" w:rsidRDefault="0011039C" w:rsidP="0011039C">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2.</w:t>
            </w:r>
            <w:r w:rsidRPr="00C46365">
              <w:rPr>
                <w:rFonts w:ascii="標楷體" w:eastAsia="標楷體" w:hAnsi="標楷體" w:hint="eastAsia"/>
                <w:sz w:val="28"/>
                <w:szCs w:val="28"/>
              </w:rPr>
              <w:t>考察簡介：召集委員陳秀寳領隊，教育部常務次長林騰蛟、體育署組長蔡忠益、國民及學前教育署副組長蔡宜靜、彰化縣政府副縣長林田富、教育處處長王智弘等陪同考察並舉行座談會。</w:t>
            </w:r>
            <w:r w:rsidRPr="00C46365">
              <w:rPr>
                <w:rFonts w:ascii="標楷體" w:eastAsia="標楷體" w:hAnsi="標楷體"/>
                <w:sz w:val="28"/>
                <w:szCs w:val="28"/>
              </w:rPr>
              <w:t>(教育及文化委員會職員由專門委員朱蔚菁、薦任科員黃敏萱陪同)</w:t>
            </w:r>
          </w:p>
        </w:tc>
        <w:tc>
          <w:tcPr>
            <w:tcW w:w="1174" w:type="pct"/>
          </w:tcPr>
          <w:p w:rsidR="0011039C" w:rsidRPr="00C2562C" w:rsidRDefault="0011039C" w:rsidP="0011039C">
            <w:pPr>
              <w:snapToGrid w:val="0"/>
              <w:ind w:left="-28" w:rightChars="2" w:right="5"/>
              <w:jc w:val="both"/>
              <w:rPr>
                <w:rFonts w:ascii="標楷體" w:eastAsia="標楷體" w:hAnsi="標楷體"/>
                <w:sz w:val="28"/>
                <w:szCs w:val="28"/>
              </w:rPr>
            </w:pPr>
            <w:r w:rsidRPr="00C2562C">
              <w:rPr>
                <w:rFonts w:ascii="標楷體" w:eastAsia="標楷體" w:hAnsi="標楷體" w:hint="eastAsia"/>
                <w:sz w:val="28"/>
                <w:szCs w:val="28"/>
              </w:rPr>
              <w:t>考察相關資料，請參見「</w:t>
            </w:r>
            <w:r w:rsidRPr="00C2562C">
              <w:rPr>
                <w:rFonts w:ascii="標楷體" w:eastAsia="標楷體" w:hAnsi="標楷體"/>
                <w:sz w:val="28"/>
                <w:szCs w:val="28"/>
              </w:rPr>
              <w:t>111</w:t>
            </w:r>
            <w:r>
              <w:rPr>
                <w:rFonts w:ascii="標楷體" w:eastAsia="標楷體" w:hAnsi="標楷體" w:hint="eastAsia"/>
                <w:sz w:val="28"/>
                <w:szCs w:val="28"/>
              </w:rPr>
              <w:t>1117</w:t>
            </w:r>
            <w:r w:rsidRPr="00C46365">
              <w:rPr>
                <w:rFonts w:ascii="標楷體" w:eastAsia="標楷體" w:hAnsi="標楷體" w:hint="eastAsia"/>
                <w:sz w:val="28"/>
                <w:szCs w:val="28"/>
              </w:rPr>
              <w:t>考察彰化縣學校教育及體育設施</w:t>
            </w:r>
            <w:r w:rsidRPr="00C2562C">
              <w:rPr>
                <w:rFonts w:ascii="標楷體" w:eastAsia="標楷體" w:hAnsi="標楷體"/>
                <w:sz w:val="28"/>
                <w:szCs w:val="28"/>
              </w:rPr>
              <w:t>」資料夾。</w:t>
            </w:r>
          </w:p>
        </w:tc>
      </w:tr>
      <w:tr w:rsidR="0011039C" w:rsidRPr="00920597" w:rsidTr="00B5510D">
        <w:trPr>
          <w:trHeight w:val="558"/>
        </w:trPr>
        <w:tc>
          <w:tcPr>
            <w:tcW w:w="368" w:type="pct"/>
            <w:vAlign w:val="center"/>
          </w:tcPr>
          <w:p w:rsidR="0011039C" w:rsidRPr="00920597" w:rsidRDefault="0011039C" w:rsidP="006934DD">
            <w:pPr>
              <w:widowControl/>
              <w:numPr>
                <w:ilvl w:val="0"/>
                <w:numId w:val="18"/>
              </w:numPr>
              <w:rPr>
                <w:rFonts w:ascii="標楷體" w:eastAsia="標楷體" w:hAnsi="標楷體"/>
                <w:color w:val="000000" w:themeColor="text1"/>
                <w:sz w:val="28"/>
              </w:rPr>
            </w:pPr>
          </w:p>
        </w:tc>
        <w:tc>
          <w:tcPr>
            <w:tcW w:w="736" w:type="pct"/>
            <w:vAlign w:val="center"/>
          </w:tcPr>
          <w:p w:rsidR="0011039C" w:rsidRPr="00DC3717" w:rsidRDefault="0011039C" w:rsidP="00DC3717">
            <w:pPr>
              <w:pStyle w:val="a4"/>
              <w:snapToGrid w:val="0"/>
              <w:ind w:leftChars="0" w:left="0"/>
              <w:jc w:val="center"/>
              <w:rPr>
                <w:rFonts w:ascii="標楷體" w:eastAsia="標楷體" w:hAnsi="標楷體"/>
                <w:color w:val="000000"/>
                <w:sz w:val="28"/>
                <w:szCs w:val="28"/>
              </w:rPr>
            </w:pPr>
            <w:r w:rsidRPr="00DC3717">
              <w:rPr>
                <w:rFonts w:ascii="標楷體" w:eastAsia="標楷體" w:hAnsi="標楷體"/>
                <w:color w:val="000000"/>
                <w:sz w:val="28"/>
                <w:szCs w:val="28"/>
              </w:rPr>
              <w:t>111.</w:t>
            </w:r>
            <w:r w:rsidRPr="00DC3717">
              <w:rPr>
                <w:rFonts w:ascii="標楷體" w:eastAsia="標楷體" w:hAnsi="標楷體" w:hint="eastAsia"/>
                <w:color w:val="000000"/>
                <w:sz w:val="28"/>
                <w:szCs w:val="28"/>
              </w:rPr>
              <w:t>11</w:t>
            </w:r>
            <w:r w:rsidRPr="00DC3717">
              <w:rPr>
                <w:rFonts w:ascii="標楷體" w:eastAsia="標楷體" w:hAnsi="標楷體"/>
                <w:color w:val="000000"/>
                <w:sz w:val="28"/>
                <w:szCs w:val="28"/>
              </w:rPr>
              <w:t>.28</w:t>
            </w:r>
          </w:p>
          <w:p w:rsidR="0011039C" w:rsidRDefault="0011039C" w:rsidP="00DC3717">
            <w:pPr>
              <w:pStyle w:val="a4"/>
              <w:snapToGrid w:val="0"/>
              <w:ind w:leftChars="0" w:left="0"/>
              <w:jc w:val="center"/>
              <w:rPr>
                <w:rFonts w:ascii="標楷體" w:eastAsia="標楷體" w:hAnsi="標楷體"/>
                <w:sz w:val="28"/>
                <w:szCs w:val="28"/>
              </w:rPr>
            </w:pPr>
            <w:r w:rsidRPr="00DC3717">
              <w:rPr>
                <w:rFonts w:ascii="標楷體" w:eastAsia="標楷體" w:hAnsi="標楷體"/>
                <w:color w:val="000000"/>
                <w:sz w:val="28"/>
                <w:szCs w:val="28"/>
              </w:rPr>
              <w:t>(星期</w:t>
            </w:r>
            <w:r w:rsidRPr="00DC3717">
              <w:rPr>
                <w:rFonts w:ascii="標楷體" w:eastAsia="標楷體" w:hAnsi="標楷體" w:hint="eastAsia"/>
                <w:color w:val="000000"/>
                <w:sz w:val="28"/>
                <w:szCs w:val="28"/>
              </w:rPr>
              <w:t>一</w:t>
            </w:r>
            <w:r w:rsidRPr="00DC3717">
              <w:rPr>
                <w:rFonts w:ascii="標楷體" w:eastAsia="標楷體" w:hAnsi="標楷體"/>
                <w:color w:val="000000"/>
                <w:sz w:val="28"/>
                <w:szCs w:val="28"/>
              </w:rPr>
              <w:t>)</w:t>
            </w:r>
          </w:p>
        </w:tc>
        <w:tc>
          <w:tcPr>
            <w:tcW w:w="734" w:type="pct"/>
            <w:vAlign w:val="center"/>
          </w:tcPr>
          <w:p w:rsidR="0011039C" w:rsidRDefault="0011039C" w:rsidP="0011039C">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陳秀寳</w:t>
            </w:r>
          </w:p>
        </w:tc>
        <w:tc>
          <w:tcPr>
            <w:tcW w:w="1988" w:type="pct"/>
            <w:vAlign w:val="center"/>
          </w:tcPr>
          <w:p w:rsidR="0011039C" w:rsidRDefault="0011039C" w:rsidP="0011039C">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1.</w:t>
            </w:r>
            <w:r w:rsidRPr="00C46365">
              <w:rPr>
                <w:rFonts w:ascii="標楷體" w:eastAsia="標楷體" w:hAnsi="標楷體" w:hint="eastAsia"/>
                <w:sz w:val="28"/>
                <w:szCs w:val="28"/>
              </w:rPr>
              <w:t>考察彰化縣學校教育及體育設施</w:t>
            </w:r>
            <w:r>
              <w:rPr>
                <w:rFonts w:ascii="標楷體" w:eastAsia="標楷體" w:hAnsi="標楷體" w:hint="eastAsia"/>
                <w:sz w:val="28"/>
                <w:szCs w:val="28"/>
              </w:rPr>
              <w:t>。</w:t>
            </w:r>
          </w:p>
          <w:p w:rsidR="0011039C" w:rsidRDefault="0011039C" w:rsidP="0011039C">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2.</w:t>
            </w:r>
            <w:r w:rsidRPr="00C46365">
              <w:rPr>
                <w:rFonts w:ascii="標楷體" w:eastAsia="標楷體" w:hAnsi="標楷體" w:hint="eastAsia"/>
                <w:sz w:val="28"/>
                <w:szCs w:val="28"/>
              </w:rPr>
              <w:t>考察簡介：召集委員陳秀寳領隊，教育部常務次長林騰蛟、體育署</w:t>
            </w:r>
            <w:r>
              <w:rPr>
                <w:rFonts w:ascii="標楷體" w:eastAsia="標楷體" w:hAnsi="標楷體" w:hint="eastAsia"/>
                <w:sz w:val="28"/>
                <w:szCs w:val="28"/>
              </w:rPr>
              <w:t>副</w:t>
            </w:r>
            <w:r w:rsidRPr="00C46365">
              <w:rPr>
                <w:rFonts w:ascii="標楷體" w:eastAsia="標楷體" w:hAnsi="標楷體" w:hint="eastAsia"/>
                <w:sz w:val="28"/>
                <w:szCs w:val="28"/>
              </w:rPr>
              <w:t>組長</w:t>
            </w:r>
            <w:r>
              <w:rPr>
                <w:rFonts w:ascii="標楷體" w:eastAsia="標楷體" w:hAnsi="標楷體" w:hint="eastAsia"/>
                <w:sz w:val="28"/>
                <w:szCs w:val="28"/>
              </w:rPr>
              <w:t>潘婉馨</w:t>
            </w:r>
            <w:r w:rsidRPr="00C46365">
              <w:rPr>
                <w:rFonts w:ascii="標楷體" w:eastAsia="標楷體" w:hAnsi="標楷體" w:hint="eastAsia"/>
                <w:sz w:val="28"/>
                <w:szCs w:val="28"/>
              </w:rPr>
              <w:t>、國民及學前教育署副組長蔡宜靜、彰化縣政府教育處處長王智弘等陪同考察。</w:t>
            </w:r>
            <w:r w:rsidRPr="00C46365">
              <w:rPr>
                <w:rFonts w:ascii="標楷體" w:eastAsia="標楷體" w:hAnsi="標楷體"/>
                <w:sz w:val="28"/>
                <w:szCs w:val="28"/>
              </w:rPr>
              <w:t>(教育及文化委員會職員由</w:t>
            </w:r>
            <w:r w:rsidRPr="00DA5B0F">
              <w:rPr>
                <w:rFonts w:ascii="標楷體" w:eastAsia="標楷體" w:hAnsi="標楷體"/>
                <w:sz w:val="28"/>
                <w:szCs w:val="28"/>
              </w:rPr>
              <w:t>簡任秘書林素惠</w:t>
            </w:r>
            <w:r w:rsidRPr="00C46365">
              <w:rPr>
                <w:rFonts w:ascii="標楷體" w:eastAsia="標楷體" w:hAnsi="標楷體"/>
                <w:sz w:val="28"/>
                <w:szCs w:val="28"/>
              </w:rPr>
              <w:t>、薦任科員</w:t>
            </w:r>
            <w:r>
              <w:rPr>
                <w:rFonts w:ascii="標楷體" w:eastAsia="標楷體" w:hAnsi="標楷體"/>
                <w:sz w:val="28"/>
                <w:szCs w:val="28"/>
              </w:rPr>
              <w:t>曾盈慈</w:t>
            </w:r>
            <w:r w:rsidRPr="00C46365">
              <w:rPr>
                <w:rFonts w:ascii="標楷體" w:eastAsia="標楷體" w:hAnsi="標楷體"/>
                <w:sz w:val="28"/>
                <w:szCs w:val="28"/>
              </w:rPr>
              <w:t>陪同)</w:t>
            </w:r>
          </w:p>
        </w:tc>
        <w:tc>
          <w:tcPr>
            <w:tcW w:w="1174" w:type="pct"/>
          </w:tcPr>
          <w:p w:rsidR="0011039C" w:rsidRPr="00C2562C" w:rsidRDefault="0011039C" w:rsidP="0011039C">
            <w:pPr>
              <w:snapToGrid w:val="0"/>
              <w:ind w:left="-28" w:rightChars="2" w:right="5"/>
              <w:jc w:val="both"/>
              <w:rPr>
                <w:rFonts w:ascii="標楷體" w:eastAsia="標楷體" w:hAnsi="標楷體"/>
                <w:sz w:val="28"/>
                <w:szCs w:val="28"/>
              </w:rPr>
            </w:pPr>
            <w:r w:rsidRPr="00C2562C">
              <w:rPr>
                <w:rFonts w:ascii="標楷體" w:eastAsia="標楷體" w:hAnsi="標楷體" w:hint="eastAsia"/>
                <w:sz w:val="28"/>
                <w:szCs w:val="28"/>
              </w:rPr>
              <w:t>考察相關資料，請參見「</w:t>
            </w:r>
            <w:r w:rsidRPr="00C2562C">
              <w:rPr>
                <w:rFonts w:ascii="標楷體" w:eastAsia="標楷體" w:hAnsi="標楷體"/>
                <w:sz w:val="28"/>
                <w:szCs w:val="28"/>
              </w:rPr>
              <w:t>111</w:t>
            </w:r>
            <w:r>
              <w:rPr>
                <w:rFonts w:ascii="標楷體" w:eastAsia="標楷體" w:hAnsi="標楷體" w:hint="eastAsia"/>
                <w:sz w:val="28"/>
                <w:szCs w:val="28"/>
              </w:rPr>
              <w:t>112</w:t>
            </w:r>
            <w:r>
              <w:rPr>
                <w:rFonts w:ascii="標楷體" w:eastAsia="標楷體" w:hAnsi="標楷體"/>
                <w:sz w:val="28"/>
                <w:szCs w:val="28"/>
              </w:rPr>
              <w:t>8</w:t>
            </w:r>
            <w:r w:rsidRPr="00C46365">
              <w:rPr>
                <w:rFonts w:ascii="標楷體" w:eastAsia="標楷體" w:hAnsi="標楷體" w:hint="eastAsia"/>
                <w:sz w:val="28"/>
                <w:szCs w:val="28"/>
              </w:rPr>
              <w:t>考察彰化縣學校教育及體育設施</w:t>
            </w:r>
            <w:r w:rsidRPr="00C2562C">
              <w:rPr>
                <w:rFonts w:ascii="標楷體" w:eastAsia="標楷體" w:hAnsi="標楷體"/>
                <w:sz w:val="28"/>
                <w:szCs w:val="28"/>
              </w:rPr>
              <w:t>」資料夾。</w:t>
            </w:r>
          </w:p>
        </w:tc>
      </w:tr>
      <w:tr w:rsidR="0011039C" w:rsidRPr="00920597" w:rsidTr="009E0F48">
        <w:trPr>
          <w:trHeight w:val="558"/>
        </w:trPr>
        <w:tc>
          <w:tcPr>
            <w:tcW w:w="368" w:type="pct"/>
            <w:vAlign w:val="center"/>
          </w:tcPr>
          <w:p w:rsidR="0011039C" w:rsidRPr="00920597" w:rsidRDefault="0011039C" w:rsidP="009E0F48">
            <w:pPr>
              <w:widowControl/>
              <w:numPr>
                <w:ilvl w:val="0"/>
                <w:numId w:val="18"/>
              </w:numPr>
              <w:jc w:val="both"/>
              <w:rPr>
                <w:rFonts w:ascii="標楷體" w:eastAsia="標楷體" w:hAnsi="標楷體"/>
                <w:color w:val="000000" w:themeColor="text1"/>
                <w:sz w:val="28"/>
              </w:rPr>
            </w:pPr>
          </w:p>
        </w:tc>
        <w:tc>
          <w:tcPr>
            <w:tcW w:w="736" w:type="pct"/>
            <w:vAlign w:val="center"/>
          </w:tcPr>
          <w:p w:rsidR="0011039C" w:rsidRPr="00DC3717" w:rsidRDefault="0011039C" w:rsidP="009E0F48">
            <w:pPr>
              <w:pStyle w:val="a4"/>
              <w:snapToGrid w:val="0"/>
              <w:ind w:leftChars="0" w:left="0"/>
              <w:jc w:val="center"/>
              <w:rPr>
                <w:rFonts w:ascii="標楷體" w:eastAsia="標楷體" w:hAnsi="標楷體"/>
                <w:color w:val="000000"/>
                <w:sz w:val="28"/>
                <w:szCs w:val="28"/>
              </w:rPr>
            </w:pPr>
            <w:r w:rsidRPr="00DC3717">
              <w:rPr>
                <w:rFonts w:ascii="標楷體" w:eastAsia="標楷體" w:hAnsi="標楷體"/>
                <w:color w:val="000000"/>
                <w:sz w:val="28"/>
                <w:szCs w:val="28"/>
              </w:rPr>
              <w:t>111.</w:t>
            </w:r>
            <w:r w:rsidRPr="00DC3717">
              <w:rPr>
                <w:rFonts w:ascii="標楷體" w:eastAsia="標楷體" w:hAnsi="標楷體" w:hint="eastAsia"/>
                <w:color w:val="000000"/>
                <w:sz w:val="28"/>
                <w:szCs w:val="28"/>
              </w:rPr>
              <w:t>12</w:t>
            </w:r>
            <w:r w:rsidRPr="00DC3717">
              <w:rPr>
                <w:rFonts w:ascii="標楷體" w:eastAsia="標楷體" w:hAnsi="標楷體"/>
                <w:color w:val="000000"/>
                <w:sz w:val="28"/>
                <w:szCs w:val="28"/>
              </w:rPr>
              <w:t>.</w:t>
            </w:r>
            <w:r w:rsidRPr="00DC3717">
              <w:rPr>
                <w:rFonts w:ascii="標楷體" w:eastAsia="標楷體" w:hAnsi="標楷體" w:hint="eastAsia"/>
                <w:color w:val="000000"/>
                <w:sz w:val="28"/>
                <w:szCs w:val="28"/>
              </w:rPr>
              <w:t>5</w:t>
            </w:r>
          </w:p>
          <w:p w:rsidR="0011039C" w:rsidRPr="009E0F48" w:rsidRDefault="0011039C" w:rsidP="009E0F48">
            <w:pPr>
              <w:pStyle w:val="a4"/>
              <w:snapToGrid w:val="0"/>
              <w:ind w:leftChars="0" w:left="0"/>
              <w:jc w:val="center"/>
              <w:rPr>
                <w:rFonts w:ascii="標楷體" w:eastAsia="標楷體" w:hAnsi="標楷體"/>
                <w:color w:val="000000"/>
                <w:sz w:val="28"/>
                <w:szCs w:val="28"/>
              </w:rPr>
            </w:pPr>
            <w:r w:rsidRPr="00DC3717">
              <w:rPr>
                <w:rFonts w:ascii="標楷體" w:eastAsia="標楷體" w:hAnsi="標楷體"/>
                <w:color w:val="000000"/>
                <w:sz w:val="28"/>
                <w:szCs w:val="28"/>
              </w:rPr>
              <w:t>(星期</w:t>
            </w:r>
            <w:r w:rsidRPr="00DC3717">
              <w:rPr>
                <w:rFonts w:ascii="標楷體" w:eastAsia="標楷體" w:hAnsi="標楷體" w:hint="eastAsia"/>
                <w:color w:val="000000"/>
                <w:sz w:val="28"/>
                <w:szCs w:val="28"/>
              </w:rPr>
              <w:t>一</w:t>
            </w:r>
            <w:r w:rsidRPr="00DC3717">
              <w:rPr>
                <w:rFonts w:ascii="標楷體" w:eastAsia="標楷體" w:hAnsi="標楷體"/>
                <w:color w:val="000000"/>
                <w:sz w:val="28"/>
                <w:szCs w:val="28"/>
              </w:rPr>
              <w:t>)</w:t>
            </w:r>
          </w:p>
        </w:tc>
        <w:tc>
          <w:tcPr>
            <w:tcW w:w="734" w:type="pct"/>
            <w:vAlign w:val="center"/>
          </w:tcPr>
          <w:p w:rsidR="0011039C" w:rsidRDefault="0011039C" w:rsidP="0011039C">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鄭正鈐</w:t>
            </w:r>
          </w:p>
        </w:tc>
        <w:tc>
          <w:tcPr>
            <w:tcW w:w="1988" w:type="pct"/>
            <w:vAlign w:val="center"/>
          </w:tcPr>
          <w:p w:rsidR="0011039C" w:rsidRDefault="0011039C" w:rsidP="0011039C">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1.</w:t>
            </w:r>
            <w:r w:rsidRPr="00CE7E60">
              <w:rPr>
                <w:rFonts w:ascii="標楷體" w:eastAsia="標楷體" w:hAnsi="標楷體" w:hint="eastAsia"/>
                <w:sz w:val="28"/>
                <w:szCs w:val="28"/>
              </w:rPr>
              <w:t>考察新竹市關埔國民小學興建狀況、建功高級中學體育館整建狀況、成德高級中學</w:t>
            </w:r>
            <w:r w:rsidRPr="00CE7E60">
              <w:rPr>
                <w:rFonts w:ascii="標楷體" w:eastAsia="標楷體" w:hAnsi="標楷體" w:hint="eastAsia"/>
                <w:sz w:val="28"/>
                <w:szCs w:val="28"/>
              </w:rPr>
              <w:lastRenderedPageBreak/>
              <w:t>防墜設施維護狀況及香山高級中學體育館整建狀況</w:t>
            </w:r>
            <w:r>
              <w:rPr>
                <w:rFonts w:ascii="標楷體" w:eastAsia="標楷體" w:hAnsi="標楷體" w:hint="eastAsia"/>
                <w:sz w:val="28"/>
                <w:szCs w:val="28"/>
              </w:rPr>
              <w:t>。</w:t>
            </w:r>
          </w:p>
          <w:p w:rsidR="0011039C" w:rsidRDefault="0011039C" w:rsidP="0011039C">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2.</w:t>
            </w:r>
            <w:r w:rsidRPr="00CE7E60">
              <w:rPr>
                <w:rFonts w:ascii="標楷體" w:eastAsia="標楷體" w:hAnsi="標楷體" w:hint="eastAsia"/>
                <w:sz w:val="28"/>
                <w:szCs w:val="28"/>
              </w:rPr>
              <w:t>委員鄭正鈐領隊，委員高虹安同行，由教育部政務次長蔡清華、體育署副組長潘婉馨、國民及學前教育署組長張永傑、科長沈靜濤、新竹市政府秘書長江盛任、教育處處長賴榮光、科長李怡君等陪同考察並舉行座談會。</w:t>
            </w:r>
            <w:r w:rsidRPr="00CE7E60">
              <w:rPr>
                <w:rFonts w:ascii="標楷體" w:eastAsia="標楷體" w:hAnsi="標楷體"/>
                <w:sz w:val="28"/>
                <w:szCs w:val="28"/>
              </w:rPr>
              <w:t>(教育及文化委員會職員由簡任編審蔡月秋、薦任科員李宗一陪同)</w:t>
            </w:r>
          </w:p>
        </w:tc>
        <w:tc>
          <w:tcPr>
            <w:tcW w:w="1174" w:type="pct"/>
          </w:tcPr>
          <w:p w:rsidR="0011039C" w:rsidRPr="00C2562C" w:rsidRDefault="0011039C" w:rsidP="0011039C">
            <w:pPr>
              <w:snapToGrid w:val="0"/>
              <w:ind w:left="-28" w:rightChars="2" w:right="5"/>
              <w:jc w:val="both"/>
              <w:rPr>
                <w:rFonts w:ascii="標楷體" w:eastAsia="標楷體" w:hAnsi="標楷體"/>
                <w:sz w:val="28"/>
                <w:szCs w:val="28"/>
              </w:rPr>
            </w:pPr>
            <w:r w:rsidRPr="00C2562C">
              <w:rPr>
                <w:rFonts w:ascii="標楷體" w:eastAsia="標楷體" w:hAnsi="標楷體" w:hint="eastAsia"/>
                <w:sz w:val="28"/>
                <w:szCs w:val="28"/>
              </w:rPr>
              <w:lastRenderedPageBreak/>
              <w:t>考察相關資料，請參見「</w:t>
            </w:r>
            <w:r w:rsidRPr="00C2562C">
              <w:rPr>
                <w:rFonts w:ascii="標楷體" w:eastAsia="標楷體" w:hAnsi="標楷體"/>
                <w:sz w:val="28"/>
                <w:szCs w:val="28"/>
              </w:rPr>
              <w:t>111</w:t>
            </w:r>
            <w:r>
              <w:rPr>
                <w:rFonts w:ascii="標楷體" w:eastAsia="標楷體" w:hAnsi="標楷體" w:hint="eastAsia"/>
                <w:sz w:val="28"/>
                <w:szCs w:val="28"/>
              </w:rPr>
              <w:t>1205</w:t>
            </w:r>
            <w:r w:rsidRPr="00CE7E60">
              <w:rPr>
                <w:rFonts w:ascii="標楷體" w:eastAsia="標楷體" w:hAnsi="標楷體" w:hint="eastAsia"/>
                <w:sz w:val="28"/>
                <w:szCs w:val="28"/>
              </w:rPr>
              <w:t>考察新竹市關埔</w:t>
            </w:r>
            <w:r w:rsidRPr="00CE7E60">
              <w:rPr>
                <w:rFonts w:ascii="標楷體" w:eastAsia="標楷體" w:hAnsi="標楷體" w:hint="eastAsia"/>
                <w:sz w:val="28"/>
                <w:szCs w:val="28"/>
              </w:rPr>
              <w:lastRenderedPageBreak/>
              <w:t>國民小學興建狀況、建功高級中學體育館整建狀況、成德高級中學防墜設施維護狀況及香山高級中學體育館整建狀況</w:t>
            </w:r>
            <w:r w:rsidRPr="00C2562C">
              <w:rPr>
                <w:rFonts w:ascii="標楷體" w:eastAsia="標楷體" w:hAnsi="標楷體"/>
                <w:sz w:val="28"/>
                <w:szCs w:val="28"/>
              </w:rPr>
              <w:t>」資料夾。</w:t>
            </w:r>
          </w:p>
        </w:tc>
      </w:tr>
      <w:tr w:rsidR="00DC3717" w:rsidRPr="00920597" w:rsidTr="00B5510D">
        <w:trPr>
          <w:trHeight w:val="558"/>
        </w:trPr>
        <w:tc>
          <w:tcPr>
            <w:tcW w:w="368" w:type="pct"/>
            <w:vAlign w:val="center"/>
          </w:tcPr>
          <w:p w:rsidR="00DC3717" w:rsidRPr="00920597" w:rsidRDefault="00DC3717" w:rsidP="006934DD">
            <w:pPr>
              <w:widowControl/>
              <w:numPr>
                <w:ilvl w:val="0"/>
                <w:numId w:val="18"/>
              </w:numPr>
              <w:rPr>
                <w:rFonts w:ascii="標楷體" w:eastAsia="標楷體" w:hAnsi="標楷體"/>
                <w:color w:val="000000" w:themeColor="text1"/>
                <w:sz w:val="28"/>
              </w:rPr>
            </w:pPr>
          </w:p>
        </w:tc>
        <w:tc>
          <w:tcPr>
            <w:tcW w:w="736" w:type="pct"/>
            <w:vAlign w:val="center"/>
          </w:tcPr>
          <w:p w:rsidR="00DC3717" w:rsidRPr="00DC3717" w:rsidRDefault="00DC3717" w:rsidP="00DC3717">
            <w:pPr>
              <w:pStyle w:val="a4"/>
              <w:snapToGrid w:val="0"/>
              <w:ind w:leftChars="0" w:left="0"/>
              <w:jc w:val="center"/>
              <w:rPr>
                <w:rFonts w:ascii="標楷體" w:eastAsia="標楷體" w:hAnsi="標楷體"/>
                <w:color w:val="000000"/>
                <w:sz w:val="28"/>
                <w:szCs w:val="28"/>
              </w:rPr>
            </w:pPr>
            <w:r w:rsidRPr="00DC3717">
              <w:rPr>
                <w:rFonts w:ascii="標楷體" w:eastAsia="標楷體" w:hAnsi="標楷體" w:hint="eastAsia"/>
                <w:color w:val="000000"/>
                <w:sz w:val="28"/>
                <w:szCs w:val="28"/>
              </w:rPr>
              <w:t xml:space="preserve"> </w:t>
            </w:r>
            <w:r w:rsidRPr="00DC3717">
              <w:rPr>
                <w:rFonts w:ascii="標楷體" w:eastAsia="標楷體" w:hAnsi="標楷體"/>
                <w:color w:val="000000"/>
                <w:sz w:val="28"/>
                <w:szCs w:val="28"/>
              </w:rPr>
              <w:t>111.12.</w:t>
            </w:r>
            <w:r w:rsidRPr="00DC3717">
              <w:rPr>
                <w:rFonts w:ascii="標楷體" w:eastAsia="標楷體" w:hAnsi="標楷體" w:hint="eastAsia"/>
                <w:color w:val="000000"/>
                <w:sz w:val="28"/>
                <w:szCs w:val="28"/>
              </w:rPr>
              <w:t>1</w:t>
            </w:r>
            <w:r w:rsidRPr="00DC3717">
              <w:rPr>
                <w:rFonts w:ascii="標楷體" w:eastAsia="標楷體" w:hAnsi="標楷體"/>
                <w:color w:val="000000"/>
                <w:sz w:val="28"/>
                <w:szCs w:val="28"/>
              </w:rPr>
              <w:t>5</w:t>
            </w:r>
          </w:p>
          <w:p w:rsidR="00DC3717" w:rsidRPr="00DC3717" w:rsidRDefault="00DC3717" w:rsidP="00DC3717">
            <w:pPr>
              <w:pStyle w:val="a4"/>
              <w:snapToGrid w:val="0"/>
              <w:ind w:leftChars="0" w:left="0"/>
              <w:jc w:val="center"/>
              <w:rPr>
                <w:rFonts w:ascii="標楷體" w:eastAsia="標楷體" w:hAnsi="標楷體"/>
                <w:color w:val="000000"/>
                <w:sz w:val="28"/>
                <w:szCs w:val="28"/>
              </w:rPr>
            </w:pPr>
            <w:r w:rsidRPr="00DC3717">
              <w:rPr>
                <w:rFonts w:ascii="標楷體" w:eastAsia="標楷體" w:hAnsi="標楷體"/>
                <w:color w:val="000000"/>
                <w:sz w:val="28"/>
                <w:szCs w:val="28"/>
              </w:rPr>
              <w:t>(星期</w:t>
            </w:r>
            <w:r w:rsidRPr="00DC3717">
              <w:rPr>
                <w:rFonts w:ascii="標楷體" w:eastAsia="標楷體" w:hAnsi="標楷體" w:hint="eastAsia"/>
                <w:color w:val="000000"/>
                <w:sz w:val="28"/>
                <w:szCs w:val="28"/>
              </w:rPr>
              <w:t>四</w:t>
            </w:r>
            <w:r w:rsidRPr="00DC3717">
              <w:rPr>
                <w:rFonts w:ascii="標楷體" w:eastAsia="標楷體" w:hAnsi="標楷體"/>
                <w:color w:val="000000"/>
                <w:sz w:val="28"/>
                <w:szCs w:val="28"/>
              </w:rPr>
              <w:t>)</w:t>
            </w:r>
          </w:p>
        </w:tc>
        <w:tc>
          <w:tcPr>
            <w:tcW w:w="734" w:type="pct"/>
            <w:vAlign w:val="center"/>
          </w:tcPr>
          <w:p w:rsidR="00DC3717" w:rsidRDefault="00DC3717" w:rsidP="00DC3717">
            <w:pPr>
              <w:pStyle w:val="a4"/>
              <w:snapToGrid w:val="0"/>
              <w:ind w:leftChars="0" w:left="0"/>
              <w:jc w:val="center"/>
              <w:rPr>
                <w:rFonts w:ascii="標楷體" w:eastAsia="標楷體" w:hAnsi="標楷體"/>
                <w:sz w:val="28"/>
                <w:szCs w:val="28"/>
              </w:rPr>
            </w:pPr>
            <w:r w:rsidRPr="00CB37B8">
              <w:rPr>
                <w:rFonts w:ascii="標楷體" w:eastAsia="標楷體" w:hAnsi="標楷體" w:hint="eastAsia"/>
                <w:sz w:val="28"/>
                <w:szCs w:val="28"/>
              </w:rPr>
              <w:t>陳秀</w:t>
            </w:r>
          </w:p>
        </w:tc>
        <w:tc>
          <w:tcPr>
            <w:tcW w:w="1988" w:type="pct"/>
            <w:vAlign w:val="center"/>
          </w:tcPr>
          <w:p w:rsidR="00DC3717" w:rsidRPr="0017567A" w:rsidRDefault="00DC3717" w:rsidP="00DC3717">
            <w:pPr>
              <w:pStyle w:val="a4"/>
              <w:snapToGrid w:val="0"/>
              <w:ind w:leftChars="11" w:left="334" w:hangingChars="110" w:hanging="308"/>
              <w:jc w:val="both"/>
              <w:rPr>
                <w:rFonts w:ascii="標楷體" w:eastAsia="標楷體" w:hAnsi="標楷體"/>
                <w:sz w:val="28"/>
                <w:szCs w:val="28"/>
              </w:rPr>
            </w:pPr>
            <w:r w:rsidRPr="0017567A">
              <w:rPr>
                <w:rFonts w:ascii="標楷體" w:eastAsia="標楷體" w:hAnsi="標楷體"/>
                <w:sz w:val="28"/>
                <w:szCs w:val="28"/>
              </w:rPr>
              <w:t>1.考察臺中市文化建設與學校教育相關設施。</w:t>
            </w:r>
          </w:p>
          <w:p w:rsidR="00DC3717" w:rsidRDefault="00DC3717" w:rsidP="00DC3717">
            <w:pPr>
              <w:pStyle w:val="a4"/>
              <w:snapToGrid w:val="0"/>
              <w:ind w:leftChars="11" w:left="334" w:hangingChars="110" w:hanging="308"/>
              <w:jc w:val="both"/>
              <w:rPr>
                <w:rFonts w:ascii="標楷體" w:eastAsia="標楷體" w:hAnsi="標楷體"/>
                <w:sz w:val="28"/>
                <w:szCs w:val="28"/>
              </w:rPr>
            </w:pPr>
            <w:r w:rsidRPr="0017567A">
              <w:rPr>
                <w:rFonts w:ascii="標楷體" w:eastAsia="標楷體" w:hAnsi="標楷體"/>
                <w:sz w:val="28"/>
                <w:szCs w:val="28"/>
              </w:rPr>
              <w:t>2.考察簡介：委員何欣純領隊，委員張廖萬堅同行，由文化部政務次長蕭宗煌、影視及流行音樂產業局副局長方衍濱、國家表演藝術中心主任秘書郭美娟；教育部政務次長蔡清華、體育署副組長潘婉馨、國民及學前教育署組長林祝里及臺中市政府教育局專門委員陳雅新等陪同考察並舉行座談會。(教育及文化委員會職員由主任秘書陳錫欽、科長蔡國治陪同)</w:t>
            </w:r>
          </w:p>
        </w:tc>
        <w:tc>
          <w:tcPr>
            <w:tcW w:w="1174" w:type="pct"/>
          </w:tcPr>
          <w:p w:rsidR="00DC3717" w:rsidRPr="00C2562C" w:rsidRDefault="00DC3717" w:rsidP="00DC3717">
            <w:pPr>
              <w:snapToGrid w:val="0"/>
              <w:ind w:left="-28" w:rightChars="2" w:right="5"/>
              <w:jc w:val="both"/>
              <w:rPr>
                <w:rFonts w:ascii="標楷體" w:eastAsia="標楷體" w:hAnsi="標楷體"/>
                <w:sz w:val="28"/>
                <w:szCs w:val="28"/>
              </w:rPr>
            </w:pPr>
            <w:r w:rsidRPr="00C44B18">
              <w:rPr>
                <w:rFonts w:ascii="標楷體" w:eastAsia="標楷體" w:hAnsi="標楷體" w:hint="eastAsia"/>
                <w:sz w:val="28"/>
                <w:szCs w:val="28"/>
              </w:rPr>
              <w:t>考察相關資料，請參見「</w:t>
            </w:r>
            <w:r w:rsidRPr="00C44B18">
              <w:rPr>
                <w:rFonts w:ascii="標楷體" w:eastAsia="標楷體" w:hAnsi="標楷體"/>
                <w:sz w:val="28"/>
                <w:szCs w:val="28"/>
              </w:rPr>
              <w:t>11112</w:t>
            </w:r>
            <w:r>
              <w:rPr>
                <w:rFonts w:ascii="標楷體" w:eastAsia="標楷體" w:hAnsi="標楷體" w:hint="eastAsia"/>
                <w:sz w:val="28"/>
                <w:szCs w:val="28"/>
              </w:rPr>
              <w:t>1</w:t>
            </w:r>
            <w:r w:rsidRPr="00C44B18">
              <w:rPr>
                <w:rFonts w:ascii="標楷體" w:eastAsia="標楷體" w:hAnsi="標楷體"/>
                <w:sz w:val="28"/>
                <w:szCs w:val="28"/>
              </w:rPr>
              <w:t>5</w:t>
            </w:r>
            <w:r w:rsidRPr="00C44B18">
              <w:rPr>
                <w:rFonts w:ascii="標楷體" w:eastAsia="標楷體" w:hAnsi="標楷體" w:hint="eastAsia"/>
                <w:sz w:val="28"/>
                <w:szCs w:val="28"/>
              </w:rPr>
              <w:t>考察臺中市文化建設與學校教育相關設施</w:t>
            </w:r>
            <w:r w:rsidRPr="00C44B18">
              <w:rPr>
                <w:rFonts w:ascii="標楷體" w:eastAsia="標楷體" w:hAnsi="標楷體"/>
                <w:sz w:val="28"/>
                <w:szCs w:val="28"/>
              </w:rPr>
              <w:t>」資料夾。</w:t>
            </w:r>
          </w:p>
        </w:tc>
      </w:tr>
      <w:tr w:rsidR="00DC3717" w:rsidRPr="00920597" w:rsidTr="00B5510D">
        <w:trPr>
          <w:trHeight w:val="558"/>
        </w:trPr>
        <w:tc>
          <w:tcPr>
            <w:tcW w:w="368" w:type="pct"/>
            <w:vAlign w:val="center"/>
          </w:tcPr>
          <w:p w:rsidR="00DC3717" w:rsidRPr="00920597" w:rsidRDefault="00DC3717" w:rsidP="006934DD">
            <w:pPr>
              <w:widowControl/>
              <w:numPr>
                <w:ilvl w:val="0"/>
                <w:numId w:val="18"/>
              </w:numPr>
              <w:rPr>
                <w:rFonts w:ascii="標楷體" w:eastAsia="標楷體" w:hAnsi="標楷體"/>
                <w:color w:val="000000" w:themeColor="text1"/>
                <w:sz w:val="28"/>
              </w:rPr>
            </w:pPr>
          </w:p>
        </w:tc>
        <w:tc>
          <w:tcPr>
            <w:tcW w:w="736" w:type="pct"/>
            <w:vAlign w:val="center"/>
          </w:tcPr>
          <w:p w:rsidR="00DC3717" w:rsidRPr="00DC3717" w:rsidRDefault="00DC3717" w:rsidP="00DC3717">
            <w:pPr>
              <w:pStyle w:val="a4"/>
              <w:snapToGrid w:val="0"/>
              <w:ind w:leftChars="0" w:left="0"/>
              <w:jc w:val="center"/>
              <w:rPr>
                <w:rFonts w:ascii="標楷體" w:eastAsia="標楷體" w:hAnsi="標楷體"/>
                <w:color w:val="000000"/>
                <w:sz w:val="28"/>
                <w:szCs w:val="28"/>
              </w:rPr>
            </w:pPr>
            <w:r w:rsidRPr="00DC3717">
              <w:rPr>
                <w:rFonts w:ascii="標楷體" w:eastAsia="標楷體" w:hAnsi="標楷體"/>
                <w:color w:val="000000"/>
                <w:sz w:val="28"/>
                <w:szCs w:val="28"/>
              </w:rPr>
              <w:t>111.12.</w:t>
            </w:r>
            <w:r w:rsidRPr="00DC3717">
              <w:rPr>
                <w:rFonts w:ascii="標楷體" w:eastAsia="標楷體" w:hAnsi="標楷體" w:hint="eastAsia"/>
                <w:color w:val="000000"/>
                <w:sz w:val="28"/>
                <w:szCs w:val="28"/>
              </w:rPr>
              <w:t>28</w:t>
            </w:r>
          </w:p>
          <w:p w:rsidR="00DC3717" w:rsidRDefault="00DC3717" w:rsidP="00DC3717">
            <w:pPr>
              <w:pStyle w:val="a4"/>
              <w:snapToGrid w:val="0"/>
              <w:ind w:leftChars="0" w:left="0"/>
              <w:jc w:val="center"/>
              <w:rPr>
                <w:rFonts w:ascii="標楷體" w:eastAsia="標楷體" w:hAnsi="標楷體"/>
                <w:sz w:val="28"/>
                <w:szCs w:val="28"/>
              </w:rPr>
            </w:pPr>
            <w:r w:rsidRPr="00DC3717">
              <w:rPr>
                <w:rFonts w:ascii="標楷體" w:eastAsia="標楷體" w:hAnsi="標楷體"/>
                <w:color w:val="000000"/>
                <w:sz w:val="28"/>
                <w:szCs w:val="28"/>
              </w:rPr>
              <w:t>(星期</w:t>
            </w:r>
            <w:r w:rsidRPr="00DC3717">
              <w:rPr>
                <w:rFonts w:ascii="標楷體" w:eastAsia="標楷體" w:hAnsi="標楷體" w:hint="eastAsia"/>
                <w:color w:val="000000"/>
                <w:sz w:val="28"/>
                <w:szCs w:val="28"/>
              </w:rPr>
              <w:t>三</w:t>
            </w:r>
            <w:r w:rsidRPr="00DC3717">
              <w:rPr>
                <w:rFonts w:ascii="標楷體" w:eastAsia="標楷體" w:hAnsi="標楷體"/>
                <w:color w:val="000000"/>
                <w:sz w:val="28"/>
                <w:szCs w:val="28"/>
              </w:rPr>
              <w:t>)</w:t>
            </w:r>
          </w:p>
        </w:tc>
        <w:tc>
          <w:tcPr>
            <w:tcW w:w="734" w:type="pct"/>
            <w:vAlign w:val="center"/>
          </w:tcPr>
          <w:p w:rsidR="00DC3717" w:rsidRPr="00CB37B8" w:rsidRDefault="00DC3717" w:rsidP="00DC3717">
            <w:pPr>
              <w:pStyle w:val="a4"/>
              <w:snapToGrid w:val="0"/>
              <w:ind w:leftChars="0" w:left="0"/>
              <w:jc w:val="center"/>
              <w:rPr>
                <w:rFonts w:ascii="標楷體" w:eastAsia="標楷體" w:hAnsi="標楷體"/>
                <w:sz w:val="28"/>
                <w:szCs w:val="28"/>
              </w:rPr>
            </w:pPr>
            <w:r w:rsidRPr="00CB37B8">
              <w:rPr>
                <w:rFonts w:ascii="標楷體" w:eastAsia="標楷體" w:hAnsi="標楷體" w:hint="eastAsia"/>
                <w:sz w:val="28"/>
                <w:szCs w:val="28"/>
              </w:rPr>
              <w:t>陳秀</w:t>
            </w:r>
          </w:p>
        </w:tc>
        <w:tc>
          <w:tcPr>
            <w:tcW w:w="1988" w:type="pct"/>
            <w:vAlign w:val="center"/>
          </w:tcPr>
          <w:p w:rsidR="00DC3717" w:rsidRPr="0017567A" w:rsidRDefault="00DC3717" w:rsidP="00DC3717">
            <w:pPr>
              <w:pStyle w:val="a4"/>
              <w:snapToGrid w:val="0"/>
              <w:ind w:leftChars="11" w:left="334" w:hangingChars="110" w:hanging="308"/>
              <w:jc w:val="both"/>
              <w:rPr>
                <w:rFonts w:ascii="標楷體" w:eastAsia="標楷體" w:hAnsi="標楷體"/>
                <w:sz w:val="28"/>
                <w:szCs w:val="28"/>
              </w:rPr>
            </w:pPr>
            <w:r w:rsidRPr="0017567A">
              <w:rPr>
                <w:rFonts w:ascii="標楷體" w:eastAsia="標楷體" w:hAnsi="標楷體"/>
                <w:sz w:val="28"/>
                <w:szCs w:val="28"/>
              </w:rPr>
              <w:t>1.</w:t>
            </w:r>
            <w:r w:rsidRPr="00C656E7">
              <w:rPr>
                <w:rFonts w:ascii="標楷體" w:eastAsia="標楷體" w:hAnsi="標楷體" w:hint="eastAsia"/>
                <w:sz w:val="28"/>
                <w:szCs w:val="28"/>
              </w:rPr>
              <w:t>考察國家人權博物館白色恐怖景美紀念園區</w:t>
            </w:r>
            <w:r w:rsidRPr="0017567A">
              <w:rPr>
                <w:rFonts w:ascii="標楷體" w:eastAsia="標楷體" w:hAnsi="標楷體"/>
                <w:sz w:val="28"/>
                <w:szCs w:val="28"/>
              </w:rPr>
              <w:t>。</w:t>
            </w:r>
          </w:p>
          <w:p w:rsidR="00DC3717" w:rsidRPr="0017567A" w:rsidRDefault="00DC3717" w:rsidP="00DC3717">
            <w:pPr>
              <w:pStyle w:val="a4"/>
              <w:snapToGrid w:val="0"/>
              <w:ind w:leftChars="11" w:left="334" w:hangingChars="110" w:hanging="308"/>
              <w:jc w:val="both"/>
              <w:rPr>
                <w:rFonts w:ascii="標楷體" w:eastAsia="標楷體" w:hAnsi="標楷體"/>
                <w:sz w:val="28"/>
                <w:szCs w:val="28"/>
              </w:rPr>
            </w:pPr>
            <w:r w:rsidRPr="0017567A">
              <w:rPr>
                <w:rFonts w:ascii="標楷體" w:eastAsia="標楷體" w:hAnsi="標楷體"/>
                <w:sz w:val="28"/>
                <w:szCs w:val="28"/>
              </w:rPr>
              <w:t>2.考察簡介：</w:t>
            </w:r>
            <w:r w:rsidRPr="00C656E7">
              <w:rPr>
                <w:rFonts w:ascii="標楷體" w:eastAsia="標楷體" w:hAnsi="標楷體" w:hint="eastAsia"/>
                <w:sz w:val="28"/>
                <w:szCs w:val="28"/>
              </w:rPr>
              <w:t>委員吳思瑤領隊，委員范雲同行，文化部政務次長李靜慧、國家人權館館長洪世芳、副館長張嬋娟等陪同。</w:t>
            </w:r>
            <w:r>
              <w:rPr>
                <w:rFonts w:ascii="標楷體" w:eastAsia="標楷體" w:hAnsi="標楷體" w:hint="eastAsia"/>
                <w:sz w:val="28"/>
                <w:szCs w:val="28"/>
              </w:rPr>
              <w:t>(教育及文化委員會職員由專門委員朱蔚菁、專員高珮玲</w:t>
            </w:r>
            <w:r w:rsidRPr="00C656E7">
              <w:rPr>
                <w:rFonts w:ascii="標楷體" w:eastAsia="標楷體" w:hAnsi="標楷體" w:hint="eastAsia"/>
                <w:sz w:val="28"/>
                <w:szCs w:val="28"/>
              </w:rPr>
              <w:t>陪同</w:t>
            </w:r>
            <w:r>
              <w:rPr>
                <w:rFonts w:ascii="標楷體" w:eastAsia="標楷體" w:hAnsi="標楷體" w:hint="eastAsia"/>
                <w:sz w:val="28"/>
                <w:szCs w:val="28"/>
              </w:rPr>
              <w:t>)</w:t>
            </w:r>
          </w:p>
        </w:tc>
        <w:tc>
          <w:tcPr>
            <w:tcW w:w="1174" w:type="pct"/>
          </w:tcPr>
          <w:p w:rsidR="00DC3717" w:rsidRPr="00C44B18" w:rsidRDefault="00DC3717" w:rsidP="00DC3717">
            <w:pPr>
              <w:snapToGrid w:val="0"/>
              <w:ind w:left="-28" w:rightChars="2" w:right="5"/>
              <w:jc w:val="both"/>
              <w:rPr>
                <w:rFonts w:ascii="標楷體" w:eastAsia="標楷體" w:hAnsi="標楷體"/>
                <w:sz w:val="28"/>
                <w:szCs w:val="28"/>
              </w:rPr>
            </w:pPr>
            <w:r w:rsidRPr="00C44B18">
              <w:rPr>
                <w:rFonts w:ascii="標楷體" w:eastAsia="標楷體" w:hAnsi="標楷體" w:hint="eastAsia"/>
                <w:sz w:val="28"/>
                <w:szCs w:val="28"/>
              </w:rPr>
              <w:t>考察相關資料，請參見「</w:t>
            </w:r>
            <w:r w:rsidRPr="00C44B18">
              <w:rPr>
                <w:rFonts w:ascii="標楷體" w:eastAsia="標楷體" w:hAnsi="標楷體"/>
                <w:sz w:val="28"/>
                <w:szCs w:val="28"/>
              </w:rPr>
              <w:t>11</w:t>
            </w:r>
            <w:r>
              <w:rPr>
                <w:rFonts w:ascii="標楷體" w:eastAsia="標楷體" w:hAnsi="標楷體" w:hint="eastAsia"/>
                <w:sz w:val="28"/>
                <w:szCs w:val="28"/>
              </w:rPr>
              <w:t>1</w:t>
            </w:r>
            <w:r w:rsidRPr="00C44B18">
              <w:rPr>
                <w:rFonts w:ascii="標楷體" w:eastAsia="標楷體" w:hAnsi="標楷體"/>
                <w:sz w:val="28"/>
                <w:szCs w:val="28"/>
              </w:rPr>
              <w:t>12</w:t>
            </w:r>
            <w:r>
              <w:rPr>
                <w:rFonts w:ascii="標楷體" w:eastAsia="標楷體" w:hAnsi="標楷體" w:hint="eastAsia"/>
                <w:sz w:val="28"/>
                <w:szCs w:val="28"/>
              </w:rPr>
              <w:t>28</w:t>
            </w:r>
            <w:r w:rsidRPr="00C656E7">
              <w:rPr>
                <w:rFonts w:ascii="標楷體" w:eastAsia="標楷體" w:hAnsi="標楷體" w:hint="eastAsia"/>
                <w:sz w:val="28"/>
                <w:szCs w:val="28"/>
              </w:rPr>
              <w:t>考察國家人權博物館白色恐怖景美紀念園區</w:t>
            </w:r>
            <w:r w:rsidRPr="00C44B18">
              <w:rPr>
                <w:rFonts w:ascii="標楷體" w:eastAsia="標楷體" w:hAnsi="標楷體"/>
                <w:sz w:val="28"/>
                <w:szCs w:val="28"/>
              </w:rPr>
              <w:t>」資料夾。</w:t>
            </w:r>
          </w:p>
        </w:tc>
      </w:tr>
      <w:tr w:rsidR="00DC3717" w:rsidRPr="00920597" w:rsidTr="00B5510D">
        <w:trPr>
          <w:trHeight w:val="558"/>
        </w:trPr>
        <w:tc>
          <w:tcPr>
            <w:tcW w:w="368" w:type="pct"/>
            <w:vAlign w:val="center"/>
          </w:tcPr>
          <w:p w:rsidR="00DC3717" w:rsidRPr="00920597" w:rsidRDefault="00DC3717" w:rsidP="006934DD">
            <w:pPr>
              <w:widowControl/>
              <w:numPr>
                <w:ilvl w:val="0"/>
                <w:numId w:val="18"/>
              </w:numPr>
              <w:rPr>
                <w:rFonts w:ascii="標楷體" w:eastAsia="標楷體" w:hAnsi="標楷體"/>
                <w:color w:val="000000" w:themeColor="text1"/>
                <w:sz w:val="28"/>
              </w:rPr>
            </w:pPr>
          </w:p>
        </w:tc>
        <w:tc>
          <w:tcPr>
            <w:tcW w:w="736" w:type="pct"/>
            <w:vAlign w:val="center"/>
          </w:tcPr>
          <w:p w:rsidR="00DC3717" w:rsidRPr="00DC3717" w:rsidRDefault="00DC3717" w:rsidP="00DC3717">
            <w:pPr>
              <w:pStyle w:val="a4"/>
              <w:snapToGrid w:val="0"/>
              <w:ind w:leftChars="0" w:left="0"/>
              <w:jc w:val="center"/>
              <w:rPr>
                <w:rFonts w:ascii="標楷體" w:eastAsia="標楷體" w:hAnsi="標楷體"/>
                <w:color w:val="000000"/>
                <w:sz w:val="28"/>
                <w:szCs w:val="28"/>
              </w:rPr>
            </w:pPr>
            <w:r w:rsidRPr="00DC3717">
              <w:rPr>
                <w:rFonts w:ascii="標楷體" w:eastAsia="標楷體" w:hAnsi="標楷體"/>
                <w:color w:val="000000"/>
                <w:sz w:val="28"/>
                <w:szCs w:val="28"/>
              </w:rPr>
              <w:t>111.12.</w:t>
            </w:r>
            <w:r w:rsidRPr="00DC3717">
              <w:rPr>
                <w:rFonts w:ascii="標楷體" w:eastAsia="標楷體" w:hAnsi="標楷體" w:hint="eastAsia"/>
                <w:color w:val="000000"/>
                <w:sz w:val="28"/>
                <w:szCs w:val="28"/>
              </w:rPr>
              <w:t>29</w:t>
            </w:r>
          </w:p>
          <w:p w:rsidR="00DC3717" w:rsidRPr="00C44B18" w:rsidRDefault="00DC3717" w:rsidP="00DC3717">
            <w:pPr>
              <w:pStyle w:val="a4"/>
              <w:snapToGrid w:val="0"/>
              <w:ind w:leftChars="0" w:left="0"/>
              <w:jc w:val="center"/>
              <w:rPr>
                <w:rFonts w:ascii="標楷體" w:eastAsia="標楷體" w:hAnsi="標楷體"/>
                <w:sz w:val="28"/>
                <w:szCs w:val="28"/>
              </w:rPr>
            </w:pPr>
            <w:r w:rsidRPr="00DC3717">
              <w:rPr>
                <w:rFonts w:ascii="標楷體" w:eastAsia="標楷體" w:hAnsi="標楷體"/>
                <w:color w:val="000000"/>
                <w:sz w:val="28"/>
                <w:szCs w:val="28"/>
              </w:rPr>
              <w:t>(星期</w:t>
            </w:r>
            <w:r w:rsidRPr="00DC3717">
              <w:rPr>
                <w:rFonts w:ascii="標楷體" w:eastAsia="標楷體" w:hAnsi="標楷體" w:hint="eastAsia"/>
                <w:color w:val="000000"/>
                <w:sz w:val="28"/>
                <w:szCs w:val="28"/>
              </w:rPr>
              <w:t>四</w:t>
            </w:r>
            <w:r w:rsidRPr="00DC3717">
              <w:rPr>
                <w:rFonts w:ascii="標楷體" w:eastAsia="標楷體" w:hAnsi="標楷體"/>
                <w:color w:val="000000"/>
                <w:sz w:val="28"/>
                <w:szCs w:val="28"/>
              </w:rPr>
              <w:t>)</w:t>
            </w:r>
          </w:p>
        </w:tc>
        <w:tc>
          <w:tcPr>
            <w:tcW w:w="734" w:type="pct"/>
            <w:vAlign w:val="center"/>
          </w:tcPr>
          <w:p w:rsidR="00DC3717" w:rsidRPr="00CB37B8" w:rsidRDefault="00DC3717" w:rsidP="00DC3717">
            <w:pPr>
              <w:pStyle w:val="a4"/>
              <w:snapToGrid w:val="0"/>
              <w:ind w:leftChars="0" w:left="0"/>
              <w:jc w:val="center"/>
              <w:rPr>
                <w:rFonts w:ascii="標楷體" w:eastAsia="標楷體" w:hAnsi="標楷體"/>
                <w:sz w:val="28"/>
                <w:szCs w:val="28"/>
              </w:rPr>
            </w:pPr>
            <w:r w:rsidRPr="00CB37B8">
              <w:rPr>
                <w:rFonts w:ascii="標楷體" w:eastAsia="標楷體" w:hAnsi="標楷體" w:hint="eastAsia"/>
                <w:sz w:val="28"/>
                <w:szCs w:val="28"/>
              </w:rPr>
              <w:t>陳秀</w:t>
            </w:r>
          </w:p>
        </w:tc>
        <w:tc>
          <w:tcPr>
            <w:tcW w:w="1988" w:type="pct"/>
            <w:vAlign w:val="center"/>
          </w:tcPr>
          <w:p w:rsidR="00DC3717" w:rsidRPr="00967C3E" w:rsidRDefault="00967C3E" w:rsidP="00967C3E">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1.</w:t>
            </w:r>
            <w:r w:rsidR="00DC3717" w:rsidRPr="00967C3E">
              <w:rPr>
                <w:rFonts w:ascii="標楷體" w:eastAsia="標楷體" w:hAnsi="標楷體" w:hint="eastAsia"/>
                <w:sz w:val="28"/>
                <w:szCs w:val="28"/>
              </w:rPr>
              <w:t>考察台中地區學校建設及國立自然科學博物館。</w:t>
            </w:r>
          </w:p>
          <w:p w:rsidR="00DC3717" w:rsidRPr="00967C3E" w:rsidRDefault="00967C3E" w:rsidP="00967C3E">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2.</w:t>
            </w:r>
            <w:r w:rsidR="00DC3717" w:rsidRPr="00967C3E">
              <w:rPr>
                <w:rFonts w:ascii="標楷體" w:eastAsia="標楷體" w:hAnsi="標楷體"/>
                <w:sz w:val="28"/>
                <w:szCs w:val="28"/>
              </w:rPr>
              <w:t>考察簡介：</w:t>
            </w:r>
            <w:r w:rsidR="00DC3717" w:rsidRPr="00967C3E">
              <w:rPr>
                <w:rFonts w:ascii="標楷體" w:eastAsia="標楷體" w:hAnsi="標楷體" w:hint="eastAsia"/>
                <w:sz w:val="28"/>
                <w:szCs w:val="28"/>
              </w:rPr>
              <w:t>委員黃國書領隊，委員張廖萬堅</w:t>
            </w:r>
            <w:r w:rsidR="005D0372" w:rsidRPr="00967C3E">
              <w:rPr>
                <w:rFonts w:ascii="標楷體" w:eastAsia="標楷體" w:hAnsi="標楷體" w:hint="eastAsia"/>
                <w:sz w:val="28"/>
                <w:szCs w:val="28"/>
              </w:rPr>
              <w:t>、</w:t>
            </w:r>
            <w:r w:rsidR="00DC3717" w:rsidRPr="00967C3E">
              <w:rPr>
                <w:rFonts w:ascii="標楷體" w:eastAsia="標楷體" w:hAnsi="標楷體"/>
                <w:sz w:val="28"/>
                <w:szCs w:val="28"/>
              </w:rPr>
              <w:t>高金素梅</w:t>
            </w:r>
            <w:r w:rsidR="005D0372" w:rsidRPr="00967C3E">
              <w:rPr>
                <w:rFonts w:ascii="標楷體" w:eastAsia="標楷體" w:hAnsi="標楷體" w:hint="eastAsia"/>
                <w:sz w:val="28"/>
                <w:szCs w:val="28"/>
              </w:rPr>
              <w:t>、</w:t>
            </w:r>
            <w:r w:rsidR="00DC3717" w:rsidRPr="00967C3E">
              <w:rPr>
                <w:rFonts w:ascii="標楷體" w:eastAsia="標楷體" w:hAnsi="標楷體"/>
                <w:sz w:val="28"/>
                <w:szCs w:val="28"/>
              </w:rPr>
              <w:t>何欣純同行，由教育部常務次長林騰蛟、台中市政府教育局專門委員陳雅新等陪同考察並舉行座談會。(教育及文化委員會職員由簡任秘書林素惠、薦任科員郭欽堯陪同)</w:t>
            </w:r>
          </w:p>
        </w:tc>
        <w:tc>
          <w:tcPr>
            <w:tcW w:w="1174" w:type="pct"/>
          </w:tcPr>
          <w:p w:rsidR="00DC3717" w:rsidRPr="00C44B18" w:rsidRDefault="00DC3717" w:rsidP="00DC3717">
            <w:pPr>
              <w:snapToGrid w:val="0"/>
              <w:ind w:left="-28" w:rightChars="2" w:right="5"/>
              <w:jc w:val="both"/>
              <w:rPr>
                <w:rFonts w:ascii="標楷體" w:eastAsia="標楷體" w:hAnsi="標楷體"/>
                <w:sz w:val="28"/>
                <w:szCs w:val="28"/>
              </w:rPr>
            </w:pPr>
            <w:r w:rsidRPr="00C44B18">
              <w:rPr>
                <w:rFonts w:ascii="標楷體" w:eastAsia="標楷體" w:hAnsi="標楷體" w:hint="eastAsia"/>
                <w:sz w:val="28"/>
                <w:szCs w:val="28"/>
              </w:rPr>
              <w:t>考察相關資料，請參見「</w:t>
            </w:r>
            <w:r w:rsidRPr="00C44B18">
              <w:rPr>
                <w:rFonts w:ascii="標楷體" w:eastAsia="標楷體" w:hAnsi="標楷體"/>
                <w:sz w:val="28"/>
                <w:szCs w:val="28"/>
              </w:rPr>
              <w:t>11</w:t>
            </w:r>
            <w:r>
              <w:rPr>
                <w:rFonts w:ascii="標楷體" w:eastAsia="標楷體" w:hAnsi="標楷體" w:hint="eastAsia"/>
                <w:sz w:val="28"/>
                <w:szCs w:val="28"/>
              </w:rPr>
              <w:t>1</w:t>
            </w:r>
            <w:r w:rsidRPr="00C44B18">
              <w:rPr>
                <w:rFonts w:ascii="標楷體" w:eastAsia="標楷體" w:hAnsi="標楷體"/>
                <w:sz w:val="28"/>
                <w:szCs w:val="28"/>
              </w:rPr>
              <w:t>12</w:t>
            </w:r>
            <w:r>
              <w:rPr>
                <w:rFonts w:ascii="標楷體" w:eastAsia="標楷體" w:hAnsi="標楷體" w:hint="eastAsia"/>
                <w:sz w:val="28"/>
                <w:szCs w:val="28"/>
              </w:rPr>
              <w:t>29</w:t>
            </w:r>
            <w:r w:rsidRPr="00C656E7">
              <w:rPr>
                <w:rFonts w:ascii="標楷體" w:eastAsia="標楷體" w:hAnsi="標楷體"/>
                <w:sz w:val="28"/>
                <w:szCs w:val="28"/>
              </w:rPr>
              <w:tab/>
              <w:t>考察台中地區學校建設及國立自然科學博物館</w:t>
            </w:r>
            <w:r w:rsidRPr="00C44B18">
              <w:rPr>
                <w:rFonts w:ascii="標楷體" w:eastAsia="標楷體" w:hAnsi="標楷體"/>
                <w:sz w:val="28"/>
                <w:szCs w:val="28"/>
              </w:rPr>
              <w:t>」資料夾。</w:t>
            </w:r>
          </w:p>
        </w:tc>
      </w:tr>
    </w:tbl>
    <w:p w:rsidR="00873E29" w:rsidRPr="00920597" w:rsidRDefault="00064388" w:rsidP="00FF6E8B">
      <w:pPr>
        <w:pStyle w:val="01-21"/>
        <w:rPr>
          <w:color w:val="000000" w:themeColor="text1"/>
        </w:rPr>
      </w:pPr>
      <w:r w:rsidRPr="00920597">
        <w:rPr>
          <w:color w:val="000000" w:themeColor="text1"/>
        </w:rPr>
        <w:br w:type="page"/>
      </w:r>
      <w:bookmarkStart w:id="54" w:name="_Toc126068113"/>
      <w:bookmarkStart w:id="55" w:name="_Toc61516588"/>
      <w:bookmarkStart w:id="56" w:name="_Toc61597458"/>
      <w:bookmarkStart w:id="57" w:name="_Toc61597507"/>
      <w:bookmarkStart w:id="58" w:name="_Toc61597840"/>
      <w:r w:rsidR="00873E29" w:rsidRPr="00920597">
        <w:rPr>
          <w:rFonts w:hint="eastAsia"/>
          <w:color w:val="000000" w:themeColor="text1"/>
        </w:rPr>
        <w:lastRenderedPageBreak/>
        <w:t>二、公聽會</w:t>
      </w:r>
      <w:bookmarkEnd w:id="54"/>
    </w:p>
    <w:p w:rsidR="00873E29" w:rsidRPr="00920597" w:rsidRDefault="00873E29" w:rsidP="00FF6E8B">
      <w:pPr>
        <w:snapToGrid w:val="0"/>
        <w:spacing w:line="480" w:lineRule="exact"/>
        <w:ind w:leftChars="100" w:left="1024" w:hangingChars="280" w:hanging="784"/>
        <w:jc w:val="both"/>
        <w:rPr>
          <w:rFonts w:ascii="標楷體" w:eastAsia="標楷體" w:hAnsi="標楷體"/>
          <w:b/>
          <w:iCs/>
          <w:color w:val="000000" w:themeColor="text1"/>
          <w:sz w:val="28"/>
          <w:szCs w:val="28"/>
        </w:rPr>
      </w:pPr>
      <w:r w:rsidRPr="00920597">
        <w:rPr>
          <w:rFonts w:ascii="標楷體" w:eastAsia="標楷體" w:hAnsi="標楷體" w:hint="eastAsia"/>
          <w:iCs/>
          <w:color w:val="000000" w:themeColor="text1"/>
          <w:sz w:val="28"/>
          <w:szCs w:val="28"/>
        </w:rPr>
        <w:t>（一）</w:t>
      </w:r>
      <w:r w:rsidR="00A44309" w:rsidRPr="00A44309">
        <w:rPr>
          <w:rFonts w:ascii="標楷體" w:eastAsia="標楷體" w:hAnsi="標楷體" w:hint="eastAsia"/>
          <w:iCs/>
          <w:color w:val="000000" w:themeColor="text1"/>
          <w:sz w:val="28"/>
          <w:szCs w:val="28"/>
        </w:rPr>
        <w:t>112年12月19日（星期一）上</w:t>
      </w:r>
      <w:r w:rsidR="00A44309" w:rsidRPr="00A44309">
        <w:rPr>
          <w:rFonts w:ascii="標楷體" w:eastAsia="標楷體" w:hAnsi="標楷體"/>
          <w:bCs/>
          <w:iCs/>
          <w:color w:val="000000" w:themeColor="text1"/>
          <w:sz w:val="28"/>
          <w:szCs w:val="28"/>
        </w:rPr>
        <w:t>午</w:t>
      </w:r>
      <w:r w:rsidRPr="00920597">
        <w:rPr>
          <w:rFonts w:ascii="標楷體" w:eastAsia="標楷體" w:hAnsi="標楷體" w:hint="eastAsia"/>
          <w:iCs/>
          <w:color w:val="000000" w:themeColor="text1"/>
          <w:sz w:val="28"/>
          <w:szCs w:val="28"/>
        </w:rPr>
        <w:t>，</w:t>
      </w:r>
      <w:r w:rsidRPr="00920597">
        <w:rPr>
          <w:rFonts w:ascii="標楷體" w:eastAsia="標楷體" w:hAnsi="標楷體" w:hint="eastAsia"/>
          <w:color w:val="000000" w:themeColor="text1"/>
          <w:sz w:val="28"/>
          <w:szCs w:val="28"/>
        </w:rPr>
        <w:t>舉行</w:t>
      </w:r>
      <w:r w:rsidR="00A44309" w:rsidRPr="00A44309">
        <w:rPr>
          <w:rFonts w:ascii="標楷體" w:eastAsia="標楷體" w:hAnsi="標楷體" w:hint="eastAsia"/>
          <w:color w:val="000000" w:themeColor="text1"/>
          <w:sz w:val="28"/>
          <w:szCs w:val="28"/>
        </w:rPr>
        <w:t>「人工智慧、虛擬貨幣、數位資產、數位人權、金融科技、元宇宙」校園反詐騙與反洗錢教育宣導公聽會</w:t>
      </w:r>
      <w:r w:rsidRPr="00920597">
        <w:rPr>
          <w:rFonts w:ascii="標楷體" w:eastAsia="標楷體" w:hAnsi="標楷體" w:hint="eastAsia"/>
          <w:color w:val="000000" w:themeColor="text1"/>
          <w:sz w:val="28"/>
          <w:szCs w:val="28"/>
        </w:rPr>
        <w:t>。</w:t>
      </w:r>
    </w:p>
    <w:p w:rsidR="00873E29" w:rsidRPr="00920597" w:rsidRDefault="00873E29" w:rsidP="001D2540">
      <w:pPr>
        <w:snapToGrid w:val="0"/>
        <w:spacing w:line="480" w:lineRule="exact"/>
        <w:ind w:leftChars="218" w:left="803" w:hangingChars="100" w:hanging="280"/>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1.主席：</w:t>
      </w:r>
      <w:r w:rsidR="00A44309">
        <w:rPr>
          <w:rFonts w:ascii="標楷體" w:eastAsia="標楷體" w:hAnsi="標楷體" w:hint="eastAsia"/>
          <w:color w:val="000000" w:themeColor="text1"/>
          <w:sz w:val="28"/>
          <w:szCs w:val="28"/>
        </w:rPr>
        <w:t>鄭</w:t>
      </w:r>
      <w:r w:rsidR="007450A6" w:rsidRPr="00920597">
        <w:rPr>
          <w:rFonts w:ascii="標楷體" w:eastAsia="標楷體" w:hAnsi="標楷體" w:hint="eastAsia"/>
          <w:color w:val="000000" w:themeColor="text1"/>
          <w:sz w:val="28"/>
          <w:szCs w:val="28"/>
        </w:rPr>
        <w:t>召集委員</w:t>
      </w:r>
      <w:r w:rsidR="00A44309">
        <w:rPr>
          <w:rFonts w:ascii="標楷體" w:eastAsia="標楷體" w:hAnsi="標楷體" w:hint="eastAsia"/>
          <w:color w:val="000000" w:themeColor="text1"/>
          <w:sz w:val="28"/>
          <w:szCs w:val="28"/>
        </w:rPr>
        <w:t>正鈐</w:t>
      </w:r>
      <w:r w:rsidRPr="00920597">
        <w:rPr>
          <w:rFonts w:ascii="標楷體" w:eastAsia="標楷體" w:hAnsi="標楷體" w:hint="eastAsia"/>
          <w:color w:val="000000" w:themeColor="text1"/>
          <w:sz w:val="28"/>
          <w:szCs w:val="28"/>
        </w:rPr>
        <w:t>。</w:t>
      </w:r>
    </w:p>
    <w:p w:rsidR="00873E29" w:rsidRPr="00920597" w:rsidRDefault="00873E29" w:rsidP="001D2540">
      <w:pPr>
        <w:snapToGrid w:val="0"/>
        <w:spacing w:line="480" w:lineRule="exact"/>
        <w:ind w:leftChars="218" w:left="803" w:hangingChars="100" w:hanging="280"/>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2.會議討論提綱，內容如下：</w:t>
      </w:r>
    </w:p>
    <w:p w:rsidR="00873E29" w:rsidRPr="00920597" w:rsidRDefault="00873E29" w:rsidP="00A44309">
      <w:pPr>
        <w:overflowPunct w:val="0"/>
        <w:snapToGrid w:val="0"/>
        <w:spacing w:line="480" w:lineRule="exact"/>
        <w:ind w:leftChars="300" w:left="1140" w:hangingChars="150" w:hanging="420"/>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w:t>
      </w:r>
      <w:r w:rsidR="00A44309" w:rsidRPr="00A44309">
        <w:rPr>
          <w:rFonts w:ascii="標楷體" w:eastAsia="標楷體" w:hAnsi="標楷體" w:hint="eastAsia"/>
          <w:color w:val="000000" w:themeColor="text1"/>
          <w:sz w:val="28"/>
          <w:szCs w:val="28"/>
        </w:rPr>
        <w:t>人工智慧、數位資產、虛擬通貨的定義、國內規範與國際趨勢及案例。</w:t>
      </w:r>
    </w:p>
    <w:p w:rsidR="00873E29" w:rsidRPr="00A44309" w:rsidRDefault="00873E29" w:rsidP="00FF6E8B">
      <w:pPr>
        <w:snapToGrid w:val="0"/>
        <w:spacing w:line="480" w:lineRule="exact"/>
        <w:ind w:leftChars="300" w:left="1140" w:hangingChars="150" w:hanging="420"/>
        <w:jc w:val="both"/>
        <w:rPr>
          <w:rFonts w:ascii="標楷體" w:eastAsia="標楷體" w:hAnsi="標楷體"/>
          <w:color w:val="000000" w:themeColor="text1"/>
          <w:sz w:val="32"/>
          <w:szCs w:val="28"/>
        </w:rPr>
      </w:pPr>
      <w:r w:rsidRPr="00920597">
        <w:rPr>
          <w:rFonts w:ascii="標楷體" w:eastAsia="標楷體" w:hAnsi="標楷體" w:hint="eastAsia"/>
          <w:color w:val="000000" w:themeColor="text1"/>
          <w:sz w:val="28"/>
          <w:szCs w:val="28"/>
        </w:rPr>
        <w:t>(2)</w:t>
      </w:r>
      <w:r w:rsidR="00A44309" w:rsidRPr="00A44309">
        <w:rPr>
          <w:rFonts w:ascii="標楷體" w:eastAsia="標楷體" w:hAnsi="標楷體" w:hint="eastAsia"/>
          <w:color w:val="000000" w:themeColor="text1"/>
          <w:sz w:val="28"/>
          <w:szCs w:val="28"/>
        </w:rPr>
        <w:t>人工智慧、數位資產、金融科技、元宇宙在職教育、大專院校通識教育的推動</w:t>
      </w:r>
      <w:r w:rsidR="00A44309">
        <w:rPr>
          <w:rFonts w:ascii="標楷體" w:eastAsia="標楷體" w:hAnsi="標楷體" w:hint="eastAsia"/>
          <w:color w:val="000000" w:themeColor="text1"/>
          <w:sz w:val="32"/>
          <w:szCs w:val="28"/>
        </w:rPr>
        <w:t>。</w:t>
      </w:r>
    </w:p>
    <w:p w:rsidR="00873E29" w:rsidRPr="00920597" w:rsidRDefault="00873E29" w:rsidP="00FF6E8B">
      <w:pPr>
        <w:snapToGrid w:val="0"/>
        <w:spacing w:line="480" w:lineRule="exact"/>
        <w:ind w:leftChars="300" w:left="1140" w:hangingChars="150" w:hanging="420"/>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(3)</w:t>
      </w:r>
      <w:r w:rsidR="00A44309" w:rsidRPr="00A44309">
        <w:rPr>
          <w:rFonts w:ascii="標楷體" w:eastAsia="標楷體" w:hAnsi="標楷體" w:hint="eastAsia"/>
          <w:color w:val="000000" w:themeColor="text1"/>
          <w:sz w:val="28"/>
          <w:szCs w:val="28"/>
        </w:rPr>
        <w:t>人工智慧、</w:t>
      </w:r>
      <w:r w:rsidR="00A44309" w:rsidRPr="00A44309">
        <w:rPr>
          <w:rFonts w:ascii="標楷體" w:eastAsia="標楷體" w:hAnsi="標楷體"/>
          <w:color w:val="000000" w:themeColor="text1"/>
          <w:sz w:val="28"/>
          <w:szCs w:val="28"/>
        </w:rPr>
        <w:t>數位資產、金融科技、元宇宙</w:t>
      </w:r>
      <w:r w:rsidR="00A44309" w:rsidRPr="00A44309">
        <w:rPr>
          <w:rFonts w:ascii="標楷體" w:eastAsia="標楷體" w:hAnsi="標楷體" w:hint="eastAsia"/>
          <w:color w:val="000000" w:themeColor="text1"/>
          <w:sz w:val="28"/>
          <w:szCs w:val="28"/>
        </w:rPr>
        <w:t>於公司董事會、法遵、內控、內稽、財會主管等管理階層於公司治理層面進修課程的推動。</w:t>
      </w:r>
    </w:p>
    <w:p w:rsidR="007450A6" w:rsidRPr="00920597" w:rsidRDefault="00873E29" w:rsidP="00FF6E8B">
      <w:pPr>
        <w:snapToGrid w:val="0"/>
        <w:spacing w:line="480" w:lineRule="exact"/>
        <w:ind w:leftChars="300" w:left="1140" w:hangingChars="150" w:hanging="420"/>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(4)</w:t>
      </w:r>
      <w:r w:rsidR="00A44309" w:rsidRPr="00A44309">
        <w:rPr>
          <w:rFonts w:ascii="標楷體" w:eastAsia="標楷體" w:hAnsi="標楷體" w:hint="eastAsia"/>
          <w:color w:val="000000" w:themeColor="text1"/>
          <w:sz w:val="28"/>
          <w:szCs w:val="28"/>
        </w:rPr>
        <w:t>人工智慧、數位資產、金融科技、元宇宙反詐騙與反洗錢公益教育宣導</w:t>
      </w:r>
      <w:r w:rsidR="00A44309">
        <w:rPr>
          <w:rFonts w:ascii="標楷體" w:eastAsia="標楷體" w:hAnsi="標楷體" w:hint="eastAsia"/>
          <w:color w:val="000000" w:themeColor="text1"/>
          <w:sz w:val="28"/>
          <w:szCs w:val="28"/>
        </w:rPr>
        <w:t>。</w:t>
      </w:r>
    </w:p>
    <w:p w:rsidR="00873E29" w:rsidRPr="00920597" w:rsidRDefault="00873E29" w:rsidP="00017AA4">
      <w:pPr>
        <w:overflowPunct w:val="0"/>
        <w:snapToGrid w:val="0"/>
        <w:spacing w:line="480" w:lineRule="exact"/>
        <w:ind w:leftChars="218" w:left="803" w:hangingChars="100" w:hanging="280"/>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3.邀請學者專家：</w:t>
      </w:r>
      <w:r w:rsidR="00DA0746" w:rsidRPr="00DA0746">
        <w:rPr>
          <w:rFonts w:ascii="標楷體" w:eastAsia="標楷體" w:hAnsi="標楷體" w:hint="eastAsia"/>
          <w:color w:val="000000" w:themeColor="text1"/>
          <w:sz w:val="28"/>
          <w:szCs w:val="28"/>
        </w:rPr>
        <w:t>文化大學財務金融學系副教授王偉權、</w:t>
      </w:r>
      <w:r w:rsidR="00DA0746" w:rsidRPr="00DA0746">
        <w:rPr>
          <w:rFonts w:ascii="標楷體" w:eastAsia="標楷體" w:hAnsi="標楷體" w:hint="eastAsia"/>
          <w:bCs/>
          <w:color w:val="000000" w:themeColor="text1"/>
          <w:sz w:val="28"/>
          <w:szCs w:val="28"/>
        </w:rPr>
        <w:t>東吳大學國際與兩岸學術交流事務處學術交流長王煦棋、</w:t>
      </w:r>
      <w:r w:rsidR="00DA0746" w:rsidRPr="00DA0746">
        <w:rPr>
          <w:rFonts w:ascii="標楷體" w:eastAsia="標楷體" w:hAnsi="標楷體" w:hint="eastAsia"/>
          <w:color w:val="000000" w:themeColor="text1"/>
          <w:sz w:val="28"/>
          <w:szCs w:val="28"/>
        </w:rPr>
        <w:t>iWIN網路內容防護機構執行秘書劉昱均、仙饌控股股份有限公司顧問陳君岳、萬旭浤資訊科技集團董事長鄭旭高、國立臺北大學國際商務系副教授盧智強、國立政治大學法學院副教授臧正運、奇岩綠能科技股份有限公司董事長林宜養、竟好科技開發有限公司董事長陳秋欽、國立陽明交通大學科技法律研究所教授林建中、幣託科技有限公司台灣分公司執行長鄭光泰、畢竟科技股份有限公司營運長張于庭、靜宜大學犯罪防治碩士學位學程教授劉奕昇</w:t>
      </w:r>
      <w:r w:rsidRPr="00920597">
        <w:rPr>
          <w:rFonts w:ascii="標楷體" w:eastAsia="標楷體" w:hAnsi="標楷體" w:hint="eastAsia"/>
          <w:color w:val="000000" w:themeColor="text1"/>
          <w:sz w:val="28"/>
          <w:szCs w:val="28"/>
        </w:rPr>
        <w:t>。</w:t>
      </w:r>
    </w:p>
    <w:p w:rsidR="00873E29" w:rsidRDefault="00873E29" w:rsidP="00017AA4">
      <w:pPr>
        <w:overflowPunct w:val="0"/>
        <w:snapToGrid w:val="0"/>
        <w:spacing w:line="480" w:lineRule="exact"/>
        <w:ind w:leftChars="218" w:left="803" w:hangingChars="100" w:hanging="280"/>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4.政府官員及委員：</w:t>
      </w:r>
      <w:r w:rsidR="00785E73" w:rsidRPr="00785E73">
        <w:rPr>
          <w:rFonts w:ascii="標楷體" w:eastAsia="標楷體" w:hAnsi="標楷體" w:hint="eastAsia"/>
          <w:bCs/>
          <w:color w:val="000000" w:themeColor="text1"/>
          <w:sz w:val="28"/>
          <w:szCs w:val="28"/>
        </w:rPr>
        <w:t>教育部</w:t>
      </w:r>
      <w:r w:rsidR="00785E73" w:rsidRPr="00785E73">
        <w:rPr>
          <w:rFonts w:ascii="標楷體" w:eastAsia="標楷體" w:hAnsi="標楷體"/>
          <w:bCs/>
          <w:color w:val="000000" w:themeColor="text1"/>
          <w:sz w:val="28"/>
          <w:szCs w:val="28"/>
        </w:rPr>
        <w:t>學</w:t>
      </w:r>
      <w:r w:rsidR="00785E73" w:rsidRPr="00785E73">
        <w:rPr>
          <w:rFonts w:ascii="標楷體" w:eastAsia="標楷體" w:hAnsi="標楷體" w:hint="eastAsia"/>
          <w:bCs/>
          <w:color w:val="000000" w:themeColor="text1"/>
          <w:sz w:val="28"/>
          <w:szCs w:val="28"/>
        </w:rPr>
        <w:t>生事</w:t>
      </w:r>
      <w:r w:rsidR="00785E73" w:rsidRPr="00785E73">
        <w:rPr>
          <w:rFonts w:ascii="標楷體" w:eastAsia="標楷體" w:hAnsi="標楷體"/>
          <w:bCs/>
          <w:color w:val="000000" w:themeColor="text1"/>
          <w:sz w:val="28"/>
          <w:szCs w:val="28"/>
        </w:rPr>
        <w:t>務</w:t>
      </w:r>
      <w:r w:rsidR="00785E73" w:rsidRPr="00785E73">
        <w:rPr>
          <w:rFonts w:ascii="標楷體" w:eastAsia="標楷體" w:hAnsi="標楷體" w:hint="eastAsia"/>
          <w:bCs/>
          <w:color w:val="000000" w:themeColor="text1"/>
          <w:sz w:val="28"/>
          <w:szCs w:val="28"/>
        </w:rPr>
        <w:t>及特殊</w:t>
      </w:r>
      <w:r w:rsidR="00785E73" w:rsidRPr="00785E73">
        <w:rPr>
          <w:rFonts w:ascii="標楷體" w:eastAsia="標楷體" w:hAnsi="標楷體"/>
          <w:bCs/>
          <w:color w:val="000000" w:themeColor="text1"/>
          <w:sz w:val="28"/>
          <w:szCs w:val="28"/>
        </w:rPr>
        <w:t>教</w:t>
      </w:r>
      <w:r w:rsidR="00785E73" w:rsidRPr="00785E73">
        <w:rPr>
          <w:rFonts w:ascii="標楷體" w:eastAsia="標楷體" w:hAnsi="標楷體" w:hint="eastAsia"/>
          <w:bCs/>
          <w:color w:val="000000" w:themeColor="text1"/>
          <w:sz w:val="28"/>
          <w:szCs w:val="28"/>
        </w:rPr>
        <w:t>育</w:t>
      </w:r>
      <w:r w:rsidR="00785E73" w:rsidRPr="00785E73">
        <w:rPr>
          <w:rFonts w:ascii="標楷體" w:eastAsia="標楷體" w:hAnsi="標楷體"/>
          <w:bCs/>
          <w:color w:val="000000" w:themeColor="text1"/>
          <w:sz w:val="28"/>
          <w:szCs w:val="28"/>
        </w:rPr>
        <w:t>司</w:t>
      </w:r>
      <w:r w:rsidR="00785E73" w:rsidRPr="00785E73">
        <w:rPr>
          <w:rFonts w:ascii="標楷體" w:eastAsia="標楷體" w:hAnsi="標楷體" w:hint="eastAsia"/>
          <w:bCs/>
          <w:color w:val="000000" w:themeColor="text1"/>
          <w:sz w:val="28"/>
          <w:szCs w:val="28"/>
        </w:rPr>
        <w:t>司長吳林輝、教育部高等教育司專門委員李惠敏、教育部技術及職業教育司專門委員陳玉君、教育部國民及學前教育署專門委員邱秋嬋、教育部學生事務及特殊教育司科長張惠雯、國家科學及技術委員會前瞻及應用科技處副處長蔡妙慈、金融監督管理委員會綜合規劃處處長胡則華、金融監督管理委員會銀行局副組長張世昌、數位發展部數位產業署平臺經濟組組長許福添、數位發展部數位產業署平臺經濟組科長林宗漢、法務部保護司專門委員</w:t>
      </w:r>
      <w:r w:rsidR="00785E73" w:rsidRPr="00785E73">
        <w:rPr>
          <w:rFonts w:ascii="標楷體" w:eastAsia="標楷體" w:hAnsi="標楷體" w:hint="eastAsia"/>
          <w:bCs/>
          <w:color w:val="000000" w:themeColor="text1"/>
          <w:sz w:val="28"/>
          <w:szCs w:val="28"/>
        </w:rPr>
        <w:lastRenderedPageBreak/>
        <w:t>林瓏、法務部保護司科長朱念慈、財政部國庫署副組長王素英、財政部賦稅署專門委員楊純婷、財政部賦稅署科長梁瑋峻、內政部警政署刑事警察局科技犯罪防制中心代理主任林煒翔</w:t>
      </w:r>
      <w:r w:rsidRPr="00920597">
        <w:rPr>
          <w:rFonts w:ascii="標楷體" w:eastAsia="標楷體" w:hAnsi="標楷體" w:hint="eastAsia"/>
          <w:color w:val="000000" w:themeColor="text1"/>
          <w:sz w:val="28"/>
          <w:szCs w:val="28"/>
        </w:rPr>
        <w:t>等列席說明，委員</w:t>
      </w:r>
      <w:r w:rsidR="00785E73" w:rsidRPr="00785E73">
        <w:rPr>
          <w:rFonts w:ascii="標楷體" w:eastAsia="標楷體" w:hAnsi="標楷體" w:hint="eastAsia"/>
          <w:color w:val="000000" w:themeColor="text1"/>
          <w:sz w:val="28"/>
          <w:szCs w:val="28"/>
        </w:rPr>
        <w:t>吳欣盈</w:t>
      </w:r>
      <w:r w:rsidRPr="00920597">
        <w:rPr>
          <w:rFonts w:ascii="標楷體" w:eastAsia="標楷體" w:hAnsi="標楷體" w:hint="eastAsia"/>
          <w:color w:val="000000" w:themeColor="text1"/>
          <w:sz w:val="28"/>
          <w:szCs w:val="28"/>
        </w:rPr>
        <w:t>及</w:t>
      </w:r>
      <w:r w:rsidR="00785E73" w:rsidRPr="00785E73">
        <w:rPr>
          <w:rFonts w:ascii="標楷體" w:eastAsia="標楷體" w:hAnsi="標楷體" w:hint="eastAsia"/>
          <w:color w:val="000000" w:themeColor="text1"/>
          <w:sz w:val="28"/>
          <w:szCs w:val="28"/>
        </w:rPr>
        <w:t>林楚茵</w:t>
      </w:r>
      <w:r w:rsidRPr="00920597">
        <w:rPr>
          <w:rFonts w:ascii="標楷體" w:eastAsia="標楷體" w:hAnsi="標楷體" w:hint="eastAsia"/>
          <w:color w:val="000000" w:themeColor="text1"/>
          <w:sz w:val="28"/>
          <w:szCs w:val="28"/>
        </w:rPr>
        <w:t>等發言。</w:t>
      </w:r>
    </w:p>
    <w:p w:rsidR="001533FB" w:rsidRPr="001533FB" w:rsidRDefault="001533FB" w:rsidP="001533FB">
      <w:pPr>
        <w:snapToGrid w:val="0"/>
        <w:spacing w:line="480" w:lineRule="exact"/>
        <w:ind w:leftChars="100" w:left="1024" w:hangingChars="280" w:hanging="784"/>
        <w:jc w:val="both"/>
        <w:rPr>
          <w:rFonts w:ascii="標楷體" w:eastAsia="標楷體" w:hAnsi="標楷體"/>
          <w:iCs/>
          <w:color w:val="000000" w:themeColor="text1"/>
          <w:sz w:val="28"/>
          <w:szCs w:val="28"/>
        </w:rPr>
      </w:pPr>
      <w:r w:rsidRPr="00920597">
        <w:rPr>
          <w:rFonts w:ascii="標楷體" w:eastAsia="標楷體" w:hAnsi="標楷體" w:hint="eastAsia"/>
          <w:iCs/>
          <w:color w:val="000000" w:themeColor="text1"/>
          <w:sz w:val="28"/>
          <w:szCs w:val="28"/>
        </w:rPr>
        <w:t>（</w:t>
      </w:r>
      <w:r>
        <w:rPr>
          <w:rFonts w:ascii="標楷體" w:eastAsia="標楷體" w:hAnsi="標楷體" w:hint="eastAsia"/>
          <w:iCs/>
          <w:color w:val="000000" w:themeColor="text1"/>
          <w:sz w:val="28"/>
          <w:szCs w:val="28"/>
        </w:rPr>
        <w:t>二</w:t>
      </w:r>
      <w:r w:rsidRPr="00920597">
        <w:rPr>
          <w:rFonts w:ascii="標楷體" w:eastAsia="標楷體" w:hAnsi="標楷體" w:hint="eastAsia"/>
          <w:iCs/>
          <w:color w:val="000000" w:themeColor="text1"/>
          <w:sz w:val="28"/>
          <w:szCs w:val="28"/>
        </w:rPr>
        <w:t>）</w:t>
      </w:r>
      <w:r w:rsidRPr="00A44309">
        <w:rPr>
          <w:rFonts w:ascii="標楷體" w:eastAsia="標楷體" w:hAnsi="標楷體" w:hint="eastAsia"/>
          <w:iCs/>
          <w:color w:val="000000" w:themeColor="text1"/>
          <w:sz w:val="28"/>
          <w:szCs w:val="28"/>
        </w:rPr>
        <w:t>112年12月19日（星期</w:t>
      </w:r>
      <w:r>
        <w:rPr>
          <w:rFonts w:ascii="標楷體" w:eastAsia="標楷體" w:hAnsi="標楷體" w:hint="eastAsia"/>
          <w:iCs/>
          <w:color w:val="000000" w:themeColor="text1"/>
          <w:sz w:val="28"/>
          <w:szCs w:val="28"/>
        </w:rPr>
        <w:t>一</w:t>
      </w:r>
      <w:r w:rsidRPr="00A44309">
        <w:rPr>
          <w:rFonts w:ascii="標楷體" w:eastAsia="標楷體" w:hAnsi="標楷體" w:hint="eastAsia"/>
          <w:iCs/>
          <w:color w:val="000000" w:themeColor="text1"/>
          <w:sz w:val="28"/>
          <w:szCs w:val="28"/>
        </w:rPr>
        <w:t>）</w:t>
      </w:r>
      <w:r>
        <w:rPr>
          <w:rFonts w:ascii="標楷體" w:eastAsia="標楷體" w:hAnsi="標楷體" w:hint="eastAsia"/>
          <w:iCs/>
          <w:color w:val="000000" w:themeColor="text1"/>
          <w:sz w:val="28"/>
          <w:szCs w:val="28"/>
        </w:rPr>
        <w:t>下</w:t>
      </w:r>
      <w:r w:rsidRPr="001533FB">
        <w:rPr>
          <w:rFonts w:ascii="標楷體" w:eastAsia="標楷體" w:hAnsi="標楷體"/>
          <w:iCs/>
          <w:color w:val="000000" w:themeColor="text1"/>
          <w:sz w:val="28"/>
          <w:szCs w:val="28"/>
        </w:rPr>
        <w:t>午</w:t>
      </w:r>
      <w:r w:rsidRPr="00920597">
        <w:rPr>
          <w:rFonts w:ascii="標楷體" w:eastAsia="標楷體" w:hAnsi="標楷體" w:hint="eastAsia"/>
          <w:iCs/>
          <w:color w:val="000000" w:themeColor="text1"/>
          <w:sz w:val="28"/>
          <w:szCs w:val="28"/>
        </w:rPr>
        <w:t>，</w:t>
      </w:r>
      <w:r w:rsidRPr="001533FB">
        <w:rPr>
          <w:rFonts w:ascii="標楷體" w:eastAsia="標楷體" w:hAnsi="標楷體" w:hint="eastAsia"/>
          <w:iCs/>
          <w:color w:val="000000" w:themeColor="text1"/>
          <w:sz w:val="28"/>
          <w:szCs w:val="28"/>
        </w:rPr>
        <w:t>舉行</w:t>
      </w:r>
      <w:r w:rsidRPr="001533FB">
        <w:rPr>
          <w:rFonts w:ascii="標楷體" w:eastAsia="標楷體" w:hAnsi="標楷體" w:hint="eastAsia"/>
          <w:bCs/>
          <w:iCs/>
          <w:color w:val="000000" w:themeColor="text1"/>
          <w:sz w:val="28"/>
          <w:szCs w:val="28"/>
        </w:rPr>
        <w:t>「國立故宮博物院近來作為是否符合公共性？」公聽會</w:t>
      </w:r>
      <w:r w:rsidRPr="001533FB">
        <w:rPr>
          <w:rFonts w:ascii="標楷體" w:eastAsia="標楷體" w:hAnsi="標楷體" w:hint="eastAsia"/>
          <w:iCs/>
          <w:color w:val="000000" w:themeColor="text1"/>
          <w:sz w:val="28"/>
          <w:szCs w:val="28"/>
        </w:rPr>
        <w:t>。</w:t>
      </w:r>
    </w:p>
    <w:p w:rsidR="001533FB" w:rsidRPr="00920597" w:rsidRDefault="001533FB" w:rsidP="001533FB">
      <w:pPr>
        <w:snapToGrid w:val="0"/>
        <w:spacing w:line="480" w:lineRule="exact"/>
        <w:ind w:leftChars="218" w:left="803" w:hangingChars="100" w:hanging="280"/>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1.主席：</w:t>
      </w:r>
      <w:r>
        <w:rPr>
          <w:rFonts w:ascii="標楷體" w:eastAsia="標楷體" w:hAnsi="標楷體" w:hint="eastAsia"/>
          <w:color w:val="000000" w:themeColor="text1"/>
          <w:sz w:val="28"/>
          <w:szCs w:val="28"/>
        </w:rPr>
        <w:t>鄭</w:t>
      </w:r>
      <w:r w:rsidRPr="00920597">
        <w:rPr>
          <w:rFonts w:ascii="標楷體" w:eastAsia="標楷體" w:hAnsi="標楷體" w:hint="eastAsia"/>
          <w:color w:val="000000" w:themeColor="text1"/>
          <w:sz w:val="28"/>
          <w:szCs w:val="28"/>
        </w:rPr>
        <w:t>召集委員</w:t>
      </w:r>
      <w:r>
        <w:rPr>
          <w:rFonts w:ascii="標楷體" w:eastAsia="標楷體" w:hAnsi="標楷體" w:hint="eastAsia"/>
          <w:color w:val="000000" w:themeColor="text1"/>
          <w:sz w:val="28"/>
          <w:szCs w:val="28"/>
        </w:rPr>
        <w:t>正鈐</w:t>
      </w:r>
      <w:r w:rsidRPr="00920597">
        <w:rPr>
          <w:rFonts w:ascii="標楷體" w:eastAsia="標楷體" w:hAnsi="標楷體" w:hint="eastAsia"/>
          <w:color w:val="000000" w:themeColor="text1"/>
          <w:sz w:val="28"/>
          <w:szCs w:val="28"/>
        </w:rPr>
        <w:t>。</w:t>
      </w:r>
    </w:p>
    <w:p w:rsidR="001533FB" w:rsidRPr="00920597" w:rsidRDefault="001533FB" w:rsidP="001533FB">
      <w:pPr>
        <w:snapToGrid w:val="0"/>
        <w:spacing w:line="480" w:lineRule="exact"/>
        <w:ind w:leftChars="218" w:left="803" w:hangingChars="100" w:hanging="280"/>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2.會議討論提綱，內容如下：</w:t>
      </w:r>
    </w:p>
    <w:p w:rsidR="001533FB" w:rsidRPr="00920597" w:rsidRDefault="001533FB" w:rsidP="001533FB">
      <w:pPr>
        <w:overflowPunct w:val="0"/>
        <w:snapToGrid w:val="0"/>
        <w:spacing w:line="480" w:lineRule="exact"/>
        <w:ind w:leftChars="300" w:left="1140" w:hangingChars="150" w:hanging="420"/>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w:t>
      </w:r>
      <w:r w:rsidRPr="001533FB">
        <w:rPr>
          <w:rFonts w:ascii="標楷體" w:eastAsia="標楷體" w:hAnsi="標楷體" w:hint="eastAsia"/>
          <w:color w:val="000000" w:themeColor="text1"/>
          <w:sz w:val="28"/>
          <w:szCs w:val="28"/>
        </w:rPr>
        <w:t>國立故宮博物院院長宣稱未來寄存將以捐贈為前提，此項「新變革」，是否符合公共利益？是否有前例可循？是否符合博物館專業及當今博物館經營主流？</w:t>
      </w:r>
    </w:p>
    <w:p w:rsidR="001533FB" w:rsidRPr="00A44309" w:rsidRDefault="001533FB" w:rsidP="001533FB">
      <w:pPr>
        <w:snapToGrid w:val="0"/>
        <w:spacing w:line="480" w:lineRule="exact"/>
        <w:ind w:leftChars="300" w:left="1140" w:hangingChars="150" w:hanging="420"/>
        <w:jc w:val="both"/>
        <w:rPr>
          <w:rFonts w:ascii="標楷體" w:eastAsia="標楷體" w:hAnsi="標楷體"/>
          <w:color w:val="000000" w:themeColor="text1"/>
          <w:sz w:val="32"/>
          <w:szCs w:val="28"/>
        </w:rPr>
      </w:pPr>
      <w:r w:rsidRPr="00920597">
        <w:rPr>
          <w:rFonts w:ascii="標楷體" w:eastAsia="標楷體" w:hAnsi="標楷體" w:hint="eastAsia"/>
          <w:color w:val="000000" w:themeColor="text1"/>
          <w:sz w:val="28"/>
          <w:szCs w:val="28"/>
        </w:rPr>
        <w:t>(2)</w:t>
      </w:r>
      <w:r w:rsidRPr="001533FB">
        <w:rPr>
          <w:rFonts w:ascii="標楷體" w:eastAsia="標楷體" w:hAnsi="標楷體" w:hint="eastAsia"/>
          <w:color w:val="000000" w:themeColor="text1"/>
          <w:sz w:val="28"/>
          <w:szCs w:val="28"/>
        </w:rPr>
        <w:t>是否應修正國立故宮博物院組織法，恢復指導委員會，並賦與該會法律位階？</w:t>
      </w:r>
    </w:p>
    <w:p w:rsidR="001533FB" w:rsidRPr="00920597" w:rsidRDefault="001533FB" w:rsidP="001533FB">
      <w:pPr>
        <w:snapToGrid w:val="0"/>
        <w:spacing w:line="480" w:lineRule="exact"/>
        <w:ind w:leftChars="300" w:left="1140" w:hangingChars="150" w:hanging="420"/>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(3)</w:t>
      </w:r>
      <w:r w:rsidRPr="001533FB">
        <w:rPr>
          <w:rFonts w:ascii="標楷體" w:eastAsia="標楷體" w:hAnsi="標楷體" w:hint="eastAsia"/>
          <w:color w:val="000000" w:themeColor="text1"/>
          <w:sz w:val="28"/>
          <w:szCs w:val="28"/>
        </w:rPr>
        <w:t>國立故宮博物院有七十多萬件古物，如今因人員遇缺不補，人數僅剩編制表規定的三分之二，是否足以支撐保存與維修工作？</w:t>
      </w:r>
    </w:p>
    <w:p w:rsidR="001533FB" w:rsidRPr="00920597" w:rsidRDefault="001533FB" w:rsidP="001533FB">
      <w:pPr>
        <w:overflowPunct w:val="0"/>
        <w:snapToGrid w:val="0"/>
        <w:spacing w:line="480" w:lineRule="exact"/>
        <w:ind w:leftChars="218" w:left="803" w:hangingChars="100" w:hanging="280"/>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3.邀請學者專家：</w:t>
      </w:r>
      <w:r w:rsidR="00B864D9" w:rsidRPr="00B864D9">
        <w:rPr>
          <w:rFonts w:ascii="標楷體" w:eastAsia="標楷體" w:hAnsi="標楷體" w:hint="eastAsia"/>
          <w:color w:val="000000" w:themeColor="text1"/>
          <w:sz w:val="28"/>
          <w:szCs w:val="28"/>
        </w:rPr>
        <w:t>國立嘉義大學應用歷史學系暨研究所教授吳昆財、</w:t>
      </w:r>
      <w:r w:rsidR="00B864D9" w:rsidRPr="00B864D9">
        <w:rPr>
          <w:rFonts w:ascii="標楷體" w:eastAsia="標楷體" w:hAnsi="標楷體" w:hint="eastAsia"/>
          <w:bCs/>
          <w:color w:val="000000" w:themeColor="text1"/>
          <w:sz w:val="28"/>
          <w:szCs w:val="28"/>
        </w:rPr>
        <w:t>國家政策研究基金會教文體育組召集人陳學聖、</w:t>
      </w:r>
      <w:r w:rsidR="00B864D9" w:rsidRPr="00B864D9">
        <w:rPr>
          <w:rFonts w:ascii="標楷體" w:eastAsia="標楷體" w:hAnsi="標楷體" w:hint="eastAsia"/>
          <w:color w:val="000000" w:themeColor="text1"/>
          <w:sz w:val="28"/>
          <w:szCs w:val="28"/>
        </w:rPr>
        <w:t>國立中山大學劇場藝術學系教授兼系主任陳尚盈、前玄奘大學大眾傳播學系系主任諸葛俊、國立臺灣大學臺灣文學所教授蘇碩斌、東吳大學社會系副教授劉維公、中華語文教育促進協會祕書長段心儀、新頭殼專欄作家邵立中專欄作家、國立臺灣藝術大學藝術管理與文化政策研究所教授賴瑛瑛、國立臺北教育大學文化創意產業經營學系教授林詠能。</w:t>
      </w:r>
    </w:p>
    <w:p w:rsidR="001533FB" w:rsidRPr="00920597" w:rsidRDefault="001533FB" w:rsidP="001533FB">
      <w:pPr>
        <w:overflowPunct w:val="0"/>
        <w:snapToGrid w:val="0"/>
        <w:spacing w:line="480" w:lineRule="exact"/>
        <w:ind w:leftChars="218" w:left="803" w:hangingChars="100" w:hanging="280"/>
        <w:jc w:val="both"/>
        <w:rPr>
          <w:rFonts w:ascii="標楷體" w:eastAsia="標楷體" w:hAnsi="標楷體"/>
          <w:b/>
          <w:color w:val="000000" w:themeColor="text1"/>
          <w:spacing w:val="-4"/>
          <w:sz w:val="28"/>
          <w:szCs w:val="28"/>
        </w:rPr>
      </w:pPr>
      <w:r w:rsidRPr="00920597">
        <w:rPr>
          <w:rFonts w:ascii="標楷體" w:eastAsia="標楷體" w:hAnsi="標楷體" w:hint="eastAsia"/>
          <w:color w:val="000000" w:themeColor="text1"/>
          <w:sz w:val="28"/>
          <w:szCs w:val="28"/>
        </w:rPr>
        <w:t>4.政府官員及委員：</w:t>
      </w:r>
      <w:r w:rsidR="00B864D9" w:rsidRPr="00B864D9">
        <w:rPr>
          <w:rFonts w:ascii="標楷體" w:eastAsia="標楷體" w:hAnsi="標楷體" w:hint="eastAsia"/>
          <w:bCs/>
          <w:color w:val="000000" w:themeColor="text1"/>
          <w:sz w:val="28"/>
          <w:szCs w:val="28"/>
        </w:rPr>
        <w:t>國立故宮博物院院長吳密察、國立故宮博物院綜合規劃處處長周曉雯、國立故宮博物院登錄保存處處長岩素芬、國立故宮博物院人事室科長李淑靜、文化部文化資產局古物遺址組研究員廖健雄、文化部文化資產局古物遺址組科長張嵐婷、文化部文化資源司科長陳德宇</w:t>
      </w:r>
      <w:r w:rsidRPr="00920597">
        <w:rPr>
          <w:rFonts w:ascii="標楷體" w:eastAsia="標楷體" w:hAnsi="標楷體" w:hint="eastAsia"/>
          <w:color w:val="000000" w:themeColor="text1"/>
          <w:sz w:val="28"/>
          <w:szCs w:val="28"/>
        </w:rPr>
        <w:t>等列席說明。</w:t>
      </w:r>
    </w:p>
    <w:p w:rsidR="00873E29" w:rsidRPr="00920597" w:rsidRDefault="00FF6E8B" w:rsidP="00873E29">
      <w:pPr>
        <w:pStyle w:val="01-21"/>
        <w:rPr>
          <w:color w:val="000000" w:themeColor="text1"/>
        </w:rPr>
      </w:pPr>
      <w:r w:rsidRPr="00920597">
        <w:rPr>
          <w:color w:val="000000" w:themeColor="text1"/>
        </w:rPr>
        <w:br w:type="page"/>
      </w:r>
      <w:bookmarkStart w:id="59" w:name="_Toc126068114"/>
      <w:bookmarkEnd w:id="55"/>
      <w:bookmarkEnd w:id="56"/>
      <w:bookmarkEnd w:id="57"/>
      <w:bookmarkEnd w:id="58"/>
      <w:r w:rsidR="00873E29" w:rsidRPr="00920597">
        <w:rPr>
          <w:rFonts w:hint="eastAsia"/>
          <w:color w:val="000000" w:themeColor="text1"/>
        </w:rPr>
        <w:lastRenderedPageBreak/>
        <w:t>三、考察活動</w:t>
      </w:r>
      <w:bookmarkEnd w:id="59"/>
    </w:p>
    <w:p w:rsidR="00873E29" w:rsidRPr="00920597" w:rsidRDefault="00873E29" w:rsidP="00017AA4">
      <w:pPr>
        <w:spacing w:line="480" w:lineRule="exact"/>
        <w:ind w:leftChars="50" w:left="960" w:hangingChars="300" w:hanging="840"/>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（一）11</w:t>
      </w:r>
      <w:r w:rsidR="00A65CE6" w:rsidRPr="00920597">
        <w:rPr>
          <w:rFonts w:ascii="標楷體" w:eastAsia="標楷體" w:hAnsi="標楷體" w:hint="eastAsia"/>
          <w:color w:val="000000" w:themeColor="text1"/>
          <w:sz w:val="28"/>
          <w:szCs w:val="28"/>
        </w:rPr>
        <w:t>1</w:t>
      </w:r>
      <w:r w:rsidRPr="00920597">
        <w:rPr>
          <w:rFonts w:ascii="標楷體" w:eastAsia="標楷體" w:hAnsi="標楷體" w:hint="eastAsia"/>
          <w:color w:val="000000" w:themeColor="text1"/>
          <w:sz w:val="28"/>
          <w:szCs w:val="28"/>
        </w:rPr>
        <w:t>年</w:t>
      </w:r>
      <w:r w:rsidR="00844588">
        <w:rPr>
          <w:rFonts w:ascii="標楷體" w:eastAsia="標楷體" w:hAnsi="標楷體" w:hint="eastAsia"/>
          <w:color w:val="000000" w:themeColor="text1"/>
          <w:sz w:val="28"/>
          <w:szCs w:val="28"/>
        </w:rPr>
        <w:t>10</w:t>
      </w:r>
      <w:r w:rsidRPr="00920597">
        <w:rPr>
          <w:rFonts w:ascii="標楷體" w:eastAsia="標楷體" w:hAnsi="標楷體" w:hint="eastAsia"/>
          <w:color w:val="000000" w:themeColor="text1"/>
          <w:sz w:val="28"/>
          <w:szCs w:val="28"/>
        </w:rPr>
        <w:t>月</w:t>
      </w:r>
      <w:r w:rsidR="00844588">
        <w:rPr>
          <w:rFonts w:ascii="標楷體" w:eastAsia="標楷體" w:hAnsi="標楷體" w:hint="eastAsia"/>
          <w:color w:val="000000" w:themeColor="text1"/>
          <w:sz w:val="28"/>
          <w:szCs w:val="28"/>
        </w:rPr>
        <w:t>6</w:t>
      </w:r>
      <w:r w:rsidRPr="00920597">
        <w:rPr>
          <w:rFonts w:ascii="標楷體" w:eastAsia="標楷體" w:hAnsi="標楷體" w:hint="eastAsia"/>
          <w:color w:val="000000" w:themeColor="text1"/>
          <w:sz w:val="28"/>
          <w:szCs w:val="28"/>
        </w:rPr>
        <w:t>日（星期</w:t>
      </w:r>
      <w:r w:rsidR="00844588">
        <w:rPr>
          <w:rFonts w:ascii="標楷體" w:eastAsia="標楷體" w:hAnsi="標楷體" w:hint="eastAsia"/>
          <w:color w:val="000000" w:themeColor="text1"/>
          <w:sz w:val="28"/>
          <w:szCs w:val="28"/>
        </w:rPr>
        <w:t>四</w:t>
      </w:r>
      <w:r w:rsidRPr="00920597">
        <w:rPr>
          <w:rFonts w:ascii="標楷體" w:eastAsia="標楷體" w:hAnsi="標楷體" w:hint="eastAsia"/>
          <w:color w:val="000000" w:themeColor="text1"/>
          <w:sz w:val="28"/>
          <w:szCs w:val="28"/>
        </w:rPr>
        <w:t>）</w:t>
      </w:r>
      <w:r w:rsidR="00844588" w:rsidRPr="00844588">
        <w:rPr>
          <w:rFonts w:ascii="標楷體" w:eastAsia="標楷體" w:hAnsi="標楷體" w:hint="eastAsia"/>
          <w:color w:val="000000" w:themeColor="text1"/>
          <w:sz w:val="28"/>
          <w:szCs w:val="28"/>
        </w:rPr>
        <w:t>考察國家實驗研究院國家地震工程研究中心</w:t>
      </w:r>
      <w:r w:rsidR="00A65CE6" w:rsidRPr="00920597">
        <w:rPr>
          <w:rFonts w:ascii="標楷體" w:eastAsia="標楷體" w:hAnsi="標楷體" w:hint="eastAsia"/>
          <w:color w:val="000000" w:themeColor="text1"/>
          <w:sz w:val="28"/>
          <w:szCs w:val="28"/>
        </w:rPr>
        <w:t>。</w:t>
      </w:r>
    </w:p>
    <w:p w:rsidR="00873E29" w:rsidRPr="00920597" w:rsidRDefault="00844588" w:rsidP="00A65CE6">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844588">
        <w:rPr>
          <w:rFonts w:ascii="標楷體" w:eastAsia="標楷體" w:hAnsi="標楷體" w:hint="eastAsia"/>
          <w:color w:val="000000" w:themeColor="text1"/>
          <w:sz w:val="28"/>
          <w:szCs w:val="28"/>
        </w:rPr>
        <w:t>召集委員陳秀寳領隊，委員王婉諭同行，國家科學及技術委員會主任秘書林廣宏陪同聽取國家地震工程研究中心副主任柴駿甫業務簡報，助理工程師邱世彬進行科普解說，並分別答覆委員詢問。接著參觀國家地震工程研究中心實驗室。</w:t>
      </w:r>
    </w:p>
    <w:p w:rsidR="00035A13" w:rsidRPr="00920597" w:rsidRDefault="00035A13" w:rsidP="00035A13">
      <w:pPr>
        <w:spacing w:line="480" w:lineRule="exact"/>
        <w:ind w:leftChars="50" w:left="960" w:hangingChars="300" w:hanging="840"/>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w:t>
      </w:r>
      <w:r w:rsidR="005711C3" w:rsidRPr="00920597">
        <w:rPr>
          <w:rFonts w:ascii="標楷體" w:eastAsia="標楷體" w:hAnsi="標楷體" w:hint="eastAsia"/>
          <w:color w:val="000000" w:themeColor="text1"/>
          <w:sz w:val="28"/>
          <w:szCs w:val="28"/>
        </w:rPr>
        <w:t>二</w:t>
      </w:r>
      <w:r w:rsidRPr="00920597">
        <w:rPr>
          <w:rFonts w:ascii="標楷體" w:eastAsia="標楷體" w:hAnsi="標楷體" w:hint="eastAsia"/>
          <w:color w:val="000000" w:themeColor="text1"/>
          <w:sz w:val="28"/>
          <w:szCs w:val="28"/>
        </w:rPr>
        <w:t>）11</w:t>
      </w:r>
      <w:r w:rsidR="00A65CE6" w:rsidRPr="00920597">
        <w:rPr>
          <w:rFonts w:ascii="標楷體" w:eastAsia="標楷體" w:hAnsi="標楷體" w:hint="eastAsia"/>
          <w:color w:val="000000" w:themeColor="text1"/>
          <w:sz w:val="28"/>
          <w:szCs w:val="28"/>
        </w:rPr>
        <w:t>1</w:t>
      </w:r>
      <w:r w:rsidRPr="00920597">
        <w:rPr>
          <w:rFonts w:ascii="標楷體" w:eastAsia="標楷體" w:hAnsi="標楷體" w:hint="eastAsia"/>
          <w:color w:val="000000" w:themeColor="text1"/>
          <w:sz w:val="28"/>
          <w:szCs w:val="28"/>
        </w:rPr>
        <w:t>年</w:t>
      </w:r>
      <w:r w:rsidR="00844588">
        <w:rPr>
          <w:rFonts w:ascii="標楷體" w:eastAsia="標楷體" w:hAnsi="標楷體" w:hint="eastAsia"/>
          <w:color w:val="000000" w:themeColor="text1"/>
          <w:sz w:val="28"/>
          <w:szCs w:val="28"/>
        </w:rPr>
        <w:t>10</w:t>
      </w:r>
      <w:r w:rsidRPr="00920597">
        <w:rPr>
          <w:rFonts w:ascii="標楷體" w:eastAsia="標楷體" w:hAnsi="標楷體" w:hint="eastAsia"/>
          <w:color w:val="000000" w:themeColor="text1"/>
          <w:sz w:val="28"/>
          <w:szCs w:val="28"/>
        </w:rPr>
        <w:t>月</w:t>
      </w:r>
      <w:r w:rsidR="00844588">
        <w:rPr>
          <w:rFonts w:ascii="標楷體" w:eastAsia="標楷體" w:hAnsi="標楷體" w:hint="eastAsia"/>
          <w:color w:val="000000" w:themeColor="text1"/>
          <w:sz w:val="28"/>
          <w:szCs w:val="28"/>
        </w:rPr>
        <w:t>17</w:t>
      </w:r>
      <w:r w:rsidRPr="00920597">
        <w:rPr>
          <w:rFonts w:ascii="標楷體" w:eastAsia="標楷體" w:hAnsi="標楷體" w:hint="eastAsia"/>
          <w:color w:val="000000" w:themeColor="text1"/>
          <w:sz w:val="28"/>
          <w:szCs w:val="28"/>
        </w:rPr>
        <w:t>日（星期</w:t>
      </w:r>
      <w:r w:rsidR="00844588">
        <w:rPr>
          <w:rFonts w:ascii="標楷體" w:eastAsia="標楷體" w:hAnsi="標楷體" w:hint="eastAsia"/>
          <w:color w:val="000000" w:themeColor="text1"/>
          <w:sz w:val="28"/>
          <w:szCs w:val="28"/>
        </w:rPr>
        <w:t>一</w:t>
      </w:r>
      <w:r w:rsidRPr="00920597">
        <w:rPr>
          <w:rFonts w:ascii="標楷體" w:eastAsia="標楷體" w:hAnsi="標楷體" w:hint="eastAsia"/>
          <w:color w:val="000000" w:themeColor="text1"/>
          <w:sz w:val="28"/>
          <w:szCs w:val="28"/>
        </w:rPr>
        <w:t>）</w:t>
      </w:r>
      <w:r w:rsidR="00844588" w:rsidRPr="00844588">
        <w:rPr>
          <w:rFonts w:ascii="標楷體" w:eastAsia="標楷體" w:hAnsi="標楷體" w:hint="eastAsia"/>
          <w:color w:val="000000" w:themeColor="text1"/>
          <w:sz w:val="28"/>
          <w:szCs w:val="28"/>
        </w:rPr>
        <w:t>考察彰化地區文化資產建設。</w:t>
      </w:r>
    </w:p>
    <w:p w:rsidR="00035A13" w:rsidRPr="00920597" w:rsidRDefault="00844588" w:rsidP="00A65CE6">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844588">
        <w:rPr>
          <w:rFonts w:ascii="標楷體" w:eastAsia="標楷體" w:hAnsi="標楷體" w:hint="eastAsia"/>
          <w:color w:val="000000" w:themeColor="text1"/>
          <w:sz w:val="28"/>
          <w:szCs w:val="28"/>
        </w:rPr>
        <w:t>召集委員陳秀寳領隊，上午委員王婉諭同行，文化部部長李永得、文化資產局局長陳濟民、彰化縣文化局局長張雀芬及鹿港鎮公所鎮長許志宏等人陪同，首先前往考察國定古蹟鹿港天后宮，由天后宮副主任委員胡渭谷及老師陳世賢進行導覽。接著前往國定古蹟鹿港龍山寺，聽取文化部文化資產局局長陳濟民及老師李昱簡報「鹿港龍山寺彩繪修護計畫施工說明」，並實地勘查。隨後至縣定古蹟鹿港文武廟，聽取彰化縣文化局局長張雀芬及鹿港鎮公所鎮長許志宏說明文武廟保存、修復情形與現地勘查。</w:t>
      </w:r>
    </w:p>
    <w:p w:rsidR="00035A13" w:rsidRPr="00920597" w:rsidRDefault="00844588" w:rsidP="00A65CE6">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844588">
        <w:rPr>
          <w:rFonts w:ascii="標楷體" w:eastAsia="標楷體" w:hAnsi="標楷體" w:hint="eastAsia"/>
          <w:color w:val="000000" w:themeColor="text1"/>
          <w:sz w:val="28"/>
          <w:szCs w:val="28"/>
        </w:rPr>
        <w:t>下午委員黃秀芳同行，文化部政務次長蕭宗煌、影視及流行音樂發展司專門委員周彥汝、財團法人中央廣播電臺副總臺長李明俐、國防部政治作戰局副局長張維新及財政部國有財產署中區分署副分署長卓翠雲等人陪同，前往考察中央廣播電臺鹿港分臺，聽取中央廣播電臺副總臺長李明俐簡報「台灣之音廣播園區建置計畫暨前期規劃說明」；彰化縣副縣長林田富說明「彰化縣文化景觀中央廣播電臺鹿港分臺活化計畫」，並實地勘查周遭廣播設施地景文化景觀。接著依序至國定古蹟彰化孔子廟、聚落建築群彰化中興莊考察，聽取彰化縣文化局局長張雀芬說明文化資產活化再利用情形，並就整體規劃、地方需求、土地等議題交換意見。</w:t>
      </w:r>
    </w:p>
    <w:p w:rsidR="00873E29" w:rsidRPr="00920597" w:rsidRDefault="00873E29" w:rsidP="00A65CE6">
      <w:pPr>
        <w:kinsoku w:val="0"/>
        <w:spacing w:line="480" w:lineRule="exact"/>
        <w:ind w:leftChars="50" w:left="960" w:hangingChars="300" w:hanging="840"/>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w:t>
      </w:r>
      <w:r w:rsidR="005711C3" w:rsidRPr="00920597">
        <w:rPr>
          <w:rFonts w:ascii="標楷體" w:eastAsia="標楷體" w:hAnsi="標楷體" w:hint="eastAsia"/>
          <w:color w:val="000000" w:themeColor="text1"/>
          <w:sz w:val="28"/>
          <w:szCs w:val="28"/>
        </w:rPr>
        <w:t>三</w:t>
      </w:r>
      <w:r w:rsidRPr="00920597">
        <w:rPr>
          <w:rFonts w:ascii="標楷體" w:eastAsia="標楷體" w:hAnsi="標楷體" w:hint="eastAsia"/>
          <w:color w:val="000000" w:themeColor="text1"/>
          <w:sz w:val="28"/>
          <w:szCs w:val="28"/>
        </w:rPr>
        <w:t>）11</w:t>
      </w:r>
      <w:r w:rsidR="00A65CE6" w:rsidRPr="00920597">
        <w:rPr>
          <w:rFonts w:ascii="標楷體" w:eastAsia="標楷體" w:hAnsi="標楷體" w:hint="eastAsia"/>
          <w:color w:val="000000" w:themeColor="text1"/>
          <w:sz w:val="28"/>
          <w:szCs w:val="28"/>
        </w:rPr>
        <w:t>1</w:t>
      </w:r>
      <w:r w:rsidRPr="00920597">
        <w:rPr>
          <w:rFonts w:ascii="標楷體" w:eastAsia="標楷體" w:hAnsi="標楷體" w:hint="eastAsia"/>
          <w:color w:val="000000" w:themeColor="text1"/>
          <w:sz w:val="28"/>
          <w:szCs w:val="28"/>
        </w:rPr>
        <w:t>年</w:t>
      </w:r>
      <w:r w:rsidR="00844588">
        <w:rPr>
          <w:rFonts w:ascii="標楷體" w:eastAsia="標楷體" w:hAnsi="標楷體" w:hint="eastAsia"/>
          <w:color w:val="000000" w:themeColor="text1"/>
          <w:sz w:val="28"/>
          <w:szCs w:val="28"/>
        </w:rPr>
        <w:t>10</w:t>
      </w:r>
      <w:r w:rsidRPr="00920597">
        <w:rPr>
          <w:rFonts w:ascii="標楷體" w:eastAsia="標楷體" w:hAnsi="標楷體" w:hint="eastAsia"/>
          <w:color w:val="000000" w:themeColor="text1"/>
          <w:sz w:val="28"/>
          <w:szCs w:val="28"/>
        </w:rPr>
        <w:t>月</w:t>
      </w:r>
      <w:r w:rsidR="00844588">
        <w:rPr>
          <w:rFonts w:ascii="標楷體" w:eastAsia="標楷體" w:hAnsi="標楷體" w:hint="eastAsia"/>
          <w:color w:val="000000" w:themeColor="text1"/>
          <w:sz w:val="28"/>
          <w:szCs w:val="28"/>
        </w:rPr>
        <w:t>26</w:t>
      </w:r>
      <w:r w:rsidRPr="00920597">
        <w:rPr>
          <w:rFonts w:ascii="標楷體" w:eastAsia="標楷體" w:hAnsi="標楷體" w:hint="eastAsia"/>
          <w:color w:val="000000" w:themeColor="text1"/>
          <w:sz w:val="28"/>
          <w:szCs w:val="28"/>
        </w:rPr>
        <w:t>日（星期</w:t>
      </w:r>
      <w:r w:rsidR="00844588">
        <w:rPr>
          <w:rFonts w:ascii="標楷體" w:eastAsia="標楷體" w:hAnsi="標楷體" w:hint="eastAsia"/>
          <w:color w:val="000000" w:themeColor="text1"/>
          <w:sz w:val="28"/>
          <w:szCs w:val="28"/>
        </w:rPr>
        <w:t>三</w:t>
      </w:r>
      <w:r w:rsidRPr="00920597">
        <w:rPr>
          <w:rFonts w:ascii="標楷體" w:eastAsia="標楷體" w:hAnsi="標楷體" w:hint="eastAsia"/>
          <w:color w:val="000000" w:themeColor="text1"/>
          <w:sz w:val="28"/>
          <w:szCs w:val="28"/>
        </w:rPr>
        <w:t>）</w:t>
      </w:r>
      <w:r w:rsidR="00844588" w:rsidRPr="00844588">
        <w:rPr>
          <w:rFonts w:ascii="標楷體" w:eastAsia="標楷體" w:hAnsi="標楷體" w:hint="eastAsia"/>
          <w:color w:val="000000" w:themeColor="text1"/>
          <w:spacing w:val="-6"/>
          <w:sz w:val="28"/>
          <w:szCs w:val="28"/>
        </w:rPr>
        <w:t>考察桃園市新設完全中學招生之規劃。</w:t>
      </w:r>
    </w:p>
    <w:p w:rsidR="00873E29" w:rsidRPr="00920597" w:rsidRDefault="00844588" w:rsidP="00017AA4">
      <w:pPr>
        <w:spacing w:line="480" w:lineRule="exact"/>
        <w:ind w:leftChars="400" w:left="960" w:firstLineChars="200" w:firstLine="560"/>
        <w:jc w:val="both"/>
        <w:rPr>
          <w:rFonts w:ascii="標楷體" w:eastAsia="標楷體" w:hAnsi="標楷體"/>
          <w:color w:val="000000" w:themeColor="text1"/>
          <w:sz w:val="28"/>
          <w:szCs w:val="28"/>
        </w:rPr>
      </w:pPr>
      <w:r w:rsidRPr="00844588">
        <w:rPr>
          <w:rFonts w:ascii="標楷體" w:eastAsia="標楷體" w:hAnsi="標楷體" w:hint="eastAsia"/>
          <w:color w:val="000000" w:themeColor="text1"/>
          <w:sz w:val="28"/>
          <w:szCs w:val="28"/>
        </w:rPr>
        <w:t>召集委員鄭正鈐領隊，委員萬美玲、賴香伶同行，教育部政務次長蔡清華、國民及學前教育署署長彭富源及桃園市政府教育局局長林</w:t>
      </w:r>
      <w:r w:rsidRPr="00844588">
        <w:rPr>
          <w:rFonts w:ascii="標楷體" w:eastAsia="標楷體" w:hAnsi="標楷體" w:hint="eastAsia"/>
          <w:color w:val="000000" w:themeColor="text1"/>
          <w:sz w:val="28"/>
          <w:szCs w:val="28"/>
        </w:rPr>
        <w:lastRenderedPageBreak/>
        <w:t>明裕等人陪同，於桃園市立經國國中聽取校長林世倡簡報並針對完全中學招生之規劃舉行座談會。</w:t>
      </w:r>
    </w:p>
    <w:p w:rsidR="00873E29" w:rsidRPr="00920597" w:rsidRDefault="00873E29" w:rsidP="00017AA4">
      <w:pPr>
        <w:spacing w:line="480" w:lineRule="exact"/>
        <w:ind w:leftChars="50" w:left="960" w:hangingChars="300" w:hanging="840"/>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w:t>
      </w:r>
      <w:r w:rsidR="005711C3" w:rsidRPr="00920597">
        <w:rPr>
          <w:rFonts w:ascii="標楷體" w:eastAsia="標楷體" w:hAnsi="標楷體" w:hint="eastAsia"/>
          <w:color w:val="000000" w:themeColor="text1"/>
          <w:sz w:val="28"/>
          <w:szCs w:val="28"/>
        </w:rPr>
        <w:t>四</w:t>
      </w:r>
      <w:r w:rsidRPr="00920597">
        <w:rPr>
          <w:rFonts w:ascii="標楷體" w:eastAsia="標楷體" w:hAnsi="標楷體" w:hint="eastAsia"/>
          <w:color w:val="000000" w:themeColor="text1"/>
          <w:sz w:val="28"/>
          <w:szCs w:val="28"/>
        </w:rPr>
        <w:t>）11</w:t>
      </w:r>
      <w:r w:rsidR="00A65CE6" w:rsidRPr="00920597">
        <w:rPr>
          <w:rFonts w:ascii="標楷體" w:eastAsia="標楷體" w:hAnsi="標楷體" w:hint="eastAsia"/>
          <w:color w:val="000000" w:themeColor="text1"/>
          <w:sz w:val="28"/>
          <w:szCs w:val="28"/>
        </w:rPr>
        <w:t>1</w:t>
      </w:r>
      <w:r w:rsidRPr="00920597">
        <w:rPr>
          <w:rFonts w:ascii="標楷體" w:eastAsia="標楷體" w:hAnsi="標楷體" w:hint="eastAsia"/>
          <w:color w:val="000000" w:themeColor="text1"/>
          <w:sz w:val="28"/>
          <w:szCs w:val="28"/>
        </w:rPr>
        <w:t>年</w:t>
      </w:r>
      <w:r w:rsidR="00844588">
        <w:rPr>
          <w:rFonts w:ascii="標楷體" w:eastAsia="標楷體" w:hAnsi="標楷體"/>
          <w:color w:val="000000" w:themeColor="text1"/>
          <w:sz w:val="28"/>
          <w:szCs w:val="28"/>
        </w:rPr>
        <w:t>10</w:t>
      </w:r>
      <w:r w:rsidRPr="00920597">
        <w:rPr>
          <w:rFonts w:ascii="標楷體" w:eastAsia="標楷體" w:hAnsi="標楷體" w:hint="eastAsia"/>
          <w:color w:val="000000" w:themeColor="text1"/>
          <w:sz w:val="28"/>
          <w:szCs w:val="28"/>
        </w:rPr>
        <w:t>月</w:t>
      </w:r>
      <w:r w:rsidR="00844588">
        <w:rPr>
          <w:rFonts w:ascii="標楷體" w:eastAsia="標楷體" w:hAnsi="標楷體" w:hint="eastAsia"/>
          <w:color w:val="000000" w:themeColor="text1"/>
          <w:sz w:val="28"/>
          <w:szCs w:val="28"/>
        </w:rPr>
        <w:t>2</w:t>
      </w:r>
      <w:r w:rsidR="00844588">
        <w:rPr>
          <w:rFonts w:ascii="標楷體" w:eastAsia="標楷體" w:hAnsi="標楷體"/>
          <w:color w:val="000000" w:themeColor="text1"/>
          <w:sz w:val="28"/>
          <w:szCs w:val="28"/>
        </w:rPr>
        <w:t>7</w:t>
      </w:r>
      <w:r w:rsidRPr="00920597">
        <w:rPr>
          <w:rFonts w:ascii="標楷體" w:eastAsia="標楷體" w:hAnsi="標楷體" w:hint="eastAsia"/>
          <w:color w:val="000000" w:themeColor="text1"/>
          <w:sz w:val="28"/>
          <w:szCs w:val="28"/>
        </w:rPr>
        <w:t>日（星期</w:t>
      </w:r>
      <w:r w:rsidR="00844588">
        <w:rPr>
          <w:rFonts w:ascii="標楷體" w:eastAsia="標楷體" w:hAnsi="標楷體" w:hint="eastAsia"/>
          <w:color w:val="000000" w:themeColor="text1"/>
          <w:sz w:val="28"/>
          <w:szCs w:val="28"/>
        </w:rPr>
        <w:t>四</w:t>
      </w:r>
      <w:r w:rsidRPr="00920597">
        <w:rPr>
          <w:rFonts w:ascii="標楷體" w:eastAsia="標楷體" w:hAnsi="標楷體" w:hint="eastAsia"/>
          <w:color w:val="000000" w:themeColor="text1"/>
          <w:sz w:val="28"/>
          <w:szCs w:val="28"/>
        </w:rPr>
        <w:t>）</w:t>
      </w:r>
      <w:r w:rsidR="00844588" w:rsidRPr="00844588">
        <w:rPr>
          <w:rFonts w:ascii="標楷體" w:eastAsia="標楷體" w:hAnsi="標楷體" w:hint="eastAsia"/>
          <w:color w:val="000000" w:themeColor="text1"/>
          <w:sz w:val="28"/>
          <w:szCs w:val="28"/>
        </w:rPr>
        <w:t>考察新竹市立棒球場場地缺失改善進度與香山綜合休閒運動館(香山國民運動中心)新建現況及新竹市國民運動中心設施。</w:t>
      </w:r>
    </w:p>
    <w:p w:rsidR="00873E29" w:rsidRPr="00920597" w:rsidRDefault="00844588" w:rsidP="00017AA4">
      <w:pPr>
        <w:spacing w:line="480" w:lineRule="exact"/>
        <w:ind w:leftChars="400" w:left="960" w:firstLineChars="200" w:firstLine="560"/>
        <w:jc w:val="both"/>
        <w:rPr>
          <w:rFonts w:ascii="標楷體" w:eastAsia="標楷體" w:hAnsi="標楷體"/>
          <w:color w:val="000000" w:themeColor="text1"/>
          <w:sz w:val="28"/>
          <w:szCs w:val="28"/>
        </w:rPr>
      </w:pPr>
      <w:r w:rsidRPr="00844588">
        <w:rPr>
          <w:rFonts w:ascii="標楷體" w:eastAsia="標楷體" w:hAnsi="標楷體" w:hint="eastAsia"/>
          <w:color w:val="000000" w:themeColor="text1"/>
          <w:sz w:val="28"/>
          <w:szCs w:val="28"/>
        </w:rPr>
        <w:t>召集委員鄭正鈐領隊，上午委員張廖萬堅同行，教育部常務次長兼體育署代理署長林騰蛟、體育署副組長蔡文娟、副研究員詹家誠、執行秘書蘇錦雀、新竹市政府秘書長江盛任、教育處處長賴榮光、工務處處長葉時青、行政處處長張哲修等人陪同，前往新竹市立棒球場聽取工務處處長葉時青簡報改善工程概況後舉行座談會交換意見，並提出具體改善建議後實地勘查工程施作情形。</w:t>
      </w:r>
    </w:p>
    <w:p w:rsidR="00A65CE6" w:rsidRPr="00920597" w:rsidRDefault="00844588" w:rsidP="00017AA4">
      <w:pPr>
        <w:spacing w:line="480" w:lineRule="exact"/>
        <w:ind w:leftChars="400" w:left="960" w:firstLineChars="200" w:firstLine="560"/>
        <w:jc w:val="both"/>
        <w:rPr>
          <w:rFonts w:ascii="標楷體" w:eastAsia="標楷體" w:hAnsi="標楷體"/>
          <w:color w:val="000000" w:themeColor="text1"/>
          <w:sz w:val="28"/>
          <w:szCs w:val="28"/>
        </w:rPr>
      </w:pPr>
      <w:r w:rsidRPr="00844588">
        <w:rPr>
          <w:rFonts w:ascii="標楷體" w:eastAsia="標楷體" w:hAnsi="標楷體" w:hint="eastAsia"/>
          <w:color w:val="000000" w:themeColor="text1"/>
          <w:sz w:val="28"/>
          <w:szCs w:val="28"/>
        </w:rPr>
        <w:t>下午前往考察香山綜合休閒運動館，聽取張瑪龍陳玉霖聯合建築師事務所董睿瀅建築師簡報設計重點及工程進度後舉行座談會，會後實地勘查工地現況。接著依序前往竹光國民運動中心及新科國民運動中心參觀場地設施及營運情形。</w:t>
      </w:r>
    </w:p>
    <w:p w:rsidR="003D5A36" w:rsidRPr="00920597" w:rsidRDefault="003D5A36" w:rsidP="003D5A36">
      <w:pPr>
        <w:spacing w:line="480" w:lineRule="exact"/>
        <w:ind w:leftChars="50" w:left="960" w:hangingChars="300" w:hanging="840"/>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（五）111年</w:t>
      </w:r>
      <w:r w:rsidR="00844588">
        <w:rPr>
          <w:rFonts w:ascii="標楷體" w:eastAsia="標楷體" w:hAnsi="標楷體" w:hint="eastAsia"/>
          <w:color w:val="000000" w:themeColor="text1"/>
          <w:sz w:val="28"/>
          <w:szCs w:val="28"/>
        </w:rPr>
        <w:t>10</w:t>
      </w:r>
      <w:r w:rsidRPr="00920597">
        <w:rPr>
          <w:rFonts w:ascii="標楷體" w:eastAsia="標楷體" w:hAnsi="標楷體" w:hint="eastAsia"/>
          <w:color w:val="000000" w:themeColor="text1"/>
          <w:sz w:val="28"/>
          <w:szCs w:val="28"/>
        </w:rPr>
        <w:t>月</w:t>
      </w:r>
      <w:r w:rsidR="00844588">
        <w:rPr>
          <w:rFonts w:ascii="標楷體" w:eastAsia="標楷體" w:hAnsi="標楷體" w:hint="eastAsia"/>
          <w:color w:val="000000" w:themeColor="text1"/>
          <w:sz w:val="28"/>
          <w:szCs w:val="28"/>
        </w:rPr>
        <w:t>31</w:t>
      </w:r>
      <w:r w:rsidRPr="00920597">
        <w:rPr>
          <w:rFonts w:ascii="標楷體" w:eastAsia="標楷體" w:hAnsi="標楷體" w:hint="eastAsia"/>
          <w:color w:val="000000" w:themeColor="text1"/>
          <w:sz w:val="28"/>
          <w:szCs w:val="28"/>
        </w:rPr>
        <w:t>日（星期一）</w:t>
      </w:r>
      <w:r w:rsidR="00984910" w:rsidRPr="00984910">
        <w:rPr>
          <w:rFonts w:ascii="標楷體" w:eastAsia="標楷體" w:hAnsi="標楷體" w:hint="eastAsia"/>
          <w:color w:val="000000" w:themeColor="text1"/>
          <w:sz w:val="28"/>
          <w:szCs w:val="28"/>
        </w:rPr>
        <w:t>考察新北地區藝文建設</w:t>
      </w:r>
      <w:r w:rsidRPr="00920597">
        <w:rPr>
          <w:rFonts w:ascii="標楷體" w:eastAsia="標楷體" w:hAnsi="標楷體" w:hint="eastAsia"/>
          <w:color w:val="000000" w:themeColor="text1"/>
          <w:sz w:val="28"/>
          <w:szCs w:val="28"/>
        </w:rPr>
        <w:t>。</w:t>
      </w:r>
    </w:p>
    <w:p w:rsidR="003D5A36" w:rsidRDefault="00984910" w:rsidP="003D5A36">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984910">
        <w:rPr>
          <w:rFonts w:ascii="標楷體" w:eastAsia="標楷體" w:hAnsi="標楷體" w:hint="eastAsia"/>
          <w:color w:val="000000" w:themeColor="text1"/>
          <w:sz w:val="28"/>
          <w:szCs w:val="28"/>
        </w:rPr>
        <w:t>委員范雲領隊，委員蘇巧慧同行，文化部政務次長蕭宗煌、藝術發展司司長陳春蘭、經濟部工業局組長林碧郁、台灣設計研究院副院長艾淑婷、交通部臺灣鐵路管理局副局長朱來順等陪同。本次考察於抵達新北市立美術館之後，現場新北市政府文化局之簡報人員隨即進行工程規劃及進度簡報；接著考察鶯歌陶瓷博物館，先由館長張啟文就經費補助款的整修用途進行說明與導覽展館，最後進入會議室進行綜合座談會，開場由委員蘇巧慧說明考察目的，並交由台灣設計研究院副院長艾淑婷針對2023台灣設計展之規劃進行簡報，後由委員蘇巧慧及與會人員就設計展串聯鶯歌在地美術館、博物館及整合地方特色等規劃內容提出相關意見與問題，最後由經濟部工業局組長林碧郁、交通部臺灣鐵路管理局副局長朱來順等有關人員分別就2023台灣設計展在新北的意象、交通人流管制、城市治理等衍生討論的議題作出說明與答覆。</w:t>
      </w:r>
    </w:p>
    <w:p w:rsidR="00814F9D" w:rsidRPr="00920597" w:rsidRDefault="00814F9D" w:rsidP="00814F9D">
      <w:pPr>
        <w:spacing w:line="480" w:lineRule="exact"/>
        <w:ind w:leftChars="50" w:left="960" w:hangingChars="300" w:hanging="840"/>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lastRenderedPageBreak/>
        <w:t>（</w:t>
      </w:r>
      <w:r>
        <w:rPr>
          <w:rFonts w:ascii="標楷體" w:eastAsia="標楷體" w:hAnsi="標楷體" w:hint="eastAsia"/>
          <w:color w:val="000000" w:themeColor="text1"/>
          <w:sz w:val="28"/>
          <w:szCs w:val="28"/>
        </w:rPr>
        <w:t>六</w:t>
      </w:r>
      <w:r w:rsidRPr="00920597">
        <w:rPr>
          <w:rFonts w:ascii="標楷體" w:eastAsia="標楷體" w:hAnsi="標楷體" w:hint="eastAsia"/>
          <w:color w:val="000000" w:themeColor="text1"/>
          <w:sz w:val="28"/>
          <w:szCs w:val="28"/>
        </w:rPr>
        <w:t>）111年</w:t>
      </w:r>
      <w:r w:rsidR="00984910">
        <w:rPr>
          <w:rFonts w:ascii="標楷體" w:eastAsia="標楷體" w:hAnsi="標楷體" w:hint="eastAsia"/>
          <w:color w:val="000000" w:themeColor="text1"/>
          <w:sz w:val="28"/>
          <w:szCs w:val="28"/>
        </w:rPr>
        <w:t>11</w:t>
      </w:r>
      <w:r w:rsidRPr="00920597">
        <w:rPr>
          <w:rFonts w:ascii="標楷體" w:eastAsia="標楷體" w:hAnsi="標楷體" w:hint="eastAsia"/>
          <w:color w:val="000000" w:themeColor="text1"/>
          <w:sz w:val="28"/>
          <w:szCs w:val="28"/>
        </w:rPr>
        <w:t>月</w:t>
      </w:r>
      <w:r w:rsidR="00984910">
        <w:rPr>
          <w:rFonts w:ascii="標楷體" w:eastAsia="標楷體" w:hAnsi="標楷體" w:hint="eastAsia"/>
          <w:color w:val="000000" w:themeColor="text1"/>
          <w:sz w:val="28"/>
          <w:szCs w:val="28"/>
        </w:rPr>
        <w:t>7</w:t>
      </w:r>
      <w:r w:rsidRPr="00920597">
        <w:rPr>
          <w:rFonts w:ascii="標楷體" w:eastAsia="標楷體" w:hAnsi="標楷體" w:hint="eastAsia"/>
          <w:color w:val="000000" w:themeColor="text1"/>
          <w:sz w:val="28"/>
          <w:szCs w:val="28"/>
        </w:rPr>
        <w:t>日（星期</w:t>
      </w:r>
      <w:r w:rsidR="00984910">
        <w:rPr>
          <w:rFonts w:ascii="標楷體" w:eastAsia="標楷體" w:hAnsi="標楷體" w:hint="eastAsia"/>
          <w:color w:val="000000" w:themeColor="text1"/>
          <w:sz w:val="28"/>
          <w:szCs w:val="28"/>
        </w:rPr>
        <w:t>一</w:t>
      </w:r>
      <w:r w:rsidRPr="00920597">
        <w:rPr>
          <w:rFonts w:ascii="標楷體" w:eastAsia="標楷體" w:hAnsi="標楷體" w:hint="eastAsia"/>
          <w:color w:val="000000" w:themeColor="text1"/>
          <w:sz w:val="28"/>
          <w:szCs w:val="28"/>
        </w:rPr>
        <w:t>）</w:t>
      </w:r>
      <w:r w:rsidR="00984910" w:rsidRPr="00984910">
        <w:rPr>
          <w:rFonts w:ascii="標楷體" w:eastAsia="標楷體" w:hAnsi="標楷體" w:hint="eastAsia"/>
          <w:color w:val="000000" w:themeColor="text1"/>
          <w:sz w:val="28"/>
          <w:szCs w:val="28"/>
        </w:rPr>
        <w:t>考察國立故宮博物院庫房文物保存及管理情形</w:t>
      </w:r>
      <w:r w:rsidRPr="00814F9D">
        <w:rPr>
          <w:rFonts w:ascii="標楷體" w:eastAsia="標楷體" w:hAnsi="標楷體" w:hint="eastAsia"/>
          <w:color w:val="000000" w:themeColor="text1"/>
          <w:sz w:val="28"/>
          <w:szCs w:val="28"/>
        </w:rPr>
        <w:t>。</w:t>
      </w:r>
    </w:p>
    <w:p w:rsidR="00837105" w:rsidRPr="00920597" w:rsidRDefault="00984910" w:rsidP="00814F9D">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984910">
        <w:rPr>
          <w:rFonts w:ascii="標楷體" w:eastAsia="標楷體" w:hAnsi="標楷體" w:hint="eastAsia"/>
          <w:color w:val="000000" w:themeColor="text1"/>
          <w:sz w:val="28"/>
          <w:szCs w:val="28"/>
        </w:rPr>
        <w:t>召集委員鄭正鈐領隊，委員王婉諭、吳怡玎、林奕華、林德福、陳玉珍、陳以信同行，國立故宮博物院院長吳密察等人陪同考察。首先聽取國立故宮博物院院長吳密察簡報山洞瓷庫文物破損調查與後續改善措施及北部院區整擴建計畫，隨後就</w:t>
      </w:r>
      <w:r w:rsidRPr="00984910">
        <w:rPr>
          <w:rFonts w:ascii="標楷體" w:eastAsia="標楷體" w:hAnsi="標楷體"/>
          <w:color w:val="000000" w:themeColor="text1"/>
          <w:sz w:val="28"/>
          <w:szCs w:val="28"/>
        </w:rPr>
        <w:t>「明 弘治款 嬌黃綠彩雙龍小碗」、「清 康熙款 暗龍白裏小黃瓷碗」</w:t>
      </w:r>
      <w:r w:rsidRPr="00984910">
        <w:rPr>
          <w:rFonts w:ascii="標楷體" w:eastAsia="標楷體" w:hAnsi="標楷體" w:hint="eastAsia"/>
          <w:color w:val="000000" w:themeColor="text1"/>
          <w:sz w:val="28"/>
          <w:szCs w:val="28"/>
        </w:rPr>
        <w:t>及</w:t>
      </w:r>
      <w:r w:rsidRPr="00984910">
        <w:rPr>
          <w:rFonts w:ascii="標楷體" w:eastAsia="標楷體" w:hAnsi="標楷體"/>
          <w:color w:val="000000" w:themeColor="text1"/>
          <w:sz w:val="28"/>
          <w:szCs w:val="28"/>
        </w:rPr>
        <w:t>「清乾隆 青花花卉盤」</w:t>
      </w:r>
      <w:r w:rsidRPr="00984910">
        <w:rPr>
          <w:rFonts w:ascii="標楷體" w:eastAsia="標楷體" w:hAnsi="標楷體" w:hint="eastAsia"/>
          <w:color w:val="000000" w:themeColor="text1"/>
          <w:sz w:val="28"/>
          <w:szCs w:val="28"/>
        </w:rPr>
        <w:t>等三件文物之破損進行意見交換，委員當場要求</w:t>
      </w:r>
      <w:r w:rsidRPr="00984910">
        <w:rPr>
          <w:rFonts w:ascii="標楷體" w:eastAsia="標楷體" w:hAnsi="標楷體"/>
          <w:color w:val="000000" w:themeColor="text1"/>
          <w:sz w:val="28"/>
          <w:szCs w:val="28"/>
        </w:rPr>
        <w:t>調閱</w:t>
      </w:r>
      <w:r w:rsidRPr="00984910">
        <w:rPr>
          <w:rFonts w:ascii="標楷體" w:eastAsia="標楷體" w:hAnsi="標楷體" w:hint="eastAsia"/>
          <w:color w:val="000000" w:themeColor="text1"/>
          <w:sz w:val="28"/>
          <w:szCs w:val="28"/>
        </w:rPr>
        <w:t>三</w:t>
      </w:r>
      <w:r w:rsidRPr="00984910">
        <w:rPr>
          <w:rFonts w:ascii="標楷體" w:eastAsia="標楷體" w:hAnsi="標楷體"/>
          <w:color w:val="000000" w:themeColor="text1"/>
          <w:sz w:val="28"/>
          <w:szCs w:val="28"/>
        </w:rPr>
        <w:t>件文物破損監視器</w:t>
      </w:r>
      <w:r w:rsidRPr="00984910">
        <w:rPr>
          <w:rFonts w:ascii="標楷體" w:eastAsia="標楷體" w:hAnsi="標楷體" w:hint="eastAsia"/>
          <w:color w:val="000000" w:themeColor="text1"/>
          <w:sz w:val="28"/>
          <w:szCs w:val="28"/>
        </w:rPr>
        <w:t>之監控錄影，經溝通後，故宮博物院提供經</w:t>
      </w:r>
      <w:r w:rsidRPr="00984910">
        <w:rPr>
          <w:rFonts w:ascii="標楷體" w:eastAsia="標楷體" w:hAnsi="標楷體"/>
          <w:color w:val="000000" w:themeColor="text1"/>
          <w:sz w:val="28"/>
          <w:szCs w:val="28"/>
        </w:rPr>
        <w:t>去識別化</w:t>
      </w:r>
      <w:r w:rsidRPr="00984910">
        <w:rPr>
          <w:rFonts w:ascii="標楷體" w:eastAsia="標楷體" w:hAnsi="標楷體" w:hint="eastAsia"/>
          <w:color w:val="000000" w:themeColor="text1"/>
          <w:sz w:val="28"/>
          <w:szCs w:val="28"/>
        </w:rPr>
        <w:t>後之監控錄影(第一、三件)及密集影像截圖(第二件)供委員勘驗，勘驗完後，隨即前往考察八角中庭改建計畫並交換意見，最後參加人員分成三組，分別至瓷器庫房、銅器庫房、書畫庫房、修復室及山洞庫房考察文物提件演示與保存及管理情形。</w:t>
      </w:r>
    </w:p>
    <w:p w:rsidR="00837105" w:rsidRPr="00920597" w:rsidRDefault="00837105" w:rsidP="00837105">
      <w:pPr>
        <w:spacing w:line="480" w:lineRule="exact"/>
        <w:ind w:leftChars="50" w:left="960" w:hangingChars="300" w:hanging="840"/>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w:t>
      </w:r>
      <w:r>
        <w:rPr>
          <w:rFonts w:ascii="標楷體" w:eastAsia="標楷體" w:hAnsi="標楷體" w:hint="eastAsia"/>
          <w:color w:val="000000" w:themeColor="text1"/>
          <w:sz w:val="28"/>
          <w:szCs w:val="28"/>
        </w:rPr>
        <w:t>七</w:t>
      </w:r>
      <w:r w:rsidRPr="00920597">
        <w:rPr>
          <w:rFonts w:ascii="標楷體" w:eastAsia="標楷體" w:hAnsi="標楷體" w:hint="eastAsia"/>
          <w:color w:val="000000" w:themeColor="text1"/>
          <w:sz w:val="28"/>
          <w:szCs w:val="28"/>
        </w:rPr>
        <w:t>）111年</w:t>
      </w:r>
      <w:r w:rsidR="00984910">
        <w:rPr>
          <w:rFonts w:ascii="標楷體" w:eastAsia="標楷體" w:hAnsi="標楷體" w:hint="eastAsia"/>
          <w:color w:val="000000" w:themeColor="text1"/>
          <w:sz w:val="28"/>
          <w:szCs w:val="28"/>
        </w:rPr>
        <w:t>11</w:t>
      </w:r>
      <w:r w:rsidRPr="00920597">
        <w:rPr>
          <w:rFonts w:ascii="標楷體" w:eastAsia="標楷體" w:hAnsi="標楷體" w:hint="eastAsia"/>
          <w:color w:val="000000" w:themeColor="text1"/>
          <w:sz w:val="28"/>
          <w:szCs w:val="28"/>
        </w:rPr>
        <w:t>月</w:t>
      </w:r>
      <w:r w:rsidR="00984910">
        <w:rPr>
          <w:rFonts w:ascii="標楷體" w:eastAsia="標楷體" w:hAnsi="標楷體" w:hint="eastAsia"/>
          <w:color w:val="000000" w:themeColor="text1"/>
          <w:sz w:val="28"/>
          <w:szCs w:val="28"/>
        </w:rPr>
        <w:t>14</w:t>
      </w:r>
      <w:r w:rsidRPr="00920597">
        <w:rPr>
          <w:rFonts w:ascii="標楷體" w:eastAsia="標楷體" w:hAnsi="標楷體" w:hint="eastAsia"/>
          <w:color w:val="000000" w:themeColor="text1"/>
          <w:sz w:val="28"/>
          <w:szCs w:val="28"/>
        </w:rPr>
        <w:t>日（星期</w:t>
      </w:r>
      <w:r w:rsidR="00984910">
        <w:rPr>
          <w:rFonts w:ascii="標楷體" w:eastAsia="標楷體" w:hAnsi="標楷體" w:hint="eastAsia"/>
          <w:color w:val="000000" w:themeColor="text1"/>
          <w:sz w:val="28"/>
          <w:szCs w:val="28"/>
        </w:rPr>
        <w:t>一</w:t>
      </w:r>
      <w:r w:rsidRPr="00920597">
        <w:rPr>
          <w:rFonts w:ascii="標楷體" w:eastAsia="標楷體" w:hAnsi="標楷體" w:hint="eastAsia"/>
          <w:color w:val="000000" w:themeColor="text1"/>
          <w:sz w:val="28"/>
          <w:szCs w:val="28"/>
        </w:rPr>
        <w:t>）</w:t>
      </w:r>
      <w:r w:rsidR="006B694D" w:rsidRPr="006B694D">
        <w:rPr>
          <w:rFonts w:ascii="標楷體" w:eastAsia="標楷體" w:hAnsi="標楷體" w:hint="eastAsia"/>
          <w:color w:val="000000" w:themeColor="text1"/>
          <w:sz w:val="28"/>
          <w:szCs w:val="28"/>
        </w:rPr>
        <w:t>考察台中市學校教育及體育設施。</w:t>
      </w:r>
    </w:p>
    <w:p w:rsidR="00984910" w:rsidRDefault="0029767F" w:rsidP="00837105">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29767F">
        <w:rPr>
          <w:rFonts w:ascii="標楷體" w:eastAsia="標楷體" w:hAnsi="標楷體" w:hint="eastAsia"/>
          <w:color w:val="000000" w:themeColor="text1"/>
          <w:sz w:val="28"/>
          <w:szCs w:val="28"/>
        </w:rPr>
        <w:t>上午由委員黃國書領隊，教育部政務次長蔡清華、體育署組長蔡忠益、國民及學前教育署署長彭富源、臺中市政府教育局副局長葉俊傑等人陪同，先前往東峰國中，聽取校長曹瓊華就玉峰館防水隔熱改善計畫提出報告；隨後至臺中高工，聽取校長黃維賢報告機械冷凍實習大樓完工後使用情形；再至忠信國小，聽取校長黃美樺說明操場跑道整修計畫；再至崇倫國中，聽取校長賴朝榮說明崇倫堂籃球場地板更新計畫；最後至大勇國小，聽取校長黃志偉報告球場整修計畫。</w:t>
      </w:r>
    </w:p>
    <w:p w:rsidR="00837105" w:rsidRDefault="00984910" w:rsidP="00837105">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984910">
        <w:rPr>
          <w:rFonts w:ascii="標楷體" w:eastAsia="標楷體" w:hAnsi="標楷體" w:hint="eastAsia"/>
          <w:color w:val="000000" w:themeColor="text1"/>
          <w:sz w:val="28"/>
          <w:szCs w:val="28"/>
        </w:rPr>
        <w:t>下午由委員張廖萬堅領隊，先前往大墩國中，聽取校長徐秀青就PU跑道耗損情形提出報告；隨後至西苑高中，聽取校長劉洲溶就禮堂水冷氣設施老舊提出改善需求；再至上安國小，聽取校長陳華玲就校園排水系統整建、充實教室及辦公室設施設備請求協助改善；最後至文華高中，聽取校長黃偉立對於科學館外牆磁磚剝落問題，爭取補助經費。</w:t>
      </w:r>
    </w:p>
    <w:p w:rsidR="00984910" w:rsidRDefault="00984910" w:rsidP="00837105">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984910">
        <w:rPr>
          <w:rFonts w:ascii="標楷體" w:eastAsia="標楷體" w:hAnsi="標楷體" w:hint="eastAsia"/>
          <w:color w:val="000000" w:themeColor="text1"/>
          <w:sz w:val="28"/>
          <w:szCs w:val="28"/>
        </w:rPr>
        <w:t>綜合九所學校實地現勘後，對於各校教室、操場、跑道或球場，皆有老舊破損、鋪面凹陷與排水不良，造成積水問題，且易造成師生</w:t>
      </w:r>
      <w:r w:rsidRPr="00984910">
        <w:rPr>
          <w:rFonts w:ascii="標楷體" w:eastAsia="標楷體" w:hAnsi="標楷體" w:hint="eastAsia"/>
          <w:color w:val="000000" w:themeColor="text1"/>
          <w:sz w:val="28"/>
          <w:szCs w:val="28"/>
        </w:rPr>
        <w:lastRenderedPageBreak/>
        <w:t>上課的危險，亟待修復整建。爰向教育部爭取經費補助，打造優質安全的校園學習環境，教育部亦應允提供必要的協助。</w:t>
      </w:r>
    </w:p>
    <w:p w:rsidR="00A3320A" w:rsidRPr="00A3320A" w:rsidRDefault="00A3320A" w:rsidP="00A3320A">
      <w:pPr>
        <w:spacing w:line="480" w:lineRule="exact"/>
        <w:ind w:leftChars="50" w:left="960" w:hangingChars="300" w:hanging="840"/>
        <w:jc w:val="both"/>
        <w:rPr>
          <w:rFonts w:ascii="標楷體" w:eastAsia="標楷體" w:hAnsi="標楷體"/>
          <w:color w:val="000000" w:themeColor="text1"/>
          <w:sz w:val="28"/>
          <w:szCs w:val="28"/>
        </w:rPr>
      </w:pPr>
      <w:r w:rsidRPr="00A3320A">
        <w:rPr>
          <w:rFonts w:ascii="標楷體" w:eastAsia="標楷體" w:hAnsi="標楷體" w:hint="eastAsia"/>
          <w:color w:val="000000" w:themeColor="text1"/>
          <w:sz w:val="28"/>
          <w:szCs w:val="28"/>
        </w:rPr>
        <w:t>（</w:t>
      </w:r>
      <w:r>
        <w:rPr>
          <w:rFonts w:ascii="標楷體" w:eastAsia="標楷體" w:hAnsi="標楷體" w:hint="eastAsia"/>
          <w:color w:val="000000" w:themeColor="text1"/>
          <w:sz w:val="28"/>
          <w:szCs w:val="28"/>
        </w:rPr>
        <w:t>八</w:t>
      </w:r>
      <w:r w:rsidRPr="00A3320A">
        <w:rPr>
          <w:rFonts w:ascii="標楷體" w:eastAsia="標楷體" w:hAnsi="標楷體" w:hint="eastAsia"/>
          <w:color w:val="000000" w:themeColor="text1"/>
          <w:sz w:val="28"/>
          <w:szCs w:val="28"/>
        </w:rPr>
        <w:t>）111年</w:t>
      </w:r>
      <w:r w:rsidR="00984910">
        <w:rPr>
          <w:rFonts w:ascii="標楷體" w:eastAsia="標楷體" w:hAnsi="標楷體" w:hint="eastAsia"/>
          <w:color w:val="000000" w:themeColor="text1"/>
          <w:sz w:val="28"/>
          <w:szCs w:val="28"/>
        </w:rPr>
        <w:t>11</w:t>
      </w:r>
      <w:r w:rsidRPr="00A3320A">
        <w:rPr>
          <w:rFonts w:ascii="標楷體" w:eastAsia="標楷體" w:hAnsi="標楷體" w:hint="eastAsia"/>
          <w:color w:val="000000" w:themeColor="text1"/>
          <w:sz w:val="28"/>
          <w:szCs w:val="28"/>
        </w:rPr>
        <w:t>月</w:t>
      </w:r>
      <w:r w:rsidR="00984910">
        <w:rPr>
          <w:rFonts w:ascii="標楷體" w:eastAsia="標楷體" w:hAnsi="標楷體" w:hint="eastAsia"/>
          <w:color w:val="000000" w:themeColor="text1"/>
          <w:sz w:val="28"/>
          <w:szCs w:val="28"/>
        </w:rPr>
        <w:t>17</w:t>
      </w:r>
      <w:r w:rsidRPr="00A3320A">
        <w:rPr>
          <w:rFonts w:ascii="標楷體" w:eastAsia="標楷體" w:hAnsi="標楷體" w:hint="eastAsia"/>
          <w:color w:val="000000" w:themeColor="text1"/>
          <w:sz w:val="28"/>
          <w:szCs w:val="28"/>
        </w:rPr>
        <w:t>日（星期</w:t>
      </w:r>
      <w:r w:rsidR="00984910">
        <w:rPr>
          <w:rFonts w:ascii="標楷體" w:eastAsia="標楷體" w:hAnsi="標楷體" w:hint="eastAsia"/>
          <w:color w:val="000000" w:themeColor="text1"/>
          <w:sz w:val="28"/>
          <w:szCs w:val="28"/>
        </w:rPr>
        <w:t>四</w:t>
      </w:r>
      <w:r w:rsidRPr="00A3320A">
        <w:rPr>
          <w:rFonts w:ascii="標楷體" w:eastAsia="標楷體" w:hAnsi="標楷體" w:hint="eastAsia"/>
          <w:color w:val="000000" w:themeColor="text1"/>
          <w:sz w:val="28"/>
          <w:szCs w:val="28"/>
        </w:rPr>
        <w:t>）</w:t>
      </w:r>
      <w:r w:rsidR="00984910" w:rsidRPr="00984910">
        <w:rPr>
          <w:rFonts w:ascii="標楷體" w:eastAsia="標楷體" w:hAnsi="標楷體" w:hint="eastAsia"/>
          <w:color w:val="000000" w:themeColor="text1"/>
          <w:sz w:val="28"/>
          <w:szCs w:val="28"/>
        </w:rPr>
        <w:t>考察</w:t>
      </w:r>
      <w:r w:rsidR="00984910" w:rsidRPr="00984910">
        <w:rPr>
          <w:rFonts w:ascii="標楷體" w:eastAsia="標楷體" w:hAnsi="標楷體"/>
          <w:color w:val="000000" w:themeColor="text1"/>
          <w:sz w:val="28"/>
          <w:szCs w:val="28"/>
        </w:rPr>
        <w:t>彰化縣學校教育及體育設施</w:t>
      </w:r>
      <w:r w:rsidR="00984910" w:rsidRPr="00984910">
        <w:rPr>
          <w:rFonts w:ascii="標楷體" w:eastAsia="標楷體" w:hAnsi="標楷體" w:hint="eastAsia"/>
          <w:color w:val="000000" w:themeColor="text1"/>
          <w:sz w:val="28"/>
          <w:szCs w:val="28"/>
        </w:rPr>
        <w:t>。</w:t>
      </w:r>
    </w:p>
    <w:p w:rsidR="005711C3" w:rsidRDefault="00984910" w:rsidP="005711C3">
      <w:pPr>
        <w:spacing w:line="480" w:lineRule="exact"/>
        <w:ind w:leftChars="400" w:left="960" w:firstLineChars="200" w:firstLine="560"/>
        <w:jc w:val="both"/>
        <w:rPr>
          <w:rFonts w:ascii="標楷體" w:eastAsia="標楷體" w:hAnsi="標楷體"/>
          <w:color w:val="000000" w:themeColor="text1"/>
          <w:sz w:val="28"/>
          <w:szCs w:val="28"/>
        </w:rPr>
      </w:pPr>
      <w:r w:rsidRPr="00984910">
        <w:rPr>
          <w:rFonts w:ascii="標楷體" w:eastAsia="標楷體" w:hAnsi="標楷體" w:hint="eastAsia"/>
          <w:color w:val="000000" w:themeColor="text1"/>
          <w:sz w:val="28"/>
          <w:szCs w:val="28"/>
        </w:rPr>
        <w:t>召集委員陳秀寳領隊，由教育部常務次長林騰蛟、體育署組長蔡忠益、國民及學前教育署副組長蔡宜靜、彰化縣政府副縣長林田富、教育處處長王智弘等人陪同，先後至伸港國民中學、文開國民小學、福興國民中學、鹿江國際中小學現勘相關設施，並聽取伸港國民中學校長洪智偉、文開國民小學校長詹雪梅、福興國民中學校長楊書端、鹿江國際中小學校長黃俊偉簡報各校教學及體育設施現況，並就改善設施的方案舉行座談會交換意見。</w:t>
      </w:r>
    </w:p>
    <w:p w:rsidR="00CA3E60" w:rsidRPr="00CA3E60" w:rsidRDefault="00CA3E60" w:rsidP="00CA3E60">
      <w:pPr>
        <w:spacing w:line="480" w:lineRule="exact"/>
        <w:ind w:leftChars="50" w:left="960" w:hangingChars="300" w:hanging="840"/>
        <w:jc w:val="both"/>
        <w:rPr>
          <w:rFonts w:ascii="標楷體" w:eastAsia="標楷體" w:hAnsi="標楷體"/>
          <w:color w:val="000000" w:themeColor="text1"/>
          <w:sz w:val="28"/>
          <w:szCs w:val="28"/>
        </w:rPr>
      </w:pPr>
      <w:r w:rsidRPr="00CA3E60">
        <w:rPr>
          <w:rFonts w:ascii="標楷體" w:eastAsia="標楷體" w:hAnsi="標楷體" w:hint="eastAsia"/>
          <w:color w:val="000000" w:themeColor="text1"/>
          <w:sz w:val="28"/>
          <w:szCs w:val="28"/>
        </w:rPr>
        <w:t>（</w:t>
      </w:r>
      <w:r>
        <w:rPr>
          <w:rFonts w:ascii="標楷體" w:eastAsia="標楷體" w:hAnsi="標楷體" w:hint="eastAsia"/>
          <w:color w:val="000000" w:themeColor="text1"/>
          <w:sz w:val="28"/>
          <w:szCs w:val="28"/>
        </w:rPr>
        <w:t>九</w:t>
      </w:r>
      <w:r w:rsidRPr="00CA3E60">
        <w:rPr>
          <w:rFonts w:ascii="標楷體" w:eastAsia="標楷體" w:hAnsi="標楷體" w:hint="eastAsia"/>
          <w:color w:val="000000" w:themeColor="text1"/>
          <w:sz w:val="28"/>
          <w:szCs w:val="28"/>
        </w:rPr>
        <w:t>）111年</w:t>
      </w:r>
      <w:r w:rsidR="00984910">
        <w:rPr>
          <w:rFonts w:ascii="標楷體" w:eastAsia="標楷體" w:hAnsi="標楷體" w:hint="eastAsia"/>
          <w:color w:val="000000" w:themeColor="text1"/>
          <w:sz w:val="28"/>
          <w:szCs w:val="28"/>
        </w:rPr>
        <w:t>11</w:t>
      </w:r>
      <w:r w:rsidRPr="00CA3E60">
        <w:rPr>
          <w:rFonts w:ascii="標楷體" w:eastAsia="標楷體" w:hAnsi="標楷體" w:hint="eastAsia"/>
          <w:color w:val="000000" w:themeColor="text1"/>
          <w:sz w:val="28"/>
          <w:szCs w:val="28"/>
        </w:rPr>
        <w:t>月</w:t>
      </w:r>
      <w:r w:rsidR="00984910">
        <w:rPr>
          <w:rFonts w:ascii="標楷體" w:eastAsia="標楷體" w:hAnsi="標楷體" w:hint="eastAsia"/>
          <w:color w:val="000000" w:themeColor="text1"/>
          <w:sz w:val="28"/>
          <w:szCs w:val="28"/>
        </w:rPr>
        <w:t>28</w:t>
      </w:r>
      <w:r w:rsidRPr="00CA3E60">
        <w:rPr>
          <w:rFonts w:ascii="標楷體" w:eastAsia="標楷體" w:hAnsi="標楷體" w:hint="eastAsia"/>
          <w:color w:val="000000" w:themeColor="text1"/>
          <w:sz w:val="28"/>
          <w:szCs w:val="28"/>
        </w:rPr>
        <w:t>日（星期</w:t>
      </w:r>
      <w:r w:rsidR="00984910">
        <w:rPr>
          <w:rFonts w:ascii="標楷體" w:eastAsia="標楷體" w:hAnsi="標楷體" w:hint="eastAsia"/>
          <w:color w:val="000000" w:themeColor="text1"/>
          <w:sz w:val="28"/>
          <w:szCs w:val="28"/>
        </w:rPr>
        <w:t>一</w:t>
      </w:r>
      <w:r w:rsidRPr="00CA3E60">
        <w:rPr>
          <w:rFonts w:ascii="標楷體" w:eastAsia="標楷體" w:hAnsi="標楷體" w:hint="eastAsia"/>
          <w:color w:val="000000" w:themeColor="text1"/>
          <w:sz w:val="28"/>
          <w:szCs w:val="28"/>
        </w:rPr>
        <w:t>）</w:t>
      </w:r>
      <w:r w:rsidR="0029767F" w:rsidRPr="0029767F">
        <w:rPr>
          <w:rFonts w:ascii="標楷體" w:eastAsia="標楷體" w:hAnsi="標楷體" w:hint="eastAsia"/>
          <w:color w:val="000000" w:themeColor="text1"/>
          <w:sz w:val="28"/>
          <w:szCs w:val="28"/>
        </w:rPr>
        <w:t>考察彰化縣學校教育及體育設施。</w:t>
      </w:r>
    </w:p>
    <w:p w:rsidR="00CA3E60" w:rsidRPr="00CA3E60" w:rsidRDefault="0029767F" w:rsidP="00CA3E60">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29767F">
        <w:rPr>
          <w:rFonts w:ascii="標楷體" w:eastAsia="標楷體" w:hAnsi="標楷體" w:hint="eastAsia"/>
          <w:color w:val="000000" w:themeColor="text1"/>
          <w:sz w:val="28"/>
          <w:szCs w:val="28"/>
        </w:rPr>
        <w:t>召集委員陳秀寳領隊，教育部常務次長林騰蛟、體育署副組長潘婉馨、國民及學前教育署副組長蔡宜靜及彰化縣政府教育處處長王智弘等人陪同。依序考察伸仁國民小學、新庄國民小學之操場跑道整建工程，聽取該等學校校長熊黛綾及吳文輝簡報詳細狀況及需求，並現場勘查P</w:t>
      </w:r>
      <w:r w:rsidRPr="0029767F">
        <w:rPr>
          <w:rFonts w:ascii="標楷體" w:eastAsia="標楷體" w:hAnsi="標楷體"/>
          <w:color w:val="000000" w:themeColor="text1"/>
          <w:sz w:val="28"/>
          <w:szCs w:val="28"/>
        </w:rPr>
        <w:t>U</w:t>
      </w:r>
      <w:r w:rsidRPr="0029767F">
        <w:rPr>
          <w:rFonts w:ascii="標楷體" w:eastAsia="標楷體" w:hAnsi="標楷體" w:hint="eastAsia"/>
          <w:color w:val="000000" w:themeColor="text1"/>
          <w:sz w:val="28"/>
          <w:szCs w:val="28"/>
        </w:rPr>
        <w:t>跑道整修成果。</w:t>
      </w:r>
    </w:p>
    <w:p w:rsidR="00A24E74" w:rsidRPr="00CA3E60" w:rsidRDefault="00A24E74" w:rsidP="00A24E74">
      <w:pPr>
        <w:spacing w:line="480" w:lineRule="exact"/>
        <w:ind w:leftChars="50" w:left="960" w:hangingChars="300" w:hanging="840"/>
        <w:jc w:val="both"/>
        <w:rPr>
          <w:rFonts w:ascii="標楷體" w:eastAsia="標楷體" w:hAnsi="標楷體"/>
          <w:color w:val="000000" w:themeColor="text1"/>
          <w:sz w:val="28"/>
          <w:szCs w:val="28"/>
        </w:rPr>
      </w:pPr>
      <w:r w:rsidRPr="00CA3E60">
        <w:rPr>
          <w:rFonts w:ascii="標楷體" w:eastAsia="標楷體" w:hAnsi="標楷體" w:hint="eastAsia"/>
          <w:color w:val="000000" w:themeColor="text1"/>
          <w:sz w:val="28"/>
          <w:szCs w:val="28"/>
        </w:rPr>
        <w:t>（</w:t>
      </w:r>
      <w:r>
        <w:rPr>
          <w:rFonts w:ascii="標楷體" w:eastAsia="標楷體" w:hAnsi="標楷體" w:hint="eastAsia"/>
          <w:color w:val="000000" w:themeColor="text1"/>
          <w:sz w:val="28"/>
          <w:szCs w:val="28"/>
        </w:rPr>
        <w:t>十</w:t>
      </w:r>
      <w:r w:rsidRPr="00CA3E60">
        <w:rPr>
          <w:rFonts w:ascii="標楷體" w:eastAsia="標楷體" w:hAnsi="標楷體" w:hint="eastAsia"/>
          <w:color w:val="000000" w:themeColor="text1"/>
          <w:sz w:val="28"/>
          <w:szCs w:val="28"/>
        </w:rPr>
        <w:t>）111年</w:t>
      </w:r>
      <w:r w:rsidR="00984910">
        <w:rPr>
          <w:rFonts w:ascii="標楷體" w:eastAsia="標楷體" w:hAnsi="標楷體" w:hint="eastAsia"/>
          <w:color w:val="000000" w:themeColor="text1"/>
          <w:sz w:val="28"/>
          <w:szCs w:val="28"/>
        </w:rPr>
        <w:t>12</w:t>
      </w:r>
      <w:r w:rsidRPr="00CA3E60">
        <w:rPr>
          <w:rFonts w:ascii="標楷體" w:eastAsia="標楷體" w:hAnsi="標楷體" w:hint="eastAsia"/>
          <w:color w:val="000000" w:themeColor="text1"/>
          <w:sz w:val="28"/>
          <w:szCs w:val="28"/>
        </w:rPr>
        <w:t>月</w:t>
      </w:r>
      <w:r w:rsidR="00984910">
        <w:rPr>
          <w:rFonts w:ascii="標楷體" w:eastAsia="標楷體" w:hAnsi="標楷體" w:hint="eastAsia"/>
          <w:color w:val="000000" w:themeColor="text1"/>
          <w:sz w:val="28"/>
          <w:szCs w:val="28"/>
        </w:rPr>
        <w:t>5</w:t>
      </w:r>
      <w:r w:rsidRPr="00CA3E60">
        <w:rPr>
          <w:rFonts w:ascii="標楷體" w:eastAsia="標楷體" w:hAnsi="標楷體" w:hint="eastAsia"/>
          <w:color w:val="000000" w:themeColor="text1"/>
          <w:sz w:val="28"/>
          <w:szCs w:val="28"/>
        </w:rPr>
        <w:t>日（星期</w:t>
      </w:r>
      <w:r w:rsidR="00984910">
        <w:rPr>
          <w:rFonts w:ascii="標楷體" w:eastAsia="標楷體" w:hAnsi="標楷體" w:hint="eastAsia"/>
          <w:color w:val="000000" w:themeColor="text1"/>
          <w:sz w:val="28"/>
          <w:szCs w:val="28"/>
        </w:rPr>
        <w:t>一</w:t>
      </w:r>
      <w:r w:rsidRPr="00CA3E60">
        <w:rPr>
          <w:rFonts w:ascii="標楷體" w:eastAsia="標楷體" w:hAnsi="標楷體" w:hint="eastAsia"/>
          <w:color w:val="000000" w:themeColor="text1"/>
          <w:sz w:val="28"/>
          <w:szCs w:val="28"/>
        </w:rPr>
        <w:t>）</w:t>
      </w:r>
      <w:r w:rsidR="00984910" w:rsidRPr="00984910">
        <w:rPr>
          <w:rFonts w:ascii="標楷體" w:eastAsia="標楷體" w:hAnsi="標楷體" w:hint="eastAsia"/>
          <w:color w:val="000000" w:themeColor="text1"/>
          <w:sz w:val="28"/>
          <w:szCs w:val="28"/>
        </w:rPr>
        <w:t>考察新竹市關埔國民小學興建狀況、建功高級中學體育館整建狀況、成德高級中學防墜設施維護狀況及香山高級中學體育館整建狀況。</w:t>
      </w:r>
    </w:p>
    <w:p w:rsidR="00A24E74" w:rsidRDefault="00984910" w:rsidP="00A24E74">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984910">
        <w:rPr>
          <w:rFonts w:ascii="標楷體" w:eastAsia="標楷體" w:hAnsi="標楷體" w:hint="eastAsia"/>
          <w:color w:val="000000" w:themeColor="text1"/>
          <w:sz w:val="28"/>
          <w:szCs w:val="28"/>
        </w:rPr>
        <w:t>委員鄭正鈐領隊，委員高虹安同行，教育部政務次長蔡清華、體育署副組長潘婉馨、國民及學前教育署組長張永傑、科長沈靜濤、新竹市政府秘書長江盛任、教育處處長賴榮光、科長李怡君等人陪同，上午前往關埔國民小學聽取校長陳思玎簡報並實地勘查後舉行座談會，會中眾人就關埔國民小學興建情況及未來計畫充分交換意見；隨後至建功高級中學，聽取校長林國松報告體育館整建計畫及相關校園設施設備現況與展望後舉行座談會以瞭解實際需求及尋求協助方式。</w:t>
      </w:r>
    </w:p>
    <w:p w:rsidR="00984910" w:rsidRDefault="00984910" w:rsidP="00A24E74">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984910">
        <w:rPr>
          <w:rFonts w:ascii="標楷體" w:eastAsia="標楷體" w:hAnsi="標楷體" w:hint="eastAsia"/>
          <w:color w:val="000000" w:themeColor="text1"/>
          <w:sz w:val="28"/>
          <w:szCs w:val="28"/>
        </w:rPr>
        <w:t>下午前往成德高級中學，聽取校長楊青山就防墜設施維護情況、風雨球場新建計畫提出報告，教育部亦允諾提出相關協助；隨後至香山高級中學，聽取校長洪碧霜簡報，就體育館漏水、鋼筋外露等急需</w:t>
      </w:r>
      <w:r w:rsidRPr="00984910">
        <w:rPr>
          <w:rFonts w:ascii="標楷體" w:eastAsia="標楷體" w:hAnsi="標楷體" w:hint="eastAsia"/>
          <w:color w:val="000000" w:themeColor="text1"/>
          <w:sz w:val="28"/>
          <w:szCs w:val="28"/>
        </w:rPr>
        <w:lastRenderedPageBreak/>
        <w:t>維護情況，爭取補助經費。</w:t>
      </w:r>
    </w:p>
    <w:p w:rsidR="004303D0" w:rsidRPr="00CA3E60" w:rsidRDefault="004303D0" w:rsidP="004303D0">
      <w:pPr>
        <w:spacing w:line="480" w:lineRule="exact"/>
        <w:ind w:leftChars="50" w:left="960" w:hangingChars="300" w:hanging="840"/>
        <w:jc w:val="both"/>
        <w:rPr>
          <w:rFonts w:ascii="標楷體" w:eastAsia="標楷體" w:hAnsi="標楷體"/>
          <w:color w:val="000000" w:themeColor="text1"/>
          <w:sz w:val="28"/>
          <w:szCs w:val="28"/>
        </w:rPr>
      </w:pPr>
      <w:r w:rsidRPr="00CA3E60">
        <w:rPr>
          <w:rFonts w:ascii="標楷體" w:eastAsia="標楷體" w:hAnsi="標楷體" w:hint="eastAsia"/>
          <w:color w:val="000000" w:themeColor="text1"/>
          <w:sz w:val="28"/>
          <w:szCs w:val="28"/>
        </w:rPr>
        <w:t>（</w:t>
      </w:r>
      <w:r>
        <w:rPr>
          <w:rFonts w:ascii="標楷體" w:eastAsia="標楷體" w:hAnsi="標楷體" w:hint="eastAsia"/>
          <w:color w:val="000000" w:themeColor="text1"/>
          <w:sz w:val="28"/>
          <w:szCs w:val="28"/>
        </w:rPr>
        <w:t>十一</w:t>
      </w:r>
      <w:r w:rsidRPr="00CA3E60">
        <w:rPr>
          <w:rFonts w:ascii="標楷體" w:eastAsia="標楷體" w:hAnsi="標楷體" w:hint="eastAsia"/>
          <w:color w:val="000000" w:themeColor="text1"/>
          <w:sz w:val="28"/>
          <w:szCs w:val="28"/>
        </w:rPr>
        <w:t>）111年</w:t>
      </w:r>
      <w:r w:rsidR="00984910">
        <w:rPr>
          <w:rFonts w:ascii="標楷體" w:eastAsia="標楷體" w:hAnsi="標楷體" w:hint="eastAsia"/>
          <w:color w:val="000000" w:themeColor="text1"/>
          <w:sz w:val="28"/>
          <w:szCs w:val="28"/>
        </w:rPr>
        <w:t>12</w:t>
      </w:r>
      <w:r w:rsidRPr="00CA3E60">
        <w:rPr>
          <w:rFonts w:ascii="標楷體" w:eastAsia="標楷體" w:hAnsi="標楷體" w:hint="eastAsia"/>
          <w:color w:val="000000" w:themeColor="text1"/>
          <w:sz w:val="28"/>
          <w:szCs w:val="28"/>
        </w:rPr>
        <w:t>月</w:t>
      </w:r>
      <w:r w:rsidR="00984910">
        <w:rPr>
          <w:rFonts w:ascii="標楷體" w:eastAsia="標楷體" w:hAnsi="標楷體" w:hint="eastAsia"/>
          <w:color w:val="000000" w:themeColor="text1"/>
          <w:sz w:val="28"/>
          <w:szCs w:val="28"/>
        </w:rPr>
        <w:t>15</w:t>
      </w:r>
      <w:r w:rsidRPr="00CA3E60">
        <w:rPr>
          <w:rFonts w:ascii="標楷體" w:eastAsia="標楷體" w:hAnsi="標楷體" w:hint="eastAsia"/>
          <w:color w:val="000000" w:themeColor="text1"/>
          <w:sz w:val="28"/>
          <w:szCs w:val="28"/>
        </w:rPr>
        <w:t>日（星期</w:t>
      </w:r>
      <w:r w:rsidR="00984910">
        <w:rPr>
          <w:rFonts w:ascii="標楷體" w:eastAsia="標楷體" w:hAnsi="標楷體" w:hint="eastAsia"/>
          <w:color w:val="000000" w:themeColor="text1"/>
          <w:sz w:val="28"/>
          <w:szCs w:val="28"/>
        </w:rPr>
        <w:t>四</w:t>
      </w:r>
      <w:r w:rsidRPr="00CA3E60">
        <w:rPr>
          <w:rFonts w:ascii="標楷體" w:eastAsia="標楷體" w:hAnsi="標楷體" w:hint="eastAsia"/>
          <w:color w:val="000000" w:themeColor="text1"/>
          <w:sz w:val="28"/>
          <w:szCs w:val="28"/>
        </w:rPr>
        <w:t>）</w:t>
      </w:r>
      <w:r w:rsidR="00984910" w:rsidRPr="00984910">
        <w:rPr>
          <w:rFonts w:ascii="標楷體" w:eastAsia="標楷體" w:hAnsi="標楷體" w:hint="eastAsia"/>
          <w:color w:val="000000" w:themeColor="text1"/>
          <w:sz w:val="28"/>
          <w:szCs w:val="28"/>
        </w:rPr>
        <w:t>考察臺中市文化建設與學校教育相關設施。</w:t>
      </w:r>
    </w:p>
    <w:p w:rsidR="004303D0" w:rsidRDefault="00984910" w:rsidP="004303D0">
      <w:pPr>
        <w:overflowPunct w:val="0"/>
        <w:spacing w:line="460" w:lineRule="exact"/>
        <w:ind w:leftChars="400" w:left="960" w:firstLineChars="200" w:firstLine="560"/>
        <w:jc w:val="both"/>
        <w:rPr>
          <w:rFonts w:ascii="標楷體" w:eastAsia="標楷體" w:hAnsi="標楷體"/>
          <w:color w:val="000000" w:themeColor="text1"/>
          <w:sz w:val="28"/>
          <w:szCs w:val="28"/>
        </w:rPr>
      </w:pPr>
      <w:r w:rsidRPr="00984910">
        <w:rPr>
          <w:rFonts w:ascii="標楷體" w:eastAsia="標楷體" w:hAnsi="標楷體" w:hint="eastAsia"/>
          <w:color w:val="000000" w:themeColor="text1"/>
          <w:sz w:val="28"/>
          <w:szCs w:val="28"/>
        </w:rPr>
        <w:t>委員何欣純領隊，委員張廖萬堅同行，由文化部政務次長蕭宗煌、影視及流行音樂產業局副局長方衍濱、國家表演藝術中心主任秘書郭美娟等人陪同，前往臺中國家歌劇院由藝術總監邱瑗陪同實地現勘無障礙環境設施及相關動線，並針對無障礙設施及服務、大里菸葉廠開發及</w:t>
      </w:r>
      <w:r w:rsidRPr="00984910">
        <w:rPr>
          <w:rFonts w:ascii="標楷體" w:eastAsia="標楷體" w:hAnsi="標楷體"/>
          <w:color w:val="000000" w:themeColor="text1"/>
          <w:sz w:val="28"/>
          <w:szCs w:val="28"/>
        </w:rPr>
        <w:t>評估四金頒獎系列活動移師台中</w:t>
      </w:r>
      <w:r w:rsidRPr="00984910">
        <w:rPr>
          <w:rFonts w:ascii="標楷體" w:eastAsia="標楷體" w:hAnsi="標楷體" w:hint="eastAsia"/>
          <w:color w:val="000000" w:themeColor="text1"/>
          <w:sz w:val="28"/>
          <w:szCs w:val="28"/>
        </w:rPr>
        <w:t>等進行座談。</w:t>
      </w:r>
    </w:p>
    <w:p w:rsidR="00984910" w:rsidRDefault="00984910" w:rsidP="004303D0">
      <w:pPr>
        <w:overflowPunct w:val="0"/>
        <w:spacing w:line="460" w:lineRule="exact"/>
        <w:ind w:leftChars="400" w:left="960" w:firstLineChars="200" w:firstLine="560"/>
        <w:jc w:val="both"/>
        <w:rPr>
          <w:rFonts w:ascii="標楷體" w:eastAsia="標楷體" w:hAnsi="標楷體"/>
          <w:color w:val="000000" w:themeColor="text1"/>
          <w:sz w:val="28"/>
          <w:szCs w:val="28"/>
        </w:rPr>
      </w:pPr>
      <w:r w:rsidRPr="00984910">
        <w:rPr>
          <w:rFonts w:ascii="標楷體" w:eastAsia="標楷體" w:hAnsi="標楷體" w:hint="eastAsia"/>
          <w:color w:val="000000" w:themeColor="text1"/>
          <w:sz w:val="28"/>
          <w:szCs w:val="28"/>
        </w:rPr>
        <w:t>隨後由何欣純領隊，教育部政務次長蔡清華、體育署副組長潘婉馨、國民及學前教育署組長林祝里及臺中市政府教育局專門委員陳雅新等陪同，先前往益民國民小學聽取校長洪翠芬簡報有關改善無障礙學校環境、新建無障礙電梯，並實地現勘；隨後再前往崇光國民小學聽取校長林再山及主住溫元宏簡報有關校區排水系統、重建改善排水系統，並實地現勘；隨後再前往光隆國民小學聽取校長陳志宏簡報圖書館防水工程、設備改善及裝修工程，並實地現勘</w:t>
      </w:r>
      <w:r w:rsidRPr="00984910">
        <w:rPr>
          <w:rFonts w:ascii="標楷體" w:eastAsia="標楷體" w:hAnsi="標楷體"/>
          <w:color w:val="000000" w:themeColor="text1"/>
          <w:sz w:val="28"/>
          <w:szCs w:val="28"/>
        </w:rPr>
        <w:t>。</w:t>
      </w:r>
      <w:r w:rsidRPr="00984910">
        <w:rPr>
          <w:rFonts w:ascii="標楷體" w:eastAsia="標楷體" w:hAnsi="標楷體" w:hint="eastAsia"/>
          <w:color w:val="000000" w:themeColor="text1"/>
          <w:sz w:val="28"/>
          <w:szCs w:val="28"/>
        </w:rPr>
        <w:t>針對以上各校向教育部</w:t>
      </w:r>
      <w:r w:rsidRPr="00984910">
        <w:rPr>
          <w:rFonts w:ascii="標楷體" w:eastAsia="標楷體" w:hAnsi="標楷體"/>
          <w:color w:val="000000" w:themeColor="text1"/>
          <w:sz w:val="28"/>
          <w:szCs w:val="28"/>
        </w:rPr>
        <w:t>爭取補助經費</w:t>
      </w:r>
      <w:r w:rsidRPr="00984910">
        <w:rPr>
          <w:rFonts w:ascii="標楷體" w:eastAsia="標楷體" w:hAnsi="標楷體" w:hint="eastAsia"/>
          <w:color w:val="000000" w:themeColor="text1"/>
          <w:sz w:val="28"/>
          <w:szCs w:val="28"/>
        </w:rPr>
        <w:t>，</w:t>
      </w:r>
      <w:r w:rsidRPr="00984910">
        <w:rPr>
          <w:rFonts w:ascii="標楷體" w:eastAsia="標楷體" w:hAnsi="標楷體"/>
          <w:color w:val="000000" w:themeColor="text1"/>
          <w:sz w:val="28"/>
          <w:szCs w:val="28"/>
        </w:rPr>
        <w:t>打造優質安全的校園學習環境</w:t>
      </w:r>
      <w:r w:rsidRPr="00984910">
        <w:rPr>
          <w:rFonts w:ascii="標楷體" w:eastAsia="標楷體" w:hAnsi="標楷體" w:hint="eastAsia"/>
          <w:color w:val="000000" w:themeColor="text1"/>
          <w:sz w:val="28"/>
          <w:szCs w:val="28"/>
        </w:rPr>
        <w:t>，教育部亦應允提供必要的協助。</w:t>
      </w:r>
    </w:p>
    <w:p w:rsidR="002314CC" w:rsidRPr="002314CC" w:rsidRDefault="002314CC" w:rsidP="002314CC">
      <w:pPr>
        <w:spacing w:line="480" w:lineRule="exact"/>
        <w:ind w:leftChars="50" w:left="960" w:hangingChars="300" w:hanging="840"/>
        <w:jc w:val="both"/>
        <w:rPr>
          <w:rFonts w:ascii="標楷體" w:eastAsia="標楷體" w:hAnsi="標楷體"/>
          <w:color w:val="000000" w:themeColor="text1"/>
          <w:sz w:val="28"/>
          <w:szCs w:val="28"/>
        </w:rPr>
      </w:pPr>
      <w:r w:rsidRPr="002314CC">
        <w:rPr>
          <w:rFonts w:ascii="標楷體" w:eastAsia="標楷體" w:hAnsi="標楷體" w:hint="eastAsia"/>
          <w:color w:val="000000" w:themeColor="text1"/>
          <w:sz w:val="28"/>
          <w:szCs w:val="28"/>
        </w:rPr>
        <w:t>（十</w:t>
      </w:r>
      <w:r>
        <w:rPr>
          <w:rFonts w:ascii="標楷體" w:eastAsia="標楷體" w:hAnsi="標楷體" w:hint="eastAsia"/>
          <w:color w:val="000000" w:themeColor="text1"/>
          <w:sz w:val="28"/>
          <w:szCs w:val="28"/>
        </w:rPr>
        <w:t>二</w:t>
      </w:r>
      <w:r w:rsidRPr="002314CC">
        <w:rPr>
          <w:rFonts w:ascii="標楷體" w:eastAsia="標楷體" w:hAnsi="標楷體" w:hint="eastAsia"/>
          <w:color w:val="000000" w:themeColor="text1"/>
          <w:sz w:val="28"/>
          <w:szCs w:val="28"/>
        </w:rPr>
        <w:t>）111年12月</w:t>
      </w:r>
      <w:r w:rsidR="005F10AC">
        <w:rPr>
          <w:rFonts w:ascii="標楷體" w:eastAsia="標楷體" w:hAnsi="標楷體" w:hint="eastAsia"/>
          <w:color w:val="000000" w:themeColor="text1"/>
          <w:sz w:val="28"/>
          <w:szCs w:val="28"/>
        </w:rPr>
        <w:t>28</w:t>
      </w:r>
      <w:r w:rsidRPr="002314CC">
        <w:rPr>
          <w:rFonts w:ascii="標楷體" w:eastAsia="標楷體" w:hAnsi="標楷體" w:hint="eastAsia"/>
          <w:color w:val="000000" w:themeColor="text1"/>
          <w:sz w:val="28"/>
          <w:szCs w:val="28"/>
        </w:rPr>
        <w:t>日（星期</w:t>
      </w:r>
      <w:r w:rsidR="005F10AC">
        <w:rPr>
          <w:rFonts w:ascii="標楷體" w:eastAsia="標楷體" w:hAnsi="標楷體" w:hint="eastAsia"/>
          <w:color w:val="000000" w:themeColor="text1"/>
          <w:sz w:val="28"/>
          <w:szCs w:val="28"/>
        </w:rPr>
        <w:t>三</w:t>
      </w:r>
      <w:r w:rsidRPr="002314CC">
        <w:rPr>
          <w:rFonts w:ascii="標楷體" w:eastAsia="標楷體" w:hAnsi="標楷體" w:hint="eastAsia"/>
          <w:color w:val="000000" w:themeColor="text1"/>
          <w:sz w:val="28"/>
          <w:szCs w:val="28"/>
        </w:rPr>
        <w:t>）</w:t>
      </w:r>
      <w:r w:rsidR="006D62CB" w:rsidRPr="006D62CB">
        <w:rPr>
          <w:rFonts w:ascii="標楷體" w:eastAsia="標楷體" w:hAnsi="標楷體" w:hint="eastAsia"/>
          <w:color w:val="000000" w:themeColor="text1"/>
          <w:sz w:val="28"/>
          <w:szCs w:val="28"/>
        </w:rPr>
        <w:t>考察國家人權博物館白色恐怖景美紀念園區。</w:t>
      </w:r>
    </w:p>
    <w:p w:rsidR="002314CC" w:rsidRPr="002314CC" w:rsidRDefault="006D62CB" w:rsidP="002314CC">
      <w:pPr>
        <w:overflowPunct w:val="0"/>
        <w:spacing w:line="460" w:lineRule="exact"/>
        <w:ind w:leftChars="400" w:left="960" w:firstLineChars="200" w:firstLine="560"/>
        <w:jc w:val="both"/>
        <w:rPr>
          <w:rFonts w:ascii="標楷體" w:eastAsia="標楷體" w:hAnsi="標楷體"/>
          <w:color w:val="000000" w:themeColor="text1"/>
          <w:sz w:val="28"/>
          <w:szCs w:val="28"/>
        </w:rPr>
      </w:pPr>
      <w:r w:rsidRPr="006D62CB">
        <w:rPr>
          <w:rFonts w:ascii="標楷體" w:eastAsia="標楷體" w:hAnsi="標楷體" w:hint="eastAsia"/>
          <w:color w:val="000000" w:themeColor="text1"/>
          <w:sz w:val="28"/>
          <w:szCs w:val="28"/>
        </w:rPr>
        <w:t>委員吳思瑤領隊，委員范雲同行，文化部政務次長李靜慧、國家人權館館長洪世芳、副館長張嬋娟等陪同。本次考察於抵達國家人權博物館白色恐怖景美紀念園區之後，隨即舉行座談會，開場由委員吳思瑤致詞及介紹與會人員，並交由政務次長李靜慧簡短說明及館長洪世芳進行簡報，內容主要報告組織沿革、架構、管轄範圍、經費預算及核心業務等，接著由委員吳思瑤及范雲就不義遺址的界定、強化教育推廣的軟體設備，以及參照外國德國、荷蘭的維護保存經驗等提出相關問題與建議，最後由政務次長李靜慧、館長洪世芳針對上述議題作出說明與答覆。本次座談結束之後，旋即現場考察不義遺址-國家人權博物館白色恐怖景美紀念園區，並由政治受難者陳欽生擔任導覽人員，其仔細介紹探親路徑、參觀仁愛樓看守所、獬豸水池、軍事法庭</w:t>
      </w:r>
      <w:r w:rsidRPr="006D62CB">
        <w:rPr>
          <w:rFonts w:ascii="標楷體" w:eastAsia="標楷體" w:hAnsi="標楷體" w:hint="eastAsia"/>
          <w:color w:val="000000" w:themeColor="text1"/>
          <w:sz w:val="28"/>
          <w:szCs w:val="28"/>
        </w:rPr>
        <w:lastRenderedPageBreak/>
        <w:t>及第一法庭等，透過親臨現場考察不義遺址，深刻感受白色恐怖肅殺的時代氛圍，對轉型正義的歷史意義更深有體會。</w:t>
      </w:r>
    </w:p>
    <w:p w:rsidR="005F10AC" w:rsidRPr="002314CC" w:rsidRDefault="005F10AC" w:rsidP="005F10AC">
      <w:pPr>
        <w:spacing w:line="480" w:lineRule="exact"/>
        <w:ind w:leftChars="50" w:left="960" w:hangingChars="300" w:hanging="840"/>
        <w:jc w:val="both"/>
        <w:rPr>
          <w:rFonts w:ascii="標楷體" w:eastAsia="標楷體" w:hAnsi="標楷體"/>
          <w:color w:val="000000" w:themeColor="text1"/>
          <w:sz w:val="28"/>
          <w:szCs w:val="28"/>
        </w:rPr>
      </w:pPr>
      <w:r w:rsidRPr="002314CC">
        <w:rPr>
          <w:rFonts w:ascii="標楷體" w:eastAsia="標楷體" w:hAnsi="標楷體" w:hint="eastAsia"/>
          <w:color w:val="000000" w:themeColor="text1"/>
          <w:sz w:val="28"/>
          <w:szCs w:val="28"/>
        </w:rPr>
        <w:t>（十</w:t>
      </w:r>
      <w:r>
        <w:rPr>
          <w:rFonts w:ascii="標楷體" w:eastAsia="標楷體" w:hAnsi="標楷體" w:hint="eastAsia"/>
          <w:color w:val="000000" w:themeColor="text1"/>
          <w:sz w:val="28"/>
          <w:szCs w:val="28"/>
        </w:rPr>
        <w:t>三</w:t>
      </w:r>
      <w:r w:rsidRPr="002314CC">
        <w:rPr>
          <w:rFonts w:ascii="標楷體" w:eastAsia="標楷體" w:hAnsi="標楷體" w:hint="eastAsia"/>
          <w:color w:val="000000" w:themeColor="text1"/>
          <w:sz w:val="28"/>
          <w:szCs w:val="28"/>
        </w:rPr>
        <w:t>）111年12月</w:t>
      </w:r>
      <w:r>
        <w:rPr>
          <w:rFonts w:ascii="標楷體" w:eastAsia="標楷體" w:hAnsi="標楷體" w:hint="eastAsia"/>
          <w:color w:val="000000" w:themeColor="text1"/>
          <w:sz w:val="28"/>
          <w:szCs w:val="28"/>
        </w:rPr>
        <w:t>29</w:t>
      </w:r>
      <w:r w:rsidRPr="002314CC">
        <w:rPr>
          <w:rFonts w:ascii="標楷體" w:eastAsia="標楷體" w:hAnsi="標楷體" w:hint="eastAsia"/>
          <w:color w:val="000000" w:themeColor="text1"/>
          <w:sz w:val="28"/>
          <w:szCs w:val="28"/>
        </w:rPr>
        <w:t>日（星期</w:t>
      </w:r>
      <w:r>
        <w:rPr>
          <w:rFonts w:ascii="標楷體" w:eastAsia="標楷體" w:hAnsi="標楷體" w:hint="eastAsia"/>
          <w:color w:val="000000" w:themeColor="text1"/>
          <w:sz w:val="28"/>
          <w:szCs w:val="28"/>
        </w:rPr>
        <w:t>四</w:t>
      </w:r>
      <w:r w:rsidRPr="002314CC">
        <w:rPr>
          <w:rFonts w:ascii="標楷體" w:eastAsia="標楷體" w:hAnsi="標楷體" w:hint="eastAsia"/>
          <w:color w:val="000000" w:themeColor="text1"/>
          <w:sz w:val="28"/>
          <w:szCs w:val="28"/>
        </w:rPr>
        <w:t>）</w:t>
      </w:r>
      <w:r w:rsidR="006D62CB" w:rsidRPr="006D62CB">
        <w:rPr>
          <w:rFonts w:ascii="標楷體" w:eastAsia="標楷體" w:hAnsi="標楷體" w:hint="eastAsia"/>
          <w:color w:val="000000" w:themeColor="text1"/>
          <w:sz w:val="28"/>
          <w:szCs w:val="28"/>
        </w:rPr>
        <w:t>考察台中地區學校建設及國立自然科學博物館。</w:t>
      </w:r>
    </w:p>
    <w:p w:rsidR="005F10AC" w:rsidRPr="002314CC" w:rsidRDefault="006D62CB" w:rsidP="005F10AC">
      <w:pPr>
        <w:overflowPunct w:val="0"/>
        <w:spacing w:line="460" w:lineRule="exact"/>
        <w:ind w:leftChars="400" w:left="960" w:firstLineChars="200" w:firstLine="560"/>
        <w:jc w:val="both"/>
        <w:rPr>
          <w:rFonts w:ascii="標楷體" w:eastAsia="標楷體" w:hAnsi="標楷體"/>
          <w:color w:val="000000" w:themeColor="text1"/>
          <w:sz w:val="28"/>
          <w:szCs w:val="28"/>
        </w:rPr>
      </w:pPr>
      <w:r w:rsidRPr="006D62CB">
        <w:rPr>
          <w:rFonts w:ascii="標楷體" w:eastAsia="標楷體" w:hAnsi="標楷體" w:hint="eastAsia"/>
          <w:color w:val="000000" w:themeColor="text1"/>
          <w:sz w:val="28"/>
          <w:szCs w:val="28"/>
        </w:rPr>
        <w:t>委員黃國書領隊，委員張廖萬堅、高金素梅、何欣純同行，教育部常務次長林騰蛟、終身教育司司長李毓娟、高等教育司專門委員吳志偉、體育署副組長潘婉馨、國民及學前教育署副組長蔡宜靜、台中市政府教育局專門委員陳雅欣等人陪同。先前往樹義國小聽取校長謝富榮就操場跑道整修計畫、添購智慧教室設備提出報告；隨後至國立自然科學博物館，參觀場館設施後，聽取館長焦傳金業務簡報，並分別答覆委員詢問。再至臺灣體育運動大學聽取校長許光麃說明規劃興建拳擊暨擊劍館等設施，最後至大智國小聽取校長鄭麗娟報告興建風雨操場，校舍外牆磁磚崩落問題，爭取補助經費。</w:t>
      </w:r>
    </w:p>
    <w:p w:rsidR="005F10AC" w:rsidRPr="002314CC" w:rsidRDefault="006D62CB" w:rsidP="005F10AC">
      <w:pPr>
        <w:overflowPunct w:val="0"/>
        <w:spacing w:line="460" w:lineRule="exact"/>
        <w:ind w:leftChars="400" w:left="960" w:firstLineChars="200" w:firstLine="560"/>
        <w:jc w:val="both"/>
        <w:rPr>
          <w:rFonts w:ascii="標楷體" w:eastAsia="標楷體" w:hAnsi="標楷體"/>
          <w:color w:val="000000" w:themeColor="text1"/>
          <w:sz w:val="28"/>
          <w:szCs w:val="28"/>
        </w:rPr>
      </w:pPr>
      <w:r w:rsidRPr="006D62CB">
        <w:rPr>
          <w:rFonts w:ascii="標楷體" w:eastAsia="標楷體" w:hAnsi="標楷體" w:hint="eastAsia"/>
          <w:color w:val="000000" w:themeColor="text1"/>
          <w:sz w:val="28"/>
          <w:szCs w:val="28"/>
        </w:rPr>
        <w:t>綜合三所學校實地現勘後，對於各校教室、操場跑道或球場，皆有老舊破損，亟待修復整建及自然科學博物館場館老舊問題。爰向教育部爭取經費補助，教育部亦應允提供必要的協助。</w:t>
      </w:r>
    </w:p>
    <w:p w:rsidR="002314CC" w:rsidRPr="005F10AC" w:rsidRDefault="002314CC" w:rsidP="004303D0">
      <w:pPr>
        <w:overflowPunct w:val="0"/>
        <w:spacing w:line="460" w:lineRule="exact"/>
        <w:ind w:leftChars="400" w:left="960" w:firstLineChars="200" w:firstLine="560"/>
        <w:jc w:val="both"/>
        <w:rPr>
          <w:rFonts w:ascii="標楷體" w:eastAsia="標楷體" w:hAnsi="標楷體"/>
          <w:color w:val="000000" w:themeColor="text1"/>
          <w:sz w:val="28"/>
          <w:szCs w:val="28"/>
        </w:rPr>
      </w:pPr>
    </w:p>
    <w:p w:rsidR="00984910" w:rsidRPr="00CA3E60" w:rsidRDefault="00984910" w:rsidP="004303D0">
      <w:pPr>
        <w:overflowPunct w:val="0"/>
        <w:spacing w:line="460" w:lineRule="exact"/>
        <w:ind w:leftChars="400" w:left="960" w:firstLineChars="200" w:firstLine="560"/>
        <w:jc w:val="both"/>
        <w:rPr>
          <w:rFonts w:ascii="標楷體" w:eastAsia="標楷體" w:hAnsi="標楷體"/>
          <w:color w:val="000000" w:themeColor="text1"/>
          <w:sz w:val="28"/>
          <w:szCs w:val="28"/>
        </w:rPr>
      </w:pPr>
    </w:p>
    <w:p w:rsidR="009112A3" w:rsidRPr="00920597" w:rsidRDefault="009112A3" w:rsidP="008B42BC">
      <w:pPr>
        <w:pStyle w:val="01-2"/>
        <w:spacing w:line="440" w:lineRule="exact"/>
        <w:rPr>
          <w:color w:val="000000" w:themeColor="text1"/>
        </w:rPr>
        <w:sectPr w:rsidR="009112A3" w:rsidRPr="00920597" w:rsidSect="00F45385">
          <w:pgSz w:w="11907" w:h="16840" w:code="9"/>
          <w:pgMar w:top="1134" w:right="1134" w:bottom="1134" w:left="1134" w:header="851" w:footer="992" w:gutter="0"/>
          <w:cols w:space="425"/>
          <w:docGrid w:type="linesAndChars" w:linePitch="360"/>
        </w:sectPr>
      </w:pPr>
    </w:p>
    <w:p w:rsidR="009112A3" w:rsidRPr="00920597" w:rsidRDefault="00A609C4" w:rsidP="009112A3">
      <w:pPr>
        <w:pStyle w:val="01-21"/>
        <w:rPr>
          <w:color w:val="000000" w:themeColor="text1"/>
        </w:rPr>
      </w:pPr>
      <w:bookmarkStart w:id="60" w:name="_Toc126068115"/>
      <w:r w:rsidRPr="00920597">
        <w:rPr>
          <w:rFonts w:hint="eastAsia"/>
          <w:color w:val="000000" w:themeColor="text1"/>
        </w:rPr>
        <w:lastRenderedPageBreak/>
        <w:t>四、本會期本會各項議案審竣統計表</w:t>
      </w:r>
      <w:bookmarkEnd w:id="60"/>
    </w:p>
    <w:p w:rsidR="009112A3" w:rsidRPr="00920597" w:rsidRDefault="009112A3" w:rsidP="00CE4377">
      <w:pPr>
        <w:spacing w:beforeLines="50" w:before="180" w:line="460" w:lineRule="exact"/>
        <w:ind w:leftChars="118" w:left="283"/>
        <w:jc w:val="center"/>
        <w:rPr>
          <w:rFonts w:eastAsia="標楷體"/>
          <w:b/>
          <w:color w:val="000000" w:themeColor="text1"/>
          <w:sz w:val="36"/>
          <w:szCs w:val="36"/>
        </w:rPr>
      </w:pPr>
      <w:r w:rsidRPr="00920597">
        <w:rPr>
          <w:rFonts w:eastAsia="標楷體" w:hint="eastAsia"/>
          <w:b/>
          <w:color w:val="000000" w:themeColor="text1"/>
          <w:sz w:val="36"/>
          <w:szCs w:val="36"/>
        </w:rPr>
        <w:t>立法院第</w:t>
      </w:r>
      <w:r w:rsidRPr="00920597">
        <w:rPr>
          <w:rFonts w:eastAsia="標楷體" w:hint="eastAsia"/>
          <w:b/>
          <w:color w:val="000000" w:themeColor="text1"/>
          <w:sz w:val="36"/>
          <w:szCs w:val="36"/>
        </w:rPr>
        <w:t>10</w:t>
      </w:r>
      <w:r w:rsidRPr="00920597">
        <w:rPr>
          <w:rFonts w:eastAsia="標楷體" w:hint="eastAsia"/>
          <w:b/>
          <w:color w:val="000000" w:themeColor="text1"/>
          <w:sz w:val="36"/>
          <w:szCs w:val="36"/>
        </w:rPr>
        <w:t>屆第</w:t>
      </w:r>
      <w:r w:rsidR="00690ACD">
        <w:rPr>
          <w:rFonts w:eastAsia="標楷體" w:hint="eastAsia"/>
          <w:b/>
          <w:color w:val="000000" w:themeColor="text1"/>
          <w:sz w:val="36"/>
          <w:szCs w:val="36"/>
        </w:rPr>
        <w:t>6</w:t>
      </w:r>
      <w:r w:rsidRPr="00920597">
        <w:rPr>
          <w:rFonts w:eastAsia="標楷體" w:hint="eastAsia"/>
          <w:b/>
          <w:color w:val="000000" w:themeColor="text1"/>
          <w:sz w:val="36"/>
          <w:szCs w:val="36"/>
        </w:rPr>
        <w:t>會期</w:t>
      </w:r>
    </w:p>
    <w:p w:rsidR="009112A3" w:rsidRPr="00920597" w:rsidRDefault="009112A3" w:rsidP="00CE4377">
      <w:pPr>
        <w:spacing w:line="460" w:lineRule="exact"/>
        <w:ind w:leftChars="118" w:left="283"/>
        <w:jc w:val="center"/>
        <w:rPr>
          <w:rFonts w:eastAsia="標楷體"/>
          <w:b/>
          <w:color w:val="000000" w:themeColor="text1"/>
          <w:sz w:val="36"/>
          <w:szCs w:val="36"/>
        </w:rPr>
      </w:pPr>
      <w:r w:rsidRPr="00920597">
        <w:rPr>
          <w:rFonts w:eastAsia="標楷體" w:hint="eastAsia"/>
          <w:b/>
          <w:color w:val="000000" w:themeColor="text1"/>
          <w:sz w:val="36"/>
          <w:szCs w:val="36"/>
        </w:rPr>
        <w:t>教育及文化委員會</w:t>
      </w:r>
    </w:p>
    <w:p w:rsidR="009112A3" w:rsidRPr="00920597" w:rsidRDefault="009B5D68" w:rsidP="00CE4377">
      <w:pPr>
        <w:spacing w:line="460" w:lineRule="exact"/>
        <w:ind w:leftChars="118" w:left="283"/>
        <w:jc w:val="center"/>
        <w:rPr>
          <w:rFonts w:eastAsia="標楷體"/>
          <w:b/>
          <w:color w:val="000000" w:themeColor="text1"/>
          <w:sz w:val="36"/>
          <w:szCs w:val="36"/>
        </w:rPr>
      </w:pPr>
      <w:r w:rsidRPr="00920597">
        <w:rPr>
          <w:rFonts w:eastAsia="標楷體" w:hint="eastAsia"/>
          <w:b/>
          <w:noProof/>
          <w:color w:val="000000" w:themeColor="text1"/>
          <w:sz w:val="36"/>
          <w:szCs w:val="36"/>
        </w:rPr>
        <mc:AlternateContent>
          <mc:Choice Requires="wps">
            <w:drawing>
              <wp:anchor distT="0" distB="0" distL="114300" distR="114300" simplePos="0" relativeHeight="251657728" behindDoc="0" locked="0" layoutInCell="1" allowOverlap="1">
                <wp:simplePos x="0" y="0"/>
                <wp:positionH relativeFrom="column">
                  <wp:posOffset>5688330</wp:posOffset>
                </wp:positionH>
                <wp:positionV relativeFrom="paragraph">
                  <wp:posOffset>219710</wp:posOffset>
                </wp:positionV>
                <wp:extent cx="838200" cy="304800"/>
                <wp:effectExtent l="0" t="0" r="1905" b="0"/>
                <wp:wrapNone/>
                <wp:docPr id="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E31E0" w:rsidRDefault="00CE31E0">
                            <w:r w:rsidRPr="001D4126">
                              <w:rPr>
                                <w:rFonts w:ascii="標楷體" w:eastAsia="標楷體" w:hAnsi="標楷體" w:cs="Mangal" w:hint="eastAsia"/>
                                <w:szCs w:val="24"/>
                              </w:rPr>
                              <w:t>單位：件</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7" type="#_x0000_t202" style="position:absolute;left:0;text-align:left;margin-left:447.9pt;margin-top:17.3pt;width:66pt;height:2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" stroked="f">
                <v:textbox>
                  <w:txbxContent>
                    <w:p w:rsidR="00CE31E0" w:rsidRDefault="00CE31E0">
                      <w:r w:rsidRPr="001D4126">
                        <w:rPr>
                          <w:rFonts w:ascii="標楷體" w:eastAsia="標楷體" w:hAnsi="標楷體" w:cs="Mangal" w:hint="eastAsia"/>
                          <w:szCs w:val="24"/>
                        </w:rPr>
                        <w:t>單位：件</w:t>
                      </w:r>
                    </w:p>
                  </w:txbxContent>
                </v:textbox>
              </v:shape>
            </w:pict>
          </mc:Fallback>
        </mc:AlternateContent>
      </w:r>
      <w:r w:rsidR="009112A3" w:rsidRPr="00920597">
        <w:rPr>
          <w:rFonts w:eastAsia="標楷體" w:hint="eastAsia"/>
          <w:b/>
          <w:color w:val="000000" w:themeColor="text1"/>
          <w:sz w:val="36"/>
          <w:szCs w:val="36"/>
        </w:rPr>
        <w:t>審竣</w:t>
      </w:r>
      <w:r w:rsidR="009112A3" w:rsidRPr="00920597">
        <w:rPr>
          <w:rFonts w:eastAsia="標楷體"/>
          <w:b/>
          <w:color w:val="000000" w:themeColor="text1"/>
          <w:sz w:val="36"/>
          <w:szCs w:val="36"/>
        </w:rPr>
        <w:t>案</w:t>
      </w:r>
      <w:r w:rsidR="009112A3" w:rsidRPr="00920597">
        <w:rPr>
          <w:rFonts w:eastAsia="標楷體" w:hint="eastAsia"/>
          <w:b/>
          <w:color w:val="000000" w:themeColor="text1"/>
          <w:sz w:val="36"/>
          <w:szCs w:val="36"/>
        </w:rPr>
        <w:t>件</w:t>
      </w:r>
      <w:r w:rsidR="009112A3" w:rsidRPr="00920597">
        <w:rPr>
          <w:rFonts w:eastAsia="標楷體"/>
          <w:b/>
          <w:color w:val="000000" w:themeColor="text1"/>
          <w:sz w:val="36"/>
          <w:szCs w:val="36"/>
        </w:rPr>
        <w:t>統計表</w:t>
      </w:r>
    </w:p>
    <w:tbl>
      <w:tblPr>
        <w:tblpPr w:leftFromText="180" w:rightFromText="180" w:vertAnchor="text" w:horzAnchor="margin" w:tblpX="-307" w:tblpY="476"/>
        <w:tblW w:w="101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95"/>
        <w:gridCol w:w="2507"/>
        <w:gridCol w:w="2479"/>
        <w:gridCol w:w="2410"/>
        <w:gridCol w:w="2092"/>
      </w:tblGrid>
      <w:tr w:rsidR="009112A3" w:rsidRPr="00920597" w:rsidTr="00964865">
        <w:trPr>
          <w:trHeight w:val="810"/>
        </w:trPr>
        <w:tc>
          <w:tcPr>
            <w:tcW w:w="3202" w:type="dxa"/>
            <w:gridSpan w:val="2"/>
            <w:vMerge w:val="restart"/>
            <w:tcBorders>
              <w:top w:val="single" w:sz="18" w:space="0" w:color="auto"/>
              <w:left w:val="single" w:sz="18" w:space="0" w:color="auto"/>
              <w:right w:val="single" w:sz="18" w:space="0" w:color="auto"/>
            </w:tcBorders>
            <w:shd w:val="clear" w:color="auto" w:fill="auto"/>
            <w:vAlign w:val="center"/>
          </w:tcPr>
          <w:p w:rsidR="009112A3" w:rsidRPr="00920597" w:rsidRDefault="009112A3" w:rsidP="00964865">
            <w:pPr>
              <w:spacing w:line="360" w:lineRule="exact"/>
              <w:jc w:val="center"/>
              <w:rPr>
                <w:rFonts w:ascii="標楷體" w:eastAsia="標楷體" w:hAnsi="標楷體"/>
                <w:b/>
                <w:color w:val="000000" w:themeColor="text1"/>
                <w:sz w:val="28"/>
                <w:szCs w:val="28"/>
              </w:rPr>
            </w:pPr>
            <w:r w:rsidRPr="00920597">
              <w:rPr>
                <w:rFonts w:ascii="標楷體" w:eastAsia="標楷體" w:hAnsi="標楷體" w:hint="eastAsia"/>
                <w:b/>
                <w:color w:val="000000" w:themeColor="text1"/>
                <w:sz w:val="28"/>
                <w:szCs w:val="28"/>
              </w:rPr>
              <w:t>類     別</w:t>
            </w:r>
          </w:p>
        </w:tc>
        <w:tc>
          <w:tcPr>
            <w:tcW w:w="6981" w:type="dxa"/>
            <w:gridSpan w:val="3"/>
            <w:tcBorders>
              <w:top w:val="single" w:sz="18" w:space="0" w:color="auto"/>
              <w:left w:val="single" w:sz="18" w:space="0" w:color="auto"/>
              <w:bottom w:val="single" w:sz="12" w:space="0" w:color="auto"/>
              <w:right w:val="single" w:sz="18" w:space="0" w:color="auto"/>
            </w:tcBorders>
            <w:shd w:val="clear" w:color="auto" w:fill="auto"/>
            <w:vAlign w:val="center"/>
          </w:tcPr>
          <w:p w:rsidR="009112A3" w:rsidRPr="00920597" w:rsidRDefault="009112A3" w:rsidP="00964865">
            <w:pPr>
              <w:spacing w:line="340" w:lineRule="exact"/>
              <w:ind w:leftChars="-3" w:left="-1" w:hangingChars="2" w:hanging="6"/>
              <w:jc w:val="center"/>
              <w:rPr>
                <w:rFonts w:eastAsia="標楷體"/>
                <w:b/>
                <w:bCs/>
                <w:color w:val="000000" w:themeColor="text1"/>
                <w:sz w:val="28"/>
                <w:szCs w:val="28"/>
              </w:rPr>
            </w:pPr>
            <w:r w:rsidRPr="00920597">
              <w:rPr>
                <w:rFonts w:eastAsia="標楷體"/>
                <w:b/>
                <w:bCs/>
                <w:color w:val="000000" w:themeColor="text1"/>
                <w:sz w:val="28"/>
                <w:szCs w:val="28"/>
              </w:rPr>
              <w:t>第</w:t>
            </w:r>
            <w:r w:rsidRPr="00920597">
              <w:rPr>
                <w:rFonts w:eastAsia="標楷體"/>
                <w:b/>
                <w:bCs/>
                <w:color w:val="000000" w:themeColor="text1"/>
                <w:sz w:val="28"/>
                <w:szCs w:val="28"/>
              </w:rPr>
              <w:t>10</w:t>
            </w:r>
            <w:r w:rsidRPr="00920597">
              <w:rPr>
                <w:rFonts w:eastAsia="標楷體"/>
                <w:b/>
                <w:bCs/>
                <w:color w:val="000000" w:themeColor="text1"/>
                <w:sz w:val="28"/>
                <w:szCs w:val="28"/>
              </w:rPr>
              <w:t>屆</w:t>
            </w:r>
            <w:r w:rsidRPr="00920597">
              <w:rPr>
                <w:rFonts w:eastAsia="標楷體" w:hint="eastAsia"/>
                <w:b/>
                <w:bCs/>
                <w:color w:val="000000" w:themeColor="text1"/>
                <w:sz w:val="28"/>
                <w:szCs w:val="28"/>
              </w:rPr>
              <w:t>第</w:t>
            </w:r>
            <w:r w:rsidR="001551F3">
              <w:rPr>
                <w:rFonts w:eastAsia="標楷體" w:hint="eastAsia"/>
                <w:b/>
                <w:bCs/>
                <w:color w:val="000000" w:themeColor="text1"/>
                <w:sz w:val="28"/>
                <w:szCs w:val="28"/>
              </w:rPr>
              <w:t>6</w:t>
            </w:r>
            <w:r w:rsidRPr="00920597">
              <w:rPr>
                <w:rFonts w:eastAsia="標楷體" w:hint="eastAsia"/>
                <w:b/>
                <w:bCs/>
                <w:color w:val="000000" w:themeColor="text1"/>
                <w:sz w:val="28"/>
                <w:szCs w:val="28"/>
              </w:rPr>
              <w:t>會期</w:t>
            </w:r>
            <w:r w:rsidRPr="00920597">
              <w:rPr>
                <w:rFonts w:eastAsia="標楷體" w:hint="eastAsia"/>
                <w:b/>
                <w:bCs/>
                <w:color w:val="000000" w:themeColor="text1"/>
                <w:sz w:val="28"/>
                <w:szCs w:val="28"/>
              </w:rPr>
              <w:t xml:space="preserve"> </w:t>
            </w:r>
            <w:r w:rsidRPr="00920597">
              <w:rPr>
                <w:rFonts w:eastAsia="標楷體" w:hint="eastAsia"/>
                <w:b/>
                <w:bCs/>
                <w:color w:val="000000" w:themeColor="text1"/>
                <w:sz w:val="28"/>
                <w:szCs w:val="28"/>
              </w:rPr>
              <w:t>本會審竣提報院會之</w:t>
            </w:r>
            <w:r w:rsidRPr="00920597">
              <w:rPr>
                <w:rFonts w:eastAsia="標楷體"/>
                <w:b/>
                <w:bCs/>
                <w:color w:val="000000" w:themeColor="text1"/>
                <w:sz w:val="28"/>
                <w:szCs w:val="28"/>
                <w:bdr w:val="single" w:sz="4" w:space="0" w:color="auto"/>
              </w:rPr>
              <w:t>已結案件</w:t>
            </w:r>
            <w:r w:rsidRPr="00920597">
              <w:rPr>
                <w:rFonts w:eastAsia="標楷體" w:hint="eastAsia"/>
                <w:b/>
                <w:bCs/>
                <w:color w:val="000000" w:themeColor="text1"/>
                <w:sz w:val="28"/>
                <w:szCs w:val="28"/>
              </w:rPr>
              <w:t xml:space="preserve">　</w:t>
            </w:r>
          </w:p>
        </w:tc>
      </w:tr>
      <w:tr w:rsidR="009112A3" w:rsidRPr="00920597" w:rsidTr="00964865">
        <w:trPr>
          <w:trHeight w:val="810"/>
        </w:trPr>
        <w:tc>
          <w:tcPr>
            <w:tcW w:w="3202" w:type="dxa"/>
            <w:gridSpan w:val="2"/>
            <w:vMerge/>
            <w:tcBorders>
              <w:left w:val="single" w:sz="18" w:space="0" w:color="auto"/>
              <w:right w:val="single" w:sz="18" w:space="0" w:color="auto"/>
            </w:tcBorders>
            <w:shd w:val="clear" w:color="auto" w:fill="auto"/>
          </w:tcPr>
          <w:p w:rsidR="009112A3" w:rsidRPr="00920597" w:rsidRDefault="009112A3" w:rsidP="00964865">
            <w:pPr>
              <w:spacing w:line="240" w:lineRule="exact"/>
              <w:jc w:val="center"/>
              <w:rPr>
                <w:rFonts w:ascii="標楷體" w:eastAsia="標楷體" w:hAnsi="標楷體"/>
                <w:b/>
                <w:color w:val="000000" w:themeColor="text1"/>
                <w:sz w:val="28"/>
                <w:szCs w:val="28"/>
              </w:rPr>
            </w:pPr>
          </w:p>
        </w:tc>
        <w:tc>
          <w:tcPr>
            <w:tcW w:w="2479" w:type="dxa"/>
            <w:tcBorders>
              <w:top w:val="single" w:sz="12" w:space="0" w:color="auto"/>
              <w:left w:val="single" w:sz="18" w:space="0" w:color="auto"/>
              <w:right w:val="dashed" w:sz="4" w:space="0" w:color="auto"/>
            </w:tcBorders>
            <w:shd w:val="clear" w:color="auto" w:fill="auto"/>
            <w:vAlign w:val="center"/>
          </w:tcPr>
          <w:p w:rsidR="009112A3" w:rsidRPr="00920597" w:rsidRDefault="009112A3" w:rsidP="00964865">
            <w:pPr>
              <w:adjustRightInd w:val="0"/>
              <w:snapToGrid w:val="0"/>
              <w:spacing w:line="380" w:lineRule="exact"/>
              <w:jc w:val="center"/>
              <w:rPr>
                <w:rFonts w:eastAsia="標楷體"/>
                <w:b/>
                <w:color w:val="000000" w:themeColor="text1"/>
                <w:sz w:val="28"/>
                <w:szCs w:val="28"/>
              </w:rPr>
            </w:pPr>
            <w:r w:rsidRPr="00920597">
              <w:rPr>
                <w:rFonts w:ascii="標楷體" w:eastAsia="標楷體" w:hAnsi="標楷體"/>
                <w:b/>
                <w:color w:val="000000" w:themeColor="text1"/>
                <w:spacing w:val="-6"/>
                <w:sz w:val="28"/>
                <w:szCs w:val="28"/>
              </w:rPr>
              <w:t>院會通過</w:t>
            </w:r>
          </w:p>
        </w:tc>
        <w:tc>
          <w:tcPr>
            <w:tcW w:w="2410" w:type="dxa"/>
            <w:tcBorders>
              <w:top w:val="single" w:sz="12" w:space="0" w:color="auto"/>
              <w:left w:val="dashed" w:sz="4" w:space="0" w:color="auto"/>
              <w:right w:val="single" w:sz="18" w:space="0" w:color="auto"/>
            </w:tcBorders>
            <w:shd w:val="clear" w:color="auto" w:fill="auto"/>
            <w:vAlign w:val="center"/>
          </w:tcPr>
          <w:p w:rsidR="009112A3" w:rsidRPr="00920597" w:rsidRDefault="009112A3" w:rsidP="00964865">
            <w:pPr>
              <w:spacing w:line="380" w:lineRule="exact"/>
              <w:jc w:val="center"/>
              <w:rPr>
                <w:rFonts w:ascii="標楷體" w:eastAsia="標楷體" w:hAnsi="標楷體"/>
                <w:b/>
                <w:color w:val="000000" w:themeColor="text1"/>
                <w:spacing w:val="-6"/>
                <w:sz w:val="28"/>
                <w:szCs w:val="28"/>
              </w:rPr>
            </w:pPr>
            <w:r w:rsidRPr="00920597">
              <w:rPr>
                <w:rFonts w:ascii="標楷體" w:eastAsia="標楷體" w:hAnsi="標楷體"/>
                <w:b/>
                <w:color w:val="000000" w:themeColor="text1"/>
                <w:spacing w:val="-6"/>
                <w:sz w:val="28"/>
                <w:szCs w:val="28"/>
              </w:rPr>
              <w:t>院會</w:t>
            </w:r>
            <w:r w:rsidRPr="00920597">
              <w:rPr>
                <w:rFonts w:ascii="標楷體" w:eastAsia="標楷體" w:hAnsi="標楷體" w:hint="eastAsia"/>
                <w:b/>
                <w:color w:val="000000" w:themeColor="text1"/>
                <w:spacing w:val="-6"/>
                <w:sz w:val="28"/>
                <w:szCs w:val="28"/>
              </w:rPr>
              <w:t>待</w:t>
            </w:r>
            <w:r w:rsidRPr="00920597">
              <w:rPr>
                <w:rFonts w:ascii="標楷體" w:eastAsia="標楷體" w:hAnsi="標楷體"/>
                <w:b/>
                <w:color w:val="000000" w:themeColor="text1"/>
                <w:spacing w:val="-6"/>
                <w:sz w:val="28"/>
                <w:szCs w:val="28"/>
              </w:rPr>
              <w:t>審</w:t>
            </w:r>
          </w:p>
        </w:tc>
        <w:tc>
          <w:tcPr>
            <w:tcW w:w="2092" w:type="dxa"/>
            <w:tcBorders>
              <w:top w:val="single" w:sz="12" w:space="0" w:color="auto"/>
              <w:left w:val="single" w:sz="18" w:space="0" w:color="auto"/>
              <w:bottom w:val="single" w:sz="18" w:space="0" w:color="auto"/>
              <w:right w:val="single" w:sz="18" w:space="0" w:color="auto"/>
            </w:tcBorders>
            <w:shd w:val="clear" w:color="auto" w:fill="auto"/>
            <w:vAlign w:val="center"/>
          </w:tcPr>
          <w:p w:rsidR="009112A3" w:rsidRPr="00920597" w:rsidRDefault="009112A3" w:rsidP="00964865">
            <w:pPr>
              <w:spacing w:line="380" w:lineRule="exact"/>
              <w:jc w:val="center"/>
              <w:rPr>
                <w:rFonts w:ascii="標楷體" w:eastAsia="標楷體" w:hAnsi="標楷體"/>
                <w:color w:val="000000" w:themeColor="text1"/>
                <w:sz w:val="28"/>
                <w:szCs w:val="28"/>
              </w:rPr>
            </w:pPr>
            <w:r w:rsidRPr="00920597">
              <w:rPr>
                <w:rFonts w:ascii="標楷體" w:eastAsia="標楷體" w:hAnsi="標楷體" w:hint="eastAsia"/>
                <w:b/>
                <w:color w:val="000000" w:themeColor="text1"/>
                <w:sz w:val="28"/>
                <w:szCs w:val="28"/>
              </w:rPr>
              <w:t>第</w:t>
            </w:r>
            <w:r w:rsidR="0024707D">
              <w:rPr>
                <w:rFonts w:ascii="標楷體" w:eastAsia="標楷體" w:hAnsi="標楷體" w:hint="eastAsia"/>
                <w:b/>
                <w:color w:val="000000" w:themeColor="text1"/>
                <w:sz w:val="28"/>
                <w:szCs w:val="28"/>
              </w:rPr>
              <w:t>6</w:t>
            </w:r>
            <w:r w:rsidRPr="00920597">
              <w:rPr>
                <w:rFonts w:ascii="標楷體" w:eastAsia="標楷體" w:hAnsi="標楷體" w:hint="eastAsia"/>
                <w:b/>
                <w:color w:val="000000" w:themeColor="text1"/>
                <w:sz w:val="28"/>
                <w:szCs w:val="28"/>
              </w:rPr>
              <w:t>會期 審竣</w:t>
            </w:r>
          </w:p>
        </w:tc>
      </w:tr>
      <w:tr w:rsidR="009112A3" w:rsidRPr="00920597" w:rsidTr="00964865">
        <w:trPr>
          <w:trHeight w:val="737"/>
        </w:trPr>
        <w:tc>
          <w:tcPr>
            <w:tcW w:w="695" w:type="dxa"/>
            <w:vMerge w:val="restart"/>
            <w:tcBorders>
              <w:top w:val="single" w:sz="18" w:space="0" w:color="auto"/>
              <w:left w:val="single" w:sz="18" w:space="0" w:color="auto"/>
              <w:bottom w:val="single" w:sz="18" w:space="0" w:color="auto"/>
              <w:right w:val="single" w:sz="4" w:space="0" w:color="auto"/>
            </w:tcBorders>
            <w:shd w:val="clear" w:color="auto" w:fill="auto"/>
            <w:vAlign w:val="center"/>
          </w:tcPr>
          <w:p w:rsidR="009112A3" w:rsidRPr="00920597"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920597">
              <w:rPr>
                <w:rFonts w:ascii="標楷體" w:eastAsia="標楷體" w:hAnsi="標楷體" w:cs="Mangal" w:hint="eastAsia"/>
                <w:bCs/>
                <w:color w:val="000000" w:themeColor="text1"/>
                <w:spacing w:val="-20"/>
                <w:sz w:val="28"/>
                <w:szCs w:val="28"/>
              </w:rPr>
              <w:t>院</w:t>
            </w:r>
          </w:p>
          <w:p w:rsidR="009112A3" w:rsidRPr="00920597"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920597">
              <w:rPr>
                <w:rFonts w:ascii="標楷體" w:eastAsia="標楷體" w:hAnsi="標楷體" w:cs="Mangal" w:hint="eastAsia"/>
                <w:bCs/>
                <w:color w:val="000000" w:themeColor="text1"/>
                <w:spacing w:val="-20"/>
                <w:sz w:val="28"/>
                <w:szCs w:val="28"/>
              </w:rPr>
              <w:t>會</w:t>
            </w:r>
          </w:p>
          <w:p w:rsidR="009112A3" w:rsidRPr="00920597"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920597">
              <w:rPr>
                <w:rFonts w:ascii="標楷體" w:eastAsia="標楷體" w:hAnsi="標楷體" w:cs="Mangal" w:hint="eastAsia"/>
                <w:bCs/>
                <w:color w:val="000000" w:themeColor="text1"/>
                <w:spacing w:val="-20"/>
                <w:sz w:val="28"/>
                <w:szCs w:val="28"/>
              </w:rPr>
              <w:t>交</w:t>
            </w:r>
          </w:p>
          <w:p w:rsidR="009112A3" w:rsidRPr="00920597"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920597">
              <w:rPr>
                <w:rFonts w:ascii="標楷體" w:eastAsia="標楷體" w:hAnsi="標楷體" w:cs="Mangal" w:hint="eastAsia"/>
                <w:bCs/>
                <w:color w:val="000000" w:themeColor="text1"/>
                <w:spacing w:val="-20"/>
                <w:sz w:val="28"/>
                <w:szCs w:val="28"/>
              </w:rPr>
              <w:t>付</w:t>
            </w:r>
          </w:p>
          <w:p w:rsidR="009112A3" w:rsidRPr="00920597"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920597">
              <w:rPr>
                <w:rFonts w:ascii="標楷體" w:eastAsia="標楷體" w:hAnsi="標楷體" w:cs="Mangal" w:hint="eastAsia"/>
                <w:bCs/>
                <w:color w:val="000000" w:themeColor="text1"/>
                <w:spacing w:val="-20"/>
                <w:sz w:val="28"/>
                <w:szCs w:val="28"/>
              </w:rPr>
              <w:t>審</w:t>
            </w:r>
          </w:p>
          <w:p w:rsidR="009112A3" w:rsidRPr="00920597"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920597">
              <w:rPr>
                <w:rFonts w:ascii="標楷體" w:eastAsia="標楷體" w:hAnsi="標楷體" w:cs="Mangal" w:hint="eastAsia"/>
                <w:bCs/>
                <w:color w:val="000000" w:themeColor="text1"/>
                <w:spacing w:val="-20"/>
                <w:sz w:val="28"/>
                <w:szCs w:val="28"/>
              </w:rPr>
              <w:t>查</w:t>
            </w:r>
          </w:p>
          <w:p w:rsidR="009112A3" w:rsidRPr="00920597"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920597">
              <w:rPr>
                <w:rFonts w:ascii="標楷體" w:eastAsia="標楷體" w:hAnsi="標楷體" w:cs="Mangal" w:hint="eastAsia"/>
                <w:bCs/>
                <w:color w:val="000000" w:themeColor="text1"/>
                <w:spacing w:val="-20"/>
                <w:sz w:val="28"/>
                <w:szCs w:val="28"/>
              </w:rPr>
              <w:t>及</w:t>
            </w:r>
          </w:p>
          <w:p w:rsidR="009112A3" w:rsidRPr="00920597"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920597">
              <w:rPr>
                <w:rFonts w:ascii="標楷體" w:eastAsia="標楷體" w:hAnsi="標楷體" w:cs="Mangal" w:hint="eastAsia"/>
                <w:bCs/>
                <w:color w:val="000000" w:themeColor="text1"/>
                <w:spacing w:val="-20"/>
                <w:sz w:val="28"/>
                <w:szCs w:val="28"/>
              </w:rPr>
              <w:t>處</w:t>
            </w:r>
          </w:p>
          <w:p w:rsidR="009112A3" w:rsidRPr="00920597"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920597">
              <w:rPr>
                <w:rFonts w:ascii="標楷體" w:eastAsia="標楷體" w:hAnsi="標楷體" w:cs="Mangal" w:hint="eastAsia"/>
                <w:bCs/>
                <w:color w:val="000000" w:themeColor="text1"/>
                <w:spacing w:val="-20"/>
                <w:sz w:val="28"/>
                <w:szCs w:val="28"/>
              </w:rPr>
              <w:t>理</w:t>
            </w:r>
          </w:p>
        </w:tc>
        <w:tc>
          <w:tcPr>
            <w:tcW w:w="2507" w:type="dxa"/>
            <w:tcBorders>
              <w:top w:val="single" w:sz="18" w:space="0" w:color="auto"/>
              <w:left w:val="single" w:sz="4" w:space="0" w:color="auto"/>
              <w:right w:val="single" w:sz="18" w:space="0" w:color="auto"/>
            </w:tcBorders>
            <w:shd w:val="clear" w:color="auto" w:fill="auto"/>
            <w:vAlign w:val="center"/>
          </w:tcPr>
          <w:p w:rsidR="009112A3" w:rsidRPr="00920597" w:rsidRDefault="009112A3" w:rsidP="00964865">
            <w:pPr>
              <w:spacing w:line="360" w:lineRule="exact"/>
              <w:ind w:leftChars="-55" w:hangingChars="55" w:hanging="132"/>
              <w:jc w:val="both"/>
              <w:rPr>
                <w:rFonts w:ascii="標楷體" w:eastAsia="標楷體" w:hAnsi="標楷體" w:cs="Mangal"/>
                <w:bCs/>
                <w:color w:val="000000" w:themeColor="text1"/>
                <w:spacing w:val="-20"/>
                <w:sz w:val="28"/>
                <w:szCs w:val="28"/>
              </w:rPr>
            </w:pPr>
            <w:r w:rsidRPr="00920597">
              <w:rPr>
                <w:rFonts w:ascii="標楷體" w:eastAsia="標楷體" w:hAnsi="標楷體" w:cs="Mangal" w:hint="eastAsia"/>
                <w:bCs/>
                <w:color w:val="000000" w:themeColor="text1"/>
                <w:spacing w:val="-20"/>
                <w:sz w:val="28"/>
                <w:szCs w:val="28"/>
              </w:rPr>
              <w:t>［一］法律案</w:t>
            </w:r>
          </w:p>
        </w:tc>
        <w:tc>
          <w:tcPr>
            <w:tcW w:w="2479" w:type="dxa"/>
            <w:tcBorders>
              <w:top w:val="single" w:sz="18" w:space="0" w:color="auto"/>
              <w:left w:val="single" w:sz="18" w:space="0" w:color="auto"/>
              <w:right w:val="dashed" w:sz="4" w:space="0" w:color="auto"/>
            </w:tcBorders>
            <w:shd w:val="clear" w:color="auto" w:fill="auto"/>
            <w:vAlign w:val="center"/>
          </w:tcPr>
          <w:p w:rsidR="009112A3" w:rsidRPr="000E7F24" w:rsidRDefault="00051A40" w:rsidP="00964865">
            <w:pPr>
              <w:jc w:val="center"/>
              <w:rPr>
                <w:rFonts w:ascii="標楷體" w:eastAsia="標楷體" w:hAnsi="標楷體" w:cs="新細明體"/>
                <w:spacing w:val="-20"/>
                <w:szCs w:val="24"/>
                <w:shd w:val="pct15" w:color="auto" w:fill="FFFFFF"/>
              </w:rPr>
            </w:pPr>
            <w:r w:rsidRPr="000E7F24">
              <w:rPr>
                <w:rFonts w:ascii="標楷體" w:eastAsia="標楷體" w:hAnsi="標楷體" w:cs="新細明體" w:hint="eastAsia"/>
                <w:spacing w:val="-20"/>
                <w:szCs w:val="24"/>
              </w:rPr>
              <w:t>0</w:t>
            </w:r>
          </w:p>
        </w:tc>
        <w:tc>
          <w:tcPr>
            <w:tcW w:w="2410" w:type="dxa"/>
            <w:tcBorders>
              <w:top w:val="single" w:sz="18" w:space="0" w:color="auto"/>
              <w:left w:val="dashed" w:sz="4" w:space="0" w:color="auto"/>
              <w:bottom w:val="single" w:sz="4" w:space="0" w:color="auto"/>
              <w:right w:val="single" w:sz="18" w:space="0" w:color="auto"/>
            </w:tcBorders>
            <w:shd w:val="clear" w:color="auto" w:fill="auto"/>
            <w:vAlign w:val="center"/>
          </w:tcPr>
          <w:p w:rsidR="009112A3" w:rsidRPr="000E7F24" w:rsidRDefault="00051A40" w:rsidP="00964865">
            <w:pPr>
              <w:jc w:val="center"/>
              <w:rPr>
                <w:rFonts w:ascii="標楷體" w:eastAsia="標楷體" w:hAnsi="標楷體" w:cs="新細明體"/>
                <w:spacing w:val="-20"/>
                <w:szCs w:val="24"/>
              </w:rPr>
            </w:pPr>
            <w:r w:rsidRPr="000E7F24">
              <w:rPr>
                <w:rFonts w:ascii="標楷體" w:eastAsia="標楷體" w:hAnsi="標楷體" w:cs="新細明體" w:hint="eastAsia"/>
                <w:spacing w:val="-20"/>
                <w:szCs w:val="24"/>
              </w:rPr>
              <w:t>0</w:t>
            </w:r>
          </w:p>
        </w:tc>
        <w:tc>
          <w:tcPr>
            <w:tcW w:w="2092" w:type="dxa"/>
            <w:tcBorders>
              <w:top w:val="single" w:sz="18" w:space="0" w:color="auto"/>
              <w:left w:val="single" w:sz="18" w:space="0" w:color="auto"/>
              <w:right w:val="single" w:sz="18" w:space="0" w:color="auto"/>
            </w:tcBorders>
            <w:shd w:val="clear" w:color="auto" w:fill="auto"/>
            <w:vAlign w:val="center"/>
          </w:tcPr>
          <w:p w:rsidR="009112A3" w:rsidRPr="000E7F24" w:rsidRDefault="00347462" w:rsidP="00964865">
            <w:pPr>
              <w:jc w:val="center"/>
              <w:rPr>
                <w:rFonts w:ascii="標楷體" w:eastAsia="標楷體" w:hAnsi="標楷體" w:cs="新細明體"/>
                <w:b/>
                <w:bCs/>
                <w:szCs w:val="24"/>
              </w:rPr>
            </w:pPr>
            <w:r w:rsidRPr="000E7F24">
              <w:rPr>
                <w:rFonts w:ascii="標楷體" w:eastAsia="標楷體" w:hAnsi="標楷體" w:cs="新細明體"/>
                <w:b/>
                <w:bCs/>
                <w:szCs w:val="24"/>
              </w:rPr>
              <w:t>0</w:t>
            </w:r>
          </w:p>
        </w:tc>
      </w:tr>
      <w:tr w:rsidR="009112A3" w:rsidRPr="00920597" w:rsidTr="00964865">
        <w:trPr>
          <w:trHeight w:val="737"/>
        </w:trPr>
        <w:tc>
          <w:tcPr>
            <w:tcW w:w="695" w:type="dxa"/>
            <w:vMerge/>
            <w:tcBorders>
              <w:left w:val="single" w:sz="18" w:space="0" w:color="auto"/>
              <w:bottom w:val="single" w:sz="18" w:space="0" w:color="auto"/>
              <w:right w:val="single" w:sz="4" w:space="0" w:color="auto"/>
            </w:tcBorders>
            <w:shd w:val="clear" w:color="auto" w:fill="auto"/>
          </w:tcPr>
          <w:p w:rsidR="009112A3" w:rsidRPr="00920597" w:rsidRDefault="009112A3" w:rsidP="00964865">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507" w:type="dxa"/>
            <w:tcBorders>
              <w:left w:val="single" w:sz="4" w:space="0" w:color="auto"/>
              <w:right w:val="single" w:sz="18" w:space="0" w:color="auto"/>
            </w:tcBorders>
            <w:shd w:val="clear" w:color="auto" w:fill="auto"/>
            <w:vAlign w:val="center"/>
          </w:tcPr>
          <w:p w:rsidR="009112A3" w:rsidRPr="00920597" w:rsidRDefault="009112A3" w:rsidP="00964865">
            <w:pPr>
              <w:spacing w:line="360" w:lineRule="exact"/>
              <w:ind w:leftChars="-55" w:hangingChars="55" w:hanging="132"/>
              <w:jc w:val="both"/>
              <w:rPr>
                <w:rFonts w:ascii="標楷體" w:eastAsia="標楷體" w:hAnsi="標楷體" w:cs="Mangal"/>
                <w:bCs/>
                <w:color w:val="000000" w:themeColor="text1"/>
                <w:spacing w:val="-20"/>
                <w:sz w:val="28"/>
                <w:szCs w:val="28"/>
              </w:rPr>
            </w:pPr>
            <w:r w:rsidRPr="00920597">
              <w:rPr>
                <w:rFonts w:ascii="標楷體" w:eastAsia="標楷體" w:hAnsi="標楷體" w:cs="Mangal" w:hint="eastAsia"/>
                <w:bCs/>
                <w:color w:val="000000" w:themeColor="text1"/>
                <w:spacing w:val="-20"/>
                <w:sz w:val="28"/>
                <w:szCs w:val="28"/>
              </w:rPr>
              <w:t>［二］預（決）算案</w:t>
            </w:r>
          </w:p>
        </w:tc>
        <w:tc>
          <w:tcPr>
            <w:tcW w:w="2479" w:type="dxa"/>
            <w:tcBorders>
              <w:left w:val="single" w:sz="18" w:space="0" w:color="auto"/>
              <w:bottom w:val="single" w:sz="4" w:space="0" w:color="auto"/>
              <w:right w:val="dashed" w:sz="4" w:space="0" w:color="auto"/>
            </w:tcBorders>
            <w:shd w:val="clear" w:color="auto" w:fill="auto"/>
            <w:vAlign w:val="center"/>
          </w:tcPr>
          <w:p w:rsidR="009112A3" w:rsidRPr="000E7F24" w:rsidRDefault="00051A40" w:rsidP="00964865">
            <w:pPr>
              <w:jc w:val="center"/>
              <w:rPr>
                <w:rFonts w:ascii="標楷體" w:eastAsia="標楷體" w:hAnsi="標楷體" w:cs="新細明體"/>
                <w:spacing w:val="-20"/>
                <w:szCs w:val="24"/>
              </w:rPr>
            </w:pPr>
            <w:r w:rsidRPr="000E7F24">
              <w:rPr>
                <w:rFonts w:ascii="標楷體" w:eastAsia="標楷體" w:hAnsi="標楷體" w:cs="新細明體" w:hint="eastAsia"/>
                <w:spacing w:val="-20"/>
                <w:szCs w:val="24"/>
              </w:rPr>
              <w:t>19</w:t>
            </w:r>
          </w:p>
        </w:tc>
        <w:tc>
          <w:tcPr>
            <w:tcW w:w="2410" w:type="dxa"/>
            <w:tcBorders>
              <w:left w:val="dashed" w:sz="4" w:space="0" w:color="auto"/>
              <w:bottom w:val="single" w:sz="4" w:space="0" w:color="auto"/>
              <w:right w:val="single" w:sz="18" w:space="0" w:color="auto"/>
            </w:tcBorders>
            <w:shd w:val="clear" w:color="auto" w:fill="auto"/>
            <w:vAlign w:val="center"/>
          </w:tcPr>
          <w:p w:rsidR="009112A3" w:rsidRPr="000E7F24" w:rsidRDefault="00051A40" w:rsidP="00964865">
            <w:pPr>
              <w:jc w:val="center"/>
              <w:rPr>
                <w:rFonts w:ascii="標楷體" w:eastAsia="標楷體" w:hAnsi="標楷體" w:cs="新細明體"/>
                <w:spacing w:val="-20"/>
                <w:szCs w:val="24"/>
              </w:rPr>
            </w:pPr>
            <w:r w:rsidRPr="000E7F24">
              <w:rPr>
                <w:rFonts w:ascii="標楷體" w:eastAsia="標楷體" w:hAnsi="標楷體" w:cs="新細明體" w:hint="eastAsia"/>
                <w:spacing w:val="-20"/>
                <w:szCs w:val="24"/>
              </w:rPr>
              <w:t>1</w:t>
            </w:r>
          </w:p>
        </w:tc>
        <w:tc>
          <w:tcPr>
            <w:tcW w:w="2092" w:type="dxa"/>
            <w:tcBorders>
              <w:left w:val="single" w:sz="18" w:space="0" w:color="auto"/>
              <w:bottom w:val="single" w:sz="4" w:space="0" w:color="auto"/>
              <w:right w:val="single" w:sz="18" w:space="0" w:color="auto"/>
            </w:tcBorders>
            <w:shd w:val="clear" w:color="auto" w:fill="auto"/>
            <w:vAlign w:val="center"/>
          </w:tcPr>
          <w:p w:rsidR="009112A3" w:rsidRPr="000E7F24" w:rsidRDefault="00051A40" w:rsidP="00964865">
            <w:pPr>
              <w:jc w:val="center"/>
              <w:rPr>
                <w:rFonts w:ascii="標楷體" w:eastAsia="標楷體" w:hAnsi="標楷體" w:cs="新細明體"/>
                <w:b/>
                <w:bCs/>
                <w:szCs w:val="24"/>
              </w:rPr>
            </w:pPr>
            <w:r w:rsidRPr="000E7F24">
              <w:rPr>
                <w:rFonts w:ascii="標楷體" w:eastAsia="標楷體" w:hAnsi="標楷體" w:cs="新細明體" w:hint="eastAsia"/>
                <w:b/>
                <w:bCs/>
                <w:szCs w:val="24"/>
              </w:rPr>
              <w:t>20</w:t>
            </w:r>
          </w:p>
        </w:tc>
      </w:tr>
      <w:tr w:rsidR="009112A3" w:rsidRPr="00920597" w:rsidTr="00964865">
        <w:trPr>
          <w:trHeight w:val="737"/>
        </w:trPr>
        <w:tc>
          <w:tcPr>
            <w:tcW w:w="695" w:type="dxa"/>
            <w:vMerge/>
            <w:tcBorders>
              <w:left w:val="single" w:sz="18" w:space="0" w:color="auto"/>
              <w:bottom w:val="single" w:sz="18" w:space="0" w:color="auto"/>
              <w:right w:val="single" w:sz="4" w:space="0" w:color="auto"/>
            </w:tcBorders>
            <w:shd w:val="clear" w:color="auto" w:fill="auto"/>
          </w:tcPr>
          <w:p w:rsidR="009112A3" w:rsidRPr="00920597" w:rsidRDefault="009112A3" w:rsidP="00964865">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507" w:type="dxa"/>
            <w:tcBorders>
              <w:left w:val="single" w:sz="4" w:space="0" w:color="auto"/>
              <w:right w:val="single" w:sz="18" w:space="0" w:color="auto"/>
            </w:tcBorders>
            <w:shd w:val="clear" w:color="auto" w:fill="auto"/>
            <w:vAlign w:val="center"/>
          </w:tcPr>
          <w:p w:rsidR="009112A3" w:rsidRPr="00920597" w:rsidRDefault="009112A3" w:rsidP="00964865">
            <w:pPr>
              <w:spacing w:line="360" w:lineRule="exact"/>
              <w:ind w:leftChars="-55" w:hangingChars="55" w:hanging="132"/>
              <w:jc w:val="both"/>
              <w:rPr>
                <w:rFonts w:ascii="標楷體" w:eastAsia="標楷體" w:hAnsi="標楷體" w:cs="Mangal"/>
                <w:bCs/>
                <w:color w:val="000000" w:themeColor="text1"/>
                <w:spacing w:val="-20"/>
                <w:sz w:val="28"/>
                <w:szCs w:val="28"/>
              </w:rPr>
            </w:pPr>
            <w:r w:rsidRPr="00920597">
              <w:rPr>
                <w:rFonts w:ascii="標楷體" w:eastAsia="標楷體" w:hAnsi="標楷體" w:cs="Mangal" w:hint="eastAsia"/>
                <w:bCs/>
                <w:color w:val="000000" w:themeColor="text1"/>
                <w:spacing w:val="-20"/>
                <w:sz w:val="28"/>
                <w:szCs w:val="28"/>
              </w:rPr>
              <w:t>［三］條約案</w:t>
            </w:r>
          </w:p>
        </w:tc>
        <w:tc>
          <w:tcPr>
            <w:tcW w:w="2479" w:type="dxa"/>
            <w:tcBorders>
              <w:left w:val="single" w:sz="18" w:space="0" w:color="auto"/>
              <w:right w:val="dashed" w:sz="4" w:space="0" w:color="auto"/>
            </w:tcBorders>
            <w:shd w:val="clear" w:color="auto" w:fill="auto"/>
            <w:vAlign w:val="center"/>
          </w:tcPr>
          <w:p w:rsidR="009112A3" w:rsidRPr="000E7F24" w:rsidRDefault="009112A3" w:rsidP="00964865">
            <w:pPr>
              <w:jc w:val="center"/>
              <w:rPr>
                <w:rFonts w:ascii="標楷體" w:eastAsia="標楷體" w:hAnsi="標楷體" w:cs="新細明體"/>
                <w:spacing w:val="-20"/>
                <w:szCs w:val="24"/>
              </w:rPr>
            </w:pPr>
          </w:p>
        </w:tc>
        <w:tc>
          <w:tcPr>
            <w:tcW w:w="2410" w:type="dxa"/>
            <w:tcBorders>
              <w:left w:val="dashed" w:sz="4" w:space="0" w:color="auto"/>
              <w:right w:val="single" w:sz="18" w:space="0" w:color="auto"/>
            </w:tcBorders>
            <w:shd w:val="clear" w:color="auto" w:fill="auto"/>
            <w:vAlign w:val="center"/>
          </w:tcPr>
          <w:p w:rsidR="009112A3" w:rsidRPr="000E7F24" w:rsidRDefault="009112A3" w:rsidP="00964865">
            <w:pPr>
              <w:jc w:val="center"/>
              <w:rPr>
                <w:rFonts w:ascii="標楷體" w:eastAsia="標楷體" w:hAnsi="標楷體" w:cs="新細明體"/>
                <w:spacing w:val="-20"/>
                <w:szCs w:val="24"/>
              </w:rPr>
            </w:pPr>
          </w:p>
        </w:tc>
        <w:tc>
          <w:tcPr>
            <w:tcW w:w="2092" w:type="dxa"/>
            <w:tcBorders>
              <w:left w:val="single" w:sz="18" w:space="0" w:color="auto"/>
              <w:right w:val="single" w:sz="18" w:space="0" w:color="auto"/>
            </w:tcBorders>
            <w:shd w:val="clear" w:color="auto" w:fill="auto"/>
            <w:vAlign w:val="center"/>
          </w:tcPr>
          <w:p w:rsidR="009112A3" w:rsidRPr="000E7F24" w:rsidRDefault="009112A3" w:rsidP="00964865">
            <w:pPr>
              <w:jc w:val="center"/>
              <w:rPr>
                <w:rFonts w:ascii="標楷體" w:eastAsia="標楷體" w:hAnsi="標楷體" w:cs="新細明體"/>
                <w:bCs/>
                <w:szCs w:val="24"/>
              </w:rPr>
            </w:pPr>
          </w:p>
        </w:tc>
      </w:tr>
      <w:tr w:rsidR="009112A3" w:rsidRPr="00920597" w:rsidTr="00964865">
        <w:trPr>
          <w:trHeight w:val="737"/>
        </w:trPr>
        <w:tc>
          <w:tcPr>
            <w:tcW w:w="695" w:type="dxa"/>
            <w:vMerge/>
            <w:tcBorders>
              <w:left w:val="single" w:sz="18" w:space="0" w:color="auto"/>
              <w:bottom w:val="single" w:sz="18" w:space="0" w:color="auto"/>
              <w:right w:val="single" w:sz="4" w:space="0" w:color="auto"/>
            </w:tcBorders>
            <w:shd w:val="clear" w:color="auto" w:fill="auto"/>
          </w:tcPr>
          <w:p w:rsidR="009112A3" w:rsidRPr="00920597" w:rsidRDefault="009112A3" w:rsidP="00964865">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507" w:type="dxa"/>
            <w:tcBorders>
              <w:left w:val="single" w:sz="4" w:space="0" w:color="auto"/>
              <w:right w:val="single" w:sz="18" w:space="0" w:color="auto"/>
            </w:tcBorders>
            <w:shd w:val="clear" w:color="auto" w:fill="auto"/>
            <w:vAlign w:val="center"/>
          </w:tcPr>
          <w:p w:rsidR="009112A3" w:rsidRPr="00920597" w:rsidRDefault="009112A3" w:rsidP="00964865">
            <w:pPr>
              <w:spacing w:line="360" w:lineRule="exact"/>
              <w:ind w:leftChars="-55" w:hangingChars="55" w:hanging="132"/>
              <w:jc w:val="both"/>
              <w:rPr>
                <w:rFonts w:ascii="標楷體" w:eastAsia="標楷體" w:hAnsi="標楷體" w:cs="Mangal"/>
                <w:bCs/>
                <w:color w:val="000000" w:themeColor="text1"/>
                <w:spacing w:val="-20"/>
                <w:sz w:val="28"/>
                <w:szCs w:val="28"/>
              </w:rPr>
            </w:pPr>
            <w:r w:rsidRPr="00920597">
              <w:rPr>
                <w:rFonts w:ascii="標楷體" w:eastAsia="標楷體" w:hAnsi="標楷體" w:cs="Mangal" w:hint="eastAsia"/>
                <w:bCs/>
                <w:color w:val="000000" w:themeColor="text1"/>
                <w:spacing w:val="-20"/>
                <w:sz w:val="28"/>
                <w:szCs w:val="28"/>
              </w:rPr>
              <w:t>［四］行政命令案</w:t>
            </w:r>
          </w:p>
        </w:tc>
        <w:tc>
          <w:tcPr>
            <w:tcW w:w="2479" w:type="dxa"/>
            <w:tcBorders>
              <w:left w:val="single" w:sz="18" w:space="0" w:color="auto"/>
              <w:right w:val="dashed" w:sz="4" w:space="0" w:color="auto"/>
            </w:tcBorders>
            <w:shd w:val="clear" w:color="auto" w:fill="auto"/>
            <w:vAlign w:val="center"/>
          </w:tcPr>
          <w:p w:rsidR="009112A3" w:rsidRPr="000E7F24" w:rsidRDefault="00051A40" w:rsidP="00964865">
            <w:pPr>
              <w:jc w:val="center"/>
              <w:rPr>
                <w:rFonts w:ascii="標楷體" w:eastAsia="標楷體" w:hAnsi="標楷體" w:cs="新細明體"/>
                <w:spacing w:val="-20"/>
                <w:szCs w:val="24"/>
              </w:rPr>
            </w:pPr>
            <w:r w:rsidRPr="000E7F24">
              <w:rPr>
                <w:rFonts w:ascii="標楷體" w:eastAsia="標楷體" w:hAnsi="標楷體" w:cs="新細明體" w:hint="eastAsia"/>
                <w:spacing w:val="-20"/>
                <w:szCs w:val="24"/>
              </w:rPr>
              <w:t>7</w:t>
            </w:r>
          </w:p>
        </w:tc>
        <w:tc>
          <w:tcPr>
            <w:tcW w:w="2410" w:type="dxa"/>
            <w:tcBorders>
              <w:left w:val="dashed" w:sz="4" w:space="0" w:color="auto"/>
              <w:right w:val="single" w:sz="18" w:space="0" w:color="auto"/>
            </w:tcBorders>
            <w:shd w:val="clear" w:color="auto" w:fill="auto"/>
            <w:vAlign w:val="center"/>
          </w:tcPr>
          <w:p w:rsidR="009112A3" w:rsidRPr="000E7F24" w:rsidRDefault="000E7F24" w:rsidP="00964865">
            <w:pPr>
              <w:jc w:val="center"/>
              <w:rPr>
                <w:rFonts w:ascii="標楷體" w:eastAsia="標楷體" w:hAnsi="標楷體" w:cs="新細明體"/>
                <w:spacing w:val="-20"/>
                <w:szCs w:val="24"/>
              </w:rPr>
            </w:pPr>
            <w:r w:rsidRPr="000E7F24">
              <w:rPr>
                <w:rFonts w:ascii="標楷體" w:eastAsia="標楷體" w:hAnsi="標楷體" w:cs="新細明體" w:hint="eastAsia"/>
                <w:spacing w:val="-20"/>
                <w:szCs w:val="24"/>
              </w:rPr>
              <w:t>3</w:t>
            </w:r>
          </w:p>
        </w:tc>
        <w:tc>
          <w:tcPr>
            <w:tcW w:w="2092" w:type="dxa"/>
            <w:tcBorders>
              <w:left w:val="single" w:sz="18" w:space="0" w:color="auto"/>
              <w:right w:val="single" w:sz="18" w:space="0" w:color="auto"/>
            </w:tcBorders>
            <w:shd w:val="clear" w:color="auto" w:fill="auto"/>
            <w:vAlign w:val="center"/>
          </w:tcPr>
          <w:p w:rsidR="009112A3" w:rsidRPr="000E7F24" w:rsidRDefault="000E7F24" w:rsidP="00964865">
            <w:pPr>
              <w:jc w:val="center"/>
              <w:rPr>
                <w:rFonts w:ascii="標楷體" w:eastAsia="標楷體" w:hAnsi="標楷體" w:cs="新細明體"/>
                <w:bCs/>
                <w:szCs w:val="24"/>
              </w:rPr>
            </w:pPr>
            <w:r w:rsidRPr="000E7F24">
              <w:rPr>
                <w:rFonts w:ascii="標楷體" w:eastAsia="標楷體" w:hAnsi="標楷體" w:cs="新細明體" w:hint="eastAsia"/>
                <w:bCs/>
                <w:szCs w:val="24"/>
              </w:rPr>
              <w:t>10</w:t>
            </w:r>
          </w:p>
        </w:tc>
      </w:tr>
      <w:tr w:rsidR="009112A3" w:rsidRPr="00920597" w:rsidTr="00964865">
        <w:trPr>
          <w:trHeight w:val="737"/>
        </w:trPr>
        <w:tc>
          <w:tcPr>
            <w:tcW w:w="695" w:type="dxa"/>
            <w:vMerge/>
            <w:tcBorders>
              <w:left w:val="single" w:sz="18" w:space="0" w:color="auto"/>
              <w:bottom w:val="single" w:sz="18" w:space="0" w:color="auto"/>
              <w:right w:val="single" w:sz="4" w:space="0" w:color="auto"/>
            </w:tcBorders>
            <w:shd w:val="clear" w:color="auto" w:fill="auto"/>
          </w:tcPr>
          <w:p w:rsidR="009112A3" w:rsidRPr="00920597" w:rsidRDefault="009112A3" w:rsidP="00964865">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507" w:type="dxa"/>
            <w:tcBorders>
              <w:left w:val="single" w:sz="4" w:space="0" w:color="auto"/>
              <w:bottom w:val="single" w:sz="4" w:space="0" w:color="auto"/>
              <w:right w:val="single" w:sz="18" w:space="0" w:color="auto"/>
            </w:tcBorders>
            <w:shd w:val="clear" w:color="auto" w:fill="auto"/>
            <w:vAlign w:val="center"/>
          </w:tcPr>
          <w:p w:rsidR="009112A3" w:rsidRPr="00920597" w:rsidRDefault="009112A3" w:rsidP="00964865">
            <w:pPr>
              <w:spacing w:line="360" w:lineRule="exact"/>
              <w:ind w:leftChars="-55" w:left="242" w:hangingChars="156" w:hanging="374"/>
              <w:jc w:val="both"/>
              <w:rPr>
                <w:rFonts w:ascii="標楷體" w:eastAsia="標楷體" w:hAnsi="標楷體"/>
                <w:bCs/>
                <w:color w:val="000000" w:themeColor="text1"/>
                <w:spacing w:val="-20"/>
                <w:sz w:val="28"/>
                <w:szCs w:val="28"/>
              </w:rPr>
            </w:pPr>
            <w:r w:rsidRPr="00920597">
              <w:rPr>
                <w:rFonts w:ascii="標楷體" w:eastAsia="標楷體" w:hAnsi="標楷體" w:hint="eastAsia"/>
                <w:bCs/>
                <w:color w:val="000000" w:themeColor="text1"/>
                <w:spacing w:val="-20"/>
                <w:sz w:val="28"/>
                <w:szCs w:val="28"/>
              </w:rPr>
              <w:t>［五］同意權行使案</w:t>
            </w:r>
          </w:p>
        </w:tc>
        <w:tc>
          <w:tcPr>
            <w:tcW w:w="2479" w:type="dxa"/>
            <w:tcBorders>
              <w:left w:val="single" w:sz="18" w:space="0" w:color="auto"/>
              <w:right w:val="dashed" w:sz="4" w:space="0" w:color="auto"/>
            </w:tcBorders>
            <w:shd w:val="clear" w:color="auto" w:fill="auto"/>
            <w:vAlign w:val="center"/>
          </w:tcPr>
          <w:p w:rsidR="009112A3" w:rsidRPr="000E7F24" w:rsidRDefault="009112A3" w:rsidP="00964865">
            <w:pPr>
              <w:jc w:val="center"/>
              <w:rPr>
                <w:rFonts w:ascii="標楷體" w:eastAsia="標楷體" w:hAnsi="標楷體" w:cs="新細明體"/>
                <w:spacing w:val="-20"/>
                <w:szCs w:val="24"/>
              </w:rPr>
            </w:pPr>
          </w:p>
        </w:tc>
        <w:tc>
          <w:tcPr>
            <w:tcW w:w="2410" w:type="dxa"/>
            <w:tcBorders>
              <w:left w:val="dashed" w:sz="4" w:space="0" w:color="auto"/>
              <w:right w:val="single" w:sz="18" w:space="0" w:color="auto"/>
            </w:tcBorders>
            <w:shd w:val="clear" w:color="auto" w:fill="auto"/>
            <w:vAlign w:val="center"/>
          </w:tcPr>
          <w:p w:rsidR="009112A3" w:rsidRPr="000E7F24" w:rsidRDefault="009112A3" w:rsidP="00964865">
            <w:pPr>
              <w:jc w:val="center"/>
              <w:rPr>
                <w:rFonts w:ascii="標楷體" w:eastAsia="標楷體" w:hAnsi="標楷體" w:cs="新細明體"/>
                <w:spacing w:val="-20"/>
                <w:szCs w:val="24"/>
              </w:rPr>
            </w:pPr>
          </w:p>
        </w:tc>
        <w:tc>
          <w:tcPr>
            <w:tcW w:w="2092" w:type="dxa"/>
            <w:tcBorders>
              <w:left w:val="single" w:sz="18" w:space="0" w:color="auto"/>
              <w:right w:val="single" w:sz="18" w:space="0" w:color="auto"/>
            </w:tcBorders>
            <w:shd w:val="clear" w:color="auto" w:fill="auto"/>
            <w:vAlign w:val="center"/>
          </w:tcPr>
          <w:p w:rsidR="009112A3" w:rsidRPr="000E7F24" w:rsidRDefault="009112A3" w:rsidP="00964865">
            <w:pPr>
              <w:jc w:val="center"/>
              <w:rPr>
                <w:rFonts w:ascii="標楷體" w:eastAsia="標楷體" w:hAnsi="標楷體" w:cs="新細明體"/>
                <w:bCs/>
                <w:szCs w:val="24"/>
              </w:rPr>
            </w:pPr>
          </w:p>
        </w:tc>
      </w:tr>
      <w:tr w:rsidR="009112A3" w:rsidRPr="00920597" w:rsidTr="00964865">
        <w:trPr>
          <w:trHeight w:val="737"/>
        </w:trPr>
        <w:tc>
          <w:tcPr>
            <w:tcW w:w="695" w:type="dxa"/>
            <w:vMerge/>
            <w:tcBorders>
              <w:left w:val="single" w:sz="18" w:space="0" w:color="auto"/>
              <w:bottom w:val="single" w:sz="18" w:space="0" w:color="auto"/>
              <w:right w:val="single" w:sz="4" w:space="0" w:color="auto"/>
            </w:tcBorders>
            <w:shd w:val="clear" w:color="auto" w:fill="auto"/>
          </w:tcPr>
          <w:p w:rsidR="009112A3" w:rsidRPr="00920597" w:rsidRDefault="009112A3" w:rsidP="00964865">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507" w:type="dxa"/>
            <w:tcBorders>
              <w:left w:val="single" w:sz="4" w:space="0" w:color="auto"/>
              <w:bottom w:val="single" w:sz="4" w:space="0" w:color="auto"/>
              <w:right w:val="single" w:sz="18" w:space="0" w:color="auto"/>
            </w:tcBorders>
            <w:shd w:val="clear" w:color="auto" w:fill="auto"/>
            <w:vAlign w:val="center"/>
          </w:tcPr>
          <w:p w:rsidR="009112A3" w:rsidRPr="00920597" w:rsidRDefault="009112A3" w:rsidP="00964865">
            <w:pPr>
              <w:spacing w:line="360" w:lineRule="exact"/>
              <w:ind w:leftChars="-55" w:left="242" w:hangingChars="156" w:hanging="374"/>
              <w:jc w:val="both"/>
              <w:rPr>
                <w:rFonts w:ascii="標楷體" w:eastAsia="標楷體" w:hAnsi="標楷體"/>
                <w:bCs/>
                <w:color w:val="000000" w:themeColor="text1"/>
                <w:spacing w:val="-20"/>
                <w:sz w:val="28"/>
                <w:szCs w:val="28"/>
              </w:rPr>
            </w:pPr>
            <w:r w:rsidRPr="00920597">
              <w:rPr>
                <w:rFonts w:ascii="標楷體" w:eastAsia="標楷體" w:hAnsi="標楷體" w:hint="eastAsia"/>
                <w:bCs/>
                <w:color w:val="000000" w:themeColor="text1"/>
                <w:spacing w:val="-20"/>
                <w:sz w:val="28"/>
                <w:szCs w:val="28"/>
              </w:rPr>
              <w:t>［六］立法院內規</w:t>
            </w:r>
          </w:p>
        </w:tc>
        <w:tc>
          <w:tcPr>
            <w:tcW w:w="2479" w:type="dxa"/>
            <w:tcBorders>
              <w:left w:val="single" w:sz="18" w:space="0" w:color="auto"/>
              <w:bottom w:val="single" w:sz="2" w:space="0" w:color="auto"/>
              <w:right w:val="dashed" w:sz="4" w:space="0" w:color="auto"/>
            </w:tcBorders>
            <w:shd w:val="clear" w:color="auto" w:fill="auto"/>
            <w:vAlign w:val="center"/>
          </w:tcPr>
          <w:p w:rsidR="009112A3" w:rsidRPr="000E7F24" w:rsidRDefault="009112A3" w:rsidP="00964865">
            <w:pPr>
              <w:jc w:val="center"/>
              <w:rPr>
                <w:rFonts w:ascii="標楷體" w:eastAsia="標楷體" w:hAnsi="標楷體"/>
                <w:spacing w:val="-20"/>
                <w:szCs w:val="24"/>
              </w:rPr>
            </w:pPr>
          </w:p>
        </w:tc>
        <w:tc>
          <w:tcPr>
            <w:tcW w:w="2410" w:type="dxa"/>
            <w:tcBorders>
              <w:left w:val="dashed" w:sz="4" w:space="0" w:color="auto"/>
              <w:bottom w:val="single" w:sz="2" w:space="0" w:color="auto"/>
              <w:right w:val="single" w:sz="18" w:space="0" w:color="auto"/>
            </w:tcBorders>
            <w:shd w:val="clear" w:color="auto" w:fill="auto"/>
            <w:vAlign w:val="center"/>
          </w:tcPr>
          <w:p w:rsidR="009112A3" w:rsidRPr="000E7F24" w:rsidRDefault="009112A3" w:rsidP="00964865">
            <w:pPr>
              <w:jc w:val="center"/>
              <w:rPr>
                <w:rFonts w:ascii="標楷體" w:eastAsia="標楷體" w:hAnsi="標楷體"/>
                <w:spacing w:val="-20"/>
                <w:szCs w:val="24"/>
              </w:rPr>
            </w:pPr>
          </w:p>
        </w:tc>
        <w:tc>
          <w:tcPr>
            <w:tcW w:w="2092" w:type="dxa"/>
            <w:tcBorders>
              <w:left w:val="single" w:sz="18" w:space="0" w:color="auto"/>
              <w:bottom w:val="single" w:sz="2" w:space="0" w:color="auto"/>
              <w:right w:val="single" w:sz="18" w:space="0" w:color="auto"/>
            </w:tcBorders>
            <w:shd w:val="clear" w:color="auto" w:fill="auto"/>
            <w:vAlign w:val="center"/>
          </w:tcPr>
          <w:p w:rsidR="009112A3" w:rsidRPr="000E7F24" w:rsidRDefault="009112A3" w:rsidP="00964865">
            <w:pPr>
              <w:jc w:val="center"/>
              <w:rPr>
                <w:rFonts w:ascii="標楷體" w:eastAsia="標楷體" w:hAnsi="標楷體"/>
                <w:bCs/>
                <w:szCs w:val="24"/>
              </w:rPr>
            </w:pPr>
          </w:p>
        </w:tc>
      </w:tr>
      <w:tr w:rsidR="009112A3" w:rsidRPr="00920597" w:rsidTr="00964865">
        <w:trPr>
          <w:trHeight w:val="737"/>
        </w:trPr>
        <w:tc>
          <w:tcPr>
            <w:tcW w:w="695" w:type="dxa"/>
            <w:vMerge/>
            <w:tcBorders>
              <w:left w:val="single" w:sz="18" w:space="0" w:color="auto"/>
              <w:bottom w:val="single" w:sz="18" w:space="0" w:color="auto"/>
              <w:right w:val="single" w:sz="4" w:space="0" w:color="auto"/>
            </w:tcBorders>
            <w:shd w:val="clear" w:color="auto" w:fill="auto"/>
          </w:tcPr>
          <w:p w:rsidR="009112A3" w:rsidRPr="00920597" w:rsidRDefault="009112A3" w:rsidP="00964865">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507" w:type="dxa"/>
            <w:tcBorders>
              <w:top w:val="single" w:sz="4" w:space="0" w:color="auto"/>
              <w:left w:val="single" w:sz="4" w:space="0" w:color="auto"/>
              <w:bottom w:val="single" w:sz="4" w:space="0" w:color="auto"/>
              <w:right w:val="single" w:sz="18" w:space="0" w:color="auto"/>
            </w:tcBorders>
            <w:shd w:val="clear" w:color="auto" w:fill="auto"/>
            <w:vAlign w:val="center"/>
          </w:tcPr>
          <w:p w:rsidR="009112A3" w:rsidRPr="00920597" w:rsidRDefault="009112A3" w:rsidP="00964865">
            <w:pPr>
              <w:spacing w:line="360" w:lineRule="exact"/>
              <w:ind w:leftChars="-55" w:left="242" w:hangingChars="156" w:hanging="374"/>
              <w:jc w:val="both"/>
              <w:rPr>
                <w:rFonts w:ascii="標楷體" w:eastAsia="標楷體" w:hAnsi="標楷體"/>
                <w:bCs/>
                <w:color w:val="000000" w:themeColor="text1"/>
                <w:spacing w:val="-20"/>
                <w:sz w:val="28"/>
                <w:szCs w:val="28"/>
              </w:rPr>
            </w:pPr>
            <w:r w:rsidRPr="00920597">
              <w:rPr>
                <w:rFonts w:ascii="標楷體" w:eastAsia="標楷體" w:hAnsi="標楷體" w:hint="eastAsia"/>
                <w:bCs/>
                <w:color w:val="000000" w:themeColor="text1"/>
                <w:spacing w:val="-20"/>
                <w:sz w:val="28"/>
                <w:szCs w:val="28"/>
              </w:rPr>
              <w:t>［七］其他議案</w:t>
            </w:r>
          </w:p>
        </w:tc>
        <w:tc>
          <w:tcPr>
            <w:tcW w:w="2479" w:type="dxa"/>
            <w:tcBorders>
              <w:left w:val="single" w:sz="18" w:space="0" w:color="auto"/>
              <w:bottom w:val="single" w:sz="2" w:space="0" w:color="auto"/>
              <w:right w:val="dashed" w:sz="4" w:space="0" w:color="auto"/>
            </w:tcBorders>
            <w:shd w:val="clear" w:color="auto" w:fill="auto"/>
            <w:vAlign w:val="center"/>
          </w:tcPr>
          <w:p w:rsidR="009112A3" w:rsidRPr="000E7F24" w:rsidRDefault="00051A40" w:rsidP="00964865">
            <w:pPr>
              <w:jc w:val="center"/>
              <w:rPr>
                <w:rFonts w:ascii="標楷體" w:eastAsia="標楷體" w:hAnsi="標楷體"/>
                <w:spacing w:val="-20"/>
                <w:szCs w:val="24"/>
              </w:rPr>
            </w:pPr>
            <w:r w:rsidRPr="000E7F24">
              <w:rPr>
                <w:rFonts w:ascii="標楷體" w:eastAsia="標楷體" w:hAnsi="標楷體" w:hint="eastAsia"/>
                <w:spacing w:val="-20"/>
                <w:szCs w:val="24"/>
              </w:rPr>
              <w:t>106</w:t>
            </w:r>
          </w:p>
        </w:tc>
        <w:tc>
          <w:tcPr>
            <w:tcW w:w="2410" w:type="dxa"/>
            <w:tcBorders>
              <w:left w:val="dashed" w:sz="4" w:space="0" w:color="auto"/>
              <w:bottom w:val="single" w:sz="2" w:space="0" w:color="auto"/>
              <w:right w:val="single" w:sz="18" w:space="0" w:color="auto"/>
            </w:tcBorders>
            <w:shd w:val="clear" w:color="auto" w:fill="auto"/>
            <w:vAlign w:val="center"/>
          </w:tcPr>
          <w:p w:rsidR="009112A3" w:rsidRPr="000E7F24" w:rsidRDefault="009112A3" w:rsidP="00964865">
            <w:pPr>
              <w:jc w:val="center"/>
              <w:rPr>
                <w:rFonts w:ascii="標楷體" w:eastAsia="標楷體" w:hAnsi="標楷體"/>
                <w:spacing w:val="-20"/>
                <w:szCs w:val="24"/>
              </w:rPr>
            </w:pPr>
          </w:p>
        </w:tc>
        <w:tc>
          <w:tcPr>
            <w:tcW w:w="2092" w:type="dxa"/>
            <w:tcBorders>
              <w:left w:val="single" w:sz="18" w:space="0" w:color="auto"/>
              <w:bottom w:val="single" w:sz="2" w:space="0" w:color="auto"/>
              <w:right w:val="single" w:sz="18" w:space="0" w:color="auto"/>
            </w:tcBorders>
            <w:shd w:val="clear" w:color="auto" w:fill="auto"/>
            <w:vAlign w:val="center"/>
          </w:tcPr>
          <w:p w:rsidR="009112A3" w:rsidRPr="000E7F24" w:rsidRDefault="00051A40" w:rsidP="00964865">
            <w:pPr>
              <w:jc w:val="center"/>
              <w:rPr>
                <w:rFonts w:ascii="標楷體" w:eastAsia="標楷體" w:hAnsi="標楷體"/>
                <w:b/>
                <w:bCs/>
                <w:szCs w:val="24"/>
              </w:rPr>
            </w:pPr>
            <w:r w:rsidRPr="000E7F24">
              <w:rPr>
                <w:rFonts w:ascii="標楷體" w:eastAsia="標楷體" w:hAnsi="標楷體" w:hint="eastAsia"/>
                <w:b/>
                <w:bCs/>
                <w:szCs w:val="24"/>
              </w:rPr>
              <w:t>106</w:t>
            </w:r>
          </w:p>
        </w:tc>
      </w:tr>
      <w:tr w:rsidR="009112A3" w:rsidRPr="00920597" w:rsidTr="00964865">
        <w:trPr>
          <w:trHeight w:val="737"/>
        </w:trPr>
        <w:tc>
          <w:tcPr>
            <w:tcW w:w="3202" w:type="dxa"/>
            <w:gridSpan w:val="2"/>
            <w:tcBorders>
              <w:top w:val="single" w:sz="18" w:space="0" w:color="auto"/>
              <w:left w:val="single" w:sz="18" w:space="0" w:color="auto"/>
              <w:bottom w:val="single" w:sz="18" w:space="0" w:color="auto"/>
              <w:right w:val="single" w:sz="18" w:space="0" w:color="auto"/>
            </w:tcBorders>
            <w:shd w:val="clear" w:color="auto" w:fill="auto"/>
            <w:vAlign w:val="center"/>
          </w:tcPr>
          <w:p w:rsidR="009112A3" w:rsidRPr="00920597" w:rsidRDefault="009112A3" w:rsidP="00964865">
            <w:pPr>
              <w:spacing w:line="300" w:lineRule="exact"/>
              <w:ind w:left="-132"/>
              <w:jc w:val="center"/>
              <w:rPr>
                <w:rFonts w:ascii="標楷體" w:eastAsia="標楷體" w:hAnsi="標楷體"/>
                <w:b/>
                <w:color w:val="000000" w:themeColor="text1"/>
                <w:spacing w:val="-20"/>
                <w:sz w:val="28"/>
                <w:szCs w:val="28"/>
              </w:rPr>
            </w:pPr>
            <w:r w:rsidRPr="00920597">
              <w:rPr>
                <w:rFonts w:ascii="標楷體" w:eastAsia="標楷體" w:hAnsi="標楷體" w:hint="eastAsia"/>
                <w:b/>
                <w:color w:val="000000" w:themeColor="text1"/>
                <w:spacing w:val="-20"/>
                <w:sz w:val="28"/>
                <w:szCs w:val="28"/>
              </w:rPr>
              <w:t>［一］至［七］</w:t>
            </w:r>
          </w:p>
          <w:p w:rsidR="009112A3" w:rsidRPr="00920597" w:rsidRDefault="009112A3" w:rsidP="00964865">
            <w:pPr>
              <w:spacing w:line="300" w:lineRule="exact"/>
              <w:jc w:val="center"/>
              <w:rPr>
                <w:rFonts w:ascii="標楷體" w:eastAsia="標楷體" w:hAnsi="標楷體"/>
                <w:b/>
                <w:color w:val="000000" w:themeColor="text1"/>
                <w:spacing w:val="-20"/>
                <w:sz w:val="28"/>
                <w:szCs w:val="28"/>
              </w:rPr>
            </w:pPr>
            <w:r w:rsidRPr="00920597">
              <w:rPr>
                <w:rFonts w:ascii="標楷體" w:eastAsia="標楷體" w:hAnsi="標楷體" w:hint="eastAsia"/>
                <w:b/>
                <w:color w:val="000000" w:themeColor="text1"/>
                <w:spacing w:val="-20"/>
                <w:sz w:val="28"/>
                <w:szCs w:val="28"/>
              </w:rPr>
              <w:t>小     計</w:t>
            </w:r>
          </w:p>
        </w:tc>
        <w:tc>
          <w:tcPr>
            <w:tcW w:w="2479" w:type="dxa"/>
            <w:tcBorders>
              <w:top w:val="single" w:sz="18" w:space="0" w:color="auto"/>
              <w:left w:val="single" w:sz="18" w:space="0" w:color="auto"/>
              <w:bottom w:val="single" w:sz="18" w:space="0" w:color="auto"/>
              <w:right w:val="dashed" w:sz="4" w:space="0" w:color="auto"/>
            </w:tcBorders>
            <w:shd w:val="clear" w:color="auto" w:fill="auto"/>
            <w:vAlign w:val="center"/>
          </w:tcPr>
          <w:p w:rsidR="009112A3" w:rsidRPr="000E7F24" w:rsidRDefault="0024707D" w:rsidP="00964865">
            <w:pPr>
              <w:jc w:val="center"/>
              <w:rPr>
                <w:rFonts w:ascii="標楷體" w:eastAsia="標楷體" w:hAnsi="標楷體" w:cs="新細明體"/>
                <w:b/>
                <w:spacing w:val="-20"/>
                <w:szCs w:val="24"/>
              </w:rPr>
            </w:pPr>
            <w:r w:rsidRPr="000E7F24">
              <w:rPr>
                <w:rFonts w:ascii="標楷體" w:eastAsia="標楷體" w:hAnsi="標楷體" w:cs="新細明體" w:hint="eastAsia"/>
                <w:b/>
                <w:spacing w:val="-20"/>
                <w:szCs w:val="24"/>
              </w:rPr>
              <w:t>1</w:t>
            </w:r>
            <w:r w:rsidR="00347462" w:rsidRPr="000E7F24">
              <w:rPr>
                <w:rFonts w:ascii="標楷體" w:eastAsia="標楷體" w:hAnsi="標楷體" w:cs="新細明體"/>
                <w:b/>
                <w:spacing w:val="-20"/>
                <w:szCs w:val="24"/>
              </w:rPr>
              <w:t>3</w:t>
            </w:r>
            <w:r w:rsidRPr="000E7F24">
              <w:rPr>
                <w:rFonts w:ascii="標楷體" w:eastAsia="標楷體" w:hAnsi="標楷體" w:cs="新細明體" w:hint="eastAsia"/>
                <w:b/>
                <w:spacing w:val="-20"/>
                <w:szCs w:val="24"/>
              </w:rPr>
              <w:t>2</w:t>
            </w:r>
          </w:p>
        </w:tc>
        <w:tc>
          <w:tcPr>
            <w:tcW w:w="2410" w:type="dxa"/>
            <w:tcBorders>
              <w:top w:val="single" w:sz="18" w:space="0" w:color="auto"/>
              <w:left w:val="dashed" w:sz="4" w:space="0" w:color="auto"/>
              <w:bottom w:val="single" w:sz="18" w:space="0" w:color="auto"/>
              <w:right w:val="single" w:sz="18" w:space="0" w:color="auto"/>
            </w:tcBorders>
            <w:shd w:val="clear" w:color="auto" w:fill="auto"/>
            <w:vAlign w:val="center"/>
          </w:tcPr>
          <w:p w:rsidR="009112A3" w:rsidRPr="000E7F24" w:rsidRDefault="000E7F24" w:rsidP="00964865">
            <w:pPr>
              <w:jc w:val="center"/>
              <w:rPr>
                <w:rFonts w:ascii="標楷體" w:eastAsia="標楷體" w:hAnsi="標楷體" w:cs="新細明體"/>
                <w:b/>
                <w:spacing w:val="-20"/>
                <w:szCs w:val="24"/>
              </w:rPr>
            </w:pPr>
            <w:r w:rsidRPr="000E7F24">
              <w:rPr>
                <w:rFonts w:ascii="標楷體" w:eastAsia="標楷體" w:hAnsi="標楷體" w:cs="新細明體" w:hint="eastAsia"/>
                <w:b/>
                <w:spacing w:val="-20"/>
                <w:szCs w:val="24"/>
              </w:rPr>
              <w:t>4</w:t>
            </w:r>
          </w:p>
        </w:tc>
        <w:tc>
          <w:tcPr>
            <w:tcW w:w="2092" w:type="dxa"/>
            <w:tcBorders>
              <w:top w:val="single" w:sz="18" w:space="0" w:color="auto"/>
              <w:left w:val="single" w:sz="18" w:space="0" w:color="auto"/>
              <w:bottom w:val="single" w:sz="18" w:space="0" w:color="auto"/>
              <w:right w:val="single" w:sz="18" w:space="0" w:color="auto"/>
            </w:tcBorders>
            <w:shd w:val="clear" w:color="auto" w:fill="auto"/>
            <w:vAlign w:val="center"/>
          </w:tcPr>
          <w:p w:rsidR="009112A3" w:rsidRPr="000E7F24" w:rsidRDefault="0024707D" w:rsidP="00964865">
            <w:pPr>
              <w:jc w:val="center"/>
              <w:rPr>
                <w:rFonts w:ascii="標楷體" w:eastAsia="標楷體" w:hAnsi="標楷體" w:cs="新細明體"/>
                <w:b/>
                <w:bCs/>
                <w:szCs w:val="24"/>
              </w:rPr>
            </w:pPr>
            <w:r w:rsidRPr="000E7F24">
              <w:rPr>
                <w:rFonts w:ascii="標楷體" w:eastAsia="標楷體" w:hAnsi="標楷體" w:cs="新細明體" w:hint="eastAsia"/>
                <w:b/>
                <w:bCs/>
                <w:szCs w:val="24"/>
              </w:rPr>
              <w:t>13</w:t>
            </w:r>
            <w:r w:rsidR="000E7F24" w:rsidRPr="000E7F24">
              <w:rPr>
                <w:rFonts w:ascii="標楷體" w:eastAsia="標楷體" w:hAnsi="標楷體" w:cs="新細明體" w:hint="eastAsia"/>
                <w:b/>
                <w:bCs/>
                <w:szCs w:val="24"/>
              </w:rPr>
              <w:t>6</w:t>
            </w:r>
          </w:p>
        </w:tc>
      </w:tr>
      <w:tr w:rsidR="009112A3" w:rsidRPr="00920597" w:rsidTr="00964865">
        <w:trPr>
          <w:trHeight w:val="737"/>
        </w:trPr>
        <w:tc>
          <w:tcPr>
            <w:tcW w:w="3202" w:type="dxa"/>
            <w:gridSpan w:val="2"/>
            <w:tcBorders>
              <w:top w:val="single" w:sz="18" w:space="0" w:color="auto"/>
              <w:left w:val="single" w:sz="18" w:space="0" w:color="auto"/>
              <w:bottom w:val="thinThickThinSmallGap" w:sz="24" w:space="0" w:color="auto"/>
              <w:right w:val="single" w:sz="18" w:space="0" w:color="auto"/>
            </w:tcBorders>
            <w:shd w:val="clear" w:color="auto" w:fill="auto"/>
            <w:vAlign w:val="center"/>
          </w:tcPr>
          <w:p w:rsidR="009112A3" w:rsidRPr="00920597" w:rsidRDefault="009112A3" w:rsidP="00964865">
            <w:pPr>
              <w:spacing w:line="360" w:lineRule="exact"/>
              <w:ind w:leftChars="3" w:left="240" w:hangingChars="97" w:hanging="233"/>
              <w:jc w:val="both"/>
              <w:rPr>
                <w:rFonts w:ascii="標楷體" w:eastAsia="標楷體" w:hAnsi="標楷體"/>
                <w:bCs/>
                <w:color w:val="000000" w:themeColor="text1"/>
                <w:spacing w:val="-20"/>
                <w:sz w:val="28"/>
                <w:szCs w:val="28"/>
              </w:rPr>
            </w:pPr>
            <w:r w:rsidRPr="00920597">
              <w:rPr>
                <w:rFonts w:ascii="標楷體" w:eastAsia="標楷體" w:hAnsi="標楷體" w:hint="eastAsia"/>
                <w:bCs/>
                <w:color w:val="000000" w:themeColor="text1"/>
                <w:spacing w:val="-20"/>
                <w:sz w:val="28"/>
                <w:szCs w:val="28"/>
              </w:rPr>
              <w:t xml:space="preserve">      ［八］人民請願案</w:t>
            </w:r>
          </w:p>
        </w:tc>
        <w:tc>
          <w:tcPr>
            <w:tcW w:w="2479" w:type="dxa"/>
            <w:tcBorders>
              <w:top w:val="single" w:sz="18" w:space="0" w:color="auto"/>
              <w:left w:val="single" w:sz="18" w:space="0" w:color="auto"/>
              <w:bottom w:val="thinThickThinSmallGap" w:sz="24" w:space="0" w:color="auto"/>
              <w:right w:val="dashed" w:sz="4" w:space="0" w:color="auto"/>
            </w:tcBorders>
            <w:shd w:val="clear" w:color="auto" w:fill="auto"/>
            <w:vAlign w:val="center"/>
          </w:tcPr>
          <w:p w:rsidR="009112A3" w:rsidRPr="000E7F24" w:rsidRDefault="000E7F24" w:rsidP="00964865">
            <w:pPr>
              <w:jc w:val="center"/>
              <w:rPr>
                <w:rFonts w:ascii="標楷體" w:eastAsia="標楷體" w:hAnsi="標楷體" w:cs="新細明體"/>
                <w:spacing w:val="-20"/>
                <w:szCs w:val="24"/>
              </w:rPr>
            </w:pPr>
            <w:r w:rsidRPr="000E7F24">
              <w:rPr>
                <w:rFonts w:ascii="標楷體" w:eastAsia="標楷體" w:hAnsi="標楷體" w:cs="新細明體" w:hint="eastAsia"/>
                <w:spacing w:val="-20"/>
                <w:szCs w:val="24"/>
              </w:rPr>
              <w:t>1</w:t>
            </w:r>
          </w:p>
        </w:tc>
        <w:tc>
          <w:tcPr>
            <w:tcW w:w="2410" w:type="dxa"/>
            <w:tcBorders>
              <w:top w:val="single" w:sz="18" w:space="0" w:color="auto"/>
              <w:left w:val="dashed" w:sz="4" w:space="0" w:color="auto"/>
              <w:bottom w:val="thinThickThinSmallGap" w:sz="24" w:space="0" w:color="auto"/>
              <w:right w:val="single" w:sz="18" w:space="0" w:color="auto"/>
            </w:tcBorders>
            <w:shd w:val="clear" w:color="auto" w:fill="auto"/>
            <w:vAlign w:val="center"/>
          </w:tcPr>
          <w:p w:rsidR="009112A3" w:rsidRPr="000E7F24" w:rsidRDefault="009112A3" w:rsidP="00964865">
            <w:pPr>
              <w:jc w:val="center"/>
              <w:rPr>
                <w:rFonts w:ascii="標楷體" w:eastAsia="標楷體" w:hAnsi="標楷體" w:cs="新細明體"/>
                <w:spacing w:val="-20"/>
                <w:szCs w:val="24"/>
              </w:rPr>
            </w:pPr>
          </w:p>
        </w:tc>
        <w:tc>
          <w:tcPr>
            <w:tcW w:w="2092" w:type="dxa"/>
            <w:tcBorders>
              <w:top w:val="single" w:sz="18" w:space="0" w:color="auto"/>
              <w:left w:val="single" w:sz="18" w:space="0" w:color="auto"/>
              <w:bottom w:val="thinThickThinSmallGap" w:sz="24" w:space="0" w:color="auto"/>
              <w:right w:val="single" w:sz="18" w:space="0" w:color="auto"/>
            </w:tcBorders>
            <w:shd w:val="clear" w:color="auto" w:fill="auto"/>
            <w:vAlign w:val="center"/>
          </w:tcPr>
          <w:p w:rsidR="009112A3" w:rsidRPr="000E7F24" w:rsidRDefault="0024707D" w:rsidP="00964865">
            <w:pPr>
              <w:jc w:val="center"/>
              <w:rPr>
                <w:rFonts w:ascii="標楷體" w:eastAsia="標楷體" w:hAnsi="標楷體" w:cs="新細明體"/>
                <w:b/>
                <w:bCs/>
                <w:szCs w:val="24"/>
              </w:rPr>
            </w:pPr>
            <w:r w:rsidRPr="000E7F24">
              <w:rPr>
                <w:rFonts w:ascii="標楷體" w:eastAsia="標楷體" w:hAnsi="標楷體" w:cs="新細明體" w:hint="eastAsia"/>
                <w:b/>
                <w:bCs/>
                <w:szCs w:val="24"/>
              </w:rPr>
              <w:t>1</w:t>
            </w:r>
          </w:p>
        </w:tc>
      </w:tr>
      <w:tr w:rsidR="009112A3" w:rsidRPr="00920597" w:rsidTr="00964865">
        <w:trPr>
          <w:trHeight w:val="964"/>
        </w:trPr>
        <w:tc>
          <w:tcPr>
            <w:tcW w:w="3202" w:type="dxa"/>
            <w:gridSpan w:val="2"/>
            <w:tcBorders>
              <w:top w:val="thinThickThinSmallGap" w:sz="24" w:space="0" w:color="auto"/>
              <w:left w:val="single" w:sz="18" w:space="0" w:color="auto"/>
              <w:bottom w:val="thinThickThinSmallGap" w:sz="24" w:space="0" w:color="auto"/>
              <w:right w:val="single" w:sz="18" w:space="0" w:color="auto"/>
            </w:tcBorders>
            <w:shd w:val="clear" w:color="auto" w:fill="auto"/>
            <w:vAlign w:val="center"/>
          </w:tcPr>
          <w:p w:rsidR="009112A3" w:rsidRPr="00920597" w:rsidRDefault="009112A3" w:rsidP="00964865">
            <w:pPr>
              <w:spacing w:line="300" w:lineRule="exact"/>
              <w:ind w:leftChars="-55" w:left="243" w:hangingChars="156" w:hanging="375"/>
              <w:jc w:val="center"/>
              <w:rPr>
                <w:rFonts w:ascii="標楷體" w:eastAsia="標楷體" w:hAnsi="標楷體"/>
                <w:b/>
                <w:color w:val="000000" w:themeColor="text1"/>
                <w:spacing w:val="-20"/>
                <w:sz w:val="28"/>
                <w:szCs w:val="28"/>
              </w:rPr>
            </w:pPr>
            <w:r w:rsidRPr="00920597">
              <w:rPr>
                <w:rFonts w:ascii="標楷體" w:eastAsia="標楷體" w:hAnsi="標楷體" w:hint="eastAsia"/>
                <w:b/>
                <w:color w:val="000000" w:themeColor="text1"/>
                <w:spacing w:val="-20"/>
                <w:sz w:val="28"/>
                <w:szCs w:val="28"/>
              </w:rPr>
              <w:t>［一］至［八］</w:t>
            </w:r>
          </w:p>
          <w:p w:rsidR="009112A3" w:rsidRPr="00920597" w:rsidRDefault="009112A3" w:rsidP="00964865">
            <w:pPr>
              <w:spacing w:line="300" w:lineRule="exact"/>
              <w:ind w:leftChars="-55" w:left="243" w:hangingChars="156" w:hanging="375"/>
              <w:jc w:val="center"/>
              <w:rPr>
                <w:rFonts w:ascii="標楷體" w:eastAsia="標楷體" w:hAnsi="標楷體"/>
                <w:b/>
                <w:color w:val="000000" w:themeColor="text1"/>
                <w:sz w:val="28"/>
                <w:szCs w:val="28"/>
              </w:rPr>
            </w:pPr>
            <w:r w:rsidRPr="00920597">
              <w:rPr>
                <w:rFonts w:ascii="標楷體" w:eastAsia="標楷體" w:hAnsi="標楷體" w:hint="eastAsia"/>
                <w:b/>
                <w:color w:val="000000" w:themeColor="text1"/>
                <w:spacing w:val="-20"/>
                <w:sz w:val="28"/>
                <w:szCs w:val="28"/>
              </w:rPr>
              <w:t>總     計</w:t>
            </w:r>
          </w:p>
        </w:tc>
        <w:tc>
          <w:tcPr>
            <w:tcW w:w="2479" w:type="dxa"/>
            <w:tcBorders>
              <w:top w:val="thinThickThinSmallGap" w:sz="24" w:space="0" w:color="auto"/>
              <w:left w:val="single" w:sz="18" w:space="0" w:color="auto"/>
              <w:bottom w:val="thinThickThinSmallGap" w:sz="24" w:space="0" w:color="auto"/>
              <w:right w:val="dashed" w:sz="4" w:space="0" w:color="auto"/>
            </w:tcBorders>
            <w:shd w:val="clear" w:color="auto" w:fill="auto"/>
            <w:vAlign w:val="center"/>
          </w:tcPr>
          <w:p w:rsidR="009112A3" w:rsidRPr="000E7F24" w:rsidRDefault="00347462" w:rsidP="00964865">
            <w:pPr>
              <w:jc w:val="center"/>
              <w:rPr>
                <w:rFonts w:ascii="標楷體" w:eastAsia="標楷體" w:hAnsi="標楷體" w:cs="新細明體"/>
                <w:b/>
                <w:spacing w:val="-20"/>
                <w:szCs w:val="24"/>
              </w:rPr>
            </w:pPr>
            <w:r w:rsidRPr="000E7F24">
              <w:rPr>
                <w:rFonts w:ascii="標楷體" w:eastAsia="標楷體" w:hAnsi="標楷體" w:cs="新細明體" w:hint="eastAsia"/>
                <w:b/>
                <w:spacing w:val="-20"/>
                <w:szCs w:val="24"/>
              </w:rPr>
              <w:t>1</w:t>
            </w:r>
            <w:r w:rsidR="0024707D" w:rsidRPr="000E7F24">
              <w:rPr>
                <w:rFonts w:ascii="標楷體" w:eastAsia="標楷體" w:hAnsi="標楷體" w:cs="新細明體" w:hint="eastAsia"/>
                <w:b/>
                <w:spacing w:val="-20"/>
                <w:szCs w:val="24"/>
              </w:rPr>
              <w:t>3</w:t>
            </w:r>
            <w:r w:rsidR="000E7F24" w:rsidRPr="000E7F24">
              <w:rPr>
                <w:rFonts w:ascii="標楷體" w:eastAsia="標楷體" w:hAnsi="標楷體" w:cs="新細明體" w:hint="eastAsia"/>
                <w:b/>
                <w:spacing w:val="-20"/>
                <w:szCs w:val="24"/>
              </w:rPr>
              <w:t>3</w:t>
            </w:r>
          </w:p>
        </w:tc>
        <w:tc>
          <w:tcPr>
            <w:tcW w:w="2410" w:type="dxa"/>
            <w:tcBorders>
              <w:top w:val="thinThickThinSmallGap" w:sz="24" w:space="0" w:color="auto"/>
              <w:left w:val="dashed" w:sz="4" w:space="0" w:color="auto"/>
              <w:bottom w:val="thinThickThinSmallGap" w:sz="24" w:space="0" w:color="auto"/>
              <w:right w:val="single" w:sz="18" w:space="0" w:color="auto"/>
            </w:tcBorders>
            <w:shd w:val="clear" w:color="auto" w:fill="auto"/>
            <w:vAlign w:val="center"/>
          </w:tcPr>
          <w:p w:rsidR="009112A3" w:rsidRPr="000E7F24" w:rsidRDefault="000E7F24" w:rsidP="00964865">
            <w:pPr>
              <w:jc w:val="center"/>
              <w:rPr>
                <w:rFonts w:ascii="標楷體" w:eastAsia="標楷體" w:hAnsi="標楷體" w:cs="新細明體"/>
                <w:b/>
                <w:spacing w:val="-20"/>
                <w:szCs w:val="24"/>
              </w:rPr>
            </w:pPr>
            <w:r w:rsidRPr="000E7F24">
              <w:rPr>
                <w:rFonts w:ascii="標楷體" w:eastAsia="標楷體" w:hAnsi="標楷體" w:cs="新細明體" w:hint="eastAsia"/>
                <w:b/>
                <w:spacing w:val="-20"/>
                <w:szCs w:val="24"/>
              </w:rPr>
              <w:t>4</w:t>
            </w:r>
          </w:p>
        </w:tc>
        <w:tc>
          <w:tcPr>
            <w:tcW w:w="2092" w:type="dxa"/>
            <w:tcBorders>
              <w:top w:val="thinThickThinSmallGap" w:sz="24" w:space="0" w:color="auto"/>
              <w:left w:val="single" w:sz="18" w:space="0" w:color="auto"/>
              <w:bottom w:val="thinThickThinSmallGap" w:sz="24" w:space="0" w:color="auto"/>
              <w:right w:val="single" w:sz="18" w:space="0" w:color="auto"/>
            </w:tcBorders>
            <w:shd w:val="clear" w:color="auto" w:fill="auto"/>
            <w:vAlign w:val="center"/>
          </w:tcPr>
          <w:p w:rsidR="009112A3" w:rsidRPr="000E7F24" w:rsidRDefault="0024707D" w:rsidP="00964865">
            <w:pPr>
              <w:jc w:val="center"/>
              <w:rPr>
                <w:rFonts w:ascii="標楷體" w:eastAsia="標楷體" w:hAnsi="標楷體" w:cs="新細明體"/>
                <w:b/>
                <w:bCs/>
                <w:szCs w:val="24"/>
              </w:rPr>
            </w:pPr>
            <w:r w:rsidRPr="000E7F24">
              <w:rPr>
                <w:rFonts w:ascii="標楷體" w:eastAsia="標楷體" w:hAnsi="標楷體" w:cs="新細明體" w:hint="eastAsia"/>
                <w:b/>
                <w:bCs/>
                <w:szCs w:val="24"/>
              </w:rPr>
              <w:t>13</w:t>
            </w:r>
            <w:r w:rsidR="000E7F24" w:rsidRPr="000E7F24">
              <w:rPr>
                <w:rFonts w:ascii="標楷體" w:eastAsia="標楷體" w:hAnsi="標楷體" w:cs="新細明體" w:hint="eastAsia"/>
                <w:b/>
                <w:bCs/>
                <w:szCs w:val="24"/>
              </w:rPr>
              <w:t>7</w:t>
            </w:r>
          </w:p>
        </w:tc>
      </w:tr>
    </w:tbl>
    <w:p w:rsidR="009112A3" w:rsidRPr="00920597" w:rsidRDefault="009112A3" w:rsidP="00CE4377">
      <w:pPr>
        <w:spacing w:line="300" w:lineRule="exact"/>
        <w:rPr>
          <w:rFonts w:ascii="標楷體" w:eastAsia="標楷體" w:hAnsi="標楷體" w:cs="Mangal"/>
          <w:color w:val="000000" w:themeColor="text1"/>
          <w:szCs w:val="24"/>
        </w:rPr>
      </w:pPr>
      <w:r w:rsidRPr="00920597">
        <w:rPr>
          <w:rFonts w:ascii="標楷體" w:eastAsia="標楷體" w:hAnsi="標楷體" w:cs="Mangal" w:hint="eastAsia"/>
          <w:color w:val="000000" w:themeColor="text1"/>
          <w:szCs w:val="24"/>
        </w:rPr>
        <w:t xml:space="preserve">                                                                 </w:t>
      </w:r>
      <w:r w:rsidR="00C55A14" w:rsidRPr="00920597">
        <w:rPr>
          <w:rFonts w:ascii="標楷體" w:eastAsia="標楷體" w:hAnsi="標楷體" w:cs="Mangal" w:hint="eastAsia"/>
          <w:color w:val="000000" w:themeColor="text1"/>
          <w:szCs w:val="24"/>
        </w:rPr>
        <w:t xml:space="preserve">   </w:t>
      </w:r>
      <w:r w:rsidRPr="00920597">
        <w:rPr>
          <w:rFonts w:ascii="標楷體" w:eastAsia="標楷體" w:hAnsi="標楷體" w:cs="Mangal" w:hint="eastAsia"/>
          <w:color w:val="000000" w:themeColor="text1"/>
          <w:szCs w:val="24"/>
        </w:rPr>
        <w:t xml:space="preserve">   </w:t>
      </w:r>
    </w:p>
    <w:p w:rsidR="009112A3" w:rsidRPr="00920597" w:rsidRDefault="009112A3" w:rsidP="00CE4377">
      <w:pPr>
        <w:spacing w:line="300" w:lineRule="exact"/>
        <w:rPr>
          <w:rFonts w:ascii="標楷體" w:eastAsia="標楷體" w:hAnsi="標楷體" w:cs="Mangal"/>
          <w:color w:val="000000" w:themeColor="text1"/>
          <w:szCs w:val="24"/>
        </w:rPr>
      </w:pPr>
      <w:r w:rsidRPr="00920597">
        <w:rPr>
          <w:rFonts w:ascii="標楷體" w:eastAsia="標楷體" w:hAnsi="標楷體" w:cs="Mangal" w:hint="eastAsia"/>
          <w:color w:val="000000" w:themeColor="text1"/>
          <w:szCs w:val="24"/>
        </w:rPr>
        <w:t>註：本表含逕付二讀案件數。</w:t>
      </w:r>
    </w:p>
    <w:p w:rsidR="009112A3" w:rsidRPr="00920597" w:rsidRDefault="009112A3" w:rsidP="00CE4377">
      <w:pPr>
        <w:spacing w:line="300" w:lineRule="exact"/>
        <w:rPr>
          <w:rFonts w:eastAsia="標楷體"/>
          <w:b/>
          <w:color w:val="000000" w:themeColor="text1"/>
          <w:sz w:val="36"/>
          <w:szCs w:val="36"/>
        </w:rPr>
      </w:pPr>
    </w:p>
    <w:p w:rsidR="009112A3" w:rsidRPr="00920597" w:rsidRDefault="009112A3" w:rsidP="00CE4377">
      <w:pPr>
        <w:adjustRightInd w:val="0"/>
        <w:snapToGrid w:val="0"/>
        <w:spacing w:afterLines="50" w:after="180" w:line="300" w:lineRule="exact"/>
        <w:ind w:leftChars="118" w:left="603" w:rightChars="130" w:right="312" w:hangingChars="100" w:hanging="320"/>
        <w:jc w:val="both"/>
        <w:rPr>
          <w:rFonts w:eastAsia="標楷體"/>
          <w:b/>
          <w:color w:val="000000" w:themeColor="text1"/>
          <w:sz w:val="32"/>
          <w:szCs w:val="32"/>
        </w:rPr>
        <w:sectPr w:rsidR="009112A3" w:rsidRPr="00920597" w:rsidSect="00366A45">
          <w:footerReference w:type="even" r:id="rId14"/>
          <w:footerReference w:type="default" r:id="rId15"/>
          <w:pgSz w:w="11907" w:h="16840" w:code="9"/>
          <w:pgMar w:top="1134" w:right="1134" w:bottom="1134" w:left="1134" w:header="851" w:footer="992" w:gutter="0"/>
          <w:cols w:space="425"/>
          <w:docGrid w:type="linesAndChars" w:linePitch="360"/>
        </w:sectPr>
      </w:pPr>
    </w:p>
    <w:p w:rsidR="009112A3" w:rsidRPr="00920597" w:rsidRDefault="00A609C4" w:rsidP="009112A3">
      <w:pPr>
        <w:pStyle w:val="01-21"/>
        <w:rPr>
          <w:color w:val="000000" w:themeColor="text1"/>
        </w:rPr>
      </w:pPr>
      <w:bookmarkStart w:id="61" w:name="_Toc126068116"/>
      <w:r w:rsidRPr="00920597">
        <w:rPr>
          <w:rFonts w:hint="eastAsia"/>
          <w:color w:val="000000" w:themeColor="text1"/>
        </w:rPr>
        <w:lastRenderedPageBreak/>
        <w:t>五、各會期院會通過各項議案統計表</w:t>
      </w:r>
      <w:bookmarkEnd w:id="61"/>
    </w:p>
    <w:p w:rsidR="009112A3" w:rsidRPr="00920597" w:rsidRDefault="009112A3" w:rsidP="00CE4377">
      <w:pPr>
        <w:spacing w:line="460" w:lineRule="exact"/>
        <w:ind w:leftChars="118" w:left="283"/>
        <w:jc w:val="center"/>
        <w:rPr>
          <w:rFonts w:eastAsia="標楷體"/>
          <w:b/>
          <w:color w:val="000000" w:themeColor="text1"/>
          <w:sz w:val="36"/>
          <w:szCs w:val="36"/>
        </w:rPr>
      </w:pPr>
      <w:r w:rsidRPr="00920597">
        <w:rPr>
          <w:rFonts w:eastAsia="標楷體" w:hint="eastAsia"/>
          <w:b/>
          <w:color w:val="000000" w:themeColor="text1"/>
          <w:sz w:val="36"/>
          <w:szCs w:val="36"/>
        </w:rPr>
        <w:t>立法院第</w:t>
      </w:r>
      <w:r w:rsidR="0016418C" w:rsidRPr="00920597">
        <w:rPr>
          <w:rFonts w:eastAsia="標楷體" w:hint="eastAsia"/>
          <w:b/>
          <w:color w:val="000000" w:themeColor="text1"/>
          <w:sz w:val="36"/>
          <w:szCs w:val="36"/>
        </w:rPr>
        <w:t>10</w:t>
      </w:r>
      <w:r w:rsidRPr="00920597">
        <w:rPr>
          <w:rFonts w:eastAsia="標楷體" w:hint="eastAsia"/>
          <w:b/>
          <w:color w:val="000000" w:themeColor="text1"/>
          <w:sz w:val="36"/>
          <w:szCs w:val="36"/>
        </w:rPr>
        <w:t>屆</w:t>
      </w:r>
    </w:p>
    <w:p w:rsidR="009112A3" w:rsidRPr="00920597" w:rsidRDefault="009112A3" w:rsidP="00CE4377">
      <w:pPr>
        <w:spacing w:line="460" w:lineRule="exact"/>
        <w:ind w:leftChars="118" w:left="283"/>
        <w:jc w:val="center"/>
        <w:rPr>
          <w:rFonts w:eastAsia="標楷體"/>
          <w:b/>
          <w:color w:val="000000" w:themeColor="text1"/>
          <w:sz w:val="36"/>
          <w:szCs w:val="36"/>
        </w:rPr>
      </w:pPr>
      <w:r w:rsidRPr="00920597">
        <w:rPr>
          <w:rFonts w:eastAsia="標楷體" w:hint="eastAsia"/>
          <w:b/>
          <w:color w:val="000000" w:themeColor="text1"/>
          <w:sz w:val="36"/>
          <w:szCs w:val="36"/>
        </w:rPr>
        <w:t>教育及文化委員會</w:t>
      </w:r>
    </w:p>
    <w:p w:rsidR="009112A3" w:rsidRPr="00920597" w:rsidRDefault="009112A3" w:rsidP="00CE4377">
      <w:pPr>
        <w:spacing w:line="460" w:lineRule="exact"/>
        <w:ind w:leftChars="118" w:left="283"/>
        <w:jc w:val="center"/>
        <w:rPr>
          <w:rFonts w:eastAsia="標楷體"/>
          <w:b/>
          <w:color w:val="000000" w:themeColor="text1"/>
          <w:sz w:val="36"/>
          <w:szCs w:val="36"/>
        </w:rPr>
      </w:pPr>
      <w:r w:rsidRPr="00920597">
        <w:rPr>
          <w:rFonts w:eastAsia="標楷體" w:hint="eastAsia"/>
          <w:b/>
          <w:color w:val="000000" w:themeColor="text1"/>
          <w:sz w:val="36"/>
          <w:szCs w:val="36"/>
        </w:rPr>
        <w:t>各會期</w:t>
      </w:r>
      <w:r w:rsidRPr="00920597">
        <w:rPr>
          <w:rFonts w:eastAsia="標楷體"/>
          <w:b/>
          <w:color w:val="000000" w:themeColor="text1"/>
          <w:sz w:val="36"/>
          <w:szCs w:val="36"/>
        </w:rPr>
        <w:t>案</w:t>
      </w:r>
      <w:r w:rsidRPr="00920597">
        <w:rPr>
          <w:rFonts w:eastAsia="標楷體" w:hint="eastAsia"/>
          <w:b/>
          <w:color w:val="000000" w:themeColor="text1"/>
          <w:sz w:val="36"/>
          <w:szCs w:val="36"/>
        </w:rPr>
        <w:t>件統</w:t>
      </w:r>
      <w:r w:rsidRPr="00920597">
        <w:rPr>
          <w:rFonts w:eastAsia="標楷體"/>
          <w:b/>
          <w:color w:val="000000" w:themeColor="text1"/>
          <w:sz w:val="36"/>
          <w:szCs w:val="36"/>
        </w:rPr>
        <w:t>計表</w:t>
      </w:r>
    </w:p>
    <w:p w:rsidR="009112A3" w:rsidRPr="00920597" w:rsidRDefault="009B5D68" w:rsidP="00CE4377">
      <w:pPr>
        <w:spacing w:line="460" w:lineRule="exact"/>
        <w:ind w:leftChars="118" w:left="283"/>
        <w:jc w:val="center"/>
        <w:rPr>
          <w:rFonts w:eastAsia="標楷體"/>
          <w:color w:val="000000" w:themeColor="text1"/>
          <w:sz w:val="28"/>
          <w:szCs w:val="28"/>
        </w:rPr>
      </w:pPr>
      <w:r w:rsidRPr="00920597">
        <w:rPr>
          <w:rFonts w:eastAsia="標楷體" w:hint="eastAsia"/>
          <w:b/>
          <w:noProof/>
          <w:color w:val="000000" w:themeColor="text1"/>
          <w:sz w:val="36"/>
          <w:szCs w:val="36"/>
        </w:rPr>
        <mc:AlternateContent>
          <mc:Choice Requires="wps">
            <w:drawing>
              <wp:anchor distT="0" distB="0" distL="114300" distR="114300" simplePos="0" relativeHeight="251658752" behindDoc="0" locked="0" layoutInCell="1" allowOverlap="1">
                <wp:simplePos x="0" y="0"/>
                <wp:positionH relativeFrom="column">
                  <wp:posOffset>5570855</wp:posOffset>
                </wp:positionH>
                <wp:positionV relativeFrom="paragraph">
                  <wp:posOffset>172085</wp:posOffset>
                </wp:positionV>
                <wp:extent cx="838200" cy="304800"/>
                <wp:effectExtent l="4445" t="0" r="0" b="1270"/>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E31E0" w:rsidRDefault="00CE31E0">
                            <w:r w:rsidRPr="001D4126">
                              <w:rPr>
                                <w:rFonts w:ascii="標楷體" w:eastAsia="標楷體" w:hAnsi="標楷體" w:cs="Mangal" w:hint="eastAsia"/>
                                <w:szCs w:val="24"/>
                              </w:rPr>
                              <w:t>單位：件</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28" type="#_x0000_t202" style="position:absolute;left:0;text-align:left;margin-left:438.65pt;margin-top:13.55pt;width:66pt;height:2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" stroked="f">
                <v:textbox>
                  <w:txbxContent>
                    <w:p w:rsidR="00CE31E0" w:rsidRDefault="00CE31E0">
                      <w:r w:rsidRPr="001D4126">
                        <w:rPr>
                          <w:rFonts w:ascii="標楷體" w:eastAsia="標楷體" w:hAnsi="標楷體" w:cs="Mangal" w:hint="eastAsia"/>
                          <w:szCs w:val="24"/>
                        </w:rPr>
                        <w:t>單位：件</w:t>
                      </w:r>
                    </w:p>
                  </w:txbxContent>
                </v:textbox>
              </v:shape>
            </w:pict>
          </mc:Fallback>
        </mc:AlternateContent>
      </w:r>
      <w:r w:rsidR="009112A3" w:rsidRPr="00920597">
        <w:rPr>
          <w:rFonts w:eastAsia="標楷體"/>
          <w:color w:val="000000" w:themeColor="text1"/>
          <w:sz w:val="28"/>
          <w:szCs w:val="28"/>
        </w:rPr>
        <w:t>（統計期間：第</w:t>
      </w:r>
      <w:r w:rsidR="009112A3" w:rsidRPr="00920597">
        <w:rPr>
          <w:rFonts w:eastAsia="標楷體"/>
          <w:color w:val="000000" w:themeColor="text1"/>
          <w:sz w:val="28"/>
          <w:szCs w:val="28"/>
        </w:rPr>
        <w:t>10</w:t>
      </w:r>
      <w:r w:rsidR="009112A3" w:rsidRPr="00920597">
        <w:rPr>
          <w:rFonts w:eastAsia="標楷體"/>
          <w:color w:val="000000" w:themeColor="text1"/>
          <w:sz w:val="28"/>
          <w:szCs w:val="28"/>
        </w:rPr>
        <w:t>屆第</w:t>
      </w:r>
      <w:r w:rsidR="009112A3" w:rsidRPr="00920597">
        <w:rPr>
          <w:rFonts w:eastAsia="標楷體"/>
          <w:color w:val="000000" w:themeColor="text1"/>
          <w:sz w:val="28"/>
          <w:szCs w:val="28"/>
        </w:rPr>
        <w:t>1</w:t>
      </w:r>
      <w:r w:rsidR="009112A3" w:rsidRPr="00920597">
        <w:rPr>
          <w:rFonts w:eastAsia="標楷體"/>
          <w:color w:val="000000" w:themeColor="text1"/>
          <w:sz w:val="28"/>
          <w:szCs w:val="28"/>
        </w:rPr>
        <w:t>會期至第</w:t>
      </w:r>
      <w:r w:rsidR="0039073D">
        <w:rPr>
          <w:rFonts w:eastAsia="標楷體" w:hint="eastAsia"/>
          <w:color w:val="000000" w:themeColor="text1"/>
          <w:sz w:val="28"/>
          <w:szCs w:val="28"/>
        </w:rPr>
        <w:t>6</w:t>
      </w:r>
      <w:r w:rsidR="009112A3" w:rsidRPr="00920597">
        <w:rPr>
          <w:rFonts w:eastAsia="標楷體"/>
          <w:color w:val="000000" w:themeColor="text1"/>
          <w:sz w:val="28"/>
          <w:szCs w:val="28"/>
        </w:rPr>
        <w:t>會期）</w:t>
      </w:r>
    </w:p>
    <w:tbl>
      <w:tblPr>
        <w:tblpPr w:leftFromText="180" w:rightFromText="180" w:vertAnchor="text" w:horzAnchor="margin" w:tblpXSpec="center" w:tblpY="352"/>
        <w:tblW w:w="10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6"/>
        <w:gridCol w:w="2151"/>
        <w:gridCol w:w="666"/>
        <w:gridCol w:w="552"/>
        <w:gridCol w:w="552"/>
        <w:gridCol w:w="552"/>
        <w:gridCol w:w="552"/>
        <w:gridCol w:w="552"/>
        <w:gridCol w:w="552"/>
        <w:gridCol w:w="552"/>
        <w:gridCol w:w="689"/>
        <w:gridCol w:w="721"/>
        <w:gridCol w:w="854"/>
        <w:gridCol w:w="730"/>
      </w:tblGrid>
      <w:tr w:rsidR="000121AE" w:rsidRPr="00920597" w:rsidTr="00964865">
        <w:trPr>
          <w:trHeight w:val="670"/>
        </w:trPr>
        <w:tc>
          <w:tcPr>
            <w:tcW w:w="2737" w:type="dxa"/>
            <w:gridSpan w:val="2"/>
            <w:vMerge w:val="restart"/>
            <w:tcBorders>
              <w:top w:val="single" w:sz="18" w:space="0" w:color="auto"/>
              <w:left w:val="single" w:sz="18" w:space="0" w:color="auto"/>
              <w:right w:val="single" w:sz="18" w:space="0" w:color="auto"/>
            </w:tcBorders>
            <w:shd w:val="clear" w:color="auto" w:fill="auto"/>
            <w:vAlign w:val="center"/>
          </w:tcPr>
          <w:p w:rsidR="009112A3" w:rsidRPr="00920597" w:rsidRDefault="009112A3" w:rsidP="009112A3">
            <w:pPr>
              <w:spacing w:line="360" w:lineRule="exact"/>
              <w:jc w:val="center"/>
              <w:rPr>
                <w:rFonts w:ascii="標楷體" w:eastAsia="標楷體" w:hAnsi="標楷體"/>
                <w:b/>
                <w:color w:val="000000" w:themeColor="text1"/>
                <w:sz w:val="28"/>
                <w:szCs w:val="28"/>
              </w:rPr>
            </w:pPr>
            <w:r w:rsidRPr="00920597">
              <w:rPr>
                <w:rFonts w:ascii="標楷體" w:eastAsia="標楷體" w:hAnsi="標楷體" w:hint="eastAsia"/>
                <w:b/>
                <w:color w:val="000000" w:themeColor="text1"/>
                <w:sz w:val="28"/>
                <w:szCs w:val="28"/>
              </w:rPr>
              <w:t>類     別</w:t>
            </w:r>
          </w:p>
        </w:tc>
        <w:tc>
          <w:tcPr>
            <w:tcW w:w="5940" w:type="dxa"/>
            <w:gridSpan w:val="10"/>
            <w:tcBorders>
              <w:top w:val="single" w:sz="18" w:space="0" w:color="auto"/>
              <w:left w:val="single" w:sz="18" w:space="0" w:color="auto"/>
              <w:right w:val="single" w:sz="18" w:space="0" w:color="auto"/>
            </w:tcBorders>
            <w:shd w:val="clear" w:color="auto" w:fill="auto"/>
            <w:vAlign w:val="center"/>
          </w:tcPr>
          <w:p w:rsidR="009112A3" w:rsidRPr="00920597" w:rsidRDefault="009112A3" w:rsidP="009112A3">
            <w:pPr>
              <w:spacing w:line="340" w:lineRule="exact"/>
              <w:ind w:leftChars="-3" w:left="-1" w:hangingChars="2" w:hanging="6"/>
              <w:jc w:val="center"/>
              <w:rPr>
                <w:rFonts w:eastAsia="標楷體"/>
                <w:b/>
                <w:bCs/>
                <w:color w:val="000000" w:themeColor="text1"/>
                <w:sz w:val="28"/>
                <w:szCs w:val="28"/>
              </w:rPr>
            </w:pPr>
            <w:r w:rsidRPr="00920597">
              <w:rPr>
                <w:rFonts w:eastAsia="標楷體"/>
                <w:b/>
                <w:bCs/>
                <w:color w:val="000000" w:themeColor="text1"/>
                <w:sz w:val="28"/>
                <w:szCs w:val="28"/>
              </w:rPr>
              <w:t>第</w:t>
            </w:r>
            <w:r w:rsidRPr="00920597">
              <w:rPr>
                <w:rFonts w:eastAsia="標楷體"/>
                <w:b/>
                <w:bCs/>
                <w:color w:val="000000" w:themeColor="text1"/>
                <w:sz w:val="28"/>
                <w:szCs w:val="28"/>
              </w:rPr>
              <w:t>10</w:t>
            </w:r>
            <w:r w:rsidRPr="00920597">
              <w:rPr>
                <w:rFonts w:eastAsia="標楷體"/>
                <w:b/>
                <w:bCs/>
                <w:color w:val="000000" w:themeColor="text1"/>
                <w:sz w:val="28"/>
                <w:szCs w:val="28"/>
              </w:rPr>
              <w:t>屆</w:t>
            </w:r>
            <w:r w:rsidRPr="00920597">
              <w:rPr>
                <w:rFonts w:eastAsia="標楷體" w:hint="eastAsia"/>
                <w:b/>
                <w:bCs/>
                <w:color w:val="000000" w:themeColor="text1"/>
                <w:sz w:val="28"/>
                <w:szCs w:val="28"/>
              </w:rPr>
              <w:t xml:space="preserve"> </w:t>
            </w:r>
            <w:r w:rsidRPr="00920597">
              <w:rPr>
                <w:rFonts w:eastAsia="標楷體" w:hint="eastAsia"/>
                <w:b/>
                <w:bCs/>
                <w:color w:val="000000" w:themeColor="text1"/>
                <w:sz w:val="28"/>
                <w:szCs w:val="28"/>
              </w:rPr>
              <w:t>本會審竣提報院會之</w:t>
            </w:r>
            <w:r w:rsidRPr="00920597">
              <w:rPr>
                <w:rFonts w:eastAsia="標楷體"/>
                <w:b/>
                <w:bCs/>
                <w:color w:val="000000" w:themeColor="text1"/>
                <w:sz w:val="28"/>
                <w:szCs w:val="28"/>
                <w:bdr w:val="single" w:sz="4" w:space="0" w:color="auto"/>
              </w:rPr>
              <w:t>已結案件</w:t>
            </w:r>
            <w:r w:rsidRPr="00920597">
              <w:rPr>
                <w:rFonts w:eastAsia="標楷體" w:hint="eastAsia"/>
                <w:b/>
                <w:bCs/>
                <w:color w:val="000000" w:themeColor="text1"/>
                <w:sz w:val="28"/>
                <w:szCs w:val="28"/>
              </w:rPr>
              <w:t xml:space="preserve">　</w:t>
            </w:r>
          </w:p>
        </w:tc>
        <w:tc>
          <w:tcPr>
            <w:tcW w:w="854" w:type="dxa"/>
            <w:vMerge w:val="restart"/>
            <w:tcBorders>
              <w:top w:val="single" w:sz="18" w:space="0" w:color="auto"/>
              <w:left w:val="single" w:sz="18" w:space="0" w:color="auto"/>
              <w:right w:val="single" w:sz="18" w:space="0" w:color="auto"/>
            </w:tcBorders>
            <w:shd w:val="clear" w:color="auto" w:fill="auto"/>
          </w:tcPr>
          <w:p w:rsidR="009112A3" w:rsidRPr="00920597" w:rsidRDefault="009B5D68" w:rsidP="009112A3">
            <w:pPr>
              <w:spacing w:line="360" w:lineRule="exact"/>
              <w:ind w:leftChars="-74" w:left="52" w:rightChars="-75" w:right="-180" w:hangingChars="96" w:hanging="230"/>
              <w:jc w:val="center"/>
              <w:rPr>
                <w:rFonts w:ascii="標楷體" w:eastAsia="標楷體" w:hAnsi="標楷體"/>
                <w:b/>
                <w:color w:val="000000" w:themeColor="text1"/>
                <w:spacing w:val="-8"/>
                <w:sz w:val="28"/>
                <w:szCs w:val="28"/>
              </w:rPr>
            </w:pPr>
            <w:r w:rsidRPr="00920597">
              <w:rPr>
                <w:noProof/>
                <w:color w:val="000000" w:themeColor="text1"/>
              </w:rPr>
              <mc:AlternateContent>
                <mc:Choice Requires="wps">
                  <w:drawing>
                    <wp:anchor distT="45720" distB="45720" distL="0" distR="0" simplePos="0" relativeHeight="251656704" behindDoc="0" locked="0" layoutInCell="1" allowOverlap="1">
                      <wp:simplePos x="0" y="0"/>
                      <wp:positionH relativeFrom="column">
                        <wp:posOffset>-13970</wp:posOffset>
                      </wp:positionH>
                      <wp:positionV relativeFrom="paragraph">
                        <wp:posOffset>43815</wp:posOffset>
                      </wp:positionV>
                      <wp:extent cx="410210" cy="381635"/>
                      <wp:effectExtent l="0" t="0" r="8890" b="0"/>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381635"/>
                              </a:xfrm>
                              <a:prstGeom prst="rect">
                                <a:avLst/>
                              </a:prstGeom>
                              <a:noFill/>
                              <a:ln w="9525">
                                <a:solidFill>
                                  <a:srgbClr val="000000"/>
                                </a:solidFill>
                                <a:miter lim="800000"/>
                                <a:headEnd/>
                                <a:tailEnd/>
                              </a:ln>
                            </wps:spPr>
                            <wps:txbx>
                              <w:txbxContent>
                                <w:p w:rsidR="00CE31E0" w:rsidRPr="006938BB" w:rsidRDefault="00CE31E0" w:rsidP="009112A3">
                                  <w:pPr>
                                    <w:adjustRightInd w:val="0"/>
                                    <w:snapToGrid w:val="0"/>
                                    <w:spacing w:line="240" w:lineRule="exact"/>
                                    <w:ind w:leftChars="-25" w:left="-60" w:rightChars="-25" w:right="-60"/>
                                    <w:jc w:val="distribute"/>
                                    <w:rPr>
                                      <w:rFonts w:ascii="標楷體" w:eastAsia="標楷體" w:hAnsi="標楷體"/>
                                      <w:b/>
                                      <w:spacing w:val="-20"/>
                                      <w:sz w:val="20"/>
                                    </w:rPr>
                                  </w:pPr>
                                  <w:r w:rsidRPr="006938BB">
                                    <w:rPr>
                                      <w:rFonts w:ascii="標楷體" w:eastAsia="標楷體" w:hAnsi="標楷體" w:hint="eastAsia"/>
                                      <w:b/>
                                      <w:spacing w:val="-20"/>
                                      <w:sz w:val="20"/>
                                    </w:rPr>
                                    <w:t>未結</w:t>
                                  </w:r>
                                </w:p>
                                <w:p w:rsidR="00CE31E0" w:rsidRPr="006938BB" w:rsidRDefault="00CE31E0" w:rsidP="009112A3">
                                  <w:pPr>
                                    <w:adjustRightInd w:val="0"/>
                                    <w:snapToGrid w:val="0"/>
                                    <w:spacing w:line="240" w:lineRule="exact"/>
                                    <w:ind w:leftChars="-25" w:left="-60" w:rightChars="-25" w:right="-60"/>
                                    <w:jc w:val="distribute"/>
                                    <w:rPr>
                                      <w:rFonts w:ascii="標楷體" w:eastAsia="標楷體" w:hAnsi="標楷體"/>
                                      <w:b/>
                                      <w:spacing w:val="-20"/>
                                      <w:sz w:val="20"/>
                                    </w:rPr>
                                  </w:pPr>
                                  <w:r w:rsidRPr="006938BB">
                                    <w:rPr>
                                      <w:rFonts w:ascii="標楷體" w:eastAsia="標楷體" w:hAnsi="標楷體" w:hint="eastAsia"/>
                                      <w:b/>
                                      <w:spacing w:val="-20"/>
                                      <w:sz w:val="20"/>
                                    </w:rPr>
                                    <w:t>案件</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文字方塊 2" o:spid="_x0000_s1029" type="#_x0000_t202" style="position:absolute;left:0;text-align:left;margin-left:-1.1pt;margin-top:3.45pt;width:32.3pt;height:30.05pt;z-index:251656704;visibility:visible;mso-wrap-style:square;mso-width-percent:0;mso-height-percent:0;mso-wrap-distance-left:0;mso-wrap-distance-top:3.6pt;mso-wrap-distance-right:0;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" filled="f">
                      <v:textbox>
                        <w:txbxContent>
                          <w:p w:rsidR="00CE31E0" w:rsidRPr="006938BB" w:rsidRDefault="00CE31E0" w:rsidP="009112A3">
                            <w:pPr>
                              <w:adjustRightInd w:val="0"/>
                              <w:snapToGrid w:val="0"/>
                              <w:spacing w:line="240" w:lineRule="exact"/>
                              <w:ind w:leftChars="-25" w:left="-60" w:rightChars="-25" w:right="-60"/>
                              <w:jc w:val="distribute"/>
                              <w:rPr>
                                <w:rFonts w:ascii="標楷體" w:eastAsia="標楷體" w:hAnsi="標楷體"/>
                                <w:b/>
                                <w:spacing w:val="-20"/>
                                <w:sz w:val="20"/>
                              </w:rPr>
                            </w:pPr>
                            <w:r w:rsidRPr="006938BB">
                              <w:rPr>
                                <w:rFonts w:ascii="標楷體" w:eastAsia="標楷體" w:hAnsi="標楷體" w:hint="eastAsia"/>
                                <w:b/>
                                <w:spacing w:val="-20"/>
                                <w:sz w:val="20"/>
                              </w:rPr>
                              <w:t>未結</w:t>
                            </w:r>
                          </w:p>
                          <w:p w:rsidR="00CE31E0" w:rsidRPr="006938BB" w:rsidRDefault="00CE31E0" w:rsidP="009112A3">
                            <w:pPr>
                              <w:adjustRightInd w:val="0"/>
                              <w:snapToGrid w:val="0"/>
                              <w:spacing w:line="240" w:lineRule="exact"/>
                              <w:ind w:leftChars="-25" w:left="-60" w:rightChars="-25" w:right="-60"/>
                              <w:jc w:val="distribute"/>
                              <w:rPr>
                                <w:rFonts w:ascii="標楷體" w:eastAsia="標楷體" w:hAnsi="標楷體"/>
                                <w:b/>
                                <w:spacing w:val="-20"/>
                                <w:sz w:val="20"/>
                              </w:rPr>
                            </w:pPr>
                            <w:r w:rsidRPr="006938BB">
                              <w:rPr>
                                <w:rFonts w:ascii="標楷體" w:eastAsia="標楷體" w:hAnsi="標楷體" w:hint="eastAsia"/>
                                <w:b/>
                                <w:spacing w:val="-20"/>
                                <w:sz w:val="20"/>
                              </w:rPr>
                              <w:t>案件</w:t>
                            </w:r>
                          </w:p>
                        </w:txbxContent>
                      </v:textbox>
                      <w10:wrap type="square"/>
                    </v:shape>
                  </w:pict>
                </mc:Fallback>
              </mc:AlternateContent>
            </w:r>
            <w:r w:rsidR="009112A3" w:rsidRPr="00920597">
              <w:rPr>
                <w:rFonts w:ascii="標楷體" w:eastAsia="標楷體" w:hAnsi="標楷體"/>
                <w:b/>
                <w:color w:val="000000" w:themeColor="text1"/>
                <w:spacing w:val="-8"/>
                <w:sz w:val="28"/>
                <w:szCs w:val="28"/>
              </w:rPr>
              <w:t>本</w:t>
            </w:r>
          </w:p>
          <w:p w:rsidR="009112A3" w:rsidRPr="00920597"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920597">
              <w:rPr>
                <w:rFonts w:ascii="標楷體" w:eastAsia="標楷體" w:hAnsi="標楷體"/>
                <w:b/>
                <w:color w:val="000000" w:themeColor="text1"/>
                <w:spacing w:val="-8"/>
                <w:sz w:val="28"/>
                <w:szCs w:val="28"/>
              </w:rPr>
              <w:t>會</w:t>
            </w:r>
          </w:p>
          <w:p w:rsidR="009112A3" w:rsidRPr="00920597"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920597">
              <w:rPr>
                <w:rFonts w:ascii="標楷體" w:eastAsia="標楷體" w:hAnsi="標楷體"/>
                <w:b/>
                <w:color w:val="000000" w:themeColor="text1"/>
                <w:spacing w:val="-8"/>
                <w:sz w:val="28"/>
                <w:szCs w:val="28"/>
              </w:rPr>
              <w:t>待</w:t>
            </w:r>
          </w:p>
          <w:p w:rsidR="009112A3" w:rsidRPr="00920597"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920597">
              <w:rPr>
                <w:rFonts w:ascii="標楷體" w:eastAsia="標楷體" w:hAnsi="標楷體"/>
                <w:b/>
                <w:color w:val="000000" w:themeColor="text1"/>
                <w:spacing w:val="-8"/>
                <w:sz w:val="28"/>
                <w:szCs w:val="28"/>
              </w:rPr>
              <w:t>審</w:t>
            </w:r>
          </w:p>
          <w:p w:rsidR="009112A3" w:rsidRPr="00920597"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920597">
              <w:rPr>
                <w:rFonts w:ascii="標楷體" w:eastAsia="標楷體" w:hAnsi="標楷體" w:hint="eastAsia"/>
                <w:b/>
                <w:color w:val="000000" w:themeColor="text1"/>
                <w:spacing w:val="-8"/>
                <w:sz w:val="28"/>
                <w:szCs w:val="28"/>
              </w:rPr>
              <w:t>查</w:t>
            </w:r>
          </w:p>
          <w:p w:rsidR="009112A3" w:rsidRPr="00920597"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920597">
              <w:rPr>
                <w:rFonts w:ascii="標楷體" w:eastAsia="標楷體" w:hAnsi="標楷體" w:hint="eastAsia"/>
                <w:b/>
                <w:color w:val="000000" w:themeColor="text1"/>
                <w:spacing w:val="-8"/>
                <w:sz w:val="28"/>
                <w:szCs w:val="28"/>
              </w:rPr>
              <w:t>案</w:t>
            </w:r>
          </w:p>
          <w:p w:rsidR="009112A3" w:rsidRPr="00920597"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920597">
              <w:rPr>
                <w:rFonts w:ascii="標楷體" w:eastAsia="標楷體" w:hAnsi="標楷體" w:hint="eastAsia"/>
                <w:b/>
                <w:color w:val="000000" w:themeColor="text1"/>
                <w:spacing w:val="-8"/>
                <w:sz w:val="28"/>
                <w:szCs w:val="28"/>
              </w:rPr>
              <w:t>件</w:t>
            </w:r>
          </w:p>
          <w:p w:rsidR="009112A3" w:rsidRPr="00920597" w:rsidRDefault="009112A3" w:rsidP="009112A3">
            <w:pPr>
              <w:spacing w:line="320" w:lineRule="exact"/>
              <w:ind w:leftChars="-74" w:left="168" w:rightChars="-75" w:right="-180" w:hangingChars="96" w:hanging="346"/>
              <w:jc w:val="center"/>
              <w:rPr>
                <w:rFonts w:ascii="標楷體" w:eastAsia="標楷體" w:hAnsi="標楷體"/>
                <w:b/>
                <w:color w:val="000000" w:themeColor="text1"/>
                <w:spacing w:val="-8"/>
                <w:sz w:val="32"/>
                <w:szCs w:val="32"/>
              </w:rPr>
            </w:pPr>
            <w:r w:rsidRPr="00920597">
              <w:rPr>
                <w:rFonts w:ascii="標楷體" w:eastAsia="標楷體" w:hAnsi="標楷體" w:hint="eastAsia"/>
                <w:b/>
                <w:color w:val="000000" w:themeColor="text1"/>
                <w:spacing w:val="-8"/>
                <w:sz w:val="36"/>
                <w:szCs w:val="36"/>
              </w:rPr>
              <w:sym w:font="Wingdings" w:char="F082"/>
            </w:r>
          </w:p>
        </w:tc>
        <w:tc>
          <w:tcPr>
            <w:tcW w:w="730" w:type="dxa"/>
            <w:vMerge w:val="restart"/>
            <w:tcBorders>
              <w:top w:val="single" w:sz="18" w:space="0" w:color="auto"/>
              <w:left w:val="single" w:sz="4" w:space="0" w:color="auto"/>
              <w:right w:val="single" w:sz="18" w:space="0" w:color="auto"/>
            </w:tcBorders>
            <w:shd w:val="clear" w:color="auto" w:fill="auto"/>
          </w:tcPr>
          <w:p w:rsidR="009112A3" w:rsidRPr="00920597" w:rsidRDefault="009112A3" w:rsidP="009112A3">
            <w:pPr>
              <w:spacing w:beforeLines="50" w:before="180" w:line="420" w:lineRule="exact"/>
              <w:jc w:val="distribute"/>
              <w:rPr>
                <w:rFonts w:ascii="標楷體" w:eastAsia="標楷體" w:hAnsi="標楷體"/>
                <w:b/>
                <w:color w:val="000000" w:themeColor="text1"/>
                <w:sz w:val="28"/>
                <w:szCs w:val="28"/>
              </w:rPr>
            </w:pPr>
            <w:r w:rsidRPr="00920597">
              <w:rPr>
                <w:rFonts w:ascii="標楷體" w:eastAsia="標楷體" w:hAnsi="標楷體"/>
                <w:b/>
                <w:color w:val="000000" w:themeColor="text1"/>
                <w:sz w:val="28"/>
                <w:szCs w:val="28"/>
              </w:rPr>
              <w:t>累</w:t>
            </w:r>
          </w:p>
          <w:p w:rsidR="009112A3" w:rsidRPr="00920597" w:rsidRDefault="009112A3" w:rsidP="009112A3">
            <w:pPr>
              <w:spacing w:line="420" w:lineRule="exact"/>
              <w:jc w:val="distribute"/>
              <w:rPr>
                <w:rFonts w:ascii="標楷體" w:eastAsia="標楷體" w:hAnsi="標楷體"/>
                <w:b/>
                <w:color w:val="000000" w:themeColor="text1"/>
                <w:sz w:val="28"/>
                <w:szCs w:val="28"/>
              </w:rPr>
            </w:pPr>
            <w:r w:rsidRPr="00920597">
              <w:rPr>
                <w:rFonts w:ascii="標楷體" w:eastAsia="標楷體" w:hAnsi="標楷體"/>
                <w:b/>
                <w:color w:val="000000" w:themeColor="text1"/>
                <w:sz w:val="28"/>
                <w:szCs w:val="28"/>
              </w:rPr>
              <w:t>計</w:t>
            </w:r>
          </w:p>
          <w:p w:rsidR="009112A3" w:rsidRPr="00920597" w:rsidRDefault="009112A3" w:rsidP="009112A3">
            <w:pPr>
              <w:spacing w:line="420" w:lineRule="exact"/>
              <w:jc w:val="distribute"/>
              <w:rPr>
                <w:rFonts w:ascii="標楷體" w:eastAsia="標楷體" w:hAnsi="標楷體"/>
                <w:b/>
                <w:color w:val="000000" w:themeColor="text1"/>
                <w:sz w:val="28"/>
                <w:szCs w:val="28"/>
              </w:rPr>
            </w:pPr>
            <w:r w:rsidRPr="00920597">
              <w:rPr>
                <w:rFonts w:ascii="標楷體" w:eastAsia="標楷體" w:hAnsi="標楷體"/>
                <w:b/>
                <w:color w:val="000000" w:themeColor="text1"/>
                <w:sz w:val="28"/>
                <w:szCs w:val="28"/>
              </w:rPr>
              <w:t>案</w:t>
            </w:r>
          </w:p>
          <w:p w:rsidR="009112A3" w:rsidRPr="00920597" w:rsidRDefault="009112A3" w:rsidP="009112A3">
            <w:pPr>
              <w:spacing w:line="420" w:lineRule="exact"/>
              <w:jc w:val="distribute"/>
              <w:rPr>
                <w:rFonts w:ascii="標楷體" w:eastAsia="標楷體" w:hAnsi="標楷體"/>
                <w:b/>
                <w:color w:val="000000" w:themeColor="text1"/>
                <w:sz w:val="28"/>
                <w:szCs w:val="28"/>
              </w:rPr>
            </w:pPr>
            <w:r w:rsidRPr="00920597">
              <w:rPr>
                <w:rFonts w:ascii="標楷體" w:eastAsia="標楷體" w:hAnsi="標楷體" w:hint="eastAsia"/>
                <w:b/>
                <w:color w:val="000000" w:themeColor="text1"/>
                <w:sz w:val="28"/>
                <w:szCs w:val="28"/>
              </w:rPr>
              <w:t>件</w:t>
            </w:r>
          </w:p>
          <w:p w:rsidR="009112A3" w:rsidRPr="00920597" w:rsidRDefault="009112A3" w:rsidP="009112A3">
            <w:pPr>
              <w:spacing w:line="420" w:lineRule="exact"/>
              <w:jc w:val="distribute"/>
              <w:rPr>
                <w:rFonts w:ascii="標楷體" w:eastAsia="標楷體" w:hAnsi="標楷體"/>
                <w:b/>
                <w:color w:val="000000" w:themeColor="text1"/>
                <w:sz w:val="36"/>
                <w:szCs w:val="36"/>
              </w:rPr>
            </w:pPr>
            <w:r w:rsidRPr="00920597">
              <w:rPr>
                <w:rFonts w:ascii="標楷體" w:eastAsia="標楷體" w:hAnsi="標楷體" w:hint="eastAsia"/>
                <w:b/>
                <w:color w:val="000000" w:themeColor="text1"/>
                <w:sz w:val="36"/>
                <w:szCs w:val="36"/>
              </w:rPr>
              <w:sym w:font="Wingdings" w:char="F081"/>
            </w:r>
          </w:p>
          <w:p w:rsidR="009112A3" w:rsidRPr="00920597" w:rsidRDefault="009112A3" w:rsidP="009112A3">
            <w:pPr>
              <w:spacing w:line="420" w:lineRule="exact"/>
              <w:jc w:val="distribute"/>
              <w:rPr>
                <w:rFonts w:ascii="標楷體" w:eastAsia="標楷體" w:hAnsi="標楷體"/>
                <w:b/>
                <w:color w:val="000000" w:themeColor="text1"/>
                <w:sz w:val="28"/>
                <w:szCs w:val="28"/>
              </w:rPr>
            </w:pPr>
            <w:r w:rsidRPr="00920597">
              <w:rPr>
                <w:rFonts w:ascii="標楷體" w:eastAsia="標楷體" w:hAnsi="標楷體" w:hint="eastAsia"/>
                <w:b/>
                <w:color w:val="000000" w:themeColor="text1"/>
                <w:sz w:val="28"/>
                <w:szCs w:val="28"/>
              </w:rPr>
              <w:t>＋</w:t>
            </w:r>
          </w:p>
          <w:p w:rsidR="009112A3" w:rsidRPr="00920597" w:rsidRDefault="009112A3" w:rsidP="009112A3">
            <w:pPr>
              <w:spacing w:line="420" w:lineRule="exact"/>
              <w:jc w:val="distribute"/>
              <w:rPr>
                <w:rFonts w:ascii="標楷體" w:eastAsia="標楷體" w:hAnsi="標楷體"/>
                <w:b/>
                <w:color w:val="000000" w:themeColor="text1"/>
                <w:sz w:val="36"/>
                <w:szCs w:val="36"/>
              </w:rPr>
            </w:pPr>
            <w:r w:rsidRPr="00920597">
              <w:rPr>
                <w:rFonts w:ascii="標楷體" w:eastAsia="標楷體" w:hAnsi="標楷體" w:hint="eastAsia"/>
                <w:b/>
                <w:color w:val="000000" w:themeColor="text1"/>
                <w:sz w:val="36"/>
                <w:szCs w:val="36"/>
              </w:rPr>
              <w:sym w:font="Wingdings" w:char="F082"/>
            </w:r>
          </w:p>
        </w:tc>
      </w:tr>
      <w:tr w:rsidR="000121AE" w:rsidRPr="00920597" w:rsidTr="00964865">
        <w:trPr>
          <w:trHeight w:val="546"/>
        </w:trPr>
        <w:tc>
          <w:tcPr>
            <w:tcW w:w="2737" w:type="dxa"/>
            <w:gridSpan w:val="2"/>
            <w:vMerge/>
            <w:tcBorders>
              <w:left w:val="single" w:sz="18" w:space="0" w:color="auto"/>
              <w:right w:val="single" w:sz="18" w:space="0" w:color="auto"/>
            </w:tcBorders>
            <w:shd w:val="clear" w:color="auto" w:fill="auto"/>
          </w:tcPr>
          <w:p w:rsidR="009112A3" w:rsidRPr="00920597" w:rsidRDefault="009112A3" w:rsidP="009112A3">
            <w:pPr>
              <w:spacing w:line="240" w:lineRule="exact"/>
              <w:jc w:val="center"/>
              <w:rPr>
                <w:rFonts w:ascii="標楷體" w:eastAsia="標楷體" w:hAnsi="標楷體"/>
                <w:b/>
                <w:color w:val="000000" w:themeColor="text1"/>
                <w:sz w:val="28"/>
                <w:szCs w:val="28"/>
              </w:rPr>
            </w:pPr>
          </w:p>
        </w:tc>
        <w:tc>
          <w:tcPr>
            <w:tcW w:w="4530" w:type="dxa"/>
            <w:gridSpan w:val="8"/>
            <w:tcBorders>
              <w:left w:val="single" w:sz="18" w:space="0" w:color="auto"/>
              <w:bottom w:val="single" w:sz="4" w:space="0" w:color="auto"/>
              <w:right w:val="dashed" w:sz="4" w:space="0" w:color="auto"/>
            </w:tcBorders>
            <w:shd w:val="clear" w:color="auto" w:fill="auto"/>
            <w:vAlign w:val="center"/>
          </w:tcPr>
          <w:p w:rsidR="009112A3" w:rsidRPr="00920597" w:rsidRDefault="009112A3" w:rsidP="009112A3">
            <w:pPr>
              <w:spacing w:line="360" w:lineRule="exact"/>
              <w:jc w:val="center"/>
              <w:rPr>
                <w:rFonts w:eastAsia="標楷體"/>
                <w:b/>
                <w:color w:val="000000" w:themeColor="text1"/>
                <w:sz w:val="28"/>
                <w:szCs w:val="28"/>
              </w:rPr>
            </w:pPr>
            <w:r w:rsidRPr="00920597">
              <w:rPr>
                <w:rFonts w:eastAsia="標楷體"/>
                <w:b/>
                <w:color w:val="000000" w:themeColor="text1"/>
                <w:sz w:val="28"/>
                <w:szCs w:val="28"/>
              </w:rPr>
              <w:t>院會通過</w:t>
            </w:r>
            <w:r w:rsidRPr="00920597">
              <w:rPr>
                <w:rFonts w:eastAsia="標楷體" w:hint="eastAsia"/>
                <w:b/>
                <w:color w:val="000000" w:themeColor="text1"/>
                <w:sz w:val="28"/>
                <w:szCs w:val="28"/>
              </w:rPr>
              <w:t xml:space="preserve"> </w:t>
            </w:r>
            <w:r w:rsidRPr="00920597">
              <w:rPr>
                <w:rFonts w:eastAsia="標楷體"/>
                <w:b/>
                <w:color w:val="000000" w:themeColor="text1"/>
                <w:sz w:val="28"/>
                <w:szCs w:val="28"/>
              </w:rPr>
              <w:t>Ａ</w:t>
            </w:r>
          </w:p>
        </w:tc>
        <w:tc>
          <w:tcPr>
            <w:tcW w:w="689" w:type="dxa"/>
            <w:vMerge w:val="restart"/>
            <w:tcBorders>
              <w:top w:val="single" w:sz="4" w:space="0" w:color="auto"/>
              <w:left w:val="dashed" w:sz="4" w:space="0" w:color="auto"/>
              <w:right w:val="dashed" w:sz="4" w:space="0" w:color="auto"/>
            </w:tcBorders>
            <w:shd w:val="clear" w:color="auto" w:fill="auto"/>
          </w:tcPr>
          <w:p w:rsidR="009112A3" w:rsidRPr="00920597" w:rsidRDefault="009112A3" w:rsidP="009112A3">
            <w:pPr>
              <w:spacing w:beforeLines="50" w:before="180" w:line="300" w:lineRule="exact"/>
              <w:jc w:val="center"/>
              <w:rPr>
                <w:rFonts w:ascii="標楷體" w:eastAsia="標楷體" w:hAnsi="標楷體"/>
                <w:b/>
                <w:color w:val="000000" w:themeColor="text1"/>
                <w:spacing w:val="-6"/>
                <w:sz w:val="28"/>
                <w:szCs w:val="28"/>
              </w:rPr>
            </w:pPr>
            <w:r w:rsidRPr="00920597">
              <w:rPr>
                <w:rFonts w:ascii="標楷體" w:eastAsia="標楷體" w:hAnsi="標楷體"/>
                <w:b/>
                <w:color w:val="000000" w:themeColor="text1"/>
                <w:spacing w:val="-6"/>
                <w:sz w:val="28"/>
                <w:szCs w:val="28"/>
              </w:rPr>
              <w:t>院</w:t>
            </w:r>
          </w:p>
          <w:p w:rsidR="009112A3" w:rsidRPr="00920597" w:rsidRDefault="009112A3" w:rsidP="009112A3">
            <w:pPr>
              <w:spacing w:line="300" w:lineRule="exact"/>
              <w:jc w:val="center"/>
              <w:rPr>
                <w:rFonts w:ascii="標楷體" w:eastAsia="標楷體" w:hAnsi="標楷體"/>
                <w:b/>
                <w:color w:val="000000" w:themeColor="text1"/>
                <w:spacing w:val="-6"/>
                <w:sz w:val="28"/>
                <w:szCs w:val="28"/>
              </w:rPr>
            </w:pPr>
            <w:r w:rsidRPr="00920597">
              <w:rPr>
                <w:rFonts w:ascii="標楷體" w:eastAsia="標楷體" w:hAnsi="標楷體"/>
                <w:b/>
                <w:color w:val="000000" w:themeColor="text1"/>
                <w:spacing w:val="-6"/>
                <w:sz w:val="28"/>
                <w:szCs w:val="28"/>
              </w:rPr>
              <w:t>會</w:t>
            </w:r>
          </w:p>
          <w:p w:rsidR="009112A3" w:rsidRPr="00920597" w:rsidRDefault="009112A3" w:rsidP="009112A3">
            <w:pPr>
              <w:spacing w:line="300" w:lineRule="exact"/>
              <w:jc w:val="center"/>
              <w:rPr>
                <w:rFonts w:ascii="標楷體" w:eastAsia="標楷體" w:hAnsi="標楷體"/>
                <w:b/>
                <w:color w:val="000000" w:themeColor="text1"/>
                <w:spacing w:val="-6"/>
                <w:sz w:val="28"/>
                <w:szCs w:val="28"/>
              </w:rPr>
            </w:pPr>
            <w:r w:rsidRPr="00920597">
              <w:rPr>
                <w:rFonts w:ascii="標楷體" w:eastAsia="標楷體" w:hAnsi="標楷體" w:hint="eastAsia"/>
                <w:b/>
                <w:color w:val="000000" w:themeColor="text1"/>
                <w:spacing w:val="-6"/>
                <w:sz w:val="28"/>
                <w:szCs w:val="28"/>
              </w:rPr>
              <w:t>待</w:t>
            </w:r>
          </w:p>
          <w:p w:rsidR="009112A3" w:rsidRPr="00920597" w:rsidRDefault="009112A3" w:rsidP="009112A3">
            <w:pPr>
              <w:spacing w:line="300" w:lineRule="exact"/>
              <w:jc w:val="center"/>
              <w:rPr>
                <w:rFonts w:ascii="標楷體" w:eastAsia="標楷體" w:hAnsi="標楷體"/>
                <w:b/>
                <w:color w:val="000000" w:themeColor="text1"/>
                <w:spacing w:val="-6"/>
                <w:sz w:val="28"/>
                <w:szCs w:val="28"/>
              </w:rPr>
            </w:pPr>
            <w:r w:rsidRPr="00920597">
              <w:rPr>
                <w:rFonts w:ascii="標楷體" w:eastAsia="標楷體" w:hAnsi="標楷體"/>
                <w:b/>
                <w:color w:val="000000" w:themeColor="text1"/>
                <w:spacing w:val="-6"/>
                <w:sz w:val="28"/>
                <w:szCs w:val="28"/>
              </w:rPr>
              <w:t>審</w:t>
            </w:r>
          </w:p>
          <w:p w:rsidR="009112A3" w:rsidRPr="00920597" w:rsidRDefault="009112A3" w:rsidP="009112A3">
            <w:pPr>
              <w:spacing w:line="300" w:lineRule="exact"/>
              <w:jc w:val="center"/>
              <w:rPr>
                <w:rFonts w:ascii="標楷體" w:eastAsia="標楷體" w:hAnsi="標楷體"/>
                <w:b/>
                <w:color w:val="000000" w:themeColor="text1"/>
                <w:spacing w:val="-6"/>
                <w:sz w:val="28"/>
                <w:szCs w:val="28"/>
              </w:rPr>
            </w:pPr>
            <w:r w:rsidRPr="00920597">
              <w:rPr>
                <w:rFonts w:ascii="標楷體" w:eastAsia="標楷體" w:hAnsi="標楷體"/>
                <w:b/>
                <w:color w:val="000000" w:themeColor="text1"/>
                <w:spacing w:val="-6"/>
                <w:sz w:val="28"/>
                <w:szCs w:val="28"/>
              </w:rPr>
              <w:t>議</w:t>
            </w:r>
          </w:p>
          <w:p w:rsidR="009112A3" w:rsidRPr="00920597" w:rsidRDefault="009112A3" w:rsidP="009112A3">
            <w:pPr>
              <w:spacing w:line="300" w:lineRule="exact"/>
              <w:jc w:val="center"/>
              <w:rPr>
                <w:rFonts w:ascii="標楷體" w:eastAsia="標楷體" w:hAnsi="標楷體"/>
                <w:b/>
                <w:color w:val="000000" w:themeColor="text1"/>
                <w:spacing w:val="-6"/>
                <w:sz w:val="28"/>
                <w:szCs w:val="28"/>
              </w:rPr>
            </w:pPr>
            <w:r w:rsidRPr="00920597">
              <w:rPr>
                <w:rFonts w:ascii="標楷體" w:eastAsia="標楷體" w:hAnsi="標楷體" w:hint="eastAsia"/>
                <w:b/>
                <w:color w:val="000000" w:themeColor="text1"/>
                <w:spacing w:val="-6"/>
                <w:sz w:val="28"/>
                <w:szCs w:val="28"/>
              </w:rPr>
              <w:t>部</w:t>
            </w:r>
          </w:p>
          <w:p w:rsidR="009112A3" w:rsidRPr="00920597" w:rsidRDefault="009112A3" w:rsidP="009112A3">
            <w:pPr>
              <w:spacing w:line="300" w:lineRule="exact"/>
              <w:jc w:val="center"/>
              <w:rPr>
                <w:rFonts w:ascii="標楷體" w:eastAsia="標楷體" w:hAnsi="標楷體"/>
                <w:b/>
                <w:color w:val="000000" w:themeColor="text1"/>
                <w:spacing w:val="-6"/>
                <w:sz w:val="28"/>
                <w:szCs w:val="28"/>
              </w:rPr>
            </w:pPr>
            <w:r w:rsidRPr="00920597">
              <w:rPr>
                <w:rFonts w:ascii="標楷體" w:eastAsia="標楷體" w:hAnsi="標楷體" w:hint="eastAsia"/>
                <w:b/>
                <w:color w:val="000000" w:themeColor="text1"/>
                <w:spacing w:val="-6"/>
                <w:sz w:val="28"/>
                <w:szCs w:val="28"/>
              </w:rPr>
              <w:t>分</w:t>
            </w:r>
          </w:p>
          <w:p w:rsidR="009112A3" w:rsidRPr="00920597" w:rsidRDefault="009112A3" w:rsidP="009112A3">
            <w:pPr>
              <w:spacing w:line="300" w:lineRule="exact"/>
              <w:jc w:val="center"/>
              <w:rPr>
                <w:rFonts w:ascii="標楷體" w:eastAsia="標楷體" w:hAnsi="標楷體"/>
                <w:b/>
                <w:color w:val="000000" w:themeColor="text1"/>
                <w:spacing w:val="-6"/>
                <w:sz w:val="28"/>
                <w:szCs w:val="28"/>
              </w:rPr>
            </w:pPr>
            <w:r w:rsidRPr="00920597">
              <w:rPr>
                <w:rFonts w:ascii="標楷體" w:eastAsia="標楷體" w:hAnsi="標楷體" w:hint="eastAsia"/>
                <w:b/>
                <w:color w:val="000000" w:themeColor="text1"/>
                <w:spacing w:val="-6"/>
                <w:sz w:val="28"/>
                <w:szCs w:val="28"/>
              </w:rPr>
              <w:t>Ｂ</w:t>
            </w:r>
          </w:p>
        </w:tc>
        <w:tc>
          <w:tcPr>
            <w:tcW w:w="721" w:type="dxa"/>
            <w:vMerge w:val="restart"/>
            <w:tcBorders>
              <w:left w:val="dashed" w:sz="4" w:space="0" w:color="auto"/>
              <w:right w:val="single" w:sz="18" w:space="0" w:color="auto"/>
            </w:tcBorders>
            <w:shd w:val="clear" w:color="auto" w:fill="auto"/>
          </w:tcPr>
          <w:p w:rsidR="009112A3" w:rsidRPr="00920597" w:rsidRDefault="009112A3" w:rsidP="009112A3">
            <w:pPr>
              <w:spacing w:beforeLines="50" w:before="180" w:line="300" w:lineRule="exact"/>
              <w:jc w:val="center"/>
              <w:rPr>
                <w:rFonts w:ascii="標楷體" w:eastAsia="標楷體" w:hAnsi="標楷體"/>
                <w:b/>
                <w:color w:val="000000" w:themeColor="text1"/>
                <w:sz w:val="28"/>
                <w:szCs w:val="28"/>
              </w:rPr>
            </w:pPr>
            <w:r w:rsidRPr="00920597">
              <w:rPr>
                <w:rFonts w:ascii="標楷體" w:eastAsia="標楷體" w:hAnsi="標楷體" w:hint="eastAsia"/>
                <w:b/>
                <w:color w:val="000000" w:themeColor="text1"/>
                <w:sz w:val="28"/>
                <w:szCs w:val="28"/>
              </w:rPr>
              <w:t>小</w:t>
            </w:r>
          </w:p>
          <w:p w:rsidR="009112A3" w:rsidRPr="00920597" w:rsidRDefault="009112A3" w:rsidP="009112A3">
            <w:pPr>
              <w:spacing w:line="300" w:lineRule="exact"/>
              <w:jc w:val="center"/>
              <w:rPr>
                <w:rFonts w:ascii="標楷體" w:eastAsia="標楷體" w:hAnsi="標楷體"/>
                <w:b/>
                <w:color w:val="000000" w:themeColor="text1"/>
                <w:sz w:val="28"/>
                <w:szCs w:val="28"/>
              </w:rPr>
            </w:pPr>
          </w:p>
          <w:p w:rsidR="009112A3" w:rsidRPr="00920597" w:rsidRDefault="009112A3" w:rsidP="009112A3">
            <w:pPr>
              <w:spacing w:line="300" w:lineRule="exact"/>
              <w:jc w:val="center"/>
              <w:rPr>
                <w:rFonts w:ascii="標楷體" w:eastAsia="標楷體" w:hAnsi="標楷體"/>
                <w:b/>
                <w:color w:val="000000" w:themeColor="text1"/>
                <w:sz w:val="28"/>
                <w:szCs w:val="28"/>
              </w:rPr>
            </w:pPr>
            <w:r w:rsidRPr="00920597">
              <w:rPr>
                <w:rFonts w:ascii="標楷體" w:eastAsia="標楷體" w:hAnsi="標楷體"/>
                <w:b/>
                <w:color w:val="000000" w:themeColor="text1"/>
                <w:sz w:val="28"/>
                <w:szCs w:val="28"/>
              </w:rPr>
              <w:t>計</w:t>
            </w:r>
          </w:p>
          <w:p w:rsidR="009112A3" w:rsidRPr="00920597" w:rsidRDefault="009112A3" w:rsidP="009112A3">
            <w:pPr>
              <w:spacing w:line="300" w:lineRule="exact"/>
              <w:ind w:leftChars="-3" w:hangingChars="2" w:hanging="7"/>
              <w:jc w:val="center"/>
              <w:rPr>
                <w:rFonts w:ascii="標楷體" w:eastAsia="標楷體" w:hAnsi="標楷體"/>
                <w:b/>
                <w:color w:val="000000" w:themeColor="text1"/>
                <w:sz w:val="36"/>
                <w:szCs w:val="36"/>
              </w:rPr>
            </w:pPr>
            <w:r w:rsidRPr="00920597">
              <w:rPr>
                <w:rFonts w:ascii="標楷體" w:eastAsia="標楷體" w:hAnsi="標楷體"/>
                <w:b/>
                <w:color w:val="000000" w:themeColor="text1"/>
                <w:sz w:val="36"/>
                <w:szCs w:val="36"/>
              </w:rPr>
              <w:sym w:font="Wingdings" w:char="F081"/>
            </w:r>
          </w:p>
          <w:p w:rsidR="009112A3" w:rsidRPr="00920597" w:rsidRDefault="009112A3" w:rsidP="009112A3">
            <w:pPr>
              <w:spacing w:line="300" w:lineRule="exact"/>
              <w:jc w:val="center"/>
              <w:rPr>
                <w:rFonts w:ascii="標楷體" w:eastAsia="標楷體" w:hAnsi="標楷體"/>
                <w:b/>
                <w:color w:val="000000" w:themeColor="text1"/>
                <w:sz w:val="28"/>
                <w:szCs w:val="28"/>
              </w:rPr>
            </w:pPr>
            <w:r w:rsidRPr="00920597">
              <w:rPr>
                <w:rFonts w:ascii="標楷體" w:eastAsia="標楷體" w:hAnsi="標楷體" w:hint="eastAsia"/>
                <w:b/>
                <w:color w:val="000000" w:themeColor="text1"/>
                <w:sz w:val="28"/>
                <w:szCs w:val="28"/>
              </w:rPr>
              <w:t>‖</w:t>
            </w:r>
          </w:p>
          <w:p w:rsidR="009112A3" w:rsidRPr="00920597" w:rsidRDefault="009112A3" w:rsidP="009112A3">
            <w:pPr>
              <w:spacing w:line="300" w:lineRule="exact"/>
              <w:ind w:leftChars="-3" w:left="-1" w:hangingChars="2" w:hanging="6"/>
              <w:jc w:val="center"/>
              <w:rPr>
                <w:rFonts w:ascii="標楷體" w:eastAsia="標楷體" w:hAnsi="標楷體"/>
                <w:b/>
                <w:color w:val="000000" w:themeColor="text1"/>
                <w:sz w:val="28"/>
                <w:szCs w:val="28"/>
              </w:rPr>
            </w:pPr>
            <w:r w:rsidRPr="00920597">
              <w:rPr>
                <w:rFonts w:ascii="標楷體" w:eastAsia="標楷體" w:hAnsi="標楷體" w:hint="eastAsia"/>
                <w:b/>
                <w:color w:val="000000" w:themeColor="text1"/>
                <w:sz w:val="28"/>
                <w:szCs w:val="28"/>
              </w:rPr>
              <w:t>Ａ</w:t>
            </w:r>
          </w:p>
          <w:p w:rsidR="009112A3" w:rsidRPr="00920597" w:rsidRDefault="009112A3" w:rsidP="009112A3">
            <w:pPr>
              <w:spacing w:line="300" w:lineRule="exact"/>
              <w:ind w:leftChars="-3" w:left="-1" w:hangingChars="2" w:hanging="6"/>
              <w:jc w:val="center"/>
              <w:rPr>
                <w:rFonts w:ascii="標楷體" w:eastAsia="標楷體" w:hAnsi="標楷體"/>
                <w:b/>
                <w:color w:val="000000" w:themeColor="text1"/>
                <w:sz w:val="28"/>
                <w:szCs w:val="28"/>
              </w:rPr>
            </w:pPr>
            <w:r w:rsidRPr="00920597">
              <w:rPr>
                <w:rFonts w:ascii="標楷體" w:eastAsia="標楷體" w:hAnsi="標楷體" w:hint="eastAsia"/>
                <w:b/>
                <w:color w:val="000000" w:themeColor="text1"/>
                <w:sz w:val="28"/>
                <w:szCs w:val="28"/>
              </w:rPr>
              <w:t>＋</w:t>
            </w:r>
          </w:p>
          <w:p w:rsidR="009112A3" w:rsidRPr="00920597" w:rsidRDefault="009112A3" w:rsidP="009112A3">
            <w:pPr>
              <w:spacing w:line="300" w:lineRule="exact"/>
              <w:ind w:leftChars="-3" w:left="-1" w:hangingChars="2" w:hanging="6"/>
              <w:jc w:val="center"/>
              <w:rPr>
                <w:rFonts w:ascii="標楷體" w:eastAsia="標楷體" w:hAnsi="標楷體"/>
                <w:color w:val="000000" w:themeColor="text1"/>
                <w:sz w:val="28"/>
                <w:szCs w:val="28"/>
              </w:rPr>
            </w:pPr>
            <w:r w:rsidRPr="00920597">
              <w:rPr>
                <w:rFonts w:ascii="標楷體" w:eastAsia="標楷體" w:hAnsi="標楷體" w:hint="eastAsia"/>
                <w:b/>
                <w:color w:val="000000" w:themeColor="text1"/>
                <w:sz w:val="28"/>
                <w:szCs w:val="28"/>
              </w:rPr>
              <w:t>Ｂ</w:t>
            </w:r>
          </w:p>
        </w:tc>
        <w:tc>
          <w:tcPr>
            <w:tcW w:w="854" w:type="dxa"/>
            <w:vMerge/>
            <w:tcBorders>
              <w:left w:val="single" w:sz="18" w:space="0" w:color="auto"/>
              <w:right w:val="single" w:sz="18" w:space="0" w:color="auto"/>
            </w:tcBorders>
            <w:shd w:val="clear" w:color="auto" w:fill="auto"/>
          </w:tcPr>
          <w:p w:rsidR="009112A3" w:rsidRPr="00920597" w:rsidRDefault="009112A3" w:rsidP="009112A3">
            <w:pPr>
              <w:spacing w:line="260" w:lineRule="exact"/>
              <w:jc w:val="center"/>
              <w:rPr>
                <w:rFonts w:ascii="標楷體" w:eastAsia="標楷體" w:hAnsi="標楷體"/>
                <w:color w:val="000000" w:themeColor="text1"/>
                <w:szCs w:val="24"/>
              </w:rPr>
            </w:pPr>
          </w:p>
        </w:tc>
        <w:tc>
          <w:tcPr>
            <w:tcW w:w="730" w:type="dxa"/>
            <w:vMerge/>
            <w:tcBorders>
              <w:left w:val="single" w:sz="4" w:space="0" w:color="auto"/>
              <w:right w:val="single" w:sz="18" w:space="0" w:color="auto"/>
            </w:tcBorders>
            <w:shd w:val="clear" w:color="auto" w:fill="auto"/>
          </w:tcPr>
          <w:p w:rsidR="009112A3" w:rsidRPr="00920597" w:rsidRDefault="009112A3" w:rsidP="009112A3">
            <w:pPr>
              <w:spacing w:line="260" w:lineRule="exact"/>
              <w:jc w:val="center"/>
              <w:rPr>
                <w:rFonts w:ascii="標楷體" w:eastAsia="標楷體" w:hAnsi="標楷體"/>
                <w:color w:val="000000" w:themeColor="text1"/>
                <w:szCs w:val="24"/>
              </w:rPr>
            </w:pPr>
          </w:p>
        </w:tc>
      </w:tr>
      <w:tr w:rsidR="000121AE" w:rsidRPr="00920597" w:rsidTr="00964865">
        <w:trPr>
          <w:trHeight w:val="1988"/>
        </w:trPr>
        <w:tc>
          <w:tcPr>
            <w:tcW w:w="2737" w:type="dxa"/>
            <w:gridSpan w:val="2"/>
            <w:vMerge/>
            <w:tcBorders>
              <w:left w:val="single" w:sz="18" w:space="0" w:color="auto"/>
              <w:bottom w:val="single" w:sz="18" w:space="0" w:color="auto"/>
              <w:right w:val="single" w:sz="18" w:space="0" w:color="auto"/>
            </w:tcBorders>
            <w:shd w:val="clear" w:color="auto" w:fill="auto"/>
          </w:tcPr>
          <w:p w:rsidR="009112A3" w:rsidRPr="00920597" w:rsidRDefault="009112A3" w:rsidP="009112A3">
            <w:pPr>
              <w:spacing w:line="240" w:lineRule="exact"/>
              <w:jc w:val="center"/>
              <w:rPr>
                <w:rFonts w:ascii="標楷體" w:eastAsia="標楷體" w:hAnsi="標楷體"/>
                <w:b/>
                <w:color w:val="000000" w:themeColor="text1"/>
                <w:sz w:val="28"/>
                <w:szCs w:val="28"/>
              </w:rPr>
            </w:pPr>
          </w:p>
        </w:tc>
        <w:tc>
          <w:tcPr>
            <w:tcW w:w="666" w:type="dxa"/>
            <w:tcBorders>
              <w:left w:val="single" w:sz="18" w:space="0" w:color="auto"/>
              <w:bottom w:val="single" w:sz="18" w:space="0" w:color="auto"/>
              <w:right w:val="dashed" w:sz="4" w:space="0" w:color="auto"/>
            </w:tcBorders>
            <w:shd w:val="clear" w:color="auto" w:fill="auto"/>
          </w:tcPr>
          <w:p w:rsidR="009112A3" w:rsidRPr="00920597" w:rsidRDefault="009112A3" w:rsidP="009112A3">
            <w:pPr>
              <w:spacing w:line="460" w:lineRule="exact"/>
              <w:jc w:val="center"/>
              <w:rPr>
                <w:rFonts w:eastAsia="標楷體"/>
                <w:color w:val="000000" w:themeColor="text1"/>
                <w:spacing w:val="-20"/>
                <w:sz w:val="28"/>
                <w:szCs w:val="28"/>
              </w:rPr>
            </w:pPr>
            <w:r w:rsidRPr="00920597">
              <w:rPr>
                <w:rFonts w:eastAsia="標楷體"/>
                <w:color w:val="000000" w:themeColor="text1"/>
                <w:spacing w:val="-20"/>
                <w:sz w:val="28"/>
                <w:szCs w:val="28"/>
              </w:rPr>
              <w:t>第</w:t>
            </w:r>
          </w:p>
          <w:p w:rsidR="009112A3" w:rsidRPr="00920597" w:rsidRDefault="009112A3" w:rsidP="009112A3">
            <w:pPr>
              <w:spacing w:line="460" w:lineRule="exact"/>
              <w:jc w:val="center"/>
              <w:rPr>
                <w:rFonts w:eastAsia="標楷體"/>
                <w:color w:val="000000" w:themeColor="text1"/>
                <w:spacing w:val="-20"/>
                <w:sz w:val="28"/>
                <w:szCs w:val="28"/>
              </w:rPr>
            </w:pPr>
            <w:r w:rsidRPr="00920597">
              <w:rPr>
                <w:rFonts w:eastAsia="標楷體"/>
                <w:color w:val="000000" w:themeColor="text1"/>
                <w:spacing w:val="-20"/>
                <w:sz w:val="28"/>
                <w:szCs w:val="28"/>
              </w:rPr>
              <w:t>1</w:t>
            </w:r>
          </w:p>
          <w:p w:rsidR="009112A3" w:rsidRPr="00920597" w:rsidRDefault="009112A3" w:rsidP="009112A3">
            <w:pPr>
              <w:spacing w:line="460" w:lineRule="exact"/>
              <w:jc w:val="center"/>
              <w:rPr>
                <w:rFonts w:eastAsia="標楷體"/>
                <w:color w:val="000000" w:themeColor="text1"/>
                <w:spacing w:val="-20"/>
                <w:sz w:val="28"/>
                <w:szCs w:val="28"/>
              </w:rPr>
            </w:pPr>
            <w:r w:rsidRPr="00920597">
              <w:rPr>
                <w:rFonts w:eastAsia="標楷體"/>
                <w:color w:val="000000" w:themeColor="text1"/>
                <w:spacing w:val="-20"/>
                <w:sz w:val="28"/>
                <w:szCs w:val="28"/>
              </w:rPr>
              <w:t>會</w:t>
            </w:r>
          </w:p>
          <w:p w:rsidR="009112A3" w:rsidRPr="00920597" w:rsidRDefault="009112A3" w:rsidP="009112A3">
            <w:pPr>
              <w:spacing w:line="460" w:lineRule="exact"/>
              <w:jc w:val="center"/>
              <w:rPr>
                <w:rFonts w:eastAsia="標楷體"/>
                <w:color w:val="000000" w:themeColor="text1"/>
                <w:spacing w:val="-20"/>
                <w:sz w:val="28"/>
                <w:szCs w:val="28"/>
              </w:rPr>
            </w:pPr>
            <w:r w:rsidRPr="00920597">
              <w:rPr>
                <w:rFonts w:eastAsia="標楷體"/>
                <w:color w:val="000000" w:themeColor="text1"/>
                <w:spacing w:val="-20"/>
                <w:sz w:val="28"/>
                <w:szCs w:val="28"/>
              </w:rPr>
              <w:t>期</w:t>
            </w:r>
          </w:p>
        </w:tc>
        <w:tc>
          <w:tcPr>
            <w:tcW w:w="552" w:type="dxa"/>
            <w:tcBorders>
              <w:left w:val="dashed" w:sz="4" w:space="0" w:color="auto"/>
              <w:bottom w:val="single" w:sz="18" w:space="0" w:color="auto"/>
              <w:right w:val="dashed" w:sz="4" w:space="0" w:color="auto"/>
            </w:tcBorders>
            <w:shd w:val="clear" w:color="auto" w:fill="auto"/>
          </w:tcPr>
          <w:p w:rsidR="009112A3" w:rsidRPr="00920597" w:rsidRDefault="009112A3" w:rsidP="009112A3">
            <w:pPr>
              <w:spacing w:line="460" w:lineRule="exact"/>
              <w:jc w:val="center"/>
              <w:rPr>
                <w:rFonts w:eastAsia="標楷體"/>
                <w:color w:val="000000" w:themeColor="text1"/>
                <w:spacing w:val="-20"/>
                <w:sz w:val="28"/>
                <w:szCs w:val="28"/>
              </w:rPr>
            </w:pPr>
            <w:r w:rsidRPr="00920597">
              <w:rPr>
                <w:rFonts w:eastAsia="標楷體"/>
                <w:color w:val="000000" w:themeColor="text1"/>
                <w:spacing w:val="-20"/>
                <w:sz w:val="28"/>
                <w:szCs w:val="28"/>
              </w:rPr>
              <w:t>第</w:t>
            </w:r>
          </w:p>
          <w:p w:rsidR="009112A3" w:rsidRPr="00920597" w:rsidRDefault="009112A3" w:rsidP="009112A3">
            <w:pPr>
              <w:spacing w:line="460" w:lineRule="exact"/>
              <w:jc w:val="center"/>
              <w:rPr>
                <w:rFonts w:eastAsia="標楷體"/>
                <w:color w:val="000000" w:themeColor="text1"/>
                <w:spacing w:val="-20"/>
                <w:sz w:val="28"/>
                <w:szCs w:val="28"/>
              </w:rPr>
            </w:pPr>
            <w:r w:rsidRPr="00920597">
              <w:rPr>
                <w:rFonts w:eastAsia="標楷體"/>
                <w:color w:val="000000" w:themeColor="text1"/>
                <w:spacing w:val="-20"/>
                <w:sz w:val="28"/>
                <w:szCs w:val="28"/>
              </w:rPr>
              <w:t>2</w:t>
            </w:r>
          </w:p>
          <w:p w:rsidR="009112A3" w:rsidRPr="00920597" w:rsidRDefault="009112A3" w:rsidP="009112A3">
            <w:pPr>
              <w:spacing w:line="460" w:lineRule="exact"/>
              <w:jc w:val="center"/>
              <w:rPr>
                <w:rFonts w:eastAsia="標楷體"/>
                <w:color w:val="000000" w:themeColor="text1"/>
                <w:spacing w:val="-20"/>
                <w:sz w:val="28"/>
                <w:szCs w:val="28"/>
              </w:rPr>
            </w:pPr>
            <w:r w:rsidRPr="00920597">
              <w:rPr>
                <w:rFonts w:eastAsia="標楷體"/>
                <w:color w:val="000000" w:themeColor="text1"/>
                <w:spacing w:val="-20"/>
                <w:sz w:val="28"/>
                <w:szCs w:val="28"/>
              </w:rPr>
              <w:t>會</w:t>
            </w:r>
          </w:p>
          <w:p w:rsidR="009112A3" w:rsidRPr="00920597" w:rsidRDefault="009112A3" w:rsidP="009112A3">
            <w:pPr>
              <w:spacing w:line="460" w:lineRule="exact"/>
              <w:jc w:val="center"/>
              <w:rPr>
                <w:rFonts w:eastAsia="標楷體"/>
                <w:color w:val="000000" w:themeColor="text1"/>
                <w:spacing w:val="-20"/>
                <w:sz w:val="28"/>
                <w:szCs w:val="28"/>
              </w:rPr>
            </w:pPr>
            <w:r w:rsidRPr="00920597">
              <w:rPr>
                <w:rFonts w:eastAsia="標楷體"/>
                <w:color w:val="000000" w:themeColor="text1"/>
                <w:spacing w:val="-20"/>
                <w:sz w:val="28"/>
                <w:szCs w:val="28"/>
              </w:rPr>
              <w:t>期</w:t>
            </w:r>
          </w:p>
        </w:tc>
        <w:tc>
          <w:tcPr>
            <w:tcW w:w="552" w:type="dxa"/>
            <w:tcBorders>
              <w:left w:val="dashed" w:sz="4" w:space="0" w:color="auto"/>
              <w:bottom w:val="single" w:sz="18" w:space="0" w:color="auto"/>
              <w:right w:val="dashed" w:sz="4" w:space="0" w:color="auto"/>
            </w:tcBorders>
            <w:shd w:val="clear" w:color="auto" w:fill="auto"/>
          </w:tcPr>
          <w:p w:rsidR="009112A3" w:rsidRPr="00920597" w:rsidRDefault="009112A3" w:rsidP="009112A3">
            <w:pPr>
              <w:spacing w:line="460" w:lineRule="exact"/>
              <w:jc w:val="center"/>
              <w:rPr>
                <w:rFonts w:eastAsia="標楷體"/>
                <w:color w:val="000000" w:themeColor="text1"/>
                <w:spacing w:val="-20"/>
                <w:sz w:val="28"/>
                <w:szCs w:val="28"/>
              </w:rPr>
            </w:pPr>
            <w:r w:rsidRPr="00920597">
              <w:rPr>
                <w:rFonts w:eastAsia="標楷體"/>
                <w:color w:val="000000" w:themeColor="text1"/>
                <w:spacing w:val="-20"/>
                <w:sz w:val="28"/>
                <w:szCs w:val="28"/>
              </w:rPr>
              <w:t>第</w:t>
            </w:r>
          </w:p>
          <w:p w:rsidR="009112A3" w:rsidRPr="00920597" w:rsidRDefault="009112A3" w:rsidP="009112A3">
            <w:pPr>
              <w:spacing w:line="460" w:lineRule="exact"/>
              <w:jc w:val="center"/>
              <w:rPr>
                <w:rFonts w:eastAsia="標楷體"/>
                <w:color w:val="000000" w:themeColor="text1"/>
                <w:spacing w:val="-20"/>
                <w:sz w:val="28"/>
                <w:szCs w:val="28"/>
              </w:rPr>
            </w:pPr>
            <w:r w:rsidRPr="00920597">
              <w:rPr>
                <w:rFonts w:eastAsia="標楷體"/>
                <w:color w:val="000000" w:themeColor="text1"/>
                <w:spacing w:val="-20"/>
                <w:sz w:val="28"/>
                <w:szCs w:val="28"/>
              </w:rPr>
              <w:t>3</w:t>
            </w:r>
          </w:p>
          <w:p w:rsidR="009112A3" w:rsidRPr="00920597" w:rsidRDefault="009112A3" w:rsidP="009112A3">
            <w:pPr>
              <w:spacing w:line="460" w:lineRule="exact"/>
              <w:jc w:val="center"/>
              <w:rPr>
                <w:rFonts w:eastAsia="標楷體"/>
                <w:color w:val="000000" w:themeColor="text1"/>
                <w:spacing w:val="-20"/>
                <w:sz w:val="28"/>
                <w:szCs w:val="28"/>
              </w:rPr>
            </w:pPr>
            <w:r w:rsidRPr="00920597">
              <w:rPr>
                <w:rFonts w:eastAsia="標楷體"/>
                <w:color w:val="000000" w:themeColor="text1"/>
                <w:spacing w:val="-20"/>
                <w:sz w:val="28"/>
                <w:szCs w:val="28"/>
              </w:rPr>
              <w:t>會</w:t>
            </w:r>
          </w:p>
          <w:p w:rsidR="009112A3" w:rsidRPr="00920597" w:rsidRDefault="009112A3" w:rsidP="009112A3">
            <w:pPr>
              <w:spacing w:line="460" w:lineRule="exact"/>
              <w:jc w:val="center"/>
              <w:rPr>
                <w:rFonts w:eastAsia="標楷體"/>
                <w:color w:val="000000" w:themeColor="text1"/>
                <w:spacing w:val="-20"/>
                <w:sz w:val="28"/>
                <w:szCs w:val="28"/>
              </w:rPr>
            </w:pPr>
            <w:r w:rsidRPr="00920597">
              <w:rPr>
                <w:rFonts w:eastAsia="標楷體"/>
                <w:color w:val="000000" w:themeColor="text1"/>
                <w:spacing w:val="-20"/>
                <w:sz w:val="28"/>
                <w:szCs w:val="28"/>
              </w:rPr>
              <w:t>期</w:t>
            </w:r>
          </w:p>
        </w:tc>
        <w:tc>
          <w:tcPr>
            <w:tcW w:w="552" w:type="dxa"/>
            <w:tcBorders>
              <w:left w:val="dashed" w:sz="4" w:space="0" w:color="auto"/>
              <w:bottom w:val="single" w:sz="18" w:space="0" w:color="auto"/>
              <w:right w:val="dashed" w:sz="4" w:space="0" w:color="auto"/>
            </w:tcBorders>
            <w:shd w:val="clear" w:color="auto" w:fill="auto"/>
          </w:tcPr>
          <w:p w:rsidR="009112A3" w:rsidRPr="00920597" w:rsidRDefault="009112A3" w:rsidP="009112A3">
            <w:pPr>
              <w:spacing w:line="460" w:lineRule="exact"/>
              <w:jc w:val="center"/>
              <w:rPr>
                <w:rFonts w:eastAsia="標楷體"/>
                <w:color w:val="000000" w:themeColor="text1"/>
                <w:spacing w:val="-20"/>
                <w:sz w:val="28"/>
                <w:szCs w:val="28"/>
              </w:rPr>
            </w:pPr>
            <w:r w:rsidRPr="00920597">
              <w:rPr>
                <w:rFonts w:eastAsia="標楷體"/>
                <w:color w:val="000000" w:themeColor="text1"/>
                <w:spacing w:val="-20"/>
                <w:sz w:val="28"/>
                <w:szCs w:val="28"/>
              </w:rPr>
              <w:t>第</w:t>
            </w:r>
          </w:p>
          <w:p w:rsidR="009112A3" w:rsidRPr="00920597" w:rsidRDefault="009112A3" w:rsidP="009112A3">
            <w:pPr>
              <w:spacing w:line="460" w:lineRule="exact"/>
              <w:jc w:val="center"/>
              <w:rPr>
                <w:rFonts w:eastAsia="標楷體"/>
                <w:color w:val="000000" w:themeColor="text1"/>
                <w:spacing w:val="-20"/>
                <w:sz w:val="28"/>
                <w:szCs w:val="28"/>
              </w:rPr>
            </w:pPr>
            <w:r w:rsidRPr="00920597">
              <w:rPr>
                <w:rFonts w:eastAsia="標楷體"/>
                <w:color w:val="000000" w:themeColor="text1"/>
                <w:spacing w:val="-20"/>
                <w:sz w:val="28"/>
                <w:szCs w:val="28"/>
              </w:rPr>
              <w:t>4</w:t>
            </w:r>
          </w:p>
          <w:p w:rsidR="009112A3" w:rsidRPr="00920597" w:rsidRDefault="009112A3" w:rsidP="009112A3">
            <w:pPr>
              <w:spacing w:line="460" w:lineRule="exact"/>
              <w:jc w:val="center"/>
              <w:rPr>
                <w:rFonts w:eastAsia="標楷體"/>
                <w:color w:val="000000" w:themeColor="text1"/>
                <w:spacing w:val="-20"/>
                <w:sz w:val="28"/>
                <w:szCs w:val="28"/>
              </w:rPr>
            </w:pPr>
            <w:r w:rsidRPr="00920597">
              <w:rPr>
                <w:rFonts w:eastAsia="標楷體"/>
                <w:color w:val="000000" w:themeColor="text1"/>
                <w:spacing w:val="-20"/>
                <w:sz w:val="28"/>
                <w:szCs w:val="28"/>
              </w:rPr>
              <w:t>會</w:t>
            </w:r>
          </w:p>
          <w:p w:rsidR="009112A3" w:rsidRPr="00920597" w:rsidRDefault="009112A3" w:rsidP="009112A3">
            <w:pPr>
              <w:spacing w:line="460" w:lineRule="exact"/>
              <w:jc w:val="center"/>
              <w:rPr>
                <w:rFonts w:eastAsia="標楷體"/>
                <w:color w:val="000000" w:themeColor="text1"/>
                <w:spacing w:val="-20"/>
                <w:sz w:val="28"/>
                <w:szCs w:val="28"/>
              </w:rPr>
            </w:pPr>
            <w:r w:rsidRPr="00920597">
              <w:rPr>
                <w:rFonts w:eastAsia="標楷體"/>
                <w:color w:val="000000" w:themeColor="text1"/>
                <w:spacing w:val="-20"/>
                <w:sz w:val="28"/>
                <w:szCs w:val="28"/>
              </w:rPr>
              <w:t>期</w:t>
            </w:r>
          </w:p>
        </w:tc>
        <w:tc>
          <w:tcPr>
            <w:tcW w:w="552" w:type="dxa"/>
            <w:tcBorders>
              <w:top w:val="single" w:sz="4" w:space="0" w:color="auto"/>
              <w:left w:val="dashed" w:sz="4" w:space="0" w:color="auto"/>
              <w:bottom w:val="single" w:sz="18" w:space="0" w:color="auto"/>
              <w:right w:val="dashed" w:sz="4" w:space="0" w:color="auto"/>
            </w:tcBorders>
            <w:shd w:val="clear" w:color="auto" w:fill="auto"/>
          </w:tcPr>
          <w:p w:rsidR="009112A3" w:rsidRPr="00920597" w:rsidRDefault="009112A3" w:rsidP="009112A3">
            <w:pPr>
              <w:spacing w:line="460" w:lineRule="exact"/>
              <w:jc w:val="center"/>
              <w:rPr>
                <w:rFonts w:eastAsia="標楷體"/>
                <w:color w:val="000000" w:themeColor="text1"/>
                <w:spacing w:val="-20"/>
                <w:sz w:val="28"/>
                <w:szCs w:val="28"/>
              </w:rPr>
            </w:pPr>
            <w:r w:rsidRPr="00920597">
              <w:rPr>
                <w:rFonts w:eastAsia="標楷體"/>
                <w:color w:val="000000" w:themeColor="text1"/>
                <w:spacing w:val="-20"/>
                <w:sz w:val="28"/>
                <w:szCs w:val="28"/>
              </w:rPr>
              <w:t>第</w:t>
            </w:r>
          </w:p>
          <w:p w:rsidR="009112A3" w:rsidRPr="00920597" w:rsidRDefault="009112A3" w:rsidP="009112A3">
            <w:pPr>
              <w:spacing w:line="460" w:lineRule="exact"/>
              <w:jc w:val="center"/>
              <w:rPr>
                <w:rFonts w:eastAsia="標楷體"/>
                <w:color w:val="000000" w:themeColor="text1"/>
                <w:spacing w:val="-20"/>
                <w:sz w:val="28"/>
                <w:szCs w:val="28"/>
              </w:rPr>
            </w:pPr>
            <w:r w:rsidRPr="00920597">
              <w:rPr>
                <w:rFonts w:eastAsia="標楷體"/>
                <w:color w:val="000000" w:themeColor="text1"/>
                <w:spacing w:val="-20"/>
                <w:sz w:val="28"/>
                <w:szCs w:val="28"/>
              </w:rPr>
              <w:t>5</w:t>
            </w:r>
          </w:p>
          <w:p w:rsidR="009112A3" w:rsidRPr="00920597" w:rsidRDefault="009112A3" w:rsidP="009112A3">
            <w:pPr>
              <w:spacing w:line="460" w:lineRule="exact"/>
              <w:jc w:val="center"/>
              <w:rPr>
                <w:rFonts w:eastAsia="標楷體"/>
                <w:color w:val="000000" w:themeColor="text1"/>
                <w:spacing w:val="-20"/>
                <w:sz w:val="28"/>
                <w:szCs w:val="28"/>
              </w:rPr>
            </w:pPr>
            <w:r w:rsidRPr="00920597">
              <w:rPr>
                <w:rFonts w:eastAsia="標楷體"/>
                <w:color w:val="000000" w:themeColor="text1"/>
                <w:spacing w:val="-20"/>
                <w:sz w:val="28"/>
                <w:szCs w:val="28"/>
              </w:rPr>
              <w:t>會</w:t>
            </w:r>
          </w:p>
          <w:p w:rsidR="009112A3" w:rsidRPr="00920597" w:rsidRDefault="009112A3" w:rsidP="009112A3">
            <w:pPr>
              <w:spacing w:line="460" w:lineRule="exact"/>
              <w:jc w:val="center"/>
              <w:rPr>
                <w:rFonts w:eastAsia="標楷體"/>
                <w:color w:val="000000" w:themeColor="text1"/>
                <w:spacing w:val="-20"/>
                <w:sz w:val="28"/>
                <w:szCs w:val="28"/>
              </w:rPr>
            </w:pPr>
            <w:r w:rsidRPr="00920597">
              <w:rPr>
                <w:rFonts w:eastAsia="標楷體"/>
                <w:color w:val="000000" w:themeColor="text1"/>
                <w:spacing w:val="-20"/>
                <w:sz w:val="28"/>
                <w:szCs w:val="28"/>
              </w:rPr>
              <w:t>期</w:t>
            </w:r>
          </w:p>
        </w:tc>
        <w:tc>
          <w:tcPr>
            <w:tcW w:w="552" w:type="dxa"/>
            <w:tcBorders>
              <w:top w:val="single" w:sz="4" w:space="0" w:color="auto"/>
              <w:left w:val="dashed" w:sz="4" w:space="0" w:color="auto"/>
              <w:bottom w:val="single" w:sz="18" w:space="0" w:color="auto"/>
              <w:right w:val="dashed" w:sz="4" w:space="0" w:color="auto"/>
            </w:tcBorders>
            <w:shd w:val="clear" w:color="auto" w:fill="auto"/>
          </w:tcPr>
          <w:p w:rsidR="009112A3" w:rsidRPr="00920597" w:rsidRDefault="009112A3" w:rsidP="009112A3">
            <w:pPr>
              <w:spacing w:line="460" w:lineRule="exact"/>
              <w:jc w:val="center"/>
              <w:rPr>
                <w:rFonts w:eastAsia="標楷體"/>
                <w:color w:val="000000" w:themeColor="text1"/>
                <w:spacing w:val="-20"/>
                <w:sz w:val="28"/>
                <w:szCs w:val="28"/>
              </w:rPr>
            </w:pPr>
            <w:r w:rsidRPr="00920597">
              <w:rPr>
                <w:rFonts w:eastAsia="標楷體"/>
                <w:color w:val="000000" w:themeColor="text1"/>
                <w:spacing w:val="-20"/>
                <w:sz w:val="28"/>
                <w:szCs w:val="28"/>
              </w:rPr>
              <w:t>第</w:t>
            </w:r>
          </w:p>
          <w:p w:rsidR="009112A3" w:rsidRPr="00920597" w:rsidRDefault="009112A3" w:rsidP="009112A3">
            <w:pPr>
              <w:spacing w:line="460" w:lineRule="exact"/>
              <w:jc w:val="center"/>
              <w:rPr>
                <w:rFonts w:eastAsia="標楷體"/>
                <w:color w:val="000000" w:themeColor="text1"/>
                <w:spacing w:val="-20"/>
                <w:sz w:val="28"/>
                <w:szCs w:val="28"/>
              </w:rPr>
            </w:pPr>
            <w:r w:rsidRPr="00920597">
              <w:rPr>
                <w:rFonts w:eastAsia="標楷體"/>
                <w:color w:val="000000" w:themeColor="text1"/>
                <w:spacing w:val="-20"/>
                <w:sz w:val="28"/>
                <w:szCs w:val="28"/>
              </w:rPr>
              <w:t>6</w:t>
            </w:r>
          </w:p>
          <w:p w:rsidR="009112A3" w:rsidRPr="00920597" w:rsidRDefault="009112A3" w:rsidP="009112A3">
            <w:pPr>
              <w:spacing w:line="460" w:lineRule="exact"/>
              <w:jc w:val="center"/>
              <w:rPr>
                <w:rFonts w:eastAsia="標楷體"/>
                <w:color w:val="000000" w:themeColor="text1"/>
                <w:spacing w:val="-20"/>
                <w:sz w:val="28"/>
                <w:szCs w:val="28"/>
              </w:rPr>
            </w:pPr>
            <w:r w:rsidRPr="00920597">
              <w:rPr>
                <w:rFonts w:eastAsia="標楷體"/>
                <w:color w:val="000000" w:themeColor="text1"/>
                <w:spacing w:val="-20"/>
                <w:sz w:val="28"/>
                <w:szCs w:val="28"/>
              </w:rPr>
              <w:t>會</w:t>
            </w:r>
          </w:p>
          <w:p w:rsidR="009112A3" w:rsidRPr="00920597" w:rsidRDefault="009112A3" w:rsidP="009112A3">
            <w:pPr>
              <w:spacing w:line="460" w:lineRule="exact"/>
              <w:jc w:val="center"/>
              <w:rPr>
                <w:rFonts w:eastAsia="標楷體"/>
                <w:color w:val="000000" w:themeColor="text1"/>
                <w:spacing w:val="-20"/>
                <w:sz w:val="28"/>
                <w:szCs w:val="28"/>
              </w:rPr>
            </w:pPr>
            <w:r w:rsidRPr="00920597">
              <w:rPr>
                <w:rFonts w:eastAsia="標楷體"/>
                <w:color w:val="000000" w:themeColor="text1"/>
                <w:spacing w:val="-20"/>
                <w:sz w:val="28"/>
                <w:szCs w:val="28"/>
              </w:rPr>
              <w:t>期</w:t>
            </w:r>
          </w:p>
        </w:tc>
        <w:tc>
          <w:tcPr>
            <w:tcW w:w="552" w:type="dxa"/>
            <w:tcBorders>
              <w:top w:val="single" w:sz="4" w:space="0" w:color="auto"/>
              <w:left w:val="dashed" w:sz="4" w:space="0" w:color="auto"/>
              <w:bottom w:val="single" w:sz="18" w:space="0" w:color="auto"/>
              <w:right w:val="dashed" w:sz="4" w:space="0" w:color="auto"/>
            </w:tcBorders>
            <w:shd w:val="clear" w:color="auto" w:fill="auto"/>
          </w:tcPr>
          <w:p w:rsidR="009112A3" w:rsidRPr="00920597" w:rsidRDefault="009112A3" w:rsidP="009112A3">
            <w:pPr>
              <w:spacing w:line="460" w:lineRule="exact"/>
              <w:jc w:val="center"/>
              <w:rPr>
                <w:rFonts w:eastAsia="標楷體"/>
                <w:color w:val="000000" w:themeColor="text1"/>
                <w:spacing w:val="-20"/>
                <w:sz w:val="28"/>
                <w:szCs w:val="28"/>
              </w:rPr>
            </w:pPr>
            <w:r w:rsidRPr="00920597">
              <w:rPr>
                <w:rFonts w:eastAsia="標楷體"/>
                <w:color w:val="000000" w:themeColor="text1"/>
                <w:spacing w:val="-20"/>
                <w:sz w:val="28"/>
                <w:szCs w:val="28"/>
              </w:rPr>
              <w:t>第</w:t>
            </w:r>
          </w:p>
          <w:p w:rsidR="009112A3" w:rsidRPr="00920597" w:rsidRDefault="009112A3" w:rsidP="009112A3">
            <w:pPr>
              <w:spacing w:line="460" w:lineRule="exact"/>
              <w:jc w:val="center"/>
              <w:rPr>
                <w:rFonts w:eastAsia="標楷體"/>
                <w:color w:val="000000" w:themeColor="text1"/>
                <w:spacing w:val="-20"/>
                <w:sz w:val="28"/>
                <w:szCs w:val="28"/>
              </w:rPr>
            </w:pPr>
            <w:r w:rsidRPr="00920597">
              <w:rPr>
                <w:rFonts w:eastAsia="標楷體"/>
                <w:color w:val="000000" w:themeColor="text1"/>
                <w:spacing w:val="-20"/>
                <w:sz w:val="28"/>
                <w:szCs w:val="28"/>
              </w:rPr>
              <w:t>7</w:t>
            </w:r>
          </w:p>
          <w:p w:rsidR="009112A3" w:rsidRPr="00920597" w:rsidRDefault="009112A3" w:rsidP="009112A3">
            <w:pPr>
              <w:spacing w:line="460" w:lineRule="exact"/>
              <w:jc w:val="center"/>
              <w:rPr>
                <w:rFonts w:eastAsia="標楷體"/>
                <w:color w:val="000000" w:themeColor="text1"/>
                <w:spacing w:val="-20"/>
                <w:sz w:val="28"/>
                <w:szCs w:val="28"/>
              </w:rPr>
            </w:pPr>
            <w:r w:rsidRPr="00920597">
              <w:rPr>
                <w:rFonts w:eastAsia="標楷體"/>
                <w:color w:val="000000" w:themeColor="text1"/>
                <w:spacing w:val="-20"/>
                <w:sz w:val="28"/>
                <w:szCs w:val="28"/>
              </w:rPr>
              <w:t>會</w:t>
            </w:r>
          </w:p>
          <w:p w:rsidR="009112A3" w:rsidRPr="00920597" w:rsidRDefault="009112A3" w:rsidP="009112A3">
            <w:pPr>
              <w:spacing w:line="460" w:lineRule="exact"/>
              <w:jc w:val="center"/>
              <w:rPr>
                <w:rFonts w:eastAsia="標楷體"/>
                <w:color w:val="000000" w:themeColor="text1"/>
                <w:spacing w:val="-20"/>
                <w:sz w:val="28"/>
                <w:szCs w:val="28"/>
              </w:rPr>
            </w:pPr>
            <w:r w:rsidRPr="00920597">
              <w:rPr>
                <w:rFonts w:eastAsia="標楷體"/>
                <w:color w:val="000000" w:themeColor="text1"/>
                <w:spacing w:val="-20"/>
                <w:sz w:val="28"/>
                <w:szCs w:val="28"/>
              </w:rPr>
              <w:t>期</w:t>
            </w:r>
          </w:p>
        </w:tc>
        <w:tc>
          <w:tcPr>
            <w:tcW w:w="552" w:type="dxa"/>
            <w:tcBorders>
              <w:top w:val="single" w:sz="4" w:space="0" w:color="auto"/>
              <w:left w:val="dashed" w:sz="4" w:space="0" w:color="auto"/>
              <w:bottom w:val="single" w:sz="18" w:space="0" w:color="auto"/>
              <w:right w:val="dashed" w:sz="4" w:space="0" w:color="auto"/>
            </w:tcBorders>
            <w:shd w:val="clear" w:color="auto" w:fill="auto"/>
          </w:tcPr>
          <w:p w:rsidR="009112A3" w:rsidRPr="00920597" w:rsidRDefault="009112A3" w:rsidP="009112A3">
            <w:pPr>
              <w:spacing w:line="460" w:lineRule="exact"/>
              <w:jc w:val="center"/>
              <w:rPr>
                <w:rFonts w:eastAsia="標楷體"/>
                <w:color w:val="000000" w:themeColor="text1"/>
                <w:spacing w:val="-20"/>
                <w:sz w:val="28"/>
                <w:szCs w:val="28"/>
              </w:rPr>
            </w:pPr>
            <w:r w:rsidRPr="00920597">
              <w:rPr>
                <w:rFonts w:eastAsia="標楷體"/>
                <w:color w:val="000000" w:themeColor="text1"/>
                <w:spacing w:val="-20"/>
                <w:sz w:val="28"/>
                <w:szCs w:val="28"/>
              </w:rPr>
              <w:t>第</w:t>
            </w:r>
          </w:p>
          <w:p w:rsidR="009112A3" w:rsidRPr="00920597" w:rsidRDefault="009112A3" w:rsidP="009112A3">
            <w:pPr>
              <w:spacing w:line="460" w:lineRule="exact"/>
              <w:jc w:val="center"/>
              <w:rPr>
                <w:rFonts w:eastAsia="標楷體"/>
                <w:color w:val="000000" w:themeColor="text1"/>
                <w:spacing w:val="-20"/>
                <w:sz w:val="28"/>
                <w:szCs w:val="28"/>
              </w:rPr>
            </w:pPr>
            <w:r w:rsidRPr="00920597">
              <w:rPr>
                <w:rFonts w:eastAsia="標楷體"/>
                <w:color w:val="000000" w:themeColor="text1"/>
                <w:spacing w:val="-20"/>
                <w:sz w:val="28"/>
                <w:szCs w:val="28"/>
              </w:rPr>
              <w:t>8</w:t>
            </w:r>
          </w:p>
          <w:p w:rsidR="009112A3" w:rsidRPr="00920597" w:rsidRDefault="009112A3" w:rsidP="009112A3">
            <w:pPr>
              <w:spacing w:line="460" w:lineRule="exact"/>
              <w:jc w:val="center"/>
              <w:rPr>
                <w:rFonts w:eastAsia="標楷體"/>
                <w:color w:val="000000" w:themeColor="text1"/>
                <w:spacing w:val="-20"/>
                <w:sz w:val="28"/>
                <w:szCs w:val="28"/>
              </w:rPr>
            </w:pPr>
            <w:r w:rsidRPr="00920597">
              <w:rPr>
                <w:rFonts w:eastAsia="標楷體"/>
                <w:color w:val="000000" w:themeColor="text1"/>
                <w:spacing w:val="-20"/>
                <w:sz w:val="28"/>
                <w:szCs w:val="28"/>
              </w:rPr>
              <w:t>會</w:t>
            </w:r>
          </w:p>
          <w:p w:rsidR="009112A3" w:rsidRPr="00920597" w:rsidRDefault="009112A3" w:rsidP="009112A3">
            <w:pPr>
              <w:spacing w:line="460" w:lineRule="exact"/>
              <w:jc w:val="center"/>
              <w:rPr>
                <w:rFonts w:eastAsia="標楷體"/>
                <w:color w:val="000000" w:themeColor="text1"/>
                <w:spacing w:val="-20"/>
                <w:sz w:val="28"/>
                <w:szCs w:val="28"/>
              </w:rPr>
            </w:pPr>
            <w:r w:rsidRPr="00920597">
              <w:rPr>
                <w:rFonts w:eastAsia="標楷體"/>
                <w:color w:val="000000" w:themeColor="text1"/>
                <w:spacing w:val="-20"/>
                <w:sz w:val="28"/>
                <w:szCs w:val="28"/>
              </w:rPr>
              <w:t>期</w:t>
            </w:r>
          </w:p>
        </w:tc>
        <w:tc>
          <w:tcPr>
            <w:tcW w:w="689" w:type="dxa"/>
            <w:vMerge/>
            <w:tcBorders>
              <w:left w:val="dashed" w:sz="4" w:space="0" w:color="auto"/>
              <w:bottom w:val="single" w:sz="18" w:space="0" w:color="auto"/>
              <w:right w:val="dashed" w:sz="4" w:space="0" w:color="auto"/>
            </w:tcBorders>
            <w:shd w:val="clear" w:color="auto" w:fill="auto"/>
          </w:tcPr>
          <w:p w:rsidR="009112A3" w:rsidRPr="00920597" w:rsidRDefault="009112A3" w:rsidP="009112A3">
            <w:pPr>
              <w:spacing w:line="300" w:lineRule="exact"/>
              <w:ind w:rightChars="-45" w:right="-108"/>
              <w:rPr>
                <w:rFonts w:ascii="標楷體" w:eastAsia="標楷體" w:hAnsi="標楷體"/>
                <w:b/>
                <w:color w:val="000000" w:themeColor="text1"/>
                <w:spacing w:val="-20"/>
                <w:szCs w:val="24"/>
              </w:rPr>
            </w:pPr>
          </w:p>
        </w:tc>
        <w:tc>
          <w:tcPr>
            <w:tcW w:w="721" w:type="dxa"/>
            <w:vMerge/>
            <w:tcBorders>
              <w:left w:val="dashed" w:sz="4" w:space="0" w:color="auto"/>
              <w:bottom w:val="single" w:sz="18" w:space="0" w:color="auto"/>
              <w:right w:val="single" w:sz="18" w:space="0" w:color="auto"/>
            </w:tcBorders>
            <w:shd w:val="clear" w:color="auto" w:fill="auto"/>
          </w:tcPr>
          <w:p w:rsidR="009112A3" w:rsidRPr="00920597" w:rsidRDefault="009112A3" w:rsidP="009112A3">
            <w:pPr>
              <w:spacing w:line="240" w:lineRule="exact"/>
              <w:jc w:val="center"/>
              <w:rPr>
                <w:rFonts w:ascii="標楷體" w:eastAsia="標楷體" w:hAnsi="標楷體"/>
                <w:color w:val="000000" w:themeColor="text1"/>
                <w:sz w:val="20"/>
              </w:rPr>
            </w:pPr>
          </w:p>
        </w:tc>
        <w:tc>
          <w:tcPr>
            <w:tcW w:w="854" w:type="dxa"/>
            <w:vMerge/>
            <w:tcBorders>
              <w:left w:val="single" w:sz="18" w:space="0" w:color="auto"/>
              <w:bottom w:val="single" w:sz="18" w:space="0" w:color="auto"/>
              <w:right w:val="single" w:sz="18" w:space="0" w:color="auto"/>
            </w:tcBorders>
            <w:shd w:val="clear" w:color="auto" w:fill="auto"/>
          </w:tcPr>
          <w:p w:rsidR="009112A3" w:rsidRPr="00920597" w:rsidRDefault="009112A3" w:rsidP="009112A3">
            <w:pPr>
              <w:spacing w:line="260" w:lineRule="exact"/>
              <w:jc w:val="center"/>
              <w:rPr>
                <w:rFonts w:ascii="標楷體" w:eastAsia="標楷體" w:hAnsi="標楷體"/>
                <w:color w:val="000000" w:themeColor="text1"/>
                <w:szCs w:val="24"/>
              </w:rPr>
            </w:pPr>
          </w:p>
        </w:tc>
        <w:tc>
          <w:tcPr>
            <w:tcW w:w="730" w:type="dxa"/>
            <w:vMerge/>
            <w:tcBorders>
              <w:left w:val="single" w:sz="4" w:space="0" w:color="auto"/>
              <w:bottom w:val="single" w:sz="18" w:space="0" w:color="auto"/>
              <w:right w:val="single" w:sz="18" w:space="0" w:color="auto"/>
            </w:tcBorders>
            <w:shd w:val="clear" w:color="auto" w:fill="auto"/>
          </w:tcPr>
          <w:p w:rsidR="009112A3" w:rsidRPr="00920597" w:rsidRDefault="009112A3" w:rsidP="009112A3">
            <w:pPr>
              <w:spacing w:line="260" w:lineRule="exact"/>
              <w:jc w:val="center"/>
              <w:rPr>
                <w:rFonts w:ascii="標楷體" w:eastAsia="標楷體" w:hAnsi="標楷體"/>
                <w:color w:val="000000" w:themeColor="text1"/>
                <w:szCs w:val="24"/>
              </w:rPr>
            </w:pPr>
          </w:p>
        </w:tc>
      </w:tr>
      <w:tr w:rsidR="000121AE" w:rsidRPr="00920597" w:rsidTr="00964865">
        <w:trPr>
          <w:trHeight w:val="510"/>
        </w:trPr>
        <w:tc>
          <w:tcPr>
            <w:tcW w:w="586" w:type="dxa"/>
            <w:vMerge w:val="restart"/>
            <w:tcBorders>
              <w:top w:val="single" w:sz="18" w:space="0" w:color="auto"/>
              <w:left w:val="single" w:sz="18" w:space="0" w:color="auto"/>
              <w:bottom w:val="single" w:sz="18" w:space="0" w:color="auto"/>
              <w:right w:val="single" w:sz="4" w:space="0" w:color="auto"/>
            </w:tcBorders>
            <w:shd w:val="clear" w:color="auto" w:fill="auto"/>
            <w:vAlign w:val="center"/>
          </w:tcPr>
          <w:p w:rsidR="009112A3" w:rsidRPr="00920597" w:rsidRDefault="009112A3" w:rsidP="009112A3">
            <w:pPr>
              <w:spacing w:line="360" w:lineRule="exact"/>
              <w:jc w:val="center"/>
              <w:rPr>
                <w:rFonts w:ascii="標楷體" w:eastAsia="標楷體" w:hAnsi="標楷體" w:cs="Mangal"/>
                <w:bCs/>
                <w:color w:val="000000" w:themeColor="text1"/>
                <w:spacing w:val="-20"/>
                <w:sz w:val="28"/>
                <w:szCs w:val="28"/>
              </w:rPr>
            </w:pPr>
            <w:r w:rsidRPr="00920597">
              <w:rPr>
                <w:rFonts w:ascii="標楷體" w:eastAsia="標楷體" w:hAnsi="標楷體" w:cs="Mangal" w:hint="eastAsia"/>
                <w:bCs/>
                <w:color w:val="000000" w:themeColor="text1"/>
                <w:spacing w:val="-20"/>
                <w:sz w:val="28"/>
                <w:szCs w:val="28"/>
              </w:rPr>
              <w:t>院</w:t>
            </w:r>
          </w:p>
          <w:p w:rsidR="009112A3" w:rsidRPr="00920597" w:rsidRDefault="009112A3" w:rsidP="009112A3">
            <w:pPr>
              <w:spacing w:line="360" w:lineRule="exact"/>
              <w:jc w:val="center"/>
              <w:rPr>
                <w:rFonts w:ascii="標楷體" w:eastAsia="標楷體" w:hAnsi="標楷體" w:cs="Mangal"/>
                <w:bCs/>
                <w:color w:val="000000" w:themeColor="text1"/>
                <w:spacing w:val="-20"/>
                <w:sz w:val="28"/>
                <w:szCs w:val="28"/>
              </w:rPr>
            </w:pPr>
            <w:r w:rsidRPr="00920597">
              <w:rPr>
                <w:rFonts w:ascii="標楷體" w:eastAsia="標楷體" w:hAnsi="標楷體" w:cs="Mangal" w:hint="eastAsia"/>
                <w:bCs/>
                <w:color w:val="000000" w:themeColor="text1"/>
                <w:spacing w:val="-20"/>
                <w:sz w:val="28"/>
                <w:szCs w:val="28"/>
              </w:rPr>
              <w:t>會</w:t>
            </w:r>
          </w:p>
          <w:p w:rsidR="009112A3" w:rsidRPr="00920597" w:rsidRDefault="009112A3" w:rsidP="009112A3">
            <w:pPr>
              <w:spacing w:line="360" w:lineRule="exact"/>
              <w:jc w:val="center"/>
              <w:rPr>
                <w:rFonts w:ascii="標楷體" w:eastAsia="標楷體" w:hAnsi="標楷體" w:cs="Mangal"/>
                <w:bCs/>
                <w:color w:val="000000" w:themeColor="text1"/>
                <w:spacing w:val="-20"/>
                <w:sz w:val="28"/>
                <w:szCs w:val="28"/>
              </w:rPr>
            </w:pPr>
            <w:r w:rsidRPr="00920597">
              <w:rPr>
                <w:rFonts w:ascii="標楷體" w:eastAsia="標楷體" w:hAnsi="標楷體" w:cs="Mangal" w:hint="eastAsia"/>
                <w:bCs/>
                <w:color w:val="000000" w:themeColor="text1"/>
                <w:spacing w:val="-20"/>
                <w:sz w:val="28"/>
                <w:szCs w:val="28"/>
              </w:rPr>
              <w:t>交</w:t>
            </w:r>
          </w:p>
          <w:p w:rsidR="009112A3" w:rsidRPr="00920597" w:rsidRDefault="009112A3" w:rsidP="009112A3">
            <w:pPr>
              <w:spacing w:line="360" w:lineRule="exact"/>
              <w:jc w:val="center"/>
              <w:rPr>
                <w:rFonts w:ascii="標楷體" w:eastAsia="標楷體" w:hAnsi="標楷體" w:cs="Mangal"/>
                <w:bCs/>
                <w:color w:val="000000" w:themeColor="text1"/>
                <w:spacing w:val="-20"/>
                <w:sz w:val="28"/>
                <w:szCs w:val="28"/>
              </w:rPr>
            </w:pPr>
            <w:r w:rsidRPr="00920597">
              <w:rPr>
                <w:rFonts w:ascii="標楷體" w:eastAsia="標楷體" w:hAnsi="標楷體" w:cs="Mangal" w:hint="eastAsia"/>
                <w:bCs/>
                <w:color w:val="000000" w:themeColor="text1"/>
                <w:spacing w:val="-20"/>
                <w:sz w:val="28"/>
                <w:szCs w:val="28"/>
              </w:rPr>
              <w:t>付</w:t>
            </w:r>
          </w:p>
          <w:p w:rsidR="009112A3" w:rsidRPr="00920597" w:rsidRDefault="009112A3" w:rsidP="009112A3">
            <w:pPr>
              <w:spacing w:line="360" w:lineRule="exact"/>
              <w:jc w:val="center"/>
              <w:rPr>
                <w:rFonts w:ascii="標楷體" w:eastAsia="標楷體" w:hAnsi="標楷體" w:cs="Mangal"/>
                <w:bCs/>
                <w:color w:val="000000" w:themeColor="text1"/>
                <w:spacing w:val="-20"/>
                <w:sz w:val="28"/>
                <w:szCs w:val="28"/>
              </w:rPr>
            </w:pPr>
            <w:r w:rsidRPr="00920597">
              <w:rPr>
                <w:rFonts w:ascii="標楷體" w:eastAsia="標楷體" w:hAnsi="標楷體" w:cs="Mangal" w:hint="eastAsia"/>
                <w:bCs/>
                <w:color w:val="000000" w:themeColor="text1"/>
                <w:spacing w:val="-20"/>
                <w:sz w:val="28"/>
                <w:szCs w:val="28"/>
              </w:rPr>
              <w:t>審</w:t>
            </w:r>
          </w:p>
          <w:p w:rsidR="009112A3" w:rsidRPr="00920597" w:rsidRDefault="009112A3" w:rsidP="009112A3">
            <w:pPr>
              <w:spacing w:line="360" w:lineRule="exact"/>
              <w:jc w:val="center"/>
              <w:rPr>
                <w:rFonts w:ascii="標楷體" w:eastAsia="標楷體" w:hAnsi="標楷體" w:cs="Mangal"/>
                <w:bCs/>
                <w:color w:val="000000" w:themeColor="text1"/>
                <w:spacing w:val="-20"/>
                <w:sz w:val="28"/>
                <w:szCs w:val="28"/>
              </w:rPr>
            </w:pPr>
            <w:r w:rsidRPr="00920597">
              <w:rPr>
                <w:rFonts w:ascii="標楷體" w:eastAsia="標楷體" w:hAnsi="標楷體" w:cs="Mangal" w:hint="eastAsia"/>
                <w:bCs/>
                <w:color w:val="000000" w:themeColor="text1"/>
                <w:spacing w:val="-20"/>
                <w:sz w:val="28"/>
                <w:szCs w:val="28"/>
              </w:rPr>
              <w:t>查</w:t>
            </w:r>
          </w:p>
          <w:p w:rsidR="009112A3" w:rsidRPr="00920597" w:rsidRDefault="009112A3" w:rsidP="009112A3">
            <w:pPr>
              <w:spacing w:line="360" w:lineRule="exact"/>
              <w:jc w:val="center"/>
              <w:rPr>
                <w:rFonts w:ascii="標楷體" w:eastAsia="標楷體" w:hAnsi="標楷體" w:cs="Mangal"/>
                <w:bCs/>
                <w:color w:val="000000" w:themeColor="text1"/>
                <w:spacing w:val="-20"/>
                <w:sz w:val="28"/>
                <w:szCs w:val="28"/>
              </w:rPr>
            </w:pPr>
            <w:r w:rsidRPr="00920597">
              <w:rPr>
                <w:rFonts w:ascii="標楷體" w:eastAsia="標楷體" w:hAnsi="標楷體" w:cs="Mangal" w:hint="eastAsia"/>
                <w:bCs/>
                <w:color w:val="000000" w:themeColor="text1"/>
                <w:spacing w:val="-20"/>
                <w:sz w:val="28"/>
                <w:szCs w:val="28"/>
              </w:rPr>
              <w:t>及</w:t>
            </w:r>
          </w:p>
          <w:p w:rsidR="009112A3" w:rsidRPr="00920597" w:rsidRDefault="009112A3" w:rsidP="009112A3">
            <w:pPr>
              <w:spacing w:line="360" w:lineRule="exact"/>
              <w:jc w:val="center"/>
              <w:rPr>
                <w:rFonts w:ascii="標楷體" w:eastAsia="標楷體" w:hAnsi="標楷體" w:cs="Mangal"/>
                <w:bCs/>
                <w:color w:val="000000" w:themeColor="text1"/>
                <w:spacing w:val="-20"/>
                <w:sz w:val="28"/>
                <w:szCs w:val="28"/>
              </w:rPr>
            </w:pPr>
            <w:r w:rsidRPr="00920597">
              <w:rPr>
                <w:rFonts w:ascii="標楷體" w:eastAsia="標楷體" w:hAnsi="標楷體" w:cs="Mangal" w:hint="eastAsia"/>
                <w:bCs/>
                <w:color w:val="000000" w:themeColor="text1"/>
                <w:spacing w:val="-20"/>
                <w:sz w:val="28"/>
                <w:szCs w:val="28"/>
              </w:rPr>
              <w:t>處</w:t>
            </w:r>
          </w:p>
          <w:p w:rsidR="009112A3" w:rsidRPr="00920597" w:rsidRDefault="009112A3" w:rsidP="009112A3">
            <w:pPr>
              <w:spacing w:line="360" w:lineRule="exact"/>
              <w:jc w:val="center"/>
              <w:rPr>
                <w:rFonts w:ascii="標楷體" w:eastAsia="標楷體" w:hAnsi="標楷體" w:cs="Mangal"/>
                <w:bCs/>
                <w:color w:val="000000" w:themeColor="text1"/>
                <w:spacing w:val="-20"/>
                <w:sz w:val="28"/>
                <w:szCs w:val="28"/>
              </w:rPr>
            </w:pPr>
            <w:r w:rsidRPr="00920597">
              <w:rPr>
                <w:rFonts w:ascii="標楷體" w:eastAsia="標楷體" w:hAnsi="標楷體" w:cs="Mangal" w:hint="eastAsia"/>
                <w:bCs/>
                <w:color w:val="000000" w:themeColor="text1"/>
                <w:spacing w:val="-20"/>
                <w:sz w:val="28"/>
                <w:szCs w:val="28"/>
              </w:rPr>
              <w:t>理</w:t>
            </w:r>
          </w:p>
        </w:tc>
        <w:tc>
          <w:tcPr>
            <w:tcW w:w="2151" w:type="dxa"/>
            <w:tcBorders>
              <w:top w:val="single" w:sz="18" w:space="0" w:color="auto"/>
              <w:left w:val="single" w:sz="4" w:space="0" w:color="auto"/>
              <w:right w:val="single" w:sz="18" w:space="0" w:color="auto"/>
            </w:tcBorders>
            <w:shd w:val="clear" w:color="auto" w:fill="auto"/>
            <w:vAlign w:val="center"/>
          </w:tcPr>
          <w:p w:rsidR="009112A3" w:rsidRPr="00920597"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r w:rsidRPr="00920597">
              <w:rPr>
                <w:rFonts w:ascii="標楷體" w:eastAsia="標楷體" w:hAnsi="標楷體" w:cs="Mangal" w:hint="eastAsia"/>
                <w:bCs/>
                <w:color w:val="000000" w:themeColor="text1"/>
                <w:spacing w:val="-20"/>
                <w:sz w:val="28"/>
                <w:szCs w:val="28"/>
              </w:rPr>
              <w:t>［一］法律案</w:t>
            </w:r>
          </w:p>
        </w:tc>
        <w:tc>
          <w:tcPr>
            <w:tcW w:w="666" w:type="dxa"/>
            <w:tcBorders>
              <w:top w:val="single" w:sz="18" w:space="0" w:color="auto"/>
              <w:left w:val="single" w:sz="18" w:space="0" w:color="auto"/>
              <w:right w:val="dashed" w:sz="4" w:space="0" w:color="auto"/>
            </w:tcBorders>
            <w:shd w:val="clear" w:color="auto" w:fill="auto"/>
            <w:vAlign w:val="center"/>
          </w:tcPr>
          <w:p w:rsidR="009112A3" w:rsidRPr="00920597" w:rsidRDefault="009112A3" w:rsidP="009112A3">
            <w:pPr>
              <w:jc w:val="center"/>
              <w:rPr>
                <w:rFonts w:ascii="標楷體" w:eastAsia="標楷體" w:hAnsi="標楷體" w:cs="新細明體"/>
                <w:color w:val="000000" w:themeColor="text1"/>
                <w:spacing w:val="-20"/>
                <w:szCs w:val="24"/>
              </w:rPr>
            </w:pPr>
            <w:r w:rsidRPr="00920597">
              <w:rPr>
                <w:rFonts w:ascii="標楷體" w:eastAsia="標楷體" w:hAnsi="標楷體" w:cs="新細明體" w:hint="eastAsia"/>
                <w:color w:val="000000" w:themeColor="text1"/>
                <w:spacing w:val="-20"/>
                <w:szCs w:val="24"/>
              </w:rPr>
              <w:t>4</w:t>
            </w:r>
          </w:p>
        </w:tc>
        <w:tc>
          <w:tcPr>
            <w:tcW w:w="552" w:type="dxa"/>
            <w:tcBorders>
              <w:top w:val="single" w:sz="18" w:space="0" w:color="auto"/>
              <w:left w:val="dashed" w:sz="4" w:space="0" w:color="auto"/>
              <w:right w:val="dashed" w:sz="4" w:space="0" w:color="auto"/>
            </w:tcBorders>
            <w:shd w:val="clear" w:color="auto" w:fill="auto"/>
            <w:vAlign w:val="center"/>
          </w:tcPr>
          <w:p w:rsidR="009112A3" w:rsidRPr="00920597" w:rsidRDefault="001278AF" w:rsidP="009112A3">
            <w:pPr>
              <w:jc w:val="center"/>
              <w:rPr>
                <w:rFonts w:ascii="標楷體" w:eastAsia="標楷體" w:hAnsi="標楷體" w:cs="新細明體"/>
                <w:color w:val="000000" w:themeColor="text1"/>
                <w:spacing w:val="-20"/>
                <w:szCs w:val="24"/>
              </w:rPr>
            </w:pPr>
            <w:r w:rsidRPr="00920597">
              <w:rPr>
                <w:rFonts w:ascii="標楷體" w:eastAsia="標楷體" w:hAnsi="標楷體" w:cs="新細明體" w:hint="eastAsia"/>
                <w:color w:val="000000" w:themeColor="text1"/>
                <w:spacing w:val="-20"/>
                <w:szCs w:val="24"/>
              </w:rPr>
              <w:t>24</w:t>
            </w:r>
          </w:p>
        </w:tc>
        <w:tc>
          <w:tcPr>
            <w:tcW w:w="552" w:type="dxa"/>
            <w:tcBorders>
              <w:top w:val="single" w:sz="18" w:space="0" w:color="auto"/>
              <w:left w:val="dashed" w:sz="4" w:space="0" w:color="auto"/>
              <w:right w:val="dashed" w:sz="4" w:space="0" w:color="auto"/>
            </w:tcBorders>
            <w:shd w:val="clear" w:color="auto" w:fill="auto"/>
            <w:vAlign w:val="center"/>
          </w:tcPr>
          <w:p w:rsidR="009112A3" w:rsidRPr="00920597" w:rsidRDefault="00C33710" w:rsidP="009112A3">
            <w:pPr>
              <w:jc w:val="center"/>
              <w:rPr>
                <w:rFonts w:ascii="標楷體" w:eastAsia="標楷體" w:hAnsi="標楷體" w:cs="新細明體"/>
                <w:color w:val="000000" w:themeColor="text1"/>
                <w:spacing w:val="-20"/>
                <w:szCs w:val="24"/>
              </w:rPr>
            </w:pPr>
            <w:r w:rsidRPr="00920597">
              <w:rPr>
                <w:rFonts w:ascii="標楷體" w:eastAsia="標楷體" w:hAnsi="標楷體" w:cs="新細明體"/>
                <w:color w:val="000000" w:themeColor="text1"/>
                <w:spacing w:val="-20"/>
                <w:szCs w:val="24"/>
              </w:rPr>
              <w:t>54</w:t>
            </w:r>
          </w:p>
        </w:tc>
        <w:tc>
          <w:tcPr>
            <w:tcW w:w="552" w:type="dxa"/>
            <w:tcBorders>
              <w:top w:val="single" w:sz="18" w:space="0" w:color="auto"/>
              <w:left w:val="dashed" w:sz="4" w:space="0" w:color="auto"/>
              <w:right w:val="dashed" w:sz="4" w:space="0" w:color="auto"/>
            </w:tcBorders>
            <w:shd w:val="clear" w:color="auto" w:fill="auto"/>
            <w:vAlign w:val="center"/>
          </w:tcPr>
          <w:p w:rsidR="009112A3" w:rsidRPr="00920597" w:rsidRDefault="00737E6B" w:rsidP="00B626E9">
            <w:pPr>
              <w:jc w:val="center"/>
              <w:rPr>
                <w:rFonts w:ascii="標楷體" w:eastAsia="標楷體" w:hAnsi="標楷體" w:cs="新細明體"/>
                <w:color w:val="000000" w:themeColor="text1"/>
                <w:spacing w:val="-20"/>
                <w:szCs w:val="24"/>
              </w:rPr>
            </w:pPr>
            <w:r w:rsidRPr="00920597">
              <w:rPr>
                <w:rFonts w:ascii="標楷體" w:eastAsia="標楷體" w:hAnsi="標楷體" w:cs="新細明體"/>
                <w:color w:val="000000" w:themeColor="text1"/>
                <w:spacing w:val="-20"/>
                <w:szCs w:val="24"/>
              </w:rPr>
              <w:t>27</w:t>
            </w:r>
          </w:p>
        </w:tc>
        <w:tc>
          <w:tcPr>
            <w:tcW w:w="552" w:type="dxa"/>
            <w:tcBorders>
              <w:top w:val="single" w:sz="18" w:space="0" w:color="auto"/>
              <w:left w:val="dashed" w:sz="4" w:space="0" w:color="auto"/>
              <w:bottom w:val="single" w:sz="4" w:space="0" w:color="auto"/>
              <w:right w:val="dashed" w:sz="4" w:space="0" w:color="auto"/>
            </w:tcBorders>
            <w:shd w:val="clear" w:color="auto" w:fill="auto"/>
            <w:vAlign w:val="center"/>
          </w:tcPr>
          <w:p w:rsidR="009112A3" w:rsidRPr="00920597" w:rsidRDefault="004A66DD" w:rsidP="009112A3">
            <w:pPr>
              <w:jc w:val="center"/>
              <w:rPr>
                <w:rFonts w:ascii="標楷體" w:eastAsia="標楷體" w:hAnsi="標楷體" w:cs="新細明體"/>
                <w:color w:val="000000" w:themeColor="text1"/>
                <w:spacing w:val="-20"/>
                <w:szCs w:val="24"/>
              </w:rPr>
            </w:pPr>
            <w:r w:rsidRPr="00920597">
              <w:rPr>
                <w:rFonts w:ascii="標楷體" w:eastAsia="標楷體" w:hAnsi="標楷體" w:cs="新細明體"/>
                <w:color w:val="000000" w:themeColor="text1"/>
                <w:spacing w:val="-20"/>
                <w:szCs w:val="24"/>
              </w:rPr>
              <w:t>88</w:t>
            </w:r>
          </w:p>
        </w:tc>
        <w:tc>
          <w:tcPr>
            <w:tcW w:w="552" w:type="dxa"/>
            <w:tcBorders>
              <w:top w:val="single" w:sz="18" w:space="0" w:color="auto"/>
              <w:left w:val="dashed" w:sz="4" w:space="0" w:color="auto"/>
              <w:bottom w:val="single" w:sz="4" w:space="0" w:color="auto"/>
              <w:right w:val="dashed" w:sz="4" w:space="0" w:color="auto"/>
            </w:tcBorders>
            <w:shd w:val="clear" w:color="auto" w:fill="auto"/>
            <w:vAlign w:val="center"/>
          </w:tcPr>
          <w:p w:rsidR="009112A3" w:rsidRPr="00964865" w:rsidRDefault="00C024D0" w:rsidP="009112A3">
            <w:pPr>
              <w:jc w:val="center"/>
              <w:rPr>
                <w:rFonts w:ascii="標楷體" w:eastAsia="標楷體" w:hAnsi="標楷體" w:cs="新細明體"/>
                <w:spacing w:val="-20"/>
                <w:szCs w:val="24"/>
              </w:rPr>
            </w:pPr>
            <w:r w:rsidRPr="00964865">
              <w:rPr>
                <w:rFonts w:ascii="標楷體" w:eastAsia="標楷體" w:hAnsi="標楷體" w:cs="新細明體" w:hint="eastAsia"/>
                <w:spacing w:val="-20"/>
                <w:szCs w:val="24"/>
              </w:rPr>
              <w:t>7</w:t>
            </w:r>
          </w:p>
        </w:tc>
        <w:tc>
          <w:tcPr>
            <w:tcW w:w="552" w:type="dxa"/>
            <w:tcBorders>
              <w:top w:val="single" w:sz="18" w:space="0" w:color="auto"/>
              <w:left w:val="dashed" w:sz="4" w:space="0" w:color="auto"/>
              <w:bottom w:val="single" w:sz="4" w:space="0" w:color="auto"/>
              <w:right w:val="dashed" w:sz="4" w:space="0" w:color="auto"/>
            </w:tcBorders>
            <w:shd w:val="clear" w:color="auto" w:fill="auto"/>
            <w:vAlign w:val="center"/>
          </w:tcPr>
          <w:p w:rsidR="009112A3" w:rsidRPr="00964865" w:rsidRDefault="009112A3" w:rsidP="009112A3">
            <w:pPr>
              <w:jc w:val="center"/>
              <w:rPr>
                <w:rFonts w:ascii="標楷體" w:eastAsia="標楷體" w:hAnsi="標楷體" w:cs="新細明體"/>
                <w:spacing w:val="-20"/>
                <w:szCs w:val="24"/>
              </w:rPr>
            </w:pPr>
          </w:p>
        </w:tc>
        <w:tc>
          <w:tcPr>
            <w:tcW w:w="552" w:type="dxa"/>
            <w:tcBorders>
              <w:top w:val="single" w:sz="18" w:space="0" w:color="auto"/>
              <w:left w:val="dashed" w:sz="4" w:space="0" w:color="auto"/>
              <w:bottom w:val="single" w:sz="4" w:space="0" w:color="auto"/>
              <w:right w:val="dashed" w:sz="4" w:space="0" w:color="auto"/>
            </w:tcBorders>
            <w:shd w:val="clear" w:color="auto" w:fill="auto"/>
            <w:vAlign w:val="center"/>
          </w:tcPr>
          <w:p w:rsidR="009112A3" w:rsidRPr="00964865" w:rsidRDefault="009112A3" w:rsidP="009112A3">
            <w:pPr>
              <w:jc w:val="center"/>
              <w:rPr>
                <w:rFonts w:ascii="標楷體" w:eastAsia="標楷體" w:hAnsi="標楷體" w:cs="新細明體"/>
                <w:spacing w:val="-20"/>
                <w:szCs w:val="24"/>
                <w:shd w:val="pct15" w:color="auto" w:fill="FFFFFF"/>
              </w:rPr>
            </w:pPr>
          </w:p>
        </w:tc>
        <w:tc>
          <w:tcPr>
            <w:tcW w:w="689" w:type="dxa"/>
            <w:tcBorders>
              <w:top w:val="single" w:sz="18" w:space="0" w:color="auto"/>
              <w:left w:val="dashed" w:sz="4" w:space="0" w:color="auto"/>
              <w:bottom w:val="single" w:sz="4" w:space="0" w:color="auto"/>
              <w:right w:val="single" w:sz="4" w:space="0" w:color="auto"/>
            </w:tcBorders>
            <w:shd w:val="clear" w:color="auto" w:fill="auto"/>
            <w:vAlign w:val="center"/>
          </w:tcPr>
          <w:p w:rsidR="009112A3" w:rsidRPr="00964865" w:rsidRDefault="00C024D0" w:rsidP="00C33710">
            <w:pPr>
              <w:jc w:val="center"/>
              <w:rPr>
                <w:rFonts w:ascii="標楷體" w:eastAsia="標楷體" w:hAnsi="標楷體" w:cs="新細明體"/>
                <w:spacing w:val="-20"/>
                <w:szCs w:val="24"/>
              </w:rPr>
            </w:pPr>
            <w:r w:rsidRPr="00964865">
              <w:rPr>
                <w:rFonts w:ascii="標楷體" w:eastAsia="標楷體" w:hAnsi="標楷體" w:cs="新細明體" w:hint="eastAsia"/>
                <w:spacing w:val="-20"/>
                <w:szCs w:val="24"/>
              </w:rPr>
              <w:t>33</w:t>
            </w:r>
          </w:p>
        </w:tc>
        <w:tc>
          <w:tcPr>
            <w:tcW w:w="721" w:type="dxa"/>
            <w:tcBorders>
              <w:top w:val="single" w:sz="18" w:space="0" w:color="auto"/>
              <w:left w:val="single" w:sz="4" w:space="0" w:color="auto"/>
              <w:right w:val="single" w:sz="18" w:space="0" w:color="auto"/>
            </w:tcBorders>
            <w:shd w:val="clear" w:color="auto" w:fill="auto"/>
            <w:vAlign w:val="center"/>
          </w:tcPr>
          <w:p w:rsidR="009112A3" w:rsidRPr="00964865" w:rsidRDefault="004A66DD" w:rsidP="009112A3">
            <w:pPr>
              <w:jc w:val="center"/>
              <w:rPr>
                <w:rFonts w:ascii="標楷體" w:eastAsia="標楷體" w:hAnsi="標楷體" w:cs="新細明體"/>
                <w:szCs w:val="24"/>
              </w:rPr>
            </w:pPr>
            <w:r w:rsidRPr="00964865">
              <w:rPr>
                <w:rFonts w:ascii="標楷體" w:eastAsia="標楷體" w:hAnsi="標楷體" w:cs="新細明體"/>
                <w:szCs w:val="24"/>
              </w:rPr>
              <w:t>237</w:t>
            </w:r>
          </w:p>
        </w:tc>
        <w:tc>
          <w:tcPr>
            <w:tcW w:w="854" w:type="dxa"/>
            <w:tcBorders>
              <w:top w:val="single" w:sz="18" w:space="0" w:color="auto"/>
              <w:left w:val="single" w:sz="18" w:space="0" w:color="auto"/>
              <w:right w:val="single" w:sz="18" w:space="0" w:color="auto"/>
            </w:tcBorders>
            <w:shd w:val="clear" w:color="auto" w:fill="auto"/>
            <w:vAlign w:val="center"/>
          </w:tcPr>
          <w:p w:rsidR="009112A3" w:rsidRPr="00964865" w:rsidRDefault="00723A9E" w:rsidP="009112A3">
            <w:pPr>
              <w:jc w:val="center"/>
              <w:rPr>
                <w:rFonts w:ascii="標楷體" w:eastAsia="標楷體" w:hAnsi="標楷體" w:cs="新細明體"/>
                <w:b/>
                <w:szCs w:val="24"/>
              </w:rPr>
            </w:pPr>
            <w:r w:rsidRPr="00964865">
              <w:rPr>
                <w:rFonts w:ascii="標楷體" w:eastAsia="標楷體" w:hAnsi="標楷體" w:cs="新細明體" w:hint="eastAsia"/>
                <w:b/>
                <w:szCs w:val="24"/>
              </w:rPr>
              <w:t>350</w:t>
            </w:r>
          </w:p>
        </w:tc>
        <w:tc>
          <w:tcPr>
            <w:tcW w:w="730" w:type="dxa"/>
            <w:tcBorders>
              <w:top w:val="single" w:sz="18" w:space="0" w:color="auto"/>
              <w:left w:val="single" w:sz="4" w:space="0" w:color="auto"/>
              <w:right w:val="single" w:sz="18" w:space="0" w:color="auto"/>
            </w:tcBorders>
            <w:shd w:val="clear" w:color="auto" w:fill="auto"/>
            <w:vAlign w:val="center"/>
          </w:tcPr>
          <w:p w:rsidR="009112A3" w:rsidRPr="00964865" w:rsidRDefault="00723A9E" w:rsidP="006D4931">
            <w:pPr>
              <w:jc w:val="center"/>
              <w:rPr>
                <w:rFonts w:ascii="標楷體" w:eastAsia="標楷體" w:hAnsi="標楷體" w:cs="新細明體"/>
                <w:b/>
                <w:bCs/>
                <w:szCs w:val="24"/>
              </w:rPr>
            </w:pPr>
            <w:r w:rsidRPr="00964865">
              <w:rPr>
                <w:rFonts w:ascii="標楷體" w:eastAsia="標楷體" w:hAnsi="標楷體" w:cs="新細明體" w:hint="eastAsia"/>
                <w:b/>
                <w:bCs/>
                <w:szCs w:val="24"/>
              </w:rPr>
              <w:t>587</w:t>
            </w:r>
          </w:p>
        </w:tc>
      </w:tr>
      <w:tr w:rsidR="000121AE" w:rsidRPr="00920597" w:rsidTr="00964865">
        <w:trPr>
          <w:trHeight w:val="510"/>
        </w:trPr>
        <w:tc>
          <w:tcPr>
            <w:tcW w:w="586" w:type="dxa"/>
            <w:vMerge/>
            <w:tcBorders>
              <w:left w:val="single" w:sz="18" w:space="0" w:color="auto"/>
              <w:bottom w:val="single" w:sz="18" w:space="0" w:color="auto"/>
              <w:right w:val="single" w:sz="4" w:space="0" w:color="auto"/>
            </w:tcBorders>
            <w:shd w:val="clear" w:color="auto" w:fill="auto"/>
          </w:tcPr>
          <w:p w:rsidR="009112A3" w:rsidRPr="00920597"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151" w:type="dxa"/>
            <w:tcBorders>
              <w:left w:val="single" w:sz="4" w:space="0" w:color="auto"/>
              <w:right w:val="single" w:sz="18" w:space="0" w:color="auto"/>
            </w:tcBorders>
            <w:shd w:val="clear" w:color="auto" w:fill="auto"/>
            <w:vAlign w:val="center"/>
          </w:tcPr>
          <w:p w:rsidR="009112A3" w:rsidRPr="00920597"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r w:rsidRPr="00920597">
              <w:rPr>
                <w:rFonts w:ascii="標楷體" w:eastAsia="標楷體" w:hAnsi="標楷體" w:cs="Mangal" w:hint="eastAsia"/>
                <w:bCs/>
                <w:color w:val="000000" w:themeColor="text1"/>
                <w:spacing w:val="-20"/>
                <w:sz w:val="28"/>
                <w:szCs w:val="28"/>
              </w:rPr>
              <w:t>［二］</w:t>
            </w:r>
            <w:r w:rsidRPr="00964865">
              <w:rPr>
                <w:rFonts w:ascii="標楷體" w:eastAsia="標楷體" w:hAnsi="標楷體" w:cs="Mangal" w:hint="eastAsia"/>
                <w:bCs/>
                <w:color w:val="000000" w:themeColor="text1"/>
                <w:spacing w:val="-30"/>
                <w:sz w:val="28"/>
                <w:szCs w:val="28"/>
              </w:rPr>
              <w:t>預（決）算案</w:t>
            </w:r>
          </w:p>
        </w:tc>
        <w:tc>
          <w:tcPr>
            <w:tcW w:w="666" w:type="dxa"/>
            <w:tcBorders>
              <w:left w:val="single" w:sz="18" w:space="0" w:color="auto"/>
              <w:bottom w:val="single" w:sz="4" w:space="0" w:color="auto"/>
              <w:right w:val="dashed" w:sz="4" w:space="0" w:color="auto"/>
            </w:tcBorders>
            <w:shd w:val="clear" w:color="auto" w:fill="auto"/>
            <w:vAlign w:val="center"/>
          </w:tcPr>
          <w:p w:rsidR="009112A3" w:rsidRPr="00920597" w:rsidRDefault="009112A3" w:rsidP="009112A3">
            <w:pPr>
              <w:jc w:val="center"/>
              <w:rPr>
                <w:rFonts w:ascii="標楷體" w:eastAsia="標楷體" w:hAnsi="標楷體" w:cs="新細明體"/>
                <w:color w:val="000000" w:themeColor="text1"/>
                <w:spacing w:val="-20"/>
                <w:szCs w:val="24"/>
              </w:rPr>
            </w:pPr>
            <w:r w:rsidRPr="00920597">
              <w:rPr>
                <w:rFonts w:ascii="標楷體" w:eastAsia="標楷體" w:hAnsi="標楷體" w:cs="新細明體" w:hint="eastAsia"/>
                <w:color w:val="000000" w:themeColor="text1"/>
                <w:spacing w:val="-20"/>
                <w:szCs w:val="24"/>
              </w:rPr>
              <w:t>28</w:t>
            </w:r>
          </w:p>
        </w:tc>
        <w:tc>
          <w:tcPr>
            <w:tcW w:w="552" w:type="dxa"/>
            <w:tcBorders>
              <w:left w:val="dashed" w:sz="4" w:space="0" w:color="auto"/>
              <w:bottom w:val="single" w:sz="4" w:space="0" w:color="auto"/>
              <w:right w:val="dashed" w:sz="4" w:space="0" w:color="auto"/>
            </w:tcBorders>
            <w:shd w:val="clear" w:color="auto" w:fill="auto"/>
            <w:vAlign w:val="center"/>
          </w:tcPr>
          <w:p w:rsidR="009112A3" w:rsidRPr="00920597" w:rsidRDefault="00596CA8" w:rsidP="009112A3">
            <w:pPr>
              <w:jc w:val="center"/>
              <w:rPr>
                <w:rFonts w:ascii="標楷體" w:eastAsia="標楷體" w:hAnsi="標楷體" w:cs="新細明體"/>
                <w:color w:val="000000" w:themeColor="text1"/>
                <w:spacing w:val="-20"/>
                <w:szCs w:val="24"/>
              </w:rPr>
            </w:pPr>
            <w:r w:rsidRPr="00920597">
              <w:rPr>
                <w:rFonts w:ascii="標楷體" w:eastAsia="標楷體" w:hAnsi="標楷體" w:cs="新細明體"/>
                <w:color w:val="000000" w:themeColor="text1"/>
                <w:spacing w:val="-20"/>
                <w:szCs w:val="24"/>
              </w:rPr>
              <w:t>7</w:t>
            </w:r>
          </w:p>
        </w:tc>
        <w:tc>
          <w:tcPr>
            <w:tcW w:w="552" w:type="dxa"/>
            <w:tcBorders>
              <w:left w:val="dashed" w:sz="4" w:space="0" w:color="auto"/>
              <w:bottom w:val="single" w:sz="4" w:space="0" w:color="auto"/>
              <w:right w:val="dashed" w:sz="4" w:space="0" w:color="auto"/>
            </w:tcBorders>
            <w:shd w:val="clear" w:color="auto" w:fill="auto"/>
            <w:vAlign w:val="center"/>
          </w:tcPr>
          <w:p w:rsidR="009112A3" w:rsidRPr="00920597" w:rsidRDefault="003514AD" w:rsidP="009112A3">
            <w:pPr>
              <w:jc w:val="center"/>
              <w:rPr>
                <w:rFonts w:ascii="標楷體" w:eastAsia="標楷體" w:hAnsi="標楷體" w:cs="新細明體"/>
                <w:color w:val="000000" w:themeColor="text1"/>
                <w:spacing w:val="-20"/>
                <w:szCs w:val="24"/>
              </w:rPr>
            </w:pPr>
            <w:r w:rsidRPr="00920597">
              <w:rPr>
                <w:rFonts w:ascii="標楷體" w:eastAsia="標楷體" w:hAnsi="標楷體" w:cs="新細明體" w:hint="eastAsia"/>
                <w:color w:val="000000" w:themeColor="text1"/>
                <w:spacing w:val="-20"/>
                <w:szCs w:val="24"/>
              </w:rPr>
              <w:t>82</w:t>
            </w:r>
          </w:p>
        </w:tc>
        <w:tc>
          <w:tcPr>
            <w:tcW w:w="552" w:type="dxa"/>
            <w:tcBorders>
              <w:left w:val="dashed" w:sz="4" w:space="0" w:color="auto"/>
              <w:bottom w:val="single" w:sz="4" w:space="0" w:color="auto"/>
              <w:right w:val="dashed" w:sz="4" w:space="0" w:color="auto"/>
            </w:tcBorders>
            <w:shd w:val="clear" w:color="auto" w:fill="auto"/>
            <w:vAlign w:val="center"/>
          </w:tcPr>
          <w:p w:rsidR="009112A3" w:rsidRPr="00920597" w:rsidRDefault="00840391" w:rsidP="009112A3">
            <w:pPr>
              <w:jc w:val="center"/>
              <w:rPr>
                <w:rFonts w:ascii="標楷體" w:eastAsia="標楷體" w:hAnsi="標楷體" w:cs="新細明體"/>
                <w:color w:val="000000" w:themeColor="text1"/>
                <w:spacing w:val="-20"/>
                <w:szCs w:val="24"/>
              </w:rPr>
            </w:pPr>
            <w:r w:rsidRPr="00920597">
              <w:rPr>
                <w:rFonts w:ascii="標楷體" w:eastAsia="標楷體" w:hAnsi="標楷體" w:cs="新細明體" w:hint="eastAsia"/>
                <w:color w:val="000000" w:themeColor="text1"/>
                <w:spacing w:val="-20"/>
                <w:szCs w:val="24"/>
              </w:rPr>
              <w:t>21</w:t>
            </w:r>
          </w:p>
        </w:tc>
        <w:tc>
          <w:tcPr>
            <w:tcW w:w="552" w:type="dxa"/>
            <w:tcBorders>
              <w:left w:val="dashed" w:sz="4" w:space="0" w:color="auto"/>
              <w:bottom w:val="single" w:sz="4" w:space="0" w:color="auto"/>
              <w:right w:val="dashed" w:sz="4" w:space="0" w:color="auto"/>
            </w:tcBorders>
            <w:shd w:val="clear" w:color="auto" w:fill="auto"/>
            <w:vAlign w:val="center"/>
          </w:tcPr>
          <w:p w:rsidR="009112A3" w:rsidRPr="00920597" w:rsidRDefault="00E61C53" w:rsidP="009112A3">
            <w:pPr>
              <w:jc w:val="center"/>
              <w:rPr>
                <w:rFonts w:ascii="標楷體" w:eastAsia="標楷體" w:hAnsi="標楷體" w:cs="新細明體"/>
                <w:color w:val="000000" w:themeColor="text1"/>
                <w:spacing w:val="-20"/>
                <w:szCs w:val="24"/>
              </w:rPr>
            </w:pPr>
            <w:r w:rsidRPr="00920597">
              <w:rPr>
                <w:rFonts w:ascii="標楷體" w:eastAsia="標楷體" w:hAnsi="標楷體" w:cs="新細明體"/>
                <w:color w:val="000000" w:themeColor="text1"/>
                <w:spacing w:val="-20"/>
                <w:szCs w:val="24"/>
              </w:rPr>
              <w:t>99</w:t>
            </w:r>
          </w:p>
        </w:tc>
        <w:tc>
          <w:tcPr>
            <w:tcW w:w="552" w:type="dxa"/>
            <w:tcBorders>
              <w:left w:val="dashed" w:sz="4" w:space="0" w:color="auto"/>
              <w:bottom w:val="single" w:sz="4" w:space="0" w:color="auto"/>
              <w:right w:val="dashed" w:sz="4" w:space="0" w:color="auto"/>
            </w:tcBorders>
            <w:shd w:val="clear" w:color="auto" w:fill="auto"/>
            <w:vAlign w:val="center"/>
          </w:tcPr>
          <w:p w:rsidR="009112A3" w:rsidRPr="00964865" w:rsidRDefault="00C024D0" w:rsidP="009112A3">
            <w:pPr>
              <w:jc w:val="center"/>
              <w:rPr>
                <w:rFonts w:ascii="標楷體" w:eastAsia="標楷體" w:hAnsi="標楷體" w:cs="新細明體"/>
                <w:spacing w:val="-20"/>
                <w:szCs w:val="24"/>
              </w:rPr>
            </w:pPr>
            <w:r w:rsidRPr="00964865">
              <w:rPr>
                <w:rFonts w:ascii="標楷體" w:eastAsia="標楷體" w:hAnsi="標楷體" w:cs="新細明體" w:hint="eastAsia"/>
                <w:spacing w:val="-20"/>
                <w:szCs w:val="24"/>
              </w:rPr>
              <w:t>66</w:t>
            </w:r>
          </w:p>
        </w:tc>
        <w:tc>
          <w:tcPr>
            <w:tcW w:w="552" w:type="dxa"/>
            <w:tcBorders>
              <w:left w:val="dashed" w:sz="4" w:space="0" w:color="auto"/>
              <w:bottom w:val="single" w:sz="4" w:space="0" w:color="auto"/>
              <w:right w:val="dashed" w:sz="4" w:space="0" w:color="auto"/>
            </w:tcBorders>
            <w:shd w:val="clear" w:color="auto" w:fill="auto"/>
            <w:vAlign w:val="center"/>
          </w:tcPr>
          <w:p w:rsidR="009112A3" w:rsidRPr="00964865" w:rsidRDefault="009112A3" w:rsidP="009112A3">
            <w:pPr>
              <w:jc w:val="center"/>
              <w:rPr>
                <w:rFonts w:ascii="標楷體" w:eastAsia="標楷體" w:hAnsi="標楷體" w:cs="新細明體"/>
                <w:spacing w:val="-20"/>
                <w:szCs w:val="24"/>
              </w:rPr>
            </w:pPr>
          </w:p>
        </w:tc>
        <w:tc>
          <w:tcPr>
            <w:tcW w:w="552" w:type="dxa"/>
            <w:tcBorders>
              <w:left w:val="dashed" w:sz="4" w:space="0" w:color="auto"/>
              <w:bottom w:val="single" w:sz="4" w:space="0" w:color="auto"/>
              <w:right w:val="dashed" w:sz="4" w:space="0" w:color="auto"/>
            </w:tcBorders>
            <w:shd w:val="clear" w:color="auto" w:fill="auto"/>
            <w:vAlign w:val="center"/>
          </w:tcPr>
          <w:p w:rsidR="009112A3" w:rsidRPr="00964865" w:rsidRDefault="009112A3" w:rsidP="009112A3">
            <w:pPr>
              <w:jc w:val="center"/>
              <w:rPr>
                <w:rFonts w:ascii="標楷體" w:eastAsia="標楷體" w:hAnsi="標楷體" w:cs="新細明體"/>
                <w:spacing w:val="-20"/>
                <w:szCs w:val="24"/>
                <w:shd w:val="pct15" w:color="auto" w:fill="FFFFFF"/>
              </w:rPr>
            </w:pPr>
          </w:p>
        </w:tc>
        <w:tc>
          <w:tcPr>
            <w:tcW w:w="689" w:type="dxa"/>
            <w:tcBorders>
              <w:left w:val="dashed" w:sz="4" w:space="0" w:color="auto"/>
              <w:bottom w:val="single" w:sz="4" w:space="0" w:color="auto"/>
              <w:right w:val="single" w:sz="4" w:space="0" w:color="auto"/>
            </w:tcBorders>
            <w:shd w:val="clear" w:color="auto" w:fill="auto"/>
            <w:vAlign w:val="center"/>
          </w:tcPr>
          <w:p w:rsidR="009112A3" w:rsidRPr="00964865" w:rsidRDefault="00C024D0" w:rsidP="009112A3">
            <w:pPr>
              <w:jc w:val="center"/>
              <w:rPr>
                <w:rFonts w:ascii="標楷體" w:eastAsia="標楷體" w:hAnsi="標楷體" w:cs="新細明體"/>
                <w:spacing w:val="-20"/>
                <w:szCs w:val="24"/>
              </w:rPr>
            </w:pPr>
            <w:r w:rsidRPr="00964865">
              <w:rPr>
                <w:rFonts w:ascii="標楷體" w:eastAsia="標楷體" w:hAnsi="標楷體" w:cs="新細明體" w:hint="eastAsia"/>
                <w:spacing w:val="-20"/>
                <w:szCs w:val="24"/>
              </w:rPr>
              <w:t>1</w:t>
            </w:r>
          </w:p>
        </w:tc>
        <w:tc>
          <w:tcPr>
            <w:tcW w:w="721" w:type="dxa"/>
            <w:tcBorders>
              <w:left w:val="single" w:sz="4" w:space="0" w:color="auto"/>
              <w:bottom w:val="single" w:sz="4" w:space="0" w:color="auto"/>
              <w:right w:val="single" w:sz="18" w:space="0" w:color="auto"/>
            </w:tcBorders>
            <w:shd w:val="clear" w:color="auto" w:fill="auto"/>
            <w:vAlign w:val="center"/>
          </w:tcPr>
          <w:p w:rsidR="009112A3" w:rsidRPr="00964865" w:rsidRDefault="00C024D0" w:rsidP="00840391">
            <w:pPr>
              <w:jc w:val="center"/>
              <w:rPr>
                <w:rFonts w:ascii="標楷體" w:eastAsia="標楷體" w:hAnsi="標楷體" w:cs="新細明體"/>
                <w:szCs w:val="24"/>
              </w:rPr>
            </w:pPr>
            <w:r w:rsidRPr="00964865">
              <w:rPr>
                <w:rFonts w:ascii="標楷體" w:eastAsia="標楷體" w:hAnsi="標楷體" w:cs="新細明體" w:hint="eastAsia"/>
                <w:szCs w:val="24"/>
              </w:rPr>
              <w:t>304</w:t>
            </w:r>
          </w:p>
        </w:tc>
        <w:tc>
          <w:tcPr>
            <w:tcW w:w="854" w:type="dxa"/>
            <w:tcBorders>
              <w:left w:val="single" w:sz="18" w:space="0" w:color="auto"/>
              <w:bottom w:val="single" w:sz="4" w:space="0" w:color="auto"/>
              <w:right w:val="single" w:sz="18" w:space="0" w:color="auto"/>
            </w:tcBorders>
            <w:shd w:val="clear" w:color="auto" w:fill="auto"/>
            <w:vAlign w:val="center"/>
          </w:tcPr>
          <w:p w:rsidR="009112A3" w:rsidRPr="00964865" w:rsidRDefault="00723A9E" w:rsidP="009112A3">
            <w:pPr>
              <w:jc w:val="center"/>
              <w:rPr>
                <w:rFonts w:ascii="標楷體" w:eastAsia="標楷體" w:hAnsi="標楷體" w:cs="新細明體"/>
                <w:b/>
                <w:szCs w:val="24"/>
              </w:rPr>
            </w:pPr>
            <w:r w:rsidRPr="00964865">
              <w:rPr>
                <w:rFonts w:ascii="標楷體" w:eastAsia="標楷體" w:hAnsi="標楷體" w:cs="新細明體" w:hint="eastAsia"/>
                <w:b/>
                <w:szCs w:val="24"/>
              </w:rPr>
              <w:t>25</w:t>
            </w:r>
          </w:p>
        </w:tc>
        <w:tc>
          <w:tcPr>
            <w:tcW w:w="730" w:type="dxa"/>
            <w:tcBorders>
              <w:left w:val="single" w:sz="4" w:space="0" w:color="auto"/>
              <w:bottom w:val="single" w:sz="4" w:space="0" w:color="auto"/>
              <w:right w:val="single" w:sz="18" w:space="0" w:color="auto"/>
            </w:tcBorders>
            <w:shd w:val="clear" w:color="auto" w:fill="auto"/>
            <w:vAlign w:val="center"/>
          </w:tcPr>
          <w:p w:rsidR="009112A3" w:rsidRPr="00964865" w:rsidRDefault="008F0B9E" w:rsidP="00723A9E">
            <w:pPr>
              <w:jc w:val="center"/>
              <w:rPr>
                <w:rFonts w:ascii="標楷體" w:eastAsia="標楷體" w:hAnsi="標楷體" w:cs="新細明體"/>
                <w:b/>
                <w:bCs/>
                <w:szCs w:val="24"/>
              </w:rPr>
            </w:pPr>
            <w:r w:rsidRPr="00964865">
              <w:rPr>
                <w:rFonts w:ascii="標楷體" w:eastAsia="標楷體" w:hAnsi="標楷體" w:cs="新細明體"/>
                <w:b/>
                <w:bCs/>
                <w:szCs w:val="24"/>
              </w:rPr>
              <w:t>3</w:t>
            </w:r>
            <w:r w:rsidR="00723A9E" w:rsidRPr="00964865">
              <w:rPr>
                <w:rFonts w:ascii="標楷體" w:eastAsia="標楷體" w:hAnsi="標楷體" w:cs="新細明體" w:hint="eastAsia"/>
                <w:b/>
                <w:bCs/>
                <w:szCs w:val="24"/>
              </w:rPr>
              <w:t>29</w:t>
            </w:r>
          </w:p>
        </w:tc>
      </w:tr>
      <w:tr w:rsidR="000121AE" w:rsidRPr="00920597" w:rsidTr="00964865">
        <w:trPr>
          <w:trHeight w:val="510"/>
        </w:trPr>
        <w:tc>
          <w:tcPr>
            <w:tcW w:w="586" w:type="dxa"/>
            <w:vMerge/>
            <w:tcBorders>
              <w:left w:val="single" w:sz="18" w:space="0" w:color="auto"/>
              <w:bottom w:val="single" w:sz="18" w:space="0" w:color="auto"/>
              <w:right w:val="single" w:sz="4" w:space="0" w:color="auto"/>
            </w:tcBorders>
            <w:shd w:val="clear" w:color="auto" w:fill="auto"/>
          </w:tcPr>
          <w:p w:rsidR="009112A3" w:rsidRPr="00920597"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151" w:type="dxa"/>
            <w:tcBorders>
              <w:left w:val="single" w:sz="4" w:space="0" w:color="auto"/>
              <w:right w:val="single" w:sz="18" w:space="0" w:color="auto"/>
            </w:tcBorders>
            <w:shd w:val="clear" w:color="auto" w:fill="auto"/>
            <w:vAlign w:val="center"/>
          </w:tcPr>
          <w:p w:rsidR="009112A3" w:rsidRPr="00920597"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r w:rsidRPr="00920597">
              <w:rPr>
                <w:rFonts w:ascii="標楷體" w:eastAsia="標楷體" w:hAnsi="標楷體" w:cs="Mangal" w:hint="eastAsia"/>
                <w:bCs/>
                <w:color w:val="000000" w:themeColor="text1"/>
                <w:spacing w:val="-20"/>
                <w:sz w:val="28"/>
                <w:szCs w:val="28"/>
              </w:rPr>
              <w:t>［三］條約案</w:t>
            </w:r>
          </w:p>
        </w:tc>
        <w:tc>
          <w:tcPr>
            <w:tcW w:w="666" w:type="dxa"/>
            <w:tcBorders>
              <w:left w:val="single" w:sz="18" w:space="0" w:color="auto"/>
              <w:right w:val="dashed" w:sz="4" w:space="0" w:color="auto"/>
            </w:tcBorders>
            <w:shd w:val="clear" w:color="auto" w:fill="auto"/>
            <w:vAlign w:val="center"/>
          </w:tcPr>
          <w:p w:rsidR="009112A3" w:rsidRPr="00920597"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920597"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920597"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920597"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920597"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964865" w:rsidRDefault="009112A3" w:rsidP="009112A3">
            <w:pPr>
              <w:jc w:val="center"/>
              <w:rPr>
                <w:rFonts w:ascii="標楷體" w:eastAsia="標楷體" w:hAnsi="標楷體" w:cs="新細明體"/>
                <w:spacing w:val="-20"/>
                <w:szCs w:val="24"/>
              </w:rPr>
            </w:pPr>
          </w:p>
        </w:tc>
        <w:tc>
          <w:tcPr>
            <w:tcW w:w="552" w:type="dxa"/>
            <w:tcBorders>
              <w:left w:val="dashed" w:sz="4" w:space="0" w:color="auto"/>
              <w:right w:val="dashed" w:sz="4" w:space="0" w:color="auto"/>
            </w:tcBorders>
            <w:shd w:val="clear" w:color="auto" w:fill="auto"/>
            <w:vAlign w:val="center"/>
          </w:tcPr>
          <w:p w:rsidR="009112A3" w:rsidRPr="00964865" w:rsidRDefault="009112A3" w:rsidP="009112A3">
            <w:pPr>
              <w:jc w:val="center"/>
              <w:rPr>
                <w:rFonts w:ascii="標楷體" w:eastAsia="標楷體" w:hAnsi="標楷體" w:cs="新細明體"/>
                <w:spacing w:val="-20"/>
                <w:szCs w:val="24"/>
              </w:rPr>
            </w:pPr>
          </w:p>
        </w:tc>
        <w:tc>
          <w:tcPr>
            <w:tcW w:w="552" w:type="dxa"/>
            <w:tcBorders>
              <w:left w:val="dashed" w:sz="4" w:space="0" w:color="auto"/>
              <w:right w:val="dashed" w:sz="4" w:space="0" w:color="auto"/>
            </w:tcBorders>
            <w:shd w:val="clear" w:color="auto" w:fill="auto"/>
            <w:vAlign w:val="center"/>
          </w:tcPr>
          <w:p w:rsidR="009112A3" w:rsidRPr="00964865" w:rsidRDefault="009112A3" w:rsidP="009112A3">
            <w:pPr>
              <w:jc w:val="center"/>
              <w:rPr>
                <w:rFonts w:ascii="標楷體" w:eastAsia="標楷體" w:hAnsi="標楷體" w:cs="新細明體"/>
                <w:spacing w:val="-20"/>
                <w:szCs w:val="24"/>
              </w:rPr>
            </w:pPr>
          </w:p>
        </w:tc>
        <w:tc>
          <w:tcPr>
            <w:tcW w:w="689" w:type="dxa"/>
            <w:tcBorders>
              <w:left w:val="dashed" w:sz="4" w:space="0" w:color="auto"/>
              <w:right w:val="single" w:sz="4" w:space="0" w:color="auto"/>
            </w:tcBorders>
            <w:shd w:val="clear" w:color="auto" w:fill="auto"/>
            <w:vAlign w:val="center"/>
          </w:tcPr>
          <w:p w:rsidR="009112A3" w:rsidRPr="00964865" w:rsidRDefault="009112A3" w:rsidP="009112A3">
            <w:pPr>
              <w:jc w:val="center"/>
              <w:rPr>
                <w:rFonts w:ascii="標楷體" w:eastAsia="標楷體" w:hAnsi="標楷體" w:cs="新細明體"/>
                <w:spacing w:val="-20"/>
                <w:szCs w:val="24"/>
              </w:rPr>
            </w:pPr>
          </w:p>
        </w:tc>
        <w:tc>
          <w:tcPr>
            <w:tcW w:w="721" w:type="dxa"/>
            <w:tcBorders>
              <w:left w:val="single" w:sz="4" w:space="0" w:color="auto"/>
              <w:right w:val="single" w:sz="18" w:space="0" w:color="auto"/>
            </w:tcBorders>
            <w:shd w:val="clear" w:color="auto" w:fill="auto"/>
            <w:vAlign w:val="center"/>
          </w:tcPr>
          <w:p w:rsidR="009112A3" w:rsidRPr="00964865" w:rsidRDefault="009112A3" w:rsidP="009112A3">
            <w:pPr>
              <w:jc w:val="center"/>
              <w:rPr>
                <w:rFonts w:ascii="標楷體" w:eastAsia="標楷體" w:hAnsi="標楷體" w:cs="新細明體"/>
                <w:szCs w:val="24"/>
              </w:rPr>
            </w:pPr>
          </w:p>
        </w:tc>
        <w:tc>
          <w:tcPr>
            <w:tcW w:w="854" w:type="dxa"/>
            <w:tcBorders>
              <w:left w:val="single" w:sz="18" w:space="0" w:color="auto"/>
              <w:right w:val="single" w:sz="18" w:space="0" w:color="auto"/>
            </w:tcBorders>
            <w:shd w:val="clear" w:color="auto" w:fill="auto"/>
            <w:vAlign w:val="center"/>
          </w:tcPr>
          <w:p w:rsidR="009112A3" w:rsidRPr="00964865" w:rsidRDefault="009112A3" w:rsidP="009112A3">
            <w:pPr>
              <w:jc w:val="center"/>
              <w:rPr>
                <w:rFonts w:ascii="標楷體" w:eastAsia="標楷體" w:hAnsi="標楷體" w:cs="新細明體"/>
                <w:b/>
                <w:szCs w:val="24"/>
              </w:rPr>
            </w:pPr>
          </w:p>
        </w:tc>
        <w:tc>
          <w:tcPr>
            <w:tcW w:w="730" w:type="dxa"/>
            <w:tcBorders>
              <w:left w:val="single" w:sz="4" w:space="0" w:color="auto"/>
              <w:right w:val="single" w:sz="18" w:space="0" w:color="auto"/>
            </w:tcBorders>
            <w:shd w:val="clear" w:color="auto" w:fill="auto"/>
            <w:vAlign w:val="center"/>
          </w:tcPr>
          <w:p w:rsidR="009112A3" w:rsidRPr="00964865" w:rsidRDefault="009112A3" w:rsidP="009112A3">
            <w:pPr>
              <w:jc w:val="center"/>
              <w:rPr>
                <w:rFonts w:ascii="標楷體" w:eastAsia="標楷體" w:hAnsi="標楷體" w:cs="新細明體"/>
                <w:b/>
                <w:bCs/>
                <w:szCs w:val="24"/>
              </w:rPr>
            </w:pPr>
          </w:p>
        </w:tc>
      </w:tr>
      <w:tr w:rsidR="000121AE" w:rsidRPr="00920597" w:rsidTr="00964865">
        <w:trPr>
          <w:trHeight w:val="510"/>
        </w:trPr>
        <w:tc>
          <w:tcPr>
            <w:tcW w:w="586" w:type="dxa"/>
            <w:vMerge/>
            <w:tcBorders>
              <w:left w:val="single" w:sz="18" w:space="0" w:color="auto"/>
              <w:bottom w:val="single" w:sz="18" w:space="0" w:color="auto"/>
              <w:right w:val="single" w:sz="4" w:space="0" w:color="auto"/>
            </w:tcBorders>
            <w:shd w:val="clear" w:color="auto" w:fill="auto"/>
          </w:tcPr>
          <w:p w:rsidR="009112A3" w:rsidRPr="00920597"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151" w:type="dxa"/>
            <w:tcBorders>
              <w:left w:val="single" w:sz="4" w:space="0" w:color="auto"/>
              <w:right w:val="single" w:sz="18" w:space="0" w:color="auto"/>
            </w:tcBorders>
            <w:shd w:val="clear" w:color="auto" w:fill="auto"/>
            <w:vAlign w:val="center"/>
          </w:tcPr>
          <w:p w:rsidR="009112A3" w:rsidRPr="00920597"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r w:rsidRPr="00920597">
              <w:rPr>
                <w:rFonts w:ascii="標楷體" w:eastAsia="標楷體" w:hAnsi="標楷體" w:cs="Mangal" w:hint="eastAsia"/>
                <w:bCs/>
                <w:color w:val="000000" w:themeColor="text1"/>
                <w:spacing w:val="-20"/>
                <w:sz w:val="28"/>
                <w:szCs w:val="28"/>
              </w:rPr>
              <w:t>［四］行政命令案</w:t>
            </w:r>
          </w:p>
        </w:tc>
        <w:tc>
          <w:tcPr>
            <w:tcW w:w="666" w:type="dxa"/>
            <w:tcBorders>
              <w:left w:val="single" w:sz="18" w:space="0" w:color="auto"/>
              <w:right w:val="dashed" w:sz="4" w:space="0" w:color="auto"/>
            </w:tcBorders>
            <w:shd w:val="clear" w:color="auto" w:fill="auto"/>
            <w:vAlign w:val="center"/>
          </w:tcPr>
          <w:p w:rsidR="009112A3" w:rsidRPr="00920597"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920597" w:rsidRDefault="009112A3" w:rsidP="009112A3">
            <w:pPr>
              <w:jc w:val="center"/>
              <w:rPr>
                <w:rFonts w:ascii="標楷體" w:eastAsia="標楷體" w:hAnsi="標楷體" w:cs="新細明體"/>
                <w:color w:val="000000" w:themeColor="text1"/>
                <w:spacing w:val="-20"/>
                <w:szCs w:val="24"/>
              </w:rPr>
            </w:pPr>
            <w:r w:rsidRPr="00920597">
              <w:rPr>
                <w:rFonts w:ascii="標楷體" w:eastAsia="標楷體" w:hAnsi="標楷體" w:cs="新細明體" w:hint="eastAsia"/>
                <w:color w:val="000000" w:themeColor="text1"/>
                <w:spacing w:val="-20"/>
                <w:szCs w:val="24"/>
              </w:rPr>
              <w:t>29</w:t>
            </w:r>
          </w:p>
        </w:tc>
        <w:tc>
          <w:tcPr>
            <w:tcW w:w="552" w:type="dxa"/>
            <w:tcBorders>
              <w:left w:val="dashed" w:sz="4" w:space="0" w:color="auto"/>
              <w:right w:val="dashed" w:sz="4" w:space="0" w:color="auto"/>
            </w:tcBorders>
            <w:shd w:val="clear" w:color="auto" w:fill="auto"/>
            <w:vAlign w:val="center"/>
          </w:tcPr>
          <w:p w:rsidR="009112A3" w:rsidRPr="00920597" w:rsidRDefault="00734384" w:rsidP="009112A3">
            <w:pPr>
              <w:jc w:val="center"/>
              <w:rPr>
                <w:rFonts w:ascii="標楷體" w:eastAsia="標楷體" w:hAnsi="標楷體" w:cs="新細明體"/>
                <w:color w:val="000000" w:themeColor="text1"/>
                <w:spacing w:val="-20"/>
                <w:szCs w:val="24"/>
              </w:rPr>
            </w:pPr>
            <w:r w:rsidRPr="00920597">
              <w:rPr>
                <w:rFonts w:ascii="標楷體" w:eastAsia="標楷體" w:hAnsi="標楷體" w:cs="新細明體" w:hint="eastAsia"/>
                <w:color w:val="000000" w:themeColor="text1"/>
                <w:spacing w:val="-20"/>
                <w:szCs w:val="24"/>
              </w:rPr>
              <w:t>1</w:t>
            </w:r>
          </w:p>
        </w:tc>
        <w:tc>
          <w:tcPr>
            <w:tcW w:w="552" w:type="dxa"/>
            <w:tcBorders>
              <w:left w:val="dashed" w:sz="4" w:space="0" w:color="auto"/>
              <w:right w:val="dashed" w:sz="4" w:space="0" w:color="auto"/>
            </w:tcBorders>
            <w:shd w:val="clear" w:color="auto" w:fill="auto"/>
            <w:vAlign w:val="center"/>
          </w:tcPr>
          <w:p w:rsidR="009112A3" w:rsidRPr="00920597" w:rsidRDefault="00B626E9" w:rsidP="009112A3">
            <w:pPr>
              <w:jc w:val="center"/>
              <w:rPr>
                <w:rFonts w:ascii="標楷體" w:eastAsia="標楷體" w:hAnsi="標楷體" w:cs="新細明體"/>
                <w:color w:val="000000" w:themeColor="text1"/>
                <w:spacing w:val="-20"/>
                <w:szCs w:val="24"/>
              </w:rPr>
            </w:pPr>
            <w:r w:rsidRPr="00920597">
              <w:rPr>
                <w:rFonts w:ascii="標楷體" w:eastAsia="標楷體" w:hAnsi="標楷體" w:cs="新細明體" w:hint="eastAsia"/>
                <w:color w:val="000000" w:themeColor="text1"/>
                <w:spacing w:val="-20"/>
                <w:szCs w:val="24"/>
              </w:rPr>
              <w:t>4</w:t>
            </w:r>
          </w:p>
        </w:tc>
        <w:tc>
          <w:tcPr>
            <w:tcW w:w="552" w:type="dxa"/>
            <w:tcBorders>
              <w:left w:val="dashed" w:sz="4" w:space="0" w:color="auto"/>
              <w:right w:val="dashed" w:sz="4" w:space="0" w:color="auto"/>
            </w:tcBorders>
            <w:shd w:val="clear" w:color="auto" w:fill="auto"/>
            <w:vAlign w:val="center"/>
          </w:tcPr>
          <w:p w:rsidR="009112A3" w:rsidRPr="00920597"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964865" w:rsidRDefault="00C024D0" w:rsidP="009112A3">
            <w:pPr>
              <w:jc w:val="center"/>
              <w:rPr>
                <w:rFonts w:ascii="標楷體" w:eastAsia="標楷體" w:hAnsi="標楷體" w:cs="新細明體"/>
                <w:spacing w:val="-20"/>
                <w:szCs w:val="24"/>
              </w:rPr>
            </w:pPr>
            <w:r w:rsidRPr="00964865">
              <w:rPr>
                <w:rFonts w:ascii="標楷體" w:eastAsia="標楷體" w:hAnsi="標楷體" w:cs="新細明體" w:hint="eastAsia"/>
                <w:spacing w:val="-20"/>
                <w:szCs w:val="24"/>
              </w:rPr>
              <w:t>9</w:t>
            </w:r>
          </w:p>
        </w:tc>
        <w:tc>
          <w:tcPr>
            <w:tcW w:w="552" w:type="dxa"/>
            <w:tcBorders>
              <w:left w:val="dashed" w:sz="4" w:space="0" w:color="auto"/>
              <w:right w:val="dashed" w:sz="4" w:space="0" w:color="auto"/>
            </w:tcBorders>
            <w:shd w:val="clear" w:color="auto" w:fill="auto"/>
            <w:vAlign w:val="center"/>
          </w:tcPr>
          <w:p w:rsidR="009112A3" w:rsidRPr="00964865" w:rsidRDefault="009112A3" w:rsidP="009112A3">
            <w:pPr>
              <w:jc w:val="center"/>
              <w:rPr>
                <w:rFonts w:ascii="標楷體" w:eastAsia="標楷體" w:hAnsi="標楷體" w:cs="新細明體"/>
                <w:spacing w:val="-20"/>
                <w:szCs w:val="24"/>
              </w:rPr>
            </w:pPr>
          </w:p>
        </w:tc>
        <w:tc>
          <w:tcPr>
            <w:tcW w:w="552" w:type="dxa"/>
            <w:tcBorders>
              <w:left w:val="dashed" w:sz="4" w:space="0" w:color="auto"/>
              <w:right w:val="dashed" w:sz="4" w:space="0" w:color="auto"/>
            </w:tcBorders>
            <w:shd w:val="clear" w:color="auto" w:fill="auto"/>
            <w:vAlign w:val="center"/>
          </w:tcPr>
          <w:p w:rsidR="009112A3" w:rsidRPr="00964865" w:rsidRDefault="009112A3" w:rsidP="009112A3">
            <w:pPr>
              <w:jc w:val="center"/>
              <w:rPr>
                <w:rFonts w:ascii="標楷體" w:eastAsia="標楷體" w:hAnsi="標楷體" w:cs="新細明體"/>
                <w:spacing w:val="-20"/>
                <w:szCs w:val="24"/>
              </w:rPr>
            </w:pPr>
          </w:p>
        </w:tc>
        <w:tc>
          <w:tcPr>
            <w:tcW w:w="689" w:type="dxa"/>
            <w:tcBorders>
              <w:left w:val="dashed" w:sz="4" w:space="0" w:color="auto"/>
              <w:right w:val="single" w:sz="4" w:space="0" w:color="auto"/>
            </w:tcBorders>
            <w:shd w:val="clear" w:color="auto" w:fill="auto"/>
            <w:vAlign w:val="center"/>
          </w:tcPr>
          <w:p w:rsidR="009112A3" w:rsidRPr="00964865" w:rsidRDefault="00C024D0" w:rsidP="009112A3">
            <w:pPr>
              <w:jc w:val="center"/>
              <w:rPr>
                <w:rFonts w:ascii="標楷體" w:eastAsia="標楷體" w:hAnsi="標楷體" w:cs="新細明體"/>
                <w:spacing w:val="-20"/>
                <w:szCs w:val="24"/>
              </w:rPr>
            </w:pPr>
            <w:r w:rsidRPr="00964865">
              <w:rPr>
                <w:rFonts w:ascii="標楷體" w:eastAsia="標楷體" w:hAnsi="標楷體" w:cs="新細明體" w:hint="eastAsia"/>
                <w:spacing w:val="-20"/>
                <w:szCs w:val="24"/>
              </w:rPr>
              <w:t>3</w:t>
            </w:r>
          </w:p>
        </w:tc>
        <w:tc>
          <w:tcPr>
            <w:tcW w:w="721" w:type="dxa"/>
            <w:tcBorders>
              <w:left w:val="single" w:sz="4" w:space="0" w:color="auto"/>
              <w:right w:val="single" w:sz="18" w:space="0" w:color="auto"/>
            </w:tcBorders>
            <w:shd w:val="clear" w:color="auto" w:fill="auto"/>
            <w:vAlign w:val="center"/>
          </w:tcPr>
          <w:p w:rsidR="009112A3" w:rsidRPr="00964865" w:rsidRDefault="00C024D0" w:rsidP="009112A3">
            <w:pPr>
              <w:jc w:val="center"/>
              <w:rPr>
                <w:rFonts w:ascii="標楷體" w:eastAsia="標楷體" w:hAnsi="標楷體" w:cs="新細明體"/>
                <w:szCs w:val="24"/>
              </w:rPr>
            </w:pPr>
            <w:r w:rsidRPr="00964865">
              <w:rPr>
                <w:rFonts w:ascii="標楷體" w:eastAsia="標楷體" w:hAnsi="標楷體" w:cs="新細明體" w:hint="eastAsia"/>
                <w:szCs w:val="24"/>
              </w:rPr>
              <w:t>46</w:t>
            </w:r>
          </w:p>
        </w:tc>
        <w:tc>
          <w:tcPr>
            <w:tcW w:w="854" w:type="dxa"/>
            <w:tcBorders>
              <w:left w:val="single" w:sz="18" w:space="0" w:color="auto"/>
              <w:right w:val="single" w:sz="18" w:space="0" w:color="auto"/>
            </w:tcBorders>
            <w:shd w:val="clear" w:color="auto" w:fill="auto"/>
            <w:vAlign w:val="center"/>
          </w:tcPr>
          <w:p w:rsidR="009112A3" w:rsidRPr="00E35620" w:rsidRDefault="00723A9E" w:rsidP="009112A3">
            <w:pPr>
              <w:jc w:val="center"/>
              <w:rPr>
                <w:rFonts w:ascii="標楷體" w:eastAsia="標楷體" w:hAnsi="標楷體" w:cs="新細明體"/>
                <w:b/>
                <w:szCs w:val="24"/>
              </w:rPr>
            </w:pPr>
            <w:r w:rsidRPr="00E35620">
              <w:rPr>
                <w:rFonts w:ascii="標楷體" w:eastAsia="標楷體" w:hAnsi="標楷體" w:cs="新細明體" w:hint="eastAsia"/>
                <w:b/>
                <w:szCs w:val="24"/>
              </w:rPr>
              <w:t>1</w:t>
            </w:r>
            <w:r w:rsidR="00ED71FE" w:rsidRPr="00E35620">
              <w:rPr>
                <w:rFonts w:ascii="標楷體" w:eastAsia="標楷體" w:hAnsi="標楷體" w:cs="新細明體" w:hint="eastAsia"/>
                <w:b/>
                <w:szCs w:val="24"/>
              </w:rPr>
              <w:t>7</w:t>
            </w:r>
          </w:p>
        </w:tc>
        <w:tc>
          <w:tcPr>
            <w:tcW w:w="730" w:type="dxa"/>
            <w:tcBorders>
              <w:left w:val="single" w:sz="4" w:space="0" w:color="auto"/>
              <w:right w:val="single" w:sz="18" w:space="0" w:color="auto"/>
            </w:tcBorders>
            <w:shd w:val="clear" w:color="auto" w:fill="auto"/>
            <w:vAlign w:val="center"/>
          </w:tcPr>
          <w:p w:rsidR="009112A3" w:rsidRPr="00E35620" w:rsidRDefault="00ED71FE" w:rsidP="00F822E4">
            <w:pPr>
              <w:jc w:val="center"/>
              <w:rPr>
                <w:rFonts w:ascii="標楷體" w:eastAsia="標楷體" w:hAnsi="標楷體" w:cs="新細明體"/>
                <w:b/>
                <w:bCs/>
                <w:szCs w:val="24"/>
              </w:rPr>
            </w:pPr>
            <w:r w:rsidRPr="00E35620">
              <w:rPr>
                <w:rFonts w:ascii="標楷體" w:eastAsia="標楷體" w:hAnsi="標楷體" w:cs="新細明體" w:hint="eastAsia"/>
                <w:b/>
                <w:bCs/>
                <w:szCs w:val="24"/>
              </w:rPr>
              <w:t>63</w:t>
            </w:r>
          </w:p>
        </w:tc>
      </w:tr>
      <w:tr w:rsidR="000121AE" w:rsidRPr="00920597" w:rsidTr="00964865">
        <w:trPr>
          <w:trHeight w:val="510"/>
        </w:trPr>
        <w:tc>
          <w:tcPr>
            <w:tcW w:w="586" w:type="dxa"/>
            <w:vMerge/>
            <w:tcBorders>
              <w:left w:val="single" w:sz="18" w:space="0" w:color="auto"/>
              <w:bottom w:val="single" w:sz="18" w:space="0" w:color="auto"/>
              <w:right w:val="single" w:sz="4" w:space="0" w:color="auto"/>
            </w:tcBorders>
            <w:shd w:val="clear" w:color="auto" w:fill="auto"/>
          </w:tcPr>
          <w:p w:rsidR="009112A3" w:rsidRPr="00920597"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151" w:type="dxa"/>
            <w:tcBorders>
              <w:left w:val="single" w:sz="4" w:space="0" w:color="auto"/>
              <w:bottom w:val="single" w:sz="4" w:space="0" w:color="auto"/>
              <w:right w:val="single" w:sz="18" w:space="0" w:color="auto"/>
            </w:tcBorders>
            <w:shd w:val="clear" w:color="auto" w:fill="auto"/>
            <w:vAlign w:val="center"/>
          </w:tcPr>
          <w:p w:rsidR="009112A3" w:rsidRPr="00920597"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r w:rsidRPr="00920597">
              <w:rPr>
                <w:rFonts w:ascii="標楷體" w:eastAsia="標楷體" w:hAnsi="標楷體" w:hint="eastAsia"/>
                <w:bCs/>
                <w:color w:val="000000" w:themeColor="text1"/>
                <w:spacing w:val="-20"/>
                <w:sz w:val="28"/>
                <w:szCs w:val="28"/>
              </w:rPr>
              <w:t>［五］</w:t>
            </w:r>
            <w:r w:rsidRPr="00964865">
              <w:rPr>
                <w:rFonts w:ascii="標楷體" w:eastAsia="標楷體" w:hAnsi="標楷體" w:cs="Mangal" w:hint="eastAsia"/>
                <w:bCs/>
                <w:color w:val="000000" w:themeColor="text1"/>
                <w:spacing w:val="-30"/>
                <w:sz w:val="28"/>
                <w:szCs w:val="28"/>
              </w:rPr>
              <w:t>同意權行使案</w:t>
            </w:r>
          </w:p>
        </w:tc>
        <w:tc>
          <w:tcPr>
            <w:tcW w:w="666" w:type="dxa"/>
            <w:tcBorders>
              <w:left w:val="single" w:sz="18" w:space="0" w:color="auto"/>
              <w:right w:val="dashed" w:sz="4" w:space="0" w:color="auto"/>
            </w:tcBorders>
            <w:shd w:val="clear" w:color="auto" w:fill="auto"/>
            <w:vAlign w:val="center"/>
          </w:tcPr>
          <w:p w:rsidR="009112A3" w:rsidRPr="00920597"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920597"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920597"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920597"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920597"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964865" w:rsidRDefault="009112A3" w:rsidP="009112A3">
            <w:pPr>
              <w:jc w:val="center"/>
              <w:rPr>
                <w:rFonts w:ascii="標楷體" w:eastAsia="標楷體" w:hAnsi="標楷體" w:cs="新細明體"/>
                <w:spacing w:val="-20"/>
                <w:szCs w:val="24"/>
              </w:rPr>
            </w:pPr>
          </w:p>
        </w:tc>
        <w:tc>
          <w:tcPr>
            <w:tcW w:w="552" w:type="dxa"/>
            <w:tcBorders>
              <w:left w:val="dashed" w:sz="4" w:space="0" w:color="auto"/>
              <w:right w:val="dashed" w:sz="4" w:space="0" w:color="auto"/>
            </w:tcBorders>
            <w:shd w:val="clear" w:color="auto" w:fill="auto"/>
            <w:vAlign w:val="center"/>
          </w:tcPr>
          <w:p w:rsidR="009112A3" w:rsidRPr="00964865" w:rsidRDefault="009112A3" w:rsidP="009112A3">
            <w:pPr>
              <w:jc w:val="center"/>
              <w:rPr>
                <w:rFonts w:ascii="標楷體" w:eastAsia="標楷體" w:hAnsi="標楷體" w:cs="新細明體"/>
                <w:spacing w:val="-20"/>
                <w:szCs w:val="24"/>
              </w:rPr>
            </w:pPr>
          </w:p>
        </w:tc>
        <w:tc>
          <w:tcPr>
            <w:tcW w:w="552" w:type="dxa"/>
            <w:tcBorders>
              <w:left w:val="dashed" w:sz="4" w:space="0" w:color="auto"/>
              <w:right w:val="dashed" w:sz="4" w:space="0" w:color="auto"/>
            </w:tcBorders>
            <w:shd w:val="clear" w:color="auto" w:fill="auto"/>
            <w:vAlign w:val="center"/>
          </w:tcPr>
          <w:p w:rsidR="009112A3" w:rsidRPr="00964865" w:rsidRDefault="009112A3" w:rsidP="009112A3">
            <w:pPr>
              <w:jc w:val="center"/>
              <w:rPr>
                <w:rFonts w:ascii="標楷體" w:eastAsia="標楷體" w:hAnsi="標楷體" w:cs="新細明體"/>
                <w:spacing w:val="-20"/>
                <w:szCs w:val="24"/>
              </w:rPr>
            </w:pPr>
          </w:p>
        </w:tc>
        <w:tc>
          <w:tcPr>
            <w:tcW w:w="689" w:type="dxa"/>
            <w:tcBorders>
              <w:left w:val="dashed" w:sz="4" w:space="0" w:color="auto"/>
              <w:right w:val="single" w:sz="4" w:space="0" w:color="auto"/>
            </w:tcBorders>
            <w:shd w:val="clear" w:color="auto" w:fill="auto"/>
            <w:vAlign w:val="center"/>
          </w:tcPr>
          <w:p w:rsidR="009112A3" w:rsidRPr="00964865" w:rsidRDefault="009112A3" w:rsidP="009112A3">
            <w:pPr>
              <w:jc w:val="center"/>
              <w:rPr>
                <w:rFonts w:ascii="標楷體" w:eastAsia="標楷體" w:hAnsi="標楷體" w:cs="新細明體"/>
                <w:spacing w:val="-20"/>
                <w:szCs w:val="24"/>
              </w:rPr>
            </w:pPr>
          </w:p>
        </w:tc>
        <w:tc>
          <w:tcPr>
            <w:tcW w:w="721" w:type="dxa"/>
            <w:tcBorders>
              <w:left w:val="single" w:sz="4" w:space="0" w:color="auto"/>
              <w:right w:val="single" w:sz="18" w:space="0" w:color="auto"/>
            </w:tcBorders>
            <w:shd w:val="clear" w:color="auto" w:fill="auto"/>
            <w:vAlign w:val="center"/>
          </w:tcPr>
          <w:p w:rsidR="009112A3" w:rsidRPr="00964865" w:rsidRDefault="009112A3" w:rsidP="009112A3">
            <w:pPr>
              <w:jc w:val="center"/>
              <w:rPr>
                <w:rFonts w:ascii="標楷體" w:eastAsia="標楷體" w:hAnsi="標楷體" w:cs="新細明體"/>
                <w:szCs w:val="24"/>
              </w:rPr>
            </w:pPr>
          </w:p>
        </w:tc>
        <w:tc>
          <w:tcPr>
            <w:tcW w:w="854" w:type="dxa"/>
            <w:tcBorders>
              <w:left w:val="single" w:sz="18" w:space="0" w:color="auto"/>
              <w:right w:val="single" w:sz="18" w:space="0" w:color="auto"/>
            </w:tcBorders>
            <w:shd w:val="clear" w:color="auto" w:fill="auto"/>
            <w:vAlign w:val="center"/>
          </w:tcPr>
          <w:p w:rsidR="009112A3" w:rsidRPr="00E35620" w:rsidRDefault="009112A3" w:rsidP="009112A3">
            <w:pPr>
              <w:jc w:val="center"/>
              <w:rPr>
                <w:rFonts w:ascii="標楷體" w:eastAsia="標楷體" w:hAnsi="標楷體" w:cs="新細明體"/>
                <w:szCs w:val="24"/>
              </w:rPr>
            </w:pPr>
          </w:p>
        </w:tc>
        <w:tc>
          <w:tcPr>
            <w:tcW w:w="730" w:type="dxa"/>
            <w:tcBorders>
              <w:left w:val="single" w:sz="4" w:space="0" w:color="auto"/>
              <w:right w:val="single" w:sz="18" w:space="0" w:color="auto"/>
            </w:tcBorders>
            <w:shd w:val="clear" w:color="auto" w:fill="auto"/>
            <w:vAlign w:val="center"/>
          </w:tcPr>
          <w:p w:rsidR="009112A3" w:rsidRPr="00E35620" w:rsidRDefault="009112A3" w:rsidP="009112A3">
            <w:pPr>
              <w:jc w:val="center"/>
              <w:rPr>
                <w:rFonts w:ascii="標楷體" w:eastAsia="標楷體" w:hAnsi="標楷體" w:cs="新細明體"/>
                <w:b/>
                <w:bCs/>
                <w:szCs w:val="24"/>
              </w:rPr>
            </w:pPr>
          </w:p>
        </w:tc>
      </w:tr>
      <w:tr w:rsidR="000121AE" w:rsidRPr="00920597" w:rsidTr="00964865">
        <w:trPr>
          <w:trHeight w:val="510"/>
        </w:trPr>
        <w:tc>
          <w:tcPr>
            <w:tcW w:w="586" w:type="dxa"/>
            <w:vMerge/>
            <w:tcBorders>
              <w:left w:val="single" w:sz="18" w:space="0" w:color="auto"/>
              <w:bottom w:val="single" w:sz="18" w:space="0" w:color="auto"/>
              <w:right w:val="single" w:sz="4" w:space="0" w:color="auto"/>
            </w:tcBorders>
            <w:shd w:val="clear" w:color="auto" w:fill="auto"/>
          </w:tcPr>
          <w:p w:rsidR="009112A3" w:rsidRPr="00920597"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151" w:type="dxa"/>
            <w:tcBorders>
              <w:left w:val="single" w:sz="4" w:space="0" w:color="auto"/>
              <w:bottom w:val="single" w:sz="4" w:space="0" w:color="auto"/>
              <w:right w:val="single" w:sz="18" w:space="0" w:color="auto"/>
            </w:tcBorders>
            <w:shd w:val="clear" w:color="auto" w:fill="auto"/>
            <w:vAlign w:val="center"/>
          </w:tcPr>
          <w:p w:rsidR="009112A3" w:rsidRPr="00920597"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r w:rsidRPr="00920597">
              <w:rPr>
                <w:rFonts w:ascii="標楷體" w:eastAsia="標楷體" w:hAnsi="標楷體" w:hint="eastAsia"/>
                <w:bCs/>
                <w:color w:val="000000" w:themeColor="text1"/>
                <w:spacing w:val="-20"/>
                <w:sz w:val="28"/>
                <w:szCs w:val="28"/>
              </w:rPr>
              <w:t>［六］立法院內規</w:t>
            </w:r>
          </w:p>
        </w:tc>
        <w:tc>
          <w:tcPr>
            <w:tcW w:w="666" w:type="dxa"/>
            <w:tcBorders>
              <w:left w:val="single" w:sz="18" w:space="0" w:color="auto"/>
              <w:bottom w:val="single" w:sz="2" w:space="0" w:color="auto"/>
              <w:right w:val="dashed" w:sz="4" w:space="0" w:color="auto"/>
            </w:tcBorders>
            <w:shd w:val="clear" w:color="auto" w:fill="auto"/>
            <w:vAlign w:val="center"/>
          </w:tcPr>
          <w:p w:rsidR="009112A3" w:rsidRPr="00920597"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920597"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920597"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920597"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920597"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964865" w:rsidRDefault="009112A3" w:rsidP="009112A3">
            <w:pPr>
              <w:jc w:val="center"/>
              <w:rPr>
                <w:rFonts w:ascii="標楷體" w:eastAsia="標楷體" w:hAnsi="標楷體"/>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964865" w:rsidRDefault="009112A3" w:rsidP="009112A3">
            <w:pPr>
              <w:jc w:val="center"/>
              <w:rPr>
                <w:rFonts w:ascii="標楷體" w:eastAsia="標楷體" w:hAnsi="標楷體"/>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964865" w:rsidRDefault="009112A3" w:rsidP="009112A3">
            <w:pPr>
              <w:jc w:val="center"/>
              <w:rPr>
                <w:rFonts w:ascii="標楷體" w:eastAsia="標楷體" w:hAnsi="標楷體"/>
                <w:spacing w:val="-20"/>
                <w:szCs w:val="24"/>
              </w:rPr>
            </w:pPr>
          </w:p>
        </w:tc>
        <w:tc>
          <w:tcPr>
            <w:tcW w:w="689" w:type="dxa"/>
            <w:tcBorders>
              <w:left w:val="dashed" w:sz="4" w:space="0" w:color="auto"/>
              <w:bottom w:val="single" w:sz="2" w:space="0" w:color="auto"/>
              <w:right w:val="single" w:sz="4" w:space="0" w:color="auto"/>
            </w:tcBorders>
            <w:shd w:val="clear" w:color="auto" w:fill="auto"/>
            <w:vAlign w:val="center"/>
          </w:tcPr>
          <w:p w:rsidR="009112A3" w:rsidRPr="00964865" w:rsidRDefault="009112A3" w:rsidP="009112A3">
            <w:pPr>
              <w:jc w:val="center"/>
              <w:rPr>
                <w:rFonts w:ascii="標楷體" w:eastAsia="標楷體" w:hAnsi="標楷體"/>
                <w:spacing w:val="-20"/>
                <w:szCs w:val="24"/>
              </w:rPr>
            </w:pPr>
          </w:p>
        </w:tc>
        <w:tc>
          <w:tcPr>
            <w:tcW w:w="721" w:type="dxa"/>
            <w:tcBorders>
              <w:left w:val="single" w:sz="4" w:space="0" w:color="auto"/>
              <w:bottom w:val="single" w:sz="2" w:space="0" w:color="auto"/>
              <w:right w:val="single" w:sz="18" w:space="0" w:color="auto"/>
            </w:tcBorders>
            <w:shd w:val="clear" w:color="auto" w:fill="auto"/>
            <w:vAlign w:val="center"/>
          </w:tcPr>
          <w:p w:rsidR="009112A3" w:rsidRPr="00964865" w:rsidRDefault="009112A3" w:rsidP="009112A3">
            <w:pPr>
              <w:jc w:val="center"/>
              <w:rPr>
                <w:rFonts w:ascii="標楷體" w:eastAsia="標楷體" w:hAnsi="標楷體"/>
                <w:szCs w:val="24"/>
              </w:rPr>
            </w:pPr>
          </w:p>
        </w:tc>
        <w:tc>
          <w:tcPr>
            <w:tcW w:w="854" w:type="dxa"/>
            <w:tcBorders>
              <w:left w:val="single" w:sz="18" w:space="0" w:color="auto"/>
              <w:bottom w:val="single" w:sz="2" w:space="0" w:color="auto"/>
              <w:right w:val="single" w:sz="18" w:space="0" w:color="auto"/>
            </w:tcBorders>
            <w:shd w:val="clear" w:color="auto" w:fill="auto"/>
            <w:vAlign w:val="center"/>
          </w:tcPr>
          <w:p w:rsidR="009112A3" w:rsidRPr="00E35620" w:rsidRDefault="009112A3" w:rsidP="009112A3">
            <w:pPr>
              <w:jc w:val="center"/>
              <w:rPr>
                <w:rFonts w:ascii="標楷體" w:eastAsia="標楷體" w:hAnsi="標楷體"/>
                <w:szCs w:val="24"/>
              </w:rPr>
            </w:pPr>
          </w:p>
        </w:tc>
        <w:tc>
          <w:tcPr>
            <w:tcW w:w="730" w:type="dxa"/>
            <w:tcBorders>
              <w:left w:val="single" w:sz="4" w:space="0" w:color="auto"/>
              <w:bottom w:val="single" w:sz="2" w:space="0" w:color="auto"/>
              <w:right w:val="single" w:sz="18" w:space="0" w:color="auto"/>
            </w:tcBorders>
            <w:shd w:val="clear" w:color="auto" w:fill="auto"/>
            <w:vAlign w:val="center"/>
          </w:tcPr>
          <w:p w:rsidR="009112A3" w:rsidRPr="00E35620" w:rsidRDefault="009112A3" w:rsidP="009112A3">
            <w:pPr>
              <w:jc w:val="center"/>
              <w:rPr>
                <w:rFonts w:ascii="標楷體" w:eastAsia="標楷體" w:hAnsi="標楷體"/>
                <w:b/>
                <w:bCs/>
                <w:szCs w:val="24"/>
              </w:rPr>
            </w:pPr>
          </w:p>
        </w:tc>
      </w:tr>
      <w:tr w:rsidR="000121AE" w:rsidRPr="00920597" w:rsidTr="00964865">
        <w:trPr>
          <w:trHeight w:val="510"/>
        </w:trPr>
        <w:tc>
          <w:tcPr>
            <w:tcW w:w="586" w:type="dxa"/>
            <w:vMerge/>
            <w:tcBorders>
              <w:left w:val="single" w:sz="18" w:space="0" w:color="auto"/>
              <w:bottom w:val="single" w:sz="18" w:space="0" w:color="auto"/>
              <w:right w:val="single" w:sz="4" w:space="0" w:color="auto"/>
            </w:tcBorders>
            <w:shd w:val="clear" w:color="auto" w:fill="auto"/>
          </w:tcPr>
          <w:p w:rsidR="009112A3" w:rsidRPr="00920597"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151" w:type="dxa"/>
            <w:tcBorders>
              <w:top w:val="single" w:sz="4" w:space="0" w:color="auto"/>
              <w:left w:val="single" w:sz="4" w:space="0" w:color="auto"/>
              <w:bottom w:val="single" w:sz="4" w:space="0" w:color="auto"/>
              <w:right w:val="single" w:sz="18" w:space="0" w:color="auto"/>
            </w:tcBorders>
            <w:shd w:val="clear" w:color="auto" w:fill="auto"/>
            <w:vAlign w:val="center"/>
          </w:tcPr>
          <w:p w:rsidR="009112A3" w:rsidRPr="00920597"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r w:rsidRPr="00920597">
              <w:rPr>
                <w:rFonts w:ascii="標楷體" w:eastAsia="標楷體" w:hAnsi="標楷體" w:hint="eastAsia"/>
                <w:bCs/>
                <w:color w:val="000000" w:themeColor="text1"/>
                <w:spacing w:val="-20"/>
                <w:sz w:val="28"/>
                <w:szCs w:val="28"/>
              </w:rPr>
              <w:t>［七］其他議案</w:t>
            </w:r>
          </w:p>
        </w:tc>
        <w:tc>
          <w:tcPr>
            <w:tcW w:w="666" w:type="dxa"/>
            <w:tcBorders>
              <w:left w:val="single" w:sz="18" w:space="0" w:color="auto"/>
              <w:bottom w:val="single" w:sz="2" w:space="0" w:color="auto"/>
              <w:right w:val="dashed" w:sz="4" w:space="0" w:color="auto"/>
            </w:tcBorders>
            <w:shd w:val="clear" w:color="auto" w:fill="auto"/>
            <w:vAlign w:val="center"/>
          </w:tcPr>
          <w:p w:rsidR="009112A3" w:rsidRPr="00920597"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920597"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920597"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920597"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920597"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964865" w:rsidRDefault="00C024D0" w:rsidP="009112A3">
            <w:pPr>
              <w:jc w:val="center"/>
              <w:rPr>
                <w:rFonts w:ascii="標楷體" w:eastAsia="標楷體" w:hAnsi="標楷體"/>
                <w:spacing w:val="-20"/>
                <w:szCs w:val="24"/>
              </w:rPr>
            </w:pPr>
            <w:r w:rsidRPr="00964865">
              <w:rPr>
                <w:rFonts w:ascii="標楷體" w:eastAsia="標楷體" w:hAnsi="標楷體" w:hint="eastAsia"/>
                <w:spacing w:val="-20"/>
                <w:szCs w:val="24"/>
              </w:rPr>
              <w:t>106</w:t>
            </w:r>
          </w:p>
        </w:tc>
        <w:tc>
          <w:tcPr>
            <w:tcW w:w="552" w:type="dxa"/>
            <w:tcBorders>
              <w:left w:val="dashed" w:sz="4" w:space="0" w:color="auto"/>
              <w:bottom w:val="single" w:sz="2" w:space="0" w:color="auto"/>
              <w:right w:val="dashed" w:sz="4" w:space="0" w:color="auto"/>
            </w:tcBorders>
            <w:shd w:val="clear" w:color="auto" w:fill="auto"/>
            <w:vAlign w:val="center"/>
          </w:tcPr>
          <w:p w:rsidR="009112A3" w:rsidRPr="00964865" w:rsidRDefault="009112A3" w:rsidP="009112A3">
            <w:pPr>
              <w:jc w:val="center"/>
              <w:rPr>
                <w:rFonts w:ascii="標楷體" w:eastAsia="標楷體" w:hAnsi="標楷體"/>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964865" w:rsidRDefault="009112A3" w:rsidP="009112A3">
            <w:pPr>
              <w:jc w:val="center"/>
              <w:rPr>
                <w:rFonts w:ascii="標楷體" w:eastAsia="標楷體" w:hAnsi="標楷體"/>
                <w:spacing w:val="-20"/>
                <w:szCs w:val="24"/>
              </w:rPr>
            </w:pPr>
          </w:p>
        </w:tc>
        <w:tc>
          <w:tcPr>
            <w:tcW w:w="689" w:type="dxa"/>
            <w:tcBorders>
              <w:left w:val="dashed" w:sz="4" w:space="0" w:color="auto"/>
              <w:bottom w:val="single" w:sz="2" w:space="0" w:color="auto"/>
              <w:right w:val="single" w:sz="4" w:space="0" w:color="auto"/>
            </w:tcBorders>
            <w:shd w:val="clear" w:color="auto" w:fill="auto"/>
            <w:vAlign w:val="center"/>
          </w:tcPr>
          <w:p w:rsidR="009112A3" w:rsidRPr="00964865" w:rsidRDefault="009112A3" w:rsidP="009112A3">
            <w:pPr>
              <w:jc w:val="center"/>
              <w:rPr>
                <w:rFonts w:ascii="標楷體" w:eastAsia="標楷體" w:hAnsi="標楷體"/>
                <w:spacing w:val="-20"/>
                <w:szCs w:val="24"/>
              </w:rPr>
            </w:pPr>
          </w:p>
        </w:tc>
        <w:tc>
          <w:tcPr>
            <w:tcW w:w="721" w:type="dxa"/>
            <w:tcBorders>
              <w:left w:val="single" w:sz="4" w:space="0" w:color="auto"/>
              <w:bottom w:val="single" w:sz="2" w:space="0" w:color="auto"/>
              <w:right w:val="single" w:sz="18" w:space="0" w:color="auto"/>
            </w:tcBorders>
            <w:shd w:val="clear" w:color="auto" w:fill="auto"/>
            <w:vAlign w:val="center"/>
          </w:tcPr>
          <w:p w:rsidR="009112A3" w:rsidRPr="00964865" w:rsidRDefault="00C024D0" w:rsidP="009112A3">
            <w:pPr>
              <w:jc w:val="center"/>
              <w:rPr>
                <w:rFonts w:ascii="標楷體" w:eastAsia="標楷體" w:hAnsi="標楷體"/>
                <w:szCs w:val="24"/>
              </w:rPr>
            </w:pPr>
            <w:r w:rsidRPr="00964865">
              <w:rPr>
                <w:rFonts w:ascii="標楷體" w:eastAsia="標楷體" w:hAnsi="標楷體" w:hint="eastAsia"/>
                <w:szCs w:val="24"/>
              </w:rPr>
              <w:t>106</w:t>
            </w:r>
          </w:p>
        </w:tc>
        <w:tc>
          <w:tcPr>
            <w:tcW w:w="854" w:type="dxa"/>
            <w:tcBorders>
              <w:left w:val="single" w:sz="18" w:space="0" w:color="auto"/>
              <w:bottom w:val="single" w:sz="2" w:space="0" w:color="auto"/>
              <w:right w:val="single" w:sz="18" w:space="0" w:color="auto"/>
            </w:tcBorders>
            <w:shd w:val="clear" w:color="auto" w:fill="auto"/>
            <w:vAlign w:val="center"/>
          </w:tcPr>
          <w:p w:rsidR="009112A3" w:rsidRPr="00E35620" w:rsidRDefault="00723A9E" w:rsidP="00ED71FE">
            <w:pPr>
              <w:jc w:val="center"/>
              <w:rPr>
                <w:rFonts w:ascii="標楷體" w:eastAsia="標楷體" w:hAnsi="標楷體"/>
                <w:b/>
                <w:szCs w:val="24"/>
              </w:rPr>
            </w:pPr>
            <w:r w:rsidRPr="00E35620">
              <w:rPr>
                <w:rFonts w:ascii="標楷體" w:eastAsia="標楷體" w:hAnsi="標楷體" w:hint="eastAsia"/>
                <w:b/>
                <w:szCs w:val="24"/>
              </w:rPr>
              <w:t>55</w:t>
            </w:r>
            <w:r w:rsidR="00ED71FE" w:rsidRPr="00E35620">
              <w:rPr>
                <w:rFonts w:ascii="標楷體" w:eastAsia="標楷體" w:hAnsi="標楷體" w:hint="eastAsia"/>
                <w:b/>
                <w:szCs w:val="24"/>
              </w:rPr>
              <w:t>9</w:t>
            </w:r>
          </w:p>
        </w:tc>
        <w:tc>
          <w:tcPr>
            <w:tcW w:w="730" w:type="dxa"/>
            <w:tcBorders>
              <w:left w:val="single" w:sz="4" w:space="0" w:color="auto"/>
              <w:bottom w:val="single" w:sz="2" w:space="0" w:color="auto"/>
              <w:right w:val="single" w:sz="18" w:space="0" w:color="auto"/>
            </w:tcBorders>
            <w:shd w:val="clear" w:color="auto" w:fill="auto"/>
            <w:vAlign w:val="center"/>
          </w:tcPr>
          <w:p w:rsidR="009112A3" w:rsidRPr="00E35620" w:rsidRDefault="00ED71FE" w:rsidP="009112A3">
            <w:pPr>
              <w:jc w:val="center"/>
              <w:rPr>
                <w:rFonts w:ascii="標楷體" w:eastAsia="標楷體" w:hAnsi="標楷體"/>
                <w:b/>
                <w:bCs/>
                <w:szCs w:val="24"/>
              </w:rPr>
            </w:pPr>
            <w:r w:rsidRPr="00E35620">
              <w:rPr>
                <w:rFonts w:ascii="標楷體" w:eastAsia="標楷體" w:hAnsi="標楷體" w:hint="eastAsia"/>
                <w:b/>
                <w:bCs/>
                <w:szCs w:val="24"/>
              </w:rPr>
              <w:t>665</w:t>
            </w:r>
          </w:p>
        </w:tc>
      </w:tr>
      <w:tr w:rsidR="00920597" w:rsidRPr="00920597" w:rsidTr="00964865">
        <w:trPr>
          <w:trHeight w:val="510"/>
        </w:trPr>
        <w:tc>
          <w:tcPr>
            <w:tcW w:w="2737" w:type="dxa"/>
            <w:gridSpan w:val="2"/>
            <w:tcBorders>
              <w:top w:val="single" w:sz="18" w:space="0" w:color="auto"/>
              <w:left w:val="single" w:sz="18" w:space="0" w:color="auto"/>
              <w:bottom w:val="single" w:sz="18" w:space="0" w:color="auto"/>
              <w:right w:val="single" w:sz="18" w:space="0" w:color="auto"/>
            </w:tcBorders>
            <w:shd w:val="clear" w:color="auto" w:fill="auto"/>
          </w:tcPr>
          <w:p w:rsidR="009112A3" w:rsidRPr="00920597" w:rsidRDefault="009112A3" w:rsidP="009112A3">
            <w:pPr>
              <w:spacing w:line="300" w:lineRule="exact"/>
              <w:ind w:leftChars="-55" w:left="243" w:hangingChars="156" w:hanging="375"/>
              <w:jc w:val="center"/>
              <w:rPr>
                <w:rFonts w:ascii="標楷體" w:eastAsia="標楷體" w:hAnsi="標楷體"/>
                <w:b/>
                <w:color w:val="000000" w:themeColor="text1"/>
                <w:spacing w:val="-20"/>
                <w:sz w:val="28"/>
                <w:szCs w:val="28"/>
              </w:rPr>
            </w:pPr>
            <w:r w:rsidRPr="00920597">
              <w:rPr>
                <w:rFonts w:ascii="標楷體" w:eastAsia="標楷體" w:hAnsi="標楷體" w:hint="eastAsia"/>
                <w:b/>
                <w:color w:val="000000" w:themeColor="text1"/>
                <w:spacing w:val="-20"/>
                <w:sz w:val="28"/>
                <w:szCs w:val="28"/>
              </w:rPr>
              <w:t>［一］至［七］</w:t>
            </w:r>
          </w:p>
          <w:p w:rsidR="009112A3" w:rsidRPr="00920597" w:rsidRDefault="009112A3" w:rsidP="009112A3">
            <w:pPr>
              <w:spacing w:line="300" w:lineRule="exact"/>
              <w:ind w:leftChars="-55" w:left="243" w:hangingChars="156" w:hanging="375"/>
              <w:jc w:val="center"/>
              <w:rPr>
                <w:rFonts w:ascii="標楷體" w:eastAsia="標楷體" w:hAnsi="標楷體"/>
                <w:b/>
                <w:color w:val="000000" w:themeColor="text1"/>
                <w:spacing w:val="-20"/>
                <w:sz w:val="28"/>
                <w:szCs w:val="28"/>
              </w:rPr>
            </w:pPr>
            <w:r w:rsidRPr="00920597">
              <w:rPr>
                <w:rFonts w:ascii="標楷體" w:eastAsia="標楷體" w:hAnsi="標楷體" w:hint="eastAsia"/>
                <w:b/>
                <w:color w:val="000000" w:themeColor="text1"/>
                <w:spacing w:val="-20"/>
                <w:sz w:val="28"/>
                <w:szCs w:val="28"/>
              </w:rPr>
              <w:t>小     計</w:t>
            </w:r>
          </w:p>
        </w:tc>
        <w:tc>
          <w:tcPr>
            <w:tcW w:w="666" w:type="dxa"/>
            <w:tcBorders>
              <w:top w:val="single" w:sz="18" w:space="0" w:color="auto"/>
              <w:left w:val="single" w:sz="18" w:space="0" w:color="auto"/>
              <w:bottom w:val="single" w:sz="18" w:space="0" w:color="auto"/>
              <w:right w:val="dashed" w:sz="4" w:space="0" w:color="auto"/>
            </w:tcBorders>
            <w:shd w:val="clear" w:color="auto" w:fill="auto"/>
            <w:vAlign w:val="center"/>
          </w:tcPr>
          <w:p w:rsidR="009112A3" w:rsidRPr="00920597" w:rsidRDefault="009112A3" w:rsidP="009112A3">
            <w:pPr>
              <w:jc w:val="center"/>
              <w:rPr>
                <w:rFonts w:ascii="標楷體" w:eastAsia="標楷體" w:hAnsi="標楷體" w:cs="新細明體"/>
                <w:b/>
                <w:color w:val="000000" w:themeColor="text1"/>
                <w:spacing w:val="-20"/>
                <w:szCs w:val="24"/>
              </w:rPr>
            </w:pPr>
            <w:r w:rsidRPr="00920597">
              <w:rPr>
                <w:rFonts w:ascii="標楷體" w:eastAsia="標楷體" w:hAnsi="標楷體" w:cs="新細明體" w:hint="eastAsia"/>
                <w:b/>
                <w:color w:val="000000" w:themeColor="text1"/>
                <w:spacing w:val="-20"/>
                <w:szCs w:val="24"/>
              </w:rPr>
              <w:t>32</w:t>
            </w: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9112A3" w:rsidRPr="00920597" w:rsidRDefault="00596CA8" w:rsidP="009112A3">
            <w:pPr>
              <w:jc w:val="center"/>
              <w:rPr>
                <w:rFonts w:ascii="標楷體" w:eastAsia="標楷體" w:hAnsi="標楷體" w:cs="新細明體"/>
                <w:b/>
                <w:color w:val="000000" w:themeColor="text1"/>
                <w:spacing w:val="-20"/>
                <w:szCs w:val="24"/>
              </w:rPr>
            </w:pPr>
            <w:r w:rsidRPr="00920597">
              <w:rPr>
                <w:rFonts w:ascii="標楷體" w:eastAsia="標楷體" w:hAnsi="標楷體" w:cs="新細明體"/>
                <w:b/>
                <w:color w:val="000000" w:themeColor="text1"/>
                <w:spacing w:val="-20"/>
                <w:szCs w:val="24"/>
              </w:rPr>
              <w:t>60</w:t>
            </w: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9112A3" w:rsidRPr="00920597" w:rsidRDefault="00C33710" w:rsidP="009112A3">
            <w:pPr>
              <w:jc w:val="center"/>
              <w:rPr>
                <w:rFonts w:ascii="標楷體" w:eastAsia="標楷體" w:hAnsi="標楷體" w:cs="新細明體"/>
                <w:b/>
                <w:color w:val="000000" w:themeColor="text1"/>
                <w:spacing w:val="-20"/>
                <w:szCs w:val="24"/>
              </w:rPr>
            </w:pPr>
            <w:r w:rsidRPr="00920597">
              <w:rPr>
                <w:rFonts w:ascii="標楷體" w:eastAsia="標楷體" w:hAnsi="標楷體" w:cs="新細明體"/>
                <w:b/>
                <w:color w:val="000000" w:themeColor="text1"/>
                <w:spacing w:val="-20"/>
                <w:szCs w:val="24"/>
              </w:rPr>
              <w:t>137</w:t>
            </w: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9112A3" w:rsidRPr="00920597" w:rsidRDefault="00737E6B" w:rsidP="00840391">
            <w:pPr>
              <w:jc w:val="center"/>
              <w:rPr>
                <w:rFonts w:ascii="標楷體" w:eastAsia="標楷體" w:hAnsi="標楷體" w:cs="新細明體"/>
                <w:b/>
                <w:color w:val="000000" w:themeColor="text1"/>
                <w:spacing w:val="-20"/>
                <w:szCs w:val="24"/>
              </w:rPr>
            </w:pPr>
            <w:r w:rsidRPr="00920597">
              <w:rPr>
                <w:rFonts w:ascii="標楷體" w:eastAsia="標楷體" w:hAnsi="標楷體" w:cs="新細明體"/>
                <w:b/>
                <w:color w:val="000000" w:themeColor="text1"/>
                <w:spacing w:val="-20"/>
                <w:szCs w:val="24"/>
              </w:rPr>
              <w:t>52</w:t>
            </w: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9112A3" w:rsidRPr="00920597" w:rsidRDefault="004A66DD" w:rsidP="009112A3">
            <w:pPr>
              <w:jc w:val="center"/>
              <w:rPr>
                <w:rFonts w:ascii="標楷體" w:eastAsia="標楷體" w:hAnsi="標楷體" w:cs="新細明體"/>
                <w:b/>
                <w:color w:val="000000" w:themeColor="text1"/>
                <w:spacing w:val="-20"/>
                <w:szCs w:val="24"/>
              </w:rPr>
            </w:pPr>
            <w:r w:rsidRPr="00920597">
              <w:rPr>
                <w:rFonts w:ascii="標楷體" w:eastAsia="標楷體" w:hAnsi="標楷體" w:cs="新細明體"/>
                <w:b/>
                <w:color w:val="000000" w:themeColor="text1"/>
                <w:spacing w:val="-20"/>
                <w:szCs w:val="24"/>
              </w:rPr>
              <w:t>187</w:t>
            </w: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9112A3" w:rsidRPr="00964865" w:rsidRDefault="00C024D0" w:rsidP="009112A3">
            <w:pPr>
              <w:jc w:val="center"/>
              <w:rPr>
                <w:rFonts w:ascii="標楷體" w:eastAsia="標楷體" w:hAnsi="標楷體" w:cs="新細明體"/>
                <w:b/>
                <w:spacing w:val="-20"/>
                <w:szCs w:val="24"/>
              </w:rPr>
            </w:pPr>
            <w:r w:rsidRPr="00964865">
              <w:rPr>
                <w:rFonts w:ascii="標楷體" w:eastAsia="標楷體" w:hAnsi="標楷體" w:cs="新細明體" w:hint="eastAsia"/>
                <w:b/>
                <w:spacing w:val="-20"/>
                <w:szCs w:val="24"/>
              </w:rPr>
              <w:t>188</w:t>
            </w: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9112A3" w:rsidRPr="00964865" w:rsidRDefault="009112A3" w:rsidP="009112A3">
            <w:pPr>
              <w:jc w:val="center"/>
              <w:rPr>
                <w:rFonts w:ascii="標楷體" w:eastAsia="標楷體" w:hAnsi="標楷體" w:cs="新細明體"/>
                <w:b/>
                <w:spacing w:val="-20"/>
                <w:szCs w:val="24"/>
              </w:rPr>
            </w:pP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9112A3" w:rsidRPr="00964865" w:rsidRDefault="009112A3" w:rsidP="009112A3">
            <w:pPr>
              <w:jc w:val="center"/>
              <w:rPr>
                <w:rFonts w:ascii="標楷體" w:eastAsia="標楷體" w:hAnsi="標楷體" w:cs="新細明體"/>
                <w:b/>
                <w:spacing w:val="-20"/>
                <w:szCs w:val="24"/>
              </w:rPr>
            </w:pPr>
          </w:p>
        </w:tc>
        <w:tc>
          <w:tcPr>
            <w:tcW w:w="689" w:type="dxa"/>
            <w:tcBorders>
              <w:top w:val="single" w:sz="18" w:space="0" w:color="auto"/>
              <w:left w:val="dashed" w:sz="4" w:space="0" w:color="auto"/>
              <w:bottom w:val="single" w:sz="18" w:space="0" w:color="auto"/>
              <w:right w:val="single" w:sz="4" w:space="0" w:color="auto"/>
            </w:tcBorders>
            <w:shd w:val="clear" w:color="auto" w:fill="auto"/>
            <w:vAlign w:val="center"/>
          </w:tcPr>
          <w:p w:rsidR="009112A3" w:rsidRPr="00964865" w:rsidRDefault="00C024D0" w:rsidP="009112A3">
            <w:pPr>
              <w:jc w:val="center"/>
              <w:rPr>
                <w:rFonts w:ascii="標楷體" w:eastAsia="標楷體" w:hAnsi="標楷體" w:cs="新細明體"/>
                <w:b/>
                <w:spacing w:val="-20"/>
                <w:szCs w:val="24"/>
              </w:rPr>
            </w:pPr>
            <w:r w:rsidRPr="00964865">
              <w:rPr>
                <w:rFonts w:ascii="標楷體" w:eastAsia="標楷體" w:hAnsi="標楷體" w:cs="新細明體" w:hint="eastAsia"/>
                <w:b/>
                <w:spacing w:val="-20"/>
                <w:szCs w:val="24"/>
              </w:rPr>
              <w:t>37</w:t>
            </w:r>
          </w:p>
        </w:tc>
        <w:tc>
          <w:tcPr>
            <w:tcW w:w="721" w:type="dxa"/>
            <w:tcBorders>
              <w:top w:val="single" w:sz="18" w:space="0" w:color="auto"/>
              <w:left w:val="single" w:sz="4" w:space="0" w:color="auto"/>
              <w:bottom w:val="single" w:sz="18" w:space="0" w:color="auto"/>
              <w:right w:val="single" w:sz="18" w:space="0" w:color="auto"/>
            </w:tcBorders>
            <w:shd w:val="clear" w:color="auto" w:fill="auto"/>
            <w:vAlign w:val="center"/>
          </w:tcPr>
          <w:p w:rsidR="009112A3" w:rsidRPr="00964865" w:rsidRDefault="00C024D0" w:rsidP="00C4663C">
            <w:pPr>
              <w:jc w:val="center"/>
              <w:rPr>
                <w:rFonts w:ascii="標楷體" w:eastAsia="標楷體" w:hAnsi="標楷體" w:cs="新細明體"/>
                <w:b/>
                <w:szCs w:val="24"/>
              </w:rPr>
            </w:pPr>
            <w:r w:rsidRPr="00964865">
              <w:rPr>
                <w:rFonts w:ascii="標楷體" w:eastAsia="標楷體" w:hAnsi="標楷體" w:cs="新細明體" w:hint="eastAsia"/>
                <w:b/>
                <w:szCs w:val="24"/>
              </w:rPr>
              <w:t>6</w:t>
            </w:r>
            <w:r w:rsidR="004A66DD" w:rsidRPr="00964865">
              <w:rPr>
                <w:rFonts w:ascii="標楷體" w:eastAsia="標楷體" w:hAnsi="標楷體" w:cs="新細明體"/>
                <w:b/>
                <w:szCs w:val="24"/>
              </w:rPr>
              <w:t>9</w:t>
            </w:r>
            <w:r w:rsidRPr="00964865">
              <w:rPr>
                <w:rFonts w:ascii="標楷體" w:eastAsia="標楷體" w:hAnsi="標楷體" w:cs="新細明體" w:hint="eastAsia"/>
                <w:b/>
                <w:szCs w:val="24"/>
              </w:rPr>
              <w:t>3</w:t>
            </w:r>
          </w:p>
        </w:tc>
        <w:tc>
          <w:tcPr>
            <w:tcW w:w="854" w:type="dxa"/>
            <w:tcBorders>
              <w:top w:val="single" w:sz="18" w:space="0" w:color="auto"/>
              <w:left w:val="single" w:sz="18" w:space="0" w:color="auto"/>
              <w:bottom w:val="single" w:sz="18" w:space="0" w:color="auto"/>
              <w:right w:val="single" w:sz="18" w:space="0" w:color="auto"/>
            </w:tcBorders>
            <w:shd w:val="clear" w:color="auto" w:fill="auto"/>
            <w:vAlign w:val="center"/>
          </w:tcPr>
          <w:p w:rsidR="009112A3" w:rsidRPr="00E35620" w:rsidRDefault="00ED71FE" w:rsidP="006D4931">
            <w:pPr>
              <w:jc w:val="center"/>
              <w:rPr>
                <w:rFonts w:ascii="標楷體" w:eastAsia="標楷體" w:hAnsi="標楷體" w:cs="新細明體"/>
                <w:b/>
                <w:szCs w:val="24"/>
              </w:rPr>
            </w:pPr>
            <w:r w:rsidRPr="00E35620">
              <w:rPr>
                <w:rFonts w:ascii="標楷體" w:eastAsia="標楷體" w:hAnsi="標楷體" w:cs="新細明體" w:hint="eastAsia"/>
                <w:b/>
                <w:szCs w:val="24"/>
              </w:rPr>
              <w:t>951</w:t>
            </w:r>
          </w:p>
        </w:tc>
        <w:tc>
          <w:tcPr>
            <w:tcW w:w="730" w:type="dxa"/>
            <w:tcBorders>
              <w:top w:val="single" w:sz="18" w:space="0" w:color="auto"/>
              <w:left w:val="single" w:sz="4" w:space="0" w:color="auto"/>
              <w:bottom w:val="single" w:sz="18" w:space="0" w:color="auto"/>
              <w:right w:val="single" w:sz="18" w:space="0" w:color="auto"/>
            </w:tcBorders>
            <w:shd w:val="clear" w:color="auto" w:fill="auto"/>
            <w:vAlign w:val="center"/>
          </w:tcPr>
          <w:p w:rsidR="009112A3" w:rsidRPr="00E35620" w:rsidRDefault="00723A9E" w:rsidP="008F0B9E">
            <w:pPr>
              <w:jc w:val="center"/>
              <w:rPr>
                <w:rFonts w:ascii="標楷體" w:eastAsia="標楷體" w:hAnsi="標楷體" w:cs="新細明體"/>
                <w:b/>
                <w:bCs/>
                <w:szCs w:val="24"/>
              </w:rPr>
            </w:pPr>
            <w:r w:rsidRPr="00E35620">
              <w:rPr>
                <w:rFonts w:ascii="標楷體" w:eastAsia="標楷體" w:hAnsi="標楷體" w:cs="新細明體" w:hint="eastAsia"/>
                <w:b/>
                <w:bCs/>
                <w:szCs w:val="24"/>
              </w:rPr>
              <w:t>16</w:t>
            </w:r>
            <w:r w:rsidR="00ED71FE" w:rsidRPr="00E35620">
              <w:rPr>
                <w:rFonts w:ascii="標楷體" w:eastAsia="標楷體" w:hAnsi="標楷體" w:cs="新細明體" w:hint="eastAsia"/>
                <w:b/>
                <w:bCs/>
                <w:szCs w:val="24"/>
              </w:rPr>
              <w:t>44</w:t>
            </w:r>
          </w:p>
        </w:tc>
      </w:tr>
      <w:tr w:rsidR="000121AE" w:rsidRPr="00920597" w:rsidTr="00964865">
        <w:trPr>
          <w:trHeight w:val="510"/>
        </w:trPr>
        <w:tc>
          <w:tcPr>
            <w:tcW w:w="2737" w:type="dxa"/>
            <w:gridSpan w:val="2"/>
            <w:tcBorders>
              <w:top w:val="single" w:sz="18" w:space="0" w:color="auto"/>
              <w:left w:val="single" w:sz="18" w:space="0" w:color="auto"/>
              <w:bottom w:val="thinThickThinSmallGap" w:sz="24" w:space="0" w:color="auto"/>
              <w:right w:val="single" w:sz="18" w:space="0" w:color="auto"/>
            </w:tcBorders>
            <w:shd w:val="clear" w:color="auto" w:fill="auto"/>
            <w:vAlign w:val="center"/>
          </w:tcPr>
          <w:p w:rsidR="009112A3" w:rsidRPr="00920597" w:rsidRDefault="009112A3" w:rsidP="008C6FBD">
            <w:pPr>
              <w:spacing w:line="360" w:lineRule="exact"/>
              <w:ind w:left="240" w:hangingChars="100" w:hanging="240"/>
              <w:jc w:val="both"/>
              <w:rPr>
                <w:rFonts w:ascii="標楷體" w:eastAsia="標楷體" w:hAnsi="標楷體"/>
                <w:bCs/>
                <w:color w:val="000000" w:themeColor="text1"/>
                <w:spacing w:val="-20"/>
                <w:sz w:val="28"/>
                <w:szCs w:val="28"/>
              </w:rPr>
            </w:pPr>
            <w:r w:rsidRPr="00920597">
              <w:rPr>
                <w:rFonts w:ascii="標楷體" w:eastAsia="標楷體" w:hAnsi="標楷體" w:hint="eastAsia"/>
                <w:bCs/>
                <w:color w:val="000000" w:themeColor="text1"/>
                <w:spacing w:val="-20"/>
                <w:sz w:val="28"/>
                <w:szCs w:val="28"/>
              </w:rPr>
              <w:t xml:space="preserve">    ［八］人民請願案</w:t>
            </w:r>
          </w:p>
        </w:tc>
        <w:tc>
          <w:tcPr>
            <w:tcW w:w="666" w:type="dxa"/>
            <w:tcBorders>
              <w:top w:val="single" w:sz="18" w:space="0" w:color="auto"/>
              <w:left w:val="single" w:sz="18" w:space="0" w:color="auto"/>
              <w:bottom w:val="thinThickThinSmallGap" w:sz="24" w:space="0" w:color="auto"/>
              <w:right w:val="dashed" w:sz="4" w:space="0" w:color="auto"/>
            </w:tcBorders>
            <w:shd w:val="clear" w:color="auto" w:fill="auto"/>
            <w:vAlign w:val="center"/>
          </w:tcPr>
          <w:p w:rsidR="009112A3" w:rsidRPr="00920597" w:rsidRDefault="009112A3" w:rsidP="009112A3">
            <w:pPr>
              <w:jc w:val="center"/>
              <w:rPr>
                <w:rFonts w:ascii="標楷體" w:eastAsia="標楷體" w:hAnsi="標楷體" w:cs="新細明體"/>
                <w:color w:val="000000" w:themeColor="text1"/>
                <w:spacing w:val="-20"/>
                <w:szCs w:val="24"/>
              </w:rPr>
            </w:pP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9112A3" w:rsidRPr="00920597" w:rsidRDefault="009112A3" w:rsidP="009112A3">
            <w:pPr>
              <w:jc w:val="center"/>
              <w:rPr>
                <w:rFonts w:ascii="標楷體" w:eastAsia="標楷體" w:hAnsi="標楷體" w:cs="新細明體"/>
                <w:color w:val="000000" w:themeColor="text1"/>
                <w:spacing w:val="-20"/>
                <w:szCs w:val="24"/>
              </w:rPr>
            </w:pP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9112A3" w:rsidRPr="00920597" w:rsidRDefault="00734384" w:rsidP="009112A3">
            <w:pPr>
              <w:jc w:val="center"/>
              <w:rPr>
                <w:rFonts w:ascii="標楷體" w:eastAsia="標楷體" w:hAnsi="標楷體" w:cs="新細明體"/>
                <w:color w:val="000000" w:themeColor="text1"/>
                <w:spacing w:val="-20"/>
                <w:szCs w:val="24"/>
              </w:rPr>
            </w:pPr>
            <w:r w:rsidRPr="00920597">
              <w:rPr>
                <w:rFonts w:ascii="標楷體" w:eastAsia="標楷體" w:hAnsi="標楷體" w:cs="新細明體" w:hint="eastAsia"/>
                <w:color w:val="000000" w:themeColor="text1"/>
                <w:spacing w:val="-20"/>
                <w:szCs w:val="24"/>
              </w:rPr>
              <w:t>2</w:t>
            </w: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9112A3" w:rsidRPr="00920597" w:rsidRDefault="00B626E9" w:rsidP="009112A3">
            <w:pPr>
              <w:jc w:val="center"/>
              <w:rPr>
                <w:rFonts w:ascii="標楷體" w:eastAsia="標楷體" w:hAnsi="標楷體" w:cs="新細明體"/>
                <w:color w:val="000000" w:themeColor="text1"/>
                <w:spacing w:val="-20"/>
                <w:szCs w:val="24"/>
              </w:rPr>
            </w:pPr>
            <w:r w:rsidRPr="00920597">
              <w:rPr>
                <w:rFonts w:ascii="標楷體" w:eastAsia="標楷體" w:hAnsi="標楷體" w:cs="新細明體" w:hint="eastAsia"/>
                <w:color w:val="000000" w:themeColor="text1"/>
                <w:spacing w:val="-20"/>
                <w:szCs w:val="24"/>
              </w:rPr>
              <w:t>1</w:t>
            </w: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9112A3" w:rsidRPr="00920597" w:rsidRDefault="00E61C53" w:rsidP="009112A3">
            <w:pPr>
              <w:jc w:val="center"/>
              <w:rPr>
                <w:rFonts w:ascii="標楷體" w:eastAsia="標楷體" w:hAnsi="標楷體" w:cs="新細明體"/>
                <w:color w:val="000000" w:themeColor="text1"/>
                <w:spacing w:val="-20"/>
                <w:szCs w:val="24"/>
              </w:rPr>
            </w:pPr>
            <w:r w:rsidRPr="00920597">
              <w:rPr>
                <w:rFonts w:ascii="標楷體" w:eastAsia="標楷體" w:hAnsi="標楷體" w:cs="新細明體" w:hint="eastAsia"/>
                <w:color w:val="000000" w:themeColor="text1"/>
                <w:spacing w:val="-20"/>
                <w:szCs w:val="24"/>
              </w:rPr>
              <w:t>0</w:t>
            </w: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9112A3" w:rsidRPr="00964865" w:rsidRDefault="00C024D0" w:rsidP="009112A3">
            <w:pPr>
              <w:jc w:val="center"/>
              <w:rPr>
                <w:rFonts w:ascii="標楷體" w:eastAsia="標楷體" w:hAnsi="標楷體" w:cs="新細明體"/>
                <w:spacing w:val="-20"/>
                <w:szCs w:val="24"/>
              </w:rPr>
            </w:pPr>
            <w:r w:rsidRPr="00964865">
              <w:rPr>
                <w:rFonts w:ascii="標楷體" w:eastAsia="標楷體" w:hAnsi="標楷體" w:cs="新細明體" w:hint="eastAsia"/>
                <w:spacing w:val="-20"/>
                <w:szCs w:val="24"/>
              </w:rPr>
              <w:t>1</w:t>
            </w: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9112A3" w:rsidRPr="00964865" w:rsidRDefault="009112A3" w:rsidP="009112A3">
            <w:pPr>
              <w:jc w:val="center"/>
              <w:rPr>
                <w:rFonts w:ascii="標楷體" w:eastAsia="標楷體" w:hAnsi="標楷體" w:cs="新細明體"/>
                <w:spacing w:val="-20"/>
                <w:szCs w:val="24"/>
              </w:rPr>
            </w:pP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9112A3" w:rsidRPr="00964865" w:rsidRDefault="009112A3" w:rsidP="009112A3">
            <w:pPr>
              <w:jc w:val="center"/>
              <w:rPr>
                <w:rFonts w:ascii="標楷體" w:eastAsia="標楷體" w:hAnsi="標楷體" w:cs="新細明體"/>
                <w:spacing w:val="-20"/>
                <w:szCs w:val="24"/>
              </w:rPr>
            </w:pPr>
          </w:p>
        </w:tc>
        <w:tc>
          <w:tcPr>
            <w:tcW w:w="689" w:type="dxa"/>
            <w:tcBorders>
              <w:top w:val="single" w:sz="18" w:space="0" w:color="auto"/>
              <w:left w:val="dashed" w:sz="4" w:space="0" w:color="auto"/>
              <w:bottom w:val="thinThickThinSmallGap" w:sz="24" w:space="0" w:color="auto"/>
              <w:right w:val="single" w:sz="4" w:space="0" w:color="auto"/>
            </w:tcBorders>
            <w:shd w:val="clear" w:color="auto" w:fill="auto"/>
            <w:vAlign w:val="center"/>
          </w:tcPr>
          <w:p w:rsidR="009112A3" w:rsidRPr="00964865" w:rsidRDefault="009112A3" w:rsidP="009112A3">
            <w:pPr>
              <w:jc w:val="center"/>
              <w:rPr>
                <w:rFonts w:ascii="標楷體" w:eastAsia="標楷體" w:hAnsi="標楷體" w:cs="新細明體"/>
                <w:spacing w:val="-20"/>
                <w:szCs w:val="24"/>
              </w:rPr>
            </w:pPr>
          </w:p>
        </w:tc>
        <w:tc>
          <w:tcPr>
            <w:tcW w:w="721" w:type="dxa"/>
            <w:tcBorders>
              <w:top w:val="single" w:sz="18" w:space="0" w:color="auto"/>
              <w:left w:val="single" w:sz="4" w:space="0" w:color="auto"/>
              <w:bottom w:val="thinThickThinSmallGap" w:sz="24" w:space="0" w:color="auto"/>
              <w:right w:val="single" w:sz="18" w:space="0" w:color="auto"/>
            </w:tcBorders>
            <w:shd w:val="clear" w:color="auto" w:fill="auto"/>
            <w:vAlign w:val="center"/>
          </w:tcPr>
          <w:p w:rsidR="009112A3" w:rsidRPr="00964865" w:rsidRDefault="00C024D0" w:rsidP="009112A3">
            <w:pPr>
              <w:jc w:val="center"/>
              <w:rPr>
                <w:rFonts w:ascii="標楷體" w:eastAsia="標楷體" w:hAnsi="標楷體" w:cs="新細明體"/>
                <w:szCs w:val="24"/>
              </w:rPr>
            </w:pPr>
            <w:r w:rsidRPr="00964865">
              <w:rPr>
                <w:rFonts w:ascii="標楷體" w:eastAsia="標楷體" w:hAnsi="標楷體" w:cs="新細明體" w:hint="eastAsia"/>
                <w:szCs w:val="24"/>
              </w:rPr>
              <w:t>4</w:t>
            </w:r>
          </w:p>
        </w:tc>
        <w:tc>
          <w:tcPr>
            <w:tcW w:w="854" w:type="dxa"/>
            <w:tcBorders>
              <w:top w:val="single" w:sz="18" w:space="0" w:color="auto"/>
              <w:left w:val="single" w:sz="18" w:space="0" w:color="auto"/>
              <w:bottom w:val="thinThickThinSmallGap" w:sz="24" w:space="0" w:color="auto"/>
              <w:right w:val="single" w:sz="18" w:space="0" w:color="auto"/>
            </w:tcBorders>
            <w:shd w:val="clear" w:color="auto" w:fill="auto"/>
            <w:vAlign w:val="center"/>
          </w:tcPr>
          <w:p w:rsidR="009112A3" w:rsidRPr="00E35620" w:rsidRDefault="00723A9E" w:rsidP="009112A3">
            <w:pPr>
              <w:jc w:val="center"/>
              <w:rPr>
                <w:rFonts w:ascii="標楷體" w:eastAsia="標楷體" w:hAnsi="標楷體" w:cs="新細明體"/>
                <w:b/>
                <w:szCs w:val="24"/>
              </w:rPr>
            </w:pPr>
            <w:r w:rsidRPr="00E35620">
              <w:rPr>
                <w:rFonts w:ascii="標楷體" w:eastAsia="標楷體" w:hAnsi="標楷體" w:cs="新細明體" w:hint="eastAsia"/>
                <w:b/>
                <w:szCs w:val="24"/>
              </w:rPr>
              <w:t>0</w:t>
            </w:r>
          </w:p>
        </w:tc>
        <w:tc>
          <w:tcPr>
            <w:tcW w:w="730" w:type="dxa"/>
            <w:tcBorders>
              <w:top w:val="single" w:sz="18" w:space="0" w:color="auto"/>
              <w:left w:val="single" w:sz="4" w:space="0" w:color="auto"/>
              <w:bottom w:val="thinThickThinSmallGap" w:sz="24" w:space="0" w:color="auto"/>
              <w:right w:val="single" w:sz="18" w:space="0" w:color="auto"/>
            </w:tcBorders>
            <w:shd w:val="clear" w:color="auto" w:fill="auto"/>
            <w:vAlign w:val="center"/>
          </w:tcPr>
          <w:p w:rsidR="009112A3" w:rsidRPr="00E35620" w:rsidRDefault="008F0B9E" w:rsidP="009112A3">
            <w:pPr>
              <w:jc w:val="center"/>
              <w:rPr>
                <w:rFonts w:ascii="標楷體" w:eastAsia="標楷體" w:hAnsi="標楷體" w:cs="新細明體"/>
                <w:b/>
                <w:bCs/>
                <w:szCs w:val="24"/>
              </w:rPr>
            </w:pPr>
            <w:r w:rsidRPr="00E35620">
              <w:rPr>
                <w:rFonts w:ascii="標楷體" w:eastAsia="標楷體" w:hAnsi="標楷體" w:cs="新細明體" w:hint="eastAsia"/>
                <w:b/>
                <w:bCs/>
                <w:szCs w:val="24"/>
              </w:rPr>
              <w:t>4</w:t>
            </w:r>
          </w:p>
        </w:tc>
      </w:tr>
      <w:tr w:rsidR="00920597" w:rsidRPr="00920597" w:rsidTr="00964865">
        <w:trPr>
          <w:trHeight w:val="624"/>
        </w:trPr>
        <w:tc>
          <w:tcPr>
            <w:tcW w:w="2737" w:type="dxa"/>
            <w:gridSpan w:val="2"/>
            <w:tcBorders>
              <w:top w:val="thinThickThinSmallGap" w:sz="24" w:space="0" w:color="auto"/>
              <w:left w:val="single" w:sz="18" w:space="0" w:color="auto"/>
              <w:bottom w:val="single" w:sz="18" w:space="0" w:color="auto"/>
              <w:right w:val="single" w:sz="18" w:space="0" w:color="auto"/>
            </w:tcBorders>
            <w:shd w:val="clear" w:color="auto" w:fill="auto"/>
            <w:vAlign w:val="center"/>
          </w:tcPr>
          <w:p w:rsidR="009112A3" w:rsidRPr="00920597" w:rsidRDefault="009112A3" w:rsidP="009112A3">
            <w:pPr>
              <w:spacing w:line="300" w:lineRule="exact"/>
              <w:ind w:leftChars="-55" w:left="243" w:hangingChars="156" w:hanging="375"/>
              <w:jc w:val="center"/>
              <w:rPr>
                <w:rFonts w:ascii="標楷體" w:eastAsia="標楷體" w:hAnsi="標楷體"/>
                <w:b/>
                <w:color w:val="000000" w:themeColor="text1"/>
                <w:spacing w:val="-20"/>
                <w:sz w:val="28"/>
                <w:szCs w:val="28"/>
              </w:rPr>
            </w:pPr>
            <w:r w:rsidRPr="00920597">
              <w:rPr>
                <w:rFonts w:ascii="標楷體" w:eastAsia="標楷體" w:hAnsi="標楷體" w:hint="eastAsia"/>
                <w:b/>
                <w:color w:val="000000" w:themeColor="text1"/>
                <w:spacing w:val="-20"/>
                <w:sz w:val="28"/>
                <w:szCs w:val="28"/>
              </w:rPr>
              <w:t>［一］至［八］</w:t>
            </w:r>
          </w:p>
          <w:p w:rsidR="009112A3" w:rsidRPr="00920597" w:rsidRDefault="009112A3" w:rsidP="009112A3">
            <w:pPr>
              <w:spacing w:line="300" w:lineRule="exact"/>
              <w:ind w:leftChars="-55" w:left="243" w:hangingChars="156" w:hanging="375"/>
              <w:jc w:val="center"/>
              <w:rPr>
                <w:rFonts w:ascii="標楷體" w:eastAsia="標楷體" w:hAnsi="標楷體"/>
                <w:b/>
                <w:color w:val="000000" w:themeColor="text1"/>
                <w:sz w:val="28"/>
                <w:szCs w:val="28"/>
              </w:rPr>
            </w:pPr>
            <w:r w:rsidRPr="00920597">
              <w:rPr>
                <w:rFonts w:ascii="標楷體" w:eastAsia="標楷體" w:hAnsi="標楷體"/>
                <w:b/>
                <w:color w:val="000000" w:themeColor="text1"/>
                <w:spacing w:val="-20"/>
                <w:sz w:val="28"/>
                <w:szCs w:val="28"/>
              </w:rPr>
              <w:t xml:space="preserve">總  </w:t>
            </w:r>
            <w:r w:rsidRPr="00920597">
              <w:rPr>
                <w:rFonts w:ascii="標楷體" w:eastAsia="標楷體" w:hAnsi="標楷體" w:hint="eastAsia"/>
                <w:b/>
                <w:color w:val="000000" w:themeColor="text1"/>
                <w:spacing w:val="-20"/>
                <w:sz w:val="28"/>
                <w:szCs w:val="28"/>
              </w:rPr>
              <w:t xml:space="preserve">   </w:t>
            </w:r>
            <w:r w:rsidRPr="00920597">
              <w:rPr>
                <w:rFonts w:ascii="標楷體" w:eastAsia="標楷體" w:hAnsi="標楷體"/>
                <w:b/>
                <w:color w:val="000000" w:themeColor="text1"/>
                <w:spacing w:val="-20"/>
                <w:sz w:val="28"/>
                <w:szCs w:val="28"/>
              </w:rPr>
              <w:t>計</w:t>
            </w:r>
          </w:p>
        </w:tc>
        <w:tc>
          <w:tcPr>
            <w:tcW w:w="666" w:type="dxa"/>
            <w:tcBorders>
              <w:top w:val="thinThickThinSmallGap" w:sz="24" w:space="0" w:color="auto"/>
              <w:left w:val="single" w:sz="18" w:space="0" w:color="auto"/>
              <w:bottom w:val="single" w:sz="18" w:space="0" w:color="auto"/>
              <w:right w:val="dashed" w:sz="4" w:space="0" w:color="auto"/>
            </w:tcBorders>
            <w:shd w:val="clear" w:color="auto" w:fill="auto"/>
            <w:vAlign w:val="center"/>
          </w:tcPr>
          <w:p w:rsidR="009112A3" w:rsidRPr="00920597" w:rsidRDefault="009112A3" w:rsidP="009112A3">
            <w:pPr>
              <w:jc w:val="center"/>
              <w:rPr>
                <w:rFonts w:ascii="標楷體" w:eastAsia="標楷體" w:hAnsi="標楷體" w:cs="新細明體"/>
                <w:b/>
                <w:color w:val="000000" w:themeColor="text1"/>
                <w:spacing w:val="-20"/>
                <w:szCs w:val="24"/>
              </w:rPr>
            </w:pPr>
            <w:r w:rsidRPr="00920597">
              <w:rPr>
                <w:rFonts w:ascii="標楷體" w:eastAsia="標楷體" w:hAnsi="標楷體" w:cs="新細明體" w:hint="eastAsia"/>
                <w:b/>
                <w:color w:val="000000" w:themeColor="text1"/>
                <w:spacing w:val="-20"/>
                <w:szCs w:val="24"/>
              </w:rPr>
              <w:t>32</w:t>
            </w: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9112A3" w:rsidRPr="00920597" w:rsidRDefault="00596CA8" w:rsidP="009112A3">
            <w:pPr>
              <w:jc w:val="center"/>
              <w:rPr>
                <w:rFonts w:ascii="標楷體" w:eastAsia="標楷體" w:hAnsi="標楷體" w:cs="新細明體"/>
                <w:b/>
                <w:color w:val="000000" w:themeColor="text1"/>
                <w:spacing w:val="-20"/>
                <w:szCs w:val="24"/>
              </w:rPr>
            </w:pPr>
            <w:r w:rsidRPr="00920597">
              <w:rPr>
                <w:rFonts w:ascii="標楷體" w:eastAsia="標楷體" w:hAnsi="標楷體" w:cs="新細明體" w:hint="eastAsia"/>
                <w:b/>
                <w:color w:val="000000" w:themeColor="text1"/>
                <w:spacing w:val="-20"/>
                <w:szCs w:val="24"/>
              </w:rPr>
              <w:t>60</w:t>
            </w: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9112A3" w:rsidRPr="00920597" w:rsidRDefault="003514AD" w:rsidP="00C33710">
            <w:pPr>
              <w:jc w:val="center"/>
              <w:rPr>
                <w:rFonts w:ascii="標楷體" w:eastAsia="標楷體" w:hAnsi="標楷體" w:cs="新細明體"/>
                <w:b/>
                <w:color w:val="000000" w:themeColor="text1"/>
                <w:spacing w:val="-20"/>
                <w:szCs w:val="24"/>
              </w:rPr>
            </w:pPr>
            <w:r w:rsidRPr="00920597">
              <w:rPr>
                <w:rFonts w:ascii="標楷體" w:eastAsia="標楷體" w:hAnsi="標楷體" w:cs="新細明體" w:hint="eastAsia"/>
                <w:b/>
                <w:color w:val="000000" w:themeColor="text1"/>
                <w:spacing w:val="-20"/>
                <w:szCs w:val="24"/>
              </w:rPr>
              <w:t>1</w:t>
            </w:r>
            <w:r w:rsidR="00C33710" w:rsidRPr="00920597">
              <w:rPr>
                <w:rFonts w:ascii="標楷體" w:eastAsia="標楷體" w:hAnsi="標楷體" w:cs="新細明體"/>
                <w:b/>
                <w:color w:val="000000" w:themeColor="text1"/>
                <w:spacing w:val="-20"/>
                <w:szCs w:val="24"/>
              </w:rPr>
              <w:t>39</w:t>
            </w: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9112A3" w:rsidRPr="00920597" w:rsidRDefault="00737E6B" w:rsidP="00840391">
            <w:pPr>
              <w:jc w:val="center"/>
              <w:rPr>
                <w:rFonts w:ascii="標楷體" w:eastAsia="標楷體" w:hAnsi="標楷體" w:cs="新細明體"/>
                <w:b/>
                <w:color w:val="000000" w:themeColor="text1"/>
                <w:spacing w:val="-20"/>
                <w:szCs w:val="24"/>
              </w:rPr>
            </w:pPr>
            <w:r w:rsidRPr="00920597">
              <w:rPr>
                <w:rFonts w:ascii="標楷體" w:eastAsia="標楷體" w:hAnsi="標楷體" w:cs="新細明體"/>
                <w:b/>
                <w:color w:val="000000" w:themeColor="text1"/>
                <w:spacing w:val="-20"/>
                <w:szCs w:val="24"/>
              </w:rPr>
              <w:t>53</w:t>
            </w: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9112A3" w:rsidRPr="00920597" w:rsidRDefault="004A66DD" w:rsidP="009112A3">
            <w:pPr>
              <w:jc w:val="center"/>
              <w:rPr>
                <w:rFonts w:ascii="標楷體" w:eastAsia="標楷體" w:hAnsi="標楷體" w:cs="新細明體"/>
                <w:b/>
                <w:color w:val="000000" w:themeColor="text1"/>
                <w:spacing w:val="-20"/>
                <w:szCs w:val="24"/>
              </w:rPr>
            </w:pPr>
            <w:r w:rsidRPr="00920597">
              <w:rPr>
                <w:rFonts w:ascii="標楷體" w:eastAsia="標楷體" w:hAnsi="標楷體" w:cs="新細明體"/>
                <w:b/>
                <w:color w:val="000000" w:themeColor="text1"/>
                <w:spacing w:val="-20"/>
                <w:szCs w:val="24"/>
              </w:rPr>
              <w:t>187</w:t>
            </w: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9112A3" w:rsidRPr="00964865" w:rsidRDefault="00C024D0" w:rsidP="009112A3">
            <w:pPr>
              <w:jc w:val="center"/>
              <w:rPr>
                <w:rFonts w:ascii="標楷體" w:eastAsia="標楷體" w:hAnsi="標楷體" w:cs="新細明體"/>
                <w:b/>
                <w:spacing w:val="-20"/>
                <w:szCs w:val="24"/>
              </w:rPr>
            </w:pPr>
            <w:r w:rsidRPr="00964865">
              <w:rPr>
                <w:rFonts w:ascii="標楷體" w:eastAsia="標楷體" w:hAnsi="標楷體" w:cs="新細明體" w:hint="eastAsia"/>
                <w:b/>
                <w:spacing w:val="-20"/>
                <w:szCs w:val="24"/>
              </w:rPr>
              <w:t>189</w:t>
            </w: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9112A3" w:rsidRPr="00964865" w:rsidRDefault="009112A3" w:rsidP="009112A3">
            <w:pPr>
              <w:jc w:val="center"/>
              <w:rPr>
                <w:rFonts w:ascii="標楷體" w:eastAsia="標楷體" w:hAnsi="標楷體" w:cs="新細明體"/>
                <w:b/>
                <w:spacing w:val="-20"/>
                <w:szCs w:val="24"/>
              </w:rPr>
            </w:pP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9112A3" w:rsidRPr="00964865" w:rsidRDefault="009112A3" w:rsidP="009112A3">
            <w:pPr>
              <w:jc w:val="center"/>
              <w:rPr>
                <w:rFonts w:ascii="標楷體" w:eastAsia="標楷體" w:hAnsi="標楷體" w:cs="新細明體"/>
                <w:b/>
                <w:spacing w:val="-20"/>
                <w:szCs w:val="24"/>
              </w:rPr>
            </w:pPr>
          </w:p>
        </w:tc>
        <w:tc>
          <w:tcPr>
            <w:tcW w:w="689" w:type="dxa"/>
            <w:tcBorders>
              <w:top w:val="thinThickThinSmallGap" w:sz="24" w:space="0" w:color="auto"/>
              <w:left w:val="dashed" w:sz="4" w:space="0" w:color="auto"/>
              <w:bottom w:val="single" w:sz="18" w:space="0" w:color="auto"/>
              <w:right w:val="single" w:sz="4" w:space="0" w:color="auto"/>
            </w:tcBorders>
            <w:shd w:val="clear" w:color="auto" w:fill="auto"/>
            <w:vAlign w:val="center"/>
          </w:tcPr>
          <w:p w:rsidR="009112A3" w:rsidRPr="00964865" w:rsidRDefault="00C024D0" w:rsidP="009112A3">
            <w:pPr>
              <w:jc w:val="center"/>
              <w:rPr>
                <w:rFonts w:ascii="標楷體" w:eastAsia="標楷體" w:hAnsi="標楷體" w:cs="新細明體"/>
                <w:b/>
                <w:spacing w:val="-20"/>
                <w:szCs w:val="24"/>
              </w:rPr>
            </w:pPr>
            <w:r w:rsidRPr="00964865">
              <w:rPr>
                <w:rFonts w:ascii="標楷體" w:eastAsia="標楷體" w:hAnsi="標楷體" w:cs="新細明體" w:hint="eastAsia"/>
                <w:b/>
                <w:spacing w:val="-20"/>
                <w:szCs w:val="24"/>
              </w:rPr>
              <w:t>37</w:t>
            </w:r>
          </w:p>
        </w:tc>
        <w:tc>
          <w:tcPr>
            <w:tcW w:w="721" w:type="dxa"/>
            <w:tcBorders>
              <w:top w:val="thinThickThinSmallGap" w:sz="24" w:space="0" w:color="auto"/>
              <w:left w:val="single" w:sz="4" w:space="0" w:color="auto"/>
              <w:bottom w:val="single" w:sz="18" w:space="0" w:color="auto"/>
              <w:right w:val="single" w:sz="18" w:space="0" w:color="auto"/>
            </w:tcBorders>
            <w:shd w:val="clear" w:color="auto" w:fill="auto"/>
            <w:vAlign w:val="center"/>
          </w:tcPr>
          <w:p w:rsidR="009112A3" w:rsidRPr="00964865" w:rsidRDefault="00C024D0" w:rsidP="00840391">
            <w:pPr>
              <w:jc w:val="center"/>
              <w:rPr>
                <w:rFonts w:ascii="標楷體" w:eastAsia="標楷體" w:hAnsi="標楷體" w:cs="新細明體"/>
                <w:b/>
                <w:szCs w:val="24"/>
              </w:rPr>
            </w:pPr>
            <w:r w:rsidRPr="00964865">
              <w:rPr>
                <w:rFonts w:ascii="標楷體" w:eastAsia="標楷體" w:hAnsi="標楷體" w:cs="新細明體" w:hint="eastAsia"/>
                <w:b/>
                <w:szCs w:val="24"/>
              </w:rPr>
              <w:t>697</w:t>
            </w:r>
          </w:p>
        </w:tc>
        <w:tc>
          <w:tcPr>
            <w:tcW w:w="854" w:type="dxa"/>
            <w:tcBorders>
              <w:top w:val="thinThickThinSmallGap" w:sz="24" w:space="0" w:color="auto"/>
              <w:left w:val="single" w:sz="18" w:space="0" w:color="auto"/>
              <w:bottom w:val="single" w:sz="18" w:space="0" w:color="auto"/>
              <w:right w:val="single" w:sz="18" w:space="0" w:color="auto"/>
            </w:tcBorders>
            <w:shd w:val="clear" w:color="auto" w:fill="auto"/>
            <w:vAlign w:val="center"/>
          </w:tcPr>
          <w:p w:rsidR="009112A3" w:rsidRPr="00E35620" w:rsidRDefault="00ED71FE" w:rsidP="006D4931">
            <w:pPr>
              <w:jc w:val="center"/>
              <w:rPr>
                <w:rFonts w:ascii="標楷體" w:eastAsia="標楷體" w:hAnsi="標楷體" w:cs="新細明體"/>
                <w:b/>
                <w:szCs w:val="24"/>
              </w:rPr>
            </w:pPr>
            <w:r w:rsidRPr="00E35620">
              <w:rPr>
                <w:rFonts w:ascii="標楷體" w:eastAsia="標楷體" w:hAnsi="標楷體" w:cs="新細明體" w:hint="eastAsia"/>
                <w:b/>
                <w:szCs w:val="24"/>
              </w:rPr>
              <w:t>951</w:t>
            </w:r>
          </w:p>
        </w:tc>
        <w:tc>
          <w:tcPr>
            <w:tcW w:w="730" w:type="dxa"/>
            <w:tcBorders>
              <w:top w:val="thinThickThinSmallGap" w:sz="24" w:space="0" w:color="auto"/>
              <w:left w:val="single" w:sz="4" w:space="0" w:color="auto"/>
              <w:bottom w:val="single" w:sz="18" w:space="0" w:color="auto"/>
              <w:right w:val="single" w:sz="18" w:space="0" w:color="auto"/>
            </w:tcBorders>
            <w:shd w:val="clear" w:color="auto" w:fill="auto"/>
            <w:vAlign w:val="center"/>
          </w:tcPr>
          <w:p w:rsidR="009112A3" w:rsidRPr="00E35620" w:rsidRDefault="00723A9E" w:rsidP="004A66DD">
            <w:pPr>
              <w:jc w:val="center"/>
              <w:rPr>
                <w:rFonts w:ascii="標楷體" w:eastAsia="標楷體" w:hAnsi="標楷體" w:cs="新細明體"/>
                <w:b/>
                <w:bCs/>
                <w:szCs w:val="24"/>
              </w:rPr>
            </w:pPr>
            <w:r w:rsidRPr="00E35620">
              <w:rPr>
                <w:rFonts w:ascii="標楷體" w:eastAsia="標楷體" w:hAnsi="標楷體" w:cs="新細明體" w:hint="eastAsia"/>
                <w:b/>
                <w:bCs/>
                <w:szCs w:val="24"/>
              </w:rPr>
              <w:t>164</w:t>
            </w:r>
            <w:r w:rsidR="00ED71FE" w:rsidRPr="00E35620">
              <w:rPr>
                <w:rFonts w:ascii="標楷體" w:eastAsia="標楷體" w:hAnsi="標楷體" w:cs="新細明體" w:hint="eastAsia"/>
                <w:b/>
                <w:bCs/>
                <w:szCs w:val="24"/>
              </w:rPr>
              <w:t>8</w:t>
            </w:r>
          </w:p>
        </w:tc>
      </w:tr>
    </w:tbl>
    <w:p w:rsidR="009112A3" w:rsidRPr="00920597" w:rsidRDefault="009112A3" w:rsidP="00A4133F">
      <w:pPr>
        <w:adjustRightInd w:val="0"/>
        <w:snapToGrid w:val="0"/>
        <w:spacing w:beforeLines="30" w:before="108" w:line="280" w:lineRule="exact"/>
        <w:ind w:leftChars="119" w:left="454" w:hangingChars="70" w:hanging="168"/>
        <w:jc w:val="both"/>
        <w:rPr>
          <w:rFonts w:eastAsia="標楷體"/>
          <w:color w:val="000000" w:themeColor="text1"/>
          <w:szCs w:val="24"/>
        </w:rPr>
      </w:pPr>
      <w:r w:rsidRPr="00920597">
        <w:rPr>
          <w:rFonts w:eastAsia="標楷體"/>
          <w:color w:val="000000" w:themeColor="text1"/>
          <w:szCs w:val="24"/>
        </w:rPr>
        <w:t>1.</w:t>
      </w:r>
      <w:r w:rsidRPr="00920597">
        <w:rPr>
          <w:rFonts w:eastAsia="標楷體"/>
          <w:color w:val="000000" w:themeColor="text1"/>
          <w:szCs w:val="24"/>
        </w:rPr>
        <w:t>本統計表件數，以第</w:t>
      </w:r>
      <w:r w:rsidRPr="00920597">
        <w:rPr>
          <w:rFonts w:eastAsia="標楷體"/>
          <w:color w:val="000000" w:themeColor="text1"/>
          <w:szCs w:val="24"/>
        </w:rPr>
        <w:t>10</w:t>
      </w:r>
      <w:r w:rsidRPr="00920597">
        <w:rPr>
          <w:rFonts w:eastAsia="標楷體"/>
          <w:color w:val="000000" w:themeColor="text1"/>
          <w:szCs w:val="24"/>
        </w:rPr>
        <w:t>屆第</w:t>
      </w:r>
      <w:r w:rsidRPr="00920597">
        <w:rPr>
          <w:rFonts w:eastAsia="標楷體"/>
          <w:color w:val="000000" w:themeColor="text1"/>
          <w:szCs w:val="24"/>
        </w:rPr>
        <w:t>1</w:t>
      </w:r>
      <w:r w:rsidRPr="00920597">
        <w:rPr>
          <w:rFonts w:eastAsia="標楷體"/>
          <w:color w:val="000000" w:themeColor="text1"/>
          <w:szCs w:val="24"/>
        </w:rPr>
        <w:t>會期至第</w:t>
      </w:r>
      <w:r w:rsidRPr="00920597">
        <w:rPr>
          <w:rFonts w:eastAsia="標楷體"/>
          <w:color w:val="000000" w:themeColor="text1"/>
          <w:szCs w:val="24"/>
        </w:rPr>
        <w:t>8</w:t>
      </w:r>
      <w:r w:rsidRPr="00920597">
        <w:rPr>
          <w:rFonts w:eastAsia="標楷體"/>
          <w:color w:val="000000" w:themeColor="text1"/>
          <w:szCs w:val="24"/>
        </w:rPr>
        <w:t>會期</w:t>
      </w:r>
      <w:r w:rsidRPr="00920597">
        <w:rPr>
          <w:rFonts w:eastAsia="標楷體" w:hint="eastAsia"/>
          <w:color w:val="000000" w:themeColor="text1"/>
          <w:szCs w:val="24"/>
        </w:rPr>
        <w:t>，</w:t>
      </w:r>
      <w:r w:rsidRPr="00920597">
        <w:rPr>
          <w:rFonts w:eastAsia="標楷體"/>
          <w:color w:val="000000" w:themeColor="text1"/>
          <w:szCs w:val="24"/>
        </w:rPr>
        <w:t>院會交下之</w:t>
      </w:r>
      <w:r w:rsidRPr="00920597">
        <w:rPr>
          <w:rFonts w:eastAsia="標楷體" w:hint="eastAsia"/>
          <w:color w:val="000000" w:themeColor="text1"/>
          <w:szCs w:val="24"/>
        </w:rPr>
        <w:t>議案</w:t>
      </w:r>
      <w:r w:rsidRPr="00920597">
        <w:rPr>
          <w:rFonts w:eastAsia="標楷體"/>
          <w:color w:val="000000" w:themeColor="text1"/>
          <w:szCs w:val="24"/>
        </w:rPr>
        <w:t>件數為主</w:t>
      </w:r>
      <w:r w:rsidRPr="00920597">
        <w:rPr>
          <w:rFonts w:eastAsia="標楷體" w:hint="eastAsia"/>
          <w:color w:val="000000" w:themeColor="text1"/>
          <w:szCs w:val="24"/>
        </w:rPr>
        <w:t>。</w:t>
      </w:r>
      <w:r w:rsidRPr="00920597">
        <w:rPr>
          <w:rFonts w:eastAsia="標楷體"/>
          <w:color w:val="000000" w:themeColor="text1"/>
          <w:szCs w:val="24"/>
        </w:rPr>
        <w:t>另包含第</w:t>
      </w:r>
      <w:r w:rsidRPr="00920597">
        <w:rPr>
          <w:rFonts w:eastAsia="標楷體" w:hint="eastAsia"/>
          <w:color w:val="000000" w:themeColor="text1"/>
          <w:szCs w:val="24"/>
        </w:rPr>
        <w:t>10</w:t>
      </w:r>
      <w:r w:rsidRPr="00920597">
        <w:rPr>
          <w:rFonts w:eastAsia="標楷體"/>
          <w:color w:val="000000" w:themeColor="text1"/>
          <w:szCs w:val="24"/>
        </w:rPr>
        <w:t>屆</w:t>
      </w:r>
      <w:r w:rsidRPr="00920597">
        <w:rPr>
          <w:rFonts w:eastAsia="標楷體" w:hint="eastAsia"/>
          <w:color w:val="000000" w:themeColor="text1"/>
          <w:szCs w:val="24"/>
        </w:rPr>
        <w:t>之</w:t>
      </w:r>
      <w:r w:rsidRPr="00920597">
        <w:rPr>
          <w:rFonts w:eastAsia="標楷體"/>
          <w:color w:val="000000" w:themeColor="text1"/>
          <w:szCs w:val="24"/>
        </w:rPr>
        <w:t>前</w:t>
      </w:r>
      <w:r w:rsidRPr="00920597">
        <w:rPr>
          <w:rFonts w:eastAsia="標楷體" w:hint="eastAsia"/>
          <w:color w:val="000000" w:themeColor="text1"/>
          <w:szCs w:val="24"/>
        </w:rPr>
        <w:t>，</w:t>
      </w:r>
      <w:r w:rsidRPr="00920597">
        <w:rPr>
          <w:rFonts w:eastAsia="標楷體"/>
          <w:color w:val="000000" w:themeColor="text1"/>
          <w:szCs w:val="24"/>
        </w:rPr>
        <w:t>院會交下預（決）算案、行政命令案及人民請願案等未結件數</w:t>
      </w:r>
      <w:r w:rsidRPr="00920597">
        <w:rPr>
          <w:rFonts w:eastAsia="標楷體" w:hint="eastAsia"/>
          <w:color w:val="000000" w:themeColor="text1"/>
          <w:szCs w:val="24"/>
        </w:rPr>
        <w:t>（</w:t>
      </w:r>
      <w:r w:rsidRPr="00920597">
        <w:rPr>
          <w:rFonts w:eastAsia="標楷體"/>
          <w:color w:val="000000" w:themeColor="text1"/>
          <w:szCs w:val="24"/>
        </w:rPr>
        <w:t>無屆期不連續，故累計至本</w:t>
      </w:r>
      <w:r w:rsidRPr="00920597">
        <w:rPr>
          <w:rFonts w:eastAsia="標楷體" w:hint="eastAsia"/>
          <w:color w:val="000000" w:themeColor="text1"/>
          <w:szCs w:val="24"/>
        </w:rPr>
        <w:t>屆）</w:t>
      </w:r>
      <w:r w:rsidRPr="00920597">
        <w:rPr>
          <w:rFonts w:eastAsia="標楷體"/>
          <w:color w:val="000000" w:themeColor="text1"/>
          <w:szCs w:val="24"/>
        </w:rPr>
        <w:t>。</w:t>
      </w:r>
    </w:p>
    <w:p w:rsidR="009112A3" w:rsidRPr="00920597" w:rsidRDefault="009112A3" w:rsidP="00A4133F">
      <w:pPr>
        <w:adjustRightInd w:val="0"/>
        <w:snapToGrid w:val="0"/>
        <w:spacing w:line="280" w:lineRule="exact"/>
        <w:ind w:leftChars="116" w:left="444" w:hangingChars="69" w:hanging="166"/>
        <w:jc w:val="both"/>
        <w:rPr>
          <w:rFonts w:eastAsia="標楷體"/>
          <w:color w:val="000000" w:themeColor="text1"/>
          <w:szCs w:val="24"/>
        </w:rPr>
      </w:pPr>
      <w:r w:rsidRPr="00920597">
        <w:rPr>
          <w:rFonts w:eastAsia="標楷體"/>
          <w:color w:val="000000" w:themeColor="text1"/>
          <w:szCs w:val="24"/>
        </w:rPr>
        <w:t>2.</w:t>
      </w:r>
      <w:r w:rsidRPr="00920597">
        <w:rPr>
          <w:rFonts w:eastAsia="標楷體"/>
          <w:color w:val="000000" w:themeColor="text1"/>
          <w:szCs w:val="24"/>
        </w:rPr>
        <w:t>本會審竣</w:t>
      </w:r>
      <w:r w:rsidRPr="00920597">
        <w:rPr>
          <w:rFonts w:eastAsia="標楷體" w:hint="eastAsia"/>
          <w:color w:val="000000" w:themeColor="text1"/>
          <w:szCs w:val="24"/>
        </w:rPr>
        <w:t>提報院會之已結案件─院會待審議部分</w:t>
      </w:r>
      <w:r w:rsidRPr="00920597">
        <w:rPr>
          <w:rFonts w:eastAsia="標楷體" w:hint="eastAsia"/>
          <w:color w:val="000000" w:themeColor="text1"/>
          <w:szCs w:val="24"/>
        </w:rPr>
        <w:t>B</w:t>
      </w:r>
      <w:r w:rsidRPr="00920597">
        <w:rPr>
          <w:rFonts w:eastAsia="標楷體" w:hint="eastAsia"/>
          <w:color w:val="000000" w:themeColor="text1"/>
          <w:szCs w:val="24"/>
        </w:rPr>
        <w:t>，</w:t>
      </w:r>
      <w:r w:rsidRPr="00920597">
        <w:rPr>
          <w:rFonts w:eastAsia="標楷體"/>
          <w:color w:val="000000" w:themeColor="text1"/>
          <w:szCs w:val="24"/>
          <w:u w:val="single"/>
        </w:rPr>
        <w:t>不包含逕付二讀之法律案</w:t>
      </w:r>
      <w:r w:rsidRPr="00920597">
        <w:rPr>
          <w:rFonts w:eastAsia="標楷體"/>
          <w:color w:val="000000" w:themeColor="text1"/>
          <w:szCs w:val="24"/>
        </w:rPr>
        <w:t>。</w:t>
      </w:r>
    </w:p>
    <w:p w:rsidR="00E35620" w:rsidRDefault="001C0B3D" w:rsidP="00A4133F">
      <w:pPr>
        <w:adjustRightInd w:val="0"/>
        <w:snapToGrid w:val="0"/>
        <w:spacing w:line="280" w:lineRule="exact"/>
        <w:ind w:leftChars="116" w:left="444" w:hangingChars="69" w:hanging="166"/>
        <w:jc w:val="both"/>
        <w:rPr>
          <w:rFonts w:eastAsia="標楷體"/>
          <w:color w:val="000000" w:themeColor="text1"/>
          <w:szCs w:val="24"/>
        </w:rPr>
      </w:pPr>
      <w:r w:rsidRPr="00920597">
        <w:rPr>
          <w:rFonts w:eastAsia="標楷體" w:hint="eastAsia"/>
          <w:color w:val="000000" w:themeColor="text1"/>
          <w:szCs w:val="24"/>
        </w:rPr>
        <w:t>3.</w:t>
      </w:r>
      <w:r w:rsidRPr="00964865">
        <w:rPr>
          <w:rFonts w:eastAsia="標楷體" w:hint="eastAsia"/>
          <w:szCs w:val="24"/>
        </w:rPr>
        <w:t>第</w:t>
      </w:r>
      <w:r w:rsidRPr="00964865">
        <w:rPr>
          <w:rFonts w:eastAsia="標楷體" w:hint="eastAsia"/>
          <w:szCs w:val="24"/>
        </w:rPr>
        <w:t>10</w:t>
      </w:r>
      <w:r w:rsidRPr="00964865">
        <w:rPr>
          <w:rFonts w:eastAsia="標楷體" w:hint="eastAsia"/>
          <w:szCs w:val="24"/>
        </w:rPr>
        <w:t>屆第</w:t>
      </w:r>
      <w:r w:rsidR="00723A9E" w:rsidRPr="00964865">
        <w:rPr>
          <w:rFonts w:eastAsia="標楷體" w:hint="eastAsia"/>
          <w:szCs w:val="24"/>
        </w:rPr>
        <w:t>5</w:t>
      </w:r>
      <w:r w:rsidRPr="00964865">
        <w:rPr>
          <w:rFonts w:eastAsia="標楷體" w:hint="eastAsia"/>
          <w:szCs w:val="24"/>
        </w:rPr>
        <w:t>會期為</w:t>
      </w:r>
      <w:r w:rsidR="00723A9E" w:rsidRPr="00964865">
        <w:rPr>
          <w:rFonts w:eastAsia="標楷體" w:hint="eastAsia"/>
          <w:szCs w:val="24"/>
        </w:rPr>
        <w:t>1291</w:t>
      </w:r>
      <w:r w:rsidR="00856E9C" w:rsidRPr="00964865">
        <w:rPr>
          <w:rFonts w:eastAsia="標楷體" w:hint="eastAsia"/>
          <w:szCs w:val="24"/>
        </w:rPr>
        <w:t>件</w:t>
      </w:r>
      <w:r w:rsidRPr="00964865">
        <w:rPr>
          <w:rFonts w:eastAsia="標楷體" w:hint="eastAsia"/>
          <w:szCs w:val="24"/>
        </w:rPr>
        <w:t>，</w:t>
      </w:r>
      <w:r w:rsidR="00327A94" w:rsidRPr="00964865">
        <w:rPr>
          <w:rFonts w:eastAsia="標楷體" w:hint="eastAsia"/>
          <w:szCs w:val="24"/>
        </w:rPr>
        <w:t>累計</w:t>
      </w:r>
      <w:r w:rsidRPr="00964865">
        <w:rPr>
          <w:rFonts w:eastAsia="標楷體" w:hint="eastAsia"/>
          <w:szCs w:val="24"/>
        </w:rPr>
        <w:t>至本會期為</w:t>
      </w:r>
      <w:r w:rsidR="004F6AE4" w:rsidRPr="00964865">
        <w:rPr>
          <w:rFonts w:eastAsia="標楷體" w:hint="eastAsia"/>
          <w:szCs w:val="24"/>
        </w:rPr>
        <w:t>1</w:t>
      </w:r>
      <w:r w:rsidR="00723A9E" w:rsidRPr="00964865">
        <w:rPr>
          <w:rFonts w:eastAsia="標楷體" w:hint="eastAsia"/>
          <w:szCs w:val="24"/>
        </w:rPr>
        <w:t>64</w:t>
      </w:r>
      <w:r w:rsidR="00ED71FE">
        <w:rPr>
          <w:rFonts w:eastAsia="標楷體" w:hint="eastAsia"/>
          <w:szCs w:val="24"/>
        </w:rPr>
        <w:t>8</w:t>
      </w:r>
      <w:r w:rsidR="00856E9C" w:rsidRPr="00964865">
        <w:rPr>
          <w:rFonts w:eastAsia="標楷體" w:hint="eastAsia"/>
          <w:szCs w:val="24"/>
        </w:rPr>
        <w:t>件</w:t>
      </w:r>
      <w:r w:rsidR="00327A94" w:rsidRPr="00964865">
        <w:rPr>
          <w:rFonts w:eastAsia="標楷體" w:hint="eastAsia"/>
          <w:szCs w:val="24"/>
        </w:rPr>
        <w:t>，故本會期院會交下</w:t>
      </w:r>
      <w:r w:rsidR="00856E9C" w:rsidRPr="00964865">
        <w:rPr>
          <w:rFonts w:eastAsia="標楷體" w:hint="eastAsia"/>
          <w:szCs w:val="24"/>
        </w:rPr>
        <w:t>議案為</w:t>
      </w:r>
      <w:r w:rsidR="00723A9E" w:rsidRPr="00964865">
        <w:rPr>
          <w:rFonts w:eastAsia="標楷體" w:hint="eastAsia"/>
          <w:szCs w:val="24"/>
        </w:rPr>
        <w:t>35</w:t>
      </w:r>
      <w:r w:rsidR="00ED71FE">
        <w:rPr>
          <w:rFonts w:eastAsia="標楷體" w:hint="eastAsia"/>
          <w:szCs w:val="24"/>
        </w:rPr>
        <w:t>7</w:t>
      </w:r>
      <w:r w:rsidRPr="00964865">
        <w:rPr>
          <w:rFonts w:eastAsia="標楷體" w:hint="eastAsia"/>
          <w:szCs w:val="24"/>
        </w:rPr>
        <w:t>件</w:t>
      </w:r>
      <w:r w:rsidRPr="00964865">
        <w:rPr>
          <w:rFonts w:eastAsia="標楷體" w:hint="eastAsia"/>
          <w:szCs w:val="24"/>
        </w:rPr>
        <w:t>(</w:t>
      </w:r>
      <w:r w:rsidR="004F6AE4" w:rsidRPr="00964865">
        <w:rPr>
          <w:rFonts w:eastAsia="標楷體"/>
          <w:szCs w:val="24"/>
        </w:rPr>
        <w:t>1</w:t>
      </w:r>
      <w:r w:rsidR="00723A9E" w:rsidRPr="00964865">
        <w:rPr>
          <w:rFonts w:eastAsia="標楷體" w:hint="eastAsia"/>
          <w:szCs w:val="24"/>
        </w:rPr>
        <w:t>64</w:t>
      </w:r>
      <w:r w:rsidR="00ED71FE">
        <w:rPr>
          <w:rFonts w:eastAsia="標楷體" w:hint="eastAsia"/>
          <w:szCs w:val="24"/>
        </w:rPr>
        <w:t>8</w:t>
      </w:r>
      <w:r w:rsidRPr="00964865">
        <w:rPr>
          <w:rFonts w:eastAsia="標楷體" w:hint="eastAsia"/>
          <w:szCs w:val="24"/>
        </w:rPr>
        <w:t>－</w:t>
      </w:r>
      <w:r w:rsidR="00723A9E" w:rsidRPr="00964865">
        <w:rPr>
          <w:rFonts w:eastAsia="標楷體" w:hint="eastAsia"/>
          <w:szCs w:val="24"/>
        </w:rPr>
        <w:t>1291</w:t>
      </w:r>
      <w:r w:rsidRPr="00964865">
        <w:rPr>
          <w:rFonts w:eastAsia="標楷體" w:hint="eastAsia"/>
          <w:szCs w:val="24"/>
        </w:rPr>
        <w:t>＝</w:t>
      </w:r>
      <w:r w:rsidR="004F6AE4" w:rsidRPr="00964865">
        <w:rPr>
          <w:rFonts w:eastAsia="標楷體" w:hint="eastAsia"/>
          <w:szCs w:val="24"/>
        </w:rPr>
        <w:t>3</w:t>
      </w:r>
      <w:r w:rsidR="004F6AE4" w:rsidRPr="00964865">
        <w:rPr>
          <w:rFonts w:eastAsia="標楷體"/>
          <w:szCs w:val="24"/>
        </w:rPr>
        <w:t>5</w:t>
      </w:r>
      <w:r w:rsidR="00ED71FE">
        <w:rPr>
          <w:rFonts w:eastAsia="標楷體" w:hint="eastAsia"/>
          <w:szCs w:val="24"/>
        </w:rPr>
        <w:t>7</w:t>
      </w:r>
      <w:r w:rsidRPr="00964865">
        <w:rPr>
          <w:rFonts w:eastAsia="標楷體" w:hint="eastAsia"/>
          <w:szCs w:val="24"/>
        </w:rPr>
        <w:t>)</w:t>
      </w:r>
      <w:r w:rsidRPr="00920597">
        <w:rPr>
          <w:rFonts w:eastAsia="標楷體" w:hint="eastAsia"/>
          <w:color w:val="000000" w:themeColor="text1"/>
          <w:szCs w:val="24"/>
        </w:rPr>
        <w:t>。</w:t>
      </w:r>
    </w:p>
    <w:p w:rsidR="00E35620" w:rsidRDefault="00E35620">
      <w:pPr>
        <w:widowControl/>
        <w:rPr>
          <w:rFonts w:eastAsia="標楷體"/>
          <w:color w:val="000000" w:themeColor="text1"/>
          <w:szCs w:val="24"/>
        </w:rPr>
      </w:pPr>
      <w:r>
        <w:rPr>
          <w:rFonts w:eastAsia="標楷體"/>
          <w:color w:val="000000" w:themeColor="text1"/>
          <w:szCs w:val="24"/>
        </w:rPr>
        <w:br w:type="page"/>
      </w:r>
    </w:p>
    <w:p w:rsidR="001C0B3D" w:rsidRPr="00920597" w:rsidRDefault="001C0B3D" w:rsidP="00A4133F">
      <w:pPr>
        <w:adjustRightInd w:val="0"/>
        <w:snapToGrid w:val="0"/>
        <w:spacing w:line="280" w:lineRule="exact"/>
        <w:ind w:leftChars="116" w:left="444" w:hangingChars="69" w:hanging="166"/>
        <w:jc w:val="both"/>
        <w:rPr>
          <w:rFonts w:eastAsia="標楷體"/>
          <w:color w:val="000000" w:themeColor="text1"/>
          <w:szCs w:val="24"/>
        </w:rPr>
      </w:pPr>
    </w:p>
    <w:p w:rsidR="009112A3" w:rsidRPr="00920597" w:rsidRDefault="009112A3" w:rsidP="009112A3">
      <w:pPr>
        <w:pStyle w:val="01-11"/>
        <w:rPr>
          <w:color w:val="000000" w:themeColor="text1"/>
        </w:rPr>
      </w:pPr>
      <w:bookmarkStart w:id="62" w:name="_Toc126068117"/>
      <w:r w:rsidRPr="00920597">
        <w:rPr>
          <w:rFonts w:hint="eastAsia"/>
          <w:color w:val="000000" w:themeColor="text1"/>
        </w:rPr>
        <w:t>參、本會期審查(處理)完竣議案</w:t>
      </w:r>
      <w:r w:rsidR="00CE24CC" w:rsidRPr="00920597">
        <w:rPr>
          <w:rFonts w:hint="eastAsia"/>
          <w:color w:val="000000" w:themeColor="text1"/>
        </w:rPr>
        <w:t>(含逕付二讀)</w:t>
      </w:r>
      <w:r w:rsidR="00D73B44" w:rsidRPr="00920597">
        <w:rPr>
          <w:rFonts w:hint="eastAsia"/>
          <w:color w:val="000000" w:themeColor="text1"/>
        </w:rPr>
        <w:t xml:space="preserve"> (</w:t>
      </w:r>
      <w:r w:rsidR="001E7E70">
        <w:rPr>
          <w:color w:val="000000" w:themeColor="text1"/>
        </w:rPr>
        <w:t>137</w:t>
      </w:r>
      <w:r w:rsidR="00D73B44" w:rsidRPr="00920597">
        <w:rPr>
          <w:rFonts w:hint="eastAsia"/>
          <w:color w:val="000000" w:themeColor="text1"/>
        </w:rPr>
        <w:t>案)</w:t>
      </w:r>
      <w:bookmarkEnd w:id="62"/>
    </w:p>
    <w:p w:rsidR="009112A3" w:rsidRDefault="00E62595" w:rsidP="00F10C1D">
      <w:pPr>
        <w:pStyle w:val="01-21"/>
        <w:rPr>
          <w:color w:val="000000" w:themeColor="text1"/>
        </w:rPr>
      </w:pPr>
      <w:bookmarkStart w:id="63" w:name="法律案"/>
      <w:bookmarkStart w:id="64" w:name="_Toc126068118"/>
      <w:bookmarkEnd w:id="63"/>
      <w:r>
        <w:rPr>
          <w:rFonts w:hint="eastAsia"/>
          <w:color w:val="000000" w:themeColor="text1"/>
        </w:rPr>
        <w:t>一</w:t>
      </w:r>
      <w:r w:rsidRPr="00920597">
        <w:rPr>
          <w:rFonts w:hint="eastAsia"/>
          <w:color w:val="000000" w:themeColor="text1"/>
        </w:rPr>
        <w:t>、</w:t>
      </w:r>
      <w:bookmarkStart w:id="65" w:name="非營業預算部分未審"/>
      <w:bookmarkStart w:id="66" w:name="預算104"/>
      <w:bookmarkStart w:id="67" w:name="預決算案"/>
      <w:bookmarkEnd w:id="65"/>
      <w:bookmarkEnd w:id="66"/>
      <w:r w:rsidRPr="00920597">
        <w:rPr>
          <w:rFonts w:hint="eastAsia"/>
          <w:color w:val="000000" w:themeColor="text1"/>
        </w:rPr>
        <w:t>預(決)算案</w:t>
      </w:r>
      <w:bookmarkEnd w:id="67"/>
      <w:r w:rsidRPr="00920597">
        <w:rPr>
          <w:rFonts w:hint="eastAsia"/>
          <w:color w:val="000000" w:themeColor="text1"/>
        </w:rPr>
        <w:t>（</w:t>
      </w:r>
      <w:r w:rsidR="00BC07CA">
        <w:rPr>
          <w:rFonts w:hint="eastAsia"/>
          <w:color w:val="000000" w:themeColor="text1"/>
        </w:rPr>
        <w:t>20</w:t>
      </w:r>
      <w:r w:rsidRPr="00920597">
        <w:rPr>
          <w:rFonts w:hint="eastAsia"/>
          <w:color w:val="000000" w:themeColor="text1"/>
        </w:rPr>
        <w:t>案</w:t>
      </w:r>
      <w:r w:rsidRPr="00920597">
        <w:rPr>
          <w:color w:val="000000" w:themeColor="text1"/>
        </w:rPr>
        <w:t>）</w:t>
      </w:r>
      <w:bookmarkEnd w:id="64"/>
    </w:p>
    <w:p w:rsidR="00E62595" w:rsidRPr="00E62595" w:rsidRDefault="00E62595" w:rsidP="00E62595">
      <w:pPr>
        <w:pStyle w:val="01-3"/>
      </w:pPr>
      <w:bookmarkStart w:id="68" w:name="_Toc64648123"/>
      <w:bookmarkStart w:id="69" w:name="_Toc95137403"/>
      <w:bookmarkStart w:id="70" w:name="_Toc126068119"/>
      <w:r w:rsidRPr="00E62595">
        <w:rPr>
          <w:rFonts w:hint="eastAsia"/>
        </w:rPr>
        <w:t>(一)11</w:t>
      </w:r>
      <w:r>
        <w:rPr>
          <w:rFonts w:hint="eastAsia"/>
        </w:rPr>
        <w:t>2</w:t>
      </w:r>
      <w:r w:rsidRPr="00E62595">
        <w:rPr>
          <w:rFonts w:hint="eastAsia"/>
        </w:rPr>
        <w:t>年度中央政府總預算案 (2案)</w:t>
      </w:r>
      <w:bookmarkEnd w:id="68"/>
      <w:bookmarkEnd w:id="69"/>
      <w:bookmarkEnd w:id="70"/>
    </w:p>
    <w:p w:rsidR="00E62595" w:rsidRPr="00E62595" w:rsidRDefault="00E62595" w:rsidP="00E62595">
      <w:pPr>
        <w:pStyle w:val="01-4"/>
      </w:pPr>
      <w:bookmarkStart w:id="71" w:name="_Toc64648124"/>
      <w:bookmarkStart w:id="72" w:name="_Toc95137404"/>
      <w:bookmarkStart w:id="73" w:name="_Toc126068120"/>
      <w:r w:rsidRPr="00E62595">
        <w:rPr>
          <w:rFonts w:hint="eastAsia"/>
        </w:rPr>
        <w:t>1</w:t>
      </w:r>
      <w:r w:rsidRPr="00E62595">
        <w:t>.</w:t>
      </w:r>
      <w:r w:rsidRPr="00E62595">
        <w:rPr>
          <w:rFonts w:hint="eastAsia"/>
        </w:rPr>
        <w:t>尚待院會通過(非營業基金預算)</w:t>
      </w:r>
      <w:bookmarkEnd w:id="71"/>
      <w:r w:rsidRPr="00E62595">
        <w:rPr>
          <w:rFonts w:hint="eastAsia"/>
        </w:rPr>
        <w:t xml:space="preserve"> (1案)</w:t>
      </w:r>
      <w:bookmarkEnd w:id="72"/>
      <w:bookmarkEnd w:id="73"/>
    </w:p>
    <w:tbl>
      <w:tblPr>
        <w:tblW w:w="5226"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851"/>
        <w:gridCol w:w="4396"/>
        <w:gridCol w:w="1701"/>
        <w:gridCol w:w="3116"/>
      </w:tblGrid>
      <w:tr w:rsidR="00855ADB" w:rsidRPr="00E62595" w:rsidTr="00855ADB">
        <w:trPr>
          <w:trHeight w:val="951"/>
        </w:trPr>
        <w:tc>
          <w:tcPr>
            <w:tcW w:w="423" w:type="pct"/>
            <w:vAlign w:val="center"/>
          </w:tcPr>
          <w:p w:rsidR="00092966" w:rsidRPr="00780EE0" w:rsidRDefault="00092966" w:rsidP="00092966">
            <w:pPr>
              <w:adjustRightInd w:val="0"/>
              <w:snapToGrid w:val="0"/>
              <w:jc w:val="center"/>
              <w:rPr>
                <w:rFonts w:ascii="標楷體" w:eastAsia="標楷體" w:hAnsi="標楷體"/>
                <w:b/>
                <w:bCs/>
                <w:color w:val="000000"/>
                <w:sz w:val="28"/>
                <w:szCs w:val="28"/>
              </w:rPr>
            </w:pPr>
            <w:r w:rsidRPr="00780EE0">
              <w:rPr>
                <w:rFonts w:ascii="標楷體" w:eastAsia="標楷體" w:hAnsi="標楷體" w:hint="eastAsia"/>
                <w:b/>
                <w:bCs/>
                <w:color w:val="000000"/>
                <w:sz w:val="28"/>
                <w:szCs w:val="28"/>
              </w:rPr>
              <w:t>序號</w:t>
            </w:r>
          </w:p>
        </w:tc>
        <w:tc>
          <w:tcPr>
            <w:tcW w:w="2184" w:type="pct"/>
            <w:vAlign w:val="center"/>
          </w:tcPr>
          <w:p w:rsidR="00092966" w:rsidRPr="00780EE0" w:rsidRDefault="00092966" w:rsidP="00092966">
            <w:pPr>
              <w:adjustRightInd w:val="0"/>
              <w:snapToGrid w:val="0"/>
              <w:jc w:val="center"/>
              <w:rPr>
                <w:rFonts w:ascii="標楷體" w:eastAsia="標楷體" w:hAnsi="標楷體"/>
                <w:b/>
                <w:bCs/>
                <w:color w:val="000000"/>
                <w:sz w:val="28"/>
                <w:szCs w:val="28"/>
              </w:rPr>
            </w:pPr>
            <w:r w:rsidRPr="00780EE0">
              <w:rPr>
                <w:rFonts w:ascii="標楷體" w:eastAsia="標楷體" w:hAnsi="標楷體" w:hint="eastAsia"/>
                <w:b/>
                <w:bCs/>
                <w:color w:val="000000"/>
                <w:sz w:val="28"/>
                <w:szCs w:val="28"/>
              </w:rPr>
              <w:t>案由</w:t>
            </w:r>
          </w:p>
        </w:tc>
        <w:tc>
          <w:tcPr>
            <w:tcW w:w="845" w:type="pct"/>
            <w:vAlign w:val="center"/>
          </w:tcPr>
          <w:p w:rsidR="00092966" w:rsidRPr="00780EE0" w:rsidRDefault="00092966" w:rsidP="00092966">
            <w:pPr>
              <w:adjustRightInd w:val="0"/>
              <w:snapToGrid w:val="0"/>
              <w:jc w:val="center"/>
              <w:rPr>
                <w:rFonts w:ascii="標楷體" w:eastAsia="標楷體" w:hAnsi="標楷體"/>
                <w:b/>
                <w:bCs/>
                <w:color w:val="000000"/>
                <w:sz w:val="28"/>
                <w:szCs w:val="28"/>
              </w:rPr>
            </w:pPr>
            <w:r w:rsidRPr="00780EE0">
              <w:rPr>
                <w:rFonts w:ascii="標楷體" w:eastAsia="標楷體" w:hAnsi="標楷體" w:hint="eastAsia"/>
                <w:b/>
                <w:bCs/>
                <w:color w:val="000000"/>
                <w:sz w:val="28"/>
                <w:szCs w:val="28"/>
              </w:rPr>
              <w:t>院會交付</w:t>
            </w:r>
          </w:p>
          <w:p w:rsidR="00092966" w:rsidRPr="00780EE0" w:rsidRDefault="00092966" w:rsidP="00092966">
            <w:pPr>
              <w:adjustRightInd w:val="0"/>
              <w:snapToGrid w:val="0"/>
              <w:jc w:val="center"/>
              <w:rPr>
                <w:rFonts w:ascii="標楷體" w:eastAsia="標楷體" w:hAnsi="標楷體"/>
                <w:b/>
                <w:bCs/>
                <w:color w:val="000000"/>
                <w:sz w:val="28"/>
                <w:szCs w:val="28"/>
              </w:rPr>
            </w:pPr>
            <w:r w:rsidRPr="00780EE0">
              <w:rPr>
                <w:rFonts w:ascii="標楷體" w:eastAsia="標楷體" w:hAnsi="標楷體" w:hint="eastAsia"/>
                <w:b/>
                <w:bCs/>
                <w:color w:val="000000"/>
                <w:sz w:val="28"/>
                <w:szCs w:val="28"/>
              </w:rPr>
              <w:t>會次及日期</w:t>
            </w:r>
          </w:p>
        </w:tc>
        <w:tc>
          <w:tcPr>
            <w:tcW w:w="1549" w:type="pct"/>
            <w:vAlign w:val="center"/>
          </w:tcPr>
          <w:p w:rsidR="00092966" w:rsidRPr="00780EE0" w:rsidRDefault="00092966" w:rsidP="00092966">
            <w:pPr>
              <w:spacing w:line="400" w:lineRule="exact"/>
              <w:jc w:val="distribute"/>
              <w:rPr>
                <w:rFonts w:ascii="標楷體" w:eastAsia="標楷體" w:hAnsi="標楷體"/>
                <w:b/>
                <w:bCs/>
                <w:color w:val="000000"/>
                <w:sz w:val="28"/>
                <w:szCs w:val="28"/>
              </w:rPr>
            </w:pPr>
            <w:r w:rsidRPr="00780EE0">
              <w:rPr>
                <w:rFonts w:ascii="標楷體" w:eastAsia="標楷體" w:hint="eastAsia"/>
                <w:b/>
                <w:bCs/>
                <w:color w:val="000000"/>
                <w:sz w:val="28"/>
              </w:rPr>
              <w:t>處理情形</w:t>
            </w:r>
          </w:p>
        </w:tc>
      </w:tr>
      <w:tr w:rsidR="00092966" w:rsidRPr="00E62595" w:rsidTr="00855ADB">
        <w:trPr>
          <w:trHeight w:val="951"/>
        </w:trPr>
        <w:tc>
          <w:tcPr>
            <w:tcW w:w="423" w:type="pct"/>
            <w:vMerge w:val="restart"/>
            <w:vAlign w:val="center"/>
          </w:tcPr>
          <w:p w:rsidR="00092966" w:rsidRPr="00E62595" w:rsidRDefault="00092966" w:rsidP="00092966">
            <w:pPr>
              <w:spacing w:line="400" w:lineRule="exact"/>
              <w:ind w:leftChars="-12" w:left="-29" w:firstLine="2"/>
              <w:jc w:val="center"/>
              <w:rPr>
                <w:rFonts w:ascii="標楷體" w:eastAsia="標楷體" w:hAnsi="標楷體"/>
                <w:b/>
                <w:color w:val="000000"/>
                <w:sz w:val="28"/>
              </w:rPr>
            </w:pPr>
            <w:r>
              <w:rPr>
                <w:rFonts w:ascii="標楷體" w:eastAsia="標楷體" w:hAnsi="標楷體" w:hint="eastAsia"/>
                <w:b/>
                <w:color w:val="000000"/>
                <w:sz w:val="28"/>
              </w:rPr>
              <w:t>1</w:t>
            </w:r>
          </w:p>
        </w:tc>
        <w:tc>
          <w:tcPr>
            <w:tcW w:w="2184" w:type="pct"/>
          </w:tcPr>
          <w:p w:rsidR="00092966" w:rsidRPr="00E62595" w:rsidRDefault="00092966" w:rsidP="00092966">
            <w:pPr>
              <w:spacing w:line="400" w:lineRule="exact"/>
              <w:ind w:leftChars="-12" w:left="-29" w:firstLine="2"/>
              <w:jc w:val="both"/>
              <w:rPr>
                <w:rFonts w:ascii="標楷體" w:eastAsia="標楷體" w:hAnsi="標楷體"/>
                <w:b/>
                <w:color w:val="000000"/>
                <w:sz w:val="28"/>
              </w:rPr>
            </w:pPr>
            <w:r w:rsidRPr="00E62595">
              <w:rPr>
                <w:rFonts w:ascii="標楷體" w:eastAsia="標楷體" w:hAnsi="標楷體" w:hint="eastAsia"/>
                <w:b/>
                <w:color w:val="000000"/>
                <w:sz w:val="28"/>
              </w:rPr>
              <w:t>特別收入基金:</w:t>
            </w:r>
          </w:p>
          <w:p w:rsidR="00092966" w:rsidRPr="00E62595" w:rsidRDefault="00092966" w:rsidP="00092966">
            <w:pPr>
              <w:spacing w:line="400" w:lineRule="exact"/>
              <w:ind w:leftChars="-12" w:left="-29" w:firstLine="2"/>
              <w:jc w:val="both"/>
              <w:rPr>
                <w:rFonts w:ascii="標楷體" w:eastAsia="標楷體" w:hAnsi="標楷體"/>
                <w:color w:val="000000"/>
                <w:sz w:val="28"/>
              </w:rPr>
            </w:pPr>
            <w:r w:rsidRPr="00E62595">
              <w:rPr>
                <w:rFonts w:ascii="標楷體" w:eastAsia="標楷體" w:hAnsi="標楷體" w:hint="eastAsia"/>
                <w:color w:val="000000"/>
                <w:sz w:val="28"/>
              </w:rPr>
              <w:t>1.中央研究院科學研究基金</w:t>
            </w:r>
          </w:p>
        </w:tc>
        <w:tc>
          <w:tcPr>
            <w:tcW w:w="845" w:type="pct"/>
            <w:vMerge w:val="restart"/>
          </w:tcPr>
          <w:p w:rsidR="00092966" w:rsidRPr="00E62595" w:rsidRDefault="00092966" w:rsidP="00092966">
            <w:pPr>
              <w:adjustRightInd w:val="0"/>
              <w:snapToGrid w:val="0"/>
              <w:spacing w:line="240" w:lineRule="atLeast"/>
              <w:jc w:val="both"/>
              <w:rPr>
                <w:rFonts w:ascii="標楷體" w:eastAsia="標楷體" w:hAnsi="標楷體"/>
                <w:color w:val="000000"/>
                <w:sz w:val="28"/>
                <w:szCs w:val="22"/>
              </w:rPr>
            </w:pPr>
            <w:r w:rsidRPr="00E62595">
              <w:rPr>
                <w:rFonts w:ascii="標楷體" w:eastAsia="標楷體" w:hAnsi="標楷體"/>
                <w:color w:val="000000"/>
                <w:sz w:val="28"/>
                <w:szCs w:val="22"/>
              </w:rPr>
              <w:t>10-6-2</w:t>
            </w:r>
          </w:p>
          <w:p w:rsidR="00092966" w:rsidRPr="00E62595" w:rsidRDefault="00092966" w:rsidP="00092966">
            <w:pPr>
              <w:adjustRightInd w:val="0"/>
              <w:snapToGrid w:val="0"/>
              <w:spacing w:line="240" w:lineRule="atLeast"/>
              <w:jc w:val="both"/>
              <w:rPr>
                <w:rFonts w:ascii="標楷體" w:eastAsia="標楷體" w:hAnsi="標楷體"/>
                <w:color w:val="000000"/>
                <w:szCs w:val="24"/>
              </w:rPr>
            </w:pPr>
            <w:r w:rsidRPr="00E62595">
              <w:rPr>
                <w:rFonts w:ascii="標楷體" w:eastAsia="標楷體" w:hAnsi="標楷體"/>
                <w:color w:val="000000"/>
                <w:sz w:val="28"/>
                <w:szCs w:val="22"/>
              </w:rPr>
              <w:t>(111.10.4)</w:t>
            </w:r>
          </w:p>
        </w:tc>
        <w:tc>
          <w:tcPr>
            <w:tcW w:w="1549" w:type="pct"/>
          </w:tcPr>
          <w:p w:rsidR="00092966" w:rsidRPr="00E62595" w:rsidRDefault="00092966" w:rsidP="00092966">
            <w:pPr>
              <w:adjustRightInd w:val="0"/>
              <w:snapToGrid w:val="0"/>
              <w:spacing w:line="240" w:lineRule="atLeast"/>
              <w:ind w:left="240" w:hangingChars="100" w:hanging="240"/>
              <w:jc w:val="both"/>
              <w:rPr>
                <w:rFonts w:ascii="標楷體" w:eastAsia="標楷體" w:hAnsi="標楷體"/>
                <w:color w:val="000000"/>
                <w:szCs w:val="24"/>
              </w:rPr>
            </w:pPr>
            <w:r w:rsidRPr="00E62595">
              <w:rPr>
                <w:rFonts w:ascii="標楷體" w:eastAsia="標楷體" w:hAnsi="標楷體" w:hint="eastAsia"/>
                <w:color w:val="000000"/>
                <w:szCs w:val="24"/>
              </w:rPr>
              <w:t>1.第6會期第</w:t>
            </w:r>
            <w:r w:rsidRPr="00E62595">
              <w:rPr>
                <w:rFonts w:ascii="標楷體" w:eastAsia="標楷體" w:hAnsi="標楷體"/>
                <w:color w:val="000000"/>
                <w:szCs w:val="24"/>
              </w:rPr>
              <w:t>10</w:t>
            </w:r>
            <w:r w:rsidRPr="00E62595">
              <w:rPr>
                <w:rFonts w:ascii="標楷體" w:eastAsia="標楷體" w:hAnsi="標楷體" w:hint="eastAsia"/>
                <w:color w:val="000000"/>
                <w:szCs w:val="24"/>
              </w:rPr>
              <w:t>次全體委員會議（111.1</w:t>
            </w:r>
            <w:r w:rsidRPr="00E62595">
              <w:rPr>
                <w:rFonts w:ascii="標楷體" w:eastAsia="標楷體" w:hAnsi="標楷體"/>
                <w:color w:val="000000"/>
                <w:szCs w:val="24"/>
              </w:rPr>
              <w:t>1</w:t>
            </w:r>
            <w:r w:rsidRPr="00E62595">
              <w:rPr>
                <w:rFonts w:ascii="標楷體" w:eastAsia="標楷體" w:hAnsi="標楷體" w:hint="eastAsia"/>
                <w:color w:val="000000"/>
                <w:szCs w:val="24"/>
              </w:rPr>
              <w:t>.2</w:t>
            </w:r>
            <w:r w:rsidRPr="00E62595">
              <w:rPr>
                <w:rFonts w:ascii="標楷體" w:eastAsia="標楷體" w:hAnsi="標楷體"/>
                <w:color w:val="000000"/>
                <w:szCs w:val="24"/>
              </w:rPr>
              <w:t>3</w:t>
            </w:r>
            <w:r w:rsidRPr="00E62595">
              <w:rPr>
                <w:rFonts w:ascii="標楷體" w:eastAsia="標楷體" w:hAnsi="標楷體" w:hint="eastAsia"/>
                <w:color w:val="000000"/>
                <w:szCs w:val="24"/>
              </w:rPr>
              <w:t>）決議：報告及詢答完畢，另定期繼續審查。</w:t>
            </w:r>
          </w:p>
          <w:p w:rsidR="00092966" w:rsidRPr="00E62595" w:rsidRDefault="00092966" w:rsidP="00092966">
            <w:pPr>
              <w:adjustRightInd w:val="0"/>
              <w:snapToGrid w:val="0"/>
              <w:spacing w:line="240" w:lineRule="atLeast"/>
              <w:ind w:left="240" w:hangingChars="100" w:hanging="240"/>
              <w:jc w:val="both"/>
              <w:rPr>
                <w:rFonts w:ascii="標楷體" w:eastAsia="標楷體" w:hAnsi="標楷體"/>
                <w:color w:val="000000"/>
                <w:szCs w:val="24"/>
              </w:rPr>
            </w:pPr>
            <w:r w:rsidRPr="00E62595">
              <w:rPr>
                <w:rFonts w:ascii="標楷體" w:eastAsia="標楷體" w:hAnsi="標楷體" w:hint="eastAsia"/>
                <w:color w:val="000000"/>
                <w:szCs w:val="24"/>
              </w:rPr>
              <w:t>2</w:t>
            </w:r>
            <w:r w:rsidRPr="00E62595">
              <w:rPr>
                <w:rFonts w:ascii="標楷體" w:eastAsia="標楷體" w:hAnsi="標楷體"/>
                <w:color w:val="000000"/>
                <w:szCs w:val="24"/>
              </w:rPr>
              <w:t>.</w:t>
            </w:r>
            <w:r w:rsidRPr="00E62595">
              <w:rPr>
                <w:rFonts w:ascii="標楷體" w:eastAsia="標楷體" w:hAnsi="標楷體" w:hint="eastAsia"/>
                <w:color w:val="000000"/>
                <w:szCs w:val="24"/>
              </w:rPr>
              <w:t>第6會期第</w:t>
            </w:r>
            <w:r w:rsidRPr="00E62595">
              <w:rPr>
                <w:rFonts w:ascii="標楷體" w:eastAsia="標楷體" w:hAnsi="標楷體"/>
                <w:color w:val="000000"/>
                <w:szCs w:val="24"/>
              </w:rPr>
              <w:t>13</w:t>
            </w:r>
            <w:r w:rsidRPr="00E62595">
              <w:rPr>
                <w:rFonts w:ascii="標楷體" w:eastAsia="標楷體" w:hAnsi="標楷體" w:hint="eastAsia"/>
                <w:color w:val="000000"/>
                <w:szCs w:val="24"/>
              </w:rPr>
              <w:t>次全體委員會議（111.1</w:t>
            </w:r>
            <w:r w:rsidRPr="00E62595">
              <w:rPr>
                <w:rFonts w:ascii="標楷體" w:eastAsia="標楷體" w:hAnsi="標楷體"/>
                <w:color w:val="000000"/>
                <w:szCs w:val="24"/>
              </w:rPr>
              <w:t>2</w:t>
            </w:r>
            <w:r w:rsidRPr="00E62595">
              <w:rPr>
                <w:rFonts w:ascii="標楷體" w:eastAsia="標楷體" w:hAnsi="標楷體" w:hint="eastAsia"/>
                <w:color w:val="000000"/>
                <w:szCs w:val="24"/>
              </w:rPr>
              <w:t>.</w:t>
            </w:r>
            <w:r w:rsidRPr="00E62595">
              <w:rPr>
                <w:rFonts w:ascii="標楷體" w:eastAsia="標楷體" w:hAnsi="標楷體"/>
                <w:color w:val="000000"/>
                <w:szCs w:val="24"/>
              </w:rPr>
              <w:t>7</w:t>
            </w:r>
            <w:r w:rsidRPr="00E62595">
              <w:rPr>
                <w:rFonts w:ascii="標楷體" w:eastAsia="標楷體" w:hAnsi="標楷體" w:hint="eastAsia"/>
                <w:color w:val="000000"/>
                <w:szCs w:val="24"/>
              </w:rPr>
              <w:t>）決議：審查完竣。</w:t>
            </w:r>
          </w:p>
        </w:tc>
      </w:tr>
      <w:tr w:rsidR="00092966" w:rsidRPr="00E62595" w:rsidTr="00855ADB">
        <w:trPr>
          <w:trHeight w:val="790"/>
        </w:trPr>
        <w:tc>
          <w:tcPr>
            <w:tcW w:w="423" w:type="pct"/>
            <w:vMerge/>
            <w:vAlign w:val="center"/>
          </w:tcPr>
          <w:p w:rsidR="00092966" w:rsidRPr="00E62595" w:rsidRDefault="00092966" w:rsidP="00092966">
            <w:pPr>
              <w:spacing w:line="400" w:lineRule="exact"/>
              <w:ind w:leftChars="-12" w:left="-29" w:firstLine="2"/>
              <w:jc w:val="center"/>
              <w:rPr>
                <w:rFonts w:ascii="標楷體" w:eastAsia="標楷體" w:hAnsi="標楷體"/>
                <w:color w:val="000000"/>
                <w:sz w:val="28"/>
              </w:rPr>
            </w:pPr>
          </w:p>
        </w:tc>
        <w:tc>
          <w:tcPr>
            <w:tcW w:w="2184" w:type="pct"/>
          </w:tcPr>
          <w:p w:rsidR="00092966" w:rsidRPr="00E62595" w:rsidRDefault="00092966" w:rsidP="00092966">
            <w:pPr>
              <w:spacing w:line="400" w:lineRule="exact"/>
              <w:ind w:leftChars="-12" w:left="-29" w:firstLine="2"/>
              <w:jc w:val="both"/>
              <w:rPr>
                <w:rFonts w:ascii="標楷體" w:eastAsia="標楷體" w:hAnsi="標楷體"/>
                <w:color w:val="000000"/>
                <w:sz w:val="28"/>
              </w:rPr>
            </w:pPr>
            <w:r w:rsidRPr="00E62595">
              <w:rPr>
                <w:rFonts w:ascii="標楷體" w:eastAsia="標楷體" w:hAnsi="標楷體" w:hint="eastAsia"/>
                <w:color w:val="000000"/>
                <w:sz w:val="28"/>
              </w:rPr>
              <w:t>2.行政院國家科學技術發展基金</w:t>
            </w:r>
          </w:p>
        </w:tc>
        <w:tc>
          <w:tcPr>
            <w:tcW w:w="845" w:type="pct"/>
            <w:vMerge/>
          </w:tcPr>
          <w:p w:rsidR="00092966" w:rsidRPr="00E62595" w:rsidRDefault="00092966" w:rsidP="00092966">
            <w:pPr>
              <w:adjustRightInd w:val="0"/>
              <w:snapToGrid w:val="0"/>
              <w:spacing w:line="240" w:lineRule="atLeast"/>
              <w:jc w:val="both"/>
              <w:rPr>
                <w:rFonts w:ascii="標楷體" w:eastAsia="標楷體" w:hAnsi="標楷體"/>
                <w:color w:val="000000"/>
                <w:szCs w:val="24"/>
              </w:rPr>
            </w:pPr>
          </w:p>
        </w:tc>
        <w:tc>
          <w:tcPr>
            <w:tcW w:w="1549" w:type="pct"/>
          </w:tcPr>
          <w:p w:rsidR="00092966" w:rsidRPr="00E62595" w:rsidRDefault="00092966" w:rsidP="00092966">
            <w:pPr>
              <w:adjustRightInd w:val="0"/>
              <w:snapToGrid w:val="0"/>
              <w:spacing w:line="240" w:lineRule="atLeas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1.</w:t>
            </w:r>
            <w:r w:rsidRPr="00E62595">
              <w:rPr>
                <w:rFonts w:ascii="標楷體" w:eastAsia="標楷體" w:hAnsi="標楷體" w:hint="eastAsia"/>
                <w:color w:val="000000"/>
                <w:szCs w:val="24"/>
              </w:rPr>
              <w:t>第6會期第7次全體委員會議（111.1</w:t>
            </w:r>
            <w:r w:rsidRPr="00E62595">
              <w:rPr>
                <w:rFonts w:ascii="標楷體" w:eastAsia="標楷體" w:hAnsi="標楷體"/>
                <w:color w:val="000000"/>
                <w:szCs w:val="24"/>
              </w:rPr>
              <w:t>1</w:t>
            </w:r>
            <w:r w:rsidRPr="00E62595">
              <w:rPr>
                <w:rFonts w:ascii="標楷體" w:eastAsia="標楷體" w:hAnsi="標楷體" w:hint="eastAsia"/>
                <w:color w:val="000000"/>
                <w:szCs w:val="24"/>
              </w:rPr>
              <w:t>.</w:t>
            </w:r>
            <w:r w:rsidRPr="00E62595">
              <w:rPr>
                <w:rFonts w:ascii="標楷體" w:eastAsia="標楷體" w:hAnsi="標楷體"/>
                <w:color w:val="000000"/>
                <w:szCs w:val="24"/>
              </w:rPr>
              <w:t>9</w:t>
            </w:r>
            <w:r w:rsidRPr="00E62595">
              <w:rPr>
                <w:rFonts w:ascii="標楷體" w:eastAsia="標楷體" w:hAnsi="標楷體" w:hint="eastAsia"/>
                <w:color w:val="000000"/>
                <w:szCs w:val="24"/>
              </w:rPr>
              <w:t>）決議：報告及詢答完畢，另定期繼續審查。</w:t>
            </w:r>
          </w:p>
          <w:p w:rsidR="00092966" w:rsidRPr="00E62595" w:rsidRDefault="00092966" w:rsidP="00092966">
            <w:pPr>
              <w:adjustRightInd w:val="0"/>
              <w:snapToGrid w:val="0"/>
              <w:spacing w:line="240" w:lineRule="atLeas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2.</w:t>
            </w:r>
            <w:r w:rsidRPr="00E62595">
              <w:rPr>
                <w:rFonts w:ascii="標楷體" w:eastAsia="標楷體" w:hAnsi="標楷體" w:hint="eastAsia"/>
                <w:color w:val="000000"/>
                <w:szCs w:val="24"/>
              </w:rPr>
              <w:t>第6會期第13次全體委員會議（111.12.8）決議：審查完竣。</w:t>
            </w:r>
          </w:p>
        </w:tc>
      </w:tr>
      <w:tr w:rsidR="00092966" w:rsidRPr="00E62595" w:rsidTr="00855ADB">
        <w:trPr>
          <w:trHeight w:val="1221"/>
        </w:trPr>
        <w:tc>
          <w:tcPr>
            <w:tcW w:w="423" w:type="pct"/>
            <w:vMerge/>
            <w:vAlign w:val="center"/>
          </w:tcPr>
          <w:p w:rsidR="00092966" w:rsidRPr="00E62595" w:rsidRDefault="00092966" w:rsidP="00092966">
            <w:pPr>
              <w:spacing w:line="400" w:lineRule="exact"/>
              <w:ind w:leftChars="-12" w:left="-29" w:firstLine="2"/>
              <w:jc w:val="center"/>
              <w:rPr>
                <w:rFonts w:ascii="標楷體" w:eastAsia="標楷體" w:hAnsi="標楷體"/>
                <w:color w:val="000000"/>
                <w:sz w:val="28"/>
              </w:rPr>
            </w:pPr>
          </w:p>
        </w:tc>
        <w:tc>
          <w:tcPr>
            <w:tcW w:w="2184" w:type="pct"/>
          </w:tcPr>
          <w:p w:rsidR="00092966" w:rsidRPr="00E62595" w:rsidRDefault="00092966" w:rsidP="00092966">
            <w:pPr>
              <w:spacing w:line="400" w:lineRule="exact"/>
              <w:ind w:leftChars="-12" w:left="-29" w:firstLine="2"/>
              <w:jc w:val="both"/>
              <w:rPr>
                <w:rFonts w:ascii="標楷體" w:eastAsia="標楷體" w:hAnsi="標楷體"/>
                <w:color w:val="000000"/>
                <w:sz w:val="28"/>
              </w:rPr>
            </w:pPr>
            <w:r w:rsidRPr="00E62595">
              <w:rPr>
                <w:rFonts w:ascii="標楷體" w:eastAsia="標楷體" w:hAnsi="標楷體" w:hint="eastAsia"/>
                <w:color w:val="000000"/>
                <w:sz w:val="28"/>
              </w:rPr>
              <w:t>3.學產基金</w:t>
            </w:r>
          </w:p>
          <w:p w:rsidR="00092966" w:rsidRPr="00E62595" w:rsidRDefault="00092966" w:rsidP="00092966">
            <w:pPr>
              <w:spacing w:line="400" w:lineRule="exact"/>
              <w:ind w:leftChars="-12" w:left="-29" w:firstLine="2"/>
              <w:jc w:val="both"/>
              <w:rPr>
                <w:rFonts w:ascii="標楷體" w:eastAsia="標楷體" w:hAnsi="標楷體"/>
                <w:color w:val="000000"/>
                <w:sz w:val="28"/>
              </w:rPr>
            </w:pPr>
            <w:r w:rsidRPr="00E62595">
              <w:rPr>
                <w:rFonts w:ascii="標楷體" w:eastAsia="標楷體" w:hAnsi="標楷體" w:hint="eastAsia"/>
                <w:color w:val="000000"/>
                <w:sz w:val="28"/>
              </w:rPr>
              <w:t>4.運動發展基金</w:t>
            </w:r>
          </w:p>
          <w:p w:rsidR="00092966" w:rsidRPr="00E62595" w:rsidRDefault="00092966" w:rsidP="00092966">
            <w:pPr>
              <w:spacing w:line="400" w:lineRule="exact"/>
              <w:ind w:leftChars="-12" w:left="-29" w:firstLine="2"/>
              <w:jc w:val="both"/>
              <w:rPr>
                <w:rFonts w:ascii="標楷體" w:eastAsia="標楷體" w:hAnsi="標楷體"/>
                <w:color w:val="000000"/>
                <w:sz w:val="28"/>
              </w:rPr>
            </w:pPr>
            <w:r w:rsidRPr="00E62595">
              <w:rPr>
                <w:rFonts w:ascii="標楷體" w:eastAsia="標楷體" w:hAnsi="標楷體" w:hint="eastAsia"/>
                <w:color w:val="000000"/>
                <w:sz w:val="28"/>
              </w:rPr>
              <w:t>5.私立高級中等以上學校退場基金</w:t>
            </w:r>
          </w:p>
        </w:tc>
        <w:tc>
          <w:tcPr>
            <w:tcW w:w="845" w:type="pct"/>
            <w:vMerge/>
          </w:tcPr>
          <w:p w:rsidR="00092966" w:rsidRPr="00E62595" w:rsidRDefault="00092966" w:rsidP="00092966">
            <w:pPr>
              <w:adjustRightInd w:val="0"/>
              <w:snapToGrid w:val="0"/>
              <w:spacing w:line="240" w:lineRule="atLeast"/>
              <w:jc w:val="both"/>
              <w:rPr>
                <w:rFonts w:ascii="標楷體" w:eastAsia="標楷體" w:hAnsi="標楷體"/>
                <w:color w:val="000000"/>
                <w:szCs w:val="24"/>
              </w:rPr>
            </w:pPr>
          </w:p>
        </w:tc>
        <w:tc>
          <w:tcPr>
            <w:tcW w:w="1549" w:type="pct"/>
          </w:tcPr>
          <w:p w:rsidR="00092966" w:rsidRPr="00E62595" w:rsidRDefault="00092966" w:rsidP="00092966">
            <w:pPr>
              <w:adjustRightInd w:val="0"/>
              <w:snapToGrid w:val="0"/>
              <w:spacing w:line="240" w:lineRule="atLeas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1.</w:t>
            </w:r>
            <w:r w:rsidRPr="00E62595">
              <w:rPr>
                <w:rFonts w:ascii="標楷體" w:eastAsia="標楷體" w:hAnsi="標楷體" w:hint="eastAsia"/>
                <w:color w:val="000000"/>
                <w:szCs w:val="24"/>
              </w:rPr>
              <w:t>第6會期第4次全體委員會議（111.10.20）決議：報告及詢答完畢，另定期繼續審查。</w:t>
            </w:r>
          </w:p>
          <w:p w:rsidR="00092966" w:rsidRPr="00E62595" w:rsidRDefault="00092966" w:rsidP="00092966">
            <w:pPr>
              <w:adjustRightInd w:val="0"/>
              <w:snapToGrid w:val="0"/>
              <w:spacing w:line="240" w:lineRule="atLeas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2.</w:t>
            </w:r>
            <w:r w:rsidRPr="00E62595">
              <w:rPr>
                <w:rFonts w:ascii="標楷體" w:eastAsia="標楷體" w:hAnsi="標楷體" w:hint="eastAsia"/>
                <w:color w:val="000000"/>
                <w:szCs w:val="24"/>
              </w:rPr>
              <w:t>第6會期第6次全體委員會議（111.11.3）決議：審查完竣。</w:t>
            </w:r>
          </w:p>
        </w:tc>
      </w:tr>
      <w:tr w:rsidR="00092966" w:rsidRPr="00E62595" w:rsidTr="00855ADB">
        <w:trPr>
          <w:trHeight w:val="790"/>
        </w:trPr>
        <w:tc>
          <w:tcPr>
            <w:tcW w:w="423" w:type="pct"/>
            <w:vMerge/>
            <w:vAlign w:val="center"/>
          </w:tcPr>
          <w:p w:rsidR="00092966" w:rsidRPr="00E62595" w:rsidRDefault="00092966" w:rsidP="00092966">
            <w:pPr>
              <w:spacing w:line="400" w:lineRule="exact"/>
              <w:ind w:leftChars="-12" w:left="-29" w:firstLine="2"/>
              <w:jc w:val="center"/>
              <w:rPr>
                <w:rFonts w:ascii="標楷體" w:eastAsia="標楷體" w:hAnsi="標楷體"/>
                <w:color w:val="000000"/>
                <w:sz w:val="28"/>
              </w:rPr>
            </w:pPr>
          </w:p>
        </w:tc>
        <w:tc>
          <w:tcPr>
            <w:tcW w:w="2184" w:type="pct"/>
          </w:tcPr>
          <w:p w:rsidR="00092966" w:rsidRPr="00E62595" w:rsidRDefault="00092966" w:rsidP="00092966">
            <w:pPr>
              <w:spacing w:line="400" w:lineRule="exact"/>
              <w:ind w:leftChars="-12" w:left="-29" w:firstLine="2"/>
              <w:jc w:val="both"/>
              <w:rPr>
                <w:rFonts w:ascii="標楷體" w:eastAsia="標楷體" w:hAnsi="標楷體"/>
                <w:color w:val="000000"/>
                <w:sz w:val="28"/>
              </w:rPr>
            </w:pPr>
            <w:r w:rsidRPr="00E62595">
              <w:rPr>
                <w:rFonts w:ascii="標楷體" w:eastAsia="標楷體" w:hAnsi="標楷體" w:hint="eastAsia"/>
                <w:color w:val="000000"/>
                <w:sz w:val="28"/>
              </w:rPr>
              <w:t>6.核子事故緊急應變基金</w:t>
            </w:r>
          </w:p>
        </w:tc>
        <w:tc>
          <w:tcPr>
            <w:tcW w:w="845" w:type="pct"/>
            <w:vMerge/>
          </w:tcPr>
          <w:p w:rsidR="00092966" w:rsidRPr="00E62595" w:rsidRDefault="00092966" w:rsidP="00092966">
            <w:pPr>
              <w:adjustRightInd w:val="0"/>
              <w:snapToGrid w:val="0"/>
              <w:spacing w:line="240" w:lineRule="atLeast"/>
              <w:jc w:val="both"/>
              <w:rPr>
                <w:rFonts w:ascii="標楷體" w:eastAsia="標楷體" w:hAnsi="標楷體"/>
                <w:color w:val="000000"/>
                <w:szCs w:val="24"/>
              </w:rPr>
            </w:pPr>
          </w:p>
        </w:tc>
        <w:tc>
          <w:tcPr>
            <w:tcW w:w="1549" w:type="pct"/>
          </w:tcPr>
          <w:p w:rsidR="00092966" w:rsidRPr="00E62595" w:rsidRDefault="00092966" w:rsidP="00092966">
            <w:pPr>
              <w:adjustRightInd w:val="0"/>
              <w:snapToGrid w:val="0"/>
              <w:spacing w:line="240" w:lineRule="atLeast"/>
              <w:ind w:left="235" w:hangingChars="98" w:hanging="235"/>
              <w:jc w:val="both"/>
              <w:rPr>
                <w:rFonts w:ascii="標楷體" w:eastAsia="標楷體" w:hAnsi="標楷體"/>
                <w:color w:val="000000"/>
                <w:szCs w:val="24"/>
              </w:rPr>
            </w:pPr>
            <w:r w:rsidRPr="00E62595">
              <w:rPr>
                <w:rFonts w:ascii="標楷體" w:eastAsia="標楷體" w:hAnsi="標楷體" w:hint="eastAsia"/>
                <w:color w:val="000000"/>
                <w:szCs w:val="24"/>
              </w:rPr>
              <w:t>1</w:t>
            </w:r>
            <w:r w:rsidRPr="00E62595">
              <w:rPr>
                <w:rFonts w:ascii="標楷體" w:eastAsia="標楷體" w:hAnsi="標楷體"/>
                <w:color w:val="000000"/>
                <w:szCs w:val="24"/>
              </w:rPr>
              <w:t>.</w:t>
            </w:r>
            <w:r w:rsidRPr="00E62595">
              <w:rPr>
                <w:rFonts w:ascii="標楷體" w:eastAsia="標楷體" w:hAnsi="標楷體" w:hint="eastAsia"/>
                <w:color w:val="000000"/>
                <w:szCs w:val="24"/>
              </w:rPr>
              <w:t>第</w:t>
            </w:r>
            <w:r w:rsidRPr="00E62595">
              <w:rPr>
                <w:rFonts w:ascii="標楷體" w:eastAsia="標楷體" w:hAnsi="標楷體"/>
                <w:color w:val="000000"/>
                <w:szCs w:val="24"/>
              </w:rPr>
              <w:t>6</w:t>
            </w:r>
            <w:r w:rsidRPr="00E62595">
              <w:rPr>
                <w:rFonts w:ascii="標楷體" w:eastAsia="標楷體" w:hAnsi="標楷體" w:hint="eastAsia"/>
                <w:color w:val="000000"/>
                <w:szCs w:val="24"/>
              </w:rPr>
              <w:t>會期第</w:t>
            </w:r>
            <w:r w:rsidRPr="00E62595">
              <w:rPr>
                <w:rFonts w:ascii="標楷體" w:eastAsia="標楷體" w:hAnsi="標楷體"/>
                <w:color w:val="000000"/>
                <w:szCs w:val="24"/>
              </w:rPr>
              <w:t>12</w:t>
            </w:r>
            <w:r w:rsidRPr="00E62595">
              <w:rPr>
                <w:rFonts w:ascii="標楷體" w:eastAsia="標楷體" w:hAnsi="標楷體" w:hint="eastAsia"/>
                <w:color w:val="000000"/>
                <w:szCs w:val="24"/>
              </w:rPr>
              <w:t>次全體委員會議（11</w:t>
            </w:r>
            <w:r w:rsidRPr="00E62595">
              <w:rPr>
                <w:rFonts w:ascii="標楷體" w:eastAsia="標楷體" w:hAnsi="標楷體"/>
                <w:color w:val="000000"/>
                <w:szCs w:val="24"/>
              </w:rPr>
              <w:t>1</w:t>
            </w:r>
            <w:r w:rsidRPr="00E62595">
              <w:rPr>
                <w:rFonts w:ascii="標楷體" w:eastAsia="標楷體" w:hAnsi="標楷體" w:hint="eastAsia"/>
                <w:color w:val="000000"/>
                <w:szCs w:val="24"/>
              </w:rPr>
              <w:t>.1</w:t>
            </w:r>
            <w:r w:rsidRPr="00E62595">
              <w:rPr>
                <w:rFonts w:ascii="標楷體" w:eastAsia="標楷體" w:hAnsi="標楷體"/>
                <w:color w:val="000000"/>
                <w:szCs w:val="24"/>
              </w:rPr>
              <w:t>1</w:t>
            </w:r>
            <w:r w:rsidRPr="00E62595">
              <w:rPr>
                <w:rFonts w:ascii="標楷體" w:eastAsia="標楷體" w:hAnsi="標楷體" w:hint="eastAsia"/>
                <w:color w:val="000000"/>
                <w:szCs w:val="24"/>
              </w:rPr>
              <w:t>.</w:t>
            </w:r>
            <w:r w:rsidRPr="00E62595">
              <w:rPr>
                <w:rFonts w:ascii="標楷體" w:eastAsia="標楷體" w:hAnsi="標楷體"/>
                <w:color w:val="000000"/>
                <w:szCs w:val="24"/>
              </w:rPr>
              <w:t>30</w:t>
            </w:r>
            <w:r w:rsidRPr="00E62595">
              <w:rPr>
                <w:rFonts w:ascii="標楷體" w:eastAsia="標楷體" w:hAnsi="標楷體" w:hint="eastAsia"/>
                <w:color w:val="000000"/>
                <w:szCs w:val="24"/>
              </w:rPr>
              <w:t>）決議：報告及詢答完畢，另定期繼續審查。</w:t>
            </w:r>
          </w:p>
          <w:p w:rsidR="00092966" w:rsidRPr="00E62595" w:rsidRDefault="00092966" w:rsidP="00092966">
            <w:pPr>
              <w:adjustRightInd w:val="0"/>
              <w:snapToGrid w:val="0"/>
              <w:spacing w:line="240" w:lineRule="atLeast"/>
              <w:ind w:left="194" w:hangingChars="81" w:hanging="194"/>
              <w:jc w:val="both"/>
              <w:rPr>
                <w:rFonts w:ascii="標楷體" w:eastAsia="標楷體" w:hAnsi="標楷體"/>
                <w:color w:val="000000"/>
                <w:szCs w:val="24"/>
              </w:rPr>
            </w:pPr>
            <w:r w:rsidRPr="00E62595">
              <w:rPr>
                <w:rFonts w:ascii="標楷體" w:eastAsia="標楷體" w:hAnsi="標楷體" w:hint="eastAsia"/>
                <w:color w:val="000000"/>
                <w:szCs w:val="24"/>
              </w:rPr>
              <w:t>2.第6會期第</w:t>
            </w:r>
            <w:r w:rsidRPr="00E62595">
              <w:rPr>
                <w:rFonts w:ascii="標楷體" w:eastAsia="標楷體" w:hAnsi="標楷體"/>
                <w:color w:val="000000"/>
                <w:szCs w:val="24"/>
              </w:rPr>
              <w:t>14</w:t>
            </w:r>
            <w:r w:rsidRPr="00E62595">
              <w:rPr>
                <w:rFonts w:ascii="標楷體" w:eastAsia="標楷體" w:hAnsi="標楷體" w:hint="eastAsia"/>
                <w:color w:val="000000"/>
                <w:szCs w:val="24"/>
              </w:rPr>
              <w:t>次全體委員會議（111.1</w:t>
            </w:r>
            <w:r w:rsidRPr="00E62595">
              <w:rPr>
                <w:rFonts w:ascii="標楷體" w:eastAsia="標楷體" w:hAnsi="標楷體"/>
                <w:color w:val="000000"/>
                <w:szCs w:val="24"/>
              </w:rPr>
              <w:t>2</w:t>
            </w:r>
            <w:r w:rsidRPr="00E62595">
              <w:rPr>
                <w:rFonts w:ascii="標楷體" w:eastAsia="標楷體" w:hAnsi="標楷體" w:hint="eastAsia"/>
                <w:color w:val="000000"/>
                <w:szCs w:val="24"/>
              </w:rPr>
              <w:t>.</w:t>
            </w:r>
            <w:r w:rsidRPr="00E62595">
              <w:rPr>
                <w:rFonts w:ascii="標楷體" w:eastAsia="標楷體" w:hAnsi="標楷體"/>
                <w:color w:val="000000"/>
                <w:szCs w:val="24"/>
              </w:rPr>
              <w:t>14</w:t>
            </w:r>
            <w:r w:rsidRPr="00E62595">
              <w:rPr>
                <w:rFonts w:ascii="標楷體" w:eastAsia="標楷體" w:hAnsi="標楷體" w:hint="eastAsia"/>
                <w:color w:val="000000"/>
                <w:szCs w:val="24"/>
              </w:rPr>
              <w:t>）決議：審查完竣。</w:t>
            </w:r>
          </w:p>
        </w:tc>
      </w:tr>
      <w:tr w:rsidR="00092966" w:rsidRPr="00E62595" w:rsidTr="00855ADB">
        <w:trPr>
          <w:trHeight w:val="416"/>
        </w:trPr>
        <w:tc>
          <w:tcPr>
            <w:tcW w:w="423" w:type="pct"/>
            <w:vMerge/>
            <w:vAlign w:val="center"/>
          </w:tcPr>
          <w:p w:rsidR="00092966" w:rsidRPr="00E62595" w:rsidRDefault="00092966" w:rsidP="00092966">
            <w:pPr>
              <w:spacing w:line="400" w:lineRule="exact"/>
              <w:ind w:leftChars="-12" w:left="-29" w:firstLine="2"/>
              <w:jc w:val="center"/>
              <w:rPr>
                <w:rFonts w:ascii="標楷體" w:eastAsia="標楷體" w:hAnsi="標楷體"/>
                <w:color w:val="000000"/>
                <w:sz w:val="28"/>
              </w:rPr>
            </w:pPr>
          </w:p>
        </w:tc>
        <w:tc>
          <w:tcPr>
            <w:tcW w:w="2184" w:type="pct"/>
          </w:tcPr>
          <w:p w:rsidR="00092966" w:rsidRPr="00E62595" w:rsidRDefault="00092966" w:rsidP="00092966">
            <w:pPr>
              <w:spacing w:line="400" w:lineRule="exact"/>
              <w:ind w:leftChars="-12" w:left="-29" w:firstLine="2"/>
              <w:jc w:val="both"/>
              <w:rPr>
                <w:rFonts w:ascii="標楷體" w:eastAsia="標楷體" w:hAnsi="標楷體"/>
                <w:color w:val="000000"/>
                <w:sz w:val="28"/>
              </w:rPr>
            </w:pPr>
            <w:r w:rsidRPr="00E62595">
              <w:rPr>
                <w:rFonts w:ascii="標楷體" w:eastAsia="標楷體" w:hAnsi="標楷體" w:hint="eastAsia"/>
                <w:color w:val="000000"/>
                <w:sz w:val="28"/>
              </w:rPr>
              <w:t>7.文化發展基金</w:t>
            </w:r>
          </w:p>
        </w:tc>
        <w:tc>
          <w:tcPr>
            <w:tcW w:w="845" w:type="pct"/>
            <w:vMerge/>
          </w:tcPr>
          <w:p w:rsidR="00092966" w:rsidRPr="00E62595" w:rsidRDefault="00092966" w:rsidP="00092966">
            <w:pPr>
              <w:adjustRightInd w:val="0"/>
              <w:snapToGrid w:val="0"/>
              <w:spacing w:line="240" w:lineRule="atLeast"/>
              <w:jc w:val="both"/>
              <w:rPr>
                <w:rFonts w:ascii="標楷體" w:eastAsia="標楷體" w:hAnsi="標楷體"/>
                <w:color w:val="000000"/>
                <w:szCs w:val="24"/>
              </w:rPr>
            </w:pPr>
          </w:p>
        </w:tc>
        <w:tc>
          <w:tcPr>
            <w:tcW w:w="1549" w:type="pct"/>
          </w:tcPr>
          <w:p w:rsidR="00092966" w:rsidRPr="00E62595" w:rsidRDefault="00092966" w:rsidP="00092966">
            <w:pPr>
              <w:adjustRightInd w:val="0"/>
              <w:snapToGrid w:val="0"/>
              <w:spacing w:line="240" w:lineRule="atLeast"/>
              <w:ind w:left="235" w:hangingChars="98" w:hanging="235"/>
              <w:jc w:val="both"/>
              <w:rPr>
                <w:rFonts w:ascii="標楷體" w:eastAsia="標楷體" w:hAnsi="標楷體"/>
                <w:color w:val="000000"/>
                <w:szCs w:val="24"/>
              </w:rPr>
            </w:pPr>
            <w:r>
              <w:rPr>
                <w:rFonts w:ascii="標楷體" w:eastAsia="標楷體" w:hAnsi="標楷體" w:hint="eastAsia"/>
                <w:color w:val="000000"/>
                <w:szCs w:val="24"/>
              </w:rPr>
              <w:t>1.</w:t>
            </w:r>
            <w:r w:rsidRPr="00E62595">
              <w:rPr>
                <w:rFonts w:ascii="標楷體" w:eastAsia="標楷體" w:hAnsi="標楷體" w:hint="eastAsia"/>
                <w:color w:val="000000"/>
                <w:szCs w:val="24"/>
              </w:rPr>
              <w:t>第6會期第7次全體委員會議（111.11.10）決議：報告及詢答完畢，另定期繼續審查。</w:t>
            </w:r>
          </w:p>
          <w:p w:rsidR="00092966" w:rsidRPr="00E62595" w:rsidRDefault="00092966" w:rsidP="00092966">
            <w:pPr>
              <w:adjustRightInd w:val="0"/>
              <w:snapToGrid w:val="0"/>
              <w:spacing w:line="240" w:lineRule="atLeast"/>
              <w:ind w:left="235" w:hangingChars="98" w:hanging="235"/>
              <w:jc w:val="both"/>
              <w:rPr>
                <w:rFonts w:ascii="標楷體" w:eastAsia="標楷體" w:hAnsi="標楷體"/>
                <w:color w:val="000000"/>
                <w:szCs w:val="24"/>
              </w:rPr>
            </w:pPr>
            <w:r>
              <w:rPr>
                <w:rFonts w:ascii="標楷體" w:eastAsia="標楷體" w:hAnsi="標楷體" w:hint="eastAsia"/>
                <w:color w:val="000000"/>
                <w:szCs w:val="24"/>
              </w:rPr>
              <w:t>2.</w:t>
            </w:r>
            <w:r w:rsidRPr="00E62595">
              <w:rPr>
                <w:rFonts w:ascii="標楷體" w:eastAsia="標楷體" w:hAnsi="標楷體" w:hint="eastAsia"/>
                <w:color w:val="000000"/>
                <w:szCs w:val="24"/>
              </w:rPr>
              <w:t>第6會期第1</w:t>
            </w:r>
            <w:r w:rsidRPr="00E62595">
              <w:rPr>
                <w:rFonts w:ascii="標楷體" w:eastAsia="標楷體" w:hAnsi="標楷體"/>
                <w:color w:val="000000"/>
                <w:szCs w:val="24"/>
              </w:rPr>
              <w:t>5</w:t>
            </w:r>
            <w:r w:rsidRPr="00E62595">
              <w:rPr>
                <w:rFonts w:ascii="標楷體" w:eastAsia="標楷體" w:hAnsi="標楷體" w:hint="eastAsia"/>
                <w:color w:val="000000"/>
                <w:szCs w:val="24"/>
              </w:rPr>
              <w:t>次全體委員</w:t>
            </w:r>
            <w:r w:rsidRPr="00E62595">
              <w:rPr>
                <w:rFonts w:ascii="標楷體" w:eastAsia="標楷體" w:hAnsi="標楷體" w:hint="eastAsia"/>
                <w:color w:val="000000"/>
                <w:szCs w:val="24"/>
              </w:rPr>
              <w:lastRenderedPageBreak/>
              <w:t>會議（111.12.2</w:t>
            </w:r>
            <w:r w:rsidRPr="00E62595">
              <w:rPr>
                <w:rFonts w:ascii="標楷體" w:eastAsia="標楷體" w:hAnsi="標楷體"/>
                <w:color w:val="000000"/>
                <w:szCs w:val="24"/>
              </w:rPr>
              <w:t>1</w:t>
            </w:r>
            <w:r w:rsidRPr="00E62595">
              <w:rPr>
                <w:rFonts w:ascii="標楷體" w:eastAsia="標楷體" w:hAnsi="標楷體" w:hint="eastAsia"/>
                <w:color w:val="000000"/>
                <w:szCs w:val="24"/>
              </w:rPr>
              <w:t>）決議：審查完竣。</w:t>
            </w:r>
          </w:p>
        </w:tc>
      </w:tr>
      <w:tr w:rsidR="00092966" w:rsidRPr="00E62595" w:rsidTr="00855ADB">
        <w:trPr>
          <w:trHeight w:val="790"/>
        </w:trPr>
        <w:tc>
          <w:tcPr>
            <w:tcW w:w="423" w:type="pct"/>
            <w:vMerge w:val="restart"/>
            <w:vAlign w:val="center"/>
          </w:tcPr>
          <w:p w:rsidR="00092966" w:rsidRPr="00E62595" w:rsidRDefault="00092966" w:rsidP="00092966">
            <w:pPr>
              <w:spacing w:line="400" w:lineRule="exact"/>
              <w:ind w:leftChars="-12" w:left="-29" w:firstLine="2"/>
              <w:jc w:val="center"/>
              <w:rPr>
                <w:rFonts w:ascii="標楷體" w:eastAsia="標楷體" w:hAnsi="標楷體"/>
                <w:b/>
                <w:color w:val="000000"/>
                <w:sz w:val="28"/>
              </w:rPr>
            </w:pPr>
            <w:r>
              <w:rPr>
                <w:rFonts w:ascii="標楷體" w:eastAsia="標楷體" w:hAnsi="標楷體" w:hint="eastAsia"/>
                <w:b/>
                <w:color w:val="000000"/>
                <w:sz w:val="28"/>
              </w:rPr>
              <w:lastRenderedPageBreak/>
              <w:t>2</w:t>
            </w:r>
          </w:p>
        </w:tc>
        <w:tc>
          <w:tcPr>
            <w:tcW w:w="2184" w:type="pct"/>
          </w:tcPr>
          <w:p w:rsidR="00092966" w:rsidRPr="00E62595" w:rsidRDefault="00092966" w:rsidP="00092966">
            <w:pPr>
              <w:spacing w:line="400" w:lineRule="exact"/>
              <w:ind w:leftChars="-12" w:left="-29" w:firstLine="2"/>
              <w:jc w:val="both"/>
              <w:rPr>
                <w:rFonts w:ascii="標楷體" w:eastAsia="標楷體" w:hAnsi="標楷體"/>
                <w:b/>
                <w:color w:val="000000"/>
                <w:sz w:val="28"/>
              </w:rPr>
            </w:pPr>
            <w:r w:rsidRPr="00E62595">
              <w:rPr>
                <w:rFonts w:ascii="標楷體" w:eastAsia="標楷體" w:hAnsi="標楷體" w:hint="eastAsia"/>
                <w:b/>
                <w:color w:val="000000"/>
                <w:sz w:val="28"/>
              </w:rPr>
              <w:t>作業基金:</w:t>
            </w:r>
          </w:p>
          <w:p w:rsidR="00092966" w:rsidRPr="00E62595" w:rsidRDefault="00092966" w:rsidP="00092966">
            <w:pPr>
              <w:spacing w:line="400" w:lineRule="exact"/>
              <w:ind w:leftChars="-12" w:left="-29" w:firstLine="2"/>
              <w:jc w:val="both"/>
              <w:rPr>
                <w:rFonts w:ascii="標楷體" w:eastAsia="標楷體" w:hAnsi="標楷體"/>
                <w:color w:val="000000"/>
                <w:sz w:val="28"/>
              </w:rPr>
            </w:pPr>
            <w:r w:rsidRPr="00E62595">
              <w:rPr>
                <w:rFonts w:ascii="標楷體" w:eastAsia="標楷體" w:hAnsi="標楷體" w:hint="eastAsia"/>
                <w:color w:val="000000"/>
                <w:sz w:val="28"/>
              </w:rPr>
              <w:t>1.47所國立大學校院校務基金</w:t>
            </w:r>
          </w:p>
          <w:p w:rsidR="00092966" w:rsidRPr="00E62595" w:rsidRDefault="00092966" w:rsidP="00092966">
            <w:pPr>
              <w:spacing w:line="400" w:lineRule="exact"/>
              <w:ind w:leftChars="-12" w:left="251" w:hangingChars="100" w:hanging="280"/>
              <w:rPr>
                <w:rFonts w:ascii="標楷體" w:eastAsia="標楷體" w:hAnsi="標楷體"/>
                <w:color w:val="000000"/>
                <w:sz w:val="28"/>
              </w:rPr>
            </w:pPr>
            <w:r w:rsidRPr="00E62595">
              <w:rPr>
                <w:rFonts w:ascii="標楷體" w:eastAsia="標楷體" w:hAnsi="標楷體" w:hint="eastAsia"/>
                <w:color w:val="000000"/>
                <w:sz w:val="28"/>
              </w:rPr>
              <w:t>2.國立臺灣大學附設醫院作業基金</w:t>
            </w:r>
          </w:p>
          <w:p w:rsidR="00092966" w:rsidRPr="00E62595" w:rsidRDefault="00092966" w:rsidP="00092966">
            <w:pPr>
              <w:spacing w:line="400" w:lineRule="exact"/>
              <w:ind w:leftChars="-12" w:left="251" w:hangingChars="100" w:hanging="280"/>
              <w:rPr>
                <w:rFonts w:ascii="標楷體" w:eastAsia="標楷體" w:hAnsi="標楷體"/>
                <w:color w:val="000000"/>
                <w:sz w:val="28"/>
              </w:rPr>
            </w:pPr>
            <w:r w:rsidRPr="00E62595">
              <w:rPr>
                <w:rFonts w:ascii="標楷體" w:eastAsia="標楷體" w:hAnsi="標楷體" w:hint="eastAsia"/>
                <w:color w:val="000000"/>
                <w:sz w:val="28"/>
              </w:rPr>
              <w:t>3.國立成功大學附設醫院作業基金</w:t>
            </w:r>
          </w:p>
          <w:p w:rsidR="00092966" w:rsidRPr="00E62595" w:rsidRDefault="00092966" w:rsidP="00092966">
            <w:pPr>
              <w:spacing w:line="400" w:lineRule="exact"/>
              <w:ind w:leftChars="-12" w:left="251" w:hangingChars="100" w:hanging="280"/>
              <w:rPr>
                <w:rFonts w:ascii="標楷體" w:eastAsia="標楷體" w:hAnsi="標楷體"/>
                <w:color w:val="000000"/>
                <w:sz w:val="28"/>
              </w:rPr>
            </w:pPr>
            <w:r w:rsidRPr="00E62595">
              <w:rPr>
                <w:rFonts w:ascii="標楷體" w:eastAsia="標楷體" w:hAnsi="標楷體" w:hint="eastAsia"/>
                <w:color w:val="000000"/>
                <w:sz w:val="28"/>
              </w:rPr>
              <w:t>4.國立陽明交通大學附設醫院作業基金</w:t>
            </w:r>
          </w:p>
          <w:p w:rsidR="00092966" w:rsidRPr="00E62595" w:rsidRDefault="00092966" w:rsidP="00092966">
            <w:pPr>
              <w:spacing w:line="400" w:lineRule="exact"/>
              <w:ind w:leftChars="-12" w:left="251" w:hangingChars="100" w:hanging="280"/>
              <w:rPr>
                <w:rFonts w:ascii="標楷體" w:eastAsia="標楷體" w:hAnsi="標楷體"/>
                <w:color w:val="000000"/>
                <w:sz w:val="28"/>
              </w:rPr>
            </w:pPr>
            <w:r w:rsidRPr="00E62595">
              <w:rPr>
                <w:rFonts w:ascii="標楷體" w:eastAsia="標楷體" w:hAnsi="標楷體" w:hint="eastAsia"/>
                <w:color w:val="000000"/>
                <w:sz w:val="28"/>
              </w:rPr>
              <w:t>5.教育部所屬機構作業基金</w:t>
            </w:r>
          </w:p>
          <w:p w:rsidR="00092966" w:rsidRPr="00E62595" w:rsidRDefault="00092966" w:rsidP="00092966">
            <w:pPr>
              <w:spacing w:line="400" w:lineRule="exact"/>
              <w:ind w:leftChars="-12" w:left="251" w:hangingChars="100" w:hanging="280"/>
              <w:rPr>
                <w:rFonts w:ascii="標楷體" w:eastAsia="標楷體" w:hAnsi="標楷體"/>
                <w:color w:val="000000"/>
                <w:sz w:val="28"/>
              </w:rPr>
            </w:pPr>
            <w:r w:rsidRPr="00E62595">
              <w:rPr>
                <w:rFonts w:ascii="標楷體" w:eastAsia="標楷體" w:hAnsi="標楷體" w:hint="eastAsia"/>
                <w:color w:val="000000"/>
                <w:sz w:val="28"/>
              </w:rPr>
              <w:t>6.國立高級中等學校校務基金</w:t>
            </w:r>
          </w:p>
        </w:tc>
        <w:tc>
          <w:tcPr>
            <w:tcW w:w="845" w:type="pct"/>
            <w:vMerge w:val="restart"/>
          </w:tcPr>
          <w:p w:rsidR="00092966" w:rsidRPr="00E62595" w:rsidRDefault="00092966" w:rsidP="00092966">
            <w:pPr>
              <w:adjustRightInd w:val="0"/>
              <w:snapToGrid w:val="0"/>
              <w:spacing w:line="240" w:lineRule="atLeast"/>
              <w:jc w:val="both"/>
              <w:rPr>
                <w:rFonts w:ascii="標楷體" w:eastAsia="標楷體" w:hAnsi="標楷體"/>
                <w:color w:val="000000"/>
                <w:sz w:val="28"/>
                <w:szCs w:val="22"/>
              </w:rPr>
            </w:pPr>
            <w:r w:rsidRPr="00E62595">
              <w:rPr>
                <w:rFonts w:ascii="標楷體" w:eastAsia="標楷體" w:hAnsi="標楷體"/>
                <w:color w:val="000000"/>
                <w:sz w:val="28"/>
                <w:szCs w:val="22"/>
              </w:rPr>
              <w:t>10-6-2</w:t>
            </w:r>
          </w:p>
          <w:p w:rsidR="00092966" w:rsidRPr="00E62595" w:rsidRDefault="00092966" w:rsidP="00092966">
            <w:pPr>
              <w:adjustRightInd w:val="0"/>
              <w:snapToGrid w:val="0"/>
              <w:spacing w:line="240" w:lineRule="atLeast"/>
              <w:jc w:val="both"/>
              <w:rPr>
                <w:rFonts w:ascii="標楷體" w:eastAsia="標楷體" w:hAnsi="標楷體"/>
                <w:color w:val="000000"/>
                <w:sz w:val="28"/>
                <w:szCs w:val="22"/>
              </w:rPr>
            </w:pPr>
            <w:r w:rsidRPr="00E62595">
              <w:rPr>
                <w:rFonts w:ascii="標楷體" w:eastAsia="標楷體" w:hAnsi="標楷體"/>
                <w:color w:val="000000"/>
                <w:sz w:val="28"/>
                <w:szCs w:val="22"/>
              </w:rPr>
              <w:t>(111.10.4)</w:t>
            </w:r>
          </w:p>
        </w:tc>
        <w:tc>
          <w:tcPr>
            <w:tcW w:w="1549" w:type="pct"/>
          </w:tcPr>
          <w:p w:rsidR="00092966" w:rsidRPr="00E62595" w:rsidRDefault="00092966" w:rsidP="00092966">
            <w:pPr>
              <w:adjustRightInd w:val="0"/>
              <w:snapToGrid w:val="0"/>
              <w:spacing w:line="240" w:lineRule="atLeast"/>
              <w:ind w:left="240" w:hangingChars="100" w:hanging="240"/>
              <w:jc w:val="both"/>
              <w:rPr>
                <w:rFonts w:ascii="標楷體" w:eastAsia="標楷體" w:hAnsi="標楷體"/>
                <w:color w:val="000000"/>
                <w:szCs w:val="24"/>
              </w:rPr>
            </w:pPr>
            <w:r w:rsidRPr="00E62595">
              <w:rPr>
                <w:rFonts w:ascii="標楷體" w:eastAsia="標楷體" w:hAnsi="標楷體" w:hint="eastAsia"/>
                <w:color w:val="000000"/>
                <w:szCs w:val="24"/>
              </w:rPr>
              <w:t>1.第6會期第4次全體委員會議（111.10.20）決議：報告及詢答完畢，另定期繼續審查。</w:t>
            </w:r>
          </w:p>
          <w:p w:rsidR="00092966" w:rsidRPr="00E62595" w:rsidRDefault="00092966" w:rsidP="00092966">
            <w:pPr>
              <w:adjustRightInd w:val="0"/>
              <w:snapToGrid w:val="0"/>
              <w:spacing w:line="240" w:lineRule="atLeast"/>
              <w:ind w:left="240" w:hangingChars="100" w:hanging="240"/>
              <w:jc w:val="both"/>
              <w:rPr>
                <w:rFonts w:ascii="標楷體" w:eastAsia="標楷體" w:hAnsi="標楷體"/>
                <w:color w:val="000000"/>
                <w:szCs w:val="24"/>
              </w:rPr>
            </w:pPr>
            <w:r w:rsidRPr="00E62595">
              <w:rPr>
                <w:rFonts w:ascii="標楷體" w:eastAsia="標楷體" w:hAnsi="標楷體" w:hint="eastAsia"/>
                <w:color w:val="000000"/>
                <w:szCs w:val="24"/>
              </w:rPr>
              <w:t>2</w:t>
            </w:r>
            <w:r w:rsidRPr="00E62595">
              <w:rPr>
                <w:rFonts w:ascii="標楷體" w:eastAsia="標楷體" w:hAnsi="標楷體"/>
                <w:color w:val="000000"/>
                <w:szCs w:val="24"/>
              </w:rPr>
              <w:t>.</w:t>
            </w:r>
            <w:r w:rsidRPr="00E62595">
              <w:rPr>
                <w:rFonts w:ascii="標楷體" w:eastAsia="標楷體" w:hAnsi="標楷體" w:hint="eastAsia"/>
                <w:color w:val="000000"/>
                <w:szCs w:val="24"/>
              </w:rPr>
              <w:t>第6會期第6次全體委員會議（111.11.3）決議：審查完竣。</w:t>
            </w:r>
          </w:p>
        </w:tc>
      </w:tr>
      <w:tr w:rsidR="00092966" w:rsidRPr="00E62595" w:rsidTr="00855ADB">
        <w:trPr>
          <w:trHeight w:val="790"/>
        </w:trPr>
        <w:tc>
          <w:tcPr>
            <w:tcW w:w="423" w:type="pct"/>
            <w:vMerge/>
            <w:vAlign w:val="center"/>
          </w:tcPr>
          <w:p w:rsidR="00092966" w:rsidRPr="00E62595" w:rsidRDefault="00092966" w:rsidP="00092966">
            <w:pPr>
              <w:spacing w:line="400" w:lineRule="exact"/>
              <w:ind w:leftChars="-12" w:left="251" w:hangingChars="100" w:hanging="280"/>
              <w:jc w:val="center"/>
              <w:rPr>
                <w:rFonts w:ascii="標楷體" w:eastAsia="標楷體" w:hAnsi="標楷體"/>
                <w:color w:val="000000"/>
                <w:sz w:val="28"/>
              </w:rPr>
            </w:pPr>
          </w:p>
        </w:tc>
        <w:tc>
          <w:tcPr>
            <w:tcW w:w="2184" w:type="pct"/>
          </w:tcPr>
          <w:p w:rsidR="00092966" w:rsidRPr="00E62595" w:rsidRDefault="00092966" w:rsidP="00092966">
            <w:pPr>
              <w:spacing w:line="400" w:lineRule="exact"/>
              <w:ind w:leftChars="-12" w:left="251" w:hangingChars="100" w:hanging="280"/>
              <w:jc w:val="both"/>
              <w:rPr>
                <w:rFonts w:ascii="標楷體" w:eastAsia="標楷體" w:hAnsi="標楷體"/>
                <w:color w:val="000000"/>
                <w:sz w:val="28"/>
              </w:rPr>
            </w:pPr>
            <w:r w:rsidRPr="00E62595">
              <w:rPr>
                <w:rFonts w:ascii="標楷體" w:eastAsia="標楷體" w:hAnsi="標楷體" w:hint="eastAsia"/>
                <w:color w:val="000000"/>
                <w:sz w:val="28"/>
              </w:rPr>
              <w:t>7.科學園區管理局作業基金</w:t>
            </w:r>
          </w:p>
        </w:tc>
        <w:tc>
          <w:tcPr>
            <w:tcW w:w="845" w:type="pct"/>
            <w:vMerge/>
          </w:tcPr>
          <w:p w:rsidR="00092966" w:rsidRPr="00E62595" w:rsidRDefault="00092966" w:rsidP="00092966">
            <w:pPr>
              <w:adjustRightInd w:val="0"/>
              <w:snapToGrid w:val="0"/>
              <w:spacing w:line="240" w:lineRule="atLeast"/>
              <w:jc w:val="both"/>
              <w:rPr>
                <w:rFonts w:ascii="標楷體" w:eastAsia="標楷體" w:hAnsi="標楷體"/>
                <w:color w:val="000000"/>
                <w:sz w:val="28"/>
                <w:szCs w:val="22"/>
              </w:rPr>
            </w:pPr>
          </w:p>
        </w:tc>
        <w:tc>
          <w:tcPr>
            <w:tcW w:w="1549" w:type="pct"/>
          </w:tcPr>
          <w:p w:rsidR="00092966" w:rsidRPr="00E62595" w:rsidRDefault="00092966" w:rsidP="00092966">
            <w:pPr>
              <w:adjustRightInd w:val="0"/>
              <w:snapToGrid w:val="0"/>
              <w:spacing w:line="240" w:lineRule="atLeast"/>
              <w:ind w:left="240" w:hangingChars="100" w:hanging="240"/>
              <w:jc w:val="both"/>
              <w:rPr>
                <w:rFonts w:ascii="標楷體" w:eastAsia="標楷體" w:hAnsi="標楷體"/>
                <w:color w:val="000000"/>
                <w:szCs w:val="24"/>
              </w:rPr>
            </w:pPr>
            <w:r w:rsidRPr="00E62595">
              <w:rPr>
                <w:rFonts w:ascii="標楷體" w:eastAsia="標楷體" w:hAnsi="標楷體" w:hint="eastAsia"/>
                <w:color w:val="000000"/>
                <w:szCs w:val="24"/>
              </w:rPr>
              <w:t>1.第6會期第7次全體委員會議（111.1</w:t>
            </w:r>
            <w:r w:rsidRPr="00E62595">
              <w:rPr>
                <w:rFonts w:ascii="標楷體" w:eastAsia="標楷體" w:hAnsi="標楷體"/>
                <w:color w:val="000000"/>
                <w:szCs w:val="24"/>
              </w:rPr>
              <w:t>1</w:t>
            </w:r>
            <w:r w:rsidRPr="00E62595">
              <w:rPr>
                <w:rFonts w:ascii="標楷體" w:eastAsia="標楷體" w:hAnsi="標楷體" w:hint="eastAsia"/>
                <w:color w:val="000000"/>
                <w:szCs w:val="24"/>
              </w:rPr>
              <w:t>.</w:t>
            </w:r>
            <w:r w:rsidRPr="00E62595">
              <w:rPr>
                <w:rFonts w:ascii="標楷體" w:eastAsia="標楷體" w:hAnsi="標楷體"/>
                <w:color w:val="000000"/>
                <w:szCs w:val="24"/>
              </w:rPr>
              <w:t>9</w:t>
            </w:r>
            <w:r w:rsidRPr="00E62595">
              <w:rPr>
                <w:rFonts w:ascii="標楷體" w:eastAsia="標楷體" w:hAnsi="標楷體" w:hint="eastAsia"/>
                <w:color w:val="000000"/>
                <w:szCs w:val="24"/>
              </w:rPr>
              <w:t>）決議：報告及詢答完畢，另定期繼續審查。</w:t>
            </w:r>
          </w:p>
          <w:p w:rsidR="00092966" w:rsidRPr="00E62595" w:rsidRDefault="00092966" w:rsidP="00092966">
            <w:pPr>
              <w:adjustRightInd w:val="0"/>
              <w:snapToGrid w:val="0"/>
              <w:spacing w:line="240" w:lineRule="atLeast"/>
              <w:ind w:left="235" w:hangingChars="98" w:hanging="235"/>
              <w:jc w:val="both"/>
              <w:rPr>
                <w:rFonts w:ascii="標楷體" w:eastAsia="標楷體" w:hAnsi="標楷體"/>
                <w:color w:val="000000"/>
              </w:rPr>
            </w:pPr>
            <w:r w:rsidRPr="00E62595">
              <w:rPr>
                <w:rFonts w:ascii="標楷體" w:eastAsia="標楷體" w:hAnsi="標楷體" w:hint="eastAsia"/>
                <w:color w:val="000000"/>
              </w:rPr>
              <w:t>2.第6會期第13次全體委員會議（111.12.8）決議：審查完竣。</w:t>
            </w:r>
          </w:p>
        </w:tc>
      </w:tr>
      <w:tr w:rsidR="00092966" w:rsidRPr="00E62595" w:rsidTr="00855ADB">
        <w:trPr>
          <w:trHeight w:val="790"/>
        </w:trPr>
        <w:tc>
          <w:tcPr>
            <w:tcW w:w="423" w:type="pct"/>
            <w:vMerge/>
            <w:vAlign w:val="center"/>
          </w:tcPr>
          <w:p w:rsidR="00092966" w:rsidRPr="00E62595" w:rsidRDefault="00092966" w:rsidP="00092966">
            <w:pPr>
              <w:spacing w:line="400" w:lineRule="exact"/>
              <w:ind w:leftChars="-12" w:left="-29" w:firstLine="2"/>
              <w:jc w:val="center"/>
              <w:rPr>
                <w:rFonts w:ascii="標楷體" w:eastAsia="標楷體" w:hAnsi="標楷體"/>
                <w:color w:val="000000"/>
                <w:sz w:val="28"/>
              </w:rPr>
            </w:pPr>
          </w:p>
        </w:tc>
        <w:tc>
          <w:tcPr>
            <w:tcW w:w="2184" w:type="pct"/>
          </w:tcPr>
          <w:p w:rsidR="00092966" w:rsidRPr="00E62595" w:rsidRDefault="00092966" w:rsidP="00092966">
            <w:pPr>
              <w:spacing w:line="400" w:lineRule="exact"/>
              <w:ind w:leftChars="-12" w:left="-29" w:firstLine="2"/>
              <w:jc w:val="both"/>
              <w:rPr>
                <w:rFonts w:ascii="標楷體" w:eastAsia="標楷體" w:hAnsi="標楷體"/>
                <w:color w:val="000000"/>
                <w:sz w:val="28"/>
              </w:rPr>
            </w:pPr>
            <w:r w:rsidRPr="00E62595">
              <w:rPr>
                <w:rFonts w:ascii="標楷體" w:eastAsia="標楷體" w:hAnsi="標楷體" w:hint="eastAsia"/>
                <w:color w:val="000000"/>
                <w:sz w:val="28"/>
              </w:rPr>
              <w:t>8</w:t>
            </w:r>
            <w:r w:rsidRPr="00E62595">
              <w:rPr>
                <w:rFonts w:ascii="標楷體" w:eastAsia="標楷體" w:hAnsi="標楷體"/>
                <w:color w:val="000000"/>
                <w:sz w:val="28"/>
              </w:rPr>
              <w:t>.</w:t>
            </w:r>
            <w:r w:rsidRPr="00E62595">
              <w:rPr>
                <w:rFonts w:ascii="標楷體" w:eastAsia="標楷體" w:hAnsi="標楷體" w:hint="eastAsia"/>
                <w:color w:val="000000"/>
                <w:sz w:val="28"/>
              </w:rPr>
              <w:t>國立文化機構作業基金</w:t>
            </w:r>
          </w:p>
        </w:tc>
        <w:tc>
          <w:tcPr>
            <w:tcW w:w="845" w:type="pct"/>
            <w:vMerge/>
          </w:tcPr>
          <w:p w:rsidR="00092966" w:rsidRPr="00E62595" w:rsidRDefault="00092966" w:rsidP="00092966">
            <w:pPr>
              <w:adjustRightInd w:val="0"/>
              <w:snapToGrid w:val="0"/>
              <w:spacing w:line="240" w:lineRule="atLeast"/>
              <w:jc w:val="both"/>
              <w:rPr>
                <w:rFonts w:ascii="標楷體" w:eastAsia="標楷體" w:hAnsi="標楷體"/>
                <w:color w:val="000000"/>
                <w:sz w:val="28"/>
                <w:szCs w:val="22"/>
              </w:rPr>
            </w:pPr>
          </w:p>
        </w:tc>
        <w:tc>
          <w:tcPr>
            <w:tcW w:w="1549" w:type="pct"/>
          </w:tcPr>
          <w:p w:rsidR="00092966" w:rsidRPr="00E62595" w:rsidRDefault="00092966" w:rsidP="00092966">
            <w:pPr>
              <w:adjustRightInd w:val="0"/>
              <w:snapToGrid w:val="0"/>
              <w:spacing w:line="240" w:lineRule="atLeas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1.</w:t>
            </w:r>
            <w:r w:rsidRPr="00E62595">
              <w:rPr>
                <w:rFonts w:ascii="標楷體" w:eastAsia="標楷體" w:hAnsi="標楷體" w:hint="eastAsia"/>
                <w:color w:val="000000"/>
                <w:szCs w:val="24"/>
              </w:rPr>
              <w:t>第6會期第7次全體委員會議（111.11.10）決議：報告及詢答完畢，另定期繼續審查。</w:t>
            </w:r>
          </w:p>
          <w:p w:rsidR="00092966" w:rsidRPr="00E62595" w:rsidRDefault="00092966" w:rsidP="00092966">
            <w:pPr>
              <w:adjustRightInd w:val="0"/>
              <w:snapToGrid w:val="0"/>
              <w:spacing w:line="240" w:lineRule="atLeast"/>
              <w:ind w:left="240" w:hangingChars="100" w:hanging="240"/>
              <w:jc w:val="both"/>
              <w:rPr>
                <w:rFonts w:ascii="標楷體" w:eastAsia="標楷體" w:hAnsi="標楷體"/>
                <w:color w:val="000000"/>
                <w:sz w:val="28"/>
              </w:rPr>
            </w:pPr>
            <w:r w:rsidRPr="00E62595">
              <w:rPr>
                <w:rFonts w:ascii="標楷體" w:eastAsia="標楷體" w:hAnsi="標楷體"/>
                <w:color w:val="000000"/>
                <w:szCs w:val="24"/>
              </w:rPr>
              <w:t>2.</w:t>
            </w:r>
            <w:r w:rsidRPr="00E62595">
              <w:rPr>
                <w:rFonts w:ascii="標楷體" w:eastAsia="標楷體" w:hAnsi="標楷體" w:hint="eastAsia"/>
                <w:color w:val="000000"/>
                <w:szCs w:val="24"/>
              </w:rPr>
              <w:t>第6會期第1</w:t>
            </w:r>
            <w:r w:rsidRPr="00E62595">
              <w:rPr>
                <w:rFonts w:ascii="標楷體" w:eastAsia="標楷體" w:hAnsi="標楷體"/>
                <w:color w:val="000000"/>
                <w:szCs w:val="24"/>
              </w:rPr>
              <w:t>5</w:t>
            </w:r>
            <w:r w:rsidRPr="00E62595">
              <w:rPr>
                <w:rFonts w:ascii="標楷體" w:eastAsia="標楷體" w:hAnsi="標楷體" w:hint="eastAsia"/>
                <w:color w:val="000000"/>
                <w:szCs w:val="24"/>
              </w:rPr>
              <w:t>次全體委員會議（111.12.2</w:t>
            </w:r>
            <w:r w:rsidRPr="00E62595">
              <w:rPr>
                <w:rFonts w:ascii="標楷體" w:eastAsia="標楷體" w:hAnsi="標楷體"/>
                <w:color w:val="000000"/>
                <w:szCs w:val="24"/>
              </w:rPr>
              <w:t>1</w:t>
            </w:r>
            <w:r w:rsidRPr="00E62595">
              <w:rPr>
                <w:rFonts w:ascii="標楷體" w:eastAsia="標楷體" w:hAnsi="標楷體" w:hint="eastAsia"/>
                <w:color w:val="000000"/>
                <w:szCs w:val="24"/>
              </w:rPr>
              <w:t>）決議：審查完竣。</w:t>
            </w:r>
          </w:p>
        </w:tc>
      </w:tr>
      <w:tr w:rsidR="00092966" w:rsidRPr="00E62595" w:rsidTr="00855ADB">
        <w:trPr>
          <w:trHeight w:val="790"/>
        </w:trPr>
        <w:tc>
          <w:tcPr>
            <w:tcW w:w="423" w:type="pct"/>
            <w:vMerge/>
            <w:vAlign w:val="center"/>
          </w:tcPr>
          <w:p w:rsidR="00092966" w:rsidRPr="00E62595" w:rsidRDefault="00092966" w:rsidP="00092966">
            <w:pPr>
              <w:spacing w:line="400" w:lineRule="exact"/>
              <w:ind w:leftChars="-12" w:left="-29" w:firstLine="2"/>
              <w:jc w:val="center"/>
              <w:rPr>
                <w:rFonts w:ascii="標楷體" w:eastAsia="標楷體" w:hAnsi="標楷體"/>
                <w:color w:val="000000"/>
                <w:sz w:val="28"/>
              </w:rPr>
            </w:pPr>
          </w:p>
        </w:tc>
        <w:tc>
          <w:tcPr>
            <w:tcW w:w="2184" w:type="pct"/>
          </w:tcPr>
          <w:p w:rsidR="00092966" w:rsidRPr="00E62595" w:rsidRDefault="00092966" w:rsidP="00092966">
            <w:pPr>
              <w:spacing w:line="400" w:lineRule="exact"/>
              <w:ind w:leftChars="-12" w:left="-29" w:firstLine="2"/>
              <w:jc w:val="both"/>
              <w:rPr>
                <w:rFonts w:ascii="標楷體" w:eastAsia="標楷體" w:hAnsi="標楷體"/>
                <w:color w:val="000000"/>
                <w:sz w:val="28"/>
              </w:rPr>
            </w:pPr>
            <w:r w:rsidRPr="00E62595">
              <w:rPr>
                <w:rFonts w:ascii="標楷體" w:eastAsia="標楷體" w:hAnsi="標楷體" w:hint="eastAsia"/>
                <w:color w:val="000000"/>
                <w:sz w:val="28"/>
              </w:rPr>
              <w:t>9.故宮文物藝術發展基金</w:t>
            </w:r>
          </w:p>
        </w:tc>
        <w:tc>
          <w:tcPr>
            <w:tcW w:w="845" w:type="pct"/>
            <w:vMerge/>
          </w:tcPr>
          <w:p w:rsidR="00092966" w:rsidRPr="00E62595" w:rsidRDefault="00092966" w:rsidP="00092966">
            <w:pPr>
              <w:adjustRightInd w:val="0"/>
              <w:snapToGrid w:val="0"/>
              <w:spacing w:line="240" w:lineRule="atLeast"/>
              <w:jc w:val="both"/>
              <w:rPr>
                <w:rFonts w:ascii="標楷體" w:eastAsia="標楷體" w:hAnsi="標楷體"/>
                <w:color w:val="000000"/>
                <w:sz w:val="28"/>
                <w:szCs w:val="22"/>
              </w:rPr>
            </w:pPr>
          </w:p>
        </w:tc>
        <w:tc>
          <w:tcPr>
            <w:tcW w:w="1549" w:type="pct"/>
          </w:tcPr>
          <w:p w:rsidR="00092966" w:rsidRPr="00E62595" w:rsidRDefault="00092966" w:rsidP="00092966">
            <w:pPr>
              <w:adjustRightInd w:val="0"/>
              <w:snapToGrid w:val="0"/>
              <w:spacing w:line="240" w:lineRule="atLeas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1.</w:t>
            </w:r>
            <w:r w:rsidRPr="00E62595">
              <w:rPr>
                <w:rFonts w:ascii="標楷體" w:eastAsia="標楷體" w:hAnsi="標楷體" w:hint="eastAsia"/>
                <w:color w:val="000000"/>
                <w:szCs w:val="24"/>
              </w:rPr>
              <w:t>第</w:t>
            </w:r>
            <w:r w:rsidRPr="00E62595">
              <w:rPr>
                <w:rFonts w:ascii="標楷體" w:eastAsia="標楷體" w:hAnsi="標楷體"/>
                <w:color w:val="000000"/>
                <w:szCs w:val="24"/>
              </w:rPr>
              <w:t>6</w:t>
            </w:r>
            <w:r w:rsidRPr="00E62595">
              <w:rPr>
                <w:rFonts w:ascii="標楷體" w:eastAsia="標楷體" w:hAnsi="標楷體" w:hint="eastAsia"/>
                <w:color w:val="000000"/>
                <w:szCs w:val="24"/>
              </w:rPr>
              <w:t>會期第</w:t>
            </w:r>
            <w:r w:rsidRPr="00E62595">
              <w:rPr>
                <w:rFonts w:ascii="標楷體" w:eastAsia="標楷體" w:hAnsi="標楷體"/>
                <w:color w:val="000000"/>
                <w:szCs w:val="24"/>
              </w:rPr>
              <w:t>4</w:t>
            </w:r>
            <w:r w:rsidRPr="00E62595">
              <w:rPr>
                <w:rFonts w:ascii="標楷體" w:eastAsia="標楷體" w:hAnsi="標楷體" w:hint="eastAsia"/>
                <w:color w:val="000000"/>
                <w:szCs w:val="24"/>
              </w:rPr>
              <w:t>次全體委員會議（11</w:t>
            </w:r>
            <w:r w:rsidRPr="00E62595">
              <w:rPr>
                <w:rFonts w:ascii="標楷體" w:eastAsia="標楷體" w:hAnsi="標楷體"/>
                <w:color w:val="000000"/>
                <w:szCs w:val="24"/>
              </w:rPr>
              <w:t>1</w:t>
            </w:r>
            <w:r w:rsidRPr="00E62595">
              <w:rPr>
                <w:rFonts w:ascii="標楷體" w:eastAsia="標楷體" w:hAnsi="標楷體" w:hint="eastAsia"/>
                <w:color w:val="000000"/>
                <w:szCs w:val="24"/>
              </w:rPr>
              <w:t>.10.</w:t>
            </w:r>
            <w:r w:rsidRPr="00E62595">
              <w:rPr>
                <w:rFonts w:ascii="標楷體" w:eastAsia="標楷體" w:hAnsi="標楷體"/>
                <w:color w:val="000000"/>
                <w:szCs w:val="24"/>
              </w:rPr>
              <w:t>19</w:t>
            </w:r>
            <w:r w:rsidRPr="00E62595">
              <w:rPr>
                <w:rFonts w:ascii="標楷體" w:eastAsia="標楷體" w:hAnsi="標楷體" w:hint="eastAsia"/>
                <w:color w:val="000000"/>
                <w:szCs w:val="24"/>
              </w:rPr>
              <w:t>）決議：報告及詢答完畢，另定期繼續審查。</w:t>
            </w:r>
          </w:p>
          <w:p w:rsidR="00092966" w:rsidRPr="00E62595" w:rsidRDefault="00092966" w:rsidP="00092966">
            <w:pPr>
              <w:adjustRightInd w:val="0"/>
              <w:snapToGrid w:val="0"/>
              <w:spacing w:line="240" w:lineRule="atLeas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2.</w:t>
            </w:r>
            <w:r w:rsidRPr="00E62595">
              <w:rPr>
                <w:rFonts w:ascii="標楷體" w:eastAsia="標楷體" w:hAnsi="標楷體" w:hint="eastAsia"/>
                <w:color w:val="000000"/>
                <w:szCs w:val="24"/>
              </w:rPr>
              <w:t>第6會期第1</w:t>
            </w:r>
            <w:r w:rsidRPr="00E62595">
              <w:rPr>
                <w:rFonts w:ascii="標楷體" w:eastAsia="標楷體" w:hAnsi="標楷體"/>
                <w:color w:val="000000"/>
                <w:szCs w:val="24"/>
              </w:rPr>
              <w:t>2</w:t>
            </w:r>
            <w:r w:rsidRPr="00E62595">
              <w:rPr>
                <w:rFonts w:ascii="標楷體" w:eastAsia="標楷體" w:hAnsi="標楷體" w:hint="eastAsia"/>
                <w:color w:val="000000"/>
                <w:szCs w:val="24"/>
              </w:rPr>
              <w:t>次全體委員會議（111.11.</w:t>
            </w:r>
            <w:r w:rsidRPr="00E62595">
              <w:rPr>
                <w:rFonts w:ascii="標楷體" w:eastAsia="標楷體" w:hAnsi="標楷體"/>
                <w:color w:val="000000"/>
                <w:szCs w:val="24"/>
              </w:rPr>
              <w:t>30</w:t>
            </w:r>
            <w:r w:rsidRPr="00E62595">
              <w:rPr>
                <w:rFonts w:ascii="標楷體" w:eastAsia="標楷體" w:hAnsi="標楷體" w:hint="eastAsia"/>
                <w:color w:val="000000"/>
                <w:szCs w:val="24"/>
              </w:rPr>
              <w:t>）決議：審查完竣。</w:t>
            </w:r>
          </w:p>
        </w:tc>
      </w:tr>
    </w:tbl>
    <w:p w:rsidR="00092966" w:rsidRPr="00092966" w:rsidRDefault="00092966" w:rsidP="00092966">
      <w:pPr>
        <w:pStyle w:val="01-3"/>
      </w:pPr>
      <w:bookmarkStart w:id="74" w:name="_Toc64648125"/>
      <w:bookmarkStart w:id="75" w:name="_Toc95137405"/>
      <w:bookmarkStart w:id="76" w:name="_Toc126068121"/>
      <w:r w:rsidRPr="00092966">
        <w:rPr>
          <w:rFonts w:hint="eastAsia"/>
        </w:rPr>
        <w:t>2.院會通過(公務預算)</w:t>
      </w:r>
      <w:bookmarkEnd w:id="74"/>
      <w:r w:rsidRPr="00092966">
        <w:rPr>
          <w:rFonts w:hint="eastAsia"/>
        </w:rPr>
        <w:t xml:space="preserve"> (1案)</w:t>
      </w:r>
      <w:bookmarkEnd w:id="75"/>
      <w:bookmarkEnd w:id="76"/>
    </w:p>
    <w:tbl>
      <w:tblPr>
        <w:tblW w:w="5226"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851"/>
        <w:gridCol w:w="2796"/>
        <w:gridCol w:w="1598"/>
        <w:gridCol w:w="2834"/>
        <w:gridCol w:w="1985"/>
      </w:tblGrid>
      <w:tr w:rsidR="00855ADB" w:rsidRPr="00092966" w:rsidTr="00855ADB">
        <w:trPr>
          <w:trHeight w:val="700"/>
        </w:trPr>
        <w:tc>
          <w:tcPr>
            <w:tcW w:w="423" w:type="pct"/>
            <w:vAlign w:val="center"/>
          </w:tcPr>
          <w:p w:rsidR="00855ADB" w:rsidRPr="00D9635C" w:rsidRDefault="00855ADB" w:rsidP="00855ADB">
            <w:pPr>
              <w:spacing w:line="400" w:lineRule="exact"/>
              <w:rPr>
                <w:rFonts w:ascii="標楷體" w:eastAsia="標楷體" w:hAnsi="標楷體"/>
                <w:b/>
                <w:bCs/>
                <w:spacing w:val="-20"/>
                <w:sz w:val="28"/>
                <w:szCs w:val="28"/>
              </w:rPr>
            </w:pPr>
            <w:r w:rsidRPr="00D9635C">
              <w:rPr>
                <w:rFonts w:ascii="標楷體" w:eastAsia="標楷體" w:hAnsi="標楷體" w:hint="eastAsia"/>
                <w:b/>
                <w:bCs/>
                <w:spacing w:val="-20"/>
                <w:sz w:val="28"/>
                <w:szCs w:val="28"/>
              </w:rPr>
              <w:t>序號</w:t>
            </w:r>
          </w:p>
        </w:tc>
        <w:tc>
          <w:tcPr>
            <w:tcW w:w="1389" w:type="pct"/>
            <w:vAlign w:val="center"/>
          </w:tcPr>
          <w:p w:rsidR="00855ADB" w:rsidRPr="00D9635C" w:rsidRDefault="00855ADB" w:rsidP="00855ADB">
            <w:pPr>
              <w:spacing w:line="400" w:lineRule="exact"/>
              <w:jc w:val="center"/>
              <w:rPr>
                <w:rFonts w:ascii="標楷體" w:eastAsia="標楷體" w:hAnsi="標楷體"/>
                <w:b/>
                <w:bCs/>
                <w:sz w:val="28"/>
              </w:rPr>
            </w:pPr>
            <w:r w:rsidRPr="00D9635C">
              <w:rPr>
                <w:rFonts w:ascii="標楷體" w:eastAsia="標楷體" w:hAnsi="標楷體" w:hint="eastAsia"/>
                <w:b/>
                <w:bCs/>
                <w:sz w:val="28"/>
              </w:rPr>
              <w:t>案由</w:t>
            </w:r>
          </w:p>
        </w:tc>
        <w:tc>
          <w:tcPr>
            <w:tcW w:w="794" w:type="pct"/>
            <w:vAlign w:val="center"/>
          </w:tcPr>
          <w:p w:rsidR="00855ADB" w:rsidRPr="00D9635C" w:rsidRDefault="00855ADB" w:rsidP="00855ADB">
            <w:pPr>
              <w:spacing w:line="400" w:lineRule="exact"/>
              <w:ind w:left="92"/>
              <w:jc w:val="center"/>
              <w:rPr>
                <w:rFonts w:ascii="標楷體" w:eastAsia="標楷體" w:hAnsi="標楷體"/>
                <w:b/>
                <w:bCs/>
                <w:sz w:val="28"/>
              </w:rPr>
            </w:pPr>
            <w:r w:rsidRPr="00D9635C">
              <w:rPr>
                <w:rFonts w:ascii="標楷體" w:eastAsia="標楷體" w:hAnsi="標楷體" w:hint="eastAsia"/>
                <w:b/>
                <w:bCs/>
                <w:sz w:val="28"/>
              </w:rPr>
              <w:t>院會交付</w:t>
            </w:r>
          </w:p>
          <w:p w:rsidR="00855ADB" w:rsidRPr="00D9635C" w:rsidRDefault="00855ADB" w:rsidP="00855ADB">
            <w:pPr>
              <w:spacing w:line="400" w:lineRule="exact"/>
              <w:ind w:left="92"/>
              <w:jc w:val="center"/>
              <w:rPr>
                <w:rFonts w:ascii="標楷體" w:eastAsia="標楷體" w:hAnsi="標楷體"/>
                <w:b/>
                <w:bCs/>
                <w:sz w:val="28"/>
              </w:rPr>
            </w:pPr>
            <w:r w:rsidRPr="00D9635C">
              <w:rPr>
                <w:rFonts w:ascii="標楷體" w:eastAsia="標楷體" w:hAnsi="標楷體" w:hint="eastAsia"/>
                <w:b/>
                <w:bCs/>
                <w:sz w:val="28"/>
              </w:rPr>
              <w:t>會次及日期</w:t>
            </w:r>
          </w:p>
        </w:tc>
        <w:tc>
          <w:tcPr>
            <w:tcW w:w="1408" w:type="pct"/>
            <w:vAlign w:val="center"/>
          </w:tcPr>
          <w:p w:rsidR="00855ADB" w:rsidRPr="00D9635C" w:rsidRDefault="00855ADB" w:rsidP="00855ADB">
            <w:pPr>
              <w:spacing w:line="400" w:lineRule="exact"/>
              <w:jc w:val="distribute"/>
              <w:rPr>
                <w:rFonts w:ascii="標楷體" w:eastAsia="標楷體" w:hAnsi="標楷體"/>
                <w:b/>
                <w:bCs/>
                <w:sz w:val="28"/>
              </w:rPr>
            </w:pPr>
            <w:r w:rsidRPr="00D9635C">
              <w:rPr>
                <w:rFonts w:ascii="標楷體" w:eastAsia="標楷體" w:hAnsi="標楷體" w:hint="eastAsia"/>
                <w:b/>
                <w:bCs/>
                <w:sz w:val="28"/>
              </w:rPr>
              <w:t>處理情形</w:t>
            </w:r>
          </w:p>
        </w:tc>
        <w:tc>
          <w:tcPr>
            <w:tcW w:w="986" w:type="pct"/>
          </w:tcPr>
          <w:p w:rsidR="00855ADB" w:rsidRPr="00187A36" w:rsidRDefault="00855ADB" w:rsidP="00855ADB">
            <w:pPr>
              <w:spacing w:line="400" w:lineRule="exact"/>
              <w:ind w:rightChars="26" w:right="62"/>
              <w:jc w:val="center"/>
              <w:rPr>
                <w:rFonts w:ascii="標楷體" w:eastAsia="標楷體" w:hAnsi="標楷體"/>
                <w:b/>
                <w:bCs/>
                <w:spacing w:val="-20"/>
                <w:sz w:val="28"/>
              </w:rPr>
            </w:pPr>
            <w:r w:rsidRPr="00187A36">
              <w:rPr>
                <w:rFonts w:ascii="標楷體" w:eastAsia="標楷體" w:hAnsi="標楷體" w:hint="eastAsia"/>
                <w:b/>
                <w:bCs/>
                <w:spacing w:val="-20"/>
                <w:sz w:val="28"/>
              </w:rPr>
              <w:t>院會三讀通過</w:t>
            </w:r>
          </w:p>
          <w:p w:rsidR="00855ADB" w:rsidRPr="00D9635C" w:rsidRDefault="00855ADB" w:rsidP="00855ADB">
            <w:pPr>
              <w:spacing w:line="400" w:lineRule="exact"/>
              <w:jc w:val="center"/>
              <w:rPr>
                <w:rFonts w:ascii="標楷體" w:eastAsia="標楷體" w:hAnsi="標楷體"/>
                <w:b/>
                <w:bCs/>
                <w:sz w:val="28"/>
              </w:rPr>
            </w:pPr>
            <w:r w:rsidRPr="00187A36">
              <w:rPr>
                <w:rFonts w:ascii="標楷體" w:eastAsia="標楷體" w:hAnsi="標楷體" w:hint="eastAsia"/>
                <w:b/>
                <w:bCs/>
                <w:spacing w:val="-20"/>
                <w:sz w:val="28"/>
              </w:rPr>
              <w:t>會次及日期</w:t>
            </w:r>
          </w:p>
        </w:tc>
      </w:tr>
      <w:tr w:rsidR="00855ADB" w:rsidRPr="00092966" w:rsidTr="00855ADB">
        <w:trPr>
          <w:trHeight w:val="647"/>
        </w:trPr>
        <w:tc>
          <w:tcPr>
            <w:tcW w:w="423" w:type="pct"/>
            <w:vAlign w:val="center"/>
          </w:tcPr>
          <w:p w:rsidR="00855ADB" w:rsidRPr="00092966" w:rsidRDefault="00855ADB" w:rsidP="006934DD">
            <w:pPr>
              <w:numPr>
                <w:ilvl w:val="0"/>
                <w:numId w:val="42"/>
              </w:numPr>
              <w:spacing w:line="400" w:lineRule="exact"/>
              <w:jc w:val="center"/>
              <w:rPr>
                <w:rFonts w:ascii="標楷體" w:eastAsia="標楷體" w:hAnsi="標楷體"/>
                <w:bCs/>
                <w:spacing w:val="-20"/>
                <w:sz w:val="28"/>
                <w:szCs w:val="28"/>
              </w:rPr>
            </w:pPr>
          </w:p>
        </w:tc>
        <w:tc>
          <w:tcPr>
            <w:tcW w:w="1389" w:type="pct"/>
            <w:tcBorders>
              <w:top w:val="single" w:sz="4" w:space="0" w:color="auto"/>
              <w:left w:val="single" w:sz="4" w:space="0" w:color="auto"/>
              <w:bottom w:val="single" w:sz="4" w:space="0" w:color="auto"/>
              <w:right w:val="single" w:sz="4" w:space="0" w:color="auto"/>
            </w:tcBorders>
          </w:tcPr>
          <w:p w:rsidR="00855ADB" w:rsidRPr="00092966" w:rsidRDefault="00855ADB" w:rsidP="00092966">
            <w:pPr>
              <w:spacing w:line="400" w:lineRule="exact"/>
              <w:ind w:leftChars="-12" w:left="-29"/>
              <w:jc w:val="both"/>
              <w:rPr>
                <w:rFonts w:ascii="標楷體" w:eastAsia="標楷體" w:hAnsi="標楷體" w:cs="華康楷書體W5"/>
                <w:color w:val="000000"/>
                <w:kern w:val="0"/>
                <w:sz w:val="28"/>
                <w:szCs w:val="28"/>
              </w:rPr>
            </w:pPr>
            <w:r w:rsidRPr="00092966">
              <w:rPr>
                <w:rFonts w:ascii="標楷體" w:eastAsia="標楷體" w:hAnsi="標楷體" w:hint="eastAsia"/>
                <w:color w:val="000000"/>
                <w:sz w:val="28"/>
              </w:rPr>
              <w:t>中央研究院、國立故宮博物院、教育部、國家科學及技術委員會、行政院原子能委員會、文化部及所屬單位</w:t>
            </w:r>
          </w:p>
        </w:tc>
        <w:tc>
          <w:tcPr>
            <w:tcW w:w="794" w:type="pct"/>
            <w:tcBorders>
              <w:top w:val="single" w:sz="4" w:space="0" w:color="auto"/>
              <w:left w:val="single" w:sz="4" w:space="0" w:color="auto"/>
              <w:bottom w:val="single" w:sz="4" w:space="0" w:color="auto"/>
              <w:right w:val="single" w:sz="4" w:space="0" w:color="auto"/>
            </w:tcBorders>
          </w:tcPr>
          <w:p w:rsidR="00855ADB" w:rsidRPr="00092966" w:rsidRDefault="00855ADB" w:rsidP="00092966">
            <w:pPr>
              <w:adjustRightInd w:val="0"/>
              <w:snapToGrid w:val="0"/>
              <w:spacing w:line="240" w:lineRule="atLeast"/>
              <w:jc w:val="both"/>
              <w:rPr>
                <w:rFonts w:ascii="標楷體" w:eastAsia="標楷體" w:hAnsi="標楷體"/>
                <w:color w:val="000000"/>
                <w:sz w:val="28"/>
                <w:szCs w:val="22"/>
              </w:rPr>
            </w:pPr>
            <w:r w:rsidRPr="00092966">
              <w:rPr>
                <w:rFonts w:ascii="標楷體" w:eastAsia="標楷體" w:hAnsi="標楷體"/>
                <w:color w:val="000000"/>
                <w:sz w:val="28"/>
                <w:szCs w:val="22"/>
              </w:rPr>
              <w:t>10-6-2</w:t>
            </w:r>
          </w:p>
          <w:p w:rsidR="00855ADB" w:rsidRPr="00092966" w:rsidRDefault="00855ADB" w:rsidP="00092966">
            <w:pPr>
              <w:adjustRightInd w:val="0"/>
              <w:snapToGrid w:val="0"/>
              <w:spacing w:line="240" w:lineRule="atLeast"/>
              <w:jc w:val="both"/>
              <w:rPr>
                <w:rFonts w:ascii="標楷體" w:eastAsia="標楷體" w:hAnsi="標楷體"/>
                <w:color w:val="000000"/>
                <w:sz w:val="28"/>
                <w:szCs w:val="22"/>
              </w:rPr>
            </w:pPr>
            <w:r w:rsidRPr="00092966">
              <w:rPr>
                <w:rFonts w:ascii="標楷體" w:eastAsia="標楷體" w:hAnsi="標楷體"/>
                <w:color w:val="000000"/>
                <w:sz w:val="28"/>
                <w:szCs w:val="22"/>
              </w:rPr>
              <w:t>(111.10.4)</w:t>
            </w:r>
          </w:p>
        </w:tc>
        <w:tc>
          <w:tcPr>
            <w:tcW w:w="1408" w:type="pct"/>
            <w:tcBorders>
              <w:top w:val="single" w:sz="4" w:space="0" w:color="auto"/>
              <w:left w:val="single" w:sz="4" w:space="0" w:color="auto"/>
              <w:bottom w:val="single" w:sz="4" w:space="0" w:color="auto"/>
              <w:right w:val="single" w:sz="4" w:space="0" w:color="auto"/>
            </w:tcBorders>
          </w:tcPr>
          <w:p w:rsidR="00855ADB" w:rsidRPr="00092966" w:rsidRDefault="00855ADB" w:rsidP="00092966">
            <w:pPr>
              <w:adjustRightInd w:val="0"/>
              <w:snapToGrid w:val="0"/>
              <w:spacing w:line="240" w:lineRule="atLeast"/>
              <w:rPr>
                <w:rFonts w:ascii="標楷體" w:eastAsia="標楷體" w:hAnsi="標楷體"/>
                <w:color w:val="000000"/>
                <w:sz w:val="28"/>
                <w:szCs w:val="22"/>
                <w:u w:val="single"/>
              </w:rPr>
            </w:pPr>
            <w:r w:rsidRPr="00092966">
              <w:rPr>
                <w:rFonts w:ascii="標楷體" w:eastAsia="標楷體" w:hAnsi="標楷體" w:hint="eastAsia"/>
                <w:color w:val="000000"/>
                <w:sz w:val="28"/>
                <w:szCs w:val="22"/>
                <w:u w:val="single"/>
              </w:rPr>
              <w:t>教育部</w:t>
            </w:r>
          </w:p>
          <w:p w:rsidR="00855ADB" w:rsidRPr="00092966" w:rsidRDefault="00855ADB" w:rsidP="00855ADB">
            <w:pPr>
              <w:adjustRightInd w:val="0"/>
              <w:snapToGrid w:val="0"/>
              <w:spacing w:line="240" w:lineRule="atLeas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1.</w:t>
            </w:r>
            <w:r w:rsidRPr="00092966">
              <w:rPr>
                <w:rFonts w:ascii="標楷體" w:eastAsia="標楷體" w:hAnsi="標楷體" w:hint="eastAsia"/>
                <w:color w:val="000000"/>
                <w:szCs w:val="24"/>
              </w:rPr>
              <w:t>第</w:t>
            </w:r>
            <w:r w:rsidRPr="00092966">
              <w:rPr>
                <w:rFonts w:ascii="標楷體" w:eastAsia="標楷體" w:hAnsi="標楷體"/>
                <w:color w:val="000000"/>
                <w:szCs w:val="24"/>
              </w:rPr>
              <w:t>6</w:t>
            </w:r>
            <w:r w:rsidRPr="00092966">
              <w:rPr>
                <w:rFonts w:ascii="標楷體" w:eastAsia="標楷體" w:hAnsi="標楷體" w:hint="eastAsia"/>
                <w:color w:val="000000"/>
                <w:szCs w:val="24"/>
              </w:rPr>
              <w:t>會期第</w:t>
            </w:r>
            <w:r w:rsidRPr="00092966">
              <w:rPr>
                <w:rFonts w:ascii="標楷體" w:eastAsia="標楷體" w:hAnsi="標楷體"/>
                <w:color w:val="000000"/>
                <w:szCs w:val="24"/>
              </w:rPr>
              <w:t>4</w:t>
            </w:r>
            <w:r w:rsidRPr="00092966">
              <w:rPr>
                <w:rFonts w:ascii="標楷體" w:eastAsia="標楷體" w:hAnsi="標楷體" w:hint="eastAsia"/>
                <w:color w:val="000000"/>
                <w:szCs w:val="24"/>
              </w:rPr>
              <w:t>次全體委員會議（11</w:t>
            </w:r>
            <w:r w:rsidRPr="00092966">
              <w:rPr>
                <w:rFonts w:ascii="標楷體" w:eastAsia="標楷體" w:hAnsi="標楷體"/>
                <w:color w:val="000000"/>
                <w:szCs w:val="24"/>
              </w:rPr>
              <w:t>1</w:t>
            </w:r>
            <w:r w:rsidRPr="00092966">
              <w:rPr>
                <w:rFonts w:ascii="標楷體" w:eastAsia="標楷體" w:hAnsi="標楷體" w:hint="eastAsia"/>
                <w:color w:val="000000"/>
                <w:szCs w:val="24"/>
              </w:rPr>
              <w:t>.10.</w:t>
            </w:r>
            <w:r w:rsidRPr="00092966">
              <w:rPr>
                <w:rFonts w:ascii="標楷體" w:eastAsia="標楷體" w:hAnsi="標楷體"/>
                <w:color w:val="000000"/>
                <w:szCs w:val="24"/>
              </w:rPr>
              <w:t>20</w:t>
            </w:r>
            <w:r w:rsidRPr="00092966">
              <w:rPr>
                <w:rFonts w:ascii="標楷體" w:eastAsia="標楷體" w:hAnsi="標楷體" w:hint="eastAsia"/>
                <w:color w:val="000000"/>
                <w:szCs w:val="24"/>
              </w:rPr>
              <w:t>）決議：報告及詢答完畢，另定期繼續審查。</w:t>
            </w:r>
          </w:p>
          <w:p w:rsidR="00855ADB" w:rsidRPr="00092966" w:rsidRDefault="00855ADB" w:rsidP="00855ADB">
            <w:pPr>
              <w:adjustRightInd w:val="0"/>
              <w:snapToGrid w:val="0"/>
              <w:spacing w:line="240" w:lineRule="atLeas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2.</w:t>
            </w:r>
            <w:r w:rsidRPr="00092966">
              <w:rPr>
                <w:rFonts w:ascii="標楷體" w:eastAsia="標楷體" w:hAnsi="標楷體" w:hint="eastAsia"/>
                <w:color w:val="000000"/>
                <w:szCs w:val="24"/>
              </w:rPr>
              <w:t>第</w:t>
            </w:r>
            <w:r w:rsidRPr="00092966">
              <w:rPr>
                <w:rFonts w:ascii="標楷體" w:eastAsia="標楷體" w:hAnsi="標楷體"/>
                <w:color w:val="000000"/>
                <w:szCs w:val="24"/>
              </w:rPr>
              <w:t>6</w:t>
            </w:r>
            <w:r w:rsidRPr="00092966">
              <w:rPr>
                <w:rFonts w:ascii="標楷體" w:eastAsia="標楷體" w:hAnsi="標楷體" w:hint="eastAsia"/>
                <w:color w:val="000000"/>
                <w:szCs w:val="24"/>
              </w:rPr>
              <w:t>會期第6次全體委員會議（11</w:t>
            </w:r>
            <w:r w:rsidRPr="00092966">
              <w:rPr>
                <w:rFonts w:ascii="標楷體" w:eastAsia="標楷體" w:hAnsi="標楷體"/>
                <w:color w:val="000000"/>
                <w:szCs w:val="24"/>
              </w:rPr>
              <w:t>1</w:t>
            </w:r>
            <w:r w:rsidRPr="00092966">
              <w:rPr>
                <w:rFonts w:ascii="標楷體" w:eastAsia="標楷體" w:hAnsi="標楷體" w:hint="eastAsia"/>
                <w:color w:val="000000"/>
                <w:szCs w:val="24"/>
              </w:rPr>
              <w:t>.11.</w:t>
            </w:r>
            <w:r w:rsidRPr="00092966">
              <w:rPr>
                <w:rFonts w:ascii="標楷體" w:eastAsia="標楷體" w:hAnsi="標楷體"/>
                <w:color w:val="000000"/>
                <w:szCs w:val="24"/>
              </w:rPr>
              <w:t>3</w:t>
            </w:r>
            <w:r w:rsidRPr="00092966">
              <w:rPr>
                <w:rFonts w:ascii="標楷體" w:eastAsia="標楷體" w:hAnsi="標楷體" w:hint="eastAsia"/>
                <w:color w:val="000000"/>
                <w:szCs w:val="24"/>
              </w:rPr>
              <w:t>）決</w:t>
            </w:r>
            <w:r w:rsidRPr="00092966">
              <w:rPr>
                <w:rFonts w:ascii="標楷體" w:eastAsia="標楷體" w:hAnsi="標楷體" w:hint="eastAsia"/>
                <w:color w:val="000000"/>
                <w:szCs w:val="24"/>
              </w:rPr>
              <w:lastRenderedPageBreak/>
              <w:t>議：審查完竣。</w:t>
            </w:r>
          </w:p>
          <w:p w:rsidR="00855ADB" w:rsidRPr="00092966" w:rsidRDefault="00855ADB" w:rsidP="00092966">
            <w:pPr>
              <w:adjustRightInd w:val="0"/>
              <w:snapToGrid w:val="0"/>
              <w:spacing w:line="240" w:lineRule="atLeast"/>
              <w:jc w:val="both"/>
              <w:rPr>
                <w:rFonts w:ascii="標楷體" w:eastAsia="標楷體" w:hAnsi="標楷體"/>
                <w:color w:val="000000"/>
              </w:rPr>
            </w:pPr>
          </w:p>
          <w:p w:rsidR="00855ADB" w:rsidRPr="00092966" w:rsidRDefault="00855ADB" w:rsidP="00092966">
            <w:pPr>
              <w:adjustRightInd w:val="0"/>
              <w:snapToGrid w:val="0"/>
              <w:spacing w:line="240" w:lineRule="atLeast"/>
              <w:jc w:val="both"/>
              <w:rPr>
                <w:rFonts w:ascii="標楷體" w:eastAsia="標楷體" w:hAnsi="標楷體"/>
                <w:color w:val="000000"/>
                <w:sz w:val="28"/>
                <w:szCs w:val="22"/>
                <w:u w:val="single"/>
              </w:rPr>
            </w:pPr>
            <w:r w:rsidRPr="00092966">
              <w:rPr>
                <w:rFonts w:ascii="標楷體" w:eastAsia="標楷體" w:hAnsi="標楷體" w:hint="eastAsia"/>
                <w:color w:val="000000"/>
                <w:sz w:val="28"/>
                <w:szCs w:val="22"/>
                <w:u w:val="single"/>
              </w:rPr>
              <w:t>國立故宮博物院</w:t>
            </w:r>
          </w:p>
          <w:p w:rsidR="00855ADB" w:rsidRPr="00092966" w:rsidRDefault="00855ADB" w:rsidP="00855ADB">
            <w:pPr>
              <w:adjustRightInd w:val="0"/>
              <w:snapToGrid w:val="0"/>
              <w:spacing w:line="240" w:lineRule="atLeas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1.</w:t>
            </w:r>
            <w:r w:rsidRPr="00092966">
              <w:rPr>
                <w:rFonts w:ascii="標楷體" w:eastAsia="標楷體" w:hAnsi="標楷體" w:hint="eastAsia"/>
                <w:color w:val="000000"/>
                <w:szCs w:val="24"/>
              </w:rPr>
              <w:t>第</w:t>
            </w:r>
            <w:r w:rsidRPr="00092966">
              <w:rPr>
                <w:rFonts w:ascii="標楷體" w:eastAsia="標楷體" w:hAnsi="標楷體"/>
                <w:color w:val="000000"/>
                <w:szCs w:val="24"/>
              </w:rPr>
              <w:t>6</w:t>
            </w:r>
            <w:r w:rsidRPr="00092966">
              <w:rPr>
                <w:rFonts w:ascii="標楷體" w:eastAsia="標楷體" w:hAnsi="標楷體" w:hint="eastAsia"/>
                <w:color w:val="000000"/>
                <w:szCs w:val="24"/>
              </w:rPr>
              <w:t>會期第</w:t>
            </w:r>
            <w:r w:rsidRPr="00092966">
              <w:rPr>
                <w:rFonts w:ascii="標楷體" w:eastAsia="標楷體" w:hAnsi="標楷體"/>
                <w:color w:val="000000"/>
                <w:szCs w:val="24"/>
              </w:rPr>
              <w:t>4</w:t>
            </w:r>
            <w:r w:rsidRPr="00092966">
              <w:rPr>
                <w:rFonts w:ascii="標楷體" w:eastAsia="標楷體" w:hAnsi="標楷體" w:hint="eastAsia"/>
                <w:color w:val="000000"/>
                <w:szCs w:val="24"/>
              </w:rPr>
              <w:t>次全體委員會議（11</w:t>
            </w:r>
            <w:r w:rsidRPr="00092966">
              <w:rPr>
                <w:rFonts w:ascii="標楷體" w:eastAsia="標楷體" w:hAnsi="標楷體"/>
                <w:color w:val="000000"/>
                <w:szCs w:val="24"/>
              </w:rPr>
              <w:t>1</w:t>
            </w:r>
            <w:r w:rsidRPr="00092966">
              <w:rPr>
                <w:rFonts w:ascii="標楷體" w:eastAsia="標楷體" w:hAnsi="標楷體" w:hint="eastAsia"/>
                <w:color w:val="000000"/>
                <w:szCs w:val="24"/>
              </w:rPr>
              <w:t>.10.</w:t>
            </w:r>
            <w:r w:rsidRPr="00092966">
              <w:rPr>
                <w:rFonts w:ascii="標楷體" w:eastAsia="標楷體" w:hAnsi="標楷體"/>
                <w:color w:val="000000"/>
                <w:szCs w:val="24"/>
              </w:rPr>
              <w:t>19</w:t>
            </w:r>
            <w:r w:rsidRPr="00092966">
              <w:rPr>
                <w:rFonts w:ascii="標楷體" w:eastAsia="標楷體" w:hAnsi="標楷體" w:hint="eastAsia"/>
                <w:color w:val="000000"/>
                <w:szCs w:val="24"/>
              </w:rPr>
              <w:t>）決議：報告及詢答完畢，另定期繼續審查。</w:t>
            </w:r>
          </w:p>
          <w:p w:rsidR="00855ADB" w:rsidRPr="00092966" w:rsidRDefault="00855ADB" w:rsidP="00855ADB">
            <w:pPr>
              <w:adjustRightInd w:val="0"/>
              <w:snapToGrid w:val="0"/>
              <w:spacing w:line="240" w:lineRule="atLeas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2.</w:t>
            </w:r>
            <w:r w:rsidRPr="00092966">
              <w:rPr>
                <w:rFonts w:ascii="標楷體" w:eastAsia="標楷體" w:hAnsi="標楷體" w:hint="eastAsia"/>
                <w:color w:val="000000"/>
                <w:szCs w:val="24"/>
              </w:rPr>
              <w:t>第6會期第</w:t>
            </w:r>
            <w:r w:rsidRPr="00092966">
              <w:rPr>
                <w:rFonts w:ascii="標楷體" w:eastAsia="標楷體" w:hAnsi="標楷體"/>
                <w:color w:val="000000"/>
                <w:szCs w:val="24"/>
              </w:rPr>
              <w:t>12</w:t>
            </w:r>
            <w:r w:rsidRPr="00092966">
              <w:rPr>
                <w:rFonts w:ascii="標楷體" w:eastAsia="標楷體" w:hAnsi="標楷體" w:hint="eastAsia"/>
                <w:color w:val="000000"/>
                <w:szCs w:val="24"/>
              </w:rPr>
              <w:t>次全體委員會議（111.11.</w:t>
            </w:r>
            <w:r w:rsidRPr="00092966">
              <w:rPr>
                <w:rFonts w:ascii="標楷體" w:eastAsia="標楷體" w:hAnsi="標楷體"/>
                <w:color w:val="000000"/>
                <w:szCs w:val="24"/>
              </w:rPr>
              <w:t>30</w:t>
            </w:r>
            <w:r w:rsidRPr="00092966">
              <w:rPr>
                <w:rFonts w:ascii="標楷體" w:eastAsia="標楷體" w:hAnsi="標楷體" w:hint="eastAsia"/>
                <w:color w:val="000000"/>
                <w:szCs w:val="24"/>
              </w:rPr>
              <w:t>）決議：審查完竣。</w:t>
            </w:r>
          </w:p>
          <w:p w:rsidR="00855ADB" w:rsidRPr="00092966" w:rsidRDefault="00855ADB" w:rsidP="00092966">
            <w:pPr>
              <w:adjustRightInd w:val="0"/>
              <w:snapToGrid w:val="0"/>
              <w:spacing w:line="240" w:lineRule="atLeast"/>
              <w:ind w:left="360"/>
              <w:jc w:val="both"/>
              <w:rPr>
                <w:rFonts w:ascii="標楷體" w:eastAsia="標楷體" w:hAnsi="標楷體"/>
                <w:color w:val="000000"/>
                <w:szCs w:val="24"/>
              </w:rPr>
            </w:pPr>
          </w:p>
          <w:p w:rsidR="00855ADB" w:rsidRPr="00092966" w:rsidRDefault="00855ADB" w:rsidP="00092966">
            <w:pPr>
              <w:adjustRightInd w:val="0"/>
              <w:snapToGrid w:val="0"/>
              <w:spacing w:line="240" w:lineRule="atLeast"/>
              <w:jc w:val="both"/>
              <w:rPr>
                <w:rFonts w:ascii="標楷體" w:eastAsia="標楷體" w:hAnsi="標楷體"/>
                <w:color w:val="000000"/>
                <w:sz w:val="28"/>
                <w:szCs w:val="22"/>
                <w:u w:val="single"/>
              </w:rPr>
            </w:pPr>
            <w:r w:rsidRPr="00092966">
              <w:rPr>
                <w:rFonts w:ascii="標楷體" w:eastAsia="標楷體" w:hAnsi="標楷體" w:hint="eastAsia"/>
                <w:color w:val="000000"/>
                <w:sz w:val="28"/>
                <w:szCs w:val="22"/>
                <w:u w:val="single"/>
              </w:rPr>
              <w:t>中央研究院</w:t>
            </w:r>
          </w:p>
          <w:p w:rsidR="00855ADB" w:rsidRPr="00092966" w:rsidRDefault="00855ADB" w:rsidP="00855ADB">
            <w:pPr>
              <w:adjustRightInd w:val="0"/>
              <w:snapToGrid w:val="0"/>
              <w:spacing w:line="240" w:lineRule="atLeas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1.</w:t>
            </w:r>
            <w:r w:rsidRPr="00092966">
              <w:rPr>
                <w:rFonts w:ascii="標楷體" w:eastAsia="標楷體" w:hAnsi="標楷體" w:hint="eastAsia"/>
                <w:color w:val="000000"/>
                <w:szCs w:val="24"/>
              </w:rPr>
              <w:t>第6會期第</w:t>
            </w:r>
            <w:r w:rsidRPr="00092966">
              <w:rPr>
                <w:rFonts w:ascii="標楷體" w:eastAsia="標楷體" w:hAnsi="標楷體"/>
                <w:color w:val="000000"/>
                <w:szCs w:val="24"/>
              </w:rPr>
              <w:t>10</w:t>
            </w:r>
            <w:r w:rsidRPr="00092966">
              <w:rPr>
                <w:rFonts w:ascii="標楷體" w:eastAsia="標楷體" w:hAnsi="標楷體" w:hint="eastAsia"/>
                <w:color w:val="000000"/>
                <w:szCs w:val="24"/>
              </w:rPr>
              <w:t>次全體委員會議（111.1</w:t>
            </w:r>
            <w:r w:rsidRPr="00092966">
              <w:rPr>
                <w:rFonts w:ascii="標楷體" w:eastAsia="標楷體" w:hAnsi="標楷體"/>
                <w:color w:val="000000"/>
                <w:szCs w:val="24"/>
              </w:rPr>
              <w:t>1</w:t>
            </w:r>
            <w:r w:rsidRPr="00092966">
              <w:rPr>
                <w:rFonts w:ascii="標楷體" w:eastAsia="標楷體" w:hAnsi="標楷體" w:hint="eastAsia"/>
                <w:color w:val="000000"/>
                <w:szCs w:val="24"/>
              </w:rPr>
              <w:t>.2</w:t>
            </w:r>
            <w:r w:rsidRPr="00092966">
              <w:rPr>
                <w:rFonts w:ascii="標楷體" w:eastAsia="標楷體" w:hAnsi="標楷體"/>
                <w:color w:val="000000"/>
                <w:szCs w:val="24"/>
              </w:rPr>
              <w:t>3</w:t>
            </w:r>
            <w:r w:rsidRPr="00092966">
              <w:rPr>
                <w:rFonts w:ascii="標楷體" w:eastAsia="標楷體" w:hAnsi="標楷體" w:hint="eastAsia"/>
                <w:color w:val="000000"/>
                <w:szCs w:val="24"/>
              </w:rPr>
              <w:t>）決議：報告及詢答完畢，另定期繼續審查。</w:t>
            </w:r>
          </w:p>
          <w:p w:rsidR="00855ADB" w:rsidRPr="00092966" w:rsidRDefault="00855ADB" w:rsidP="00855ADB">
            <w:pPr>
              <w:adjustRightInd w:val="0"/>
              <w:snapToGrid w:val="0"/>
              <w:spacing w:line="240" w:lineRule="atLeas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2.</w:t>
            </w:r>
            <w:r w:rsidRPr="00092966">
              <w:rPr>
                <w:rFonts w:ascii="標楷體" w:eastAsia="標楷體" w:hAnsi="標楷體" w:hint="eastAsia"/>
                <w:color w:val="000000"/>
                <w:szCs w:val="24"/>
              </w:rPr>
              <w:t>第6會期第</w:t>
            </w:r>
            <w:r w:rsidRPr="00092966">
              <w:rPr>
                <w:rFonts w:ascii="標楷體" w:eastAsia="標楷體" w:hAnsi="標楷體"/>
                <w:color w:val="000000"/>
                <w:szCs w:val="24"/>
              </w:rPr>
              <w:t>13</w:t>
            </w:r>
            <w:r w:rsidRPr="00092966">
              <w:rPr>
                <w:rFonts w:ascii="標楷體" w:eastAsia="標楷體" w:hAnsi="標楷體" w:hint="eastAsia"/>
                <w:color w:val="000000"/>
                <w:szCs w:val="24"/>
              </w:rPr>
              <w:t>次全體委員會議（111.1</w:t>
            </w:r>
            <w:r w:rsidRPr="00092966">
              <w:rPr>
                <w:rFonts w:ascii="標楷體" w:eastAsia="標楷體" w:hAnsi="標楷體"/>
                <w:color w:val="000000"/>
                <w:szCs w:val="24"/>
              </w:rPr>
              <w:t>2</w:t>
            </w:r>
            <w:r w:rsidRPr="00092966">
              <w:rPr>
                <w:rFonts w:ascii="標楷體" w:eastAsia="標楷體" w:hAnsi="標楷體" w:hint="eastAsia"/>
                <w:color w:val="000000"/>
                <w:szCs w:val="24"/>
              </w:rPr>
              <w:t>.</w:t>
            </w:r>
            <w:r w:rsidRPr="00092966">
              <w:rPr>
                <w:rFonts w:ascii="標楷體" w:eastAsia="標楷體" w:hAnsi="標楷體"/>
                <w:color w:val="000000"/>
                <w:szCs w:val="24"/>
              </w:rPr>
              <w:t>7</w:t>
            </w:r>
            <w:r w:rsidRPr="00092966">
              <w:rPr>
                <w:rFonts w:ascii="標楷體" w:eastAsia="標楷體" w:hAnsi="標楷體" w:hint="eastAsia"/>
                <w:color w:val="000000"/>
                <w:szCs w:val="24"/>
              </w:rPr>
              <w:t>）決議：審查完竣。</w:t>
            </w:r>
          </w:p>
          <w:p w:rsidR="00855ADB" w:rsidRPr="00092966" w:rsidRDefault="00855ADB" w:rsidP="00092966">
            <w:pPr>
              <w:adjustRightInd w:val="0"/>
              <w:snapToGrid w:val="0"/>
              <w:spacing w:line="240" w:lineRule="atLeast"/>
              <w:jc w:val="both"/>
              <w:rPr>
                <w:rFonts w:ascii="標楷體" w:eastAsia="標楷體" w:hAnsi="標楷體"/>
                <w:color w:val="000000"/>
              </w:rPr>
            </w:pPr>
          </w:p>
          <w:p w:rsidR="00855ADB" w:rsidRPr="00092966" w:rsidRDefault="00855ADB" w:rsidP="00092966">
            <w:pPr>
              <w:adjustRightInd w:val="0"/>
              <w:snapToGrid w:val="0"/>
              <w:spacing w:line="240" w:lineRule="atLeast"/>
              <w:jc w:val="both"/>
              <w:rPr>
                <w:rFonts w:ascii="標楷體" w:eastAsia="標楷體" w:hAnsi="標楷體"/>
                <w:color w:val="000000"/>
                <w:sz w:val="28"/>
                <w:szCs w:val="22"/>
                <w:u w:val="single"/>
              </w:rPr>
            </w:pPr>
            <w:r w:rsidRPr="00092966">
              <w:rPr>
                <w:rFonts w:ascii="標楷體" w:eastAsia="標楷體" w:hAnsi="標楷體" w:hint="eastAsia"/>
                <w:color w:val="000000"/>
                <w:sz w:val="28"/>
                <w:szCs w:val="22"/>
                <w:u w:val="single"/>
              </w:rPr>
              <w:t>行政院原子能委員會</w:t>
            </w:r>
          </w:p>
          <w:p w:rsidR="00855ADB" w:rsidRPr="00092966" w:rsidRDefault="00855ADB" w:rsidP="00855ADB">
            <w:pPr>
              <w:adjustRightInd w:val="0"/>
              <w:snapToGrid w:val="0"/>
              <w:spacing w:line="240" w:lineRule="atLeas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1.</w:t>
            </w:r>
            <w:r w:rsidRPr="00092966">
              <w:rPr>
                <w:rFonts w:ascii="標楷體" w:eastAsia="標楷體" w:hAnsi="標楷體" w:hint="eastAsia"/>
                <w:color w:val="000000"/>
                <w:szCs w:val="24"/>
              </w:rPr>
              <w:t>第</w:t>
            </w:r>
            <w:r w:rsidRPr="00092966">
              <w:rPr>
                <w:rFonts w:ascii="標楷體" w:eastAsia="標楷體" w:hAnsi="標楷體"/>
                <w:color w:val="000000"/>
                <w:szCs w:val="24"/>
              </w:rPr>
              <w:t>6</w:t>
            </w:r>
            <w:r w:rsidRPr="00092966">
              <w:rPr>
                <w:rFonts w:ascii="標楷體" w:eastAsia="標楷體" w:hAnsi="標楷體" w:hint="eastAsia"/>
                <w:color w:val="000000"/>
                <w:szCs w:val="24"/>
              </w:rPr>
              <w:t>會期第</w:t>
            </w:r>
            <w:r w:rsidRPr="00092966">
              <w:rPr>
                <w:rFonts w:ascii="標楷體" w:eastAsia="標楷體" w:hAnsi="標楷體"/>
                <w:color w:val="000000"/>
                <w:szCs w:val="24"/>
              </w:rPr>
              <w:t>12</w:t>
            </w:r>
            <w:r w:rsidRPr="00092966">
              <w:rPr>
                <w:rFonts w:ascii="標楷體" w:eastAsia="標楷體" w:hAnsi="標楷體" w:hint="eastAsia"/>
                <w:color w:val="000000"/>
                <w:szCs w:val="24"/>
              </w:rPr>
              <w:t>次全體委員會議（11</w:t>
            </w:r>
            <w:r w:rsidRPr="00092966">
              <w:rPr>
                <w:rFonts w:ascii="標楷體" w:eastAsia="標楷體" w:hAnsi="標楷體"/>
                <w:color w:val="000000"/>
                <w:szCs w:val="24"/>
              </w:rPr>
              <w:t>1</w:t>
            </w:r>
            <w:r w:rsidRPr="00092966">
              <w:rPr>
                <w:rFonts w:ascii="標楷體" w:eastAsia="標楷體" w:hAnsi="標楷體" w:hint="eastAsia"/>
                <w:color w:val="000000"/>
                <w:szCs w:val="24"/>
              </w:rPr>
              <w:t>.1</w:t>
            </w:r>
            <w:r w:rsidRPr="00092966">
              <w:rPr>
                <w:rFonts w:ascii="標楷體" w:eastAsia="標楷體" w:hAnsi="標楷體"/>
                <w:color w:val="000000"/>
                <w:szCs w:val="24"/>
              </w:rPr>
              <w:t>1</w:t>
            </w:r>
            <w:r w:rsidRPr="00092966">
              <w:rPr>
                <w:rFonts w:ascii="標楷體" w:eastAsia="標楷體" w:hAnsi="標楷體" w:hint="eastAsia"/>
                <w:color w:val="000000"/>
                <w:szCs w:val="24"/>
              </w:rPr>
              <w:t>.</w:t>
            </w:r>
            <w:r w:rsidRPr="00092966">
              <w:rPr>
                <w:rFonts w:ascii="標楷體" w:eastAsia="標楷體" w:hAnsi="標楷體"/>
                <w:color w:val="000000"/>
                <w:szCs w:val="24"/>
              </w:rPr>
              <w:t>30</w:t>
            </w:r>
            <w:r w:rsidRPr="00092966">
              <w:rPr>
                <w:rFonts w:ascii="標楷體" w:eastAsia="標楷體" w:hAnsi="標楷體" w:hint="eastAsia"/>
                <w:color w:val="000000"/>
                <w:szCs w:val="24"/>
              </w:rPr>
              <w:t>）決議：報告及詢答完畢，另定期繼續審查。</w:t>
            </w:r>
          </w:p>
          <w:p w:rsidR="00855ADB" w:rsidRPr="00092966" w:rsidRDefault="00855ADB" w:rsidP="00855ADB">
            <w:pPr>
              <w:adjustRightInd w:val="0"/>
              <w:snapToGrid w:val="0"/>
              <w:spacing w:line="240" w:lineRule="atLeast"/>
              <w:ind w:left="240" w:hangingChars="100" w:hanging="240"/>
              <w:jc w:val="both"/>
              <w:rPr>
                <w:rFonts w:ascii="標楷體" w:eastAsia="標楷體" w:hAnsi="標楷體"/>
                <w:color w:val="000000"/>
                <w:szCs w:val="24"/>
              </w:rPr>
            </w:pPr>
            <w:r w:rsidRPr="00092966">
              <w:rPr>
                <w:rFonts w:ascii="標楷體" w:eastAsia="標楷體" w:hAnsi="標楷體" w:hint="eastAsia"/>
                <w:color w:val="000000"/>
                <w:szCs w:val="24"/>
              </w:rPr>
              <w:t>2.第6會期第</w:t>
            </w:r>
            <w:r w:rsidRPr="00092966">
              <w:rPr>
                <w:rFonts w:ascii="標楷體" w:eastAsia="標楷體" w:hAnsi="標楷體"/>
                <w:color w:val="000000"/>
                <w:szCs w:val="24"/>
              </w:rPr>
              <w:t>14</w:t>
            </w:r>
            <w:r w:rsidRPr="00092966">
              <w:rPr>
                <w:rFonts w:ascii="標楷體" w:eastAsia="標楷體" w:hAnsi="標楷體" w:hint="eastAsia"/>
                <w:color w:val="000000"/>
                <w:szCs w:val="24"/>
              </w:rPr>
              <w:t>次全體委員會議（111.1</w:t>
            </w:r>
            <w:r w:rsidRPr="00092966">
              <w:rPr>
                <w:rFonts w:ascii="標楷體" w:eastAsia="標楷體" w:hAnsi="標楷體"/>
                <w:color w:val="000000"/>
                <w:szCs w:val="24"/>
              </w:rPr>
              <w:t>2</w:t>
            </w:r>
            <w:r w:rsidRPr="00092966">
              <w:rPr>
                <w:rFonts w:ascii="標楷體" w:eastAsia="標楷體" w:hAnsi="標楷體" w:hint="eastAsia"/>
                <w:color w:val="000000"/>
                <w:szCs w:val="24"/>
              </w:rPr>
              <w:t>.</w:t>
            </w:r>
            <w:r w:rsidRPr="00092966">
              <w:rPr>
                <w:rFonts w:ascii="標楷體" w:eastAsia="標楷體" w:hAnsi="標楷體"/>
                <w:color w:val="000000"/>
                <w:szCs w:val="24"/>
              </w:rPr>
              <w:t>14</w:t>
            </w:r>
            <w:r w:rsidRPr="00092966">
              <w:rPr>
                <w:rFonts w:ascii="標楷體" w:eastAsia="標楷體" w:hAnsi="標楷體" w:hint="eastAsia"/>
                <w:color w:val="000000"/>
                <w:szCs w:val="24"/>
              </w:rPr>
              <w:t>）決議：審查完竣。</w:t>
            </w:r>
          </w:p>
          <w:p w:rsidR="00855ADB" w:rsidRPr="00092966" w:rsidRDefault="00855ADB" w:rsidP="00092966">
            <w:pPr>
              <w:adjustRightInd w:val="0"/>
              <w:snapToGrid w:val="0"/>
              <w:spacing w:line="240" w:lineRule="atLeast"/>
              <w:rPr>
                <w:rFonts w:ascii="標楷體" w:eastAsia="標楷體" w:hAnsi="標楷體"/>
                <w:color w:val="000000"/>
              </w:rPr>
            </w:pPr>
          </w:p>
          <w:p w:rsidR="00855ADB" w:rsidRPr="00092966" w:rsidRDefault="00855ADB" w:rsidP="00092966">
            <w:pPr>
              <w:adjustRightInd w:val="0"/>
              <w:snapToGrid w:val="0"/>
              <w:spacing w:line="240" w:lineRule="atLeast"/>
              <w:jc w:val="both"/>
              <w:rPr>
                <w:rFonts w:ascii="標楷體" w:eastAsia="標楷體" w:hAnsi="標楷體"/>
                <w:color w:val="000000"/>
                <w:spacing w:val="-10"/>
                <w:sz w:val="28"/>
                <w:szCs w:val="22"/>
                <w:u w:val="single"/>
              </w:rPr>
            </w:pPr>
            <w:r w:rsidRPr="00092966">
              <w:rPr>
                <w:rFonts w:ascii="標楷體" w:eastAsia="標楷體" w:hAnsi="標楷體" w:hint="eastAsia"/>
                <w:color w:val="000000"/>
                <w:spacing w:val="-10"/>
                <w:sz w:val="28"/>
                <w:szCs w:val="22"/>
                <w:u w:val="single"/>
              </w:rPr>
              <w:t>國家科學及技術委員會</w:t>
            </w:r>
          </w:p>
          <w:p w:rsidR="00855ADB" w:rsidRPr="00092966" w:rsidRDefault="00855ADB" w:rsidP="00855ADB">
            <w:pPr>
              <w:adjustRightInd w:val="0"/>
              <w:snapToGrid w:val="0"/>
              <w:spacing w:line="240" w:lineRule="atLeast"/>
              <w:ind w:left="240" w:hangingChars="100" w:hanging="240"/>
              <w:jc w:val="both"/>
              <w:rPr>
                <w:rFonts w:ascii="標楷體" w:eastAsia="標楷體" w:hAnsi="標楷體"/>
                <w:color w:val="000000"/>
                <w:szCs w:val="24"/>
              </w:rPr>
            </w:pPr>
            <w:r w:rsidRPr="00092966">
              <w:rPr>
                <w:rFonts w:ascii="標楷體" w:eastAsia="標楷體" w:hAnsi="標楷體" w:hint="eastAsia"/>
                <w:color w:val="000000"/>
                <w:szCs w:val="24"/>
              </w:rPr>
              <w:t>1.第6會期第7次全體委員會議（111.1</w:t>
            </w:r>
            <w:r w:rsidRPr="00092966">
              <w:rPr>
                <w:rFonts w:ascii="標楷體" w:eastAsia="標楷體" w:hAnsi="標楷體"/>
                <w:color w:val="000000"/>
                <w:szCs w:val="24"/>
              </w:rPr>
              <w:t>1</w:t>
            </w:r>
            <w:r w:rsidRPr="00092966">
              <w:rPr>
                <w:rFonts w:ascii="標楷體" w:eastAsia="標楷體" w:hAnsi="標楷體" w:hint="eastAsia"/>
                <w:color w:val="000000"/>
                <w:szCs w:val="24"/>
              </w:rPr>
              <w:t>.</w:t>
            </w:r>
            <w:r w:rsidRPr="00092966">
              <w:rPr>
                <w:rFonts w:ascii="標楷體" w:eastAsia="標楷體" w:hAnsi="標楷體"/>
                <w:color w:val="000000"/>
                <w:szCs w:val="24"/>
              </w:rPr>
              <w:t>9</w:t>
            </w:r>
            <w:r w:rsidRPr="00092966">
              <w:rPr>
                <w:rFonts w:ascii="標楷體" w:eastAsia="標楷體" w:hAnsi="標楷體" w:hint="eastAsia"/>
                <w:color w:val="000000"/>
                <w:szCs w:val="24"/>
              </w:rPr>
              <w:t>）決議：報告及詢答完畢，另定期繼續審查。</w:t>
            </w:r>
          </w:p>
          <w:p w:rsidR="00855ADB" w:rsidRDefault="00855ADB" w:rsidP="00855ADB">
            <w:pPr>
              <w:adjustRightInd w:val="0"/>
              <w:snapToGrid w:val="0"/>
              <w:spacing w:line="240" w:lineRule="atLeast"/>
              <w:ind w:left="240" w:hangingChars="100" w:hanging="240"/>
              <w:jc w:val="both"/>
              <w:rPr>
                <w:rFonts w:ascii="標楷體" w:eastAsia="標楷體" w:hAnsi="標楷體"/>
                <w:color w:val="000000"/>
                <w:szCs w:val="24"/>
              </w:rPr>
            </w:pPr>
            <w:r w:rsidRPr="00092966">
              <w:rPr>
                <w:rFonts w:ascii="標楷體" w:eastAsia="標楷體" w:hAnsi="標楷體" w:hint="eastAsia"/>
                <w:color w:val="000000"/>
                <w:szCs w:val="24"/>
              </w:rPr>
              <w:t>2</w:t>
            </w:r>
            <w:r w:rsidRPr="00092966">
              <w:rPr>
                <w:rFonts w:ascii="標楷體" w:eastAsia="標楷體" w:hAnsi="標楷體"/>
                <w:color w:val="000000"/>
                <w:szCs w:val="24"/>
              </w:rPr>
              <w:t>.</w:t>
            </w:r>
            <w:r w:rsidRPr="00092966">
              <w:rPr>
                <w:rFonts w:ascii="標楷體" w:eastAsia="標楷體" w:hAnsi="標楷體" w:hint="eastAsia"/>
                <w:color w:val="000000"/>
                <w:szCs w:val="24"/>
              </w:rPr>
              <w:t>第6會期第</w:t>
            </w:r>
            <w:r w:rsidRPr="00092966">
              <w:rPr>
                <w:rFonts w:ascii="標楷體" w:eastAsia="標楷體" w:hAnsi="標楷體"/>
                <w:color w:val="000000"/>
                <w:szCs w:val="24"/>
              </w:rPr>
              <w:t>13</w:t>
            </w:r>
            <w:r w:rsidRPr="00092966">
              <w:rPr>
                <w:rFonts w:ascii="標楷體" w:eastAsia="標楷體" w:hAnsi="標楷體" w:hint="eastAsia"/>
                <w:color w:val="000000"/>
                <w:szCs w:val="24"/>
              </w:rPr>
              <w:t>次全體委員會議（111.1</w:t>
            </w:r>
            <w:r w:rsidRPr="00092966">
              <w:rPr>
                <w:rFonts w:ascii="標楷體" w:eastAsia="標楷體" w:hAnsi="標楷體"/>
                <w:color w:val="000000"/>
                <w:szCs w:val="24"/>
              </w:rPr>
              <w:t>2</w:t>
            </w:r>
            <w:r w:rsidRPr="00092966">
              <w:rPr>
                <w:rFonts w:ascii="標楷體" w:eastAsia="標楷體" w:hAnsi="標楷體" w:hint="eastAsia"/>
                <w:color w:val="000000"/>
                <w:szCs w:val="24"/>
              </w:rPr>
              <w:t>.</w:t>
            </w:r>
            <w:r w:rsidRPr="00092966">
              <w:rPr>
                <w:rFonts w:ascii="標楷體" w:eastAsia="標楷體" w:hAnsi="標楷體"/>
                <w:color w:val="000000"/>
                <w:szCs w:val="24"/>
              </w:rPr>
              <w:t>8</w:t>
            </w:r>
            <w:r w:rsidRPr="00092966">
              <w:rPr>
                <w:rFonts w:ascii="標楷體" w:eastAsia="標楷體" w:hAnsi="標楷體" w:hint="eastAsia"/>
                <w:color w:val="000000"/>
                <w:szCs w:val="24"/>
              </w:rPr>
              <w:t>）決議：審查完竣。</w:t>
            </w:r>
          </w:p>
          <w:p w:rsidR="00855ADB" w:rsidRPr="00092966" w:rsidRDefault="00855ADB" w:rsidP="00855ADB">
            <w:pPr>
              <w:adjustRightInd w:val="0"/>
              <w:snapToGrid w:val="0"/>
              <w:spacing w:line="240" w:lineRule="atLeast"/>
              <w:ind w:left="240" w:hangingChars="100" w:hanging="240"/>
              <w:jc w:val="both"/>
              <w:rPr>
                <w:rFonts w:ascii="標楷體" w:eastAsia="標楷體" w:hAnsi="標楷體"/>
                <w:color w:val="000000"/>
                <w:szCs w:val="24"/>
              </w:rPr>
            </w:pPr>
          </w:p>
          <w:p w:rsidR="00855ADB" w:rsidRPr="00092966" w:rsidRDefault="00855ADB" w:rsidP="00092966">
            <w:pPr>
              <w:adjustRightInd w:val="0"/>
              <w:snapToGrid w:val="0"/>
              <w:spacing w:line="240" w:lineRule="atLeast"/>
              <w:jc w:val="both"/>
              <w:rPr>
                <w:rFonts w:ascii="標楷體" w:eastAsia="標楷體" w:hAnsi="標楷體"/>
                <w:color w:val="000000"/>
                <w:sz w:val="28"/>
                <w:szCs w:val="22"/>
              </w:rPr>
            </w:pPr>
            <w:r w:rsidRPr="00092966">
              <w:rPr>
                <w:rFonts w:ascii="標楷體" w:eastAsia="標楷體" w:hAnsi="標楷體" w:hint="eastAsia"/>
                <w:color w:val="000000"/>
                <w:sz w:val="28"/>
                <w:szCs w:val="22"/>
                <w:u w:val="single"/>
              </w:rPr>
              <w:t>文化部</w:t>
            </w:r>
          </w:p>
          <w:p w:rsidR="00855ADB" w:rsidRPr="00092966" w:rsidRDefault="00855ADB" w:rsidP="00855ADB">
            <w:pPr>
              <w:adjustRightInd w:val="0"/>
              <w:snapToGrid w:val="0"/>
              <w:spacing w:line="240" w:lineRule="atLeast"/>
              <w:ind w:left="240" w:hangingChars="100" w:hanging="240"/>
              <w:jc w:val="both"/>
              <w:rPr>
                <w:rFonts w:ascii="標楷體" w:eastAsia="標楷體" w:hAnsi="標楷體"/>
                <w:color w:val="000000"/>
              </w:rPr>
            </w:pPr>
            <w:r>
              <w:rPr>
                <w:rFonts w:ascii="標楷體" w:eastAsia="標楷體" w:hAnsi="標楷體" w:hint="eastAsia"/>
                <w:color w:val="000000"/>
              </w:rPr>
              <w:t>1.</w:t>
            </w:r>
            <w:r w:rsidRPr="00092966">
              <w:rPr>
                <w:rFonts w:ascii="標楷體" w:eastAsia="標楷體" w:hAnsi="標楷體" w:hint="eastAsia"/>
                <w:color w:val="000000"/>
              </w:rPr>
              <w:t>第6會期第7次全體委員會議（</w:t>
            </w:r>
            <w:r w:rsidRPr="00092966">
              <w:rPr>
                <w:rFonts w:ascii="標楷體" w:eastAsia="標楷體" w:hAnsi="標楷體" w:hint="eastAsia"/>
                <w:color w:val="000000"/>
                <w:szCs w:val="24"/>
              </w:rPr>
              <w:t>111</w:t>
            </w:r>
            <w:r w:rsidRPr="00092966">
              <w:rPr>
                <w:rFonts w:ascii="標楷體" w:eastAsia="標楷體" w:hAnsi="標楷體" w:hint="eastAsia"/>
                <w:color w:val="000000"/>
              </w:rPr>
              <w:t>.11.</w:t>
            </w:r>
            <w:r w:rsidRPr="00092966">
              <w:rPr>
                <w:rFonts w:ascii="標楷體" w:eastAsia="標楷體" w:hAnsi="標楷體"/>
                <w:color w:val="000000"/>
              </w:rPr>
              <w:t>10</w:t>
            </w:r>
            <w:r w:rsidRPr="00092966">
              <w:rPr>
                <w:rFonts w:ascii="標楷體" w:eastAsia="標楷體" w:hAnsi="標楷體" w:hint="eastAsia"/>
                <w:color w:val="000000"/>
              </w:rPr>
              <w:t>）決議：報告及詢答完畢，另定期繼續審查。</w:t>
            </w:r>
          </w:p>
          <w:p w:rsidR="00855ADB" w:rsidRPr="00092966" w:rsidRDefault="00855ADB" w:rsidP="00855ADB">
            <w:pPr>
              <w:adjustRightInd w:val="0"/>
              <w:snapToGrid w:val="0"/>
              <w:spacing w:line="240" w:lineRule="atLeast"/>
              <w:ind w:left="240" w:hangingChars="100" w:hanging="240"/>
              <w:jc w:val="both"/>
              <w:rPr>
                <w:rFonts w:ascii="標楷體" w:eastAsia="標楷體" w:hAnsi="標楷體"/>
                <w:color w:val="000000"/>
              </w:rPr>
            </w:pPr>
            <w:r>
              <w:rPr>
                <w:rFonts w:ascii="標楷體" w:eastAsia="標楷體" w:hAnsi="標楷體" w:hint="eastAsia"/>
                <w:color w:val="000000"/>
              </w:rPr>
              <w:t>2.</w:t>
            </w:r>
            <w:r w:rsidRPr="00092966">
              <w:rPr>
                <w:rFonts w:ascii="標楷體" w:eastAsia="標楷體" w:hAnsi="標楷體" w:hint="eastAsia"/>
                <w:color w:val="000000"/>
              </w:rPr>
              <w:t>第6會期第1</w:t>
            </w:r>
            <w:r w:rsidRPr="00092966">
              <w:rPr>
                <w:rFonts w:ascii="標楷體" w:eastAsia="標楷體" w:hAnsi="標楷體"/>
                <w:color w:val="000000"/>
              </w:rPr>
              <w:t>5</w:t>
            </w:r>
            <w:r w:rsidRPr="00092966">
              <w:rPr>
                <w:rFonts w:ascii="標楷體" w:eastAsia="標楷體" w:hAnsi="標楷體" w:hint="eastAsia"/>
                <w:color w:val="000000"/>
              </w:rPr>
              <w:t>次全體委員會議（111.12.</w:t>
            </w:r>
            <w:r w:rsidRPr="00092966">
              <w:rPr>
                <w:rFonts w:ascii="標楷體" w:eastAsia="標楷體" w:hAnsi="標楷體"/>
                <w:color w:val="000000"/>
              </w:rPr>
              <w:t>21</w:t>
            </w:r>
            <w:r w:rsidRPr="00092966">
              <w:rPr>
                <w:rFonts w:ascii="標楷體" w:eastAsia="標楷體" w:hAnsi="標楷體" w:hint="eastAsia"/>
                <w:color w:val="000000"/>
              </w:rPr>
              <w:t>）決</w:t>
            </w:r>
            <w:r w:rsidRPr="00092966">
              <w:rPr>
                <w:rFonts w:ascii="標楷體" w:eastAsia="標楷體" w:hAnsi="標楷體" w:hint="eastAsia"/>
                <w:color w:val="000000"/>
              </w:rPr>
              <w:lastRenderedPageBreak/>
              <w:t>議：審查完竣。</w:t>
            </w:r>
          </w:p>
        </w:tc>
        <w:tc>
          <w:tcPr>
            <w:tcW w:w="986" w:type="pct"/>
            <w:tcBorders>
              <w:top w:val="single" w:sz="4" w:space="0" w:color="auto"/>
              <w:left w:val="single" w:sz="4" w:space="0" w:color="auto"/>
              <w:bottom w:val="single" w:sz="4" w:space="0" w:color="auto"/>
              <w:right w:val="single" w:sz="4" w:space="0" w:color="auto"/>
            </w:tcBorders>
          </w:tcPr>
          <w:p w:rsidR="00967C3E" w:rsidRPr="00C17444" w:rsidRDefault="00967C3E" w:rsidP="00967C3E">
            <w:pPr>
              <w:spacing w:line="400" w:lineRule="exact"/>
              <w:ind w:leftChars="-12" w:left="-29"/>
              <w:jc w:val="both"/>
              <w:rPr>
                <w:rFonts w:ascii="標楷體" w:eastAsia="標楷體" w:hAnsi="標楷體"/>
                <w:sz w:val="28"/>
              </w:rPr>
            </w:pPr>
            <w:r w:rsidRPr="00C17444">
              <w:rPr>
                <w:rFonts w:ascii="標楷體" w:eastAsia="標楷體" w:hAnsi="標楷體" w:hint="eastAsia"/>
                <w:sz w:val="28"/>
              </w:rPr>
              <w:lastRenderedPageBreak/>
              <w:t>10-6-</w:t>
            </w:r>
            <w:r>
              <w:rPr>
                <w:rFonts w:ascii="標楷體" w:eastAsia="標楷體" w:hAnsi="標楷體" w:hint="eastAsia"/>
                <w:sz w:val="28"/>
              </w:rPr>
              <w:t>16</w:t>
            </w:r>
          </w:p>
          <w:p w:rsidR="00967C3E" w:rsidRPr="00C17444" w:rsidRDefault="00967C3E" w:rsidP="00967C3E">
            <w:pPr>
              <w:spacing w:line="400" w:lineRule="exact"/>
              <w:ind w:leftChars="-12" w:left="-29"/>
              <w:rPr>
                <w:rFonts w:ascii="標楷體" w:eastAsia="標楷體" w:hAnsi="標楷體"/>
                <w:sz w:val="28"/>
              </w:rPr>
            </w:pPr>
            <w:r w:rsidRPr="00C17444">
              <w:rPr>
                <w:rFonts w:ascii="標楷體" w:eastAsia="標楷體" w:hAnsi="標楷體" w:hint="eastAsia"/>
                <w:sz w:val="28"/>
              </w:rPr>
              <w:t>(11</w:t>
            </w:r>
            <w:r>
              <w:rPr>
                <w:rFonts w:ascii="標楷體" w:eastAsia="標楷體" w:hAnsi="標楷體" w:hint="eastAsia"/>
                <w:sz w:val="28"/>
              </w:rPr>
              <w:t>2</w:t>
            </w:r>
            <w:r w:rsidRPr="00C17444">
              <w:rPr>
                <w:rFonts w:ascii="標楷體" w:eastAsia="標楷體" w:hAnsi="標楷體" w:hint="eastAsia"/>
                <w:sz w:val="28"/>
              </w:rPr>
              <w:t>.1.</w:t>
            </w:r>
            <w:r>
              <w:rPr>
                <w:rFonts w:ascii="標楷體" w:eastAsia="標楷體" w:hAnsi="標楷體" w:hint="eastAsia"/>
                <w:sz w:val="28"/>
              </w:rPr>
              <w:t>19</w:t>
            </w:r>
            <w:r w:rsidRPr="00C17444">
              <w:rPr>
                <w:rFonts w:ascii="標楷體" w:eastAsia="標楷體" w:hAnsi="標楷體" w:hint="eastAsia"/>
                <w:sz w:val="28"/>
              </w:rPr>
              <w:t>)</w:t>
            </w:r>
          </w:p>
          <w:p w:rsidR="00855ADB" w:rsidRPr="00092966" w:rsidRDefault="00855ADB" w:rsidP="00092966">
            <w:pPr>
              <w:adjustRightInd w:val="0"/>
              <w:snapToGrid w:val="0"/>
              <w:spacing w:line="240" w:lineRule="atLeast"/>
              <w:rPr>
                <w:rFonts w:ascii="標楷體" w:eastAsia="標楷體" w:hAnsi="標楷體"/>
                <w:color w:val="000000"/>
                <w:sz w:val="28"/>
                <w:szCs w:val="22"/>
                <w:u w:val="single"/>
              </w:rPr>
            </w:pPr>
          </w:p>
        </w:tc>
      </w:tr>
    </w:tbl>
    <w:p w:rsidR="00855ADB" w:rsidRPr="00042711" w:rsidRDefault="00855ADB" w:rsidP="00C17444">
      <w:pPr>
        <w:pStyle w:val="01-3"/>
      </w:pPr>
      <w:bookmarkStart w:id="77" w:name="_Toc95137406"/>
      <w:bookmarkStart w:id="78" w:name="_Toc126068122"/>
      <w:r w:rsidRPr="00042711">
        <w:rPr>
          <w:rFonts w:hint="eastAsia"/>
        </w:rPr>
        <w:lastRenderedPageBreak/>
        <w:t>(</w:t>
      </w:r>
      <w:r>
        <w:rPr>
          <w:rFonts w:hint="eastAsia"/>
        </w:rPr>
        <w:t>二</w:t>
      </w:r>
      <w:r w:rsidRPr="00042711">
        <w:rPr>
          <w:rFonts w:hint="eastAsia"/>
        </w:rPr>
        <w:t>)</w:t>
      </w:r>
      <w:r>
        <w:rPr>
          <w:rFonts w:hint="eastAsia"/>
        </w:rPr>
        <w:t xml:space="preserve">行政法人預算案 </w:t>
      </w:r>
      <w:r w:rsidRPr="00042711">
        <w:rPr>
          <w:rFonts w:hint="eastAsia"/>
        </w:rPr>
        <w:t>(</w:t>
      </w:r>
      <w:r>
        <w:rPr>
          <w:rFonts w:hint="eastAsia"/>
        </w:rPr>
        <w:t>3</w:t>
      </w:r>
      <w:r w:rsidRPr="00042711">
        <w:rPr>
          <w:rFonts w:hint="eastAsia"/>
        </w:rPr>
        <w:t>案)</w:t>
      </w:r>
      <w:bookmarkEnd w:id="77"/>
      <w:bookmarkEnd w:id="78"/>
    </w:p>
    <w:tbl>
      <w:tblPr>
        <w:tblW w:w="5299" w:type="pct"/>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700"/>
        <w:gridCol w:w="3402"/>
        <w:gridCol w:w="1596"/>
        <w:gridCol w:w="2737"/>
        <w:gridCol w:w="1770"/>
      </w:tblGrid>
      <w:tr w:rsidR="00855ADB" w:rsidRPr="00042711" w:rsidTr="005534EB">
        <w:trPr>
          <w:trHeight w:val="700"/>
        </w:trPr>
        <w:tc>
          <w:tcPr>
            <w:tcW w:w="700" w:type="dxa"/>
            <w:tcBorders>
              <w:top w:val="single" w:sz="4" w:space="0" w:color="auto"/>
              <w:left w:val="single" w:sz="4" w:space="0" w:color="auto"/>
              <w:bottom w:val="single" w:sz="4" w:space="0" w:color="auto"/>
              <w:right w:val="single" w:sz="4" w:space="0" w:color="auto"/>
            </w:tcBorders>
            <w:vAlign w:val="center"/>
            <w:hideMark/>
          </w:tcPr>
          <w:p w:rsidR="00855ADB" w:rsidRPr="00042711" w:rsidRDefault="00855ADB" w:rsidP="005534EB">
            <w:pPr>
              <w:spacing w:line="400" w:lineRule="exact"/>
              <w:rPr>
                <w:rFonts w:ascii="標楷體" w:eastAsia="標楷體" w:hAnsi="標楷體"/>
                <w:b/>
                <w:bCs/>
                <w:spacing w:val="-24"/>
                <w:sz w:val="28"/>
                <w:szCs w:val="28"/>
              </w:rPr>
            </w:pPr>
            <w:r w:rsidRPr="00042711">
              <w:rPr>
                <w:rFonts w:ascii="標楷體" w:eastAsia="標楷體" w:hAnsi="標楷體" w:hint="eastAsia"/>
                <w:b/>
                <w:bCs/>
                <w:spacing w:val="-24"/>
                <w:sz w:val="28"/>
                <w:szCs w:val="28"/>
              </w:rPr>
              <w:t>序號</w:t>
            </w:r>
          </w:p>
        </w:tc>
        <w:tc>
          <w:tcPr>
            <w:tcW w:w="3402" w:type="dxa"/>
            <w:tcBorders>
              <w:top w:val="single" w:sz="4" w:space="0" w:color="auto"/>
              <w:left w:val="single" w:sz="4" w:space="0" w:color="auto"/>
              <w:bottom w:val="single" w:sz="4" w:space="0" w:color="auto"/>
              <w:right w:val="single" w:sz="4" w:space="0" w:color="auto"/>
            </w:tcBorders>
            <w:vAlign w:val="center"/>
            <w:hideMark/>
          </w:tcPr>
          <w:p w:rsidR="00855ADB" w:rsidRPr="00042711" w:rsidRDefault="00855ADB" w:rsidP="005534EB">
            <w:pPr>
              <w:spacing w:line="400" w:lineRule="exact"/>
              <w:jc w:val="center"/>
              <w:rPr>
                <w:rFonts w:ascii="標楷體" w:eastAsia="標楷體" w:hAnsi="標楷體"/>
                <w:b/>
                <w:bCs/>
                <w:sz w:val="28"/>
              </w:rPr>
            </w:pPr>
            <w:r w:rsidRPr="00042711">
              <w:rPr>
                <w:rFonts w:ascii="標楷體" w:eastAsia="標楷體" w:hAnsi="標楷體" w:hint="eastAsia"/>
                <w:b/>
                <w:bCs/>
                <w:sz w:val="28"/>
              </w:rPr>
              <w:t>案由</w:t>
            </w:r>
          </w:p>
        </w:tc>
        <w:tc>
          <w:tcPr>
            <w:tcW w:w="1596" w:type="dxa"/>
            <w:tcBorders>
              <w:top w:val="single" w:sz="4" w:space="0" w:color="auto"/>
              <w:left w:val="single" w:sz="4" w:space="0" w:color="auto"/>
              <w:bottom w:val="single" w:sz="4" w:space="0" w:color="auto"/>
              <w:right w:val="single" w:sz="4" w:space="0" w:color="auto"/>
            </w:tcBorders>
            <w:vAlign w:val="center"/>
            <w:hideMark/>
          </w:tcPr>
          <w:p w:rsidR="00855ADB" w:rsidRPr="00042711" w:rsidRDefault="00855ADB" w:rsidP="005534EB">
            <w:pPr>
              <w:spacing w:line="400" w:lineRule="exact"/>
              <w:ind w:rightChars="26" w:right="62"/>
              <w:jc w:val="center"/>
              <w:rPr>
                <w:rFonts w:ascii="標楷體" w:eastAsia="標楷體" w:hAnsi="標楷體"/>
                <w:b/>
                <w:bCs/>
                <w:spacing w:val="-20"/>
                <w:sz w:val="28"/>
              </w:rPr>
            </w:pPr>
            <w:r w:rsidRPr="00042711">
              <w:rPr>
                <w:rFonts w:ascii="標楷體" w:eastAsia="標楷體" w:hAnsi="標楷體" w:hint="eastAsia"/>
                <w:b/>
                <w:bCs/>
                <w:spacing w:val="-20"/>
                <w:sz w:val="28"/>
              </w:rPr>
              <w:t>院會交付</w:t>
            </w:r>
          </w:p>
          <w:p w:rsidR="00855ADB" w:rsidRPr="00042711" w:rsidRDefault="00855ADB" w:rsidP="005534EB">
            <w:pPr>
              <w:spacing w:line="400" w:lineRule="exact"/>
              <w:ind w:rightChars="26" w:right="62"/>
              <w:jc w:val="center"/>
              <w:rPr>
                <w:rFonts w:ascii="標楷體" w:eastAsia="標楷體" w:hAnsi="標楷體"/>
                <w:b/>
                <w:bCs/>
                <w:sz w:val="28"/>
              </w:rPr>
            </w:pPr>
            <w:r w:rsidRPr="00042711">
              <w:rPr>
                <w:rFonts w:ascii="標楷體" w:eastAsia="標楷體" w:hAnsi="標楷體" w:hint="eastAsia"/>
                <w:b/>
                <w:bCs/>
                <w:spacing w:val="-20"/>
                <w:sz w:val="28"/>
              </w:rPr>
              <w:t>會次及日期</w:t>
            </w:r>
          </w:p>
        </w:tc>
        <w:tc>
          <w:tcPr>
            <w:tcW w:w="2737" w:type="dxa"/>
            <w:tcBorders>
              <w:top w:val="single" w:sz="4" w:space="0" w:color="auto"/>
              <w:left w:val="single" w:sz="4" w:space="0" w:color="auto"/>
              <w:bottom w:val="single" w:sz="4" w:space="0" w:color="auto"/>
              <w:right w:val="single" w:sz="4" w:space="0" w:color="auto"/>
            </w:tcBorders>
            <w:vAlign w:val="center"/>
            <w:hideMark/>
          </w:tcPr>
          <w:p w:rsidR="00855ADB" w:rsidRPr="00042711" w:rsidRDefault="00855ADB" w:rsidP="005534EB">
            <w:pPr>
              <w:spacing w:line="400" w:lineRule="exact"/>
              <w:ind w:leftChars="27" w:left="65" w:rightChars="104" w:right="250"/>
              <w:jc w:val="center"/>
              <w:rPr>
                <w:rFonts w:ascii="標楷體" w:eastAsia="標楷體" w:hAnsi="標楷體"/>
                <w:b/>
                <w:bCs/>
                <w:sz w:val="28"/>
              </w:rPr>
            </w:pPr>
            <w:r w:rsidRPr="00042711">
              <w:rPr>
                <w:rFonts w:ascii="標楷體" w:eastAsia="標楷體" w:hAnsi="標楷體" w:hint="eastAsia"/>
                <w:b/>
                <w:bCs/>
                <w:sz w:val="28"/>
              </w:rPr>
              <w:t>委員會審查</w:t>
            </w:r>
          </w:p>
          <w:p w:rsidR="00855ADB" w:rsidRPr="00042711" w:rsidRDefault="00855ADB" w:rsidP="005534EB">
            <w:pPr>
              <w:spacing w:line="400" w:lineRule="exact"/>
              <w:ind w:leftChars="27" w:left="65" w:rightChars="104" w:right="250"/>
              <w:jc w:val="center"/>
              <w:rPr>
                <w:rFonts w:ascii="標楷體" w:eastAsia="標楷體" w:hAnsi="標楷體"/>
                <w:b/>
                <w:bCs/>
                <w:sz w:val="28"/>
              </w:rPr>
            </w:pPr>
            <w:r w:rsidRPr="00042711">
              <w:rPr>
                <w:rFonts w:ascii="標楷體" w:eastAsia="標楷體" w:hAnsi="標楷體" w:hint="eastAsia"/>
                <w:b/>
                <w:bCs/>
                <w:sz w:val="28"/>
              </w:rPr>
              <w:t>會次及日期</w:t>
            </w:r>
          </w:p>
        </w:tc>
        <w:tc>
          <w:tcPr>
            <w:tcW w:w="1770" w:type="dxa"/>
            <w:tcBorders>
              <w:top w:val="single" w:sz="4" w:space="0" w:color="auto"/>
              <w:left w:val="single" w:sz="4" w:space="0" w:color="auto"/>
              <w:bottom w:val="single" w:sz="4" w:space="0" w:color="auto"/>
              <w:right w:val="single" w:sz="4" w:space="0" w:color="auto"/>
            </w:tcBorders>
            <w:vAlign w:val="center"/>
            <w:hideMark/>
          </w:tcPr>
          <w:p w:rsidR="00855ADB" w:rsidRPr="00042711" w:rsidRDefault="00855ADB" w:rsidP="005534EB">
            <w:pPr>
              <w:spacing w:line="400" w:lineRule="exact"/>
              <w:ind w:rightChars="26" w:right="62"/>
              <w:jc w:val="center"/>
              <w:rPr>
                <w:rFonts w:ascii="標楷體" w:eastAsia="標楷體" w:hAnsi="標楷體"/>
                <w:b/>
                <w:bCs/>
                <w:spacing w:val="-20"/>
                <w:sz w:val="28"/>
              </w:rPr>
            </w:pPr>
            <w:r w:rsidRPr="00042711">
              <w:rPr>
                <w:rFonts w:ascii="標楷體" w:eastAsia="標楷體" w:hAnsi="標楷體" w:hint="eastAsia"/>
                <w:b/>
                <w:bCs/>
                <w:spacing w:val="-20"/>
                <w:sz w:val="28"/>
              </w:rPr>
              <w:t>院會三讀通過</w:t>
            </w:r>
          </w:p>
          <w:p w:rsidR="00855ADB" w:rsidRPr="00042711" w:rsidRDefault="00855ADB" w:rsidP="005534EB">
            <w:pPr>
              <w:spacing w:line="400" w:lineRule="exact"/>
              <w:ind w:rightChars="26" w:right="62"/>
              <w:jc w:val="center"/>
              <w:rPr>
                <w:rFonts w:ascii="標楷體" w:eastAsia="標楷體" w:hAnsi="標楷體"/>
                <w:b/>
                <w:bCs/>
                <w:sz w:val="28"/>
              </w:rPr>
            </w:pPr>
            <w:r w:rsidRPr="00042711">
              <w:rPr>
                <w:rFonts w:ascii="標楷體" w:eastAsia="標楷體" w:hAnsi="標楷體" w:hint="eastAsia"/>
                <w:b/>
                <w:bCs/>
                <w:spacing w:val="-20"/>
                <w:sz w:val="28"/>
              </w:rPr>
              <w:t>會次及日期</w:t>
            </w:r>
          </w:p>
        </w:tc>
      </w:tr>
      <w:tr w:rsidR="00C17444" w:rsidRPr="00042711" w:rsidTr="005534EB">
        <w:trPr>
          <w:trHeight w:val="567"/>
        </w:trPr>
        <w:tc>
          <w:tcPr>
            <w:tcW w:w="700" w:type="dxa"/>
            <w:tcBorders>
              <w:top w:val="single" w:sz="4" w:space="0" w:color="auto"/>
              <w:left w:val="single" w:sz="4" w:space="0" w:color="auto"/>
              <w:bottom w:val="single" w:sz="4" w:space="0" w:color="auto"/>
              <w:right w:val="single" w:sz="4" w:space="0" w:color="auto"/>
            </w:tcBorders>
            <w:vAlign w:val="center"/>
          </w:tcPr>
          <w:p w:rsidR="00C17444" w:rsidRPr="00042711" w:rsidRDefault="00C17444" w:rsidP="006934DD">
            <w:pPr>
              <w:numPr>
                <w:ilvl w:val="0"/>
                <w:numId w:val="43"/>
              </w:numPr>
              <w:spacing w:line="400" w:lineRule="exact"/>
              <w:ind w:right="113"/>
              <w:jc w:val="center"/>
              <w:rPr>
                <w:rFonts w:ascii="標楷體" w:eastAsia="標楷體" w:hAnsi="標楷體"/>
                <w:sz w:val="32"/>
              </w:rPr>
            </w:pPr>
          </w:p>
        </w:tc>
        <w:tc>
          <w:tcPr>
            <w:tcW w:w="3402" w:type="dxa"/>
          </w:tcPr>
          <w:p w:rsidR="00C17444" w:rsidRPr="00C17444" w:rsidRDefault="00C17444" w:rsidP="00C17444">
            <w:pPr>
              <w:spacing w:line="400" w:lineRule="exact"/>
              <w:ind w:leftChars="-12" w:left="-29"/>
              <w:jc w:val="both"/>
            </w:pPr>
            <w:r w:rsidRPr="00C17444">
              <w:rPr>
                <w:rFonts w:ascii="標楷體" w:eastAsia="標楷體" w:hAnsi="標楷體" w:hint="eastAsia"/>
                <w:sz w:val="28"/>
              </w:rPr>
              <w:t>教育部函送國家運動訓練中心112年度預算書案。</w:t>
            </w:r>
          </w:p>
        </w:tc>
        <w:tc>
          <w:tcPr>
            <w:tcW w:w="1596" w:type="dxa"/>
          </w:tcPr>
          <w:p w:rsidR="00C17444" w:rsidRPr="00C17444" w:rsidRDefault="00C17444" w:rsidP="00C17444">
            <w:pPr>
              <w:spacing w:line="400" w:lineRule="exact"/>
              <w:ind w:leftChars="-12" w:left="-29"/>
              <w:jc w:val="both"/>
              <w:rPr>
                <w:rFonts w:ascii="標楷體" w:eastAsia="標楷體" w:hAnsi="標楷體"/>
                <w:sz w:val="28"/>
              </w:rPr>
            </w:pPr>
            <w:r w:rsidRPr="00C17444">
              <w:rPr>
                <w:rFonts w:ascii="標楷體" w:eastAsia="標楷體" w:hAnsi="標楷體"/>
                <w:sz w:val="28"/>
              </w:rPr>
              <w:t>10-6-3</w:t>
            </w:r>
          </w:p>
          <w:p w:rsidR="00C17444" w:rsidRPr="00C17444" w:rsidRDefault="00C17444" w:rsidP="00C17444">
            <w:pPr>
              <w:spacing w:line="400" w:lineRule="exact"/>
              <w:ind w:leftChars="-12" w:left="-29"/>
              <w:jc w:val="both"/>
              <w:rPr>
                <w:rFonts w:ascii="標楷體" w:eastAsia="標楷體" w:hAnsi="標楷體"/>
                <w:sz w:val="28"/>
                <w:szCs w:val="28"/>
              </w:rPr>
            </w:pPr>
            <w:r w:rsidRPr="00C17444">
              <w:rPr>
                <w:rFonts w:ascii="標楷體" w:eastAsia="標楷體" w:hAnsi="標楷體"/>
                <w:sz w:val="28"/>
              </w:rPr>
              <w:t>(111.10.7)</w:t>
            </w:r>
          </w:p>
        </w:tc>
        <w:tc>
          <w:tcPr>
            <w:tcW w:w="2737" w:type="dxa"/>
          </w:tcPr>
          <w:p w:rsidR="00C17444" w:rsidRPr="00C17444" w:rsidRDefault="00C17444" w:rsidP="00C17444">
            <w:pPr>
              <w:adjustRightInd w:val="0"/>
              <w:snapToGrid w:val="0"/>
              <w:spacing w:line="240" w:lineRule="atLeast"/>
              <w:ind w:left="240" w:hangingChars="100" w:hanging="240"/>
              <w:jc w:val="both"/>
              <w:rPr>
                <w:rFonts w:ascii="標楷體" w:eastAsia="標楷體" w:hAnsi="標楷體"/>
                <w:szCs w:val="24"/>
              </w:rPr>
            </w:pPr>
            <w:r w:rsidRPr="00C17444">
              <w:rPr>
                <w:rFonts w:ascii="標楷體" w:eastAsia="標楷體" w:hAnsi="標楷體" w:hint="eastAsia"/>
                <w:szCs w:val="24"/>
              </w:rPr>
              <w:t>1.第6會期第4次全體委員會議（111.10.20）決議：報告及詢答完畢，另定期繼續審查。</w:t>
            </w:r>
          </w:p>
          <w:p w:rsidR="00C17444" w:rsidRPr="00C17444" w:rsidRDefault="00C17444" w:rsidP="00C17444">
            <w:pPr>
              <w:adjustRightInd w:val="0"/>
              <w:snapToGrid w:val="0"/>
              <w:spacing w:line="240" w:lineRule="atLeast"/>
              <w:ind w:left="240" w:hangingChars="100" w:hanging="240"/>
              <w:jc w:val="both"/>
              <w:rPr>
                <w:rFonts w:ascii="標楷體" w:eastAsia="標楷體" w:hAnsi="標楷體"/>
                <w:sz w:val="28"/>
              </w:rPr>
            </w:pPr>
            <w:r w:rsidRPr="00C17444">
              <w:rPr>
                <w:rFonts w:ascii="標楷體" w:eastAsia="標楷體" w:hAnsi="標楷體" w:hint="eastAsia"/>
                <w:szCs w:val="24"/>
              </w:rPr>
              <w:t>2</w:t>
            </w:r>
            <w:r w:rsidRPr="00C17444">
              <w:rPr>
                <w:rFonts w:ascii="標楷體" w:eastAsia="標楷體" w:hAnsi="標楷體"/>
                <w:szCs w:val="24"/>
              </w:rPr>
              <w:t>.</w:t>
            </w:r>
            <w:r w:rsidRPr="00C17444">
              <w:rPr>
                <w:rFonts w:ascii="標楷體" w:eastAsia="標楷體" w:hAnsi="標楷體" w:hint="eastAsia"/>
                <w:szCs w:val="24"/>
              </w:rPr>
              <w:t>第6會期第6次全體委員會議（111.11.3）決議：審查完竣。</w:t>
            </w:r>
          </w:p>
        </w:tc>
        <w:tc>
          <w:tcPr>
            <w:tcW w:w="1770" w:type="dxa"/>
            <w:tcBorders>
              <w:top w:val="single" w:sz="4" w:space="0" w:color="auto"/>
              <w:left w:val="single" w:sz="4" w:space="0" w:color="auto"/>
              <w:bottom w:val="single" w:sz="4" w:space="0" w:color="auto"/>
              <w:right w:val="single" w:sz="4" w:space="0" w:color="auto"/>
            </w:tcBorders>
          </w:tcPr>
          <w:p w:rsidR="00C17444" w:rsidRPr="00C17444" w:rsidRDefault="00C17444" w:rsidP="00C17444">
            <w:pPr>
              <w:spacing w:line="400" w:lineRule="exact"/>
              <w:ind w:leftChars="-12" w:left="-29"/>
              <w:jc w:val="both"/>
              <w:rPr>
                <w:rFonts w:ascii="標楷體" w:eastAsia="標楷體" w:hAnsi="標楷體"/>
                <w:sz w:val="28"/>
              </w:rPr>
            </w:pPr>
            <w:r w:rsidRPr="00C17444">
              <w:rPr>
                <w:rFonts w:ascii="標楷體" w:eastAsia="標楷體" w:hAnsi="標楷體" w:hint="eastAsia"/>
                <w:sz w:val="28"/>
              </w:rPr>
              <w:t>10-6-</w:t>
            </w:r>
            <w:r w:rsidRPr="00C17444">
              <w:rPr>
                <w:rFonts w:ascii="標楷體" w:eastAsia="標楷體" w:hAnsi="標楷體"/>
                <w:sz w:val="28"/>
              </w:rPr>
              <w:t>9</w:t>
            </w:r>
          </w:p>
          <w:p w:rsidR="00C17444" w:rsidRPr="00C17444" w:rsidRDefault="00C17444" w:rsidP="00C17444">
            <w:pPr>
              <w:spacing w:line="400" w:lineRule="exact"/>
              <w:ind w:leftChars="-12" w:left="-29"/>
              <w:rPr>
                <w:rFonts w:ascii="標楷體" w:eastAsia="標楷體" w:hAnsi="標楷體"/>
                <w:sz w:val="28"/>
              </w:rPr>
            </w:pPr>
            <w:r w:rsidRPr="00C17444">
              <w:rPr>
                <w:rFonts w:ascii="標楷體" w:eastAsia="標楷體" w:hAnsi="標楷體" w:hint="eastAsia"/>
                <w:sz w:val="28"/>
              </w:rPr>
              <w:t>(111.11.</w:t>
            </w:r>
            <w:r w:rsidRPr="00C17444">
              <w:rPr>
                <w:rFonts w:ascii="標楷體" w:eastAsia="標楷體" w:hAnsi="標楷體"/>
                <w:sz w:val="28"/>
              </w:rPr>
              <w:t>25</w:t>
            </w:r>
            <w:r w:rsidRPr="00C17444">
              <w:rPr>
                <w:rFonts w:ascii="標楷體" w:eastAsia="標楷體" w:hAnsi="標楷體" w:hint="eastAsia"/>
                <w:sz w:val="28"/>
              </w:rPr>
              <w:t>)</w:t>
            </w:r>
          </w:p>
          <w:p w:rsidR="00C17444" w:rsidRPr="00C17444" w:rsidRDefault="00C17444" w:rsidP="00C17444">
            <w:pPr>
              <w:spacing w:line="400" w:lineRule="exact"/>
              <w:ind w:leftChars="-12" w:left="-29"/>
              <w:rPr>
                <w:rFonts w:ascii="標楷體" w:eastAsia="標楷體" w:hAnsi="標楷體"/>
                <w:sz w:val="28"/>
              </w:rPr>
            </w:pPr>
          </w:p>
        </w:tc>
      </w:tr>
      <w:tr w:rsidR="00C17444" w:rsidRPr="00042711" w:rsidTr="005534EB">
        <w:trPr>
          <w:trHeight w:val="567"/>
        </w:trPr>
        <w:tc>
          <w:tcPr>
            <w:tcW w:w="700" w:type="dxa"/>
            <w:tcBorders>
              <w:top w:val="single" w:sz="4" w:space="0" w:color="auto"/>
              <w:left w:val="single" w:sz="4" w:space="0" w:color="auto"/>
              <w:bottom w:val="single" w:sz="4" w:space="0" w:color="auto"/>
              <w:right w:val="single" w:sz="4" w:space="0" w:color="auto"/>
            </w:tcBorders>
            <w:vAlign w:val="center"/>
          </w:tcPr>
          <w:p w:rsidR="00C17444" w:rsidRPr="00042711" w:rsidRDefault="00C17444" w:rsidP="006934DD">
            <w:pPr>
              <w:numPr>
                <w:ilvl w:val="0"/>
                <w:numId w:val="43"/>
              </w:numPr>
              <w:spacing w:line="400" w:lineRule="exact"/>
              <w:ind w:right="113"/>
              <w:jc w:val="center"/>
              <w:rPr>
                <w:rFonts w:ascii="標楷體" w:eastAsia="標楷體" w:hAnsi="標楷體"/>
                <w:sz w:val="32"/>
              </w:rPr>
            </w:pPr>
          </w:p>
        </w:tc>
        <w:tc>
          <w:tcPr>
            <w:tcW w:w="3402" w:type="dxa"/>
          </w:tcPr>
          <w:p w:rsidR="00C17444" w:rsidRPr="00C17444" w:rsidRDefault="00C17444" w:rsidP="00C17444">
            <w:pPr>
              <w:spacing w:line="400" w:lineRule="exact"/>
              <w:ind w:leftChars="-12" w:left="-29"/>
              <w:jc w:val="both"/>
              <w:rPr>
                <w:rFonts w:ascii="標楷體" w:eastAsia="標楷體" w:hAnsi="標楷體"/>
                <w:sz w:val="28"/>
              </w:rPr>
            </w:pPr>
            <w:r w:rsidRPr="00C17444">
              <w:rPr>
                <w:rFonts w:ascii="標楷體" w:eastAsia="標楷體" w:hAnsi="標楷體" w:hint="eastAsia"/>
                <w:sz w:val="28"/>
              </w:rPr>
              <w:t>國家科學及技術委員會函送國家災害防救科技中心112年度預算書案。</w:t>
            </w:r>
          </w:p>
        </w:tc>
        <w:tc>
          <w:tcPr>
            <w:tcW w:w="1596" w:type="dxa"/>
          </w:tcPr>
          <w:p w:rsidR="00C17444" w:rsidRPr="00C17444" w:rsidRDefault="00C17444" w:rsidP="00C17444">
            <w:pPr>
              <w:spacing w:line="400" w:lineRule="exact"/>
              <w:ind w:leftChars="-12" w:left="-29"/>
              <w:jc w:val="both"/>
              <w:rPr>
                <w:rFonts w:ascii="標楷體" w:eastAsia="標楷體" w:hAnsi="標楷體"/>
                <w:sz w:val="28"/>
              </w:rPr>
            </w:pPr>
            <w:r w:rsidRPr="00C17444">
              <w:rPr>
                <w:rFonts w:ascii="標楷體" w:eastAsia="標楷體" w:hAnsi="標楷體"/>
                <w:sz w:val="28"/>
              </w:rPr>
              <w:t>10-6-4</w:t>
            </w:r>
          </w:p>
          <w:p w:rsidR="00C17444" w:rsidRPr="00C17444" w:rsidRDefault="00C17444" w:rsidP="00C17444">
            <w:pPr>
              <w:spacing w:line="400" w:lineRule="exact"/>
              <w:ind w:leftChars="-12" w:left="-29"/>
              <w:jc w:val="both"/>
              <w:rPr>
                <w:rFonts w:ascii="標楷體" w:eastAsia="標楷體" w:hAnsi="標楷體"/>
                <w:sz w:val="28"/>
                <w:szCs w:val="28"/>
              </w:rPr>
            </w:pPr>
            <w:r w:rsidRPr="00C17444">
              <w:rPr>
                <w:rFonts w:ascii="標楷體" w:eastAsia="標楷體" w:hAnsi="標楷體"/>
                <w:sz w:val="28"/>
              </w:rPr>
              <w:t>(111.10.14)</w:t>
            </w:r>
          </w:p>
        </w:tc>
        <w:tc>
          <w:tcPr>
            <w:tcW w:w="2737" w:type="dxa"/>
          </w:tcPr>
          <w:p w:rsidR="00C17444" w:rsidRPr="00C17444" w:rsidRDefault="00C17444" w:rsidP="00C17444">
            <w:pPr>
              <w:ind w:left="238" w:hangingChars="99" w:hanging="238"/>
              <w:jc w:val="both"/>
              <w:rPr>
                <w:rFonts w:ascii="標楷體" w:eastAsia="標楷體" w:hAnsi="標楷體"/>
                <w:szCs w:val="24"/>
              </w:rPr>
            </w:pPr>
            <w:r w:rsidRPr="00C17444">
              <w:rPr>
                <w:rFonts w:ascii="標楷體" w:eastAsia="標楷體" w:hAnsi="標楷體" w:hint="eastAsia"/>
                <w:szCs w:val="24"/>
              </w:rPr>
              <w:t>1.第6會期第7次全體委員會議（111.1</w:t>
            </w:r>
            <w:r w:rsidRPr="00C17444">
              <w:rPr>
                <w:rFonts w:ascii="標楷體" w:eastAsia="標楷體" w:hAnsi="標楷體"/>
                <w:szCs w:val="24"/>
              </w:rPr>
              <w:t>1</w:t>
            </w:r>
            <w:r w:rsidRPr="00C17444">
              <w:rPr>
                <w:rFonts w:ascii="標楷體" w:eastAsia="標楷體" w:hAnsi="標楷體" w:hint="eastAsia"/>
                <w:szCs w:val="24"/>
              </w:rPr>
              <w:t>.</w:t>
            </w:r>
            <w:r w:rsidRPr="00C17444">
              <w:rPr>
                <w:rFonts w:ascii="標楷體" w:eastAsia="標楷體" w:hAnsi="標楷體"/>
                <w:szCs w:val="24"/>
              </w:rPr>
              <w:t>9</w:t>
            </w:r>
            <w:r w:rsidRPr="00C17444">
              <w:rPr>
                <w:rFonts w:ascii="標楷體" w:eastAsia="標楷體" w:hAnsi="標楷體" w:hint="eastAsia"/>
                <w:szCs w:val="24"/>
              </w:rPr>
              <w:t>）決議：報告及詢答完畢，另定期繼續審查。</w:t>
            </w:r>
          </w:p>
          <w:p w:rsidR="00C17444" w:rsidRPr="00C17444" w:rsidRDefault="00C17444" w:rsidP="00C17444">
            <w:pPr>
              <w:ind w:left="194" w:hangingChars="81" w:hanging="194"/>
              <w:jc w:val="both"/>
              <w:rPr>
                <w:rFonts w:ascii="標楷體" w:eastAsia="標楷體" w:hAnsi="標楷體"/>
                <w:szCs w:val="24"/>
              </w:rPr>
            </w:pPr>
            <w:r w:rsidRPr="00C17444">
              <w:rPr>
                <w:rFonts w:ascii="標楷體" w:eastAsia="標楷體" w:hAnsi="標楷體" w:hint="eastAsia"/>
                <w:szCs w:val="24"/>
              </w:rPr>
              <w:t>2</w:t>
            </w:r>
            <w:r w:rsidRPr="00C17444">
              <w:rPr>
                <w:rFonts w:ascii="標楷體" w:eastAsia="標楷體" w:hAnsi="標楷體"/>
                <w:szCs w:val="24"/>
              </w:rPr>
              <w:t>.</w:t>
            </w:r>
            <w:r w:rsidRPr="00C17444">
              <w:rPr>
                <w:rFonts w:ascii="標楷體" w:eastAsia="標楷體" w:hAnsi="標楷體" w:hint="eastAsia"/>
                <w:szCs w:val="24"/>
              </w:rPr>
              <w:t>第6會期第</w:t>
            </w:r>
            <w:r w:rsidRPr="00C17444">
              <w:rPr>
                <w:rFonts w:ascii="標楷體" w:eastAsia="標楷體" w:hAnsi="標楷體"/>
                <w:szCs w:val="24"/>
              </w:rPr>
              <w:t>13</w:t>
            </w:r>
            <w:r w:rsidRPr="00C17444">
              <w:rPr>
                <w:rFonts w:ascii="標楷體" w:eastAsia="標楷體" w:hAnsi="標楷體" w:hint="eastAsia"/>
                <w:szCs w:val="24"/>
              </w:rPr>
              <w:t>次全體委員會議（111.1</w:t>
            </w:r>
            <w:r w:rsidRPr="00C17444">
              <w:rPr>
                <w:rFonts w:ascii="標楷體" w:eastAsia="標楷體" w:hAnsi="標楷體"/>
                <w:szCs w:val="24"/>
              </w:rPr>
              <w:t>2</w:t>
            </w:r>
            <w:r w:rsidRPr="00C17444">
              <w:rPr>
                <w:rFonts w:ascii="標楷體" w:eastAsia="標楷體" w:hAnsi="標楷體" w:hint="eastAsia"/>
                <w:szCs w:val="24"/>
              </w:rPr>
              <w:t>.</w:t>
            </w:r>
            <w:r w:rsidRPr="00C17444">
              <w:rPr>
                <w:rFonts w:ascii="標楷體" w:eastAsia="標楷體" w:hAnsi="標楷體"/>
                <w:szCs w:val="24"/>
              </w:rPr>
              <w:t>8</w:t>
            </w:r>
            <w:r w:rsidRPr="00C17444">
              <w:rPr>
                <w:rFonts w:ascii="標楷體" w:eastAsia="標楷體" w:hAnsi="標楷體" w:hint="eastAsia"/>
                <w:szCs w:val="24"/>
              </w:rPr>
              <w:t>）決議：審查完竣。</w:t>
            </w:r>
          </w:p>
        </w:tc>
        <w:tc>
          <w:tcPr>
            <w:tcW w:w="1770" w:type="dxa"/>
            <w:tcBorders>
              <w:top w:val="single" w:sz="4" w:space="0" w:color="auto"/>
              <w:left w:val="single" w:sz="4" w:space="0" w:color="auto"/>
              <w:bottom w:val="single" w:sz="4" w:space="0" w:color="auto"/>
              <w:right w:val="single" w:sz="4" w:space="0" w:color="auto"/>
            </w:tcBorders>
          </w:tcPr>
          <w:p w:rsidR="00C17444" w:rsidRPr="00C17444" w:rsidRDefault="00C17444" w:rsidP="00C17444">
            <w:pPr>
              <w:spacing w:line="400" w:lineRule="exact"/>
              <w:ind w:leftChars="-12" w:left="-29"/>
              <w:jc w:val="both"/>
              <w:rPr>
                <w:rFonts w:ascii="標楷體" w:eastAsia="標楷體" w:hAnsi="標楷體"/>
                <w:sz w:val="28"/>
              </w:rPr>
            </w:pPr>
            <w:r w:rsidRPr="00C17444">
              <w:rPr>
                <w:rFonts w:ascii="標楷體" w:eastAsia="標楷體" w:hAnsi="標楷體"/>
                <w:sz w:val="28"/>
              </w:rPr>
              <w:t>10-6-12</w:t>
            </w:r>
          </w:p>
          <w:p w:rsidR="00C17444" w:rsidRPr="00C17444" w:rsidRDefault="00C17444" w:rsidP="00C17444">
            <w:pPr>
              <w:spacing w:line="400" w:lineRule="exact"/>
              <w:ind w:leftChars="-12" w:left="-29"/>
              <w:jc w:val="both"/>
              <w:rPr>
                <w:rFonts w:ascii="標楷體" w:eastAsia="標楷體" w:hAnsi="標楷體"/>
                <w:sz w:val="28"/>
              </w:rPr>
            </w:pPr>
            <w:r w:rsidRPr="00C17444">
              <w:rPr>
                <w:rFonts w:ascii="標楷體" w:eastAsia="標楷體" w:hAnsi="標楷體"/>
                <w:sz w:val="28"/>
              </w:rPr>
              <w:t>(111.12.20)</w:t>
            </w:r>
          </w:p>
          <w:p w:rsidR="00C17444" w:rsidRPr="00C17444" w:rsidRDefault="00C17444" w:rsidP="00C17444">
            <w:pPr>
              <w:jc w:val="both"/>
              <w:rPr>
                <w:rFonts w:ascii="標楷體" w:eastAsia="標楷體" w:hAnsi="標楷體"/>
                <w:sz w:val="28"/>
                <w:szCs w:val="28"/>
              </w:rPr>
            </w:pPr>
          </w:p>
        </w:tc>
      </w:tr>
      <w:tr w:rsidR="00C17444" w:rsidRPr="00042711" w:rsidTr="005534EB">
        <w:trPr>
          <w:trHeight w:val="567"/>
        </w:trPr>
        <w:tc>
          <w:tcPr>
            <w:tcW w:w="700" w:type="dxa"/>
            <w:tcBorders>
              <w:top w:val="single" w:sz="4" w:space="0" w:color="auto"/>
              <w:left w:val="single" w:sz="4" w:space="0" w:color="auto"/>
              <w:bottom w:val="single" w:sz="4" w:space="0" w:color="auto"/>
              <w:right w:val="single" w:sz="4" w:space="0" w:color="auto"/>
            </w:tcBorders>
            <w:vAlign w:val="center"/>
          </w:tcPr>
          <w:p w:rsidR="00C17444" w:rsidRPr="00042711" w:rsidRDefault="00C17444" w:rsidP="006934DD">
            <w:pPr>
              <w:numPr>
                <w:ilvl w:val="0"/>
                <w:numId w:val="43"/>
              </w:numPr>
              <w:spacing w:line="400" w:lineRule="exact"/>
              <w:ind w:right="113"/>
              <w:jc w:val="center"/>
              <w:rPr>
                <w:rFonts w:ascii="標楷體" w:eastAsia="標楷體" w:hAnsi="標楷體"/>
                <w:sz w:val="32"/>
              </w:rPr>
            </w:pPr>
          </w:p>
        </w:tc>
        <w:tc>
          <w:tcPr>
            <w:tcW w:w="3402" w:type="dxa"/>
          </w:tcPr>
          <w:p w:rsidR="00C17444" w:rsidRPr="001A495B" w:rsidRDefault="00C17444" w:rsidP="00C17444">
            <w:pPr>
              <w:spacing w:line="400" w:lineRule="exact"/>
              <w:ind w:leftChars="-12" w:left="-29"/>
              <w:jc w:val="both"/>
              <w:rPr>
                <w:rFonts w:ascii="標楷體" w:eastAsia="標楷體" w:hAnsi="標楷體"/>
                <w:kern w:val="0"/>
                <w:sz w:val="28"/>
                <w:szCs w:val="28"/>
              </w:rPr>
            </w:pPr>
            <w:r w:rsidRPr="001A495B">
              <w:rPr>
                <w:rFonts w:ascii="標楷體" w:eastAsia="標楷體" w:hAnsi="標楷體" w:hint="eastAsia"/>
                <w:kern w:val="0"/>
                <w:sz w:val="28"/>
                <w:szCs w:val="28"/>
              </w:rPr>
              <w:t>文化部函送國家表演藝術中心、文化內容策進院、國家電影及視聽文化中心112年度預算書案。</w:t>
            </w:r>
          </w:p>
        </w:tc>
        <w:tc>
          <w:tcPr>
            <w:tcW w:w="1596" w:type="dxa"/>
          </w:tcPr>
          <w:p w:rsidR="00C17444" w:rsidRPr="001A495B" w:rsidRDefault="00C17444" w:rsidP="00C17444">
            <w:pPr>
              <w:spacing w:line="400" w:lineRule="exact"/>
              <w:ind w:leftChars="-12" w:left="-29"/>
              <w:jc w:val="both"/>
              <w:rPr>
                <w:rFonts w:ascii="標楷體" w:eastAsia="標楷體" w:hAnsi="標楷體"/>
                <w:kern w:val="0"/>
                <w:sz w:val="28"/>
                <w:szCs w:val="28"/>
              </w:rPr>
            </w:pPr>
            <w:r w:rsidRPr="001A495B">
              <w:rPr>
                <w:rFonts w:ascii="標楷體" w:eastAsia="標楷體" w:hAnsi="標楷體"/>
                <w:kern w:val="0"/>
                <w:sz w:val="28"/>
                <w:szCs w:val="28"/>
              </w:rPr>
              <w:t>10-6-2</w:t>
            </w:r>
          </w:p>
          <w:p w:rsidR="00C17444" w:rsidRPr="001A495B" w:rsidRDefault="00C17444" w:rsidP="00C17444">
            <w:pPr>
              <w:spacing w:line="400" w:lineRule="exact"/>
              <w:ind w:leftChars="-12" w:left="-29"/>
              <w:jc w:val="both"/>
              <w:rPr>
                <w:rFonts w:ascii="標楷體" w:eastAsia="標楷體" w:hAnsi="標楷體"/>
                <w:sz w:val="28"/>
                <w:szCs w:val="28"/>
              </w:rPr>
            </w:pPr>
            <w:r w:rsidRPr="001A495B">
              <w:rPr>
                <w:rFonts w:ascii="標楷體" w:eastAsia="標楷體" w:hAnsi="標楷體"/>
                <w:kern w:val="0"/>
                <w:sz w:val="28"/>
                <w:szCs w:val="28"/>
              </w:rPr>
              <w:t>(111.9.30)</w:t>
            </w:r>
          </w:p>
        </w:tc>
        <w:tc>
          <w:tcPr>
            <w:tcW w:w="2737" w:type="dxa"/>
          </w:tcPr>
          <w:p w:rsidR="00C17444" w:rsidRPr="001A495B" w:rsidRDefault="00C17444" w:rsidP="00C17444">
            <w:pPr>
              <w:adjustRightInd w:val="0"/>
              <w:snapToGrid w:val="0"/>
              <w:spacing w:line="240" w:lineRule="atLeast"/>
              <w:ind w:left="240" w:hangingChars="100" w:hanging="240"/>
              <w:jc w:val="both"/>
              <w:rPr>
                <w:rFonts w:ascii="標楷體" w:eastAsia="標楷體" w:hAnsi="標楷體"/>
                <w:szCs w:val="24"/>
              </w:rPr>
            </w:pPr>
            <w:r w:rsidRPr="001A495B">
              <w:rPr>
                <w:rFonts w:ascii="標楷體" w:eastAsia="標楷體" w:hAnsi="標楷體" w:hint="eastAsia"/>
                <w:szCs w:val="24"/>
              </w:rPr>
              <w:t>1.第6會期第7次全體委員會議（111.11.10）決議：</w:t>
            </w:r>
            <w:r w:rsidRPr="001A495B">
              <w:rPr>
                <w:rFonts w:ascii="標楷體" w:eastAsia="標楷體" w:hAnsi="標楷體" w:hint="eastAsia"/>
              </w:rPr>
              <w:t>報告</w:t>
            </w:r>
            <w:r w:rsidRPr="001A495B">
              <w:rPr>
                <w:rFonts w:ascii="標楷體" w:eastAsia="標楷體" w:hAnsi="標楷體" w:hint="eastAsia"/>
                <w:szCs w:val="24"/>
              </w:rPr>
              <w:t>及詢答完畢，另定期繼續審查。</w:t>
            </w:r>
          </w:p>
          <w:p w:rsidR="00C17444" w:rsidRPr="001A495B" w:rsidRDefault="00C17444" w:rsidP="00C17444">
            <w:pPr>
              <w:adjustRightInd w:val="0"/>
              <w:snapToGrid w:val="0"/>
              <w:spacing w:line="240" w:lineRule="atLeast"/>
              <w:ind w:left="240" w:hangingChars="100" w:hanging="240"/>
              <w:rPr>
                <w:rFonts w:ascii="標楷體" w:eastAsia="標楷體" w:hAnsi="標楷體"/>
                <w:sz w:val="28"/>
                <w:szCs w:val="28"/>
              </w:rPr>
            </w:pPr>
            <w:r w:rsidRPr="001A495B">
              <w:rPr>
                <w:rFonts w:ascii="標楷體" w:eastAsia="標楷體" w:hAnsi="標楷體"/>
                <w:szCs w:val="24"/>
              </w:rPr>
              <w:t>2.</w:t>
            </w:r>
            <w:r w:rsidRPr="001A495B">
              <w:rPr>
                <w:rFonts w:ascii="標楷體" w:eastAsia="標楷體" w:hAnsi="標楷體" w:hint="eastAsia"/>
                <w:szCs w:val="24"/>
              </w:rPr>
              <w:t>第6會期第1</w:t>
            </w:r>
            <w:r w:rsidRPr="001A495B">
              <w:rPr>
                <w:rFonts w:ascii="標楷體" w:eastAsia="標楷體" w:hAnsi="標楷體"/>
                <w:szCs w:val="24"/>
              </w:rPr>
              <w:t>5</w:t>
            </w:r>
            <w:r w:rsidRPr="001A495B">
              <w:rPr>
                <w:rFonts w:ascii="標楷體" w:eastAsia="標楷體" w:hAnsi="標楷體" w:hint="eastAsia"/>
                <w:szCs w:val="24"/>
              </w:rPr>
              <w:t>次全體委員會議</w:t>
            </w:r>
            <w:r w:rsidRPr="001A495B">
              <w:rPr>
                <w:rFonts w:ascii="標楷體" w:eastAsia="標楷體" w:hAnsi="標楷體" w:hint="eastAsia"/>
                <w:spacing w:val="-10"/>
                <w:szCs w:val="24"/>
              </w:rPr>
              <w:t>（111.12.2</w:t>
            </w:r>
            <w:r w:rsidRPr="001A495B">
              <w:rPr>
                <w:rFonts w:ascii="標楷體" w:eastAsia="標楷體" w:hAnsi="標楷體"/>
                <w:spacing w:val="-10"/>
                <w:szCs w:val="24"/>
              </w:rPr>
              <w:t>1</w:t>
            </w:r>
            <w:r w:rsidRPr="001A495B">
              <w:rPr>
                <w:rFonts w:ascii="標楷體" w:eastAsia="標楷體" w:hAnsi="標楷體" w:hint="eastAsia"/>
                <w:spacing w:val="-10"/>
                <w:szCs w:val="24"/>
              </w:rPr>
              <w:t>）</w:t>
            </w:r>
            <w:r w:rsidRPr="001A495B">
              <w:rPr>
                <w:rFonts w:ascii="標楷體" w:eastAsia="標楷體" w:hAnsi="標楷體" w:hint="eastAsia"/>
                <w:szCs w:val="24"/>
              </w:rPr>
              <w:t>決議：審查完竣。</w:t>
            </w:r>
          </w:p>
        </w:tc>
        <w:tc>
          <w:tcPr>
            <w:tcW w:w="1770" w:type="dxa"/>
            <w:tcBorders>
              <w:top w:val="single" w:sz="4" w:space="0" w:color="auto"/>
              <w:left w:val="single" w:sz="4" w:space="0" w:color="auto"/>
              <w:bottom w:val="single" w:sz="4" w:space="0" w:color="auto"/>
              <w:right w:val="single" w:sz="4" w:space="0" w:color="auto"/>
            </w:tcBorders>
          </w:tcPr>
          <w:p w:rsidR="009308D5" w:rsidRPr="001A495B" w:rsidRDefault="009308D5" w:rsidP="009308D5">
            <w:pPr>
              <w:spacing w:line="400" w:lineRule="exact"/>
              <w:jc w:val="both"/>
              <w:rPr>
                <w:rFonts w:ascii="標楷體" w:eastAsia="標楷體" w:hAnsi="標楷體"/>
                <w:sz w:val="28"/>
              </w:rPr>
            </w:pPr>
            <w:r w:rsidRPr="001A495B">
              <w:rPr>
                <w:rFonts w:ascii="標楷體" w:eastAsia="標楷體" w:hAnsi="標楷體"/>
                <w:sz w:val="28"/>
              </w:rPr>
              <w:t>10-6-1</w:t>
            </w:r>
            <w:r w:rsidRPr="001A495B">
              <w:rPr>
                <w:rFonts w:ascii="標楷體" w:eastAsia="標楷體" w:hAnsi="標楷體" w:hint="eastAsia"/>
                <w:sz w:val="28"/>
              </w:rPr>
              <w:t>4</w:t>
            </w:r>
          </w:p>
          <w:p w:rsidR="009308D5" w:rsidRPr="001A495B" w:rsidRDefault="009308D5" w:rsidP="009308D5">
            <w:pPr>
              <w:spacing w:line="400" w:lineRule="exact"/>
              <w:jc w:val="both"/>
              <w:rPr>
                <w:rFonts w:ascii="標楷體" w:eastAsia="標楷體" w:hAnsi="標楷體"/>
                <w:sz w:val="28"/>
              </w:rPr>
            </w:pPr>
            <w:r w:rsidRPr="001A495B">
              <w:rPr>
                <w:rFonts w:ascii="標楷體" w:eastAsia="標楷體" w:hAnsi="標楷體"/>
                <w:sz w:val="28"/>
              </w:rPr>
              <w:t>(11</w:t>
            </w:r>
            <w:r w:rsidRPr="001A495B">
              <w:rPr>
                <w:rFonts w:ascii="標楷體" w:eastAsia="標楷體" w:hAnsi="標楷體" w:hint="eastAsia"/>
                <w:sz w:val="28"/>
              </w:rPr>
              <w:t>2</w:t>
            </w:r>
            <w:r w:rsidRPr="001A495B">
              <w:rPr>
                <w:rFonts w:ascii="標楷體" w:eastAsia="標楷體" w:hAnsi="標楷體"/>
                <w:sz w:val="28"/>
              </w:rPr>
              <w:t>.1.</w:t>
            </w:r>
            <w:r w:rsidRPr="001A495B">
              <w:rPr>
                <w:rFonts w:ascii="標楷體" w:eastAsia="標楷體" w:hAnsi="標楷體" w:hint="eastAsia"/>
                <w:sz w:val="28"/>
              </w:rPr>
              <w:t>3</w:t>
            </w:r>
            <w:r w:rsidRPr="001A495B">
              <w:rPr>
                <w:rFonts w:ascii="標楷體" w:eastAsia="標楷體" w:hAnsi="標楷體"/>
                <w:sz w:val="28"/>
              </w:rPr>
              <w:t>)</w:t>
            </w:r>
          </w:p>
          <w:p w:rsidR="00C17444" w:rsidRPr="001A495B" w:rsidRDefault="00C17444" w:rsidP="00C17444">
            <w:pPr>
              <w:spacing w:line="400" w:lineRule="exact"/>
              <w:jc w:val="both"/>
              <w:rPr>
                <w:rFonts w:ascii="標楷體" w:eastAsia="標楷體" w:hAnsi="標楷體"/>
                <w:sz w:val="28"/>
              </w:rPr>
            </w:pPr>
          </w:p>
        </w:tc>
      </w:tr>
    </w:tbl>
    <w:p w:rsidR="005534EB" w:rsidRPr="005534EB" w:rsidRDefault="005534EB" w:rsidP="005534EB">
      <w:pPr>
        <w:pStyle w:val="01-3"/>
      </w:pPr>
      <w:bookmarkStart w:id="79" w:name="_Toc95137409"/>
      <w:bookmarkStart w:id="80" w:name="_Toc126068123"/>
      <w:r w:rsidRPr="005534EB">
        <w:rPr>
          <w:rFonts w:hint="eastAsia"/>
        </w:rPr>
        <w:t>(三)財團法人預決算案 (8案)</w:t>
      </w:r>
      <w:bookmarkEnd w:id="79"/>
      <w:bookmarkEnd w:id="80"/>
    </w:p>
    <w:tbl>
      <w:tblPr>
        <w:tblW w:w="5300"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710"/>
        <w:gridCol w:w="3654"/>
        <w:gridCol w:w="1533"/>
        <w:gridCol w:w="1333"/>
        <w:gridCol w:w="2977"/>
      </w:tblGrid>
      <w:tr w:rsidR="005534EB" w:rsidRPr="005534EB" w:rsidTr="005534EB">
        <w:trPr>
          <w:trHeight w:val="700"/>
        </w:trPr>
        <w:tc>
          <w:tcPr>
            <w:tcW w:w="710" w:type="dxa"/>
            <w:tcBorders>
              <w:top w:val="single" w:sz="4" w:space="0" w:color="auto"/>
              <w:left w:val="single" w:sz="4" w:space="0" w:color="auto"/>
              <w:bottom w:val="single" w:sz="4" w:space="0" w:color="auto"/>
              <w:right w:val="single" w:sz="4" w:space="0" w:color="auto"/>
            </w:tcBorders>
            <w:vAlign w:val="center"/>
            <w:hideMark/>
          </w:tcPr>
          <w:p w:rsidR="005534EB" w:rsidRPr="005534EB" w:rsidRDefault="005534EB" w:rsidP="005534EB">
            <w:pPr>
              <w:spacing w:line="400" w:lineRule="exact"/>
              <w:rPr>
                <w:rFonts w:ascii="標楷體" w:eastAsia="標楷體" w:hAnsi="標楷體"/>
                <w:b/>
                <w:bCs/>
                <w:spacing w:val="-24"/>
                <w:sz w:val="28"/>
                <w:szCs w:val="28"/>
              </w:rPr>
            </w:pPr>
            <w:r w:rsidRPr="005534EB">
              <w:rPr>
                <w:rFonts w:ascii="標楷體" w:eastAsia="標楷體" w:hAnsi="標楷體" w:hint="eastAsia"/>
                <w:b/>
                <w:bCs/>
                <w:spacing w:val="-24"/>
                <w:sz w:val="28"/>
                <w:szCs w:val="28"/>
              </w:rPr>
              <w:t>序號</w:t>
            </w:r>
          </w:p>
        </w:tc>
        <w:tc>
          <w:tcPr>
            <w:tcW w:w="3654" w:type="dxa"/>
            <w:tcBorders>
              <w:top w:val="single" w:sz="4" w:space="0" w:color="auto"/>
              <w:left w:val="single" w:sz="4" w:space="0" w:color="auto"/>
              <w:bottom w:val="single" w:sz="4" w:space="0" w:color="auto"/>
              <w:right w:val="single" w:sz="4" w:space="0" w:color="auto"/>
            </w:tcBorders>
            <w:vAlign w:val="center"/>
            <w:hideMark/>
          </w:tcPr>
          <w:p w:rsidR="005534EB" w:rsidRPr="005534EB" w:rsidRDefault="005534EB" w:rsidP="005534EB">
            <w:pPr>
              <w:spacing w:line="400" w:lineRule="exact"/>
              <w:jc w:val="center"/>
              <w:rPr>
                <w:rFonts w:ascii="標楷體" w:eastAsia="標楷體" w:hAnsi="標楷體"/>
                <w:b/>
                <w:bCs/>
                <w:sz w:val="28"/>
              </w:rPr>
            </w:pPr>
            <w:r w:rsidRPr="005534EB">
              <w:rPr>
                <w:rFonts w:ascii="標楷體" w:eastAsia="標楷體" w:hAnsi="標楷體" w:hint="eastAsia"/>
                <w:b/>
                <w:bCs/>
                <w:sz w:val="28"/>
              </w:rPr>
              <w:t>案由</w:t>
            </w:r>
          </w:p>
        </w:tc>
        <w:tc>
          <w:tcPr>
            <w:tcW w:w="1533" w:type="dxa"/>
            <w:tcBorders>
              <w:top w:val="single" w:sz="4" w:space="0" w:color="auto"/>
              <w:left w:val="single" w:sz="4" w:space="0" w:color="auto"/>
              <w:bottom w:val="single" w:sz="4" w:space="0" w:color="auto"/>
              <w:right w:val="single" w:sz="4" w:space="0" w:color="auto"/>
            </w:tcBorders>
            <w:vAlign w:val="center"/>
            <w:hideMark/>
          </w:tcPr>
          <w:p w:rsidR="005534EB" w:rsidRPr="005534EB" w:rsidRDefault="005534EB" w:rsidP="005534EB">
            <w:pPr>
              <w:spacing w:line="400" w:lineRule="exact"/>
              <w:ind w:rightChars="26" w:right="62"/>
              <w:jc w:val="center"/>
              <w:rPr>
                <w:rFonts w:ascii="標楷體" w:eastAsia="標楷體" w:hAnsi="標楷體"/>
                <w:b/>
                <w:bCs/>
                <w:spacing w:val="-20"/>
                <w:sz w:val="28"/>
              </w:rPr>
            </w:pPr>
            <w:r w:rsidRPr="005534EB">
              <w:rPr>
                <w:rFonts w:ascii="標楷體" w:eastAsia="標楷體" w:hAnsi="標楷體" w:hint="eastAsia"/>
                <w:b/>
                <w:bCs/>
                <w:spacing w:val="-20"/>
                <w:sz w:val="28"/>
              </w:rPr>
              <w:t>院會交付</w:t>
            </w:r>
          </w:p>
          <w:p w:rsidR="005534EB" w:rsidRPr="005534EB" w:rsidRDefault="005534EB" w:rsidP="005534EB">
            <w:pPr>
              <w:spacing w:line="400" w:lineRule="exact"/>
              <w:ind w:rightChars="26" w:right="62"/>
              <w:jc w:val="center"/>
              <w:rPr>
                <w:rFonts w:ascii="標楷體" w:eastAsia="標楷體" w:hAnsi="標楷體"/>
                <w:b/>
                <w:bCs/>
                <w:sz w:val="28"/>
              </w:rPr>
            </w:pPr>
            <w:r w:rsidRPr="005534EB">
              <w:rPr>
                <w:rFonts w:ascii="標楷體" w:eastAsia="標楷體" w:hAnsi="標楷體" w:hint="eastAsia"/>
                <w:b/>
                <w:bCs/>
                <w:spacing w:val="-20"/>
                <w:sz w:val="28"/>
              </w:rPr>
              <w:t>會次及日期</w:t>
            </w:r>
          </w:p>
        </w:tc>
        <w:tc>
          <w:tcPr>
            <w:tcW w:w="1333" w:type="dxa"/>
            <w:tcBorders>
              <w:top w:val="single" w:sz="4" w:space="0" w:color="auto"/>
              <w:left w:val="single" w:sz="4" w:space="0" w:color="auto"/>
              <w:bottom w:val="single" w:sz="4" w:space="0" w:color="auto"/>
              <w:right w:val="single" w:sz="4" w:space="0" w:color="auto"/>
            </w:tcBorders>
            <w:vAlign w:val="center"/>
            <w:hideMark/>
          </w:tcPr>
          <w:p w:rsidR="005534EB" w:rsidRPr="005534EB" w:rsidRDefault="005534EB" w:rsidP="005534EB">
            <w:pPr>
              <w:spacing w:line="400" w:lineRule="exact"/>
              <w:ind w:leftChars="27" w:left="65" w:rightChars="104" w:right="250"/>
              <w:jc w:val="center"/>
              <w:rPr>
                <w:rFonts w:ascii="標楷體" w:eastAsia="標楷體" w:hAnsi="標楷體"/>
                <w:b/>
                <w:bCs/>
                <w:sz w:val="28"/>
              </w:rPr>
            </w:pPr>
            <w:r w:rsidRPr="005534EB">
              <w:rPr>
                <w:rFonts w:ascii="標楷體" w:eastAsia="標楷體" w:hAnsi="標楷體" w:hint="eastAsia"/>
                <w:b/>
                <w:bCs/>
                <w:sz w:val="28"/>
              </w:rPr>
              <w:t>聯席</w:t>
            </w:r>
          </w:p>
          <w:p w:rsidR="005534EB" w:rsidRPr="005534EB" w:rsidRDefault="005534EB" w:rsidP="005534EB">
            <w:pPr>
              <w:spacing w:line="400" w:lineRule="exact"/>
              <w:ind w:leftChars="27" w:left="65" w:rightChars="104" w:right="250"/>
              <w:jc w:val="center"/>
              <w:rPr>
                <w:rFonts w:ascii="標楷體" w:eastAsia="標楷體" w:hAnsi="標楷體"/>
                <w:b/>
                <w:bCs/>
                <w:sz w:val="28"/>
              </w:rPr>
            </w:pPr>
            <w:r w:rsidRPr="005534EB">
              <w:rPr>
                <w:rFonts w:ascii="標楷體" w:eastAsia="標楷體" w:hAnsi="標楷體" w:hint="eastAsia"/>
                <w:b/>
                <w:bCs/>
                <w:sz w:val="28"/>
              </w:rPr>
              <w:t>委員會</w:t>
            </w:r>
          </w:p>
        </w:tc>
        <w:tc>
          <w:tcPr>
            <w:tcW w:w="2977" w:type="dxa"/>
            <w:tcBorders>
              <w:top w:val="single" w:sz="4" w:space="0" w:color="auto"/>
              <w:left w:val="single" w:sz="4" w:space="0" w:color="auto"/>
              <w:bottom w:val="single" w:sz="4" w:space="0" w:color="auto"/>
              <w:right w:val="single" w:sz="4" w:space="0" w:color="auto"/>
            </w:tcBorders>
            <w:vAlign w:val="center"/>
          </w:tcPr>
          <w:p w:rsidR="005534EB" w:rsidRPr="005534EB" w:rsidRDefault="005534EB" w:rsidP="005534EB">
            <w:pPr>
              <w:spacing w:line="400" w:lineRule="exact"/>
              <w:jc w:val="distribute"/>
              <w:rPr>
                <w:rFonts w:ascii="標楷體" w:eastAsia="標楷體" w:hAnsi="標楷體"/>
                <w:b/>
                <w:bCs/>
                <w:sz w:val="28"/>
              </w:rPr>
            </w:pPr>
            <w:r w:rsidRPr="005534EB">
              <w:rPr>
                <w:rFonts w:ascii="標楷體" w:eastAsia="標楷體" w:hAnsi="標楷體" w:hint="eastAsia"/>
                <w:b/>
                <w:bCs/>
                <w:sz w:val="28"/>
              </w:rPr>
              <w:t>處理情形</w:t>
            </w:r>
          </w:p>
        </w:tc>
      </w:tr>
      <w:tr w:rsidR="005534EB" w:rsidRPr="005534EB" w:rsidTr="005534EB">
        <w:trPr>
          <w:trHeight w:val="567"/>
        </w:trPr>
        <w:tc>
          <w:tcPr>
            <w:tcW w:w="710" w:type="dxa"/>
            <w:tcBorders>
              <w:top w:val="single" w:sz="4" w:space="0" w:color="auto"/>
              <w:left w:val="single" w:sz="4" w:space="0" w:color="auto"/>
              <w:bottom w:val="single" w:sz="4" w:space="0" w:color="auto"/>
              <w:right w:val="single" w:sz="4" w:space="0" w:color="auto"/>
            </w:tcBorders>
            <w:vAlign w:val="center"/>
          </w:tcPr>
          <w:p w:rsidR="005534EB" w:rsidRPr="005534EB" w:rsidRDefault="005534EB" w:rsidP="006934DD">
            <w:pPr>
              <w:numPr>
                <w:ilvl w:val="0"/>
                <w:numId w:val="44"/>
              </w:numPr>
              <w:spacing w:line="400" w:lineRule="exact"/>
              <w:ind w:right="113"/>
              <w:jc w:val="center"/>
              <w:rPr>
                <w:rFonts w:ascii="標楷體" w:eastAsia="標楷體" w:hAnsi="標楷體"/>
                <w:sz w:val="32"/>
              </w:rPr>
            </w:pPr>
          </w:p>
        </w:tc>
        <w:tc>
          <w:tcPr>
            <w:tcW w:w="3654" w:type="dxa"/>
          </w:tcPr>
          <w:p w:rsidR="005534EB" w:rsidRPr="005534EB" w:rsidRDefault="005534EB" w:rsidP="005534EB">
            <w:pPr>
              <w:spacing w:line="400" w:lineRule="exact"/>
              <w:jc w:val="both"/>
              <w:rPr>
                <w:rFonts w:ascii="標楷體" w:eastAsia="標楷體" w:hAnsi="標楷體"/>
                <w:color w:val="000000"/>
                <w:kern w:val="0"/>
                <w:sz w:val="28"/>
                <w:szCs w:val="28"/>
              </w:rPr>
            </w:pPr>
            <w:r w:rsidRPr="005534EB">
              <w:rPr>
                <w:rFonts w:ascii="標楷體" w:eastAsia="標楷體" w:hAnsi="標楷體" w:hint="eastAsia"/>
                <w:color w:val="000000"/>
                <w:kern w:val="0"/>
                <w:sz w:val="28"/>
                <w:szCs w:val="28"/>
              </w:rPr>
              <w:t>教育部函送財團法人大學入學考試中心基金會等10家財團法人109年度預算書及相關資料案。</w:t>
            </w:r>
          </w:p>
        </w:tc>
        <w:tc>
          <w:tcPr>
            <w:tcW w:w="1533" w:type="dxa"/>
          </w:tcPr>
          <w:p w:rsidR="005534EB" w:rsidRPr="005534EB" w:rsidRDefault="005534EB" w:rsidP="005534EB">
            <w:pPr>
              <w:spacing w:line="400" w:lineRule="exact"/>
              <w:jc w:val="both"/>
              <w:rPr>
                <w:rFonts w:ascii="標楷體" w:eastAsia="標楷體" w:hAnsi="標楷體"/>
                <w:color w:val="000000"/>
                <w:kern w:val="0"/>
                <w:sz w:val="28"/>
                <w:szCs w:val="28"/>
              </w:rPr>
            </w:pPr>
            <w:r w:rsidRPr="005534EB">
              <w:rPr>
                <w:rFonts w:ascii="標楷體" w:eastAsia="標楷體" w:hAnsi="標楷體"/>
                <w:color w:val="000000"/>
                <w:kern w:val="0"/>
                <w:sz w:val="28"/>
                <w:szCs w:val="28"/>
              </w:rPr>
              <w:t>9-</w:t>
            </w:r>
            <w:r w:rsidRPr="005534EB">
              <w:rPr>
                <w:rFonts w:ascii="標楷體" w:eastAsia="標楷體" w:hAnsi="標楷體" w:hint="eastAsia"/>
                <w:color w:val="000000"/>
                <w:kern w:val="0"/>
                <w:sz w:val="28"/>
                <w:szCs w:val="28"/>
              </w:rPr>
              <w:t>8</w:t>
            </w:r>
            <w:r w:rsidRPr="005534EB">
              <w:rPr>
                <w:rFonts w:ascii="標楷體" w:eastAsia="標楷體" w:hAnsi="標楷體"/>
                <w:color w:val="000000"/>
                <w:kern w:val="0"/>
                <w:sz w:val="28"/>
                <w:szCs w:val="28"/>
              </w:rPr>
              <w:t>-</w:t>
            </w:r>
            <w:r w:rsidRPr="005534EB">
              <w:rPr>
                <w:rFonts w:ascii="標楷體" w:eastAsia="標楷體" w:hAnsi="標楷體" w:hint="eastAsia"/>
                <w:color w:val="000000"/>
                <w:kern w:val="0"/>
                <w:sz w:val="28"/>
                <w:szCs w:val="28"/>
              </w:rPr>
              <w:t>4</w:t>
            </w:r>
          </w:p>
          <w:p w:rsidR="005534EB" w:rsidRPr="005534EB" w:rsidRDefault="005534EB" w:rsidP="005534EB">
            <w:pPr>
              <w:spacing w:line="400" w:lineRule="exact"/>
              <w:rPr>
                <w:rFonts w:ascii="標楷體" w:eastAsia="標楷體" w:hAnsi="標楷體"/>
                <w:color w:val="000000"/>
                <w:kern w:val="0"/>
                <w:sz w:val="28"/>
                <w:szCs w:val="28"/>
              </w:rPr>
            </w:pPr>
            <w:r w:rsidRPr="005534EB">
              <w:rPr>
                <w:rFonts w:ascii="標楷體" w:eastAsia="標楷體" w:hAnsi="標楷體"/>
                <w:color w:val="000000"/>
                <w:kern w:val="0"/>
                <w:sz w:val="28"/>
                <w:szCs w:val="28"/>
              </w:rPr>
              <w:t>(108</w:t>
            </w:r>
            <w:r w:rsidRPr="005534EB">
              <w:rPr>
                <w:rFonts w:ascii="標楷體" w:eastAsia="標楷體" w:hAnsi="標楷體" w:hint="eastAsia"/>
                <w:color w:val="000000"/>
                <w:kern w:val="0"/>
                <w:sz w:val="28"/>
                <w:szCs w:val="28"/>
              </w:rPr>
              <w:t>.10.4</w:t>
            </w:r>
            <w:r w:rsidRPr="005534EB">
              <w:rPr>
                <w:rFonts w:ascii="標楷體" w:eastAsia="標楷體" w:hAnsi="標楷體"/>
                <w:color w:val="000000"/>
                <w:kern w:val="0"/>
                <w:sz w:val="28"/>
                <w:szCs w:val="28"/>
              </w:rPr>
              <w:t>)</w:t>
            </w:r>
          </w:p>
        </w:tc>
        <w:tc>
          <w:tcPr>
            <w:tcW w:w="1333" w:type="dxa"/>
          </w:tcPr>
          <w:p w:rsidR="005534EB" w:rsidRPr="005534EB" w:rsidRDefault="005534EB" w:rsidP="005534EB">
            <w:pPr>
              <w:rPr>
                <w:rFonts w:ascii="標楷體" w:eastAsia="標楷體" w:hAnsi="標楷體"/>
                <w:color w:val="000000"/>
                <w:kern w:val="0"/>
                <w:sz w:val="28"/>
                <w:szCs w:val="28"/>
              </w:rPr>
            </w:pPr>
          </w:p>
        </w:tc>
        <w:tc>
          <w:tcPr>
            <w:tcW w:w="2977" w:type="dxa"/>
          </w:tcPr>
          <w:p w:rsidR="005534EB" w:rsidRPr="005534EB" w:rsidRDefault="005534EB" w:rsidP="005534EB">
            <w:pPr>
              <w:ind w:leftChars="7" w:left="252" w:hangingChars="98" w:hanging="235"/>
              <w:rPr>
                <w:rFonts w:ascii="標楷體" w:eastAsia="標楷體" w:hAnsi="標楷體"/>
                <w:color w:val="000000"/>
              </w:rPr>
            </w:pPr>
            <w:r w:rsidRPr="005534EB">
              <w:rPr>
                <w:rFonts w:ascii="標楷體" w:eastAsia="標楷體" w:hAnsi="標楷體" w:hint="eastAsia"/>
                <w:color w:val="000000"/>
              </w:rPr>
              <w:t>1</w:t>
            </w:r>
            <w:r w:rsidRPr="005534EB">
              <w:rPr>
                <w:rFonts w:ascii="標楷體" w:eastAsia="標楷體" w:hAnsi="標楷體"/>
                <w:color w:val="000000"/>
              </w:rPr>
              <w:t>.</w:t>
            </w:r>
            <w:r w:rsidRPr="005534EB">
              <w:rPr>
                <w:rFonts w:ascii="標楷體" w:eastAsia="標楷體" w:hAnsi="標楷體" w:hint="eastAsia"/>
                <w:color w:val="000000"/>
              </w:rPr>
              <w:t>逾年度預算執行期間，報請院會存查。</w:t>
            </w:r>
          </w:p>
          <w:p w:rsidR="005534EB" w:rsidRPr="005534EB" w:rsidRDefault="005534EB" w:rsidP="004321BC">
            <w:pPr>
              <w:ind w:leftChars="6" w:left="240" w:hangingChars="94" w:hanging="226"/>
              <w:jc w:val="both"/>
              <w:rPr>
                <w:rFonts w:ascii="標楷體" w:eastAsia="標楷體" w:hAnsi="標楷體"/>
                <w:color w:val="000000"/>
              </w:rPr>
            </w:pPr>
            <w:r w:rsidRPr="005534EB">
              <w:rPr>
                <w:rFonts w:ascii="標楷體" w:eastAsia="標楷體" w:hAnsi="標楷體"/>
                <w:color w:val="000000"/>
              </w:rPr>
              <w:t>2.</w:t>
            </w:r>
            <w:r w:rsidRPr="005534EB">
              <w:rPr>
                <w:rFonts w:ascii="標楷體" w:eastAsia="標楷體" w:hAnsi="標楷體" w:hint="eastAsia"/>
                <w:color w:val="000000"/>
              </w:rPr>
              <w:t>第</w:t>
            </w:r>
            <w:r w:rsidRPr="005534EB">
              <w:rPr>
                <w:rFonts w:ascii="標楷體" w:eastAsia="標楷體" w:hAnsi="標楷體"/>
                <w:color w:val="000000"/>
              </w:rPr>
              <w:t>6</w:t>
            </w:r>
            <w:r w:rsidRPr="005534EB">
              <w:rPr>
                <w:rFonts w:ascii="標楷體" w:eastAsia="標楷體" w:hAnsi="標楷體" w:hint="eastAsia"/>
                <w:color w:val="000000"/>
              </w:rPr>
              <w:t>會期第</w:t>
            </w:r>
            <w:r w:rsidRPr="005534EB">
              <w:rPr>
                <w:rFonts w:ascii="標楷體" w:eastAsia="標楷體" w:hAnsi="標楷體"/>
                <w:color w:val="000000"/>
              </w:rPr>
              <w:t>4</w:t>
            </w:r>
            <w:r w:rsidRPr="005534EB">
              <w:rPr>
                <w:rFonts w:ascii="標楷體" w:eastAsia="標楷體" w:hAnsi="標楷體" w:hint="eastAsia"/>
                <w:color w:val="000000"/>
              </w:rPr>
              <w:t>次院會（11</w:t>
            </w:r>
            <w:r w:rsidRPr="005534EB">
              <w:rPr>
                <w:rFonts w:ascii="標楷體" w:eastAsia="標楷體" w:hAnsi="標楷體"/>
                <w:color w:val="000000"/>
              </w:rPr>
              <w:t>1</w:t>
            </w:r>
            <w:r w:rsidRPr="005534EB">
              <w:rPr>
                <w:rFonts w:ascii="標楷體" w:eastAsia="標楷體" w:hAnsi="標楷體" w:hint="eastAsia"/>
                <w:color w:val="000000"/>
              </w:rPr>
              <w:t>.1</w:t>
            </w:r>
            <w:r w:rsidRPr="005534EB">
              <w:rPr>
                <w:rFonts w:ascii="標楷體" w:eastAsia="標楷體" w:hAnsi="標楷體"/>
                <w:color w:val="000000"/>
              </w:rPr>
              <w:t>0</w:t>
            </w:r>
            <w:r w:rsidRPr="005534EB">
              <w:rPr>
                <w:rFonts w:ascii="標楷體" w:eastAsia="標楷體" w:hAnsi="標楷體" w:hint="eastAsia"/>
                <w:color w:val="000000"/>
              </w:rPr>
              <w:t>.</w:t>
            </w:r>
            <w:r w:rsidRPr="005534EB">
              <w:rPr>
                <w:rFonts w:ascii="標楷體" w:eastAsia="標楷體" w:hAnsi="標楷體"/>
                <w:color w:val="000000"/>
              </w:rPr>
              <w:t>14</w:t>
            </w:r>
            <w:r w:rsidRPr="005534EB">
              <w:rPr>
                <w:rFonts w:ascii="標楷體" w:eastAsia="標楷體" w:hAnsi="標楷體" w:hint="eastAsia"/>
                <w:color w:val="000000"/>
              </w:rPr>
              <w:t>）決定：准予備查。</w:t>
            </w:r>
          </w:p>
        </w:tc>
      </w:tr>
      <w:tr w:rsidR="005534EB" w:rsidRPr="005534EB" w:rsidTr="005534EB">
        <w:trPr>
          <w:trHeight w:val="567"/>
        </w:trPr>
        <w:tc>
          <w:tcPr>
            <w:tcW w:w="710" w:type="dxa"/>
            <w:tcBorders>
              <w:top w:val="single" w:sz="4" w:space="0" w:color="auto"/>
              <w:left w:val="single" w:sz="4" w:space="0" w:color="auto"/>
              <w:bottom w:val="single" w:sz="4" w:space="0" w:color="auto"/>
              <w:right w:val="single" w:sz="4" w:space="0" w:color="auto"/>
            </w:tcBorders>
            <w:vAlign w:val="center"/>
          </w:tcPr>
          <w:p w:rsidR="005534EB" w:rsidRPr="005534EB" w:rsidRDefault="005534EB" w:rsidP="006934DD">
            <w:pPr>
              <w:numPr>
                <w:ilvl w:val="0"/>
                <w:numId w:val="44"/>
              </w:numPr>
              <w:spacing w:line="400" w:lineRule="exact"/>
              <w:ind w:right="113"/>
              <w:jc w:val="center"/>
              <w:rPr>
                <w:rFonts w:ascii="標楷體" w:eastAsia="標楷體" w:hAnsi="標楷體"/>
                <w:sz w:val="32"/>
              </w:rPr>
            </w:pPr>
          </w:p>
        </w:tc>
        <w:tc>
          <w:tcPr>
            <w:tcW w:w="3654" w:type="dxa"/>
          </w:tcPr>
          <w:p w:rsidR="005534EB" w:rsidRPr="005534EB" w:rsidRDefault="005534EB" w:rsidP="005534EB">
            <w:pPr>
              <w:spacing w:line="400" w:lineRule="exact"/>
              <w:jc w:val="both"/>
              <w:rPr>
                <w:rFonts w:ascii="標楷體" w:eastAsia="標楷體" w:hAnsi="標楷體"/>
                <w:color w:val="000000"/>
                <w:kern w:val="0"/>
                <w:sz w:val="28"/>
                <w:szCs w:val="28"/>
              </w:rPr>
            </w:pPr>
            <w:r w:rsidRPr="005534EB">
              <w:rPr>
                <w:rFonts w:ascii="標楷體" w:eastAsia="標楷體" w:hAnsi="標楷體" w:hint="eastAsia"/>
                <w:color w:val="000000"/>
                <w:kern w:val="0"/>
                <w:sz w:val="28"/>
                <w:szCs w:val="28"/>
              </w:rPr>
              <w:t>科技部函送財團法人國家實驗研究院及國家同步輻射研究中心109年度預算書及相關資料案。</w:t>
            </w:r>
          </w:p>
        </w:tc>
        <w:tc>
          <w:tcPr>
            <w:tcW w:w="1533" w:type="dxa"/>
          </w:tcPr>
          <w:p w:rsidR="005534EB" w:rsidRPr="005534EB" w:rsidRDefault="005534EB" w:rsidP="005534EB">
            <w:pPr>
              <w:spacing w:line="400" w:lineRule="exact"/>
              <w:jc w:val="both"/>
              <w:rPr>
                <w:rFonts w:ascii="標楷體" w:eastAsia="標楷體" w:hAnsi="標楷體"/>
                <w:color w:val="000000"/>
                <w:kern w:val="0"/>
                <w:sz w:val="28"/>
                <w:szCs w:val="28"/>
              </w:rPr>
            </w:pPr>
            <w:r w:rsidRPr="005534EB">
              <w:rPr>
                <w:rFonts w:ascii="標楷體" w:eastAsia="標楷體" w:hAnsi="標楷體"/>
                <w:color w:val="000000"/>
                <w:kern w:val="0"/>
                <w:sz w:val="28"/>
                <w:szCs w:val="28"/>
              </w:rPr>
              <w:t>9-</w:t>
            </w:r>
            <w:r w:rsidRPr="005534EB">
              <w:rPr>
                <w:rFonts w:ascii="標楷體" w:eastAsia="標楷體" w:hAnsi="標楷體" w:hint="eastAsia"/>
                <w:color w:val="000000"/>
                <w:kern w:val="0"/>
                <w:sz w:val="28"/>
                <w:szCs w:val="28"/>
              </w:rPr>
              <w:t>8</w:t>
            </w:r>
            <w:r w:rsidRPr="005534EB">
              <w:rPr>
                <w:rFonts w:ascii="標楷體" w:eastAsia="標楷體" w:hAnsi="標楷體"/>
                <w:color w:val="000000"/>
                <w:kern w:val="0"/>
                <w:sz w:val="28"/>
                <w:szCs w:val="28"/>
              </w:rPr>
              <w:t>-</w:t>
            </w:r>
            <w:r w:rsidRPr="005534EB">
              <w:rPr>
                <w:rFonts w:ascii="標楷體" w:eastAsia="標楷體" w:hAnsi="標楷體" w:hint="eastAsia"/>
                <w:color w:val="000000"/>
                <w:kern w:val="0"/>
                <w:sz w:val="28"/>
                <w:szCs w:val="28"/>
              </w:rPr>
              <w:t>4</w:t>
            </w:r>
          </w:p>
          <w:p w:rsidR="005534EB" w:rsidRPr="005534EB" w:rsidRDefault="005534EB" w:rsidP="005534EB">
            <w:pPr>
              <w:spacing w:line="400" w:lineRule="exact"/>
              <w:rPr>
                <w:rFonts w:ascii="標楷體" w:eastAsia="標楷體" w:hAnsi="標楷體"/>
                <w:color w:val="000000"/>
                <w:kern w:val="0"/>
                <w:sz w:val="28"/>
                <w:szCs w:val="28"/>
              </w:rPr>
            </w:pPr>
            <w:r w:rsidRPr="005534EB">
              <w:rPr>
                <w:rFonts w:ascii="標楷體" w:eastAsia="標楷體" w:hAnsi="標楷體"/>
                <w:color w:val="000000"/>
                <w:kern w:val="0"/>
                <w:sz w:val="28"/>
                <w:szCs w:val="28"/>
              </w:rPr>
              <w:t>(108</w:t>
            </w:r>
            <w:r w:rsidRPr="005534EB">
              <w:rPr>
                <w:rFonts w:ascii="標楷體" w:eastAsia="標楷體" w:hAnsi="標楷體" w:hint="eastAsia"/>
                <w:color w:val="000000"/>
                <w:kern w:val="0"/>
                <w:sz w:val="28"/>
                <w:szCs w:val="28"/>
              </w:rPr>
              <w:t>.10.4</w:t>
            </w:r>
            <w:r w:rsidRPr="005534EB">
              <w:rPr>
                <w:rFonts w:ascii="標楷體" w:eastAsia="標楷體" w:hAnsi="標楷體"/>
                <w:color w:val="000000"/>
                <w:kern w:val="0"/>
                <w:sz w:val="28"/>
                <w:szCs w:val="28"/>
              </w:rPr>
              <w:t>)</w:t>
            </w:r>
          </w:p>
        </w:tc>
        <w:tc>
          <w:tcPr>
            <w:tcW w:w="1333" w:type="dxa"/>
          </w:tcPr>
          <w:p w:rsidR="005534EB" w:rsidRPr="005534EB" w:rsidRDefault="005534EB" w:rsidP="005534EB">
            <w:pPr>
              <w:rPr>
                <w:rFonts w:ascii="標楷體" w:eastAsia="標楷體" w:hAnsi="標楷體"/>
                <w:color w:val="000000"/>
                <w:kern w:val="0"/>
                <w:sz w:val="28"/>
                <w:szCs w:val="28"/>
              </w:rPr>
            </w:pPr>
          </w:p>
        </w:tc>
        <w:tc>
          <w:tcPr>
            <w:tcW w:w="2977" w:type="dxa"/>
          </w:tcPr>
          <w:p w:rsidR="005534EB" w:rsidRPr="005534EB" w:rsidRDefault="005534EB" w:rsidP="005534EB">
            <w:pPr>
              <w:ind w:leftChars="7" w:left="252" w:hangingChars="98" w:hanging="235"/>
              <w:rPr>
                <w:rFonts w:ascii="標楷體" w:eastAsia="標楷體" w:hAnsi="標楷體"/>
                <w:color w:val="000000"/>
              </w:rPr>
            </w:pPr>
            <w:r w:rsidRPr="005534EB">
              <w:rPr>
                <w:rFonts w:ascii="標楷體" w:eastAsia="標楷體" w:hAnsi="標楷體" w:hint="eastAsia"/>
                <w:color w:val="000000"/>
              </w:rPr>
              <w:t>1</w:t>
            </w:r>
            <w:r w:rsidRPr="005534EB">
              <w:rPr>
                <w:rFonts w:ascii="標楷體" w:eastAsia="標楷體" w:hAnsi="標楷體"/>
                <w:color w:val="000000"/>
              </w:rPr>
              <w:t>.</w:t>
            </w:r>
            <w:r w:rsidRPr="005534EB">
              <w:rPr>
                <w:rFonts w:ascii="標楷體" w:eastAsia="標楷體" w:hAnsi="標楷體" w:hint="eastAsia"/>
                <w:color w:val="000000"/>
              </w:rPr>
              <w:t>逾年度預算執行期間，報請院會存查。</w:t>
            </w:r>
          </w:p>
          <w:p w:rsidR="005534EB" w:rsidRPr="005534EB" w:rsidRDefault="005534EB" w:rsidP="004321BC">
            <w:pPr>
              <w:ind w:leftChars="11" w:left="237" w:hangingChars="88" w:hanging="211"/>
              <w:jc w:val="both"/>
              <w:rPr>
                <w:rFonts w:ascii="標楷體" w:eastAsia="標楷體" w:hAnsi="標楷體"/>
                <w:color w:val="000000"/>
              </w:rPr>
            </w:pPr>
            <w:r w:rsidRPr="005534EB">
              <w:rPr>
                <w:rFonts w:ascii="標楷體" w:eastAsia="標楷體" w:hAnsi="標楷體"/>
                <w:color w:val="000000"/>
              </w:rPr>
              <w:t>2.</w:t>
            </w:r>
            <w:r w:rsidRPr="005534EB">
              <w:rPr>
                <w:rFonts w:ascii="標楷體" w:eastAsia="標楷體" w:hAnsi="標楷體" w:hint="eastAsia"/>
                <w:color w:val="000000"/>
              </w:rPr>
              <w:t>第</w:t>
            </w:r>
            <w:r w:rsidRPr="005534EB">
              <w:rPr>
                <w:rFonts w:ascii="標楷體" w:eastAsia="標楷體" w:hAnsi="標楷體"/>
                <w:color w:val="000000"/>
              </w:rPr>
              <w:t>6</w:t>
            </w:r>
            <w:r w:rsidRPr="005534EB">
              <w:rPr>
                <w:rFonts w:ascii="標楷體" w:eastAsia="標楷體" w:hAnsi="標楷體" w:hint="eastAsia"/>
                <w:color w:val="000000"/>
              </w:rPr>
              <w:t>會期第</w:t>
            </w:r>
            <w:r w:rsidRPr="005534EB">
              <w:rPr>
                <w:rFonts w:ascii="標楷體" w:eastAsia="標楷體" w:hAnsi="標楷體"/>
                <w:color w:val="000000"/>
              </w:rPr>
              <w:t>4</w:t>
            </w:r>
            <w:r w:rsidRPr="005534EB">
              <w:rPr>
                <w:rFonts w:ascii="標楷體" w:eastAsia="標楷體" w:hAnsi="標楷體" w:hint="eastAsia"/>
                <w:color w:val="000000"/>
              </w:rPr>
              <w:t>次院會（11</w:t>
            </w:r>
            <w:r w:rsidRPr="005534EB">
              <w:rPr>
                <w:rFonts w:ascii="標楷體" w:eastAsia="標楷體" w:hAnsi="標楷體"/>
                <w:color w:val="000000"/>
              </w:rPr>
              <w:t>1</w:t>
            </w:r>
            <w:r w:rsidRPr="005534EB">
              <w:rPr>
                <w:rFonts w:ascii="標楷體" w:eastAsia="標楷體" w:hAnsi="標楷體" w:hint="eastAsia"/>
                <w:color w:val="000000"/>
              </w:rPr>
              <w:t>.1</w:t>
            </w:r>
            <w:r w:rsidRPr="005534EB">
              <w:rPr>
                <w:rFonts w:ascii="標楷體" w:eastAsia="標楷體" w:hAnsi="標楷體"/>
                <w:color w:val="000000"/>
              </w:rPr>
              <w:t>0</w:t>
            </w:r>
            <w:r w:rsidRPr="005534EB">
              <w:rPr>
                <w:rFonts w:ascii="標楷體" w:eastAsia="標楷體" w:hAnsi="標楷體" w:hint="eastAsia"/>
                <w:color w:val="000000"/>
              </w:rPr>
              <w:t>.</w:t>
            </w:r>
            <w:r w:rsidRPr="005534EB">
              <w:rPr>
                <w:rFonts w:ascii="標楷體" w:eastAsia="標楷體" w:hAnsi="標楷體"/>
                <w:color w:val="000000"/>
              </w:rPr>
              <w:t>14</w:t>
            </w:r>
            <w:r w:rsidRPr="005534EB">
              <w:rPr>
                <w:rFonts w:ascii="標楷體" w:eastAsia="標楷體" w:hAnsi="標楷體" w:hint="eastAsia"/>
                <w:color w:val="000000"/>
              </w:rPr>
              <w:t>）決定：准予備查。</w:t>
            </w:r>
          </w:p>
        </w:tc>
      </w:tr>
      <w:tr w:rsidR="005534EB" w:rsidRPr="005534EB" w:rsidTr="005534EB">
        <w:trPr>
          <w:trHeight w:val="567"/>
        </w:trPr>
        <w:tc>
          <w:tcPr>
            <w:tcW w:w="710" w:type="dxa"/>
            <w:tcBorders>
              <w:top w:val="single" w:sz="4" w:space="0" w:color="auto"/>
              <w:left w:val="single" w:sz="4" w:space="0" w:color="auto"/>
              <w:bottom w:val="single" w:sz="4" w:space="0" w:color="auto"/>
              <w:right w:val="single" w:sz="4" w:space="0" w:color="auto"/>
            </w:tcBorders>
            <w:vAlign w:val="center"/>
          </w:tcPr>
          <w:p w:rsidR="005534EB" w:rsidRPr="005534EB" w:rsidRDefault="005534EB" w:rsidP="006934DD">
            <w:pPr>
              <w:numPr>
                <w:ilvl w:val="0"/>
                <w:numId w:val="44"/>
              </w:numPr>
              <w:spacing w:line="400" w:lineRule="exact"/>
              <w:ind w:right="113"/>
              <w:jc w:val="center"/>
              <w:rPr>
                <w:rFonts w:ascii="標楷體" w:eastAsia="標楷體" w:hAnsi="標楷體"/>
                <w:sz w:val="32"/>
              </w:rPr>
            </w:pPr>
          </w:p>
        </w:tc>
        <w:tc>
          <w:tcPr>
            <w:tcW w:w="3654" w:type="dxa"/>
          </w:tcPr>
          <w:p w:rsidR="005534EB" w:rsidRPr="005534EB" w:rsidRDefault="005534EB" w:rsidP="005534EB">
            <w:pPr>
              <w:spacing w:line="400" w:lineRule="exact"/>
              <w:jc w:val="both"/>
              <w:rPr>
                <w:rFonts w:ascii="標楷體" w:eastAsia="標楷體" w:hAnsi="標楷體"/>
                <w:color w:val="000000"/>
                <w:kern w:val="0"/>
                <w:sz w:val="28"/>
                <w:szCs w:val="28"/>
              </w:rPr>
            </w:pPr>
            <w:r w:rsidRPr="005534EB">
              <w:rPr>
                <w:rFonts w:ascii="標楷體" w:eastAsia="標楷體" w:hAnsi="標楷體" w:hint="eastAsia"/>
                <w:color w:val="000000"/>
                <w:kern w:val="0"/>
                <w:sz w:val="28"/>
                <w:szCs w:val="28"/>
              </w:rPr>
              <w:t>文化部函送財團法人國家文化藝術基金會等13家財團法人109年度預算書及相關資料案。</w:t>
            </w:r>
          </w:p>
        </w:tc>
        <w:tc>
          <w:tcPr>
            <w:tcW w:w="1533" w:type="dxa"/>
          </w:tcPr>
          <w:p w:rsidR="005534EB" w:rsidRPr="005534EB" w:rsidRDefault="005534EB" w:rsidP="005534EB">
            <w:pPr>
              <w:spacing w:line="400" w:lineRule="exact"/>
              <w:jc w:val="both"/>
              <w:rPr>
                <w:rFonts w:ascii="標楷體" w:eastAsia="標楷體" w:hAnsi="標楷體"/>
                <w:color w:val="000000"/>
                <w:kern w:val="0"/>
                <w:sz w:val="28"/>
                <w:szCs w:val="28"/>
              </w:rPr>
            </w:pPr>
            <w:r w:rsidRPr="005534EB">
              <w:rPr>
                <w:rFonts w:ascii="標楷體" w:eastAsia="標楷體" w:hAnsi="標楷體"/>
                <w:color w:val="000000"/>
                <w:kern w:val="0"/>
                <w:sz w:val="28"/>
                <w:szCs w:val="28"/>
              </w:rPr>
              <w:t>9-</w:t>
            </w:r>
            <w:r w:rsidRPr="005534EB">
              <w:rPr>
                <w:rFonts w:ascii="標楷體" w:eastAsia="標楷體" w:hAnsi="標楷體" w:hint="eastAsia"/>
                <w:color w:val="000000"/>
                <w:kern w:val="0"/>
                <w:sz w:val="28"/>
                <w:szCs w:val="28"/>
              </w:rPr>
              <w:t>8</w:t>
            </w:r>
            <w:r w:rsidRPr="005534EB">
              <w:rPr>
                <w:rFonts w:ascii="標楷體" w:eastAsia="標楷體" w:hAnsi="標楷體"/>
                <w:color w:val="000000"/>
                <w:kern w:val="0"/>
                <w:sz w:val="28"/>
                <w:szCs w:val="28"/>
              </w:rPr>
              <w:t>-</w:t>
            </w:r>
            <w:r w:rsidRPr="005534EB">
              <w:rPr>
                <w:rFonts w:ascii="標楷體" w:eastAsia="標楷體" w:hAnsi="標楷體" w:hint="eastAsia"/>
                <w:color w:val="000000"/>
                <w:kern w:val="0"/>
                <w:sz w:val="28"/>
                <w:szCs w:val="28"/>
              </w:rPr>
              <w:t>4</w:t>
            </w:r>
          </w:p>
          <w:p w:rsidR="005534EB" w:rsidRPr="005534EB" w:rsidRDefault="005534EB" w:rsidP="005534EB">
            <w:pPr>
              <w:spacing w:line="400" w:lineRule="exact"/>
              <w:rPr>
                <w:rFonts w:ascii="標楷體" w:eastAsia="標楷體" w:hAnsi="標楷體"/>
                <w:color w:val="000000"/>
                <w:kern w:val="0"/>
                <w:sz w:val="28"/>
                <w:szCs w:val="28"/>
              </w:rPr>
            </w:pPr>
            <w:r w:rsidRPr="005534EB">
              <w:rPr>
                <w:rFonts w:ascii="標楷體" w:eastAsia="標楷體" w:hAnsi="標楷體"/>
                <w:color w:val="000000"/>
                <w:kern w:val="0"/>
                <w:sz w:val="28"/>
                <w:szCs w:val="28"/>
              </w:rPr>
              <w:t>(108</w:t>
            </w:r>
            <w:r w:rsidRPr="005534EB">
              <w:rPr>
                <w:rFonts w:ascii="標楷體" w:eastAsia="標楷體" w:hAnsi="標楷體" w:hint="eastAsia"/>
                <w:color w:val="000000"/>
                <w:kern w:val="0"/>
                <w:sz w:val="28"/>
                <w:szCs w:val="28"/>
              </w:rPr>
              <w:t>.10.4</w:t>
            </w:r>
            <w:r w:rsidRPr="005534EB">
              <w:rPr>
                <w:rFonts w:ascii="標楷體" w:eastAsia="標楷體" w:hAnsi="標楷體"/>
                <w:color w:val="000000"/>
                <w:kern w:val="0"/>
                <w:sz w:val="28"/>
                <w:szCs w:val="28"/>
              </w:rPr>
              <w:t>)</w:t>
            </w:r>
          </w:p>
        </w:tc>
        <w:tc>
          <w:tcPr>
            <w:tcW w:w="1333" w:type="dxa"/>
          </w:tcPr>
          <w:p w:rsidR="005534EB" w:rsidRPr="005534EB" w:rsidRDefault="005534EB" w:rsidP="005534EB">
            <w:pPr>
              <w:rPr>
                <w:rFonts w:ascii="標楷體" w:eastAsia="標楷體" w:hAnsi="標楷體"/>
                <w:color w:val="000000"/>
                <w:kern w:val="0"/>
                <w:sz w:val="28"/>
                <w:szCs w:val="28"/>
              </w:rPr>
            </w:pPr>
          </w:p>
        </w:tc>
        <w:tc>
          <w:tcPr>
            <w:tcW w:w="2977" w:type="dxa"/>
          </w:tcPr>
          <w:p w:rsidR="005534EB" w:rsidRPr="005534EB" w:rsidRDefault="004321BC" w:rsidP="004321BC">
            <w:pPr>
              <w:adjustRightInd w:val="0"/>
              <w:snapToGrid w:val="0"/>
              <w:spacing w:line="240" w:lineRule="atLeast"/>
              <w:ind w:left="240" w:hangingChars="100" w:hanging="240"/>
              <w:rPr>
                <w:rFonts w:ascii="標楷體" w:eastAsia="標楷體" w:hAnsi="標楷體"/>
                <w:color w:val="000000"/>
              </w:rPr>
            </w:pPr>
            <w:r>
              <w:rPr>
                <w:rFonts w:ascii="標楷體" w:eastAsia="標楷體" w:hAnsi="標楷體" w:hint="eastAsia"/>
                <w:color w:val="000000"/>
              </w:rPr>
              <w:t>1</w:t>
            </w:r>
            <w:r>
              <w:rPr>
                <w:rFonts w:ascii="標楷體" w:eastAsia="標楷體" w:hAnsi="標楷體"/>
                <w:color w:val="000000"/>
              </w:rPr>
              <w:t>.</w:t>
            </w:r>
            <w:r w:rsidR="005534EB" w:rsidRPr="005534EB">
              <w:rPr>
                <w:rFonts w:ascii="標楷體" w:eastAsia="標楷體" w:hAnsi="標楷體" w:hint="eastAsia"/>
                <w:color w:val="000000"/>
              </w:rPr>
              <w:t>第9屆第8會期第6次全體委員會議</w:t>
            </w:r>
            <w:r>
              <w:rPr>
                <w:rFonts w:ascii="標楷體" w:eastAsia="標楷體" w:hAnsi="標楷體" w:hint="eastAsia"/>
                <w:color w:val="000000"/>
              </w:rPr>
              <w:t>(</w:t>
            </w:r>
            <w:r w:rsidR="005534EB" w:rsidRPr="005534EB">
              <w:rPr>
                <w:rFonts w:ascii="標楷體" w:eastAsia="標楷體" w:hAnsi="標楷體" w:hint="eastAsia"/>
                <w:color w:val="000000"/>
              </w:rPr>
              <w:t>108.10.23）決議：</w:t>
            </w:r>
            <w:r w:rsidR="005534EB" w:rsidRPr="005534EB">
              <w:rPr>
                <w:rFonts w:ascii="標楷體" w:eastAsia="標楷體" w:hAnsi="標楷體" w:hint="eastAsia"/>
                <w:bCs/>
                <w:color w:val="000000"/>
              </w:rPr>
              <w:t>報告及詢答完畢，</w:t>
            </w:r>
            <w:r w:rsidR="005534EB" w:rsidRPr="005534EB">
              <w:rPr>
                <w:rFonts w:ascii="標楷體" w:eastAsia="標楷體" w:hAnsi="標楷體" w:hint="eastAsia"/>
                <w:color w:val="000000"/>
              </w:rPr>
              <w:t>另定期繼續審查。</w:t>
            </w:r>
          </w:p>
          <w:p w:rsidR="005534EB" w:rsidRPr="005534EB" w:rsidRDefault="004321BC" w:rsidP="004321BC">
            <w:pPr>
              <w:adjustRightInd w:val="0"/>
              <w:snapToGrid w:val="0"/>
              <w:spacing w:line="240" w:lineRule="atLeast"/>
              <w:ind w:left="240" w:hangingChars="100" w:hanging="240"/>
              <w:rPr>
                <w:rFonts w:ascii="標楷體" w:eastAsia="標楷體" w:hAnsi="標楷體"/>
                <w:color w:val="000000"/>
              </w:rPr>
            </w:pPr>
            <w:r>
              <w:rPr>
                <w:rFonts w:ascii="標楷體" w:eastAsia="標楷體" w:hAnsi="標楷體" w:hint="eastAsia"/>
                <w:color w:val="000000"/>
              </w:rPr>
              <w:t>2</w:t>
            </w:r>
            <w:r>
              <w:rPr>
                <w:rFonts w:ascii="標楷體" w:eastAsia="標楷體" w:hAnsi="標楷體"/>
                <w:color w:val="000000"/>
              </w:rPr>
              <w:t>.</w:t>
            </w:r>
            <w:r w:rsidR="005534EB" w:rsidRPr="005534EB">
              <w:rPr>
                <w:rFonts w:ascii="標楷體" w:eastAsia="標楷體" w:hAnsi="標楷體" w:hint="eastAsia"/>
                <w:color w:val="000000"/>
              </w:rPr>
              <w:t>逾年度預算執行期間，報請院會存查。</w:t>
            </w:r>
          </w:p>
          <w:p w:rsidR="005534EB" w:rsidRPr="005534EB" w:rsidRDefault="004321BC" w:rsidP="004321BC">
            <w:pPr>
              <w:adjustRightInd w:val="0"/>
              <w:snapToGrid w:val="0"/>
              <w:spacing w:line="240" w:lineRule="atLeast"/>
              <w:ind w:left="240" w:hangingChars="100" w:hanging="240"/>
              <w:rPr>
                <w:rFonts w:ascii="標楷體" w:eastAsia="標楷體" w:hAnsi="標楷體"/>
                <w:color w:val="000000"/>
              </w:rPr>
            </w:pPr>
            <w:r>
              <w:rPr>
                <w:rFonts w:ascii="標楷體" w:eastAsia="標楷體" w:hAnsi="標楷體" w:hint="eastAsia"/>
                <w:color w:val="000000"/>
              </w:rPr>
              <w:t>3</w:t>
            </w:r>
            <w:r>
              <w:rPr>
                <w:rFonts w:ascii="標楷體" w:eastAsia="標楷體" w:hAnsi="標楷體"/>
                <w:color w:val="000000"/>
              </w:rPr>
              <w:t>.</w:t>
            </w:r>
            <w:r w:rsidR="005534EB" w:rsidRPr="004321BC">
              <w:rPr>
                <w:rFonts w:ascii="標楷體" w:eastAsia="標楷體" w:hAnsi="標楷體" w:hint="eastAsia"/>
                <w:color w:val="000000"/>
                <w:spacing w:val="26"/>
              </w:rPr>
              <w:t>第</w:t>
            </w:r>
            <w:r w:rsidR="005534EB" w:rsidRPr="004321BC">
              <w:rPr>
                <w:rFonts w:ascii="標楷體" w:eastAsia="標楷體" w:hAnsi="標楷體"/>
                <w:color w:val="000000"/>
                <w:spacing w:val="26"/>
              </w:rPr>
              <w:t>6</w:t>
            </w:r>
            <w:r w:rsidR="005534EB" w:rsidRPr="004321BC">
              <w:rPr>
                <w:rFonts w:ascii="標楷體" w:eastAsia="標楷體" w:hAnsi="標楷體" w:hint="eastAsia"/>
                <w:color w:val="000000"/>
                <w:spacing w:val="26"/>
              </w:rPr>
              <w:t>會期第</w:t>
            </w:r>
            <w:r w:rsidR="005534EB" w:rsidRPr="004321BC">
              <w:rPr>
                <w:rFonts w:ascii="標楷體" w:eastAsia="標楷體" w:hAnsi="標楷體"/>
                <w:color w:val="000000"/>
                <w:spacing w:val="26"/>
              </w:rPr>
              <w:t>4</w:t>
            </w:r>
            <w:r w:rsidR="005534EB" w:rsidRPr="004321BC">
              <w:rPr>
                <w:rFonts w:ascii="標楷體" w:eastAsia="標楷體" w:hAnsi="標楷體" w:hint="eastAsia"/>
                <w:color w:val="000000"/>
                <w:spacing w:val="26"/>
              </w:rPr>
              <w:t>次院會</w:t>
            </w:r>
            <w:r w:rsidR="005534EB" w:rsidRPr="005534EB">
              <w:rPr>
                <w:rFonts w:ascii="標楷體" w:eastAsia="標楷體" w:hAnsi="標楷體" w:hint="eastAsia"/>
                <w:color w:val="000000"/>
              </w:rPr>
              <w:t>（11</w:t>
            </w:r>
            <w:r w:rsidR="005534EB" w:rsidRPr="005534EB">
              <w:rPr>
                <w:rFonts w:ascii="標楷體" w:eastAsia="標楷體" w:hAnsi="標楷體"/>
                <w:color w:val="000000"/>
              </w:rPr>
              <w:t>1</w:t>
            </w:r>
            <w:r w:rsidR="005534EB" w:rsidRPr="005534EB">
              <w:rPr>
                <w:rFonts w:ascii="標楷體" w:eastAsia="標楷體" w:hAnsi="標楷體" w:hint="eastAsia"/>
                <w:color w:val="000000"/>
              </w:rPr>
              <w:t>.1</w:t>
            </w:r>
            <w:r w:rsidR="005534EB" w:rsidRPr="005534EB">
              <w:rPr>
                <w:rFonts w:ascii="標楷體" w:eastAsia="標楷體" w:hAnsi="標楷體"/>
                <w:color w:val="000000"/>
              </w:rPr>
              <w:t>0</w:t>
            </w:r>
            <w:r w:rsidR="005534EB" w:rsidRPr="005534EB">
              <w:rPr>
                <w:rFonts w:ascii="標楷體" w:eastAsia="標楷體" w:hAnsi="標楷體" w:hint="eastAsia"/>
                <w:color w:val="000000"/>
              </w:rPr>
              <w:t>.</w:t>
            </w:r>
            <w:r w:rsidR="005534EB" w:rsidRPr="005534EB">
              <w:rPr>
                <w:rFonts w:ascii="標楷體" w:eastAsia="標楷體" w:hAnsi="標楷體"/>
                <w:color w:val="000000"/>
              </w:rPr>
              <w:t>14</w:t>
            </w:r>
            <w:r w:rsidR="005534EB" w:rsidRPr="005534EB">
              <w:rPr>
                <w:rFonts w:ascii="標楷體" w:eastAsia="標楷體" w:hAnsi="標楷體" w:hint="eastAsia"/>
                <w:color w:val="000000"/>
              </w:rPr>
              <w:t>）決定：准予備查。</w:t>
            </w:r>
          </w:p>
        </w:tc>
      </w:tr>
      <w:tr w:rsidR="005534EB" w:rsidRPr="005534EB" w:rsidTr="005534EB">
        <w:trPr>
          <w:trHeight w:val="567"/>
        </w:trPr>
        <w:tc>
          <w:tcPr>
            <w:tcW w:w="710" w:type="dxa"/>
            <w:tcBorders>
              <w:top w:val="single" w:sz="4" w:space="0" w:color="auto"/>
              <w:left w:val="single" w:sz="4" w:space="0" w:color="auto"/>
              <w:bottom w:val="single" w:sz="4" w:space="0" w:color="auto"/>
              <w:right w:val="single" w:sz="4" w:space="0" w:color="auto"/>
            </w:tcBorders>
            <w:vAlign w:val="center"/>
          </w:tcPr>
          <w:p w:rsidR="005534EB" w:rsidRPr="005534EB" w:rsidRDefault="005534EB" w:rsidP="006934DD">
            <w:pPr>
              <w:numPr>
                <w:ilvl w:val="0"/>
                <w:numId w:val="44"/>
              </w:numPr>
              <w:spacing w:line="400" w:lineRule="exact"/>
              <w:ind w:right="113"/>
              <w:jc w:val="center"/>
              <w:rPr>
                <w:rFonts w:ascii="標楷體" w:eastAsia="標楷體" w:hAnsi="標楷體"/>
                <w:sz w:val="32"/>
              </w:rPr>
            </w:pPr>
          </w:p>
        </w:tc>
        <w:tc>
          <w:tcPr>
            <w:tcW w:w="3654" w:type="dxa"/>
          </w:tcPr>
          <w:p w:rsidR="005534EB" w:rsidRPr="005534EB" w:rsidRDefault="005534EB" w:rsidP="005534EB">
            <w:pPr>
              <w:spacing w:line="400" w:lineRule="exact"/>
              <w:jc w:val="both"/>
              <w:rPr>
                <w:rFonts w:ascii="標楷體" w:eastAsia="標楷體" w:hAnsi="標楷體"/>
                <w:color w:val="000000"/>
                <w:kern w:val="0"/>
                <w:sz w:val="28"/>
                <w:szCs w:val="28"/>
              </w:rPr>
            </w:pPr>
            <w:r w:rsidRPr="005534EB">
              <w:rPr>
                <w:rFonts w:ascii="標楷體" w:eastAsia="標楷體" w:hAnsi="標楷體" w:hint="eastAsia"/>
                <w:color w:val="000000"/>
                <w:kern w:val="0"/>
                <w:sz w:val="28"/>
                <w:szCs w:val="28"/>
              </w:rPr>
              <w:t>行政院原子能委員會函送財團法人中華民國輻射防護協會及財團法人核能資訊中心109年度預算書案。</w:t>
            </w:r>
          </w:p>
        </w:tc>
        <w:tc>
          <w:tcPr>
            <w:tcW w:w="1533" w:type="dxa"/>
          </w:tcPr>
          <w:p w:rsidR="005534EB" w:rsidRPr="005534EB" w:rsidRDefault="005534EB" w:rsidP="005534EB">
            <w:pPr>
              <w:spacing w:line="400" w:lineRule="exact"/>
              <w:jc w:val="both"/>
              <w:rPr>
                <w:rFonts w:ascii="標楷體" w:eastAsia="標楷體" w:hAnsi="標楷體"/>
                <w:color w:val="000000"/>
                <w:kern w:val="0"/>
                <w:sz w:val="28"/>
                <w:szCs w:val="28"/>
              </w:rPr>
            </w:pPr>
            <w:r w:rsidRPr="005534EB">
              <w:rPr>
                <w:rFonts w:ascii="標楷體" w:eastAsia="標楷體" w:hAnsi="標楷體"/>
                <w:color w:val="000000"/>
                <w:kern w:val="0"/>
                <w:sz w:val="28"/>
                <w:szCs w:val="28"/>
              </w:rPr>
              <w:t>9-</w:t>
            </w:r>
            <w:r w:rsidRPr="005534EB">
              <w:rPr>
                <w:rFonts w:ascii="標楷體" w:eastAsia="標楷體" w:hAnsi="標楷體" w:hint="eastAsia"/>
                <w:color w:val="000000"/>
                <w:kern w:val="0"/>
                <w:sz w:val="28"/>
                <w:szCs w:val="28"/>
              </w:rPr>
              <w:t>8</w:t>
            </w:r>
            <w:r w:rsidRPr="005534EB">
              <w:rPr>
                <w:rFonts w:ascii="標楷體" w:eastAsia="標楷體" w:hAnsi="標楷體"/>
                <w:color w:val="000000"/>
                <w:kern w:val="0"/>
                <w:sz w:val="28"/>
                <w:szCs w:val="28"/>
              </w:rPr>
              <w:t>-</w:t>
            </w:r>
            <w:r w:rsidRPr="005534EB">
              <w:rPr>
                <w:rFonts w:ascii="標楷體" w:eastAsia="標楷體" w:hAnsi="標楷體" w:hint="eastAsia"/>
                <w:color w:val="000000"/>
                <w:kern w:val="0"/>
                <w:sz w:val="28"/>
                <w:szCs w:val="28"/>
              </w:rPr>
              <w:t>4</w:t>
            </w:r>
          </w:p>
          <w:p w:rsidR="005534EB" w:rsidRPr="005534EB" w:rsidRDefault="005534EB" w:rsidP="005534EB">
            <w:pPr>
              <w:spacing w:line="400" w:lineRule="exact"/>
              <w:rPr>
                <w:rFonts w:ascii="標楷體" w:eastAsia="標楷體" w:hAnsi="標楷體"/>
                <w:color w:val="000000"/>
                <w:kern w:val="0"/>
                <w:sz w:val="28"/>
                <w:szCs w:val="28"/>
              </w:rPr>
            </w:pPr>
            <w:r w:rsidRPr="005534EB">
              <w:rPr>
                <w:rFonts w:ascii="標楷體" w:eastAsia="標楷體" w:hAnsi="標楷體"/>
                <w:color w:val="000000"/>
                <w:kern w:val="0"/>
                <w:sz w:val="28"/>
                <w:szCs w:val="28"/>
              </w:rPr>
              <w:t>(108</w:t>
            </w:r>
            <w:r w:rsidRPr="005534EB">
              <w:rPr>
                <w:rFonts w:ascii="標楷體" w:eastAsia="標楷體" w:hAnsi="標楷體" w:hint="eastAsia"/>
                <w:color w:val="000000"/>
                <w:kern w:val="0"/>
                <w:sz w:val="28"/>
                <w:szCs w:val="28"/>
              </w:rPr>
              <w:t>.10.4</w:t>
            </w:r>
            <w:r w:rsidRPr="005534EB">
              <w:rPr>
                <w:rFonts w:ascii="標楷體" w:eastAsia="標楷體" w:hAnsi="標楷體"/>
                <w:color w:val="000000"/>
                <w:kern w:val="0"/>
                <w:sz w:val="28"/>
                <w:szCs w:val="28"/>
              </w:rPr>
              <w:t>)</w:t>
            </w:r>
          </w:p>
        </w:tc>
        <w:tc>
          <w:tcPr>
            <w:tcW w:w="1333" w:type="dxa"/>
          </w:tcPr>
          <w:p w:rsidR="005534EB" w:rsidRPr="005534EB" w:rsidRDefault="005534EB" w:rsidP="005534EB">
            <w:pPr>
              <w:rPr>
                <w:rFonts w:ascii="標楷體" w:eastAsia="標楷體" w:hAnsi="標楷體"/>
                <w:color w:val="000000"/>
                <w:kern w:val="0"/>
                <w:sz w:val="28"/>
                <w:szCs w:val="28"/>
              </w:rPr>
            </w:pPr>
          </w:p>
        </w:tc>
        <w:tc>
          <w:tcPr>
            <w:tcW w:w="2977" w:type="dxa"/>
          </w:tcPr>
          <w:p w:rsidR="005534EB" w:rsidRPr="005534EB" w:rsidRDefault="005534EB" w:rsidP="005534EB">
            <w:pPr>
              <w:ind w:leftChars="7" w:left="252" w:hangingChars="98" w:hanging="235"/>
              <w:rPr>
                <w:rFonts w:ascii="標楷體" w:eastAsia="標楷體" w:hAnsi="標楷體"/>
                <w:color w:val="000000"/>
              </w:rPr>
            </w:pPr>
            <w:r w:rsidRPr="005534EB">
              <w:rPr>
                <w:rFonts w:ascii="標楷體" w:eastAsia="標楷體" w:hAnsi="標楷體" w:hint="eastAsia"/>
                <w:color w:val="000000"/>
              </w:rPr>
              <w:t>1</w:t>
            </w:r>
            <w:r w:rsidRPr="005534EB">
              <w:rPr>
                <w:rFonts w:ascii="標楷體" w:eastAsia="標楷體" w:hAnsi="標楷體"/>
                <w:color w:val="000000"/>
              </w:rPr>
              <w:t>.</w:t>
            </w:r>
            <w:r w:rsidRPr="005534EB">
              <w:rPr>
                <w:rFonts w:ascii="標楷體" w:eastAsia="標楷體" w:hAnsi="標楷體" w:hint="eastAsia"/>
                <w:color w:val="000000"/>
              </w:rPr>
              <w:t>逾年度預算執行期間，報請院會存查。</w:t>
            </w:r>
          </w:p>
          <w:p w:rsidR="005534EB" w:rsidRPr="005534EB" w:rsidRDefault="005534EB" w:rsidP="004321BC">
            <w:pPr>
              <w:ind w:leftChars="8" w:left="240" w:hangingChars="92" w:hanging="221"/>
              <w:jc w:val="both"/>
              <w:rPr>
                <w:rFonts w:ascii="標楷體" w:eastAsia="標楷體" w:hAnsi="標楷體"/>
                <w:color w:val="000000"/>
                <w:kern w:val="0"/>
                <w:sz w:val="28"/>
                <w:szCs w:val="28"/>
              </w:rPr>
            </w:pPr>
            <w:r w:rsidRPr="005534EB">
              <w:rPr>
                <w:rFonts w:ascii="標楷體" w:eastAsia="標楷體" w:hAnsi="標楷體"/>
                <w:color w:val="000000"/>
              </w:rPr>
              <w:t>2.</w:t>
            </w:r>
            <w:r w:rsidRPr="005534EB">
              <w:rPr>
                <w:rFonts w:ascii="標楷體" w:eastAsia="標楷體" w:hAnsi="標楷體" w:hint="eastAsia"/>
                <w:color w:val="000000"/>
              </w:rPr>
              <w:t>第6會期第4次院會（111.10.14）決定：准予備查。</w:t>
            </w:r>
            <w:r w:rsidRPr="005534EB">
              <w:rPr>
                <w:rFonts w:ascii="標楷體" w:eastAsia="標楷體" w:hAnsi="標楷體" w:hint="eastAsia"/>
                <w:color w:val="000000"/>
                <w:kern w:val="0"/>
                <w:sz w:val="28"/>
                <w:szCs w:val="28"/>
              </w:rPr>
              <w:t xml:space="preserve"> </w:t>
            </w:r>
          </w:p>
        </w:tc>
      </w:tr>
      <w:tr w:rsidR="005534EB" w:rsidRPr="005534EB" w:rsidTr="005534EB">
        <w:trPr>
          <w:trHeight w:val="567"/>
        </w:trPr>
        <w:tc>
          <w:tcPr>
            <w:tcW w:w="710" w:type="dxa"/>
            <w:tcBorders>
              <w:top w:val="single" w:sz="4" w:space="0" w:color="auto"/>
              <w:left w:val="single" w:sz="4" w:space="0" w:color="auto"/>
              <w:bottom w:val="single" w:sz="4" w:space="0" w:color="auto"/>
              <w:right w:val="single" w:sz="4" w:space="0" w:color="auto"/>
            </w:tcBorders>
            <w:vAlign w:val="center"/>
          </w:tcPr>
          <w:p w:rsidR="005534EB" w:rsidRPr="005534EB" w:rsidRDefault="005534EB" w:rsidP="006934DD">
            <w:pPr>
              <w:numPr>
                <w:ilvl w:val="0"/>
                <w:numId w:val="44"/>
              </w:numPr>
              <w:spacing w:line="400" w:lineRule="exact"/>
              <w:ind w:right="113"/>
              <w:jc w:val="center"/>
              <w:rPr>
                <w:rFonts w:ascii="標楷體" w:eastAsia="標楷體" w:hAnsi="標楷體"/>
                <w:sz w:val="32"/>
              </w:rPr>
            </w:pPr>
          </w:p>
        </w:tc>
        <w:tc>
          <w:tcPr>
            <w:tcW w:w="3654" w:type="dxa"/>
          </w:tcPr>
          <w:p w:rsidR="005534EB" w:rsidRPr="005534EB" w:rsidRDefault="005534EB" w:rsidP="005534EB">
            <w:pPr>
              <w:spacing w:line="400" w:lineRule="exact"/>
              <w:ind w:leftChars="-12" w:left="-29"/>
              <w:jc w:val="both"/>
              <w:rPr>
                <w:rFonts w:ascii="標楷體" w:eastAsia="標楷體" w:hAnsi="標楷體"/>
                <w:color w:val="000000"/>
                <w:sz w:val="28"/>
              </w:rPr>
            </w:pPr>
            <w:r w:rsidRPr="005534EB">
              <w:rPr>
                <w:rFonts w:ascii="標楷體" w:eastAsia="標楷體" w:hAnsi="標楷體" w:hint="eastAsia"/>
                <w:color w:val="000000"/>
                <w:sz w:val="28"/>
              </w:rPr>
              <w:t>教育部函送財團法人高等教育評鑑中心基金會等10家財團法人109年度決算書案。</w:t>
            </w:r>
          </w:p>
        </w:tc>
        <w:tc>
          <w:tcPr>
            <w:tcW w:w="1533" w:type="dxa"/>
          </w:tcPr>
          <w:p w:rsidR="005534EB" w:rsidRPr="004321BC" w:rsidRDefault="005534EB" w:rsidP="004321BC">
            <w:pPr>
              <w:spacing w:line="400" w:lineRule="exact"/>
              <w:jc w:val="both"/>
              <w:rPr>
                <w:rFonts w:ascii="標楷體" w:eastAsia="標楷體" w:hAnsi="標楷體"/>
                <w:color w:val="000000"/>
                <w:kern w:val="0"/>
                <w:sz w:val="28"/>
                <w:szCs w:val="28"/>
              </w:rPr>
            </w:pPr>
            <w:r w:rsidRPr="004321BC">
              <w:rPr>
                <w:rFonts w:ascii="標楷體" w:eastAsia="標楷體" w:hAnsi="標楷體"/>
                <w:color w:val="000000"/>
                <w:kern w:val="0"/>
                <w:sz w:val="28"/>
                <w:szCs w:val="28"/>
              </w:rPr>
              <w:t>10-</w:t>
            </w:r>
            <w:r w:rsidRPr="004321BC">
              <w:rPr>
                <w:rFonts w:ascii="標楷體" w:eastAsia="標楷體" w:hAnsi="標楷體" w:hint="eastAsia"/>
                <w:color w:val="000000"/>
                <w:kern w:val="0"/>
                <w:sz w:val="28"/>
                <w:szCs w:val="28"/>
              </w:rPr>
              <w:t>3</w:t>
            </w:r>
            <w:r w:rsidRPr="004321BC">
              <w:rPr>
                <w:rFonts w:ascii="標楷體" w:eastAsia="標楷體" w:hAnsi="標楷體"/>
                <w:color w:val="000000"/>
                <w:kern w:val="0"/>
                <w:sz w:val="28"/>
                <w:szCs w:val="28"/>
              </w:rPr>
              <w:t>-</w:t>
            </w:r>
            <w:r w:rsidRPr="004321BC">
              <w:rPr>
                <w:rFonts w:ascii="標楷體" w:eastAsia="標楷體" w:hAnsi="標楷體" w:hint="eastAsia"/>
                <w:color w:val="000000"/>
                <w:kern w:val="0"/>
                <w:sz w:val="28"/>
                <w:szCs w:val="28"/>
              </w:rPr>
              <w:t>14</w:t>
            </w:r>
          </w:p>
          <w:p w:rsidR="005534EB" w:rsidRPr="005534EB" w:rsidRDefault="005534EB" w:rsidP="004321BC">
            <w:pPr>
              <w:spacing w:line="400" w:lineRule="exact"/>
              <w:jc w:val="both"/>
              <w:rPr>
                <w:rFonts w:ascii="標楷體" w:eastAsia="標楷體" w:hAnsi="標楷體"/>
                <w:color w:val="000000"/>
                <w:sz w:val="28"/>
                <w:szCs w:val="28"/>
              </w:rPr>
            </w:pPr>
            <w:r w:rsidRPr="004321BC">
              <w:rPr>
                <w:rFonts w:ascii="標楷體" w:eastAsia="標楷體" w:hAnsi="標楷體"/>
                <w:color w:val="000000"/>
                <w:kern w:val="0"/>
                <w:sz w:val="28"/>
                <w:szCs w:val="28"/>
              </w:rPr>
              <w:t>(110</w:t>
            </w:r>
            <w:r w:rsidRPr="004321BC">
              <w:rPr>
                <w:rFonts w:ascii="標楷體" w:eastAsia="標楷體" w:hAnsi="標楷體" w:hint="eastAsia"/>
                <w:color w:val="000000"/>
                <w:kern w:val="0"/>
                <w:sz w:val="28"/>
                <w:szCs w:val="28"/>
              </w:rPr>
              <w:t>.5.31</w:t>
            </w:r>
            <w:r w:rsidRPr="004321BC">
              <w:rPr>
                <w:rFonts w:ascii="標楷體" w:eastAsia="標楷體" w:hAnsi="標楷體"/>
                <w:color w:val="000000"/>
                <w:kern w:val="0"/>
                <w:sz w:val="28"/>
                <w:szCs w:val="28"/>
              </w:rPr>
              <w:t>)</w:t>
            </w:r>
          </w:p>
        </w:tc>
        <w:tc>
          <w:tcPr>
            <w:tcW w:w="1333" w:type="dxa"/>
          </w:tcPr>
          <w:p w:rsidR="005534EB" w:rsidRPr="005534EB" w:rsidRDefault="005534EB" w:rsidP="005534EB">
            <w:pPr>
              <w:jc w:val="both"/>
              <w:rPr>
                <w:rFonts w:ascii="標楷體" w:eastAsia="標楷體" w:hAnsi="標楷體"/>
                <w:color w:val="000000"/>
                <w:sz w:val="28"/>
                <w:szCs w:val="28"/>
              </w:rPr>
            </w:pPr>
          </w:p>
        </w:tc>
        <w:tc>
          <w:tcPr>
            <w:tcW w:w="2977" w:type="dxa"/>
          </w:tcPr>
          <w:p w:rsidR="005534EB" w:rsidRPr="005534EB" w:rsidRDefault="005534EB" w:rsidP="005534EB">
            <w:pPr>
              <w:ind w:leftChars="7" w:left="252" w:hangingChars="98" w:hanging="235"/>
              <w:rPr>
                <w:rFonts w:ascii="標楷體" w:eastAsia="標楷體" w:hAnsi="標楷體"/>
                <w:color w:val="000000"/>
              </w:rPr>
            </w:pPr>
            <w:r w:rsidRPr="005534EB">
              <w:rPr>
                <w:rFonts w:ascii="標楷體" w:eastAsia="標楷體" w:hAnsi="標楷體" w:hint="eastAsia"/>
                <w:color w:val="000000"/>
              </w:rPr>
              <w:t>1</w:t>
            </w:r>
            <w:r w:rsidRPr="005534EB">
              <w:rPr>
                <w:rFonts w:ascii="標楷體" w:eastAsia="標楷體" w:hAnsi="標楷體"/>
                <w:color w:val="000000"/>
              </w:rPr>
              <w:t>.</w:t>
            </w:r>
            <w:r w:rsidRPr="005534EB">
              <w:rPr>
                <w:rFonts w:ascii="標楷體" w:eastAsia="標楷體" w:hAnsi="標楷體" w:hint="eastAsia"/>
                <w:color w:val="000000"/>
              </w:rPr>
              <w:t>逾年度預算執行期間，報請院會存查。</w:t>
            </w:r>
          </w:p>
          <w:p w:rsidR="005534EB" w:rsidRPr="005534EB" w:rsidRDefault="005534EB" w:rsidP="004321BC">
            <w:pPr>
              <w:ind w:leftChars="-3" w:left="199" w:hangingChars="86" w:hanging="206"/>
              <w:jc w:val="both"/>
              <w:rPr>
                <w:rFonts w:ascii="標楷體" w:eastAsia="標楷體" w:hAnsi="標楷體"/>
                <w:color w:val="000000"/>
                <w:sz w:val="28"/>
                <w:szCs w:val="28"/>
              </w:rPr>
            </w:pPr>
            <w:r w:rsidRPr="005534EB">
              <w:rPr>
                <w:rFonts w:ascii="標楷體" w:eastAsia="標楷體" w:hAnsi="標楷體"/>
                <w:color w:val="000000"/>
              </w:rPr>
              <w:t>2.</w:t>
            </w:r>
            <w:r w:rsidRPr="005534EB">
              <w:rPr>
                <w:rFonts w:ascii="標楷體" w:eastAsia="標楷體" w:hAnsi="標楷體" w:hint="eastAsia"/>
                <w:color w:val="000000"/>
              </w:rPr>
              <w:t>第6會期第</w:t>
            </w:r>
            <w:r w:rsidRPr="005534EB">
              <w:rPr>
                <w:rFonts w:ascii="標楷體" w:eastAsia="標楷體" w:hAnsi="標楷體"/>
                <w:color w:val="000000"/>
              </w:rPr>
              <w:t>5</w:t>
            </w:r>
            <w:r w:rsidRPr="005534EB">
              <w:rPr>
                <w:rFonts w:ascii="標楷體" w:eastAsia="標楷體" w:hAnsi="標楷體" w:hint="eastAsia"/>
                <w:color w:val="000000"/>
              </w:rPr>
              <w:t>次院會（111.10.</w:t>
            </w:r>
            <w:r w:rsidRPr="005534EB">
              <w:rPr>
                <w:rFonts w:ascii="標楷體" w:eastAsia="標楷體" w:hAnsi="標楷體"/>
                <w:color w:val="000000"/>
              </w:rPr>
              <w:t>28</w:t>
            </w:r>
            <w:r w:rsidRPr="005534EB">
              <w:rPr>
                <w:rFonts w:ascii="標楷體" w:eastAsia="標楷體" w:hAnsi="標楷體" w:hint="eastAsia"/>
                <w:color w:val="000000"/>
              </w:rPr>
              <w:t>）決定：准予備查。</w:t>
            </w:r>
          </w:p>
        </w:tc>
      </w:tr>
      <w:tr w:rsidR="005534EB" w:rsidRPr="005534EB" w:rsidTr="005534EB">
        <w:trPr>
          <w:trHeight w:val="567"/>
        </w:trPr>
        <w:tc>
          <w:tcPr>
            <w:tcW w:w="710" w:type="dxa"/>
            <w:tcBorders>
              <w:top w:val="single" w:sz="4" w:space="0" w:color="auto"/>
              <w:left w:val="single" w:sz="4" w:space="0" w:color="auto"/>
              <w:bottom w:val="single" w:sz="4" w:space="0" w:color="auto"/>
              <w:right w:val="single" w:sz="4" w:space="0" w:color="auto"/>
            </w:tcBorders>
            <w:vAlign w:val="center"/>
          </w:tcPr>
          <w:p w:rsidR="005534EB" w:rsidRPr="005534EB" w:rsidRDefault="005534EB" w:rsidP="006934DD">
            <w:pPr>
              <w:numPr>
                <w:ilvl w:val="0"/>
                <w:numId w:val="44"/>
              </w:numPr>
              <w:spacing w:line="400" w:lineRule="exact"/>
              <w:ind w:right="113"/>
              <w:jc w:val="center"/>
              <w:rPr>
                <w:rFonts w:ascii="標楷體" w:eastAsia="標楷體" w:hAnsi="標楷體"/>
                <w:sz w:val="32"/>
              </w:rPr>
            </w:pPr>
          </w:p>
        </w:tc>
        <w:tc>
          <w:tcPr>
            <w:tcW w:w="3654" w:type="dxa"/>
          </w:tcPr>
          <w:p w:rsidR="005534EB" w:rsidRPr="005534EB" w:rsidRDefault="00641E57" w:rsidP="005534EB">
            <w:pPr>
              <w:spacing w:line="400" w:lineRule="exact"/>
              <w:ind w:leftChars="-12" w:left="-29"/>
              <w:jc w:val="both"/>
              <w:rPr>
                <w:rFonts w:ascii="標楷體" w:eastAsia="標楷體" w:hAnsi="標楷體"/>
                <w:color w:val="000000"/>
                <w:sz w:val="28"/>
              </w:rPr>
            </w:pPr>
            <w:hyperlink r:id="rId16" w:tooltip="六十三、文化部函送財團法人國家文化藝術基金會等11家財團法人109年度決算書案。" w:history="1">
              <w:r w:rsidR="005534EB" w:rsidRPr="005534EB">
                <w:rPr>
                  <w:rFonts w:ascii="標楷體" w:eastAsia="標楷體" w:hAnsi="標楷體" w:hint="eastAsia"/>
                  <w:color w:val="000000"/>
                  <w:sz w:val="28"/>
                </w:rPr>
                <w:t>文化部函送財團法人國家文化藝術基金會等11家財團法人109年度決算書案。</w:t>
              </w:r>
            </w:hyperlink>
          </w:p>
        </w:tc>
        <w:tc>
          <w:tcPr>
            <w:tcW w:w="1533" w:type="dxa"/>
          </w:tcPr>
          <w:p w:rsidR="005534EB" w:rsidRPr="004321BC" w:rsidRDefault="005534EB" w:rsidP="004321BC">
            <w:pPr>
              <w:spacing w:line="400" w:lineRule="exact"/>
              <w:jc w:val="both"/>
              <w:rPr>
                <w:rFonts w:ascii="標楷體" w:eastAsia="標楷體" w:hAnsi="標楷體"/>
                <w:color w:val="000000"/>
                <w:kern w:val="0"/>
                <w:sz w:val="28"/>
                <w:szCs w:val="28"/>
              </w:rPr>
            </w:pPr>
            <w:r w:rsidRPr="004321BC">
              <w:rPr>
                <w:rFonts w:ascii="標楷體" w:eastAsia="標楷體" w:hAnsi="標楷體"/>
                <w:color w:val="000000"/>
                <w:kern w:val="0"/>
                <w:sz w:val="28"/>
                <w:szCs w:val="28"/>
              </w:rPr>
              <w:t>10-4-2</w:t>
            </w:r>
          </w:p>
          <w:p w:rsidR="005534EB" w:rsidRPr="005534EB" w:rsidRDefault="005534EB" w:rsidP="004321BC">
            <w:pPr>
              <w:spacing w:line="400" w:lineRule="exact"/>
              <w:jc w:val="both"/>
              <w:rPr>
                <w:rFonts w:ascii="標楷體" w:eastAsia="標楷體" w:hAnsi="標楷體"/>
                <w:color w:val="000000"/>
                <w:sz w:val="28"/>
                <w:szCs w:val="28"/>
              </w:rPr>
            </w:pPr>
            <w:r w:rsidRPr="004321BC">
              <w:rPr>
                <w:rFonts w:ascii="標楷體" w:eastAsia="標楷體" w:hAnsi="標楷體"/>
                <w:color w:val="000000"/>
                <w:kern w:val="0"/>
                <w:sz w:val="28"/>
                <w:szCs w:val="28"/>
              </w:rPr>
              <w:t>(110.9.24)</w:t>
            </w:r>
          </w:p>
        </w:tc>
        <w:tc>
          <w:tcPr>
            <w:tcW w:w="1333" w:type="dxa"/>
          </w:tcPr>
          <w:p w:rsidR="005534EB" w:rsidRPr="005534EB" w:rsidRDefault="005534EB" w:rsidP="005534EB">
            <w:pPr>
              <w:jc w:val="both"/>
              <w:rPr>
                <w:rFonts w:ascii="標楷體" w:eastAsia="標楷體" w:hAnsi="標楷體"/>
                <w:color w:val="000000"/>
                <w:sz w:val="28"/>
                <w:szCs w:val="28"/>
              </w:rPr>
            </w:pPr>
          </w:p>
        </w:tc>
        <w:tc>
          <w:tcPr>
            <w:tcW w:w="2977" w:type="dxa"/>
          </w:tcPr>
          <w:p w:rsidR="005534EB" w:rsidRPr="005534EB" w:rsidRDefault="005534EB" w:rsidP="005534EB">
            <w:pPr>
              <w:ind w:leftChars="7" w:left="252" w:hangingChars="98" w:hanging="235"/>
              <w:rPr>
                <w:rFonts w:ascii="標楷體" w:eastAsia="標楷體" w:hAnsi="標楷體"/>
                <w:color w:val="000000"/>
              </w:rPr>
            </w:pPr>
            <w:r w:rsidRPr="005534EB">
              <w:rPr>
                <w:rFonts w:ascii="標楷體" w:eastAsia="標楷體" w:hAnsi="標楷體" w:hint="eastAsia"/>
                <w:color w:val="000000"/>
              </w:rPr>
              <w:t>1</w:t>
            </w:r>
            <w:r w:rsidRPr="005534EB">
              <w:rPr>
                <w:rFonts w:ascii="標楷體" w:eastAsia="標楷體" w:hAnsi="標楷體"/>
                <w:color w:val="000000"/>
              </w:rPr>
              <w:t>.</w:t>
            </w:r>
            <w:r w:rsidRPr="005534EB">
              <w:rPr>
                <w:rFonts w:ascii="標楷體" w:eastAsia="標楷體" w:hAnsi="標楷體" w:hint="eastAsia"/>
                <w:color w:val="000000"/>
              </w:rPr>
              <w:t>逾年度預算執行期間，報請院會存查。</w:t>
            </w:r>
          </w:p>
          <w:p w:rsidR="005534EB" w:rsidRPr="005534EB" w:rsidRDefault="005534EB" w:rsidP="004321BC">
            <w:pPr>
              <w:ind w:left="214" w:hangingChars="89" w:hanging="214"/>
              <w:jc w:val="both"/>
              <w:rPr>
                <w:rFonts w:ascii="標楷體" w:eastAsia="標楷體" w:hAnsi="標楷體"/>
                <w:color w:val="000000"/>
                <w:sz w:val="28"/>
                <w:szCs w:val="28"/>
              </w:rPr>
            </w:pPr>
            <w:r w:rsidRPr="005534EB">
              <w:rPr>
                <w:rFonts w:ascii="標楷體" w:eastAsia="標楷體" w:hAnsi="標楷體"/>
                <w:color w:val="000000"/>
              </w:rPr>
              <w:t>2.</w:t>
            </w:r>
            <w:r w:rsidRPr="005534EB">
              <w:rPr>
                <w:rFonts w:ascii="標楷體" w:eastAsia="標楷體" w:hAnsi="標楷體" w:hint="eastAsia"/>
                <w:color w:val="000000"/>
              </w:rPr>
              <w:t>第6會期第</w:t>
            </w:r>
            <w:r w:rsidRPr="005534EB">
              <w:rPr>
                <w:rFonts w:ascii="標楷體" w:eastAsia="標楷體" w:hAnsi="標楷體"/>
                <w:color w:val="000000"/>
              </w:rPr>
              <w:t>5</w:t>
            </w:r>
            <w:r w:rsidRPr="005534EB">
              <w:rPr>
                <w:rFonts w:ascii="標楷體" w:eastAsia="標楷體" w:hAnsi="標楷體" w:hint="eastAsia"/>
                <w:color w:val="000000"/>
              </w:rPr>
              <w:t>次院會（111.10.</w:t>
            </w:r>
            <w:r w:rsidRPr="005534EB">
              <w:rPr>
                <w:rFonts w:ascii="標楷體" w:eastAsia="標楷體" w:hAnsi="標楷體"/>
                <w:color w:val="000000"/>
              </w:rPr>
              <w:t>28</w:t>
            </w:r>
            <w:r w:rsidRPr="005534EB">
              <w:rPr>
                <w:rFonts w:ascii="標楷體" w:eastAsia="標楷體" w:hAnsi="標楷體" w:hint="eastAsia"/>
                <w:color w:val="000000"/>
              </w:rPr>
              <w:t>）決定：准予備查。</w:t>
            </w:r>
          </w:p>
        </w:tc>
      </w:tr>
      <w:tr w:rsidR="005534EB" w:rsidRPr="005534EB" w:rsidTr="005534EB">
        <w:trPr>
          <w:trHeight w:val="567"/>
        </w:trPr>
        <w:tc>
          <w:tcPr>
            <w:tcW w:w="710" w:type="dxa"/>
            <w:tcBorders>
              <w:top w:val="single" w:sz="4" w:space="0" w:color="auto"/>
              <w:left w:val="single" w:sz="4" w:space="0" w:color="auto"/>
              <w:bottom w:val="single" w:sz="4" w:space="0" w:color="auto"/>
              <w:right w:val="single" w:sz="4" w:space="0" w:color="auto"/>
            </w:tcBorders>
            <w:vAlign w:val="center"/>
          </w:tcPr>
          <w:p w:rsidR="005534EB" w:rsidRPr="005534EB" w:rsidRDefault="005534EB" w:rsidP="006934DD">
            <w:pPr>
              <w:numPr>
                <w:ilvl w:val="0"/>
                <w:numId w:val="44"/>
              </w:numPr>
              <w:spacing w:line="400" w:lineRule="exact"/>
              <w:ind w:right="113"/>
              <w:jc w:val="center"/>
              <w:rPr>
                <w:rFonts w:ascii="標楷體" w:eastAsia="標楷體" w:hAnsi="標楷體"/>
                <w:sz w:val="32"/>
              </w:rPr>
            </w:pPr>
          </w:p>
        </w:tc>
        <w:tc>
          <w:tcPr>
            <w:tcW w:w="3654" w:type="dxa"/>
          </w:tcPr>
          <w:p w:rsidR="005534EB" w:rsidRPr="005534EB" w:rsidRDefault="00641E57" w:rsidP="005534EB">
            <w:pPr>
              <w:spacing w:line="400" w:lineRule="exact"/>
              <w:ind w:leftChars="-12" w:left="-29"/>
              <w:jc w:val="both"/>
              <w:rPr>
                <w:rFonts w:ascii="標楷體" w:eastAsia="標楷體" w:hAnsi="標楷體"/>
                <w:color w:val="000000"/>
                <w:sz w:val="28"/>
              </w:rPr>
            </w:pPr>
            <w:hyperlink r:id="rId17" w:tooltip="六十四、行政院原子能委員會函送財團法人中華民國輻射防護協會及財團法人核能資訊中心109年度決算書案。" w:history="1">
              <w:r w:rsidR="005534EB" w:rsidRPr="005534EB">
                <w:rPr>
                  <w:rFonts w:ascii="標楷體" w:eastAsia="標楷體" w:hAnsi="標楷體" w:hint="eastAsia"/>
                  <w:color w:val="000000"/>
                  <w:sz w:val="28"/>
                </w:rPr>
                <w:t>行政院原子能委員會函送財團法人中華民國輻射防護協會及財團法人核能資訊中心109年度決算書案。</w:t>
              </w:r>
            </w:hyperlink>
          </w:p>
        </w:tc>
        <w:tc>
          <w:tcPr>
            <w:tcW w:w="1533" w:type="dxa"/>
          </w:tcPr>
          <w:p w:rsidR="005534EB" w:rsidRPr="004321BC" w:rsidRDefault="005534EB" w:rsidP="004321BC">
            <w:pPr>
              <w:spacing w:line="400" w:lineRule="exact"/>
              <w:jc w:val="both"/>
              <w:rPr>
                <w:rFonts w:ascii="標楷體" w:eastAsia="標楷體" w:hAnsi="標楷體"/>
                <w:color w:val="000000"/>
                <w:kern w:val="0"/>
                <w:sz w:val="28"/>
                <w:szCs w:val="28"/>
              </w:rPr>
            </w:pPr>
            <w:r w:rsidRPr="004321BC">
              <w:rPr>
                <w:rFonts w:ascii="標楷體" w:eastAsia="標楷體" w:hAnsi="標楷體"/>
                <w:color w:val="000000"/>
                <w:kern w:val="0"/>
                <w:sz w:val="28"/>
                <w:szCs w:val="28"/>
              </w:rPr>
              <w:t>10-4-2</w:t>
            </w:r>
          </w:p>
          <w:p w:rsidR="005534EB" w:rsidRPr="005534EB" w:rsidRDefault="005534EB" w:rsidP="004321BC">
            <w:pPr>
              <w:spacing w:line="400" w:lineRule="exact"/>
              <w:jc w:val="both"/>
              <w:rPr>
                <w:rFonts w:ascii="標楷體" w:eastAsia="標楷體" w:hAnsi="標楷體"/>
                <w:color w:val="000000"/>
                <w:sz w:val="28"/>
                <w:szCs w:val="28"/>
              </w:rPr>
            </w:pPr>
            <w:r w:rsidRPr="004321BC">
              <w:rPr>
                <w:rFonts w:ascii="標楷體" w:eastAsia="標楷體" w:hAnsi="標楷體"/>
                <w:color w:val="000000"/>
                <w:kern w:val="0"/>
                <w:sz w:val="28"/>
                <w:szCs w:val="28"/>
              </w:rPr>
              <w:t>(110.9.24)</w:t>
            </w:r>
          </w:p>
        </w:tc>
        <w:tc>
          <w:tcPr>
            <w:tcW w:w="1333" w:type="dxa"/>
          </w:tcPr>
          <w:p w:rsidR="005534EB" w:rsidRPr="005534EB" w:rsidRDefault="005534EB" w:rsidP="005534EB">
            <w:pPr>
              <w:jc w:val="both"/>
              <w:rPr>
                <w:rFonts w:ascii="標楷體" w:eastAsia="標楷體" w:hAnsi="標楷體"/>
                <w:color w:val="000000"/>
                <w:sz w:val="28"/>
                <w:szCs w:val="28"/>
              </w:rPr>
            </w:pPr>
          </w:p>
        </w:tc>
        <w:tc>
          <w:tcPr>
            <w:tcW w:w="2977" w:type="dxa"/>
          </w:tcPr>
          <w:p w:rsidR="005534EB" w:rsidRPr="005534EB" w:rsidRDefault="005534EB" w:rsidP="005534EB">
            <w:pPr>
              <w:ind w:leftChars="7" w:left="252" w:hangingChars="98" w:hanging="235"/>
              <w:rPr>
                <w:rFonts w:ascii="標楷體" w:eastAsia="標楷體" w:hAnsi="標楷體"/>
                <w:color w:val="000000"/>
              </w:rPr>
            </w:pPr>
            <w:r w:rsidRPr="005534EB">
              <w:rPr>
                <w:rFonts w:ascii="標楷體" w:eastAsia="標楷體" w:hAnsi="標楷體" w:hint="eastAsia"/>
                <w:color w:val="000000"/>
              </w:rPr>
              <w:t>1</w:t>
            </w:r>
            <w:r w:rsidRPr="005534EB">
              <w:rPr>
                <w:rFonts w:ascii="標楷體" w:eastAsia="標楷體" w:hAnsi="標楷體"/>
                <w:color w:val="000000"/>
              </w:rPr>
              <w:t>.</w:t>
            </w:r>
            <w:r w:rsidRPr="005534EB">
              <w:rPr>
                <w:rFonts w:ascii="標楷體" w:eastAsia="標楷體" w:hAnsi="標楷體" w:hint="eastAsia"/>
                <w:color w:val="000000"/>
              </w:rPr>
              <w:t>逾年度預算執行期間，報請院會存查。</w:t>
            </w:r>
          </w:p>
          <w:p w:rsidR="005534EB" w:rsidRPr="005534EB" w:rsidRDefault="005534EB" w:rsidP="004321BC">
            <w:pPr>
              <w:ind w:left="214" w:hangingChars="89" w:hanging="214"/>
              <w:jc w:val="both"/>
              <w:rPr>
                <w:rFonts w:ascii="標楷體" w:eastAsia="標楷體" w:hAnsi="標楷體"/>
                <w:color w:val="000000"/>
                <w:sz w:val="28"/>
                <w:szCs w:val="28"/>
              </w:rPr>
            </w:pPr>
            <w:r w:rsidRPr="005534EB">
              <w:rPr>
                <w:rFonts w:ascii="標楷體" w:eastAsia="標楷體" w:hAnsi="標楷體"/>
                <w:color w:val="000000"/>
              </w:rPr>
              <w:t>2.</w:t>
            </w:r>
            <w:r w:rsidRPr="005534EB">
              <w:rPr>
                <w:rFonts w:ascii="標楷體" w:eastAsia="標楷體" w:hAnsi="標楷體" w:hint="eastAsia"/>
                <w:color w:val="000000"/>
              </w:rPr>
              <w:t>第6會期第</w:t>
            </w:r>
            <w:r w:rsidRPr="005534EB">
              <w:rPr>
                <w:rFonts w:ascii="標楷體" w:eastAsia="標楷體" w:hAnsi="標楷體"/>
                <w:color w:val="000000"/>
              </w:rPr>
              <w:t>5</w:t>
            </w:r>
            <w:r w:rsidRPr="005534EB">
              <w:rPr>
                <w:rFonts w:ascii="標楷體" w:eastAsia="標楷體" w:hAnsi="標楷體" w:hint="eastAsia"/>
                <w:color w:val="000000"/>
              </w:rPr>
              <w:t>次院會（111.10.</w:t>
            </w:r>
            <w:r w:rsidRPr="005534EB">
              <w:rPr>
                <w:rFonts w:ascii="標楷體" w:eastAsia="標楷體" w:hAnsi="標楷體"/>
                <w:color w:val="000000"/>
              </w:rPr>
              <w:t>28</w:t>
            </w:r>
            <w:r w:rsidRPr="005534EB">
              <w:rPr>
                <w:rFonts w:ascii="標楷體" w:eastAsia="標楷體" w:hAnsi="標楷體" w:hint="eastAsia"/>
                <w:color w:val="000000"/>
              </w:rPr>
              <w:t>）決定：准予備查。</w:t>
            </w:r>
          </w:p>
        </w:tc>
      </w:tr>
      <w:tr w:rsidR="005534EB" w:rsidRPr="005534EB" w:rsidTr="005534EB">
        <w:trPr>
          <w:trHeight w:val="567"/>
        </w:trPr>
        <w:tc>
          <w:tcPr>
            <w:tcW w:w="710" w:type="dxa"/>
            <w:tcBorders>
              <w:top w:val="single" w:sz="4" w:space="0" w:color="auto"/>
              <w:left w:val="single" w:sz="4" w:space="0" w:color="auto"/>
              <w:bottom w:val="single" w:sz="4" w:space="0" w:color="auto"/>
              <w:right w:val="single" w:sz="4" w:space="0" w:color="auto"/>
            </w:tcBorders>
            <w:vAlign w:val="center"/>
          </w:tcPr>
          <w:p w:rsidR="005534EB" w:rsidRPr="005534EB" w:rsidRDefault="005534EB" w:rsidP="006934DD">
            <w:pPr>
              <w:numPr>
                <w:ilvl w:val="0"/>
                <w:numId w:val="44"/>
              </w:numPr>
              <w:spacing w:line="400" w:lineRule="exact"/>
              <w:ind w:right="113"/>
              <w:jc w:val="center"/>
              <w:rPr>
                <w:rFonts w:ascii="標楷體" w:eastAsia="標楷體" w:hAnsi="標楷體"/>
                <w:sz w:val="32"/>
              </w:rPr>
            </w:pPr>
          </w:p>
        </w:tc>
        <w:tc>
          <w:tcPr>
            <w:tcW w:w="3654" w:type="dxa"/>
          </w:tcPr>
          <w:p w:rsidR="005534EB" w:rsidRPr="005534EB" w:rsidRDefault="005534EB" w:rsidP="005534EB">
            <w:pPr>
              <w:spacing w:line="400" w:lineRule="exact"/>
              <w:ind w:leftChars="-12" w:left="-29"/>
              <w:jc w:val="both"/>
              <w:rPr>
                <w:rFonts w:ascii="標楷體" w:eastAsia="標楷體" w:hAnsi="標楷體"/>
                <w:color w:val="000000"/>
                <w:sz w:val="28"/>
              </w:rPr>
            </w:pPr>
            <w:r w:rsidRPr="005534EB">
              <w:rPr>
                <w:rFonts w:ascii="標楷體" w:eastAsia="標楷體" w:hAnsi="標楷體" w:hint="eastAsia"/>
                <w:color w:val="000000"/>
                <w:sz w:val="28"/>
              </w:rPr>
              <w:t>科技部函送財團法人國家實驗研究院及財團法人國家同步輻射研究中心109年度決算書案。</w:t>
            </w:r>
          </w:p>
        </w:tc>
        <w:tc>
          <w:tcPr>
            <w:tcW w:w="1533" w:type="dxa"/>
          </w:tcPr>
          <w:p w:rsidR="005534EB" w:rsidRPr="004321BC" w:rsidRDefault="005534EB" w:rsidP="004321BC">
            <w:pPr>
              <w:spacing w:line="400" w:lineRule="exact"/>
              <w:jc w:val="both"/>
              <w:rPr>
                <w:rFonts w:ascii="標楷體" w:eastAsia="標楷體" w:hAnsi="標楷體"/>
                <w:color w:val="000000"/>
                <w:kern w:val="0"/>
                <w:sz w:val="28"/>
                <w:szCs w:val="28"/>
              </w:rPr>
            </w:pPr>
            <w:r w:rsidRPr="004321BC">
              <w:rPr>
                <w:rFonts w:ascii="標楷體" w:eastAsia="標楷體" w:hAnsi="標楷體"/>
                <w:color w:val="000000"/>
                <w:kern w:val="0"/>
                <w:sz w:val="28"/>
                <w:szCs w:val="28"/>
              </w:rPr>
              <w:t>10-4-10</w:t>
            </w:r>
          </w:p>
          <w:p w:rsidR="005534EB" w:rsidRPr="004321BC" w:rsidRDefault="005534EB" w:rsidP="004321BC">
            <w:pPr>
              <w:spacing w:line="400" w:lineRule="exact"/>
              <w:jc w:val="both"/>
              <w:rPr>
                <w:rFonts w:ascii="標楷體" w:eastAsia="標楷體" w:hAnsi="標楷體"/>
                <w:color w:val="000000"/>
                <w:spacing w:val="-10"/>
                <w:sz w:val="28"/>
                <w:szCs w:val="28"/>
              </w:rPr>
            </w:pPr>
            <w:r w:rsidRPr="004321BC">
              <w:rPr>
                <w:rFonts w:ascii="標楷體" w:eastAsia="標楷體" w:hAnsi="標楷體"/>
                <w:color w:val="000000"/>
                <w:spacing w:val="-10"/>
                <w:kern w:val="0"/>
                <w:sz w:val="28"/>
                <w:szCs w:val="28"/>
              </w:rPr>
              <w:t>(110.11.19)</w:t>
            </w:r>
          </w:p>
        </w:tc>
        <w:tc>
          <w:tcPr>
            <w:tcW w:w="1333" w:type="dxa"/>
          </w:tcPr>
          <w:p w:rsidR="005534EB" w:rsidRPr="005534EB" w:rsidRDefault="005534EB" w:rsidP="005534EB">
            <w:pPr>
              <w:jc w:val="both"/>
              <w:rPr>
                <w:rFonts w:ascii="標楷體" w:eastAsia="標楷體" w:hAnsi="標楷體"/>
                <w:color w:val="000000"/>
                <w:sz w:val="28"/>
                <w:szCs w:val="28"/>
              </w:rPr>
            </w:pPr>
          </w:p>
        </w:tc>
        <w:tc>
          <w:tcPr>
            <w:tcW w:w="2977" w:type="dxa"/>
          </w:tcPr>
          <w:p w:rsidR="005534EB" w:rsidRPr="005534EB" w:rsidRDefault="005534EB" w:rsidP="005534EB">
            <w:pPr>
              <w:ind w:leftChars="7" w:left="252" w:hangingChars="98" w:hanging="235"/>
              <w:rPr>
                <w:rFonts w:ascii="標楷體" w:eastAsia="標楷體" w:hAnsi="標楷體"/>
                <w:color w:val="000000"/>
              </w:rPr>
            </w:pPr>
            <w:r w:rsidRPr="005534EB">
              <w:rPr>
                <w:rFonts w:ascii="標楷體" w:eastAsia="標楷體" w:hAnsi="標楷體" w:hint="eastAsia"/>
                <w:color w:val="000000"/>
              </w:rPr>
              <w:t>1</w:t>
            </w:r>
            <w:r w:rsidRPr="005534EB">
              <w:rPr>
                <w:rFonts w:ascii="標楷體" w:eastAsia="標楷體" w:hAnsi="標楷體"/>
                <w:color w:val="000000"/>
              </w:rPr>
              <w:t>.</w:t>
            </w:r>
            <w:r w:rsidRPr="005534EB">
              <w:rPr>
                <w:rFonts w:ascii="標楷體" w:eastAsia="標楷體" w:hAnsi="標楷體" w:hint="eastAsia"/>
                <w:color w:val="000000"/>
              </w:rPr>
              <w:t>逾年度預算執行期間，報請院會存查。</w:t>
            </w:r>
          </w:p>
          <w:p w:rsidR="005534EB" w:rsidRPr="005534EB" w:rsidRDefault="005534EB" w:rsidP="004321BC">
            <w:pPr>
              <w:ind w:left="214" w:hangingChars="89" w:hanging="214"/>
              <w:jc w:val="both"/>
              <w:rPr>
                <w:rFonts w:ascii="標楷體" w:eastAsia="標楷體" w:hAnsi="標楷體"/>
                <w:color w:val="000000"/>
                <w:sz w:val="28"/>
                <w:szCs w:val="28"/>
              </w:rPr>
            </w:pPr>
            <w:r w:rsidRPr="005534EB">
              <w:rPr>
                <w:rFonts w:ascii="標楷體" w:eastAsia="標楷體" w:hAnsi="標楷體"/>
                <w:color w:val="000000"/>
              </w:rPr>
              <w:t>2.</w:t>
            </w:r>
            <w:r w:rsidRPr="005534EB">
              <w:rPr>
                <w:rFonts w:ascii="標楷體" w:eastAsia="標楷體" w:hAnsi="標楷體" w:hint="eastAsia"/>
                <w:color w:val="000000"/>
              </w:rPr>
              <w:t>第6會期第</w:t>
            </w:r>
            <w:r w:rsidRPr="005534EB">
              <w:rPr>
                <w:rFonts w:ascii="標楷體" w:eastAsia="標楷體" w:hAnsi="標楷體"/>
                <w:color w:val="000000"/>
              </w:rPr>
              <w:t>5</w:t>
            </w:r>
            <w:r w:rsidRPr="005534EB">
              <w:rPr>
                <w:rFonts w:ascii="標楷體" w:eastAsia="標楷體" w:hAnsi="標楷體" w:hint="eastAsia"/>
                <w:color w:val="000000"/>
              </w:rPr>
              <w:t>次院會（111.10.</w:t>
            </w:r>
            <w:r w:rsidRPr="005534EB">
              <w:rPr>
                <w:rFonts w:ascii="標楷體" w:eastAsia="標楷體" w:hAnsi="標楷體"/>
                <w:color w:val="000000"/>
              </w:rPr>
              <w:t>28</w:t>
            </w:r>
            <w:r w:rsidRPr="005534EB">
              <w:rPr>
                <w:rFonts w:ascii="標楷體" w:eastAsia="標楷體" w:hAnsi="標楷體" w:hint="eastAsia"/>
                <w:color w:val="000000"/>
              </w:rPr>
              <w:t>）決定：准予備查。</w:t>
            </w:r>
          </w:p>
        </w:tc>
      </w:tr>
    </w:tbl>
    <w:p w:rsidR="00E35620" w:rsidRDefault="00E35620">
      <w:pPr>
        <w:widowControl/>
        <w:rPr>
          <w:rFonts w:ascii="標楷體" w:eastAsia="標楷體" w:hAnsi="標楷體"/>
          <w:b/>
          <w:color w:val="000000" w:themeColor="text1"/>
          <w:spacing w:val="-4"/>
          <w:sz w:val="32"/>
          <w:szCs w:val="32"/>
        </w:rPr>
      </w:pPr>
      <w:bookmarkStart w:id="81" w:name="_Toc126068124"/>
      <w:r>
        <w:rPr>
          <w:color w:val="000000" w:themeColor="text1"/>
        </w:rPr>
        <w:br w:type="page"/>
      </w:r>
    </w:p>
    <w:p w:rsidR="002D7850" w:rsidRPr="00920597" w:rsidRDefault="002D7850" w:rsidP="002D7850">
      <w:pPr>
        <w:pStyle w:val="01-3"/>
        <w:rPr>
          <w:color w:val="000000" w:themeColor="text1"/>
        </w:rPr>
      </w:pPr>
      <w:r w:rsidRPr="00920597">
        <w:rPr>
          <w:rFonts w:hint="eastAsia"/>
          <w:color w:val="000000" w:themeColor="text1"/>
        </w:rPr>
        <w:lastRenderedPageBreak/>
        <w:t>(</w:t>
      </w:r>
      <w:r w:rsidR="00B07DF0">
        <w:rPr>
          <w:rFonts w:hint="eastAsia"/>
          <w:color w:val="000000" w:themeColor="text1"/>
        </w:rPr>
        <w:t>四</w:t>
      </w:r>
      <w:r w:rsidRPr="00920597">
        <w:rPr>
          <w:rFonts w:hint="eastAsia"/>
          <w:color w:val="000000" w:themeColor="text1"/>
        </w:rPr>
        <w:t>)</w:t>
      </w:r>
      <w:r w:rsidRPr="00920597">
        <w:rPr>
          <w:rFonts w:hint="eastAsia"/>
          <w:bCs/>
          <w:color w:val="000000" w:themeColor="text1"/>
        </w:rPr>
        <w:t xml:space="preserve">預算凍結案 </w:t>
      </w:r>
      <w:r w:rsidRPr="00920597">
        <w:rPr>
          <w:rFonts w:hint="eastAsia"/>
          <w:color w:val="000000" w:themeColor="text1"/>
        </w:rPr>
        <w:t>(</w:t>
      </w:r>
      <w:r w:rsidR="00A45A02">
        <w:rPr>
          <w:rFonts w:hint="eastAsia"/>
          <w:color w:val="000000" w:themeColor="text1"/>
        </w:rPr>
        <w:t>7</w:t>
      </w:r>
      <w:r w:rsidRPr="00920597">
        <w:rPr>
          <w:rFonts w:hint="eastAsia"/>
          <w:color w:val="000000" w:themeColor="text1"/>
        </w:rPr>
        <w:t>案）</w:t>
      </w:r>
      <w:bookmarkEnd w:id="81"/>
    </w:p>
    <w:p w:rsidR="002D7850" w:rsidRPr="00920597" w:rsidRDefault="00EC7EEF" w:rsidP="005736A5">
      <w:pPr>
        <w:pStyle w:val="01-4"/>
        <w:rPr>
          <w:color w:val="000000" w:themeColor="text1"/>
        </w:rPr>
      </w:pPr>
      <w:bookmarkStart w:id="82" w:name="_Toc126068125"/>
      <w:r w:rsidRPr="00920597">
        <w:rPr>
          <w:color w:val="000000" w:themeColor="text1"/>
        </w:rPr>
        <w:t>1.</w:t>
      </w:r>
      <w:r w:rsidR="002D7850" w:rsidRPr="00920597">
        <w:rPr>
          <w:rFonts w:hint="eastAsia"/>
          <w:color w:val="000000" w:themeColor="text1"/>
        </w:rPr>
        <w:t>教育部 (</w:t>
      </w:r>
      <w:r w:rsidR="00CE6FD6">
        <w:rPr>
          <w:rFonts w:hint="eastAsia"/>
          <w:color w:val="000000" w:themeColor="text1"/>
        </w:rPr>
        <w:t>2</w:t>
      </w:r>
      <w:r w:rsidR="002D7850" w:rsidRPr="00920597">
        <w:rPr>
          <w:rFonts w:hint="eastAsia"/>
          <w:color w:val="000000" w:themeColor="text1"/>
        </w:rPr>
        <w:t>案）</w:t>
      </w:r>
      <w:bookmarkEnd w:id="82"/>
    </w:p>
    <w:tbl>
      <w:tblPr>
        <w:tblW w:w="5270" w:type="pct"/>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0"/>
        <w:gridCol w:w="3591"/>
        <w:gridCol w:w="1701"/>
        <w:gridCol w:w="1021"/>
        <w:gridCol w:w="3136"/>
      </w:tblGrid>
      <w:tr w:rsidR="001E5C76" w:rsidRPr="00920597" w:rsidTr="00C0684C">
        <w:trPr>
          <w:trHeight w:val="700"/>
        </w:trPr>
        <w:tc>
          <w:tcPr>
            <w:tcW w:w="345" w:type="pct"/>
            <w:vAlign w:val="center"/>
          </w:tcPr>
          <w:p w:rsidR="001E5C76" w:rsidRPr="00920597" w:rsidRDefault="001E5C76" w:rsidP="00E03ECE">
            <w:pPr>
              <w:spacing w:line="400" w:lineRule="exact"/>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1769" w:type="pct"/>
            <w:vAlign w:val="center"/>
          </w:tcPr>
          <w:p w:rsidR="001E5C76" w:rsidRPr="00920597" w:rsidRDefault="007A4976" w:rsidP="00E03ECE">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38" w:type="pct"/>
            <w:vAlign w:val="center"/>
          </w:tcPr>
          <w:p w:rsidR="001E5C76" w:rsidRPr="00920597" w:rsidRDefault="001E5C76" w:rsidP="00725AB6">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院會交付</w:t>
            </w:r>
          </w:p>
          <w:p w:rsidR="001E5C76" w:rsidRPr="00920597" w:rsidRDefault="001E5C76" w:rsidP="00725AB6">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503" w:type="pct"/>
            <w:vAlign w:val="center"/>
          </w:tcPr>
          <w:p w:rsidR="001E5C76" w:rsidRPr="00920597" w:rsidRDefault="001E5C76" w:rsidP="00E03ECE">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聯席</w:t>
            </w:r>
          </w:p>
          <w:p w:rsidR="001E5C76" w:rsidRPr="00920597" w:rsidRDefault="001E5C76" w:rsidP="00E03ECE">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w:t>
            </w:r>
          </w:p>
        </w:tc>
        <w:tc>
          <w:tcPr>
            <w:tcW w:w="1545" w:type="pct"/>
            <w:vAlign w:val="center"/>
          </w:tcPr>
          <w:p w:rsidR="001E5C76" w:rsidRPr="00920597" w:rsidRDefault="001E5C76" w:rsidP="00E03ECE">
            <w:pPr>
              <w:spacing w:line="400" w:lineRule="exact"/>
              <w:jc w:val="distribute"/>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處理情形</w:t>
            </w:r>
          </w:p>
        </w:tc>
      </w:tr>
      <w:tr w:rsidR="00B07DF0" w:rsidRPr="00920597" w:rsidTr="00C0684C">
        <w:trPr>
          <w:trHeight w:val="567"/>
        </w:trPr>
        <w:tc>
          <w:tcPr>
            <w:tcW w:w="345" w:type="pct"/>
            <w:vAlign w:val="center"/>
          </w:tcPr>
          <w:p w:rsidR="00B07DF0" w:rsidRPr="00920597" w:rsidRDefault="00B07DF0" w:rsidP="00CD2476">
            <w:pPr>
              <w:numPr>
                <w:ilvl w:val="0"/>
                <w:numId w:val="2"/>
              </w:numPr>
              <w:spacing w:line="400" w:lineRule="exact"/>
              <w:ind w:right="113"/>
              <w:rPr>
                <w:rFonts w:ascii="標楷體" w:eastAsia="標楷體" w:hAnsi="標楷體"/>
                <w:color w:val="000000" w:themeColor="text1"/>
                <w:sz w:val="28"/>
                <w:szCs w:val="28"/>
              </w:rPr>
            </w:pPr>
          </w:p>
        </w:tc>
        <w:tc>
          <w:tcPr>
            <w:tcW w:w="1769" w:type="pct"/>
          </w:tcPr>
          <w:p w:rsidR="00B07DF0" w:rsidRPr="00B07DF0" w:rsidRDefault="00B07DF0" w:rsidP="00B07DF0">
            <w:pPr>
              <w:spacing w:line="400" w:lineRule="exact"/>
              <w:ind w:leftChars="-12" w:left="-29"/>
              <w:jc w:val="both"/>
              <w:rPr>
                <w:rFonts w:ascii="標楷體" w:eastAsia="標楷體" w:hAnsi="標楷體"/>
                <w:color w:val="000000"/>
                <w:sz w:val="28"/>
              </w:rPr>
            </w:pPr>
            <w:r w:rsidRPr="00B07DF0">
              <w:rPr>
                <w:rFonts w:ascii="標楷體" w:eastAsia="標楷體" w:hAnsi="標楷體" w:hint="eastAsia"/>
                <w:color w:val="000000"/>
                <w:sz w:val="28"/>
              </w:rPr>
              <w:t>教育部函，為109年度中央政府總預算附屬單位預算決議，檢送運動發展基金「代理（辦）費」凍結200萬元書面報告，請安排報告，請查照案。</w:t>
            </w:r>
          </w:p>
        </w:tc>
        <w:tc>
          <w:tcPr>
            <w:tcW w:w="838" w:type="pct"/>
          </w:tcPr>
          <w:p w:rsidR="00B07DF0" w:rsidRPr="00B07DF0" w:rsidRDefault="00B07DF0" w:rsidP="00B07DF0">
            <w:pPr>
              <w:spacing w:line="400" w:lineRule="exact"/>
              <w:ind w:leftChars="-12" w:left="-29"/>
              <w:jc w:val="both"/>
              <w:rPr>
                <w:rFonts w:ascii="標楷體" w:eastAsia="標楷體" w:hAnsi="標楷體"/>
                <w:color w:val="000000"/>
                <w:sz w:val="28"/>
              </w:rPr>
            </w:pPr>
            <w:r w:rsidRPr="00B07DF0">
              <w:rPr>
                <w:rFonts w:ascii="標楷體" w:eastAsia="標楷體" w:hAnsi="標楷體"/>
                <w:color w:val="000000"/>
                <w:sz w:val="28"/>
              </w:rPr>
              <w:t>10-</w:t>
            </w:r>
            <w:r w:rsidRPr="00B07DF0">
              <w:rPr>
                <w:rFonts w:ascii="標楷體" w:eastAsia="標楷體" w:hAnsi="標楷體" w:hint="eastAsia"/>
                <w:color w:val="000000"/>
                <w:sz w:val="28"/>
              </w:rPr>
              <w:t>2</w:t>
            </w:r>
            <w:r w:rsidRPr="00B07DF0">
              <w:rPr>
                <w:rFonts w:ascii="標楷體" w:eastAsia="標楷體" w:hAnsi="標楷體"/>
                <w:color w:val="000000"/>
                <w:sz w:val="28"/>
              </w:rPr>
              <w:t>-</w:t>
            </w:r>
            <w:r w:rsidRPr="00B07DF0">
              <w:rPr>
                <w:rFonts w:ascii="標楷體" w:eastAsia="標楷體" w:hAnsi="標楷體" w:hint="eastAsia"/>
                <w:color w:val="000000"/>
                <w:sz w:val="28"/>
              </w:rPr>
              <w:t>3</w:t>
            </w:r>
          </w:p>
          <w:p w:rsidR="00B07DF0" w:rsidRPr="00B07DF0" w:rsidRDefault="00B07DF0" w:rsidP="00B07DF0">
            <w:pPr>
              <w:spacing w:line="400" w:lineRule="exact"/>
              <w:ind w:leftChars="-12" w:left="-29"/>
              <w:jc w:val="both"/>
              <w:rPr>
                <w:rFonts w:ascii="標楷體" w:eastAsia="標楷體" w:hAnsi="標楷體"/>
                <w:color w:val="000000"/>
                <w:sz w:val="28"/>
              </w:rPr>
            </w:pPr>
            <w:r w:rsidRPr="00B07DF0">
              <w:rPr>
                <w:rFonts w:ascii="標楷體" w:eastAsia="標楷體" w:hAnsi="標楷體"/>
                <w:color w:val="000000"/>
                <w:sz w:val="28"/>
              </w:rPr>
              <w:t>(109</w:t>
            </w:r>
            <w:r w:rsidRPr="00B07DF0">
              <w:rPr>
                <w:rFonts w:ascii="標楷體" w:eastAsia="標楷體" w:hAnsi="標楷體" w:hint="eastAsia"/>
                <w:color w:val="000000"/>
                <w:sz w:val="28"/>
              </w:rPr>
              <w:t>.10.6</w:t>
            </w:r>
            <w:r w:rsidRPr="00B07DF0">
              <w:rPr>
                <w:rFonts w:ascii="標楷體" w:eastAsia="標楷體" w:hAnsi="標楷體"/>
                <w:color w:val="000000"/>
                <w:sz w:val="28"/>
              </w:rPr>
              <w:t>)</w:t>
            </w:r>
          </w:p>
        </w:tc>
        <w:tc>
          <w:tcPr>
            <w:tcW w:w="503" w:type="pct"/>
          </w:tcPr>
          <w:p w:rsidR="00B07DF0" w:rsidRPr="009D0EC3" w:rsidRDefault="00B07DF0" w:rsidP="00B07DF0">
            <w:pPr>
              <w:rPr>
                <w:rFonts w:ascii="標楷體" w:eastAsia="標楷體" w:hAnsi="標楷體"/>
                <w:bCs/>
                <w:color w:val="000000"/>
                <w:szCs w:val="24"/>
              </w:rPr>
            </w:pPr>
          </w:p>
        </w:tc>
        <w:tc>
          <w:tcPr>
            <w:tcW w:w="1545" w:type="pct"/>
          </w:tcPr>
          <w:p w:rsidR="00B07DF0" w:rsidRPr="00B07DF0" w:rsidRDefault="00B07DF0" w:rsidP="00CE6FD6">
            <w:pPr>
              <w:ind w:left="202" w:hangingChars="84" w:hanging="202"/>
              <w:rPr>
                <w:rFonts w:ascii="標楷體" w:eastAsia="標楷體" w:hAnsi="標楷體"/>
                <w:color w:val="000000"/>
              </w:rPr>
            </w:pPr>
            <w:r>
              <w:rPr>
                <w:rFonts w:ascii="標楷體" w:eastAsia="標楷體" w:hAnsi="標楷體" w:hint="eastAsia"/>
                <w:color w:val="000000"/>
              </w:rPr>
              <w:t>1</w:t>
            </w:r>
            <w:r>
              <w:rPr>
                <w:rFonts w:ascii="標楷體" w:eastAsia="標楷體" w:hAnsi="標楷體"/>
                <w:color w:val="000000"/>
              </w:rPr>
              <w:t>.</w:t>
            </w:r>
            <w:r w:rsidRPr="00B07DF0">
              <w:rPr>
                <w:rFonts w:ascii="標楷體" w:eastAsia="標楷體" w:hAnsi="標楷體" w:hint="eastAsia"/>
                <w:color w:val="000000"/>
              </w:rPr>
              <w:t>逾年度預算執行期間，報請院會存查。</w:t>
            </w:r>
          </w:p>
          <w:p w:rsidR="00B07DF0" w:rsidRPr="009D0EC3" w:rsidRDefault="00B07DF0" w:rsidP="00CE6FD6">
            <w:pPr>
              <w:ind w:left="214" w:hangingChars="89" w:hanging="214"/>
              <w:jc w:val="both"/>
              <w:rPr>
                <w:rFonts w:ascii="標楷體" w:eastAsia="標楷體" w:hAnsi="標楷體"/>
                <w:bCs/>
                <w:color w:val="000000"/>
                <w:szCs w:val="24"/>
              </w:rPr>
            </w:pPr>
            <w:r w:rsidRPr="00CE6FD6">
              <w:rPr>
                <w:rFonts w:ascii="標楷體" w:eastAsia="標楷體" w:hAnsi="標楷體" w:hint="eastAsia"/>
                <w:color w:val="000000"/>
              </w:rPr>
              <w:t>2</w:t>
            </w:r>
            <w:r w:rsidRPr="00CE6FD6">
              <w:rPr>
                <w:rFonts w:ascii="標楷體" w:eastAsia="標楷體" w:hAnsi="標楷體"/>
                <w:color w:val="000000"/>
              </w:rPr>
              <w:t>.</w:t>
            </w:r>
            <w:r w:rsidRPr="00CE6FD6">
              <w:rPr>
                <w:rFonts w:ascii="標楷體" w:eastAsia="標楷體" w:hAnsi="標楷體" w:hint="eastAsia"/>
                <w:color w:val="000000"/>
              </w:rPr>
              <w:t>第</w:t>
            </w:r>
            <w:r w:rsidRPr="00CE6FD6">
              <w:rPr>
                <w:rFonts w:ascii="標楷體" w:eastAsia="標楷體" w:hAnsi="標楷體"/>
                <w:color w:val="000000"/>
              </w:rPr>
              <w:t>6</w:t>
            </w:r>
            <w:r w:rsidRPr="00CE6FD6">
              <w:rPr>
                <w:rFonts w:ascii="標楷體" w:eastAsia="標楷體" w:hAnsi="標楷體" w:hint="eastAsia"/>
                <w:color w:val="000000"/>
              </w:rPr>
              <w:t>會期第</w:t>
            </w:r>
            <w:r w:rsidRPr="00CE6FD6">
              <w:rPr>
                <w:rFonts w:ascii="標楷體" w:eastAsia="標楷體" w:hAnsi="標楷體"/>
                <w:color w:val="000000"/>
              </w:rPr>
              <w:t>4</w:t>
            </w:r>
            <w:r w:rsidRPr="00CE6FD6">
              <w:rPr>
                <w:rFonts w:ascii="標楷體" w:eastAsia="標楷體" w:hAnsi="標楷體" w:hint="eastAsia"/>
                <w:color w:val="000000"/>
              </w:rPr>
              <w:t>次院會（111.</w:t>
            </w:r>
            <w:r w:rsidRPr="00CE6FD6">
              <w:rPr>
                <w:rFonts w:ascii="標楷體" w:eastAsia="標楷體" w:hAnsi="標楷體"/>
                <w:color w:val="000000"/>
              </w:rPr>
              <w:t>10</w:t>
            </w:r>
            <w:r w:rsidRPr="00CE6FD6">
              <w:rPr>
                <w:rFonts w:ascii="標楷體" w:eastAsia="標楷體" w:hAnsi="標楷體" w:hint="eastAsia"/>
                <w:color w:val="000000"/>
              </w:rPr>
              <w:t>.</w:t>
            </w:r>
            <w:r w:rsidRPr="00CE6FD6">
              <w:rPr>
                <w:rFonts w:ascii="標楷體" w:eastAsia="標楷體" w:hAnsi="標楷體"/>
                <w:color w:val="000000"/>
              </w:rPr>
              <w:t>14</w:t>
            </w:r>
            <w:r w:rsidRPr="00CE6FD6">
              <w:rPr>
                <w:rFonts w:ascii="標楷體" w:eastAsia="標楷體" w:hAnsi="標楷體" w:hint="eastAsia"/>
                <w:color w:val="000000"/>
              </w:rPr>
              <w:t>）決定：准予備查。</w:t>
            </w:r>
          </w:p>
        </w:tc>
      </w:tr>
      <w:tr w:rsidR="00B07DF0" w:rsidRPr="00920597" w:rsidTr="00BC07CA">
        <w:trPr>
          <w:trHeight w:val="567"/>
        </w:trPr>
        <w:tc>
          <w:tcPr>
            <w:tcW w:w="345" w:type="pct"/>
            <w:vAlign w:val="center"/>
          </w:tcPr>
          <w:p w:rsidR="00B07DF0" w:rsidRPr="00920597" w:rsidRDefault="00B07DF0" w:rsidP="00CD2476">
            <w:pPr>
              <w:numPr>
                <w:ilvl w:val="0"/>
                <w:numId w:val="2"/>
              </w:numPr>
              <w:spacing w:line="400" w:lineRule="exact"/>
              <w:ind w:right="113"/>
              <w:rPr>
                <w:rFonts w:ascii="標楷體" w:eastAsia="標楷體" w:hAnsi="標楷體"/>
                <w:color w:val="000000" w:themeColor="text1"/>
                <w:sz w:val="28"/>
                <w:szCs w:val="28"/>
              </w:rPr>
            </w:pPr>
          </w:p>
        </w:tc>
        <w:tc>
          <w:tcPr>
            <w:tcW w:w="1769" w:type="pct"/>
            <w:tcBorders>
              <w:top w:val="single" w:sz="4" w:space="0" w:color="auto"/>
              <w:left w:val="single" w:sz="4" w:space="0" w:color="auto"/>
              <w:bottom w:val="single" w:sz="4" w:space="0" w:color="auto"/>
              <w:right w:val="single" w:sz="4" w:space="0" w:color="auto"/>
            </w:tcBorders>
          </w:tcPr>
          <w:p w:rsidR="00B07DF0" w:rsidRPr="00B07DF0" w:rsidRDefault="00641E57" w:rsidP="00B07DF0">
            <w:pPr>
              <w:spacing w:line="400" w:lineRule="exact"/>
              <w:ind w:leftChars="-12" w:left="-29"/>
              <w:jc w:val="both"/>
              <w:rPr>
                <w:rFonts w:ascii="標楷體" w:eastAsia="標楷體" w:hAnsi="標楷體"/>
                <w:color w:val="000000"/>
                <w:sz w:val="28"/>
              </w:rPr>
            </w:pPr>
            <w:hyperlink r:id="rId18" w:tooltip="一百二十七、教育部函，為111年度中央政府總預算決議，檢送國民及學前教育署「國民及學前教育」繼續凍結1,000萬元專案報告，請查照案。" w:history="1">
              <w:r w:rsidR="00B07DF0" w:rsidRPr="00B07DF0">
                <w:rPr>
                  <w:rFonts w:ascii="標楷體" w:eastAsia="標楷體" w:hAnsi="標楷體" w:hint="eastAsia"/>
                  <w:color w:val="000000"/>
                  <w:sz w:val="28"/>
                </w:rPr>
                <w:t>教育部函，為</w:t>
              </w:r>
              <w:r w:rsidR="00B07DF0" w:rsidRPr="00B07DF0">
                <w:rPr>
                  <w:rFonts w:ascii="標楷體" w:eastAsia="標楷體" w:hAnsi="標楷體"/>
                  <w:color w:val="000000"/>
                  <w:sz w:val="28"/>
                </w:rPr>
                <w:t>111</w:t>
              </w:r>
              <w:r w:rsidR="00B07DF0" w:rsidRPr="00B07DF0">
                <w:rPr>
                  <w:rFonts w:ascii="標楷體" w:eastAsia="標楷體" w:hAnsi="標楷體" w:hint="eastAsia"/>
                  <w:color w:val="000000"/>
                  <w:sz w:val="28"/>
                </w:rPr>
                <w:t>年度中央政府總預算決議，檢送國民及學前教育署「國民及學前教育」繼續凍結</w:t>
              </w:r>
              <w:r w:rsidR="00B07DF0" w:rsidRPr="00B07DF0">
                <w:rPr>
                  <w:rFonts w:ascii="標楷體" w:eastAsia="標楷體" w:hAnsi="標楷體"/>
                  <w:color w:val="000000"/>
                  <w:sz w:val="28"/>
                </w:rPr>
                <w:t>1,000</w:t>
              </w:r>
              <w:r w:rsidR="00B07DF0" w:rsidRPr="00B07DF0">
                <w:rPr>
                  <w:rFonts w:ascii="標楷體" w:eastAsia="標楷體" w:hAnsi="標楷體" w:hint="eastAsia"/>
                  <w:color w:val="000000"/>
                  <w:sz w:val="28"/>
                </w:rPr>
                <w:t>萬元專案報告，請查照案。</w:t>
              </w:r>
            </w:hyperlink>
          </w:p>
        </w:tc>
        <w:tc>
          <w:tcPr>
            <w:tcW w:w="838" w:type="pct"/>
            <w:tcBorders>
              <w:top w:val="single" w:sz="4" w:space="0" w:color="auto"/>
              <w:left w:val="single" w:sz="4" w:space="0" w:color="auto"/>
              <w:bottom w:val="single" w:sz="4" w:space="0" w:color="auto"/>
              <w:right w:val="single" w:sz="4" w:space="0" w:color="auto"/>
            </w:tcBorders>
          </w:tcPr>
          <w:p w:rsidR="00B07DF0" w:rsidRPr="00B07DF0" w:rsidRDefault="00B07DF0" w:rsidP="00B07DF0">
            <w:pPr>
              <w:spacing w:line="400" w:lineRule="exact"/>
              <w:ind w:leftChars="-12" w:left="-29"/>
              <w:jc w:val="both"/>
              <w:rPr>
                <w:rFonts w:ascii="標楷體" w:eastAsia="標楷體" w:hAnsi="標楷體"/>
                <w:color w:val="000000"/>
                <w:sz w:val="28"/>
              </w:rPr>
            </w:pPr>
            <w:r w:rsidRPr="00B07DF0">
              <w:rPr>
                <w:rFonts w:ascii="標楷體" w:eastAsia="標楷體" w:hAnsi="標楷體"/>
                <w:color w:val="000000"/>
                <w:sz w:val="28"/>
              </w:rPr>
              <w:t>10-6-3</w:t>
            </w:r>
          </w:p>
          <w:p w:rsidR="00B07DF0" w:rsidRPr="00B07DF0" w:rsidRDefault="00B07DF0" w:rsidP="00B07DF0">
            <w:pPr>
              <w:spacing w:line="400" w:lineRule="exact"/>
              <w:ind w:leftChars="-12" w:left="-29"/>
              <w:jc w:val="both"/>
              <w:rPr>
                <w:rFonts w:ascii="標楷體" w:eastAsia="標楷體" w:hAnsi="標楷體"/>
                <w:color w:val="000000"/>
                <w:sz w:val="28"/>
              </w:rPr>
            </w:pPr>
            <w:r w:rsidRPr="00B07DF0">
              <w:rPr>
                <w:rFonts w:ascii="標楷體" w:eastAsia="標楷體" w:hAnsi="標楷體"/>
                <w:color w:val="000000"/>
                <w:sz w:val="28"/>
              </w:rPr>
              <w:t>(111.10.7)</w:t>
            </w:r>
          </w:p>
          <w:p w:rsidR="00B07DF0" w:rsidRPr="00B07DF0" w:rsidRDefault="00B07DF0" w:rsidP="00B07DF0">
            <w:pPr>
              <w:spacing w:line="400" w:lineRule="exact"/>
              <w:ind w:leftChars="-12" w:left="-29"/>
              <w:jc w:val="both"/>
              <w:rPr>
                <w:rFonts w:ascii="標楷體" w:eastAsia="標楷體" w:hAnsi="標楷體"/>
                <w:color w:val="000000"/>
                <w:sz w:val="28"/>
              </w:rPr>
            </w:pPr>
          </w:p>
        </w:tc>
        <w:tc>
          <w:tcPr>
            <w:tcW w:w="503" w:type="pct"/>
            <w:tcBorders>
              <w:top w:val="single" w:sz="4" w:space="0" w:color="auto"/>
              <w:left w:val="single" w:sz="4" w:space="0" w:color="auto"/>
              <w:bottom w:val="single" w:sz="4" w:space="0" w:color="auto"/>
              <w:right w:val="single" w:sz="4" w:space="0" w:color="auto"/>
            </w:tcBorders>
          </w:tcPr>
          <w:p w:rsidR="00B07DF0" w:rsidRPr="00CE6FD6" w:rsidRDefault="00B07DF0" w:rsidP="00B07DF0">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B07DF0" w:rsidRPr="00CE6FD6" w:rsidRDefault="00B07DF0" w:rsidP="006934DD">
            <w:pPr>
              <w:numPr>
                <w:ilvl w:val="0"/>
                <w:numId w:val="45"/>
              </w:numPr>
              <w:ind w:left="241" w:hanging="248"/>
              <w:jc w:val="both"/>
              <w:rPr>
                <w:rFonts w:ascii="標楷體" w:eastAsia="標楷體" w:hAnsi="標楷體"/>
              </w:rPr>
            </w:pPr>
            <w:r w:rsidRPr="00CE6FD6">
              <w:rPr>
                <w:rFonts w:ascii="標楷體" w:eastAsia="標楷體" w:hAnsi="標楷體" w:hint="eastAsia"/>
              </w:rPr>
              <w:t>第</w:t>
            </w:r>
            <w:r w:rsidRPr="00CE6FD6">
              <w:rPr>
                <w:rFonts w:ascii="標楷體" w:eastAsia="標楷體" w:hAnsi="標楷體"/>
              </w:rPr>
              <w:t>6</w:t>
            </w:r>
            <w:r w:rsidRPr="00CE6FD6">
              <w:rPr>
                <w:rFonts w:ascii="標楷體" w:eastAsia="標楷體" w:hAnsi="標楷體" w:hint="eastAsia"/>
              </w:rPr>
              <w:t>會期第</w:t>
            </w:r>
            <w:r w:rsidRPr="00CE6FD6">
              <w:rPr>
                <w:rFonts w:ascii="標楷體" w:eastAsia="標楷體" w:hAnsi="標楷體"/>
              </w:rPr>
              <w:t>12</w:t>
            </w:r>
            <w:r w:rsidRPr="00CE6FD6">
              <w:rPr>
                <w:rFonts w:ascii="標楷體" w:eastAsia="標楷體" w:hAnsi="標楷體" w:hint="eastAsia"/>
              </w:rPr>
              <w:t>次全體委員會議（111.</w:t>
            </w:r>
            <w:r w:rsidRPr="00CE6FD6">
              <w:rPr>
                <w:rFonts w:ascii="標楷體" w:eastAsia="標楷體" w:hAnsi="標楷體"/>
              </w:rPr>
              <w:t>12</w:t>
            </w:r>
            <w:r w:rsidRPr="00CE6FD6">
              <w:rPr>
                <w:rFonts w:ascii="標楷體" w:eastAsia="標楷體" w:hAnsi="標楷體" w:hint="eastAsia"/>
              </w:rPr>
              <w:t>.</w:t>
            </w:r>
            <w:r w:rsidRPr="00CE6FD6">
              <w:rPr>
                <w:rFonts w:ascii="標楷體" w:eastAsia="標楷體" w:hAnsi="標楷體"/>
              </w:rPr>
              <w:t>1</w:t>
            </w:r>
            <w:r w:rsidRPr="00CE6FD6">
              <w:rPr>
                <w:rFonts w:ascii="標楷體" w:eastAsia="標楷體" w:hAnsi="標楷體" w:hint="eastAsia"/>
              </w:rPr>
              <w:t>）決議：准予動支，提報院會。</w:t>
            </w:r>
          </w:p>
          <w:p w:rsidR="00B07DF0" w:rsidRPr="00CE6FD6" w:rsidRDefault="00B07DF0" w:rsidP="00B07DF0">
            <w:pPr>
              <w:ind w:left="254" w:hangingChars="106" w:hanging="254"/>
              <w:jc w:val="both"/>
              <w:rPr>
                <w:rFonts w:eastAsia="華康楷書體W5"/>
                <w:sz w:val="28"/>
              </w:rPr>
            </w:pPr>
            <w:r w:rsidRPr="00CE6FD6">
              <w:rPr>
                <w:rFonts w:ascii="標楷體" w:eastAsia="標楷體" w:hAnsi="標楷體" w:hint="eastAsia"/>
              </w:rPr>
              <w:t>2.第6會期第12次院會（111.12.16）決定：准予備查。</w:t>
            </w:r>
          </w:p>
        </w:tc>
      </w:tr>
    </w:tbl>
    <w:p w:rsidR="009F07B9" w:rsidRPr="00920597" w:rsidRDefault="00CE6FD6" w:rsidP="009F07B9">
      <w:pPr>
        <w:pStyle w:val="01-4"/>
        <w:rPr>
          <w:color w:val="000000" w:themeColor="text1"/>
        </w:rPr>
      </w:pPr>
      <w:bookmarkStart w:id="83" w:name="_Toc126068126"/>
      <w:r>
        <w:rPr>
          <w:rFonts w:hint="eastAsia"/>
          <w:color w:val="000000" w:themeColor="text1"/>
        </w:rPr>
        <w:t>2</w:t>
      </w:r>
      <w:r w:rsidR="009F07B9" w:rsidRPr="00920597">
        <w:rPr>
          <w:color w:val="000000" w:themeColor="text1"/>
        </w:rPr>
        <w:t>.</w:t>
      </w:r>
      <w:r w:rsidR="009F07B9" w:rsidRPr="00920597">
        <w:rPr>
          <w:rFonts w:hint="eastAsia"/>
          <w:color w:val="000000" w:themeColor="text1"/>
        </w:rPr>
        <w:t>文化部 (</w:t>
      </w:r>
      <w:r>
        <w:rPr>
          <w:rFonts w:hint="eastAsia"/>
          <w:color w:val="000000" w:themeColor="text1"/>
        </w:rPr>
        <w:t>1</w:t>
      </w:r>
      <w:r w:rsidR="009F07B9" w:rsidRPr="00920597">
        <w:rPr>
          <w:rFonts w:hint="eastAsia"/>
          <w:color w:val="000000" w:themeColor="text1"/>
        </w:rPr>
        <w:t>案）</w:t>
      </w:r>
      <w:bookmarkEnd w:id="83"/>
    </w:p>
    <w:tbl>
      <w:tblPr>
        <w:tblW w:w="5148" w:type="pct"/>
        <w:tblInd w:w="-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2"/>
        <w:gridCol w:w="3577"/>
        <w:gridCol w:w="1701"/>
        <w:gridCol w:w="966"/>
        <w:gridCol w:w="2968"/>
      </w:tblGrid>
      <w:tr w:rsidR="009F07B9" w:rsidRPr="00920597" w:rsidTr="00AE75B0">
        <w:trPr>
          <w:trHeight w:val="700"/>
        </w:trPr>
        <w:tc>
          <w:tcPr>
            <w:tcW w:w="354" w:type="pct"/>
            <w:vAlign w:val="center"/>
          </w:tcPr>
          <w:p w:rsidR="009F07B9" w:rsidRPr="00920597" w:rsidRDefault="009F07B9" w:rsidP="00AE75B0">
            <w:pPr>
              <w:spacing w:line="400" w:lineRule="exact"/>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1804" w:type="pct"/>
            <w:vAlign w:val="center"/>
          </w:tcPr>
          <w:p w:rsidR="009F07B9" w:rsidRPr="00920597" w:rsidRDefault="009F07B9" w:rsidP="00AE75B0">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58" w:type="pct"/>
            <w:vAlign w:val="center"/>
          </w:tcPr>
          <w:p w:rsidR="009F07B9" w:rsidRPr="00920597" w:rsidRDefault="009F07B9" w:rsidP="00AE75B0">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院會交付</w:t>
            </w:r>
          </w:p>
          <w:p w:rsidR="009F07B9" w:rsidRPr="00920597" w:rsidRDefault="009F07B9" w:rsidP="00AE75B0">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487" w:type="pct"/>
            <w:vAlign w:val="center"/>
          </w:tcPr>
          <w:p w:rsidR="009F07B9" w:rsidRPr="00920597" w:rsidRDefault="009F07B9" w:rsidP="00AE75B0">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聯席</w:t>
            </w:r>
          </w:p>
          <w:p w:rsidR="009F07B9" w:rsidRPr="00920597" w:rsidRDefault="009F07B9" w:rsidP="00AE75B0">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w:t>
            </w:r>
          </w:p>
        </w:tc>
        <w:tc>
          <w:tcPr>
            <w:tcW w:w="1497" w:type="pct"/>
            <w:vAlign w:val="center"/>
          </w:tcPr>
          <w:p w:rsidR="009F07B9" w:rsidRPr="00920597" w:rsidRDefault="009F07B9" w:rsidP="00AE75B0">
            <w:pPr>
              <w:spacing w:line="400" w:lineRule="exact"/>
              <w:jc w:val="distribute"/>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處理情形</w:t>
            </w:r>
          </w:p>
        </w:tc>
      </w:tr>
      <w:tr w:rsidR="00CE6FD6" w:rsidRPr="00920597" w:rsidTr="00AE75B0">
        <w:trPr>
          <w:trHeight w:val="567"/>
        </w:trPr>
        <w:tc>
          <w:tcPr>
            <w:tcW w:w="354" w:type="pct"/>
            <w:vAlign w:val="center"/>
          </w:tcPr>
          <w:p w:rsidR="00CE6FD6" w:rsidRPr="00920597" w:rsidRDefault="00CE6FD6" w:rsidP="006934DD">
            <w:pPr>
              <w:numPr>
                <w:ilvl w:val="0"/>
                <w:numId w:val="19"/>
              </w:numPr>
              <w:spacing w:line="400" w:lineRule="exact"/>
              <w:ind w:right="113"/>
              <w:rPr>
                <w:rFonts w:ascii="標楷體" w:eastAsia="標楷體" w:hAnsi="標楷體"/>
                <w:color w:val="000000" w:themeColor="text1"/>
                <w:sz w:val="28"/>
                <w:szCs w:val="28"/>
              </w:rPr>
            </w:pPr>
          </w:p>
        </w:tc>
        <w:tc>
          <w:tcPr>
            <w:tcW w:w="1804" w:type="pct"/>
          </w:tcPr>
          <w:p w:rsidR="00CE6FD6" w:rsidRPr="008B50C1" w:rsidRDefault="00CE6FD6" w:rsidP="00CE6FD6">
            <w:pPr>
              <w:spacing w:line="400" w:lineRule="exact"/>
              <w:ind w:leftChars="-12" w:left="-29"/>
              <w:jc w:val="both"/>
              <w:rPr>
                <w:rFonts w:eastAsia="華康楷書體W5"/>
                <w:color w:val="000000"/>
                <w:sz w:val="28"/>
              </w:rPr>
            </w:pPr>
            <w:r w:rsidRPr="00CE6FD6">
              <w:rPr>
                <w:rFonts w:ascii="標楷體" w:eastAsia="標楷體" w:hAnsi="標楷體" w:hint="eastAsia"/>
                <w:color w:val="000000"/>
                <w:sz w:val="28"/>
              </w:rPr>
              <w:t>文化部函送文化內容策進院111年度預算凍結專案報告，請查照案。</w:t>
            </w:r>
          </w:p>
        </w:tc>
        <w:tc>
          <w:tcPr>
            <w:tcW w:w="858" w:type="pct"/>
          </w:tcPr>
          <w:p w:rsidR="00CE6FD6" w:rsidRPr="00CE6FD6" w:rsidRDefault="00CE6FD6" w:rsidP="00CE6FD6">
            <w:pPr>
              <w:spacing w:line="400" w:lineRule="exact"/>
              <w:ind w:leftChars="-12" w:left="-29"/>
              <w:jc w:val="both"/>
              <w:rPr>
                <w:rFonts w:ascii="標楷體" w:eastAsia="標楷體" w:hAnsi="標楷體"/>
                <w:color w:val="000000"/>
                <w:sz w:val="28"/>
              </w:rPr>
            </w:pPr>
            <w:r w:rsidRPr="00CE6FD6">
              <w:rPr>
                <w:rFonts w:ascii="標楷體" w:eastAsia="標楷體" w:hAnsi="標楷體"/>
                <w:color w:val="000000"/>
                <w:sz w:val="28"/>
              </w:rPr>
              <w:t>10-6-2</w:t>
            </w:r>
          </w:p>
          <w:p w:rsidR="00CE6FD6" w:rsidRPr="00CE6FD6" w:rsidRDefault="00CE6FD6" w:rsidP="00CE6FD6">
            <w:pPr>
              <w:spacing w:line="400" w:lineRule="exact"/>
              <w:ind w:leftChars="-12" w:left="-29"/>
              <w:jc w:val="both"/>
              <w:rPr>
                <w:rFonts w:ascii="標楷體" w:eastAsia="標楷體" w:hAnsi="標楷體"/>
                <w:color w:val="000000"/>
                <w:sz w:val="28"/>
              </w:rPr>
            </w:pPr>
            <w:r w:rsidRPr="00CE6FD6">
              <w:rPr>
                <w:rFonts w:ascii="標楷體" w:eastAsia="標楷體" w:hAnsi="標楷體"/>
                <w:color w:val="000000"/>
                <w:sz w:val="28"/>
              </w:rPr>
              <w:t>(111.9.30)</w:t>
            </w:r>
          </w:p>
          <w:p w:rsidR="00CE6FD6" w:rsidRPr="008B50C1" w:rsidRDefault="00CE6FD6" w:rsidP="00CE6FD6">
            <w:pPr>
              <w:jc w:val="both"/>
              <w:rPr>
                <w:rFonts w:ascii="標楷體" w:eastAsia="標楷體" w:hAnsi="標楷體"/>
                <w:color w:val="000000"/>
                <w:sz w:val="28"/>
                <w:szCs w:val="28"/>
              </w:rPr>
            </w:pPr>
          </w:p>
        </w:tc>
        <w:tc>
          <w:tcPr>
            <w:tcW w:w="487" w:type="pct"/>
          </w:tcPr>
          <w:p w:rsidR="00CE6FD6" w:rsidRPr="008B50C1" w:rsidRDefault="00CE6FD6" w:rsidP="00CE6FD6">
            <w:pPr>
              <w:rPr>
                <w:rFonts w:ascii="標楷體" w:eastAsia="標楷體" w:hAnsi="標楷體"/>
                <w:color w:val="000000"/>
                <w:sz w:val="28"/>
              </w:rPr>
            </w:pPr>
          </w:p>
        </w:tc>
        <w:tc>
          <w:tcPr>
            <w:tcW w:w="1497" w:type="pct"/>
          </w:tcPr>
          <w:p w:rsidR="00CE6FD6" w:rsidRPr="008B50C1" w:rsidRDefault="00CE6FD6" w:rsidP="00CE6FD6">
            <w:pPr>
              <w:ind w:leftChars="21" w:left="302" w:hangingChars="105" w:hanging="252"/>
              <w:jc w:val="both"/>
              <w:rPr>
                <w:rFonts w:ascii="標楷體" w:eastAsia="標楷體" w:hAnsi="標楷體"/>
                <w:color w:val="000000"/>
              </w:rPr>
            </w:pPr>
            <w:r w:rsidRPr="008B50C1">
              <w:rPr>
                <w:rFonts w:ascii="標楷體" w:eastAsia="標楷體" w:hAnsi="標楷體" w:hint="eastAsia"/>
                <w:color w:val="000000"/>
              </w:rPr>
              <w:t>1</w:t>
            </w:r>
            <w:r w:rsidRPr="008B50C1">
              <w:rPr>
                <w:rFonts w:ascii="標楷體" w:eastAsia="標楷體" w:hAnsi="標楷體"/>
                <w:color w:val="000000"/>
              </w:rPr>
              <w:t>.</w:t>
            </w:r>
            <w:r w:rsidRPr="008B50C1">
              <w:rPr>
                <w:rFonts w:ascii="標楷體" w:eastAsia="標楷體" w:hAnsi="標楷體" w:hint="eastAsia"/>
                <w:color w:val="000000"/>
              </w:rPr>
              <w:t>第</w:t>
            </w:r>
            <w:r w:rsidRPr="008B50C1">
              <w:rPr>
                <w:rFonts w:ascii="標楷體" w:eastAsia="標楷體" w:hAnsi="標楷體"/>
                <w:color w:val="000000"/>
              </w:rPr>
              <w:t>6</w:t>
            </w:r>
            <w:r w:rsidRPr="008B50C1">
              <w:rPr>
                <w:rFonts w:ascii="標楷體" w:eastAsia="標楷體" w:hAnsi="標楷體" w:hint="eastAsia"/>
                <w:color w:val="000000"/>
              </w:rPr>
              <w:t>會期第</w:t>
            </w:r>
            <w:r w:rsidRPr="008B50C1">
              <w:rPr>
                <w:rFonts w:ascii="標楷體" w:eastAsia="標楷體" w:hAnsi="標楷體"/>
                <w:color w:val="000000"/>
              </w:rPr>
              <w:t>5</w:t>
            </w:r>
            <w:r w:rsidRPr="008B50C1">
              <w:rPr>
                <w:rFonts w:ascii="標楷體" w:eastAsia="標楷體" w:hAnsi="標楷體" w:hint="eastAsia"/>
                <w:color w:val="000000"/>
              </w:rPr>
              <w:t>次全體委員會議（111.10.</w:t>
            </w:r>
            <w:r w:rsidRPr="008B50C1">
              <w:rPr>
                <w:rFonts w:ascii="標楷體" w:eastAsia="標楷體" w:hAnsi="標楷體"/>
                <w:color w:val="000000"/>
              </w:rPr>
              <w:t>24</w:t>
            </w:r>
            <w:r w:rsidRPr="008B50C1">
              <w:rPr>
                <w:rFonts w:ascii="標楷體" w:eastAsia="標楷體" w:hAnsi="標楷體" w:hint="eastAsia"/>
                <w:color w:val="000000"/>
              </w:rPr>
              <w:t>）決議：准予動支，提報院會。</w:t>
            </w:r>
          </w:p>
          <w:p w:rsidR="00CE6FD6" w:rsidRPr="008B50C1" w:rsidRDefault="00CE6FD6" w:rsidP="00CE6FD6">
            <w:pPr>
              <w:ind w:leftChars="21" w:left="302" w:hangingChars="105" w:hanging="252"/>
              <w:jc w:val="both"/>
              <w:rPr>
                <w:rFonts w:ascii="標楷體" w:eastAsia="標楷體" w:hAnsi="標楷體"/>
                <w:color w:val="000000"/>
              </w:rPr>
            </w:pPr>
            <w:r w:rsidRPr="008B50C1">
              <w:rPr>
                <w:rFonts w:ascii="標楷體" w:eastAsia="標楷體" w:hAnsi="標楷體" w:hint="eastAsia"/>
                <w:color w:val="000000"/>
              </w:rPr>
              <w:t>2.</w:t>
            </w:r>
            <w:r w:rsidRPr="008B50C1">
              <w:rPr>
                <w:rFonts w:ascii="標楷體" w:eastAsia="標楷體" w:hAnsi="標楷體" w:hint="eastAsia"/>
                <w:color w:val="000000"/>
              </w:rPr>
              <w:tab/>
              <w:t>第6會期第</w:t>
            </w:r>
            <w:r w:rsidRPr="008B50C1">
              <w:rPr>
                <w:rFonts w:ascii="標楷體" w:eastAsia="標楷體" w:hAnsi="標楷體"/>
                <w:color w:val="000000"/>
              </w:rPr>
              <w:t>8</w:t>
            </w:r>
            <w:r w:rsidRPr="008B50C1">
              <w:rPr>
                <w:rFonts w:ascii="標楷體" w:eastAsia="標楷體" w:hAnsi="標楷體" w:hint="eastAsia"/>
                <w:color w:val="000000"/>
              </w:rPr>
              <w:t>次院會（111.</w:t>
            </w:r>
            <w:r w:rsidRPr="008B50C1">
              <w:rPr>
                <w:rFonts w:ascii="標楷體" w:eastAsia="標楷體" w:hAnsi="標楷體"/>
                <w:color w:val="000000"/>
              </w:rPr>
              <w:t>11</w:t>
            </w:r>
            <w:r w:rsidRPr="008B50C1">
              <w:rPr>
                <w:rFonts w:ascii="標楷體" w:eastAsia="標楷體" w:hAnsi="標楷體" w:hint="eastAsia"/>
                <w:color w:val="000000"/>
              </w:rPr>
              <w:t>.</w:t>
            </w:r>
            <w:r w:rsidRPr="008B50C1">
              <w:rPr>
                <w:rFonts w:ascii="標楷體" w:eastAsia="標楷體" w:hAnsi="標楷體"/>
                <w:color w:val="000000"/>
              </w:rPr>
              <w:t>18</w:t>
            </w:r>
            <w:r w:rsidRPr="008B50C1">
              <w:rPr>
                <w:rFonts w:ascii="標楷體" w:eastAsia="標楷體" w:hAnsi="標楷體" w:hint="eastAsia"/>
                <w:color w:val="000000"/>
              </w:rPr>
              <w:t>）決定：准予備查。</w:t>
            </w:r>
          </w:p>
        </w:tc>
      </w:tr>
    </w:tbl>
    <w:p w:rsidR="00A45A02" w:rsidRDefault="00A45A02" w:rsidP="00A45A02">
      <w:pPr>
        <w:pStyle w:val="01-4"/>
      </w:pPr>
      <w:bookmarkStart w:id="84" w:name="_Toc126068127"/>
      <w:bookmarkStart w:id="85" w:name="_Toc64648129"/>
      <w:r w:rsidRPr="00A45A02">
        <w:rPr>
          <w:rFonts w:hint="eastAsia"/>
        </w:rPr>
        <w:t>3</w:t>
      </w:r>
      <w:r>
        <w:rPr>
          <w:rFonts w:hint="eastAsia"/>
        </w:rPr>
        <w:t>.</w:t>
      </w:r>
      <w:r w:rsidRPr="00A45A02">
        <w:rPr>
          <w:rFonts w:hint="eastAsia"/>
        </w:rPr>
        <w:t>國家科學及技術委員會</w:t>
      </w:r>
      <w:r>
        <w:rPr>
          <w:rFonts w:hint="eastAsia"/>
        </w:rPr>
        <w:t xml:space="preserve"> </w:t>
      </w:r>
      <w:r w:rsidRPr="00A45A02">
        <w:rPr>
          <w:rFonts w:hint="eastAsia"/>
        </w:rPr>
        <w:t>(3案）</w:t>
      </w:r>
      <w:bookmarkEnd w:id="84"/>
    </w:p>
    <w:tbl>
      <w:tblPr>
        <w:tblW w:w="5270" w:type="pct"/>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0"/>
        <w:gridCol w:w="3591"/>
        <w:gridCol w:w="1701"/>
        <w:gridCol w:w="1021"/>
        <w:gridCol w:w="3136"/>
      </w:tblGrid>
      <w:tr w:rsidR="00A45A02" w:rsidRPr="00A45A02" w:rsidTr="00BC07CA">
        <w:trPr>
          <w:trHeight w:val="700"/>
        </w:trPr>
        <w:tc>
          <w:tcPr>
            <w:tcW w:w="345" w:type="pct"/>
            <w:vAlign w:val="center"/>
          </w:tcPr>
          <w:p w:rsidR="00A45A02" w:rsidRPr="00A45A02" w:rsidRDefault="00A45A02" w:rsidP="00A45A02">
            <w:pPr>
              <w:spacing w:line="400" w:lineRule="exact"/>
              <w:rPr>
                <w:rFonts w:ascii="標楷體" w:eastAsia="標楷體" w:hAnsi="標楷體"/>
                <w:b/>
                <w:bCs/>
                <w:color w:val="000000" w:themeColor="text1"/>
                <w:spacing w:val="-20"/>
                <w:sz w:val="28"/>
                <w:szCs w:val="28"/>
              </w:rPr>
            </w:pPr>
            <w:r w:rsidRPr="00A45A02">
              <w:rPr>
                <w:rFonts w:ascii="標楷體" w:eastAsia="標楷體" w:hAnsi="標楷體" w:hint="eastAsia"/>
                <w:b/>
                <w:bCs/>
                <w:color w:val="000000" w:themeColor="text1"/>
                <w:spacing w:val="-20"/>
                <w:sz w:val="28"/>
                <w:szCs w:val="28"/>
              </w:rPr>
              <w:t>序號</w:t>
            </w:r>
          </w:p>
        </w:tc>
        <w:tc>
          <w:tcPr>
            <w:tcW w:w="1769" w:type="pct"/>
            <w:vAlign w:val="center"/>
          </w:tcPr>
          <w:p w:rsidR="00A45A02" w:rsidRPr="00A45A02" w:rsidRDefault="00A45A02" w:rsidP="00A45A02">
            <w:pPr>
              <w:spacing w:line="400" w:lineRule="exact"/>
              <w:jc w:val="center"/>
              <w:rPr>
                <w:rFonts w:ascii="標楷體" w:eastAsia="標楷體" w:hAnsi="標楷體"/>
                <w:b/>
                <w:bCs/>
                <w:color w:val="000000" w:themeColor="text1"/>
                <w:sz w:val="28"/>
              </w:rPr>
            </w:pPr>
            <w:r w:rsidRPr="00A45A02">
              <w:rPr>
                <w:rFonts w:ascii="標楷體" w:eastAsia="標楷體" w:hAnsi="標楷體" w:hint="eastAsia"/>
                <w:b/>
                <w:bCs/>
                <w:color w:val="000000" w:themeColor="text1"/>
                <w:sz w:val="28"/>
              </w:rPr>
              <w:t>案      由</w:t>
            </w:r>
          </w:p>
        </w:tc>
        <w:tc>
          <w:tcPr>
            <w:tcW w:w="838" w:type="pct"/>
            <w:vAlign w:val="center"/>
          </w:tcPr>
          <w:p w:rsidR="00A45A02" w:rsidRPr="00A45A02" w:rsidRDefault="00A45A02" w:rsidP="00A45A02">
            <w:pPr>
              <w:spacing w:line="400" w:lineRule="exact"/>
              <w:ind w:left="92"/>
              <w:jc w:val="center"/>
              <w:rPr>
                <w:rFonts w:ascii="標楷體" w:eastAsia="標楷體" w:hAnsi="標楷體"/>
                <w:b/>
                <w:bCs/>
                <w:color w:val="000000" w:themeColor="text1"/>
                <w:sz w:val="28"/>
              </w:rPr>
            </w:pPr>
            <w:r w:rsidRPr="00A45A02">
              <w:rPr>
                <w:rFonts w:ascii="標楷體" w:eastAsia="標楷體" w:hAnsi="標楷體" w:hint="eastAsia"/>
                <w:b/>
                <w:bCs/>
                <w:color w:val="000000" w:themeColor="text1"/>
                <w:sz w:val="28"/>
              </w:rPr>
              <w:t>院會交付</w:t>
            </w:r>
          </w:p>
          <w:p w:rsidR="00A45A02" w:rsidRPr="00A45A02" w:rsidRDefault="00A45A02" w:rsidP="00A45A02">
            <w:pPr>
              <w:spacing w:line="400" w:lineRule="exact"/>
              <w:ind w:left="92"/>
              <w:jc w:val="center"/>
              <w:rPr>
                <w:rFonts w:ascii="標楷體" w:eastAsia="標楷體" w:hAnsi="標楷體"/>
                <w:b/>
                <w:bCs/>
                <w:color w:val="000000" w:themeColor="text1"/>
                <w:sz w:val="28"/>
              </w:rPr>
            </w:pPr>
            <w:r w:rsidRPr="00A45A02">
              <w:rPr>
                <w:rFonts w:ascii="標楷體" w:eastAsia="標楷體" w:hAnsi="標楷體" w:hint="eastAsia"/>
                <w:b/>
                <w:bCs/>
                <w:color w:val="000000" w:themeColor="text1"/>
                <w:sz w:val="28"/>
              </w:rPr>
              <w:t>會次及日期</w:t>
            </w:r>
          </w:p>
        </w:tc>
        <w:tc>
          <w:tcPr>
            <w:tcW w:w="503" w:type="pct"/>
            <w:vAlign w:val="center"/>
          </w:tcPr>
          <w:p w:rsidR="00A45A02" w:rsidRPr="00A45A02" w:rsidRDefault="00A45A02" w:rsidP="00A45A02">
            <w:pPr>
              <w:spacing w:line="400" w:lineRule="exact"/>
              <w:jc w:val="center"/>
              <w:rPr>
                <w:rFonts w:ascii="標楷體" w:eastAsia="標楷體" w:hAnsi="標楷體"/>
                <w:b/>
                <w:bCs/>
                <w:color w:val="000000" w:themeColor="text1"/>
                <w:sz w:val="28"/>
              </w:rPr>
            </w:pPr>
            <w:r w:rsidRPr="00A45A02">
              <w:rPr>
                <w:rFonts w:ascii="標楷體" w:eastAsia="標楷體" w:hAnsi="標楷體" w:hint="eastAsia"/>
                <w:b/>
                <w:bCs/>
                <w:color w:val="000000" w:themeColor="text1"/>
                <w:sz w:val="28"/>
              </w:rPr>
              <w:t>聯席</w:t>
            </w:r>
          </w:p>
          <w:p w:rsidR="00A45A02" w:rsidRPr="00A45A02" w:rsidRDefault="00A45A02" w:rsidP="00A45A02">
            <w:pPr>
              <w:spacing w:line="400" w:lineRule="exact"/>
              <w:jc w:val="center"/>
              <w:rPr>
                <w:rFonts w:ascii="標楷體" w:eastAsia="標楷體" w:hAnsi="標楷體"/>
                <w:b/>
                <w:bCs/>
                <w:color w:val="000000" w:themeColor="text1"/>
                <w:sz w:val="28"/>
              </w:rPr>
            </w:pPr>
            <w:r w:rsidRPr="00A45A02">
              <w:rPr>
                <w:rFonts w:ascii="標楷體" w:eastAsia="標楷體" w:hAnsi="標楷體" w:hint="eastAsia"/>
                <w:b/>
                <w:bCs/>
                <w:color w:val="000000" w:themeColor="text1"/>
                <w:sz w:val="28"/>
              </w:rPr>
              <w:t>委員會</w:t>
            </w:r>
          </w:p>
        </w:tc>
        <w:tc>
          <w:tcPr>
            <w:tcW w:w="1545" w:type="pct"/>
            <w:vAlign w:val="center"/>
          </w:tcPr>
          <w:p w:rsidR="00A45A02" w:rsidRPr="00A45A02" w:rsidRDefault="00A45A02" w:rsidP="00A45A02">
            <w:pPr>
              <w:spacing w:line="400" w:lineRule="exact"/>
              <w:jc w:val="distribute"/>
              <w:rPr>
                <w:rFonts w:ascii="標楷體" w:eastAsia="標楷體" w:hAnsi="標楷體"/>
                <w:b/>
                <w:bCs/>
                <w:color w:val="000000" w:themeColor="text1"/>
                <w:sz w:val="28"/>
              </w:rPr>
            </w:pPr>
            <w:r w:rsidRPr="00A45A02">
              <w:rPr>
                <w:rFonts w:ascii="標楷體" w:eastAsia="標楷體" w:hAnsi="標楷體" w:hint="eastAsia"/>
                <w:b/>
                <w:bCs/>
                <w:color w:val="000000" w:themeColor="text1"/>
                <w:sz w:val="28"/>
              </w:rPr>
              <w:t>處理情形</w:t>
            </w:r>
          </w:p>
        </w:tc>
      </w:tr>
      <w:tr w:rsidR="00A45A02" w:rsidRPr="00A45A02" w:rsidTr="00BC07CA">
        <w:trPr>
          <w:trHeight w:val="567"/>
        </w:trPr>
        <w:tc>
          <w:tcPr>
            <w:tcW w:w="345" w:type="pct"/>
            <w:vAlign w:val="center"/>
          </w:tcPr>
          <w:p w:rsidR="00A45A02" w:rsidRPr="00A45A02" w:rsidRDefault="00A45A02" w:rsidP="006934DD">
            <w:pPr>
              <w:numPr>
                <w:ilvl w:val="0"/>
                <w:numId w:val="46"/>
              </w:numPr>
              <w:spacing w:line="400" w:lineRule="exact"/>
              <w:ind w:right="113"/>
              <w:rPr>
                <w:rFonts w:ascii="標楷體" w:eastAsia="標楷體" w:hAnsi="標楷體"/>
                <w:color w:val="000000" w:themeColor="text1"/>
                <w:sz w:val="28"/>
                <w:szCs w:val="28"/>
              </w:rPr>
            </w:pPr>
          </w:p>
        </w:tc>
        <w:tc>
          <w:tcPr>
            <w:tcW w:w="1769" w:type="pct"/>
          </w:tcPr>
          <w:p w:rsidR="00A45A02" w:rsidRPr="0095769A" w:rsidRDefault="00A45A02" w:rsidP="00A45A02">
            <w:pPr>
              <w:spacing w:line="400" w:lineRule="exact"/>
              <w:ind w:leftChars="-12" w:left="-29"/>
              <w:jc w:val="both"/>
              <w:rPr>
                <w:rFonts w:ascii="標楷體" w:eastAsia="標楷體" w:hAnsi="標楷體"/>
                <w:color w:val="000000"/>
                <w:sz w:val="28"/>
                <w:szCs w:val="28"/>
              </w:rPr>
            </w:pPr>
            <w:r w:rsidRPr="00A45A02">
              <w:rPr>
                <w:rFonts w:ascii="標楷體" w:eastAsia="標楷體" w:hAnsi="標楷體" w:hint="eastAsia"/>
                <w:color w:val="000000"/>
                <w:sz w:val="28"/>
              </w:rPr>
              <w:t>科技部函，為109年度中央政府總預算附屬單位預算決議，檢送國家科學技術發展基金決議第1項「人文及社會科學研究」凍結200萬元</w:t>
            </w:r>
            <w:r w:rsidRPr="00A45A02">
              <w:rPr>
                <w:rFonts w:ascii="標楷體" w:eastAsia="標楷體" w:hAnsi="標楷體" w:hint="eastAsia"/>
                <w:color w:val="000000"/>
                <w:sz w:val="28"/>
              </w:rPr>
              <w:lastRenderedPageBreak/>
              <w:t>書面報告，請查照案。</w:t>
            </w:r>
          </w:p>
        </w:tc>
        <w:tc>
          <w:tcPr>
            <w:tcW w:w="838" w:type="pct"/>
          </w:tcPr>
          <w:p w:rsidR="00A45A02" w:rsidRPr="00A45A02" w:rsidRDefault="00A45A02" w:rsidP="00A45A02">
            <w:pPr>
              <w:spacing w:line="400" w:lineRule="exact"/>
              <w:ind w:leftChars="-12" w:left="-29"/>
              <w:jc w:val="both"/>
              <w:rPr>
                <w:rFonts w:ascii="標楷體" w:eastAsia="標楷體" w:hAnsi="標楷體"/>
                <w:color w:val="000000"/>
                <w:sz w:val="28"/>
              </w:rPr>
            </w:pPr>
            <w:r w:rsidRPr="00A45A02">
              <w:rPr>
                <w:rFonts w:ascii="標楷體" w:eastAsia="標楷體" w:hAnsi="標楷體"/>
                <w:color w:val="000000"/>
                <w:sz w:val="28"/>
              </w:rPr>
              <w:lastRenderedPageBreak/>
              <w:t>10-</w:t>
            </w:r>
            <w:r w:rsidRPr="00A45A02">
              <w:rPr>
                <w:rFonts w:ascii="標楷體" w:eastAsia="標楷體" w:hAnsi="標楷體" w:hint="eastAsia"/>
                <w:color w:val="000000"/>
                <w:sz w:val="28"/>
              </w:rPr>
              <w:t>2</w:t>
            </w:r>
            <w:r w:rsidRPr="00A45A02">
              <w:rPr>
                <w:rFonts w:ascii="標楷體" w:eastAsia="標楷體" w:hAnsi="標楷體"/>
                <w:color w:val="000000"/>
                <w:sz w:val="28"/>
              </w:rPr>
              <w:t>-</w:t>
            </w:r>
            <w:r w:rsidRPr="00A45A02">
              <w:rPr>
                <w:rFonts w:ascii="標楷體" w:eastAsia="標楷體" w:hAnsi="標楷體" w:hint="eastAsia"/>
                <w:color w:val="000000"/>
                <w:sz w:val="28"/>
              </w:rPr>
              <w:t>4</w:t>
            </w:r>
          </w:p>
          <w:p w:rsidR="00A45A02" w:rsidRPr="00A45A02" w:rsidRDefault="00A45A02" w:rsidP="00A45A02">
            <w:pPr>
              <w:spacing w:line="400" w:lineRule="exact"/>
              <w:ind w:leftChars="-12" w:left="-29"/>
              <w:jc w:val="both"/>
              <w:rPr>
                <w:rFonts w:ascii="標楷體" w:eastAsia="標楷體" w:hAnsi="標楷體"/>
                <w:color w:val="000000"/>
                <w:sz w:val="28"/>
              </w:rPr>
            </w:pPr>
            <w:r w:rsidRPr="00A45A02">
              <w:rPr>
                <w:rFonts w:ascii="標楷體" w:eastAsia="標楷體" w:hAnsi="標楷體"/>
                <w:color w:val="000000"/>
                <w:sz w:val="28"/>
              </w:rPr>
              <w:t>(109</w:t>
            </w:r>
            <w:r w:rsidRPr="00A45A02">
              <w:rPr>
                <w:rFonts w:ascii="標楷體" w:eastAsia="標楷體" w:hAnsi="標楷體" w:hint="eastAsia"/>
                <w:color w:val="000000"/>
                <w:sz w:val="28"/>
              </w:rPr>
              <w:t>.10.23</w:t>
            </w:r>
            <w:r w:rsidRPr="00A45A02">
              <w:rPr>
                <w:rFonts w:ascii="標楷體" w:eastAsia="標楷體" w:hAnsi="標楷體"/>
                <w:color w:val="000000"/>
                <w:sz w:val="28"/>
              </w:rPr>
              <w:t>)</w:t>
            </w:r>
          </w:p>
        </w:tc>
        <w:tc>
          <w:tcPr>
            <w:tcW w:w="503" w:type="pct"/>
          </w:tcPr>
          <w:p w:rsidR="00A45A02" w:rsidRPr="0095769A" w:rsidRDefault="00A45A02" w:rsidP="00A45A02">
            <w:pPr>
              <w:jc w:val="both"/>
              <w:rPr>
                <w:rFonts w:ascii="標楷體" w:eastAsia="標楷體" w:hAnsi="標楷體"/>
                <w:color w:val="000000"/>
                <w:sz w:val="28"/>
                <w:szCs w:val="28"/>
              </w:rPr>
            </w:pPr>
          </w:p>
        </w:tc>
        <w:tc>
          <w:tcPr>
            <w:tcW w:w="1545" w:type="pct"/>
          </w:tcPr>
          <w:p w:rsidR="00A45A02" w:rsidRPr="0095769A" w:rsidRDefault="00A45A02" w:rsidP="00A45A02">
            <w:pPr>
              <w:ind w:leftChars="21" w:left="302" w:hangingChars="105" w:hanging="252"/>
              <w:jc w:val="both"/>
              <w:rPr>
                <w:rFonts w:ascii="標楷體" w:eastAsia="標楷體" w:hAnsi="標楷體"/>
                <w:color w:val="000000"/>
              </w:rPr>
            </w:pPr>
            <w:r w:rsidRPr="0095769A">
              <w:rPr>
                <w:rFonts w:ascii="標楷體" w:eastAsia="標楷體" w:hAnsi="標楷體" w:hint="eastAsia"/>
                <w:color w:val="000000"/>
              </w:rPr>
              <w:t>1.逾年度預算執行期間，報請院會存查。</w:t>
            </w:r>
          </w:p>
          <w:p w:rsidR="00A45A02" w:rsidRPr="0095769A" w:rsidRDefault="00A45A02" w:rsidP="00A45A02">
            <w:pPr>
              <w:ind w:leftChars="21" w:left="302" w:hangingChars="105" w:hanging="252"/>
              <w:jc w:val="both"/>
              <w:rPr>
                <w:rFonts w:ascii="標楷體" w:eastAsia="標楷體" w:hAnsi="標楷體"/>
                <w:color w:val="000000"/>
              </w:rPr>
            </w:pPr>
            <w:r w:rsidRPr="0095769A">
              <w:rPr>
                <w:rFonts w:ascii="標楷體" w:eastAsia="標楷體" w:hAnsi="標楷體" w:hint="eastAsia"/>
                <w:color w:val="000000"/>
              </w:rPr>
              <w:t>2.第</w:t>
            </w:r>
            <w:r w:rsidRPr="0095769A">
              <w:rPr>
                <w:rFonts w:ascii="標楷體" w:eastAsia="標楷體" w:hAnsi="標楷體"/>
                <w:color w:val="000000"/>
              </w:rPr>
              <w:t>6</w:t>
            </w:r>
            <w:r w:rsidRPr="0095769A">
              <w:rPr>
                <w:rFonts w:ascii="標楷體" w:eastAsia="標楷體" w:hAnsi="標楷體" w:hint="eastAsia"/>
                <w:color w:val="000000"/>
              </w:rPr>
              <w:t>會期第</w:t>
            </w:r>
            <w:r w:rsidRPr="0095769A">
              <w:rPr>
                <w:rFonts w:ascii="標楷體" w:eastAsia="標楷體" w:hAnsi="標楷體"/>
                <w:color w:val="000000"/>
              </w:rPr>
              <w:t>7</w:t>
            </w:r>
            <w:r w:rsidRPr="0095769A">
              <w:rPr>
                <w:rFonts w:ascii="標楷體" w:eastAsia="標楷體" w:hAnsi="標楷體" w:hint="eastAsia"/>
                <w:color w:val="000000"/>
              </w:rPr>
              <w:t>次院會(111.</w:t>
            </w:r>
            <w:r w:rsidRPr="0095769A">
              <w:rPr>
                <w:rFonts w:ascii="標楷體" w:eastAsia="標楷體" w:hAnsi="標楷體"/>
                <w:color w:val="000000"/>
              </w:rPr>
              <w:t>11</w:t>
            </w:r>
            <w:r w:rsidRPr="0095769A">
              <w:rPr>
                <w:rFonts w:ascii="標楷體" w:eastAsia="標楷體" w:hAnsi="標楷體" w:hint="eastAsia"/>
                <w:color w:val="000000"/>
              </w:rPr>
              <w:t>.</w:t>
            </w:r>
            <w:r w:rsidRPr="0095769A">
              <w:rPr>
                <w:rFonts w:ascii="標楷體" w:eastAsia="標楷體" w:hAnsi="標楷體"/>
                <w:color w:val="000000"/>
              </w:rPr>
              <w:t>11</w:t>
            </w:r>
            <w:r w:rsidRPr="0095769A">
              <w:rPr>
                <w:rFonts w:ascii="標楷體" w:eastAsia="標楷體" w:hAnsi="標楷體" w:hint="eastAsia"/>
                <w:color w:val="000000"/>
              </w:rPr>
              <w:t>)決定：准予備查。</w:t>
            </w:r>
          </w:p>
        </w:tc>
      </w:tr>
      <w:tr w:rsidR="00A45A02" w:rsidRPr="00A45A02" w:rsidTr="00BC07CA">
        <w:trPr>
          <w:trHeight w:val="567"/>
        </w:trPr>
        <w:tc>
          <w:tcPr>
            <w:tcW w:w="345" w:type="pct"/>
            <w:vAlign w:val="center"/>
          </w:tcPr>
          <w:p w:rsidR="00A45A02" w:rsidRPr="00A45A02" w:rsidRDefault="00A45A02" w:rsidP="006934DD">
            <w:pPr>
              <w:numPr>
                <w:ilvl w:val="0"/>
                <w:numId w:val="46"/>
              </w:numPr>
              <w:spacing w:line="400" w:lineRule="exact"/>
              <w:ind w:right="113"/>
              <w:rPr>
                <w:rFonts w:ascii="標楷體" w:eastAsia="標楷體" w:hAnsi="標楷體"/>
                <w:color w:val="000000" w:themeColor="text1"/>
                <w:sz w:val="28"/>
                <w:szCs w:val="28"/>
              </w:rPr>
            </w:pPr>
          </w:p>
        </w:tc>
        <w:tc>
          <w:tcPr>
            <w:tcW w:w="1769" w:type="pct"/>
          </w:tcPr>
          <w:p w:rsidR="00A45A02" w:rsidRPr="0095769A" w:rsidRDefault="00A45A02" w:rsidP="00A45A02">
            <w:pPr>
              <w:spacing w:line="400" w:lineRule="exact"/>
              <w:ind w:leftChars="-12" w:left="-29"/>
              <w:jc w:val="both"/>
              <w:rPr>
                <w:rFonts w:ascii="標楷體" w:eastAsia="標楷體" w:hAnsi="標楷體"/>
                <w:color w:val="000000"/>
                <w:sz w:val="28"/>
                <w:szCs w:val="28"/>
              </w:rPr>
            </w:pPr>
            <w:r w:rsidRPr="00A45A02">
              <w:rPr>
                <w:rFonts w:ascii="標楷體" w:eastAsia="標楷體" w:hAnsi="標楷體" w:hint="eastAsia"/>
                <w:color w:val="000000"/>
                <w:sz w:val="28"/>
              </w:rPr>
              <w:t>科技部函，為109年度中央政府總預算附屬單位預算決議，檢送國家科學技術發展基金決議第2項「跨部會署執行之科技計畫」凍結1,000萬元書面報告，請查照案。</w:t>
            </w:r>
          </w:p>
        </w:tc>
        <w:tc>
          <w:tcPr>
            <w:tcW w:w="838" w:type="pct"/>
          </w:tcPr>
          <w:p w:rsidR="00A45A02" w:rsidRPr="00A45A02" w:rsidRDefault="00A45A02" w:rsidP="00A45A02">
            <w:pPr>
              <w:spacing w:line="400" w:lineRule="exact"/>
              <w:ind w:leftChars="-12" w:left="-29"/>
              <w:jc w:val="both"/>
              <w:rPr>
                <w:rFonts w:ascii="標楷體" w:eastAsia="標楷體" w:hAnsi="標楷體"/>
                <w:color w:val="000000"/>
                <w:sz w:val="28"/>
              </w:rPr>
            </w:pPr>
            <w:r w:rsidRPr="00A45A02">
              <w:rPr>
                <w:rFonts w:ascii="標楷體" w:eastAsia="標楷體" w:hAnsi="標楷體"/>
                <w:color w:val="000000"/>
                <w:sz w:val="28"/>
              </w:rPr>
              <w:t>10-</w:t>
            </w:r>
            <w:r w:rsidRPr="00A45A02">
              <w:rPr>
                <w:rFonts w:ascii="標楷體" w:eastAsia="標楷體" w:hAnsi="標楷體" w:hint="eastAsia"/>
                <w:color w:val="000000"/>
                <w:sz w:val="28"/>
              </w:rPr>
              <w:t>2</w:t>
            </w:r>
            <w:r w:rsidRPr="00A45A02">
              <w:rPr>
                <w:rFonts w:ascii="標楷體" w:eastAsia="標楷體" w:hAnsi="標楷體"/>
                <w:color w:val="000000"/>
                <w:sz w:val="28"/>
              </w:rPr>
              <w:t>-</w:t>
            </w:r>
            <w:r w:rsidRPr="00A45A02">
              <w:rPr>
                <w:rFonts w:ascii="標楷體" w:eastAsia="標楷體" w:hAnsi="標楷體" w:hint="eastAsia"/>
                <w:color w:val="000000"/>
                <w:sz w:val="28"/>
              </w:rPr>
              <w:t>4</w:t>
            </w:r>
          </w:p>
          <w:p w:rsidR="00A45A02" w:rsidRPr="0095769A" w:rsidRDefault="00A45A02" w:rsidP="00A45A02">
            <w:pPr>
              <w:spacing w:line="400" w:lineRule="exact"/>
              <w:ind w:leftChars="-12" w:left="-29"/>
              <w:jc w:val="both"/>
              <w:rPr>
                <w:rFonts w:ascii="標楷體" w:eastAsia="標楷體" w:hAnsi="標楷體"/>
                <w:color w:val="000000"/>
                <w:sz w:val="28"/>
                <w:szCs w:val="28"/>
              </w:rPr>
            </w:pPr>
            <w:r w:rsidRPr="00A45A02">
              <w:rPr>
                <w:rFonts w:ascii="標楷體" w:eastAsia="標楷體" w:hAnsi="標楷體"/>
                <w:color w:val="000000"/>
                <w:sz w:val="28"/>
              </w:rPr>
              <w:t>(109</w:t>
            </w:r>
            <w:r w:rsidRPr="00A45A02">
              <w:rPr>
                <w:rFonts w:ascii="標楷體" w:eastAsia="標楷體" w:hAnsi="標楷體" w:hint="eastAsia"/>
                <w:color w:val="000000"/>
                <w:sz w:val="28"/>
              </w:rPr>
              <w:t>.10.23</w:t>
            </w:r>
            <w:r w:rsidRPr="00A45A02">
              <w:rPr>
                <w:rFonts w:ascii="標楷體" w:eastAsia="標楷體" w:hAnsi="標楷體"/>
                <w:color w:val="000000"/>
                <w:sz w:val="28"/>
              </w:rPr>
              <w:t>)</w:t>
            </w:r>
          </w:p>
        </w:tc>
        <w:tc>
          <w:tcPr>
            <w:tcW w:w="503" w:type="pct"/>
          </w:tcPr>
          <w:p w:rsidR="00A45A02" w:rsidRPr="0095769A" w:rsidRDefault="00A45A02" w:rsidP="00A45A02">
            <w:pPr>
              <w:jc w:val="both"/>
              <w:rPr>
                <w:rFonts w:ascii="標楷體" w:eastAsia="標楷體" w:hAnsi="標楷體"/>
                <w:color w:val="000000"/>
                <w:sz w:val="28"/>
                <w:szCs w:val="28"/>
              </w:rPr>
            </w:pPr>
          </w:p>
        </w:tc>
        <w:tc>
          <w:tcPr>
            <w:tcW w:w="1545" w:type="pct"/>
          </w:tcPr>
          <w:p w:rsidR="00A45A02" w:rsidRPr="0095769A" w:rsidRDefault="00A45A02" w:rsidP="00A45A02">
            <w:pPr>
              <w:ind w:leftChars="21" w:left="302" w:hangingChars="105" w:hanging="252"/>
              <w:jc w:val="both"/>
              <w:rPr>
                <w:rFonts w:ascii="標楷體" w:eastAsia="標楷體" w:hAnsi="標楷體"/>
                <w:color w:val="000000"/>
              </w:rPr>
            </w:pPr>
            <w:r w:rsidRPr="0095769A">
              <w:rPr>
                <w:rFonts w:ascii="標楷體" w:eastAsia="標楷體" w:hAnsi="標楷體" w:hint="eastAsia"/>
                <w:color w:val="000000"/>
              </w:rPr>
              <w:t>1.逾年度預算執行期間，報請院會存查。</w:t>
            </w:r>
          </w:p>
          <w:p w:rsidR="00A45A02" w:rsidRPr="0095769A" w:rsidRDefault="00A45A02" w:rsidP="00A45A02">
            <w:pPr>
              <w:ind w:leftChars="21" w:left="302" w:hangingChars="105" w:hanging="252"/>
              <w:jc w:val="both"/>
              <w:rPr>
                <w:rFonts w:ascii="標楷體" w:eastAsia="標楷體" w:hAnsi="標楷體"/>
                <w:color w:val="000000"/>
              </w:rPr>
            </w:pPr>
            <w:r w:rsidRPr="0095769A">
              <w:rPr>
                <w:rFonts w:ascii="標楷體" w:eastAsia="標楷體" w:hAnsi="標楷體" w:hint="eastAsia"/>
                <w:color w:val="000000"/>
              </w:rPr>
              <w:t>2.第</w:t>
            </w:r>
            <w:r w:rsidRPr="0095769A">
              <w:rPr>
                <w:rFonts w:ascii="標楷體" w:eastAsia="標楷體" w:hAnsi="標楷體"/>
                <w:color w:val="000000"/>
              </w:rPr>
              <w:t>6</w:t>
            </w:r>
            <w:r w:rsidRPr="0095769A">
              <w:rPr>
                <w:rFonts w:ascii="標楷體" w:eastAsia="標楷體" w:hAnsi="標楷體" w:hint="eastAsia"/>
                <w:color w:val="000000"/>
              </w:rPr>
              <w:t>會期第</w:t>
            </w:r>
            <w:r w:rsidRPr="0095769A">
              <w:rPr>
                <w:rFonts w:ascii="標楷體" w:eastAsia="標楷體" w:hAnsi="標楷體"/>
                <w:color w:val="000000"/>
              </w:rPr>
              <w:t>7</w:t>
            </w:r>
            <w:r w:rsidRPr="0095769A">
              <w:rPr>
                <w:rFonts w:ascii="標楷體" w:eastAsia="標楷體" w:hAnsi="標楷體" w:hint="eastAsia"/>
                <w:color w:val="000000"/>
              </w:rPr>
              <w:t>次院會(111.</w:t>
            </w:r>
            <w:r w:rsidRPr="0095769A">
              <w:rPr>
                <w:rFonts w:ascii="標楷體" w:eastAsia="標楷體" w:hAnsi="標楷體"/>
                <w:color w:val="000000"/>
              </w:rPr>
              <w:t>11</w:t>
            </w:r>
            <w:r w:rsidRPr="0095769A">
              <w:rPr>
                <w:rFonts w:ascii="標楷體" w:eastAsia="標楷體" w:hAnsi="標楷體" w:hint="eastAsia"/>
                <w:color w:val="000000"/>
              </w:rPr>
              <w:t>.</w:t>
            </w:r>
            <w:r w:rsidRPr="0095769A">
              <w:rPr>
                <w:rFonts w:ascii="標楷體" w:eastAsia="標楷體" w:hAnsi="標楷體"/>
                <w:color w:val="000000"/>
              </w:rPr>
              <w:t>11</w:t>
            </w:r>
            <w:r w:rsidRPr="0095769A">
              <w:rPr>
                <w:rFonts w:ascii="標楷體" w:eastAsia="標楷體" w:hAnsi="標楷體" w:hint="eastAsia"/>
                <w:color w:val="000000"/>
              </w:rPr>
              <w:t>)決定：准予備查</w:t>
            </w:r>
            <w:r>
              <w:rPr>
                <w:rFonts w:ascii="標楷體" w:eastAsia="標楷體" w:hAnsi="標楷體" w:hint="eastAsia"/>
                <w:color w:val="000000"/>
              </w:rPr>
              <w:t>。</w:t>
            </w:r>
          </w:p>
        </w:tc>
      </w:tr>
      <w:tr w:rsidR="00A45A02" w:rsidRPr="00A45A02" w:rsidTr="00BC07CA">
        <w:trPr>
          <w:trHeight w:val="567"/>
        </w:trPr>
        <w:tc>
          <w:tcPr>
            <w:tcW w:w="345" w:type="pct"/>
            <w:vAlign w:val="center"/>
          </w:tcPr>
          <w:p w:rsidR="00A45A02" w:rsidRPr="00A45A02" w:rsidRDefault="00A45A02" w:rsidP="006934DD">
            <w:pPr>
              <w:numPr>
                <w:ilvl w:val="0"/>
                <w:numId w:val="46"/>
              </w:numPr>
              <w:spacing w:line="400" w:lineRule="exact"/>
              <w:ind w:right="113"/>
              <w:rPr>
                <w:rFonts w:ascii="標楷體" w:eastAsia="標楷體" w:hAnsi="標楷體"/>
                <w:color w:val="000000" w:themeColor="text1"/>
                <w:sz w:val="28"/>
                <w:szCs w:val="28"/>
              </w:rPr>
            </w:pPr>
          </w:p>
        </w:tc>
        <w:tc>
          <w:tcPr>
            <w:tcW w:w="1769" w:type="pct"/>
          </w:tcPr>
          <w:p w:rsidR="00A45A02" w:rsidRPr="0095769A" w:rsidRDefault="00A45A02" w:rsidP="00A45A02">
            <w:pPr>
              <w:spacing w:line="400" w:lineRule="exact"/>
              <w:ind w:leftChars="-12" w:left="-29"/>
              <w:jc w:val="both"/>
              <w:rPr>
                <w:rFonts w:ascii="標楷體" w:eastAsia="標楷體" w:hAnsi="標楷體"/>
                <w:color w:val="000000"/>
                <w:sz w:val="28"/>
                <w:szCs w:val="28"/>
              </w:rPr>
            </w:pPr>
            <w:r w:rsidRPr="00A45A02">
              <w:rPr>
                <w:rFonts w:ascii="標楷體" w:eastAsia="標楷體" w:hAnsi="標楷體" w:hint="eastAsia"/>
                <w:color w:val="000000"/>
                <w:sz w:val="28"/>
              </w:rPr>
              <w:t>科技部函，為109年度中央政府總預算附屬單位預算決議，檢送國家科學技術發展基金決議第3項「科學傳播與推廣」凍結100萬元書面報告，請查照案。</w:t>
            </w:r>
          </w:p>
        </w:tc>
        <w:tc>
          <w:tcPr>
            <w:tcW w:w="838" w:type="pct"/>
          </w:tcPr>
          <w:p w:rsidR="00A45A02" w:rsidRPr="00A45A02" w:rsidRDefault="00A45A02" w:rsidP="00A45A02">
            <w:pPr>
              <w:spacing w:line="400" w:lineRule="exact"/>
              <w:ind w:leftChars="-12" w:left="-29"/>
              <w:jc w:val="both"/>
              <w:rPr>
                <w:rFonts w:ascii="標楷體" w:eastAsia="標楷體" w:hAnsi="標楷體"/>
                <w:color w:val="000000"/>
                <w:sz w:val="28"/>
              </w:rPr>
            </w:pPr>
            <w:r w:rsidRPr="00A45A02">
              <w:rPr>
                <w:rFonts w:ascii="標楷體" w:eastAsia="標楷體" w:hAnsi="標楷體"/>
                <w:color w:val="000000"/>
                <w:sz w:val="28"/>
              </w:rPr>
              <w:t>10-</w:t>
            </w:r>
            <w:r w:rsidRPr="00A45A02">
              <w:rPr>
                <w:rFonts w:ascii="標楷體" w:eastAsia="標楷體" w:hAnsi="標楷體" w:hint="eastAsia"/>
                <w:color w:val="000000"/>
                <w:sz w:val="28"/>
              </w:rPr>
              <w:t>2</w:t>
            </w:r>
            <w:r w:rsidRPr="00A45A02">
              <w:rPr>
                <w:rFonts w:ascii="標楷體" w:eastAsia="標楷體" w:hAnsi="標楷體"/>
                <w:color w:val="000000"/>
                <w:sz w:val="28"/>
              </w:rPr>
              <w:t>-</w:t>
            </w:r>
            <w:r w:rsidRPr="00A45A02">
              <w:rPr>
                <w:rFonts w:ascii="標楷體" w:eastAsia="標楷體" w:hAnsi="標楷體" w:hint="eastAsia"/>
                <w:color w:val="000000"/>
                <w:sz w:val="28"/>
              </w:rPr>
              <w:t>4</w:t>
            </w:r>
          </w:p>
          <w:p w:rsidR="00A45A02" w:rsidRPr="0095769A" w:rsidRDefault="00A45A02" w:rsidP="00A45A02">
            <w:pPr>
              <w:spacing w:line="400" w:lineRule="exact"/>
              <w:ind w:leftChars="-12" w:left="-29"/>
              <w:jc w:val="both"/>
              <w:rPr>
                <w:rFonts w:ascii="標楷體" w:eastAsia="標楷體" w:hAnsi="標楷體"/>
                <w:color w:val="000000"/>
                <w:sz w:val="28"/>
                <w:szCs w:val="28"/>
              </w:rPr>
            </w:pPr>
            <w:r w:rsidRPr="00A45A02">
              <w:rPr>
                <w:rFonts w:ascii="標楷體" w:eastAsia="標楷體" w:hAnsi="標楷體"/>
                <w:color w:val="000000"/>
                <w:sz w:val="28"/>
              </w:rPr>
              <w:t>(109</w:t>
            </w:r>
            <w:r w:rsidRPr="00A45A02">
              <w:rPr>
                <w:rFonts w:ascii="標楷體" w:eastAsia="標楷體" w:hAnsi="標楷體" w:hint="eastAsia"/>
                <w:color w:val="000000"/>
                <w:sz w:val="28"/>
              </w:rPr>
              <w:t>.10.23</w:t>
            </w:r>
            <w:r w:rsidRPr="00A45A02">
              <w:rPr>
                <w:rFonts w:ascii="標楷體" w:eastAsia="標楷體" w:hAnsi="標楷體"/>
                <w:color w:val="000000"/>
                <w:sz w:val="28"/>
              </w:rPr>
              <w:t>)</w:t>
            </w:r>
          </w:p>
        </w:tc>
        <w:tc>
          <w:tcPr>
            <w:tcW w:w="503" w:type="pct"/>
          </w:tcPr>
          <w:p w:rsidR="00A45A02" w:rsidRPr="0095769A" w:rsidRDefault="00A45A02" w:rsidP="00A45A02">
            <w:pPr>
              <w:jc w:val="both"/>
              <w:rPr>
                <w:rFonts w:ascii="標楷體" w:eastAsia="標楷體" w:hAnsi="標楷體"/>
                <w:color w:val="000000"/>
                <w:sz w:val="28"/>
                <w:szCs w:val="28"/>
              </w:rPr>
            </w:pPr>
          </w:p>
        </w:tc>
        <w:tc>
          <w:tcPr>
            <w:tcW w:w="1545" w:type="pct"/>
          </w:tcPr>
          <w:p w:rsidR="00A45A02" w:rsidRPr="0095769A" w:rsidRDefault="00A45A02" w:rsidP="00A45A02">
            <w:pPr>
              <w:ind w:leftChars="21" w:left="302" w:hangingChars="105" w:hanging="252"/>
              <w:jc w:val="both"/>
              <w:rPr>
                <w:rFonts w:ascii="標楷體" w:eastAsia="標楷體" w:hAnsi="標楷體"/>
                <w:color w:val="000000"/>
              </w:rPr>
            </w:pPr>
            <w:r w:rsidRPr="0095769A">
              <w:rPr>
                <w:rFonts w:ascii="標楷體" w:eastAsia="標楷體" w:hAnsi="標楷體" w:hint="eastAsia"/>
                <w:color w:val="000000"/>
              </w:rPr>
              <w:t>1.逾年度預算執行期間，報請院會存查。</w:t>
            </w:r>
          </w:p>
          <w:p w:rsidR="00A45A02" w:rsidRPr="0095769A" w:rsidRDefault="00A45A02" w:rsidP="00A45A02">
            <w:pPr>
              <w:ind w:leftChars="21" w:left="302" w:hangingChars="105" w:hanging="252"/>
              <w:jc w:val="both"/>
              <w:rPr>
                <w:rFonts w:ascii="標楷體" w:eastAsia="標楷體" w:hAnsi="標楷體"/>
                <w:color w:val="000000"/>
              </w:rPr>
            </w:pPr>
            <w:r w:rsidRPr="0095769A">
              <w:rPr>
                <w:rFonts w:ascii="標楷體" w:eastAsia="標楷體" w:hAnsi="標楷體" w:hint="eastAsia"/>
                <w:color w:val="000000"/>
              </w:rPr>
              <w:t>2.第</w:t>
            </w:r>
            <w:r w:rsidRPr="0095769A">
              <w:rPr>
                <w:rFonts w:ascii="標楷體" w:eastAsia="標楷體" w:hAnsi="標楷體"/>
                <w:color w:val="000000"/>
              </w:rPr>
              <w:t>6</w:t>
            </w:r>
            <w:r w:rsidRPr="0095769A">
              <w:rPr>
                <w:rFonts w:ascii="標楷體" w:eastAsia="標楷體" w:hAnsi="標楷體" w:hint="eastAsia"/>
                <w:color w:val="000000"/>
              </w:rPr>
              <w:t>會期第</w:t>
            </w:r>
            <w:r w:rsidRPr="0095769A">
              <w:rPr>
                <w:rFonts w:ascii="標楷體" w:eastAsia="標楷體" w:hAnsi="標楷體"/>
                <w:color w:val="000000"/>
              </w:rPr>
              <w:t>7</w:t>
            </w:r>
            <w:r w:rsidRPr="0095769A">
              <w:rPr>
                <w:rFonts w:ascii="標楷體" w:eastAsia="標楷體" w:hAnsi="標楷體" w:hint="eastAsia"/>
                <w:color w:val="000000"/>
              </w:rPr>
              <w:t>次院會(111.</w:t>
            </w:r>
            <w:r w:rsidRPr="0095769A">
              <w:rPr>
                <w:rFonts w:ascii="標楷體" w:eastAsia="標楷體" w:hAnsi="標楷體"/>
                <w:color w:val="000000"/>
              </w:rPr>
              <w:t>11</w:t>
            </w:r>
            <w:r w:rsidRPr="0095769A">
              <w:rPr>
                <w:rFonts w:ascii="標楷體" w:eastAsia="標楷體" w:hAnsi="標楷體" w:hint="eastAsia"/>
                <w:color w:val="000000"/>
              </w:rPr>
              <w:t>.</w:t>
            </w:r>
            <w:r w:rsidRPr="0095769A">
              <w:rPr>
                <w:rFonts w:ascii="標楷體" w:eastAsia="標楷體" w:hAnsi="標楷體"/>
                <w:color w:val="000000"/>
              </w:rPr>
              <w:t>11</w:t>
            </w:r>
            <w:r w:rsidRPr="0095769A">
              <w:rPr>
                <w:rFonts w:ascii="標楷體" w:eastAsia="標楷體" w:hAnsi="標楷體" w:hint="eastAsia"/>
                <w:color w:val="000000"/>
              </w:rPr>
              <w:t>)決定：准予備查</w:t>
            </w:r>
            <w:r>
              <w:rPr>
                <w:rFonts w:ascii="標楷體" w:eastAsia="標楷體" w:hAnsi="標楷體" w:hint="eastAsia"/>
                <w:color w:val="000000"/>
              </w:rPr>
              <w:t>。</w:t>
            </w:r>
          </w:p>
        </w:tc>
      </w:tr>
    </w:tbl>
    <w:p w:rsidR="00A45A02" w:rsidRPr="00A45A02" w:rsidRDefault="00A45A02" w:rsidP="00A45A02">
      <w:pPr>
        <w:pStyle w:val="01-4"/>
      </w:pPr>
      <w:bookmarkStart w:id="86" w:name="_Toc126068128"/>
      <w:r>
        <w:rPr>
          <w:rFonts w:hint="eastAsia"/>
        </w:rPr>
        <w:t xml:space="preserve">4.國立故宮博物院 </w:t>
      </w:r>
      <w:r w:rsidRPr="00A45A02">
        <w:rPr>
          <w:rFonts w:hint="eastAsia"/>
        </w:rPr>
        <w:t>(</w:t>
      </w:r>
      <w:r>
        <w:rPr>
          <w:rFonts w:hint="eastAsia"/>
        </w:rPr>
        <w:t>1</w:t>
      </w:r>
      <w:r w:rsidRPr="00A45A02">
        <w:rPr>
          <w:rFonts w:hint="eastAsia"/>
        </w:rPr>
        <w:t>案）</w:t>
      </w:r>
      <w:bookmarkEnd w:id="86"/>
    </w:p>
    <w:tbl>
      <w:tblPr>
        <w:tblW w:w="5270" w:type="pct"/>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0"/>
        <w:gridCol w:w="3591"/>
        <w:gridCol w:w="1701"/>
        <w:gridCol w:w="1021"/>
        <w:gridCol w:w="3136"/>
      </w:tblGrid>
      <w:tr w:rsidR="00A45A02" w:rsidRPr="00A45A02" w:rsidTr="00BC07CA">
        <w:trPr>
          <w:trHeight w:val="700"/>
        </w:trPr>
        <w:tc>
          <w:tcPr>
            <w:tcW w:w="345" w:type="pct"/>
            <w:vAlign w:val="center"/>
          </w:tcPr>
          <w:p w:rsidR="00A45A02" w:rsidRPr="00A45A02" w:rsidRDefault="00A45A02" w:rsidP="00A45A02">
            <w:pPr>
              <w:spacing w:line="400" w:lineRule="exact"/>
              <w:rPr>
                <w:rFonts w:ascii="標楷體" w:eastAsia="標楷體" w:hAnsi="標楷體"/>
                <w:b/>
                <w:bCs/>
                <w:color w:val="000000" w:themeColor="text1"/>
                <w:spacing w:val="-20"/>
                <w:sz w:val="28"/>
                <w:szCs w:val="28"/>
              </w:rPr>
            </w:pPr>
            <w:r w:rsidRPr="00A45A02">
              <w:rPr>
                <w:rFonts w:ascii="標楷體" w:eastAsia="標楷體" w:hAnsi="標楷體" w:hint="eastAsia"/>
                <w:b/>
                <w:bCs/>
                <w:color w:val="000000" w:themeColor="text1"/>
                <w:spacing w:val="-20"/>
                <w:sz w:val="28"/>
                <w:szCs w:val="28"/>
              </w:rPr>
              <w:t>序號</w:t>
            </w:r>
          </w:p>
        </w:tc>
        <w:tc>
          <w:tcPr>
            <w:tcW w:w="1769" w:type="pct"/>
            <w:vAlign w:val="center"/>
          </w:tcPr>
          <w:p w:rsidR="00A45A02" w:rsidRPr="00A45A02" w:rsidRDefault="00A45A02" w:rsidP="00A45A02">
            <w:pPr>
              <w:spacing w:line="400" w:lineRule="exact"/>
              <w:jc w:val="center"/>
              <w:rPr>
                <w:rFonts w:ascii="標楷體" w:eastAsia="標楷體" w:hAnsi="標楷體"/>
                <w:b/>
                <w:bCs/>
                <w:color w:val="000000" w:themeColor="text1"/>
                <w:sz w:val="28"/>
              </w:rPr>
            </w:pPr>
            <w:r w:rsidRPr="00A45A02">
              <w:rPr>
                <w:rFonts w:ascii="標楷體" w:eastAsia="標楷體" w:hAnsi="標楷體" w:hint="eastAsia"/>
                <w:b/>
                <w:bCs/>
                <w:color w:val="000000" w:themeColor="text1"/>
                <w:sz w:val="28"/>
              </w:rPr>
              <w:t>案      由</w:t>
            </w:r>
          </w:p>
        </w:tc>
        <w:tc>
          <w:tcPr>
            <w:tcW w:w="838" w:type="pct"/>
            <w:vAlign w:val="center"/>
          </w:tcPr>
          <w:p w:rsidR="00A45A02" w:rsidRPr="00A45A02" w:rsidRDefault="00A45A02" w:rsidP="00A45A02">
            <w:pPr>
              <w:spacing w:line="400" w:lineRule="exact"/>
              <w:ind w:left="92"/>
              <w:jc w:val="center"/>
              <w:rPr>
                <w:rFonts w:ascii="標楷體" w:eastAsia="標楷體" w:hAnsi="標楷體"/>
                <w:b/>
                <w:bCs/>
                <w:color w:val="000000" w:themeColor="text1"/>
                <w:sz w:val="28"/>
              </w:rPr>
            </w:pPr>
            <w:r w:rsidRPr="00A45A02">
              <w:rPr>
                <w:rFonts w:ascii="標楷體" w:eastAsia="標楷體" w:hAnsi="標楷體" w:hint="eastAsia"/>
                <w:b/>
                <w:bCs/>
                <w:color w:val="000000" w:themeColor="text1"/>
                <w:sz w:val="28"/>
              </w:rPr>
              <w:t>院會交付</w:t>
            </w:r>
          </w:p>
          <w:p w:rsidR="00A45A02" w:rsidRPr="00A45A02" w:rsidRDefault="00A45A02" w:rsidP="00A45A02">
            <w:pPr>
              <w:spacing w:line="400" w:lineRule="exact"/>
              <w:ind w:left="92"/>
              <w:jc w:val="center"/>
              <w:rPr>
                <w:rFonts w:ascii="標楷體" w:eastAsia="標楷體" w:hAnsi="標楷體"/>
                <w:b/>
                <w:bCs/>
                <w:color w:val="000000" w:themeColor="text1"/>
                <w:sz w:val="28"/>
              </w:rPr>
            </w:pPr>
            <w:r w:rsidRPr="00A45A02">
              <w:rPr>
                <w:rFonts w:ascii="標楷體" w:eastAsia="標楷體" w:hAnsi="標楷體" w:hint="eastAsia"/>
                <w:b/>
                <w:bCs/>
                <w:color w:val="000000" w:themeColor="text1"/>
                <w:sz w:val="28"/>
              </w:rPr>
              <w:t>會次及日期</w:t>
            </w:r>
          </w:p>
        </w:tc>
        <w:tc>
          <w:tcPr>
            <w:tcW w:w="503" w:type="pct"/>
            <w:vAlign w:val="center"/>
          </w:tcPr>
          <w:p w:rsidR="00A45A02" w:rsidRPr="00A45A02" w:rsidRDefault="00A45A02" w:rsidP="00A45A02">
            <w:pPr>
              <w:spacing w:line="400" w:lineRule="exact"/>
              <w:jc w:val="center"/>
              <w:rPr>
                <w:rFonts w:ascii="標楷體" w:eastAsia="標楷體" w:hAnsi="標楷體"/>
                <w:b/>
                <w:bCs/>
                <w:color w:val="000000" w:themeColor="text1"/>
                <w:sz w:val="28"/>
              </w:rPr>
            </w:pPr>
            <w:r w:rsidRPr="00A45A02">
              <w:rPr>
                <w:rFonts w:ascii="標楷體" w:eastAsia="標楷體" w:hAnsi="標楷體" w:hint="eastAsia"/>
                <w:b/>
                <w:bCs/>
                <w:color w:val="000000" w:themeColor="text1"/>
                <w:sz w:val="28"/>
              </w:rPr>
              <w:t>聯席</w:t>
            </w:r>
          </w:p>
          <w:p w:rsidR="00A45A02" w:rsidRPr="00A45A02" w:rsidRDefault="00A45A02" w:rsidP="00A45A02">
            <w:pPr>
              <w:spacing w:line="400" w:lineRule="exact"/>
              <w:jc w:val="center"/>
              <w:rPr>
                <w:rFonts w:ascii="標楷體" w:eastAsia="標楷體" w:hAnsi="標楷體"/>
                <w:b/>
                <w:bCs/>
                <w:color w:val="000000" w:themeColor="text1"/>
                <w:sz w:val="28"/>
              </w:rPr>
            </w:pPr>
            <w:r w:rsidRPr="00A45A02">
              <w:rPr>
                <w:rFonts w:ascii="標楷體" w:eastAsia="標楷體" w:hAnsi="標楷體" w:hint="eastAsia"/>
                <w:b/>
                <w:bCs/>
                <w:color w:val="000000" w:themeColor="text1"/>
                <w:sz w:val="28"/>
              </w:rPr>
              <w:t>委員會</w:t>
            </w:r>
          </w:p>
        </w:tc>
        <w:tc>
          <w:tcPr>
            <w:tcW w:w="1545" w:type="pct"/>
            <w:vAlign w:val="center"/>
          </w:tcPr>
          <w:p w:rsidR="00A45A02" w:rsidRPr="00A45A02" w:rsidRDefault="00A45A02" w:rsidP="00A45A02">
            <w:pPr>
              <w:spacing w:line="400" w:lineRule="exact"/>
              <w:jc w:val="distribute"/>
              <w:rPr>
                <w:rFonts w:ascii="標楷體" w:eastAsia="標楷體" w:hAnsi="標楷體"/>
                <w:b/>
                <w:bCs/>
                <w:color w:val="000000" w:themeColor="text1"/>
                <w:sz w:val="28"/>
              </w:rPr>
            </w:pPr>
            <w:r w:rsidRPr="00A45A02">
              <w:rPr>
                <w:rFonts w:ascii="標楷體" w:eastAsia="標楷體" w:hAnsi="標楷體" w:hint="eastAsia"/>
                <w:b/>
                <w:bCs/>
                <w:color w:val="000000" w:themeColor="text1"/>
                <w:sz w:val="28"/>
              </w:rPr>
              <w:t>處理情形</w:t>
            </w:r>
          </w:p>
        </w:tc>
      </w:tr>
      <w:tr w:rsidR="00A45A02" w:rsidRPr="00A45A02" w:rsidTr="00A4133F">
        <w:trPr>
          <w:trHeight w:val="567"/>
        </w:trPr>
        <w:tc>
          <w:tcPr>
            <w:tcW w:w="345" w:type="pct"/>
            <w:shd w:val="clear" w:color="auto" w:fill="auto"/>
            <w:vAlign w:val="center"/>
          </w:tcPr>
          <w:p w:rsidR="00A45A02" w:rsidRPr="00A45A02" w:rsidRDefault="00A4133F" w:rsidP="00A45A02">
            <w:pPr>
              <w:spacing w:line="400" w:lineRule="exact"/>
              <w:ind w:left="284" w:right="113"/>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1</w:t>
            </w:r>
          </w:p>
        </w:tc>
        <w:tc>
          <w:tcPr>
            <w:tcW w:w="1769" w:type="pct"/>
          </w:tcPr>
          <w:p w:rsidR="00A45A02" w:rsidRPr="004B2690" w:rsidRDefault="00A45A02" w:rsidP="00A45A02">
            <w:pPr>
              <w:spacing w:line="400" w:lineRule="exact"/>
              <w:ind w:leftChars="-12" w:left="-29"/>
              <w:jc w:val="both"/>
              <w:rPr>
                <w:rFonts w:ascii="標楷體" w:eastAsia="標楷體" w:hAnsi="標楷體"/>
                <w:color w:val="000000"/>
                <w:sz w:val="28"/>
                <w:szCs w:val="28"/>
              </w:rPr>
            </w:pPr>
            <w:r w:rsidRPr="00A45A02">
              <w:rPr>
                <w:rFonts w:ascii="標楷體" w:eastAsia="標楷體" w:hAnsi="標楷體" w:hint="eastAsia"/>
                <w:color w:val="000000"/>
                <w:sz w:val="28"/>
              </w:rPr>
              <w:t>國立故宮博物院函，為109年度中央政府總預算附屬單位預算決議，檢送故宮文化藝術發展基金銷貨成本預算凍結書面報告，請查照案。</w:t>
            </w:r>
          </w:p>
        </w:tc>
        <w:tc>
          <w:tcPr>
            <w:tcW w:w="838" w:type="pct"/>
          </w:tcPr>
          <w:p w:rsidR="00A45A02" w:rsidRPr="00A45A02" w:rsidRDefault="00A45A02" w:rsidP="00A45A02">
            <w:pPr>
              <w:spacing w:line="400" w:lineRule="exact"/>
              <w:ind w:leftChars="-12" w:left="-29"/>
              <w:jc w:val="both"/>
              <w:rPr>
                <w:rFonts w:ascii="標楷體" w:eastAsia="標楷體" w:hAnsi="標楷體"/>
                <w:color w:val="000000"/>
                <w:sz w:val="28"/>
              </w:rPr>
            </w:pPr>
            <w:r w:rsidRPr="00A45A02">
              <w:rPr>
                <w:rFonts w:ascii="標楷體" w:eastAsia="標楷體" w:hAnsi="標楷體"/>
                <w:color w:val="000000"/>
                <w:sz w:val="28"/>
              </w:rPr>
              <w:t>10-</w:t>
            </w:r>
            <w:r w:rsidRPr="00A45A02">
              <w:rPr>
                <w:rFonts w:ascii="標楷體" w:eastAsia="標楷體" w:hAnsi="標楷體" w:hint="eastAsia"/>
                <w:color w:val="000000"/>
                <w:sz w:val="28"/>
              </w:rPr>
              <w:t>2</w:t>
            </w:r>
            <w:r w:rsidRPr="00A45A02">
              <w:rPr>
                <w:rFonts w:ascii="標楷體" w:eastAsia="標楷體" w:hAnsi="標楷體"/>
                <w:color w:val="000000"/>
                <w:sz w:val="28"/>
              </w:rPr>
              <w:t>-</w:t>
            </w:r>
            <w:r w:rsidRPr="00A45A02">
              <w:rPr>
                <w:rFonts w:ascii="標楷體" w:eastAsia="標楷體" w:hAnsi="標楷體" w:hint="eastAsia"/>
                <w:color w:val="000000"/>
                <w:sz w:val="28"/>
              </w:rPr>
              <w:t>4</w:t>
            </w:r>
          </w:p>
          <w:p w:rsidR="00A45A02" w:rsidRPr="004B2690" w:rsidRDefault="00A45A02" w:rsidP="00A45A02">
            <w:pPr>
              <w:spacing w:line="400" w:lineRule="exact"/>
              <w:ind w:leftChars="-12" w:left="-29"/>
              <w:jc w:val="both"/>
              <w:rPr>
                <w:rFonts w:ascii="標楷體" w:eastAsia="標楷體" w:hAnsi="標楷體"/>
                <w:color w:val="000000"/>
                <w:sz w:val="28"/>
                <w:szCs w:val="28"/>
              </w:rPr>
            </w:pPr>
            <w:r w:rsidRPr="00A45A02">
              <w:rPr>
                <w:rFonts w:ascii="標楷體" w:eastAsia="標楷體" w:hAnsi="標楷體"/>
                <w:color w:val="000000"/>
                <w:sz w:val="28"/>
              </w:rPr>
              <w:t>(109</w:t>
            </w:r>
            <w:r w:rsidRPr="00A45A02">
              <w:rPr>
                <w:rFonts w:ascii="標楷體" w:eastAsia="標楷體" w:hAnsi="標楷體" w:hint="eastAsia"/>
                <w:color w:val="000000"/>
                <w:sz w:val="28"/>
              </w:rPr>
              <w:t>.10.23</w:t>
            </w:r>
            <w:r w:rsidRPr="00A45A02">
              <w:rPr>
                <w:rFonts w:ascii="標楷體" w:eastAsia="標楷體" w:hAnsi="標楷體"/>
                <w:color w:val="000000"/>
                <w:sz w:val="28"/>
              </w:rPr>
              <w:t>)</w:t>
            </w:r>
          </w:p>
        </w:tc>
        <w:tc>
          <w:tcPr>
            <w:tcW w:w="503" w:type="pct"/>
          </w:tcPr>
          <w:p w:rsidR="00A45A02" w:rsidRPr="004B2690" w:rsidRDefault="00A45A02" w:rsidP="00A45A02">
            <w:pPr>
              <w:spacing w:line="400" w:lineRule="exact"/>
              <w:jc w:val="both"/>
              <w:rPr>
                <w:rFonts w:ascii="標楷體" w:eastAsia="標楷體" w:hAnsi="標楷體"/>
                <w:color w:val="000000"/>
                <w:sz w:val="28"/>
                <w:szCs w:val="28"/>
              </w:rPr>
            </w:pPr>
          </w:p>
        </w:tc>
        <w:tc>
          <w:tcPr>
            <w:tcW w:w="1545" w:type="pct"/>
          </w:tcPr>
          <w:p w:rsidR="00A45A02" w:rsidRPr="004B2690" w:rsidRDefault="00A45A02" w:rsidP="00A45A02">
            <w:pPr>
              <w:ind w:leftChars="21" w:left="302" w:hangingChars="105" w:hanging="252"/>
              <w:jc w:val="both"/>
              <w:rPr>
                <w:rFonts w:ascii="標楷體" w:eastAsia="標楷體" w:hAnsi="標楷體"/>
                <w:color w:val="000000"/>
              </w:rPr>
            </w:pPr>
            <w:r w:rsidRPr="004B2690">
              <w:rPr>
                <w:rFonts w:ascii="標楷體" w:eastAsia="標楷體" w:hAnsi="標楷體" w:hint="eastAsia"/>
                <w:color w:val="000000"/>
              </w:rPr>
              <w:t>1.逾年度預算執行期間，報請院會存查。</w:t>
            </w:r>
          </w:p>
          <w:p w:rsidR="00A45A02" w:rsidRPr="004B2690" w:rsidRDefault="00A45A02" w:rsidP="00A45A02">
            <w:pPr>
              <w:ind w:leftChars="37" w:left="315" w:hangingChars="94" w:hanging="226"/>
              <w:jc w:val="both"/>
              <w:rPr>
                <w:rFonts w:ascii="標楷體" w:eastAsia="標楷體" w:hAnsi="標楷體"/>
                <w:color w:val="000000"/>
                <w:szCs w:val="24"/>
              </w:rPr>
            </w:pPr>
            <w:r w:rsidRPr="004B2690">
              <w:rPr>
                <w:rFonts w:ascii="標楷體" w:eastAsia="標楷體" w:hAnsi="標楷體" w:hint="eastAsia"/>
                <w:color w:val="000000"/>
              </w:rPr>
              <w:t>2.第</w:t>
            </w:r>
            <w:r w:rsidRPr="004B2690">
              <w:rPr>
                <w:rFonts w:ascii="標楷體" w:eastAsia="標楷體" w:hAnsi="標楷體"/>
                <w:color w:val="000000"/>
              </w:rPr>
              <w:t>6</w:t>
            </w:r>
            <w:r w:rsidRPr="004B2690">
              <w:rPr>
                <w:rFonts w:ascii="標楷體" w:eastAsia="標楷體" w:hAnsi="標楷體" w:hint="eastAsia"/>
                <w:color w:val="000000"/>
              </w:rPr>
              <w:t>會期第</w:t>
            </w:r>
            <w:r w:rsidRPr="004B2690">
              <w:rPr>
                <w:rFonts w:ascii="標楷體" w:eastAsia="標楷體" w:hAnsi="標楷體"/>
                <w:color w:val="000000"/>
              </w:rPr>
              <w:t>7</w:t>
            </w:r>
            <w:r w:rsidRPr="004B2690">
              <w:rPr>
                <w:rFonts w:ascii="標楷體" w:eastAsia="標楷體" w:hAnsi="標楷體" w:hint="eastAsia"/>
                <w:color w:val="000000"/>
              </w:rPr>
              <w:t>次院會(111.</w:t>
            </w:r>
            <w:r w:rsidRPr="004B2690">
              <w:rPr>
                <w:rFonts w:ascii="標楷體" w:eastAsia="標楷體" w:hAnsi="標楷體"/>
                <w:color w:val="000000"/>
              </w:rPr>
              <w:t>11</w:t>
            </w:r>
            <w:r w:rsidRPr="004B2690">
              <w:rPr>
                <w:rFonts w:ascii="標楷體" w:eastAsia="標楷體" w:hAnsi="標楷體" w:hint="eastAsia"/>
                <w:color w:val="000000"/>
              </w:rPr>
              <w:t>.</w:t>
            </w:r>
            <w:r w:rsidRPr="004B2690">
              <w:rPr>
                <w:rFonts w:ascii="標楷體" w:eastAsia="標楷體" w:hAnsi="標楷體"/>
                <w:color w:val="000000"/>
              </w:rPr>
              <w:t>11</w:t>
            </w:r>
            <w:r w:rsidRPr="004B2690">
              <w:rPr>
                <w:rFonts w:ascii="標楷體" w:eastAsia="標楷體" w:hAnsi="標楷體" w:hint="eastAsia"/>
                <w:color w:val="000000"/>
              </w:rPr>
              <w:t>)決定：准予備查</w:t>
            </w:r>
            <w:r w:rsidR="00B11CC9">
              <w:rPr>
                <w:rFonts w:ascii="標楷體" w:eastAsia="標楷體" w:hAnsi="標楷體" w:hint="eastAsia"/>
                <w:color w:val="000000"/>
              </w:rPr>
              <w:t>。</w:t>
            </w:r>
          </w:p>
        </w:tc>
      </w:tr>
    </w:tbl>
    <w:p w:rsidR="00304302" w:rsidRDefault="00304302">
      <w:pPr>
        <w:widowControl/>
        <w:rPr>
          <w:rFonts w:ascii="標楷體" w:eastAsia="標楷體" w:hAnsi="標楷體"/>
          <w:b/>
          <w:bCs/>
          <w:color w:val="000000" w:themeColor="text1"/>
          <w:sz w:val="32"/>
          <w:szCs w:val="32"/>
        </w:rPr>
      </w:pPr>
      <w:r>
        <w:rPr>
          <w:color w:val="000000" w:themeColor="text1"/>
        </w:rPr>
        <w:br w:type="page"/>
      </w:r>
    </w:p>
    <w:p w:rsidR="00744837" w:rsidRPr="00920597" w:rsidRDefault="00852E9E" w:rsidP="00744837">
      <w:pPr>
        <w:pStyle w:val="01-21"/>
        <w:rPr>
          <w:color w:val="000000" w:themeColor="text1"/>
        </w:rPr>
      </w:pPr>
      <w:bookmarkStart w:id="87" w:name="_Toc126068129"/>
      <w:r>
        <w:rPr>
          <w:rFonts w:hint="eastAsia"/>
          <w:color w:val="000000" w:themeColor="text1"/>
        </w:rPr>
        <w:lastRenderedPageBreak/>
        <w:t>二</w:t>
      </w:r>
      <w:r w:rsidR="00744837" w:rsidRPr="00920597">
        <w:rPr>
          <w:rFonts w:hint="eastAsia"/>
          <w:color w:val="000000" w:themeColor="text1"/>
        </w:rPr>
        <w:t>、行政命令案（</w:t>
      </w:r>
      <w:r w:rsidR="00301886">
        <w:rPr>
          <w:rFonts w:hint="eastAsia"/>
          <w:color w:val="000000" w:themeColor="text1"/>
        </w:rPr>
        <w:t>10</w:t>
      </w:r>
      <w:r w:rsidR="00744837" w:rsidRPr="00920597">
        <w:rPr>
          <w:rFonts w:hint="eastAsia"/>
          <w:color w:val="000000" w:themeColor="text1"/>
        </w:rPr>
        <w:t>案）</w:t>
      </w:r>
      <w:bookmarkEnd w:id="85"/>
      <w:bookmarkEnd w:id="87"/>
    </w:p>
    <w:tbl>
      <w:tblPr>
        <w:tblW w:w="5146" w:type="pct"/>
        <w:tblInd w:w="-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18"/>
        <w:gridCol w:w="3583"/>
        <w:gridCol w:w="1705"/>
        <w:gridCol w:w="939"/>
        <w:gridCol w:w="2965"/>
      </w:tblGrid>
      <w:tr w:rsidR="002F505C" w:rsidRPr="00920597" w:rsidTr="004C461F">
        <w:trPr>
          <w:trHeight w:val="700"/>
        </w:trPr>
        <w:tc>
          <w:tcPr>
            <w:tcW w:w="362" w:type="pct"/>
            <w:vAlign w:val="center"/>
          </w:tcPr>
          <w:p w:rsidR="00744837" w:rsidRPr="00920597" w:rsidRDefault="00744837" w:rsidP="00D75920">
            <w:pPr>
              <w:spacing w:line="400" w:lineRule="exact"/>
              <w:jc w:val="center"/>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1808" w:type="pct"/>
            <w:vAlign w:val="center"/>
          </w:tcPr>
          <w:p w:rsidR="00744837" w:rsidRPr="00920597" w:rsidRDefault="00744837" w:rsidP="00D75920">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60" w:type="pct"/>
            <w:vAlign w:val="center"/>
          </w:tcPr>
          <w:p w:rsidR="00744837" w:rsidRPr="00920597" w:rsidRDefault="00744837" w:rsidP="004C461F">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院會交付</w:t>
            </w:r>
          </w:p>
          <w:p w:rsidR="00744837" w:rsidRPr="00920597" w:rsidRDefault="00744837" w:rsidP="004C461F">
            <w:pPr>
              <w:spacing w:line="400" w:lineRule="exact"/>
              <w:ind w:leftChars="-36" w:left="1" w:hangingChars="31" w:hanging="87"/>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474" w:type="pct"/>
            <w:vAlign w:val="center"/>
          </w:tcPr>
          <w:p w:rsidR="00744837" w:rsidRPr="00920597" w:rsidRDefault="00744837" w:rsidP="00D75920">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聯席</w:t>
            </w:r>
          </w:p>
          <w:p w:rsidR="00744837" w:rsidRPr="00920597" w:rsidRDefault="00744837" w:rsidP="00D75920">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w:t>
            </w:r>
          </w:p>
        </w:tc>
        <w:tc>
          <w:tcPr>
            <w:tcW w:w="1496" w:type="pct"/>
            <w:vAlign w:val="center"/>
          </w:tcPr>
          <w:p w:rsidR="00744837" w:rsidRPr="00920597" w:rsidRDefault="00744837" w:rsidP="00D75920">
            <w:pPr>
              <w:spacing w:line="400" w:lineRule="exact"/>
              <w:jc w:val="distribute"/>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處理情形</w:t>
            </w:r>
          </w:p>
        </w:tc>
      </w:tr>
      <w:tr w:rsidR="00852E9E" w:rsidRPr="00920597" w:rsidTr="004C461F">
        <w:trPr>
          <w:trHeight w:val="700"/>
        </w:trPr>
        <w:tc>
          <w:tcPr>
            <w:tcW w:w="362" w:type="pct"/>
            <w:vAlign w:val="center"/>
          </w:tcPr>
          <w:p w:rsidR="00852E9E" w:rsidRPr="00920597" w:rsidRDefault="00852E9E" w:rsidP="006934DD">
            <w:pPr>
              <w:numPr>
                <w:ilvl w:val="0"/>
                <w:numId w:val="15"/>
              </w:numPr>
              <w:spacing w:line="400" w:lineRule="exact"/>
              <w:ind w:right="113"/>
              <w:rPr>
                <w:rFonts w:ascii="標楷體" w:eastAsia="標楷體" w:hAnsi="標楷體"/>
                <w:color w:val="000000" w:themeColor="text1"/>
                <w:sz w:val="28"/>
                <w:szCs w:val="28"/>
              </w:rPr>
            </w:pPr>
          </w:p>
        </w:tc>
        <w:tc>
          <w:tcPr>
            <w:tcW w:w="1808" w:type="pct"/>
          </w:tcPr>
          <w:p w:rsidR="00852E9E" w:rsidRPr="00D31BDA" w:rsidRDefault="00852E9E" w:rsidP="00852E9E">
            <w:pPr>
              <w:spacing w:line="400" w:lineRule="exact"/>
              <w:ind w:leftChars="-12" w:left="-29"/>
              <w:jc w:val="both"/>
              <w:rPr>
                <w:rFonts w:eastAsia="華康楷書體W5"/>
                <w:color w:val="000000"/>
                <w:sz w:val="28"/>
              </w:rPr>
            </w:pPr>
            <w:r w:rsidRPr="00D31BDA">
              <w:rPr>
                <w:rFonts w:eastAsia="華康楷書體W5" w:hint="eastAsia"/>
                <w:color w:val="000000"/>
                <w:sz w:val="28"/>
              </w:rPr>
              <w:t>行政院函，為修正「大專校院轉型及退場</w:t>
            </w:r>
            <w:r w:rsidRPr="00852E9E">
              <w:rPr>
                <w:rFonts w:ascii="標楷體" w:eastAsia="標楷體" w:hAnsi="標楷體" w:hint="eastAsia"/>
                <w:color w:val="000000"/>
                <w:sz w:val="28"/>
              </w:rPr>
              <w:t>基金</w:t>
            </w:r>
            <w:r w:rsidRPr="00D31BDA">
              <w:rPr>
                <w:rFonts w:eastAsia="華康楷書體W5" w:hint="eastAsia"/>
                <w:color w:val="000000"/>
                <w:sz w:val="28"/>
              </w:rPr>
              <w:t>收支保管及運用辦法」第四條及第五條條文，請查照案。</w:t>
            </w:r>
          </w:p>
        </w:tc>
        <w:tc>
          <w:tcPr>
            <w:tcW w:w="860" w:type="pct"/>
          </w:tcPr>
          <w:p w:rsidR="00852E9E" w:rsidRPr="00852E9E" w:rsidRDefault="00852E9E" w:rsidP="00852E9E">
            <w:pPr>
              <w:spacing w:line="400" w:lineRule="exact"/>
              <w:ind w:leftChars="-12" w:left="-29"/>
              <w:jc w:val="both"/>
              <w:rPr>
                <w:rFonts w:ascii="標楷體" w:eastAsia="標楷體" w:hAnsi="標楷體"/>
                <w:color w:val="000000"/>
                <w:sz w:val="28"/>
              </w:rPr>
            </w:pPr>
            <w:r w:rsidRPr="00852E9E">
              <w:rPr>
                <w:rFonts w:ascii="標楷體" w:eastAsia="標楷體" w:hAnsi="標楷體"/>
                <w:color w:val="000000"/>
                <w:sz w:val="28"/>
              </w:rPr>
              <w:t>10-5-2</w:t>
            </w:r>
          </w:p>
          <w:p w:rsidR="00852E9E" w:rsidRPr="00852E9E" w:rsidRDefault="00852E9E" w:rsidP="00852E9E">
            <w:pPr>
              <w:spacing w:line="400" w:lineRule="exact"/>
              <w:ind w:leftChars="-12" w:left="-29"/>
              <w:jc w:val="both"/>
              <w:rPr>
                <w:rFonts w:ascii="標楷體" w:eastAsia="標楷體" w:hAnsi="標楷體"/>
                <w:color w:val="000000"/>
                <w:sz w:val="28"/>
              </w:rPr>
            </w:pPr>
            <w:r w:rsidRPr="00852E9E">
              <w:rPr>
                <w:rFonts w:ascii="標楷體" w:eastAsia="標楷體" w:hAnsi="標楷體"/>
                <w:color w:val="000000"/>
                <w:sz w:val="28"/>
              </w:rPr>
              <w:t>(111.3.4)</w:t>
            </w:r>
          </w:p>
        </w:tc>
        <w:tc>
          <w:tcPr>
            <w:tcW w:w="474" w:type="pct"/>
          </w:tcPr>
          <w:p w:rsidR="00852E9E" w:rsidRPr="00D31BDA" w:rsidRDefault="00852E9E" w:rsidP="00852E9E">
            <w:pPr>
              <w:rPr>
                <w:rFonts w:ascii="標楷體" w:eastAsia="標楷體" w:hAnsi="標楷體"/>
                <w:color w:val="000000"/>
                <w:sz w:val="28"/>
              </w:rPr>
            </w:pPr>
          </w:p>
        </w:tc>
        <w:tc>
          <w:tcPr>
            <w:tcW w:w="1496" w:type="pct"/>
          </w:tcPr>
          <w:p w:rsidR="00852E9E" w:rsidRDefault="00852E9E" w:rsidP="00852E9E">
            <w:pPr>
              <w:adjustRightInd w:val="0"/>
              <w:snapToGrid w:val="0"/>
              <w:spacing w:line="240" w:lineRule="atLeast"/>
              <w:ind w:left="240" w:hangingChars="100" w:hanging="240"/>
              <w:jc w:val="both"/>
              <w:rPr>
                <w:rFonts w:ascii="標楷體" w:eastAsia="標楷體" w:hAnsi="標楷體"/>
                <w:color w:val="000000"/>
                <w:szCs w:val="24"/>
              </w:rPr>
            </w:pPr>
            <w:r w:rsidRPr="00D31BDA">
              <w:rPr>
                <w:rFonts w:ascii="標楷體" w:eastAsia="標楷體" w:hAnsi="標楷體" w:hint="eastAsia"/>
                <w:color w:val="000000"/>
                <w:szCs w:val="24"/>
              </w:rPr>
              <w:t>1.逾立法院職權行使法所定審查期限，報請院會存查。</w:t>
            </w:r>
          </w:p>
          <w:p w:rsidR="00852E9E" w:rsidRPr="00D31BDA" w:rsidRDefault="00301886" w:rsidP="00301886">
            <w:pPr>
              <w:adjustRightInd w:val="0"/>
              <w:snapToGrid w:val="0"/>
              <w:spacing w:line="240" w:lineRule="atLeast"/>
              <w:ind w:left="240" w:hangingChars="100" w:hanging="240"/>
              <w:jc w:val="both"/>
              <w:rPr>
                <w:rFonts w:ascii="標楷體" w:eastAsia="標楷體" w:hAnsi="標楷體"/>
                <w:color w:val="000000"/>
                <w:sz w:val="28"/>
              </w:rPr>
            </w:pPr>
            <w:r w:rsidRPr="00301886">
              <w:rPr>
                <w:rFonts w:ascii="標楷體" w:eastAsia="標楷體" w:hAnsi="標楷體" w:hint="eastAsia"/>
                <w:color w:val="000000"/>
                <w:szCs w:val="24"/>
              </w:rPr>
              <w:t>2.第</w:t>
            </w:r>
            <w:r w:rsidRPr="00301886">
              <w:rPr>
                <w:rFonts w:ascii="標楷體" w:eastAsia="標楷體" w:hAnsi="標楷體"/>
                <w:color w:val="000000"/>
                <w:szCs w:val="24"/>
              </w:rPr>
              <w:t>6</w:t>
            </w:r>
            <w:r w:rsidRPr="00301886">
              <w:rPr>
                <w:rFonts w:ascii="標楷體" w:eastAsia="標楷體" w:hAnsi="標楷體" w:hint="eastAsia"/>
                <w:color w:val="000000"/>
                <w:szCs w:val="24"/>
              </w:rPr>
              <w:t>會期第</w:t>
            </w:r>
            <w:r w:rsidRPr="00301886">
              <w:rPr>
                <w:rFonts w:ascii="標楷體" w:eastAsia="標楷體" w:hAnsi="標楷體"/>
                <w:color w:val="000000"/>
                <w:szCs w:val="24"/>
              </w:rPr>
              <w:t>1</w:t>
            </w:r>
            <w:r w:rsidRPr="00301886">
              <w:rPr>
                <w:rFonts w:ascii="標楷體" w:eastAsia="標楷體" w:hAnsi="標楷體" w:hint="eastAsia"/>
                <w:color w:val="000000"/>
                <w:szCs w:val="24"/>
              </w:rPr>
              <w:t>次院會（11</w:t>
            </w:r>
            <w:r w:rsidRPr="00301886">
              <w:rPr>
                <w:rFonts w:ascii="標楷體" w:eastAsia="標楷體" w:hAnsi="標楷體"/>
                <w:color w:val="000000"/>
                <w:szCs w:val="24"/>
              </w:rPr>
              <w:t>1</w:t>
            </w:r>
            <w:r w:rsidRPr="00301886">
              <w:rPr>
                <w:rFonts w:ascii="標楷體" w:eastAsia="標楷體" w:hAnsi="標楷體" w:hint="eastAsia"/>
                <w:color w:val="000000"/>
                <w:szCs w:val="24"/>
              </w:rPr>
              <w:t>.</w:t>
            </w:r>
            <w:r w:rsidRPr="00301886">
              <w:rPr>
                <w:rFonts w:ascii="標楷體" w:eastAsia="標楷體" w:hAnsi="標楷體"/>
                <w:color w:val="000000"/>
                <w:szCs w:val="24"/>
              </w:rPr>
              <w:t>9</w:t>
            </w:r>
            <w:r w:rsidRPr="00301886">
              <w:rPr>
                <w:rFonts w:ascii="標楷體" w:eastAsia="標楷體" w:hAnsi="標楷體" w:hint="eastAsia"/>
                <w:color w:val="000000"/>
                <w:szCs w:val="24"/>
              </w:rPr>
              <w:t>.2</w:t>
            </w:r>
            <w:r w:rsidRPr="00301886">
              <w:rPr>
                <w:rFonts w:ascii="標楷體" w:eastAsia="標楷體" w:hAnsi="標楷體"/>
                <w:color w:val="000000"/>
                <w:szCs w:val="24"/>
              </w:rPr>
              <w:t>3</w:t>
            </w:r>
            <w:r w:rsidRPr="00301886">
              <w:rPr>
                <w:rFonts w:ascii="標楷體" w:eastAsia="標楷體" w:hAnsi="標楷體" w:hint="eastAsia"/>
                <w:color w:val="000000"/>
                <w:szCs w:val="24"/>
              </w:rPr>
              <w:t>）決定：准予備查。</w:t>
            </w:r>
          </w:p>
        </w:tc>
      </w:tr>
      <w:tr w:rsidR="00852E9E" w:rsidRPr="00920597" w:rsidTr="004C461F">
        <w:trPr>
          <w:trHeight w:val="700"/>
        </w:trPr>
        <w:tc>
          <w:tcPr>
            <w:tcW w:w="362" w:type="pct"/>
            <w:vAlign w:val="center"/>
          </w:tcPr>
          <w:p w:rsidR="00852E9E" w:rsidRPr="00920597" w:rsidRDefault="00852E9E" w:rsidP="006934DD">
            <w:pPr>
              <w:numPr>
                <w:ilvl w:val="0"/>
                <w:numId w:val="15"/>
              </w:numPr>
              <w:spacing w:line="400" w:lineRule="exact"/>
              <w:ind w:right="113"/>
              <w:rPr>
                <w:rFonts w:ascii="標楷體" w:eastAsia="標楷體" w:hAnsi="標楷體"/>
                <w:color w:val="000000" w:themeColor="text1"/>
                <w:sz w:val="28"/>
                <w:szCs w:val="28"/>
              </w:rPr>
            </w:pPr>
          </w:p>
        </w:tc>
        <w:tc>
          <w:tcPr>
            <w:tcW w:w="1808" w:type="pct"/>
          </w:tcPr>
          <w:p w:rsidR="00852E9E" w:rsidRPr="00852E9E" w:rsidRDefault="00852E9E" w:rsidP="00852E9E">
            <w:pPr>
              <w:spacing w:line="400" w:lineRule="exact"/>
              <w:ind w:leftChars="-12" w:left="-29"/>
              <w:jc w:val="both"/>
              <w:rPr>
                <w:rFonts w:ascii="標楷體" w:eastAsia="標楷體" w:hAnsi="標楷體"/>
                <w:color w:val="000000"/>
                <w:sz w:val="28"/>
              </w:rPr>
            </w:pPr>
            <w:r w:rsidRPr="00852E9E">
              <w:rPr>
                <w:rFonts w:ascii="標楷體" w:eastAsia="標楷體" w:hAnsi="標楷體" w:hint="eastAsia"/>
                <w:color w:val="000000"/>
                <w:sz w:val="28"/>
              </w:rPr>
              <w:t>教育部函，為修正「幼兒園與其分班設立變更及管理辦法」部分條文，請查照案。</w:t>
            </w:r>
          </w:p>
        </w:tc>
        <w:tc>
          <w:tcPr>
            <w:tcW w:w="860" w:type="pct"/>
          </w:tcPr>
          <w:p w:rsidR="00852E9E" w:rsidRPr="00852E9E" w:rsidRDefault="00852E9E" w:rsidP="00852E9E">
            <w:pPr>
              <w:spacing w:line="400" w:lineRule="exact"/>
              <w:ind w:leftChars="-12" w:left="-29"/>
              <w:jc w:val="both"/>
              <w:rPr>
                <w:rFonts w:ascii="標楷體" w:eastAsia="標楷體" w:hAnsi="標楷體"/>
                <w:color w:val="000000"/>
                <w:sz w:val="28"/>
              </w:rPr>
            </w:pPr>
            <w:r w:rsidRPr="00852E9E">
              <w:rPr>
                <w:rFonts w:ascii="標楷體" w:eastAsia="標楷體" w:hAnsi="標楷體"/>
                <w:color w:val="000000"/>
                <w:sz w:val="28"/>
              </w:rPr>
              <w:t>10-5-5</w:t>
            </w:r>
          </w:p>
          <w:p w:rsidR="00852E9E" w:rsidRPr="00852E9E" w:rsidRDefault="00852E9E" w:rsidP="00852E9E">
            <w:pPr>
              <w:spacing w:line="400" w:lineRule="exact"/>
              <w:ind w:leftChars="-12" w:left="-29"/>
              <w:jc w:val="both"/>
              <w:rPr>
                <w:rFonts w:ascii="標楷體" w:eastAsia="標楷體" w:hAnsi="標楷體"/>
                <w:color w:val="000000"/>
                <w:sz w:val="28"/>
              </w:rPr>
            </w:pPr>
            <w:r w:rsidRPr="00852E9E">
              <w:rPr>
                <w:rFonts w:ascii="標楷體" w:eastAsia="標楷體" w:hAnsi="標楷體"/>
                <w:color w:val="000000"/>
                <w:sz w:val="28"/>
              </w:rPr>
              <w:t>(111.3.25)</w:t>
            </w:r>
          </w:p>
        </w:tc>
        <w:tc>
          <w:tcPr>
            <w:tcW w:w="474" w:type="pct"/>
          </w:tcPr>
          <w:p w:rsidR="00852E9E" w:rsidRPr="00D31BDA" w:rsidRDefault="00852E9E" w:rsidP="00852E9E">
            <w:pPr>
              <w:rPr>
                <w:rFonts w:ascii="標楷體" w:eastAsia="標楷體" w:hAnsi="標楷體"/>
                <w:color w:val="000000"/>
                <w:sz w:val="28"/>
              </w:rPr>
            </w:pPr>
          </w:p>
        </w:tc>
        <w:tc>
          <w:tcPr>
            <w:tcW w:w="1496" w:type="pct"/>
          </w:tcPr>
          <w:p w:rsidR="00852E9E" w:rsidRDefault="00852E9E" w:rsidP="00852E9E">
            <w:pPr>
              <w:adjustRightInd w:val="0"/>
              <w:snapToGrid w:val="0"/>
              <w:spacing w:line="240" w:lineRule="atLeast"/>
              <w:ind w:left="240" w:hangingChars="100" w:hanging="240"/>
              <w:jc w:val="both"/>
              <w:rPr>
                <w:rFonts w:ascii="標楷體" w:eastAsia="標楷體" w:hAnsi="標楷體"/>
                <w:color w:val="000000"/>
                <w:szCs w:val="24"/>
              </w:rPr>
            </w:pPr>
            <w:r w:rsidRPr="00D31BDA">
              <w:rPr>
                <w:rFonts w:ascii="標楷體" w:eastAsia="標楷體" w:hAnsi="標楷體" w:hint="eastAsia"/>
                <w:color w:val="000000"/>
                <w:szCs w:val="24"/>
              </w:rPr>
              <w:t>1.逾立法院職權行使法所定審查期限，報請院會存查。</w:t>
            </w:r>
          </w:p>
          <w:p w:rsidR="00852E9E" w:rsidRPr="00D31BDA" w:rsidRDefault="00301886" w:rsidP="00301886">
            <w:pPr>
              <w:adjustRightInd w:val="0"/>
              <w:snapToGrid w:val="0"/>
              <w:spacing w:line="240" w:lineRule="atLeast"/>
              <w:ind w:left="240" w:hangingChars="100" w:hanging="240"/>
              <w:jc w:val="both"/>
              <w:rPr>
                <w:rFonts w:ascii="標楷體" w:eastAsia="標楷體" w:hAnsi="標楷體"/>
                <w:color w:val="000000"/>
                <w:sz w:val="28"/>
              </w:rPr>
            </w:pPr>
            <w:r w:rsidRPr="00301886">
              <w:rPr>
                <w:rFonts w:ascii="標楷體" w:eastAsia="標楷體" w:hAnsi="標楷體" w:hint="eastAsia"/>
                <w:color w:val="000000"/>
                <w:szCs w:val="24"/>
              </w:rPr>
              <w:t>2.第</w:t>
            </w:r>
            <w:r w:rsidRPr="00301886">
              <w:rPr>
                <w:rFonts w:ascii="標楷體" w:eastAsia="標楷體" w:hAnsi="標楷體"/>
                <w:color w:val="000000"/>
                <w:szCs w:val="24"/>
              </w:rPr>
              <w:t>6</w:t>
            </w:r>
            <w:r w:rsidRPr="00301886">
              <w:rPr>
                <w:rFonts w:ascii="標楷體" w:eastAsia="標楷體" w:hAnsi="標楷體" w:hint="eastAsia"/>
                <w:color w:val="000000"/>
                <w:szCs w:val="24"/>
              </w:rPr>
              <w:t>會期第</w:t>
            </w:r>
            <w:r w:rsidRPr="00301886">
              <w:rPr>
                <w:rFonts w:ascii="標楷體" w:eastAsia="標楷體" w:hAnsi="標楷體"/>
                <w:color w:val="000000"/>
                <w:szCs w:val="24"/>
              </w:rPr>
              <w:t>1</w:t>
            </w:r>
            <w:r w:rsidRPr="00301886">
              <w:rPr>
                <w:rFonts w:ascii="標楷體" w:eastAsia="標楷體" w:hAnsi="標楷體" w:hint="eastAsia"/>
                <w:color w:val="000000"/>
                <w:szCs w:val="24"/>
              </w:rPr>
              <w:t>次院會（11</w:t>
            </w:r>
            <w:r w:rsidRPr="00301886">
              <w:rPr>
                <w:rFonts w:ascii="標楷體" w:eastAsia="標楷體" w:hAnsi="標楷體"/>
                <w:color w:val="000000"/>
                <w:szCs w:val="24"/>
              </w:rPr>
              <w:t>1</w:t>
            </w:r>
            <w:r w:rsidRPr="00301886">
              <w:rPr>
                <w:rFonts w:ascii="標楷體" w:eastAsia="標楷體" w:hAnsi="標楷體" w:hint="eastAsia"/>
                <w:color w:val="000000"/>
                <w:szCs w:val="24"/>
              </w:rPr>
              <w:t>.</w:t>
            </w:r>
            <w:r w:rsidRPr="00301886">
              <w:rPr>
                <w:rFonts w:ascii="標楷體" w:eastAsia="標楷體" w:hAnsi="標楷體"/>
                <w:color w:val="000000"/>
                <w:szCs w:val="24"/>
              </w:rPr>
              <w:t>9</w:t>
            </w:r>
            <w:r w:rsidRPr="00301886">
              <w:rPr>
                <w:rFonts w:ascii="標楷體" w:eastAsia="標楷體" w:hAnsi="標楷體" w:hint="eastAsia"/>
                <w:color w:val="000000"/>
                <w:szCs w:val="24"/>
              </w:rPr>
              <w:t>.2</w:t>
            </w:r>
            <w:r w:rsidRPr="00301886">
              <w:rPr>
                <w:rFonts w:ascii="標楷體" w:eastAsia="標楷體" w:hAnsi="標楷體"/>
                <w:color w:val="000000"/>
                <w:szCs w:val="24"/>
              </w:rPr>
              <w:t>3</w:t>
            </w:r>
            <w:r w:rsidRPr="00301886">
              <w:rPr>
                <w:rFonts w:ascii="標楷體" w:eastAsia="標楷體" w:hAnsi="標楷體" w:hint="eastAsia"/>
                <w:color w:val="000000"/>
                <w:szCs w:val="24"/>
              </w:rPr>
              <w:t>）決定：准予備查。</w:t>
            </w:r>
          </w:p>
        </w:tc>
      </w:tr>
      <w:tr w:rsidR="00852E9E" w:rsidRPr="00920597" w:rsidTr="004C461F">
        <w:trPr>
          <w:trHeight w:val="700"/>
        </w:trPr>
        <w:tc>
          <w:tcPr>
            <w:tcW w:w="362" w:type="pct"/>
            <w:vAlign w:val="center"/>
          </w:tcPr>
          <w:p w:rsidR="00852E9E" w:rsidRPr="00920597" w:rsidRDefault="00852E9E" w:rsidP="006934DD">
            <w:pPr>
              <w:numPr>
                <w:ilvl w:val="0"/>
                <w:numId w:val="15"/>
              </w:numPr>
              <w:spacing w:line="400" w:lineRule="exact"/>
              <w:ind w:right="113"/>
              <w:rPr>
                <w:rFonts w:ascii="標楷體" w:eastAsia="標楷體" w:hAnsi="標楷體"/>
                <w:color w:val="000000" w:themeColor="text1"/>
                <w:sz w:val="28"/>
                <w:szCs w:val="28"/>
              </w:rPr>
            </w:pPr>
          </w:p>
        </w:tc>
        <w:tc>
          <w:tcPr>
            <w:tcW w:w="1808" w:type="pct"/>
          </w:tcPr>
          <w:p w:rsidR="00852E9E" w:rsidRPr="00D31BDA" w:rsidRDefault="00852E9E" w:rsidP="00852E9E">
            <w:pPr>
              <w:spacing w:line="400" w:lineRule="exact"/>
              <w:ind w:leftChars="-12" w:left="-29"/>
              <w:jc w:val="both"/>
              <w:rPr>
                <w:rFonts w:eastAsia="華康楷書體W5"/>
                <w:color w:val="000000"/>
                <w:sz w:val="28"/>
              </w:rPr>
            </w:pPr>
            <w:r w:rsidRPr="00D31BDA">
              <w:rPr>
                <w:rFonts w:eastAsia="華康楷書體W5" w:hint="eastAsia"/>
                <w:color w:val="000000"/>
                <w:sz w:val="28"/>
              </w:rPr>
              <w:t>教育部函，為修正「教保服務機構</w:t>
            </w:r>
            <w:r w:rsidRPr="00852E9E">
              <w:rPr>
                <w:rFonts w:ascii="標楷體" w:eastAsia="標楷體" w:hAnsi="標楷體" w:hint="eastAsia"/>
                <w:color w:val="000000"/>
                <w:sz w:val="28"/>
              </w:rPr>
              <w:t>不適任人員認定通報資訊蒐集及查詢處理利用辦法」第八條條文，請查照案。</w:t>
            </w:r>
          </w:p>
        </w:tc>
        <w:tc>
          <w:tcPr>
            <w:tcW w:w="860" w:type="pct"/>
          </w:tcPr>
          <w:p w:rsidR="00852E9E" w:rsidRPr="00852E9E" w:rsidRDefault="00852E9E" w:rsidP="00852E9E">
            <w:pPr>
              <w:spacing w:line="400" w:lineRule="exact"/>
              <w:ind w:leftChars="-12" w:left="-29"/>
              <w:jc w:val="both"/>
              <w:rPr>
                <w:rFonts w:ascii="標楷體" w:eastAsia="標楷體" w:hAnsi="標楷體"/>
                <w:color w:val="000000"/>
                <w:sz w:val="28"/>
              </w:rPr>
            </w:pPr>
            <w:r w:rsidRPr="00852E9E">
              <w:rPr>
                <w:rFonts w:ascii="標楷體" w:eastAsia="標楷體" w:hAnsi="標楷體"/>
                <w:color w:val="000000"/>
                <w:sz w:val="28"/>
              </w:rPr>
              <w:t>10-5-5</w:t>
            </w:r>
          </w:p>
          <w:p w:rsidR="00852E9E" w:rsidRPr="00D31BDA" w:rsidRDefault="00852E9E" w:rsidP="00852E9E">
            <w:pPr>
              <w:spacing w:line="400" w:lineRule="exact"/>
              <w:ind w:leftChars="-12" w:left="-29"/>
              <w:jc w:val="both"/>
              <w:rPr>
                <w:rFonts w:ascii="標楷體" w:eastAsia="標楷體" w:hAnsi="標楷體"/>
                <w:color w:val="000000"/>
                <w:sz w:val="28"/>
                <w:szCs w:val="28"/>
              </w:rPr>
            </w:pPr>
            <w:r w:rsidRPr="00852E9E">
              <w:rPr>
                <w:rFonts w:ascii="標楷體" w:eastAsia="標楷體" w:hAnsi="標楷體"/>
                <w:color w:val="000000"/>
                <w:sz w:val="28"/>
              </w:rPr>
              <w:t>(111.3.25)</w:t>
            </w:r>
          </w:p>
        </w:tc>
        <w:tc>
          <w:tcPr>
            <w:tcW w:w="474" w:type="pct"/>
          </w:tcPr>
          <w:p w:rsidR="00852E9E" w:rsidRPr="00D31BDA" w:rsidRDefault="00852E9E" w:rsidP="00852E9E">
            <w:pPr>
              <w:rPr>
                <w:rFonts w:ascii="標楷體" w:eastAsia="標楷體" w:hAnsi="標楷體"/>
                <w:color w:val="000000"/>
                <w:sz w:val="28"/>
              </w:rPr>
            </w:pPr>
          </w:p>
        </w:tc>
        <w:tc>
          <w:tcPr>
            <w:tcW w:w="1496" w:type="pct"/>
          </w:tcPr>
          <w:p w:rsidR="00852E9E" w:rsidRDefault="00852E9E" w:rsidP="00852E9E">
            <w:pPr>
              <w:adjustRightInd w:val="0"/>
              <w:snapToGrid w:val="0"/>
              <w:spacing w:line="240" w:lineRule="atLeast"/>
              <w:ind w:left="240" w:hangingChars="100" w:hanging="240"/>
              <w:jc w:val="both"/>
              <w:rPr>
                <w:rFonts w:ascii="標楷體" w:eastAsia="標楷體" w:hAnsi="標楷體"/>
                <w:color w:val="000000"/>
                <w:szCs w:val="24"/>
              </w:rPr>
            </w:pPr>
            <w:r w:rsidRPr="00D31BDA">
              <w:rPr>
                <w:rFonts w:ascii="標楷體" w:eastAsia="標楷體" w:hAnsi="標楷體" w:hint="eastAsia"/>
                <w:color w:val="000000"/>
                <w:szCs w:val="24"/>
              </w:rPr>
              <w:t>1.逾立法院職權行使法所定審查期限，報請院會存查。</w:t>
            </w:r>
          </w:p>
          <w:p w:rsidR="00852E9E" w:rsidRPr="00D31BDA" w:rsidRDefault="00301886" w:rsidP="00301886">
            <w:pPr>
              <w:adjustRightInd w:val="0"/>
              <w:snapToGrid w:val="0"/>
              <w:spacing w:line="240" w:lineRule="atLeast"/>
              <w:ind w:left="240" w:hangingChars="100" w:hanging="240"/>
              <w:jc w:val="both"/>
              <w:rPr>
                <w:rFonts w:ascii="標楷體" w:eastAsia="標楷體" w:hAnsi="標楷體"/>
                <w:color w:val="000000"/>
                <w:sz w:val="28"/>
              </w:rPr>
            </w:pPr>
            <w:r w:rsidRPr="00301886">
              <w:rPr>
                <w:rFonts w:ascii="標楷體" w:eastAsia="標楷體" w:hAnsi="標楷體" w:hint="eastAsia"/>
                <w:color w:val="000000"/>
                <w:szCs w:val="24"/>
              </w:rPr>
              <w:t>2.第</w:t>
            </w:r>
            <w:r w:rsidRPr="00301886">
              <w:rPr>
                <w:rFonts w:ascii="標楷體" w:eastAsia="標楷體" w:hAnsi="標楷體"/>
                <w:color w:val="000000"/>
                <w:szCs w:val="24"/>
              </w:rPr>
              <w:t>6</w:t>
            </w:r>
            <w:r w:rsidRPr="00301886">
              <w:rPr>
                <w:rFonts w:ascii="標楷體" w:eastAsia="標楷體" w:hAnsi="標楷體" w:hint="eastAsia"/>
                <w:color w:val="000000"/>
                <w:szCs w:val="24"/>
              </w:rPr>
              <w:t>會期第</w:t>
            </w:r>
            <w:r w:rsidRPr="00301886">
              <w:rPr>
                <w:rFonts w:ascii="標楷體" w:eastAsia="標楷體" w:hAnsi="標楷體"/>
                <w:color w:val="000000"/>
                <w:szCs w:val="24"/>
              </w:rPr>
              <w:t>1</w:t>
            </w:r>
            <w:r w:rsidRPr="00301886">
              <w:rPr>
                <w:rFonts w:ascii="標楷體" w:eastAsia="標楷體" w:hAnsi="標楷體" w:hint="eastAsia"/>
                <w:color w:val="000000"/>
                <w:szCs w:val="24"/>
              </w:rPr>
              <w:t>次院會（11</w:t>
            </w:r>
            <w:r w:rsidRPr="00301886">
              <w:rPr>
                <w:rFonts w:ascii="標楷體" w:eastAsia="標楷體" w:hAnsi="標楷體"/>
                <w:color w:val="000000"/>
                <w:szCs w:val="24"/>
              </w:rPr>
              <w:t>1</w:t>
            </w:r>
            <w:r w:rsidRPr="00301886">
              <w:rPr>
                <w:rFonts w:ascii="標楷體" w:eastAsia="標楷體" w:hAnsi="標楷體" w:hint="eastAsia"/>
                <w:color w:val="000000"/>
                <w:szCs w:val="24"/>
              </w:rPr>
              <w:t>.</w:t>
            </w:r>
            <w:r w:rsidRPr="00301886">
              <w:rPr>
                <w:rFonts w:ascii="標楷體" w:eastAsia="標楷體" w:hAnsi="標楷體"/>
                <w:color w:val="000000"/>
                <w:szCs w:val="24"/>
              </w:rPr>
              <w:t>9</w:t>
            </w:r>
            <w:r w:rsidRPr="00301886">
              <w:rPr>
                <w:rFonts w:ascii="標楷體" w:eastAsia="標楷體" w:hAnsi="標楷體" w:hint="eastAsia"/>
                <w:color w:val="000000"/>
                <w:szCs w:val="24"/>
              </w:rPr>
              <w:t>.2</w:t>
            </w:r>
            <w:r w:rsidRPr="00301886">
              <w:rPr>
                <w:rFonts w:ascii="標楷體" w:eastAsia="標楷體" w:hAnsi="標楷體"/>
                <w:color w:val="000000"/>
                <w:szCs w:val="24"/>
              </w:rPr>
              <w:t>3</w:t>
            </w:r>
            <w:r w:rsidRPr="00301886">
              <w:rPr>
                <w:rFonts w:ascii="標楷體" w:eastAsia="標楷體" w:hAnsi="標楷體" w:hint="eastAsia"/>
                <w:color w:val="000000"/>
                <w:szCs w:val="24"/>
              </w:rPr>
              <w:t>）決定：准予備查。</w:t>
            </w:r>
          </w:p>
        </w:tc>
      </w:tr>
      <w:tr w:rsidR="00852E9E" w:rsidRPr="00920597" w:rsidTr="004C461F">
        <w:trPr>
          <w:trHeight w:val="700"/>
        </w:trPr>
        <w:tc>
          <w:tcPr>
            <w:tcW w:w="362" w:type="pct"/>
            <w:vAlign w:val="center"/>
          </w:tcPr>
          <w:p w:rsidR="00852E9E" w:rsidRPr="00920597" w:rsidRDefault="00852E9E" w:rsidP="006934DD">
            <w:pPr>
              <w:numPr>
                <w:ilvl w:val="0"/>
                <w:numId w:val="15"/>
              </w:numPr>
              <w:spacing w:line="400" w:lineRule="exact"/>
              <w:ind w:right="113"/>
              <w:rPr>
                <w:rFonts w:ascii="標楷體" w:eastAsia="標楷體" w:hAnsi="標楷體"/>
                <w:color w:val="000000" w:themeColor="text1"/>
                <w:sz w:val="28"/>
                <w:szCs w:val="28"/>
              </w:rPr>
            </w:pPr>
          </w:p>
        </w:tc>
        <w:tc>
          <w:tcPr>
            <w:tcW w:w="1808" w:type="pct"/>
          </w:tcPr>
          <w:p w:rsidR="00852E9E" w:rsidRPr="00D31BDA" w:rsidRDefault="00852E9E" w:rsidP="00852E9E">
            <w:pPr>
              <w:spacing w:line="400" w:lineRule="exact"/>
              <w:ind w:leftChars="-12" w:left="-29"/>
              <w:jc w:val="both"/>
              <w:rPr>
                <w:rFonts w:eastAsia="華康楷書體W5"/>
                <w:color w:val="000000"/>
                <w:sz w:val="28"/>
              </w:rPr>
            </w:pPr>
            <w:r w:rsidRPr="00D31BDA">
              <w:rPr>
                <w:rFonts w:eastAsia="華康楷書體W5" w:hint="eastAsia"/>
                <w:color w:val="000000"/>
                <w:sz w:val="28"/>
              </w:rPr>
              <w:t>教育部函，為修正「公立幼兒園契約進用</w:t>
            </w:r>
            <w:r w:rsidRPr="00852E9E">
              <w:rPr>
                <w:rFonts w:ascii="標楷體" w:eastAsia="標楷體" w:hAnsi="標楷體" w:hint="eastAsia"/>
                <w:color w:val="000000"/>
                <w:sz w:val="28"/>
              </w:rPr>
              <w:t>人員</w:t>
            </w:r>
            <w:r w:rsidRPr="00D31BDA">
              <w:rPr>
                <w:rFonts w:eastAsia="華康楷書體W5" w:hint="eastAsia"/>
                <w:color w:val="000000"/>
                <w:sz w:val="28"/>
              </w:rPr>
              <w:t>之進用考核及待遇辦法」部分條文，請查照案。</w:t>
            </w:r>
          </w:p>
        </w:tc>
        <w:tc>
          <w:tcPr>
            <w:tcW w:w="860" w:type="pct"/>
          </w:tcPr>
          <w:p w:rsidR="00852E9E" w:rsidRPr="00852E9E" w:rsidRDefault="00852E9E" w:rsidP="00852E9E">
            <w:pPr>
              <w:spacing w:line="400" w:lineRule="exact"/>
              <w:ind w:leftChars="-12" w:left="-29"/>
              <w:jc w:val="both"/>
              <w:rPr>
                <w:rFonts w:ascii="標楷體" w:eastAsia="標楷體" w:hAnsi="標楷體"/>
                <w:color w:val="000000"/>
                <w:sz w:val="28"/>
              </w:rPr>
            </w:pPr>
            <w:r w:rsidRPr="00852E9E">
              <w:rPr>
                <w:rFonts w:ascii="標楷體" w:eastAsia="標楷體" w:hAnsi="標楷體"/>
                <w:color w:val="000000"/>
                <w:sz w:val="28"/>
              </w:rPr>
              <w:t>10-5-5</w:t>
            </w:r>
          </w:p>
          <w:p w:rsidR="00852E9E" w:rsidRPr="00D31BDA" w:rsidRDefault="00852E9E" w:rsidP="00852E9E">
            <w:pPr>
              <w:spacing w:line="400" w:lineRule="exact"/>
              <w:ind w:leftChars="-12" w:left="-29"/>
              <w:jc w:val="both"/>
              <w:rPr>
                <w:rFonts w:ascii="標楷體" w:eastAsia="標楷體" w:hAnsi="標楷體"/>
                <w:color w:val="000000"/>
                <w:sz w:val="28"/>
                <w:szCs w:val="28"/>
              </w:rPr>
            </w:pPr>
            <w:r w:rsidRPr="00852E9E">
              <w:rPr>
                <w:rFonts w:ascii="標楷體" w:eastAsia="標楷體" w:hAnsi="標楷體"/>
                <w:color w:val="000000"/>
                <w:sz w:val="28"/>
              </w:rPr>
              <w:t>(111.3.25)</w:t>
            </w:r>
          </w:p>
        </w:tc>
        <w:tc>
          <w:tcPr>
            <w:tcW w:w="474" w:type="pct"/>
          </w:tcPr>
          <w:p w:rsidR="00852E9E" w:rsidRPr="00D31BDA" w:rsidRDefault="00852E9E" w:rsidP="00852E9E">
            <w:pPr>
              <w:rPr>
                <w:rFonts w:ascii="標楷體" w:eastAsia="標楷體" w:hAnsi="標楷體"/>
                <w:color w:val="000000"/>
                <w:sz w:val="28"/>
              </w:rPr>
            </w:pPr>
          </w:p>
        </w:tc>
        <w:tc>
          <w:tcPr>
            <w:tcW w:w="1496" w:type="pct"/>
          </w:tcPr>
          <w:p w:rsidR="00852E9E" w:rsidRDefault="00852E9E" w:rsidP="00301886">
            <w:pPr>
              <w:adjustRightInd w:val="0"/>
              <w:snapToGrid w:val="0"/>
              <w:spacing w:line="240" w:lineRule="atLeast"/>
              <w:ind w:left="240" w:hangingChars="100" w:hanging="240"/>
              <w:jc w:val="both"/>
              <w:rPr>
                <w:rFonts w:ascii="標楷體" w:eastAsia="標楷體" w:hAnsi="標楷體"/>
                <w:color w:val="000000"/>
                <w:szCs w:val="24"/>
              </w:rPr>
            </w:pPr>
            <w:r w:rsidRPr="00D31BDA">
              <w:rPr>
                <w:rFonts w:ascii="標楷體" w:eastAsia="標楷體" w:hAnsi="標楷體" w:hint="eastAsia"/>
                <w:color w:val="000000"/>
                <w:szCs w:val="24"/>
              </w:rPr>
              <w:t>1.逾立法院職權行使法所定審查期限，報請院會存查。</w:t>
            </w:r>
          </w:p>
          <w:p w:rsidR="00301886" w:rsidRPr="00D31BDA" w:rsidRDefault="00301886" w:rsidP="00301886">
            <w:pPr>
              <w:adjustRightInd w:val="0"/>
              <w:snapToGrid w:val="0"/>
              <w:spacing w:line="240" w:lineRule="atLeast"/>
              <w:ind w:left="240" w:hangingChars="100" w:hanging="240"/>
              <w:jc w:val="both"/>
              <w:rPr>
                <w:rFonts w:ascii="標楷體" w:eastAsia="標楷體" w:hAnsi="標楷體"/>
                <w:color w:val="000000"/>
                <w:sz w:val="28"/>
              </w:rPr>
            </w:pPr>
            <w:r w:rsidRPr="00301886">
              <w:rPr>
                <w:rFonts w:ascii="標楷體" w:eastAsia="標楷體" w:hAnsi="標楷體" w:hint="eastAsia"/>
                <w:color w:val="000000"/>
                <w:szCs w:val="24"/>
              </w:rPr>
              <w:t>2.第</w:t>
            </w:r>
            <w:r w:rsidRPr="00301886">
              <w:rPr>
                <w:rFonts w:ascii="標楷體" w:eastAsia="標楷體" w:hAnsi="標楷體"/>
                <w:color w:val="000000"/>
                <w:szCs w:val="24"/>
              </w:rPr>
              <w:t>6</w:t>
            </w:r>
            <w:r w:rsidRPr="00301886">
              <w:rPr>
                <w:rFonts w:ascii="標楷體" w:eastAsia="標楷體" w:hAnsi="標楷體" w:hint="eastAsia"/>
                <w:color w:val="000000"/>
                <w:szCs w:val="24"/>
              </w:rPr>
              <w:t>會期第</w:t>
            </w:r>
            <w:r w:rsidRPr="00301886">
              <w:rPr>
                <w:rFonts w:ascii="標楷體" w:eastAsia="標楷體" w:hAnsi="標楷體"/>
                <w:color w:val="000000"/>
                <w:szCs w:val="24"/>
              </w:rPr>
              <w:t>1</w:t>
            </w:r>
            <w:r w:rsidRPr="00301886">
              <w:rPr>
                <w:rFonts w:ascii="標楷體" w:eastAsia="標楷體" w:hAnsi="標楷體" w:hint="eastAsia"/>
                <w:color w:val="000000"/>
                <w:szCs w:val="24"/>
              </w:rPr>
              <w:t>次院會（11</w:t>
            </w:r>
            <w:r w:rsidRPr="00301886">
              <w:rPr>
                <w:rFonts w:ascii="標楷體" w:eastAsia="標楷體" w:hAnsi="標楷體"/>
                <w:color w:val="000000"/>
                <w:szCs w:val="24"/>
              </w:rPr>
              <w:t>1</w:t>
            </w:r>
            <w:r w:rsidRPr="00301886">
              <w:rPr>
                <w:rFonts w:ascii="標楷體" w:eastAsia="標楷體" w:hAnsi="標楷體" w:hint="eastAsia"/>
                <w:color w:val="000000"/>
                <w:szCs w:val="24"/>
              </w:rPr>
              <w:t>.</w:t>
            </w:r>
            <w:r w:rsidRPr="00301886">
              <w:rPr>
                <w:rFonts w:ascii="標楷體" w:eastAsia="標楷體" w:hAnsi="標楷體"/>
                <w:color w:val="000000"/>
                <w:szCs w:val="24"/>
              </w:rPr>
              <w:t>9</w:t>
            </w:r>
            <w:r w:rsidRPr="00301886">
              <w:rPr>
                <w:rFonts w:ascii="標楷體" w:eastAsia="標楷體" w:hAnsi="標楷體" w:hint="eastAsia"/>
                <w:color w:val="000000"/>
                <w:szCs w:val="24"/>
              </w:rPr>
              <w:t>.2</w:t>
            </w:r>
            <w:r w:rsidRPr="00301886">
              <w:rPr>
                <w:rFonts w:ascii="標楷體" w:eastAsia="標楷體" w:hAnsi="標楷體"/>
                <w:color w:val="000000"/>
                <w:szCs w:val="24"/>
              </w:rPr>
              <w:t>3</w:t>
            </w:r>
            <w:r w:rsidRPr="00301886">
              <w:rPr>
                <w:rFonts w:ascii="標楷體" w:eastAsia="標楷體" w:hAnsi="標楷體" w:hint="eastAsia"/>
                <w:color w:val="000000"/>
                <w:szCs w:val="24"/>
              </w:rPr>
              <w:t>）決定：准予備查。</w:t>
            </w:r>
          </w:p>
        </w:tc>
      </w:tr>
      <w:tr w:rsidR="00852E9E" w:rsidRPr="00920597" w:rsidTr="004C461F">
        <w:trPr>
          <w:trHeight w:val="700"/>
        </w:trPr>
        <w:tc>
          <w:tcPr>
            <w:tcW w:w="362" w:type="pct"/>
            <w:vAlign w:val="center"/>
          </w:tcPr>
          <w:p w:rsidR="00852E9E" w:rsidRPr="00920597" w:rsidRDefault="00852E9E" w:rsidP="006934DD">
            <w:pPr>
              <w:numPr>
                <w:ilvl w:val="0"/>
                <w:numId w:val="15"/>
              </w:numPr>
              <w:spacing w:line="400" w:lineRule="exact"/>
              <w:ind w:right="113"/>
              <w:rPr>
                <w:rFonts w:ascii="標楷體" w:eastAsia="標楷體" w:hAnsi="標楷體"/>
                <w:color w:val="000000" w:themeColor="text1"/>
                <w:sz w:val="28"/>
                <w:szCs w:val="28"/>
              </w:rPr>
            </w:pPr>
          </w:p>
        </w:tc>
        <w:tc>
          <w:tcPr>
            <w:tcW w:w="1808" w:type="pct"/>
          </w:tcPr>
          <w:p w:rsidR="00852E9E" w:rsidRPr="00D31BDA" w:rsidRDefault="00852E9E" w:rsidP="00852E9E">
            <w:pPr>
              <w:spacing w:line="400" w:lineRule="exact"/>
              <w:ind w:leftChars="-12" w:left="-29"/>
              <w:jc w:val="both"/>
              <w:rPr>
                <w:rFonts w:eastAsia="華康楷書體W5"/>
                <w:color w:val="000000"/>
                <w:sz w:val="28"/>
              </w:rPr>
            </w:pPr>
            <w:r w:rsidRPr="00D31BDA">
              <w:rPr>
                <w:rFonts w:eastAsia="華康楷書體W5" w:hint="eastAsia"/>
                <w:color w:val="000000"/>
                <w:sz w:val="28"/>
              </w:rPr>
              <w:t>教育部函，為修正「幼兒教保及照顧服務實施準則」第二條、第四條及第十三條條文，請查照案。</w:t>
            </w:r>
          </w:p>
        </w:tc>
        <w:tc>
          <w:tcPr>
            <w:tcW w:w="860" w:type="pct"/>
          </w:tcPr>
          <w:p w:rsidR="00852E9E" w:rsidRPr="00852E9E" w:rsidRDefault="00852E9E" w:rsidP="00852E9E">
            <w:pPr>
              <w:spacing w:line="400" w:lineRule="exact"/>
              <w:ind w:leftChars="-12" w:left="-29"/>
              <w:jc w:val="both"/>
              <w:rPr>
                <w:rFonts w:ascii="標楷體" w:eastAsia="標楷體" w:hAnsi="標楷體"/>
                <w:color w:val="000000"/>
                <w:sz w:val="28"/>
              </w:rPr>
            </w:pPr>
            <w:r w:rsidRPr="00852E9E">
              <w:rPr>
                <w:rFonts w:ascii="標楷體" w:eastAsia="標楷體" w:hAnsi="標楷體"/>
                <w:color w:val="000000"/>
                <w:sz w:val="28"/>
              </w:rPr>
              <w:t>10-5-5</w:t>
            </w:r>
          </w:p>
          <w:p w:rsidR="00852E9E" w:rsidRPr="00852E9E" w:rsidRDefault="00852E9E" w:rsidP="00852E9E">
            <w:pPr>
              <w:spacing w:line="400" w:lineRule="exact"/>
              <w:ind w:leftChars="-12" w:left="-29"/>
              <w:jc w:val="both"/>
              <w:rPr>
                <w:rFonts w:ascii="標楷體" w:eastAsia="標楷體" w:hAnsi="標楷體"/>
                <w:color w:val="000000"/>
                <w:sz w:val="28"/>
              </w:rPr>
            </w:pPr>
            <w:r w:rsidRPr="00852E9E">
              <w:rPr>
                <w:rFonts w:ascii="標楷體" w:eastAsia="標楷體" w:hAnsi="標楷體"/>
                <w:color w:val="000000"/>
                <w:sz w:val="28"/>
              </w:rPr>
              <w:t>(111.3.25)</w:t>
            </w:r>
          </w:p>
        </w:tc>
        <w:tc>
          <w:tcPr>
            <w:tcW w:w="474" w:type="pct"/>
          </w:tcPr>
          <w:p w:rsidR="00852E9E" w:rsidRPr="00D31BDA" w:rsidRDefault="00852E9E" w:rsidP="00852E9E">
            <w:pPr>
              <w:rPr>
                <w:rFonts w:ascii="標楷體" w:eastAsia="標楷體" w:hAnsi="標楷體"/>
                <w:color w:val="000000"/>
                <w:sz w:val="28"/>
              </w:rPr>
            </w:pPr>
          </w:p>
        </w:tc>
        <w:tc>
          <w:tcPr>
            <w:tcW w:w="1496" w:type="pct"/>
          </w:tcPr>
          <w:p w:rsidR="00852E9E" w:rsidRDefault="00852E9E" w:rsidP="00852E9E">
            <w:pPr>
              <w:adjustRightInd w:val="0"/>
              <w:snapToGrid w:val="0"/>
              <w:spacing w:line="240" w:lineRule="atLeast"/>
              <w:ind w:left="240" w:hangingChars="100" w:hanging="240"/>
              <w:jc w:val="both"/>
              <w:rPr>
                <w:rFonts w:ascii="標楷體" w:eastAsia="標楷體" w:hAnsi="標楷體"/>
                <w:color w:val="000000"/>
                <w:szCs w:val="24"/>
              </w:rPr>
            </w:pPr>
            <w:r w:rsidRPr="00D31BDA">
              <w:rPr>
                <w:rFonts w:ascii="標楷體" w:eastAsia="標楷體" w:hAnsi="標楷體" w:hint="eastAsia"/>
                <w:color w:val="000000"/>
                <w:szCs w:val="24"/>
              </w:rPr>
              <w:t>1.逾立法院職權行使法所定審查期限，報請院會存查。</w:t>
            </w:r>
          </w:p>
          <w:p w:rsidR="00852E9E" w:rsidRPr="00D31BDA" w:rsidRDefault="00301886" w:rsidP="00301886">
            <w:pPr>
              <w:adjustRightInd w:val="0"/>
              <w:snapToGrid w:val="0"/>
              <w:spacing w:line="240" w:lineRule="atLeast"/>
              <w:ind w:left="240" w:hangingChars="100" w:hanging="240"/>
              <w:jc w:val="both"/>
              <w:rPr>
                <w:rFonts w:ascii="標楷體" w:eastAsia="標楷體" w:hAnsi="標楷體"/>
                <w:color w:val="000000"/>
                <w:sz w:val="28"/>
              </w:rPr>
            </w:pPr>
            <w:r w:rsidRPr="00301886">
              <w:rPr>
                <w:rFonts w:ascii="標楷體" w:eastAsia="標楷體" w:hAnsi="標楷體" w:hint="eastAsia"/>
                <w:color w:val="000000"/>
                <w:szCs w:val="24"/>
              </w:rPr>
              <w:t>2.第</w:t>
            </w:r>
            <w:r w:rsidRPr="00301886">
              <w:rPr>
                <w:rFonts w:ascii="標楷體" w:eastAsia="標楷體" w:hAnsi="標楷體"/>
                <w:color w:val="000000"/>
                <w:szCs w:val="24"/>
              </w:rPr>
              <w:t>6</w:t>
            </w:r>
            <w:r w:rsidRPr="00301886">
              <w:rPr>
                <w:rFonts w:ascii="標楷體" w:eastAsia="標楷體" w:hAnsi="標楷體" w:hint="eastAsia"/>
                <w:color w:val="000000"/>
                <w:szCs w:val="24"/>
              </w:rPr>
              <w:t>會期第</w:t>
            </w:r>
            <w:r w:rsidRPr="00301886">
              <w:rPr>
                <w:rFonts w:ascii="標楷體" w:eastAsia="標楷體" w:hAnsi="標楷體"/>
                <w:color w:val="000000"/>
                <w:szCs w:val="24"/>
              </w:rPr>
              <w:t>1</w:t>
            </w:r>
            <w:r w:rsidRPr="00301886">
              <w:rPr>
                <w:rFonts w:ascii="標楷體" w:eastAsia="標楷體" w:hAnsi="標楷體" w:hint="eastAsia"/>
                <w:color w:val="000000"/>
                <w:szCs w:val="24"/>
              </w:rPr>
              <w:t>次院會（11</w:t>
            </w:r>
            <w:r w:rsidRPr="00301886">
              <w:rPr>
                <w:rFonts w:ascii="標楷體" w:eastAsia="標楷體" w:hAnsi="標楷體"/>
                <w:color w:val="000000"/>
                <w:szCs w:val="24"/>
              </w:rPr>
              <w:t>1</w:t>
            </w:r>
            <w:r w:rsidRPr="00301886">
              <w:rPr>
                <w:rFonts w:ascii="標楷體" w:eastAsia="標楷體" w:hAnsi="標楷體" w:hint="eastAsia"/>
                <w:color w:val="000000"/>
                <w:szCs w:val="24"/>
              </w:rPr>
              <w:t>.</w:t>
            </w:r>
            <w:r w:rsidRPr="00301886">
              <w:rPr>
                <w:rFonts w:ascii="標楷體" w:eastAsia="標楷體" w:hAnsi="標楷體"/>
                <w:color w:val="000000"/>
                <w:szCs w:val="24"/>
              </w:rPr>
              <w:t>9</w:t>
            </w:r>
            <w:r w:rsidRPr="00301886">
              <w:rPr>
                <w:rFonts w:ascii="標楷體" w:eastAsia="標楷體" w:hAnsi="標楷體" w:hint="eastAsia"/>
                <w:color w:val="000000"/>
                <w:szCs w:val="24"/>
              </w:rPr>
              <w:t>.2</w:t>
            </w:r>
            <w:r w:rsidRPr="00301886">
              <w:rPr>
                <w:rFonts w:ascii="標楷體" w:eastAsia="標楷體" w:hAnsi="標楷體"/>
                <w:color w:val="000000"/>
                <w:szCs w:val="24"/>
              </w:rPr>
              <w:t>3</w:t>
            </w:r>
            <w:r w:rsidRPr="00301886">
              <w:rPr>
                <w:rFonts w:ascii="標楷體" w:eastAsia="標楷體" w:hAnsi="標楷體" w:hint="eastAsia"/>
                <w:color w:val="000000"/>
                <w:szCs w:val="24"/>
              </w:rPr>
              <w:t>）決定：准予備查。</w:t>
            </w:r>
          </w:p>
        </w:tc>
      </w:tr>
      <w:tr w:rsidR="00852E9E" w:rsidRPr="00920597" w:rsidTr="004C461F">
        <w:trPr>
          <w:trHeight w:val="700"/>
        </w:trPr>
        <w:tc>
          <w:tcPr>
            <w:tcW w:w="362" w:type="pct"/>
            <w:vAlign w:val="center"/>
          </w:tcPr>
          <w:p w:rsidR="00852E9E" w:rsidRPr="00920597" w:rsidRDefault="00852E9E" w:rsidP="006934DD">
            <w:pPr>
              <w:numPr>
                <w:ilvl w:val="0"/>
                <w:numId w:val="15"/>
              </w:numPr>
              <w:spacing w:line="400" w:lineRule="exact"/>
              <w:ind w:right="113"/>
              <w:rPr>
                <w:rFonts w:ascii="標楷體" w:eastAsia="標楷體" w:hAnsi="標楷體"/>
                <w:color w:val="000000" w:themeColor="text1"/>
                <w:sz w:val="28"/>
                <w:szCs w:val="28"/>
              </w:rPr>
            </w:pPr>
          </w:p>
        </w:tc>
        <w:tc>
          <w:tcPr>
            <w:tcW w:w="1808" w:type="pct"/>
          </w:tcPr>
          <w:p w:rsidR="00852E9E" w:rsidRPr="00D31BDA" w:rsidRDefault="00852E9E" w:rsidP="00852E9E">
            <w:pPr>
              <w:spacing w:line="400" w:lineRule="exact"/>
              <w:ind w:leftChars="-12" w:left="-29"/>
              <w:jc w:val="both"/>
              <w:rPr>
                <w:rFonts w:eastAsia="華康楷書體W5"/>
                <w:color w:val="000000"/>
                <w:sz w:val="28"/>
              </w:rPr>
            </w:pPr>
            <w:r w:rsidRPr="00D31BDA">
              <w:rPr>
                <w:rFonts w:eastAsia="華康楷書體W5" w:hint="eastAsia"/>
                <w:color w:val="000000"/>
                <w:sz w:val="28"/>
              </w:rPr>
              <w:t>文化部函，</w:t>
            </w:r>
            <w:r w:rsidRPr="00852E9E">
              <w:rPr>
                <w:rFonts w:ascii="標楷體" w:eastAsia="標楷體" w:hAnsi="標楷體" w:hint="eastAsia"/>
                <w:color w:val="000000"/>
                <w:sz w:val="28"/>
              </w:rPr>
              <w:t>為修正</w:t>
            </w:r>
            <w:r w:rsidRPr="00D31BDA">
              <w:rPr>
                <w:rFonts w:eastAsia="華康楷書體W5" w:hint="eastAsia"/>
                <w:color w:val="000000"/>
                <w:sz w:val="28"/>
              </w:rPr>
              <w:t>「文化藝術採購辦法」部分條文，請查照案。</w:t>
            </w:r>
          </w:p>
        </w:tc>
        <w:tc>
          <w:tcPr>
            <w:tcW w:w="860" w:type="pct"/>
          </w:tcPr>
          <w:p w:rsidR="00852E9E" w:rsidRPr="00852E9E" w:rsidRDefault="00852E9E" w:rsidP="00852E9E">
            <w:pPr>
              <w:spacing w:line="400" w:lineRule="exact"/>
              <w:ind w:leftChars="-12" w:left="-29"/>
              <w:jc w:val="both"/>
              <w:rPr>
                <w:rFonts w:ascii="標楷體" w:eastAsia="標楷體" w:hAnsi="標楷體"/>
                <w:color w:val="000000"/>
                <w:sz w:val="28"/>
              </w:rPr>
            </w:pPr>
            <w:r w:rsidRPr="00852E9E">
              <w:rPr>
                <w:rFonts w:ascii="標楷體" w:eastAsia="標楷體" w:hAnsi="標楷體"/>
                <w:color w:val="000000"/>
                <w:sz w:val="28"/>
              </w:rPr>
              <w:t>10-5-5</w:t>
            </w:r>
          </w:p>
          <w:p w:rsidR="00852E9E" w:rsidRPr="00852E9E" w:rsidRDefault="00852E9E" w:rsidP="00852E9E">
            <w:pPr>
              <w:spacing w:line="400" w:lineRule="exact"/>
              <w:ind w:leftChars="-12" w:left="-29"/>
              <w:jc w:val="both"/>
              <w:rPr>
                <w:rFonts w:ascii="標楷體" w:eastAsia="標楷體" w:hAnsi="標楷體"/>
                <w:color w:val="000000"/>
                <w:sz w:val="28"/>
              </w:rPr>
            </w:pPr>
            <w:r w:rsidRPr="00852E9E">
              <w:rPr>
                <w:rFonts w:ascii="標楷體" w:eastAsia="標楷體" w:hAnsi="標楷體"/>
                <w:color w:val="000000"/>
                <w:sz w:val="28"/>
              </w:rPr>
              <w:t>(111.3.25)</w:t>
            </w:r>
          </w:p>
        </w:tc>
        <w:tc>
          <w:tcPr>
            <w:tcW w:w="474" w:type="pct"/>
          </w:tcPr>
          <w:p w:rsidR="00852E9E" w:rsidRPr="00D31BDA" w:rsidRDefault="00852E9E" w:rsidP="00852E9E">
            <w:pPr>
              <w:rPr>
                <w:rFonts w:ascii="標楷體" w:eastAsia="標楷體" w:hAnsi="標楷體"/>
                <w:color w:val="000000"/>
                <w:sz w:val="28"/>
              </w:rPr>
            </w:pPr>
          </w:p>
        </w:tc>
        <w:tc>
          <w:tcPr>
            <w:tcW w:w="1496" w:type="pct"/>
          </w:tcPr>
          <w:p w:rsidR="00852E9E" w:rsidRDefault="00852E9E" w:rsidP="00852E9E">
            <w:pPr>
              <w:adjustRightInd w:val="0"/>
              <w:snapToGrid w:val="0"/>
              <w:spacing w:line="240" w:lineRule="atLeast"/>
              <w:ind w:left="240" w:hangingChars="100" w:hanging="240"/>
              <w:jc w:val="both"/>
              <w:rPr>
                <w:rFonts w:ascii="標楷體" w:eastAsia="標楷體" w:hAnsi="標楷體"/>
                <w:color w:val="000000"/>
                <w:szCs w:val="24"/>
              </w:rPr>
            </w:pPr>
            <w:r w:rsidRPr="00D31BDA">
              <w:rPr>
                <w:rFonts w:ascii="標楷體" w:eastAsia="標楷體" w:hAnsi="標楷體" w:hint="eastAsia"/>
                <w:color w:val="000000"/>
                <w:szCs w:val="24"/>
              </w:rPr>
              <w:t>1.逾立法院職權行使法所定審查期限，報請院會存查。</w:t>
            </w:r>
          </w:p>
          <w:p w:rsidR="00852E9E" w:rsidRPr="00D31BDA" w:rsidRDefault="00301886" w:rsidP="00301886">
            <w:pPr>
              <w:adjustRightInd w:val="0"/>
              <w:snapToGrid w:val="0"/>
              <w:spacing w:line="240" w:lineRule="atLeast"/>
              <w:ind w:left="240" w:hangingChars="100" w:hanging="240"/>
              <w:jc w:val="both"/>
              <w:rPr>
                <w:rFonts w:ascii="標楷體" w:eastAsia="標楷體" w:hAnsi="標楷體"/>
                <w:color w:val="000000"/>
                <w:sz w:val="28"/>
              </w:rPr>
            </w:pPr>
            <w:r w:rsidRPr="00301886">
              <w:rPr>
                <w:rFonts w:ascii="標楷體" w:eastAsia="標楷體" w:hAnsi="標楷體" w:hint="eastAsia"/>
                <w:color w:val="000000"/>
                <w:szCs w:val="24"/>
              </w:rPr>
              <w:t>2.第</w:t>
            </w:r>
            <w:r w:rsidRPr="00301886">
              <w:rPr>
                <w:rFonts w:ascii="標楷體" w:eastAsia="標楷體" w:hAnsi="標楷體"/>
                <w:color w:val="000000"/>
                <w:szCs w:val="24"/>
              </w:rPr>
              <w:t>6</w:t>
            </w:r>
            <w:r w:rsidRPr="00301886">
              <w:rPr>
                <w:rFonts w:ascii="標楷體" w:eastAsia="標楷體" w:hAnsi="標楷體" w:hint="eastAsia"/>
                <w:color w:val="000000"/>
                <w:szCs w:val="24"/>
              </w:rPr>
              <w:t>會期第</w:t>
            </w:r>
            <w:r w:rsidRPr="00301886">
              <w:rPr>
                <w:rFonts w:ascii="標楷體" w:eastAsia="標楷體" w:hAnsi="標楷體"/>
                <w:color w:val="000000"/>
                <w:szCs w:val="24"/>
              </w:rPr>
              <w:t>1</w:t>
            </w:r>
            <w:r w:rsidRPr="00301886">
              <w:rPr>
                <w:rFonts w:ascii="標楷體" w:eastAsia="標楷體" w:hAnsi="標楷體" w:hint="eastAsia"/>
                <w:color w:val="000000"/>
                <w:szCs w:val="24"/>
              </w:rPr>
              <w:t>次院會（11</w:t>
            </w:r>
            <w:r w:rsidRPr="00301886">
              <w:rPr>
                <w:rFonts w:ascii="標楷體" w:eastAsia="標楷體" w:hAnsi="標楷體"/>
                <w:color w:val="000000"/>
                <w:szCs w:val="24"/>
              </w:rPr>
              <w:t>1</w:t>
            </w:r>
            <w:r w:rsidRPr="00301886">
              <w:rPr>
                <w:rFonts w:ascii="標楷體" w:eastAsia="標楷體" w:hAnsi="標楷體" w:hint="eastAsia"/>
                <w:color w:val="000000"/>
                <w:szCs w:val="24"/>
              </w:rPr>
              <w:t>.</w:t>
            </w:r>
            <w:r w:rsidRPr="00301886">
              <w:rPr>
                <w:rFonts w:ascii="標楷體" w:eastAsia="標楷體" w:hAnsi="標楷體"/>
                <w:color w:val="000000"/>
                <w:szCs w:val="24"/>
              </w:rPr>
              <w:t>9</w:t>
            </w:r>
            <w:r w:rsidRPr="00301886">
              <w:rPr>
                <w:rFonts w:ascii="標楷體" w:eastAsia="標楷體" w:hAnsi="標楷體" w:hint="eastAsia"/>
                <w:color w:val="000000"/>
                <w:szCs w:val="24"/>
              </w:rPr>
              <w:t>.2</w:t>
            </w:r>
            <w:r w:rsidRPr="00301886">
              <w:rPr>
                <w:rFonts w:ascii="標楷體" w:eastAsia="標楷體" w:hAnsi="標楷體"/>
                <w:color w:val="000000"/>
                <w:szCs w:val="24"/>
              </w:rPr>
              <w:t>3</w:t>
            </w:r>
            <w:r w:rsidRPr="00301886">
              <w:rPr>
                <w:rFonts w:ascii="標楷體" w:eastAsia="標楷體" w:hAnsi="標楷體" w:hint="eastAsia"/>
                <w:color w:val="000000"/>
                <w:szCs w:val="24"/>
              </w:rPr>
              <w:t>）決定：准予備查。</w:t>
            </w:r>
          </w:p>
        </w:tc>
      </w:tr>
      <w:tr w:rsidR="00852E9E" w:rsidRPr="00920597" w:rsidTr="004C461F">
        <w:trPr>
          <w:trHeight w:val="700"/>
        </w:trPr>
        <w:tc>
          <w:tcPr>
            <w:tcW w:w="362" w:type="pct"/>
            <w:vAlign w:val="center"/>
          </w:tcPr>
          <w:p w:rsidR="00852E9E" w:rsidRPr="00920597" w:rsidRDefault="00852E9E" w:rsidP="006934DD">
            <w:pPr>
              <w:numPr>
                <w:ilvl w:val="0"/>
                <w:numId w:val="15"/>
              </w:numPr>
              <w:spacing w:line="400" w:lineRule="exact"/>
              <w:ind w:right="113"/>
              <w:rPr>
                <w:rFonts w:ascii="標楷體" w:eastAsia="標楷體" w:hAnsi="標楷體"/>
                <w:color w:val="000000" w:themeColor="text1"/>
                <w:sz w:val="28"/>
                <w:szCs w:val="28"/>
              </w:rPr>
            </w:pPr>
          </w:p>
        </w:tc>
        <w:tc>
          <w:tcPr>
            <w:tcW w:w="1808" w:type="pct"/>
          </w:tcPr>
          <w:p w:rsidR="00852E9E" w:rsidRPr="00D31BDA" w:rsidRDefault="00852E9E" w:rsidP="00852E9E">
            <w:pPr>
              <w:spacing w:line="400" w:lineRule="exact"/>
              <w:ind w:leftChars="-12" w:left="-29"/>
              <w:jc w:val="both"/>
              <w:rPr>
                <w:rFonts w:eastAsia="華康楷書體W5"/>
                <w:color w:val="000000"/>
                <w:sz w:val="28"/>
              </w:rPr>
            </w:pPr>
            <w:r w:rsidRPr="00D31BDA">
              <w:rPr>
                <w:rFonts w:eastAsia="華康楷書體W5" w:hint="eastAsia"/>
                <w:color w:val="000000"/>
                <w:sz w:val="28"/>
              </w:rPr>
              <w:t>中央研究院函送臺灣人體生物資料庫資料及檢體使用收費標準</w:t>
            </w:r>
            <w:r>
              <w:rPr>
                <w:rFonts w:eastAsia="華康楷書體W5" w:hint="eastAsia"/>
                <w:color w:val="000000"/>
                <w:sz w:val="28"/>
              </w:rPr>
              <w:t>。</w:t>
            </w:r>
          </w:p>
        </w:tc>
        <w:tc>
          <w:tcPr>
            <w:tcW w:w="860" w:type="pct"/>
          </w:tcPr>
          <w:p w:rsidR="00852E9E" w:rsidRPr="00852E9E" w:rsidRDefault="00852E9E" w:rsidP="00852E9E">
            <w:pPr>
              <w:spacing w:line="400" w:lineRule="exact"/>
              <w:ind w:leftChars="-12" w:left="-29"/>
              <w:jc w:val="both"/>
              <w:rPr>
                <w:rFonts w:ascii="標楷體" w:eastAsia="標楷體" w:hAnsi="標楷體"/>
                <w:color w:val="000000"/>
                <w:sz w:val="28"/>
              </w:rPr>
            </w:pPr>
            <w:r w:rsidRPr="00852E9E">
              <w:rPr>
                <w:rFonts w:ascii="標楷體" w:eastAsia="標楷體" w:hAnsi="標楷體"/>
                <w:color w:val="000000"/>
                <w:sz w:val="28"/>
              </w:rPr>
              <w:t>10-5-7</w:t>
            </w:r>
          </w:p>
          <w:p w:rsidR="00852E9E" w:rsidRPr="00D31BDA" w:rsidRDefault="00852E9E" w:rsidP="00852E9E">
            <w:pPr>
              <w:spacing w:line="400" w:lineRule="exact"/>
              <w:ind w:leftChars="-12" w:left="-29"/>
              <w:jc w:val="both"/>
              <w:rPr>
                <w:rFonts w:ascii="標楷體" w:eastAsia="標楷體" w:hAnsi="標楷體"/>
                <w:color w:val="000000"/>
                <w:sz w:val="28"/>
                <w:szCs w:val="28"/>
              </w:rPr>
            </w:pPr>
            <w:r w:rsidRPr="00852E9E">
              <w:rPr>
                <w:rFonts w:ascii="標楷體" w:eastAsia="標楷體" w:hAnsi="標楷體"/>
                <w:color w:val="000000"/>
                <w:sz w:val="28"/>
              </w:rPr>
              <w:t>(111.4.8)</w:t>
            </w:r>
          </w:p>
        </w:tc>
        <w:tc>
          <w:tcPr>
            <w:tcW w:w="474" w:type="pct"/>
          </w:tcPr>
          <w:p w:rsidR="00852E9E" w:rsidRPr="00D31BDA" w:rsidRDefault="00852E9E" w:rsidP="00852E9E">
            <w:pPr>
              <w:rPr>
                <w:rFonts w:ascii="標楷體" w:eastAsia="標楷體" w:hAnsi="標楷體"/>
                <w:color w:val="000000"/>
                <w:sz w:val="28"/>
              </w:rPr>
            </w:pPr>
          </w:p>
        </w:tc>
        <w:tc>
          <w:tcPr>
            <w:tcW w:w="1496" w:type="pct"/>
          </w:tcPr>
          <w:p w:rsidR="00852E9E" w:rsidRDefault="00852E9E" w:rsidP="00852E9E">
            <w:pPr>
              <w:adjustRightInd w:val="0"/>
              <w:snapToGrid w:val="0"/>
              <w:spacing w:line="240" w:lineRule="atLeast"/>
              <w:ind w:left="240" w:hangingChars="100" w:hanging="240"/>
              <w:jc w:val="both"/>
              <w:rPr>
                <w:rFonts w:ascii="標楷體" w:eastAsia="標楷體" w:hAnsi="標楷體"/>
                <w:color w:val="000000"/>
                <w:szCs w:val="24"/>
              </w:rPr>
            </w:pPr>
            <w:r w:rsidRPr="00D31BDA">
              <w:rPr>
                <w:rFonts w:ascii="標楷體" w:eastAsia="標楷體" w:hAnsi="標楷體" w:hint="eastAsia"/>
                <w:color w:val="000000"/>
                <w:szCs w:val="24"/>
              </w:rPr>
              <w:t>1.逾立法院職權行使法所定審查期限，報請院會存查。</w:t>
            </w:r>
          </w:p>
          <w:p w:rsidR="00852E9E" w:rsidRPr="00D31BDA" w:rsidRDefault="00301886" w:rsidP="00301886">
            <w:pPr>
              <w:adjustRightInd w:val="0"/>
              <w:snapToGrid w:val="0"/>
              <w:spacing w:line="240" w:lineRule="atLeast"/>
              <w:ind w:left="240" w:hangingChars="100" w:hanging="240"/>
              <w:jc w:val="both"/>
              <w:rPr>
                <w:rFonts w:ascii="標楷體" w:eastAsia="標楷體" w:hAnsi="標楷體"/>
                <w:color w:val="000000"/>
                <w:sz w:val="28"/>
              </w:rPr>
            </w:pPr>
            <w:r w:rsidRPr="00301886">
              <w:rPr>
                <w:rFonts w:ascii="標楷體" w:eastAsia="標楷體" w:hAnsi="標楷體" w:hint="eastAsia"/>
                <w:color w:val="000000"/>
                <w:szCs w:val="24"/>
              </w:rPr>
              <w:t>2.第</w:t>
            </w:r>
            <w:r w:rsidRPr="00301886">
              <w:rPr>
                <w:rFonts w:ascii="標楷體" w:eastAsia="標楷體" w:hAnsi="標楷體"/>
                <w:color w:val="000000"/>
                <w:szCs w:val="24"/>
              </w:rPr>
              <w:t>6</w:t>
            </w:r>
            <w:r w:rsidRPr="00301886">
              <w:rPr>
                <w:rFonts w:ascii="標楷體" w:eastAsia="標楷體" w:hAnsi="標楷體" w:hint="eastAsia"/>
                <w:color w:val="000000"/>
                <w:szCs w:val="24"/>
              </w:rPr>
              <w:t>會期第</w:t>
            </w:r>
            <w:r w:rsidRPr="00301886">
              <w:rPr>
                <w:rFonts w:ascii="標楷體" w:eastAsia="標楷體" w:hAnsi="標楷體"/>
                <w:color w:val="000000"/>
                <w:szCs w:val="24"/>
              </w:rPr>
              <w:t>1</w:t>
            </w:r>
            <w:r w:rsidRPr="00301886">
              <w:rPr>
                <w:rFonts w:ascii="標楷體" w:eastAsia="標楷體" w:hAnsi="標楷體" w:hint="eastAsia"/>
                <w:color w:val="000000"/>
                <w:szCs w:val="24"/>
              </w:rPr>
              <w:t>次院會</w:t>
            </w:r>
            <w:r w:rsidRPr="00301886">
              <w:rPr>
                <w:rFonts w:ascii="標楷體" w:eastAsia="標楷體" w:hAnsi="標楷體" w:hint="eastAsia"/>
                <w:color w:val="000000"/>
                <w:szCs w:val="24"/>
              </w:rPr>
              <w:lastRenderedPageBreak/>
              <w:t>（11</w:t>
            </w:r>
            <w:r w:rsidRPr="00301886">
              <w:rPr>
                <w:rFonts w:ascii="標楷體" w:eastAsia="標楷體" w:hAnsi="標楷體"/>
                <w:color w:val="000000"/>
                <w:szCs w:val="24"/>
              </w:rPr>
              <w:t>1</w:t>
            </w:r>
            <w:r w:rsidRPr="00301886">
              <w:rPr>
                <w:rFonts w:ascii="標楷體" w:eastAsia="標楷體" w:hAnsi="標楷體" w:hint="eastAsia"/>
                <w:color w:val="000000"/>
                <w:szCs w:val="24"/>
              </w:rPr>
              <w:t>.</w:t>
            </w:r>
            <w:r w:rsidRPr="00301886">
              <w:rPr>
                <w:rFonts w:ascii="標楷體" w:eastAsia="標楷體" w:hAnsi="標楷體"/>
                <w:color w:val="000000"/>
                <w:szCs w:val="24"/>
              </w:rPr>
              <w:t>9</w:t>
            </w:r>
            <w:r w:rsidRPr="00301886">
              <w:rPr>
                <w:rFonts w:ascii="標楷體" w:eastAsia="標楷體" w:hAnsi="標楷體" w:hint="eastAsia"/>
                <w:color w:val="000000"/>
                <w:szCs w:val="24"/>
              </w:rPr>
              <w:t>.2</w:t>
            </w:r>
            <w:r w:rsidRPr="00301886">
              <w:rPr>
                <w:rFonts w:ascii="標楷體" w:eastAsia="標楷體" w:hAnsi="標楷體"/>
                <w:color w:val="000000"/>
                <w:szCs w:val="24"/>
              </w:rPr>
              <w:t>3</w:t>
            </w:r>
            <w:r w:rsidRPr="00301886">
              <w:rPr>
                <w:rFonts w:ascii="標楷體" w:eastAsia="標楷體" w:hAnsi="標楷體" w:hint="eastAsia"/>
                <w:color w:val="000000"/>
                <w:szCs w:val="24"/>
              </w:rPr>
              <w:t>）決定：准予備查。</w:t>
            </w:r>
          </w:p>
        </w:tc>
      </w:tr>
      <w:tr w:rsidR="00E710E8" w:rsidRPr="00920597" w:rsidTr="004C461F">
        <w:trPr>
          <w:trHeight w:val="700"/>
        </w:trPr>
        <w:tc>
          <w:tcPr>
            <w:tcW w:w="362" w:type="pct"/>
            <w:vAlign w:val="center"/>
          </w:tcPr>
          <w:p w:rsidR="00E710E8" w:rsidRPr="00920597" w:rsidRDefault="00E710E8" w:rsidP="006934DD">
            <w:pPr>
              <w:numPr>
                <w:ilvl w:val="0"/>
                <w:numId w:val="15"/>
              </w:numPr>
              <w:spacing w:line="400" w:lineRule="exact"/>
              <w:ind w:right="113"/>
              <w:rPr>
                <w:rFonts w:ascii="標楷體" w:eastAsia="標楷體" w:hAnsi="標楷體"/>
                <w:color w:val="000000" w:themeColor="text1"/>
                <w:sz w:val="28"/>
                <w:szCs w:val="28"/>
              </w:rPr>
            </w:pPr>
          </w:p>
        </w:tc>
        <w:tc>
          <w:tcPr>
            <w:tcW w:w="1808" w:type="pct"/>
          </w:tcPr>
          <w:p w:rsidR="00E710E8" w:rsidRPr="00920597" w:rsidRDefault="00E710E8" w:rsidP="00E710E8">
            <w:pPr>
              <w:spacing w:line="400" w:lineRule="exact"/>
              <w:jc w:val="both"/>
              <w:rPr>
                <w:rFonts w:eastAsia="華康楷書體W5"/>
                <w:color w:val="000000" w:themeColor="text1"/>
                <w:sz w:val="28"/>
              </w:rPr>
            </w:pPr>
            <w:r w:rsidRPr="00920597">
              <w:rPr>
                <w:rFonts w:eastAsia="華康楷書體W5" w:hint="eastAsia"/>
                <w:color w:val="000000" w:themeColor="text1"/>
                <w:sz w:val="28"/>
              </w:rPr>
              <w:t>教育部函，為修正「高級中等學校建教合作審議小組與專家小組組成及運作辦法」第三條條文，請查照案。</w:t>
            </w:r>
          </w:p>
        </w:tc>
        <w:tc>
          <w:tcPr>
            <w:tcW w:w="860" w:type="pct"/>
          </w:tcPr>
          <w:p w:rsidR="00E710E8" w:rsidRPr="00920597" w:rsidRDefault="00E710E8" w:rsidP="00E710E8">
            <w:pPr>
              <w:spacing w:line="400" w:lineRule="exact"/>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10-5-10</w:t>
            </w:r>
          </w:p>
          <w:p w:rsidR="00E710E8" w:rsidRPr="00920597" w:rsidRDefault="00E710E8" w:rsidP="00E710E8">
            <w:pPr>
              <w:spacing w:line="400" w:lineRule="exact"/>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(111.4.29)</w:t>
            </w:r>
          </w:p>
        </w:tc>
        <w:tc>
          <w:tcPr>
            <w:tcW w:w="474" w:type="pct"/>
          </w:tcPr>
          <w:p w:rsidR="00E710E8" w:rsidRPr="00D31BDA" w:rsidRDefault="00E710E8" w:rsidP="00E710E8">
            <w:pPr>
              <w:rPr>
                <w:rFonts w:ascii="標楷體" w:eastAsia="標楷體" w:hAnsi="標楷體"/>
                <w:color w:val="000000"/>
                <w:sz w:val="28"/>
              </w:rPr>
            </w:pPr>
          </w:p>
        </w:tc>
        <w:tc>
          <w:tcPr>
            <w:tcW w:w="1496" w:type="pct"/>
          </w:tcPr>
          <w:p w:rsidR="00E710E8" w:rsidRPr="00D31BDA" w:rsidRDefault="00E710E8" w:rsidP="00E710E8">
            <w:pPr>
              <w:adjustRightInd w:val="0"/>
              <w:snapToGrid w:val="0"/>
              <w:spacing w:line="240" w:lineRule="atLeast"/>
              <w:ind w:left="240" w:hangingChars="100" w:hanging="240"/>
              <w:jc w:val="both"/>
              <w:rPr>
                <w:rFonts w:ascii="標楷體" w:eastAsia="標楷體" w:hAnsi="標楷體"/>
                <w:color w:val="000000"/>
                <w:szCs w:val="24"/>
              </w:rPr>
            </w:pPr>
            <w:r w:rsidRPr="00E710E8">
              <w:rPr>
                <w:rFonts w:ascii="標楷體" w:eastAsia="標楷體" w:hAnsi="標楷體" w:hint="eastAsia"/>
                <w:color w:val="000000"/>
                <w:szCs w:val="24"/>
              </w:rPr>
              <w:t>1.逾立法院職權行使法所定審查期限，報請院會存查。</w:t>
            </w:r>
          </w:p>
        </w:tc>
      </w:tr>
      <w:tr w:rsidR="00E710E8" w:rsidRPr="00920597" w:rsidTr="004C461F">
        <w:trPr>
          <w:trHeight w:val="700"/>
        </w:trPr>
        <w:tc>
          <w:tcPr>
            <w:tcW w:w="362" w:type="pct"/>
            <w:vAlign w:val="center"/>
          </w:tcPr>
          <w:p w:rsidR="00E710E8" w:rsidRPr="00920597" w:rsidRDefault="00E710E8" w:rsidP="006934DD">
            <w:pPr>
              <w:numPr>
                <w:ilvl w:val="0"/>
                <w:numId w:val="15"/>
              </w:numPr>
              <w:spacing w:line="400" w:lineRule="exact"/>
              <w:ind w:right="113"/>
              <w:rPr>
                <w:rFonts w:ascii="標楷體" w:eastAsia="標楷體" w:hAnsi="標楷體"/>
                <w:color w:val="000000" w:themeColor="text1"/>
                <w:sz w:val="28"/>
                <w:szCs w:val="28"/>
              </w:rPr>
            </w:pPr>
          </w:p>
        </w:tc>
        <w:tc>
          <w:tcPr>
            <w:tcW w:w="1808" w:type="pct"/>
          </w:tcPr>
          <w:p w:rsidR="00E710E8" w:rsidRPr="00920597" w:rsidRDefault="00E710E8" w:rsidP="00E710E8">
            <w:pPr>
              <w:spacing w:line="400" w:lineRule="exact"/>
              <w:jc w:val="both"/>
              <w:rPr>
                <w:rFonts w:eastAsia="華康楷書體W5"/>
                <w:color w:val="000000" w:themeColor="text1"/>
                <w:sz w:val="28"/>
              </w:rPr>
            </w:pPr>
            <w:r w:rsidRPr="00920597">
              <w:rPr>
                <w:rFonts w:eastAsia="華康楷書體W5" w:hint="eastAsia"/>
                <w:color w:val="000000" w:themeColor="text1"/>
                <w:sz w:val="28"/>
              </w:rPr>
              <w:t>教育部函，為修正「特定體育團體建立運動教練資格檢定及管理辦法」第九條、第九條之一及第十條條文，請查照案。</w:t>
            </w:r>
          </w:p>
        </w:tc>
        <w:tc>
          <w:tcPr>
            <w:tcW w:w="860" w:type="pct"/>
          </w:tcPr>
          <w:p w:rsidR="00E710E8" w:rsidRPr="00920597" w:rsidRDefault="00E710E8" w:rsidP="00E710E8">
            <w:pPr>
              <w:spacing w:line="400" w:lineRule="exact"/>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10-5-11</w:t>
            </w:r>
          </w:p>
          <w:p w:rsidR="00E710E8" w:rsidRPr="00920597" w:rsidRDefault="00E710E8" w:rsidP="00E710E8">
            <w:pPr>
              <w:spacing w:line="400" w:lineRule="exact"/>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(111.5.6)</w:t>
            </w:r>
          </w:p>
        </w:tc>
        <w:tc>
          <w:tcPr>
            <w:tcW w:w="474" w:type="pct"/>
          </w:tcPr>
          <w:p w:rsidR="00E710E8" w:rsidRPr="00D31BDA" w:rsidRDefault="00E710E8" w:rsidP="00E710E8">
            <w:pPr>
              <w:rPr>
                <w:rFonts w:ascii="標楷體" w:eastAsia="標楷體" w:hAnsi="標楷體"/>
                <w:color w:val="000000"/>
                <w:sz w:val="28"/>
              </w:rPr>
            </w:pPr>
          </w:p>
        </w:tc>
        <w:tc>
          <w:tcPr>
            <w:tcW w:w="1496" w:type="pct"/>
          </w:tcPr>
          <w:p w:rsidR="00E710E8" w:rsidRPr="00D31BDA" w:rsidRDefault="00E710E8" w:rsidP="00E710E8">
            <w:pPr>
              <w:adjustRightInd w:val="0"/>
              <w:snapToGrid w:val="0"/>
              <w:spacing w:line="240" w:lineRule="atLeast"/>
              <w:ind w:left="240" w:hangingChars="100" w:hanging="240"/>
              <w:jc w:val="both"/>
              <w:rPr>
                <w:rFonts w:ascii="標楷體" w:eastAsia="標楷體" w:hAnsi="標楷體"/>
                <w:color w:val="000000"/>
                <w:szCs w:val="24"/>
              </w:rPr>
            </w:pPr>
            <w:r w:rsidRPr="00E710E8">
              <w:rPr>
                <w:rFonts w:ascii="標楷體" w:eastAsia="標楷體" w:hAnsi="標楷體" w:hint="eastAsia"/>
                <w:color w:val="000000"/>
                <w:szCs w:val="24"/>
              </w:rPr>
              <w:t>1.逾立法院職權行使法所定審查期限，報請院會存查。</w:t>
            </w:r>
          </w:p>
        </w:tc>
      </w:tr>
      <w:tr w:rsidR="00E710E8" w:rsidRPr="00920597" w:rsidTr="004C461F">
        <w:trPr>
          <w:trHeight w:val="700"/>
        </w:trPr>
        <w:tc>
          <w:tcPr>
            <w:tcW w:w="362" w:type="pct"/>
            <w:vAlign w:val="center"/>
          </w:tcPr>
          <w:p w:rsidR="00E710E8" w:rsidRPr="00920597" w:rsidRDefault="00E710E8" w:rsidP="006934DD">
            <w:pPr>
              <w:numPr>
                <w:ilvl w:val="0"/>
                <w:numId w:val="15"/>
              </w:numPr>
              <w:spacing w:line="400" w:lineRule="exact"/>
              <w:ind w:right="113"/>
              <w:rPr>
                <w:rFonts w:ascii="標楷體" w:eastAsia="標楷體" w:hAnsi="標楷體"/>
                <w:color w:val="000000" w:themeColor="text1"/>
                <w:sz w:val="28"/>
                <w:szCs w:val="28"/>
              </w:rPr>
            </w:pPr>
          </w:p>
        </w:tc>
        <w:tc>
          <w:tcPr>
            <w:tcW w:w="1808" w:type="pct"/>
          </w:tcPr>
          <w:p w:rsidR="00E710E8" w:rsidRPr="00920597" w:rsidRDefault="00E710E8" w:rsidP="00E710E8">
            <w:pPr>
              <w:spacing w:line="400" w:lineRule="exact"/>
              <w:jc w:val="both"/>
              <w:rPr>
                <w:rFonts w:eastAsia="華康楷書體W5"/>
                <w:color w:val="000000" w:themeColor="text1"/>
                <w:sz w:val="28"/>
              </w:rPr>
            </w:pPr>
            <w:r w:rsidRPr="00920597">
              <w:rPr>
                <w:rFonts w:eastAsia="華康楷書體W5" w:hint="eastAsia"/>
                <w:color w:val="000000" w:themeColor="text1"/>
                <w:sz w:val="28"/>
              </w:rPr>
              <w:t>教育部函，為修正「專科以上學校兼任教師聘任辦法」第十四條條文，請查照案。</w:t>
            </w:r>
          </w:p>
        </w:tc>
        <w:tc>
          <w:tcPr>
            <w:tcW w:w="860" w:type="pct"/>
          </w:tcPr>
          <w:p w:rsidR="00E710E8" w:rsidRPr="00920597" w:rsidRDefault="00E710E8" w:rsidP="00E710E8">
            <w:pPr>
              <w:spacing w:line="400" w:lineRule="exact"/>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10-5-11</w:t>
            </w:r>
          </w:p>
          <w:p w:rsidR="00E710E8" w:rsidRPr="00920597" w:rsidRDefault="00E710E8" w:rsidP="00E710E8">
            <w:pPr>
              <w:spacing w:line="400" w:lineRule="exact"/>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(111.5.6)</w:t>
            </w:r>
          </w:p>
        </w:tc>
        <w:tc>
          <w:tcPr>
            <w:tcW w:w="474" w:type="pct"/>
          </w:tcPr>
          <w:p w:rsidR="00E710E8" w:rsidRPr="00D31BDA" w:rsidRDefault="00E710E8" w:rsidP="00E710E8">
            <w:pPr>
              <w:rPr>
                <w:rFonts w:ascii="標楷體" w:eastAsia="標楷體" w:hAnsi="標楷體"/>
                <w:color w:val="000000"/>
                <w:sz w:val="28"/>
              </w:rPr>
            </w:pPr>
          </w:p>
        </w:tc>
        <w:tc>
          <w:tcPr>
            <w:tcW w:w="1496" w:type="pct"/>
          </w:tcPr>
          <w:p w:rsidR="00E710E8" w:rsidRPr="00D31BDA" w:rsidRDefault="00E710E8" w:rsidP="00E710E8">
            <w:pPr>
              <w:adjustRightInd w:val="0"/>
              <w:snapToGrid w:val="0"/>
              <w:spacing w:line="240" w:lineRule="atLeast"/>
              <w:ind w:left="240" w:hangingChars="100" w:hanging="240"/>
              <w:jc w:val="both"/>
              <w:rPr>
                <w:rFonts w:ascii="標楷體" w:eastAsia="標楷體" w:hAnsi="標楷體"/>
                <w:color w:val="000000"/>
                <w:szCs w:val="24"/>
              </w:rPr>
            </w:pPr>
            <w:r w:rsidRPr="00E710E8">
              <w:rPr>
                <w:rFonts w:ascii="標楷體" w:eastAsia="標楷體" w:hAnsi="標楷體" w:hint="eastAsia"/>
                <w:color w:val="000000"/>
                <w:szCs w:val="24"/>
              </w:rPr>
              <w:t>1.逾立法院職權行使法所定審查期限，報請院會存查。</w:t>
            </w:r>
          </w:p>
        </w:tc>
      </w:tr>
    </w:tbl>
    <w:p w:rsidR="005D23D5" w:rsidRDefault="005D23D5">
      <w:pPr>
        <w:widowControl/>
        <w:rPr>
          <w:rFonts w:ascii="標楷體" w:eastAsia="標楷體" w:hAnsi="標楷體"/>
          <w:b/>
          <w:bCs/>
          <w:sz w:val="32"/>
          <w:szCs w:val="32"/>
        </w:rPr>
      </w:pPr>
      <w:bookmarkStart w:id="88" w:name="_Toc95137412"/>
      <w:r>
        <w:rPr>
          <w:rFonts w:ascii="標楷體" w:eastAsia="標楷體" w:hAnsi="標楷體"/>
          <w:b/>
          <w:bCs/>
          <w:sz w:val="32"/>
          <w:szCs w:val="32"/>
        </w:rPr>
        <w:br w:type="page"/>
      </w:r>
    </w:p>
    <w:p w:rsidR="00301886" w:rsidRPr="00920597" w:rsidRDefault="00301886" w:rsidP="00301886">
      <w:pPr>
        <w:pStyle w:val="01-21"/>
        <w:rPr>
          <w:color w:val="000000" w:themeColor="text1"/>
        </w:rPr>
      </w:pPr>
      <w:bookmarkStart w:id="89" w:name="_Toc126068130"/>
      <w:r>
        <w:rPr>
          <w:rFonts w:hint="eastAsia"/>
          <w:color w:val="000000" w:themeColor="text1"/>
        </w:rPr>
        <w:lastRenderedPageBreak/>
        <w:t>三</w:t>
      </w:r>
      <w:r w:rsidRPr="00920597">
        <w:rPr>
          <w:rFonts w:hint="eastAsia"/>
          <w:color w:val="000000" w:themeColor="text1"/>
        </w:rPr>
        <w:t>、</w:t>
      </w:r>
      <w:r>
        <w:rPr>
          <w:rFonts w:hint="eastAsia"/>
          <w:color w:val="000000" w:themeColor="text1"/>
        </w:rPr>
        <w:t>其他議案</w:t>
      </w:r>
      <w:r w:rsidRPr="00920597">
        <w:rPr>
          <w:rFonts w:hint="eastAsia"/>
          <w:color w:val="000000" w:themeColor="text1"/>
        </w:rPr>
        <w:t>（</w:t>
      </w:r>
      <w:r>
        <w:rPr>
          <w:rFonts w:hint="eastAsia"/>
          <w:color w:val="000000" w:themeColor="text1"/>
        </w:rPr>
        <w:t>106</w:t>
      </w:r>
      <w:r w:rsidRPr="00920597">
        <w:rPr>
          <w:rFonts w:hint="eastAsia"/>
          <w:color w:val="000000" w:themeColor="text1"/>
        </w:rPr>
        <w:t>案）</w:t>
      </w:r>
      <w:bookmarkEnd w:id="89"/>
    </w:p>
    <w:tbl>
      <w:tblPr>
        <w:tblW w:w="50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09"/>
        <w:gridCol w:w="3917"/>
        <w:gridCol w:w="1740"/>
        <w:gridCol w:w="1015"/>
        <w:gridCol w:w="2419"/>
      </w:tblGrid>
      <w:tr w:rsidR="00301886" w:rsidRPr="001F3F42" w:rsidTr="00AE1389">
        <w:trPr>
          <w:trHeight w:val="700"/>
        </w:trPr>
        <w:tc>
          <w:tcPr>
            <w:tcW w:w="314" w:type="pct"/>
            <w:vAlign w:val="center"/>
          </w:tcPr>
          <w:p w:rsidR="00301886" w:rsidRPr="001F3F42" w:rsidRDefault="00301886" w:rsidP="00AE1389">
            <w:pPr>
              <w:spacing w:line="400" w:lineRule="exact"/>
              <w:jc w:val="center"/>
              <w:rPr>
                <w:rFonts w:ascii="標楷體" w:eastAsia="標楷體" w:hAnsi="標楷體"/>
                <w:b/>
                <w:bCs/>
                <w:color w:val="000000"/>
                <w:spacing w:val="-20"/>
                <w:sz w:val="28"/>
                <w:szCs w:val="28"/>
              </w:rPr>
            </w:pPr>
            <w:r w:rsidRPr="001F3F42">
              <w:rPr>
                <w:rFonts w:ascii="標楷體" w:eastAsia="標楷體" w:hAnsi="標楷體" w:hint="eastAsia"/>
                <w:b/>
                <w:bCs/>
                <w:color w:val="000000"/>
                <w:spacing w:val="-20"/>
                <w:sz w:val="28"/>
                <w:szCs w:val="28"/>
              </w:rPr>
              <w:t>序號</w:t>
            </w:r>
          </w:p>
        </w:tc>
        <w:tc>
          <w:tcPr>
            <w:tcW w:w="2019" w:type="pct"/>
            <w:vAlign w:val="center"/>
          </w:tcPr>
          <w:p w:rsidR="00301886" w:rsidRPr="001F3F42" w:rsidRDefault="00301886" w:rsidP="00AE1389">
            <w:pPr>
              <w:spacing w:line="400" w:lineRule="exact"/>
              <w:jc w:val="center"/>
              <w:rPr>
                <w:rFonts w:ascii="標楷體" w:eastAsia="標楷體" w:hAnsi="標楷體"/>
                <w:b/>
                <w:bCs/>
                <w:color w:val="000000"/>
                <w:sz w:val="28"/>
              </w:rPr>
            </w:pPr>
            <w:r w:rsidRPr="001F3F42">
              <w:rPr>
                <w:rFonts w:ascii="標楷體" w:eastAsia="標楷體" w:hAnsi="標楷體" w:hint="eastAsia"/>
                <w:b/>
                <w:bCs/>
                <w:color w:val="000000"/>
                <w:sz w:val="28"/>
              </w:rPr>
              <w:t>案          由</w:t>
            </w:r>
          </w:p>
        </w:tc>
        <w:tc>
          <w:tcPr>
            <w:tcW w:w="897" w:type="pct"/>
            <w:vAlign w:val="center"/>
          </w:tcPr>
          <w:p w:rsidR="00301886" w:rsidRPr="001F3F42" w:rsidRDefault="00301886" w:rsidP="00AE1389">
            <w:pPr>
              <w:spacing w:line="400" w:lineRule="exact"/>
              <w:ind w:left="92"/>
              <w:jc w:val="center"/>
              <w:rPr>
                <w:rFonts w:ascii="標楷體" w:eastAsia="標楷體" w:hAnsi="標楷體"/>
                <w:b/>
                <w:bCs/>
                <w:color w:val="000000"/>
                <w:sz w:val="28"/>
              </w:rPr>
            </w:pPr>
            <w:r w:rsidRPr="001F3F42">
              <w:rPr>
                <w:rFonts w:ascii="標楷體" w:eastAsia="標楷體" w:hAnsi="標楷體" w:hint="eastAsia"/>
                <w:b/>
                <w:bCs/>
                <w:color w:val="000000"/>
                <w:sz w:val="28"/>
              </w:rPr>
              <w:t>院會交付</w:t>
            </w:r>
          </w:p>
          <w:p w:rsidR="00301886" w:rsidRPr="001F3F42" w:rsidRDefault="00301886" w:rsidP="00AE1389">
            <w:pPr>
              <w:spacing w:line="400" w:lineRule="exact"/>
              <w:ind w:leftChars="-36" w:left="1" w:hangingChars="31" w:hanging="87"/>
              <w:jc w:val="center"/>
              <w:rPr>
                <w:rFonts w:ascii="標楷體" w:eastAsia="標楷體" w:hAnsi="標楷體"/>
                <w:b/>
                <w:bCs/>
                <w:color w:val="000000"/>
                <w:sz w:val="28"/>
              </w:rPr>
            </w:pPr>
            <w:r w:rsidRPr="001F3F42">
              <w:rPr>
                <w:rFonts w:ascii="標楷體" w:eastAsia="標楷體" w:hAnsi="標楷體" w:hint="eastAsia"/>
                <w:b/>
                <w:bCs/>
                <w:color w:val="000000"/>
                <w:sz w:val="28"/>
              </w:rPr>
              <w:t>會次及日期</w:t>
            </w:r>
          </w:p>
        </w:tc>
        <w:tc>
          <w:tcPr>
            <w:tcW w:w="523" w:type="pct"/>
            <w:vAlign w:val="center"/>
          </w:tcPr>
          <w:p w:rsidR="00301886" w:rsidRPr="001F3F42" w:rsidRDefault="00301886" w:rsidP="00AE1389">
            <w:pPr>
              <w:spacing w:line="400" w:lineRule="exact"/>
              <w:jc w:val="center"/>
              <w:rPr>
                <w:rFonts w:ascii="標楷體" w:eastAsia="標楷體" w:hAnsi="標楷體"/>
                <w:b/>
                <w:bCs/>
                <w:color w:val="000000"/>
                <w:sz w:val="28"/>
              </w:rPr>
            </w:pPr>
            <w:r w:rsidRPr="001F3F42">
              <w:rPr>
                <w:rFonts w:ascii="標楷體" w:eastAsia="標楷體" w:hAnsi="標楷體" w:hint="eastAsia"/>
                <w:b/>
                <w:bCs/>
                <w:color w:val="000000"/>
                <w:sz w:val="28"/>
              </w:rPr>
              <w:t>聯席</w:t>
            </w:r>
          </w:p>
          <w:p w:rsidR="00301886" w:rsidRPr="001F3F42" w:rsidRDefault="00301886" w:rsidP="00AE1389">
            <w:pPr>
              <w:spacing w:line="400" w:lineRule="exact"/>
              <w:jc w:val="center"/>
              <w:rPr>
                <w:rFonts w:ascii="標楷體" w:eastAsia="標楷體" w:hAnsi="標楷體"/>
                <w:b/>
                <w:bCs/>
                <w:color w:val="000000"/>
                <w:sz w:val="28"/>
              </w:rPr>
            </w:pPr>
            <w:r w:rsidRPr="001F3F42">
              <w:rPr>
                <w:rFonts w:ascii="標楷體" w:eastAsia="標楷體" w:hAnsi="標楷體" w:hint="eastAsia"/>
                <w:b/>
                <w:bCs/>
                <w:color w:val="000000"/>
                <w:sz w:val="28"/>
              </w:rPr>
              <w:t>委員會</w:t>
            </w:r>
          </w:p>
        </w:tc>
        <w:tc>
          <w:tcPr>
            <w:tcW w:w="1247" w:type="pct"/>
            <w:vAlign w:val="center"/>
          </w:tcPr>
          <w:p w:rsidR="00301886" w:rsidRPr="001F3F42" w:rsidRDefault="00301886" w:rsidP="00AE1389">
            <w:pPr>
              <w:spacing w:line="400" w:lineRule="exact"/>
              <w:jc w:val="distribute"/>
              <w:rPr>
                <w:rFonts w:ascii="標楷體" w:eastAsia="標楷體" w:hAnsi="標楷體"/>
                <w:b/>
                <w:bCs/>
                <w:color w:val="000000"/>
                <w:sz w:val="28"/>
              </w:rPr>
            </w:pPr>
            <w:r w:rsidRPr="001F3F42">
              <w:rPr>
                <w:rFonts w:ascii="標楷體" w:eastAsia="標楷體" w:hAnsi="標楷體" w:hint="eastAsia"/>
                <w:b/>
                <w:bCs/>
                <w:color w:val="000000"/>
                <w:sz w:val="28"/>
              </w:rPr>
              <w:t>處理情形</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科技部函，為109年度中央政府總預算決議，檢送「國家災害防救科技中心自籌來源」報告，請查照案。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3</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.3.6</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行政院原子能委員會函，為109年度</w:t>
            </w:r>
            <w:r w:rsidRPr="001F3F42">
              <w:rPr>
                <w:rFonts w:ascii="標楷體" w:eastAsia="標楷體" w:hAnsi="標楷體" w:hint="eastAsia"/>
                <w:color w:val="000000"/>
                <w:sz w:val="28"/>
              </w:rPr>
              <w:t>中央政府</w:t>
            </w:r>
            <w:r w:rsidRPr="001F3F42">
              <w:rPr>
                <w:rFonts w:ascii="標楷體" w:eastAsia="標楷體" w:hAnsi="標楷體" w:hint="eastAsia"/>
                <w:color w:val="000000"/>
                <w:sz w:val="28"/>
                <w:szCs w:val="28"/>
              </w:rPr>
              <w:t>總預算決議，檢送歲出第17款第1項決議(二十一)專案報告，請查照案。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7</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.4.7</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行政院原子能委員會函，為109年度中央政府總預算決議，檢送歲出第17款第3項決議(二)專案報告，請查照案。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7</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.4.7</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科技部函，為109年度中央政府總預算決議，檢送「國研院收支平衡情形」報告，請查照案。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7</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.4.7</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科技部函，為109年度中央政府總預算決議，檢送「銅鑼、宜蘭、二林及中興園區應積極招商以提升土地出租率」報告，請查照案。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7</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.4.7</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科技部函，為109年度中央政府總預算決議，檢送「園區宿舍租用效能提升作為」報告，請查照案。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7</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.4.7</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科技部函，為109年度中央政府</w:t>
            </w:r>
            <w:r w:rsidRPr="001F3F42">
              <w:rPr>
                <w:rFonts w:ascii="標楷體" w:eastAsia="標楷體" w:hAnsi="標楷體" w:hint="eastAsia"/>
                <w:color w:val="000000"/>
                <w:sz w:val="28"/>
              </w:rPr>
              <w:lastRenderedPageBreak/>
              <w:t>總預算決議，檢送重點產業高階人才培訓與就業計畫辦理情形，請查照案。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lastRenderedPageBreak/>
              <w:t>10-1-</w:t>
            </w:r>
            <w:r w:rsidRPr="001F3F42">
              <w:rPr>
                <w:rFonts w:ascii="標楷體" w:eastAsia="標楷體" w:hAnsi="標楷體" w:hint="eastAsia"/>
                <w:color w:val="000000"/>
                <w:sz w:val="28"/>
                <w:szCs w:val="28"/>
              </w:rPr>
              <w:t>7</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lastRenderedPageBreak/>
              <w:t>(109</w:t>
            </w:r>
            <w:r w:rsidRPr="001F3F42">
              <w:rPr>
                <w:rFonts w:ascii="標楷體" w:eastAsia="標楷體" w:hAnsi="標楷體" w:hint="eastAsia"/>
                <w:color w:val="000000"/>
                <w:sz w:val="28"/>
                <w:szCs w:val="28"/>
              </w:rPr>
              <w:t>.4.7</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w:t>
            </w:r>
            <w:r w:rsidRPr="001F3F42">
              <w:rPr>
                <w:rFonts w:ascii="標楷體" w:eastAsia="標楷體" w:hAnsi="標楷體" w:hint="eastAsia"/>
                <w:color w:val="000000"/>
                <w:szCs w:val="24"/>
              </w:rPr>
              <w:lastRenderedPageBreak/>
              <w:t>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科技部函送該部（含所屬單位）108年第3季於各類媒體辦理政策宣導相關廣告之執行情形資料，請查照案。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7</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.4.7</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文化部函送108年1─10月該部接受外界捐贈款明細表，請查照案。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7</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.4.7</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科技部函，為109年度中央政府總預算決議，檢送該部決議(十五)「因應少子化國內科技人才減少問題」專案報告，請查照案。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10</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.4.24</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行政院原子能委員會函送該會</w:t>
            </w:r>
            <w:r w:rsidRPr="001F3F42">
              <w:rPr>
                <w:rFonts w:ascii="標楷體" w:eastAsia="標楷體" w:hAnsi="標楷體"/>
                <w:color w:val="000000"/>
                <w:sz w:val="28"/>
              </w:rPr>
              <w:t>108</w:t>
            </w:r>
            <w:r w:rsidRPr="001F3F42">
              <w:rPr>
                <w:rFonts w:ascii="標楷體" w:eastAsia="標楷體" w:hAnsi="標楷體" w:hint="eastAsia"/>
                <w:color w:val="000000"/>
                <w:sz w:val="28"/>
              </w:rPr>
              <w:t>年第</w:t>
            </w:r>
            <w:r w:rsidRPr="001F3F42">
              <w:rPr>
                <w:rFonts w:ascii="標楷體" w:eastAsia="標楷體" w:hAnsi="標楷體"/>
                <w:color w:val="000000"/>
                <w:sz w:val="28"/>
              </w:rPr>
              <w:t>3</w:t>
            </w:r>
            <w:r w:rsidRPr="001F3F42">
              <w:rPr>
                <w:rFonts w:ascii="標楷體" w:eastAsia="標楷體" w:hAnsi="標楷體" w:hint="eastAsia"/>
                <w:color w:val="000000"/>
                <w:sz w:val="28"/>
              </w:rPr>
              <w:t>、</w:t>
            </w:r>
            <w:r w:rsidRPr="001F3F42">
              <w:rPr>
                <w:rFonts w:ascii="標楷體" w:eastAsia="標楷體" w:hAnsi="標楷體"/>
                <w:color w:val="000000"/>
                <w:sz w:val="28"/>
              </w:rPr>
              <w:t>4</w:t>
            </w:r>
            <w:r w:rsidRPr="001F3F42">
              <w:rPr>
                <w:rFonts w:ascii="標楷體" w:eastAsia="標楷體" w:hAnsi="標楷體" w:hint="eastAsia"/>
                <w:color w:val="000000"/>
                <w:sz w:val="28"/>
              </w:rPr>
              <w:t>季於媒體辦理政策宣導相關之廣告資料，請查照案。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11</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.5.1</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文化部函送</w:t>
            </w:r>
            <w:r w:rsidRPr="001F3F42">
              <w:rPr>
                <w:rFonts w:ascii="標楷體" w:eastAsia="標楷體" w:hAnsi="標楷體"/>
                <w:color w:val="000000"/>
                <w:sz w:val="28"/>
              </w:rPr>
              <w:t>108</w:t>
            </w:r>
            <w:r w:rsidRPr="001F3F42">
              <w:rPr>
                <w:rFonts w:ascii="標楷體" w:eastAsia="標楷體" w:hAnsi="標楷體" w:hint="eastAsia"/>
                <w:color w:val="000000"/>
                <w:sz w:val="28"/>
              </w:rPr>
              <w:t>年</w:t>
            </w:r>
            <w:r w:rsidRPr="001F3F42">
              <w:rPr>
                <w:rFonts w:ascii="標楷體" w:eastAsia="標楷體" w:hAnsi="標楷體"/>
                <w:color w:val="000000"/>
                <w:sz w:val="28"/>
              </w:rPr>
              <w:t>1</w:t>
            </w:r>
            <w:r w:rsidRPr="001F3F42">
              <w:rPr>
                <w:rFonts w:ascii="標楷體" w:eastAsia="標楷體" w:hAnsi="標楷體" w:hint="eastAsia"/>
                <w:color w:val="000000"/>
                <w:sz w:val="28"/>
              </w:rPr>
              <w:t>－</w:t>
            </w:r>
            <w:r w:rsidRPr="001F3F42">
              <w:rPr>
                <w:rFonts w:ascii="標楷體" w:eastAsia="標楷體" w:hAnsi="標楷體"/>
                <w:color w:val="000000"/>
                <w:sz w:val="28"/>
              </w:rPr>
              <w:t>11</w:t>
            </w:r>
            <w:r w:rsidRPr="001F3F42">
              <w:rPr>
                <w:rFonts w:ascii="標楷體" w:eastAsia="標楷體" w:hAnsi="標楷體" w:hint="eastAsia"/>
                <w:color w:val="000000"/>
                <w:sz w:val="28"/>
              </w:rPr>
              <w:t>月該部接受外界捐贈款明細表，請查照案。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11</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.5.1</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科技部函送該部暨所屬機關</w:t>
            </w:r>
            <w:r w:rsidRPr="001F3F42">
              <w:rPr>
                <w:rFonts w:ascii="標楷體" w:eastAsia="標楷體" w:hAnsi="標楷體"/>
                <w:color w:val="000000"/>
                <w:sz w:val="28"/>
              </w:rPr>
              <w:t>108</w:t>
            </w:r>
            <w:r w:rsidRPr="001F3F42">
              <w:rPr>
                <w:rFonts w:ascii="標楷體" w:eastAsia="標楷體" w:hAnsi="標楷體" w:hint="eastAsia"/>
                <w:color w:val="000000"/>
                <w:sz w:val="28"/>
              </w:rPr>
              <w:t>年第</w:t>
            </w:r>
            <w:r w:rsidRPr="001F3F42">
              <w:rPr>
                <w:rFonts w:ascii="標楷體" w:eastAsia="標楷體" w:hAnsi="標楷體"/>
                <w:color w:val="000000"/>
                <w:sz w:val="28"/>
              </w:rPr>
              <w:t>3</w:t>
            </w:r>
            <w:r w:rsidRPr="001F3F42">
              <w:rPr>
                <w:rFonts w:ascii="標楷體" w:eastAsia="標楷體" w:hAnsi="標楷體" w:hint="eastAsia"/>
                <w:color w:val="000000"/>
                <w:sz w:val="28"/>
              </w:rPr>
              <w:t>季補（捐）助民間團體及個人經費資料一覽表，請查照案。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11</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.5.1</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科技部函送該部暨所屬機關108</w:t>
            </w:r>
            <w:r w:rsidRPr="001F3F42">
              <w:rPr>
                <w:rFonts w:ascii="標楷體" w:eastAsia="標楷體" w:hAnsi="標楷體" w:hint="eastAsia"/>
                <w:color w:val="000000"/>
                <w:sz w:val="28"/>
              </w:rPr>
              <w:lastRenderedPageBreak/>
              <w:t>年第4季補（捐）助民間團體及個人經費資料一覽表，請查照案。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lastRenderedPageBreak/>
              <w:t>10-1-</w:t>
            </w:r>
            <w:r w:rsidRPr="001F3F42">
              <w:rPr>
                <w:rFonts w:ascii="標楷體" w:eastAsia="標楷體" w:hAnsi="標楷體" w:hint="eastAsia"/>
                <w:color w:val="000000"/>
                <w:sz w:val="28"/>
                <w:szCs w:val="28"/>
              </w:rPr>
              <w:t>12</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lastRenderedPageBreak/>
              <w:t>(109</w:t>
            </w:r>
            <w:r w:rsidRPr="001F3F42">
              <w:rPr>
                <w:rFonts w:ascii="標楷體" w:eastAsia="標楷體" w:hAnsi="標楷體" w:hint="eastAsia"/>
                <w:color w:val="000000"/>
                <w:sz w:val="28"/>
                <w:szCs w:val="28"/>
              </w:rPr>
              <w:t>.5.8</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w:t>
            </w:r>
            <w:r w:rsidRPr="001F3F42">
              <w:rPr>
                <w:rFonts w:ascii="標楷體" w:eastAsia="標楷體" w:hAnsi="標楷體" w:hint="eastAsia"/>
                <w:color w:val="000000"/>
                <w:szCs w:val="24"/>
              </w:rPr>
              <w:lastRenderedPageBreak/>
              <w:t>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科技部函送該部（含所屬單位）108年第4季於各類媒體辦理政策宣導相關廣告之執行情形資料，請查照案。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12</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.5.8</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國立故宮博物院函送108年10月至12月政策宣導廣告預算執行情形，請查照案。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12</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.5.8</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文化部函送該部108年度第4季政策宣導相關廣告執行情形月報表，請查照案。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12</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.5.8</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教育部函送該部主管108年度第4季政策宣導相關廣告執行總表及明細表，請查照案。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12</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.5.8</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教育部函送該部主管108年度第4季補捐助經費執行情形總表及明細表，請查照案。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12</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.5.8</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4133F">
            <w:pPr>
              <w:spacing w:line="400" w:lineRule="exact"/>
              <w:ind w:leftChars="-12" w:left="-29"/>
              <w:jc w:val="both"/>
              <w:rPr>
                <w:rFonts w:ascii="標楷體" w:eastAsia="標楷體" w:hAnsi="標楷體"/>
                <w:color w:val="000000"/>
                <w:sz w:val="28"/>
                <w:szCs w:val="28"/>
              </w:rPr>
            </w:pPr>
            <w:r w:rsidRPr="00A4133F">
              <w:rPr>
                <w:rFonts w:ascii="標楷體" w:eastAsia="標楷體" w:hAnsi="標楷體" w:hint="eastAsia"/>
                <w:color w:val="000000"/>
                <w:sz w:val="28"/>
              </w:rPr>
              <w:t>教育部</w:t>
            </w:r>
            <w:r w:rsidRPr="001F3F42">
              <w:rPr>
                <w:rFonts w:ascii="標楷體" w:eastAsia="標楷體" w:hAnsi="標楷體" w:hint="eastAsia"/>
                <w:color w:val="000000"/>
                <w:sz w:val="28"/>
                <w:szCs w:val="28"/>
              </w:rPr>
              <w:t>函，為108年度中央政府總預算附屬單位預算決議，檢送「大專校院轉型及退場基金」書面報告，請查照案。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12</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.5.8</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文化部函送該部「前瞻基礎建</w:t>
            </w:r>
            <w:r w:rsidRPr="001F3F42">
              <w:rPr>
                <w:rFonts w:ascii="標楷體" w:eastAsia="標楷體" w:hAnsi="標楷體" w:hint="eastAsia"/>
                <w:color w:val="000000"/>
                <w:sz w:val="28"/>
                <w:szCs w:val="28"/>
              </w:rPr>
              <w:lastRenderedPageBreak/>
              <w:t>設計畫（數位建設類）」108年度執行情形及績效報告，請查照案。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lastRenderedPageBreak/>
              <w:t>10-1-</w:t>
            </w:r>
            <w:r w:rsidRPr="001F3F42">
              <w:rPr>
                <w:rFonts w:ascii="標楷體" w:eastAsia="標楷體" w:hAnsi="標楷體" w:hint="eastAsia"/>
                <w:color w:val="000000"/>
                <w:sz w:val="28"/>
                <w:szCs w:val="28"/>
              </w:rPr>
              <w:t>13</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lastRenderedPageBreak/>
              <w:t>(109</w:t>
            </w:r>
            <w:r w:rsidRPr="001F3F42">
              <w:rPr>
                <w:rFonts w:ascii="標楷體" w:eastAsia="標楷體" w:hAnsi="標楷體" w:hint="eastAsia"/>
                <w:color w:val="000000"/>
                <w:sz w:val="28"/>
                <w:szCs w:val="28"/>
              </w:rPr>
              <w:t>.5.15</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w:t>
            </w:r>
            <w:r w:rsidRPr="001F3F42">
              <w:rPr>
                <w:rFonts w:ascii="標楷體" w:eastAsia="標楷體" w:hAnsi="標楷體" w:hint="eastAsia"/>
                <w:color w:val="000000"/>
                <w:szCs w:val="24"/>
              </w:rPr>
              <w:lastRenderedPageBreak/>
              <w:t>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國立故宮博物院函送「新故宮－故宮</w:t>
            </w:r>
            <w:r w:rsidRPr="001F3F42">
              <w:rPr>
                <w:rFonts w:ascii="標楷體" w:eastAsia="標楷體" w:hAnsi="標楷體" w:hint="eastAsia"/>
                <w:color w:val="000000"/>
                <w:sz w:val="28"/>
              </w:rPr>
              <w:t>公共</w:t>
            </w:r>
            <w:r w:rsidRPr="001F3F42">
              <w:rPr>
                <w:rFonts w:ascii="標楷體" w:eastAsia="標楷體" w:hAnsi="標楷體" w:hint="eastAsia"/>
                <w:color w:val="000000"/>
                <w:sz w:val="28"/>
                <w:szCs w:val="28"/>
              </w:rPr>
              <w:t>化帶動觀光產業發展中程計畫」108年第4季辦理進度書面報告，請查照案。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13</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.5.15</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w:t>
            </w:r>
            <w:r w:rsidRPr="001F3F42">
              <w:rPr>
                <w:rFonts w:ascii="標楷體" w:eastAsia="標楷體" w:hAnsi="標楷體" w:hint="eastAsia"/>
                <w:color w:val="000000"/>
                <w:sz w:val="28"/>
              </w:rPr>
              <w:t>決議</w:t>
            </w:r>
            <w:r w:rsidRPr="001F3F42">
              <w:rPr>
                <w:rFonts w:ascii="標楷體" w:eastAsia="標楷體" w:hAnsi="標楷體" w:hint="eastAsia"/>
                <w:color w:val="000000"/>
                <w:sz w:val="28"/>
                <w:szCs w:val="28"/>
              </w:rPr>
              <w:t>，檢送「大專校院菸害防制及校園藥物濫用防制工作執行情形」報告，請查照案。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教育部函送「國家運動訓練中心自籌收入辦理情形」報告，請查照案。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文化部函送文化內容策進院108年度、109年度預算決議第2項書面報告，請查照案。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科技部函送產業創新旗艦計畫109年度第1季執行情形書面報告，請查照案。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文化部函送該部及所屬機關（構）108年度第4季補（捐）助經費明細表，請查照案。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文化部函送109年1－2月該部</w:t>
            </w:r>
            <w:r w:rsidRPr="001F3F42">
              <w:rPr>
                <w:rFonts w:ascii="標楷體" w:eastAsia="標楷體" w:hAnsi="標楷體" w:hint="eastAsia"/>
                <w:color w:val="000000"/>
                <w:sz w:val="28"/>
                <w:szCs w:val="28"/>
              </w:rPr>
              <w:lastRenderedPageBreak/>
              <w:t>接受外界捐贈款明細表，請查照案。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lastRenderedPageBreak/>
              <w:t>10-1-</w:t>
            </w:r>
            <w:r w:rsidRPr="001F3F42">
              <w:rPr>
                <w:rFonts w:ascii="標楷體" w:eastAsia="標楷體" w:hAnsi="標楷體" w:hint="eastAsia"/>
                <w:color w:val="000000"/>
                <w:sz w:val="28"/>
                <w:szCs w:val="28"/>
              </w:rPr>
              <w:t>14</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lastRenderedPageBreak/>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w:t>
            </w:r>
            <w:r w:rsidRPr="001F3F42">
              <w:rPr>
                <w:rFonts w:ascii="標楷體" w:eastAsia="標楷體" w:hAnsi="標楷體" w:hint="eastAsia"/>
                <w:color w:val="000000"/>
                <w:szCs w:val="24"/>
              </w:rPr>
              <w:lastRenderedPageBreak/>
              <w:t>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文化部函送該部109年度第1季政策宣導相關廣告執行情形月報表，請查照案。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文化部函送該部及所屬機關（構）109年度第1季補（捐）助經費明細表，請查照案。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文化部函送109年1－3月該部接受外界捐贈款明細表，請查照案。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行政院</w:t>
            </w:r>
            <w:r w:rsidRPr="001F3F42">
              <w:rPr>
                <w:rFonts w:ascii="標楷體" w:eastAsia="標楷體" w:hAnsi="標楷體" w:hint="eastAsia"/>
                <w:color w:val="000000"/>
                <w:sz w:val="28"/>
              </w:rPr>
              <w:t>原子能</w:t>
            </w:r>
            <w:r w:rsidRPr="001F3F42">
              <w:rPr>
                <w:rFonts w:ascii="標楷體" w:eastAsia="標楷體" w:hAnsi="標楷體" w:hint="eastAsia"/>
                <w:color w:val="000000"/>
                <w:sz w:val="28"/>
                <w:szCs w:val="28"/>
              </w:rPr>
              <w:t>委員會函，為該會109年第1季並無辦理政策宣導相關之廣告，請查照案。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國立</w:t>
            </w:r>
            <w:r w:rsidRPr="001F3F42">
              <w:rPr>
                <w:rFonts w:ascii="標楷體" w:eastAsia="標楷體" w:hAnsi="標楷體" w:hint="eastAsia"/>
                <w:color w:val="000000"/>
                <w:sz w:val="28"/>
              </w:rPr>
              <w:t>故宮博物院</w:t>
            </w:r>
            <w:r w:rsidRPr="001F3F42">
              <w:rPr>
                <w:rFonts w:ascii="標楷體" w:eastAsia="標楷體" w:hAnsi="標楷體" w:hint="eastAsia"/>
                <w:color w:val="000000"/>
                <w:sz w:val="28"/>
                <w:szCs w:val="28"/>
              </w:rPr>
              <w:t>函送109年第1季補（捐）助明細表，請查照案。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國立</w:t>
            </w:r>
            <w:r w:rsidRPr="001F3F42">
              <w:rPr>
                <w:rFonts w:ascii="標楷體" w:eastAsia="標楷體" w:hAnsi="標楷體" w:hint="eastAsia"/>
                <w:color w:val="000000"/>
                <w:sz w:val="28"/>
              </w:rPr>
              <w:t>故宮博物院</w:t>
            </w:r>
            <w:r w:rsidRPr="001F3F42">
              <w:rPr>
                <w:rFonts w:ascii="標楷體" w:eastAsia="標楷體" w:hAnsi="標楷體" w:hint="eastAsia"/>
                <w:color w:val="000000"/>
                <w:sz w:val="28"/>
                <w:szCs w:val="28"/>
              </w:rPr>
              <w:t>函送109年第1季政策宣導廣告預算執行情形資料，請查照案。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國立故宮博物院函送故宮文物</w:t>
            </w:r>
            <w:r w:rsidRPr="001F3F42">
              <w:rPr>
                <w:rFonts w:ascii="標楷體" w:eastAsia="標楷體" w:hAnsi="標楷體" w:hint="eastAsia"/>
                <w:color w:val="000000"/>
                <w:sz w:val="28"/>
                <w:szCs w:val="28"/>
              </w:rPr>
              <w:lastRenderedPageBreak/>
              <w:t>藝術發展</w:t>
            </w:r>
            <w:r w:rsidRPr="001F3F42">
              <w:rPr>
                <w:rFonts w:ascii="標楷體" w:eastAsia="標楷體" w:hAnsi="標楷體" w:hint="eastAsia"/>
                <w:color w:val="000000"/>
                <w:sz w:val="28"/>
              </w:rPr>
              <w:t>基金</w:t>
            </w:r>
            <w:r w:rsidRPr="001F3F42">
              <w:rPr>
                <w:rFonts w:ascii="標楷體" w:eastAsia="標楷體" w:hAnsi="標楷體" w:hint="eastAsia"/>
                <w:color w:val="000000"/>
                <w:sz w:val="28"/>
                <w:szCs w:val="28"/>
              </w:rPr>
              <w:t>108年度接受外界捐贈支用明細表，請查照案。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lastRenderedPageBreak/>
              <w:t>10-1-</w:t>
            </w:r>
            <w:r w:rsidRPr="001F3F42">
              <w:rPr>
                <w:rFonts w:ascii="標楷體" w:eastAsia="標楷體" w:hAnsi="標楷體" w:hint="eastAsia"/>
                <w:color w:val="000000"/>
                <w:sz w:val="28"/>
                <w:szCs w:val="28"/>
              </w:rPr>
              <w:t>14</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lastRenderedPageBreak/>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w:t>
            </w:r>
            <w:r w:rsidRPr="001F3F42">
              <w:rPr>
                <w:rFonts w:ascii="標楷體" w:eastAsia="標楷體" w:hAnsi="標楷體" w:hint="eastAsia"/>
                <w:color w:val="000000"/>
                <w:szCs w:val="24"/>
              </w:rPr>
              <w:lastRenderedPageBreak/>
              <w:t>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教育部函送該部主管109年度第1季政策宣導相關廣告執行總表及明細表，請查照案。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教育部函送該部主管109年度第1季補捐助經費執行情形總表及明細表，請查照案。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C90690">
            <w:pPr>
              <w:kinsoku w:val="0"/>
              <w:overflowPunct w:val="0"/>
              <w:autoSpaceDE w:val="0"/>
              <w:autoSpaceDN w:val="0"/>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科技部函送該部（含所屬單位）109年第1季於各類媒體辦理政策宣導相關廣告之執行情形資料，請查照案。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科技部函送該部暨所屬機關109年第1季補（捐）助民間團體及個人經費資料一覽表，請查照案。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教育部函，為109年度中央政府總預算決議，檢送國中小實施適齡之性別平等教育檢討及改善報告，請查照案。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教育部函，為109年度中央政府總預算決議，檢送「私立大專校院預警學校機制及相關資訊公開規劃」書面報告，請查照案。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w:t>
            </w:r>
            <w:r w:rsidRPr="001F3F42">
              <w:rPr>
                <w:rFonts w:ascii="標楷體" w:eastAsia="標楷體" w:hAnsi="標楷體" w:hint="eastAsia"/>
                <w:color w:val="000000"/>
                <w:sz w:val="28"/>
                <w:szCs w:val="28"/>
              </w:rPr>
              <w:lastRenderedPageBreak/>
              <w:t>總預算決議，檢送「私立大專校院轉型退場資訊公開規劃」書面報告，請查照案。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lastRenderedPageBreak/>
              <w:t>10-1-</w:t>
            </w:r>
            <w:r w:rsidRPr="001F3F42">
              <w:rPr>
                <w:rFonts w:ascii="標楷體" w:eastAsia="標楷體" w:hAnsi="標楷體" w:hint="eastAsia"/>
                <w:color w:val="000000"/>
                <w:sz w:val="28"/>
                <w:szCs w:val="28"/>
              </w:rPr>
              <w:t>14</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lastRenderedPageBreak/>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w:t>
            </w:r>
            <w:r w:rsidRPr="001F3F42">
              <w:rPr>
                <w:rFonts w:ascii="標楷體" w:eastAsia="標楷體" w:hAnsi="標楷體" w:hint="eastAsia"/>
                <w:color w:val="000000"/>
                <w:szCs w:val="24"/>
              </w:rPr>
              <w:lastRenderedPageBreak/>
              <w:t>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教育部函，為109年度中央政府總預算決議，檢送私立大專校院轉型退場資訊公開規劃書面報告，請查照案。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教育部函，為109年度中央政府總預算決議，檢送因應港生陸生校園衝突事件書面報告，請查照案。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教育部函，為109年度中央政府總預算決議，檢送「十二年國教課綱課程發展研究及教科書審查機制相關規範」書面報告，請查照案。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教育部函，為109年度中央政府總預算決議，檢送「國家教育研究院</w:t>
            </w:r>
            <w:r w:rsidRPr="001F3F42">
              <w:rPr>
                <w:rFonts w:ascii="標楷體" w:eastAsia="標楷體" w:hAnsi="標楷體" w:hint="eastAsia"/>
                <w:color w:val="000000"/>
                <w:sz w:val="28"/>
              </w:rPr>
              <w:t>臨時</w:t>
            </w:r>
            <w:r w:rsidRPr="001F3F42">
              <w:rPr>
                <w:rFonts w:ascii="標楷體" w:eastAsia="標楷體" w:hAnsi="標楷體" w:hint="eastAsia"/>
                <w:color w:val="000000"/>
                <w:sz w:val="28"/>
                <w:szCs w:val="28"/>
              </w:rPr>
              <w:t>人員預算編列及十二年國教課綱相關研究」書面報告，請查照案。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教育部函，為109年度中央政府總預算決議，檢送「國家教育研究院</w:t>
            </w:r>
            <w:r w:rsidRPr="001F3F42">
              <w:rPr>
                <w:rFonts w:ascii="標楷體" w:eastAsia="標楷體" w:hAnsi="標楷體" w:hint="eastAsia"/>
                <w:color w:val="000000"/>
                <w:sz w:val="28"/>
              </w:rPr>
              <w:t>研究人員</w:t>
            </w:r>
            <w:r w:rsidRPr="001F3F42">
              <w:rPr>
                <w:rFonts w:ascii="標楷體" w:eastAsia="標楷體" w:hAnsi="標楷體" w:hint="eastAsia"/>
                <w:color w:val="000000"/>
                <w:sz w:val="28"/>
                <w:szCs w:val="28"/>
              </w:rPr>
              <w:t>兼職及臨時人員預算編列情形」書面報告，請查照案。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教育部函，為109年度中央政府總預算決議，檢送「新南向產學合作國際專班推動情形」書面報告，請查照案。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w:t>
            </w:r>
            <w:r w:rsidRPr="001F3F42">
              <w:rPr>
                <w:rFonts w:ascii="標楷體" w:eastAsia="標楷體" w:hAnsi="標楷體" w:hint="eastAsia"/>
                <w:color w:val="000000"/>
                <w:sz w:val="28"/>
                <w:szCs w:val="28"/>
              </w:rPr>
              <w:lastRenderedPageBreak/>
              <w:t>總預算決議，檢送新南向產學合作國際專班推動情形報告，請查照案。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lastRenderedPageBreak/>
              <w:t>10-1-</w:t>
            </w:r>
            <w:r w:rsidRPr="001F3F42">
              <w:rPr>
                <w:rFonts w:ascii="標楷體" w:eastAsia="標楷體" w:hAnsi="標楷體" w:hint="eastAsia"/>
                <w:color w:val="000000"/>
                <w:sz w:val="28"/>
                <w:szCs w:val="28"/>
              </w:rPr>
              <w:t>14</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lastRenderedPageBreak/>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w:t>
            </w:r>
            <w:r w:rsidRPr="001F3F42">
              <w:rPr>
                <w:rFonts w:ascii="標楷體" w:eastAsia="標楷體" w:hAnsi="標楷體" w:hint="eastAsia"/>
                <w:color w:val="000000"/>
                <w:szCs w:val="24"/>
              </w:rPr>
              <w:lastRenderedPageBreak/>
              <w:t>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教育部函，為109年度中央政府總預算決議，檢送「</w:t>
            </w:r>
            <w:r w:rsidRPr="001F3F42">
              <w:rPr>
                <w:rFonts w:ascii="標楷體" w:eastAsia="標楷體" w:hAnsi="標楷體" w:hint="eastAsia"/>
                <w:color w:val="000000"/>
                <w:sz w:val="28"/>
              </w:rPr>
              <w:t>高中歷史教科書審查</w:t>
            </w:r>
            <w:r w:rsidRPr="001F3F42">
              <w:rPr>
                <w:rFonts w:ascii="標楷體" w:eastAsia="標楷體" w:hAnsi="標楷體" w:hint="eastAsia"/>
                <w:color w:val="000000"/>
                <w:sz w:val="28"/>
                <w:szCs w:val="28"/>
              </w:rPr>
              <w:t>」書面報告，請查照案。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教育部函，為109年度中央政府總預算決議，檢送「十二年國教課綱與</w:t>
            </w:r>
            <w:r w:rsidRPr="001F3F42">
              <w:rPr>
                <w:rFonts w:ascii="標楷體" w:eastAsia="標楷體" w:hAnsi="標楷體" w:hint="eastAsia"/>
                <w:color w:val="000000"/>
                <w:sz w:val="28"/>
              </w:rPr>
              <w:t>高中</w:t>
            </w:r>
            <w:r w:rsidRPr="001F3F42">
              <w:rPr>
                <w:rFonts w:ascii="標楷體" w:eastAsia="標楷體" w:hAnsi="標楷體" w:hint="eastAsia"/>
                <w:color w:val="000000"/>
                <w:sz w:val="28"/>
                <w:szCs w:val="28"/>
              </w:rPr>
              <w:t>歷史教科書」書面報告，請查照案。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行政院原子能委員會函，為109年度中央政府總預算決議，檢送歲出第17款第1項決議（四）書面報告，請查照案。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國立故宮博物院函，為109年度中央政府總預算決議，檢送決議（十四）新故宮計畫執行率改善書面報告，請查照案。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教育部函，為109年度中央政府總預算決議，檢送輔導私立大專校院改善及停辦機制書面報告，請查照案。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15</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.5.29</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教育部函，為109年度中央政府總預算決議，檢送「大學選才連結高中學習歷程有助於弱勢學生升學及多元入學各管道名額檢討報告」，請查照案。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15</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.5.29</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w:t>
            </w:r>
            <w:r w:rsidRPr="001F3F42">
              <w:rPr>
                <w:rFonts w:ascii="標楷體" w:eastAsia="標楷體" w:hAnsi="標楷體" w:hint="eastAsia"/>
                <w:color w:val="000000"/>
                <w:sz w:val="28"/>
                <w:szCs w:val="28"/>
              </w:rPr>
              <w:lastRenderedPageBreak/>
              <w:t>總預算決議，檢送「大學選才連結高中學習歷程縮短城鄉差距與強化關懷弱勢規劃報告」，請查照案。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lastRenderedPageBreak/>
              <w:t>10-1-</w:t>
            </w:r>
            <w:r w:rsidRPr="001F3F42">
              <w:rPr>
                <w:rFonts w:ascii="標楷體" w:eastAsia="標楷體" w:hAnsi="標楷體" w:hint="eastAsia"/>
                <w:color w:val="000000"/>
                <w:sz w:val="28"/>
                <w:szCs w:val="28"/>
              </w:rPr>
              <w:t>15</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lastRenderedPageBreak/>
              <w:t>(109</w:t>
            </w:r>
            <w:r w:rsidRPr="001F3F42">
              <w:rPr>
                <w:rFonts w:ascii="標楷體" w:eastAsia="標楷體" w:hAnsi="標楷體" w:hint="eastAsia"/>
                <w:color w:val="000000"/>
                <w:sz w:val="28"/>
                <w:szCs w:val="28"/>
              </w:rPr>
              <w:t>.5.29</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w:t>
            </w:r>
            <w:r w:rsidRPr="001F3F42">
              <w:rPr>
                <w:rFonts w:ascii="標楷體" w:eastAsia="標楷體" w:hAnsi="標楷體" w:hint="eastAsia"/>
                <w:color w:val="000000"/>
                <w:szCs w:val="24"/>
              </w:rPr>
              <w:lastRenderedPageBreak/>
              <w:t>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教育部函，為109年度中央政府總預算決議，檢送「新南向人才培育計畫</w:t>
            </w:r>
            <w:r w:rsidRPr="001F3F42">
              <w:rPr>
                <w:rFonts w:ascii="標楷體" w:eastAsia="標楷體" w:hAnsi="標楷體" w:hint="eastAsia"/>
                <w:color w:val="000000"/>
                <w:sz w:val="28"/>
              </w:rPr>
              <w:t>推動</w:t>
            </w:r>
            <w:r w:rsidRPr="001F3F42">
              <w:rPr>
                <w:rFonts w:ascii="標楷體" w:eastAsia="標楷體" w:hAnsi="標楷體" w:hint="eastAsia"/>
                <w:color w:val="000000"/>
                <w:sz w:val="28"/>
                <w:szCs w:val="28"/>
              </w:rPr>
              <w:t>情形」書面報告，請查照案。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15</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.5.29</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教育部函，為109年度中央政府總預算決議，檢送「臺北聯合大學系統組織及運作說明」書面報告，請查照案。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15</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.5.29</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教育部函，為109年度中央政府總預算決議，檢送「臺灣綜合大學系統組織及運作說明」書面報告，請查照案。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15</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.5.29</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教育部函，為109年度中央政府總預算決議，檢送精進新南向產學合作專班及維護境外學生權益相關措施書面報告，請查照案。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15</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.5.29</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文化部函送109年1－4月該部接受外界捐贈款明細表，請查照案。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w:t>
            </w:r>
            <w:r w:rsidRPr="001F3F42">
              <w:rPr>
                <w:rFonts w:ascii="標楷體" w:eastAsia="標楷體" w:hAnsi="標楷體" w:hint="eastAsia"/>
                <w:color w:val="000000"/>
                <w:sz w:val="28"/>
                <w:szCs w:val="28"/>
              </w:rPr>
              <w:t>2</w:t>
            </w:r>
            <w:r w:rsidRPr="001F3F42">
              <w:rPr>
                <w:rFonts w:ascii="標楷體" w:eastAsia="標楷體" w:hAnsi="標楷體"/>
                <w:color w:val="000000"/>
                <w:sz w:val="28"/>
                <w:szCs w:val="28"/>
              </w:rPr>
              <w:t>-</w:t>
            </w:r>
            <w:r w:rsidRPr="001F3F42">
              <w:rPr>
                <w:rFonts w:ascii="標楷體" w:eastAsia="標楷體" w:hAnsi="標楷體" w:hint="eastAsia"/>
                <w:color w:val="000000"/>
                <w:sz w:val="28"/>
                <w:szCs w:val="28"/>
              </w:rPr>
              <w:t>6</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.12.4</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文化部函送</w:t>
            </w:r>
            <w:r w:rsidRPr="001F3F42">
              <w:rPr>
                <w:rFonts w:ascii="標楷體" w:eastAsia="標楷體" w:hAnsi="標楷體" w:hint="eastAsia"/>
                <w:color w:val="000000"/>
                <w:sz w:val="28"/>
              </w:rPr>
              <w:t>109</w:t>
            </w:r>
            <w:r w:rsidRPr="001F3F42">
              <w:rPr>
                <w:rFonts w:ascii="標楷體" w:eastAsia="標楷體" w:hAnsi="標楷體" w:hint="eastAsia"/>
                <w:color w:val="000000"/>
                <w:sz w:val="28"/>
                <w:szCs w:val="28"/>
              </w:rPr>
              <w:t>年1－5月接受外界捐贈款明細表，請查照案。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w:t>
            </w:r>
            <w:r w:rsidRPr="001F3F42">
              <w:rPr>
                <w:rFonts w:ascii="標楷體" w:eastAsia="標楷體" w:hAnsi="標楷體" w:hint="eastAsia"/>
                <w:color w:val="000000"/>
                <w:sz w:val="28"/>
                <w:szCs w:val="28"/>
              </w:rPr>
              <w:t>2</w:t>
            </w:r>
            <w:r w:rsidRPr="001F3F42">
              <w:rPr>
                <w:rFonts w:ascii="標楷體" w:eastAsia="標楷體" w:hAnsi="標楷體"/>
                <w:color w:val="000000"/>
                <w:sz w:val="28"/>
                <w:szCs w:val="28"/>
              </w:rPr>
              <w:t>-</w:t>
            </w:r>
            <w:r w:rsidRPr="001F3F42">
              <w:rPr>
                <w:rFonts w:ascii="標楷體" w:eastAsia="標楷體" w:hAnsi="標楷體" w:hint="eastAsia"/>
                <w:color w:val="000000"/>
                <w:sz w:val="28"/>
                <w:szCs w:val="28"/>
              </w:rPr>
              <w:t>6</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.12.4</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國立故宮博物院函送109年第2季政策宣導</w:t>
            </w:r>
            <w:r w:rsidRPr="001F3F42">
              <w:rPr>
                <w:rFonts w:ascii="標楷體" w:eastAsia="標楷體" w:hAnsi="標楷體" w:hint="eastAsia"/>
                <w:color w:val="000000"/>
                <w:sz w:val="28"/>
              </w:rPr>
              <w:t>廣告</w:t>
            </w:r>
            <w:r w:rsidRPr="001F3F42">
              <w:rPr>
                <w:rFonts w:ascii="標楷體" w:eastAsia="標楷體" w:hAnsi="標楷體" w:hint="eastAsia"/>
                <w:color w:val="000000"/>
                <w:sz w:val="28"/>
                <w:szCs w:val="28"/>
              </w:rPr>
              <w:t>預算執行情形資料，請查照案。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w:t>
            </w:r>
            <w:r w:rsidRPr="001F3F42">
              <w:rPr>
                <w:rFonts w:ascii="標楷體" w:eastAsia="標楷體" w:hAnsi="標楷體" w:hint="eastAsia"/>
                <w:color w:val="000000"/>
                <w:sz w:val="28"/>
                <w:szCs w:val="28"/>
              </w:rPr>
              <w:t>2</w:t>
            </w:r>
            <w:r w:rsidRPr="001F3F42">
              <w:rPr>
                <w:rFonts w:ascii="標楷體" w:eastAsia="標楷體" w:hAnsi="標楷體"/>
                <w:color w:val="000000"/>
                <w:sz w:val="28"/>
                <w:szCs w:val="28"/>
              </w:rPr>
              <w:t>-</w:t>
            </w:r>
            <w:r w:rsidRPr="001F3F42">
              <w:rPr>
                <w:rFonts w:ascii="標楷體" w:eastAsia="標楷體" w:hAnsi="標楷體" w:hint="eastAsia"/>
                <w:color w:val="000000"/>
                <w:sz w:val="28"/>
                <w:szCs w:val="28"/>
              </w:rPr>
              <w:t>8</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.12.18</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教育部函送該部主管109年度第2季補捐助經費執行情形總表及明細表，請查照案。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w:t>
            </w:r>
            <w:r w:rsidRPr="001F3F42">
              <w:rPr>
                <w:rFonts w:ascii="標楷體" w:eastAsia="標楷體" w:hAnsi="標楷體" w:hint="eastAsia"/>
                <w:color w:val="000000"/>
                <w:sz w:val="28"/>
                <w:szCs w:val="28"/>
              </w:rPr>
              <w:t>2</w:t>
            </w:r>
            <w:r w:rsidRPr="001F3F42">
              <w:rPr>
                <w:rFonts w:ascii="標楷體" w:eastAsia="標楷體" w:hAnsi="標楷體"/>
                <w:color w:val="000000"/>
                <w:sz w:val="28"/>
                <w:szCs w:val="28"/>
              </w:rPr>
              <w:t>-</w:t>
            </w:r>
            <w:r w:rsidRPr="001F3F42">
              <w:rPr>
                <w:rFonts w:ascii="標楷體" w:eastAsia="標楷體" w:hAnsi="標楷體" w:hint="eastAsia"/>
                <w:color w:val="000000"/>
                <w:sz w:val="28"/>
                <w:szCs w:val="28"/>
              </w:rPr>
              <w:t>8</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.12.18</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教育部函，為109年度中央政府總預算決議，檢送「108年度奧亞運特定體育團體訪評結果及輔導改善方案」報告，請查照案。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w:t>
            </w:r>
            <w:r w:rsidRPr="001F3F42">
              <w:rPr>
                <w:rFonts w:ascii="標楷體" w:eastAsia="標楷體" w:hAnsi="標楷體" w:hint="eastAsia"/>
                <w:color w:val="000000"/>
                <w:sz w:val="28"/>
                <w:szCs w:val="28"/>
              </w:rPr>
              <w:t>2</w:t>
            </w:r>
            <w:r w:rsidRPr="001F3F42">
              <w:rPr>
                <w:rFonts w:ascii="標楷體" w:eastAsia="標楷體" w:hAnsi="標楷體"/>
                <w:color w:val="000000"/>
                <w:sz w:val="28"/>
                <w:szCs w:val="28"/>
              </w:rPr>
              <w:t>-</w:t>
            </w:r>
            <w:r w:rsidRPr="001F3F42">
              <w:rPr>
                <w:rFonts w:ascii="標楷體" w:eastAsia="標楷體" w:hAnsi="標楷體" w:hint="eastAsia"/>
                <w:color w:val="000000"/>
                <w:sz w:val="28"/>
                <w:szCs w:val="28"/>
              </w:rPr>
              <w:t>8</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.12.18</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rPr>
              <w:t>教育部函，為109年度中央政府總預算附屬單位預算決議，檢送「108年度訪評計畫－會計財務項目未完全通過及連續2年未完全通過協會之改善計畫」書面報告，請查照案。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w:t>
            </w:r>
            <w:r w:rsidRPr="001F3F42">
              <w:rPr>
                <w:rFonts w:ascii="標楷體" w:eastAsia="標楷體" w:hAnsi="標楷體" w:hint="eastAsia"/>
                <w:color w:val="000000"/>
                <w:sz w:val="28"/>
                <w:szCs w:val="28"/>
              </w:rPr>
              <w:t>2</w:t>
            </w:r>
            <w:r w:rsidRPr="001F3F42">
              <w:rPr>
                <w:rFonts w:ascii="標楷體" w:eastAsia="標楷體" w:hAnsi="標楷體"/>
                <w:color w:val="000000"/>
                <w:sz w:val="28"/>
                <w:szCs w:val="28"/>
              </w:rPr>
              <w:t>-</w:t>
            </w:r>
            <w:r w:rsidRPr="001F3F42">
              <w:rPr>
                <w:rFonts w:ascii="標楷體" w:eastAsia="標楷體" w:hAnsi="標楷體" w:hint="eastAsia"/>
                <w:color w:val="000000"/>
                <w:sz w:val="28"/>
                <w:szCs w:val="28"/>
              </w:rPr>
              <w:t>9</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.12.24</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教育部函，為109年度預算「學生事務與特殊教育行政及督導」科目經常門業務費等經費不足，動支第一預備金新臺幣8,895萬元，請查照案。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w:t>
            </w:r>
            <w:r w:rsidRPr="001F3F42">
              <w:rPr>
                <w:rFonts w:ascii="標楷體" w:eastAsia="標楷體" w:hAnsi="標楷體" w:hint="eastAsia"/>
                <w:color w:val="000000"/>
                <w:sz w:val="28"/>
                <w:szCs w:val="28"/>
              </w:rPr>
              <w:t>2</w:t>
            </w:r>
            <w:r w:rsidRPr="001F3F42">
              <w:rPr>
                <w:rFonts w:ascii="標楷體" w:eastAsia="標楷體" w:hAnsi="標楷體"/>
                <w:color w:val="000000"/>
                <w:sz w:val="28"/>
                <w:szCs w:val="28"/>
              </w:rPr>
              <w:t>-</w:t>
            </w:r>
            <w:r w:rsidRPr="001F3F42">
              <w:rPr>
                <w:rFonts w:ascii="標楷體" w:eastAsia="標楷體" w:hAnsi="標楷體" w:hint="eastAsia"/>
                <w:color w:val="000000"/>
                <w:sz w:val="28"/>
                <w:szCs w:val="28"/>
              </w:rPr>
              <w:t>10</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.12.25</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教育部函送該部主管109年度第2季政策宣導相關廣告執行情形總表及明細表，請查照案。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w:t>
            </w:r>
            <w:r w:rsidRPr="001F3F42">
              <w:rPr>
                <w:rFonts w:ascii="標楷體" w:eastAsia="標楷體" w:hAnsi="標楷體" w:hint="eastAsia"/>
                <w:color w:val="000000"/>
                <w:sz w:val="28"/>
                <w:szCs w:val="28"/>
              </w:rPr>
              <w:t>2</w:t>
            </w:r>
            <w:r w:rsidRPr="001F3F42">
              <w:rPr>
                <w:rFonts w:ascii="標楷體" w:eastAsia="標楷體" w:hAnsi="標楷體"/>
                <w:color w:val="000000"/>
                <w:sz w:val="28"/>
                <w:szCs w:val="28"/>
              </w:rPr>
              <w:t>-</w:t>
            </w:r>
            <w:r w:rsidRPr="001F3F42">
              <w:rPr>
                <w:rFonts w:ascii="標楷體" w:eastAsia="標楷體" w:hAnsi="標楷體" w:hint="eastAsia"/>
                <w:color w:val="000000"/>
                <w:sz w:val="28"/>
                <w:szCs w:val="28"/>
              </w:rPr>
              <w:t>10</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.12.25</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科技部函送該部暨所屬機關109年第2季補（捐）助民間團體及個人經費資料一覽表，請查照案。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w:t>
            </w:r>
            <w:r w:rsidRPr="001F3F42">
              <w:rPr>
                <w:rFonts w:ascii="標楷體" w:eastAsia="標楷體" w:hAnsi="標楷體" w:hint="eastAsia"/>
                <w:color w:val="000000"/>
                <w:sz w:val="28"/>
                <w:szCs w:val="28"/>
              </w:rPr>
              <w:t>2</w:t>
            </w:r>
            <w:r w:rsidRPr="001F3F42">
              <w:rPr>
                <w:rFonts w:ascii="標楷體" w:eastAsia="標楷體" w:hAnsi="標楷體"/>
                <w:color w:val="000000"/>
                <w:sz w:val="28"/>
                <w:szCs w:val="28"/>
              </w:rPr>
              <w:t>-</w:t>
            </w:r>
            <w:r w:rsidRPr="001F3F42">
              <w:rPr>
                <w:rFonts w:ascii="標楷體" w:eastAsia="標楷體" w:hAnsi="標楷體" w:hint="eastAsia"/>
                <w:color w:val="000000"/>
                <w:sz w:val="28"/>
                <w:szCs w:val="28"/>
              </w:rPr>
              <w:t>10</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.12.25</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w:t>
            </w:r>
            <w:r w:rsidRPr="001F3F42">
              <w:rPr>
                <w:rFonts w:ascii="標楷體" w:eastAsia="標楷體" w:hAnsi="標楷體" w:hint="eastAsia"/>
                <w:color w:val="000000"/>
                <w:szCs w:val="24"/>
              </w:rPr>
              <w:lastRenderedPageBreak/>
              <w:t>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科技部函送該部（含所屬單位）109年第2季於各類媒體辦理政策宣導相關廣告之執行情形資料，請查照案。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w:t>
            </w:r>
            <w:r w:rsidRPr="001F3F42">
              <w:rPr>
                <w:rFonts w:ascii="標楷體" w:eastAsia="標楷體" w:hAnsi="標楷體" w:hint="eastAsia"/>
                <w:color w:val="000000"/>
                <w:sz w:val="28"/>
                <w:szCs w:val="28"/>
              </w:rPr>
              <w:t>2</w:t>
            </w:r>
            <w:r w:rsidRPr="001F3F42">
              <w:rPr>
                <w:rFonts w:ascii="標楷體" w:eastAsia="標楷體" w:hAnsi="標楷體"/>
                <w:color w:val="000000"/>
                <w:sz w:val="28"/>
                <w:szCs w:val="28"/>
              </w:rPr>
              <w:t>-</w:t>
            </w:r>
            <w:r w:rsidRPr="001F3F42">
              <w:rPr>
                <w:rFonts w:ascii="標楷體" w:eastAsia="標楷體" w:hAnsi="標楷體" w:hint="eastAsia"/>
                <w:color w:val="000000"/>
                <w:sz w:val="28"/>
                <w:szCs w:val="28"/>
              </w:rPr>
              <w:t>10</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.12.25</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國立故宮博物院函送「新故宮─故宮公共化帶動觀光產業發展中程計畫」109年第2季辦理進度書面報告，請查照案。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w:t>
            </w:r>
            <w:r w:rsidRPr="001F3F42">
              <w:rPr>
                <w:rFonts w:ascii="標楷體" w:eastAsia="標楷體" w:hAnsi="標楷體" w:hint="eastAsia"/>
                <w:color w:val="000000"/>
                <w:sz w:val="28"/>
                <w:szCs w:val="28"/>
              </w:rPr>
              <w:t>2</w:t>
            </w:r>
            <w:r w:rsidRPr="001F3F42">
              <w:rPr>
                <w:rFonts w:ascii="標楷體" w:eastAsia="標楷體" w:hAnsi="標楷體"/>
                <w:color w:val="000000"/>
                <w:sz w:val="28"/>
                <w:szCs w:val="28"/>
              </w:rPr>
              <w:t>-</w:t>
            </w:r>
            <w:r w:rsidRPr="001F3F42">
              <w:rPr>
                <w:rFonts w:ascii="標楷體" w:eastAsia="標楷體" w:hAnsi="標楷體" w:hint="eastAsia"/>
                <w:color w:val="000000"/>
                <w:sz w:val="28"/>
                <w:szCs w:val="28"/>
              </w:rPr>
              <w:t>10</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.12.25</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文化部函送該部109年度第2季政策宣導相關廣告執行情形月報表，請查照案。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w:t>
            </w:r>
            <w:r w:rsidRPr="001F3F42">
              <w:rPr>
                <w:rFonts w:ascii="標楷體" w:eastAsia="標楷體" w:hAnsi="標楷體" w:hint="eastAsia"/>
                <w:color w:val="000000"/>
                <w:sz w:val="28"/>
                <w:szCs w:val="28"/>
              </w:rPr>
              <w:t>2</w:t>
            </w:r>
            <w:r w:rsidRPr="001F3F42">
              <w:rPr>
                <w:rFonts w:ascii="標楷體" w:eastAsia="標楷體" w:hAnsi="標楷體"/>
                <w:color w:val="000000"/>
                <w:sz w:val="28"/>
                <w:szCs w:val="28"/>
              </w:rPr>
              <w:t>-</w:t>
            </w:r>
            <w:r w:rsidRPr="001F3F42">
              <w:rPr>
                <w:rFonts w:ascii="標楷體" w:eastAsia="標楷體" w:hAnsi="標楷體" w:hint="eastAsia"/>
                <w:color w:val="000000"/>
                <w:sz w:val="28"/>
                <w:szCs w:val="28"/>
              </w:rPr>
              <w:t>10</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.12.25</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文化部函送109年1─6月該部接受外界捐贈款明細表，請查照案。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w:t>
            </w:r>
            <w:r w:rsidRPr="001F3F42">
              <w:rPr>
                <w:rFonts w:ascii="標楷體" w:eastAsia="標楷體" w:hAnsi="標楷體" w:hint="eastAsia"/>
                <w:color w:val="000000"/>
                <w:sz w:val="28"/>
                <w:szCs w:val="28"/>
              </w:rPr>
              <w:t>2</w:t>
            </w:r>
            <w:r w:rsidRPr="001F3F42">
              <w:rPr>
                <w:rFonts w:ascii="標楷體" w:eastAsia="標楷體" w:hAnsi="標楷體"/>
                <w:color w:val="000000"/>
                <w:sz w:val="28"/>
                <w:szCs w:val="28"/>
              </w:rPr>
              <w:t>-</w:t>
            </w:r>
            <w:r w:rsidRPr="001F3F42">
              <w:rPr>
                <w:rFonts w:ascii="標楷體" w:eastAsia="標楷體" w:hAnsi="標楷體" w:hint="eastAsia"/>
                <w:color w:val="000000"/>
                <w:sz w:val="28"/>
                <w:szCs w:val="28"/>
              </w:rPr>
              <w:t>10</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.12.25</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204" w:hangingChars="85" w:hanging="204"/>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文化部函送該部及所屬機關（構）109年度第2季補（捐）助經費明細表，請查照案。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10-2-1</w:t>
            </w:r>
            <w:r w:rsidRPr="001F3F42">
              <w:rPr>
                <w:rFonts w:ascii="標楷體" w:eastAsia="標楷體" w:hAnsi="標楷體" w:hint="eastAsia"/>
                <w:color w:val="000000"/>
                <w:sz w:val="28"/>
                <w:szCs w:val="28"/>
              </w:rPr>
              <w:t>1</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(109.12.</w:t>
            </w:r>
            <w:r w:rsidRPr="001F3F42">
              <w:rPr>
                <w:rFonts w:ascii="標楷體" w:eastAsia="標楷體" w:hAnsi="標楷體" w:hint="eastAsia"/>
                <w:color w:val="000000"/>
                <w:sz w:val="28"/>
                <w:szCs w:val="28"/>
              </w:rPr>
              <w:t>30</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文化部函送109年1－7月該部接受外界捐贈款明細表，請查照案。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10-2-1</w:t>
            </w:r>
            <w:r w:rsidRPr="001F3F42">
              <w:rPr>
                <w:rFonts w:ascii="標楷體" w:eastAsia="標楷體" w:hAnsi="標楷體" w:hint="eastAsia"/>
                <w:color w:val="000000"/>
                <w:sz w:val="28"/>
                <w:szCs w:val="28"/>
              </w:rPr>
              <w:t>1</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(109.12.</w:t>
            </w:r>
            <w:r w:rsidRPr="001F3F42">
              <w:rPr>
                <w:rFonts w:ascii="標楷體" w:eastAsia="標楷體" w:hAnsi="標楷體" w:hint="eastAsia"/>
                <w:color w:val="000000"/>
                <w:sz w:val="28"/>
                <w:szCs w:val="28"/>
              </w:rPr>
              <w:t>30</w:t>
            </w:r>
            <w:r w:rsidRPr="001F3F42">
              <w:rPr>
                <w:rFonts w:ascii="標楷體" w:eastAsia="標楷體" w:hAnsi="標楷體"/>
                <w:color w:val="000000"/>
                <w:sz w:val="28"/>
                <w:szCs w:val="28"/>
              </w:rPr>
              <w:t>)</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204" w:hangingChars="85" w:hanging="204"/>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文化部函送109年1－8月該部接受外界捐贈款明細表，請查照案。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10-2-11</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(109.12.30)</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w:t>
            </w:r>
            <w:r w:rsidRPr="001F3F42">
              <w:rPr>
                <w:rFonts w:ascii="標楷體" w:eastAsia="標楷體" w:hAnsi="標楷體" w:hint="eastAsia"/>
                <w:color w:val="000000"/>
                <w:szCs w:val="24"/>
              </w:rPr>
              <w:lastRenderedPageBreak/>
              <w:t>（11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文化部函送109年1－9月接受外界捐贈款明細表，請查照案。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10-2-11</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(109.12.30)</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204" w:hangingChars="85" w:hanging="204"/>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文化部函送109年1－10月接受外界捐贈款明細表，請查照案。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10-2-11</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(109.12.30)</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文化部函送109年度第3季政策宣導相關廣告執行情形月報表，請查照案。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10-2-11</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(109.12.30)</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204" w:hangingChars="85" w:hanging="204"/>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文化部函送109年度第3季補（捐）助經費明細表，請查照案。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10-2-11</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(109.12.30)</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國立故宮博物院函送109年第2季補（捐）助明細表，請查照案。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10-2-11</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(109.12.30)</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204" w:hangingChars="85" w:hanging="204"/>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國立故宮博物院函送109年第3季政策宣導廣告預算執行情形資料，請查照案。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10-2-11</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(109.12.30)</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國立故宮博物院函送109年第3季補（捐）助明細表，請查照案。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10-2-11</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(109.12.30)</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204" w:hangingChars="85" w:hanging="204"/>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w:t>
            </w:r>
            <w:r w:rsidRPr="001F3F42">
              <w:rPr>
                <w:rFonts w:ascii="標楷體" w:eastAsia="標楷體" w:hAnsi="標楷體" w:hint="eastAsia"/>
                <w:color w:val="000000"/>
                <w:szCs w:val="24"/>
              </w:rPr>
              <w:lastRenderedPageBreak/>
              <w:t>（11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國立故宮博物院函送109年第3季「新故宮－故宮公共化帶動觀光產業發展中程計畫」辦理進度書面報告，請查照案。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10-2-11</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(109.12.30)</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教育部函送該部主管109年度第3季政策宣導相關廣告執行情形總表及明細表，請查照案。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10-2-11</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(109.12.30)</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204" w:hangingChars="85" w:hanging="204"/>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科技部函送產業創新旗艦計畫109年度第3季執行情形書面報告，請查照案。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10-2-11</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(109.12.30)</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教育部函送該部主管109年度第3季補捐助經費執行情形總表及明細表，請查照案。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10-2-11</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(109.12.30)</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204" w:hangingChars="85" w:hanging="204"/>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科技部函送「科學園區管理局作業基金各項財務改善措施之執行成效」109年第3季書面報告，請查照案。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10-2-11</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(109.12.30)</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科技部函送109年第3季於各類媒體辦理政策宣導相關廣告之執行情形資料，請查照案。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10-2-11</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(109.12.30)</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204" w:hangingChars="85" w:hanging="204"/>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301886" w:rsidP="00AE1389">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科技部函送109年第3季補（捐）助民間團體及個人經費資料一覽表，請查照案。</w:t>
            </w:r>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10-2-11</w:t>
            </w:r>
          </w:p>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(109.12.30)</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w:t>
            </w:r>
            <w:r w:rsidRPr="001F3F42">
              <w:rPr>
                <w:rFonts w:ascii="標楷體" w:eastAsia="標楷體" w:hAnsi="標楷體" w:hint="eastAsia"/>
                <w:color w:val="000000"/>
                <w:szCs w:val="24"/>
              </w:rPr>
              <w:lastRenderedPageBreak/>
              <w:t>（11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641E57" w:rsidP="00AE1389">
            <w:pPr>
              <w:spacing w:line="400" w:lineRule="exact"/>
              <w:ind w:leftChars="-12" w:left="-29"/>
              <w:jc w:val="both"/>
              <w:rPr>
                <w:rFonts w:ascii="標楷體" w:eastAsia="標楷體" w:hAnsi="標楷體"/>
                <w:color w:val="000000"/>
                <w:sz w:val="28"/>
                <w:szCs w:val="28"/>
              </w:rPr>
            </w:pPr>
            <w:hyperlink r:id="rId19" w:tooltip="一百八十九、行政院原子能委員會函送109年第2－3季於媒體辦理政策宣導相關之廣告資料，請查照案。" w:history="1">
              <w:r w:rsidR="00301886" w:rsidRPr="001F3F42">
                <w:rPr>
                  <w:rFonts w:ascii="標楷體" w:eastAsia="標楷體" w:hAnsi="標楷體" w:hint="eastAsia"/>
                  <w:color w:val="000000"/>
                  <w:sz w:val="28"/>
                </w:rPr>
                <w:t>行政院原子能委員會函送109年第2－3季於媒體辦理政策宣導相關之廣告資料，請查照案。</w:t>
              </w:r>
            </w:hyperlink>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10-3-9 (110.4.23)</w:t>
            </w:r>
          </w:p>
          <w:p w:rsidR="00301886" w:rsidRPr="001F3F42" w:rsidRDefault="00301886" w:rsidP="00AE1389">
            <w:pPr>
              <w:spacing w:line="400" w:lineRule="exact"/>
              <w:ind w:leftChars="-12" w:left="-29"/>
              <w:jc w:val="center"/>
              <w:rPr>
                <w:rFonts w:ascii="標楷體" w:eastAsia="標楷體" w:hAnsi="標楷體"/>
                <w:color w:val="000000"/>
                <w:sz w:val="28"/>
                <w:szCs w:val="28"/>
              </w:rPr>
            </w:pP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204" w:hangingChars="85" w:hanging="204"/>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641E57" w:rsidP="00AE1389">
            <w:pPr>
              <w:spacing w:line="400" w:lineRule="exact"/>
              <w:ind w:leftChars="-12" w:left="-29"/>
              <w:jc w:val="both"/>
              <w:rPr>
                <w:rFonts w:ascii="標楷體" w:eastAsia="標楷體" w:hAnsi="標楷體"/>
                <w:color w:val="000000"/>
                <w:sz w:val="28"/>
                <w:szCs w:val="28"/>
              </w:rPr>
            </w:pPr>
            <w:hyperlink r:id="rId20" w:tooltip="一百九十、行政院原子能委員會函送109年第4季於媒體辦理政策宣導相關之廣告資料，請查照案。" w:history="1">
              <w:r w:rsidR="00301886" w:rsidRPr="001F3F42">
                <w:rPr>
                  <w:rFonts w:ascii="標楷體" w:eastAsia="標楷體" w:hAnsi="標楷體" w:hint="eastAsia"/>
                  <w:color w:val="000000"/>
                  <w:sz w:val="28"/>
                  <w:szCs w:val="28"/>
                </w:rPr>
                <w:t>行政院原子能委員會函送109年第4季於媒體辦理政策宣導相關之廣告資料，請查照案。</w:t>
              </w:r>
            </w:hyperlink>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10-3-9 (110.4.23)</w:t>
            </w:r>
          </w:p>
          <w:p w:rsidR="00301886" w:rsidRPr="001F3F42" w:rsidRDefault="00301886" w:rsidP="00AE1389">
            <w:pPr>
              <w:spacing w:line="400" w:lineRule="exact"/>
              <w:ind w:leftChars="-12" w:left="-29"/>
              <w:jc w:val="center"/>
              <w:rPr>
                <w:rFonts w:ascii="標楷體" w:eastAsia="標楷體" w:hAnsi="標楷體"/>
                <w:color w:val="000000"/>
                <w:sz w:val="28"/>
                <w:szCs w:val="28"/>
              </w:rPr>
            </w:pP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641E57" w:rsidP="00AE1389">
            <w:pPr>
              <w:spacing w:line="400" w:lineRule="exact"/>
              <w:ind w:leftChars="-12" w:left="-29"/>
              <w:jc w:val="both"/>
              <w:rPr>
                <w:rFonts w:ascii="標楷體" w:eastAsia="標楷體" w:hAnsi="標楷體"/>
                <w:color w:val="000000"/>
                <w:sz w:val="28"/>
                <w:szCs w:val="28"/>
              </w:rPr>
            </w:pPr>
            <w:hyperlink r:id="rId21" w:tooltip="一百九十一、文化部函送109年1－11月接受外界捐贈款明細表，請查照案。" w:history="1">
              <w:r w:rsidR="00301886" w:rsidRPr="001F3F42">
                <w:rPr>
                  <w:rFonts w:ascii="標楷體" w:eastAsia="標楷體" w:hAnsi="標楷體" w:hint="eastAsia"/>
                  <w:color w:val="000000"/>
                  <w:sz w:val="28"/>
                  <w:szCs w:val="28"/>
                </w:rPr>
                <w:t>文化部函送109年1－11月接受外界捐贈款明細表，請查照案。</w:t>
              </w:r>
            </w:hyperlink>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10-3-9 (110.4.23)</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204" w:hangingChars="85" w:hanging="204"/>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641E57" w:rsidP="00AE1389">
            <w:pPr>
              <w:spacing w:line="400" w:lineRule="exact"/>
              <w:ind w:leftChars="-12" w:left="-29"/>
              <w:jc w:val="both"/>
              <w:rPr>
                <w:rFonts w:ascii="標楷體" w:eastAsia="標楷體" w:hAnsi="標楷體"/>
                <w:color w:val="000000"/>
                <w:sz w:val="28"/>
                <w:szCs w:val="28"/>
              </w:rPr>
            </w:pPr>
            <w:hyperlink r:id="rId22" w:tooltip="一百九十二、文化部函送109年度第4季政策宣導相關廣告執行情形月報表，請查照案。" w:history="1">
              <w:r w:rsidR="00301886" w:rsidRPr="001F3F42">
                <w:rPr>
                  <w:rFonts w:ascii="標楷體" w:eastAsia="標楷體" w:hAnsi="標楷體" w:hint="eastAsia"/>
                  <w:color w:val="000000"/>
                  <w:sz w:val="28"/>
                  <w:szCs w:val="28"/>
                </w:rPr>
                <w:t>文化部函送109年度第4季政策宣導相關廣告執行情形月報表，請查照案。</w:t>
              </w:r>
            </w:hyperlink>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10-3-9 (110.4.23)</w:t>
            </w:r>
          </w:p>
          <w:p w:rsidR="00301886" w:rsidRPr="001F3F42" w:rsidRDefault="00301886" w:rsidP="00AE1389">
            <w:pPr>
              <w:spacing w:line="400" w:lineRule="exact"/>
              <w:ind w:leftChars="-12" w:left="-29"/>
              <w:jc w:val="center"/>
              <w:rPr>
                <w:rFonts w:ascii="標楷體" w:eastAsia="標楷體" w:hAnsi="標楷體"/>
                <w:color w:val="000000"/>
                <w:sz w:val="28"/>
                <w:szCs w:val="28"/>
              </w:rPr>
            </w:pP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641E57" w:rsidP="00AE1389">
            <w:pPr>
              <w:spacing w:line="400" w:lineRule="exact"/>
              <w:ind w:leftChars="-12" w:left="-29"/>
              <w:jc w:val="both"/>
              <w:rPr>
                <w:rFonts w:ascii="標楷體" w:eastAsia="標楷體" w:hAnsi="標楷體"/>
                <w:color w:val="000000"/>
                <w:sz w:val="28"/>
                <w:szCs w:val="28"/>
              </w:rPr>
            </w:pPr>
            <w:hyperlink r:id="rId23" w:tooltip="一百九十三、國立故宮博物院函送109年第4季政策宣導廣告預算執行情形資料，請查照案。" w:history="1">
              <w:r w:rsidR="00301886" w:rsidRPr="001F3F42">
                <w:rPr>
                  <w:rFonts w:ascii="標楷體" w:eastAsia="標楷體" w:hAnsi="標楷體" w:hint="eastAsia"/>
                  <w:color w:val="000000"/>
                  <w:sz w:val="28"/>
                  <w:szCs w:val="28"/>
                </w:rPr>
                <w:t>國立故宮博物院函送109年第4季政策宣導廣告預算執行情形資料，請查照案。</w:t>
              </w:r>
            </w:hyperlink>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10-3-9 (110.4.23)</w:t>
            </w:r>
          </w:p>
          <w:p w:rsidR="00301886" w:rsidRPr="001F3F42" w:rsidRDefault="00301886" w:rsidP="00AE1389">
            <w:pPr>
              <w:spacing w:line="400" w:lineRule="exact"/>
              <w:ind w:leftChars="-12" w:left="-29"/>
              <w:jc w:val="center"/>
              <w:rPr>
                <w:rFonts w:ascii="標楷體" w:eastAsia="標楷體" w:hAnsi="標楷體"/>
                <w:color w:val="000000"/>
                <w:sz w:val="28"/>
                <w:szCs w:val="28"/>
              </w:rPr>
            </w:pP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204" w:hangingChars="85" w:hanging="204"/>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641E57" w:rsidP="00AE1389">
            <w:pPr>
              <w:spacing w:line="400" w:lineRule="exact"/>
              <w:ind w:leftChars="-12" w:left="-29"/>
              <w:jc w:val="both"/>
              <w:rPr>
                <w:rFonts w:ascii="標楷體" w:eastAsia="標楷體" w:hAnsi="標楷體"/>
                <w:color w:val="000000"/>
                <w:sz w:val="28"/>
                <w:szCs w:val="28"/>
              </w:rPr>
            </w:pPr>
            <w:hyperlink r:id="rId24" w:tooltip="一百九十四、國立故宮博物院函送109年第4季補（捐）助明細表，請查照案。" w:history="1">
              <w:r w:rsidR="00301886" w:rsidRPr="001F3F42">
                <w:rPr>
                  <w:rFonts w:ascii="標楷體" w:eastAsia="標楷體" w:hAnsi="標楷體" w:hint="eastAsia"/>
                  <w:color w:val="000000"/>
                  <w:sz w:val="28"/>
                  <w:szCs w:val="28"/>
                </w:rPr>
                <w:t>國立故宮博物院函送109年第4季補（捐）助明細表，請查照案。</w:t>
              </w:r>
            </w:hyperlink>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10-3-9 (110.4.23)</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641E57" w:rsidP="00AE1389">
            <w:pPr>
              <w:spacing w:line="400" w:lineRule="exact"/>
              <w:ind w:leftChars="-12" w:left="-29"/>
              <w:jc w:val="both"/>
              <w:rPr>
                <w:rFonts w:ascii="標楷體" w:eastAsia="標楷體" w:hAnsi="標楷體"/>
                <w:color w:val="000000"/>
                <w:sz w:val="28"/>
                <w:szCs w:val="28"/>
              </w:rPr>
            </w:pPr>
            <w:hyperlink r:id="rId25" w:tooltip="一百九十五、科技部函送109年第4季於各類媒體辦理政策宣導相關廣告之執行情形資料，請查照案。" w:history="1">
              <w:r w:rsidR="00301886" w:rsidRPr="001F3F42">
                <w:rPr>
                  <w:rFonts w:ascii="標楷體" w:eastAsia="標楷體" w:hAnsi="標楷體" w:hint="eastAsia"/>
                  <w:color w:val="000000"/>
                  <w:sz w:val="28"/>
                  <w:szCs w:val="28"/>
                </w:rPr>
                <w:t>科技部函送109年第4季於各類媒體辦理政策宣導相關廣告之執行情形資料，請查照案。</w:t>
              </w:r>
            </w:hyperlink>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10-3-9 (110.4.23)</w:t>
            </w:r>
          </w:p>
          <w:p w:rsidR="00301886" w:rsidRPr="001F3F42" w:rsidRDefault="00301886" w:rsidP="00AE1389">
            <w:pPr>
              <w:spacing w:line="400" w:lineRule="exact"/>
              <w:ind w:leftChars="-12" w:left="-29"/>
              <w:jc w:val="center"/>
              <w:rPr>
                <w:rFonts w:ascii="標楷體" w:eastAsia="標楷體" w:hAnsi="標楷體"/>
                <w:color w:val="000000"/>
                <w:sz w:val="28"/>
                <w:szCs w:val="28"/>
              </w:rPr>
            </w:pP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204" w:hangingChars="85" w:hanging="204"/>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w:t>
            </w:r>
            <w:r w:rsidRPr="001F3F42">
              <w:rPr>
                <w:rFonts w:ascii="標楷體" w:eastAsia="標楷體" w:hAnsi="標楷體" w:hint="eastAsia"/>
                <w:color w:val="000000"/>
                <w:szCs w:val="24"/>
              </w:rPr>
              <w:lastRenderedPageBreak/>
              <w:t>（11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641E57" w:rsidP="00AE1389">
            <w:pPr>
              <w:spacing w:line="400" w:lineRule="exact"/>
              <w:ind w:leftChars="-12" w:left="-29"/>
              <w:jc w:val="both"/>
              <w:rPr>
                <w:rFonts w:ascii="標楷體" w:eastAsia="標楷體" w:hAnsi="標楷體"/>
                <w:color w:val="000000"/>
                <w:sz w:val="28"/>
                <w:szCs w:val="28"/>
              </w:rPr>
            </w:pPr>
            <w:hyperlink r:id="rId26" w:tooltip="一百九十六、科技部函送產業創新旗艦計畫109年度第4季執行情形書面報告，請查照案。" w:history="1">
              <w:r w:rsidR="00301886" w:rsidRPr="001F3F42">
                <w:rPr>
                  <w:rFonts w:ascii="標楷體" w:eastAsia="標楷體" w:hAnsi="標楷體" w:hint="eastAsia"/>
                  <w:color w:val="000000"/>
                  <w:sz w:val="28"/>
                  <w:szCs w:val="28"/>
                </w:rPr>
                <w:t>科技部函送產業創新旗艦計畫109年度第4季執行情形書面報告，請查照案。</w:t>
              </w:r>
            </w:hyperlink>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10-3-9 (110.4.23)</w:t>
            </w:r>
          </w:p>
          <w:p w:rsidR="00301886" w:rsidRPr="001F3F42" w:rsidRDefault="00301886" w:rsidP="00AE1389">
            <w:pPr>
              <w:spacing w:line="400" w:lineRule="exact"/>
              <w:ind w:leftChars="-12" w:left="-29"/>
              <w:jc w:val="center"/>
              <w:rPr>
                <w:rFonts w:ascii="標楷體" w:eastAsia="標楷體" w:hAnsi="標楷體"/>
                <w:color w:val="000000"/>
                <w:sz w:val="28"/>
                <w:szCs w:val="28"/>
              </w:rPr>
            </w:pP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641E57" w:rsidP="00AE1389">
            <w:pPr>
              <w:spacing w:line="400" w:lineRule="exact"/>
              <w:ind w:leftChars="-12" w:left="-29"/>
              <w:jc w:val="both"/>
              <w:rPr>
                <w:rFonts w:ascii="標楷體" w:eastAsia="標楷體" w:hAnsi="標楷體"/>
                <w:color w:val="000000"/>
                <w:sz w:val="28"/>
                <w:szCs w:val="28"/>
              </w:rPr>
            </w:pPr>
            <w:hyperlink r:id="rId27" w:tooltip="一百九十七、教育部函送109年度第4季補捐助經費執行情形總表及明細表，請查照案。" w:history="1">
              <w:r w:rsidR="00301886" w:rsidRPr="001F3F42">
                <w:rPr>
                  <w:rFonts w:ascii="標楷體" w:eastAsia="標楷體" w:hAnsi="標楷體" w:hint="eastAsia"/>
                  <w:color w:val="000000"/>
                  <w:sz w:val="28"/>
                  <w:szCs w:val="28"/>
                </w:rPr>
                <w:t>教育部函送109年度第4季補捐助經費執行情形總表及明細表，請查照案。</w:t>
              </w:r>
            </w:hyperlink>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10-3-9 (110.4.23)</w:t>
            </w:r>
          </w:p>
          <w:p w:rsidR="00301886" w:rsidRPr="001F3F42" w:rsidRDefault="00301886" w:rsidP="00AE1389">
            <w:pPr>
              <w:spacing w:line="400" w:lineRule="exact"/>
              <w:ind w:leftChars="-12" w:left="-29"/>
              <w:jc w:val="center"/>
              <w:rPr>
                <w:rFonts w:ascii="標楷體" w:eastAsia="標楷體" w:hAnsi="標楷體"/>
                <w:color w:val="000000"/>
                <w:sz w:val="28"/>
                <w:szCs w:val="28"/>
              </w:rPr>
            </w:pP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204" w:hangingChars="85" w:hanging="204"/>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641E57" w:rsidP="00AE1389">
            <w:pPr>
              <w:spacing w:line="400" w:lineRule="exact"/>
              <w:ind w:leftChars="-12" w:left="-29"/>
              <w:jc w:val="both"/>
              <w:rPr>
                <w:rFonts w:ascii="標楷體" w:eastAsia="標楷體" w:hAnsi="標楷體"/>
                <w:color w:val="000000"/>
                <w:sz w:val="28"/>
                <w:szCs w:val="28"/>
              </w:rPr>
            </w:pPr>
            <w:hyperlink r:id="rId28" w:tooltip="一百九十八、教育部函送109年度第4季政策宣導相關廣告執行情形總表及明細表，請查照案。" w:history="1">
              <w:r w:rsidR="00301886" w:rsidRPr="001F3F42">
                <w:rPr>
                  <w:rFonts w:ascii="標楷體" w:eastAsia="標楷體" w:hAnsi="標楷體" w:hint="eastAsia"/>
                  <w:color w:val="000000"/>
                  <w:sz w:val="28"/>
                  <w:szCs w:val="28"/>
                </w:rPr>
                <w:t>教育部函送109年度第4季政策宣導相關廣告執行情形總表及明細表，請查照案。</w:t>
              </w:r>
            </w:hyperlink>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10-3-9 (110.4.23)</w:t>
            </w:r>
          </w:p>
          <w:p w:rsidR="00301886" w:rsidRPr="001F3F42" w:rsidRDefault="00301886" w:rsidP="00AE1389">
            <w:pPr>
              <w:spacing w:line="400" w:lineRule="exact"/>
              <w:ind w:leftChars="-12" w:left="-29"/>
              <w:jc w:val="center"/>
              <w:rPr>
                <w:rFonts w:ascii="標楷體" w:eastAsia="標楷體" w:hAnsi="標楷體"/>
                <w:color w:val="000000"/>
                <w:sz w:val="28"/>
                <w:szCs w:val="28"/>
              </w:rPr>
            </w:pP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641E57" w:rsidP="00AE1389">
            <w:pPr>
              <w:spacing w:line="400" w:lineRule="exact"/>
              <w:ind w:leftChars="-12" w:left="-29"/>
              <w:jc w:val="both"/>
              <w:rPr>
                <w:rFonts w:ascii="標楷體" w:eastAsia="標楷體" w:hAnsi="標楷體"/>
                <w:color w:val="000000"/>
                <w:sz w:val="28"/>
                <w:szCs w:val="28"/>
              </w:rPr>
            </w:pPr>
            <w:hyperlink r:id="rId29" w:tooltip="一百二十六、文化部函送109年1－12月該部接受外界捐贈款明細表，請查照案。" w:history="1">
              <w:r w:rsidR="00301886" w:rsidRPr="001F3F42">
                <w:rPr>
                  <w:rFonts w:ascii="標楷體" w:eastAsia="標楷體" w:hAnsi="標楷體" w:hint="eastAsia"/>
                  <w:color w:val="000000"/>
                  <w:sz w:val="28"/>
                  <w:szCs w:val="28"/>
                </w:rPr>
                <w:t>文化部函送109年1－12月該部接受外界捐贈款明細表，請查照案。</w:t>
              </w:r>
            </w:hyperlink>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10-3-</w:t>
            </w:r>
            <w:r w:rsidRPr="001F3F42">
              <w:rPr>
                <w:rFonts w:ascii="標楷體" w:eastAsia="標楷體" w:hAnsi="標楷體" w:hint="eastAsia"/>
                <w:color w:val="000000"/>
                <w:sz w:val="28"/>
                <w:szCs w:val="28"/>
              </w:rPr>
              <w:t>1</w:t>
            </w:r>
            <w:r w:rsidRPr="001F3F42">
              <w:rPr>
                <w:rFonts w:ascii="標楷體" w:eastAsia="標楷體" w:hAnsi="標楷體"/>
                <w:color w:val="000000"/>
                <w:sz w:val="28"/>
                <w:szCs w:val="28"/>
              </w:rPr>
              <w:t>0 (110.4.30)</w:t>
            </w: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204" w:hangingChars="85" w:hanging="204"/>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641E57" w:rsidP="00AE1389">
            <w:pPr>
              <w:spacing w:line="400" w:lineRule="exact"/>
              <w:ind w:leftChars="-12" w:left="-29"/>
              <w:jc w:val="both"/>
              <w:rPr>
                <w:rFonts w:ascii="標楷體" w:eastAsia="標楷體" w:hAnsi="標楷體"/>
                <w:color w:val="000000"/>
                <w:sz w:val="28"/>
                <w:szCs w:val="28"/>
              </w:rPr>
            </w:pPr>
            <w:hyperlink r:id="rId30" w:tooltip="一百二十七、文化部函送該部及所屬機關（構）109年度第4季補（捐）助經費明細表書面報告，請查照案。" w:history="1">
              <w:r w:rsidR="00301886" w:rsidRPr="001F3F42">
                <w:rPr>
                  <w:rFonts w:ascii="標楷體" w:eastAsia="標楷體" w:hAnsi="標楷體" w:hint="eastAsia"/>
                  <w:color w:val="000000"/>
                  <w:sz w:val="28"/>
                </w:rPr>
                <w:t>文化部函送該部及所屬機關（構）109年度第4季補（捐）助經費明細表書面報告，請查照案。</w:t>
              </w:r>
            </w:hyperlink>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10-3-</w:t>
            </w:r>
            <w:r w:rsidRPr="001F3F42">
              <w:rPr>
                <w:rFonts w:ascii="標楷體" w:eastAsia="標楷體" w:hAnsi="標楷體" w:hint="eastAsia"/>
                <w:color w:val="000000"/>
                <w:sz w:val="28"/>
                <w:szCs w:val="28"/>
              </w:rPr>
              <w:t>1</w:t>
            </w:r>
            <w:r w:rsidRPr="001F3F42">
              <w:rPr>
                <w:rFonts w:ascii="標楷體" w:eastAsia="標楷體" w:hAnsi="標楷體"/>
                <w:color w:val="000000"/>
                <w:sz w:val="28"/>
                <w:szCs w:val="28"/>
              </w:rPr>
              <w:t>0 (110.4.30)</w:t>
            </w:r>
          </w:p>
          <w:p w:rsidR="00301886" w:rsidRPr="001F3F42" w:rsidRDefault="00301886" w:rsidP="00AE1389">
            <w:pPr>
              <w:spacing w:line="400" w:lineRule="exact"/>
              <w:ind w:leftChars="-12" w:left="-29"/>
              <w:jc w:val="center"/>
              <w:rPr>
                <w:rFonts w:ascii="標楷體" w:eastAsia="標楷體" w:hAnsi="標楷體"/>
                <w:color w:val="000000"/>
                <w:sz w:val="28"/>
                <w:szCs w:val="28"/>
              </w:rPr>
            </w:pP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641E57" w:rsidP="00AE1389">
            <w:pPr>
              <w:spacing w:line="400" w:lineRule="exact"/>
              <w:ind w:leftChars="-12" w:left="-29"/>
              <w:jc w:val="both"/>
              <w:rPr>
                <w:rFonts w:ascii="標楷體" w:eastAsia="標楷體" w:hAnsi="標楷體"/>
                <w:color w:val="000000"/>
                <w:sz w:val="28"/>
                <w:szCs w:val="28"/>
              </w:rPr>
            </w:pPr>
            <w:hyperlink r:id="rId31" w:tooltip="一百二十九、國立故宮博物院函送「新故宮－故宮公共化帶動觀光產業發展中程計畫」109年第4季辦理進度書面報告，請查照案。" w:history="1">
              <w:r w:rsidR="00301886" w:rsidRPr="001F3F42">
                <w:rPr>
                  <w:rFonts w:ascii="標楷體" w:eastAsia="標楷體" w:hAnsi="標楷體" w:hint="eastAsia"/>
                  <w:color w:val="000000"/>
                  <w:sz w:val="28"/>
                </w:rPr>
                <w:t>國立故宮博物院函送「新故宮－故宮公共化帶動觀光產業發展中程計畫」109年第4季辦理進度書面報告，請查照案。</w:t>
              </w:r>
            </w:hyperlink>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10-3-</w:t>
            </w:r>
            <w:r w:rsidRPr="001F3F42">
              <w:rPr>
                <w:rFonts w:ascii="標楷體" w:eastAsia="標楷體" w:hAnsi="標楷體" w:hint="eastAsia"/>
                <w:color w:val="000000"/>
                <w:sz w:val="28"/>
                <w:szCs w:val="28"/>
              </w:rPr>
              <w:t>1</w:t>
            </w:r>
            <w:r w:rsidRPr="001F3F42">
              <w:rPr>
                <w:rFonts w:ascii="標楷體" w:eastAsia="標楷體" w:hAnsi="標楷體"/>
                <w:color w:val="000000"/>
                <w:sz w:val="28"/>
                <w:szCs w:val="28"/>
              </w:rPr>
              <w:t>0 (110.4.30)</w:t>
            </w:r>
          </w:p>
          <w:p w:rsidR="00301886" w:rsidRPr="001F3F42" w:rsidRDefault="00301886" w:rsidP="00AE1389">
            <w:pPr>
              <w:spacing w:line="400" w:lineRule="exact"/>
              <w:ind w:leftChars="-12" w:left="-29"/>
              <w:jc w:val="center"/>
              <w:rPr>
                <w:rFonts w:ascii="標楷體" w:eastAsia="標楷體" w:hAnsi="標楷體"/>
                <w:color w:val="000000"/>
                <w:sz w:val="28"/>
                <w:szCs w:val="28"/>
              </w:rPr>
            </w:pP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204" w:hangingChars="85" w:hanging="204"/>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641E57" w:rsidP="00AE1389">
            <w:pPr>
              <w:spacing w:line="400" w:lineRule="exact"/>
              <w:ind w:leftChars="-12" w:left="-29"/>
              <w:jc w:val="both"/>
              <w:rPr>
                <w:rFonts w:ascii="標楷體" w:eastAsia="標楷體" w:hAnsi="標楷體"/>
                <w:color w:val="000000"/>
                <w:sz w:val="28"/>
                <w:szCs w:val="28"/>
              </w:rPr>
            </w:pPr>
            <w:hyperlink r:id="rId32" w:tooltip="一百三十、國立故宮博物院函送故宮文物藝術發展基金109年度接受外界捐贈支用明細表，請查照案。" w:history="1">
              <w:r w:rsidR="00301886" w:rsidRPr="001F3F42">
                <w:rPr>
                  <w:rFonts w:ascii="標楷體" w:eastAsia="標楷體" w:hAnsi="標楷體" w:hint="eastAsia"/>
                  <w:color w:val="000000"/>
                  <w:sz w:val="28"/>
                </w:rPr>
                <w:t>國立故宮博物院函送故宮文物藝術發展基金109年度接受外界捐贈支用明細表，請查照案。</w:t>
              </w:r>
            </w:hyperlink>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10-3-</w:t>
            </w:r>
            <w:r w:rsidRPr="001F3F42">
              <w:rPr>
                <w:rFonts w:ascii="標楷體" w:eastAsia="標楷體" w:hAnsi="標楷體" w:hint="eastAsia"/>
                <w:color w:val="000000"/>
                <w:sz w:val="28"/>
                <w:szCs w:val="28"/>
              </w:rPr>
              <w:t>1</w:t>
            </w:r>
            <w:r w:rsidRPr="001F3F42">
              <w:rPr>
                <w:rFonts w:ascii="標楷體" w:eastAsia="標楷體" w:hAnsi="標楷體"/>
                <w:color w:val="000000"/>
                <w:sz w:val="28"/>
                <w:szCs w:val="28"/>
              </w:rPr>
              <w:t>0 (110.4.30)</w:t>
            </w:r>
          </w:p>
          <w:p w:rsidR="00301886" w:rsidRPr="001F3F42" w:rsidRDefault="00301886" w:rsidP="00AE1389">
            <w:pPr>
              <w:spacing w:line="400" w:lineRule="exact"/>
              <w:ind w:leftChars="-12" w:left="-29"/>
              <w:jc w:val="center"/>
              <w:rPr>
                <w:rFonts w:ascii="標楷體" w:eastAsia="標楷體" w:hAnsi="標楷體"/>
                <w:color w:val="000000"/>
                <w:sz w:val="28"/>
                <w:szCs w:val="28"/>
              </w:rPr>
            </w:pP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w:t>
            </w:r>
            <w:r w:rsidRPr="001F3F42">
              <w:rPr>
                <w:rFonts w:ascii="標楷體" w:eastAsia="標楷體" w:hAnsi="標楷體" w:hint="eastAsia"/>
                <w:color w:val="000000"/>
                <w:szCs w:val="24"/>
              </w:rPr>
              <w:lastRenderedPageBreak/>
              <w:t>（11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641E57" w:rsidP="00AE1389">
            <w:pPr>
              <w:spacing w:line="400" w:lineRule="exact"/>
              <w:ind w:leftChars="-12" w:left="-29"/>
              <w:jc w:val="both"/>
              <w:rPr>
                <w:rFonts w:ascii="標楷體" w:eastAsia="標楷體" w:hAnsi="標楷體"/>
                <w:color w:val="000000"/>
                <w:sz w:val="28"/>
                <w:szCs w:val="28"/>
              </w:rPr>
            </w:pPr>
            <w:hyperlink r:id="rId33" w:tooltip="一百三十一、科技部函送「科學園區管理局作業基金各項財務改善措施之執行成效」109年第4季書面報告，請查照案。" w:history="1">
              <w:r w:rsidR="00301886" w:rsidRPr="001F3F42">
                <w:rPr>
                  <w:rFonts w:ascii="標楷體" w:eastAsia="標楷體" w:hAnsi="標楷體" w:hint="eastAsia"/>
                  <w:color w:val="000000"/>
                  <w:sz w:val="28"/>
                </w:rPr>
                <w:t>科技部函送「科學園區管理局作業基金各項財務改善措施之執行成效」109年第4季書面報告，請查照案。</w:t>
              </w:r>
            </w:hyperlink>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10-3-</w:t>
            </w:r>
            <w:r w:rsidRPr="001F3F42">
              <w:rPr>
                <w:rFonts w:ascii="標楷體" w:eastAsia="標楷體" w:hAnsi="標楷體" w:hint="eastAsia"/>
                <w:color w:val="000000"/>
                <w:sz w:val="28"/>
                <w:szCs w:val="28"/>
              </w:rPr>
              <w:t>1</w:t>
            </w:r>
            <w:r w:rsidRPr="001F3F42">
              <w:rPr>
                <w:rFonts w:ascii="標楷體" w:eastAsia="標楷體" w:hAnsi="標楷體"/>
                <w:color w:val="000000"/>
                <w:sz w:val="28"/>
                <w:szCs w:val="28"/>
              </w:rPr>
              <w:t>0 (110.4.30)</w:t>
            </w:r>
          </w:p>
          <w:p w:rsidR="00301886" w:rsidRPr="001F3F42" w:rsidRDefault="00301886" w:rsidP="00AE1389">
            <w:pPr>
              <w:spacing w:line="400" w:lineRule="exact"/>
              <w:ind w:leftChars="-12" w:left="-29"/>
              <w:jc w:val="center"/>
              <w:rPr>
                <w:rFonts w:ascii="標楷體" w:eastAsia="標楷體" w:hAnsi="標楷體"/>
                <w:color w:val="000000"/>
                <w:sz w:val="28"/>
                <w:szCs w:val="28"/>
              </w:rPr>
            </w:pP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204" w:hangingChars="85" w:hanging="204"/>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301886" w:rsidRPr="001F3F42" w:rsidTr="00AE1389">
        <w:trPr>
          <w:trHeight w:val="700"/>
        </w:trPr>
        <w:tc>
          <w:tcPr>
            <w:tcW w:w="314" w:type="pct"/>
            <w:vAlign w:val="center"/>
          </w:tcPr>
          <w:p w:rsidR="00301886" w:rsidRPr="001F3F42" w:rsidRDefault="00301886" w:rsidP="00AE1389">
            <w:pPr>
              <w:numPr>
                <w:ilvl w:val="0"/>
                <w:numId w:val="4"/>
              </w:numPr>
              <w:spacing w:line="400" w:lineRule="exact"/>
              <w:ind w:right="113"/>
              <w:rPr>
                <w:rFonts w:ascii="標楷體" w:eastAsia="標楷體" w:hAnsi="標楷體"/>
                <w:sz w:val="28"/>
                <w:szCs w:val="28"/>
              </w:rPr>
            </w:pPr>
          </w:p>
        </w:tc>
        <w:tc>
          <w:tcPr>
            <w:tcW w:w="2019" w:type="pct"/>
          </w:tcPr>
          <w:p w:rsidR="00301886" w:rsidRPr="001F3F42" w:rsidRDefault="00641E57" w:rsidP="00AE1389">
            <w:pPr>
              <w:spacing w:line="400" w:lineRule="exact"/>
              <w:ind w:leftChars="-12" w:left="-29"/>
              <w:jc w:val="both"/>
              <w:rPr>
                <w:rFonts w:ascii="標楷體" w:eastAsia="標楷體" w:hAnsi="標楷體"/>
                <w:color w:val="000000"/>
                <w:sz w:val="28"/>
                <w:szCs w:val="28"/>
              </w:rPr>
            </w:pPr>
            <w:hyperlink r:id="rId34" w:tooltip="一百三十二、科技部函送該部暨所屬機關109年度第4季補（捐）助民間團體及個人經費資料一覽表，請查照案。" w:history="1">
              <w:r w:rsidR="00301886" w:rsidRPr="001F3F42">
                <w:rPr>
                  <w:rFonts w:ascii="標楷體" w:eastAsia="標楷體" w:hAnsi="標楷體" w:hint="eastAsia"/>
                  <w:color w:val="000000"/>
                  <w:sz w:val="28"/>
                </w:rPr>
                <w:t>科技部函送該部暨所屬機關109年度第4季補（捐）助民間團體及個人經費資料一覽表，請查照案。</w:t>
              </w:r>
            </w:hyperlink>
          </w:p>
        </w:tc>
        <w:tc>
          <w:tcPr>
            <w:tcW w:w="897" w:type="pct"/>
          </w:tcPr>
          <w:p w:rsidR="00301886" w:rsidRPr="001F3F42" w:rsidRDefault="00301886" w:rsidP="00AE1389">
            <w:pPr>
              <w:spacing w:line="400" w:lineRule="exact"/>
              <w:ind w:leftChars="-12" w:left="-29"/>
              <w:jc w:val="center"/>
              <w:rPr>
                <w:rFonts w:ascii="標楷體" w:eastAsia="標楷體" w:hAnsi="標楷體"/>
                <w:color w:val="000000"/>
                <w:sz w:val="28"/>
                <w:szCs w:val="28"/>
              </w:rPr>
            </w:pPr>
            <w:r w:rsidRPr="001F3F42">
              <w:rPr>
                <w:rFonts w:ascii="標楷體" w:eastAsia="標楷體" w:hAnsi="標楷體"/>
                <w:color w:val="000000"/>
                <w:sz w:val="28"/>
                <w:szCs w:val="28"/>
              </w:rPr>
              <w:t>10-3-</w:t>
            </w:r>
            <w:r w:rsidRPr="001F3F42">
              <w:rPr>
                <w:rFonts w:ascii="標楷體" w:eastAsia="標楷體" w:hAnsi="標楷體" w:hint="eastAsia"/>
                <w:color w:val="000000"/>
                <w:sz w:val="28"/>
                <w:szCs w:val="28"/>
              </w:rPr>
              <w:t>1</w:t>
            </w:r>
            <w:r w:rsidRPr="001F3F42">
              <w:rPr>
                <w:rFonts w:ascii="標楷體" w:eastAsia="標楷體" w:hAnsi="標楷體"/>
                <w:color w:val="000000"/>
                <w:sz w:val="28"/>
                <w:szCs w:val="28"/>
              </w:rPr>
              <w:t>0 (110.4.30)</w:t>
            </w:r>
          </w:p>
          <w:p w:rsidR="00301886" w:rsidRPr="001F3F42" w:rsidRDefault="00301886" w:rsidP="00AE1389">
            <w:pPr>
              <w:spacing w:line="400" w:lineRule="exact"/>
              <w:ind w:leftChars="-12" w:left="-29"/>
              <w:jc w:val="center"/>
              <w:rPr>
                <w:rFonts w:ascii="標楷體" w:eastAsia="標楷體" w:hAnsi="標楷體"/>
                <w:color w:val="000000"/>
                <w:sz w:val="28"/>
                <w:szCs w:val="28"/>
              </w:rPr>
            </w:pPr>
          </w:p>
        </w:tc>
        <w:tc>
          <w:tcPr>
            <w:tcW w:w="523" w:type="pct"/>
          </w:tcPr>
          <w:p w:rsidR="00301886" w:rsidRPr="001F3F42" w:rsidRDefault="00301886" w:rsidP="00AE1389">
            <w:pPr>
              <w:jc w:val="both"/>
              <w:rPr>
                <w:rFonts w:ascii="標楷體" w:eastAsia="標楷體" w:hAnsi="標楷體"/>
                <w:color w:val="000000"/>
              </w:rPr>
            </w:pPr>
          </w:p>
        </w:tc>
        <w:tc>
          <w:tcPr>
            <w:tcW w:w="1247" w:type="pct"/>
          </w:tcPr>
          <w:p w:rsidR="00301886" w:rsidRPr="001F3F42" w:rsidRDefault="00301886" w:rsidP="00AE1389">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301886" w:rsidRPr="001F3F42" w:rsidRDefault="00301886" w:rsidP="00AE1389">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bl>
    <w:p w:rsidR="00301886" w:rsidRPr="001F3F42" w:rsidRDefault="00301886" w:rsidP="00301886">
      <w:pPr>
        <w:widowControl/>
        <w:rPr>
          <w:color w:val="000000" w:themeColor="text1"/>
        </w:rPr>
      </w:pPr>
    </w:p>
    <w:p w:rsidR="00301886" w:rsidRDefault="00301886" w:rsidP="00301886">
      <w:pPr>
        <w:widowControl/>
        <w:rPr>
          <w:rFonts w:ascii="標楷體" w:eastAsia="標楷體" w:hAnsi="標楷體"/>
          <w:b/>
          <w:bCs/>
          <w:color w:val="000000" w:themeColor="text1"/>
          <w:sz w:val="32"/>
          <w:szCs w:val="32"/>
        </w:rPr>
      </w:pPr>
      <w:r>
        <w:rPr>
          <w:color w:val="000000" w:themeColor="text1"/>
        </w:rPr>
        <w:br w:type="page"/>
      </w:r>
    </w:p>
    <w:p w:rsidR="00301886" w:rsidRPr="00920597" w:rsidRDefault="00301886" w:rsidP="00301886">
      <w:pPr>
        <w:pStyle w:val="01-21"/>
        <w:rPr>
          <w:color w:val="000000" w:themeColor="text1"/>
        </w:rPr>
        <w:sectPr w:rsidR="00301886" w:rsidRPr="00920597" w:rsidSect="000121AE">
          <w:pgSz w:w="11907" w:h="16840" w:code="9"/>
          <w:pgMar w:top="1134" w:right="1134" w:bottom="1134" w:left="1134" w:header="851" w:footer="850" w:gutter="0"/>
          <w:cols w:space="425"/>
          <w:docGrid w:type="linesAndChars" w:linePitch="360"/>
        </w:sectPr>
      </w:pPr>
    </w:p>
    <w:p w:rsidR="005D23D5" w:rsidRPr="005D23D5" w:rsidRDefault="00301886" w:rsidP="005D23D5">
      <w:pPr>
        <w:snapToGrid w:val="0"/>
        <w:spacing w:afterLines="30" w:after="108" w:line="480" w:lineRule="exact"/>
        <w:ind w:leftChars="119" w:left="446" w:hangingChars="50" w:hanging="160"/>
        <w:jc w:val="both"/>
        <w:outlineLvl w:val="1"/>
        <w:rPr>
          <w:rFonts w:ascii="標楷體" w:eastAsia="標楷體" w:hAnsi="標楷體"/>
          <w:b/>
          <w:bCs/>
          <w:sz w:val="32"/>
          <w:szCs w:val="32"/>
        </w:rPr>
      </w:pPr>
      <w:bookmarkStart w:id="90" w:name="_Toc126068131"/>
      <w:r>
        <w:rPr>
          <w:rFonts w:ascii="標楷體" w:eastAsia="標楷體" w:hAnsi="標楷體" w:hint="eastAsia"/>
          <w:b/>
          <w:bCs/>
          <w:sz w:val="32"/>
          <w:szCs w:val="32"/>
        </w:rPr>
        <w:lastRenderedPageBreak/>
        <w:t>四</w:t>
      </w:r>
      <w:r w:rsidR="005D23D5" w:rsidRPr="005D23D5">
        <w:rPr>
          <w:rFonts w:ascii="標楷體" w:eastAsia="標楷體" w:hAnsi="標楷體" w:hint="eastAsia"/>
          <w:b/>
          <w:bCs/>
          <w:sz w:val="32"/>
          <w:szCs w:val="32"/>
        </w:rPr>
        <w:t>、</w:t>
      </w:r>
      <w:bookmarkStart w:id="91" w:name="行政命令"/>
      <w:bookmarkEnd w:id="91"/>
      <w:r w:rsidR="005D23D5" w:rsidRPr="005D23D5">
        <w:rPr>
          <w:rFonts w:ascii="標楷體" w:eastAsia="標楷體" w:hAnsi="標楷體" w:hint="eastAsia"/>
          <w:b/>
          <w:bCs/>
          <w:sz w:val="32"/>
          <w:szCs w:val="32"/>
        </w:rPr>
        <w:t>人民請願案（1案）</w:t>
      </w:r>
      <w:bookmarkEnd w:id="88"/>
      <w:bookmarkEnd w:id="90"/>
    </w:p>
    <w:tbl>
      <w:tblPr>
        <w:tblW w:w="5117" w:type="pct"/>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98"/>
        <w:gridCol w:w="4243"/>
        <w:gridCol w:w="1675"/>
        <w:gridCol w:w="3238"/>
      </w:tblGrid>
      <w:tr w:rsidR="005D23D5" w:rsidRPr="005D23D5" w:rsidTr="00BC07CA">
        <w:trPr>
          <w:trHeight w:val="700"/>
        </w:trPr>
        <w:tc>
          <w:tcPr>
            <w:tcW w:w="354" w:type="pct"/>
            <w:vAlign w:val="center"/>
          </w:tcPr>
          <w:p w:rsidR="005D23D5" w:rsidRPr="005D23D5" w:rsidRDefault="005D23D5" w:rsidP="005D23D5">
            <w:pPr>
              <w:spacing w:line="400" w:lineRule="exact"/>
              <w:jc w:val="center"/>
              <w:rPr>
                <w:rFonts w:ascii="標楷體" w:eastAsia="標楷體" w:hAnsi="標楷體"/>
                <w:b/>
                <w:bCs/>
                <w:color w:val="000000"/>
                <w:spacing w:val="-20"/>
                <w:sz w:val="28"/>
                <w:szCs w:val="28"/>
              </w:rPr>
            </w:pPr>
            <w:r w:rsidRPr="005D23D5">
              <w:rPr>
                <w:rFonts w:ascii="標楷體" w:eastAsia="標楷體" w:hAnsi="標楷體" w:hint="eastAsia"/>
                <w:b/>
                <w:bCs/>
                <w:color w:val="000000"/>
                <w:spacing w:val="-20"/>
                <w:sz w:val="28"/>
                <w:szCs w:val="28"/>
              </w:rPr>
              <w:t>序號</w:t>
            </w:r>
          </w:p>
        </w:tc>
        <w:tc>
          <w:tcPr>
            <w:tcW w:w="2153" w:type="pct"/>
            <w:vAlign w:val="center"/>
          </w:tcPr>
          <w:p w:rsidR="005D23D5" w:rsidRPr="005D23D5" w:rsidRDefault="005D23D5" w:rsidP="005D23D5">
            <w:pPr>
              <w:spacing w:line="400" w:lineRule="exact"/>
              <w:jc w:val="center"/>
              <w:rPr>
                <w:rFonts w:ascii="標楷體" w:eastAsia="標楷體" w:hAnsi="標楷體"/>
                <w:b/>
                <w:bCs/>
                <w:color w:val="000000"/>
                <w:sz w:val="28"/>
              </w:rPr>
            </w:pPr>
            <w:r w:rsidRPr="005D23D5">
              <w:rPr>
                <w:rFonts w:ascii="標楷體" w:eastAsia="標楷體" w:hAnsi="標楷體" w:hint="eastAsia"/>
                <w:b/>
                <w:bCs/>
                <w:color w:val="000000"/>
                <w:sz w:val="28"/>
              </w:rPr>
              <w:t>案          由</w:t>
            </w:r>
          </w:p>
        </w:tc>
        <w:tc>
          <w:tcPr>
            <w:tcW w:w="850" w:type="pct"/>
            <w:vAlign w:val="center"/>
          </w:tcPr>
          <w:p w:rsidR="005D23D5" w:rsidRPr="005D23D5" w:rsidRDefault="005D23D5" w:rsidP="005D23D5">
            <w:pPr>
              <w:spacing w:line="400" w:lineRule="exact"/>
              <w:ind w:leftChars="6" w:left="14"/>
              <w:jc w:val="center"/>
              <w:rPr>
                <w:rFonts w:ascii="標楷體" w:eastAsia="標楷體" w:hAnsi="標楷體"/>
                <w:b/>
                <w:bCs/>
                <w:color w:val="000000"/>
                <w:sz w:val="28"/>
              </w:rPr>
            </w:pPr>
            <w:r w:rsidRPr="005D23D5">
              <w:rPr>
                <w:rFonts w:ascii="標楷體" w:eastAsia="標楷體" w:hAnsi="標楷體" w:hint="eastAsia"/>
                <w:b/>
                <w:bCs/>
                <w:color w:val="000000"/>
                <w:sz w:val="28"/>
              </w:rPr>
              <w:t>程序委員會</w:t>
            </w:r>
          </w:p>
          <w:p w:rsidR="005D23D5" w:rsidRPr="005D23D5" w:rsidRDefault="005D23D5" w:rsidP="005D23D5">
            <w:pPr>
              <w:spacing w:line="400" w:lineRule="exact"/>
              <w:ind w:leftChars="6" w:left="28" w:hangingChars="5" w:hanging="14"/>
              <w:jc w:val="center"/>
              <w:rPr>
                <w:rFonts w:ascii="標楷體" w:eastAsia="標楷體" w:hAnsi="標楷體"/>
                <w:b/>
                <w:bCs/>
                <w:color w:val="000000"/>
                <w:sz w:val="28"/>
              </w:rPr>
            </w:pPr>
            <w:r w:rsidRPr="005D23D5">
              <w:rPr>
                <w:rFonts w:ascii="標楷體" w:eastAsia="標楷體" w:hAnsi="標楷體" w:hint="eastAsia"/>
                <w:b/>
                <w:bCs/>
                <w:color w:val="000000"/>
                <w:sz w:val="28"/>
              </w:rPr>
              <w:t>函送日期</w:t>
            </w:r>
          </w:p>
        </w:tc>
        <w:tc>
          <w:tcPr>
            <w:tcW w:w="1643" w:type="pct"/>
            <w:vAlign w:val="center"/>
          </w:tcPr>
          <w:p w:rsidR="005D23D5" w:rsidRPr="005D23D5" w:rsidRDefault="005D23D5" w:rsidP="005D23D5">
            <w:pPr>
              <w:spacing w:line="400" w:lineRule="exact"/>
              <w:jc w:val="center"/>
              <w:rPr>
                <w:rFonts w:ascii="標楷體" w:eastAsia="標楷體" w:hAnsi="標楷體"/>
                <w:b/>
                <w:bCs/>
                <w:color w:val="000000"/>
                <w:sz w:val="28"/>
              </w:rPr>
            </w:pPr>
            <w:r w:rsidRPr="005D23D5">
              <w:rPr>
                <w:rFonts w:ascii="標楷體" w:eastAsia="標楷體" w:hAnsi="標楷體" w:hint="eastAsia"/>
                <w:b/>
                <w:bCs/>
                <w:color w:val="000000"/>
                <w:sz w:val="28"/>
              </w:rPr>
              <w:t>處 理 情 形</w:t>
            </w:r>
          </w:p>
        </w:tc>
      </w:tr>
      <w:tr w:rsidR="005D23D5" w:rsidRPr="005D23D5" w:rsidTr="00BC07CA">
        <w:trPr>
          <w:trHeight w:val="567"/>
        </w:trPr>
        <w:tc>
          <w:tcPr>
            <w:tcW w:w="354" w:type="pct"/>
            <w:vAlign w:val="center"/>
          </w:tcPr>
          <w:p w:rsidR="005D23D5" w:rsidRPr="005D23D5" w:rsidRDefault="005D23D5" w:rsidP="006934DD">
            <w:pPr>
              <w:numPr>
                <w:ilvl w:val="0"/>
                <w:numId w:val="47"/>
              </w:numPr>
              <w:spacing w:line="400" w:lineRule="exact"/>
              <w:ind w:right="113"/>
              <w:rPr>
                <w:rFonts w:ascii="標楷體" w:eastAsia="標楷體" w:hAnsi="標楷體"/>
                <w:color w:val="000000"/>
                <w:sz w:val="28"/>
                <w:szCs w:val="28"/>
              </w:rPr>
            </w:pPr>
          </w:p>
        </w:tc>
        <w:tc>
          <w:tcPr>
            <w:tcW w:w="2153" w:type="pct"/>
          </w:tcPr>
          <w:p w:rsidR="005D23D5" w:rsidRPr="005D23D5" w:rsidRDefault="005D23D5" w:rsidP="005D23D5">
            <w:pPr>
              <w:spacing w:line="400" w:lineRule="exact"/>
              <w:jc w:val="both"/>
              <w:rPr>
                <w:rFonts w:ascii="標楷體" w:eastAsia="標楷體" w:hAnsi="標楷體"/>
                <w:color w:val="000000"/>
                <w:sz w:val="28"/>
                <w:szCs w:val="28"/>
              </w:rPr>
            </w:pPr>
            <w:r w:rsidRPr="005D23D5">
              <w:rPr>
                <w:rFonts w:ascii="標楷體" w:eastAsia="標楷體" w:hAnsi="標楷體" w:hint="eastAsia"/>
                <w:color w:val="000000"/>
                <w:sz w:val="28"/>
                <w:szCs w:val="28"/>
              </w:rPr>
              <w:t>葉方叡君所提教師法第九條條文修正草案，建請學生代表納入教師評審委員會成員請願文書乙份，請查照審查。</w:t>
            </w:r>
          </w:p>
        </w:tc>
        <w:tc>
          <w:tcPr>
            <w:tcW w:w="850" w:type="pct"/>
          </w:tcPr>
          <w:p w:rsidR="005D23D5" w:rsidRPr="0068291D" w:rsidRDefault="005D23D5" w:rsidP="00301886">
            <w:pPr>
              <w:spacing w:line="400" w:lineRule="exact"/>
              <w:jc w:val="center"/>
              <w:rPr>
                <w:rFonts w:ascii="標楷體" w:eastAsia="標楷體" w:hAnsi="標楷體"/>
                <w:color w:val="000000"/>
                <w:sz w:val="28"/>
                <w:szCs w:val="28"/>
              </w:rPr>
            </w:pPr>
            <w:r w:rsidRPr="0068291D">
              <w:rPr>
                <w:rFonts w:ascii="標楷體" w:eastAsia="標楷體" w:hAnsi="標楷體"/>
                <w:color w:val="000000"/>
                <w:sz w:val="28"/>
                <w:szCs w:val="28"/>
              </w:rPr>
              <w:t>111.4.2</w:t>
            </w:r>
            <w:r w:rsidRPr="0068291D">
              <w:rPr>
                <w:rFonts w:ascii="標楷體" w:eastAsia="標楷體" w:hAnsi="標楷體" w:hint="eastAsia"/>
                <w:color w:val="000000"/>
                <w:sz w:val="28"/>
                <w:szCs w:val="28"/>
              </w:rPr>
              <w:t>8</w:t>
            </w:r>
          </w:p>
        </w:tc>
        <w:tc>
          <w:tcPr>
            <w:tcW w:w="1643" w:type="pct"/>
          </w:tcPr>
          <w:p w:rsidR="005D23D5" w:rsidRDefault="005D23D5" w:rsidP="005D23D5">
            <w:pPr>
              <w:wordWrap w:val="0"/>
              <w:ind w:left="240" w:hangingChars="100" w:hanging="240"/>
              <w:jc w:val="both"/>
              <w:rPr>
                <w:rFonts w:ascii="標楷體" w:eastAsia="標楷體" w:hAnsi="標楷體"/>
                <w:color w:val="000000"/>
                <w:szCs w:val="24"/>
              </w:rPr>
            </w:pPr>
            <w:r w:rsidRPr="005D23D5">
              <w:rPr>
                <w:rFonts w:ascii="標楷體" w:eastAsia="標楷體" w:hAnsi="標楷體" w:hint="eastAsia"/>
                <w:color w:val="000000"/>
                <w:szCs w:val="24"/>
              </w:rPr>
              <w:t>1.第6會期第16次全體委員會議(111.12.26)決議：本案不成為議案，送程序委員會報請院會存查。</w:t>
            </w:r>
          </w:p>
          <w:p w:rsidR="00301886" w:rsidRPr="005D23D5" w:rsidRDefault="00301886" w:rsidP="005D23D5">
            <w:pPr>
              <w:wordWrap w:val="0"/>
              <w:ind w:left="240" w:hangingChars="100" w:hanging="240"/>
              <w:jc w:val="both"/>
              <w:rPr>
                <w:rFonts w:ascii="標楷體" w:eastAsia="標楷體" w:hAnsi="標楷體"/>
                <w:color w:val="000000"/>
                <w:sz w:val="26"/>
                <w:szCs w:val="26"/>
              </w:rPr>
            </w:pPr>
            <w:r w:rsidRPr="00301886">
              <w:rPr>
                <w:rFonts w:ascii="標楷體" w:eastAsia="標楷體" w:hAnsi="標楷體"/>
                <w:color w:val="000000"/>
                <w:szCs w:val="24"/>
              </w:rPr>
              <w:t>2.</w:t>
            </w:r>
            <w:r w:rsidRPr="00301886">
              <w:rPr>
                <w:rFonts w:ascii="標楷體" w:eastAsia="標楷體" w:hAnsi="標楷體" w:hint="eastAsia"/>
                <w:color w:val="000000"/>
                <w:szCs w:val="24"/>
              </w:rPr>
              <w:t>第6會期第15次院會（112.</w:t>
            </w:r>
            <w:r w:rsidRPr="00301886">
              <w:rPr>
                <w:rFonts w:ascii="標楷體" w:eastAsia="標楷體" w:hAnsi="標楷體"/>
                <w:color w:val="000000"/>
                <w:szCs w:val="24"/>
              </w:rPr>
              <w:t>1</w:t>
            </w:r>
            <w:r w:rsidRPr="00301886">
              <w:rPr>
                <w:rFonts w:ascii="標楷體" w:eastAsia="標楷體" w:hAnsi="標楷體" w:hint="eastAsia"/>
                <w:color w:val="000000"/>
                <w:szCs w:val="24"/>
              </w:rPr>
              <w:t>.9）決定：准予備查。</w:t>
            </w:r>
          </w:p>
        </w:tc>
      </w:tr>
    </w:tbl>
    <w:p w:rsidR="001F3F42" w:rsidRDefault="001F3F42">
      <w:pPr>
        <w:widowControl/>
        <w:rPr>
          <w:rFonts w:ascii="標楷體" w:eastAsia="標楷體" w:hAnsi="標楷體"/>
          <w:b/>
          <w:bCs/>
          <w:color w:val="000000" w:themeColor="text1"/>
          <w:sz w:val="32"/>
          <w:szCs w:val="32"/>
        </w:rPr>
      </w:pPr>
      <w:r>
        <w:rPr>
          <w:color w:val="000000" w:themeColor="text1"/>
        </w:rPr>
        <w:br w:type="page"/>
      </w:r>
    </w:p>
    <w:p w:rsidR="00353235" w:rsidRPr="00920597" w:rsidRDefault="00353235" w:rsidP="00353235">
      <w:pPr>
        <w:snapToGrid w:val="0"/>
        <w:spacing w:afterLines="50" w:after="180" w:line="500" w:lineRule="exact"/>
        <w:jc w:val="both"/>
        <w:outlineLvl w:val="0"/>
        <w:rPr>
          <w:rFonts w:ascii="標楷體" w:eastAsia="標楷體" w:hAnsi="標楷體"/>
          <w:b/>
          <w:bCs/>
          <w:color w:val="000000" w:themeColor="text1"/>
          <w:sz w:val="28"/>
        </w:rPr>
      </w:pPr>
      <w:bookmarkStart w:id="92" w:name="_Toc126068132"/>
      <w:r w:rsidRPr="00920597">
        <w:rPr>
          <w:rFonts w:ascii="標楷體" w:eastAsia="標楷體" w:hAnsi="標楷體" w:hint="eastAsia"/>
          <w:b/>
          <w:bCs/>
          <w:color w:val="000000" w:themeColor="text1"/>
          <w:kern w:val="52"/>
          <w:sz w:val="36"/>
          <w:szCs w:val="36"/>
        </w:rPr>
        <w:lastRenderedPageBreak/>
        <w:t>肆、本會期院會通過之議案(含逕付二讀)</w:t>
      </w:r>
      <w:r w:rsidR="00303040" w:rsidRPr="00920597">
        <w:rPr>
          <w:rFonts w:ascii="標楷體" w:eastAsia="標楷體" w:hAnsi="標楷體" w:hint="eastAsia"/>
          <w:b/>
          <w:bCs/>
          <w:color w:val="000000" w:themeColor="text1"/>
          <w:kern w:val="52"/>
          <w:sz w:val="36"/>
          <w:szCs w:val="36"/>
        </w:rPr>
        <w:t xml:space="preserve"> (</w:t>
      </w:r>
      <w:r w:rsidR="003B3AF2" w:rsidRPr="00920597">
        <w:rPr>
          <w:rFonts w:ascii="標楷體" w:eastAsia="標楷體" w:hAnsi="標楷體" w:hint="eastAsia"/>
          <w:b/>
          <w:bCs/>
          <w:color w:val="000000" w:themeColor="text1"/>
          <w:kern w:val="52"/>
          <w:sz w:val="36"/>
          <w:szCs w:val="36"/>
        </w:rPr>
        <w:t>18</w:t>
      </w:r>
      <w:r w:rsidR="001E7E70">
        <w:rPr>
          <w:rFonts w:ascii="標楷體" w:eastAsia="標楷體" w:hAnsi="標楷體"/>
          <w:b/>
          <w:bCs/>
          <w:color w:val="000000" w:themeColor="text1"/>
          <w:kern w:val="52"/>
          <w:sz w:val="36"/>
          <w:szCs w:val="36"/>
        </w:rPr>
        <w:t>9</w:t>
      </w:r>
      <w:r w:rsidR="004E47BC" w:rsidRPr="00920597">
        <w:rPr>
          <w:rFonts w:ascii="標楷體" w:eastAsia="標楷體" w:hAnsi="標楷體" w:hint="eastAsia"/>
          <w:b/>
          <w:bCs/>
          <w:color w:val="000000" w:themeColor="text1"/>
          <w:sz w:val="32"/>
          <w:szCs w:val="32"/>
        </w:rPr>
        <w:t>案</w:t>
      </w:r>
      <w:r w:rsidR="00303040" w:rsidRPr="00920597">
        <w:rPr>
          <w:rFonts w:ascii="標楷體" w:eastAsia="標楷體" w:hAnsi="標楷體" w:hint="eastAsia"/>
          <w:b/>
          <w:bCs/>
          <w:color w:val="000000" w:themeColor="text1"/>
          <w:kern w:val="52"/>
          <w:sz w:val="36"/>
          <w:szCs w:val="36"/>
        </w:rPr>
        <w:t>)</w:t>
      </w:r>
      <w:bookmarkEnd w:id="92"/>
    </w:p>
    <w:p w:rsidR="00353235" w:rsidRPr="00920597" w:rsidRDefault="00353235" w:rsidP="00353235">
      <w:pPr>
        <w:pStyle w:val="01-21"/>
        <w:rPr>
          <w:color w:val="000000" w:themeColor="text1"/>
        </w:rPr>
      </w:pPr>
      <w:bookmarkStart w:id="93" w:name="_Toc126068133"/>
      <w:r w:rsidRPr="00920597">
        <w:rPr>
          <w:rFonts w:hint="eastAsia"/>
          <w:color w:val="000000" w:themeColor="text1"/>
        </w:rPr>
        <w:t>一、法律案（</w:t>
      </w:r>
      <w:r w:rsidR="00BC07CA">
        <w:rPr>
          <w:color w:val="000000" w:themeColor="text1"/>
        </w:rPr>
        <w:t>7</w:t>
      </w:r>
      <w:r w:rsidRPr="00920597">
        <w:rPr>
          <w:rFonts w:hint="eastAsia"/>
          <w:color w:val="000000" w:themeColor="text1"/>
        </w:rPr>
        <w:t>案）</w:t>
      </w:r>
      <w:bookmarkEnd w:id="93"/>
    </w:p>
    <w:p w:rsidR="00353235" w:rsidRPr="00920597" w:rsidRDefault="0096581A" w:rsidP="008D0A60">
      <w:pPr>
        <w:pStyle w:val="01-3"/>
        <w:rPr>
          <w:color w:val="000000" w:themeColor="text1"/>
        </w:rPr>
      </w:pPr>
      <w:bookmarkStart w:id="94" w:name="_Toc126068134"/>
      <w:r w:rsidRPr="00920597">
        <w:rPr>
          <w:rFonts w:hint="eastAsia"/>
          <w:color w:val="000000" w:themeColor="text1"/>
        </w:rPr>
        <w:t>(一)</w:t>
      </w:r>
      <w:r w:rsidR="00BC07CA">
        <w:rPr>
          <w:rFonts w:hint="eastAsia"/>
          <w:color w:val="000000" w:themeColor="text1"/>
        </w:rPr>
        <w:t>文化</w:t>
      </w:r>
      <w:r w:rsidR="00353235" w:rsidRPr="00920597">
        <w:rPr>
          <w:rFonts w:hint="eastAsia"/>
          <w:color w:val="000000" w:themeColor="text1"/>
        </w:rPr>
        <w:t>部（</w:t>
      </w:r>
      <w:r w:rsidR="00BC07CA">
        <w:rPr>
          <w:rFonts w:hint="eastAsia"/>
          <w:color w:val="000000" w:themeColor="text1"/>
        </w:rPr>
        <w:t>7</w:t>
      </w:r>
      <w:r w:rsidR="00353235" w:rsidRPr="00920597">
        <w:rPr>
          <w:rFonts w:hint="eastAsia"/>
          <w:bCs/>
          <w:color w:val="000000" w:themeColor="text1"/>
        </w:rPr>
        <w:t>案</w:t>
      </w:r>
      <w:r w:rsidR="00353235" w:rsidRPr="00920597">
        <w:rPr>
          <w:rFonts w:hint="eastAsia"/>
          <w:color w:val="000000" w:themeColor="text1"/>
        </w:rPr>
        <w:t>）</w:t>
      </w:r>
      <w:bookmarkEnd w:id="94"/>
    </w:p>
    <w:tbl>
      <w:tblPr>
        <w:tblW w:w="5337" w:type="pct"/>
        <w:tblInd w:w="-3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668"/>
        <w:gridCol w:w="3326"/>
        <w:gridCol w:w="1706"/>
        <w:gridCol w:w="2812"/>
        <w:gridCol w:w="1766"/>
      </w:tblGrid>
      <w:tr w:rsidR="003702E7" w:rsidRPr="00920597" w:rsidTr="00383980">
        <w:trPr>
          <w:trHeight w:val="700"/>
        </w:trPr>
        <w:tc>
          <w:tcPr>
            <w:tcW w:w="325" w:type="pct"/>
            <w:tcBorders>
              <w:top w:val="single" w:sz="4" w:space="0" w:color="auto"/>
              <w:left w:val="single" w:sz="4" w:space="0" w:color="auto"/>
              <w:bottom w:val="single" w:sz="4" w:space="0" w:color="auto"/>
              <w:right w:val="single" w:sz="4" w:space="0" w:color="auto"/>
            </w:tcBorders>
            <w:vAlign w:val="center"/>
            <w:hideMark/>
          </w:tcPr>
          <w:p w:rsidR="003702E7" w:rsidRPr="00920597" w:rsidRDefault="003702E7" w:rsidP="003702E7">
            <w:pPr>
              <w:spacing w:line="400" w:lineRule="exact"/>
              <w:rPr>
                <w:rFonts w:ascii="標楷體" w:eastAsia="標楷體" w:hAnsi="標楷體"/>
                <w:b/>
                <w:bCs/>
                <w:color w:val="000000" w:themeColor="text1"/>
                <w:spacing w:val="-24"/>
                <w:sz w:val="28"/>
                <w:szCs w:val="28"/>
              </w:rPr>
            </w:pPr>
            <w:r w:rsidRPr="00920597">
              <w:rPr>
                <w:rFonts w:ascii="標楷體" w:eastAsia="標楷體" w:hAnsi="標楷體" w:hint="eastAsia"/>
                <w:b/>
                <w:bCs/>
                <w:color w:val="000000" w:themeColor="text1"/>
                <w:spacing w:val="-24"/>
                <w:sz w:val="28"/>
                <w:szCs w:val="28"/>
              </w:rPr>
              <w:t>序號</w:t>
            </w:r>
          </w:p>
        </w:tc>
        <w:tc>
          <w:tcPr>
            <w:tcW w:w="1618" w:type="pct"/>
            <w:tcBorders>
              <w:top w:val="single" w:sz="4" w:space="0" w:color="auto"/>
              <w:left w:val="single" w:sz="4" w:space="0" w:color="auto"/>
              <w:bottom w:val="single" w:sz="4" w:space="0" w:color="auto"/>
              <w:right w:val="single" w:sz="4" w:space="0" w:color="auto"/>
            </w:tcBorders>
            <w:vAlign w:val="center"/>
            <w:hideMark/>
          </w:tcPr>
          <w:p w:rsidR="003702E7" w:rsidRPr="00920597" w:rsidRDefault="007A4976" w:rsidP="003702E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30" w:type="pct"/>
            <w:tcBorders>
              <w:top w:val="single" w:sz="4" w:space="0" w:color="auto"/>
              <w:left w:val="single" w:sz="4" w:space="0" w:color="auto"/>
              <w:bottom w:val="single" w:sz="4" w:space="0" w:color="auto"/>
              <w:right w:val="single" w:sz="4" w:space="0" w:color="auto"/>
            </w:tcBorders>
            <w:vAlign w:val="center"/>
            <w:hideMark/>
          </w:tcPr>
          <w:p w:rsidR="003702E7" w:rsidRPr="00920597" w:rsidRDefault="003702E7" w:rsidP="00783FD8">
            <w:pPr>
              <w:spacing w:line="400" w:lineRule="exact"/>
              <w:ind w:rightChars="26" w:right="62"/>
              <w:jc w:val="center"/>
              <w:rPr>
                <w:rFonts w:ascii="標楷體" w:eastAsia="標楷體" w:hAnsi="標楷體"/>
                <w:b/>
                <w:bCs/>
                <w:color w:val="000000" w:themeColor="text1"/>
                <w:spacing w:val="-20"/>
                <w:sz w:val="28"/>
              </w:rPr>
            </w:pPr>
            <w:r w:rsidRPr="00920597">
              <w:rPr>
                <w:rFonts w:ascii="標楷體" w:eastAsia="標楷體" w:hAnsi="標楷體" w:hint="eastAsia"/>
                <w:b/>
                <w:bCs/>
                <w:color w:val="000000" w:themeColor="text1"/>
                <w:spacing w:val="-20"/>
                <w:sz w:val="28"/>
              </w:rPr>
              <w:t>院會交付</w:t>
            </w:r>
          </w:p>
          <w:p w:rsidR="003702E7" w:rsidRPr="00920597" w:rsidRDefault="003702E7" w:rsidP="00783FD8">
            <w:pPr>
              <w:spacing w:line="400" w:lineRule="exact"/>
              <w:ind w:rightChars="26" w:right="6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pacing w:val="-20"/>
                <w:sz w:val="28"/>
              </w:rPr>
              <w:t>會次及日期</w:t>
            </w:r>
          </w:p>
        </w:tc>
        <w:tc>
          <w:tcPr>
            <w:tcW w:w="1368" w:type="pct"/>
            <w:tcBorders>
              <w:top w:val="single" w:sz="4" w:space="0" w:color="auto"/>
              <w:left w:val="single" w:sz="4" w:space="0" w:color="auto"/>
              <w:bottom w:val="single" w:sz="4" w:space="0" w:color="auto"/>
              <w:right w:val="single" w:sz="4" w:space="0" w:color="auto"/>
            </w:tcBorders>
            <w:vAlign w:val="center"/>
            <w:hideMark/>
          </w:tcPr>
          <w:p w:rsidR="003702E7" w:rsidRPr="00920597" w:rsidRDefault="003702E7" w:rsidP="003702E7">
            <w:pPr>
              <w:spacing w:line="400" w:lineRule="exact"/>
              <w:ind w:leftChars="27" w:left="65" w:rightChars="104" w:right="250"/>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委員會審查</w:t>
            </w:r>
          </w:p>
          <w:p w:rsidR="003702E7" w:rsidRPr="00920597" w:rsidRDefault="003702E7" w:rsidP="003702E7">
            <w:pPr>
              <w:spacing w:line="400" w:lineRule="exact"/>
              <w:ind w:leftChars="27" w:left="65" w:rightChars="104" w:right="250"/>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859" w:type="pct"/>
            <w:tcBorders>
              <w:top w:val="single" w:sz="4" w:space="0" w:color="auto"/>
              <w:left w:val="single" w:sz="4" w:space="0" w:color="auto"/>
              <w:bottom w:val="single" w:sz="4" w:space="0" w:color="auto"/>
              <w:right w:val="single" w:sz="4" w:space="0" w:color="auto"/>
            </w:tcBorders>
            <w:vAlign w:val="center"/>
            <w:hideMark/>
          </w:tcPr>
          <w:p w:rsidR="003702E7" w:rsidRPr="00920597" w:rsidRDefault="003702E7" w:rsidP="003702E7">
            <w:pPr>
              <w:spacing w:line="400" w:lineRule="exact"/>
              <w:ind w:rightChars="26" w:right="62"/>
              <w:jc w:val="center"/>
              <w:rPr>
                <w:rFonts w:ascii="標楷體" w:eastAsia="標楷體" w:hAnsi="標楷體"/>
                <w:b/>
                <w:bCs/>
                <w:color w:val="000000" w:themeColor="text1"/>
                <w:spacing w:val="-20"/>
                <w:sz w:val="28"/>
              </w:rPr>
            </w:pPr>
            <w:r w:rsidRPr="00920597">
              <w:rPr>
                <w:rFonts w:ascii="標楷體" w:eastAsia="標楷體" w:hAnsi="標楷體" w:hint="eastAsia"/>
                <w:b/>
                <w:bCs/>
                <w:color w:val="000000" w:themeColor="text1"/>
                <w:spacing w:val="-20"/>
                <w:sz w:val="28"/>
              </w:rPr>
              <w:t>院會三讀通過</w:t>
            </w:r>
          </w:p>
          <w:p w:rsidR="003702E7" w:rsidRPr="00920597" w:rsidRDefault="003702E7" w:rsidP="003702E7">
            <w:pPr>
              <w:spacing w:line="400" w:lineRule="exact"/>
              <w:ind w:rightChars="26" w:right="6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pacing w:val="-20"/>
                <w:sz w:val="28"/>
              </w:rPr>
              <w:t>會次及日期</w:t>
            </w:r>
          </w:p>
        </w:tc>
      </w:tr>
      <w:tr w:rsidR="00BC07CA" w:rsidRPr="00920597" w:rsidTr="00BC07CA">
        <w:trPr>
          <w:trHeight w:val="567"/>
        </w:trPr>
        <w:tc>
          <w:tcPr>
            <w:tcW w:w="325" w:type="pct"/>
            <w:tcBorders>
              <w:top w:val="single" w:sz="4" w:space="0" w:color="auto"/>
              <w:left w:val="single" w:sz="4" w:space="0" w:color="auto"/>
              <w:bottom w:val="single" w:sz="4" w:space="0" w:color="auto"/>
              <w:right w:val="single" w:sz="4" w:space="0" w:color="auto"/>
            </w:tcBorders>
            <w:vAlign w:val="center"/>
          </w:tcPr>
          <w:p w:rsidR="00BC07CA" w:rsidRPr="00920597" w:rsidRDefault="00BC07CA" w:rsidP="006934DD">
            <w:pPr>
              <w:numPr>
                <w:ilvl w:val="0"/>
                <w:numId w:val="9"/>
              </w:numPr>
              <w:spacing w:line="400" w:lineRule="exact"/>
              <w:ind w:right="113"/>
              <w:jc w:val="center"/>
              <w:rPr>
                <w:rFonts w:ascii="標楷體" w:eastAsia="標楷體" w:hAnsi="標楷體"/>
                <w:color w:val="000000" w:themeColor="text1"/>
                <w:sz w:val="32"/>
              </w:rPr>
            </w:pPr>
          </w:p>
        </w:tc>
        <w:tc>
          <w:tcPr>
            <w:tcW w:w="1618" w:type="pct"/>
            <w:tcBorders>
              <w:top w:val="single" w:sz="4" w:space="0" w:color="auto"/>
              <w:left w:val="single" w:sz="4" w:space="0" w:color="auto"/>
              <w:bottom w:val="single" w:sz="4" w:space="0" w:color="auto"/>
              <w:right w:val="single" w:sz="4" w:space="0" w:color="auto"/>
            </w:tcBorders>
          </w:tcPr>
          <w:p w:rsidR="00BC07CA" w:rsidRPr="0095769A" w:rsidRDefault="00BC07CA" w:rsidP="00BC07CA">
            <w:pPr>
              <w:spacing w:line="400" w:lineRule="exact"/>
              <w:ind w:leftChars="-12" w:left="-29"/>
              <w:rPr>
                <w:rFonts w:ascii="標楷體" w:eastAsia="標楷體" w:hAnsi="標楷體"/>
                <w:color w:val="000000"/>
                <w:sz w:val="28"/>
                <w:szCs w:val="28"/>
              </w:rPr>
            </w:pPr>
            <w:r w:rsidRPr="0095769A">
              <w:rPr>
                <w:rFonts w:ascii="標楷體" w:eastAsia="標楷體" w:hAnsi="標楷體" w:hint="eastAsia"/>
                <w:color w:val="000000"/>
                <w:sz w:val="28"/>
                <w:szCs w:val="28"/>
              </w:rPr>
              <w:t>併案審查</w:t>
            </w:r>
          </w:p>
          <w:p w:rsidR="00BC07CA" w:rsidRPr="0095769A" w:rsidRDefault="00BC07CA" w:rsidP="00BC07CA">
            <w:pPr>
              <w:spacing w:line="400" w:lineRule="exact"/>
              <w:ind w:leftChars="-12" w:left="-29"/>
              <w:rPr>
                <w:rFonts w:ascii="標楷體" w:eastAsia="標楷體" w:hAnsi="標楷體"/>
                <w:color w:val="000000"/>
                <w:sz w:val="28"/>
                <w:szCs w:val="28"/>
              </w:rPr>
            </w:pPr>
            <w:r w:rsidRPr="0095769A">
              <w:rPr>
                <w:rFonts w:ascii="標楷體" w:eastAsia="標楷體" w:hAnsi="標楷體" w:hint="eastAsia"/>
                <w:color w:val="000000"/>
                <w:sz w:val="28"/>
                <w:szCs w:val="28"/>
              </w:rPr>
              <w:t>1.水下文化資產保存法第三十七條條文修正草案</w:t>
            </w:r>
          </w:p>
          <w:p w:rsidR="00BC07CA" w:rsidRPr="0095769A" w:rsidRDefault="00BC07CA" w:rsidP="00BC07CA">
            <w:pPr>
              <w:spacing w:line="400" w:lineRule="exact"/>
              <w:ind w:leftChars="-12" w:left="-29"/>
              <w:rPr>
                <w:rFonts w:ascii="標楷體" w:eastAsia="標楷體" w:hAnsi="標楷體"/>
                <w:color w:val="000000"/>
                <w:sz w:val="28"/>
                <w:szCs w:val="28"/>
              </w:rPr>
            </w:pPr>
            <w:r w:rsidRPr="0095769A">
              <w:rPr>
                <w:rFonts w:ascii="標楷體" w:eastAsia="標楷體" w:hAnsi="標楷體" w:hint="eastAsia"/>
                <w:color w:val="000000"/>
                <w:sz w:val="28"/>
                <w:szCs w:val="28"/>
              </w:rPr>
              <w:t>(行政院)</w:t>
            </w:r>
          </w:p>
          <w:p w:rsidR="00BC07CA" w:rsidRPr="0095769A" w:rsidRDefault="00BC07CA" w:rsidP="00BC07CA">
            <w:pPr>
              <w:spacing w:line="400" w:lineRule="exact"/>
              <w:ind w:leftChars="-12" w:left="-29"/>
              <w:rPr>
                <w:rFonts w:ascii="標楷體" w:eastAsia="標楷體" w:hAnsi="標楷體"/>
                <w:color w:val="000000"/>
                <w:sz w:val="28"/>
                <w:szCs w:val="28"/>
              </w:rPr>
            </w:pPr>
          </w:p>
          <w:p w:rsidR="00BC07CA" w:rsidRPr="0095769A" w:rsidRDefault="00BC07CA" w:rsidP="00BC07CA">
            <w:pPr>
              <w:spacing w:line="400" w:lineRule="exact"/>
              <w:ind w:leftChars="-12" w:left="-29"/>
              <w:rPr>
                <w:rFonts w:ascii="標楷體" w:eastAsia="標楷體" w:hAnsi="標楷體"/>
                <w:color w:val="000000"/>
                <w:sz w:val="28"/>
                <w:szCs w:val="28"/>
              </w:rPr>
            </w:pPr>
            <w:r w:rsidRPr="0095769A">
              <w:rPr>
                <w:rFonts w:ascii="標楷體" w:eastAsia="標楷體" w:hAnsi="標楷體" w:hint="eastAsia"/>
                <w:color w:val="000000"/>
                <w:sz w:val="28"/>
                <w:szCs w:val="28"/>
              </w:rPr>
              <w:t>2.水下文化資產保存法第三十七條條文修正草案</w:t>
            </w:r>
          </w:p>
          <w:p w:rsidR="00BC07CA" w:rsidRPr="0095769A" w:rsidRDefault="00BC07CA" w:rsidP="00BC07CA">
            <w:pPr>
              <w:spacing w:line="400" w:lineRule="exact"/>
              <w:ind w:leftChars="-12" w:left="-29"/>
              <w:rPr>
                <w:rFonts w:ascii="標楷體" w:eastAsia="標楷體" w:hAnsi="標楷體"/>
                <w:color w:val="000000"/>
                <w:sz w:val="28"/>
                <w:szCs w:val="28"/>
              </w:rPr>
            </w:pPr>
            <w:r w:rsidRPr="0095769A">
              <w:rPr>
                <w:rFonts w:ascii="標楷體" w:eastAsia="標楷體" w:hAnsi="標楷體" w:hint="eastAsia"/>
                <w:color w:val="000000"/>
                <w:sz w:val="28"/>
                <w:szCs w:val="28"/>
              </w:rPr>
              <w:t>(民眾黨黨團)</w:t>
            </w:r>
            <w:r w:rsidRPr="0095769A">
              <w:rPr>
                <w:rFonts w:ascii="標楷體" w:eastAsia="標楷體" w:hAnsi="標楷體" w:hint="eastAsia"/>
                <w:color w:val="000000"/>
                <w:sz w:val="28"/>
                <w:szCs w:val="28"/>
              </w:rPr>
              <w:tab/>
            </w:r>
          </w:p>
          <w:p w:rsidR="00BC07CA" w:rsidRPr="0095769A" w:rsidRDefault="00BC07CA" w:rsidP="00BC07CA">
            <w:pPr>
              <w:spacing w:line="400" w:lineRule="exact"/>
              <w:ind w:leftChars="-12" w:left="-29"/>
              <w:rPr>
                <w:rFonts w:ascii="標楷體" w:eastAsia="標楷體" w:hAnsi="標楷體"/>
                <w:color w:val="000000"/>
                <w:sz w:val="28"/>
                <w:szCs w:val="28"/>
              </w:rPr>
            </w:pPr>
          </w:p>
          <w:p w:rsidR="00BC07CA" w:rsidRPr="0095769A" w:rsidRDefault="00BC07CA" w:rsidP="00BC07CA">
            <w:pPr>
              <w:spacing w:line="400" w:lineRule="exact"/>
              <w:ind w:leftChars="-12" w:left="-29"/>
              <w:rPr>
                <w:rFonts w:ascii="標楷體" w:eastAsia="標楷體" w:hAnsi="標楷體"/>
                <w:color w:val="000000"/>
                <w:sz w:val="28"/>
                <w:szCs w:val="28"/>
              </w:rPr>
            </w:pPr>
            <w:r w:rsidRPr="0095769A">
              <w:rPr>
                <w:rFonts w:ascii="標楷體" w:eastAsia="標楷體" w:hAnsi="標楷體" w:hint="eastAsia"/>
                <w:color w:val="000000"/>
                <w:sz w:val="28"/>
                <w:szCs w:val="28"/>
              </w:rPr>
              <w:t>3.水下文化資產保存法第三十七條條文修正草案</w:t>
            </w:r>
          </w:p>
          <w:p w:rsidR="00BC07CA" w:rsidRPr="0095769A" w:rsidRDefault="00BC07CA" w:rsidP="00BC07CA">
            <w:pPr>
              <w:spacing w:line="400" w:lineRule="exact"/>
              <w:ind w:leftChars="-12" w:left="-29"/>
              <w:rPr>
                <w:rFonts w:ascii="標楷體" w:eastAsia="標楷體" w:hAnsi="標楷體"/>
                <w:color w:val="000000"/>
                <w:sz w:val="28"/>
                <w:szCs w:val="28"/>
              </w:rPr>
            </w:pPr>
            <w:r w:rsidRPr="0095769A">
              <w:rPr>
                <w:rFonts w:ascii="標楷體" w:eastAsia="標楷體" w:hAnsi="標楷體" w:hint="eastAsia"/>
                <w:color w:val="000000"/>
                <w:sz w:val="28"/>
                <w:szCs w:val="28"/>
              </w:rPr>
              <w:t>(委員黃世杰等18人)</w:t>
            </w:r>
            <w:r w:rsidRPr="0095769A">
              <w:rPr>
                <w:rFonts w:ascii="標楷體" w:eastAsia="標楷體" w:hAnsi="標楷體" w:hint="eastAsia"/>
                <w:color w:val="000000"/>
                <w:sz w:val="28"/>
                <w:szCs w:val="28"/>
              </w:rPr>
              <w:tab/>
            </w:r>
          </w:p>
          <w:p w:rsidR="00BC07CA" w:rsidRPr="0095769A" w:rsidRDefault="00BC07CA" w:rsidP="00BC07CA">
            <w:pPr>
              <w:spacing w:line="400" w:lineRule="exact"/>
              <w:ind w:leftChars="-12" w:left="-29"/>
              <w:rPr>
                <w:rFonts w:ascii="標楷體" w:eastAsia="標楷體" w:hAnsi="標楷體"/>
                <w:color w:val="000000"/>
                <w:sz w:val="28"/>
                <w:szCs w:val="28"/>
              </w:rPr>
            </w:pPr>
          </w:p>
          <w:p w:rsidR="00BC07CA" w:rsidRPr="0095769A" w:rsidRDefault="00BC07CA" w:rsidP="00BC07CA">
            <w:pPr>
              <w:spacing w:line="400" w:lineRule="exact"/>
              <w:ind w:leftChars="-12" w:left="-29"/>
              <w:rPr>
                <w:rFonts w:ascii="標楷體" w:eastAsia="標楷體" w:hAnsi="標楷體"/>
                <w:color w:val="000000"/>
                <w:sz w:val="28"/>
                <w:szCs w:val="28"/>
              </w:rPr>
            </w:pPr>
            <w:r w:rsidRPr="0095769A">
              <w:rPr>
                <w:rFonts w:ascii="標楷體" w:eastAsia="標楷體" w:hAnsi="標楷體" w:hint="eastAsia"/>
                <w:color w:val="000000"/>
                <w:sz w:val="28"/>
                <w:szCs w:val="28"/>
              </w:rPr>
              <w:t>4.水下文化資產保存法第三十七條條文修正草案</w:t>
            </w:r>
          </w:p>
          <w:p w:rsidR="00BC07CA" w:rsidRPr="0095769A" w:rsidRDefault="00BC07CA" w:rsidP="00BC07CA">
            <w:pPr>
              <w:spacing w:line="400" w:lineRule="exact"/>
              <w:ind w:leftChars="-12" w:left="-29"/>
              <w:rPr>
                <w:rFonts w:ascii="標楷體" w:eastAsia="標楷體" w:hAnsi="標楷體"/>
                <w:color w:val="000000"/>
                <w:sz w:val="28"/>
                <w:szCs w:val="28"/>
              </w:rPr>
            </w:pPr>
            <w:r w:rsidRPr="0095769A">
              <w:rPr>
                <w:rFonts w:ascii="標楷體" w:eastAsia="標楷體" w:hAnsi="標楷體" w:hint="eastAsia"/>
                <w:color w:val="000000"/>
                <w:sz w:val="28"/>
                <w:szCs w:val="28"/>
              </w:rPr>
              <w:t>(委員萬美玲等16人)</w:t>
            </w:r>
            <w:r w:rsidRPr="0095769A">
              <w:rPr>
                <w:rFonts w:ascii="標楷體" w:eastAsia="標楷體" w:hAnsi="標楷體" w:hint="eastAsia"/>
                <w:color w:val="000000"/>
                <w:sz w:val="28"/>
                <w:szCs w:val="28"/>
              </w:rPr>
              <w:tab/>
            </w:r>
          </w:p>
          <w:p w:rsidR="00BC07CA" w:rsidRPr="0095769A" w:rsidRDefault="00BC07CA" w:rsidP="00BC07CA">
            <w:pPr>
              <w:spacing w:line="400" w:lineRule="exact"/>
              <w:ind w:leftChars="-12" w:left="-29"/>
              <w:rPr>
                <w:rFonts w:ascii="標楷體" w:eastAsia="標楷體" w:hAnsi="標楷體"/>
                <w:color w:val="000000"/>
                <w:sz w:val="28"/>
                <w:szCs w:val="28"/>
              </w:rPr>
            </w:pPr>
          </w:p>
          <w:p w:rsidR="00BC07CA" w:rsidRPr="0095769A" w:rsidRDefault="00BC07CA" w:rsidP="00BC07CA">
            <w:pPr>
              <w:spacing w:line="400" w:lineRule="exact"/>
              <w:rPr>
                <w:rFonts w:ascii="標楷體" w:eastAsia="標楷體" w:hAnsi="標楷體"/>
                <w:color w:val="000000"/>
                <w:sz w:val="28"/>
                <w:szCs w:val="28"/>
              </w:rPr>
            </w:pPr>
            <w:r w:rsidRPr="0095769A">
              <w:rPr>
                <w:rFonts w:ascii="標楷體" w:eastAsia="標楷體" w:hAnsi="標楷體" w:hint="eastAsia"/>
                <w:color w:val="000000"/>
                <w:sz w:val="28"/>
                <w:szCs w:val="28"/>
              </w:rPr>
              <w:t>5.水下文化資產保存法第三十七條條文修正草案</w:t>
            </w:r>
          </w:p>
          <w:p w:rsidR="00BC07CA" w:rsidRPr="0095769A" w:rsidRDefault="00BC07CA" w:rsidP="00BC07CA">
            <w:pPr>
              <w:spacing w:line="400" w:lineRule="exact"/>
              <w:rPr>
                <w:rFonts w:ascii="標楷體" w:eastAsia="標楷體" w:hAnsi="標楷體"/>
                <w:color w:val="000000"/>
                <w:sz w:val="28"/>
                <w:szCs w:val="28"/>
              </w:rPr>
            </w:pPr>
            <w:r w:rsidRPr="0095769A">
              <w:rPr>
                <w:rFonts w:ascii="標楷體" w:eastAsia="標楷體" w:hAnsi="標楷體" w:hint="eastAsia"/>
                <w:color w:val="000000"/>
                <w:sz w:val="28"/>
                <w:szCs w:val="28"/>
              </w:rPr>
              <w:t>(委員陳秀寳等18人)</w:t>
            </w:r>
          </w:p>
          <w:p w:rsidR="00BC07CA" w:rsidRPr="0095769A" w:rsidRDefault="00BC07CA" w:rsidP="00BC07CA">
            <w:pPr>
              <w:spacing w:line="400" w:lineRule="exact"/>
              <w:rPr>
                <w:rFonts w:ascii="標楷體" w:eastAsia="標楷體" w:hAnsi="標楷體"/>
                <w:color w:val="000000"/>
                <w:sz w:val="28"/>
                <w:szCs w:val="28"/>
              </w:rPr>
            </w:pPr>
          </w:p>
          <w:p w:rsidR="00BC07CA" w:rsidRPr="0095769A" w:rsidRDefault="00BC07CA" w:rsidP="00BC07CA">
            <w:pPr>
              <w:spacing w:line="400" w:lineRule="exact"/>
              <w:rPr>
                <w:rFonts w:ascii="標楷體" w:eastAsia="標楷體" w:hAnsi="標楷體"/>
                <w:color w:val="000000"/>
                <w:sz w:val="28"/>
                <w:szCs w:val="28"/>
              </w:rPr>
            </w:pPr>
            <w:r w:rsidRPr="0095769A">
              <w:rPr>
                <w:rFonts w:ascii="標楷體" w:eastAsia="標楷體" w:hAnsi="標楷體" w:hint="eastAsia"/>
                <w:color w:val="000000"/>
                <w:sz w:val="28"/>
                <w:szCs w:val="28"/>
              </w:rPr>
              <w:t>6.水下文化資產保存法第七條、第十三條及第四十條條文修正草案</w:t>
            </w:r>
          </w:p>
          <w:p w:rsidR="00BC07CA" w:rsidRPr="0095769A" w:rsidRDefault="00BC07CA" w:rsidP="00BC07CA">
            <w:pPr>
              <w:spacing w:line="400" w:lineRule="exact"/>
              <w:rPr>
                <w:rFonts w:ascii="標楷體" w:eastAsia="標楷體" w:hAnsi="標楷體"/>
                <w:color w:val="000000"/>
                <w:sz w:val="28"/>
                <w:szCs w:val="28"/>
              </w:rPr>
            </w:pPr>
            <w:r w:rsidRPr="0095769A">
              <w:rPr>
                <w:rFonts w:ascii="標楷體" w:eastAsia="標楷體" w:hAnsi="標楷體" w:hint="eastAsia"/>
                <w:color w:val="000000"/>
                <w:sz w:val="28"/>
                <w:szCs w:val="28"/>
              </w:rPr>
              <w:t>(委員林奕華等17人)</w:t>
            </w:r>
          </w:p>
          <w:p w:rsidR="00BC07CA" w:rsidRPr="0095769A" w:rsidRDefault="00BC07CA" w:rsidP="00BC07CA">
            <w:pPr>
              <w:spacing w:line="400" w:lineRule="exact"/>
              <w:rPr>
                <w:rFonts w:ascii="標楷體" w:eastAsia="標楷體" w:hAnsi="標楷體"/>
                <w:color w:val="000000"/>
                <w:sz w:val="28"/>
                <w:szCs w:val="28"/>
              </w:rPr>
            </w:pPr>
          </w:p>
          <w:p w:rsidR="00BC07CA" w:rsidRPr="0095769A" w:rsidRDefault="00BC07CA" w:rsidP="00BC07CA">
            <w:pPr>
              <w:spacing w:line="400" w:lineRule="exact"/>
              <w:rPr>
                <w:rFonts w:ascii="標楷體" w:eastAsia="標楷體" w:hAnsi="標楷體"/>
                <w:color w:val="000000"/>
                <w:sz w:val="28"/>
                <w:szCs w:val="28"/>
              </w:rPr>
            </w:pPr>
            <w:r w:rsidRPr="0095769A">
              <w:rPr>
                <w:rFonts w:ascii="標楷體" w:eastAsia="標楷體" w:hAnsi="標楷體" w:hint="eastAsia"/>
                <w:color w:val="000000"/>
                <w:sz w:val="28"/>
                <w:szCs w:val="28"/>
              </w:rPr>
              <w:t>7.水下文化資產保存法第三十七條條文修正草案</w:t>
            </w:r>
          </w:p>
          <w:p w:rsidR="00BC07CA" w:rsidRPr="0095769A" w:rsidRDefault="00BC07CA" w:rsidP="00BC07CA">
            <w:pPr>
              <w:spacing w:line="400" w:lineRule="exact"/>
              <w:rPr>
                <w:rFonts w:ascii="標楷體" w:eastAsia="標楷體" w:hAnsi="標楷體"/>
                <w:color w:val="000000"/>
                <w:sz w:val="28"/>
                <w:szCs w:val="28"/>
              </w:rPr>
            </w:pPr>
            <w:r w:rsidRPr="0095769A">
              <w:rPr>
                <w:rFonts w:ascii="標楷體" w:eastAsia="標楷體" w:hAnsi="標楷體" w:hint="eastAsia"/>
                <w:color w:val="000000"/>
                <w:sz w:val="28"/>
                <w:szCs w:val="28"/>
              </w:rPr>
              <w:t>(委員林奕華等17人)</w:t>
            </w:r>
          </w:p>
        </w:tc>
        <w:tc>
          <w:tcPr>
            <w:tcW w:w="830" w:type="pct"/>
            <w:tcBorders>
              <w:top w:val="single" w:sz="4" w:space="0" w:color="auto"/>
              <w:left w:val="single" w:sz="4" w:space="0" w:color="auto"/>
              <w:bottom w:val="single" w:sz="4" w:space="0" w:color="auto"/>
              <w:right w:val="single" w:sz="4" w:space="0" w:color="auto"/>
            </w:tcBorders>
          </w:tcPr>
          <w:p w:rsidR="00BC07CA" w:rsidRPr="0095769A" w:rsidRDefault="00BC07CA" w:rsidP="00BC07CA">
            <w:pPr>
              <w:spacing w:line="400" w:lineRule="exact"/>
              <w:ind w:leftChars="-12" w:left="-29"/>
              <w:rPr>
                <w:rFonts w:ascii="標楷體" w:eastAsia="標楷體" w:hAnsi="標楷體"/>
                <w:color w:val="000000"/>
                <w:sz w:val="28"/>
                <w:szCs w:val="28"/>
              </w:rPr>
            </w:pPr>
            <w:r w:rsidRPr="0095769A">
              <w:rPr>
                <w:rFonts w:ascii="標楷體" w:eastAsia="標楷體" w:hAnsi="標楷體" w:hint="eastAsia"/>
                <w:color w:val="000000"/>
                <w:sz w:val="28"/>
                <w:szCs w:val="28"/>
              </w:rPr>
              <w:tab/>
            </w:r>
          </w:p>
          <w:p w:rsidR="00BC07CA" w:rsidRPr="0095769A" w:rsidRDefault="00BC07CA" w:rsidP="00BC07CA">
            <w:pPr>
              <w:spacing w:line="400" w:lineRule="exact"/>
              <w:ind w:leftChars="-12" w:left="-29"/>
              <w:rPr>
                <w:rFonts w:ascii="標楷體" w:eastAsia="標楷體" w:hAnsi="標楷體"/>
                <w:color w:val="000000"/>
                <w:sz w:val="28"/>
                <w:szCs w:val="28"/>
              </w:rPr>
            </w:pPr>
            <w:r w:rsidRPr="0095769A">
              <w:rPr>
                <w:rFonts w:ascii="標楷體" w:eastAsia="標楷體" w:hAnsi="標楷體" w:hint="eastAsia"/>
                <w:color w:val="000000"/>
                <w:sz w:val="28"/>
                <w:szCs w:val="28"/>
              </w:rPr>
              <w:t>10-1-6</w:t>
            </w:r>
          </w:p>
          <w:p w:rsidR="00BC07CA" w:rsidRPr="0095769A" w:rsidRDefault="00BC07CA" w:rsidP="00BC07CA">
            <w:pPr>
              <w:spacing w:line="400" w:lineRule="exact"/>
              <w:ind w:leftChars="-12" w:left="-29"/>
              <w:rPr>
                <w:rFonts w:ascii="標楷體" w:eastAsia="標楷體" w:hAnsi="標楷體"/>
                <w:color w:val="000000"/>
                <w:sz w:val="28"/>
                <w:szCs w:val="28"/>
              </w:rPr>
            </w:pPr>
            <w:r w:rsidRPr="0095769A">
              <w:rPr>
                <w:rFonts w:ascii="標楷體" w:eastAsia="標楷體" w:hAnsi="標楷體"/>
                <w:color w:val="000000"/>
                <w:sz w:val="28"/>
                <w:szCs w:val="28"/>
              </w:rPr>
              <w:t>(109.3.27)</w:t>
            </w:r>
          </w:p>
          <w:p w:rsidR="00BC07CA" w:rsidRPr="0095769A" w:rsidRDefault="00BC07CA" w:rsidP="00BC07CA">
            <w:pPr>
              <w:spacing w:line="400" w:lineRule="exact"/>
              <w:ind w:leftChars="-12" w:left="-29"/>
              <w:rPr>
                <w:rFonts w:ascii="標楷體" w:eastAsia="標楷體" w:hAnsi="標楷體"/>
                <w:color w:val="000000"/>
                <w:sz w:val="28"/>
                <w:szCs w:val="28"/>
              </w:rPr>
            </w:pPr>
          </w:p>
          <w:p w:rsidR="00BC07CA" w:rsidRPr="0095769A" w:rsidRDefault="00BC07CA" w:rsidP="00BC07CA">
            <w:pPr>
              <w:spacing w:line="400" w:lineRule="exact"/>
              <w:ind w:leftChars="-12" w:left="-29"/>
              <w:rPr>
                <w:rFonts w:ascii="標楷體" w:eastAsia="標楷體" w:hAnsi="標楷體"/>
                <w:color w:val="000000"/>
                <w:sz w:val="28"/>
                <w:szCs w:val="28"/>
              </w:rPr>
            </w:pPr>
          </w:p>
          <w:p w:rsidR="00BC07CA" w:rsidRPr="0095769A" w:rsidRDefault="00BC07CA" w:rsidP="00BC07CA">
            <w:pPr>
              <w:spacing w:line="400" w:lineRule="exact"/>
              <w:ind w:leftChars="-12" w:left="-29"/>
              <w:rPr>
                <w:rFonts w:ascii="標楷體" w:eastAsia="標楷體" w:hAnsi="標楷體"/>
                <w:color w:val="000000"/>
                <w:sz w:val="28"/>
                <w:szCs w:val="28"/>
              </w:rPr>
            </w:pPr>
            <w:r w:rsidRPr="0095769A">
              <w:rPr>
                <w:rFonts w:ascii="標楷體" w:eastAsia="標楷體" w:hAnsi="標楷體" w:hint="eastAsia"/>
                <w:color w:val="000000"/>
                <w:sz w:val="28"/>
                <w:szCs w:val="28"/>
              </w:rPr>
              <w:t>10-5-2</w:t>
            </w:r>
          </w:p>
          <w:p w:rsidR="00BC07CA" w:rsidRPr="0095769A" w:rsidRDefault="00BC07CA" w:rsidP="00BC07CA">
            <w:pPr>
              <w:spacing w:line="400" w:lineRule="exact"/>
              <w:ind w:leftChars="-12" w:left="-29"/>
              <w:rPr>
                <w:rFonts w:ascii="標楷體" w:eastAsia="標楷體" w:hAnsi="標楷體"/>
                <w:color w:val="000000"/>
                <w:sz w:val="28"/>
                <w:szCs w:val="28"/>
              </w:rPr>
            </w:pPr>
            <w:r w:rsidRPr="0095769A">
              <w:rPr>
                <w:rFonts w:ascii="標楷體" w:eastAsia="標楷體" w:hAnsi="標楷體"/>
                <w:color w:val="000000"/>
                <w:sz w:val="28"/>
                <w:szCs w:val="28"/>
              </w:rPr>
              <w:t>(111.3.4)</w:t>
            </w:r>
          </w:p>
          <w:p w:rsidR="00BC07CA" w:rsidRPr="0095769A" w:rsidRDefault="00BC07CA" w:rsidP="00BC07CA">
            <w:pPr>
              <w:spacing w:line="400" w:lineRule="exact"/>
              <w:ind w:leftChars="-12" w:left="-29"/>
              <w:rPr>
                <w:rFonts w:ascii="標楷體" w:eastAsia="標楷體" w:hAnsi="標楷體"/>
                <w:color w:val="000000"/>
                <w:sz w:val="28"/>
                <w:szCs w:val="28"/>
              </w:rPr>
            </w:pPr>
          </w:p>
          <w:p w:rsidR="00BC07CA" w:rsidRPr="0095769A" w:rsidRDefault="00BC07CA" w:rsidP="00BC07CA">
            <w:pPr>
              <w:spacing w:line="400" w:lineRule="exact"/>
              <w:ind w:leftChars="-12" w:left="-29"/>
              <w:rPr>
                <w:rFonts w:ascii="標楷體" w:eastAsia="標楷體" w:hAnsi="標楷體"/>
                <w:color w:val="000000"/>
                <w:sz w:val="28"/>
                <w:szCs w:val="28"/>
              </w:rPr>
            </w:pPr>
          </w:p>
          <w:p w:rsidR="00BC07CA" w:rsidRPr="0095769A" w:rsidRDefault="00BC07CA" w:rsidP="00BC07CA">
            <w:pPr>
              <w:spacing w:line="400" w:lineRule="exact"/>
              <w:ind w:leftChars="-12" w:left="-29"/>
              <w:rPr>
                <w:rFonts w:ascii="標楷體" w:eastAsia="標楷體" w:hAnsi="標楷體"/>
                <w:color w:val="000000"/>
                <w:sz w:val="28"/>
                <w:szCs w:val="28"/>
              </w:rPr>
            </w:pPr>
            <w:r w:rsidRPr="0095769A">
              <w:rPr>
                <w:rFonts w:ascii="標楷體" w:eastAsia="標楷體" w:hAnsi="標楷體" w:hint="eastAsia"/>
                <w:color w:val="000000"/>
                <w:sz w:val="28"/>
                <w:szCs w:val="28"/>
              </w:rPr>
              <w:t>10-5-7</w:t>
            </w:r>
          </w:p>
          <w:p w:rsidR="00BC07CA" w:rsidRPr="0095769A" w:rsidRDefault="00BC07CA" w:rsidP="00BC07CA">
            <w:pPr>
              <w:spacing w:line="400" w:lineRule="exact"/>
              <w:ind w:leftChars="-12" w:left="-29"/>
              <w:rPr>
                <w:rFonts w:ascii="標楷體" w:eastAsia="標楷體" w:hAnsi="標楷體"/>
                <w:color w:val="000000"/>
                <w:sz w:val="28"/>
                <w:szCs w:val="28"/>
              </w:rPr>
            </w:pPr>
            <w:r w:rsidRPr="0095769A">
              <w:rPr>
                <w:rFonts w:ascii="標楷體" w:eastAsia="標楷體" w:hAnsi="標楷體"/>
                <w:color w:val="000000"/>
                <w:sz w:val="28"/>
                <w:szCs w:val="28"/>
              </w:rPr>
              <w:t>(111.4.8)</w:t>
            </w:r>
          </w:p>
          <w:p w:rsidR="00BC07CA" w:rsidRPr="0095769A" w:rsidRDefault="00BC07CA" w:rsidP="00BC07CA">
            <w:pPr>
              <w:spacing w:line="400" w:lineRule="exact"/>
              <w:ind w:leftChars="-12" w:left="-29"/>
              <w:rPr>
                <w:rFonts w:ascii="標楷體" w:eastAsia="標楷體" w:hAnsi="標楷體"/>
                <w:color w:val="000000"/>
                <w:sz w:val="28"/>
                <w:szCs w:val="28"/>
              </w:rPr>
            </w:pPr>
          </w:p>
          <w:p w:rsidR="00BC07CA" w:rsidRPr="0095769A" w:rsidRDefault="00BC07CA" w:rsidP="00BC07CA">
            <w:pPr>
              <w:spacing w:line="400" w:lineRule="exact"/>
              <w:ind w:leftChars="-12" w:left="-29"/>
              <w:rPr>
                <w:rFonts w:ascii="標楷體" w:eastAsia="標楷體" w:hAnsi="標楷體"/>
                <w:color w:val="000000"/>
                <w:sz w:val="28"/>
                <w:szCs w:val="28"/>
              </w:rPr>
            </w:pPr>
          </w:p>
          <w:p w:rsidR="00BC07CA" w:rsidRPr="0095769A" w:rsidRDefault="00BC07CA" w:rsidP="00BC07CA">
            <w:pPr>
              <w:spacing w:line="400" w:lineRule="exact"/>
              <w:ind w:leftChars="-12" w:left="-29"/>
              <w:rPr>
                <w:rFonts w:ascii="標楷體" w:eastAsia="標楷體" w:hAnsi="標楷體"/>
                <w:color w:val="000000"/>
                <w:sz w:val="28"/>
                <w:szCs w:val="28"/>
              </w:rPr>
            </w:pPr>
            <w:r w:rsidRPr="0095769A">
              <w:rPr>
                <w:rFonts w:ascii="標楷體" w:eastAsia="標楷體" w:hAnsi="標楷體" w:hint="eastAsia"/>
                <w:color w:val="000000"/>
                <w:sz w:val="28"/>
                <w:szCs w:val="28"/>
              </w:rPr>
              <w:t>10-5-8</w:t>
            </w:r>
          </w:p>
          <w:p w:rsidR="00BC07CA" w:rsidRPr="0095769A" w:rsidRDefault="00BC07CA" w:rsidP="00BC07CA">
            <w:pPr>
              <w:spacing w:line="400" w:lineRule="exact"/>
              <w:ind w:leftChars="-12" w:left="-29"/>
              <w:rPr>
                <w:rFonts w:ascii="標楷體" w:eastAsia="標楷體" w:hAnsi="標楷體"/>
                <w:color w:val="000000"/>
                <w:sz w:val="28"/>
                <w:szCs w:val="28"/>
              </w:rPr>
            </w:pPr>
            <w:r w:rsidRPr="0095769A">
              <w:rPr>
                <w:rFonts w:ascii="標楷體" w:eastAsia="標楷體" w:hAnsi="標楷體"/>
                <w:color w:val="000000"/>
                <w:sz w:val="28"/>
                <w:szCs w:val="28"/>
              </w:rPr>
              <w:t>(111.4.15)</w:t>
            </w:r>
          </w:p>
          <w:p w:rsidR="00BC07CA" w:rsidRPr="0095769A" w:rsidRDefault="00BC07CA" w:rsidP="00BC07CA">
            <w:pPr>
              <w:spacing w:line="400" w:lineRule="exact"/>
              <w:ind w:leftChars="-12" w:left="-29"/>
              <w:rPr>
                <w:rFonts w:ascii="標楷體" w:eastAsia="標楷體" w:hAnsi="標楷體"/>
                <w:color w:val="000000"/>
                <w:sz w:val="28"/>
                <w:szCs w:val="28"/>
              </w:rPr>
            </w:pPr>
          </w:p>
          <w:p w:rsidR="00BC07CA" w:rsidRPr="0095769A" w:rsidRDefault="00BC07CA" w:rsidP="00BC07CA">
            <w:pPr>
              <w:spacing w:line="400" w:lineRule="exact"/>
              <w:ind w:leftChars="-12" w:left="-29"/>
              <w:rPr>
                <w:rFonts w:ascii="標楷體" w:eastAsia="標楷體" w:hAnsi="標楷體"/>
                <w:color w:val="000000"/>
                <w:sz w:val="28"/>
                <w:szCs w:val="28"/>
              </w:rPr>
            </w:pPr>
          </w:p>
          <w:p w:rsidR="00BC07CA" w:rsidRPr="0095769A" w:rsidRDefault="00BC07CA" w:rsidP="00BC07CA">
            <w:pPr>
              <w:spacing w:line="400" w:lineRule="exact"/>
              <w:ind w:leftChars="-12" w:left="-29"/>
              <w:rPr>
                <w:rFonts w:ascii="標楷體" w:eastAsia="標楷體" w:hAnsi="標楷體"/>
                <w:color w:val="000000"/>
                <w:sz w:val="28"/>
                <w:szCs w:val="28"/>
              </w:rPr>
            </w:pPr>
            <w:r w:rsidRPr="0095769A">
              <w:rPr>
                <w:rFonts w:ascii="標楷體" w:eastAsia="標楷體" w:hAnsi="標楷體" w:hint="eastAsia"/>
                <w:color w:val="000000"/>
                <w:sz w:val="28"/>
                <w:szCs w:val="28"/>
              </w:rPr>
              <w:t>10-5-12</w:t>
            </w:r>
          </w:p>
          <w:p w:rsidR="00BC07CA" w:rsidRPr="0095769A" w:rsidRDefault="00BC07CA" w:rsidP="00BC07CA">
            <w:pPr>
              <w:spacing w:line="400" w:lineRule="exact"/>
              <w:ind w:leftChars="-12" w:left="-29"/>
              <w:rPr>
                <w:rFonts w:ascii="標楷體" w:eastAsia="標楷體" w:hAnsi="標楷體"/>
                <w:color w:val="000000"/>
                <w:sz w:val="28"/>
                <w:szCs w:val="28"/>
              </w:rPr>
            </w:pPr>
            <w:r w:rsidRPr="0095769A">
              <w:rPr>
                <w:rFonts w:ascii="標楷體" w:eastAsia="標楷體" w:hAnsi="標楷體"/>
                <w:color w:val="000000"/>
                <w:sz w:val="28"/>
                <w:szCs w:val="28"/>
              </w:rPr>
              <w:t>(111.</w:t>
            </w:r>
            <w:r w:rsidRPr="0095769A">
              <w:rPr>
                <w:rFonts w:ascii="標楷體" w:eastAsia="標楷體" w:hAnsi="標楷體" w:hint="eastAsia"/>
                <w:color w:val="000000"/>
                <w:sz w:val="28"/>
                <w:szCs w:val="28"/>
              </w:rPr>
              <w:t>5</w:t>
            </w:r>
            <w:r w:rsidRPr="0095769A">
              <w:rPr>
                <w:rFonts w:ascii="標楷體" w:eastAsia="標楷體" w:hAnsi="標楷體"/>
                <w:color w:val="000000"/>
                <w:sz w:val="28"/>
                <w:szCs w:val="28"/>
              </w:rPr>
              <w:t>.1</w:t>
            </w:r>
            <w:r w:rsidRPr="0095769A">
              <w:rPr>
                <w:rFonts w:ascii="標楷體" w:eastAsia="標楷體" w:hAnsi="標楷體" w:hint="eastAsia"/>
                <w:color w:val="000000"/>
                <w:sz w:val="28"/>
                <w:szCs w:val="28"/>
              </w:rPr>
              <w:t>3</w:t>
            </w:r>
            <w:r w:rsidRPr="0095769A">
              <w:rPr>
                <w:rFonts w:ascii="標楷體" w:eastAsia="標楷體" w:hAnsi="標楷體"/>
                <w:color w:val="000000"/>
                <w:sz w:val="28"/>
                <w:szCs w:val="28"/>
              </w:rPr>
              <w:t>)</w:t>
            </w:r>
          </w:p>
          <w:p w:rsidR="00BC07CA" w:rsidRPr="0095769A" w:rsidRDefault="00BC07CA" w:rsidP="00BC07CA">
            <w:pPr>
              <w:spacing w:line="400" w:lineRule="exact"/>
              <w:ind w:leftChars="-12" w:left="-29"/>
              <w:rPr>
                <w:rFonts w:ascii="標楷體" w:eastAsia="標楷體" w:hAnsi="標楷體"/>
                <w:color w:val="000000"/>
                <w:sz w:val="28"/>
                <w:szCs w:val="28"/>
              </w:rPr>
            </w:pPr>
          </w:p>
          <w:p w:rsidR="00BC07CA" w:rsidRPr="0095769A" w:rsidRDefault="00BC07CA" w:rsidP="00BC07CA">
            <w:pPr>
              <w:spacing w:line="400" w:lineRule="exact"/>
              <w:ind w:leftChars="-12" w:left="-29"/>
              <w:rPr>
                <w:rFonts w:ascii="標楷體" w:eastAsia="標楷體" w:hAnsi="標楷體"/>
                <w:color w:val="000000"/>
                <w:sz w:val="28"/>
                <w:szCs w:val="28"/>
              </w:rPr>
            </w:pPr>
          </w:p>
          <w:p w:rsidR="00BC07CA" w:rsidRPr="0095769A" w:rsidRDefault="00BC07CA" w:rsidP="00BC07CA">
            <w:pPr>
              <w:spacing w:line="400" w:lineRule="exact"/>
              <w:ind w:leftChars="-12" w:left="-29"/>
              <w:rPr>
                <w:rFonts w:ascii="標楷體" w:eastAsia="標楷體" w:hAnsi="標楷體"/>
                <w:color w:val="000000"/>
                <w:sz w:val="28"/>
                <w:szCs w:val="28"/>
              </w:rPr>
            </w:pPr>
            <w:r w:rsidRPr="0095769A">
              <w:rPr>
                <w:rFonts w:ascii="標楷體" w:eastAsia="標楷體" w:hAnsi="標楷體"/>
                <w:color w:val="000000"/>
                <w:sz w:val="28"/>
                <w:szCs w:val="28"/>
              </w:rPr>
              <w:t>10-5-12</w:t>
            </w:r>
          </w:p>
          <w:p w:rsidR="00BC07CA" w:rsidRPr="0095769A" w:rsidRDefault="00BC07CA" w:rsidP="00BC07CA">
            <w:pPr>
              <w:spacing w:line="400" w:lineRule="exact"/>
              <w:ind w:leftChars="-12" w:left="-29"/>
              <w:rPr>
                <w:rFonts w:ascii="標楷體" w:eastAsia="標楷體" w:hAnsi="標楷體"/>
                <w:color w:val="000000"/>
                <w:sz w:val="28"/>
                <w:szCs w:val="28"/>
              </w:rPr>
            </w:pPr>
            <w:r w:rsidRPr="0095769A">
              <w:rPr>
                <w:rFonts w:ascii="標楷體" w:eastAsia="標楷體" w:hAnsi="標楷體"/>
                <w:color w:val="000000"/>
                <w:sz w:val="28"/>
                <w:szCs w:val="28"/>
              </w:rPr>
              <w:t>(111.5.13)</w:t>
            </w:r>
          </w:p>
          <w:p w:rsidR="00BC07CA" w:rsidRPr="0095769A" w:rsidRDefault="00BC07CA" w:rsidP="00BC07CA">
            <w:pPr>
              <w:spacing w:line="400" w:lineRule="exact"/>
              <w:ind w:leftChars="-12" w:left="-29"/>
              <w:rPr>
                <w:rFonts w:ascii="標楷體" w:eastAsia="標楷體" w:hAnsi="標楷體"/>
                <w:color w:val="000000"/>
                <w:sz w:val="28"/>
                <w:szCs w:val="28"/>
              </w:rPr>
            </w:pPr>
          </w:p>
          <w:p w:rsidR="00BC07CA" w:rsidRPr="0095769A" w:rsidRDefault="00BC07CA" w:rsidP="00BC07CA">
            <w:pPr>
              <w:spacing w:line="400" w:lineRule="exact"/>
              <w:ind w:leftChars="-12" w:left="-29"/>
              <w:rPr>
                <w:rFonts w:ascii="標楷體" w:eastAsia="標楷體" w:hAnsi="標楷體"/>
                <w:color w:val="000000"/>
                <w:sz w:val="28"/>
                <w:szCs w:val="28"/>
              </w:rPr>
            </w:pPr>
          </w:p>
          <w:p w:rsidR="00BC07CA" w:rsidRPr="0095769A" w:rsidRDefault="00BC07CA" w:rsidP="00BC07CA">
            <w:pPr>
              <w:spacing w:line="400" w:lineRule="exact"/>
              <w:ind w:leftChars="-12" w:left="-29"/>
              <w:rPr>
                <w:rFonts w:ascii="標楷體" w:eastAsia="標楷體" w:hAnsi="標楷體"/>
                <w:color w:val="000000"/>
                <w:sz w:val="28"/>
                <w:szCs w:val="28"/>
              </w:rPr>
            </w:pPr>
          </w:p>
          <w:p w:rsidR="00BC07CA" w:rsidRPr="0095769A" w:rsidRDefault="00BC07CA" w:rsidP="00BC07CA">
            <w:pPr>
              <w:spacing w:line="400" w:lineRule="exact"/>
              <w:ind w:leftChars="-12" w:left="-29"/>
              <w:rPr>
                <w:rFonts w:ascii="標楷體" w:eastAsia="標楷體" w:hAnsi="標楷體"/>
                <w:color w:val="000000"/>
                <w:sz w:val="28"/>
                <w:szCs w:val="28"/>
              </w:rPr>
            </w:pPr>
            <w:r w:rsidRPr="0095769A">
              <w:rPr>
                <w:rFonts w:ascii="標楷體" w:eastAsia="標楷體" w:hAnsi="標楷體"/>
                <w:color w:val="000000"/>
                <w:sz w:val="28"/>
                <w:szCs w:val="28"/>
              </w:rPr>
              <w:t>10-5-12</w:t>
            </w:r>
          </w:p>
          <w:p w:rsidR="00BC07CA" w:rsidRPr="0095769A" w:rsidRDefault="00BC07CA" w:rsidP="00BC07CA">
            <w:pPr>
              <w:spacing w:line="400" w:lineRule="exact"/>
              <w:ind w:leftChars="-12" w:left="-29"/>
              <w:rPr>
                <w:rFonts w:ascii="標楷體" w:eastAsia="標楷體" w:hAnsi="標楷體"/>
                <w:color w:val="000000"/>
                <w:sz w:val="28"/>
                <w:szCs w:val="28"/>
              </w:rPr>
            </w:pPr>
            <w:r w:rsidRPr="0095769A">
              <w:rPr>
                <w:rFonts w:ascii="標楷體" w:eastAsia="標楷體" w:hAnsi="標楷體"/>
                <w:color w:val="000000"/>
                <w:sz w:val="28"/>
                <w:szCs w:val="28"/>
              </w:rPr>
              <w:t>(111.5.13)</w:t>
            </w:r>
          </w:p>
        </w:tc>
        <w:tc>
          <w:tcPr>
            <w:tcW w:w="1368" w:type="pct"/>
            <w:tcBorders>
              <w:top w:val="single" w:sz="4" w:space="0" w:color="auto"/>
              <w:left w:val="single" w:sz="4" w:space="0" w:color="auto"/>
              <w:bottom w:val="single" w:sz="4" w:space="0" w:color="auto"/>
              <w:right w:val="single" w:sz="4" w:space="0" w:color="auto"/>
            </w:tcBorders>
          </w:tcPr>
          <w:p w:rsidR="00BC07CA" w:rsidRPr="00BC07CA" w:rsidRDefault="00BC07CA" w:rsidP="00BC07CA">
            <w:pPr>
              <w:jc w:val="both"/>
              <w:rPr>
                <w:rFonts w:ascii="標楷體" w:eastAsia="標楷體" w:hAnsi="標楷體"/>
                <w:color w:val="000000" w:themeColor="text1"/>
                <w:spacing w:val="-12"/>
                <w:szCs w:val="24"/>
              </w:rPr>
            </w:pPr>
            <w:r w:rsidRPr="00BC07CA">
              <w:rPr>
                <w:rFonts w:ascii="標楷體" w:eastAsia="標楷體" w:hAnsi="標楷體" w:hint="eastAsia"/>
                <w:color w:val="000000" w:themeColor="text1"/>
                <w:spacing w:val="-12"/>
                <w:szCs w:val="24"/>
              </w:rPr>
              <w:t>第5會期第15次全體委員會議(111.5.25)決議：審查完竣，不須交由黨團協商，併案擬具審查報告，提請院會討論。</w:t>
            </w:r>
          </w:p>
          <w:p w:rsidR="00BC07CA" w:rsidRPr="0095769A" w:rsidRDefault="00BC07CA" w:rsidP="00BC07CA">
            <w:pPr>
              <w:rPr>
                <w:rFonts w:ascii="標楷體" w:eastAsia="標楷體" w:hAnsi="標楷體"/>
                <w:color w:val="000000"/>
                <w:sz w:val="28"/>
              </w:rPr>
            </w:pPr>
          </w:p>
        </w:tc>
        <w:tc>
          <w:tcPr>
            <w:tcW w:w="859" w:type="pct"/>
            <w:tcBorders>
              <w:top w:val="single" w:sz="4" w:space="0" w:color="auto"/>
              <w:left w:val="single" w:sz="4" w:space="0" w:color="auto"/>
              <w:bottom w:val="single" w:sz="4" w:space="0" w:color="auto"/>
              <w:right w:val="single" w:sz="4" w:space="0" w:color="auto"/>
            </w:tcBorders>
          </w:tcPr>
          <w:p w:rsidR="00BC07CA" w:rsidRPr="0095769A" w:rsidRDefault="00BC07CA" w:rsidP="00BC07CA">
            <w:pPr>
              <w:spacing w:line="400" w:lineRule="exact"/>
              <w:ind w:leftChars="-12" w:left="-29"/>
              <w:rPr>
                <w:rFonts w:ascii="標楷體" w:eastAsia="標楷體" w:hAnsi="標楷體"/>
                <w:color w:val="000000"/>
                <w:sz w:val="28"/>
                <w:szCs w:val="28"/>
              </w:rPr>
            </w:pPr>
            <w:r w:rsidRPr="0095769A">
              <w:rPr>
                <w:rFonts w:ascii="標楷體" w:eastAsia="標楷體" w:hAnsi="標楷體"/>
                <w:color w:val="000000"/>
                <w:sz w:val="28"/>
                <w:szCs w:val="28"/>
              </w:rPr>
              <w:t>10-</w:t>
            </w:r>
            <w:r w:rsidRPr="0095769A">
              <w:rPr>
                <w:rFonts w:ascii="標楷體" w:eastAsia="標楷體" w:hAnsi="標楷體" w:hint="eastAsia"/>
                <w:color w:val="000000"/>
                <w:sz w:val="28"/>
                <w:szCs w:val="28"/>
              </w:rPr>
              <w:t>6</w:t>
            </w:r>
            <w:r w:rsidRPr="0095769A">
              <w:rPr>
                <w:rFonts w:ascii="標楷體" w:eastAsia="標楷體" w:hAnsi="標楷體"/>
                <w:color w:val="000000"/>
                <w:sz w:val="28"/>
                <w:szCs w:val="28"/>
              </w:rPr>
              <w:t>-</w:t>
            </w:r>
            <w:r w:rsidRPr="0095769A">
              <w:rPr>
                <w:rFonts w:ascii="標楷體" w:eastAsia="標楷體" w:hAnsi="標楷體" w:hint="eastAsia"/>
                <w:color w:val="000000"/>
                <w:sz w:val="28"/>
                <w:szCs w:val="28"/>
              </w:rPr>
              <w:t>7</w:t>
            </w:r>
          </w:p>
          <w:p w:rsidR="00BC07CA" w:rsidRPr="0095769A" w:rsidRDefault="00BC07CA" w:rsidP="00BC07CA">
            <w:pPr>
              <w:spacing w:line="400" w:lineRule="exact"/>
              <w:ind w:leftChars="-12" w:left="-29"/>
              <w:rPr>
                <w:rFonts w:ascii="標楷體" w:eastAsia="標楷體" w:hAnsi="標楷體"/>
                <w:color w:val="000000"/>
                <w:sz w:val="28"/>
                <w:szCs w:val="28"/>
              </w:rPr>
            </w:pPr>
            <w:r w:rsidRPr="0095769A">
              <w:rPr>
                <w:rFonts w:ascii="標楷體" w:eastAsia="標楷體" w:hAnsi="標楷體"/>
                <w:color w:val="000000"/>
                <w:sz w:val="28"/>
                <w:szCs w:val="28"/>
              </w:rPr>
              <w:t>(11</w:t>
            </w:r>
            <w:r w:rsidRPr="0095769A">
              <w:rPr>
                <w:rFonts w:ascii="標楷體" w:eastAsia="標楷體" w:hAnsi="標楷體" w:hint="eastAsia"/>
                <w:color w:val="000000"/>
                <w:sz w:val="28"/>
                <w:szCs w:val="28"/>
              </w:rPr>
              <w:t>1</w:t>
            </w:r>
            <w:r w:rsidRPr="0095769A">
              <w:rPr>
                <w:rFonts w:ascii="標楷體" w:eastAsia="標楷體" w:hAnsi="標楷體"/>
                <w:color w:val="000000"/>
                <w:sz w:val="28"/>
                <w:szCs w:val="28"/>
              </w:rPr>
              <w:t>.</w:t>
            </w:r>
            <w:r w:rsidRPr="0095769A">
              <w:rPr>
                <w:rFonts w:ascii="標楷體" w:eastAsia="標楷體" w:hAnsi="標楷體" w:hint="eastAsia"/>
                <w:color w:val="000000"/>
                <w:sz w:val="28"/>
                <w:szCs w:val="28"/>
              </w:rPr>
              <w:t>11</w:t>
            </w:r>
            <w:r w:rsidRPr="0095769A">
              <w:rPr>
                <w:rFonts w:ascii="標楷體" w:eastAsia="標楷體" w:hAnsi="標楷體"/>
                <w:color w:val="000000"/>
                <w:sz w:val="28"/>
                <w:szCs w:val="28"/>
              </w:rPr>
              <w:t>.</w:t>
            </w:r>
            <w:r w:rsidRPr="0095769A">
              <w:rPr>
                <w:rFonts w:ascii="標楷體" w:eastAsia="標楷體" w:hAnsi="標楷體" w:hint="eastAsia"/>
                <w:color w:val="000000"/>
                <w:sz w:val="28"/>
                <w:szCs w:val="28"/>
              </w:rPr>
              <w:t>15</w:t>
            </w:r>
            <w:r w:rsidRPr="0095769A">
              <w:rPr>
                <w:rFonts w:ascii="標楷體" w:eastAsia="標楷體" w:hAnsi="標楷體"/>
                <w:color w:val="000000"/>
                <w:sz w:val="28"/>
                <w:szCs w:val="28"/>
              </w:rPr>
              <w:t>)</w:t>
            </w:r>
          </w:p>
        </w:tc>
      </w:tr>
    </w:tbl>
    <w:p w:rsidR="00353235" w:rsidRPr="00920597" w:rsidRDefault="00353235" w:rsidP="00753BB3">
      <w:pPr>
        <w:pStyle w:val="01-21"/>
        <w:rPr>
          <w:color w:val="000000" w:themeColor="text1"/>
        </w:rPr>
      </w:pPr>
      <w:r w:rsidRPr="00920597">
        <w:rPr>
          <w:color w:val="000000" w:themeColor="text1"/>
        </w:rPr>
        <w:br w:type="page"/>
      </w:r>
      <w:bookmarkStart w:id="95" w:name="_Toc126068135"/>
      <w:r w:rsidRPr="00920597">
        <w:rPr>
          <w:rFonts w:hint="eastAsia"/>
          <w:color w:val="000000" w:themeColor="text1"/>
        </w:rPr>
        <w:lastRenderedPageBreak/>
        <w:t>二、預(決)算案（</w:t>
      </w:r>
      <w:r w:rsidR="00056636">
        <w:rPr>
          <w:rFonts w:hint="eastAsia"/>
          <w:color w:val="000000" w:themeColor="text1"/>
        </w:rPr>
        <w:t>66</w:t>
      </w:r>
      <w:r w:rsidRPr="00920597">
        <w:rPr>
          <w:rFonts w:hint="eastAsia"/>
          <w:color w:val="000000" w:themeColor="text1"/>
        </w:rPr>
        <w:t>案</w:t>
      </w:r>
      <w:r w:rsidRPr="00920597">
        <w:rPr>
          <w:color w:val="000000" w:themeColor="text1"/>
        </w:rPr>
        <w:t>）</w:t>
      </w:r>
      <w:bookmarkEnd w:id="95"/>
    </w:p>
    <w:p w:rsidR="00BC07CA" w:rsidRPr="00BC07CA" w:rsidRDefault="00BC07CA" w:rsidP="00BC07CA">
      <w:pPr>
        <w:pStyle w:val="01-3"/>
        <w:rPr>
          <w:color w:val="000000" w:themeColor="text1"/>
        </w:rPr>
      </w:pPr>
      <w:bookmarkStart w:id="96" w:name="_Toc64648137"/>
      <w:bookmarkStart w:id="97" w:name="_Toc95137417"/>
      <w:bookmarkStart w:id="98" w:name="_Toc126068136"/>
      <w:r w:rsidRPr="00BC07CA">
        <w:rPr>
          <w:rFonts w:hint="eastAsia"/>
          <w:color w:val="000000" w:themeColor="text1"/>
        </w:rPr>
        <w:t>(一)11</w:t>
      </w:r>
      <w:r>
        <w:rPr>
          <w:color w:val="000000" w:themeColor="text1"/>
        </w:rPr>
        <w:t>1</w:t>
      </w:r>
      <w:r w:rsidRPr="00BC07CA">
        <w:rPr>
          <w:rFonts w:hint="eastAsia"/>
          <w:color w:val="000000" w:themeColor="text1"/>
        </w:rPr>
        <w:t>年度中央政府總預算案(非營業基金預算) (1案)</w:t>
      </w:r>
      <w:bookmarkEnd w:id="96"/>
      <w:bookmarkEnd w:id="97"/>
      <w:bookmarkEnd w:id="98"/>
    </w:p>
    <w:tbl>
      <w:tblPr>
        <w:tblW w:w="5226"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34"/>
        <w:gridCol w:w="3051"/>
        <w:gridCol w:w="1703"/>
        <w:gridCol w:w="2693"/>
        <w:gridCol w:w="1983"/>
      </w:tblGrid>
      <w:tr w:rsidR="00BC07CA" w:rsidRPr="00BC07CA" w:rsidTr="00BC07CA">
        <w:trPr>
          <w:trHeight w:val="700"/>
        </w:trPr>
        <w:tc>
          <w:tcPr>
            <w:tcW w:w="315" w:type="pct"/>
            <w:vAlign w:val="center"/>
          </w:tcPr>
          <w:p w:rsidR="00BC07CA" w:rsidRPr="00BC07CA" w:rsidRDefault="00BC07CA" w:rsidP="00BC07CA">
            <w:pPr>
              <w:adjustRightInd w:val="0"/>
              <w:snapToGrid w:val="0"/>
              <w:rPr>
                <w:rFonts w:ascii="標楷體" w:eastAsia="標楷體" w:hAnsi="標楷體"/>
                <w:b/>
                <w:bCs/>
                <w:color w:val="000000"/>
                <w:sz w:val="28"/>
                <w:szCs w:val="28"/>
              </w:rPr>
            </w:pPr>
            <w:r w:rsidRPr="00BC07CA">
              <w:rPr>
                <w:rFonts w:ascii="標楷體" w:eastAsia="標楷體" w:hAnsi="標楷體" w:hint="eastAsia"/>
                <w:b/>
                <w:bCs/>
                <w:color w:val="000000"/>
                <w:sz w:val="28"/>
                <w:szCs w:val="28"/>
              </w:rPr>
              <w:t>序號</w:t>
            </w:r>
          </w:p>
        </w:tc>
        <w:tc>
          <w:tcPr>
            <w:tcW w:w="1516" w:type="pct"/>
            <w:vAlign w:val="center"/>
          </w:tcPr>
          <w:p w:rsidR="00BC07CA" w:rsidRPr="00BC07CA" w:rsidRDefault="00BC07CA" w:rsidP="00BC07CA">
            <w:pPr>
              <w:adjustRightInd w:val="0"/>
              <w:snapToGrid w:val="0"/>
              <w:jc w:val="center"/>
              <w:rPr>
                <w:rFonts w:ascii="標楷體" w:eastAsia="標楷體" w:hAnsi="標楷體"/>
                <w:b/>
                <w:bCs/>
                <w:color w:val="000000"/>
                <w:sz w:val="28"/>
                <w:szCs w:val="28"/>
              </w:rPr>
            </w:pPr>
            <w:r w:rsidRPr="00BC07CA">
              <w:rPr>
                <w:rFonts w:ascii="標楷體" w:eastAsia="標楷體" w:hAnsi="標楷體" w:hint="eastAsia"/>
                <w:b/>
                <w:bCs/>
                <w:color w:val="000000"/>
                <w:sz w:val="28"/>
                <w:szCs w:val="28"/>
              </w:rPr>
              <w:t>案由</w:t>
            </w:r>
          </w:p>
        </w:tc>
        <w:tc>
          <w:tcPr>
            <w:tcW w:w="846" w:type="pct"/>
            <w:vAlign w:val="center"/>
          </w:tcPr>
          <w:p w:rsidR="00BC07CA" w:rsidRPr="00BC07CA" w:rsidRDefault="00BC07CA" w:rsidP="00BC07CA">
            <w:pPr>
              <w:adjustRightInd w:val="0"/>
              <w:snapToGrid w:val="0"/>
              <w:jc w:val="center"/>
              <w:rPr>
                <w:rFonts w:ascii="標楷體" w:eastAsia="標楷體" w:hAnsi="標楷體"/>
                <w:b/>
                <w:bCs/>
                <w:color w:val="000000"/>
                <w:sz w:val="28"/>
                <w:szCs w:val="28"/>
              </w:rPr>
            </w:pPr>
            <w:r w:rsidRPr="00BC07CA">
              <w:rPr>
                <w:rFonts w:ascii="標楷體" w:eastAsia="標楷體" w:hAnsi="標楷體" w:hint="eastAsia"/>
                <w:b/>
                <w:bCs/>
                <w:color w:val="000000"/>
                <w:sz w:val="28"/>
                <w:szCs w:val="28"/>
              </w:rPr>
              <w:t>院會交付</w:t>
            </w:r>
          </w:p>
          <w:p w:rsidR="00BC07CA" w:rsidRPr="00BC07CA" w:rsidRDefault="00BC07CA" w:rsidP="00BC07CA">
            <w:pPr>
              <w:adjustRightInd w:val="0"/>
              <w:snapToGrid w:val="0"/>
              <w:jc w:val="center"/>
              <w:rPr>
                <w:rFonts w:ascii="標楷體" w:eastAsia="標楷體" w:hAnsi="標楷體"/>
                <w:b/>
                <w:bCs/>
                <w:color w:val="000000"/>
                <w:sz w:val="28"/>
                <w:szCs w:val="28"/>
              </w:rPr>
            </w:pPr>
            <w:r w:rsidRPr="00BC07CA">
              <w:rPr>
                <w:rFonts w:ascii="標楷體" w:eastAsia="標楷體" w:hAnsi="標楷體" w:hint="eastAsia"/>
                <w:b/>
                <w:bCs/>
                <w:color w:val="000000"/>
                <w:sz w:val="28"/>
                <w:szCs w:val="28"/>
              </w:rPr>
              <w:t>會次及日期</w:t>
            </w:r>
          </w:p>
        </w:tc>
        <w:tc>
          <w:tcPr>
            <w:tcW w:w="1338" w:type="pct"/>
            <w:vAlign w:val="center"/>
          </w:tcPr>
          <w:p w:rsidR="00BC07CA" w:rsidRPr="00BC07CA" w:rsidRDefault="00BC07CA" w:rsidP="00BC07CA">
            <w:pPr>
              <w:spacing w:line="400" w:lineRule="exact"/>
              <w:jc w:val="distribute"/>
              <w:rPr>
                <w:rFonts w:ascii="標楷體" w:eastAsia="標楷體" w:hAnsi="標楷體"/>
                <w:b/>
                <w:bCs/>
                <w:color w:val="000000"/>
                <w:sz w:val="28"/>
                <w:szCs w:val="28"/>
              </w:rPr>
            </w:pPr>
            <w:r w:rsidRPr="00BC07CA">
              <w:rPr>
                <w:rFonts w:ascii="標楷體" w:eastAsia="標楷體" w:hint="eastAsia"/>
                <w:b/>
                <w:bCs/>
                <w:color w:val="000000"/>
                <w:sz w:val="28"/>
              </w:rPr>
              <w:t>處理情形</w:t>
            </w:r>
          </w:p>
        </w:tc>
        <w:tc>
          <w:tcPr>
            <w:tcW w:w="985" w:type="pct"/>
          </w:tcPr>
          <w:p w:rsidR="00BC07CA" w:rsidRPr="00BC07CA" w:rsidRDefault="00BC07CA" w:rsidP="00BC07CA">
            <w:pPr>
              <w:spacing w:line="400" w:lineRule="exact"/>
              <w:jc w:val="distribute"/>
              <w:rPr>
                <w:rFonts w:ascii="標楷體" w:eastAsia="標楷體"/>
                <w:b/>
                <w:bCs/>
                <w:color w:val="000000"/>
                <w:sz w:val="28"/>
              </w:rPr>
            </w:pPr>
            <w:r w:rsidRPr="00BC07CA">
              <w:rPr>
                <w:rFonts w:ascii="標楷體" w:eastAsia="標楷體" w:hint="eastAsia"/>
                <w:b/>
                <w:bCs/>
                <w:color w:val="000000"/>
                <w:sz w:val="28"/>
              </w:rPr>
              <w:t>院會三讀通過</w:t>
            </w:r>
          </w:p>
          <w:p w:rsidR="00BC07CA" w:rsidRPr="00BC07CA" w:rsidRDefault="00BC07CA" w:rsidP="00BC07CA">
            <w:pPr>
              <w:spacing w:line="400" w:lineRule="exact"/>
              <w:jc w:val="distribute"/>
              <w:rPr>
                <w:rFonts w:ascii="標楷體" w:eastAsia="標楷體"/>
                <w:b/>
                <w:bCs/>
                <w:color w:val="000000"/>
                <w:sz w:val="28"/>
              </w:rPr>
            </w:pPr>
            <w:r w:rsidRPr="00BC07CA">
              <w:rPr>
                <w:rFonts w:ascii="標楷體" w:eastAsia="標楷體" w:hint="eastAsia"/>
                <w:b/>
                <w:bCs/>
                <w:color w:val="000000"/>
                <w:sz w:val="28"/>
              </w:rPr>
              <w:t>會次及日期</w:t>
            </w:r>
          </w:p>
        </w:tc>
      </w:tr>
      <w:tr w:rsidR="00BC07CA" w:rsidRPr="00BC07CA" w:rsidTr="00BC07CA">
        <w:trPr>
          <w:trHeight w:val="951"/>
        </w:trPr>
        <w:tc>
          <w:tcPr>
            <w:tcW w:w="315" w:type="pct"/>
            <w:vMerge w:val="restart"/>
            <w:vAlign w:val="center"/>
          </w:tcPr>
          <w:p w:rsidR="00BC07CA" w:rsidRPr="00BC07CA" w:rsidRDefault="00BC07CA" w:rsidP="006934DD">
            <w:pPr>
              <w:numPr>
                <w:ilvl w:val="0"/>
                <w:numId w:val="48"/>
              </w:numPr>
              <w:adjustRightInd w:val="0"/>
              <w:snapToGrid w:val="0"/>
              <w:rPr>
                <w:rFonts w:ascii="標楷體" w:eastAsia="標楷體" w:hAnsi="標楷體"/>
                <w:bCs/>
                <w:color w:val="FF0000"/>
                <w:szCs w:val="22"/>
              </w:rPr>
            </w:pPr>
          </w:p>
        </w:tc>
        <w:tc>
          <w:tcPr>
            <w:tcW w:w="1516" w:type="pct"/>
          </w:tcPr>
          <w:p w:rsidR="00BC07CA" w:rsidRPr="00BC07CA" w:rsidRDefault="00BC07CA" w:rsidP="00BC07CA">
            <w:pPr>
              <w:spacing w:line="400" w:lineRule="exact"/>
              <w:ind w:leftChars="-12" w:left="-29" w:firstLine="2"/>
              <w:jc w:val="both"/>
              <w:rPr>
                <w:rFonts w:ascii="標楷體" w:eastAsia="標楷體" w:hAnsi="標楷體"/>
                <w:b/>
                <w:color w:val="000000"/>
                <w:sz w:val="28"/>
              </w:rPr>
            </w:pPr>
            <w:r w:rsidRPr="00BC07CA">
              <w:rPr>
                <w:rFonts w:ascii="標楷體" w:eastAsia="標楷體" w:hAnsi="標楷體" w:hint="eastAsia"/>
                <w:b/>
                <w:color w:val="000000"/>
                <w:sz w:val="28"/>
              </w:rPr>
              <w:t>特別收入基金:</w:t>
            </w:r>
          </w:p>
          <w:p w:rsidR="00BC07CA" w:rsidRPr="00BC07CA" w:rsidRDefault="00BC07CA" w:rsidP="00BC07CA">
            <w:pPr>
              <w:spacing w:line="400" w:lineRule="exact"/>
              <w:ind w:leftChars="-12" w:left="251" w:hangingChars="100" w:hanging="280"/>
              <w:jc w:val="both"/>
              <w:rPr>
                <w:rFonts w:ascii="標楷體" w:eastAsia="標楷體" w:hAnsi="標楷體"/>
                <w:color w:val="000000"/>
                <w:sz w:val="28"/>
              </w:rPr>
            </w:pPr>
            <w:r w:rsidRPr="00BC07CA">
              <w:rPr>
                <w:rFonts w:ascii="標楷體" w:eastAsia="標楷體" w:hAnsi="標楷體" w:hint="eastAsia"/>
                <w:color w:val="000000"/>
                <w:sz w:val="28"/>
              </w:rPr>
              <w:t>1.中央研究院科學研究基金</w:t>
            </w:r>
          </w:p>
        </w:tc>
        <w:tc>
          <w:tcPr>
            <w:tcW w:w="846" w:type="pct"/>
            <w:vMerge w:val="restart"/>
          </w:tcPr>
          <w:p w:rsidR="00BC07CA" w:rsidRPr="00BC07CA" w:rsidRDefault="00BC07CA" w:rsidP="00BC07CA">
            <w:pPr>
              <w:adjustRightInd w:val="0"/>
              <w:snapToGrid w:val="0"/>
              <w:spacing w:line="240" w:lineRule="atLeast"/>
              <w:jc w:val="both"/>
              <w:rPr>
                <w:rFonts w:ascii="標楷體" w:eastAsia="標楷體" w:hAnsi="標楷體"/>
                <w:color w:val="000000"/>
                <w:sz w:val="28"/>
                <w:szCs w:val="22"/>
              </w:rPr>
            </w:pPr>
            <w:r w:rsidRPr="00BC07CA">
              <w:rPr>
                <w:rFonts w:ascii="標楷體" w:eastAsia="標楷體" w:hAnsi="標楷體"/>
                <w:color w:val="000000"/>
                <w:sz w:val="28"/>
                <w:szCs w:val="22"/>
              </w:rPr>
              <w:t>10-4-6</w:t>
            </w:r>
          </w:p>
          <w:p w:rsidR="00BC07CA" w:rsidRPr="00BC07CA" w:rsidRDefault="00BC07CA" w:rsidP="00BC07CA">
            <w:pPr>
              <w:adjustRightInd w:val="0"/>
              <w:snapToGrid w:val="0"/>
              <w:spacing w:line="240" w:lineRule="atLeast"/>
              <w:jc w:val="both"/>
              <w:rPr>
                <w:rFonts w:ascii="標楷體" w:eastAsia="標楷體" w:hAnsi="標楷體"/>
                <w:color w:val="000000"/>
                <w:sz w:val="28"/>
                <w:szCs w:val="22"/>
              </w:rPr>
            </w:pPr>
            <w:r w:rsidRPr="00BC07CA">
              <w:rPr>
                <w:rFonts w:ascii="標楷體" w:eastAsia="標楷體" w:hAnsi="標楷體"/>
                <w:color w:val="000000"/>
                <w:sz w:val="28"/>
                <w:szCs w:val="22"/>
              </w:rPr>
              <w:t>(110.10.22)</w:t>
            </w:r>
          </w:p>
        </w:tc>
        <w:tc>
          <w:tcPr>
            <w:tcW w:w="1338" w:type="pct"/>
          </w:tcPr>
          <w:p w:rsidR="00BC07CA" w:rsidRPr="00BC07CA" w:rsidRDefault="00BC07CA" w:rsidP="00BC07CA">
            <w:pPr>
              <w:adjustRightInd w:val="0"/>
              <w:snapToGrid w:val="0"/>
              <w:spacing w:line="240" w:lineRule="atLeast"/>
              <w:ind w:left="41" w:hangingChars="17" w:hanging="41"/>
              <w:jc w:val="both"/>
              <w:rPr>
                <w:rFonts w:ascii="標楷體" w:eastAsia="標楷體" w:hAnsi="標楷體"/>
                <w:color w:val="000000"/>
              </w:rPr>
            </w:pPr>
            <w:r w:rsidRPr="00BC07CA">
              <w:rPr>
                <w:rFonts w:ascii="標楷體" w:eastAsia="標楷體" w:hAnsi="標楷體" w:hint="eastAsia"/>
                <w:color w:val="000000"/>
              </w:rPr>
              <w:t>第4會期第7次全體委員會議（110.11.4）決議：審查完竣。</w:t>
            </w:r>
          </w:p>
          <w:p w:rsidR="00BC07CA" w:rsidRPr="00BC07CA" w:rsidRDefault="00BC07CA" w:rsidP="00BC07CA">
            <w:pPr>
              <w:adjustRightInd w:val="0"/>
              <w:snapToGrid w:val="0"/>
              <w:spacing w:line="240" w:lineRule="atLeast"/>
              <w:ind w:left="240" w:hangingChars="100" w:hanging="240"/>
              <w:jc w:val="both"/>
              <w:rPr>
                <w:rFonts w:ascii="Calibri" w:hAnsi="Calibri"/>
                <w:color w:val="000000"/>
                <w:szCs w:val="22"/>
              </w:rPr>
            </w:pPr>
          </w:p>
        </w:tc>
        <w:tc>
          <w:tcPr>
            <w:tcW w:w="985" w:type="pct"/>
            <w:vMerge w:val="restart"/>
          </w:tcPr>
          <w:p w:rsidR="00BC07CA" w:rsidRPr="0015104A" w:rsidRDefault="00BC07CA" w:rsidP="00BC07CA">
            <w:pPr>
              <w:adjustRightInd w:val="0"/>
              <w:snapToGrid w:val="0"/>
              <w:spacing w:line="240" w:lineRule="atLeast"/>
              <w:jc w:val="both"/>
              <w:rPr>
                <w:rFonts w:ascii="標楷體" w:eastAsia="標楷體" w:hAnsi="標楷體"/>
                <w:sz w:val="28"/>
                <w:szCs w:val="22"/>
              </w:rPr>
            </w:pPr>
            <w:r w:rsidRPr="0015104A">
              <w:rPr>
                <w:rFonts w:ascii="標楷體" w:eastAsia="標楷體" w:hAnsi="標楷體"/>
                <w:sz w:val="28"/>
                <w:szCs w:val="22"/>
              </w:rPr>
              <w:t>10-</w:t>
            </w:r>
            <w:r w:rsidRPr="0015104A">
              <w:rPr>
                <w:rFonts w:ascii="標楷體" w:eastAsia="標楷體" w:hAnsi="標楷體" w:hint="eastAsia"/>
                <w:sz w:val="28"/>
                <w:szCs w:val="22"/>
              </w:rPr>
              <w:t>6</w:t>
            </w:r>
            <w:r w:rsidRPr="0015104A">
              <w:rPr>
                <w:rFonts w:ascii="標楷體" w:eastAsia="標楷體" w:hAnsi="標楷體"/>
                <w:sz w:val="28"/>
                <w:szCs w:val="22"/>
              </w:rPr>
              <w:t>-</w:t>
            </w:r>
            <w:r w:rsidRPr="0015104A">
              <w:rPr>
                <w:rFonts w:ascii="標楷體" w:eastAsia="標楷體" w:hAnsi="標楷體" w:hint="eastAsia"/>
                <w:sz w:val="28"/>
                <w:szCs w:val="22"/>
              </w:rPr>
              <w:t>10</w:t>
            </w:r>
          </w:p>
          <w:p w:rsidR="00BC07CA" w:rsidRPr="0015104A" w:rsidRDefault="00BC07CA" w:rsidP="00BC07CA">
            <w:pPr>
              <w:adjustRightInd w:val="0"/>
              <w:snapToGrid w:val="0"/>
              <w:spacing w:line="240" w:lineRule="atLeast"/>
              <w:ind w:left="280" w:hangingChars="100" w:hanging="280"/>
              <w:jc w:val="both"/>
              <w:rPr>
                <w:rFonts w:ascii="標楷體" w:eastAsia="標楷體" w:hAnsi="標楷體"/>
              </w:rPr>
            </w:pPr>
            <w:r w:rsidRPr="0015104A">
              <w:rPr>
                <w:rFonts w:ascii="標楷體" w:eastAsia="標楷體" w:hAnsi="標楷體"/>
                <w:sz w:val="28"/>
                <w:szCs w:val="22"/>
              </w:rPr>
              <w:t>(11</w:t>
            </w:r>
            <w:r w:rsidRPr="0015104A">
              <w:rPr>
                <w:rFonts w:ascii="標楷體" w:eastAsia="標楷體" w:hAnsi="標楷體" w:hint="eastAsia"/>
                <w:sz w:val="28"/>
                <w:szCs w:val="22"/>
              </w:rPr>
              <w:t>1</w:t>
            </w:r>
            <w:r w:rsidRPr="0015104A">
              <w:rPr>
                <w:rFonts w:ascii="標楷體" w:eastAsia="標楷體" w:hAnsi="標楷體"/>
                <w:sz w:val="28"/>
                <w:szCs w:val="22"/>
              </w:rPr>
              <w:t>.1</w:t>
            </w:r>
            <w:r w:rsidRPr="0015104A">
              <w:rPr>
                <w:rFonts w:ascii="標楷體" w:eastAsia="標楷體" w:hAnsi="標楷體" w:hint="eastAsia"/>
                <w:sz w:val="28"/>
                <w:szCs w:val="22"/>
              </w:rPr>
              <w:t>2</w:t>
            </w:r>
            <w:r w:rsidRPr="0015104A">
              <w:rPr>
                <w:rFonts w:ascii="標楷體" w:eastAsia="標楷體" w:hAnsi="標楷體"/>
                <w:sz w:val="28"/>
                <w:szCs w:val="22"/>
              </w:rPr>
              <w:t>.</w:t>
            </w:r>
            <w:r w:rsidRPr="0015104A">
              <w:rPr>
                <w:rFonts w:ascii="標楷體" w:eastAsia="標楷體" w:hAnsi="標楷體" w:hint="eastAsia"/>
                <w:sz w:val="28"/>
                <w:szCs w:val="22"/>
              </w:rPr>
              <w:t>2</w:t>
            </w:r>
            <w:r w:rsidRPr="0015104A">
              <w:rPr>
                <w:rFonts w:ascii="標楷體" w:eastAsia="標楷體" w:hAnsi="標楷體"/>
                <w:sz w:val="28"/>
                <w:szCs w:val="22"/>
              </w:rPr>
              <w:t>)</w:t>
            </w:r>
          </w:p>
          <w:p w:rsidR="00BC07CA" w:rsidRPr="00BC07CA" w:rsidRDefault="00BC07CA" w:rsidP="00BC07CA">
            <w:pPr>
              <w:adjustRightInd w:val="0"/>
              <w:snapToGrid w:val="0"/>
              <w:spacing w:line="240" w:lineRule="atLeast"/>
              <w:ind w:left="240" w:hangingChars="100" w:hanging="240"/>
              <w:jc w:val="both"/>
              <w:rPr>
                <w:rFonts w:ascii="標楷體" w:eastAsia="標楷體" w:hAnsi="標楷體"/>
                <w:color w:val="000000"/>
              </w:rPr>
            </w:pPr>
          </w:p>
        </w:tc>
      </w:tr>
      <w:tr w:rsidR="00BC07CA" w:rsidRPr="00BC07CA" w:rsidTr="00BC07CA">
        <w:trPr>
          <w:trHeight w:val="790"/>
        </w:trPr>
        <w:tc>
          <w:tcPr>
            <w:tcW w:w="315" w:type="pct"/>
            <w:vMerge/>
            <w:vAlign w:val="center"/>
          </w:tcPr>
          <w:p w:rsidR="00BC07CA" w:rsidRPr="00BC07CA" w:rsidRDefault="00BC07CA" w:rsidP="006934DD">
            <w:pPr>
              <w:numPr>
                <w:ilvl w:val="0"/>
                <w:numId w:val="48"/>
              </w:numPr>
              <w:adjustRightInd w:val="0"/>
              <w:snapToGrid w:val="0"/>
              <w:rPr>
                <w:rFonts w:ascii="標楷體" w:eastAsia="標楷體" w:hAnsi="標楷體"/>
                <w:bCs/>
                <w:color w:val="FF0000"/>
                <w:szCs w:val="22"/>
              </w:rPr>
            </w:pPr>
          </w:p>
        </w:tc>
        <w:tc>
          <w:tcPr>
            <w:tcW w:w="1516" w:type="pct"/>
          </w:tcPr>
          <w:p w:rsidR="00BC07CA" w:rsidRPr="00BC07CA" w:rsidRDefault="00BC07CA" w:rsidP="0015104A">
            <w:pPr>
              <w:spacing w:line="400" w:lineRule="exact"/>
              <w:ind w:leftChars="-12" w:left="251" w:hangingChars="100" w:hanging="280"/>
              <w:jc w:val="both"/>
              <w:rPr>
                <w:rFonts w:ascii="標楷體" w:eastAsia="標楷體" w:hAnsi="標楷體"/>
                <w:color w:val="000000"/>
                <w:sz w:val="28"/>
              </w:rPr>
            </w:pPr>
            <w:r w:rsidRPr="00BC07CA">
              <w:rPr>
                <w:rFonts w:ascii="標楷體" w:eastAsia="標楷體" w:hAnsi="標楷體" w:hint="eastAsia"/>
                <w:color w:val="000000"/>
                <w:sz w:val="28"/>
              </w:rPr>
              <w:t>2.行政院國家科學技術發展基金</w:t>
            </w:r>
          </w:p>
        </w:tc>
        <w:tc>
          <w:tcPr>
            <w:tcW w:w="846" w:type="pct"/>
            <w:vMerge/>
          </w:tcPr>
          <w:p w:rsidR="00BC07CA" w:rsidRPr="00BC07CA" w:rsidRDefault="00BC07CA" w:rsidP="00BC07CA">
            <w:pPr>
              <w:adjustRightInd w:val="0"/>
              <w:snapToGrid w:val="0"/>
              <w:spacing w:line="240" w:lineRule="atLeast"/>
              <w:jc w:val="both"/>
              <w:rPr>
                <w:rFonts w:ascii="標楷體" w:eastAsia="標楷體" w:hAnsi="標楷體"/>
                <w:color w:val="000000"/>
                <w:sz w:val="28"/>
                <w:szCs w:val="22"/>
              </w:rPr>
            </w:pPr>
          </w:p>
        </w:tc>
        <w:tc>
          <w:tcPr>
            <w:tcW w:w="1338" w:type="pct"/>
          </w:tcPr>
          <w:p w:rsidR="00BC07CA" w:rsidRPr="00BC07CA" w:rsidRDefault="00BC07CA" w:rsidP="00BC07CA">
            <w:pPr>
              <w:adjustRightInd w:val="0"/>
              <w:snapToGrid w:val="0"/>
              <w:spacing w:line="240" w:lineRule="atLeast"/>
              <w:ind w:left="240" w:hangingChars="100" w:hanging="240"/>
              <w:jc w:val="both"/>
              <w:rPr>
                <w:rFonts w:ascii="標楷體" w:eastAsia="標楷體" w:hAnsi="標楷體"/>
                <w:color w:val="000000"/>
              </w:rPr>
            </w:pPr>
            <w:r w:rsidRPr="00BC07CA">
              <w:rPr>
                <w:rFonts w:ascii="標楷體" w:eastAsia="標楷體" w:hAnsi="標楷體" w:hint="eastAsia"/>
                <w:color w:val="000000"/>
              </w:rPr>
              <w:t>1.第4會期第9次全體委員會議（1</w:t>
            </w:r>
            <w:r w:rsidRPr="00BC07CA">
              <w:rPr>
                <w:rFonts w:ascii="標楷體" w:eastAsia="標楷體" w:hAnsi="標楷體"/>
                <w:color w:val="000000"/>
              </w:rPr>
              <w:t>10</w:t>
            </w:r>
            <w:r w:rsidRPr="00BC07CA">
              <w:rPr>
                <w:rFonts w:ascii="標楷體" w:eastAsia="標楷體" w:hAnsi="標楷體" w:hint="eastAsia"/>
                <w:color w:val="000000"/>
              </w:rPr>
              <w:t>.11.17）決議：報告及詢答完畢，另定期繼續審查。</w:t>
            </w:r>
          </w:p>
          <w:p w:rsidR="00BC07CA" w:rsidRPr="00BC07CA" w:rsidRDefault="00BC07CA" w:rsidP="00BC07CA">
            <w:pPr>
              <w:adjustRightInd w:val="0"/>
              <w:snapToGrid w:val="0"/>
              <w:spacing w:line="240" w:lineRule="atLeast"/>
              <w:ind w:left="235" w:hangingChars="98" w:hanging="235"/>
              <w:jc w:val="both"/>
              <w:rPr>
                <w:rFonts w:ascii="標楷體" w:eastAsia="標楷體" w:hAnsi="標楷體"/>
                <w:color w:val="000000"/>
              </w:rPr>
            </w:pPr>
            <w:r w:rsidRPr="00BC07CA">
              <w:rPr>
                <w:rFonts w:ascii="標楷體" w:eastAsia="標楷體" w:hAnsi="標楷體" w:hint="eastAsia"/>
                <w:color w:val="000000"/>
              </w:rPr>
              <w:t>2.第4會期第11次全體委員會議</w:t>
            </w:r>
            <w:r w:rsidRPr="0015104A">
              <w:rPr>
                <w:rFonts w:ascii="標楷體" w:eastAsia="標楷體" w:hAnsi="標楷體" w:hint="eastAsia"/>
                <w:color w:val="000000"/>
                <w:spacing w:val="-10"/>
              </w:rPr>
              <w:t>（110.11.</w:t>
            </w:r>
            <w:r w:rsidRPr="0015104A">
              <w:rPr>
                <w:rFonts w:ascii="標楷體" w:eastAsia="標楷體" w:hAnsi="標楷體"/>
                <w:color w:val="000000"/>
                <w:spacing w:val="-10"/>
              </w:rPr>
              <w:t>29</w:t>
            </w:r>
            <w:r w:rsidRPr="0015104A">
              <w:rPr>
                <w:rFonts w:ascii="標楷體" w:eastAsia="標楷體" w:hAnsi="標楷體" w:hint="eastAsia"/>
                <w:color w:val="000000"/>
                <w:spacing w:val="-10"/>
              </w:rPr>
              <w:t>）</w:t>
            </w:r>
            <w:r w:rsidRPr="00BC07CA">
              <w:rPr>
                <w:rFonts w:ascii="標楷體" w:eastAsia="標楷體" w:hAnsi="標楷體" w:hint="eastAsia"/>
                <w:color w:val="000000"/>
              </w:rPr>
              <w:t>決議：另定期繼續審查。</w:t>
            </w:r>
          </w:p>
          <w:p w:rsidR="00BC07CA" w:rsidRPr="00BC07CA" w:rsidRDefault="00BC07CA" w:rsidP="00BC07CA">
            <w:pPr>
              <w:adjustRightInd w:val="0"/>
              <w:snapToGrid w:val="0"/>
              <w:spacing w:line="240" w:lineRule="atLeast"/>
              <w:ind w:left="235" w:hangingChars="98" w:hanging="235"/>
              <w:jc w:val="both"/>
              <w:rPr>
                <w:rFonts w:ascii="標楷體" w:eastAsia="標楷體" w:hAnsi="標楷體"/>
                <w:color w:val="000000"/>
              </w:rPr>
            </w:pPr>
            <w:r w:rsidRPr="00BC07CA">
              <w:rPr>
                <w:rFonts w:ascii="標楷體" w:eastAsia="標楷體" w:hAnsi="標楷體" w:hint="eastAsia"/>
                <w:color w:val="000000"/>
              </w:rPr>
              <w:t>3.第4會期第14次全體委員會議</w:t>
            </w:r>
            <w:r w:rsidRPr="0015104A">
              <w:rPr>
                <w:rFonts w:ascii="標楷體" w:eastAsia="標楷體" w:hAnsi="標楷體" w:hint="eastAsia"/>
                <w:color w:val="000000"/>
                <w:spacing w:val="-10"/>
              </w:rPr>
              <w:t>（110.12.27）</w:t>
            </w:r>
            <w:r w:rsidRPr="00BC07CA">
              <w:rPr>
                <w:rFonts w:ascii="標楷體" w:eastAsia="標楷體" w:hAnsi="標楷體" w:hint="eastAsia"/>
                <w:color w:val="000000"/>
              </w:rPr>
              <w:t>決議：審查完竣。</w:t>
            </w:r>
          </w:p>
        </w:tc>
        <w:tc>
          <w:tcPr>
            <w:tcW w:w="985" w:type="pct"/>
            <w:vMerge/>
          </w:tcPr>
          <w:p w:rsidR="00BC07CA" w:rsidRPr="00BC07CA" w:rsidRDefault="00BC07CA" w:rsidP="00BC07CA">
            <w:pPr>
              <w:adjustRightInd w:val="0"/>
              <w:snapToGrid w:val="0"/>
              <w:spacing w:line="240" w:lineRule="atLeast"/>
              <w:ind w:left="240" w:hangingChars="100" w:hanging="240"/>
              <w:jc w:val="both"/>
              <w:rPr>
                <w:rFonts w:ascii="標楷體" w:eastAsia="標楷體" w:hAnsi="標楷體"/>
                <w:color w:val="000000"/>
              </w:rPr>
            </w:pPr>
          </w:p>
        </w:tc>
      </w:tr>
      <w:tr w:rsidR="00BC07CA" w:rsidRPr="00BC07CA" w:rsidTr="00BC07CA">
        <w:trPr>
          <w:trHeight w:val="1221"/>
        </w:trPr>
        <w:tc>
          <w:tcPr>
            <w:tcW w:w="315" w:type="pct"/>
            <w:vMerge/>
            <w:vAlign w:val="center"/>
          </w:tcPr>
          <w:p w:rsidR="00BC07CA" w:rsidRPr="00BC07CA" w:rsidRDefault="00BC07CA" w:rsidP="006934DD">
            <w:pPr>
              <w:numPr>
                <w:ilvl w:val="0"/>
                <w:numId w:val="48"/>
              </w:numPr>
              <w:adjustRightInd w:val="0"/>
              <w:snapToGrid w:val="0"/>
              <w:rPr>
                <w:rFonts w:ascii="標楷體" w:eastAsia="標楷體" w:hAnsi="標楷體"/>
                <w:bCs/>
                <w:color w:val="FF0000"/>
                <w:szCs w:val="22"/>
              </w:rPr>
            </w:pPr>
          </w:p>
        </w:tc>
        <w:tc>
          <w:tcPr>
            <w:tcW w:w="1516" w:type="pct"/>
          </w:tcPr>
          <w:p w:rsidR="00BC07CA" w:rsidRPr="00BC07CA" w:rsidRDefault="00BC07CA" w:rsidP="00BC07CA">
            <w:pPr>
              <w:spacing w:line="400" w:lineRule="exact"/>
              <w:ind w:leftChars="-12" w:left="-29" w:firstLine="2"/>
              <w:jc w:val="both"/>
              <w:rPr>
                <w:rFonts w:ascii="標楷體" w:eastAsia="標楷體" w:hAnsi="標楷體"/>
                <w:color w:val="000000"/>
                <w:sz w:val="28"/>
              </w:rPr>
            </w:pPr>
            <w:r w:rsidRPr="00BC07CA">
              <w:rPr>
                <w:rFonts w:ascii="標楷體" w:eastAsia="標楷體" w:hAnsi="標楷體" w:hint="eastAsia"/>
                <w:color w:val="000000"/>
                <w:sz w:val="28"/>
              </w:rPr>
              <w:t>3.學產基金</w:t>
            </w:r>
          </w:p>
          <w:p w:rsidR="00BC07CA" w:rsidRPr="00BC07CA" w:rsidRDefault="00BC07CA" w:rsidP="00BC07CA">
            <w:pPr>
              <w:spacing w:line="400" w:lineRule="exact"/>
              <w:ind w:leftChars="-12" w:left="-29" w:firstLine="2"/>
              <w:jc w:val="both"/>
              <w:rPr>
                <w:rFonts w:ascii="標楷體" w:eastAsia="標楷體" w:hAnsi="標楷體"/>
                <w:color w:val="000000"/>
                <w:sz w:val="28"/>
              </w:rPr>
            </w:pPr>
            <w:r w:rsidRPr="00BC07CA">
              <w:rPr>
                <w:rFonts w:ascii="標楷體" w:eastAsia="標楷體" w:hAnsi="標楷體" w:hint="eastAsia"/>
                <w:color w:val="000000"/>
                <w:sz w:val="28"/>
              </w:rPr>
              <w:t>4.運動發展基金</w:t>
            </w:r>
          </w:p>
          <w:p w:rsidR="00BC07CA" w:rsidRPr="00BC07CA" w:rsidRDefault="00BC07CA" w:rsidP="0015104A">
            <w:pPr>
              <w:spacing w:line="400" w:lineRule="exact"/>
              <w:ind w:leftChars="-12" w:left="251" w:hangingChars="100" w:hanging="280"/>
              <w:jc w:val="both"/>
              <w:rPr>
                <w:rFonts w:ascii="標楷體" w:eastAsia="標楷體" w:hAnsi="標楷體"/>
                <w:color w:val="000000"/>
                <w:sz w:val="28"/>
              </w:rPr>
            </w:pPr>
            <w:r w:rsidRPr="00BC07CA">
              <w:rPr>
                <w:rFonts w:ascii="標楷體" w:eastAsia="標楷體" w:hAnsi="標楷體" w:hint="eastAsia"/>
                <w:color w:val="000000"/>
                <w:sz w:val="28"/>
              </w:rPr>
              <w:t>5.大專校院轉型及退場基金</w:t>
            </w:r>
          </w:p>
        </w:tc>
        <w:tc>
          <w:tcPr>
            <w:tcW w:w="846" w:type="pct"/>
            <w:vMerge/>
          </w:tcPr>
          <w:p w:rsidR="00BC07CA" w:rsidRPr="00BC07CA" w:rsidRDefault="00BC07CA" w:rsidP="00BC07CA">
            <w:pPr>
              <w:adjustRightInd w:val="0"/>
              <w:snapToGrid w:val="0"/>
              <w:spacing w:line="240" w:lineRule="atLeast"/>
              <w:jc w:val="both"/>
              <w:rPr>
                <w:rFonts w:ascii="標楷體" w:eastAsia="標楷體" w:hAnsi="標楷體"/>
                <w:color w:val="000000"/>
                <w:sz w:val="28"/>
                <w:szCs w:val="22"/>
              </w:rPr>
            </w:pPr>
          </w:p>
        </w:tc>
        <w:tc>
          <w:tcPr>
            <w:tcW w:w="1338" w:type="pct"/>
          </w:tcPr>
          <w:p w:rsidR="00BC07CA" w:rsidRPr="00BC07CA" w:rsidRDefault="00BC07CA" w:rsidP="006934DD">
            <w:pPr>
              <w:numPr>
                <w:ilvl w:val="0"/>
                <w:numId w:val="49"/>
              </w:numPr>
              <w:adjustRightInd w:val="0"/>
              <w:snapToGrid w:val="0"/>
              <w:spacing w:line="240" w:lineRule="atLeast"/>
              <w:ind w:left="242" w:hanging="242"/>
              <w:jc w:val="both"/>
              <w:rPr>
                <w:rFonts w:ascii="標楷體" w:eastAsia="標楷體" w:hAnsi="標楷體"/>
                <w:color w:val="000000"/>
              </w:rPr>
            </w:pPr>
            <w:r w:rsidRPr="00BC07CA">
              <w:rPr>
                <w:rFonts w:ascii="標楷體" w:eastAsia="標楷體" w:hAnsi="標楷體" w:hint="eastAsia"/>
                <w:color w:val="000000"/>
              </w:rPr>
              <w:t>第4會期第6次全體委員會議（1</w:t>
            </w:r>
            <w:r w:rsidRPr="00BC07CA">
              <w:rPr>
                <w:rFonts w:ascii="標楷體" w:eastAsia="標楷體" w:hAnsi="標楷體"/>
                <w:color w:val="000000"/>
              </w:rPr>
              <w:t>10</w:t>
            </w:r>
            <w:r w:rsidRPr="00BC07CA">
              <w:rPr>
                <w:rFonts w:ascii="標楷體" w:eastAsia="標楷體" w:hAnsi="標楷體" w:hint="eastAsia"/>
                <w:color w:val="000000"/>
              </w:rPr>
              <w:t>.10.27）決議：</w:t>
            </w:r>
            <w:r w:rsidRPr="00BC07CA">
              <w:rPr>
                <w:rFonts w:ascii="標楷體" w:eastAsia="標楷體" w:hAnsi="標楷體" w:hint="eastAsia"/>
                <w:bCs/>
                <w:color w:val="000000"/>
              </w:rPr>
              <w:t>報告及詢答完畢，</w:t>
            </w:r>
            <w:r w:rsidRPr="00BC07CA">
              <w:rPr>
                <w:rFonts w:ascii="標楷體" w:eastAsia="標楷體" w:hAnsi="標楷體" w:hint="eastAsia"/>
                <w:color w:val="000000"/>
              </w:rPr>
              <w:t>另定期繼續審查。</w:t>
            </w:r>
          </w:p>
          <w:p w:rsidR="00BC07CA" w:rsidRPr="00BC07CA" w:rsidRDefault="00BC07CA" w:rsidP="00BC07CA">
            <w:pPr>
              <w:adjustRightInd w:val="0"/>
              <w:snapToGrid w:val="0"/>
              <w:spacing w:line="240" w:lineRule="atLeast"/>
              <w:ind w:left="240" w:hangingChars="100" w:hanging="240"/>
              <w:jc w:val="both"/>
              <w:rPr>
                <w:rFonts w:ascii="標楷體" w:eastAsia="標楷體" w:hAnsi="標楷體"/>
                <w:color w:val="000000"/>
              </w:rPr>
            </w:pPr>
            <w:r w:rsidRPr="00BC07CA">
              <w:rPr>
                <w:rFonts w:ascii="標楷體" w:eastAsia="標楷體" w:hAnsi="標楷體" w:hint="eastAsia"/>
                <w:color w:val="000000"/>
              </w:rPr>
              <w:t>2</w:t>
            </w:r>
            <w:r w:rsidRPr="00BC07CA">
              <w:rPr>
                <w:rFonts w:ascii="標楷體" w:eastAsia="標楷體" w:hAnsi="標楷體"/>
                <w:color w:val="000000"/>
              </w:rPr>
              <w:t>.</w:t>
            </w:r>
            <w:r w:rsidRPr="00BC07CA">
              <w:rPr>
                <w:rFonts w:ascii="標楷體" w:eastAsia="標楷體" w:hAnsi="標楷體" w:hint="eastAsia"/>
                <w:color w:val="000000"/>
              </w:rPr>
              <w:t>第4會期第8次全體委員會議（110.11.</w:t>
            </w:r>
            <w:r w:rsidRPr="00BC07CA">
              <w:rPr>
                <w:rFonts w:ascii="標楷體" w:eastAsia="標楷體" w:hAnsi="標楷體"/>
                <w:color w:val="000000"/>
              </w:rPr>
              <w:t>11</w:t>
            </w:r>
            <w:r w:rsidRPr="00BC07CA">
              <w:rPr>
                <w:rFonts w:ascii="標楷體" w:eastAsia="標楷體" w:hAnsi="標楷體" w:hint="eastAsia"/>
                <w:color w:val="000000"/>
              </w:rPr>
              <w:t>）決議：審查完竣。</w:t>
            </w:r>
          </w:p>
        </w:tc>
        <w:tc>
          <w:tcPr>
            <w:tcW w:w="985" w:type="pct"/>
            <w:vMerge/>
          </w:tcPr>
          <w:p w:rsidR="00BC07CA" w:rsidRPr="00BC07CA" w:rsidRDefault="00BC07CA" w:rsidP="00BC07CA">
            <w:pPr>
              <w:adjustRightInd w:val="0"/>
              <w:snapToGrid w:val="0"/>
              <w:spacing w:line="240" w:lineRule="atLeast"/>
              <w:ind w:left="240" w:hangingChars="100" w:hanging="240"/>
              <w:jc w:val="both"/>
              <w:rPr>
                <w:rFonts w:ascii="標楷體" w:eastAsia="標楷體" w:hAnsi="標楷體"/>
                <w:color w:val="000000"/>
              </w:rPr>
            </w:pPr>
          </w:p>
        </w:tc>
      </w:tr>
      <w:tr w:rsidR="00BC07CA" w:rsidRPr="00BC07CA" w:rsidTr="00BC07CA">
        <w:trPr>
          <w:trHeight w:val="790"/>
        </w:trPr>
        <w:tc>
          <w:tcPr>
            <w:tcW w:w="315" w:type="pct"/>
            <w:vMerge/>
            <w:vAlign w:val="center"/>
          </w:tcPr>
          <w:p w:rsidR="00BC07CA" w:rsidRPr="00BC07CA" w:rsidRDefault="00BC07CA" w:rsidP="006934DD">
            <w:pPr>
              <w:numPr>
                <w:ilvl w:val="0"/>
                <w:numId w:val="48"/>
              </w:numPr>
              <w:adjustRightInd w:val="0"/>
              <w:snapToGrid w:val="0"/>
              <w:rPr>
                <w:rFonts w:ascii="標楷體" w:eastAsia="標楷體" w:hAnsi="標楷體"/>
                <w:bCs/>
                <w:color w:val="FF0000"/>
                <w:szCs w:val="22"/>
              </w:rPr>
            </w:pPr>
          </w:p>
        </w:tc>
        <w:tc>
          <w:tcPr>
            <w:tcW w:w="1516" w:type="pct"/>
          </w:tcPr>
          <w:p w:rsidR="00BC07CA" w:rsidRPr="00BC07CA" w:rsidRDefault="00BC07CA" w:rsidP="0015104A">
            <w:pPr>
              <w:spacing w:line="400" w:lineRule="exact"/>
              <w:ind w:leftChars="-12" w:left="251" w:hangingChars="100" w:hanging="280"/>
              <w:jc w:val="both"/>
              <w:rPr>
                <w:rFonts w:ascii="標楷體" w:eastAsia="標楷體" w:hAnsi="標楷體"/>
                <w:color w:val="000000"/>
                <w:sz w:val="28"/>
              </w:rPr>
            </w:pPr>
            <w:r w:rsidRPr="00BC07CA">
              <w:rPr>
                <w:rFonts w:ascii="標楷體" w:eastAsia="標楷體" w:hAnsi="標楷體" w:hint="eastAsia"/>
                <w:color w:val="000000"/>
                <w:sz w:val="28"/>
              </w:rPr>
              <w:t>6.核子事故緊急應變基金</w:t>
            </w:r>
          </w:p>
        </w:tc>
        <w:tc>
          <w:tcPr>
            <w:tcW w:w="846" w:type="pct"/>
            <w:vMerge/>
          </w:tcPr>
          <w:p w:rsidR="00BC07CA" w:rsidRPr="00BC07CA" w:rsidRDefault="00BC07CA" w:rsidP="00BC07CA">
            <w:pPr>
              <w:adjustRightInd w:val="0"/>
              <w:snapToGrid w:val="0"/>
              <w:spacing w:line="240" w:lineRule="atLeast"/>
              <w:jc w:val="both"/>
              <w:rPr>
                <w:rFonts w:ascii="標楷體" w:eastAsia="標楷體" w:hAnsi="標楷體"/>
                <w:color w:val="000000"/>
                <w:sz w:val="28"/>
                <w:szCs w:val="22"/>
              </w:rPr>
            </w:pPr>
          </w:p>
        </w:tc>
        <w:tc>
          <w:tcPr>
            <w:tcW w:w="1338" w:type="pct"/>
          </w:tcPr>
          <w:p w:rsidR="00BC07CA" w:rsidRPr="00BC07CA" w:rsidRDefault="00BC07CA" w:rsidP="00BC07CA">
            <w:pPr>
              <w:adjustRightInd w:val="0"/>
              <w:snapToGrid w:val="0"/>
              <w:spacing w:line="240" w:lineRule="atLeast"/>
              <w:ind w:left="41" w:hangingChars="17" w:hanging="41"/>
              <w:jc w:val="both"/>
              <w:rPr>
                <w:rFonts w:ascii="標楷體" w:eastAsia="標楷體" w:hAnsi="標楷體"/>
                <w:color w:val="000000"/>
              </w:rPr>
            </w:pPr>
            <w:r w:rsidRPr="00BC07CA">
              <w:rPr>
                <w:rFonts w:ascii="標楷體" w:eastAsia="標楷體" w:hAnsi="標楷體" w:hint="eastAsia"/>
                <w:color w:val="000000"/>
              </w:rPr>
              <w:t>第4會期第</w:t>
            </w:r>
            <w:r w:rsidRPr="00BC07CA">
              <w:rPr>
                <w:rFonts w:ascii="標楷體" w:eastAsia="標楷體" w:hAnsi="標楷體"/>
                <w:color w:val="000000"/>
              </w:rPr>
              <w:t>8</w:t>
            </w:r>
            <w:r w:rsidRPr="00BC07CA">
              <w:rPr>
                <w:rFonts w:ascii="標楷體" w:eastAsia="標楷體" w:hAnsi="標楷體" w:hint="eastAsia"/>
                <w:color w:val="000000"/>
              </w:rPr>
              <w:t>次全體委員會議（110.11.</w:t>
            </w:r>
            <w:r w:rsidRPr="00BC07CA">
              <w:rPr>
                <w:rFonts w:ascii="標楷體" w:eastAsia="標楷體" w:hAnsi="標楷體"/>
                <w:color w:val="000000"/>
              </w:rPr>
              <w:t>8</w:t>
            </w:r>
            <w:r w:rsidRPr="00BC07CA">
              <w:rPr>
                <w:rFonts w:ascii="標楷體" w:eastAsia="標楷體" w:hAnsi="標楷體" w:hint="eastAsia"/>
                <w:color w:val="000000"/>
              </w:rPr>
              <w:t>）決議：審查完竣。</w:t>
            </w:r>
          </w:p>
        </w:tc>
        <w:tc>
          <w:tcPr>
            <w:tcW w:w="985" w:type="pct"/>
            <w:vMerge/>
          </w:tcPr>
          <w:p w:rsidR="00BC07CA" w:rsidRPr="00BC07CA" w:rsidRDefault="00BC07CA" w:rsidP="00BC07CA">
            <w:pPr>
              <w:adjustRightInd w:val="0"/>
              <w:snapToGrid w:val="0"/>
              <w:spacing w:line="240" w:lineRule="atLeast"/>
              <w:ind w:left="240" w:hangingChars="100" w:hanging="240"/>
              <w:jc w:val="both"/>
              <w:rPr>
                <w:rFonts w:ascii="標楷體" w:eastAsia="標楷體" w:hAnsi="標楷體"/>
                <w:color w:val="000000"/>
              </w:rPr>
            </w:pPr>
          </w:p>
        </w:tc>
      </w:tr>
      <w:tr w:rsidR="00BC07CA" w:rsidRPr="00BC07CA" w:rsidTr="00BC07CA">
        <w:trPr>
          <w:trHeight w:val="790"/>
        </w:trPr>
        <w:tc>
          <w:tcPr>
            <w:tcW w:w="315" w:type="pct"/>
            <w:vMerge w:val="restart"/>
            <w:vAlign w:val="center"/>
          </w:tcPr>
          <w:p w:rsidR="00BC07CA" w:rsidRPr="00BC07CA" w:rsidRDefault="00BC07CA" w:rsidP="006934DD">
            <w:pPr>
              <w:numPr>
                <w:ilvl w:val="0"/>
                <w:numId w:val="48"/>
              </w:numPr>
              <w:adjustRightInd w:val="0"/>
              <w:snapToGrid w:val="0"/>
              <w:rPr>
                <w:rFonts w:ascii="標楷體" w:eastAsia="標楷體" w:hAnsi="標楷體"/>
                <w:bCs/>
                <w:color w:val="FF0000"/>
                <w:szCs w:val="22"/>
              </w:rPr>
            </w:pPr>
          </w:p>
        </w:tc>
        <w:tc>
          <w:tcPr>
            <w:tcW w:w="1516" w:type="pct"/>
          </w:tcPr>
          <w:p w:rsidR="00BC07CA" w:rsidRPr="00BC07CA" w:rsidRDefault="00BC07CA" w:rsidP="00BC07CA">
            <w:pPr>
              <w:spacing w:line="400" w:lineRule="exact"/>
              <w:ind w:leftChars="-12" w:left="-29" w:firstLine="2"/>
              <w:jc w:val="both"/>
              <w:rPr>
                <w:rFonts w:ascii="標楷體" w:eastAsia="標楷體" w:hAnsi="標楷體"/>
                <w:b/>
                <w:color w:val="000000"/>
                <w:sz w:val="28"/>
              </w:rPr>
            </w:pPr>
            <w:r w:rsidRPr="00BC07CA">
              <w:rPr>
                <w:rFonts w:ascii="標楷體" w:eastAsia="標楷體" w:hAnsi="標楷體" w:hint="eastAsia"/>
                <w:b/>
                <w:color w:val="000000"/>
                <w:sz w:val="28"/>
              </w:rPr>
              <w:t>作業基金:</w:t>
            </w:r>
          </w:p>
          <w:p w:rsidR="00BC07CA" w:rsidRPr="00BC07CA" w:rsidRDefault="00BC07CA" w:rsidP="0015104A">
            <w:pPr>
              <w:spacing w:line="400" w:lineRule="exact"/>
              <w:ind w:leftChars="-12" w:left="251" w:hangingChars="100" w:hanging="280"/>
              <w:jc w:val="both"/>
              <w:rPr>
                <w:rFonts w:ascii="標楷體" w:eastAsia="標楷體" w:hAnsi="標楷體"/>
                <w:color w:val="000000"/>
                <w:sz w:val="28"/>
              </w:rPr>
            </w:pPr>
            <w:r w:rsidRPr="00BC07CA">
              <w:rPr>
                <w:rFonts w:ascii="標楷體" w:eastAsia="標楷體" w:hAnsi="標楷體" w:hint="eastAsia"/>
                <w:color w:val="000000"/>
                <w:sz w:val="28"/>
              </w:rPr>
              <w:t>1.47所國立大學校院校務基金</w:t>
            </w:r>
          </w:p>
          <w:p w:rsidR="00BC07CA" w:rsidRPr="00BC07CA" w:rsidRDefault="00BC07CA" w:rsidP="00BC07CA">
            <w:pPr>
              <w:spacing w:line="400" w:lineRule="exact"/>
              <w:ind w:leftChars="-12" w:left="251" w:hangingChars="100" w:hanging="280"/>
              <w:rPr>
                <w:rFonts w:ascii="標楷體" w:eastAsia="標楷體" w:hAnsi="標楷體"/>
                <w:color w:val="000000"/>
                <w:sz w:val="28"/>
              </w:rPr>
            </w:pPr>
            <w:r w:rsidRPr="00BC07CA">
              <w:rPr>
                <w:rFonts w:ascii="標楷體" w:eastAsia="標楷體" w:hAnsi="標楷體" w:hint="eastAsia"/>
                <w:color w:val="000000"/>
                <w:sz w:val="28"/>
              </w:rPr>
              <w:t>2.國立臺灣大學附設醫院作業基金</w:t>
            </w:r>
          </w:p>
          <w:p w:rsidR="00BC07CA" w:rsidRPr="00BC07CA" w:rsidRDefault="00BC07CA" w:rsidP="00BC07CA">
            <w:pPr>
              <w:spacing w:line="400" w:lineRule="exact"/>
              <w:ind w:leftChars="-12" w:left="251" w:hangingChars="100" w:hanging="280"/>
              <w:rPr>
                <w:rFonts w:ascii="標楷體" w:eastAsia="標楷體" w:hAnsi="標楷體"/>
                <w:color w:val="000000"/>
                <w:sz w:val="28"/>
              </w:rPr>
            </w:pPr>
            <w:r w:rsidRPr="00BC07CA">
              <w:rPr>
                <w:rFonts w:ascii="標楷體" w:eastAsia="標楷體" w:hAnsi="標楷體" w:hint="eastAsia"/>
                <w:color w:val="000000"/>
                <w:sz w:val="28"/>
              </w:rPr>
              <w:t>3.國立成功大學附設醫院作業基金</w:t>
            </w:r>
          </w:p>
          <w:p w:rsidR="00BC07CA" w:rsidRPr="00BC07CA" w:rsidRDefault="00BC07CA" w:rsidP="00BC07CA">
            <w:pPr>
              <w:spacing w:line="400" w:lineRule="exact"/>
              <w:ind w:leftChars="-12" w:left="251" w:hangingChars="100" w:hanging="280"/>
              <w:rPr>
                <w:rFonts w:ascii="標楷體" w:eastAsia="標楷體" w:hAnsi="標楷體"/>
                <w:color w:val="000000"/>
                <w:sz w:val="28"/>
              </w:rPr>
            </w:pPr>
            <w:r w:rsidRPr="00BC07CA">
              <w:rPr>
                <w:rFonts w:ascii="標楷體" w:eastAsia="標楷體" w:hAnsi="標楷體" w:hint="eastAsia"/>
                <w:color w:val="000000"/>
                <w:sz w:val="28"/>
              </w:rPr>
              <w:t>4.國立陽明交通大學附設醫院作業基金</w:t>
            </w:r>
          </w:p>
          <w:p w:rsidR="00BC07CA" w:rsidRPr="00BC07CA" w:rsidRDefault="00BC07CA" w:rsidP="00BC07CA">
            <w:pPr>
              <w:spacing w:line="400" w:lineRule="exact"/>
              <w:ind w:leftChars="-12" w:left="251" w:hangingChars="100" w:hanging="280"/>
              <w:rPr>
                <w:rFonts w:ascii="標楷體" w:eastAsia="標楷體" w:hAnsi="標楷體"/>
                <w:color w:val="000000"/>
                <w:sz w:val="28"/>
              </w:rPr>
            </w:pPr>
            <w:r w:rsidRPr="00BC07CA">
              <w:rPr>
                <w:rFonts w:ascii="標楷體" w:eastAsia="標楷體" w:hAnsi="標楷體" w:hint="eastAsia"/>
                <w:color w:val="000000"/>
                <w:sz w:val="28"/>
              </w:rPr>
              <w:lastRenderedPageBreak/>
              <w:t>5.教育部所屬機構作業基金</w:t>
            </w:r>
          </w:p>
          <w:p w:rsidR="00BC07CA" w:rsidRPr="00BC07CA" w:rsidRDefault="00BC07CA" w:rsidP="00BC07CA">
            <w:pPr>
              <w:spacing w:line="400" w:lineRule="exact"/>
              <w:ind w:leftChars="-12" w:left="251" w:hangingChars="100" w:hanging="280"/>
              <w:rPr>
                <w:rFonts w:ascii="標楷體" w:eastAsia="標楷體" w:hAnsi="標楷體"/>
                <w:color w:val="000000"/>
                <w:sz w:val="28"/>
              </w:rPr>
            </w:pPr>
            <w:r w:rsidRPr="00BC07CA">
              <w:rPr>
                <w:rFonts w:ascii="標楷體" w:eastAsia="標楷體" w:hAnsi="標楷體" w:hint="eastAsia"/>
                <w:color w:val="000000"/>
                <w:sz w:val="28"/>
              </w:rPr>
              <w:t>6.國立高級中等學校校務基金</w:t>
            </w:r>
          </w:p>
        </w:tc>
        <w:tc>
          <w:tcPr>
            <w:tcW w:w="846" w:type="pct"/>
            <w:vMerge w:val="restart"/>
          </w:tcPr>
          <w:p w:rsidR="00BC07CA" w:rsidRPr="00BC07CA" w:rsidRDefault="00BC07CA" w:rsidP="00BC07CA">
            <w:pPr>
              <w:adjustRightInd w:val="0"/>
              <w:snapToGrid w:val="0"/>
              <w:spacing w:line="240" w:lineRule="atLeast"/>
              <w:jc w:val="both"/>
              <w:rPr>
                <w:rFonts w:ascii="標楷體" w:eastAsia="標楷體" w:hAnsi="標楷體"/>
                <w:color w:val="000000"/>
                <w:sz w:val="28"/>
                <w:szCs w:val="22"/>
              </w:rPr>
            </w:pPr>
            <w:r w:rsidRPr="00BC07CA">
              <w:rPr>
                <w:rFonts w:ascii="標楷體" w:eastAsia="標楷體" w:hAnsi="標楷體"/>
                <w:color w:val="000000"/>
                <w:sz w:val="28"/>
                <w:szCs w:val="22"/>
              </w:rPr>
              <w:lastRenderedPageBreak/>
              <w:t>10-4-6</w:t>
            </w:r>
          </w:p>
          <w:p w:rsidR="00BC07CA" w:rsidRPr="00BC07CA" w:rsidRDefault="00BC07CA" w:rsidP="00BC07CA">
            <w:pPr>
              <w:adjustRightInd w:val="0"/>
              <w:snapToGrid w:val="0"/>
              <w:spacing w:line="240" w:lineRule="atLeast"/>
              <w:jc w:val="both"/>
              <w:rPr>
                <w:rFonts w:ascii="標楷體" w:eastAsia="標楷體" w:hAnsi="標楷體"/>
                <w:color w:val="000000"/>
                <w:sz w:val="28"/>
                <w:szCs w:val="22"/>
              </w:rPr>
            </w:pPr>
            <w:r w:rsidRPr="00BC07CA">
              <w:rPr>
                <w:rFonts w:ascii="標楷體" w:eastAsia="標楷體" w:hAnsi="標楷體"/>
                <w:color w:val="000000"/>
                <w:sz w:val="28"/>
                <w:szCs w:val="22"/>
              </w:rPr>
              <w:t>(110.10.22)</w:t>
            </w:r>
          </w:p>
        </w:tc>
        <w:tc>
          <w:tcPr>
            <w:tcW w:w="1338" w:type="pct"/>
          </w:tcPr>
          <w:p w:rsidR="00BC07CA" w:rsidRPr="00BC07CA" w:rsidRDefault="00BC07CA" w:rsidP="00BC07CA">
            <w:pPr>
              <w:adjustRightInd w:val="0"/>
              <w:snapToGrid w:val="0"/>
              <w:spacing w:line="240" w:lineRule="atLeast"/>
              <w:ind w:left="240" w:hangingChars="100" w:hanging="240"/>
              <w:jc w:val="both"/>
              <w:rPr>
                <w:rFonts w:ascii="標楷體" w:eastAsia="標楷體" w:hAnsi="標楷體"/>
                <w:color w:val="000000"/>
              </w:rPr>
            </w:pPr>
            <w:r w:rsidRPr="00BC07CA">
              <w:rPr>
                <w:rFonts w:ascii="標楷體" w:eastAsia="標楷體" w:hAnsi="標楷體" w:hint="eastAsia"/>
                <w:color w:val="000000"/>
              </w:rPr>
              <w:t>1.第4會期第6次全體委員會議（1</w:t>
            </w:r>
            <w:r w:rsidRPr="00BC07CA">
              <w:rPr>
                <w:rFonts w:ascii="標楷體" w:eastAsia="標楷體" w:hAnsi="標楷體"/>
                <w:color w:val="000000"/>
              </w:rPr>
              <w:t>10</w:t>
            </w:r>
            <w:r w:rsidRPr="00BC07CA">
              <w:rPr>
                <w:rFonts w:ascii="標楷體" w:eastAsia="標楷體" w:hAnsi="標楷體" w:hint="eastAsia"/>
                <w:color w:val="000000"/>
              </w:rPr>
              <w:t>.10.27）決議：</w:t>
            </w:r>
            <w:r w:rsidRPr="00BC07CA">
              <w:rPr>
                <w:rFonts w:ascii="標楷體" w:eastAsia="標楷體" w:hAnsi="標楷體" w:hint="eastAsia"/>
                <w:bCs/>
                <w:color w:val="000000"/>
              </w:rPr>
              <w:t>報告及詢答完畢，</w:t>
            </w:r>
            <w:r w:rsidRPr="00BC07CA">
              <w:rPr>
                <w:rFonts w:ascii="標楷體" w:eastAsia="標楷體" w:hAnsi="標楷體" w:hint="eastAsia"/>
                <w:color w:val="000000"/>
              </w:rPr>
              <w:t>另定期繼續審查。</w:t>
            </w:r>
          </w:p>
          <w:p w:rsidR="00BC07CA" w:rsidRPr="00BC07CA" w:rsidRDefault="00BC07CA" w:rsidP="00BC07CA">
            <w:pPr>
              <w:adjustRightInd w:val="0"/>
              <w:snapToGrid w:val="0"/>
              <w:spacing w:line="240" w:lineRule="atLeast"/>
              <w:ind w:left="240" w:hangingChars="100" w:hanging="240"/>
              <w:jc w:val="both"/>
              <w:rPr>
                <w:rFonts w:ascii="標楷體" w:eastAsia="標楷體" w:hAnsi="標楷體"/>
                <w:color w:val="000000"/>
              </w:rPr>
            </w:pPr>
            <w:r w:rsidRPr="00BC07CA">
              <w:rPr>
                <w:rFonts w:ascii="標楷體" w:eastAsia="標楷體" w:hAnsi="標楷體" w:hint="eastAsia"/>
                <w:color w:val="000000"/>
              </w:rPr>
              <w:t>2</w:t>
            </w:r>
            <w:r w:rsidRPr="00BC07CA">
              <w:rPr>
                <w:rFonts w:ascii="標楷體" w:eastAsia="標楷體" w:hAnsi="標楷體"/>
                <w:color w:val="000000"/>
              </w:rPr>
              <w:t>.</w:t>
            </w:r>
            <w:r w:rsidRPr="00BC07CA">
              <w:rPr>
                <w:rFonts w:ascii="標楷體" w:eastAsia="標楷體" w:hAnsi="標楷體" w:hint="eastAsia"/>
                <w:color w:val="000000"/>
              </w:rPr>
              <w:t>第4會期第</w:t>
            </w:r>
            <w:r w:rsidRPr="00BC07CA">
              <w:rPr>
                <w:rFonts w:ascii="標楷體" w:eastAsia="標楷體" w:hAnsi="標楷體"/>
                <w:color w:val="000000"/>
              </w:rPr>
              <w:t>8</w:t>
            </w:r>
            <w:r w:rsidRPr="00BC07CA">
              <w:rPr>
                <w:rFonts w:ascii="標楷體" w:eastAsia="標楷體" w:hAnsi="標楷體" w:hint="eastAsia"/>
                <w:color w:val="000000"/>
              </w:rPr>
              <w:t>次全體委員會議（110.11.</w:t>
            </w:r>
            <w:r w:rsidRPr="00BC07CA">
              <w:rPr>
                <w:rFonts w:ascii="標楷體" w:eastAsia="標楷體" w:hAnsi="標楷體"/>
                <w:color w:val="000000"/>
              </w:rPr>
              <w:t>11</w:t>
            </w:r>
            <w:r w:rsidRPr="00BC07CA">
              <w:rPr>
                <w:rFonts w:ascii="標楷體" w:eastAsia="標楷體" w:hAnsi="標楷體" w:hint="eastAsia"/>
                <w:color w:val="000000"/>
              </w:rPr>
              <w:t>）決議：審查完竣。</w:t>
            </w:r>
          </w:p>
          <w:p w:rsidR="00BC07CA" w:rsidRPr="00BC07CA" w:rsidRDefault="00BC07CA" w:rsidP="00BC07CA">
            <w:pPr>
              <w:adjustRightInd w:val="0"/>
              <w:snapToGrid w:val="0"/>
              <w:spacing w:line="240" w:lineRule="atLeast"/>
              <w:ind w:left="240" w:hangingChars="100" w:hanging="240"/>
              <w:jc w:val="both"/>
              <w:rPr>
                <w:rFonts w:ascii="標楷體" w:eastAsia="標楷體" w:hAnsi="標楷體"/>
                <w:color w:val="000000"/>
              </w:rPr>
            </w:pPr>
          </w:p>
          <w:p w:rsidR="00BC07CA" w:rsidRPr="00BC07CA" w:rsidRDefault="00BC07CA" w:rsidP="00BC07CA">
            <w:pPr>
              <w:adjustRightInd w:val="0"/>
              <w:snapToGrid w:val="0"/>
              <w:spacing w:line="240" w:lineRule="atLeast"/>
              <w:ind w:left="240" w:hangingChars="100" w:hanging="240"/>
              <w:rPr>
                <w:rFonts w:ascii="標楷體" w:eastAsia="標楷體" w:hAnsi="標楷體"/>
                <w:color w:val="000000"/>
              </w:rPr>
            </w:pPr>
          </w:p>
        </w:tc>
        <w:tc>
          <w:tcPr>
            <w:tcW w:w="985" w:type="pct"/>
            <w:vMerge/>
          </w:tcPr>
          <w:p w:rsidR="00BC07CA" w:rsidRPr="00BC07CA" w:rsidRDefault="00BC07CA" w:rsidP="00BC07CA">
            <w:pPr>
              <w:adjustRightInd w:val="0"/>
              <w:snapToGrid w:val="0"/>
              <w:spacing w:line="240" w:lineRule="atLeast"/>
              <w:ind w:left="240" w:hangingChars="100" w:hanging="240"/>
              <w:jc w:val="both"/>
              <w:rPr>
                <w:rFonts w:ascii="標楷體" w:eastAsia="標楷體" w:hAnsi="標楷體"/>
                <w:color w:val="000000"/>
              </w:rPr>
            </w:pPr>
          </w:p>
        </w:tc>
      </w:tr>
      <w:tr w:rsidR="00BC07CA" w:rsidRPr="00BC07CA" w:rsidTr="00BC07CA">
        <w:trPr>
          <w:trHeight w:val="790"/>
        </w:trPr>
        <w:tc>
          <w:tcPr>
            <w:tcW w:w="315" w:type="pct"/>
            <w:vMerge/>
            <w:vAlign w:val="center"/>
          </w:tcPr>
          <w:p w:rsidR="00BC07CA" w:rsidRPr="00BC07CA" w:rsidRDefault="00BC07CA" w:rsidP="006934DD">
            <w:pPr>
              <w:numPr>
                <w:ilvl w:val="0"/>
                <w:numId w:val="48"/>
              </w:numPr>
              <w:adjustRightInd w:val="0"/>
              <w:snapToGrid w:val="0"/>
              <w:rPr>
                <w:rFonts w:ascii="標楷體" w:eastAsia="標楷體" w:hAnsi="標楷體"/>
                <w:bCs/>
                <w:color w:val="FF0000"/>
                <w:szCs w:val="22"/>
              </w:rPr>
            </w:pPr>
          </w:p>
        </w:tc>
        <w:tc>
          <w:tcPr>
            <w:tcW w:w="1516" w:type="pct"/>
          </w:tcPr>
          <w:p w:rsidR="00BC07CA" w:rsidRPr="00BC07CA" w:rsidRDefault="00BC07CA" w:rsidP="00BC07CA">
            <w:pPr>
              <w:spacing w:line="400" w:lineRule="exact"/>
              <w:ind w:leftChars="-12" w:left="251" w:hangingChars="100" w:hanging="280"/>
              <w:jc w:val="both"/>
              <w:rPr>
                <w:rFonts w:ascii="標楷體" w:eastAsia="標楷體" w:hAnsi="標楷體"/>
                <w:color w:val="000000"/>
                <w:sz w:val="28"/>
              </w:rPr>
            </w:pPr>
            <w:r w:rsidRPr="00BC07CA">
              <w:rPr>
                <w:rFonts w:ascii="標楷體" w:eastAsia="標楷體" w:hAnsi="標楷體" w:hint="eastAsia"/>
                <w:color w:val="000000"/>
                <w:sz w:val="28"/>
              </w:rPr>
              <w:t>7.科學園區管理局作業基金</w:t>
            </w:r>
          </w:p>
        </w:tc>
        <w:tc>
          <w:tcPr>
            <w:tcW w:w="846" w:type="pct"/>
            <w:vMerge/>
          </w:tcPr>
          <w:p w:rsidR="00BC07CA" w:rsidRPr="00BC07CA" w:rsidRDefault="00BC07CA" w:rsidP="00BC07CA">
            <w:pPr>
              <w:adjustRightInd w:val="0"/>
              <w:snapToGrid w:val="0"/>
              <w:spacing w:line="240" w:lineRule="atLeast"/>
              <w:jc w:val="both"/>
              <w:rPr>
                <w:rFonts w:ascii="標楷體" w:eastAsia="標楷體" w:hAnsi="標楷體"/>
                <w:color w:val="000000"/>
                <w:sz w:val="28"/>
                <w:szCs w:val="22"/>
              </w:rPr>
            </w:pPr>
          </w:p>
        </w:tc>
        <w:tc>
          <w:tcPr>
            <w:tcW w:w="1338" w:type="pct"/>
          </w:tcPr>
          <w:p w:rsidR="00BC07CA" w:rsidRPr="00BC07CA" w:rsidRDefault="00BC07CA" w:rsidP="00BC07CA">
            <w:pPr>
              <w:adjustRightInd w:val="0"/>
              <w:snapToGrid w:val="0"/>
              <w:spacing w:line="240" w:lineRule="atLeast"/>
              <w:ind w:left="240" w:hangingChars="100" w:hanging="240"/>
              <w:jc w:val="both"/>
              <w:rPr>
                <w:rFonts w:ascii="標楷體" w:eastAsia="標楷體" w:hAnsi="標楷體"/>
                <w:color w:val="000000"/>
              </w:rPr>
            </w:pPr>
            <w:r w:rsidRPr="00BC07CA">
              <w:rPr>
                <w:rFonts w:ascii="標楷體" w:eastAsia="標楷體" w:hAnsi="標楷體" w:hint="eastAsia"/>
                <w:color w:val="000000"/>
              </w:rPr>
              <w:t>1.第4會期第9次全體委員會議（1</w:t>
            </w:r>
            <w:r w:rsidRPr="00BC07CA">
              <w:rPr>
                <w:rFonts w:ascii="標楷體" w:eastAsia="標楷體" w:hAnsi="標楷體"/>
                <w:color w:val="000000"/>
              </w:rPr>
              <w:t>10</w:t>
            </w:r>
            <w:r w:rsidRPr="00BC07CA">
              <w:rPr>
                <w:rFonts w:ascii="標楷體" w:eastAsia="標楷體" w:hAnsi="標楷體" w:hint="eastAsia"/>
                <w:color w:val="000000"/>
              </w:rPr>
              <w:t>.11.17）決議：報告及詢答完畢，另定期繼續審查。</w:t>
            </w:r>
          </w:p>
          <w:p w:rsidR="00BC07CA" w:rsidRPr="00BC07CA" w:rsidRDefault="00BC07CA" w:rsidP="00BC07CA">
            <w:pPr>
              <w:adjustRightInd w:val="0"/>
              <w:snapToGrid w:val="0"/>
              <w:spacing w:line="240" w:lineRule="atLeast"/>
              <w:ind w:left="235" w:hangingChars="98" w:hanging="235"/>
              <w:jc w:val="both"/>
              <w:rPr>
                <w:rFonts w:ascii="標楷體" w:eastAsia="標楷體" w:hAnsi="標楷體"/>
                <w:color w:val="000000"/>
              </w:rPr>
            </w:pPr>
            <w:r w:rsidRPr="00BC07CA">
              <w:rPr>
                <w:rFonts w:ascii="標楷體" w:eastAsia="標楷體" w:hAnsi="標楷體" w:hint="eastAsia"/>
                <w:color w:val="000000"/>
              </w:rPr>
              <w:t>2.第4會期第11次全體委員會議</w:t>
            </w:r>
            <w:r w:rsidRPr="0015104A">
              <w:rPr>
                <w:rFonts w:ascii="標楷體" w:eastAsia="標楷體" w:hAnsi="標楷體" w:hint="eastAsia"/>
                <w:color w:val="000000"/>
                <w:spacing w:val="-10"/>
              </w:rPr>
              <w:t>（110.11.29）</w:t>
            </w:r>
            <w:r w:rsidRPr="00BC07CA">
              <w:rPr>
                <w:rFonts w:ascii="標楷體" w:eastAsia="標楷體" w:hAnsi="標楷體" w:hint="eastAsia"/>
                <w:color w:val="000000"/>
              </w:rPr>
              <w:t>決議：另定期繼續審查。</w:t>
            </w:r>
          </w:p>
          <w:p w:rsidR="00BC07CA" w:rsidRPr="00BC07CA" w:rsidRDefault="00BC07CA" w:rsidP="0015104A">
            <w:pPr>
              <w:adjustRightInd w:val="0"/>
              <w:snapToGrid w:val="0"/>
              <w:spacing w:line="240" w:lineRule="atLeast"/>
              <w:ind w:left="235" w:hangingChars="98" w:hanging="235"/>
              <w:jc w:val="both"/>
              <w:rPr>
                <w:rFonts w:ascii="標楷體" w:eastAsia="標楷體" w:hAnsi="標楷體"/>
                <w:color w:val="000000"/>
              </w:rPr>
            </w:pPr>
            <w:r w:rsidRPr="00BC07CA">
              <w:rPr>
                <w:rFonts w:ascii="標楷體" w:eastAsia="標楷體" w:hAnsi="標楷體" w:hint="eastAsia"/>
                <w:color w:val="000000"/>
              </w:rPr>
              <w:t>3.第4會期第14次全體委員會議</w:t>
            </w:r>
            <w:r w:rsidRPr="0015104A">
              <w:rPr>
                <w:rFonts w:ascii="標楷體" w:eastAsia="標楷體" w:hAnsi="標楷體" w:hint="eastAsia"/>
                <w:color w:val="000000"/>
                <w:spacing w:val="-10"/>
              </w:rPr>
              <w:t>（110.12.27）</w:t>
            </w:r>
            <w:r w:rsidRPr="00BC07CA">
              <w:rPr>
                <w:rFonts w:ascii="標楷體" w:eastAsia="標楷體" w:hAnsi="標楷體" w:hint="eastAsia"/>
                <w:color w:val="000000"/>
              </w:rPr>
              <w:t>決議：審查完竣。</w:t>
            </w:r>
          </w:p>
        </w:tc>
        <w:tc>
          <w:tcPr>
            <w:tcW w:w="985" w:type="pct"/>
            <w:vMerge/>
          </w:tcPr>
          <w:p w:rsidR="00BC07CA" w:rsidRPr="00BC07CA" w:rsidRDefault="00BC07CA" w:rsidP="00BC07CA">
            <w:pPr>
              <w:adjustRightInd w:val="0"/>
              <w:snapToGrid w:val="0"/>
              <w:spacing w:line="240" w:lineRule="atLeast"/>
              <w:ind w:left="240" w:hangingChars="100" w:hanging="240"/>
              <w:jc w:val="both"/>
              <w:rPr>
                <w:rFonts w:ascii="標楷體" w:eastAsia="標楷體" w:hAnsi="標楷體"/>
                <w:color w:val="000000"/>
              </w:rPr>
            </w:pPr>
          </w:p>
        </w:tc>
      </w:tr>
      <w:tr w:rsidR="00BC07CA" w:rsidRPr="00BC07CA" w:rsidTr="00BC07CA">
        <w:trPr>
          <w:trHeight w:val="790"/>
        </w:trPr>
        <w:tc>
          <w:tcPr>
            <w:tcW w:w="315" w:type="pct"/>
            <w:vMerge/>
            <w:vAlign w:val="center"/>
          </w:tcPr>
          <w:p w:rsidR="00BC07CA" w:rsidRPr="00BC07CA" w:rsidRDefault="00BC07CA" w:rsidP="006934DD">
            <w:pPr>
              <w:numPr>
                <w:ilvl w:val="0"/>
                <w:numId w:val="48"/>
              </w:numPr>
              <w:adjustRightInd w:val="0"/>
              <w:snapToGrid w:val="0"/>
              <w:rPr>
                <w:rFonts w:ascii="標楷體" w:eastAsia="標楷體" w:hAnsi="標楷體"/>
                <w:bCs/>
                <w:color w:val="FF0000"/>
                <w:szCs w:val="22"/>
              </w:rPr>
            </w:pPr>
          </w:p>
        </w:tc>
        <w:tc>
          <w:tcPr>
            <w:tcW w:w="1516" w:type="pct"/>
          </w:tcPr>
          <w:p w:rsidR="00BC07CA" w:rsidRPr="00BC07CA" w:rsidRDefault="00BC07CA" w:rsidP="0015104A">
            <w:pPr>
              <w:spacing w:line="400" w:lineRule="exact"/>
              <w:ind w:leftChars="-12" w:left="251" w:hangingChars="100" w:hanging="280"/>
              <w:jc w:val="both"/>
              <w:rPr>
                <w:rFonts w:ascii="標楷體" w:eastAsia="標楷體" w:hAnsi="標楷體"/>
                <w:color w:val="000000"/>
                <w:sz w:val="28"/>
              </w:rPr>
            </w:pPr>
            <w:r w:rsidRPr="00BC07CA">
              <w:rPr>
                <w:rFonts w:ascii="標楷體" w:eastAsia="標楷體" w:hAnsi="標楷體" w:hint="eastAsia"/>
                <w:color w:val="000000"/>
                <w:sz w:val="28"/>
              </w:rPr>
              <w:t>8.國立文化機構作業基金</w:t>
            </w:r>
          </w:p>
        </w:tc>
        <w:tc>
          <w:tcPr>
            <w:tcW w:w="846" w:type="pct"/>
            <w:vMerge/>
          </w:tcPr>
          <w:p w:rsidR="00BC07CA" w:rsidRPr="00BC07CA" w:rsidRDefault="00BC07CA" w:rsidP="00BC07CA">
            <w:pPr>
              <w:adjustRightInd w:val="0"/>
              <w:snapToGrid w:val="0"/>
              <w:spacing w:line="240" w:lineRule="atLeast"/>
              <w:jc w:val="both"/>
              <w:rPr>
                <w:rFonts w:ascii="標楷體" w:eastAsia="標楷體" w:hAnsi="標楷體"/>
                <w:color w:val="000000"/>
                <w:sz w:val="28"/>
                <w:szCs w:val="22"/>
              </w:rPr>
            </w:pPr>
          </w:p>
        </w:tc>
        <w:tc>
          <w:tcPr>
            <w:tcW w:w="1338" w:type="pct"/>
          </w:tcPr>
          <w:p w:rsidR="00BC07CA" w:rsidRPr="00BC07CA" w:rsidRDefault="0015104A" w:rsidP="0015104A">
            <w:pPr>
              <w:adjustRightInd w:val="0"/>
              <w:snapToGrid w:val="0"/>
              <w:spacing w:line="240" w:lineRule="atLeast"/>
              <w:ind w:left="240" w:hangingChars="100" w:hanging="240"/>
              <w:jc w:val="both"/>
              <w:rPr>
                <w:rFonts w:ascii="標楷體" w:eastAsia="標楷體" w:hAnsi="標楷體"/>
                <w:color w:val="000000"/>
              </w:rPr>
            </w:pPr>
            <w:r>
              <w:rPr>
                <w:rFonts w:ascii="標楷體" w:eastAsia="標楷體" w:hAnsi="標楷體" w:hint="eastAsia"/>
                <w:color w:val="000000"/>
              </w:rPr>
              <w:t>1</w:t>
            </w:r>
            <w:r>
              <w:rPr>
                <w:rFonts w:ascii="標楷體" w:eastAsia="標楷體" w:hAnsi="標楷體"/>
                <w:color w:val="000000"/>
              </w:rPr>
              <w:t>.</w:t>
            </w:r>
            <w:r w:rsidR="00BC07CA" w:rsidRPr="00BC07CA">
              <w:rPr>
                <w:rFonts w:ascii="標楷體" w:eastAsia="標楷體" w:hAnsi="標楷體" w:hint="eastAsia"/>
                <w:color w:val="000000"/>
              </w:rPr>
              <w:t>第4會期第12次全體委員會議</w:t>
            </w:r>
            <w:r w:rsidR="00BC07CA" w:rsidRPr="0015104A">
              <w:rPr>
                <w:rFonts w:ascii="標楷體" w:eastAsia="標楷體" w:hAnsi="標楷體" w:hint="eastAsia"/>
                <w:color w:val="000000"/>
                <w:spacing w:val="-10"/>
              </w:rPr>
              <w:t>（1</w:t>
            </w:r>
            <w:r w:rsidR="00BC07CA" w:rsidRPr="0015104A">
              <w:rPr>
                <w:rFonts w:ascii="標楷體" w:eastAsia="標楷體" w:hAnsi="標楷體"/>
                <w:color w:val="000000"/>
                <w:spacing w:val="-10"/>
              </w:rPr>
              <w:t>10</w:t>
            </w:r>
            <w:r w:rsidR="00BC07CA" w:rsidRPr="0015104A">
              <w:rPr>
                <w:rFonts w:ascii="標楷體" w:eastAsia="標楷體" w:hAnsi="標楷體" w:hint="eastAsia"/>
                <w:color w:val="000000"/>
                <w:spacing w:val="-10"/>
              </w:rPr>
              <w:t>.12.13）</w:t>
            </w:r>
            <w:r w:rsidR="00BC07CA" w:rsidRPr="00BC07CA">
              <w:rPr>
                <w:rFonts w:ascii="標楷體" w:eastAsia="標楷體" w:hAnsi="標楷體" w:hint="eastAsia"/>
                <w:color w:val="000000"/>
              </w:rPr>
              <w:t>決議：報告及詢答完畢，另定期繼續審查。</w:t>
            </w:r>
          </w:p>
          <w:p w:rsidR="00BC07CA" w:rsidRPr="00BC07CA" w:rsidRDefault="0015104A" w:rsidP="0015104A">
            <w:pPr>
              <w:adjustRightInd w:val="0"/>
              <w:snapToGrid w:val="0"/>
              <w:spacing w:line="240" w:lineRule="atLeast"/>
              <w:ind w:left="240" w:hangingChars="100" w:hanging="240"/>
              <w:jc w:val="both"/>
              <w:rPr>
                <w:rFonts w:ascii="標楷體" w:eastAsia="標楷體" w:hAnsi="標楷體"/>
                <w:color w:val="000000"/>
                <w:sz w:val="28"/>
              </w:rPr>
            </w:pPr>
            <w:r>
              <w:rPr>
                <w:rFonts w:ascii="標楷體" w:eastAsia="標楷體" w:hAnsi="標楷體" w:hint="eastAsia"/>
                <w:color w:val="000000"/>
              </w:rPr>
              <w:t>2</w:t>
            </w:r>
            <w:r>
              <w:rPr>
                <w:rFonts w:ascii="標楷體" w:eastAsia="標楷體" w:hAnsi="標楷體"/>
                <w:color w:val="000000"/>
              </w:rPr>
              <w:t>.</w:t>
            </w:r>
            <w:r w:rsidR="00BC07CA" w:rsidRPr="00BC07CA">
              <w:rPr>
                <w:rFonts w:ascii="標楷體" w:eastAsia="標楷體" w:hAnsi="標楷體" w:hint="eastAsia"/>
                <w:color w:val="000000"/>
              </w:rPr>
              <w:t>第4會期第14次全體委員會議</w:t>
            </w:r>
            <w:r w:rsidR="00BC07CA" w:rsidRPr="0015104A">
              <w:rPr>
                <w:rFonts w:ascii="標楷體" w:eastAsia="標楷體" w:hAnsi="標楷體" w:hint="eastAsia"/>
                <w:color w:val="000000"/>
                <w:spacing w:val="-10"/>
              </w:rPr>
              <w:t>（110.12.30）</w:t>
            </w:r>
            <w:r w:rsidR="00BC07CA" w:rsidRPr="00BC07CA">
              <w:rPr>
                <w:rFonts w:ascii="標楷體" w:eastAsia="標楷體" w:hAnsi="標楷體" w:hint="eastAsia"/>
                <w:color w:val="000000"/>
              </w:rPr>
              <w:t>決議：審查完竣。</w:t>
            </w:r>
          </w:p>
        </w:tc>
        <w:tc>
          <w:tcPr>
            <w:tcW w:w="985" w:type="pct"/>
            <w:vMerge/>
          </w:tcPr>
          <w:p w:rsidR="00BC07CA" w:rsidRPr="00BC07CA" w:rsidRDefault="00BC07CA" w:rsidP="006934DD">
            <w:pPr>
              <w:numPr>
                <w:ilvl w:val="0"/>
                <w:numId w:val="50"/>
              </w:numPr>
              <w:adjustRightInd w:val="0"/>
              <w:snapToGrid w:val="0"/>
              <w:spacing w:line="240" w:lineRule="atLeast"/>
              <w:jc w:val="both"/>
              <w:rPr>
                <w:rFonts w:ascii="標楷體" w:eastAsia="標楷體" w:hAnsi="標楷體"/>
                <w:color w:val="000000"/>
              </w:rPr>
            </w:pPr>
          </w:p>
        </w:tc>
      </w:tr>
      <w:tr w:rsidR="00BC07CA" w:rsidRPr="00BC07CA" w:rsidTr="00BC07CA">
        <w:trPr>
          <w:trHeight w:val="790"/>
        </w:trPr>
        <w:tc>
          <w:tcPr>
            <w:tcW w:w="315" w:type="pct"/>
            <w:vMerge/>
            <w:vAlign w:val="center"/>
          </w:tcPr>
          <w:p w:rsidR="00BC07CA" w:rsidRPr="00BC07CA" w:rsidRDefault="00BC07CA" w:rsidP="006934DD">
            <w:pPr>
              <w:numPr>
                <w:ilvl w:val="0"/>
                <w:numId w:val="48"/>
              </w:numPr>
              <w:adjustRightInd w:val="0"/>
              <w:snapToGrid w:val="0"/>
              <w:rPr>
                <w:rFonts w:ascii="標楷體" w:eastAsia="標楷體" w:hAnsi="標楷體"/>
                <w:bCs/>
                <w:color w:val="FF0000"/>
                <w:szCs w:val="22"/>
              </w:rPr>
            </w:pPr>
          </w:p>
        </w:tc>
        <w:tc>
          <w:tcPr>
            <w:tcW w:w="1516" w:type="pct"/>
          </w:tcPr>
          <w:p w:rsidR="00BC07CA" w:rsidRPr="00BC07CA" w:rsidRDefault="00BC07CA" w:rsidP="0015104A">
            <w:pPr>
              <w:spacing w:line="400" w:lineRule="exact"/>
              <w:ind w:leftChars="-12" w:left="251" w:hangingChars="100" w:hanging="280"/>
              <w:jc w:val="both"/>
              <w:rPr>
                <w:rFonts w:ascii="標楷體" w:eastAsia="標楷體" w:hAnsi="標楷體"/>
                <w:b/>
                <w:color w:val="000000"/>
                <w:sz w:val="28"/>
              </w:rPr>
            </w:pPr>
            <w:r w:rsidRPr="00BC07CA">
              <w:rPr>
                <w:rFonts w:ascii="標楷體" w:eastAsia="標楷體" w:hAnsi="標楷體" w:hint="eastAsia"/>
                <w:color w:val="000000"/>
                <w:sz w:val="28"/>
              </w:rPr>
              <w:t>9.故宮文物藝術發展基金</w:t>
            </w:r>
          </w:p>
        </w:tc>
        <w:tc>
          <w:tcPr>
            <w:tcW w:w="846" w:type="pct"/>
            <w:vMerge/>
          </w:tcPr>
          <w:p w:rsidR="00BC07CA" w:rsidRPr="00BC07CA" w:rsidRDefault="00BC07CA" w:rsidP="00BC07CA">
            <w:pPr>
              <w:adjustRightInd w:val="0"/>
              <w:snapToGrid w:val="0"/>
              <w:spacing w:line="240" w:lineRule="atLeast"/>
              <w:jc w:val="both"/>
              <w:rPr>
                <w:rFonts w:ascii="標楷體" w:eastAsia="標楷體" w:hAnsi="標楷體"/>
                <w:color w:val="000000"/>
                <w:sz w:val="28"/>
                <w:szCs w:val="22"/>
              </w:rPr>
            </w:pPr>
          </w:p>
        </w:tc>
        <w:tc>
          <w:tcPr>
            <w:tcW w:w="1338" w:type="pct"/>
          </w:tcPr>
          <w:p w:rsidR="00BC07CA" w:rsidRPr="00BC07CA" w:rsidRDefault="00BC07CA" w:rsidP="0015104A">
            <w:pPr>
              <w:adjustRightInd w:val="0"/>
              <w:snapToGrid w:val="0"/>
              <w:spacing w:line="240" w:lineRule="atLeast"/>
              <w:ind w:left="41" w:hangingChars="17" w:hanging="41"/>
              <w:jc w:val="both"/>
              <w:rPr>
                <w:rFonts w:ascii="標楷體" w:eastAsia="標楷體" w:hAnsi="標楷體"/>
                <w:color w:val="000000"/>
                <w:sz w:val="28"/>
              </w:rPr>
            </w:pPr>
            <w:r w:rsidRPr="00BC07CA">
              <w:rPr>
                <w:rFonts w:ascii="標楷體" w:eastAsia="標楷體" w:hAnsi="標楷體" w:hint="eastAsia"/>
                <w:color w:val="000000"/>
              </w:rPr>
              <w:t>第4會期第6次全體委員會議（110.10.28）決議：審查完竣。</w:t>
            </w:r>
          </w:p>
        </w:tc>
        <w:tc>
          <w:tcPr>
            <w:tcW w:w="985" w:type="pct"/>
            <w:vMerge/>
          </w:tcPr>
          <w:p w:rsidR="00BC07CA" w:rsidRPr="00BC07CA" w:rsidRDefault="00BC07CA" w:rsidP="00BC07CA">
            <w:pPr>
              <w:adjustRightInd w:val="0"/>
              <w:snapToGrid w:val="0"/>
              <w:spacing w:line="240" w:lineRule="atLeast"/>
              <w:ind w:left="240" w:hangingChars="100" w:hanging="240"/>
              <w:jc w:val="both"/>
              <w:rPr>
                <w:rFonts w:ascii="標楷體" w:eastAsia="標楷體" w:hAnsi="標楷體"/>
                <w:color w:val="000000"/>
              </w:rPr>
            </w:pPr>
          </w:p>
        </w:tc>
      </w:tr>
    </w:tbl>
    <w:p w:rsidR="00BC07CA" w:rsidRPr="0015104A" w:rsidRDefault="0015104A" w:rsidP="0015104A">
      <w:pPr>
        <w:snapToGrid w:val="0"/>
        <w:spacing w:beforeLines="50" w:before="180" w:line="480" w:lineRule="exact"/>
        <w:ind w:leftChars="100" w:left="240" w:firstLineChars="104" w:firstLine="325"/>
        <w:jc w:val="both"/>
        <w:outlineLvl w:val="2"/>
        <w:rPr>
          <w:color w:val="000000" w:themeColor="text1"/>
        </w:rPr>
      </w:pPr>
      <w:bookmarkStart w:id="99" w:name="_Toc126068137"/>
      <w:r w:rsidRPr="0015104A">
        <w:rPr>
          <w:rFonts w:ascii="標楷體" w:eastAsia="標楷體" w:hAnsi="標楷體" w:hint="eastAsia"/>
          <w:b/>
          <w:color w:val="000000" w:themeColor="text1"/>
          <w:spacing w:val="-4"/>
          <w:sz w:val="32"/>
          <w:szCs w:val="32"/>
        </w:rPr>
        <w:t>(</w:t>
      </w:r>
      <w:r>
        <w:rPr>
          <w:rFonts w:ascii="標楷體" w:eastAsia="標楷體" w:hAnsi="標楷體" w:hint="eastAsia"/>
          <w:b/>
          <w:color w:val="000000" w:themeColor="text1"/>
          <w:spacing w:val="-4"/>
          <w:sz w:val="32"/>
          <w:szCs w:val="32"/>
        </w:rPr>
        <w:t>二</w:t>
      </w:r>
      <w:r w:rsidRPr="0015104A">
        <w:rPr>
          <w:rFonts w:ascii="標楷體" w:eastAsia="標楷體" w:hAnsi="標楷體" w:hint="eastAsia"/>
          <w:b/>
          <w:color w:val="000000" w:themeColor="text1"/>
          <w:spacing w:val="-4"/>
          <w:sz w:val="32"/>
          <w:szCs w:val="32"/>
        </w:rPr>
        <w:t>)11</w:t>
      </w:r>
      <w:r>
        <w:rPr>
          <w:rFonts w:ascii="標楷體" w:eastAsia="標楷體" w:hAnsi="標楷體" w:hint="eastAsia"/>
          <w:b/>
          <w:color w:val="000000" w:themeColor="text1"/>
          <w:spacing w:val="-4"/>
          <w:sz w:val="32"/>
          <w:szCs w:val="32"/>
        </w:rPr>
        <w:t>2</w:t>
      </w:r>
      <w:r w:rsidRPr="0015104A">
        <w:rPr>
          <w:rFonts w:ascii="標楷體" w:eastAsia="標楷體" w:hAnsi="標楷體" w:hint="eastAsia"/>
          <w:b/>
          <w:color w:val="000000" w:themeColor="text1"/>
          <w:spacing w:val="-4"/>
          <w:sz w:val="32"/>
          <w:szCs w:val="32"/>
        </w:rPr>
        <w:t>年度中央政府總預算案(</w:t>
      </w:r>
      <w:r>
        <w:rPr>
          <w:rFonts w:ascii="標楷體" w:eastAsia="標楷體" w:hAnsi="標楷體" w:hint="eastAsia"/>
          <w:b/>
          <w:color w:val="000000" w:themeColor="text1"/>
          <w:spacing w:val="-4"/>
          <w:sz w:val="32"/>
          <w:szCs w:val="32"/>
        </w:rPr>
        <w:t>公務預算</w:t>
      </w:r>
      <w:r w:rsidRPr="0015104A">
        <w:rPr>
          <w:rFonts w:ascii="標楷體" w:eastAsia="標楷體" w:hAnsi="標楷體" w:hint="eastAsia"/>
          <w:b/>
          <w:color w:val="000000" w:themeColor="text1"/>
          <w:spacing w:val="-4"/>
          <w:sz w:val="32"/>
          <w:szCs w:val="32"/>
        </w:rPr>
        <w:t>) (1案)</w:t>
      </w:r>
      <w:bookmarkEnd w:id="99"/>
    </w:p>
    <w:tbl>
      <w:tblPr>
        <w:tblW w:w="5226"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851"/>
        <w:gridCol w:w="2796"/>
        <w:gridCol w:w="1598"/>
        <w:gridCol w:w="2834"/>
        <w:gridCol w:w="1985"/>
      </w:tblGrid>
      <w:tr w:rsidR="0015104A" w:rsidRPr="00092966" w:rsidTr="001F3F42">
        <w:trPr>
          <w:trHeight w:val="700"/>
        </w:trPr>
        <w:tc>
          <w:tcPr>
            <w:tcW w:w="423" w:type="pct"/>
            <w:vAlign w:val="center"/>
          </w:tcPr>
          <w:p w:rsidR="0015104A" w:rsidRPr="00D9635C" w:rsidRDefault="0015104A" w:rsidP="001F3F42">
            <w:pPr>
              <w:spacing w:line="400" w:lineRule="exact"/>
              <w:rPr>
                <w:rFonts w:ascii="標楷體" w:eastAsia="標楷體" w:hAnsi="標楷體"/>
                <w:b/>
                <w:bCs/>
                <w:spacing w:val="-20"/>
                <w:sz w:val="28"/>
                <w:szCs w:val="28"/>
              </w:rPr>
            </w:pPr>
            <w:r w:rsidRPr="00D9635C">
              <w:rPr>
                <w:rFonts w:ascii="標楷體" w:eastAsia="標楷體" w:hAnsi="標楷體" w:hint="eastAsia"/>
                <w:b/>
                <w:bCs/>
                <w:spacing w:val="-20"/>
                <w:sz w:val="28"/>
                <w:szCs w:val="28"/>
              </w:rPr>
              <w:t>序號</w:t>
            </w:r>
          </w:p>
        </w:tc>
        <w:tc>
          <w:tcPr>
            <w:tcW w:w="1389" w:type="pct"/>
            <w:vAlign w:val="center"/>
          </w:tcPr>
          <w:p w:rsidR="0015104A" w:rsidRPr="00D9635C" w:rsidRDefault="0015104A" w:rsidP="001F3F42">
            <w:pPr>
              <w:spacing w:line="400" w:lineRule="exact"/>
              <w:jc w:val="center"/>
              <w:rPr>
                <w:rFonts w:ascii="標楷體" w:eastAsia="標楷體" w:hAnsi="標楷體"/>
                <w:b/>
                <w:bCs/>
                <w:sz w:val="28"/>
              </w:rPr>
            </w:pPr>
            <w:r w:rsidRPr="00D9635C">
              <w:rPr>
                <w:rFonts w:ascii="標楷體" w:eastAsia="標楷體" w:hAnsi="標楷體" w:hint="eastAsia"/>
                <w:b/>
                <w:bCs/>
                <w:sz w:val="28"/>
              </w:rPr>
              <w:t>案由</w:t>
            </w:r>
          </w:p>
        </w:tc>
        <w:tc>
          <w:tcPr>
            <w:tcW w:w="794" w:type="pct"/>
            <w:vAlign w:val="center"/>
          </w:tcPr>
          <w:p w:rsidR="0015104A" w:rsidRPr="00D9635C" w:rsidRDefault="0015104A" w:rsidP="001F3F42">
            <w:pPr>
              <w:spacing w:line="400" w:lineRule="exact"/>
              <w:ind w:left="92"/>
              <w:jc w:val="center"/>
              <w:rPr>
                <w:rFonts w:ascii="標楷體" w:eastAsia="標楷體" w:hAnsi="標楷體"/>
                <w:b/>
                <w:bCs/>
                <w:sz w:val="28"/>
              </w:rPr>
            </w:pPr>
            <w:r w:rsidRPr="00D9635C">
              <w:rPr>
                <w:rFonts w:ascii="標楷體" w:eastAsia="標楷體" w:hAnsi="標楷體" w:hint="eastAsia"/>
                <w:b/>
                <w:bCs/>
                <w:sz w:val="28"/>
              </w:rPr>
              <w:t>院會交付</w:t>
            </w:r>
          </w:p>
          <w:p w:rsidR="0015104A" w:rsidRPr="00D9635C" w:rsidRDefault="0015104A" w:rsidP="001F3F42">
            <w:pPr>
              <w:spacing w:line="400" w:lineRule="exact"/>
              <w:ind w:left="92"/>
              <w:jc w:val="center"/>
              <w:rPr>
                <w:rFonts w:ascii="標楷體" w:eastAsia="標楷體" w:hAnsi="標楷體"/>
                <w:b/>
                <w:bCs/>
                <w:sz w:val="28"/>
              </w:rPr>
            </w:pPr>
            <w:r w:rsidRPr="00D9635C">
              <w:rPr>
                <w:rFonts w:ascii="標楷體" w:eastAsia="標楷體" w:hAnsi="標楷體" w:hint="eastAsia"/>
                <w:b/>
                <w:bCs/>
                <w:sz w:val="28"/>
              </w:rPr>
              <w:t>會次及日期</w:t>
            </w:r>
          </w:p>
        </w:tc>
        <w:tc>
          <w:tcPr>
            <w:tcW w:w="1408" w:type="pct"/>
            <w:vAlign w:val="center"/>
          </w:tcPr>
          <w:p w:rsidR="0015104A" w:rsidRPr="00D9635C" w:rsidRDefault="0015104A" w:rsidP="001F3F42">
            <w:pPr>
              <w:spacing w:line="400" w:lineRule="exact"/>
              <w:jc w:val="distribute"/>
              <w:rPr>
                <w:rFonts w:ascii="標楷體" w:eastAsia="標楷體" w:hAnsi="標楷體"/>
                <w:b/>
                <w:bCs/>
                <w:sz w:val="28"/>
              </w:rPr>
            </w:pPr>
            <w:r w:rsidRPr="00D9635C">
              <w:rPr>
                <w:rFonts w:ascii="標楷體" w:eastAsia="標楷體" w:hAnsi="標楷體" w:hint="eastAsia"/>
                <w:b/>
                <w:bCs/>
                <w:sz w:val="28"/>
              </w:rPr>
              <w:t>處理情形</w:t>
            </w:r>
          </w:p>
        </w:tc>
        <w:tc>
          <w:tcPr>
            <w:tcW w:w="986" w:type="pct"/>
          </w:tcPr>
          <w:p w:rsidR="0015104A" w:rsidRPr="00187A36" w:rsidRDefault="0015104A" w:rsidP="001F3F42">
            <w:pPr>
              <w:spacing w:line="400" w:lineRule="exact"/>
              <w:ind w:rightChars="26" w:right="62"/>
              <w:jc w:val="center"/>
              <w:rPr>
                <w:rFonts w:ascii="標楷體" w:eastAsia="標楷體" w:hAnsi="標楷體"/>
                <w:b/>
                <w:bCs/>
                <w:spacing w:val="-20"/>
                <w:sz w:val="28"/>
              </w:rPr>
            </w:pPr>
            <w:r w:rsidRPr="00187A36">
              <w:rPr>
                <w:rFonts w:ascii="標楷體" w:eastAsia="標楷體" w:hAnsi="標楷體" w:hint="eastAsia"/>
                <w:b/>
                <w:bCs/>
                <w:spacing w:val="-20"/>
                <w:sz w:val="28"/>
              </w:rPr>
              <w:t>院會三讀通過</w:t>
            </w:r>
          </w:p>
          <w:p w:rsidR="0015104A" w:rsidRPr="00D9635C" w:rsidRDefault="0015104A" w:rsidP="001F3F42">
            <w:pPr>
              <w:spacing w:line="400" w:lineRule="exact"/>
              <w:jc w:val="center"/>
              <w:rPr>
                <w:rFonts w:ascii="標楷體" w:eastAsia="標楷體" w:hAnsi="標楷體"/>
                <w:b/>
                <w:bCs/>
                <w:sz w:val="28"/>
              </w:rPr>
            </w:pPr>
            <w:r w:rsidRPr="00187A36">
              <w:rPr>
                <w:rFonts w:ascii="標楷體" w:eastAsia="標楷體" w:hAnsi="標楷體" w:hint="eastAsia"/>
                <w:b/>
                <w:bCs/>
                <w:spacing w:val="-20"/>
                <w:sz w:val="28"/>
              </w:rPr>
              <w:t>會次及日期</w:t>
            </w:r>
          </w:p>
        </w:tc>
      </w:tr>
      <w:tr w:rsidR="0015104A" w:rsidRPr="00092966" w:rsidTr="001F3F42">
        <w:trPr>
          <w:trHeight w:val="647"/>
        </w:trPr>
        <w:tc>
          <w:tcPr>
            <w:tcW w:w="423" w:type="pct"/>
            <w:vAlign w:val="center"/>
          </w:tcPr>
          <w:p w:rsidR="0015104A" w:rsidRPr="00092966" w:rsidRDefault="0015104A" w:rsidP="006934DD">
            <w:pPr>
              <w:numPr>
                <w:ilvl w:val="0"/>
                <w:numId w:val="51"/>
              </w:numPr>
              <w:spacing w:line="400" w:lineRule="exact"/>
              <w:jc w:val="center"/>
              <w:rPr>
                <w:rFonts w:ascii="標楷體" w:eastAsia="標楷體" w:hAnsi="標楷體"/>
                <w:bCs/>
                <w:spacing w:val="-20"/>
                <w:sz w:val="28"/>
                <w:szCs w:val="28"/>
              </w:rPr>
            </w:pPr>
          </w:p>
        </w:tc>
        <w:tc>
          <w:tcPr>
            <w:tcW w:w="1389" w:type="pct"/>
            <w:tcBorders>
              <w:top w:val="single" w:sz="4" w:space="0" w:color="auto"/>
              <w:left w:val="single" w:sz="4" w:space="0" w:color="auto"/>
              <w:bottom w:val="single" w:sz="4" w:space="0" w:color="auto"/>
              <w:right w:val="single" w:sz="4" w:space="0" w:color="auto"/>
            </w:tcBorders>
          </w:tcPr>
          <w:p w:rsidR="0015104A" w:rsidRPr="00092966" w:rsidRDefault="0015104A" w:rsidP="001F3F42">
            <w:pPr>
              <w:spacing w:line="400" w:lineRule="exact"/>
              <w:ind w:leftChars="-12" w:left="-29"/>
              <w:jc w:val="both"/>
              <w:rPr>
                <w:rFonts w:ascii="標楷體" w:eastAsia="標楷體" w:hAnsi="標楷體" w:cs="華康楷書體W5"/>
                <w:color w:val="000000"/>
                <w:kern w:val="0"/>
                <w:sz w:val="28"/>
                <w:szCs w:val="28"/>
              </w:rPr>
            </w:pPr>
            <w:r w:rsidRPr="00092966">
              <w:rPr>
                <w:rFonts w:ascii="標楷體" w:eastAsia="標楷體" w:hAnsi="標楷體" w:hint="eastAsia"/>
                <w:color w:val="000000"/>
                <w:sz w:val="28"/>
              </w:rPr>
              <w:t>中央研究院、國立故宮博物院、教育部、國家科學及技術委員會、行政院原子能委員會、文化部及所屬單位</w:t>
            </w:r>
          </w:p>
        </w:tc>
        <w:tc>
          <w:tcPr>
            <w:tcW w:w="794" w:type="pct"/>
            <w:tcBorders>
              <w:top w:val="single" w:sz="4" w:space="0" w:color="auto"/>
              <w:left w:val="single" w:sz="4" w:space="0" w:color="auto"/>
              <w:bottom w:val="single" w:sz="4" w:space="0" w:color="auto"/>
              <w:right w:val="single" w:sz="4" w:space="0" w:color="auto"/>
            </w:tcBorders>
          </w:tcPr>
          <w:p w:rsidR="0015104A" w:rsidRPr="00092966" w:rsidRDefault="0015104A" w:rsidP="001F3F42">
            <w:pPr>
              <w:adjustRightInd w:val="0"/>
              <w:snapToGrid w:val="0"/>
              <w:spacing w:line="240" w:lineRule="atLeast"/>
              <w:jc w:val="both"/>
              <w:rPr>
                <w:rFonts w:ascii="標楷體" w:eastAsia="標楷體" w:hAnsi="標楷體"/>
                <w:color w:val="000000"/>
                <w:sz w:val="28"/>
                <w:szCs w:val="22"/>
              </w:rPr>
            </w:pPr>
            <w:r w:rsidRPr="00092966">
              <w:rPr>
                <w:rFonts w:ascii="標楷體" w:eastAsia="標楷體" w:hAnsi="標楷體"/>
                <w:color w:val="000000"/>
                <w:sz w:val="28"/>
                <w:szCs w:val="22"/>
              </w:rPr>
              <w:t>10-6-2</w:t>
            </w:r>
          </w:p>
          <w:p w:rsidR="0015104A" w:rsidRPr="00092966" w:rsidRDefault="0015104A" w:rsidP="001F3F42">
            <w:pPr>
              <w:adjustRightInd w:val="0"/>
              <w:snapToGrid w:val="0"/>
              <w:spacing w:line="240" w:lineRule="atLeast"/>
              <w:jc w:val="both"/>
              <w:rPr>
                <w:rFonts w:ascii="標楷體" w:eastAsia="標楷體" w:hAnsi="標楷體"/>
                <w:color w:val="000000"/>
                <w:sz w:val="28"/>
                <w:szCs w:val="22"/>
              </w:rPr>
            </w:pPr>
            <w:r w:rsidRPr="00092966">
              <w:rPr>
                <w:rFonts w:ascii="標楷體" w:eastAsia="標楷體" w:hAnsi="標楷體"/>
                <w:color w:val="000000"/>
                <w:sz w:val="28"/>
                <w:szCs w:val="22"/>
              </w:rPr>
              <w:t>(111.10.4)</w:t>
            </w:r>
          </w:p>
        </w:tc>
        <w:tc>
          <w:tcPr>
            <w:tcW w:w="1408" w:type="pct"/>
            <w:tcBorders>
              <w:top w:val="single" w:sz="4" w:space="0" w:color="auto"/>
              <w:left w:val="single" w:sz="4" w:space="0" w:color="auto"/>
              <w:bottom w:val="single" w:sz="4" w:space="0" w:color="auto"/>
              <w:right w:val="single" w:sz="4" w:space="0" w:color="auto"/>
            </w:tcBorders>
          </w:tcPr>
          <w:p w:rsidR="0015104A" w:rsidRPr="00092966" w:rsidRDefault="0015104A" w:rsidP="001F3F42">
            <w:pPr>
              <w:adjustRightInd w:val="0"/>
              <w:snapToGrid w:val="0"/>
              <w:spacing w:line="240" w:lineRule="atLeast"/>
              <w:rPr>
                <w:rFonts w:ascii="標楷體" w:eastAsia="標楷體" w:hAnsi="標楷體"/>
                <w:color w:val="000000"/>
                <w:sz w:val="28"/>
                <w:szCs w:val="22"/>
                <w:u w:val="single"/>
              </w:rPr>
            </w:pPr>
            <w:r w:rsidRPr="00092966">
              <w:rPr>
                <w:rFonts w:ascii="標楷體" w:eastAsia="標楷體" w:hAnsi="標楷體" w:hint="eastAsia"/>
                <w:color w:val="000000"/>
                <w:sz w:val="28"/>
                <w:szCs w:val="22"/>
                <w:u w:val="single"/>
              </w:rPr>
              <w:t>教育部</w:t>
            </w:r>
          </w:p>
          <w:p w:rsidR="0015104A" w:rsidRPr="00092966" w:rsidRDefault="0015104A" w:rsidP="001F3F42">
            <w:pPr>
              <w:adjustRightInd w:val="0"/>
              <w:snapToGrid w:val="0"/>
              <w:spacing w:line="240" w:lineRule="atLeas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1.</w:t>
            </w:r>
            <w:r w:rsidRPr="00092966">
              <w:rPr>
                <w:rFonts w:ascii="標楷體" w:eastAsia="標楷體" w:hAnsi="標楷體" w:hint="eastAsia"/>
                <w:color w:val="000000"/>
                <w:szCs w:val="24"/>
              </w:rPr>
              <w:t>第</w:t>
            </w:r>
            <w:r w:rsidRPr="00092966">
              <w:rPr>
                <w:rFonts w:ascii="標楷體" w:eastAsia="標楷體" w:hAnsi="標楷體"/>
                <w:color w:val="000000"/>
                <w:szCs w:val="24"/>
              </w:rPr>
              <w:t>6</w:t>
            </w:r>
            <w:r w:rsidRPr="00092966">
              <w:rPr>
                <w:rFonts w:ascii="標楷體" w:eastAsia="標楷體" w:hAnsi="標楷體" w:hint="eastAsia"/>
                <w:color w:val="000000"/>
                <w:szCs w:val="24"/>
              </w:rPr>
              <w:t>會期第</w:t>
            </w:r>
            <w:r w:rsidRPr="00092966">
              <w:rPr>
                <w:rFonts w:ascii="標楷體" w:eastAsia="標楷體" w:hAnsi="標楷體"/>
                <w:color w:val="000000"/>
                <w:szCs w:val="24"/>
              </w:rPr>
              <w:t>4</w:t>
            </w:r>
            <w:r w:rsidRPr="00092966">
              <w:rPr>
                <w:rFonts w:ascii="標楷體" w:eastAsia="標楷體" w:hAnsi="標楷體" w:hint="eastAsia"/>
                <w:color w:val="000000"/>
                <w:szCs w:val="24"/>
              </w:rPr>
              <w:t>次全體委員會議（11</w:t>
            </w:r>
            <w:r w:rsidRPr="00092966">
              <w:rPr>
                <w:rFonts w:ascii="標楷體" w:eastAsia="標楷體" w:hAnsi="標楷體"/>
                <w:color w:val="000000"/>
                <w:szCs w:val="24"/>
              </w:rPr>
              <w:t>1</w:t>
            </w:r>
            <w:r w:rsidRPr="00092966">
              <w:rPr>
                <w:rFonts w:ascii="標楷體" w:eastAsia="標楷體" w:hAnsi="標楷體" w:hint="eastAsia"/>
                <w:color w:val="000000"/>
                <w:szCs w:val="24"/>
              </w:rPr>
              <w:t>.10.</w:t>
            </w:r>
            <w:r w:rsidRPr="00092966">
              <w:rPr>
                <w:rFonts w:ascii="標楷體" w:eastAsia="標楷體" w:hAnsi="標楷體"/>
                <w:color w:val="000000"/>
                <w:szCs w:val="24"/>
              </w:rPr>
              <w:t>20</w:t>
            </w:r>
            <w:r w:rsidRPr="00092966">
              <w:rPr>
                <w:rFonts w:ascii="標楷體" w:eastAsia="標楷體" w:hAnsi="標楷體" w:hint="eastAsia"/>
                <w:color w:val="000000"/>
                <w:szCs w:val="24"/>
              </w:rPr>
              <w:t>）決議：報告及詢答完畢，另定期繼續審查。</w:t>
            </w:r>
          </w:p>
          <w:p w:rsidR="0015104A" w:rsidRPr="00092966" w:rsidRDefault="0015104A" w:rsidP="001F3F42">
            <w:pPr>
              <w:adjustRightInd w:val="0"/>
              <w:snapToGrid w:val="0"/>
              <w:spacing w:line="240" w:lineRule="atLeas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2.</w:t>
            </w:r>
            <w:r w:rsidRPr="00092966">
              <w:rPr>
                <w:rFonts w:ascii="標楷體" w:eastAsia="標楷體" w:hAnsi="標楷體" w:hint="eastAsia"/>
                <w:color w:val="000000"/>
                <w:szCs w:val="24"/>
              </w:rPr>
              <w:t>第</w:t>
            </w:r>
            <w:r w:rsidRPr="00092966">
              <w:rPr>
                <w:rFonts w:ascii="標楷體" w:eastAsia="標楷體" w:hAnsi="標楷體"/>
                <w:color w:val="000000"/>
                <w:szCs w:val="24"/>
              </w:rPr>
              <w:t>6</w:t>
            </w:r>
            <w:r w:rsidRPr="00092966">
              <w:rPr>
                <w:rFonts w:ascii="標楷體" w:eastAsia="標楷體" w:hAnsi="標楷體" w:hint="eastAsia"/>
                <w:color w:val="000000"/>
                <w:szCs w:val="24"/>
              </w:rPr>
              <w:t>會期第6次全體委員會議（11</w:t>
            </w:r>
            <w:r w:rsidRPr="00092966">
              <w:rPr>
                <w:rFonts w:ascii="標楷體" w:eastAsia="標楷體" w:hAnsi="標楷體"/>
                <w:color w:val="000000"/>
                <w:szCs w:val="24"/>
              </w:rPr>
              <w:t>1</w:t>
            </w:r>
            <w:r w:rsidRPr="00092966">
              <w:rPr>
                <w:rFonts w:ascii="標楷體" w:eastAsia="標楷體" w:hAnsi="標楷體" w:hint="eastAsia"/>
                <w:color w:val="000000"/>
                <w:szCs w:val="24"/>
              </w:rPr>
              <w:t>.11.</w:t>
            </w:r>
            <w:r w:rsidRPr="00092966">
              <w:rPr>
                <w:rFonts w:ascii="標楷體" w:eastAsia="標楷體" w:hAnsi="標楷體"/>
                <w:color w:val="000000"/>
                <w:szCs w:val="24"/>
              </w:rPr>
              <w:t>3</w:t>
            </w:r>
            <w:r w:rsidRPr="00092966">
              <w:rPr>
                <w:rFonts w:ascii="標楷體" w:eastAsia="標楷體" w:hAnsi="標楷體" w:hint="eastAsia"/>
                <w:color w:val="000000"/>
                <w:szCs w:val="24"/>
              </w:rPr>
              <w:t>）決議：審查完竣。</w:t>
            </w:r>
          </w:p>
          <w:p w:rsidR="0015104A" w:rsidRPr="00092966" w:rsidRDefault="0015104A" w:rsidP="001F3F42">
            <w:pPr>
              <w:adjustRightInd w:val="0"/>
              <w:snapToGrid w:val="0"/>
              <w:spacing w:line="240" w:lineRule="atLeast"/>
              <w:jc w:val="both"/>
              <w:rPr>
                <w:rFonts w:ascii="標楷體" w:eastAsia="標楷體" w:hAnsi="標楷體"/>
                <w:color w:val="000000"/>
              </w:rPr>
            </w:pPr>
          </w:p>
          <w:p w:rsidR="0015104A" w:rsidRPr="00092966" w:rsidRDefault="0015104A" w:rsidP="001F3F42">
            <w:pPr>
              <w:adjustRightInd w:val="0"/>
              <w:snapToGrid w:val="0"/>
              <w:spacing w:line="240" w:lineRule="atLeast"/>
              <w:jc w:val="both"/>
              <w:rPr>
                <w:rFonts w:ascii="標楷體" w:eastAsia="標楷體" w:hAnsi="標楷體"/>
                <w:color w:val="000000"/>
                <w:sz w:val="28"/>
                <w:szCs w:val="22"/>
                <w:u w:val="single"/>
              </w:rPr>
            </w:pPr>
            <w:r w:rsidRPr="00092966">
              <w:rPr>
                <w:rFonts w:ascii="標楷體" w:eastAsia="標楷體" w:hAnsi="標楷體" w:hint="eastAsia"/>
                <w:color w:val="000000"/>
                <w:sz w:val="28"/>
                <w:szCs w:val="22"/>
                <w:u w:val="single"/>
              </w:rPr>
              <w:t>國立故宮博物院</w:t>
            </w:r>
          </w:p>
          <w:p w:rsidR="0015104A" w:rsidRPr="00092966" w:rsidRDefault="0015104A" w:rsidP="001F3F42">
            <w:pPr>
              <w:adjustRightInd w:val="0"/>
              <w:snapToGrid w:val="0"/>
              <w:spacing w:line="240" w:lineRule="atLeas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1.</w:t>
            </w:r>
            <w:r w:rsidRPr="00092966">
              <w:rPr>
                <w:rFonts w:ascii="標楷體" w:eastAsia="標楷體" w:hAnsi="標楷體" w:hint="eastAsia"/>
                <w:color w:val="000000"/>
                <w:szCs w:val="24"/>
              </w:rPr>
              <w:t>第</w:t>
            </w:r>
            <w:r w:rsidRPr="00092966">
              <w:rPr>
                <w:rFonts w:ascii="標楷體" w:eastAsia="標楷體" w:hAnsi="標楷體"/>
                <w:color w:val="000000"/>
                <w:szCs w:val="24"/>
              </w:rPr>
              <w:t>6</w:t>
            </w:r>
            <w:r w:rsidRPr="00092966">
              <w:rPr>
                <w:rFonts w:ascii="標楷體" w:eastAsia="標楷體" w:hAnsi="標楷體" w:hint="eastAsia"/>
                <w:color w:val="000000"/>
                <w:szCs w:val="24"/>
              </w:rPr>
              <w:t>會期第</w:t>
            </w:r>
            <w:r w:rsidRPr="00092966">
              <w:rPr>
                <w:rFonts w:ascii="標楷體" w:eastAsia="標楷體" w:hAnsi="標楷體"/>
                <w:color w:val="000000"/>
                <w:szCs w:val="24"/>
              </w:rPr>
              <w:t>4</w:t>
            </w:r>
            <w:r w:rsidRPr="00092966">
              <w:rPr>
                <w:rFonts w:ascii="標楷體" w:eastAsia="標楷體" w:hAnsi="標楷體" w:hint="eastAsia"/>
                <w:color w:val="000000"/>
                <w:szCs w:val="24"/>
              </w:rPr>
              <w:t>次全體委員會議（11</w:t>
            </w:r>
            <w:r w:rsidRPr="00092966">
              <w:rPr>
                <w:rFonts w:ascii="標楷體" w:eastAsia="標楷體" w:hAnsi="標楷體"/>
                <w:color w:val="000000"/>
                <w:szCs w:val="24"/>
              </w:rPr>
              <w:t>1</w:t>
            </w:r>
            <w:r w:rsidRPr="00092966">
              <w:rPr>
                <w:rFonts w:ascii="標楷體" w:eastAsia="標楷體" w:hAnsi="標楷體" w:hint="eastAsia"/>
                <w:color w:val="000000"/>
                <w:szCs w:val="24"/>
              </w:rPr>
              <w:t>.10.</w:t>
            </w:r>
            <w:r w:rsidRPr="00092966">
              <w:rPr>
                <w:rFonts w:ascii="標楷體" w:eastAsia="標楷體" w:hAnsi="標楷體"/>
                <w:color w:val="000000"/>
                <w:szCs w:val="24"/>
              </w:rPr>
              <w:t>19</w:t>
            </w:r>
            <w:r w:rsidRPr="00092966">
              <w:rPr>
                <w:rFonts w:ascii="標楷體" w:eastAsia="標楷體" w:hAnsi="標楷體" w:hint="eastAsia"/>
                <w:color w:val="000000"/>
                <w:szCs w:val="24"/>
              </w:rPr>
              <w:t>）決</w:t>
            </w:r>
            <w:r w:rsidRPr="00092966">
              <w:rPr>
                <w:rFonts w:ascii="標楷體" w:eastAsia="標楷體" w:hAnsi="標楷體" w:hint="eastAsia"/>
                <w:color w:val="000000"/>
                <w:szCs w:val="24"/>
              </w:rPr>
              <w:lastRenderedPageBreak/>
              <w:t>議：報告及詢答完畢，另定期繼續審查。</w:t>
            </w:r>
          </w:p>
          <w:p w:rsidR="0015104A" w:rsidRPr="00092966" w:rsidRDefault="0015104A" w:rsidP="001F3F42">
            <w:pPr>
              <w:adjustRightInd w:val="0"/>
              <w:snapToGrid w:val="0"/>
              <w:spacing w:line="240" w:lineRule="atLeas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2.</w:t>
            </w:r>
            <w:r w:rsidRPr="00092966">
              <w:rPr>
                <w:rFonts w:ascii="標楷體" w:eastAsia="標楷體" w:hAnsi="標楷體" w:hint="eastAsia"/>
                <w:color w:val="000000"/>
                <w:szCs w:val="24"/>
              </w:rPr>
              <w:t>第6會期第</w:t>
            </w:r>
            <w:r w:rsidRPr="00092966">
              <w:rPr>
                <w:rFonts w:ascii="標楷體" w:eastAsia="標楷體" w:hAnsi="標楷體"/>
                <w:color w:val="000000"/>
                <w:szCs w:val="24"/>
              </w:rPr>
              <w:t>12</w:t>
            </w:r>
            <w:r w:rsidRPr="00092966">
              <w:rPr>
                <w:rFonts w:ascii="標楷體" w:eastAsia="標楷體" w:hAnsi="標楷體" w:hint="eastAsia"/>
                <w:color w:val="000000"/>
                <w:szCs w:val="24"/>
              </w:rPr>
              <w:t>次全體委員會議（111.11.</w:t>
            </w:r>
            <w:r w:rsidRPr="00092966">
              <w:rPr>
                <w:rFonts w:ascii="標楷體" w:eastAsia="標楷體" w:hAnsi="標楷體"/>
                <w:color w:val="000000"/>
                <w:szCs w:val="24"/>
              </w:rPr>
              <w:t>30</w:t>
            </w:r>
            <w:r w:rsidRPr="00092966">
              <w:rPr>
                <w:rFonts w:ascii="標楷體" w:eastAsia="標楷體" w:hAnsi="標楷體" w:hint="eastAsia"/>
                <w:color w:val="000000"/>
                <w:szCs w:val="24"/>
              </w:rPr>
              <w:t>）決議：審查完竣。</w:t>
            </w:r>
          </w:p>
          <w:p w:rsidR="0015104A" w:rsidRPr="00092966" w:rsidRDefault="0015104A" w:rsidP="001F3F42">
            <w:pPr>
              <w:adjustRightInd w:val="0"/>
              <w:snapToGrid w:val="0"/>
              <w:spacing w:line="240" w:lineRule="atLeast"/>
              <w:ind w:left="360"/>
              <w:jc w:val="both"/>
              <w:rPr>
                <w:rFonts w:ascii="標楷體" w:eastAsia="標楷體" w:hAnsi="標楷體"/>
                <w:color w:val="000000"/>
                <w:szCs w:val="24"/>
              </w:rPr>
            </w:pPr>
          </w:p>
          <w:p w:rsidR="0015104A" w:rsidRPr="00092966" w:rsidRDefault="0015104A" w:rsidP="001F3F42">
            <w:pPr>
              <w:adjustRightInd w:val="0"/>
              <w:snapToGrid w:val="0"/>
              <w:spacing w:line="240" w:lineRule="atLeast"/>
              <w:jc w:val="both"/>
              <w:rPr>
                <w:rFonts w:ascii="標楷體" w:eastAsia="標楷體" w:hAnsi="標楷體"/>
                <w:color w:val="000000"/>
                <w:sz w:val="28"/>
                <w:szCs w:val="22"/>
                <w:u w:val="single"/>
              </w:rPr>
            </w:pPr>
            <w:r w:rsidRPr="00092966">
              <w:rPr>
                <w:rFonts w:ascii="標楷體" w:eastAsia="標楷體" w:hAnsi="標楷體" w:hint="eastAsia"/>
                <w:color w:val="000000"/>
                <w:sz w:val="28"/>
                <w:szCs w:val="22"/>
                <w:u w:val="single"/>
              </w:rPr>
              <w:t>中央研究院</w:t>
            </w:r>
          </w:p>
          <w:p w:rsidR="0015104A" w:rsidRPr="00092966" w:rsidRDefault="0015104A" w:rsidP="001F3F42">
            <w:pPr>
              <w:adjustRightInd w:val="0"/>
              <w:snapToGrid w:val="0"/>
              <w:spacing w:line="240" w:lineRule="atLeas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1.</w:t>
            </w:r>
            <w:r w:rsidRPr="00092966">
              <w:rPr>
                <w:rFonts w:ascii="標楷體" w:eastAsia="標楷體" w:hAnsi="標楷體" w:hint="eastAsia"/>
                <w:color w:val="000000"/>
                <w:szCs w:val="24"/>
              </w:rPr>
              <w:t>第6會期第</w:t>
            </w:r>
            <w:r w:rsidRPr="00092966">
              <w:rPr>
                <w:rFonts w:ascii="標楷體" w:eastAsia="標楷體" w:hAnsi="標楷體"/>
                <w:color w:val="000000"/>
                <w:szCs w:val="24"/>
              </w:rPr>
              <w:t>10</w:t>
            </w:r>
            <w:r w:rsidRPr="00092966">
              <w:rPr>
                <w:rFonts w:ascii="標楷體" w:eastAsia="標楷體" w:hAnsi="標楷體" w:hint="eastAsia"/>
                <w:color w:val="000000"/>
                <w:szCs w:val="24"/>
              </w:rPr>
              <w:t>次全體委員會議（111.1</w:t>
            </w:r>
            <w:r w:rsidRPr="00092966">
              <w:rPr>
                <w:rFonts w:ascii="標楷體" w:eastAsia="標楷體" w:hAnsi="標楷體"/>
                <w:color w:val="000000"/>
                <w:szCs w:val="24"/>
              </w:rPr>
              <w:t>1</w:t>
            </w:r>
            <w:r w:rsidRPr="00092966">
              <w:rPr>
                <w:rFonts w:ascii="標楷體" w:eastAsia="標楷體" w:hAnsi="標楷體" w:hint="eastAsia"/>
                <w:color w:val="000000"/>
                <w:szCs w:val="24"/>
              </w:rPr>
              <w:t>.2</w:t>
            </w:r>
            <w:r w:rsidRPr="00092966">
              <w:rPr>
                <w:rFonts w:ascii="標楷體" w:eastAsia="標楷體" w:hAnsi="標楷體"/>
                <w:color w:val="000000"/>
                <w:szCs w:val="24"/>
              </w:rPr>
              <w:t>3</w:t>
            </w:r>
            <w:r w:rsidRPr="00092966">
              <w:rPr>
                <w:rFonts w:ascii="標楷體" w:eastAsia="標楷體" w:hAnsi="標楷體" w:hint="eastAsia"/>
                <w:color w:val="000000"/>
                <w:szCs w:val="24"/>
              </w:rPr>
              <w:t>）決議：報告及詢答完畢，另定期繼續審查。</w:t>
            </w:r>
          </w:p>
          <w:p w:rsidR="0015104A" w:rsidRPr="00092966" w:rsidRDefault="0015104A" w:rsidP="001F3F42">
            <w:pPr>
              <w:adjustRightInd w:val="0"/>
              <w:snapToGrid w:val="0"/>
              <w:spacing w:line="240" w:lineRule="atLeas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2.</w:t>
            </w:r>
            <w:r w:rsidRPr="00092966">
              <w:rPr>
                <w:rFonts w:ascii="標楷體" w:eastAsia="標楷體" w:hAnsi="標楷體" w:hint="eastAsia"/>
                <w:color w:val="000000"/>
                <w:szCs w:val="24"/>
              </w:rPr>
              <w:t>第6會期第</w:t>
            </w:r>
            <w:r w:rsidRPr="00092966">
              <w:rPr>
                <w:rFonts w:ascii="標楷體" w:eastAsia="標楷體" w:hAnsi="標楷體"/>
                <w:color w:val="000000"/>
                <w:szCs w:val="24"/>
              </w:rPr>
              <w:t>13</w:t>
            </w:r>
            <w:r w:rsidRPr="00092966">
              <w:rPr>
                <w:rFonts w:ascii="標楷體" w:eastAsia="標楷體" w:hAnsi="標楷體" w:hint="eastAsia"/>
                <w:color w:val="000000"/>
                <w:szCs w:val="24"/>
              </w:rPr>
              <w:t>次全體委員會議（111.1</w:t>
            </w:r>
            <w:r w:rsidRPr="00092966">
              <w:rPr>
                <w:rFonts w:ascii="標楷體" w:eastAsia="標楷體" w:hAnsi="標楷體"/>
                <w:color w:val="000000"/>
                <w:szCs w:val="24"/>
              </w:rPr>
              <w:t>2</w:t>
            </w:r>
            <w:r w:rsidRPr="00092966">
              <w:rPr>
                <w:rFonts w:ascii="標楷體" w:eastAsia="標楷體" w:hAnsi="標楷體" w:hint="eastAsia"/>
                <w:color w:val="000000"/>
                <w:szCs w:val="24"/>
              </w:rPr>
              <w:t>.</w:t>
            </w:r>
            <w:r w:rsidRPr="00092966">
              <w:rPr>
                <w:rFonts w:ascii="標楷體" w:eastAsia="標楷體" w:hAnsi="標楷體"/>
                <w:color w:val="000000"/>
                <w:szCs w:val="24"/>
              </w:rPr>
              <w:t>7</w:t>
            </w:r>
            <w:r w:rsidRPr="00092966">
              <w:rPr>
                <w:rFonts w:ascii="標楷體" w:eastAsia="標楷體" w:hAnsi="標楷體" w:hint="eastAsia"/>
                <w:color w:val="000000"/>
                <w:szCs w:val="24"/>
              </w:rPr>
              <w:t>）決議：審查完竣。</w:t>
            </w:r>
          </w:p>
          <w:p w:rsidR="0015104A" w:rsidRPr="00092966" w:rsidRDefault="0015104A" w:rsidP="001F3F42">
            <w:pPr>
              <w:adjustRightInd w:val="0"/>
              <w:snapToGrid w:val="0"/>
              <w:spacing w:line="240" w:lineRule="atLeast"/>
              <w:jc w:val="both"/>
              <w:rPr>
                <w:rFonts w:ascii="標楷體" w:eastAsia="標楷體" w:hAnsi="標楷體"/>
                <w:color w:val="000000"/>
              </w:rPr>
            </w:pPr>
          </w:p>
          <w:p w:rsidR="0015104A" w:rsidRPr="00092966" w:rsidRDefault="0015104A" w:rsidP="001F3F42">
            <w:pPr>
              <w:adjustRightInd w:val="0"/>
              <w:snapToGrid w:val="0"/>
              <w:spacing w:line="240" w:lineRule="atLeast"/>
              <w:jc w:val="both"/>
              <w:rPr>
                <w:rFonts w:ascii="標楷體" w:eastAsia="標楷體" w:hAnsi="標楷體"/>
                <w:color w:val="000000"/>
                <w:sz w:val="28"/>
                <w:szCs w:val="22"/>
                <w:u w:val="single"/>
              </w:rPr>
            </w:pPr>
            <w:r w:rsidRPr="00092966">
              <w:rPr>
                <w:rFonts w:ascii="標楷體" w:eastAsia="標楷體" w:hAnsi="標楷體" w:hint="eastAsia"/>
                <w:color w:val="000000"/>
                <w:sz w:val="28"/>
                <w:szCs w:val="22"/>
                <w:u w:val="single"/>
              </w:rPr>
              <w:t>行政院原子能委員會</w:t>
            </w:r>
          </w:p>
          <w:p w:rsidR="0015104A" w:rsidRPr="00092966" w:rsidRDefault="0015104A" w:rsidP="001F3F42">
            <w:pPr>
              <w:adjustRightInd w:val="0"/>
              <w:snapToGrid w:val="0"/>
              <w:spacing w:line="240" w:lineRule="atLeas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1.</w:t>
            </w:r>
            <w:r w:rsidRPr="00092966">
              <w:rPr>
                <w:rFonts w:ascii="標楷體" w:eastAsia="標楷體" w:hAnsi="標楷體" w:hint="eastAsia"/>
                <w:color w:val="000000"/>
                <w:szCs w:val="24"/>
              </w:rPr>
              <w:t>第</w:t>
            </w:r>
            <w:r w:rsidRPr="00092966">
              <w:rPr>
                <w:rFonts w:ascii="標楷體" w:eastAsia="標楷體" w:hAnsi="標楷體"/>
                <w:color w:val="000000"/>
                <w:szCs w:val="24"/>
              </w:rPr>
              <w:t>6</w:t>
            </w:r>
            <w:r w:rsidRPr="00092966">
              <w:rPr>
                <w:rFonts w:ascii="標楷體" w:eastAsia="標楷體" w:hAnsi="標楷體" w:hint="eastAsia"/>
                <w:color w:val="000000"/>
                <w:szCs w:val="24"/>
              </w:rPr>
              <w:t>會期第</w:t>
            </w:r>
            <w:r w:rsidRPr="00092966">
              <w:rPr>
                <w:rFonts w:ascii="標楷體" w:eastAsia="標楷體" w:hAnsi="標楷體"/>
                <w:color w:val="000000"/>
                <w:szCs w:val="24"/>
              </w:rPr>
              <w:t>12</w:t>
            </w:r>
            <w:r w:rsidRPr="00092966">
              <w:rPr>
                <w:rFonts w:ascii="標楷體" w:eastAsia="標楷體" w:hAnsi="標楷體" w:hint="eastAsia"/>
                <w:color w:val="000000"/>
                <w:szCs w:val="24"/>
              </w:rPr>
              <w:t>次全體委員會議（11</w:t>
            </w:r>
            <w:r w:rsidRPr="00092966">
              <w:rPr>
                <w:rFonts w:ascii="標楷體" w:eastAsia="標楷體" w:hAnsi="標楷體"/>
                <w:color w:val="000000"/>
                <w:szCs w:val="24"/>
              </w:rPr>
              <w:t>1</w:t>
            </w:r>
            <w:r w:rsidRPr="00092966">
              <w:rPr>
                <w:rFonts w:ascii="標楷體" w:eastAsia="標楷體" w:hAnsi="標楷體" w:hint="eastAsia"/>
                <w:color w:val="000000"/>
                <w:szCs w:val="24"/>
              </w:rPr>
              <w:t>.1</w:t>
            </w:r>
            <w:r w:rsidRPr="00092966">
              <w:rPr>
                <w:rFonts w:ascii="標楷體" w:eastAsia="標楷體" w:hAnsi="標楷體"/>
                <w:color w:val="000000"/>
                <w:szCs w:val="24"/>
              </w:rPr>
              <w:t>1</w:t>
            </w:r>
            <w:r w:rsidRPr="00092966">
              <w:rPr>
                <w:rFonts w:ascii="標楷體" w:eastAsia="標楷體" w:hAnsi="標楷體" w:hint="eastAsia"/>
                <w:color w:val="000000"/>
                <w:szCs w:val="24"/>
              </w:rPr>
              <w:t>.</w:t>
            </w:r>
            <w:r w:rsidRPr="00092966">
              <w:rPr>
                <w:rFonts w:ascii="標楷體" w:eastAsia="標楷體" w:hAnsi="標楷體"/>
                <w:color w:val="000000"/>
                <w:szCs w:val="24"/>
              </w:rPr>
              <w:t>30</w:t>
            </w:r>
            <w:r w:rsidRPr="00092966">
              <w:rPr>
                <w:rFonts w:ascii="標楷體" w:eastAsia="標楷體" w:hAnsi="標楷體" w:hint="eastAsia"/>
                <w:color w:val="000000"/>
                <w:szCs w:val="24"/>
              </w:rPr>
              <w:t>）決議：報告及詢答完畢，另定期繼續審查。</w:t>
            </w:r>
          </w:p>
          <w:p w:rsidR="0015104A" w:rsidRPr="00092966" w:rsidRDefault="0015104A" w:rsidP="001F3F42">
            <w:pPr>
              <w:adjustRightInd w:val="0"/>
              <w:snapToGrid w:val="0"/>
              <w:spacing w:line="240" w:lineRule="atLeast"/>
              <w:ind w:left="240" w:hangingChars="100" w:hanging="240"/>
              <w:jc w:val="both"/>
              <w:rPr>
                <w:rFonts w:ascii="標楷體" w:eastAsia="標楷體" w:hAnsi="標楷體"/>
                <w:color w:val="000000"/>
                <w:szCs w:val="24"/>
              </w:rPr>
            </w:pPr>
            <w:r w:rsidRPr="00092966">
              <w:rPr>
                <w:rFonts w:ascii="標楷體" w:eastAsia="標楷體" w:hAnsi="標楷體" w:hint="eastAsia"/>
                <w:color w:val="000000"/>
                <w:szCs w:val="24"/>
              </w:rPr>
              <w:t>2.第6會期第</w:t>
            </w:r>
            <w:r w:rsidRPr="00092966">
              <w:rPr>
                <w:rFonts w:ascii="標楷體" w:eastAsia="標楷體" w:hAnsi="標楷體"/>
                <w:color w:val="000000"/>
                <w:szCs w:val="24"/>
              </w:rPr>
              <w:t>14</w:t>
            </w:r>
            <w:r w:rsidRPr="00092966">
              <w:rPr>
                <w:rFonts w:ascii="標楷體" w:eastAsia="標楷體" w:hAnsi="標楷體" w:hint="eastAsia"/>
                <w:color w:val="000000"/>
                <w:szCs w:val="24"/>
              </w:rPr>
              <w:t>次全體委員會議（111.1</w:t>
            </w:r>
            <w:r w:rsidRPr="00092966">
              <w:rPr>
                <w:rFonts w:ascii="標楷體" w:eastAsia="標楷體" w:hAnsi="標楷體"/>
                <w:color w:val="000000"/>
                <w:szCs w:val="24"/>
              </w:rPr>
              <w:t>2</w:t>
            </w:r>
            <w:r w:rsidRPr="00092966">
              <w:rPr>
                <w:rFonts w:ascii="標楷體" w:eastAsia="標楷體" w:hAnsi="標楷體" w:hint="eastAsia"/>
                <w:color w:val="000000"/>
                <w:szCs w:val="24"/>
              </w:rPr>
              <w:t>.</w:t>
            </w:r>
            <w:r w:rsidRPr="00092966">
              <w:rPr>
                <w:rFonts w:ascii="標楷體" w:eastAsia="標楷體" w:hAnsi="標楷體"/>
                <w:color w:val="000000"/>
                <w:szCs w:val="24"/>
              </w:rPr>
              <w:t>14</w:t>
            </w:r>
            <w:r w:rsidRPr="00092966">
              <w:rPr>
                <w:rFonts w:ascii="標楷體" w:eastAsia="標楷體" w:hAnsi="標楷體" w:hint="eastAsia"/>
                <w:color w:val="000000"/>
                <w:szCs w:val="24"/>
              </w:rPr>
              <w:t>）決議：審查完竣。</w:t>
            </w:r>
          </w:p>
          <w:p w:rsidR="0015104A" w:rsidRPr="00092966" w:rsidRDefault="0015104A" w:rsidP="001F3F42">
            <w:pPr>
              <w:adjustRightInd w:val="0"/>
              <w:snapToGrid w:val="0"/>
              <w:spacing w:line="240" w:lineRule="atLeast"/>
              <w:rPr>
                <w:rFonts w:ascii="標楷體" w:eastAsia="標楷體" w:hAnsi="標楷體"/>
                <w:color w:val="000000"/>
              </w:rPr>
            </w:pPr>
          </w:p>
          <w:p w:rsidR="0015104A" w:rsidRPr="00092966" w:rsidRDefault="0015104A" w:rsidP="001F3F42">
            <w:pPr>
              <w:adjustRightInd w:val="0"/>
              <w:snapToGrid w:val="0"/>
              <w:spacing w:line="240" w:lineRule="atLeast"/>
              <w:jc w:val="both"/>
              <w:rPr>
                <w:rFonts w:ascii="標楷體" w:eastAsia="標楷體" w:hAnsi="標楷體"/>
                <w:color w:val="000000"/>
                <w:spacing w:val="-10"/>
                <w:sz w:val="28"/>
                <w:szCs w:val="22"/>
                <w:u w:val="single"/>
              </w:rPr>
            </w:pPr>
            <w:r w:rsidRPr="00092966">
              <w:rPr>
                <w:rFonts w:ascii="標楷體" w:eastAsia="標楷體" w:hAnsi="標楷體" w:hint="eastAsia"/>
                <w:color w:val="000000"/>
                <w:spacing w:val="-10"/>
                <w:sz w:val="28"/>
                <w:szCs w:val="22"/>
                <w:u w:val="single"/>
              </w:rPr>
              <w:t>國家科學及技術委員會</w:t>
            </w:r>
          </w:p>
          <w:p w:rsidR="0015104A" w:rsidRPr="00092966" w:rsidRDefault="0015104A" w:rsidP="001F3F42">
            <w:pPr>
              <w:adjustRightInd w:val="0"/>
              <w:snapToGrid w:val="0"/>
              <w:spacing w:line="240" w:lineRule="atLeast"/>
              <w:ind w:left="240" w:hangingChars="100" w:hanging="240"/>
              <w:jc w:val="both"/>
              <w:rPr>
                <w:rFonts w:ascii="標楷體" w:eastAsia="標楷體" w:hAnsi="標楷體"/>
                <w:color w:val="000000"/>
                <w:szCs w:val="24"/>
              </w:rPr>
            </w:pPr>
            <w:r w:rsidRPr="00092966">
              <w:rPr>
                <w:rFonts w:ascii="標楷體" w:eastAsia="標楷體" w:hAnsi="標楷體" w:hint="eastAsia"/>
                <w:color w:val="000000"/>
                <w:szCs w:val="24"/>
              </w:rPr>
              <w:t>1.第6會期第7次全體委員會議（111.1</w:t>
            </w:r>
            <w:r w:rsidRPr="00092966">
              <w:rPr>
                <w:rFonts w:ascii="標楷體" w:eastAsia="標楷體" w:hAnsi="標楷體"/>
                <w:color w:val="000000"/>
                <w:szCs w:val="24"/>
              </w:rPr>
              <w:t>1</w:t>
            </w:r>
            <w:r w:rsidRPr="00092966">
              <w:rPr>
                <w:rFonts w:ascii="標楷體" w:eastAsia="標楷體" w:hAnsi="標楷體" w:hint="eastAsia"/>
                <w:color w:val="000000"/>
                <w:szCs w:val="24"/>
              </w:rPr>
              <w:t>.</w:t>
            </w:r>
            <w:r w:rsidRPr="00092966">
              <w:rPr>
                <w:rFonts w:ascii="標楷體" w:eastAsia="標楷體" w:hAnsi="標楷體"/>
                <w:color w:val="000000"/>
                <w:szCs w:val="24"/>
              </w:rPr>
              <w:t>9</w:t>
            </w:r>
            <w:r w:rsidRPr="00092966">
              <w:rPr>
                <w:rFonts w:ascii="標楷體" w:eastAsia="標楷體" w:hAnsi="標楷體" w:hint="eastAsia"/>
                <w:color w:val="000000"/>
                <w:szCs w:val="24"/>
              </w:rPr>
              <w:t>）決議：報告及詢答完畢，另定期繼續審查。</w:t>
            </w:r>
          </w:p>
          <w:p w:rsidR="0015104A" w:rsidRDefault="0015104A" w:rsidP="001F3F42">
            <w:pPr>
              <w:adjustRightInd w:val="0"/>
              <w:snapToGrid w:val="0"/>
              <w:spacing w:line="240" w:lineRule="atLeast"/>
              <w:ind w:left="240" w:hangingChars="100" w:hanging="240"/>
              <w:jc w:val="both"/>
              <w:rPr>
                <w:rFonts w:ascii="標楷體" w:eastAsia="標楷體" w:hAnsi="標楷體"/>
                <w:color w:val="000000"/>
                <w:szCs w:val="24"/>
              </w:rPr>
            </w:pPr>
            <w:r w:rsidRPr="00092966">
              <w:rPr>
                <w:rFonts w:ascii="標楷體" w:eastAsia="標楷體" w:hAnsi="標楷體" w:hint="eastAsia"/>
                <w:color w:val="000000"/>
                <w:szCs w:val="24"/>
              </w:rPr>
              <w:t>2</w:t>
            </w:r>
            <w:r w:rsidRPr="00092966">
              <w:rPr>
                <w:rFonts w:ascii="標楷體" w:eastAsia="標楷體" w:hAnsi="標楷體"/>
                <w:color w:val="000000"/>
                <w:szCs w:val="24"/>
              </w:rPr>
              <w:t>.</w:t>
            </w:r>
            <w:r w:rsidRPr="00092966">
              <w:rPr>
                <w:rFonts w:ascii="標楷體" w:eastAsia="標楷體" w:hAnsi="標楷體" w:hint="eastAsia"/>
                <w:color w:val="000000"/>
                <w:szCs w:val="24"/>
              </w:rPr>
              <w:t>第6會期第</w:t>
            </w:r>
            <w:r w:rsidRPr="00092966">
              <w:rPr>
                <w:rFonts w:ascii="標楷體" w:eastAsia="標楷體" w:hAnsi="標楷體"/>
                <w:color w:val="000000"/>
                <w:szCs w:val="24"/>
              </w:rPr>
              <w:t>13</w:t>
            </w:r>
            <w:r w:rsidRPr="00092966">
              <w:rPr>
                <w:rFonts w:ascii="標楷體" w:eastAsia="標楷體" w:hAnsi="標楷體" w:hint="eastAsia"/>
                <w:color w:val="000000"/>
                <w:szCs w:val="24"/>
              </w:rPr>
              <w:t>次全體委員會議（111.1</w:t>
            </w:r>
            <w:r w:rsidRPr="00092966">
              <w:rPr>
                <w:rFonts w:ascii="標楷體" w:eastAsia="標楷體" w:hAnsi="標楷體"/>
                <w:color w:val="000000"/>
                <w:szCs w:val="24"/>
              </w:rPr>
              <w:t>2</w:t>
            </w:r>
            <w:r w:rsidRPr="00092966">
              <w:rPr>
                <w:rFonts w:ascii="標楷體" w:eastAsia="標楷體" w:hAnsi="標楷體" w:hint="eastAsia"/>
                <w:color w:val="000000"/>
                <w:szCs w:val="24"/>
              </w:rPr>
              <w:t>.</w:t>
            </w:r>
            <w:r w:rsidRPr="00092966">
              <w:rPr>
                <w:rFonts w:ascii="標楷體" w:eastAsia="標楷體" w:hAnsi="標楷體"/>
                <w:color w:val="000000"/>
                <w:szCs w:val="24"/>
              </w:rPr>
              <w:t>8</w:t>
            </w:r>
            <w:r w:rsidRPr="00092966">
              <w:rPr>
                <w:rFonts w:ascii="標楷體" w:eastAsia="標楷體" w:hAnsi="標楷體" w:hint="eastAsia"/>
                <w:color w:val="000000"/>
                <w:szCs w:val="24"/>
              </w:rPr>
              <w:t>）決議：審查完竣。</w:t>
            </w:r>
          </w:p>
          <w:p w:rsidR="0015104A" w:rsidRPr="00092966" w:rsidRDefault="0015104A" w:rsidP="001F3F42">
            <w:pPr>
              <w:adjustRightInd w:val="0"/>
              <w:snapToGrid w:val="0"/>
              <w:spacing w:line="240" w:lineRule="atLeast"/>
              <w:ind w:left="240" w:hangingChars="100" w:hanging="240"/>
              <w:jc w:val="both"/>
              <w:rPr>
                <w:rFonts w:ascii="標楷體" w:eastAsia="標楷體" w:hAnsi="標楷體"/>
                <w:color w:val="000000"/>
                <w:szCs w:val="24"/>
              </w:rPr>
            </w:pPr>
          </w:p>
          <w:p w:rsidR="0015104A" w:rsidRPr="00092966" w:rsidRDefault="0015104A" w:rsidP="001F3F42">
            <w:pPr>
              <w:adjustRightInd w:val="0"/>
              <w:snapToGrid w:val="0"/>
              <w:spacing w:line="240" w:lineRule="atLeast"/>
              <w:jc w:val="both"/>
              <w:rPr>
                <w:rFonts w:ascii="標楷體" w:eastAsia="標楷體" w:hAnsi="標楷體"/>
                <w:color w:val="000000"/>
                <w:sz w:val="28"/>
                <w:szCs w:val="22"/>
              </w:rPr>
            </w:pPr>
            <w:r w:rsidRPr="00092966">
              <w:rPr>
                <w:rFonts w:ascii="標楷體" w:eastAsia="標楷體" w:hAnsi="標楷體" w:hint="eastAsia"/>
                <w:color w:val="000000"/>
                <w:sz w:val="28"/>
                <w:szCs w:val="22"/>
                <w:u w:val="single"/>
              </w:rPr>
              <w:t>文化部</w:t>
            </w:r>
          </w:p>
          <w:p w:rsidR="0015104A" w:rsidRPr="00092966" w:rsidRDefault="0015104A" w:rsidP="001F3F42">
            <w:pPr>
              <w:adjustRightInd w:val="0"/>
              <w:snapToGrid w:val="0"/>
              <w:spacing w:line="240" w:lineRule="atLeast"/>
              <w:ind w:left="240" w:hangingChars="100" w:hanging="240"/>
              <w:jc w:val="both"/>
              <w:rPr>
                <w:rFonts w:ascii="標楷體" w:eastAsia="標楷體" w:hAnsi="標楷體"/>
                <w:color w:val="000000"/>
              </w:rPr>
            </w:pPr>
            <w:r>
              <w:rPr>
                <w:rFonts w:ascii="標楷體" w:eastAsia="標楷體" w:hAnsi="標楷體" w:hint="eastAsia"/>
                <w:color w:val="000000"/>
              </w:rPr>
              <w:t>1.</w:t>
            </w:r>
            <w:r w:rsidRPr="00092966">
              <w:rPr>
                <w:rFonts w:ascii="標楷體" w:eastAsia="標楷體" w:hAnsi="標楷體" w:hint="eastAsia"/>
                <w:color w:val="000000"/>
              </w:rPr>
              <w:t>第6會期第7次全體委員會議（</w:t>
            </w:r>
            <w:r w:rsidRPr="00092966">
              <w:rPr>
                <w:rFonts w:ascii="標楷體" w:eastAsia="標楷體" w:hAnsi="標楷體" w:hint="eastAsia"/>
                <w:color w:val="000000"/>
                <w:szCs w:val="24"/>
              </w:rPr>
              <w:t>111</w:t>
            </w:r>
            <w:r w:rsidRPr="00092966">
              <w:rPr>
                <w:rFonts w:ascii="標楷體" w:eastAsia="標楷體" w:hAnsi="標楷體" w:hint="eastAsia"/>
                <w:color w:val="000000"/>
              </w:rPr>
              <w:t>.11.</w:t>
            </w:r>
            <w:r w:rsidRPr="00092966">
              <w:rPr>
                <w:rFonts w:ascii="標楷體" w:eastAsia="標楷體" w:hAnsi="標楷體"/>
                <w:color w:val="000000"/>
              </w:rPr>
              <w:t>10</w:t>
            </w:r>
            <w:r w:rsidRPr="00092966">
              <w:rPr>
                <w:rFonts w:ascii="標楷體" w:eastAsia="標楷體" w:hAnsi="標楷體" w:hint="eastAsia"/>
                <w:color w:val="000000"/>
              </w:rPr>
              <w:t>）決議：報告及詢答完畢，另定期繼續審查。</w:t>
            </w:r>
          </w:p>
          <w:p w:rsidR="0015104A" w:rsidRPr="00092966" w:rsidRDefault="0015104A" w:rsidP="001F3F42">
            <w:pPr>
              <w:adjustRightInd w:val="0"/>
              <w:snapToGrid w:val="0"/>
              <w:spacing w:line="240" w:lineRule="atLeast"/>
              <w:ind w:left="240" w:hangingChars="100" w:hanging="240"/>
              <w:jc w:val="both"/>
              <w:rPr>
                <w:rFonts w:ascii="標楷體" w:eastAsia="標楷體" w:hAnsi="標楷體"/>
                <w:color w:val="000000"/>
              </w:rPr>
            </w:pPr>
            <w:r>
              <w:rPr>
                <w:rFonts w:ascii="標楷體" w:eastAsia="標楷體" w:hAnsi="標楷體" w:hint="eastAsia"/>
                <w:color w:val="000000"/>
              </w:rPr>
              <w:t>2.</w:t>
            </w:r>
            <w:r w:rsidRPr="00092966">
              <w:rPr>
                <w:rFonts w:ascii="標楷體" w:eastAsia="標楷體" w:hAnsi="標楷體" w:hint="eastAsia"/>
                <w:color w:val="000000"/>
              </w:rPr>
              <w:t>第6會期第1</w:t>
            </w:r>
            <w:r w:rsidRPr="00092966">
              <w:rPr>
                <w:rFonts w:ascii="標楷體" w:eastAsia="標楷體" w:hAnsi="標楷體"/>
                <w:color w:val="000000"/>
              </w:rPr>
              <w:t>5</w:t>
            </w:r>
            <w:r w:rsidRPr="00092966">
              <w:rPr>
                <w:rFonts w:ascii="標楷體" w:eastAsia="標楷體" w:hAnsi="標楷體" w:hint="eastAsia"/>
                <w:color w:val="000000"/>
              </w:rPr>
              <w:t>次全體委員會議（111.12.</w:t>
            </w:r>
            <w:r w:rsidRPr="00092966">
              <w:rPr>
                <w:rFonts w:ascii="標楷體" w:eastAsia="標楷體" w:hAnsi="標楷體"/>
                <w:color w:val="000000"/>
              </w:rPr>
              <w:t>21</w:t>
            </w:r>
            <w:r w:rsidRPr="00092966">
              <w:rPr>
                <w:rFonts w:ascii="標楷體" w:eastAsia="標楷體" w:hAnsi="標楷體" w:hint="eastAsia"/>
                <w:color w:val="000000"/>
              </w:rPr>
              <w:t>）決議：審查完竣。</w:t>
            </w:r>
          </w:p>
        </w:tc>
        <w:tc>
          <w:tcPr>
            <w:tcW w:w="986" w:type="pct"/>
            <w:tcBorders>
              <w:top w:val="single" w:sz="4" w:space="0" w:color="auto"/>
              <w:left w:val="single" w:sz="4" w:space="0" w:color="auto"/>
              <w:bottom w:val="single" w:sz="4" w:space="0" w:color="auto"/>
              <w:right w:val="single" w:sz="4" w:space="0" w:color="auto"/>
            </w:tcBorders>
          </w:tcPr>
          <w:p w:rsidR="00967C3E" w:rsidRPr="00C17444" w:rsidRDefault="00967C3E" w:rsidP="00967C3E">
            <w:pPr>
              <w:spacing w:line="400" w:lineRule="exact"/>
              <w:ind w:leftChars="-12" w:left="-29"/>
              <w:jc w:val="both"/>
              <w:rPr>
                <w:rFonts w:ascii="標楷體" w:eastAsia="標楷體" w:hAnsi="標楷體"/>
                <w:sz w:val="28"/>
              </w:rPr>
            </w:pPr>
            <w:r w:rsidRPr="00C17444">
              <w:rPr>
                <w:rFonts w:ascii="標楷體" w:eastAsia="標楷體" w:hAnsi="標楷體" w:hint="eastAsia"/>
                <w:sz w:val="28"/>
              </w:rPr>
              <w:lastRenderedPageBreak/>
              <w:t>10-6-</w:t>
            </w:r>
            <w:r>
              <w:rPr>
                <w:rFonts w:ascii="標楷體" w:eastAsia="標楷體" w:hAnsi="標楷體" w:hint="eastAsia"/>
                <w:sz w:val="28"/>
              </w:rPr>
              <w:t>16</w:t>
            </w:r>
          </w:p>
          <w:p w:rsidR="00967C3E" w:rsidRPr="00C17444" w:rsidRDefault="00967C3E" w:rsidP="00967C3E">
            <w:pPr>
              <w:spacing w:line="400" w:lineRule="exact"/>
              <w:ind w:leftChars="-12" w:left="-29"/>
              <w:rPr>
                <w:rFonts w:ascii="標楷體" w:eastAsia="標楷體" w:hAnsi="標楷體"/>
                <w:sz w:val="28"/>
              </w:rPr>
            </w:pPr>
            <w:r w:rsidRPr="00C17444">
              <w:rPr>
                <w:rFonts w:ascii="標楷體" w:eastAsia="標楷體" w:hAnsi="標楷體" w:hint="eastAsia"/>
                <w:sz w:val="28"/>
              </w:rPr>
              <w:t>(11</w:t>
            </w:r>
            <w:r>
              <w:rPr>
                <w:rFonts w:ascii="標楷體" w:eastAsia="標楷體" w:hAnsi="標楷體" w:hint="eastAsia"/>
                <w:sz w:val="28"/>
              </w:rPr>
              <w:t>2</w:t>
            </w:r>
            <w:r w:rsidRPr="00C17444">
              <w:rPr>
                <w:rFonts w:ascii="標楷體" w:eastAsia="標楷體" w:hAnsi="標楷體" w:hint="eastAsia"/>
                <w:sz w:val="28"/>
              </w:rPr>
              <w:t>.1.</w:t>
            </w:r>
            <w:r>
              <w:rPr>
                <w:rFonts w:ascii="標楷體" w:eastAsia="標楷體" w:hAnsi="標楷體" w:hint="eastAsia"/>
                <w:sz w:val="28"/>
              </w:rPr>
              <w:t>19</w:t>
            </w:r>
            <w:r w:rsidRPr="00C17444">
              <w:rPr>
                <w:rFonts w:ascii="標楷體" w:eastAsia="標楷體" w:hAnsi="標楷體" w:hint="eastAsia"/>
                <w:sz w:val="28"/>
              </w:rPr>
              <w:t>)</w:t>
            </w:r>
          </w:p>
          <w:p w:rsidR="0015104A" w:rsidRPr="00092966" w:rsidRDefault="0015104A" w:rsidP="001F3F42">
            <w:pPr>
              <w:adjustRightInd w:val="0"/>
              <w:snapToGrid w:val="0"/>
              <w:spacing w:line="240" w:lineRule="atLeast"/>
              <w:rPr>
                <w:rFonts w:ascii="標楷體" w:eastAsia="標楷體" w:hAnsi="標楷體"/>
                <w:color w:val="000000"/>
                <w:sz w:val="28"/>
                <w:szCs w:val="22"/>
                <w:u w:val="single"/>
              </w:rPr>
            </w:pPr>
          </w:p>
        </w:tc>
      </w:tr>
    </w:tbl>
    <w:p w:rsidR="00A4133F" w:rsidRDefault="00A4133F">
      <w:pPr>
        <w:widowControl/>
        <w:rPr>
          <w:rFonts w:ascii="標楷體" w:eastAsia="標楷體" w:hAnsi="標楷體"/>
          <w:b/>
          <w:color w:val="000000" w:themeColor="text1"/>
          <w:spacing w:val="-4"/>
          <w:sz w:val="32"/>
          <w:szCs w:val="32"/>
        </w:rPr>
      </w:pPr>
      <w:r>
        <w:rPr>
          <w:color w:val="000000" w:themeColor="text1"/>
        </w:rPr>
        <w:br w:type="page"/>
      </w:r>
    </w:p>
    <w:p w:rsidR="00A36746" w:rsidRPr="00920597" w:rsidRDefault="00A36746" w:rsidP="00562672">
      <w:pPr>
        <w:pStyle w:val="01-3"/>
        <w:rPr>
          <w:color w:val="000000" w:themeColor="text1"/>
        </w:rPr>
      </w:pPr>
      <w:bookmarkStart w:id="100" w:name="_Toc126068138"/>
      <w:r w:rsidRPr="00920597">
        <w:rPr>
          <w:rFonts w:hint="eastAsia"/>
          <w:color w:val="000000" w:themeColor="text1"/>
        </w:rPr>
        <w:lastRenderedPageBreak/>
        <w:t>(</w:t>
      </w:r>
      <w:r w:rsidR="0015104A">
        <w:rPr>
          <w:rFonts w:hint="eastAsia"/>
          <w:color w:val="000000" w:themeColor="text1"/>
        </w:rPr>
        <w:t>三</w:t>
      </w:r>
      <w:r w:rsidRPr="00920597">
        <w:rPr>
          <w:rFonts w:hint="eastAsia"/>
          <w:color w:val="000000" w:themeColor="text1"/>
        </w:rPr>
        <w:t>)行政法人預算案 (</w:t>
      </w:r>
      <w:r w:rsidR="0015104A">
        <w:rPr>
          <w:rFonts w:hint="eastAsia"/>
          <w:color w:val="000000" w:themeColor="text1"/>
        </w:rPr>
        <w:t>3</w:t>
      </w:r>
      <w:r w:rsidR="00C753E1" w:rsidRPr="00920597">
        <w:rPr>
          <w:rFonts w:hint="eastAsia"/>
          <w:color w:val="000000" w:themeColor="text1"/>
        </w:rPr>
        <w:t>案</w:t>
      </w:r>
      <w:r w:rsidRPr="00920597">
        <w:rPr>
          <w:rFonts w:hint="eastAsia"/>
          <w:color w:val="000000" w:themeColor="text1"/>
        </w:rPr>
        <w:t>)</w:t>
      </w:r>
      <w:bookmarkEnd w:id="100"/>
    </w:p>
    <w:tbl>
      <w:tblPr>
        <w:tblW w:w="5299" w:type="pct"/>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700"/>
        <w:gridCol w:w="3402"/>
        <w:gridCol w:w="1596"/>
        <w:gridCol w:w="2737"/>
        <w:gridCol w:w="1770"/>
      </w:tblGrid>
      <w:tr w:rsidR="00A36746" w:rsidRPr="00920597" w:rsidTr="00E30499">
        <w:trPr>
          <w:trHeight w:val="700"/>
        </w:trPr>
        <w:tc>
          <w:tcPr>
            <w:tcW w:w="700" w:type="dxa"/>
            <w:tcBorders>
              <w:top w:val="single" w:sz="4" w:space="0" w:color="auto"/>
              <w:left w:val="single" w:sz="4" w:space="0" w:color="auto"/>
              <w:bottom w:val="single" w:sz="4" w:space="0" w:color="auto"/>
              <w:right w:val="single" w:sz="4" w:space="0" w:color="auto"/>
            </w:tcBorders>
            <w:vAlign w:val="center"/>
            <w:hideMark/>
          </w:tcPr>
          <w:p w:rsidR="00A36746" w:rsidRPr="00920597" w:rsidRDefault="00A36746" w:rsidP="00A36746">
            <w:pPr>
              <w:spacing w:line="400" w:lineRule="exact"/>
              <w:rPr>
                <w:rFonts w:ascii="標楷體" w:eastAsia="標楷體" w:hAnsi="標楷體"/>
                <w:b/>
                <w:bCs/>
                <w:color w:val="000000" w:themeColor="text1"/>
                <w:spacing w:val="-24"/>
                <w:sz w:val="28"/>
                <w:szCs w:val="28"/>
              </w:rPr>
            </w:pPr>
            <w:r w:rsidRPr="00920597">
              <w:rPr>
                <w:rFonts w:ascii="標楷體" w:eastAsia="標楷體" w:hAnsi="標楷體" w:hint="eastAsia"/>
                <w:b/>
                <w:bCs/>
                <w:color w:val="000000" w:themeColor="text1"/>
                <w:spacing w:val="-24"/>
                <w:sz w:val="28"/>
                <w:szCs w:val="28"/>
              </w:rPr>
              <w:t>序號</w:t>
            </w:r>
          </w:p>
        </w:tc>
        <w:tc>
          <w:tcPr>
            <w:tcW w:w="3402" w:type="dxa"/>
            <w:tcBorders>
              <w:top w:val="single" w:sz="4" w:space="0" w:color="auto"/>
              <w:left w:val="single" w:sz="4" w:space="0" w:color="auto"/>
              <w:bottom w:val="single" w:sz="4" w:space="0" w:color="auto"/>
              <w:right w:val="single" w:sz="4" w:space="0" w:color="auto"/>
            </w:tcBorders>
            <w:vAlign w:val="center"/>
            <w:hideMark/>
          </w:tcPr>
          <w:p w:rsidR="00A36746" w:rsidRPr="00920597" w:rsidRDefault="00A36746" w:rsidP="00A36746">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案由</w:t>
            </w:r>
          </w:p>
        </w:tc>
        <w:tc>
          <w:tcPr>
            <w:tcW w:w="1596" w:type="dxa"/>
            <w:tcBorders>
              <w:top w:val="single" w:sz="4" w:space="0" w:color="auto"/>
              <w:left w:val="single" w:sz="4" w:space="0" w:color="auto"/>
              <w:bottom w:val="single" w:sz="4" w:space="0" w:color="auto"/>
              <w:right w:val="single" w:sz="4" w:space="0" w:color="auto"/>
            </w:tcBorders>
            <w:vAlign w:val="center"/>
            <w:hideMark/>
          </w:tcPr>
          <w:p w:rsidR="00A36746" w:rsidRPr="00920597" w:rsidRDefault="00A36746" w:rsidP="000A3FF1">
            <w:pPr>
              <w:spacing w:line="400" w:lineRule="exact"/>
              <w:ind w:rightChars="26" w:right="62"/>
              <w:jc w:val="center"/>
              <w:rPr>
                <w:rFonts w:ascii="標楷體" w:eastAsia="標楷體" w:hAnsi="標楷體"/>
                <w:b/>
                <w:bCs/>
                <w:color w:val="000000" w:themeColor="text1"/>
                <w:spacing w:val="-20"/>
                <w:sz w:val="28"/>
              </w:rPr>
            </w:pPr>
            <w:r w:rsidRPr="00920597">
              <w:rPr>
                <w:rFonts w:ascii="標楷體" w:eastAsia="標楷體" w:hAnsi="標楷體" w:hint="eastAsia"/>
                <w:b/>
                <w:bCs/>
                <w:color w:val="000000" w:themeColor="text1"/>
                <w:spacing w:val="-20"/>
                <w:sz w:val="28"/>
              </w:rPr>
              <w:t>院會交付</w:t>
            </w:r>
          </w:p>
          <w:p w:rsidR="00A36746" w:rsidRPr="00920597" w:rsidRDefault="00A36746" w:rsidP="000A3FF1">
            <w:pPr>
              <w:spacing w:line="400" w:lineRule="exact"/>
              <w:ind w:rightChars="26" w:right="6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pacing w:val="-20"/>
                <w:sz w:val="28"/>
              </w:rPr>
              <w:t>會次及日期</w:t>
            </w:r>
          </w:p>
        </w:tc>
        <w:tc>
          <w:tcPr>
            <w:tcW w:w="2737" w:type="dxa"/>
            <w:tcBorders>
              <w:top w:val="single" w:sz="4" w:space="0" w:color="auto"/>
              <w:left w:val="single" w:sz="4" w:space="0" w:color="auto"/>
              <w:bottom w:val="single" w:sz="4" w:space="0" w:color="auto"/>
              <w:right w:val="single" w:sz="4" w:space="0" w:color="auto"/>
            </w:tcBorders>
            <w:vAlign w:val="center"/>
            <w:hideMark/>
          </w:tcPr>
          <w:p w:rsidR="00A36746" w:rsidRPr="00920597" w:rsidRDefault="00A36746" w:rsidP="00A36746">
            <w:pPr>
              <w:spacing w:line="400" w:lineRule="exact"/>
              <w:ind w:leftChars="27" w:left="65" w:rightChars="104" w:right="250"/>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委員會審查</w:t>
            </w:r>
          </w:p>
          <w:p w:rsidR="00A36746" w:rsidRPr="00920597" w:rsidRDefault="00A36746" w:rsidP="00A36746">
            <w:pPr>
              <w:spacing w:line="400" w:lineRule="exact"/>
              <w:ind w:leftChars="27" w:left="65" w:rightChars="104" w:right="250"/>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1770" w:type="dxa"/>
            <w:tcBorders>
              <w:top w:val="single" w:sz="4" w:space="0" w:color="auto"/>
              <w:left w:val="single" w:sz="4" w:space="0" w:color="auto"/>
              <w:bottom w:val="single" w:sz="4" w:space="0" w:color="auto"/>
              <w:right w:val="single" w:sz="4" w:space="0" w:color="auto"/>
            </w:tcBorders>
            <w:vAlign w:val="center"/>
            <w:hideMark/>
          </w:tcPr>
          <w:p w:rsidR="00A36746" w:rsidRPr="00920597" w:rsidRDefault="00A36746" w:rsidP="000A3FF1">
            <w:pPr>
              <w:spacing w:line="400" w:lineRule="exact"/>
              <w:ind w:rightChars="26" w:right="62"/>
              <w:jc w:val="center"/>
              <w:rPr>
                <w:rFonts w:ascii="標楷體" w:eastAsia="標楷體" w:hAnsi="標楷體"/>
                <w:b/>
                <w:bCs/>
                <w:color w:val="000000" w:themeColor="text1"/>
                <w:spacing w:val="-20"/>
                <w:sz w:val="28"/>
              </w:rPr>
            </w:pPr>
            <w:r w:rsidRPr="00920597">
              <w:rPr>
                <w:rFonts w:ascii="標楷體" w:eastAsia="標楷體" w:hAnsi="標楷體" w:hint="eastAsia"/>
                <w:b/>
                <w:bCs/>
                <w:color w:val="000000" w:themeColor="text1"/>
                <w:spacing w:val="-20"/>
                <w:sz w:val="28"/>
              </w:rPr>
              <w:t>院會三讀通過</w:t>
            </w:r>
          </w:p>
          <w:p w:rsidR="00A36746" w:rsidRPr="00920597" w:rsidRDefault="00A36746" w:rsidP="000A3FF1">
            <w:pPr>
              <w:spacing w:line="400" w:lineRule="exact"/>
              <w:ind w:rightChars="26" w:right="6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pacing w:val="-20"/>
                <w:sz w:val="28"/>
              </w:rPr>
              <w:t>會次及日期</w:t>
            </w:r>
          </w:p>
        </w:tc>
      </w:tr>
      <w:tr w:rsidR="0015104A" w:rsidRPr="00920597" w:rsidTr="00E30499">
        <w:trPr>
          <w:trHeight w:val="567"/>
        </w:trPr>
        <w:tc>
          <w:tcPr>
            <w:tcW w:w="700" w:type="dxa"/>
            <w:tcBorders>
              <w:top w:val="single" w:sz="4" w:space="0" w:color="auto"/>
              <w:left w:val="single" w:sz="4" w:space="0" w:color="auto"/>
              <w:bottom w:val="single" w:sz="4" w:space="0" w:color="auto"/>
              <w:right w:val="single" w:sz="4" w:space="0" w:color="auto"/>
            </w:tcBorders>
            <w:vAlign w:val="center"/>
          </w:tcPr>
          <w:p w:rsidR="0015104A" w:rsidRPr="00920597" w:rsidRDefault="0015104A" w:rsidP="006934DD">
            <w:pPr>
              <w:numPr>
                <w:ilvl w:val="0"/>
                <w:numId w:val="16"/>
              </w:numPr>
              <w:spacing w:line="400" w:lineRule="exact"/>
              <w:ind w:right="113"/>
              <w:jc w:val="center"/>
              <w:rPr>
                <w:rFonts w:ascii="標楷體" w:eastAsia="標楷體" w:hAnsi="標楷體"/>
                <w:color w:val="000000" w:themeColor="text1"/>
                <w:sz w:val="32"/>
              </w:rPr>
            </w:pPr>
          </w:p>
        </w:tc>
        <w:tc>
          <w:tcPr>
            <w:tcW w:w="3402" w:type="dxa"/>
          </w:tcPr>
          <w:p w:rsidR="0015104A" w:rsidRPr="00C17444" w:rsidRDefault="0015104A" w:rsidP="0015104A">
            <w:pPr>
              <w:spacing w:line="400" w:lineRule="exact"/>
              <w:ind w:leftChars="-12" w:left="-29"/>
              <w:jc w:val="both"/>
            </w:pPr>
            <w:r w:rsidRPr="00C17444">
              <w:rPr>
                <w:rFonts w:ascii="標楷體" w:eastAsia="標楷體" w:hAnsi="標楷體" w:hint="eastAsia"/>
                <w:sz w:val="28"/>
              </w:rPr>
              <w:t>教育部函送國家運動訓練中心112年度預算書案。</w:t>
            </w:r>
          </w:p>
        </w:tc>
        <w:tc>
          <w:tcPr>
            <w:tcW w:w="1596" w:type="dxa"/>
          </w:tcPr>
          <w:p w:rsidR="0015104A" w:rsidRPr="00C17444" w:rsidRDefault="0015104A" w:rsidP="0015104A">
            <w:pPr>
              <w:spacing w:line="400" w:lineRule="exact"/>
              <w:ind w:leftChars="-12" w:left="-29"/>
              <w:jc w:val="both"/>
              <w:rPr>
                <w:rFonts w:ascii="標楷體" w:eastAsia="標楷體" w:hAnsi="標楷體"/>
                <w:sz w:val="28"/>
              </w:rPr>
            </w:pPr>
            <w:r w:rsidRPr="00C17444">
              <w:rPr>
                <w:rFonts w:ascii="標楷體" w:eastAsia="標楷體" w:hAnsi="標楷體"/>
                <w:sz w:val="28"/>
              </w:rPr>
              <w:t>10-6-3</w:t>
            </w:r>
          </w:p>
          <w:p w:rsidR="0015104A" w:rsidRPr="00C17444" w:rsidRDefault="0015104A" w:rsidP="0015104A">
            <w:pPr>
              <w:spacing w:line="400" w:lineRule="exact"/>
              <w:ind w:leftChars="-12" w:left="-29"/>
              <w:jc w:val="both"/>
              <w:rPr>
                <w:rFonts w:ascii="標楷體" w:eastAsia="標楷體" w:hAnsi="標楷體"/>
                <w:sz w:val="28"/>
                <w:szCs w:val="28"/>
              </w:rPr>
            </w:pPr>
            <w:r w:rsidRPr="00C17444">
              <w:rPr>
                <w:rFonts w:ascii="標楷體" w:eastAsia="標楷體" w:hAnsi="標楷體"/>
                <w:sz w:val="28"/>
              </w:rPr>
              <w:t>(111.10.7)</w:t>
            </w:r>
          </w:p>
        </w:tc>
        <w:tc>
          <w:tcPr>
            <w:tcW w:w="2737" w:type="dxa"/>
          </w:tcPr>
          <w:p w:rsidR="0015104A" w:rsidRPr="00C17444" w:rsidRDefault="0015104A" w:rsidP="0015104A">
            <w:pPr>
              <w:adjustRightInd w:val="0"/>
              <w:snapToGrid w:val="0"/>
              <w:spacing w:line="240" w:lineRule="atLeast"/>
              <w:ind w:left="240" w:hangingChars="100" w:hanging="240"/>
              <w:jc w:val="both"/>
              <w:rPr>
                <w:rFonts w:ascii="標楷體" w:eastAsia="標楷體" w:hAnsi="標楷體"/>
                <w:szCs w:val="24"/>
              </w:rPr>
            </w:pPr>
            <w:r w:rsidRPr="00C17444">
              <w:rPr>
                <w:rFonts w:ascii="標楷體" w:eastAsia="標楷體" w:hAnsi="標楷體" w:hint="eastAsia"/>
                <w:szCs w:val="24"/>
              </w:rPr>
              <w:t>1.第6會期第4次全體委員會議（111.10.20）決議：報告及詢答完畢，另定期繼續審查。</w:t>
            </w:r>
          </w:p>
          <w:p w:rsidR="0015104A" w:rsidRPr="00C17444" w:rsidRDefault="0015104A" w:rsidP="0015104A">
            <w:pPr>
              <w:adjustRightInd w:val="0"/>
              <w:snapToGrid w:val="0"/>
              <w:spacing w:line="240" w:lineRule="atLeast"/>
              <w:ind w:left="240" w:hangingChars="100" w:hanging="240"/>
              <w:jc w:val="both"/>
              <w:rPr>
                <w:rFonts w:ascii="標楷體" w:eastAsia="標楷體" w:hAnsi="標楷體"/>
                <w:sz w:val="28"/>
              </w:rPr>
            </w:pPr>
            <w:r w:rsidRPr="00C17444">
              <w:rPr>
                <w:rFonts w:ascii="標楷體" w:eastAsia="標楷體" w:hAnsi="標楷體" w:hint="eastAsia"/>
                <w:szCs w:val="24"/>
              </w:rPr>
              <w:t>2</w:t>
            </w:r>
            <w:r w:rsidRPr="00C17444">
              <w:rPr>
                <w:rFonts w:ascii="標楷體" w:eastAsia="標楷體" w:hAnsi="標楷體"/>
                <w:szCs w:val="24"/>
              </w:rPr>
              <w:t>.</w:t>
            </w:r>
            <w:r w:rsidRPr="00C17444">
              <w:rPr>
                <w:rFonts w:ascii="標楷體" w:eastAsia="標楷體" w:hAnsi="標楷體" w:hint="eastAsia"/>
                <w:szCs w:val="24"/>
              </w:rPr>
              <w:t>第6會期第6次全體委員會議（111.11.3）決議：審查完竣。</w:t>
            </w:r>
          </w:p>
        </w:tc>
        <w:tc>
          <w:tcPr>
            <w:tcW w:w="1770" w:type="dxa"/>
            <w:tcBorders>
              <w:top w:val="single" w:sz="4" w:space="0" w:color="auto"/>
              <w:left w:val="single" w:sz="4" w:space="0" w:color="auto"/>
              <w:bottom w:val="single" w:sz="4" w:space="0" w:color="auto"/>
              <w:right w:val="single" w:sz="4" w:space="0" w:color="auto"/>
            </w:tcBorders>
          </w:tcPr>
          <w:p w:rsidR="0015104A" w:rsidRPr="00C17444" w:rsidRDefault="0015104A" w:rsidP="0015104A">
            <w:pPr>
              <w:spacing w:line="400" w:lineRule="exact"/>
              <w:ind w:leftChars="-12" w:left="-29"/>
              <w:jc w:val="both"/>
              <w:rPr>
                <w:rFonts w:ascii="標楷體" w:eastAsia="標楷體" w:hAnsi="標楷體"/>
                <w:sz w:val="28"/>
              </w:rPr>
            </w:pPr>
            <w:r w:rsidRPr="00C17444">
              <w:rPr>
                <w:rFonts w:ascii="標楷體" w:eastAsia="標楷體" w:hAnsi="標楷體" w:hint="eastAsia"/>
                <w:sz w:val="28"/>
              </w:rPr>
              <w:t>10-6-</w:t>
            </w:r>
            <w:r w:rsidRPr="00C17444">
              <w:rPr>
                <w:rFonts w:ascii="標楷體" w:eastAsia="標楷體" w:hAnsi="標楷體"/>
                <w:sz w:val="28"/>
              </w:rPr>
              <w:t>9</w:t>
            </w:r>
          </w:p>
          <w:p w:rsidR="0015104A" w:rsidRPr="00C17444" w:rsidRDefault="0015104A" w:rsidP="0015104A">
            <w:pPr>
              <w:spacing w:line="400" w:lineRule="exact"/>
              <w:ind w:leftChars="-12" w:left="-29"/>
              <w:rPr>
                <w:rFonts w:ascii="標楷體" w:eastAsia="標楷體" w:hAnsi="標楷體"/>
                <w:sz w:val="28"/>
              </w:rPr>
            </w:pPr>
            <w:r w:rsidRPr="00C17444">
              <w:rPr>
                <w:rFonts w:ascii="標楷體" w:eastAsia="標楷體" w:hAnsi="標楷體" w:hint="eastAsia"/>
                <w:sz w:val="28"/>
              </w:rPr>
              <w:t>(111.11.</w:t>
            </w:r>
            <w:r w:rsidRPr="00C17444">
              <w:rPr>
                <w:rFonts w:ascii="標楷體" w:eastAsia="標楷體" w:hAnsi="標楷體"/>
                <w:sz w:val="28"/>
              </w:rPr>
              <w:t>25</w:t>
            </w:r>
            <w:r w:rsidRPr="00C17444">
              <w:rPr>
                <w:rFonts w:ascii="標楷體" w:eastAsia="標楷體" w:hAnsi="標楷體" w:hint="eastAsia"/>
                <w:sz w:val="28"/>
              </w:rPr>
              <w:t>)</w:t>
            </w:r>
          </w:p>
          <w:p w:rsidR="0015104A" w:rsidRPr="00C17444" w:rsidRDefault="0015104A" w:rsidP="0015104A">
            <w:pPr>
              <w:spacing w:line="400" w:lineRule="exact"/>
              <w:ind w:leftChars="-12" w:left="-29"/>
              <w:rPr>
                <w:rFonts w:ascii="標楷體" w:eastAsia="標楷體" w:hAnsi="標楷體"/>
                <w:sz w:val="28"/>
              </w:rPr>
            </w:pPr>
          </w:p>
        </w:tc>
      </w:tr>
      <w:tr w:rsidR="0015104A" w:rsidRPr="00920597" w:rsidTr="00E30499">
        <w:trPr>
          <w:trHeight w:val="567"/>
        </w:trPr>
        <w:tc>
          <w:tcPr>
            <w:tcW w:w="700" w:type="dxa"/>
            <w:tcBorders>
              <w:top w:val="single" w:sz="4" w:space="0" w:color="auto"/>
              <w:left w:val="single" w:sz="4" w:space="0" w:color="auto"/>
              <w:bottom w:val="single" w:sz="4" w:space="0" w:color="auto"/>
              <w:right w:val="single" w:sz="4" w:space="0" w:color="auto"/>
            </w:tcBorders>
            <w:vAlign w:val="center"/>
          </w:tcPr>
          <w:p w:rsidR="0015104A" w:rsidRPr="00920597" w:rsidRDefault="0015104A" w:rsidP="006934DD">
            <w:pPr>
              <w:numPr>
                <w:ilvl w:val="0"/>
                <w:numId w:val="16"/>
              </w:numPr>
              <w:spacing w:line="400" w:lineRule="exact"/>
              <w:ind w:right="113"/>
              <w:jc w:val="center"/>
              <w:rPr>
                <w:rFonts w:ascii="標楷體" w:eastAsia="標楷體" w:hAnsi="標楷體"/>
                <w:color w:val="000000" w:themeColor="text1"/>
                <w:sz w:val="32"/>
              </w:rPr>
            </w:pPr>
          </w:p>
        </w:tc>
        <w:tc>
          <w:tcPr>
            <w:tcW w:w="3402" w:type="dxa"/>
          </w:tcPr>
          <w:p w:rsidR="0015104A" w:rsidRPr="00C17444" w:rsidRDefault="0015104A" w:rsidP="0015104A">
            <w:pPr>
              <w:spacing w:line="400" w:lineRule="exact"/>
              <w:ind w:leftChars="-12" w:left="-29"/>
              <w:jc w:val="both"/>
              <w:rPr>
                <w:rFonts w:ascii="標楷體" w:eastAsia="標楷體" w:hAnsi="標楷體"/>
                <w:sz w:val="28"/>
              </w:rPr>
            </w:pPr>
            <w:r w:rsidRPr="00C17444">
              <w:rPr>
                <w:rFonts w:ascii="標楷體" w:eastAsia="標楷體" w:hAnsi="標楷體" w:hint="eastAsia"/>
                <w:sz w:val="28"/>
              </w:rPr>
              <w:t>國家科學及技術委員會函送國家災害防救科技中心112年度預算書案。</w:t>
            </w:r>
          </w:p>
        </w:tc>
        <w:tc>
          <w:tcPr>
            <w:tcW w:w="1596" w:type="dxa"/>
          </w:tcPr>
          <w:p w:rsidR="0015104A" w:rsidRPr="00C17444" w:rsidRDefault="0015104A" w:rsidP="0015104A">
            <w:pPr>
              <w:spacing w:line="400" w:lineRule="exact"/>
              <w:ind w:leftChars="-12" w:left="-29"/>
              <w:jc w:val="both"/>
              <w:rPr>
                <w:rFonts w:ascii="標楷體" w:eastAsia="標楷體" w:hAnsi="標楷體"/>
                <w:sz w:val="28"/>
              </w:rPr>
            </w:pPr>
            <w:r w:rsidRPr="00C17444">
              <w:rPr>
                <w:rFonts w:ascii="標楷體" w:eastAsia="標楷體" w:hAnsi="標楷體"/>
                <w:sz w:val="28"/>
              </w:rPr>
              <w:t>10-6-4</w:t>
            </w:r>
          </w:p>
          <w:p w:rsidR="0015104A" w:rsidRPr="00C17444" w:rsidRDefault="0015104A" w:rsidP="0015104A">
            <w:pPr>
              <w:spacing w:line="400" w:lineRule="exact"/>
              <w:ind w:leftChars="-12" w:left="-29"/>
              <w:jc w:val="both"/>
              <w:rPr>
                <w:rFonts w:ascii="標楷體" w:eastAsia="標楷體" w:hAnsi="標楷體"/>
                <w:sz w:val="28"/>
                <w:szCs w:val="28"/>
              </w:rPr>
            </w:pPr>
            <w:r w:rsidRPr="00C17444">
              <w:rPr>
                <w:rFonts w:ascii="標楷體" w:eastAsia="標楷體" w:hAnsi="標楷體"/>
                <w:sz w:val="28"/>
              </w:rPr>
              <w:t>(111.10.14)</w:t>
            </w:r>
          </w:p>
        </w:tc>
        <w:tc>
          <w:tcPr>
            <w:tcW w:w="2737" w:type="dxa"/>
          </w:tcPr>
          <w:p w:rsidR="0015104A" w:rsidRPr="00C17444" w:rsidRDefault="0015104A" w:rsidP="0015104A">
            <w:pPr>
              <w:ind w:left="238" w:hangingChars="99" w:hanging="238"/>
              <w:jc w:val="both"/>
              <w:rPr>
                <w:rFonts w:ascii="標楷體" w:eastAsia="標楷體" w:hAnsi="標楷體"/>
                <w:szCs w:val="24"/>
              </w:rPr>
            </w:pPr>
            <w:r w:rsidRPr="00C17444">
              <w:rPr>
                <w:rFonts w:ascii="標楷體" w:eastAsia="標楷體" w:hAnsi="標楷體" w:hint="eastAsia"/>
                <w:szCs w:val="24"/>
              </w:rPr>
              <w:t>1.第6會期第7次全體委員會議（111.1</w:t>
            </w:r>
            <w:r w:rsidRPr="00C17444">
              <w:rPr>
                <w:rFonts w:ascii="標楷體" w:eastAsia="標楷體" w:hAnsi="標楷體"/>
                <w:szCs w:val="24"/>
              </w:rPr>
              <w:t>1</w:t>
            </w:r>
            <w:r w:rsidRPr="00C17444">
              <w:rPr>
                <w:rFonts w:ascii="標楷體" w:eastAsia="標楷體" w:hAnsi="標楷體" w:hint="eastAsia"/>
                <w:szCs w:val="24"/>
              </w:rPr>
              <w:t>.</w:t>
            </w:r>
            <w:r w:rsidRPr="00C17444">
              <w:rPr>
                <w:rFonts w:ascii="標楷體" w:eastAsia="標楷體" w:hAnsi="標楷體"/>
                <w:szCs w:val="24"/>
              </w:rPr>
              <w:t>9</w:t>
            </w:r>
            <w:r w:rsidRPr="00C17444">
              <w:rPr>
                <w:rFonts w:ascii="標楷體" w:eastAsia="標楷體" w:hAnsi="標楷體" w:hint="eastAsia"/>
                <w:szCs w:val="24"/>
              </w:rPr>
              <w:t>）決議：報告及詢答完畢，另定期繼續審查。</w:t>
            </w:r>
          </w:p>
          <w:p w:rsidR="0015104A" w:rsidRPr="00C17444" w:rsidRDefault="0015104A" w:rsidP="0015104A">
            <w:pPr>
              <w:ind w:left="194" w:hangingChars="81" w:hanging="194"/>
              <w:jc w:val="both"/>
              <w:rPr>
                <w:rFonts w:ascii="標楷體" w:eastAsia="標楷體" w:hAnsi="標楷體"/>
                <w:szCs w:val="24"/>
              </w:rPr>
            </w:pPr>
            <w:r w:rsidRPr="00C17444">
              <w:rPr>
                <w:rFonts w:ascii="標楷體" w:eastAsia="標楷體" w:hAnsi="標楷體" w:hint="eastAsia"/>
                <w:szCs w:val="24"/>
              </w:rPr>
              <w:t>2</w:t>
            </w:r>
            <w:r w:rsidRPr="00C17444">
              <w:rPr>
                <w:rFonts w:ascii="標楷體" w:eastAsia="標楷體" w:hAnsi="標楷體"/>
                <w:szCs w:val="24"/>
              </w:rPr>
              <w:t>.</w:t>
            </w:r>
            <w:r w:rsidRPr="00C17444">
              <w:rPr>
                <w:rFonts w:ascii="標楷體" w:eastAsia="標楷體" w:hAnsi="標楷體" w:hint="eastAsia"/>
                <w:szCs w:val="24"/>
              </w:rPr>
              <w:t>第6會期第</w:t>
            </w:r>
            <w:r w:rsidRPr="00C17444">
              <w:rPr>
                <w:rFonts w:ascii="標楷體" w:eastAsia="標楷體" w:hAnsi="標楷體"/>
                <w:szCs w:val="24"/>
              </w:rPr>
              <w:t>13</w:t>
            </w:r>
            <w:r w:rsidRPr="00C17444">
              <w:rPr>
                <w:rFonts w:ascii="標楷體" w:eastAsia="標楷體" w:hAnsi="標楷體" w:hint="eastAsia"/>
                <w:szCs w:val="24"/>
              </w:rPr>
              <w:t>次全體委員會議（111.1</w:t>
            </w:r>
            <w:r w:rsidRPr="00C17444">
              <w:rPr>
                <w:rFonts w:ascii="標楷體" w:eastAsia="標楷體" w:hAnsi="標楷體"/>
                <w:szCs w:val="24"/>
              </w:rPr>
              <w:t>2</w:t>
            </w:r>
            <w:r w:rsidRPr="00C17444">
              <w:rPr>
                <w:rFonts w:ascii="標楷體" w:eastAsia="標楷體" w:hAnsi="標楷體" w:hint="eastAsia"/>
                <w:szCs w:val="24"/>
              </w:rPr>
              <w:t>.</w:t>
            </w:r>
            <w:r w:rsidRPr="00C17444">
              <w:rPr>
                <w:rFonts w:ascii="標楷體" w:eastAsia="標楷體" w:hAnsi="標楷體"/>
                <w:szCs w:val="24"/>
              </w:rPr>
              <w:t>8</w:t>
            </w:r>
            <w:r w:rsidRPr="00C17444">
              <w:rPr>
                <w:rFonts w:ascii="標楷體" w:eastAsia="標楷體" w:hAnsi="標楷體" w:hint="eastAsia"/>
                <w:szCs w:val="24"/>
              </w:rPr>
              <w:t>）決議：審查完竣。</w:t>
            </w:r>
          </w:p>
        </w:tc>
        <w:tc>
          <w:tcPr>
            <w:tcW w:w="1770" w:type="dxa"/>
            <w:tcBorders>
              <w:top w:val="single" w:sz="4" w:space="0" w:color="auto"/>
              <w:left w:val="single" w:sz="4" w:space="0" w:color="auto"/>
              <w:bottom w:val="single" w:sz="4" w:space="0" w:color="auto"/>
              <w:right w:val="single" w:sz="4" w:space="0" w:color="auto"/>
            </w:tcBorders>
          </w:tcPr>
          <w:p w:rsidR="0015104A" w:rsidRPr="00C17444" w:rsidRDefault="0015104A" w:rsidP="0015104A">
            <w:pPr>
              <w:spacing w:line="400" w:lineRule="exact"/>
              <w:ind w:leftChars="-12" w:left="-29"/>
              <w:jc w:val="both"/>
              <w:rPr>
                <w:rFonts w:ascii="標楷體" w:eastAsia="標楷體" w:hAnsi="標楷體"/>
                <w:sz w:val="28"/>
              </w:rPr>
            </w:pPr>
            <w:r w:rsidRPr="00C17444">
              <w:rPr>
                <w:rFonts w:ascii="標楷體" w:eastAsia="標楷體" w:hAnsi="標楷體"/>
                <w:sz w:val="28"/>
              </w:rPr>
              <w:t>10-6-12</w:t>
            </w:r>
          </w:p>
          <w:p w:rsidR="0015104A" w:rsidRPr="00C17444" w:rsidRDefault="0015104A" w:rsidP="0015104A">
            <w:pPr>
              <w:spacing w:line="400" w:lineRule="exact"/>
              <w:ind w:leftChars="-12" w:left="-29"/>
              <w:jc w:val="both"/>
              <w:rPr>
                <w:rFonts w:ascii="標楷體" w:eastAsia="標楷體" w:hAnsi="標楷體"/>
                <w:sz w:val="28"/>
              </w:rPr>
            </w:pPr>
            <w:r w:rsidRPr="00C17444">
              <w:rPr>
                <w:rFonts w:ascii="標楷體" w:eastAsia="標楷體" w:hAnsi="標楷體"/>
                <w:sz w:val="28"/>
              </w:rPr>
              <w:t>(111.12.20)</w:t>
            </w:r>
          </w:p>
          <w:p w:rsidR="0015104A" w:rsidRPr="00C17444" w:rsidRDefault="0015104A" w:rsidP="0015104A">
            <w:pPr>
              <w:jc w:val="both"/>
              <w:rPr>
                <w:rFonts w:ascii="標楷體" w:eastAsia="標楷體" w:hAnsi="標楷體"/>
                <w:sz w:val="28"/>
                <w:szCs w:val="28"/>
              </w:rPr>
            </w:pPr>
          </w:p>
        </w:tc>
      </w:tr>
      <w:tr w:rsidR="0015104A" w:rsidRPr="00920597" w:rsidTr="00E30499">
        <w:trPr>
          <w:trHeight w:val="567"/>
        </w:trPr>
        <w:tc>
          <w:tcPr>
            <w:tcW w:w="700" w:type="dxa"/>
            <w:tcBorders>
              <w:top w:val="single" w:sz="4" w:space="0" w:color="auto"/>
              <w:left w:val="single" w:sz="4" w:space="0" w:color="auto"/>
              <w:bottom w:val="single" w:sz="4" w:space="0" w:color="auto"/>
              <w:right w:val="single" w:sz="4" w:space="0" w:color="auto"/>
            </w:tcBorders>
            <w:vAlign w:val="center"/>
          </w:tcPr>
          <w:p w:rsidR="0015104A" w:rsidRPr="00920597" w:rsidRDefault="0015104A" w:rsidP="006934DD">
            <w:pPr>
              <w:numPr>
                <w:ilvl w:val="0"/>
                <w:numId w:val="16"/>
              </w:numPr>
              <w:spacing w:line="400" w:lineRule="exact"/>
              <w:ind w:right="113"/>
              <w:jc w:val="center"/>
              <w:rPr>
                <w:rFonts w:ascii="標楷體" w:eastAsia="標楷體" w:hAnsi="標楷體"/>
                <w:color w:val="000000" w:themeColor="text1"/>
                <w:sz w:val="32"/>
              </w:rPr>
            </w:pPr>
          </w:p>
        </w:tc>
        <w:tc>
          <w:tcPr>
            <w:tcW w:w="3402" w:type="dxa"/>
          </w:tcPr>
          <w:p w:rsidR="0015104A" w:rsidRPr="001A495B" w:rsidRDefault="0015104A" w:rsidP="0015104A">
            <w:pPr>
              <w:spacing w:line="400" w:lineRule="exact"/>
              <w:ind w:leftChars="-12" w:left="-29"/>
              <w:jc w:val="both"/>
              <w:rPr>
                <w:rFonts w:ascii="標楷體" w:eastAsia="標楷體" w:hAnsi="標楷體"/>
                <w:kern w:val="0"/>
                <w:sz w:val="28"/>
                <w:szCs w:val="28"/>
              </w:rPr>
            </w:pPr>
            <w:r w:rsidRPr="001A495B">
              <w:rPr>
                <w:rFonts w:ascii="標楷體" w:eastAsia="標楷體" w:hAnsi="標楷體" w:hint="eastAsia"/>
                <w:kern w:val="0"/>
                <w:sz w:val="28"/>
                <w:szCs w:val="28"/>
              </w:rPr>
              <w:t>文化部函送國家表演藝術中心、文化內容策進院、國家電影及視聽文化中心112年度預算書案。</w:t>
            </w:r>
          </w:p>
        </w:tc>
        <w:tc>
          <w:tcPr>
            <w:tcW w:w="1596" w:type="dxa"/>
          </w:tcPr>
          <w:p w:rsidR="0015104A" w:rsidRPr="001A495B" w:rsidRDefault="0015104A" w:rsidP="0015104A">
            <w:pPr>
              <w:spacing w:line="400" w:lineRule="exact"/>
              <w:ind w:leftChars="-12" w:left="-29"/>
              <w:jc w:val="both"/>
              <w:rPr>
                <w:rFonts w:ascii="標楷體" w:eastAsia="標楷體" w:hAnsi="標楷體"/>
                <w:kern w:val="0"/>
                <w:sz w:val="28"/>
                <w:szCs w:val="28"/>
              </w:rPr>
            </w:pPr>
            <w:r w:rsidRPr="001A495B">
              <w:rPr>
                <w:rFonts w:ascii="標楷體" w:eastAsia="標楷體" w:hAnsi="標楷體"/>
                <w:kern w:val="0"/>
                <w:sz w:val="28"/>
                <w:szCs w:val="28"/>
              </w:rPr>
              <w:t>10-6-2</w:t>
            </w:r>
          </w:p>
          <w:p w:rsidR="0015104A" w:rsidRPr="001A495B" w:rsidRDefault="0015104A" w:rsidP="0015104A">
            <w:pPr>
              <w:spacing w:line="400" w:lineRule="exact"/>
              <w:ind w:leftChars="-12" w:left="-29"/>
              <w:jc w:val="both"/>
              <w:rPr>
                <w:rFonts w:ascii="標楷體" w:eastAsia="標楷體" w:hAnsi="標楷體"/>
                <w:sz w:val="28"/>
                <w:szCs w:val="28"/>
              </w:rPr>
            </w:pPr>
            <w:r w:rsidRPr="001A495B">
              <w:rPr>
                <w:rFonts w:ascii="標楷體" w:eastAsia="標楷體" w:hAnsi="標楷體"/>
                <w:kern w:val="0"/>
                <w:sz w:val="28"/>
                <w:szCs w:val="28"/>
              </w:rPr>
              <w:t>(111.9.30)</w:t>
            </w:r>
          </w:p>
        </w:tc>
        <w:tc>
          <w:tcPr>
            <w:tcW w:w="2737" w:type="dxa"/>
          </w:tcPr>
          <w:p w:rsidR="0015104A" w:rsidRPr="001A495B" w:rsidRDefault="0015104A" w:rsidP="0015104A">
            <w:pPr>
              <w:adjustRightInd w:val="0"/>
              <w:snapToGrid w:val="0"/>
              <w:spacing w:line="240" w:lineRule="atLeast"/>
              <w:ind w:left="240" w:hangingChars="100" w:hanging="240"/>
              <w:jc w:val="both"/>
              <w:rPr>
                <w:rFonts w:ascii="標楷體" w:eastAsia="標楷體" w:hAnsi="標楷體"/>
                <w:szCs w:val="24"/>
              </w:rPr>
            </w:pPr>
            <w:r w:rsidRPr="001A495B">
              <w:rPr>
                <w:rFonts w:ascii="標楷體" w:eastAsia="標楷體" w:hAnsi="標楷體" w:hint="eastAsia"/>
                <w:szCs w:val="24"/>
              </w:rPr>
              <w:t>1.第6會期第7次全體委員會議（111.11.10）決議：</w:t>
            </w:r>
            <w:r w:rsidRPr="001A495B">
              <w:rPr>
                <w:rFonts w:ascii="標楷體" w:eastAsia="標楷體" w:hAnsi="標楷體" w:hint="eastAsia"/>
              </w:rPr>
              <w:t>報告</w:t>
            </w:r>
            <w:r w:rsidRPr="001A495B">
              <w:rPr>
                <w:rFonts w:ascii="標楷體" w:eastAsia="標楷體" w:hAnsi="標楷體" w:hint="eastAsia"/>
                <w:szCs w:val="24"/>
              </w:rPr>
              <w:t>及詢答完畢，另定期繼續審查。</w:t>
            </w:r>
          </w:p>
          <w:p w:rsidR="0015104A" w:rsidRPr="001A495B" w:rsidRDefault="0015104A" w:rsidP="0015104A">
            <w:pPr>
              <w:adjustRightInd w:val="0"/>
              <w:snapToGrid w:val="0"/>
              <w:spacing w:line="240" w:lineRule="atLeast"/>
              <w:ind w:left="240" w:hangingChars="100" w:hanging="240"/>
              <w:rPr>
                <w:rFonts w:ascii="標楷體" w:eastAsia="標楷體" w:hAnsi="標楷體"/>
                <w:sz w:val="28"/>
                <w:szCs w:val="28"/>
              </w:rPr>
            </w:pPr>
            <w:r w:rsidRPr="001A495B">
              <w:rPr>
                <w:rFonts w:ascii="標楷體" w:eastAsia="標楷體" w:hAnsi="標楷體"/>
                <w:szCs w:val="24"/>
              </w:rPr>
              <w:t>2.</w:t>
            </w:r>
            <w:r w:rsidRPr="001A495B">
              <w:rPr>
                <w:rFonts w:ascii="標楷體" w:eastAsia="標楷體" w:hAnsi="標楷體" w:hint="eastAsia"/>
                <w:szCs w:val="24"/>
              </w:rPr>
              <w:t>第6會期第1</w:t>
            </w:r>
            <w:r w:rsidRPr="001A495B">
              <w:rPr>
                <w:rFonts w:ascii="標楷體" w:eastAsia="標楷體" w:hAnsi="標楷體"/>
                <w:szCs w:val="24"/>
              </w:rPr>
              <w:t>5</w:t>
            </w:r>
            <w:r w:rsidRPr="001A495B">
              <w:rPr>
                <w:rFonts w:ascii="標楷體" w:eastAsia="標楷體" w:hAnsi="標楷體" w:hint="eastAsia"/>
                <w:szCs w:val="24"/>
              </w:rPr>
              <w:t>次全體委員會議</w:t>
            </w:r>
            <w:r w:rsidRPr="001A495B">
              <w:rPr>
                <w:rFonts w:ascii="標楷體" w:eastAsia="標楷體" w:hAnsi="標楷體" w:hint="eastAsia"/>
                <w:spacing w:val="-10"/>
                <w:szCs w:val="24"/>
              </w:rPr>
              <w:t>（111.12.2</w:t>
            </w:r>
            <w:r w:rsidRPr="001A495B">
              <w:rPr>
                <w:rFonts w:ascii="標楷體" w:eastAsia="標楷體" w:hAnsi="標楷體"/>
                <w:spacing w:val="-10"/>
                <w:szCs w:val="24"/>
              </w:rPr>
              <w:t>1</w:t>
            </w:r>
            <w:r w:rsidRPr="001A495B">
              <w:rPr>
                <w:rFonts w:ascii="標楷體" w:eastAsia="標楷體" w:hAnsi="標楷體" w:hint="eastAsia"/>
                <w:spacing w:val="-10"/>
                <w:szCs w:val="24"/>
              </w:rPr>
              <w:t>）</w:t>
            </w:r>
            <w:r w:rsidRPr="001A495B">
              <w:rPr>
                <w:rFonts w:ascii="標楷體" w:eastAsia="標楷體" w:hAnsi="標楷體" w:hint="eastAsia"/>
                <w:szCs w:val="24"/>
              </w:rPr>
              <w:t>決議：審查完竣。</w:t>
            </w:r>
          </w:p>
        </w:tc>
        <w:tc>
          <w:tcPr>
            <w:tcW w:w="1770" w:type="dxa"/>
            <w:tcBorders>
              <w:top w:val="single" w:sz="4" w:space="0" w:color="auto"/>
              <w:left w:val="single" w:sz="4" w:space="0" w:color="auto"/>
              <w:bottom w:val="single" w:sz="4" w:space="0" w:color="auto"/>
              <w:right w:val="single" w:sz="4" w:space="0" w:color="auto"/>
            </w:tcBorders>
          </w:tcPr>
          <w:p w:rsidR="009308D5" w:rsidRPr="001A495B" w:rsidRDefault="009308D5" w:rsidP="009308D5">
            <w:pPr>
              <w:spacing w:line="400" w:lineRule="exact"/>
              <w:jc w:val="both"/>
              <w:rPr>
                <w:rFonts w:ascii="標楷體" w:eastAsia="標楷體" w:hAnsi="標楷體"/>
                <w:sz w:val="28"/>
              </w:rPr>
            </w:pPr>
            <w:r w:rsidRPr="001A495B">
              <w:rPr>
                <w:rFonts w:ascii="標楷體" w:eastAsia="標楷體" w:hAnsi="標楷體"/>
                <w:sz w:val="28"/>
              </w:rPr>
              <w:t>10-6-1</w:t>
            </w:r>
            <w:r w:rsidRPr="001A495B">
              <w:rPr>
                <w:rFonts w:ascii="標楷體" w:eastAsia="標楷體" w:hAnsi="標楷體" w:hint="eastAsia"/>
                <w:sz w:val="28"/>
              </w:rPr>
              <w:t>4</w:t>
            </w:r>
          </w:p>
          <w:p w:rsidR="009308D5" w:rsidRPr="001A495B" w:rsidRDefault="009308D5" w:rsidP="009308D5">
            <w:pPr>
              <w:spacing w:line="400" w:lineRule="exact"/>
              <w:jc w:val="both"/>
              <w:rPr>
                <w:rFonts w:ascii="標楷體" w:eastAsia="標楷體" w:hAnsi="標楷體"/>
                <w:sz w:val="28"/>
              </w:rPr>
            </w:pPr>
            <w:r w:rsidRPr="001A495B">
              <w:rPr>
                <w:rFonts w:ascii="標楷體" w:eastAsia="標楷體" w:hAnsi="標楷體"/>
                <w:sz w:val="28"/>
              </w:rPr>
              <w:t>(11</w:t>
            </w:r>
            <w:r w:rsidRPr="001A495B">
              <w:rPr>
                <w:rFonts w:ascii="標楷體" w:eastAsia="標楷體" w:hAnsi="標楷體" w:hint="eastAsia"/>
                <w:sz w:val="28"/>
              </w:rPr>
              <w:t>2</w:t>
            </w:r>
            <w:r w:rsidRPr="001A495B">
              <w:rPr>
                <w:rFonts w:ascii="標楷體" w:eastAsia="標楷體" w:hAnsi="標楷體"/>
                <w:sz w:val="28"/>
              </w:rPr>
              <w:t>.1.</w:t>
            </w:r>
            <w:r w:rsidRPr="001A495B">
              <w:rPr>
                <w:rFonts w:ascii="標楷體" w:eastAsia="標楷體" w:hAnsi="標楷體" w:hint="eastAsia"/>
                <w:sz w:val="28"/>
              </w:rPr>
              <w:t>3</w:t>
            </w:r>
            <w:r w:rsidRPr="001A495B">
              <w:rPr>
                <w:rFonts w:ascii="標楷體" w:eastAsia="標楷體" w:hAnsi="標楷體"/>
                <w:sz w:val="28"/>
              </w:rPr>
              <w:t>)</w:t>
            </w:r>
          </w:p>
          <w:p w:rsidR="0015104A" w:rsidRPr="001A495B" w:rsidRDefault="0015104A" w:rsidP="0015104A">
            <w:pPr>
              <w:spacing w:line="400" w:lineRule="exact"/>
              <w:jc w:val="both"/>
              <w:rPr>
                <w:rFonts w:ascii="標楷體" w:eastAsia="標楷體" w:hAnsi="標楷體"/>
                <w:sz w:val="28"/>
              </w:rPr>
            </w:pPr>
          </w:p>
        </w:tc>
      </w:tr>
    </w:tbl>
    <w:p w:rsidR="0015104A" w:rsidRDefault="0015104A" w:rsidP="0015104A">
      <w:pPr>
        <w:pStyle w:val="01-3"/>
        <w:rPr>
          <w:color w:val="000000" w:themeColor="text1"/>
        </w:rPr>
      </w:pPr>
      <w:bookmarkStart w:id="101" w:name="_Toc126068139"/>
      <w:r w:rsidRPr="005534EB">
        <w:rPr>
          <w:rFonts w:hint="eastAsia"/>
        </w:rPr>
        <w:t>(</w:t>
      </w:r>
      <w:r>
        <w:rPr>
          <w:rFonts w:hint="eastAsia"/>
        </w:rPr>
        <w:t>四</w:t>
      </w:r>
      <w:r w:rsidRPr="005534EB">
        <w:rPr>
          <w:rFonts w:hint="eastAsia"/>
        </w:rPr>
        <w:t>)財團法人預決算案 (8案)</w:t>
      </w:r>
      <w:bookmarkEnd w:id="101"/>
    </w:p>
    <w:tbl>
      <w:tblPr>
        <w:tblW w:w="5300"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710"/>
        <w:gridCol w:w="3654"/>
        <w:gridCol w:w="1533"/>
        <w:gridCol w:w="1333"/>
        <w:gridCol w:w="2977"/>
      </w:tblGrid>
      <w:tr w:rsidR="0015104A" w:rsidRPr="005534EB" w:rsidTr="001F3F42">
        <w:trPr>
          <w:trHeight w:val="700"/>
        </w:trPr>
        <w:tc>
          <w:tcPr>
            <w:tcW w:w="710" w:type="dxa"/>
            <w:tcBorders>
              <w:top w:val="single" w:sz="4" w:space="0" w:color="auto"/>
              <w:left w:val="single" w:sz="4" w:space="0" w:color="auto"/>
              <w:bottom w:val="single" w:sz="4" w:space="0" w:color="auto"/>
              <w:right w:val="single" w:sz="4" w:space="0" w:color="auto"/>
            </w:tcBorders>
            <w:vAlign w:val="center"/>
            <w:hideMark/>
          </w:tcPr>
          <w:p w:rsidR="0015104A" w:rsidRPr="005534EB" w:rsidRDefault="0015104A" w:rsidP="001F3F42">
            <w:pPr>
              <w:spacing w:line="400" w:lineRule="exact"/>
              <w:rPr>
                <w:rFonts w:ascii="標楷體" w:eastAsia="標楷體" w:hAnsi="標楷體"/>
                <w:b/>
                <w:bCs/>
                <w:spacing w:val="-24"/>
                <w:sz w:val="28"/>
                <w:szCs w:val="28"/>
              </w:rPr>
            </w:pPr>
            <w:r w:rsidRPr="005534EB">
              <w:rPr>
                <w:rFonts w:ascii="標楷體" w:eastAsia="標楷體" w:hAnsi="標楷體" w:hint="eastAsia"/>
                <w:b/>
                <w:bCs/>
                <w:spacing w:val="-24"/>
                <w:sz w:val="28"/>
                <w:szCs w:val="28"/>
              </w:rPr>
              <w:t>序號</w:t>
            </w:r>
          </w:p>
        </w:tc>
        <w:tc>
          <w:tcPr>
            <w:tcW w:w="3654" w:type="dxa"/>
            <w:tcBorders>
              <w:top w:val="single" w:sz="4" w:space="0" w:color="auto"/>
              <w:left w:val="single" w:sz="4" w:space="0" w:color="auto"/>
              <w:bottom w:val="single" w:sz="4" w:space="0" w:color="auto"/>
              <w:right w:val="single" w:sz="4" w:space="0" w:color="auto"/>
            </w:tcBorders>
            <w:vAlign w:val="center"/>
            <w:hideMark/>
          </w:tcPr>
          <w:p w:rsidR="0015104A" w:rsidRPr="005534EB" w:rsidRDefault="0015104A" w:rsidP="001F3F42">
            <w:pPr>
              <w:spacing w:line="400" w:lineRule="exact"/>
              <w:jc w:val="center"/>
              <w:rPr>
                <w:rFonts w:ascii="標楷體" w:eastAsia="標楷體" w:hAnsi="標楷體"/>
                <w:b/>
                <w:bCs/>
                <w:sz w:val="28"/>
              </w:rPr>
            </w:pPr>
            <w:r w:rsidRPr="005534EB">
              <w:rPr>
                <w:rFonts w:ascii="標楷體" w:eastAsia="標楷體" w:hAnsi="標楷體" w:hint="eastAsia"/>
                <w:b/>
                <w:bCs/>
                <w:sz w:val="28"/>
              </w:rPr>
              <w:t>案由</w:t>
            </w:r>
          </w:p>
        </w:tc>
        <w:tc>
          <w:tcPr>
            <w:tcW w:w="1533" w:type="dxa"/>
            <w:tcBorders>
              <w:top w:val="single" w:sz="4" w:space="0" w:color="auto"/>
              <w:left w:val="single" w:sz="4" w:space="0" w:color="auto"/>
              <w:bottom w:val="single" w:sz="4" w:space="0" w:color="auto"/>
              <w:right w:val="single" w:sz="4" w:space="0" w:color="auto"/>
            </w:tcBorders>
            <w:vAlign w:val="center"/>
            <w:hideMark/>
          </w:tcPr>
          <w:p w:rsidR="0015104A" w:rsidRPr="005534EB" w:rsidRDefault="0015104A" w:rsidP="001F3F42">
            <w:pPr>
              <w:spacing w:line="400" w:lineRule="exact"/>
              <w:ind w:rightChars="26" w:right="62"/>
              <w:jc w:val="center"/>
              <w:rPr>
                <w:rFonts w:ascii="標楷體" w:eastAsia="標楷體" w:hAnsi="標楷體"/>
                <w:b/>
                <w:bCs/>
                <w:spacing w:val="-20"/>
                <w:sz w:val="28"/>
              </w:rPr>
            </w:pPr>
            <w:r w:rsidRPr="005534EB">
              <w:rPr>
                <w:rFonts w:ascii="標楷體" w:eastAsia="標楷體" w:hAnsi="標楷體" w:hint="eastAsia"/>
                <w:b/>
                <w:bCs/>
                <w:spacing w:val="-20"/>
                <w:sz w:val="28"/>
              </w:rPr>
              <w:t>院會交付</w:t>
            </w:r>
          </w:p>
          <w:p w:rsidR="0015104A" w:rsidRPr="005534EB" w:rsidRDefault="0015104A" w:rsidP="001F3F42">
            <w:pPr>
              <w:spacing w:line="400" w:lineRule="exact"/>
              <w:ind w:rightChars="26" w:right="62"/>
              <w:jc w:val="center"/>
              <w:rPr>
                <w:rFonts w:ascii="標楷體" w:eastAsia="標楷體" w:hAnsi="標楷體"/>
                <w:b/>
                <w:bCs/>
                <w:sz w:val="28"/>
              </w:rPr>
            </w:pPr>
            <w:r w:rsidRPr="005534EB">
              <w:rPr>
                <w:rFonts w:ascii="標楷體" w:eastAsia="標楷體" w:hAnsi="標楷體" w:hint="eastAsia"/>
                <w:b/>
                <w:bCs/>
                <w:spacing w:val="-20"/>
                <w:sz w:val="28"/>
              </w:rPr>
              <w:t>會次及日期</w:t>
            </w:r>
          </w:p>
        </w:tc>
        <w:tc>
          <w:tcPr>
            <w:tcW w:w="1333" w:type="dxa"/>
            <w:tcBorders>
              <w:top w:val="single" w:sz="4" w:space="0" w:color="auto"/>
              <w:left w:val="single" w:sz="4" w:space="0" w:color="auto"/>
              <w:bottom w:val="single" w:sz="4" w:space="0" w:color="auto"/>
              <w:right w:val="single" w:sz="4" w:space="0" w:color="auto"/>
            </w:tcBorders>
            <w:vAlign w:val="center"/>
            <w:hideMark/>
          </w:tcPr>
          <w:p w:rsidR="0015104A" w:rsidRPr="005534EB" w:rsidRDefault="0015104A" w:rsidP="001F3F42">
            <w:pPr>
              <w:spacing w:line="400" w:lineRule="exact"/>
              <w:ind w:leftChars="27" w:left="65" w:rightChars="104" w:right="250"/>
              <w:jc w:val="center"/>
              <w:rPr>
                <w:rFonts w:ascii="標楷體" w:eastAsia="標楷體" w:hAnsi="標楷體"/>
                <w:b/>
                <w:bCs/>
                <w:sz w:val="28"/>
              </w:rPr>
            </w:pPr>
            <w:r w:rsidRPr="005534EB">
              <w:rPr>
                <w:rFonts w:ascii="標楷體" w:eastAsia="標楷體" w:hAnsi="標楷體" w:hint="eastAsia"/>
                <w:b/>
                <w:bCs/>
                <w:sz w:val="28"/>
              </w:rPr>
              <w:t>聯席</w:t>
            </w:r>
          </w:p>
          <w:p w:rsidR="0015104A" w:rsidRPr="005534EB" w:rsidRDefault="0015104A" w:rsidP="001F3F42">
            <w:pPr>
              <w:spacing w:line="400" w:lineRule="exact"/>
              <w:ind w:leftChars="27" w:left="65" w:rightChars="104" w:right="250"/>
              <w:jc w:val="center"/>
              <w:rPr>
                <w:rFonts w:ascii="標楷體" w:eastAsia="標楷體" w:hAnsi="標楷體"/>
                <w:b/>
                <w:bCs/>
                <w:sz w:val="28"/>
              </w:rPr>
            </w:pPr>
            <w:r w:rsidRPr="005534EB">
              <w:rPr>
                <w:rFonts w:ascii="標楷體" w:eastAsia="標楷體" w:hAnsi="標楷體" w:hint="eastAsia"/>
                <w:b/>
                <w:bCs/>
                <w:sz w:val="28"/>
              </w:rPr>
              <w:t>委員會</w:t>
            </w:r>
          </w:p>
        </w:tc>
        <w:tc>
          <w:tcPr>
            <w:tcW w:w="2977" w:type="dxa"/>
            <w:tcBorders>
              <w:top w:val="single" w:sz="4" w:space="0" w:color="auto"/>
              <w:left w:val="single" w:sz="4" w:space="0" w:color="auto"/>
              <w:bottom w:val="single" w:sz="4" w:space="0" w:color="auto"/>
              <w:right w:val="single" w:sz="4" w:space="0" w:color="auto"/>
            </w:tcBorders>
            <w:vAlign w:val="center"/>
          </w:tcPr>
          <w:p w:rsidR="0015104A" w:rsidRPr="005534EB" w:rsidRDefault="0015104A" w:rsidP="001F3F42">
            <w:pPr>
              <w:spacing w:line="400" w:lineRule="exact"/>
              <w:jc w:val="distribute"/>
              <w:rPr>
                <w:rFonts w:ascii="標楷體" w:eastAsia="標楷體" w:hAnsi="標楷體"/>
                <w:b/>
                <w:bCs/>
                <w:sz w:val="28"/>
              </w:rPr>
            </w:pPr>
            <w:r w:rsidRPr="005534EB">
              <w:rPr>
                <w:rFonts w:ascii="標楷體" w:eastAsia="標楷體" w:hAnsi="標楷體" w:hint="eastAsia"/>
                <w:b/>
                <w:bCs/>
                <w:sz w:val="28"/>
              </w:rPr>
              <w:t>處理情形</w:t>
            </w:r>
          </w:p>
        </w:tc>
      </w:tr>
      <w:tr w:rsidR="0015104A" w:rsidRPr="005534EB" w:rsidTr="001F3F42">
        <w:trPr>
          <w:trHeight w:val="567"/>
        </w:trPr>
        <w:tc>
          <w:tcPr>
            <w:tcW w:w="710" w:type="dxa"/>
            <w:tcBorders>
              <w:top w:val="single" w:sz="4" w:space="0" w:color="auto"/>
              <w:left w:val="single" w:sz="4" w:space="0" w:color="auto"/>
              <w:bottom w:val="single" w:sz="4" w:space="0" w:color="auto"/>
              <w:right w:val="single" w:sz="4" w:space="0" w:color="auto"/>
            </w:tcBorders>
            <w:vAlign w:val="center"/>
          </w:tcPr>
          <w:p w:rsidR="0015104A" w:rsidRPr="005534EB" w:rsidRDefault="0015104A" w:rsidP="006934DD">
            <w:pPr>
              <w:numPr>
                <w:ilvl w:val="0"/>
                <w:numId w:val="52"/>
              </w:numPr>
              <w:spacing w:line="400" w:lineRule="exact"/>
              <w:ind w:right="113"/>
              <w:jc w:val="center"/>
              <w:rPr>
                <w:rFonts w:ascii="標楷體" w:eastAsia="標楷體" w:hAnsi="標楷體"/>
                <w:sz w:val="32"/>
              </w:rPr>
            </w:pPr>
          </w:p>
        </w:tc>
        <w:tc>
          <w:tcPr>
            <w:tcW w:w="3654" w:type="dxa"/>
          </w:tcPr>
          <w:p w:rsidR="0015104A" w:rsidRPr="005534EB" w:rsidRDefault="0015104A" w:rsidP="001F3F42">
            <w:pPr>
              <w:spacing w:line="400" w:lineRule="exact"/>
              <w:jc w:val="both"/>
              <w:rPr>
                <w:rFonts w:ascii="標楷體" w:eastAsia="標楷體" w:hAnsi="標楷體"/>
                <w:color w:val="000000"/>
                <w:kern w:val="0"/>
                <w:sz w:val="28"/>
                <w:szCs w:val="28"/>
              </w:rPr>
            </w:pPr>
            <w:r w:rsidRPr="005534EB">
              <w:rPr>
                <w:rFonts w:ascii="標楷體" w:eastAsia="標楷體" w:hAnsi="標楷體" w:hint="eastAsia"/>
                <w:color w:val="000000"/>
                <w:kern w:val="0"/>
                <w:sz w:val="28"/>
                <w:szCs w:val="28"/>
              </w:rPr>
              <w:t>教育部函送財團法人大學入學考試中心基金會等10家財團法人109年度預算書及相關資料案。</w:t>
            </w:r>
          </w:p>
        </w:tc>
        <w:tc>
          <w:tcPr>
            <w:tcW w:w="1533" w:type="dxa"/>
          </w:tcPr>
          <w:p w:rsidR="0015104A" w:rsidRPr="005534EB" w:rsidRDefault="0015104A" w:rsidP="001F3F42">
            <w:pPr>
              <w:spacing w:line="400" w:lineRule="exact"/>
              <w:jc w:val="both"/>
              <w:rPr>
                <w:rFonts w:ascii="標楷體" w:eastAsia="標楷體" w:hAnsi="標楷體"/>
                <w:color w:val="000000"/>
                <w:kern w:val="0"/>
                <w:sz w:val="28"/>
                <w:szCs w:val="28"/>
              </w:rPr>
            </w:pPr>
            <w:r w:rsidRPr="005534EB">
              <w:rPr>
                <w:rFonts w:ascii="標楷體" w:eastAsia="標楷體" w:hAnsi="標楷體"/>
                <w:color w:val="000000"/>
                <w:kern w:val="0"/>
                <w:sz w:val="28"/>
                <w:szCs w:val="28"/>
              </w:rPr>
              <w:t>9-</w:t>
            </w:r>
            <w:r w:rsidRPr="005534EB">
              <w:rPr>
                <w:rFonts w:ascii="標楷體" w:eastAsia="標楷體" w:hAnsi="標楷體" w:hint="eastAsia"/>
                <w:color w:val="000000"/>
                <w:kern w:val="0"/>
                <w:sz w:val="28"/>
                <w:szCs w:val="28"/>
              </w:rPr>
              <w:t>8</w:t>
            </w:r>
            <w:r w:rsidRPr="005534EB">
              <w:rPr>
                <w:rFonts w:ascii="標楷體" w:eastAsia="標楷體" w:hAnsi="標楷體"/>
                <w:color w:val="000000"/>
                <w:kern w:val="0"/>
                <w:sz w:val="28"/>
                <w:szCs w:val="28"/>
              </w:rPr>
              <w:t>-</w:t>
            </w:r>
            <w:r w:rsidRPr="005534EB">
              <w:rPr>
                <w:rFonts w:ascii="標楷體" w:eastAsia="標楷體" w:hAnsi="標楷體" w:hint="eastAsia"/>
                <w:color w:val="000000"/>
                <w:kern w:val="0"/>
                <w:sz w:val="28"/>
                <w:szCs w:val="28"/>
              </w:rPr>
              <w:t>4</w:t>
            </w:r>
          </w:p>
          <w:p w:rsidR="0015104A" w:rsidRPr="005534EB" w:rsidRDefault="0015104A" w:rsidP="001F3F42">
            <w:pPr>
              <w:spacing w:line="400" w:lineRule="exact"/>
              <w:rPr>
                <w:rFonts w:ascii="標楷體" w:eastAsia="標楷體" w:hAnsi="標楷體"/>
                <w:color w:val="000000"/>
                <w:kern w:val="0"/>
                <w:sz w:val="28"/>
                <w:szCs w:val="28"/>
              </w:rPr>
            </w:pPr>
            <w:r w:rsidRPr="005534EB">
              <w:rPr>
                <w:rFonts w:ascii="標楷體" w:eastAsia="標楷體" w:hAnsi="標楷體"/>
                <w:color w:val="000000"/>
                <w:kern w:val="0"/>
                <w:sz w:val="28"/>
                <w:szCs w:val="28"/>
              </w:rPr>
              <w:t>(108</w:t>
            </w:r>
            <w:r w:rsidRPr="005534EB">
              <w:rPr>
                <w:rFonts w:ascii="標楷體" w:eastAsia="標楷體" w:hAnsi="標楷體" w:hint="eastAsia"/>
                <w:color w:val="000000"/>
                <w:kern w:val="0"/>
                <w:sz w:val="28"/>
                <w:szCs w:val="28"/>
              </w:rPr>
              <w:t>.10.4</w:t>
            </w:r>
            <w:r w:rsidRPr="005534EB">
              <w:rPr>
                <w:rFonts w:ascii="標楷體" w:eastAsia="標楷體" w:hAnsi="標楷體"/>
                <w:color w:val="000000"/>
                <w:kern w:val="0"/>
                <w:sz w:val="28"/>
                <w:szCs w:val="28"/>
              </w:rPr>
              <w:t>)</w:t>
            </w:r>
          </w:p>
        </w:tc>
        <w:tc>
          <w:tcPr>
            <w:tcW w:w="1333" w:type="dxa"/>
          </w:tcPr>
          <w:p w:rsidR="0015104A" w:rsidRPr="005534EB" w:rsidRDefault="0015104A" w:rsidP="001F3F42">
            <w:pPr>
              <w:rPr>
                <w:rFonts w:ascii="標楷體" w:eastAsia="標楷體" w:hAnsi="標楷體"/>
                <w:color w:val="000000"/>
                <w:kern w:val="0"/>
                <w:sz w:val="28"/>
                <w:szCs w:val="28"/>
              </w:rPr>
            </w:pPr>
          </w:p>
        </w:tc>
        <w:tc>
          <w:tcPr>
            <w:tcW w:w="2977" w:type="dxa"/>
          </w:tcPr>
          <w:p w:rsidR="0015104A" w:rsidRPr="005534EB" w:rsidRDefault="0015104A" w:rsidP="001F3F42">
            <w:pPr>
              <w:ind w:leftChars="7" w:left="252" w:hangingChars="98" w:hanging="235"/>
              <w:rPr>
                <w:rFonts w:ascii="標楷體" w:eastAsia="標楷體" w:hAnsi="標楷體"/>
                <w:color w:val="000000"/>
              </w:rPr>
            </w:pPr>
            <w:r w:rsidRPr="005534EB">
              <w:rPr>
                <w:rFonts w:ascii="標楷體" w:eastAsia="標楷體" w:hAnsi="標楷體" w:hint="eastAsia"/>
                <w:color w:val="000000"/>
              </w:rPr>
              <w:t>1</w:t>
            </w:r>
            <w:r w:rsidRPr="005534EB">
              <w:rPr>
                <w:rFonts w:ascii="標楷體" w:eastAsia="標楷體" w:hAnsi="標楷體"/>
                <w:color w:val="000000"/>
              </w:rPr>
              <w:t>.</w:t>
            </w:r>
            <w:r w:rsidRPr="005534EB">
              <w:rPr>
                <w:rFonts w:ascii="標楷體" w:eastAsia="標楷體" w:hAnsi="標楷體" w:hint="eastAsia"/>
                <w:color w:val="000000"/>
              </w:rPr>
              <w:t>逾年度預算執行期間，報請院會存查。</w:t>
            </w:r>
          </w:p>
          <w:p w:rsidR="0015104A" w:rsidRPr="005534EB" w:rsidRDefault="0015104A" w:rsidP="001F3F42">
            <w:pPr>
              <w:ind w:leftChars="6" w:left="240" w:hangingChars="94" w:hanging="226"/>
              <w:jc w:val="both"/>
              <w:rPr>
                <w:rFonts w:ascii="標楷體" w:eastAsia="標楷體" w:hAnsi="標楷體"/>
                <w:color w:val="000000"/>
              </w:rPr>
            </w:pPr>
            <w:r w:rsidRPr="005534EB">
              <w:rPr>
                <w:rFonts w:ascii="標楷體" w:eastAsia="標楷體" w:hAnsi="標楷體"/>
                <w:color w:val="000000"/>
              </w:rPr>
              <w:t>2.</w:t>
            </w:r>
            <w:r w:rsidRPr="005534EB">
              <w:rPr>
                <w:rFonts w:ascii="標楷體" w:eastAsia="標楷體" w:hAnsi="標楷體" w:hint="eastAsia"/>
                <w:color w:val="000000"/>
              </w:rPr>
              <w:t>第</w:t>
            </w:r>
            <w:r w:rsidRPr="005534EB">
              <w:rPr>
                <w:rFonts w:ascii="標楷體" w:eastAsia="標楷體" w:hAnsi="標楷體"/>
                <w:color w:val="000000"/>
              </w:rPr>
              <w:t>6</w:t>
            </w:r>
            <w:r w:rsidRPr="005534EB">
              <w:rPr>
                <w:rFonts w:ascii="標楷體" w:eastAsia="標楷體" w:hAnsi="標楷體" w:hint="eastAsia"/>
                <w:color w:val="000000"/>
              </w:rPr>
              <w:t>會期第</w:t>
            </w:r>
            <w:r w:rsidRPr="005534EB">
              <w:rPr>
                <w:rFonts w:ascii="標楷體" w:eastAsia="標楷體" w:hAnsi="標楷體"/>
                <w:color w:val="000000"/>
              </w:rPr>
              <w:t>4</w:t>
            </w:r>
            <w:r w:rsidRPr="005534EB">
              <w:rPr>
                <w:rFonts w:ascii="標楷體" w:eastAsia="標楷體" w:hAnsi="標楷體" w:hint="eastAsia"/>
                <w:color w:val="000000"/>
              </w:rPr>
              <w:t>次院會（11</w:t>
            </w:r>
            <w:r w:rsidRPr="005534EB">
              <w:rPr>
                <w:rFonts w:ascii="標楷體" w:eastAsia="標楷體" w:hAnsi="標楷體"/>
                <w:color w:val="000000"/>
              </w:rPr>
              <w:t>1</w:t>
            </w:r>
            <w:r w:rsidRPr="005534EB">
              <w:rPr>
                <w:rFonts w:ascii="標楷體" w:eastAsia="標楷體" w:hAnsi="標楷體" w:hint="eastAsia"/>
                <w:color w:val="000000"/>
              </w:rPr>
              <w:t>.1</w:t>
            </w:r>
            <w:r w:rsidRPr="005534EB">
              <w:rPr>
                <w:rFonts w:ascii="標楷體" w:eastAsia="標楷體" w:hAnsi="標楷體"/>
                <w:color w:val="000000"/>
              </w:rPr>
              <w:t>0</w:t>
            </w:r>
            <w:r w:rsidRPr="005534EB">
              <w:rPr>
                <w:rFonts w:ascii="標楷體" w:eastAsia="標楷體" w:hAnsi="標楷體" w:hint="eastAsia"/>
                <w:color w:val="000000"/>
              </w:rPr>
              <w:t>.</w:t>
            </w:r>
            <w:r w:rsidRPr="005534EB">
              <w:rPr>
                <w:rFonts w:ascii="標楷體" w:eastAsia="標楷體" w:hAnsi="標楷體"/>
                <w:color w:val="000000"/>
              </w:rPr>
              <w:t>14</w:t>
            </w:r>
            <w:r w:rsidRPr="005534EB">
              <w:rPr>
                <w:rFonts w:ascii="標楷體" w:eastAsia="標楷體" w:hAnsi="標楷體" w:hint="eastAsia"/>
                <w:color w:val="000000"/>
              </w:rPr>
              <w:t>）決定：准予備查。</w:t>
            </w:r>
          </w:p>
        </w:tc>
      </w:tr>
      <w:tr w:rsidR="0015104A" w:rsidRPr="005534EB" w:rsidTr="001F3F42">
        <w:trPr>
          <w:trHeight w:val="567"/>
        </w:trPr>
        <w:tc>
          <w:tcPr>
            <w:tcW w:w="710" w:type="dxa"/>
            <w:tcBorders>
              <w:top w:val="single" w:sz="4" w:space="0" w:color="auto"/>
              <w:left w:val="single" w:sz="4" w:space="0" w:color="auto"/>
              <w:bottom w:val="single" w:sz="4" w:space="0" w:color="auto"/>
              <w:right w:val="single" w:sz="4" w:space="0" w:color="auto"/>
            </w:tcBorders>
            <w:vAlign w:val="center"/>
          </w:tcPr>
          <w:p w:rsidR="0015104A" w:rsidRPr="005534EB" w:rsidRDefault="0015104A" w:rsidP="006934DD">
            <w:pPr>
              <w:numPr>
                <w:ilvl w:val="0"/>
                <w:numId w:val="52"/>
              </w:numPr>
              <w:spacing w:line="400" w:lineRule="exact"/>
              <w:ind w:right="113"/>
              <w:jc w:val="center"/>
              <w:rPr>
                <w:rFonts w:ascii="標楷體" w:eastAsia="標楷體" w:hAnsi="標楷體"/>
                <w:sz w:val="32"/>
              </w:rPr>
            </w:pPr>
          </w:p>
        </w:tc>
        <w:tc>
          <w:tcPr>
            <w:tcW w:w="3654" w:type="dxa"/>
          </w:tcPr>
          <w:p w:rsidR="0015104A" w:rsidRPr="005534EB" w:rsidRDefault="0015104A" w:rsidP="001F3F42">
            <w:pPr>
              <w:spacing w:line="400" w:lineRule="exact"/>
              <w:jc w:val="both"/>
              <w:rPr>
                <w:rFonts w:ascii="標楷體" w:eastAsia="標楷體" w:hAnsi="標楷體"/>
                <w:color w:val="000000"/>
                <w:kern w:val="0"/>
                <w:sz w:val="28"/>
                <w:szCs w:val="28"/>
              </w:rPr>
            </w:pPr>
            <w:r w:rsidRPr="005534EB">
              <w:rPr>
                <w:rFonts w:ascii="標楷體" w:eastAsia="標楷體" w:hAnsi="標楷體" w:hint="eastAsia"/>
                <w:color w:val="000000"/>
                <w:kern w:val="0"/>
                <w:sz w:val="28"/>
                <w:szCs w:val="28"/>
              </w:rPr>
              <w:t>科技部函送財團法人國家實驗研究院及國家同步輻射研究中心109年度預算書及相關資料案。</w:t>
            </w:r>
          </w:p>
        </w:tc>
        <w:tc>
          <w:tcPr>
            <w:tcW w:w="1533" w:type="dxa"/>
          </w:tcPr>
          <w:p w:rsidR="0015104A" w:rsidRPr="005534EB" w:rsidRDefault="0015104A" w:rsidP="001F3F42">
            <w:pPr>
              <w:spacing w:line="400" w:lineRule="exact"/>
              <w:jc w:val="both"/>
              <w:rPr>
                <w:rFonts w:ascii="標楷體" w:eastAsia="標楷體" w:hAnsi="標楷體"/>
                <w:color w:val="000000"/>
                <w:kern w:val="0"/>
                <w:sz w:val="28"/>
                <w:szCs w:val="28"/>
              </w:rPr>
            </w:pPr>
            <w:r w:rsidRPr="005534EB">
              <w:rPr>
                <w:rFonts w:ascii="標楷體" w:eastAsia="標楷體" w:hAnsi="標楷體"/>
                <w:color w:val="000000"/>
                <w:kern w:val="0"/>
                <w:sz w:val="28"/>
                <w:szCs w:val="28"/>
              </w:rPr>
              <w:t>9-</w:t>
            </w:r>
            <w:r w:rsidRPr="005534EB">
              <w:rPr>
                <w:rFonts w:ascii="標楷體" w:eastAsia="標楷體" w:hAnsi="標楷體" w:hint="eastAsia"/>
                <w:color w:val="000000"/>
                <w:kern w:val="0"/>
                <w:sz w:val="28"/>
                <w:szCs w:val="28"/>
              </w:rPr>
              <w:t>8</w:t>
            </w:r>
            <w:r w:rsidRPr="005534EB">
              <w:rPr>
                <w:rFonts w:ascii="標楷體" w:eastAsia="標楷體" w:hAnsi="標楷體"/>
                <w:color w:val="000000"/>
                <w:kern w:val="0"/>
                <w:sz w:val="28"/>
                <w:szCs w:val="28"/>
              </w:rPr>
              <w:t>-</w:t>
            </w:r>
            <w:r w:rsidRPr="005534EB">
              <w:rPr>
                <w:rFonts w:ascii="標楷體" w:eastAsia="標楷體" w:hAnsi="標楷體" w:hint="eastAsia"/>
                <w:color w:val="000000"/>
                <w:kern w:val="0"/>
                <w:sz w:val="28"/>
                <w:szCs w:val="28"/>
              </w:rPr>
              <w:t>4</w:t>
            </w:r>
          </w:p>
          <w:p w:rsidR="0015104A" w:rsidRPr="005534EB" w:rsidRDefault="0015104A" w:rsidP="001F3F42">
            <w:pPr>
              <w:spacing w:line="400" w:lineRule="exact"/>
              <w:rPr>
                <w:rFonts w:ascii="標楷體" w:eastAsia="標楷體" w:hAnsi="標楷體"/>
                <w:color w:val="000000"/>
                <w:kern w:val="0"/>
                <w:sz w:val="28"/>
                <w:szCs w:val="28"/>
              </w:rPr>
            </w:pPr>
            <w:r w:rsidRPr="005534EB">
              <w:rPr>
                <w:rFonts w:ascii="標楷體" w:eastAsia="標楷體" w:hAnsi="標楷體"/>
                <w:color w:val="000000"/>
                <w:kern w:val="0"/>
                <w:sz w:val="28"/>
                <w:szCs w:val="28"/>
              </w:rPr>
              <w:t>(108</w:t>
            </w:r>
            <w:r w:rsidRPr="005534EB">
              <w:rPr>
                <w:rFonts w:ascii="標楷體" w:eastAsia="標楷體" w:hAnsi="標楷體" w:hint="eastAsia"/>
                <w:color w:val="000000"/>
                <w:kern w:val="0"/>
                <w:sz w:val="28"/>
                <w:szCs w:val="28"/>
              </w:rPr>
              <w:t>.10.4</w:t>
            </w:r>
            <w:r w:rsidRPr="005534EB">
              <w:rPr>
                <w:rFonts w:ascii="標楷體" w:eastAsia="標楷體" w:hAnsi="標楷體"/>
                <w:color w:val="000000"/>
                <w:kern w:val="0"/>
                <w:sz w:val="28"/>
                <w:szCs w:val="28"/>
              </w:rPr>
              <w:t>)</w:t>
            </w:r>
          </w:p>
        </w:tc>
        <w:tc>
          <w:tcPr>
            <w:tcW w:w="1333" w:type="dxa"/>
          </w:tcPr>
          <w:p w:rsidR="0015104A" w:rsidRPr="005534EB" w:rsidRDefault="0015104A" w:rsidP="001F3F42">
            <w:pPr>
              <w:rPr>
                <w:rFonts w:ascii="標楷體" w:eastAsia="標楷體" w:hAnsi="標楷體"/>
                <w:color w:val="000000"/>
                <w:kern w:val="0"/>
                <w:sz w:val="28"/>
                <w:szCs w:val="28"/>
              </w:rPr>
            </w:pPr>
          </w:p>
        </w:tc>
        <w:tc>
          <w:tcPr>
            <w:tcW w:w="2977" w:type="dxa"/>
          </w:tcPr>
          <w:p w:rsidR="0015104A" w:rsidRPr="005534EB" w:rsidRDefault="0015104A" w:rsidP="001F3F42">
            <w:pPr>
              <w:ind w:leftChars="7" w:left="252" w:hangingChars="98" w:hanging="235"/>
              <w:rPr>
                <w:rFonts w:ascii="標楷體" w:eastAsia="標楷體" w:hAnsi="標楷體"/>
                <w:color w:val="000000"/>
              </w:rPr>
            </w:pPr>
            <w:r w:rsidRPr="005534EB">
              <w:rPr>
                <w:rFonts w:ascii="標楷體" w:eastAsia="標楷體" w:hAnsi="標楷體" w:hint="eastAsia"/>
                <w:color w:val="000000"/>
              </w:rPr>
              <w:t>1</w:t>
            </w:r>
            <w:r w:rsidRPr="005534EB">
              <w:rPr>
                <w:rFonts w:ascii="標楷體" w:eastAsia="標楷體" w:hAnsi="標楷體"/>
                <w:color w:val="000000"/>
              </w:rPr>
              <w:t>.</w:t>
            </w:r>
            <w:r w:rsidRPr="005534EB">
              <w:rPr>
                <w:rFonts w:ascii="標楷體" w:eastAsia="標楷體" w:hAnsi="標楷體" w:hint="eastAsia"/>
                <w:color w:val="000000"/>
              </w:rPr>
              <w:t>逾年度預算執行期間，報請院會存查。</w:t>
            </w:r>
          </w:p>
          <w:p w:rsidR="0015104A" w:rsidRPr="005534EB" w:rsidRDefault="0015104A" w:rsidP="001F3F42">
            <w:pPr>
              <w:ind w:leftChars="11" w:left="237" w:hangingChars="88" w:hanging="211"/>
              <w:jc w:val="both"/>
              <w:rPr>
                <w:rFonts w:ascii="標楷體" w:eastAsia="標楷體" w:hAnsi="標楷體"/>
                <w:color w:val="000000"/>
              </w:rPr>
            </w:pPr>
            <w:r w:rsidRPr="005534EB">
              <w:rPr>
                <w:rFonts w:ascii="標楷體" w:eastAsia="標楷體" w:hAnsi="標楷體"/>
                <w:color w:val="000000"/>
              </w:rPr>
              <w:t>2.</w:t>
            </w:r>
            <w:r w:rsidRPr="005534EB">
              <w:rPr>
                <w:rFonts w:ascii="標楷體" w:eastAsia="標楷體" w:hAnsi="標楷體" w:hint="eastAsia"/>
                <w:color w:val="000000"/>
              </w:rPr>
              <w:t>第</w:t>
            </w:r>
            <w:r w:rsidRPr="005534EB">
              <w:rPr>
                <w:rFonts w:ascii="標楷體" w:eastAsia="標楷體" w:hAnsi="標楷體"/>
                <w:color w:val="000000"/>
              </w:rPr>
              <w:t>6</w:t>
            </w:r>
            <w:r w:rsidRPr="005534EB">
              <w:rPr>
                <w:rFonts w:ascii="標楷體" w:eastAsia="標楷體" w:hAnsi="標楷體" w:hint="eastAsia"/>
                <w:color w:val="000000"/>
              </w:rPr>
              <w:t>會期第</w:t>
            </w:r>
            <w:r w:rsidRPr="005534EB">
              <w:rPr>
                <w:rFonts w:ascii="標楷體" w:eastAsia="標楷體" w:hAnsi="標楷體"/>
                <w:color w:val="000000"/>
              </w:rPr>
              <w:t>4</w:t>
            </w:r>
            <w:r w:rsidRPr="005534EB">
              <w:rPr>
                <w:rFonts w:ascii="標楷體" w:eastAsia="標楷體" w:hAnsi="標楷體" w:hint="eastAsia"/>
                <w:color w:val="000000"/>
              </w:rPr>
              <w:t>次院會（11</w:t>
            </w:r>
            <w:r w:rsidRPr="005534EB">
              <w:rPr>
                <w:rFonts w:ascii="標楷體" w:eastAsia="標楷體" w:hAnsi="標楷體"/>
                <w:color w:val="000000"/>
              </w:rPr>
              <w:t>1</w:t>
            </w:r>
            <w:r w:rsidRPr="005534EB">
              <w:rPr>
                <w:rFonts w:ascii="標楷體" w:eastAsia="標楷體" w:hAnsi="標楷體" w:hint="eastAsia"/>
                <w:color w:val="000000"/>
              </w:rPr>
              <w:t>.1</w:t>
            </w:r>
            <w:r w:rsidRPr="005534EB">
              <w:rPr>
                <w:rFonts w:ascii="標楷體" w:eastAsia="標楷體" w:hAnsi="標楷體"/>
                <w:color w:val="000000"/>
              </w:rPr>
              <w:t>0</w:t>
            </w:r>
            <w:r w:rsidRPr="005534EB">
              <w:rPr>
                <w:rFonts w:ascii="標楷體" w:eastAsia="標楷體" w:hAnsi="標楷體" w:hint="eastAsia"/>
                <w:color w:val="000000"/>
              </w:rPr>
              <w:t>.</w:t>
            </w:r>
            <w:r w:rsidRPr="005534EB">
              <w:rPr>
                <w:rFonts w:ascii="標楷體" w:eastAsia="標楷體" w:hAnsi="標楷體"/>
                <w:color w:val="000000"/>
              </w:rPr>
              <w:t>14</w:t>
            </w:r>
            <w:r w:rsidRPr="005534EB">
              <w:rPr>
                <w:rFonts w:ascii="標楷體" w:eastAsia="標楷體" w:hAnsi="標楷體" w:hint="eastAsia"/>
                <w:color w:val="000000"/>
              </w:rPr>
              <w:t>）決定：准予備查。</w:t>
            </w:r>
          </w:p>
        </w:tc>
      </w:tr>
      <w:tr w:rsidR="0015104A" w:rsidRPr="005534EB" w:rsidTr="001F3F42">
        <w:trPr>
          <w:trHeight w:val="567"/>
        </w:trPr>
        <w:tc>
          <w:tcPr>
            <w:tcW w:w="710" w:type="dxa"/>
            <w:tcBorders>
              <w:top w:val="single" w:sz="4" w:space="0" w:color="auto"/>
              <w:left w:val="single" w:sz="4" w:space="0" w:color="auto"/>
              <w:bottom w:val="single" w:sz="4" w:space="0" w:color="auto"/>
              <w:right w:val="single" w:sz="4" w:space="0" w:color="auto"/>
            </w:tcBorders>
            <w:vAlign w:val="center"/>
          </w:tcPr>
          <w:p w:rsidR="0015104A" w:rsidRPr="005534EB" w:rsidRDefault="0015104A" w:rsidP="006934DD">
            <w:pPr>
              <w:numPr>
                <w:ilvl w:val="0"/>
                <w:numId w:val="52"/>
              </w:numPr>
              <w:spacing w:line="400" w:lineRule="exact"/>
              <w:ind w:right="113"/>
              <w:jc w:val="center"/>
              <w:rPr>
                <w:rFonts w:ascii="標楷體" w:eastAsia="標楷體" w:hAnsi="標楷體"/>
                <w:sz w:val="32"/>
              </w:rPr>
            </w:pPr>
          </w:p>
        </w:tc>
        <w:tc>
          <w:tcPr>
            <w:tcW w:w="3654" w:type="dxa"/>
          </w:tcPr>
          <w:p w:rsidR="0015104A" w:rsidRPr="005534EB" w:rsidRDefault="0015104A" w:rsidP="001F3F42">
            <w:pPr>
              <w:spacing w:line="400" w:lineRule="exact"/>
              <w:jc w:val="both"/>
              <w:rPr>
                <w:rFonts w:ascii="標楷體" w:eastAsia="標楷體" w:hAnsi="標楷體"/>
                <w:color w:val="000000"/>
                <w:kern w:val="0"/>
                <w:sz w:val="28"/>
                <w:szCs w:val="28"/>
              </w:rPr>
            </w:pPr>
            <w:r w:rsidRPr="005534EB">
              <w:rPr>
                <w:rFonts w:ascii="標楷體" w:eastAsia="標楷體" w:hAnsi="標楷體" w:hint="eastAsia"/>
                <w:color w:val="000000"/>
                <w:kern w:val="0"/>
                <w:sz w:val="28"/>
                <w:szCs w:val="28"/>
              </w:rPr>
              <w:t>文化部函送財團法人國家文化藝術基金會等13家財團法</w:t>
            </w:r>
            <w:r w:rsidRPr="005534EB">
              <w:rPr>
                <w:rFonts w:ascii="標楷體" w:eastAsia="標楷體" w:hAnsi="標楷體" w:hint="eastAsia"/>
                <w:color w:val="000000"/>
                <w:kern w:val="0"/>
                <w:sz w:val="28"/>
                <w:szCs w:val="28"/>
              </w:rPr>
              <w:lastRenderedPageBreak/>
              <w:t>人109年度預算書及相關資料案。</w:t>
            </w:r>
          </w:p>
        </w:tc>
        <w:tc>
          <w:tcPr>
            <w:tcW w:w="1533" w:type="dxa"/>
          </w:tcPr>
          <w:p w:rsidR="0015104A" w:rsidRPr="005534EB" w:rsidRDefault="0015104A" w:rsidP="001F3F42">
            <w:pPr>
              <w:spacing w:line="400" w:lineRule="exact"/>
              <w:jc w:val="both"/>
              <w:rPr>
                <w:rFonts w:ascii="標楷體" w:eastAsia="標楷體" w:hAnsi="標楷體"/>
                <w:color w:val="000000"/>
                <w:kern w:val="0"/>
                <w:sz w:val="28"/>
                <w:szCs w:val="28"/>
              </w:rPr>
            </w:pPr>
            <w:r w:rsidRPr="005534EB">
              <w:rPr>
                <w:rFonts w:ascii="標楷體" w:eastAsia="標楷體" w:hAnsi="標楷體"/>
                <w:color w:val="000000"/>
                <w:kern w:val="0"/>
                <w:sz w:val="28"/>
                <w:szCs w:val="28"/>
              </w:rPr>
              <w:lastRenderedPageBreak/>
              <w:t>9-</w:t>
            </w:r>
            <w:r w:rsidRPr="005534EB">
              <w:rPr>
                <w:rFonts w:ascii="標楷體" w:eastAsia="標楷體" w:hAnsi="標楷體" w:hint="eastAsia"/>
                <w:color w:val="000000"/>
                <w:kern w:val="0"/>
                <w:sz w:val="28"/>
                <w:szCs w:val="28"/>
              </w:rPr>
              <w:t>8</w:t>
            </w:r>
            <w:r w:rsidRPr="005534EB">
              <w:rPr>
                <w:rFonts w:ascii="標楷體" w:eastAsia="標楷體" w:hAnsi="標楷體"/>
                <w:color w:val="000000"/>
                <w:kern w:val="0"/>
                <w:sz w:val="28"/>
                <w:szCs w:val="28"/>
              </w:rPr>
              <w:t>-</w:t>
            </w:r>
            <w:r w:rsidRPr="005534EB">
              <w:rPr>
                <w:rFonts w:ascii="標楷體" w:eastAsia="標楷體" w:hAnsi="標楷體" w:hint="eastAsia"/>
                <w:color w:val="000000"/>
                <w:kern w:val="0"/>
                <w:sz w:val="28"/>
                <w:szCs w:val="28"/>
              </w:rPr>
              <w:t>4</w:t>
            </w:r>
          </w:p>
          <w:p w:rsidR="0015104A" w:rsidRPr="005534EB" w:rsidRDefault="0015104A" w:rsidP="001F3F42">
            <w:pPr>
              <w:spacing w:line="400" w:lineRule="exact"/>
              <w:rPr>
                <w:rFonts w:ascii="標楷體" w:eastAsia="標楷體" w:hAnsi="標楷體"/>
                <w:color w:val="000000"/>
                <w:kern w:val="0"/>
                <w:sz w:val="28"/>
                <w:szCs w:val="28"/>
              </w:rPr>
            </w:pPr>
            <w:r w:rsidRPr="005534EB">
              <w:rPr>
                <w:rFonts w:ascii="標楷體" w:eastAsia="標楷體" w:hAnsi="標楷體"/>
                <w:color w:val="000000"/>
                <w:kern w:val="0"/>
                <w:sz w:val="28"/>
                <w:szCs w:val="28"/>
              </w:rPr>
              <w:t>(108</w:t>
            </w:r>
            <w:r w:rsidRPr="005534EB">
              <w:rPr>
                <w:rFonts w:ascii="標楷體" w:eastAsia="標楷體" w:hAnsi="標楷體" w:hint="eastAsia"/>
                <w:color w:val="000000"/>
                <w:kern w:val="0"/>
                <w:sz w:val="28"/>
                <w:szCs w:val="28"/>
              </w:rPr>
              <w:t>.10.4</w:t>
            </w:r>
            <w:r w:rsidRPr="005534EB">
              <w:rPr>
                <w:rFonts w:ascii="標楷體" w:eastAsia="標楷體" w:hAnsi="標楷體"/>
                <w:color w:val="000000"/>
                <w:kern w:val="0"/>
                <w:sz w:val="28"/>
                <w:szCs w:val="28"/>
              </w:rPr>
              <w:t>)</w:t>
            </w:r>
          </w:p>
        </w:tc>
        <w:tc>
          <w:tcPr>
            <w:tcW w:w="1333" w:type="dxa"/>
          </w:tcPr>
          <w:p w:rsidR="0015104A" w:rsidRPr="005534EB" w:rsidRDefault="0015104A" w:rsidP="001F3F42">
            <w:pPr>
              <w:rPr>
                <w:rFonts w:ascii="標楷體" w:eastAsia="標楷體" w:hAnsi="標楷體"/>
                <w:color w:val="000000"/>
                <w:kern w:val="0"/>
                <w:sz w:val="28"/>
                <w:szCs w:val="28"/>
              </w:rPr>
            </w:pPr>
          </w:p>
        </w:tc>
        <w:tc>
          <w:tcPr>
            <w:tcW w:w="2977" w:type="dxa"/>
          </w:tcPr>
          <w:p w:rsidR="0015104A" w:rsidRPr="005534EB" w:rsidRDefault="0015104A" w:rsidP="001F3F42">
            <w:pPr>
              <w:adjustRightInd w:val="0"/>
              <w:snapToGrid w:val="0"/>
              <w:spacing w:line="240" w:lineRule="atLeast"/>
              <w:ind w:left="240" w:hangingChars="100" w:hanging="240"/>
              <w:rPr>
                <w:rFonts w:ascii="標楷體" w:eastAsia="標楷體" w:hAnsi="標楷體"/>
                <w:color w:val="000000"/>
              </w:rPr>
            </w:pPr>
            <w:r>
              <w:rPr>
                <w:rFonts w:ascii="標楷體" w:eastAsia="標楷體" w:hAnsi="標楷體" w:hint="eastAsia"/>
                <w:color w:val="000000"/>
              </w:rPr>
              <w:t>1</w:t>
            </w:r>
            <w:r>
              <w:rPr>
                <w:rFonts w:ascii="標楷體" w:eastAsia="標楷體" w:hAnsi="標楷體"/>
                <w:color w:val="000000"/>
              </w:rPr>
              <w:t>.</w:t>
            </w:r>
            <w:r w:rsidRPr="005534EB">
              <w:rPr>
                <w:rFonts w:ascii="標楷體" w:eastAsia="標楷體" w:hAnsi="標楷體" w:hint="eastAsia"/>
                <w:color w:val="000000"/>
              </w:rPr>
              <w:t>第9屆第8會期第6次全體委員會議</w:t>
            </w:r>
            <w:r>
              <w:rPr>
                <w:rFonts w:ascii="標楷體" w:eastAsia="標楷體" w:hAnsi="標楷體" w:hint="eastAsia"/>
                <w:color w:val="000000"/>
              </w:rPr>
              <w:t>(</w:t>
            </w:r>
            <w:r w:rsidRPr="005534EB">
              <w:rPr>
                <w:rFonts w:ascii="標楷體" w:eastAsia="標楷體" w:hAnsi="標楷體" w:hint="eastAsia"/>
                <w:color w:val="000000"/>
              </w:rPr>
              <w:t>108.10.23）決議：</w:t>
            </w:r>
            <w:r w:rsidRPr="005534EB">
              <w:rPr>
                <w:rFonts w:ascii="標楷體" w:eastAsia="標楷體" w:hAnsi="標楷體" w:hint="eastAsia"/>
                <w:bCs/>
                <w:color w:val="000000"/>
              </w:rPr>
              <w:t>報告及詢答完畢，</w:t>
            </w:r>
            <w:r w:rsidRPr="005534EB">
              <w:rPr>
                <w:rFonts w:ascii="標楷體" w:eastAsia="標楷體" w:hAnsi="標楷體" w:hint="eastAsia"/>
                <w:color w:val="000000"/>
              </w:rPr>
              <w:lastRenderedPageBreak/>
              <w:t>另定期繼續審查。</w:t>
            </w:r>
          </w:p>
          <w:p w:rsidR="0015104A" w:rsidRPr="005534EB" w:rsidRDefault="0015104A" w:rsidP="001F3F42">
            <w:pPr>
              <w:adjustRightInd w:val="0"/>
              <w:snapToGrid w:val="0"/>
              <w:spacing w:line="240" w:lineRule="atLeast"/>
              <w:ind w:left="240" w:hangingChars="100" w:hanging="240"/>
              <w:rPr>
                <w:rFonts w:ascii="標楷體" w:eastAsia="標楷體" w:hAnsi="標楷體"/>
                <w:color w:val="000000"/>
              </w:rPr>
            </w:pPr>
            <w:r>
              <w:rPr>
                <w:rFonts w:ascii="標楷體" w:eastAsia="標楷體" w:hAnsi="標楷體" w:hint="eastAsia"/>
                <w:color w:val="000000"/>
              </w:rPr>
              <w:t>2</w:t>
            </w:r>
            <w:r>
              <w:rPr>
                <w:rFonts w:ascii="標楷體" w:eastAsia="標楷體" w:hAnsi="標楷體"/>
                <w:color w:val="000000"/>
              </w:rPr>
              <w:t>.</w:t>
            </w:r>
            <w:r w:rsidRPr="005534EB">
              <w:rPr>
                <w:rFonts w:ascii="標楷體" w:eastAsia="標楷體" w:hAnsi="標楷體" w:hint="eastAsia"/>
                <w:color w:val="000000"/>
              </w:rPr>
              <w:t>逾年度預算執行期間，報請院會存查。</w:t>
            </w:r>
          </w:p>
          <w:p w:rsidR="0015104A" w:rsidRPr="005534EB" w:rsidRDefault="0015104A" w:rsidP="001F3F42">
            <w:pPr>
              <w:adjustRightInd w:val="0"/>
              <w:snapToGrid w:val="0"/>
              <w:spacing w:line="240" w:lineRule="atLeast"/>
              <w:ind w:left="240" w:hangingChars="100" w:hanging="240"/>
              <w:rPr>
                <w:rFonts w:ascii="標楷體" w:eastAsia="標楷體" w:hAnsi="標楷體"/>
                <w:color w:val="000000"/>
              </w:rPr>
            </w:pPr>
            <w:r>
              <w:rPr>
                <w:rFonts w:ascii="標楷體" w:eastAsia="標楷體" w:hAnsi="標楷體" w:hint="eastAsia"/>
                <w:color w:val="000000"/>
              </w:rPr>
              <w:t>3</w:t>
            </w:r>
            <w:r>
              <w:rPr>
                <w:rFonts w:ascii="標楷體" w:eastAsia="標楷體" w:hAnsi="標楷體"/>
                <w:color w:val="000000"/>
              </w:rPr>
              <w:t>.</w:t>
            </w:r>
            <w:r w:rsidRPr="004321BC">
              <w:rPr>
                <w:rFonts w:ascii="標楷體" w:eastAsia="標楷體" w:hAnsi="標楷體" w:hint="eastAsia"/>
                <w:color w:val="000000"/>
                <w:spacing w:val="26"/>
              </w:rPr>
              <w:t>第</w:t>
            </w:r>
            <w:r w:rsidRPr="004321BC">
              <w:rPr>
                <w:rFonts w:ascii="標楷體" w:eastAsia="標楷體" w:hAnsi="標楷體"/>
                <w:color w:val="000000"/>
                <w:spacing w:val="26"/>
              </w:rPr>
              <w:t>6</w:t>
            </w:r>
            <w:r w:rsidRPr="004321BC">
              <w:rPr>
                <w:rFonts w:ascii="標楷體" w:eastAsia="標楷體" w:hAnsi="標楷體" w:hint="eastAsia"/>
                <w:color w:val="000000"/>
                <w:spacing w:val="26"/>
              </w:rPr>
              <w:t>會期第</w:t>
            </w:r>
            <w:r w:rsidRPr="004321BC">
              <w:rPr>
                <w:rFonts w:ascii="標楷體" w:eastAsia="標楷體" w:hAnsi="標楷體"/>
                <w:color w:val="000000"/>
                <w:spacing w:val="26"/>
              </w:rPr>
              <w:t>4</w:t>
            </w:r>
            <w:r w:rsidRPr="004321BC">
              <w:rPr>
                <w:rFonts w:ascii="標楷體" w:eastAsia="標楷體" w:hAnsi="標楷體" w:hint="eastAsia"/>
                <w:color w:val="000000"/>
                <w:spacing w:val="26"/>
              </w:rPr>
              <w:t>次院會</w:t>
            </w:r>
            <w:r w:rsidRPr="005534EB">
              <w:rPr>
                <w:rFonts w:ascii="標楷體" w:eastAsia="標楷體" w:hAnsi="標楷體" w:hint="eastAsia"/>
                <w:color w:val="000000"/>
              </w:rPr>
              <w:t>（11</w:t>
            </w:r>
            <w:r w:rsidRPr="005534EB">
              <w:rPr>
                <w:rFonts w:ascii="標楷體" w:eastAsia="標楷體" w:hAnsi="標楷體"/>
                <w:color w:val="000000"/>
              </w:rPr>
              <w:t>1</w:t>
            </w:r>
            <w:r w:rsidRPr="005534EB">
              <w:rPr>
                <w:rFonts w:ascii="標楷體" w:eastAsia="標楷體" w:hAnsi="標楷體" w:hint="eastAsia"/>
                <w:color w:val="000000"/>
              </w:rPr>
              <w:t>.1</w:t>
            </w:r>
            <w:r w:rsidRPr="005534EB">
              <w:rPr>
                <w:rFonts w:ascii="標楷體" w:eastAsia="標楷體" w:hAnsi="標楷體"/>
                <w:color w:val="000000"/>
              </w:rPr>
              <w:t>0</w:t>
            </w:r>
            <w:r w:rsidRPr="005534EB">
              <w:rPr>
                <w:rFonts w:ascii="標楷體" w:eastAsia="標楷體" w:hAnsi="標楷體" w:hint="eastAsia"/>
                <w:color w:val="000000"/>
              </w:rPr>
              <w:t>.</w:t>
            </w:r>
            <w:r w:rsidRPr="005534EB">
              <w:rPr>
                <w:rFonts w:ascii="標楷體" w:eastAsia="標楷體" w:hAnsi="標楷體"/>
                <w:color w:val="000000"/>
              </w:rPr>
              <w:t>14</w:t>
            </w:r>
            <w:r w:rsidRPr="005534EB">
              <w:rPr>
                <w:rFonts w:ascii="標楷體" w:eastAsia="標楷體" w:hAnsi="標楷體" w:hint="eastAsia"/>
                <w:color w:val="000000"/>
              </w:rPr>
              <w:t>）決定：准予備查。</w:t>
            </w:r>
          </w:p>
        </w:tc>
      </w:tr>
      <w:tr w:rsidR="0015104A" w:rsidRPr="005534EB" w:rsidTr="001F3F42">
        <w:trPr>
          <w:trHeight w:val="567"/>
        </w:trPr>
        <w:tc>
          <w:tcPr>
            <w:tcW w:w="710" w:type="dxa"/>
            <w:tcBorders>
              <w:top w:val="single" w:sz="4" w:space="0" w:color="auto"/>
              <w:left w:val="single" w:sz="4" w:space="0" w:color="auto"/>
              <w:bottom w:val="single" w:sz="4" w:space="0" w:color="auto"/>
              <w:right w:val="single" w:sz="4" w:space="0" w:color="auto"/>
            </w:tcBorders>
            <w:vAlign w:val="center"/>
          </w:tcPr>
          <w:p w:rsidR="0015104A" w:rsidRPr="005534EB" w:rsidRDefault="0015104A" w:rsidP="006934DD">
            <w:pPr>
              <w:numPr>
                <w:ilvl w:val="0"/>
                <w:numId w:val="52"/>
              </w:numPr>
              <w:spacing w:line="400" w:lineRule="exact"/>
              <w:ind w:right="113"/>
              <w:jc w:val="center"/>
              <w:rPr>
                <w:rFonts w:ascii="標楷體" w:eastAsia="標楷體" w:hAnsi="標楷體"/>
                <w:sz w:val="32"/>
              </w:rPr>
            </w:pPr>
          </w:p>
        </w:tc>
        <w:tc>
          <w:tcPr>
            <w:tcW w:w="3654" w:type="dxa"/>
          </w:tcPr>
          <w:p w:rsidR="0015104A" w:rsidRPr="005534EB" w:rsidRDefault="0015104A" w:rsidP="001F3F42">
            <w:pPr>
              <w:spacing w:line="400" w:lineRule="exact"/>
              <w:jc w:val="both"/>
              <w:rPr>
                <w:rFonts w:ascii="標楷體" w:eastAsia="標楷體" w:hAnsi="標楷體"/>
                <w:color w:val="000000"/>
                <w:kern w:val="0"/>
                <w:sz w:val="28"/>
                <w:szCs w:val="28"/>
              </w:rPr>
            </w:pPr>
            <w:r w:rsidRPr="005534EB">
              <w:rPr>
                <w:rFonts w:ascii="標楷體" w:eastAsia="標楷體" w:hAnsi="標楷體" w:hint="eastAsia"/>
                <w:color w:val="000000"/>
                <w:kern w:val="0"/>
                <w:sz w:val="28"/>
                <w:szCs w:val="28"/>
              </w:rPr>
              <w:t>行政院原子能委員會函送財團法人中華民國輻射防護協會及財團法人核能資訊中心109年度預算書案。</w:t>
            </w:r>
          </w:p>
        </w:tc>
        <w:tc>
          <w:tcPr>
            <w:tcW w:w="1533" w:type="dxa"/>
          </w:tcPr>
          <w:p w:rsidR="0015104A" w:rsidRPr="005534EB" w:rsidRDefault="0015104A" w:rsidP="001F3F42">
            <w:pPr>
              <w:spacing w:line="400" w:lineRule="exact"/>
              <w:jc w:val="both"/>
              <w:rPr>
                <w:rFonts w:ascii="標楷體" w:eastAsia="標楷體" w:hAnsi="標楷體"/>
                <w:color w:val="000000"/>
                <w:kern w:val="0"/>
                <w:sz w:val="28"/>
                <w:szCs w:val="28"/>
              </w:rPr>
            </w:pPr>
            <w:r w:rsidRPr="005534EB">
              <w:rPr>
                <w:rFonts w:ascii="標楷體" w:eastAsia="標楷體" w:hAnsi="標楷體"/>
                <w:color w:val="000000"/>
                <w:kern w:val="0"/>
                <w:sz w:val="28"/>
                <w:szCs w:val="28"/>
              </w:rPr>
              <w:t>9-</w:t>
            </w:r>
            <w:r w:rsidRPr="005534EB">
              <w:rPr>
                <w:rFonts w:ascii="標楷體" w:eastAsia="標楷體" w:hAnsi="標楷體" w:hint="eastAsia"/>
                <w:color w:val="000000"/>
                <w:kern w:val="0"/>
                <w:sz w:val="28"/>
                <w:szCs w:val="28"/>
              </w:rPr>
              <w:t>8</w:t>
            </w:r>
            <w:r w:rsidRPr="005534EB">
              <w:rPr>
                <w:rFonts w:ascii="標楷體" w:eastAsia="標楷體" w:hAnsi="標楷體"/>
                <w:color w:val="000000"/>
                <w:kern w:val="0"/>
                <w:sz w:val="28"/>
                <w:szCs w:val="28"/>
              </w:rPr>
              <w:t>-</w:t>
            </w:r>
            <w:r w:rsidRPr="005534EB">
              <w:rPr>
                <w:rFonts w:ascii="標楷體" w:eastAsia="標楷體" w:hAnsi="標楷體" w:hint="eastAsia"/>
                <w:color w:val="000000"/>
                <w:kern w:val="0"/>
                <w:sz w:val="28"/>
                <w:szCs w:val="28"/>
              </w:rPr>
              <w:t>4</w:t>
            </w:r>
          </w:p>
          <w:p w:rsidR="0015104A" w:rsidRPr="005534EB" w:rsidRDefault="0015104A" w:rsidP="001F3F42">
            <w:pPr>
              <w:spacing w:line="400" w:lineRule="exact"/>
              <w:rPr>
                <w:rFonts w:ascii="標楷體" w:eastAsia="標楷體" w:hAnsi="標楷體"/>
                <w:color w:val="000000"/>
                <w:kern w:val="0"/>
                <w:sz w:val="28"/>
                <w:szCs w:val="28"/>
              </w:rPr>
            </w:pPr>
            <w:r w:rsidRPr="005534EB">
              <w:rPr>
                <w:rFonts w:ascii="標楷體" w:eastAsia="標楷體" w:hAnsi="標楷體"/>
                <w:color w:val="000000"/>
                <w:kern w:val="0"/>
                <w:sz w:val="28"/>
                <w:szCs w:val="28"/>
              </w:rPr>
              <w:t>(108</w:t>
            </w:r>
            <w:r w:rsidRPr="005534EB">
              <w:rPr>
                <w:rFonts w:ascii="標楷體" w:eastAsia="標楷體" w:hAnsi="標楷體" w:hint="eastAsia"/>
                <w:color w:val="000000"/>
                <w:kern w:val="0"/>
                <w:sz w:val="28"/>
                <w:szCs w:val="28"/>
              </w:rPr>
              <w:t>.10.4</w:t>
            </w:r>
            <w:r w:rsidRPr="005534EB">
              <w:rPr>
                <w:rFonts w:ascii="標楷體" w:eastAsia="標楷體" w:hAnsi="標楷體"/>
                <w:color w:val="000000"/>
                <w:kern w:val="0"/>
                <w:sz w:val="28"/>
                <w:szCs w:val="28"/>
              </w:rPr>
              <w:t>)</w:t>
            </w:r>
          </w:p>
        </w:tc>
        <w:tc>
          <w:tcPr>
            <w:tcW w:w="1333" w:type="dxa"/>
          </w:tcPr>
          <w:p w:rsidR="0015104A" w:rsidRPr="005534EB" w:rsidRDefault="0015104A" w:rsidP="001F3F42">
            <w:pPr>
              <w:rPr>
                <w:rFonts w:ascii="標楷體" w:eastAsia="標楷體" w:hAnsi="標楷體"/>
                <w:color w:val="000000"/>
                <w:kern w:val="0"/>
                <w:sz w:val="28"/>
                <w:szCs w:val="28"/>
              </w:rPr>
            </w:pPr>
          </w:p>
        </w:tc>
        <w:tc>
          <w:tcPr>
            <w:tcW w:w="2977" w:type="dxa"/>
          </w:tcPr>
          <w:p w:rsidR="0015104A" w:rsidRPr="005534EB" w:rsidRDefault="0015104A" w:rsidP="001F3F42">
            <w:pPr>
              <w:ind w:leftChars="7" w:left="252" w:hangingChars="98" w:hanging="235"/>
              <w:rPr>
                <w:rFonts w:ascii="標楷體" w:eastAsia="標楷體" w:hAnsi="標楷體"/>
                <w:color w:val="000000"/>
              </w:rPr>
            </w:pPr>
            <w:r w:rsidRPr="005534EB">
              <w:rPr>
                <w:rFonts w:ascii="標楷體" w:eastAsia="標楷體" w:hAnsi="標楷體" w:hint="eastAsia"/>
                <w:color w:val="000000"/>
              </w:rPr>
              <w:t>1</w:t>
            </w:r>
            <w:r w:rsidRPr="005534EB">
              <w:rPr>
                <w:rFonts w:ascii="標楷體" w:eastAsia="標楷體" w:hAnsi="標楷體"/>
                <w:color w:val="000000"/>
              </w:rPr>
              <w:t>.</w:t>
            </w:r>
            <w:r w:rsidRPr="005534EB">
              <w:rPr>
                <w:rFonts w:ascii="標楷體" w:eastAsia="標楷體" w:hAnsi="標楷體" w:hint="eastAsia"/>
                <w:color w:val="000000"/>
              </w:rPr>
              <w:t>逾年度預算執行期間，報請院會存查。</w:t>
            </w:r>
          </w:p>
          <w:p w:rsidR="0015104A" w:rsidRPr="005534EB" w:rsidRDefault="0015104A" w:rsidP="001F3F42">
            <w:pPr>
              <w:ind w:leftChars="8" w:left="240" w:hangingChars="92" w:hanging="221"/>
              <w:jc w:val="both"/>
              <w:rPr>
                <w:rFonts w:ascii="標楷體" w:eastAsia="標楷體" w:hAnsi="標楷體"/>
                <w:color w:val="000000"/>
                <w:kern w:val="0"/>
                <w:sz w:val="28"/>
                <w:szCs w:val="28"/>
              </w:rPr>
            </w:pPr>
            <w:r w:rsidRPr="005534EB">
              <w:rPr>
                <w:rFonts w:ascii="標楷體" w:eastAsia="標楷體" w:hAnsi="標楷體"/>
                <w:color w:val="000000"/>
              </w:rPr>
              <w:t>2.</w:t>
            </w:r>
            <w:r w:rsidRPr="005534EB">
              <w:rPr>
                <w:rFonts w:ascii="標楷體" w:eastAsia="標楷體" w:hAnsi="標楷體" w:hint="eastAsia"/>
                <w:color w:val="000000"/>
              </w:rPr>
              <w:t>第6會期第4次院會（111.10.14）決定：准予備查。</w:t>
            </w:r>
            <w:r w:rsidRPr="005534EB">
              <w:rPr>
                <w:rFonts w:ascii="標楷體" w:eastAsia="標楷體" w:hAnsi="標楷體" w:hint="eastAsia"/>
                <w:color w:val="000000"/>
                <w:kern w:val="0"/>
                <w:sz w:val="28"/>
                <w:szCs w:val="28"/>
              </w:rPr>
              <w:t xml:space="preserve"> </w:t>
            </w:r>
          </w:p>
        </w:tc>
      </w:tr>
      <w:tr w:rsidR="0015104A" w:rsidRPr="005534EB" w:rsidTr="001F3F42">
        <w:trPr>
          <w:trHeight w:val="567"/>
        </w:trPr>
        <w:tc>
          <w:tcPr>
            <w:tcW w:w="710" w:type="dxa"/>
            <w:tcBorders>
              <w:top w:val="single" w:sz="4" w:space="0" w:color="auto"/>
              <w:left w:val="single" w:sz="4" w:space="0" w:color="auto"/>
              <w:bottom w:val="single" w:sz="4" w:space="0" w:color="auto"/>
              <w:right w:val="single" w:sz="4" w:space="0" w:color="auto"/>
            </w:tcBorders>
            <w:vAlign w:val="center"/>
          </w:tcPr>
          <w:p w:rsidR="0015104A" w:rsidRPr="005534EB" w:rsidRDefault="0015104A" w:rsidP="006934DD">
            <w:pPr>
              <w:numPr>
                <w:ilvl w:val="0"/>
                <w:numId w:val="52"/>
              </w:numPr>
              <w:spacing w:line="400" w:lineRule="exact"/>
              <w:ind w:right="113"/>
              <w:jc w:val="center"/>
              <w:rPr>
                <w:rFonts w:ascii="標楷體" w:eastAsia="標楷體" w:hAnsi="標楷體"/>
                <w:sz w:val="32"/>
              </w:rPr>
            </w:pPr>
          </w:p>
        </w:tc>
        <w:tc>
          <w:tcPr>
            <w:tcW w:w="3654" w:type="dxa"/>
          </w:tcPr>
          <w:p w:rsidR="0015104A" w:rsidRPr="005534EB" w:rsidRDefault="0015104A" w:rsidP="001F3F42">
            <w:pPr>
              <w:spacing w:line="400" w:lineRule="exact"/>
              <w:ind w:leftChars="-12" w:left="-29"/>
              <w:jc w:val="both"/>
              <w:rPr>
                <w:rFonts w:ascii="標楷體" w:eastAsia="標楷體" w:hAnsi="標楷體"/>
                <w:color w:val="000000"/>
                <w:sz w:val="28"/>
              </w:rPr>
            </w:pPr>
            <w:r w:rsidRPr="005534EB">
              <w:rPr>
                <w:rFonts w:ascii="標楷體" w:eastAsia="標楷體" w:hAnsi="標楷體" w:hint="eastAsia"/>
                <w:color w:val="000000"/>
                <w:sz w:val="28"/>
              </w:rPr>
              <w:t>教育部函送財團法人高等教育評鑑中心基金會等10家財團法人109年度決算書案。</w:t>
            </w:r>
          </w:p>
        </w:tc>
        <w:tc>
          <w:tcPr>
            <w:tcW w:w="1533" w:type="dxa"/>
          </w:tcPr>
          <w:p w:rsidR="0015104A" w:rsidRPr="004321BC" w:rsidRDefault="0015104A" w:rsidP="001F3F42">
            <w:pPr>
              <w:spacing w:line="400" w:lineRule="exact"/>
              <w:jc w:val="both"/>
              <w:rPr>
                <w:rFonts w:ascii="標楷體" w:eastAsia="標楷體" w:hAnsi="標楷體"/>
                <w:color w:val="000000"/>
                <w:kern w:val="0"/>
                <w:sz w:val="28"/>
                <w:szCs w:val="28"/>
              </w:rPr>
            </w:pPr>
            <w:r w:rsidRPr="004321BC">
              <w:rPr>
                <w:rFonts w:ascii="標楷體" w:eastAsia="標楷體" w:hAnsi="標楷體"/>
                <w:color w:val="000000"/>
                <w:kern w:val="0"/>
                <w:sz w:val="28"/>
                <w:szCs w:val="28"/>
              </w:rPr>
              <w:t>10-</w:t>
            </w:r>
            <w:r w:rsidRPr="004321BC">
              <w:rPr>
                <w:rFonts w:ascii="標楷體" w:eastAsia="標楷體" w:hAnsi="標楷體" w:hint="eastAsia"/>
                <w:color w:val="000000"/>
                <w:kern w:val="0"/>
                <w:sz w:val="28"/>
                <w:szCs w:val="28"/>
              </w:rPr>
              <w:t>3</w:t>
            </w:r>
            <w:r w:rsidRPr="004321BC">
              <w:rPr>
                <w:rFonts w:ascii="標楷體" w:eastAsia="標楷體" w:hAnsi="標楷體"/>
                <w:color w:val="000000"/>
                <w:kern w:val="0"/>
                <w:sz w:val="28"/>
                <w:szCs w:val="28"/>
              </w:rPr>
              <w:t>-</w:t>
            </w:r>
            <w:r w:rsidRPr="004321BC">
              <w:rPr>
                <w:rFonts w:ascii="標楷體" w:eastAsia="標楷體" w:hAnsi="標楷體" w:hint="eastAsia"/>
                <w:color w:val="000000"/>
                <w:kern w:val="0"/>
                <w:sz w:val="28"/>
                <w:szCs w:val="28"/>
              </w:rPr>
              <w:t>14</w:t>
            </w:r>
          </w:p>
          <w:p w:rsidR="0015104A" w:rsidRPr="005534EB" w:rsidRDefault="0015104A" w:rsidP="001F3F42">
            <w:pPr>
              <w:spacing w:line="400" w:lineRule="exact"/>
              <w:jc w:val="both"/>
              <w:rPr>
                <w:rFonts w:ascii="標楷體" w:eastAsia="標楷體" w:hAnsi="標楷體"/>
                <w:color w:val="000000"/>
                <w:sz w:val="28"/>
                <w:szCs w:val="28"/>
              </w:rPr>
            </w:pPr>
            <w:r w:rsidRPr="004321BC">
              <w:rPr>
                <w:rFonts w:ascii="標楷體" w:eastAsia="標楷體" w:hAnsi="標楷體"/>
                <w:color w:val="000000"/>
                <w:kern w:val="0"/>
                <w:sz w:val="28"/>
                <w:szCs w:val="28"/>
              </w:rPr>
              <w:t>(110</w:t>
            </w:r>
            <w:r w:rsidRPr="004321BC">
              <w:rPr>
                <w:rFonts w:ascii="標楷體" w:eastAsia="標楷體" w:hAnsi="標楷體" w:hint="eastAsia"/>
                <w:color w:val="000000"/>
                <w:kern w:val="0"/>
                <w:sz w:val="28"/>
                <w:szCs w:val="28"/>
              </w:rPr>
              <w:t>.5.31</w:t>
            </w:r>
            <w:r w:rsidRPr="004321BC">
              <w:rPr>
                <w:rFonts w:ascii="標楷體" w:eastAsia="標楷體" w:hAnsi="標楷體"/>
                <w:color w:val="000000"/>
                <w:kern w:val="0"/>
                <w:sz w:val="28"/>
                <w:szCs w:val="28"/>
              </w:rPr>
              <w:t>)</w:t>
            </w:r>
          </w:p>
        </w:tc>
        <w:tc>
          <w:tcPr>
            <w:tcW w:w="1333" w:type="dxa"/>
          </w:tcPr>
          <w:p w:rsidR="0015104A" w:rsidRPr="005534EB" w:rsidRDefault="0015104A" w:rsidP="001F3F42">
            <w:pPr>
              <w:jc w:val="both"/>
              <w:rPr>
                <w:rFonts w:ascii="標楷體" w:eastAsia="標楷體" w:hAnsi="標楷體"/>
                <w:color w:val="000000"/>
                <w:sz w:val="28"/>
                <w:szCs w:val="28"/>
              </w:rPr>
            </w:pPr>
          </w:p>
        </w:tc>
        <w:tc>
          <w:tcPr>
            <w:tcW w:w="2977" w:type="dxa"/>
          </w:tcPr>
          <w:p w:rsidR="0015104A" w:rsidRPr="005534EB" w:rsidRDefault="0015104A" w:rsidP="001F3F42">
            <w:pPr>
              <w:ind w:leftChars="7" w:left="252" w:hangingChars="98" w:hanging="235"/>
              <w:rPr>
                <w:rFonts w:ascii="標楷體" w:eastAsia="標楷體" w:hAnsi="標楷體"/>
                <w:color w:val="000000"/>
              </w:rPr>
            </w:pPr>
            <w:r w:rsidRPr="005534EB">
              <w:rPr>
                <w:rFonts w:ascii="標楷體" w:eastAsia="標楷體" w:hAnsi="標楷體" w:hint="eastAsia"/>
                <w:color w:val="000000"/>
              </w:rPr>
              <w:t>1</w:t>
            </w:r>
            <w:r w:rsidRPr="005534EB">
              <w:rPr>
                <w:rFonts w:ascii="標楷體" w:eastAsia="標楷體" w:hAnsi="標楷體"/>
                <w:color w:val="000000"/>
              </w:rPr>
              <w:t>.</w:t>
            </w:r>
            <w:r w:rsidRPr="005534EB">
              <w:rPr>
                <w:rFonts w:ascii="標楷體" w:eastAsia="標楷體" w:hAnsi="標楷體" w:hint="eastAsia"/>
                <w:color w:val="000000"/>
              </w:rPr>
              <w:t>逾年度預算執行期間，報請院會存查。</w:t>
            </w:r>
          </w:p>
          <w:p w:rsidR="0015104A" w:rsidRPr="005534EB" w:rsidRDefault="0015104A" w:rsidP="001F3F42">
            <w:pPr>
              <w:ind w:leftChars="-3" w:left="199" w:hangingChars="86" w:hanging="206"/>
              <w:jc w:val="both"/>
              <w:rPr>
                <w:rFonts w:ascii="標楷體" w:eastAsia="標楷體" w:hAnsi="標楷體"/>
                <w:color w:val="000000"/>
                <w:sz w:val="28"/>
                <w:szCs w:val="28"/>
              </w:rPr>
            </w:pPr>
            <w:r w:rsidRPr="005534EB">
              <w:rPr>
                <w:rFonts w:ascii="標楷體" w:eastAsia="標楷體" w:hAnsi="標楷體"/>
                <w:color w:val="000000"/>
              </w:rPr>
              <w:t>2.</w:t>
            </w:r>
            <w:r w:rsidRPr="005534EB">
              <w:rPr>
                <w:rFonts w:ascii="標楷體" w:eastAsia="標楷體" w:hAnsi="標楷體" w:hint="eastAsia"/>
                <w:color w:val="000000"/>
              </w:rPr>
              <w:t>第6會期第</w:t>
            </w:r>
            <w:r w:rsidRPr="005534EB">
              <w:rPr>
                <w:rFonts w:ascii="標楷體" w:eastAsia="標楷體" w:hAnsi="標楷體"/>
                <w:color w:val="000000"/>
              </w:rPr>
              <w:t>5</w:t>
            </w:r>
            <w:r w:rsidRPr="005534EB">
              <w:rPr>
                <w:rFonts w:ascii="標楷體" w:eastAsia="標楷體" w:hAnsi="標楷體" w:hint="eastAsia"/>
                <w:color w:val="000000"/>
              </w:rPr>
              <w:t>次院會（111.10.</w:t>
            </w:r>
            <w:r w:rsidRPr="005534EB">
              <w:rPr>
                <w:rFonts w:ascii="標楷體" w:eastAsia="標楷體" w:hAnsi="標楷體"/>
                <w:color w:val="000000"/>
              </w:rPr>
              <w:t>28</w:t>
            </w:r>
            <w:r w:rsidRPr="005534EB">
              <w:rPr>
                <w:rFonts w:ascii="標楷體" w:eastAsia="標楷體" w:hAnsi="標楷體" w:hint="eastAsia"/>
                <w:color w:val="000000"/>
              </w:rPr>
              <w:t>）決定：准予備查。</w:t>
            </w:r>
          </w:p>
        </w:tc>
      </w:tr>
      <w:tr w:rsidR="0015104A" w:rsidRPr="005534EB" w:rsidTr="001F3F42">
        <w:trPr>
          <w:trHeight w:val="567"/>
        </w:trPr>
        <w:tc>
          <w:tcPr>
            <w:tcW w:w="710" w:type="dxa"/>
            <w:tcBorders>
              <w:top w:val="single" w:sz="4" w:space="0" w:color="auto"/>
              <w:left w:val="single" w:sz="4" w:space="0" w:color="auto"/>
              <w:bottom w:val="single" w:sz="4" w:space="0" w:color="auto"/>
              <w:right w:val="single" w:sz="4" w:space="0" w:color="auto"/>
            </w:tcBorders>
            <w:vAlign w:val="center"/>
          </w:tcPr>
          <w:p w:rsidR="0015104A" w:rsidRPr="005534EB" w:rsidRDefault="0015104A" w:rsidP="006934DD">
            <w:pPr>
              <w:numPr>
                <w:ilvl w:val="0"/>
                <w:numId w:val="52"/>
              </w:numPr>
              <w:spacing w:line="400" w:lineRule="exact"/>
              <w:ind w:right="113"/>
              <w:jc w:val="center"/>
              <w:rPr>
                <w:rFonts w:ascii="標楷體" w:eastAsia="標楷體" w:hAnsi="標楷體"/>
                <w:sz w:val="32"/>
              </w:rPr>
            </w:pPr>
          </w:p>
        </w:tc>
        <w:tc>
          <w:tcPr>
            <w:tcW w:w="3654" w:type="dxa"/>
          </w:tcPr>
          <w:p w:rsidR="0015104A" w:rsidRPr="005534EB" w:rsidRDefault="00641E57" w:rsidP="001F3F42">
            <w:pPr>
              <w:spacing w:line="400" w:lineRule="exact"/>
              <w:ind w:leftChars="-12" w:left="-29"/>
              <w:jc w:val="both"/>
              <w:rPr>
                <w:rFonts w:ascii="標楷體" w:eastAsia="標楷體" w:hAnsi="標楷體"/>
                <w:color w:val="000000"/>
                <w:sz w:val="28"/>
              </w:rPr>
            </w:pPr>
            <w:hyperlink r:id="rId35" w:tooltip="六十三、文化部函送財團法人國家文化藝術基金會等11家財團法人109年度決算書案。" w:history="1">
              <w:r w:rsidR="0015104A" w:rsidRPr="005534EB">
                <w:rPr>
                  <w:rFonts w:ascii="標楷體" w:eastAsia="標楷體" w:hAnsi="標楷體" w:hint="eastAsia"/>
                  <w:color w:val="000000"/>
                  <w:sz w:val="28"/>
                </w:rPr>
                <w:t>文化部函送財團法人國家文化藝術基金會等11家財團法人109年度決算書案。</w:t>
              </w:r>
            </w:hyperlink>
          </w:p>
        </w:tc>
        <w:tc>
          <w:tcPr>
            <w:tcW w:w="1533" w:type="dxa"/>
          </w:tcPr>
          <w:p w:rsidR="0015104A" w:rsidRPr="004321BC" w:rsidRDefault="0015104A" w:rsidP="001F3F42">
            <w:pPr>
              <w:spacing w:line="400" w:lineRule="exact"/>
              <w:jc w:val="both"/>
              <w:rPr>
                <w:rFonts w:ascii="標楷體" w:eastAsia="標楷體" w:hAnsi="標楷體"/>
                <w:color w:val="000000"/>
                <w:kern w:val="0"/>
                <w:sz w:val="28"/>
                <w:szCs w:val="28"/>
              </w:rPr>
            </w:pPr>
            <w:r w:rsidRPr="004321BC">
              <w:rPr>
                <w:rFonts w:ascii="標楷體" w:eastAsia="標楷體" w:hAnsi="標楷體"/>
                <w:color w:val="000000"/>
                <w:kern w:val="0"/>
                <w:sz w:val="28"/>
                <w:szCs w:val="28"/>
              </w:rPr>
              <w:t>10-4-2</w:t>
            </w:r>
          </w:p>
          <w:p w:rsidR="0015104A" w:rsidRPr="005534EB" w:rsidRDefault="0015104A" w:rsidP="001F3F42">
            <w:pPr>
              <w:spacing w:line="400" w:lineRule="exact"/>
              <w:jc w:val="both"/>
              <w:rPr>
                <w:rFonts w:ascii="標楷體" w:eastAsia="標楷體" w:hAnsi="標楷體"/>
                <w:color w:val="000000"/>
                <w:sz w:val="28"/>
                <w:szCs w:val="28"/>
              </w:rPr>
            </w:pPr>
            <w:r w:rsidRPr="004321BC">
              <w:rPr>
                <w:rFonts w:ascii="標楷體" w:eastAsia="標楷體" w:hAnsi="標楷體"/>
                <w:color w:val="000000"/>
                <w:kern w:val="0"/>
                <w:sz w:val="28"/>
                <w:szCs w:val="28"/>
              </w:rPr>
              <w:t>(110.9.24)</w:t>
            </w:r>
          </w:p>
        </w:tc>
        <w:tc>
          <w:tcPr>
            <w:tcW w:w="1333" w:type="dxa"/>
          </w:tcPr>
          <w:p w:rsidR="0015104A" w:rsidRPr="005534EB" w:rsidRDefault="0015104A" w:rsidP="001F3F42">
            <w:pPr>
              <w:jc w:val="both"/>
              <w:rPr>
                <w:rFonts w:ascii="標楷體" w:eastAsia="標楷體" w:hAnsi="標楷體"/>
                <w:color w:val="000000"/>
                <w:sz w:val="28"/>
                <w:szCs w:val="28"/>
              </w:rPr>
            </w:pPr>
          </w:p>
        </w:tc>
        <w:tc>
          <w:tcPr>
            <w:tcW w:w="2977" w:type="dxa"/>
          </w:tcPr>
          <w:p w:rsidR="0015104A" w:rsidRPr="005534EB" w:rsidRDefault="0015104A" w:rsidP="001F3F42">
            <w:pPr>
              <w:ind w:leftChars="7" w:left="252" w:hangingChars="98" w:hanging="235"/>
              <w:rPr>
                <w:rFonts w:ascii="標楷體" w:eastAsia="標楷體" w:hAnsi="標楷體"/>
                <w:color w:val="000000"/>
              </w:rPr>
            </w:pPr>
            <w:r w:rsidRPr="005534EB">
              <w:rPr>
                <w:rFonts w:ascii="標楷體" w:eastAsia="標楷體" w:hAnsi="標楷體" w:hint="eastAsia"/>
                <w:color w:val="000000"/>
              </w:rPr>
              <w:t>1</w:t>
            </w:r>
            <w:r w:rsidRPr="005534EB">
              <w:rPr>
                <w:rFonts w:ascii="標楷體" w:eastAsia="標楷體" w:hAnsi="標楷體"/>
                <w:color w:val="000000"/>
              </w:rPr>
              <w:t>.</w:t>
            </w:r>
            <w:r w:rsidRPr="005534EB">
              <w:rPr>
                <w:rFonts w:ascii="標楷體" w:eastAsia="標楷體" w:hAnsi="標楷體" w:hint="eastAsia"/>
                <w:color w:val="000000"/>
              </w:rPr>
              <w:t>逾年度預算執行期間，報請院會存查。</w:t>
            </w:r>
          </w:p>
          <w:p w:rsidR="0015104A" w:rsidRPr="005534EB" w:rsidRDefault="0015104A" w:rsidP="001F3F42">
            <w:pPr>
              <w:ind w:left="214" w:hangingChars="89" w:hanging="214"/>
              <w:jc w:val="both"/>
              <w:rPr>
                <w:rFonts w:ascii="標楷體" w:eastAsia="標楷體" w:hAnsi="標楷體"/>
                <w:color w:val="000000"/>
                <w:sz w:val="28"/>
                <w:szCs w:val="28"/>
              </w:rPr>
            </w:pPr>
            <w:r w:rsidRPr="005534EB">
              <w:rPr>
                <w:rFonts w:ascii="標楷體" w:eastAsia="標楷體" w:hAnsi="標楷體"/>
                <w:color w:val="000000"/>
              </w:rPr>
              <w:t>2.</w:t>
            </w:r>
            <w:r w:rsidRPr="005534EB">
              <w:rPr>
                <w:rFonts w:ascii="標楷體" w:eastAsia="標楷體" w:hAnsi="標楷體" w:hint="eastAsia"/>
                <w:color w:val="000000"/>
              </w:rPr>
              <w:t>第6會期第</w:t>
            </w:r>
            <w:r w:rsidRPr="005534EB">
              <w:rPr>
                <w:rFonts w:ascii="標楷體" w:eastAsia="標楷體" w:hAnsi="標楷體"/>
                <w:color w:val="000000"/>
              </w:rPr>
              <w:t>5</w:t>
            </w:r>
            <w:r w:rsidRPr="005534EB">
              <w:rPr>
                <w:rFonts w:ascii="標楷體" w:eastAsia="標楷體" w:hAnsi="標楷體" w:hint="eastAsia"/>
                <w:color w:val="000000"/>
              </w:rPr>
              <w:t>次院會（111.10.</w:t>
            </w:r>
            <w:r w:rsidRPr="005534EB">
              <w:rPr>
                <w:rFonts w:ascii="標楷體" w:eastAsia="標楷體" w:hAnsi="標楷體"/>
                <w:color w:val="000000"/>
              </w:rPr>
              <w:t>28</w:t>
            </w:r>
            <w:r w:rsidRPr="005534EB">
              <w:rPr>
                <w:rFonts w:ascii="標楷體" w:eastAsia="標楷體" w:hAnsi="標楷體" w:hint="eastAsia"/>
                <w:color w:val="000000"/>
              </w:rPr>
              <w:t>）決定：准予備查。</w:t>
            </w:r>
          </w:p>
        </w:tc>
      </w:tr>
      <w:tr w:rsidR="0015104A" w:rsidRPr="005534EB" w:rsidTr="001F3F42">
        <w:trPr>
          <w:trHeight w:val="567"/>
        </w:trPr>
        <w:tc>
          <w:tcPr>
            <w:tcW w:w="710" w:type="dxa"/>
            <w:tcBorders>
              <w:top w:val="single" w:sz="4" w:space="0" w:color="auto"/>
              <w:left w:val="single" w:sz="4" w:space="0" w:color="auto"/>
              <w:bottom w:val="single" w:sz="4" w:space="0" w:color="auto"/>
              <w:right w:val="single" w:sz="4" w:space="0" w:color="auto"/>
            </w:tcBorders>
            <w:vAlign w:val="center"/>
          </w:tcPr>
          <w:p w:rsidR="0015104A" w:rsidRPr="005534EB" w:rsidRDefault="0015104A" w:rsidP="006934DD">
            <w:pPr>
              <w:numPr>
                <w:ilvl w:val="0"/>
                <w:numId w:val="52"/>
              </w:numPr>
              <w:spacing w:line="400" w:lineRule="exact"/>
              <w:ind w:right="113"/>
              <w:jc w:val="center"/>
              <w:rPr>
                <w:rFonts w:ascii="標楷體" w:eastAsia="標楷體" w:hAnsi="標楷體"/>
                <w:sz w:val="32"/>
              </w:rPr>
            </w:pPr>
          </w:p>
        </w:tc>
        <w:tc>
          <w:tcPr>
            <w:tcW w:w="3654" w:type="dxa"/>
          </w:tcPr>
          <w:p w:rsidR="0015104A" w:rsidRPr="005534EB" w:rsidRDefault="00641E57" w:rsidP="001F3F42">
            <w:pPr>
              <w:spacing w:line="400" w:lineRule="exact"/>
              <w:ind w:leftChars="-12" w:left="-29"/>
              <w:jc w:val="both"/>
              <w:rPr>
                <w:rFonts w:ascii="標楷體" w:eastAsia="標楷體" w:hAnsi="標楷體"/>
                <w:color w:val="000000"/>
                <w:sz w:val="28"/>
              </w:rPr>
            </w:pPr>
            <w:hyperlink r:id="rId36" w:tooltip="六十四、行政院原子能委員會函送財團法人中華民國輻射防護協會及財團法人核能資訊中心109年度決算書案。" w:history="1">
              <w:r w:rsidR="0015104A" w:rsidRPr="005534EB">
                <w:rPr>
                  <w:rFonts w:ascii="標楷體" w:eastAsia="標楷體" w:hAnsi="標楷體" w:hint="eastAsia"/>
                  <w:color w:val="000000"/>
                  <w:sz w:val="28"/>
                </w:rPr>
                <w:t>行政院原子能委員會函送財團法人中華民國輻射防護協會及財團法人核能資訊中心109年度決算書案。</w:t>
              </w:r>
            </w:hyperlink>
          </w:p>
        </w:tc>
        <w:tc>
          <w:tcPr>
            <w:tcW w:w="1533" w:type="dxa"/>
          </w:tcPr>
          <w:p w:rsidR="0015104A" w:rsidRPr="004321BC" w:rsidRDefault="0015104A" w:rsidP="001F3F42">
            <w:pPr>
              <w:spacing w:line="400" w:lineRule="exact"/>
              <w:jc w:val="both"/>
              <w:rPr>
                <w:rFonts w:ascii="標楷體" w:eastAsia="標楷體" w:hAnsi="標楷體"/>
                <w:color w:val="000000"/>
                <w:kern w:val="0"/>
                <w:sz w:val="28"/>
                <w:szCs w:val="28"/>
              </w:rPr>
            </w:pPr>
            <w:r w:rsidRPr="004321BC">
              <w:rPr>
                <w:rFonts w:ascii="標楷體" w:eastAsia="標楷體" w:hAnsi="標楷體"/>
                <w:color w:val="000000"/>
                <w:kern w:val="0"/>
                <w:sz w:val="28"/>
                <w:szCs w:val="28"/>
              </w:rPr>
              <w:t>10-4-2</w:t>
            </w:r>
          </w:p>
          <w:p w:rsidR="0015104A" w:rsidRPr="005534EB" w:rsidRDefault="0015104A" w:rsidP="001F3F42">
            <w:pPr>
              <w:spacing w:line="400" w:lineRule="exact"/>
              <w:jc w:val="both"/>
              <w:rPr>
                <w:rFonts w:ascii="標楷體" w:eastAsia="標楷體" w:hAnsi="標楷體"/>
                <w:color w:val="000000"/>
                <w:sz w:val="28"/>
                <w:szCs w:val="28"/>
              </w:rPr>
            </w:pPr>
            <w:r w:rsidRPr="004321BC">
              <w:rPr>
                <w:rFonts w:ascii="標楷體" w:eastAsia="標楷體" w:hAnsi="標楷體"/>
                <w:color w:val="000000"/>
                <w:kern w:val="0"/>
                <w:sz w:val="28"/>
                <w:szCs w:val="28"/>
              </w:rPr>
              <w:t>(110.9.24)</w:t>
            </w:r>
          </w:p>
        </w:tc>
        <w:tc>
          <w:tcPr>
            <w:tcW w:w="1333" w:type="dxa"/>
          </w:tcPr>
          <w:p w:rsidR="0015104A" w:rsidRPr="005534EB" w:rsidRDefault="0015104A" w:rsidP="001F3F42">
            <w:pPr>
              <w:jc w:val="both"/>
              <w:rPr>
                <w:rFonts w:ascii="標楷體" w:eastAsia="標楷體" w:hAnsi="標楷體"/>
                <w:color w:val="000000"/>
                <w:sz w:val="28"/>
                <w:szCs w:val="28"/>
              </w:rPr>
            </w:pPr>
          </w:p>
        </w:tc>
        <w:tc>
          <w:tcPr>
            <w:tcW w:w="2977" w:type="dxa"/>
          </w:tcPr>
          <w:p w:rsidR="0015104A" w:rsidRPr="005534EB" w:rsidRDefault="0015104A" w:rsidP="001F3F42">
            <w:pPr>
              <w:ind w:leftChars="7" w:left="252" w:hangingChars="98" w:hanging="235"/>
              <w:rPr>
                <w:rFonts w:ascii="標楷體" w:eastAsia="標楷體" w:hAnsi="標楷體"/>
                <w:color w:val="000000"/>
              </w:rPr>
            </w:pPr>
            <w:r w:rsidRPr="005534EB">
              <w:rPr>
                <w:rFonts w:ascii="標楷體" w:eastAsia="標楷體" w:hAnsi="標楷體" w:hint="eastAsia"/>
                <w:color w:val="000000"/>
              </w:rPr>
              <w:t>1</w:t>
            </w:r>
            <w:r w:rsidRPr="005534EB">
              <w:rPr>
                <w:rFonts w:ascii="標楷體" w:eastAsia="標楷體" w:hAnsi="標楷體"/>
                <w:color w:val="000000"/>
              </w:rPr>
              <w:t>.</w:t>
            </w:r>
            <w:r w:rsidRPr="005534EB">
              <w:rPr>
                <w:rFonts w:ascii="標楷體" w:eastAsia="標楷體" w:hAnsi="標楷體" w:hint="eastAsia"/>
                <w:color w:val="000000"/>
              </w:rPr>
              <w:t>逾年度預算執行期間，報請院會存查。</w:t>
            </w:r>
          </w:p>
          <w:p w:rsidR="0015104A" w:rsidRPr="005534EB" w:rsidRDefault="0015104A" w:rsidP="001F3F42">
            <w:pPr>
              <w:ind w:left="214" w:hangingChars="89" w:hanging="214"/>
              <w:jc w:val="both"/>
              <w:rPr>
                <w:rFonts w:ascii="標楷體" w:eastAsia="標楷體" w:hAnsi="標楷體"/>
                <w:color w:val="000000"/>
                <w:sz w:val="28"/>
                <w:szCs w:val="28"/>
              </w:rPr>
            </w:pPr>
            <w:r w:rsidRPr="005534EB">
              <w:rPr>
                <w:rFonts w:ascii="標楷體" w:eastAsia="標楷體" w:hAnsi="標楷體"/>
                <w:color w:val="000000"/>
              </w:rPr>
              <w:t>2.</w:t>
            </w:r>
            <w:r w:rsidRPr="005534EB">
              <w:rPr>
                <w:rFonts w:ascii="標楷體" w:eastAsia="標楷體" w:hAnsi="標楷體" w:hint="eastAsia"/>
                <w:color w:val="000000"/>
              </w:rPr>
              <w:t>第6會期第</w:t>
            </w:r>
            <w:r w:rsidRPr="005534EB">
              <w:rPr>
                <w:rFonts w:ascii="標楷體" w:eastAsia="標楷體" w:hAnsi="標楷體"/>
                <w:color w:val="000000"/>
              </w:rPr>
              <w:t>5</w:t>
            </w:r>
            <w:r w:rsidRPr="005534EB">
              <w:rPr>
                <w:rFonts w:ascii="標楷體" w:eastAsia="標楷體" w:hAnsi="標楷體" w:hint="eastAsia"/>
                <w:color w:val="000000"/>
              </w:rPr>
              <w:t>次院會（111.10.</w:t>
            </w:r>
            <w:r w:rsidRPr="005534EB">
              <w:rPr>
                <w:rFonts w:ascii="標楷體" w:eastAsia="標楷體" w:hAnsi="標楷體"/>
                <w:color w:val="000000"/>
              </w:rPr>
              <w:t>28</w:t>
            </w:r>
            <w:r w:rsidRPr="005534EB">
              <w:rPr>
                <w:rFonts w:ascii="標楷體" w:eastAsia="標楷體" w:hAnsi="標楷體" w:hint="eastAsia"/>
                <w:color w:val="000000"/>
              </w:rPr>
              <w:t>）決定：准予備查。</w:t>
            </w:r>
          </w:p>
        </w:tc>
      </w:tr>
      <w:tr w:rsidR="0015104A" w:rsidRPr="005534EB" w:rsidTr="001F3F42">
        <w:trPr>
          <w:trHeight w:val="567"/>
        </w:trPr>
        <w:tc>
          <w:tcPr>
            <w:tcW w:w="710" w:type="dxa"/>
            <w:tcBorders>
              <w:top w:val="single" w:sz="4" w:space="0" w:color="auto"/>
              <w:left w:val="single" w:sz="4" w:space="0" w:color="auto"/>
              <w:bottom w:val="single" w:sz="4" w:space="0" w:color="auto"/>
              <w:right w:val="single" w:sz="4" w:space="0" w:color="auto"/>
            </w:tcBorders>
            <w:vAlign w:val="center"/>
          </w:tcPr>
          <w:p w:rsidR="0015104A" w:rsidRPr="005534EB" w:rsidRDefault="0015104A" w:rsidP="006934DD">
            <w:pPr>
              <w:numPr>
                <w:ilvl w:val="0"/>
                <w:numId w:val="52"/>
              </w:numPr>
              <w:spacing w:line="400" w:lineRule="exact"/>
              <w:ind w:right="113"/>
              <w:jc w:val="center"/>
              <w:rPr>
                <w:rFonts w:ascii="標楷體" w:eastAsia="標楷體" w:hAnsi="標楷體"/>
                <w:sz w:val="32"/>
              </w:rPr>
            </w:pPr>
          </w:p>
        </w:tc>
        <w:tc>
          <w:tcPr>
            <w:tcW w:w="3654" w:type="dxa"/>
          </w:tcPr>
          <w:p w:rsidR="0015104A" w:rsidRPr="005534EB" w:rsidRDefault="0015104A" w:rsidP="001F3F42">
            <w:pPr>
              <w:spacing w:line="400" w:lineRule="exact"/>
              <w:ind w:leftChars="-12" w:left="-29"/>
              <w:jc w:val="both"/>
              <w:rPr>
                <w:rFonts w:ascii="標楷體" w:eastAsia="標楷體" w:hAnsi="標楷體"/>
                <w:color w:val="000000"/>
                <w:sz w:val="28"/>
              </w:rPr>
            </w:pPr>
            <w:r w:rsidRPr="005534EB">
              <w:rPr>
                <w:rFonts w:ascii="標楷體" w:eastAsia="標楷體" w:hAnsi="標楷體" w:hint="eastAsia"/>
                <w:color w:val="000000"/>
                <w:sz w:val="28"/>
              </w:rPr>
              <w:t>科技部函送財團法人國家實驗研究院及財團法人國家同步輻射研究中心109年度決算書案。</w:t>
            </w:r>
          </w:p>
        </w:tc>
        <w:tc>
          <w:tcPr>
            <w:tcW w:w="1533" w:type="dxa"/>
          </w:tcPr>
          <w:p w:rsidR="0015104A" w:rsidRPr="004321BC" w:rsidRDefault="0015104A" w:rsidP="001F3F42">
            <w:pPr>
              <w:spacing w:line="400" w:lineRule="exact"/>
              <w:jc w:val="both"/>
              <w:rPr>
                <w:rFonts w:ascii="標楷體" w:eastAsia="標楷體" w:hAnsi="標楷體"/>
                <w:color w:val="000000"/>
                <w:kern w:val="0"/>
                <w:sz w:val="28"/>
                <w:szCs w:val="28"/>
              </w:rPr>
            </w:pPr>
            <w:r w:rsidRPr="004321BC">
              <w:rPr>
                <w:rFonts w:ascii="標楷體" w:eastAsia="標楷體" w:hAnsi="標楷體"/>
                <w:color w:val="000000"/>
                <w:kern w:val="0"/>
                <w:sz w:val="28"/>
                <w:szCs w:val="28"/>
              </w:rPr>
              <w:t>10-4-10</w:t>
            </w:r>
          </w:p>
          <w:p w:rsidR="0015104A" w:rsidRPr="004321BC" w:rsidRDefault="0015104A" w:rsidP="001F3F42">
            <w:pPr>
              <w:spacing w:line="400" w:lineRule="exact"/>
              <w:jc w:val="both"/>
              <w:rPr>
                <w:rFonts w:ascii="標楷體" w:eastAsia="標楷體" w:hAnsi="標楷體"/>
                <w:color w:val="000000"/>
                <w:spacing w:val="-10"/>
                <w:sz w:val="28"/>
                <w:szCs w:val="28"/>
              </w:rPr>
            </w:pPr>
            <w:r w:rsidRPr="004321BC">
              <w:rPr>
                <w:rFonts w:ascii="標楷體" w:eastAsia="標楷體" w:hAnsi="標楷體"/>
                <w:color w:val="000000"/>
                <w:spacing w:val="-10"/>
                <w:kern w:val="0"/>
                <w:sz w:val="28"/>
                <w:szCs w:val="28"/>
              </w:rPr>
              <w:t>(110.11.19)</w:t>
            </w:r>
          </w:p>
        </w:tc>
        <w:tc>
          <w:tcPr>
            <w:tcW w:w="1333" w:type="dxa"/>
          </w:tcPr>
          <w:p w:rsidR="0015104A" w:rsidRPr="005534EB" w:rsidRDefault="0015104A" w:rsidP="001F3F42">
            <w:pPr>
              <w:jc w:val="both"/>
              <w:rPr>
                <w:rFonts w:ascii="標楷體" w:eastAsia="標楷體" w:hAnsi="標楷體"/>
                <w:color w:val="000000"/>
                <w:sz w:val="28"/>
                <w:szCs w:val="28"/>
              </w:rPr>
            </w:pPr>
          </w:p>
        </w:tc>
        <w:tc>
          <w:tcPr>
            <w:tcW w:w="2977" w:type="dxa"/>
          </w:tcPr>
          <w:p w:rsidR="0015104A" w:rsidRPr="005534EB" w:rsidRDefault="0015104A" w:rsidP="001F3F42">
            <w:pPr>
              <w:ind w:leftChars="7" w:left="252" w:hangingChars="98" w:hanging="235"/>
              <w:rPr>
                <w:rFonts w:ascii="標楷體" w:eastAsia="標楷體" w:hAnsi="標楷體"/>
                <w:color w:val="000000"/>
              </w:rPr>
            </w:pPr>
            <w:r w:rsidRPr="005534EB">
              <w:rPr>
                <w:rFonts w:ascii="標楷體" w:eastAsia="標楷體" w:hAnsi="標楷體" w:hint="eastAsia"/>
                <w:color w:val="000000"/>
              </w:rPr>
              <w:t>1</w:t>
            </w:r>
            <w:r w:rsidRPr="005534EB">
              <w:rPr>
                <w:rFonts w:ascii="標楷體" w:eastAsia="標楷體" w:hAnsi="標楷體"/>
                <w:color w:val="000000"/>
              </w:rPr>
              <w:t>.</w:t>
            </w:r>
            <w:r w:rsidRPr="005534EB">
              <w:rPr>
                <w:rFonts w:ascii="標楷體" w:eastAsia="標楷體" w:hAnsi="標楷體" w:hint="eastAsia"/>
                <w:color w:val="000000"/>
              </w:rPr>
              <w:t>逾年度預算執行期間，報請院會存查。</w:t>
            </w:r>
          </w:p>
          <w:p w:rsidR="0015104A" w:rsidRPr="005534EB" w:rsidRDefault="0015104A" w:rsidP="001F3F42">
            <w:pPr>
              <w:ind w:left="214" w:hangingChars="89" w:hanging="214"/>
              <w:jc w:val="both"/>
              <w:rPr>
                <w:rFonts w:ascii="標楷體" w:eastAsia="標楷體" w:hAnsi="標楷體"/>
                <w:color w:val="000000"/>
                <w:sz w:val="28"/>
                <w:szCs w:val="28"/>
              </w:rPr>
            </w:pPr>
            <w:r w:rsidRPr="005534EB">
              <w:rPr>
                <w:rFonts w:ascii="標楷體" w:eastAsia="標楷體" w:hAnsi="標楷體"/>
                <w:color w:val="000000"/>
              </w:rPr>
              <w:t>2.</w:t>
            </w:r>
            <w:r w:rsidRPr="005534EB">
              <w:rPr>
                <w:rFonts w:ascii="標楷體" w:eastAsia="標楷體" w:hAnsi="標楷體" w:hint="eastAsia"/>
                <w:color w:val="000000"/>
              </w:rPr>
              <w:t>第6會期第</w:t>
            </w:r>
            <w:r w:rsidRPr="005534EB">
              <w:rPr>
                <w:rFonts w:ascii="標楷體" w:eastAsia="標楷體" w:hAnsi="標楷體"/>
                <w:color w:val="000000"/>
              </w:rPr>
              <w:t>5</w:t>
            </w:r>
            <w:r w:rsidRPr="005534EB">
              <w:rPr>
                <w:rFonts w:ascii="標楷體" w:eastAsia="標楷體" w:hAnsi="標楷體" w:hint="eastAsia"/>
                <w:color w:val="000000"/>
              </w:rPr>
              <w:t>次院會（111.10.</w:t>
            </w:r>
            <w:r w:rsidRPr="005534EB">
              <w:rPr>
                <w:rFonts w:ascii="標楷體" w:eastAsia="標楷體" w:hAnsi="標楷體"/>
                <w:color w:val="000000"/>
              </w:rPr>
              <w:t>28</w:t>
            </w:r>
            <w:r w:rsidRPr="005534EB">
              <w:rPr>
                <w:rFonts w:ascii="標楷體" w:eastAsia="標楷體" w:hAnsi="標楷體" w:hint="eastAsia"/>
                <w:color w:val="000000"/>
              </w:rPr>
              <w:t>）決定：准予備查。</w:t>
            </w:r>
          </w:p>
        </w:tc>
      </w:tr>
    </w:tbl>
    <w:p w:rsidR="00753BB3" w:rsidRPr="00920597" w:rsidRDefault="00753BB3" w:rsidP="00562672">
      <w:pPr>
        <w:pStyle w:val="01-3"/>
        <w:rPr>
          <w:color w:val="000000" w:themeColor="text1"/>
        </w:rPr>
      </w:pPr>
      <w:bookmarkStart w:id="102" w:name="_Toc126068140"/>
      <w:r w:rsidRPr="00920597">
        <w:rPr>
          <w:rFonts w:hint="eastAsia"/>
          <w:color w:val="000000" w:themeColor="text1"/>
        </w:rPr>
        <w:t>(</w:t>
      </w:r>
      <w:r w:rsidR="005C0748">
        <w:rPr>
          <w:rFonts w:hint="eastAsia"/>
          <w:color w:val="000000" w:themeColor="text1"/>
        </w:rPr>
        <w:t>五</w:t>
      </w:r>
      <w:r w:rsidRPr="00920597">
        <w:rPr>
          <w:rFonts w:hint="eastAsia"/>
          <w:color w:val="000000" w:themeColor="text1"/>
        </w:rPr>
        <w:t>)預算</w:t>
      </w:r>
      <w:r w:rsidR="00CB4C2E" w:rsidRPr="00920597">
        <w:rPr>
          <w:rFonts w:hint="eastAsia"/>
          <w:color w:val="000000" w:themeColor="text1"/>
        </w:rPr>
        <w:t>凍結</w:t>
      </w:r>
      <w:r w:rsidRPr="00920597">
        <w:rPr>
          <w:rFonts w:hint="eastAsia"/>
          <w:color w:val="000000" w:themeColor="text1"/>
        </w:rPr>
        <w:t>案（</w:t>
      </w:r>
      <w:r w:rsidR="0095519D">
        <w:rPr>
          <w:rFonts w:hint="eastAsia"/>
          <w:color w:val="000000" w:themeColor="text1"/>
        </w:rPr>
        <w:t>53</w:t>
      </w:r>
      <w:r w:rsidRPr="00920597">
        <w:rPr>
          <w:rFonts w:hint="eastAsia"/>
          <w:color w:val="000000" w:themeColor="text1"/>
        </w:rPr>
        <w:t>案）</w:t>
      </w:r>
      <w:bookmarkEnd w:id="102"/>
    </w:p>
    <w:p w:rsidR="00983023" w:rsidRPr="00920597" w:rsidRDefault="00F442BA" w:rsidP="00F41455">
      <w:pPr>
        <w:pStyle w:val="01-4"/>
        <w:rPr>
          <w:color w:val="000000" w:themeColor="text1"/>
        </w:rPr>
      </w:pPr>
      <w:bookmarkStart w:id="103" w:name="_Toc126068141"/>
      <w:r w:rsidRPr="00920597">
        <w:rPr>
          <w:rFonts w:hint="eastAsia"/>
          <w:color w:val="000000" w:themeColor="text1"/>
        </w:rPr>
        <w:t>1</w:t>
      </w:r>
      <w:r w:rsidR="001E538B" w:rsidRPr="00920597">
        <w:rPr>
          <w:rFonts w:hint="eastAsia"/>
          <w:color w:val="000000" w:themeColor="text1"/>
        </w:rPr>
        <w:t>.</w:t>
      </w:r>
      <w:r w:rsidRPr="00920597">
        <w:rPr>
          <w:rFonts w:hint="eastAsia"/>
          <w:color w:val="000000" w:themeColor="text1"/>
        </w:rPr>
        <w:t>教育部</w:t>
      </w:r>
      <w:r w:rsidR="001E538B" w:rsidRPr="00920597">
        <w:rPr>
          <w:rFonts w:hint="eastAsia"/>
          <w:color w:val="000000" w:themeColor="text1"/>
        </w:rPr>
        <w:t xml:space="preserve"> </w:t>
      </w:r>
      <w:r w:rsidRPr="00920597">
        <w:rPr>
          <w:rFonts w:hint="eastAsia"/>
          <w:color w:val="000000" w:themeColor="text1"/>
        </w:rPr>
        <w:t>(</w:t>
      </w:r>
      <w:r w:rsidR="005916BD">
        <w:rPr>
          <w:rFonts w:hint="eastAsia"/>
          <w:color w:val="000000" w:themeColor="text1"/>
        </w:rPr>
        <w:t>2</w:t>
      </w:r>
      <w:r w:rsidRPr="00920597">
        <w:rPr>
          <w:rFonts w:hint="eastAsia"/>
          <w:color w:val="000000" w:themeColor="text1"/>
        </w:rPr>
        <w:t>案)</w:t>
      </w:r>
      <w:bookmarkEnd w:id="103"/>
    </w:p>
    <w:tbl>
      <w:tblPr>
        <w:tblW w:w="5270" w:type="pct"/>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0"/>
        <w:gridCol w:w="3591"/>
        <w:gridCol w:w="1701"/>
        <w:gridCol w:w="1021"/>
        <w:gridCol w:w="3136"/>
      </w:tblGrid>
      <w:tr w:rsidR="00F41455" w:rsidRPr="00920597" w:rsidTr="00F41455">
        <w:trPr>
          <w:trHeight w:val="700"/>
        </w:trPr>
        <w:tc>
          <w:tcPr>
            <w:tcW w:w="345" w:type="pct"/>
            <w:vAlign w:val="center"/>
          </w:tcPr>
          <w:p w:rsidR="00F41455" w:rsidRPr="00920597" w:rsidRDefault="00F41455" w:rsidP="00F41455">
            <w:pPr>
              <w:spacing w:line="400" w:lineRule="exact"/>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1769" w:type="pct"/>
            <w:vAlign w:val="center"/>
          </w:tcPr>
          <w:p w:rsidR="00F41455" w:rsidRPr="00920597" w:rsidRDefault="00F41455" w:rsidP="00F41455">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38" w:type="pct"/>
            <w:vAlign w:val="center"/>
          </w:tcPr>
          <w:p w:rsidR="00F41455" w:rsidRPr="00920597" w:rsidRDefault="00F41455" w:rsidP="00F41455">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院會交付</w:t>
            </w:r>
          </w:p>
          <w:p w:rsidR="00F41455" w:rsidRPr="00920597" w:rsidRDefault="00F41455" w:rsidP="00F41455">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503" w:type="pct"/>
            <w:vAlign w:val="center"/>
          </w:tcPr>
          <w:p w:rsidR="00F41455" w:rsidRPr="00920597" w:rsidRDefault="00F41455" w:rsidP="00F41455">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聯席</w:t>
            </w:r>
          </w:p>
          <w:p w:rsidR="00F41455" w:rsidRPr="00920597" w:rsidRDefault="00F41455" w:rsidP="00F41455">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w:t>
            </w:r>
          </w:p>
        </w:tc>
        <w:tc>
          <w:tcPr>
            <w:tcW w:w="1545" w:type="pct"/>
            <w:vAlign w:val="center"/>
          </w:tcPr>
          <w:p w:rsidR="00F41455" w:rsidRPr="00920597" w:rsidRDefault="00F41455" w:rsidP="00F41455">
            <w:pPr>
              <w:spacing w:line="400" w:lineRule="exact"/>
              <w:jc w:val="distribute"/>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處理情形</w:t>
            </w:r>
          </w:p>
        </w:tc>
      </w:tr>
      <w:tr w:rsidR="005916BD" w:rsidRPr="00920597" w:rsidTr="00F41455">
        <w:trPr>
          <w:trHeight w:val="567"/>
        </w:trPr>
        <w:tc>
          <w:tcPr>
            <w:tcW w:w="345" w:type="pct"/>
            <w:vAlign w:val="center"/>
          </w:tcPr>
          <w:p w:rsidR="005916BD" w:rsidRPr="00920597" w:rsidRDefault="005916BD" w:rsidP="006934DD">
            <w:pPr>
              <w:numPr>
                <w:ilvl w:val="0"/>
                <w:numId w:val="20"/>
              </w:numPr>
              <w:spacing w:line="400" w:lineRule="exact"/>
              <w:ind w:right="113"/>
              <w:rPr>
                <w:rFonts w:ascii="標楷體" w:eastAsia="標楷體" w:hAnsi="標楷體"/>
                <w:color w:val="000000" w:themeColor="text1"/>
                <w:sz w:val="28"/>
                <w:szCs w:val="28"/>
              </w:rPr>
            </w:pPr>
          </w:p>
        </w:tc>
        <w:tc>
          <w:tcPr>
            <w:tcW w:w="1769" w:type="pct"/>
          </w:tcPr>
          <w:p w:rsidR="005916BD" w:rsidRPr="00B07DF0" w:rsidRDefault="005916BD" w:rsidP="005916BD">
            <w:pPr>
              <w:spacing w:line="400" w:lineRule="exact"/>
              <w:ind w:leftChars="-12" w:left="-29"/>
              <w:jc w:val="both"/>
              <w:rPr>
                <w:rFonts w:ascii="標楷體" w:eastAsia="標楷體" w:hAnsi="標楷體"/>
                <w:color w:val="000000"/>
                <w:sz w:val="28"/>
              </w:rPr>
            </w:pPr>
            <w:r w:rsidRPr="00B07DF0">
              <w:rPr>
                <w:rFonts w:ascii="標楷體" w:eastAsia="標楷體" w:hAnsi="標楷體" w:hint="eastAsia"/>
                <w:color w:val="000000"/>
                <w:sz w:val="28"/>
              </w:rPr>
              <w:t>教育部函，為109年度中央政府總預算附屬單位預算決議，檢送運動發展基金「代</w:t>
            </w:r>
            <w:r w:rsidRPr="00B07DF0">
              <w:rPr>
                <w:rFonts w:ascii="標楷體" w:eastAsia="標楷體" w:hAnsi="標楷體" w:hint="eastAsia"/>
                <w:color w:val="000000"/>
                <w:sz w:val="28"/>
              </w:rPr>
              <w:lastRenderedPageBreak/>
              <w:t>理（辦）費」凍結200萬元書面報告，請安排報告，請查照案。</w:t>
            </w:r>
          </w:p>
        </w:tc>
        <w:tc>
          <w:tcPr>
            <w:tcW w:w="838" w:type="pct"/>
          </w:tcPr>
          <w:p w:rsidR="005916BD" w:rsidRPr="00B07DF0" w:rsidRDefault="005916BD" w:rsidP="005916BD">
            <w:pPr>
              <w:spacing w:line="400" w:lineRule="exact"/>
              <w:ind w:leftChars="-12" w:left="-29"/>
              <w:jc w:val="both"/>
              <w:rPr>
                <w:rFonts w:ascii="標楷體" w:eastAsia="標楷體" w:hAnsi="標楷體"/>
                <w:color w:val="000000"/>
                <w:sz w:val="28"/>
              </w:rPr>
            </w:pPr>
            <w:r w:rsidRPr="00B07DF0">
              <w:rPr>
                <w:rFonts w:ascii="標楷體" w:eastAsia="標楷體" w:hAnsi="標楷體"/>
                <w:color w:val="000000"/>
                <w:sz w:val="28"/>
              </w:rPr>
              <w:lastRenderedPageBreak/>
              <w:t>10-</w:t>
            </w:r>
            <w:r w:rsidRPr="00B07DF0">
              <w:rPr>
                <w:rFonts w:ascii="標楷體" w:eastAsia="標楷體" w:hAnsi="標楷體" w:hint="eastAsia"/>
                <w:color w:val="000000"/>
                <w:sz w:val="28"/>
              </w:rPr>
              <w:t>2</w:t>
            </w:r>
            <w:r w:rsidRPr="00B07DF0">
              <w:rPr>
                <w:rFonts w:ascii="標楷體" w:eastAsia="標楷體" w:hAnsi="標楷體"/>
                <w:color w:val="000000"/>
                <w:sz w:val="28"/>
              </w:rPr>
              <w:t>-</w:t>
            </w:r>
            <w:r w:rsidRPr="00B07DF0">
              <w:rPr>
                <w:rFonts w:ascii="標楷體" w:eastAsia="標楷體" w:hAnsi="標楷體" w:hint="eastAsia"/>
                <w:color w:val="000000"/>
                <w:sz w:val="28"/>
              </w:rPr>
              <w:t>3</w:t>
            </w:r>
          </w:p>
          <w:p w:rsidR="005916BD" w:rsidRPr="00B07DF0" w:rsidRDefault="005916BD" w:rsidP="005916BD">
            <w:pPr>
              <w:spacing w:line="400" w:lineRule="exact"/>
              <w:ind w:leftChars="-12" w:left="-29"/>
              <w:jc w:val="both"/>
              <w:rPr>
                <w:rFonts w:ascii="標楷體" w:eastAsia="標楷體" w:hAnsi="標楷體"/>
                <w:color w:val="000000"/>
                <w:sz w:val="28"/>
              </w:rPr>
            </w:pPr>
            <w:r w:rsidRPr="00B07DF0">
              <w:rPr>
                <w:rFonts w:ascii="標楷體" w:eastAsia="標楷體" w:hAnsi="標楷體"/>
                <w:color w:val="000000"/>
                <w:sz w:val="28"/>
              </w:rPr>
              <w:t>(109</w:t>
            </w:r>
            <w:r w:rsidRPr="00B07DF0">
              <w:rPr>
                <w:rFonts w:ascii="標楷體" w:eastAsia="標楷體" w:hAnsi="標楷體" w:hint="eastAsia"/>
                <w:color w:val="000000"/>
                <w:sz w:val="28"/>
              </w:rPr>
              <w:t>.10.6</w:t>
            </w:r>
            <w:r w:rsidRPr="00B07DF0">
              <w:rPr>
                <w:rFonts w:ascii="標楷體" w:eastAsia="標楷體" w:hAnsi="標楷體"/>
                <w:color w:val="000000"/>
                <w:sz w:val="28"/>
              </w:rPr>
              <w:t>)</w:t>
            </w:r>
          </w:p>
        </w:tc>
        <w:tc>
          <w:tcPr>
            <w:tcW w:w="503" w:type="pct"/>
          </w:tcPr>
          <w:p w:rsidR="005916BD" w:rsidRPr="009D0EC3" w:rsidRDefault="005916BD" w:rsidP="005916BD">
            <w:pPr>
              <w:rPr>
                <w:rFonts w:ascii="標楷體" w:eastAsia="標楷體" w:hAnsi="標楷體"/>
                <w:bCs/>
                <w:color w:val="000000"/>
                <w:szCs w:val="24"/>
              </w:rPr>
            </w:pPr>
          </w:p>
        </w:tc>
        <w:tc>
          <w:tcPr>
            <w:tcW w:w="1545" w:type="pct"/>
          </w:tcPr>
          <w:p w:rsidR="005916BD" w:rsidRPr="00B07DF0" w:rsidRDefault="005916BD" w:rsidP="005916BD">
            <w:pPr>
              <w:ind w:left="202" w:hangingChars="84" w:hanging="202"/>
              <w:rPr>
                <w:rFonts w:ascii="標楷體" w:eastAsia="標楷體" w:hAnsi="標楷體"/>
                <w:color w:val="000000"/>
              </w:rPr>
            </w:pPr>
            <w:r>
              <w:rPr>
                <w:rFonts w:ascii="標楷體" w:eastAsia="標楷體" w:hAnsi="標楷體" w:hint="eastAsia"/>
                <w:color w:val="000000"/>
              </w:rPr>
              <w:t>1</w:t>
            </w:r>
            <w:r>
              <w:rPr>
                <w:rFonts w:ascii="標楷體" w:eastAsia="標楷體" w:hAnsi="標楷體"/>
                <w:color w:val="000000"/>
              </w:rPr>
              <w:t>.</w:t>
            </w:r>
            <w:r w:rsidRPr="00B07DF0">
              <w:rPr>
                <w:rFonts w:ascii="標楷體" w:eastAsia="標楷體" w:hAnsi="標楷體" w:hint="eastAsia"/>
                <w:color w:val="000000"/>
              </w:rPr>
              <w:t>逾年度預算執行期間，報請院會存查。</w:t>
            </w:r>
          </w:p>
          <w:p w:rsidR="005916BD" w:rsidRPr="009D0EC3" w:rsidRDefault="005916BD" w:rsidP="005916BD">
            <w:pPr>
              <w:ind w:left="214" w:hangingChars="89" w:hanging="214"/>
              <w:jc w:val="both"/>
              <w:rPr>
                <w:rFonts w:ascii="標楷體" w:eastAsia="標楷體" w:hAnsi="標楷體"/>
                <w:bCs/>
                <w:color w:val="000000"/>
                <w:szCs w:val="24"/>
              </w:rPr>
            </w:pPr>
            <w:r w:rsidRPr="00CE6FD6">
              <w:rPr>
                <w:rFonts w:ascii="標楷體" w:eastAsia="標楷體" w:hAnsi="標楷體" w:hint="eastAsia"/>
                <w:color w:val="000000"/>
              </w:rPr>
              <w:t>2</w:t>
            </w:r>
            <w:r w:rsidRPr="00CE6FD6">
              <w:rPr>
                <w:rFonts w:ascii="標楷體" w:eastAsia="標楷體" w:hAnsi="標楷體"/>
                <w:color w:val="000000"/>
              </w:rPr>
              <w:t>.</w:t>
            </w:r>
            <w:r w:rsidRPr="00CE6FD6">
              <w:rPr>
                <w:rFonts w:ascii="標楷體" w:eastAsia="標楷體" w:hAnsi="標楷體" w:hint="eastAsia"/>
                <w:color w:val="000000"/>
              </w:rPr>
              <w:t>第</w:t>
            </w:r>
            <w:r w:rsidRPr="00CE6FD6">
              <w:rPr>
                <w:rFonts w:ascii="標楷體" w:eastAsia="標楷體" w:hAnsi="標楷體"/>
                <w:color w:val="000000"/>
              </w:rPr>
              <w:t>6</w:t>
            </w:r>
            <w:r w:rsidRPr="00CE6FD6">
              <w:rPr>
                <w:rFonts w:ascii="標楷體" w:eastAsia="標楷體" w:hAnsi="標楷體" w:hint="eastAsia"/>
                <w:color w:val="000000"/>
              </w:rPr>
              <w:t>會期第</w:t>
            </w:r>
            <w:r w:rsidRPr="00CE6FD6">
              <w:rPr>
                <w:rFonts w:ascii="標楷體" w:eastAsia="標楷體" w:hAnsi="標楷體"/>
                <w:color w:val="000000"/>
              </w:rPr>
              <w:t>4</w:t>
            </w:r>
            <w:r w:rsidRPr="00CE6FD6">
              <w:rPr>
                <w:rFonts w:ascii="標楷體" w:eastAsia="標楷體" w:hAnsi="標楷體" w:hint="eastAsia"/>
                <w:color w:val="000000"/>
              </w:rPr>
              <w:t>次院會</w:t>
            </w:r>
            <w:r w:rsidRPr="00CE6FD6">
              <w:rPr>
                <w:rFonts w:ascii="標楷體" w:eastAsia="標楷體" w:hAnsi="標楷體" w:hint="eastAsia"/>
                <w:color w:val="000000"/>
              </w:rPr>
              <w:lastRenderedPageBreak/>
              <w:t>（111.</w:t>
            </w:r>
            <w:r w:rsidRPr="00CE6FD6">
              <w:rPr>
                <w:rFonts w:ascii="標楷體" w:eastAsia="標楷體" w:hAnsi="標楷體"/>
                <w:color w:val="000000"/>
              </w:rPr>
              <w:t>10</w:t>
            </w:r>
            <w:r w:rsidRPr="00CE6FD6">
              <w:rPr>
                <w:rFonts w:ascii="標楷體" w:eastAsia="標楷體" w:hAnsi="標楷體" w:hint="eastAsia"/>
                <w:color w:val="000000"/>
              </w:rPr>
              <w:t>.</w:t>
            </w:r>
            <w:r w:rsidRPr="00CE6FD6">
              <w:rPr>
                <w:rFonts w:ascii="標楷體" w:eastAsia="標楷體" w:hAnsi="標楷體"/>
                <w:color w:val="000000"/>
              </w:rPr>
              <w:t>14</w:t>
            </w:r>
            <w:r w:rsidRPr="00CE6FD6">
              <w:rPr>
                <w:rFonts w:ascii="標楷體" w:eastAsia="標楷體" w:hAnsi="標楷體" w:hint="eastAsia"/>
                <w:color w:val="000000"/>
              </w:rPr>
              <w:t>）決定：准予備查。</w:t>
            </w:r>
          </w:p>
        </w:tc>
      </w:tr>
      <w:tr w:rsidR="005916BD" w:rsidRPr="00920597" w:rsidTr="001F3F42">
        <w:trPr>
          <w:trHeight w:val="567"/>
        </w:trPr>
        <w:tc>
          <w:tcPr>
            <w:tcW w:w="345" w:type="pct"/>
            <w:vAlign w:val="center"/>
          </w:tcPr>
          <w:p w:rsidR="005916BD" w:rsidRPr="00920597" w:rsidRDefault="005916BD" w:rsidP="006934DD">
            <w:pPr>
              <w:numPr>
                <w:ilvl w:val="0"/>
                <w:numId w:val="20"/>
              </w:numPr>
              <w:spacing w:line="400" w:lineRule="exact"/>
              <w:ind w:right="113"/>
              <w:rPr>
                <w:rFonts w:ascii="標楷體" w:eastAsia="標楷體" w:hAnsi="標楷體"/>
                <w:color w:val="000000" w:themeColor="text1"/>
                <w:sz w:val="28"/>
                <w:szCs w:val="28"/>
              </w:rPr>
            </w:pPr>
          </w:p>
        </w:tc>
        <w:tc>
          <w:tcPr>
            <w:tcW w:w="1769" w:type="pct"/>
            <w:tcBorders>
              <w:top w:val="single" w:sz="4" w:space="0" w:color="auto"/>
              <w:left w:val="single" w:sz="4" w:space="0" w:color="auto"/>
              <w:bottom w:val="single" w:sz="4" w:space="0" w:color="auto"/>
              <w:right w:val="single" w:sz="4" w:space="0" w:color="auto"/>
            </w:tcBorders>
          </w:tcPr>
          <w:p w:rsidR="005916BD" w:rsidRPr="00B07DF0" w:rsidRDefault="00641E57" w:rsidP="005916BD">
            <w:pPr>
              <w:spacing w:line="400" w:lineRule="exact"/>
              <w:ind w:leftChars="-12" w:left="-29"/>
              <w:jc w:val="both"/>
              <w:rPr>
                <w:rFonts w:ascii="標楷體" w:eastAsia="標楷體" w:hAnsi="標楷體"/>
                <w:color w:val="000000"/>
                <w:sz w:val="28"/>
              </w:rPr>
            </w:pPr>
            <w:hyperlink r:id="rId37" w:tooltip="一百二十七、教育部函，為111年度中央政府總預算決議，檢送國民及學前教育署「國民及學前教育」繼續凍結1,000萬元專案報告，請查照案。" w:history="1">
              <w:r w:rsidR="005916BD" w:rsidRPr="00B07DF0">
                <w:rPr>
                  <w:rFonts w:ascii="標楷體" w:eastAsia="標楷體" w:hAnsi="標楷體" w:hint="eastAsia"/>
                  <w:color w:val="000000"/>
                  <w:sz w:val="28"/>
                </w:rPr>
                <w:t>教育部函，為</w:t>
              </w:r>
              <w:r w:rsidR="005916BD" w:rsidRPr="00B07DF0">
                <w:rPr>
                  <w:rFonts w:ascii="標楷體" w:eastAsia="標楷體" w:hAnsi="標楷體"/>
                  <w:color w:val="000000"/>
                  <w:sz w:val="28"/>
                </w:rPr>
                <w:t>111</w:t>
              </w:r>
              <w:r w:rsidR="005916BD" w:rsidRPr="00B07DF0">
                <w:rPr>
                  <w:rFonts w:ascii="標楷體" w:eastAsia="標楷體" w:hAnsi="標楷體" w:hint="eastAsia"/>
                  <w:color w:val="000000"/>
                  <w:sz w:val="28"/>
                </w:rPr>
                <w:t>年度中央政府總預算決議，檢送國民及學前教育署「國民及學前教育」繼續凍結</w:t>
              </w:r>
              <w:r w:rsidR="005916BD" w:rsidRPr="00B07DF0">
                <w:rPr>
                  <w:rFonts w:ascii="標楷體" w:eastAsia="標楷體" w:hAnsi="標楷體"/>
                  <w:color w:val="000000"/>
                  <w:sz w:val="28"/>
                </w:rPr>
                <w:t>1,000</w:t>
              </w:r>
              <w:r w:rsidR="005916BD" w:rsidRPr="00B07DF0">
                <w:rPr>
                  <w:rFonts w:ascii="標楷體" w:eastAsia="標楷體" w:hAnsi="標楷體" w:hint="eastAsia"/>
                  <w:color w:val="000000"/>
                  <w:sz w:val="28"/>
                </w:rPr>
                <w:t>萬元專案報告，請查照案。</w:t>
              </w:r>
            </w:hyperlink>
          </w:p>
        </w:tc>
        <w:tc>
          <w:tcPr>
            <w:tcW w:w="838" w:type="pct"/>
            <w:tcBorders>
              <w:top w:val="single" w:sz="4" w:space="0" w:color="auto"/>
              <w:left w:val="single" w:sz="4" w:space="0" w:color="auto"/>
              <w:bottom w:val="single" w:sz="4" w:space="0" w:color="auto"/>
              <w:right w:val="single" w:sz="4" w:space="0" w:color="auto"/>
            </w:tcBorders>
          </w:tcPr>
          <w:p w:rsidR="005916BD" w:rsidRPr="00B07DF0" w:rsidRDefault="005916BD" w:rsidP="005916BD">
            <w:pPr>
              <w:spacing w:line="400" w:lineRule="exact"/>
              <w:ind w:leftChars="-12" w:left="-29"/>
              <w:jc w:val="both"/>
              <w:rPr>
                <w:rFonts w:ascii="標楷體" w:eastAsia="標楷體" w:hAnsi="標楷體"/>
                <w:color w:val="000000"/>
                <w:sz w:val="28"/>
              </w:rPr>
            </w:pPr>
            <w:r w:rsidRPr="00B07DF0">
              <w:rPr>
                <w:rFonts w:ascii="標楷體" w:eastAsia="標楷體" w:hAnsi="標楷體"/>
                <w:color w:val="000000"/>
                <w:sz w:val="28"/>
              </w:rPr>
              <w:t>10-6-3</w:t>
            </w:r>
          </w:p>
          <w:p w:rsidR="005916BD" w:rsidRPr="00B07DF0" w:rsidRDefault="005916BD" w:rsidP="005916BD">
            <w:pPr>
              <w:spacing w:line="400" w:lineRule="exact"/>
              <w:ind w:leftChars="-12" w:left="-29"/>
              <w:jc w:val="both"/>
              <w:rPr>
                <w:rFonts w:ascii="標楷體" w:eastAsia="標楷體" w:hAnsi="標楷體"/>
                <w:color w:val="000000"/>
                <w:sz w:val="28"/>
              </w:rPr>
            </w:pPr>
            <w:r w:rsidRPr="00B07DF0">
              <w:rPr>
                <w:rFonts w:ascii="標楷體" w:eastAsia="標楷體" w:hAnsi="標楷體"/>
                <w:color w:val="000000"/>
                <w:sz w:val="28"/>
              </w:rPr>
              <w:t>(111.10.7)</w:t>
            </w:r>
          </w:p>
          <w:p w:rsidR="005916BD" w:rsidRPr="00B07DF0" w:rsidRDefault="005916BD" w:rsidP="005916BD">
            <w:pPr>
              <w:spacing w:line="400" w:lineRule="exact"/>
              <w:ind w:leftChars="-12" w:left="-29"/>
              <w:jc w:val="both"/>
              <w:rPr>
                <w:rFonts w:ascii="標楷體" w:eastAsia="標楷體" w:hAnsi="標楷體"/>
                <w:color w:val="000000"/>
                <w:sz w:val="28"/>
              </w:rPr>
            </w:pPr>
          </w:p>
        </w:tc>
        <w:tc>
          <w:tcPr>
            <w:tcW w:w="503" w:type="pct"/>
            <w:tcBorders>
              <w:top w:val="single" w:sz="4" w:space="0" w:color="auto"/>
              <w:left w:val="single" w:sz="4" w:space="0" w:color="auto"/>
              <w:bottom w:val="single" w:sz="4" w:space="0" w:color="auto"/>
              <w:right w:val="single" w:sz="4" w:space="0" w:color="auto"/>
            </w:tcBorders>
          </w:tcPr>
          <w:p w:rsidR="005916BD" w:rsidRPr="00CE6FD6" w:rsidRDefault="005916BD" w:rsidP="005916BD">
            <w:pPr>
              <w:rPr>
                <w:rFonts w:eastAsia="華康楷書體W5"/>
                <w:sz w:val="28"/>
              </w:rPr>
            </w:pPr>
          </w:p>
        </w:tc>
        <w:tc>
          <w:tcPr>
            <w:tcW w:w="1545" w:type="pct"/>
            <w:tcBorders>
              <w:top w:val="single" w:sz="4" w:space="0" w:color="auto"/>
              <w:left w:val="single" w:sz="4" w:space="0" w:color="auto"/>
              <w:bottom w:val="single" w:sz="4" w:space="0" w:color="auto"/>
              <w:right w:val="single" w:sz="4" w:space="0" w:color="auto"/>
            </w:tcBorders>
          </w:tcPr>
          <w:p w:rsidR="005916BD" w:rsidRPr="00CE6FD6" w:rsidRDefault="005916BD" w:rsidP="005916BD">
            <w:pPr>
              <w:ind w:left="202" w:hangingChars="84" w:hanging="202"/>
              <w:jc w:val="both"/>
              <w:rPr>
                <w:rFonts w:ascii="標楷體" w:eastAsia="標楷體" w:hAnsi="標楷體"/>
              </w:rPr>
            </w:pPr>
            <w:r>
              <w:rPr>
                <w:rFonts w:ascii="標楷體" w:eastAsia="標楷體" w:hAnsi="標楷體" w:hint="eastAsia"/>
              </w:rPr>
              <w:t>1.</w:t>
            </w:r>
            <w:r w:rsidRPr="00CE6FD6">
              <w:rPr>
                <w:rFonts w:ascii="標楷體" w:eastAsia="標楷體" w:hAnsi="標楷體" w:hint="eastAsia"/>
              </w:rPr>
              <w:t>第</w:t>
            </w:r>
            <w:r w:rsidRPr="00CE6FD6">
              <w:rPr>
                <w:rFonts w:ascii="標楷體" w:eastAsia="標楷體" w:hAnsi="標楷體"/>
              </w:rPr>
              <w:t>6</w:t>
            </w:r>
            <w:r w:rsidRPr="00CE6FD6">
              <w:rPr>
                <w:rFonts w:ascii="標楷體" w:eastAsia="標楷體" w:hAnsi="標楷體" w:hint="eastAsia"/>
              </w:rPr>
              <w:t>會期第</w:t>
            </w:r>
            <w:r w:rsidRPr="00CE6FD6">
              <w:rPr>
                <w:rFonts w:ascii="標楷體" w:eastAsia="標楷體" w:hAnsi="標楷體"/>
              </w:rPr>
              <w:t>12</w:t>
            </w:r>
            <w:r w:rsidRPr="00CE6FD6">
              <w:rPr>
                <w:rFonts w:ascii="標楷體" w:eastAsia="標楷體" w:hAnsi="標楷體" w:hint="eastAsia"/>
              </w:rPr>
              <w:t>次全體委員會議（111.</w:t>
            </w:r>
            <w:r w:rsidRPr="00CE6FD6">
              <w:rPr>
                <w:rFonts w:ascii="標楷體" w:eastAsia="標楷體" w:hAnsi="標楷體"/>
              </w:rPr>
              <w:t>12</w:t>
            </w:r>
            <w:r w:rsidRPr="00CE6FD6">
              <w:rPr>
                <w:rFonts w:ascii="標楷體" w:eastAsia="標楷體" w:hAnsi="標楷體" w:hint="eastAsia"/>
              </w:rPr>
              <w:t>.</w:t>
            </w:r>
            <w:r w:rsidRPr="00CE6FD6">
              <w:rPr>
                <w:rFonts w:ascii="標楷體" w:eastAsia="標楷體" w:hAnsi="標楷體"/>
              </w:rPr>
              <w:t>1</w:t>
            </w:r>
            <w:r w:rsidRPr="00CE6FD6">
              <w:rPr>
                <w:rFonts w:ascii="標楷體" w:eastAsia="標楷體" w:hAnsi="標楷體" w:hint="eastAsia"/>
              </w:rPr>
              <w:t>）決議：准予動支，提報院會。</w:t>
            </w:r>
          </w:p>
          <w:p w:rsidR="005916BD" w:rsidRPr="00CE6FD6" w:rsidRDefault="005916BD" w:rsidP="005916BD">
            <w:pPr>
              <w:ind w:left="254" w:hangingChars="106" w:hanging="254"/>
              <w:jc w:val="both"/>
              <w:rPr>
                <w:rFonts w:eastAsia="華康楷書體W5"/>
                <w:sz w:val="28"/>
              </w:rPr>
            </w:pPr>
            <w:r w:rsidRPr="00CE6FD6">
              <w:rPr>
                <w:rFonts w:ascii="標楷體" w:eastAsia="標楷體" w:hAnsi="標楷體" w:hint="eastAsia"/>
              </w:rPr>
              <w:t>2.第6會期第12次院會（111.12.16）決定：准予備查。</w:t>
            </w:r>
          </w:p>
        </w:tc>
      </w:tr>
    </w:tbl>
    <w:p w:rsidR="00AC6B29" w:rsidRDefault="00AC6B29" w:rsidP="00F41455">
      <w:pPr>
        <w:pStyle w:val="01-4"/>
        <w:rPr>
          <w:color w:val="000000" w:themeColor="text1"/>
        </w:rPr>
      </w:pPr>
      <w:bookmarkStart w:id="104" w:name="_Toc126068142"/>
      <w:r>
        <w:rPr>
          <w:color w:val="000000" w:themeColor="text1"/>
        </w:rPr>
        <w:t>2</w:t>
      </w:r>
      <w:r w:rsidRPr="00920597">
        <w:rPr>
          <w:rFonts w:hint="eastAsia"/>
          <w:color w:val="000000" w:themeColor="text1"/>
        </w:rPr>
        <w:t>.</w:t>
      </w:r>
      <w:r>
        <w:rPr>
          <w:rFonts w:hint="eastAsia"/>
          <w:color w:val="000000" w:themeColor="text1"/>
        </w:rPr>
        <w:t>文化</w:t>
      </w:r>
      <w:r w:rsidRPr="00920597">
        <w:rPr>
          <w:rFonts w:hint="eastAsia"/>
          <w:color w:val="000000" w:themeColor="text1"/>
        </w:rPr>
        <w:t>部 (</w:t>
      </w:r>
      <w:r>
        <w:rPr>
          <w:rFonts w:hint="eastAsia"/>
          <w:color w:val="000000" w:themeColor="text1"/>
        </w:rPr>
        <w:t>31</w:t>
      </w:r>
      <w:r w:rsidRPr="00920597">
        <w:rPr>
          <w:rFonts w:hint="eastAsia"/>
          <w:color w:val="000000" w:themeColor="text1"/>
        </w:rPr>
        <w:t>案)</w:t>
      </w:r>
      <w:bookmarkEnd w:id="104"/>
    </w:p>
    <w:tbl>
      <w:tblPr>
        <w:tblW w:w="5148" w:type="pct"/>
        <w:tblInd w:w="-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2"/>
        <w:gridCol w:w="3577"/>
        <w:gridCol w:w="1701"/>
        <w:gridCol w:w="966"/>
        <w:gridCol w:w="2968"/>
      </w:tblGrid>
      <w:tr w:rsidR="00AC6B29" w:rsidRPr="00920597" w:rsidTr="001F3F42">
        <w:trPr>
          <w:trHeight w:val="700"/>
        </w:trPr>
        <w:tc>
          <w:tcPr>
            <w:tcW w:w="354" w:type="pct"/>
            <w:vAlign w:val="center"/>
          </w:tcPr>
          <w:p w:rsidR="00AC6B29" w:rsidRPr="00920597" w:rsidRDefault="00AC6B29" w:rsidP="001F3F42">
            <w:pPr>
              <w:spacing w:line="400" w:lineRule="exact"/>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1804" w:type="pct"/>
            <w:vAlign w:val="center"/>
          </w:tcPr>
          <w:p w:rsidR="00AC6B29" w:rsidRPr="00920597" w:rsidRDefault="00AC6B29" w:rsidP="001F3F42">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58" w:type="pct"/>
            <w:vAlign w:val="center"/>
          </w:tcPr>
          <w:p w:rsidR="00AC6B29" w:rsidRPr="00920597" w:rsidRDefault="00AC6B29" w:rsidP="001F3F42">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院會交付</w:t>
            </w:r>
          </w:p>
          <w:p w:rsidR="00AC6B29" w:rsidRPr="00920597" w:rsidRDefault="00AC6B29" w:rsidP="001F3F42">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487" w:type="pct"/>
            <w:vAlign w:val="center"/>
          </w:tcPr>
          <w:p w:rsidR="00AC6B29" w:rsidRPr="00920597" w:rsidRDefault="00AC6B29" w:rsidP="001F3F42">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聯席</w:t>
            </w:r>
          </w:p>
          <w:p w:rsidR="00AC6B29" w:rsidRPr="00920597" w:rsidRDefault="00AC6B29" w:rsidP="001F3F42">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w:t>
            </w:r>
          </w:p>
        </w:tc>
        <w:tc>
          <w:tcPr>
            <w:tcW w:w="1497" w:type="pct"/>
            <w:vAlign w:val="center"/>
          </w:tcPr>
          <w:p w:rsidR="00AC6B29" w:rsidRPr="00920597" w:rsidRDefault="00AC6B29" w:rsidP="001F3F42">
            <w:pPr>
              <w:spacing w:line="400" w:lineRule="exact"/>
              <w:jc w:val="distribute"/>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處理情形</w:t>
            </w:r>
          </w:p>
        </w:tc>
      </w:tr>
      <w:tr w:rsidR="007B4408" w:rsidRPr="00920597" w:rsidTr="001F3F42">
        <w:trPr>
          <w:trHeight w:val="567"/>
        </w:trPr>
        <w:tc>
          <w:tcPr>
            <w:tcW w:w="354" w:type="pct"/>
            <w:vAlign w:val="center"/>
          </w:tcPr>
          <w:p w:rsidR="007B4408" w:rsidRPr="00920597" w:rsidRDefault="007B4408" w:rsidP="006934DD">
            <w:pPr>
              <w:numPr>
                <w:ilvl w:val="0"/>
                <w:numId w:val="21"/>
              </w:numPr>
              <w:spacing w:line="400" w:lineRule="exact"/>
              <w:ind w:right="113"/>
              <w:rPr>
                <w:rFonts w:ascii="標楷體" w:eastAsia="標楷體" w:hAnsi="標楷體"/>
                <w:color w:val="000000" w:themeColor="text1"/>
                <w:sz w:val="28"/>
                <w:szCs w:val="28"/>
              </w:rPr>
            </w:pPr>
          </w:p>
        </w:tc>
        <w:tc>
          <w:tcPr>
            <w:tcW w:w="1804"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hint="eastAsia"/>
                <w:color w:val="000000"/>
                <w:sz w:val="28"/>
              </w:rPr>
              <w:t>文化部函，為111年度中央政府總預算決議，檢送歲出第21款第4項決議（六）傳統藝術展演交流與推廣計畫預算凍結書面報告，請查照案。</w:t>
            </w:r>
          </w:p>
        </w:tc>
        <w:tc>
          <w:tcPr>
            <w:tcW w:w="858"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10-5-6</w:t>
            </w:r>
          </w:p>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(111.4.1)</w:t>
            </w:r>
          </w:p>
        </w:tc>
        <w:tc>
          <w:tcPr>
            <w:tcW w:w="487" w:type="pct"/>
          </w:tcPr>
          <w:p w:rsidR="007B4408" w:rsidRPr="002C2B2E" w:rsidRDefault="007B4408" w:rsidP="007B4408">
            <w:pPr>
              <w:rPr>
                <w:rFonts w:ascii="標楷體" w:eastAsia="標楷體" w:hAnsi="標楷體"/>
                <w:color w:val="000000"/>
                <w:sz w:val="28"/>
              </w:rPr>
            </w:pPr>
          </w:p>
        </w:tc>
        <w:tc>
          <w:tcPr>
            <w:tcW w:w="1497" w:type="pct"/>
          </w:tcPr>
          <w:p w:rsidR="007B4408" w:rsidRPr="002C2B2E" w:rsidRDefault="007B4408" w:rsidP="006934DD">
            <w:pPr>
              <w:numPr>
                <w:ilvl w:val="0"/>
                <w:numId w:val="53"/>
              </w:numPr>
              <w:ind w:left="327" w:hanging="277"/>
              <w:jc w:val="both"/>
              <w:rPr>
                <w:rFonts w:ascii="標楷體" w:eastAsia="標楷體" w:hAnsi="標楷體"/>
                <w:color w:val="000000"/>
              </w:rPr>
            </w:pPr>
            <w:r w:rsidRPr="002C2B2E">
              <w:rPr>
                <w:rFonts w:ascii="標楷體" w:eastAsia="標楷體" w:hAnsi="標楷體" w:hint="eastAsia"/>
                <w:color w:val="000000"/>
              </w:rPr>
              <w:t>第</w:t>
            </w:r>
            <w:r w:rsidRPr="002C2B2E">
              <w:rPr>
                <w:rFonts w:ascii="標楷體" w:eastAsia="標楷體" w:hAnsi="標楷體"/>
                <w:color w:val="000000"/>
              </w:rPr>
              <w:t>5</w:t>
            </w:r>
            <w:r w:rsidRPr="002C2B2E">
              <w:rPr>
                <w:rFonts w:ascii="標楷體" w:eastAsia="標楷體" w:hAnsi="標楷體" w:hint="eastAsia"/>
                <w:color w:val="000000"/>
              </w:rPr>
              <w:t>會期第</w:t>
            </w:r>
            <w:r w:rsidRPr="002C2B2E">
              <w:rPr>
                <w:rFonts w:ascii="標楷體" w:eastAsia="標楷體" w:hAnsi="標楷體"/>
                <w:color w:val="000000"/>
              </w:rPr>
              <w:t>1</w:t>
            </w:r>
            <w:r w:rsidRPr="002C2B2E">
              <w:rPr>
                <w:rFonts w:ascii="標楷體" w:eastAsia="標楷體" w:hAnsi="標楷體" w:hint="eastAsia"/>
                <w:color w:val="000000"/>
              </w:rPr>
              <w:t>5次全體委員會議（1</w:t>
            </w:r>
            <w:r w:rsidRPr="002C2B2E">
              <w:rPr>
                <w:rFonts w:ascii="標楷體" w:eastAsia="標楷體" w:hAnsi="標楷體"/>
                <w:color w:val="000000"/>
              </w:rPr>
              <w:t>11</w:t>
            </w:r>
            <w:r w:rsidRPr="002C2B2E">
              <w:rPr>
                <w:rFonts w:ascii="標楷體" w:eastAsia="標楷體" w:hAnsi="標楷體" w:hint="eastAsia"/>
                <w:color w:val="000000"/>
              </w:rPr>
              <w:t>.</w:t>
            </w:r>
            <w:r w:rsidRPr="002C2B2E">
              <w:rPr>
                <w:rFonts w:ascii="標楷體" w:eastAsia="標楷體" w:hAnsi="標楷體"/>
                <w:color w:val="000000"/>
              </w:rPr>
              <w:t>5</w:t>
            </w:r>
            <w:r w:rsidRPr="002C2B2E">
              <w:rPr>
                <w:rFonts w:ascii="標楷體" w:eastAsia="標楷體" w:hAnsi="標楷體" w:hint="eastAsia"/>
                <w:color w:val="000000"/>
              </w:rPr>
              <w:t>.25）決議：准予動支，提報院會。</w:t>
            </w:r>
          </w:p>
          <w:p w:rsidR="007B4408" w:rsidRPr="002C2B2E" w:rsidRDefault="007B4408" w:rsidP="006934DD">
            <w:pPr>
              <w:numPr>
                <w:ilvl w:val="0"/>
                <w:numId w:val="53"/>
              </w:numPr>
              <w:ind w:left="327" w:hanging="277"/>
              <w:jc w:val="both"/>
              <w:rPr>
                <w:rFonts w:ascii="標楷體" w:eastAsia="標楷體" w:hAnsi="標楷體"/>
                <w:color w:val="000000"/>
              </w:rPr>
            </w:pPr>
            <w:r w:rsidRPr="002C2B2E">
              <w:rPr>
                <w:rFonts w:ascii="標楷體" w:eastAsia="標楷體" w:hAnsi="標楷體" w:hint="eastAsia"/>
                <w:color w:val="000000"/>
              </w:rPr>
              <w:t>第6會期第1次院會（111.9.23）決定：准予備查。</w:t>
            </w:r>
          </w:p>
        </w:tc>
      </w:tr>
      <w:tr w:rsidR="007B4408" w:rsidRPr="00920597" w:rsidTr="001F3F42">
        <w:trPr>
          <w:trHeight w:val="567"/>
        </w:trPr>
        <w:tc>
          <w:tcPr>
            <w:tcW w:w="354" w:type="pct"/>
            <w:vAlign w:val="center"/>
          </w:tcPr>
          <w:p w:rsidR="007B4408" w:rsidRPr="00920597" w:rsidRDefault="007B4408" w:rsidP="006934DD">
            <w:pPr>
              <w:numPr>
                <w:ilvl w:val="0"/>
                <w:numId w:val="21"/>
              </w:numPr>
              <w:spacing w:line="400" w:lineRule="exact"/>
              <w:ind w:right="113"/>
              <w:rPr>
                <w:rFonts w:ascii="標楷體" w:eastAsia="標楷體" w:hAnsi="標楷體"/>
                <w:color w:val="000000" w:themeColor="text1"/>
                <w:sz w:val="28"/>
                <w:szCs w:val="28"/>
              </w:rPr>
            </w:pPr>
          </w:p>
        </w:tc>
        <w:tc>
          <w:tcPr>
            <w:tcW w:w="1804"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hint="eastAsia"/>
                <w:color w:val="000000"/>
                <w:sz w:val="28"/>
              </w:rPr>
              <w:t>文化部函，為111年度中央政府總預算決議，檢送凍結「傳統藝術中心業務」200萬元專案報告，請查照案。</w:t>
            </w:r>
          </w:p>
        </w:tc>
        <w:tc>
          <w:tcPr>
            <w:tcW w:w="858"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10-5-6</w:t>
            </w:r>
          </w:p>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(111.4.1)</w:t>
            </w:r>
          </w:p>
        </w:tc>
        <w:tc>
          <w:tcPr>
            <w:tcW w:w="487" w:type="pct"/>
          </w:tcPr>
          <w:p w:rsidR="007B4408" w:rsidRPr="002C2B2E" w:rsidRDefault="007B4408" w:rsidP="007B4408">
            <w:pPr>
              <w:rPr>
                <w:rFonts w:ascii="標楷體" w:eastAsia="標楷體" w:hAnsi="標楷體"/>
                <w:color w:val="000000"/>
                <w:sz w:val="28"/>
              </w:rPr>
            </w:pPr>
          </w:p>
        </w:tc>
        <w:tc>
          <w:tcPr>
            <w:tcW w:w="1497" w:type="pct"/>
          </w:tcPr>
          <w:p w:rsidR="007B4408" w:rsidRPr="002C2B2E" w:rsidRDefault="007B4408" w:rsidP="006934DD">
            <w:pPr>
              <w:numPr>
                <w:ilvl w:val="0"/>
                <w:numId w:val="54"/>
              </w:numPr>
              <w:rPr>
                <w:rFonts w:ascii="標楷體" w:eastAsia="標楷體" w:hAnsi="標楷體"/>
                <w:color w:val="000000"/>
              </w:rPr>
            </w:pPr>
            <w:r w:rsidRPr="002C2B2E">
              <w:rPr>
                <w:rFonts w:ascii="標楷體" w:eastAsia="標楷體" w:hAnsi="標楷體" w:hint="eastAsia"/>
                <w:color w:val="000000"/>
              </w:rPr>
              <w:t>第</w:t>
            </w:r>
            <w:r w:rsidRPr="002C2B2E">
              <w:rPr>
                <w:rFonts w:ascii="標楷體" w:eastAsia="標楷體" w:hAnsi="標楷體"/>
                <w:color w:val="000000"/>
              </w:rPr>
              <w:t>5</w:t>
            </w:r>
            <w:r w:rsidRPr="002C2B2E">
              <w:rPr>
                <w:rFonts w:ascii="標楷體" w:eastAsia="標楷體" w:hAnsi="標楷體" w:hint="eastAsia"/>
                <w:color w:val="000000"/>
              </w:rPr>
              <w:t>會期第</w:t>
            </w:r>
            <w:r w:rsidRPr="002C2B2E">
              <w:rPr>
                <w:rFonts w:ascii="標楷體" w:eastAsia="標楷體" w:hAnsi="標楷體"/>
                <w:color w:val="000000"/>
              </w:rPr>
              <w:t>1</w:t>
            </w:r>
            <w:r w:rsidRPr="002C2B2E">
              <w:rPr>
                <w:rFonts w:ascii="標楷體" w:eastAsia="標楷體" w:hAnsi="標楷體" w:hint="eastAsia"/>
                <w:color w:val="000000"/>
              </w:rPr>
              <w:t>5次全體委員會議（1</w:t>
            </w:r>
            <w:r w:rsidRPr="002C2B2E">
              <w:rPr>
                <w:rFonts w:ascii="標楷體" w:eastAsia="標楷體" w:hAnsi="標楷體"/>
                <w:color w:val="000000"/>
              </w:rPr>
              <w:t>11</w:t>
            </w:r>
            <w:r w:rsidRPr="002C2B2E">
              <w:rPr>
                <w:rFonts w:ascii="標楷體" w:eastAsia="標楷體" w:hAnsi="標楷體" w:hint="eastAsia"/>
                <w:color w:val="000000"/>
              </w:rPr>
              <w:t>.</w:t>
            </w:r>
            <w:r w:rsidRPr="002C2B2E">
              <w:rPr>
                <w:rFonts w:ascii="標楷體" w:eastAsia="標楷體" w:hAnsi="標楷體"/>
                <w:color w:val="000000"/>
              </w:rPr>
              <w:t>5</w:t>
            </w:r>
            <w:r w:rsidRPr="002C2B2E">
              <w:rPr>
                <w:rFonts w:ascii="標楷體" w:eastAsia="標楷體" w:hAnsi="標楷體" w:hint="eastAsia"/>
                <w:color w:val="000000"/>
              </w:rPr>
              <w:t>.25）決議：准予動支，提報院會。</w:t>
            </w:r>
          </w:p>
          <w:p w:rsidR="007B4408" w:rsidRPr="002C2B2E" w:rsidRDefault="007B4408" w:rsidP="006934DD">
            <w:pPr>
              <w:numPr>
                <w:ilvl w:val="0"/>
                <w:numId w:val="54"/>
              </w:numPr>
              <w:jc w:val="both"/>
              <w:rPr>
                <w:rFonts w:ascii="標楷體" w:eastAsia="標楷體" w:hAnsi="標楷體"/>
                <w:color w:val="000000"/>
              </w:rPr>
            </w:pPr>
            <w:r w:rsidRPr="002C2B2E">
              <w:rPr>
                <w:rFonts w:ascii="標楷體" w:eastAsia="標楷體" w:hAnsi="標楷體" w:hint="eastAsia"/>
                <w:color w:val="000000"/>
              </w:rPr>
              <w:t>第6會期第1次院會（111.9.23）決定：准予備查。</w:t>
            </w:r>
          </w:p>
        </w:tc>
      </w:tr>
      <w:tr w:rsidR="007B4408" w:rsidRPr="00920597" w:rsidTr="001F3F42">
        <w:trPr>
          <w:trHeight w:val="567"/>
        </w:trPr>
        <w:tc>
          <w:tcPr>
            <w:tcW w:w="354" w:type="pct"/>
            <w:vAlign w:val="center"/>
          </w:tcPr>
          <w:p w:rsidR="007B4408" w:rsidRPr="00920597" w:rsidRDefault="007B4408" w:rsidP="006934DD">
            <w:pPr>
              <w:numPr>
                <w:ilvl w:val="0"/>
                <w:numId w:val="21"/>
              </w:numPr>
              <w:spacing w:line="400" w:lineRule="exact"/>
              <w:ind w:right="113"/>
              <w:rPr>
                <w:rFonts w:ascii="標楷體" w:eastAsia="標楷體" w:hAnsi="標楷體"/>
                <w:color w:val="000000" w:themeColor="text1"/>
                <w:sz w:val="28"/>
                <w:szCs w:val="28"/>
              </w:rPr>
            </w:pPr>
          </w:p>
        </w:tc>
        <w:tc>
          <w:tcPr>
            <w:tcW w:w="1804" w:type="pct"/>
          </w:tcPr>
          <w:p w:rsidR="007B4408" w:rsidRPr="002C2B2E" w:rsidRDefault="007B4408" w:rsidP="007B4408">
            <w:pPr>
              <w:spacing w:line="400" w:lineRule="exact"/>
              <w:ind w:leftChars="-12" w:left="-29"/>
              <w:jc w:val="both"/>
              <w:rPr>
                <w:rFonts w:eastAsia="華康楷書體W5"/>
                <w:color w:val="000000"/>
                <w:sz w:val="28"/>
              </w:rPr>
            </w:pPr>
            <w:r w:rsidRPr="007B4408">
              <w:rPr>
                <w:rFonts w:ascii="標楷體" w:eastAsia="標楷體" w:hAnsi="標楷體" w:hint="eastAsia"/>
                <w:color w:val="000000"/>
                <w:sz w:val="28"/>
              </w:rPr>
              <w:t>文化部函，為111年度中央政府總預算決議，檢送歲出第21款第2項決議（八）「文化資產業務」預算凍結書面報告，請查照案。</w:t>
            </w:r>
          </w:p>
        </w:tc>
        <w:tc>
          <w:tcPr>
            <w:tcW w:w="858"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10-5-6</w:t>
            </w:r>
          </w:p>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(111.4.1)</w:t>
            </w:r>
          </w:p>
        </w:tc>
        <w:tc>
          <w:tcPr>
            <w:tcW w:w="487" w:type="pct"/>
          </w:tcPr>
          <w:p w:rsidR="007B4408" w:rsidRPr="002C2B2E" w:rsidRDefault="007B4408" w:rsidP="007B4408">
            <w:pPr>
              <w:rPr>
                <w:rFonts w:ascii="標楷體" w:eastAsia="標楷體" w:hAnsi="標楷體"/>
                <w:color w:val="000000"/>
                <w:sz w:val="28"/>
              </w:rPr>
            </w:pPr>
          </w:p>
        </w:tc>
        <w:tc>
          <w:tcPr>
            <w:tcW w:w="1497" w:type="pct"/>
          </w:tcPr>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1.</w:t>
            </w:r>
            <w:r w:rsidRPr="002C2B2E">
              <w:rPr>
                <w:rFonts w:ascii="標楷體" w:eastAsia="標楷體" w:hAnsi="標楷體" w:hint="eastAsia"/>
                <w:color w:val="000000"/>
              </w:rPr>
              <w:tab/>
              <w:t>第5會期第15次全體委員會議（111.5.25）決議：准予動支，提報院會。</w:t>
            </w:r>
          </w:p>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2.</w:t>
            </w:r>
            <w:r w:rsidRPr="002C2B2E">
              <w:rPr>
                <w:rFonts w:ascii="標楷體" w:eastAsia="標楷體" w:hAnsi="標楷體" w:hint="eastAsia"/>
                <w:color w:val="000000"/>
              </w:rPr>
              <w:tab/>
              <w:t>第6會期第1次院會（111.9.23）決定：准予備查。</w:t>
            </w:r>
          </w:p>
        </w:tc>
      </w:tr>
      <w:tr w:rsidR="007B4408" w:rsidRPr="00920597" w:rsidTr="001F3F42">
        <w:trPr>
          <w:trHeight w:val="567"/>
        </w:trPr>
        <w:tc>
          <w:tcPr>
            <w:tcW w:w="354" w:type="pct"/>
            <w:vAlign w:val="center"/>
          </w:tcPr>
          <w:p w:rsidR="007B4408" w:rsidRPr="00920597" w:rsidRDefault="007B4408" w:rsidP="006934DD">
            <w:pPr>
              <w:numPr>
                <w:ilvl w:val="0"/>
                <w:numId w:val="21"/>
              </w:numPr>
              <w:spacing w:line="400" w:lineRule="exact"/>
              <w:ind w:right="113"/>
              <w:rPr>
                <w:rFonts w:ascii="標楷體" w:eastAsia="標楷體" w:hAnsi="標楷體"/>
                <w:color w:val="000000" w:themeColor="text1"/>
                <w:sz w:val="28"/>
                <w:szCs w:val="28"/>
              </w:rPr>
            </w:pPr>
          </w:p>
        </w:tc>
        <w:tc>
          <w:tcPr>
            <w:tcW w:w="1804" w:type="pct"/>
          </w:tcPr>
          <w:p w:rsidR="007B4408" w:rsidRPr="002C2B2E" w:rsidRDefault="007B4408" w:rsidP="007B4408">
            <w:pPr>
              <w:spacing w:line="400" w:lineRule="exact"/>
              <w:ind w:leftChars="-12" w:left="-29"/>
              <w:jc w:val="both"/>
              <w:rPr>
                <w:rFonts w:eastAsia="華康楷書體W5"/>
                <w:color w:val="000000"/>
                <w:sz w:val="28"/>
              </w:rPr>
            </w:pPr>
            <w:r w:rsidRPr="007B4408">
              <w:rPr>
                <w:rFonts w:ascii="標楷體" w:eastAsia="標楷體" w:hAnsi="標楷體" w:hint="eastAsia"/>
                <w:color w:val="000000"/>
                <w:sz w:val="28"/>
              </w:rPr>
              <w:t>文化部函，為111年度中央政府總預算決議，檢送歲出第21款第1項決議（八）預算凍結書面報告，請查照</w:t>
            </w:r>
            <w:r w:rsidRPr="007B4408">
              <w:rPr>
                <w:rFonts w:ascii="標楷體" w:eastAsia="標楷體" w:hAnsi="標楷體" w:hint="eastAsia"/>
                <w:color w:val="000000"/>
                <w:sz w:val="28"/>
              </w:rPr>
              <w:lastRenderedPageBreak/>
              <w:t>案。</w:t>
            </w:r>
          </w:p>
        </w:tc>
        <w:tc>
          <w:tcPr>
            <w:tcW w:w="858"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lastRenderedPageBreak/>
              <w:t>10-5-6</w:t>
            </w:r>
          </w:p>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(111.4.1)</w:t>
            </w:r>
          </w:p>
        </w:tc>
        <w:tc>
          <w:tcPr>
            <w:tcW w:w="487" w:type="pct"/>
          </w:tcPr>
          <w:p w:rsidR="007B4408" w:rsidRPr="002C2B2E" w:rsidRDefault="007B4408" w:rsidP="007B4408">
            <w:pPr>
              <w:rPr>
                <w:rFonts w:ascii="標楷體" w:eastAsia="標楷體" w:hAnsi="標楷體"/>
                <w:color w:val="000000"/>
                <w:sz w:val="28"/>
              </w:rPr>
            </w:pPr>
          </w:p>
        </w:tc>
        <w:tc>
          <w:tcPr>
            <w:tcW w:w="1497" w:type="pct"/>
          </w:tcPr>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1.</w:t>
            </w:r>
            <w:r w:rsidRPr="002C2B2E">
              <w:rPr>
                <w:rFonts w:ascii="標楷體" w:eastAsia="標楷體" w:hAnsi="標楷體" w:hint="eastAsia"/>
                <w:color w:val="000000"/>
              </w:rPr>
              <w:tab/>
              <w:t>第5會期第15次全體委員會議（111.5.25）決議：准予動支，提報院會。</w:t>
            </w:r>
          </w:p>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2.</w:t>
            </w:r>
            <w:r w:rsidRPr="002C2B2E">
              <w:rPr>
                <w:rFonts w:ascii="標楷體" w:eastAsia="標楷體" w:hAnsi="標楷體" w:hint="eastAsia"/>
                <w:color w:val="000000"/>
              </w:rPr>
              <w:tab/>
              <w:t>第6會期第1次院會</w:t>
            </w:r>
            <w:r w:rsidRPr="002C2B2E">
              <w:rPr>
                <w:rFonts w:ascii="標楷體" w:eastAsia="標楷體" w:hAnsi="標楷體" w:hint="eastAsia"/>
                <w:color w:val="000000"/>
              </w:rPr>
              <w:lastRenderedPageBreak/>
              <w:t>（111.9.23）決定：准予備查。</w:t>
            </w:r>
          </w:p>
        </w:tc>
      </w:tr>
      <w:tr w:rsidR="007B4408" w:rsidRPr="00920597" w:rsidTr="001F3F42">
        <w:trPr>
          <w:trHeight w:val="567"/>
        </w:trPr>
        <w:tc>
          <w:tcPr>
            <w:tcW w:w="354" w:type="pct"/>
            <w:vAlign w:val="center"/>
          </w:tcPr>
          <w:p w:rsidR="007B4408" w:rsidRPr="00920597" w:rsidRDefault="007B4408" w:rsidP="006934DD">
            <w:pPr>
              <w:numPr>
                <w:ilvl w:val="0"/>
                <w:numId w:val="21"/>
              </w:numPr>
              <w:spacing w:line="400" w:lineRule="exact"/>
              <w:ind w:right="113"/>
              <w:rPr>
                <w:rFonts w:ascii="標楷體" w:eastAsia="標楷體" w:hAnsi="標楷體"/>
                <w:color w:val="000000" w:themeColor="text1"/>
                <w:sz w:val="28"/>
                <w:szCs w:val="28"/>
              </w:rPr>
            </w:pPr>
          </w:p>
        </w:tc>
        <w:tc>
          <w:tcPr>
            <w:tcW w:w="1804"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hint="eastAsia"/>
                <w:color w:val="000000"/>
                <w:sz w:val="28"/>
              </w:rPr>
              <w:t>文化部函，為111年度中央政府總預算決議，檢送歲出第21款第1項決議(一二八)預算凍結書面報告，請查照案。</w:t>
            </w:r>
          </w:p>
        </w:tc>
        <w:tc>
          <w:tcPr>
            <w:tcW w:w="858"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10-5-6</w:t>
            </w:r>
          </w:p>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(111.4.1)</w:t>
            </w:r>
          </w:p>
        </w:tc>
        <w:tc>
          <w:tcPr>
            <w:tcW w:w="487" w:type="pct"/>
          </w:tcPr>
          <w:p w:rsidR="007B4408" w:rsidRPr="002C2B2E" w:rsidRDefault="007B4408" w:rsidP="007B4408">
            <w:pPr>
              <w:rPr>
                <w:rFonts w:ascii="標楷體" w:eastAsia="標楷體" w:hAnsi="標楷體"/>
                <w:color w:val="000000"/>
                <w:sz w:val="28"/>
              </w:rPr>
            </w:pPr>
          </w:p>
        </w:tc>
        <w:tc>
          <w:tcPr>
            <w:tcW w:w="1497" w:type="pct"/>
          </w:tcPr>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1.</w:t>
            </w:r>
            <w:r w:rsidRPr="002C2B2E">
              <w:rPr>
                <w:rFonts w:ascii="標楷體" w:eastAsia="標楷體" w:hAnsi="標楷體" w:hint="eastAsia"/>
                <w:color w:val="000000"/>
              </w:rPr>
              <w:tab/>
              <w:t>第5會期第15次全體委員會議（111.5.25）決議：准予動支，提報院會。</w:t>
            </w:r>
          </w:p>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2.</w:t>
            </w:r>
            <w:r w:rsidRPr="002C2B2E">
              <w:rPr>
                <w:rFonts w:ascii="標楷體" w:eastAsia="標楷體" w:hAnsi="標楷體" w:hint="eastAsia"/>
                <w:color w:val="000000"/>
              </w:rPr>
              <w:tab/>
              <w:t>第6會期第1次院會（111.9.23）決定：准予備查。</w:t>
            </w:r>
          </w:p>
        </w:tc>
      </w:tr>
      <w:tr w:rsidR="007B4408" w:rsidRPr="00920597" w:rsidTr="001F3F42">
        <w:trPr>
          <w:trHeight w:val="567"/>
        </w:trPr>
        <w:tc>
          <w:tcPr>
            <w:tcW w:w="354" w:type="pct"/>
            <w:vAlign w:val="center"/>
          </w:tcPr>
          <w:p w:rsidR="007B4408" w:rsidRPr="00920597" w:rsidRDefault="007B4408" w:rsidP="006934DD">
            <w:pPr>
              <w:numPr>
                <w:ilvl w:val="0"/>
                <w:numId w:val="21"/>
              </w:numPr>
              <w:spacing w:line="400" w:lineRule="exact"/>
              <w:ind w:right="113"/>
              <w:rPr>
                <w:rFonts w:ascii="標楷體" w:eastAsia="標楷體" w:hAnsi="標楷體"/>
                <w:color w:val="000000" w:themeColor="text1"/>
                <w:sz w:val="28"/>
                <w:szCs w:val="28"/>
              </w:rPr>
            </w:pPr>
          </w:p>
        </w:tc>
        <w:tc>
          <w:tcPr>
            <w:tcW w:w="1804"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hint="eastAsia"/>
                <w:color w:val="000000"/>
                <w:sz w:val="28"/>
              </w:rPr>
              <w:t>文化部函，為111年度中央政府總預算決議，檢送歲出第21款第1項決議（一二三）凍結第1目「一般行政」100萬元書面報告，請查照案。</w:t>
            </w:r>
          </w:p>
        </w:tc>
        <w:tc>
          <w:tcPr>
            <w:tcW w:w="858"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10-5-6</w:t>
            </w:r>
          </w:p>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(111.4.1)</w:t>
            </w:r>
          </w:p>
        </w:tc>
        <w:tc>
          <w:tcPr>
            <w:tcW w:w="487" w:type="pct"/>
          </w:tcPr>
          <w:p w:rsidR="007B4408" w:rsidRPr="002C2B2E" w:rsidRDefault="007B4408" w:rsidP="007B4408">
            <w:pPr>
              <w:rPr>
                <w:rFonts w:ascii="標楷體" w:eastAsia="標楷體" w:hAnsi="標楷體"/>
                <w:color w:val="000000"/>
                <w:sz w:val="28"/>
              </w:rPr>
            </w:pPr>
          </w:p>
        </w:tc>
        <w:tc>
          <w:tcPr>
            <w:tcW w:w="1497" w:type="pct"/>
          </w:tcPr>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1.</w:t>
            </w:r>
            <w:r w:rsidRPr="002C2B2E">
              <w:rPr>
                <w:rFonts w:ascii="標楷體" w:eastAsia="標楷體" w:hAnsi="標楷體" w:hint="eastAsia"/>
                <w:color w:val="000000"/>
              </w:rPr>
              <w:tab/>
              <w:t>第5會期第15次全體委員會議（111.5.25）決議：准予動支，提報院會。</w:t>
            </w:r>
          </w:p>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2.</w:t>
            </w:r>
            <w:r w:rsidRPr="002C2B2E">
              <w:rPr>
                <w:rFonts w:ascii="標楷體" w:eastAsia="標楷體" w:hAnsi="標楷體" w:hint="eastAsia"/>
                <w:color w:val="000000"/>
              </w:rPr>
              <w:tab/>
              <w:t>第6會期第1次院會（111.9.23）決定：准予備查。</w:t>
            </w:r>
          </w:p>
        </w:tc>
      </w:tr>
      <w:tr w:rsidR="007B4408" w:rsidRPr="00920597" w:rsidTr="001F3F42">
        <w:trPr>
          <w:trHeight w:val="567"/>
        </w:trPr>
        <w:tc>
          <w:tcPr>
            <w:tcW w:w="354" w:type="pct"/>
            <w:vAlign w:val="center"/>
          </w:tcPr>
          <w:p w:rsidR="007B4408" w:rsidRPr="00920597" w:rsidRDefault="007B4408" w:rsidP="006934DD">
            <w:pPr>
              <w:numPr>
                <w:ilvl w:val="0"/>
                <w:numId w:val="21"/>
              </w:numPr>
              <w:spacing w:line="400" w:lineRule="exact"/>
              <w:ind w:right="113"/>
              <w:rPr>
                <w:rFonts w:ascii="標楷體" w:eastAsia="標楷體" w:hAnsi="標楷體"/>
                <w:color w:val="000000" w:themeColor="text1"/>
                <w:sz w:val="28"/>
                <w:szCs w:val="28"/>
              </w:rPr>
            </w:pPr>
          </w:p>
        </w:tc>
        <w:tc>
          <w:tcPr>
            <w:tcW w:w="1804"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hint="eastAsia"/>
                <w:color w:val="000000"/>
                <w:sz w:val="28"/>
              </w:rPr>
              <w:t>文化部函，為111年度中央政府總預算決議，檢送歲出第21款第1項決議（一二四）「社區營造及村落文化發展」預算凍結書面報告，請查照案。</w:t>
            </w:r>
          </w:p>
        </w:tc>
        <w:tc>
          <w:tcPr>
            <w:tcW w:w="858"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10-5-6</w:t>
            </w:r>
          </w:p>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(111.4.1)</w:t>
            </w:r>
          </w:p>
        </w:tc>
        <w:tc>
          <w:tcPr>
            <w:tcW w:w="487" w:type="pct"/>
          </w:tcPr>
          <w:p w:rsidR="007B4408" w:rsidRPr="002C2B2E" w:rsidRDefault="007B4408" w:rsidP="007B4408">
            <w:pPr>
              <w:rPr>
                <w:rFonts w:ascii="標楷體" w:eastAsia="標楷體" w:hAnsi="標楷體"/>
                <w:color w:val="000000"/>
                <w:sz w:val="28"/>
              </w:rPr>
            </w:pPr>
          </w:p>
        </w:tc>
        <w:tc>
          <w:tcPr>
            <w:tcW w:w="1497" w:type="pct"/>
          </w:tcPr>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1.</w:t>
            </w:r>
            <w:r w:rsidRPr="002C2B2E">
              <w:rPr>
                <w:rFonts w:ascii="標楷體" w:eastAsia="標楷體" w:hAnsi="標楷體" w:hint="eastAsia"/>
                <w:color w:val="000000"/>
              </w:rPr>
              <w:tab/>
              <w:t>第5會期第15次全體委員會議（111.5.25）決議：准予動支，提報院會。</w:t>
            </w:r>
          </w:p>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2.</w:t>
            </w:r>
            <w:r w:rsidRPr="002C2B2E">
              <w:rPr>
                <w:rFonts w:ascii="標楷體" w:eastAsia="標楷體" w:hAnsi="標楷體" w:hint="eastAsia"/>
                <w:color w:val="000000"/>
              </w:rPr>
              <w:tab/>
              <w:t>第6會期第1次院會（111.9.23）決定：准予備查。</w:t>
            </w:r>
          </w:p>
        </w:tc>
      </w:tr>
      <w:tr w:rsidR="007B4408" w:rsidRPr="00920597" w:rsidTr="001F3F42">
        <w:trPr>
          <w:trHeight w:val="567"/>
        </w:trPr>
        <w:tc>
          <w:tcPr>
            <w:tcW w:w="354" w:type="pct"/>
            <w:vAlign w:val="center"/>
          </w:tcPr>
          <w:p w:rsidR="007B4408" w:rsidRPr="00920597" w:rsidRDefault="007B4408" w:rsidP="006934DD">
            <w:pPr>
              <w:numPr>
                <w:ilvl w:val="0"/>
                <w:numId w:val="21"/>
              </w:numPr>
              <w:spacing w:line="400" w:lineRule="exact"/>
              <w:ind w:right="113"/>
              <w:rPr>
                <w:rFonts w:ascii="標楷體" w:eastAsia="標楷體" w:hAnsi="標楷體"/>
                <w:color w:val="000000" w:themeColor="text1"/>
                <w:sz w:val="28"/>
                <w:szCs w:val="28"/>
              </w:rPr>
            </w:pPr>
          </w:p>
        </w:tc>
        <w:tc>
          <w:tcPr>
            <w:tcW w:w="1804"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hint="eastAsia"/>
                <w:color w:val="000000"/>
                <w:sz w:val="28"/>
              </w:rPr>
              <w:t>文化部函，為111年度中央政府總預算決議，檢送歲出第21款第1項決議（三）凍結「文化資源業務」專案報告，請查照案。</w:t>
            </w:r>
          </w:p>
        </w:tc>
        <w:tc>
          <w:tcPr>
            <w:tcW w:w="858"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10-5-6</w:t>
            </w:r>
          </w:p>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(111.4.1)</w:t>
            </w:r>
          </w:p>
        </w:tc>
        <w:tc>
          <w:tcPr>
            <w:tcW w:w="487" w:type="pct"/>
          </w:tcPr>
          <w:p w:rsidR="007B4408" w:rsidRPr="002C2B2E" w:rsidRDefault="007B4408" w:rsidP="007B4408">
            <w:pPr>
              <w:rPr>
                <w:rFonts w:ascii="標楷體" w:eastAsia="標楷體" w:hAnsi="標楷體"/>
                <w:color w:val="000000"/>
                <w:sz w:val="28"/>
              </w:rPr>
            </w:pPr>
          </w:p>
        </w:tc>
        <w:tc>
          <w:tcPr>
            <w:tcW w:w="1497" w:type="pct"/>
          </w:tcPr>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1.</w:t>
            </w:r>
            <w:r w:rsidRPr="002C2B2E">
              <w:rPr>
                <w:rFonts w:ascii="標楷體" w:eastAsia="標楷體" w:hAnsi="標楷體" w:hint="eastAsia"/>
                <w:color w:val="000000"/>
              </w:rPr>
              <w:tab/>
              <w:t>第5會期第15次全體委員會議（111.5.25）決議：准予動支，提報院會。</w:t>
            </w:r>
          </w:p>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2.</w:t>
            </w:r>
            <w:r w:rsidRPr="002C2B2E">
              <w:rPr>
                <w:rFonts w:ascii="標楷體" w:eastAsia="標楷體" w:hAnsi="標楷體" w:hint="eastAsia"/>
                <w:color w:val="000000"/>
              </w:rPr>
              <w:tab/>
              <w:t>第6會期第1次院會（111.9.23）決定：准予備查。</w:t>
            </w:r>
          </w:p>
        </w:tc>
      </w:tr>
      <w:tr w:rsidR="007B4408" w:rsidRPr="00920597" w:rsidTr="001F3F42">
        <w:trPr>
          <w:trHeight w:val="567"/>
        </w:trPr>
        <w:tc>
          <w:tcPr>
            <w:tcW w:w="354" w:type="pct"/>
            <w:vAlign w:val="center"/>
          </w:tcPr>
          <w:p w:rsidR="007B4408" w:rsidRPr="00920597" w:rsidRDefault="007B4408" w:rsidP="006934DD">
            <w:pPr>
              <w:numPr>
                <w:ilvl w:val="0"/>
                <w:numId w:val="21"/>
              </w:numPr>
              <w:spacing w:line="400" w:lineRule="exact"/>
              <w:ind w:right="113"/>
              <w:rPr>
                <w:rFonts w:ascii="標楷體" w:eastAsia="標楷體" w:hAnsi="標楷體"/>
                <w:color w:val="000000" w:themeColor="text1"/>
                <w:sz w:val="28"/>
                <w:szCs w:val="28"/>
              </w:rPr>
            </w:pPr>
          </w:p>
        </w:tc>
        <w:tc>
          <w:tcPr>
            <w:tcW w:w="1804"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hint="eastAsia"/>
                <w:color w:val="000000"/>
                <w:sz w:val="28"/>
              </w:rPr>
              <w:t>文化部函，為111年度中央政府總預算決議，檢送歲出第21款第1項決議（一二七）預算凍結書面報告，請查照案。</w:t>
            </w:r>
          </w:p>
        </w:tc>
        <w:tc>
          <w:tcPr>
            <w:tcW w:w="858"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10-5-6</w:t>
            </w:r>
          </w:p>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(111.4.1)</w:t>
            </w:r>
          </w:p>
        </w:tc>
        <w:tc>
          <w:tcPr>
            <w:tcW w:w="487" w:type="pct"/>
          </w:tcPr>
          <w:p w:rsidR="007B4408" w:rsidRPr="002C2B2E" w:rsidRDefault="007B4408" w:rsidP="007B4408">
            <w:pPr>
              <w:rPr>
                <w:rFonts w:ascii="標楷體" w:eastAsia="標楷體" w:hAnsi="標楷體"/>
                <w:color w:val="000000"/>
                <w:sz w:val="28"/>
              </w:rPr>
            </w:pPr>
          </w:p>
        </w:tc>
        <w:tc>
          <w:tcPr>
            <w:tcW w:w="1497" w:type="pct"/>
          </w:tcPr>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1.</w:t>
            </w:r>
            <w:r w:rsidRPr="002C2B2E">
              <w:rPr>
                <w:rFonts w:ascii="標楷體" w:eastAsia="標楷體" w:hAnsi="標楷體" w:hint="eastAsia"/>
                <w:color w:val="000000"/>
              </w:rPr>
              <w:tab/>
              <w:t>第5會期第15次全體委員會議（111.5.25）決議：准予動支，提報院會。</w:t>
            </w:r>
          </w:p>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2.</w:t>
            </w:r>
            <w:r w:rsidRPr="002C2B2E">
              <w:rPr>
                <w:rFonts w:ascii="標楷體" w:eastAsia="標楷體" w:hAnsi="標楷體" w:hint="eastAsia"/>
                <w:color w:val="000000"/>
              </w:rPr>
              <w:tab/>
              <w:t>第6會期第1次院會（111.9.23）決定：准予備查。</w:t>
            </w:r>
          </w:p>
        </w:tc>
      </w:tr>
      <w:tr w:rsidR="007B4408" w:rsidRPr="00920597" w:rsidTr="001F3F42">
        <w:trPr>
          <w:trHeight w:val="567"/>
        </w:trPr>
        <w:tc>
          <w:tcPr>
            <w:tcW w:w="354" w:type="pct"/>
            <w:vAlign w:val="center"/>
          </w:tcPr>
          <w:p w:rsidR="007B4408" w:rsidRPr="00920597" w:rsidRDefault="007B4408" w:rsidP="006934DD">
            <w:pPr>
              <w:numPr>
                <w:ilvl w:val="0"/>
                <w:numId w:val="21"/>
              </w:numPr>
              <w:spacing w:line="400" w:lineRule="exact"/>
              <w:ind w:right="113"/>
              <w:rPr>
                <w:rFonts w:ascii="標楷體" w:eastAsia="標楷體" w:hAnsi="標楷體"/>
                <w:color w:val="000000" w:themeColor="text1"/>
                <w:sz w:val="28"/>
                <w:szCs w:val="28"/>
              </w:rPr>
            </w:pPr>
          </w:p>
        </w:tc>
        <w:tc>
          <w:tcPr>
            <w:tcW w:w="1804"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hint="eastAsia"/>
                <w:color w:val="000000"/>
                <w:sz w:val="28"/>
              </w:rPr>
              <w:t>文化部函，為111年度中央政府總預算決議，檢送歲出</w:t>
            </w:r>
            <w:r w:rsidRPr="007B4408">
              <w:rPr>
                <w:rFonts w:ascii="標楷體" w:eastAsia="標楷體" w:hAnsi="標楷體" w:hint="eastAsia"/>
                <w:color w:val="000000"/>
                <w:sz w:val="28"/>
              </w:rPr>
              <w:lastRenderedPageBreak/>
              <w:t>第21款第2項決議(一)預算凍結書面報告，請查照案。</w:t>
            </w:r>
          </w:p>
        </w:tc>
        <w:tc>
          <w:tcPr>
            <w:tcW w:w="858"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lastRenderedPageBreak/>
              <w:t>10-5-6</w:t>
            </w:r>
          </w:p>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(111.4.1)</w:t>
            </w:r>
          </w:p>
        </w:tc>
        <w:tc>
          <w:tcPr>
            <w:tcW w:w="487" w:type="pct"/>
          </w:tcPr>
          <w:p w:rsidR="007B4408" w:rsidRPr="002C2B2E" w:rsidRDefault="007B4408" w:rsidP="007B4408">
            <w:pPr>
              <w:rPr>
                <w:rFonts w:ascii="標楷體" w:eastAsia="標楷體" w:hAnsi="標楷體"/>
                <w:color w:val="000000"/>
                <w:sz w:val="28"/>
              </w:rPr>
            </w:pPr>
          </w:p>
        </w:tc>
        <w:tc>
          <w:tcPr>
            <w:tcW w:w="1497" w:type="pct"/>
          </w:tcPr>
          <w:p w:rsidR="007B4408" w:rsidRPr="002C2B2E" w:rsidRDefault="007B4408" w:rsidP="006934DD">
            <w:pPr>
              <w:numPr>
                <w:ilvl w:val="0"/>
                <w:numId w:val="53"/>
              </w:numPr>
              <w:ind w:left="327" w:hanging="277"/>
              <w:jc w:val="both"/>
              <w:rPr>
                <w:rFonts w:ascii="標楷體" w:eastAsia="標楷體" w:hAnsi="標楷體"/>
                <w:color w:val="000000"/>
              </w:rPr>
            </w:pPr>
            <w:r w:rsidRPr="002C2B2E">
              <w:rPr>
                <w:rFonts w:ascii="標楷體" w:eastAsia="標楷體" w:hAnsi="標楷體" w:hint="eastAsia"/>
                <w:color w:val="000000"/>
              </w:rPr>
              <w:t>第</w:t>
            </w:r>
            <w:r w:rsidRPr="002C2B2E">
              <w:rPr>
                <w:rFonts w:ascii="標楷體" w:eastAsia="標楷體" w:hAnsi="標楷體"/>
                <w:color w:val="000000"/>
              </w:rPr>
              <w:t>5</w:t>
            </w:r>
            <w:r w:rsidRPr="002C2B2E">
              <w:rPr>
                <w:rFonts w:ascii="標楷體" w:eastAsia="標楷體" w:hAnsi="標楷體" w:hint="eastAsia"/>
                <w:color w:val="000000"/>
              </w:rPr>
              <w:t>會期第</w:t>
            </w:r>
            <w:r w:rsidRPr="002C2B2E">
              <w:rPr>
                <w:rFonts w:ascii="標楷體" w:eastAsia="標楷體" w:hAnsi="標楷體"/>
                <w:color w:val="000000"/>
              </w:rPr>
              <w:t>1</w:t>
            </w:r>
            <w:r w:rsidRPr="002C2B2E">
              <w:rPr>
                <w:rFonts w:ascii="標楷體" w:eastAsia="標楷體" w:hAnsi="標楷體" w:hint="eastAsia"/>
                <w:color w:val="000000"/>
              </w:rPr>
              <w:t>5次全體委員會議（1</w:t>
            </w:r>
            <w:r w:rsidRPr="002C2B2E">
              <w:rPr>
                <w:rFonts w:ascii="標楷體" w:eastAsia="標楷體" w:hAnsi="標楷體"/>
                <w:color w:val="000000"/>
              </w:rPr>
              <w:t>11</w:t>
            </w:r>
            <w:r w:rsidRPr="002C2B2E">
              <w:rPr>
                <w:rFonts w:ascii="標楷體" w:eastAsia="標楷體" w:hAnsi="標楷體" w:hint="eastAsia"/>
                <w:color w:val="000000"/>
              </w:rPr>
              <w:t>.</w:t>
            </w:r>
            <w:r w:rsidRPr="002C2B2E">
              <w:rPr>
                <w:rFonts w:ascii="標楷體" w:eastAsia="標楷體" w:hAnsi="標楷體"/>
                <w:color w:val="000000"/>
              </w:rPr>
              <w:t>5</w:t>
            </w:r>
            <w:r w:rsidRPr="002C2B2E">
              <w:rPr>
                <w:rFonts w:ascii="標楷體" w:eastAsia="標楷體" w:hAnsi="標楷體" w:hint="eastAsia"/>
                <w:color w:val="000000"/>
              </w:rPr>
              <w:t>.25）決</w:t>
            </w:r>
            <w:r w:rsidRPr="002C2B2E">
              <w:rPr>
                <w:rFonts w:ascii="標楷體" w:eastAsia="標楷體" w:hAnsi="標楷體" w:hint="eastAsia"/>
                <w:color w:val="000000"/>
              </w:rPr>
              <w:lastRenderedPageBreak/>
              <w:t>議：准予動支，提報院會。</w:t>
            </w:r>
          </w:p>
          <w:p w:rsidR="007B4408" w:rsidRPr="002C2B2E" w:rsidRDefault="007B4408" w:rsidP="006934DD">
            <w:pPr>
              <w:numPr>
                <w:ilvl w:val="0"/>
                <w:numId w:val="53"/>
              </w:numPr>
              <w:ind w:left="327" w:hanging="277"/>
              <w:jc w:val="both"/>
              <w:rPr>
                <w:rFonts w:ascii="標楷體" w:eastAsia="標楷體" w:hAnsi="標楷體"/>
                <w:color w:val="000000"/>
              </w:rPr>
            </w:pPr>
            <w:r w:rsidRPr="002C2B2E">
              <w:rPr>
                <w:rFonts w:ascii="標楷體" w:eastAsia="標楷體" w:hAnsi="標楷體" w:hint="eastAsia"/>
                <w:color w:val="000000"/>
              </w:rPr>
              <w:t>第6會期第1次院會（111.9.23）決定：准予備查。</w:t>
            </w:r>
          </w:p>
        </w:tc>
      </w:tr>
      <w:tr w:rsidR="007B4408" w:rsidRPr="00920597" w:rsidTr="001F3F42">
        <w:trPr>
          <w:trHeight w:val="567"/>
        </w:trPr>
        <w:tc>
          <w:tcPr>
            <w:tcW w:w="354" w:type="pct"/>
            <w:vAlign w:val="center"/>
          </w:tcPr>
          <w:p w:rsidR="007B4408" w:rsidRPr="00920597" w:rsidRDefault="007B4408" w:rsidP="006934DD">
            <w:pPr>
              <w:numPr>
                <w:ilvl w:val="0"/>
                <w:numId w:val="21"/>
              </w:numPr>
              <w:spacing w:line="400" w:lineRule="exact"/>
              <w:ind w:right="113"/>
              <w:rPr>
                <w:rFonts w:ascii="標楷體" w:eastAsia="標楷體" w:hAnsi="標楷體"/>
                <w:color w:val="000000" w:themeColor="text1"/>
                <w:sz w:val="28"/>
                <w:szCs w:val="28"/>
              </w:rPr>
            </w:pPr>
          </w:p>
        </w:tc>
        <w:tc>
          <w:tcPr>
            <w:tcW w:w="1804"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hint="eastAsia"/>
                <w:color w:val="000000"/>
                <w:sz w:val="28"/>
              </w:rPr>
              <w:t>文化部函，為111年度中央政府總預算決議，檢送歲出第21款第2項決議（十）預算凍結書面報告，請查照案。</w:t>
            </w:r>
          </w:p>
        </w:tc>
        <w:tc>
          <w:tcPr>
            <w:tcW w:w="858"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10-5-6</w:t>
            </w:r>
          </w:p>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(111.4.1)</w:t>
            </w:r>
          </w:p>
        </w:tc>
        <w:tc>
          <w:tcPr>
            <w:tcW w:w="487" w:type="pct"/>
          </w:tcPr>
          <w:p w:rsidR="007B4408" w:rsidRPr="002C2B2E" w:rsidRDefault="007B4408" w:rsidP="007B4408">
            <w:pPr>
              <w:rPr>
                <w:rFonts w:ascii="標楷體" w:eastAsia="標楷體" w:hAnsi="標楷體"/>
                <w:color w:val="000000"/>
                <w:sz w:val="28"/>
              </w:rPr>
            </w:pPr>
          </w:p>
        </w:tc>
        <w:tc>
          <w:tcPr>
            <w:tcW w:w="1497" w:type="pct"/>
          </w:tcPr>
          <w:p w:rsidR="007B4408" w:rsidRPr="002C2B2E" w:rsidRDefault="007B4408" w:rsidP="006934DD">
            <w:pPr>
              <w:numPr>
                <w:ilvl w:val="0"/>
                <w:numId w:val="54"/>
              </w:numPr>
              <w:rPr>
                <w:rFonts w:ascii="標楷體" w:eastAsia="標楷體" w:hAnsi="標楷體"/>
                <w:color w:val="000000"/>
              </w:rPr>
            </w:pPr>
            <w:r w:rsidRPr="002C2B2E">
              <w:rPr>
                <w:rFonts w:ascii="標楷體" w:eastAsia="標楷體" w:hAnsi="標楷體" w:hint="eastAsia"/>
                <w:color w:val="000000"/>
              </w:rPr>
              <w:t>第</w:t>
            </w:r>
            <w:r w:rsidRPr="002C2B2E">
              <w:rPr>
                <w:rFonts w:ascii="標楷體" w:eastAsia="標楷體" w:hAnsi="標楷體"/>
                <w:color w:val="000000"/>
              </w:rPr>
              <w:t>5</w:t>
            </w:r>
            <w:r w:rsidRPr="002C2B2E">
              <w:rPr>
                <w:rFonts w:ascii="標楷體" w:eastAsia="標楷體" w:hAnsi="標楷體" w:hint="eastAsia"/>
                <w:color w:val="000000"/>
              </w:rPr>
              <w:t>會期第</w:t>
            </w:r>
            <w:r w:rsidRPr="002C2B2E">
              <w:rPr>
                <w:rFonts w:ascii="標楷體" w:eastAsia="標楷體" w:hAnsi="標楷體"/>
                <w:color w:val="000000"/>
              </w:rPr>
              <w:t>1</w:t>
            </w:r>
            <w:r w:rsidRPr="002C2B2E">
              <w:rPr>
                <w:rFonts w:ascii="標楷體" w:eastAsia="標楷體" w:hAnsi="標楷體" w:hint="eastAsia"/>
                <w:color w:val="000000"/>
              </w:rPr>
              <w:t>5次全體委員會議（1</w:t>
            </w:r>
            <w:r w:rsidRPr="002C2B2E">
              <w:rPr>
                <w:rFonts w:ascii="標楷體" w:eastAsia="標楷體" w:hAnsi="標楷體"/>
                <w:color w:val="000000"/>
              </w:rPr>
              <w:t>11</w:t>
            </w:r>
            <w:r w:rsidRPr="002C2B2E">
              <w:rPr>
                <w:rFonts w:ascii="標楷體" w:eastAsia="標楷體" w:hAnsi="標楷體" w:hint="eastAsia"/>
                <w:color w:val="000000"/>
              </w:rPr>
              <w:t>.</w:t>
            </w:r>
            <w:r w:rsidRPr="002C2B2E">
              <w:rPr>
                <w:rFonts w:ascii="標楷體" w:eastAsia="標楷體" w:hAnsi="標楷體"/>
                <w:color w:val="000000"/>
              </w:rPr>
              <w:t>5</w:t>
            </w:r>
            <w:r w:rsidRPr="002C2B2E">
              <w:rPr>
                <w:rFonts w:ascii="標楷體" w:eastAsia="標楷體" w:hAnsi="標楷體" w:hint="eastAsia"/>
                <w:color w:val="000000"/>
              </w:rPr>
              <w:t>.25）決議：准予動支，提報院會。</w:t>
            </w:r>
          </w:p>
          <w:p w:rsidR="007B4408" w:rsidRPr="002C2B2E" w:rsidRDefault="007B4408" w:rsidP="006934DD">
            <w:pPr>
              <w:numPr>
                <w:ilvl w:val="0"/>
                <w:numId w:val="54"/>
              </w:numPr>
              <w:rPr>
                <w:rFonts w:ascii="標楷體" w:eastAsia="標楷體" w:hAnsi="標楷體"/>
                <w:color w:val="000000"/>
              </w:rPr>
            </w:pPr>
            <w:r w:rsidRPr="002C2B2E">
              <w:rPr>
                <w:rFonts w:ascii="標楷體" w:eastAsia="標楷體" w:hAnsi="標楷體" w:hint="eastAsia"/>
                <w:color w:val="000000"/>
              </w:rPr>
              <w:t>第6會期第1次院會（111.9.23）決定：准予備查。</w:t>
            </w:r>
          </w:p>
        </w:tc>
      </w:tr>
      <w:tr w:rsidR="007B4408" w:rsidRPr="00920597" w:rsidTr="001F3F42">
        <w:trPr>
          <w:trHeight w:val="567"/>
        </w:trPr>
        <w:tc>
          <w:tcPr>
            <w:tcW w:w="354" w:type="pct"/>
            <w:vAlign w:val="center"/>
          </w:tcPr>
          <w:p w:rsidR="007B4408" w:rsidRPr="00920597" w:rsidRDefault="007B4408" w:rsidP="006934DD">
            <w:pPr>
              <w:numPr>
                <w:ilvl w:val="0"/>
                <w:numId w:val="21"/>
              </w:numPr>
              <w:spacing w:line="400" w:lineRule="exact"/>
              <w:ind w:right="113"/>
              <w:rPr>
                <w:rFonts w:ascii="標楷體" w:eastAsia="標楷體" w:hAnsi="標楷體"/>
                <w:color w:val="000000" w:themeColor="text1"/>
                <w:sz w:val="28"/>
                <w:szCs w:val="28"/>
              </w:rPr>
            </w:pPr>
          </w:p>
        </w:tc>
        <w:tc>
          <w:tcPr>
            <w:tcW w:w="1804"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hint="eastAsia"/>
                <w:color w:val="000000"/>
                <w:sz w:val="28"/>
              </w:rPr>
              <w:t>文化部函，為111年度中央政府總預算決議，檢送「產業集聚效應推展」預算凍結書面報告，請查照案。</w:t>
            </w:r>
          </w:p>
        </w:tc>
        <w:tc>
          <w:tcPr>
            <w:tcW w:w="858"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10-5-6</w:t>
            </w:r>
          </w:p>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(111.4.1)</w:t>
            </w:r>
          </w:p>
        </w:tc>
        <w:tc>
          <w:tcPr>
            <w:tcW w:w="487" w:type="pct"/>
          </w:tcPr>
          <w:p w:rsidR="007B4408" w:rsidRPr="002C2B2E" w:rsidRDefault="007B4408" w:rsidP="007B4408">
            <w:pPr>
              <w:rPr>
                <w:rFonts w:ascii="標楷體" w:eastAsia="標楷體" w:hAnsi="標楷體"/>
                <w:color w:val="000000"/>
                <w:sz w:val="28"/>
              </w:rPr>
            </w:pPr>
          </w:p>
        </w:tc>
        <w:tc>
          <w:tcPr>
            <w:tcW w:w="1497" w:type="pct"/>
          </w:tcPr>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1.</w:t>
            </w:r>
            <w:r w:rsidRPr="002C2B2E">
              <w:rPr>
                <w:rFonts w:ascii="標楷體" w:eastAsia="標楷體" w:hAnsi="標楷體" w:hint="eastAsia"/>
                <w:color w:val="000000"/>
              </w:rPr>
              <w:tab/>
              <w:t>第5會期第15次全體委員會議（111.5.25）決議：准予動支，提報院會。</w:t>
            </w:r>
          </w:p>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2.</w:t>
            </w:r>
            <w:r w:rsidRPr="002C2B2E">
              <w:rPr>
                <w:rFonts w:ascii="標楷體" w:eastAsia="標楷體" w:hAnsi="標楷體" w:hint="eastAsia"/>
                <w:color w:val="000000"/>
              </w:rPr>
              <w:tab/>
              <w:t>第6會期第1次院會（111.9.23）決定：准予備查。</w:t>
            </w:r>
          </w:p>
        </w:tc>
      </w:tr>
      <w:tr w:rsidR="007B4408" w:rsidRPr="00920597" w:rsidTr="001F3F42">
        <w:trPr>
          <w:trHeight w:val="567"/>
        </w:trPr>
        <w:tc>
          <w:tcPr>
            <w:tcW w:w="354" w:type="pct"/>
            <w:vAlign w:val="center"/>
          </w:tcPr>
          <w:p w:rsidR="007B4408" w:rsidRPr="00920597" w:rsidRDefault="007B4408" w:rsidP="006934DD">
            <w:pPr>
              <w:numPr>
                <w:ilvl w:val="0"/>
                <w:numId w:val="21"/>
              </w:numPr>
              <w:spacing w:line="400" w:lineRule="exact"/>
              <w:ind w:right="113"/>
              <w:rPr>
                <w:rFonts w:ascii="標楷體" w:eastAsia="標楷體" w:hAnsi="標楷體"/>
                <w:color w:val="000000" w:themeColor="text1"/>
                <w:sz w:val="28"/>
                <w:szCs w:val="28"/>
              </w:rPr>
            </w:pPr>
          </w:p>
        </w:tc>
        <w:tc>
          <w:tcPr>
            <w:tcW w:w="1804"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hint="eastAsia"/>
                <w:color w:val="000000"/>
                <w:sz w:val="28"/>
              </w:rPr>
              <w:t>文化部函，為111年度中央政府總預算決議，檢送歲出第21款第1項決議（一三○）預算凍結書面報告，請查照案。</w:t>
            </w:r>
          </w:p>
        </w:tc>
        <w:tc>
          <w:tcPr>
            <w:tcW w:w="858"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10-5-6</w:t>
            </w:r>
          </w:p>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(111.4.1)</w:t>
            </w:r>
          </w:p>
        </w:tc>
        <w:tc>
          <w:tcPr>
            <w:tcW w:w="487" w:type="pct"/>
          </w:tcPr>
          <w:p w:rsidR="007B4408" w:rsidRPr="002C2B2E" w:rsidRDefault="007B4408" w:rsidP="007B4408">
            <w:pPr>
              <w:rPr>
                <w:rFonts w:ascii="標楷體" w:eastAsia="標楷體" w:hAnsi="標楷體"/>
                <w:color w:val="000000"/>
                <w:sz w:val="28"/>
              </w:rPr>
            </w:pPr>
          </w:p>
        </w:tc>
        <w:tc>
          <w:tcPr>
            <w:tcW w:w="1497" w:type="pct"/>
          </w:tcPr>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1.</w:t>
            </w:r>
            <w:r w:rsidRPr="002C2B2E">
              <w:rPr>
                <w:rFonts w:ascii="標楷體" w:eastAsia="標楷體" w:hAnsi="標楷體" w:hint="eastAsia"/>
                <w:color w:val="000000"/>
              </w:rPr>
              <w:tab/>
              <w:t>第5會期第15次全體委員會議（111.5.25）決議：准予動支，提報院會。</w:t>
            </w:r>
          </w:p>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2.</w:t>
            </w:r>
            <w:r w:rsidRPr="002C2B2E">
              <w:rPr>
                <w:rFonts w:ascii="標楷體" w:eastAsia="標楷體" w:hAnsi="標楷體" w:hint="eastAsia"/>
                <w:color w:val="000000"/>
              </w:rPr>
              <w:tab/>
              <w:t>第6會期第1次院會（111.9.23）決定：准予備查。</w:t>
            </w:r>
          </w:p>
        </w:tc>
      </w:tr>
      <w:tr w:rsidR="007B4408" w:rsidRPr="00920597" w:rsidTr="001F3F42">
        <w:trPr>
          <w:trHeight w:val="567"/>
        </w:trPr>
        <w:tc>
          <w:tcPr>
            <w:tcW w:w="354" w:type="pct"/>
            <w:vAlign w:val="center"/>
          </w:tcPr>
          <w:p w:rsidR="007B4408" w:rsidRPr="00920597" w:rsidRDefault="007B4408" w:rsidP="006934DD">
            <w:pPr>
              <w:numPr>
                <w:ilvl w:val="0"/>
                <w:numId w:val="21"/>
              </w:numPr>
              <w:spacing w:line="400" w:lineRule="exact"/>
              <w:ind w:right="113"/>
              <w:rPr>
                <w:rFonts w:ascii="標楷體" w:eastAsia="標楷體" w:hAnsi="標楷體"/>
                <w:color w:val="000000" w:themeColor="text1"/>
                <w:sz w:val="28"/>
                <w:szCs w:val="28"/>
              </w:rPr>
            </w:pPr>
          </w:p>
        </w:tc>
        <w:tc>
          <w:tcPr>
            <w:tcW w:w="1804"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hint="eastAsia"/>
                <w:color w:val="000000"/>
                <w:sz w:val="28"/>
              </w:rPr>
              <w:t>文化部函，為111年度中央政府總預算決議，檢送歲出第21款第1項決議（一二九）預算凍結書面報告，請查照案。</w:t>
            </w:r>
          </w:p>
        </w:tc>
        <w:tc>
          <w:tcPr>
            <w:tcW w:w="858"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10-5-6</w:t>
            </w:r>
          </w:p>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(111.4.1)</w:t>
            </w:r>
          </w:p>
        </w:tc>
        <w:tc>
          <w:tcPr>
            <w:tcW w:w="487" w:type="pct"/>
          </w:tcPr>
          <w:p w:rsidR="007B4408" w:rsidRPr="002C2B2E" w:rsidRDefault="007B4408" w:rsidP="007B4408">
            <w:pPr>
              <w:rPr>
                <w:rFonts w:ascii="標楷體" w:eastAsia="標楷體" w:hAnsi="標楷體"/>
                <w:color w:val="000000"/>
                <w:sz w:val="28"/>
              </w:rPr>
            </w:pPr>
          </w:p>
        </w:tc>
        <w:tc>
          <w:tcPr>
            <w:tcW w:w="1497" w:type="pct"/>
          </w:tcPr>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1.</w:t>
            </w:r>
            <w:r w:rsidRPr="002C2B2E">
              <w:rPr>
                <w:rFonts w:ascii="標楷體" w:eastAsia="標楷體" w:hAnsi="標楷體" w:hint="eastAsia"/>
                <w:color w:val="000000"/>
              </w:rPr>
              <w:tab/>
              <w:t>第5會期第15次全體委員會議（111.5.25）決議：准予動支，提報院會。</w:t>
            </w:r>
          </w:p>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2.</w:t>
            </w:r>
            <w:r w:rsidRPr="002C2B2E">
              <w:rPr>
                <w:rFonts w:ascii="標楷體" w:eastAsia="標楷體" w:hAnsi="標楷體" w:hint="eastAsia"/>
                <w:color w:val="000000"/>
              </w:rPr>
              <w:tab/>
              <w:t>第6會期第1次院會（111.9.23）決定：准予備查。</w:t>
            </w:r>
          </w:p>
        </w:tc>
      </w:tr>
      <w:tr w:rsidR="007B4408" w:rsidRPr="00920597" w:rsidTr="001F3F42">
        <w:trPr>
          <w:trHeight w:val="567"/>
        </w:trPr>
        <w:tc>
          <w:tcPr>
            <w:tcW w:w="354" w:type="pct"/>
            <w:vAlign w:val="center"/>
          </w:tcPr>
          <w:p w:rsidR="007B4408" w:rsidRPr="00920597" w:rsidRDefault="007B4408" w:rsidP="006934DD">
            <w:pPr>
              <w:numPr>
                <w:ilvl w:val="0"/>
                <w:numId w:val="21"/>
              </w:numPr>
              <w:spacing w:line="400" w:lineRule="exact"/>
              <w:ind w:right="113"/>
              <w:rPr>
                <w:rFonts w:ascii="標楷體" w:eastAsia="標楷體" w:hAnsi="標楷體"/>
                <w:color w:val="000000" w:themeColor="text1"/>
                <w:sz w:val="28"/>
                <w:szCs w:val="28"/>
              </w:rPr>
            </w:pPr>
          </w:p>
        </w:tc>
        <w:tc>
          <w:tcPr>
            <w:tcW w:w="1804"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hint="eastAsia"/>
                <w:color w:val="000000"/>
                <w:sz w:val="28"/>
              </w:rPr>
              <w:t>文化部函，為111年度中央政府總預算決議，檢送歲出第21款第3項決議(一)「流行音樂產業輔導」預算凍結書面報告，請查照案。</w:t>
            </w:r>
          </w:p>
        </w:tc>
        <w:tc>
          <w:tcPr>
            <w:tcW w:w="858"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10-5-6</w:t>
            </w:r>
          </w:p>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(111.4.1)</w:t>
            </w:r>
          </w:p>
        </w:tc>
        <w:tc>
          <w:tcPr>
            <w:tcW w:w="487" w:type="pct"/>
          </w:tcPr>
          <w:p w:rsidR="007B4408" w:rsidRPr="002C2B2E" w:rsidRDefault="007B4408" w:rsidP="007B4408">
            <w:pPr>
              <w:rPr>
                <w:rFonts w:ascii="標楷體" w:eastAsia="標楷體" w:hAnsi="標楷體"/>
                <w:color w:val="000000"/>
                <w:sz w:val="28"/>
              </w:rPr>
            </w:pPr>
          </w:p>
        </w:tc>
        <w:tc>
          <w:tcPr>
            <w:tcW w:w="1497" w:type="pct"/>
          </w:tcPr>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1.</w:t>
            </w:r>
            <w:r w:rsidRPr="002C2B2E">
              <w:rPr>
                <w:rFonts w:ascii="標楷體" w:eastAsia="標楷體" w:hAnsi="標楷體" w:hint="eastAsia"/>
                <w:color w:val="000000"/>
              </w:rPr>
              <w:tab/>
              <w:t>第5會期第15次全體委員會議（111.5.25）決議：准予動支，提報院會。</w:t>
            </w:r>
          </w:p>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2.</w:t>
            </w:r>
            <w:r w:rsidRPr="002C2B2E">
              <w:rPr>
                <w:rFonts w:ascii="標楷體" w:eastAsia="標楷體" w:hAnsi="標楷體" w:hint="eastAsia"/>
                <w:color w:val="000000"/>
              </w:rPr>
              <w:tab/>
              <w:t>第6會期第1次院會（111.9.23）決定：准</w:t>
            </w:r>
            <w:r w:rsidRPr="002C2B2E">
              <w:rPr>
                <w:rFonts w:ascii="標楷體" w:eastAsia="標楷體" w:hAnsi="標楷體" w:hint="eastAsia"/>
                <w:color w:val="000000"/>
              </w:rPr>
              <w:lastRenderedPageBreak/>
              <w:t>予備查。</w:t>
            </w:r>
          </w:p>
        </w:tc>
      </w:tr>
      <w:tr w:rsidR="007B4408" w:rsidRPr="00920597" w:rsidTr="001F3F42">
        <w:trPr>
          <w:trHeight w:val="567"/>
        </w:trPr>
        <w:tc>
          <w:tcPr>
            <w:tcW w:w="354" w:type="pct"/>
            <w:vAlign w:val="center"/>
          </w:tcPr>
          <w:p w:rsidR="007B4408" w:rsidRPr="00920597" w:rsidRDefault="007B4408" w:rsidP="006934DD">
            <w:pPr>
              <w:numPr>
                <w:ilvl w:val="0"/>
                <w:numId w:val="21"/>
              </w:numPr>
              <w:spacing w:line="400" w:lineRule="exact"/>
              <w:ind w:right="113"/>
              <w:rPr>
                <w:rFonts w:ascii="標楷體" w:eastAsia="標楷體" w:hAnsi="標楷體"/>
                <w:color w:val="000000" w:themeColor="text1"/>
                <w:sz w:val="28"/>
                <w:szCs w:val="28"/>
              </w:rPr>
            </w:pPr>
          </w:p>
        </w:tc>
        <w:tc>
          <w:tcPr>
            <w:tcW w:w="1804"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hint="eastAsia"/>
                <w:color w:val="000000"/>
                <w:sz w:val="28"/>
              </w:rPr>
              <w:t>文化部函，為111年度中央政府總預算決議，檢送歲出第21款第6項決議(三)「工藝研究發展中心業務」預算凍結50萬元書面報告，請查照案。</w:t>
            </w:r>
          </w:p>
        </w:tc>
        <w:tc>
          <w:tcPr>
            <w:tcW w:w="858"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10-5-6</w:t>
            </w:r>
          </w:p>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(111.4.1)</w:t>
            </w:r>
          </w:p>
        </w:tc>
        <w:tc>
          <w:tcPr>
            <w:tcW w:w="487" w:type="pct"/>
          </w:tcPr>
          <w:p w:rsidR="007B4408" w:rsidRPr="002C2B2E" w:rsidRDefault="007B4408" w:rsidP="007B4408">
            <w:pPr>
              <w:rPr>
                <w:rFonts w:ascii="標楷體" w:eastAsia="標楷體" w:hAnsi="標楷體"/>
                <w:color w:val="000000"/>
                <w:sz w:val="28"/>
              </w:rPr>
            </w:pPr>
          </w:p>
        </w:tc>
        <w:tc>
          <w:tcPr>
            <w:tcW w:w="1497" w:type="pct"/>
          </w:tcPr>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1.</w:t>
            </w:r>
            <w:r w:rsidRPr="002C2B2E">
              <w:rPr>
                <w:rFonts w:ascii="標楷體" w:eastAsia="標楷體" w:hAnsi="標楷體" w:hint="eastAsia"/>
                <w:color w:val="000000"/>
              </w:rPr>
              <w:tab/>
              <w:t>第5會期第15次全體委員會議（111.5.25）決議：准予動支，提報院會。</w:t>
            </w:r>
          </w:p>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2.</w:t>
            </w:r>
            <w:r w:rsidRPr="002C2B2E">
              <w:rPr>
                <w:rFonts w:ascii="標楷體" w:eastAsia="標楷體" w:hAnsi="標楷體" w:hint="eastAsia"/>
                <w:color w:val="000000"/>
              </w:rPr>
              <w:tab/>
              <w:t>第6會期第1次院會（111.9.23）決定：准予備查。</w:t>
            </w:r>
          </w:p>
        </w:tc>
      </w:tr>
      <w:tr w:rsidR="007B4408" w:rsidRPr="00920597" w:rsidTr="001F3F42">
        <w:trPr>
          <w:trHeight w:val="567"/>
        </w:trPr>
        <w:tc>
          <w:tcPr>
            <w:tcW w:w="354" w:type="pct"/>
            <w:vAlign w:val="center"/>
          </w:tcPr>
          <w:p w:rsidR="007B4408" w:rsidRPr="00920597" w:rsidRDefault="007B4408" w:rsidP="006934DD">
            <w:pPr>
              <w:numPr>
                <w:ilvl w:val="0"/>
                <w:numId w:val="21"/>
              </w:numPr>
              <w:spacing w:line="400" w:lineRule="exact"/>
              <w:ind w:right="113"/>
              <w:rPr>
                <w:rFonts w:ascii="標楷體" w:eastAsia="標楷體" w:hAnsi="標楷體"/>
                <w:color w:val="000000" w:themeColor="text1"/>
                <w:sz w:val="28"/>
                <w:szCs w:val="28"/>
              </w:rPr>
            </w:pPr>
          </w:p>
        </w:tc>
        <w:tc>
          <w:tcPr>
            <w:tcW w:w="1804"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hint="eastAsia"/>
                <w:color w:val="000000"/>
                <w:sz w:val="28"/>
              </w:rPr>
              <w:t>文化部函，為111年度中央政府總預算決議，檢送歲出第21款第6項決議(四)「工藝研究發展中心業務」預算凍結50萬元書面報告，請查照案。</w:t>
            </w:r>
          </w:p>
        </w:tc>
        <w:tc>
          <w:tcPr>
            <w:tcW w:w="858"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10-5-6</w:t>
            </w:r>
          </w:p>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(111.4.1)</w:t>
            </w:r>
          </w:p>
        </w:tc>
        <w:tc>
          <w:tcPr>
            <w:tcW w:w="487" w:type="pct"/>
          </w:tcPr>
          <w:p w:rsidR="007B4408" w:rsidRPr="002C2B2E" w:rsidRDefault="007B4408" w:rsidP="007B4408">
            <w:pPr>
              <w:rPr>
                <w:rFonts w:ascii="標楷體" w:eastAsia="標楷體" w:hAnsi="標楷體"/>
                <w:color w:val="000000"/>
                <w:sz w:val="28"/>
              </w:rPr>
            </w:pPr>
          </w:p>
        </w:tc>
        <w:tc>
          <w:tcPr>
            <w:tcW w:w="1497" w:type="pct"/>
          </w:tcPr>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1.</w:t>
            </w:r>
            <w:r w:rsidRPr="002C2B2E">
              <w:rPr>
                <w:rFonts w:ascii="標楷體" w:eastAsia="標楷體" w:hAnsi="標楷體" w:hint="eastAsia"/>
                <w:color w:val="000000"/>
              </w:rPr>
              <w:tab/>
              <w:t>第5會期第15次全體委員會議（111.5.25）決議：准予動支，提報院會。</w:t>
            </w:r>
          </w:p>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2.</w:t>
            </w:r>
            <w:r w:rsidRPr="002C2B2E">
              <w:rPr>
                <w:rFonts w:ascii="標楷體" w:eastAsia="標楷體" w:hAnsi="標楷體" w:hint="eastAsia"/>
                <w:color w:val="000000"/>
              </w:rPr>
              <w:tab/>
              <w:t>第6會期第1次院會（111.9.23）決定：准予備查。</w:t>
            </w:r>
          </w:p>
        </w:tc>
      </w:tr>
      <w:tr w:rsidR="007B4408" w:rsidRPr="00920597" w:rsidTr="001F3F42">
        <w:trPr>
          <w:trHeight w:val="567"/>
        </w:trPr>
        <w:tc>
          <w:tcPr>
            <w:tcW w:w="354" w:type="pct"/>
            <w:vAlign w:val="center"/>
          </w:tcPr>
          <w:p w:rsidR="007B4408" w:rsidRPr="00920597" w:rsidRDefault="007B4408" w:rsidP="006934DD">
            <w:pPr>
              <w:numPr>
                <w:ilvl w:val="0"/>
                <w:numId w:val="21"/>
              </w:numPr>
              <w:spacing w:line="400" w:lineRule="exact"/>
              <w:ind w:right="113"/>
              <w:rPr>
                <w:rFonts w:ascii="標楷體" w:eastAsia="標楷體" w:hAnsi="標楷體"/>
                <w:color w:val="000000" w:themeColor="text1"/>
                <w:sz w:val="28"/>
                <w:szCs w:val="28"/>
              </w:rPr>
            </w:pPr>
          </w:p>
        </w:tc>
        <w:tc>
          <w:tcPr>
            <w:tcW w:w="1804"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hint="eastAsia"/>
                <w:color w:val="000000"/>
                <w:sz w:val="28"/>
              </w:rPr>
              <w:t>文化部函為111年度中央政府總預算決議，檢送歲出第21款第1項決議（四）第4目「文化創意產業發展業務」預算凍結2,000萬元專案報告，請查照案。</w:t>
            </w:r>
          </w:p>
        </w:tc>
        <w:tc>
          <w:tcPr>
            <w:tcW w:w="858"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10-5-6</w:t>
            </w:r>
          </w:p>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(111.4.1)</w:t>
            </w:r>
          </w:p>
        </w:tc>
        <w:tc>
          <w:tcPr>
            <w:tcW w:w="487" w:type="pct"/>
          </w:tcPr>
          <w:p w:rsidR="007B4408" w:rsidRPr="002C2B2E" w:rsidRDefault="007B4408" w:rsidP="007B4408">
            <w:pPr>
              <w:rPr>
                <w:rFonts w:ascii="標楷體" w:eastAsia="標楷體" w:hAnsi="標楷體"/>
                <w:color w:val="000000"/>
                <w:sz w:val="28"/>
              </w:rPr>
            </w:pPr>
          </w:p>
        </w:tc>
        <w:tc>
          <w:tcPr>
            <w:tcW w:w="1497" w:type="pct"/>
          </w:tcPr>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1.</w:t>
            </w:r>
            <w:r w:rsidRPr="002C2B2E">
              <w:rPr>
                <w:rFonts w:ascii="標楷體" w:eastAsia="標楷體" w:hAnsi="標楷體" w:hint="eastAsia"/>
                <w:color w:val="000000"/>
              </w:rPr>
              <w:tab/>
              <w:t>第5會期第15次全體委員會議（111.5.25）決議：准予動支，提報院會。</w:t>
            </w:r>
          </w:p>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2.</w:t>
            </w:r>
            <w:r w:rsidRPr="002C2B2E">
              <w:rPr>
                <w:rFonts w:ascii="標楷體" w:eastAsia="標楷體" w:hAnsi="標楷體" w:hint="eastAsia"/>
                <w:color w:val="000000"/>
              </w:rPr>
              <w:tab/>
              <w:t>第6會期第1次院會（111.9.23）決定：准予備查。</w:t>
            </w:r>
          </w:p>
        </w:tc>
      </w:tr>
      <w:tr w:rsidR="007B4408" w:rsidRPr="00920597" w:rsidTr="001F3F42">
        <w:trPr>
          <w:trHeight w:val="567"/>
        </w:trPr>
        <w:tc>
          <w:tcPr>
            <w:tcW w:w="354" w:type="pct"/>
            <w:vAlign w:val="center"/>
          </w:tcPr>
          <w:p w:rsidR="007B4408" w:rsidRPr="00920597" w:rsidRDefault="007B4408" w:rsidP="006934DD">
            <w:pPr>
              <w:numPr>
                <w:ilvl w:val="0"/>
                <w:numId w:val="21"/>
              </w:numPr>
              <w:spacing w:line="400" w:lineRule="exact"/>
              <w:ind w:right="113"/>
              <w:rPr>
                <w:rFonts w:ascii="標楷體" w:eastAsia="標楷體" w:hAnsi="標楷體"/>
                <w:color w:val="000000" w:themeColor="text1"/>
                <w:sz w:val="28"/>
                <w:szCs w:val="28"/>
              </w:rPr>
            </w:pPr>
          </w:p>
        </w:tc>
        <w:tc>
          <w:tcPr>
            <w:tcW w:w="1804"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hint="eastAsia"/>
                <w:color w:val="000000"/>
                <w:sz w:val="28"/>
              </w:rPr>
              <w:t>文化部函，為111年度中央政府總預算決議，檢送歲出第21款第1項決議(二)第2目「綜合規劃業務」預算凍結2,000萬元書面報告，請查照案。</w:t>
            </w:r>
          </w:p>
        </w:tc>
        <w:tc>
          <w:tcPr>
            <w:tcW w:w="858"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10-5-6</w:t>
            </w:r>
          </w:p>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(111.4.1)</w:t>
            </w:r>
          </w:p>
        </w:tc>
        <w:tc>
          <w:tcPr>
            <w:tcW w:w="487" w:type="pct"/>
          </w:tcPr>
          <w:p w:rsidR="007B4408" w:rsidRPr="002C2B2E" w:rsidRDefault="007B4408" w:rsidP="007B4408">
            <w:pPr>
              <w:rPr>
                <w:rFonts w:ascii="標楷體" w:eastAsia="標楷體" w:hAnsi="標楷體"/>
                <w:color w:val="000000"/>
                <w:sz w:val="28"/>
              </w:rPr>
            </w:pPr>
          </w:p>
        </w:tc>
        <w:tc>
          <w:tcPr>
            <w:tcW w:w="1497" w:type="pct"/>
          </w:tcPr>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1.</w:t>
            </w:r>
            <w:r w:rsidRPr="002C2B2E">
              <w:rPr>
                <w:rFonts w:ascii="標楷體" w:eastAsia="標楷體" w:hAnsi="標楷體" w:hint="eastAsia"/>
                <w:color w:val="000000"/>
              </w:rPr>
              <w:tab/>
              <w:t>第5會期第15次全體委員會議（111.5.25）決議：准予動支，提報院會。</w:t>
            </w:r>
          </w:p>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2.</w:t>
            </w:r>
            <w:r w:rsidRPr="002C2B2E">
              <w:rPr>
                <w:rFonts w:ascii="標楷體" w:eastAsia="標楷體" w:hAnsi="標楷體" w:hint="eastAsia"/>
                <w:color w:val="000000"/>
              </w:rPr>
              <w:tab/>
              <w:t>第6會期第1次院會（111.9.23）決定：准予備查。</w:t>
            </w:r>
          </w:p>
        </w:tc>
      </w:tr>
      <w:tr w:rsidR="007B4408" w:rsidRPr="00920597" w:rsidTr="001F3F42">
        <w:trPr>
          <w:trHeight w:val="567"/>
        </w:trPr>
        <w:tc>
          <w:tcPr>
            <w:tcW w:w="354" w:type="pct"/>
            <w:vAlign w:val="center"/>
          </w:tcPr>
          <w:p w:rsidR="007B4408" w:rsidRPr="00920597" w:rsidRDefault="007B4408" w:rsidP="006934DD">
            <w:pPr>
              <w:numPr>
                <w:ilvl w:val="0"/>
                <w:numId w:val="21"/>
              </w:numPr>
              <w:spacing w:line="400" w:lineRule="exact"/>
              <w:ind w:right="113"/>
              <w:rPr>
                <w:rFonts w:ascii="標楷體" w:eastAsia="標楷體" w:hAnsi="標楷體"/>
                <w:color w:val="000000" w:themeColor="text1"/>
                <w:sz w:val="28"/>
                <w:szCs w:val="28"/>
              </w:rPr>
            </w:pPr>
          </w:p>
        </w:tc>
        <w:tc>
          <w:tcPr>
            <w:tcW w:w="1804"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hint="eastAsia"/>
                <w:color w:val="000000"/>
                <w:sz w:val="28"/>
              </w:rPr>
              <w:t>文化部函，為111年度中央政府總預算決議，檢送歲出第21款第1項決議（一）第1目「一般行政」預算凍結100萬元書面報告，請查照案。</w:t>
            </w:r>
          </w:p>
        </w:tc>
        <w:tc>
          <w:tcPr>
            <w:tcW w:w="858"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10-5-6</w:t>
            </w:r>
          </w:p>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(111.4.1)</w:t>
            </w:r>
          </w:p>
        </w:tc>
        <w:tc>
          <w:tcPr>
            <w:tcW w:w="487" w:type="pct"/>
          </w:tcPr>
          <w:p w:rsidR="007B4408" w:rsidRPr="002C2B2E" w:rsidRDefault="007B4408" w:rsidP="007B4408">
            <w:pPr>
              <w:rPr>
                <w:rFonts w:ascii="標楷體" w:eastAsia="標楷體" w:hAnsi="標楷體"/>
                <w:color w:val="000000"/>
                <w:sz w:val="28"/>
              </w:rPr>
            </w:pPr>
          </w:p>
        </w:tc>
        <w:tc>
          <w:tcPr>
            <w:tcW w:w="1497" w:type="pct"/>
          </w:tcPr>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1.</w:t>
            </w:r>
            <w:r w:rsidRPr="002C2B2E">
              <w:rPr>
                <w:rFonts w:ascii="標楷體" w:eastAsia="標楷體" w:hAnsi="標楷體" w:hint="eastAsia"/>
                <w:color w:val="000000"/>
              </w:rPr>
              <w:tab/>
              <w:t>第5會期第15次全體委員會議（111.5.25）決議：准予動支，提報院會。</w:t>
            </w:r>
          </w:p>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2.</w:t>
            </w:r>
            <w:r w:rsidRPr="002C2B2E">
              <w:rPr>
                <w:rFonts w:ascii="標楷體" w:eastAsia="標楷體" w:hAnsi="標楷體" w:hint="eastAsia"/>
                <w:color w:val="000000"/>
              </w:rPr>
              <w:tab/>
              <w:t>第6會期第1次院會（111.9.23）決定：准予備查。</w:t>
            </w:r>
          </w:p>
        </w:tc>
      </w:tr>
      <w:tr w:rsidR="007B4408" w:rsidRPr="00920597" w:rsidTr="001F3F42">
        <w:trPr>
          <w:trHeight w:val="567"/>
        </w:trPr>
        <w:tc>
          <w:tcPr>
            <w:tcW w:w="354" w:type="pct"/>
            <w:vAlign w:val="center"/>
          </w:tcPr>
          <w:p w:rsidR="007B4408" w:rsidRPr="00920597" w:rsidRDefault="007B4408" w:rsidP="006934DD">
            <w:pPr>
              <w:numPr>
                <w:ilvl w:val="0"/>
                <w:numId w:val="21"/>
              </w:numPr>
              <w:spacing w:line="400" w:lineRule="exact"/>
              <w:ind w:right="113"/>
              <w:rPr>
                <w:rFonts w:ascii="標楷體" w:eastAsia="標楷體" w:hAnsi="標楷體"/>
                <w:color w:val="000000" w:themeColor="text1"/>
                <w:sz w:val="28"/>
                <w:szCs w:val="28"/>
              </w:rPr>
            </w:pPr>
          </w:p>
        </w:tc>
        <w:tc>
          <w:tcPr>
            <w:tcW w:w="1804"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hint="eastAsia"/>
                <w:color w:val="000000"/>
                <w:sz w:val="28"/>
              </w:rPr>
              <w:t>文化部函，為111年度中央政府總預算決議，檢送歲出</w:t>
            </w:r>
            <w:r w:rsidRPr="007B4408">
              <w:rPr>
                <w:rFonts w:ascii="標楷體" w:eastAsia="標楷體" w:hAnsi="標楷體" w:hint="eastAsia"/>
                <w:color w:val="000000"/>
                <w:sz w:val="28"/>
              </w:rPr>
              <w:lastRenderedPageBreak/>
              <w:t>第21款第1項決議（五）預算凍結報告，請查照案。</w:t>
            </w:r>
          </w:p>
        </w:tc>
        <w:tc>
          <w:tcPr>
            <w:tcW w:w="858"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lastRenderedPageBreak/>
              <w:t>10-5-6</w:t>
            </w:r>
          </w:p>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(111.4.1)</w:t>
            </w:r>
          </w:p>
        </w:tc>
        <w:tc>
          <w:tcPr>
            <w:tcW w:w="487" w:type="pct"/>
          </w:tcPr>
          <w:p w:rsidR="007B4408" w:rsidRPr="002C2B2E" w:rsidRDefault="007B4408" w:rsidP="007B4408">
            <w:pPr>
              <w:rPr>
                <w:rFonts w:ascii="標楷體" w:eastAsia="標楷體" w:hAnsi="標楷體"/>
                <w:color w:val="000000"/>
                <w:sz w:val="28"/>
              </w:rPr>
            </w:pPr>
          </w:p>
        </w:tc>
        <w:tc>
          <w:tcPr>
            <w:tcW w:w="1497" w:type="pct"/>
          </w:tcPr>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1.</w:t>
            </w:r>
            <w:r w:rsidRPr="002C2B2E">
              <w:rPr>
                <w:rFonts w:ascii="標楷體" w:eastAsia="標楷體" w:hAnsi="標楷體" w:hint="eastAsia"/>
                <w:color w:val="000000"/>
              </w:rPr>
              <w:tab/>
              <w:t>第5會期第15次全體委員會議（111.5.25）決議：准予動支，提報院</w:t>
            </w:r>
            <w:r w:rsidRPr="002C2B2E">
              <w:rPr>
                <w:rFonts w:ascii="標楷體" w:eastAsia="標楷體" w:hAnsi="標楷體" w:hint="eastAsia"/>
                <w:color w:val="000000"/>
              </w:rPr>
              <w:lastRenderedPageBreak/>
              <w:t>會。</w:t>
            </w:r>
          </w:p>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2.</w:t>
            </w:r>
            <w:r w:rsidRPr="002C2B2E">
              <w:rPr>
                <w:rFonts w:ascii="標楷體" w:eastAsia="標楷體" w:hAnsi="標楷體" w:hint="eastAsia"/>
                <w:color w:val="000000"/>
              </w:rPr>
              <w:tab/>
              <w:t>第6會期第1次院會（111.9.23）決定：准予備查。</w:t>
            </w:r>
          </w:p>
        </w:tc>
      </w:tr>
      <w:tr w:rsidR="007B4408" w:rsidRPr="00920597" w:rsidTr="001F3F42">
        <w:trPr>
          <w:trHeight w:val="567"/>
        </w:trPr>
        <w:tc>
          <w:tcPr>
            <w:tcW w:w="354" w:type="pct"/>
            <w:vAlign w:val="center"/>
          </w:tcPr>
          <w:p w:rsidR="007B4408" w:rsidRPr="00920597" w:rsidRDefault="007B4408" w:rsidP="006934DD">
            <w:pPr>
              <w:numPr>
                <w:ilvl w:val="0"/>
                <w:numId w:val="21"/>
              </w:numPr>
              <w:spacing w:line="400" w:lineRule="exact"/>
              <w:ind w:right="113"/>
              <w:rPr>
                <w:rFonts w:ascii="標楷體" w:eastAsia="標楷體" w:hAnsi="標楷體"/>
                <w:color w:val="000000" w:themeColor="text1"/>
                <w:sz w:val="28"/>
                <w:szCs w:val="28"/>
              </w:rPr>
            </w:pPr>
          </w:p>
        </w:tc>
        <w:tc>
          <w:tcPr>
            <w:tcW w:w="1804"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hint="eastAsia"/>
                <w:color w:val="000000"/>
                <w:sz w:val="28"/>
              </w:rPr>
              <w:t>文化部函，為111年度中央政府總預算決議，檢送歲出第21款第9項決議(六)「國家人權博物館中程計畫」預算凍結書面報告，請查照案。</w:t>
            </w:r>
          </w:p>
        </w:tc>
        <w:tc>
          <w:tcPr>
            <w:tcW w:w="858"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10-5-6</w:t>
            </w:r>
          </w:p>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(111.4.1)</w:t>
            </w:r>
          </w:p>
        </w:tc>
        <w:tc>
          <w:tcPr>
            <w:tcW w:w="487" w:type="pct"/>
          </w:tcPr>
          <w:p w:rsidR="007B4408" w:rsidRPr="002C2B2E" w:rsidRDefault="007B4408" w:rsidP="007B4408">
            <w:pPr>
              <w:rPr>
                <w:rFonts w:ascii="標楷體" w:eastAsia="標楷體" w:hAnsi="標楷體"/>
                <w:color w:val="000000"/>
                <w:sz w:val="28"/>
              </w:rPr>
            </w:pPr>
          </w:p>
        </w:tc>
        <w:tc>
          <w:tcPr>
            <w:tcW w:w="1497" w:type="pct"/>
          </w:tcPr>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1.</w:t>
            </w:r>
            <w:r w:rsidRPr="002C2B2E">
              <w:rPr>
                <w:rFonts w:ascii="標楷體" w:eastAsia="標楷體" w:hAnsi="標楷體" w:hint="eastAsia"/>
                <w:color w:val="000000"/>
              </w:rPr>
              <w:tab/>
              <w:t>第5會期第15次全體委員會議（111.5.25）決議：准予動支，提報院會。</w:t>
            </w:r>
          </w:p>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2.</w:t>
            </w:r>
            <w:r w:rsidRPr="002C2B2E">
              <w:rPr>
                <w:rFonts w:ascii="標楷體" w:eastAsia="標楷體" w:hAnsi="標楷體" w:hint="eastAsia"/>
                <w:color w:val="000000"/>
              </w:rPr>
              <w:tab/>
              <w:t>第6會期第1次院會（111.9.23）決定：准予備查。</w:t>
            </w:r>
          </w:p>
        </w:tc>
      </w:tr>
      <w:tr w:rsidR="007B4408" w:rsidRPr="00920597" w:rsidTr="001F3F42">
        <w:trPr>
          <w:trHeight w:val="567"/>
        </w:trPr>
        <w:tc>
          <w:tcPr>
            <w:tcW w:w="354" w:type="pct"/>
            <w:vAlign w:val="center"/>
          </w:tcPr>
          <w:p w:rsidR="007B4408" w:rsidRPr="00920597" w:rsidRDefault="007B4408" w:rsidP="006934DD">
            <w:pPr>
              <w:numPr>
                <w:ilvl w:val="0"/>
                <w:numId w:val="21"/>
              </w:numPr>
              <w:spacing w:line="400" w:lineRule="exact"/>
              <w:ind w:right="113"/>
              <w:rPr>
                <w:rFonts w:ascii="標楷體" w:eastAsia="標楷體" w:hAnsi="標楷體"/>
                <w:color w:val="000000" w:themeColor="text1"/>
                <w:sz w:val="28"/>
                <w:szCs w:val="28"/>
              </w:rPr>
            </w:pPr>
          </w:p>
        </w:tc>
        <w:tc>
          <w:tcPr>
            <w:tcW w:w="1804"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hint="eastAsia"/>
                <w:color w:val="000000"/>
                <w:sz w:val="28"/>
              </w:rPr>
              <w:t>文化部函，為111年度中央政府總預算決議，檢送歲出第21款第9項決議(一)「博物館業務之推展」預算凍結書面報告，請查照案。</w:t>
            </w:r>
          </w:p>
        </w:tc>
        <w:tc>
          <w:tcPr>
            <w:tcW w:w="858"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10-5-6</w:t>
            </w:r>
          </w:p>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(111.4.1)</w:t>
            </w:r>
          </w:p>
        </w:tc>
        <w:tc>
          <w:tcPr>
            <w:tcW w:w="487" w:type="pct"/>
          </w:tcPr>
          <w:p w:rsidR="007B4408" w:rsidRPr="002C2B2E" w:rsidRDefault="007B4408" w:rsidP="007B4408">
            <w:pPr>
              <w:rPr>
                <w:rFonts w:ascii="標楷體" w:eastAsia="標楷體" w:hAnsi="標楷體"/>
                <w:color w:val="000000"/>
                <w:sz w:val="28"/>
              </w:rPr>
            </w:pPr>
          </w:p>
        </w:tc>
        <w:tc>
          <w:tcPr>
            <w:tcW w:w="1497" w:type="pct"/>
          </w:tcPr>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1.</w:t>
            </w:r>
            <w:r w:rsidRPr="002C2B2E">
              <w:rPr>
                <w:rFonts w:ascii="標楷體" w:eastAsia="標楷體" w:hAnsi="標楷體" w:hint="eastAsia"/>
                <w:color w:val="000000"/>
              </w:rPr>
              <w:tab/>
              <w:t>第5會期第15次全體委員會議（111.5.25）決議：准予動支，提報院會。</w:t>
            </w:r>
          </w:p>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2.</w:t>
            </w:r>
            <w:r w:rsidRPr="002C2B2E">
              <w:rPr>
                <w:rFonts w:ascii="標楷體" w:eastAsia="標楷體" w:hAnsi="標楷體" w:hint="eastAsia"/>
                <w:color w:val="000000"/>
              </w:rPr>
              <w:tab/>
              <w:t>第6會期第1次院會（111.9.23）決定：准予備查。</w:t>
            </w:r>
          </w:p>
        </w:tc>
      </w:tr>
      <w:tr w:rsidR="007B4408" w:rsidRPr="00920597" w:rsidTr="001F3F42">
        <w:trPr>
          <w:trHeight w:val="567"/>
        </w:trPr>
        <w:tc>
          <w:tcPr>
            <w:tcW w:w="354" w:type="pct"/>
            <w:vAlign w:val="center"/>
          </w:tcPr>
          <w:p w:rsidR="007B4408" w:rsidRPr="00920597" w:rsidRDefault="007B4408" w:rsidP="006934DD">
            <w:pPr>
              <w:numPr>
                <w:ilvl w:val="0"/>
                <w:numId w:val="21"/>
              </w:numPr>
              <w:spacing w:line="400" w:lineRule="exact"/>
              <w:ind w:right="113"/>
              <w:rPr>
                <w:rFonts w:ascii="標楷體" w:eastAsia="標楷體" w:hAnsi="標楷體"/>
                <w:color w:val="000000" w:themeColor="text1"/>
                <w:sz w:val="28"/>
                <w:szCs w:val="28"/>
              </w:rPr>
            </w:pPr>
          </w:p>
        </w:tc>
        <w:tc>
          <w:tcPr>
            <w:tcW w:w="1804"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hint="eastAsia"/>
                <w:color w:val="000000"/>
                <w:sz w:val="28"/>
              </w:rPr>
              <w:t>文化部函，為111年度中央政府總預算決議，檢送歲出第21款第1項決議(六)「人文及出版業務」預算凍結書面報告，請查照案。</w:t>
            </w:r>
          </w:p>
        </w:tc>
        <w:tc>
          <w:tcPr>
            <w:tcW w:w="858"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10-5-6</w:t>
            </w:r>
          </w:p>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(111.4.1)</w:t>
            </w:r>
          </w:p>
        </w:tc>
        <w:tc>
          <w:tcPr>
            <w:tcW w:w="487" w:type="pct"/>
          </w:tcPr>
          <w:p w:rsidR="007B4408" w:rsidRPr="002C2B2E" w:rsidRDefault="007B4408" w:rsidP="007B4408">
            <w:pPr>
              <w:rPr>
                <w:rFonts w:ascii="標楷體" w:eastAsia="標楷體" w:hAnsi="標楷體"/>
                <w:color w:val="000000"/>
                <w:sz w:val="28"/>
              </w:rPr>
            </w:pPr>
          </w:p>
        </w:tc>
        <w:tc>
          <w:tcPr>
            <w:tcW w:w="1497" w:type="pct"/>
          </w:tcPr>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1.</w:t>
            </w:r>
            <w:r w:rsidRPr="002C2B2E">
              <w:rPr>
                <w:rFonts w:ascii="標楷體" w:eastAsia="標楷體" w:hAnsi="標楷體" w:hint="eastAsia"/>
                <w:color w:val="000000"/>
              </w:rPr>
              <w:tab/>
              <w:t>第5會期第15次全體委員會議（111.5.25）決議：准予動支，提報院會。</w:t>
            </w:r>
          </w:p>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2.</w:t>
            </w:r>
            <w:r w:rsidRPr="002C2B2E">
              <w:rPr>
                <w:rFonts w:ascii="標楷體" w:eastAsia="標楷體" w:hAnsi="標楷體" w:hint="eastAsia"/>
                <w:color w:val="000000"/>
              </w:rPr>
              <w:tab/>
              <w:t>第6會期第1次院會（111.9.23）決定：准予備查。</w:t>
            </w:r>
          </w:p>
        </w:tc>
      </w:tr>
      <w:tr w:rsidR="007B4408" w:rsidRPr="00920597" w:rsidTr="001F3F42">
        <w:trPr>
          <w:trHeight w:val="567"/>
        </w:trPr>
        <w:tc>
          <w:tcPr>
            <w:tcW w:w="354" w:type="pct"/>
            <w:vAlign w:val="center"/>
          </w:tcPr>
          <w:p w:rsidR="007B4408" w:rsidRPr="00920597" w:rsidRDefault="007B4408" w:rsidP="006934DD">
            <w:pPr>
              <w:numPr>
                <w:ilvl w:val="0"/>
                <w:numId w:val="21"/>
              </w:numPr>
              <w:spacing w:line="400" w:lineRule="exact"/>
              <w:ind w:right="113"/>
              <w:rPr>
                <w:rFonts w:ascii="標楷體" w:eastAsia="標楷體" w:hAnsi="標楷體"/>
                <w:color w:val="000000" w:themeColor="text1"/>
                <w:sz w:val="28"/>
                <w:szCs w:val="28"/>
              </w:rPr>
            </w:pPr>
          </w:p>
        </w:tc>
        <w:tc>
          <w:tcPr>
            <w:tcW w:w="1804"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hint="eastAsia"/>
                <w:color w:val="000000"/>
                <w:sz w:val="28"/>
              </w:rPr>
              <w:t>文化部函，為111年度中央政府總預算決議，檢送歲出第21款第4項決議（一）預算凍結書面報告，請查照案。</w:t>
            </w:r>
          </w:p>
        </w:tc>
        <w:tc>
          <w:tcPr>
            <w:tcW w:w="858"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10-5-6</w:t>
            </w:r>
          </w:p>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(111.4.1)</w:t>
            </w:r>
          </w:p>
        </w:tc>
        <w:tc>
          <w:tcPr>
            <w:tcW w:w="487" w:type="pct"/>
          </w:tcPr>
          <w:p w:rsidR="007B4408" w:rsidRPr="002C2B2E" w:rsidRDefault="007B4408" w:rsidP="007B4408">
            <w:pPr>
              <w:rPr>
                <w:rFonts w:ascii="標楷體" w:eastAsia="標楷體" w:hAnsi="標楷體"/>
                <w:color w:val="000000"/>
                <w:sz w:val="28"/>
              </w:rPr>
            </w:pPr>
          </w:p>
        </w:tc>
        <w:tc>
          <w:tcPr>
            <w:tcW w:w="1497" w:type="pct"/>
          </w:tcPr>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1.</w:t>
            </w:r>
            <w:r w:rsidRPr="002C2B2E">
              <w:rPr>
                <w:rFonts w:ascii="標楷體" w:eastAsia="標楷體" w:hAnsi="標楷體" w:hint="eastAsia"/>
                <w:color w:val="000000"/>
              </w:rPr>
              <w:tab/>
              <w:t>第5會期第15次全體委員會議（111.5.25）決議：准予動支，提報院會。</w:t>
            </w:r>
          </w:p>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2.</w:t>
            </w:r>
            <w:r w:rsidRPr="002C2B2E">
              <w:rPr>
                <w:rFonts w:ascii="標楷體" w:eastAsia="標楷體" w:hAnsi="標楷體" w:hint="eastAsia"/>
                <w:color w:val="000000"/>
              </w:rPr>
              <w:tab/>
              <w:t>第6會期第1次院會（111.9.23）決定：准予備查。</w:t>
            </w:r>
          </w:p>
        </w:tc>
      </w:tr>
      <w:tr w:rsidR="007B4408" w:rsidRPr="00920597" w:rsidTr="001F3F42">
        <w:trPr>
          <w:trHeight w:val="567"/>
        </w:trPr>
        <w:tc>
          <w:tcPr>
            <w:tcW w:w="354" w:type="pct"/>
            <w:vAlign w:val="center"/>
          </w:tcPr>
          <w:p w:rsidR="007B4408" w:rsidRPr="00920597" w:rsidRDefault="007B4408" w:rsidP="006934DD">
            <w:pPr>
              <w:numPr>
                <w:ilvl w:val="0"/>
                <w:numId w:val="21"/>
              </w:numPr>
              <w:spacing w:line="400" w:lineRule="exact"/>
              <w:ind w:right="113"/>
              <w:rPr>
                <w:rFonts w:ascii="標楷體" w:eastAsia="標楷體" w:hAnsi="標楷體"/>
                <w:color w:val="000000" w:themeColor="text1"/>
                <w:sz w:val="28"/>
                <w:szCs w:val="28"/>
              </w:rPr>
            </w:pPr>
          </w:p>
        </w:tc>
        <w:tc>
          <w:tcPr>
            <w:tcW w:w="1804"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hint="eastAsia"/>
                <w:color w:val="000000"/>
                <w:sz w:val="28"/>
              </w:rPr>
              <w:t>文化部函，為111年度中央政府總預算決議，檢送歲出第21款第1項決議（一二五）「國立歷史博物館營運與發展」預算凍結書面報告，請查照案。</w:t>
            </w:r>
          </w:p>
        </w:tc>
        <w:tc>
          <w:tcPr>
            <w:tcW w:w="858"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10-5-6</w:t>
            </w:r>
          </w:p>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(111.4.1)</w:t>
            </w:r>
          </w:p>
        </w:tc>
        <w:tc>
          <w:tcPr>
            <w:tcW w:w="487" w:type="pct"/>
          </w:tcPr>
          <w:p w:rsidR="007B4408" w:rsidRPr="002C2B2E" w:rsidRDefault="007B4408" w:rsidP="007B4408">
            <w:pPr>
              <w:rPr>
                <w:rFonts w:ascii="標楷體" w:eastAsia="標楷體" w:hAnsi="標楷體"/>
                <w:color w:val="000000"/>
                <w:sz w:val="28"/>
              </w:rPr>
            </w:pPr>
          </w:p>
        </w:tc>
        <w:tc>
          <w:tcPr>
            <w:tcW w:w="1497" w:type="pct"/>
          </w:tcPr>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1.</w:t>
            </w:r>
            <w:r w:rsidRPr="002C2B2E">
              <w:rPr>
                <w:rFonts w:ascii="標楷體" w:eastAsia="標楷體" w:hAnsi="標楷體" w:hint="eastAsia"/>
                <w:color w:val="000000"/>
              </w:rPr>
              <w:tab/>
              <w:t>第5會期第15次全體委員會議（111.5.25）決議：准予動支，提報院會。</w:t>
            </w:r>
          </w:p>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2.</w:t>
            </w:r>
            <w:r w:rsidRPr="002C2B2E">
              <w:rPr>
                <w:rFonts w:ascii="標楷體" w:eastAsia="標楷體" w:hAnsi="標楷體" w:hint="eastAsia"/>
                <w:color w:val="000000"/>
              </w:rPr>
              <w:tab/>
              <w:t>第6會期第1次院會（111.9.23）決定：准予備查。</w:t>
            </w:r>
          </w:p>
        </w:tc>
      </w:tr>
      <w:tr w:rsidR="007B4408" w:rsidRPr="00920597" w:rsidTr="001F3F42">
        <w:trPr>
          <w:trHeight w:val="567"/>
        </w:trPr>
        <w:tc>
          <w:tcPr>
            <w:tcW w:w="354" w:type="pct"/>
            <w:vAlign w:val="center"/>
          </w:tcPr>
          <w:p w:rsidR="007B4408" w:rsidRPr="00920597" w:rsidRDefault="007B4408" w:rsidP="006934DD">
            <w:pPr>
              <w:numPr>
                <w:ilvl w:val="0"/>
                <w:numId w:val="21"/>
              </w:numPr>
              <w:spacing w:line="400" w:lineRule="exact"/>
              <w:ind w:right="113"/>
              <w:rPr>
                <w:rFonts w:ascii="標楷體" w:eastAsia="標楷體" w:hAnsi="標楷體"/>
                <w:color w:val="000000" w:themeColor="text1"/>
                <w:sz w:val="28"/>
                <w:szCs w:val="28"/>
              </w:rPr>
            </w:pPr>
          </w:p>
        </w:tc>
        <w:tc>
          <w:tcPr>
            <w:tcW w:w="1804"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hint="eastAsia"/>
                <w:color w:val="000000"/>
                <w:sz w:val="28"/>
              </w:rPr>
              <w:t>文化部函，為111年度中央政府總預算決議，檢送歲出第21款第1項決議(一三一)預算凍結書面報告，請查照案。</w:t>
            </w:r>
          </w:p>
        </w:tc>
        <w:tc>
          <w:tcPr>
            <w:tcW w:w="858"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10-5-6</w:t>
            </w:r>
          </w:p>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(111.4.1)</w:t>
            </w:r>
          </w:p>
        </w:tc>
        <w:tc>
          <w:tcPr>
            <w:tcW w:w="487" w:type="pct"/>
          </w:tcPr>
          <w:p w:rsidR="007B4408" w:rsidRPr="002C2B2E" w:rsidRDefault="007B4408" w:rsidP="007B4408">
            <w:pPr>
              <w:rPr>
                <w:rFonts w:ascii="標楷體" w:eastAsia="標楷體" w:hAnsi="標楷體"/>
                <w:color w:val="000000"/>
                <w:sz w:val="28"/>
              </w:rPr>
            </w:pPr>
          </w:p>
        </w:tc>
        <w:tc>
          <w:tcPr>
            <w:tcW w:w="1497" w:type="pct"/>
          </w:tcPr>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1.</w:t>
            </w:r>
            <w:r w:rsidRPr="002C2B2E">
              <w:rPr>
                <w:rFonts w:ascii="標楷體" w:eastAsia="標楷體" w:hAnsi="標楷體" w:hint="eastAsia"/>
                <w:color w:val="000000"/>
              </w:rPr>
              <w:tab/>
              <w:t>第5會期第15次全體委員會議（111.5.25）決議：准予動支，提報院會。</w:t>
            </w:r>
          </w:p>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2.</w:t>
            </w:r>
            <w:r w:rsidRPr="002C2B2E">
              <w:rPr>
                <w:rFonts w:ascii="標楷體" w:eastAsia="標楷體" w:hAnsi="標楷體" w:hint="eastAsia"/>
                <w:color w:val="000000"/>
              </w:rPr>
              <w:tab/>
              <w:t>第6會期第1次院會（111.9.23）決定：准予備查。</w:t>
            </w:r>
          </w:p>
        </w:tc>
      </w:tr>
      <w:tr w:rsidR="007B4408" w:rsidRPr="00920597" w:rsidTr="001F3F42">
        <w:trPr>
          <w:trHeight w:val="567"/>
        </w:trPr>
        <w:tc>
          <w:tcPr>
            <w:tcW w:w="354" w:type="pct"/>
            <w:vAlign w:val="center"/>
          </w:tcPr>
          <w:p w:rsidR="007B4408" w:rsidRPr="00920597" w:rsidRDefault="007B4408" w:rsidP="006934DD">
            <w:pPr>
              <w:numPr>
                <w:ilvl w:val="0"/>
                <w:numId w:val="21"/>
              </w:numPr>
              <w:spacing w:line="400" w:lineRule="exact"/>
              <w:ind w:right="113"/>
              <w:rPr>
                <w:rFonts w:ascii="標楷體" w:eastAsia="標楷體" w:hAnsi="標楷體"/>
                <w:color w:val="000000" w:themeColor="text1"/>
                <w:sz w:val="28"/>
                <w:szCs w:val="28"/>
              </w:rPr>
            </w:pPr>
          </w:p>
        </w:tc>
        <w:tc>
          <w:tcPr>
            <w:tcW w:w="1804"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hint="eastAsia"/>
                <w:color w:val="000000"/>
                <w:sz w:val="28"/>
              </w:rPr>
              <w:t>文化部函，為111年度中央政府總預算決議，檢送歲出第21款第1項決議（七）預算凍結書面報告，請查照案。</w:t>
            </w:r>
          </w:p>
        </w:tc>
        <w:tc>
          <w:tcPr>
            <w:tcW w:w="858"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10-5-6</w:t>
            </w:r>
          </w:p>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(111.4.1)</w:t>
            </w:r>
          </w:p>
        </w:tc>
        <w:tc>
          <w:tcPr>
            <w:tcW w:w="487" w:type="pct"/>
          </w:tcPr>
          <w:p w:rsidR="007B4408" w:rsidRPr="002C2B2E" w:rsidRDefault="007B4408" w:rsidP="007B4408">
            <w:pPr>
              <w:rPr>
                <w:rFonts w:ascii="標楷體" w:eastAsia="標楷體" w:hAnsi="標楷體"/>
                <w:color w:val="000000"/>
                <w:sz w:val="28"/>
              </w:rPr>
            </w:pPr>
          </w:p>
        </w:tc>
        <w:tc>
          <w:tcPr>
            <w:tcW w:w="1497" w:type="pct"/>
          </w:tcPr>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1.</w:t>
            </w:r>
            <w:r w:rsidRPr="002C2B2E">
              <w:rPr>
                <w:rFonts w:ascii="標楷體" w:eastAsia="標楷體" w:hAnsi="標楷體" w:hint="eastAsia"/>
                <w:color w:val="000000"/>
              </w:rPr>
              <w:tab/>
              <w:t>第5會期第15次全體委員會議（111.5.25）決議：准予動支，提報院會。</w:t>
            </w:r>
          </w:p>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2.</w:t>
            </w:r>
            <w:r w:rsidRPr="002C2B2E">
              <w:rPr>
                <w:rFonts w:ascii="標楷體" w:eastAsia="標楷體" w:hAnsi="標楷體" w:hint="eastAsia"/>
                <w:color w:val="000000"/>
              </w:rPr>
              <w:tab/>
              <w:t>第6會期第1次院會（111.9.23）決定：准予備查。</w:t>
            </w:r>
          </w:p>
        </w:tc>
      </w:tr>
      <w:tr w:rsidR="007B4408" w:rsidRPr="00920597" w:rsidTr="001F3F42">
        <w:trPr>
          <w:trHeight w:val="567"/>
        </w:trPr>
        <w:tc>
          <w:tcPr>
            <w:tcW w:w="354" w:type="pct"/>
            <w:vAlign w:val="center"/>
          </w:tcPr>
          <w:p w:rsidR="007B4408" w:rsidRPr="00920597" w:rsidRDefault="007B4408" w:rsidP="006934DD">
            <w:pPr>
              <w:numPr>
                <w:ilvl w:val="0"/>
                <w:numId w:val="21"/>
              </w:numPr>
              <w:spacing w:line="400" w:lineRule="exact"/>
              <w:ind w:right="113"/>
              <w:rPr>
                <w:rFonts w:ascii="標楷體" w:eastAsia="標楷體" w:hAnsi="標楷體"/>
                <w:color w:val="000000" w:themeColor="text1"/>
                <w:sz w:val="28"/>
                <w:szCs w:val="28"/>
              </w:rPr>
            </w:pPr>
          </w:p>
        </w:tc>
        <w:tc>
          <w:tcPr>
            <w:tcW w:w="1804"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hint="eastAsia"/>
                <w:color w:val="000000"/>
                <w:sz w:val="28"/>
              </w:rPr>
              <w:t>文化部函，為111年度中央政府總預算決議，檢送歲出第21款第2項決議（九）預算凍結書面報告，請查照案。</w:t>
            </w:r>
          </w:p>
        </w:tc>
        <w:tc>
          <w:tcPr>
            <w:tcW w:w="858"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10-5-6</w:t>
            </w:r>
          </w:p>
          <w:p w:rsidR="007B4408" w:rsidRPr="002C2B2E" w:rsidRDefault="007B4408" w:rsidP="007B4408">
            <w:pPr>
              <w:spacing w:line="400" w:lineRule="exact"/>
              <w:ind w:leftChars="-12" w:left="-29"/>
              <w:jc w:val="both"/>
              <w:rPr>
                <w:rFonts w:eastAsia="華康楷書體W5"/>
                <w:color w:val="000000"/>
                <w:sz w:val="28"/>
              </w:rPr>
            </w:pPr>
            <w:r w:rsidRPr="007B4408">
              <w:rPr>
                <w:rFonts w:ascii="標楷體" w:eastAsia="標楷體" w:hAnsi="標楷體"/>
                <w:color w:val="000000"/>
                <w:sz w:val="28"/>
              </w:rPr>
              <w:t>(111.4.1)</w:t>
            </w:r>
          </w:p>
        </w:tc>
        <w:tc>
          <w:tcPr>
            <w:tcW w:w="487" w:type="pct"/>
          </w:tcPr>
          <w:p w:rsidR="007B4408" w:rsidRPr="002C2B2E" w:rsidRDefault="007B4408" w:rsidP="007B4408">
            <w:pPr>
              <w:rPr>
                <w:rFonts w:ascii="標楷體" w:eastAsia="標楷體" w:hAnsi="標楷體"/>
                <w:color w:val="000000"/>
                <w:sz w:val="28"/>
              </w:rPr>
            </w:pPr>
          </w:p>
        </w:tc>
        <w:tc>
          <w:tcPr>
            <w:tcW w:w="1497" w:type="pct"/>
          </w:tcPr>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1.</w:t>
            </w:r>
            <w:r w:rsidRPr="002C2B2E">
              <w:rPr>
                <w:rFonts w:ascii="標楷體" w:eastAsia="標楷體" w:hAnsi="標楷體" w:hint="eastAsia"/>
                <w:color w:val="000000"/>
              </w:rPr>
              <w:tab/>
              <w:t>第5會期第15次全體委員會議（111.5.25）決議：准予動支，提報院會。</w:t>
            </w:r>
          </w:p>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2.</w:t>
            </w:r>
            <w:r w:rsidRPr="002C2B2E">
              <w:rPr>
                <w:rFonts w:ascii="標楷體" w:eastAsia="標楷體" w:hAnsi="標楷體" w:hint="eastAsia"/>
                <w:color w:val="000000"/>
              </w:rPr>
              <w:tab/>
              <w:t>第6會期第1次院會（111.9.23）決定：准予備查。</w:t>
            </w:r>
          </w:p>
        </w:tc>
      </w:tr>
      <w:tr w:rsidR="007B4408" w:rsidRPr="00920597" w:rsidTr="001F3F42">
        <w:trPr>
          <w:trHeight w:val="567"/>
        </w:trPr>
        <w:tc>
          <w:tcPr>
            <w:tcW w:w="354" w:type="pct"/>
            <w:vAlign w:val="center"/>
          </w:tcPr>
          <w:p w:rsidR="007B4408" w:rsidRPr="00920597" w:rsidRDefault="007B4408" w:rsidP="006934DD">
            <w:pPr>
              <w:numPr>
                <w:ilvl w:val="0"/>
                <w:numId w:val="21"/>
              </w:numPr>
              <w:spacing w:line="400" w:lineRule="exact"/>
              <w:ind w:right="113"/>
              <w:rPr>
                <w:rFonts w:ascii="標楷體" w:eastAsia="標楷體" w:hAnsi="標楷體"/>
                <w:color w:val="000000" w:themeColor="text1"/>
                <w:sz w:val="28"/>
                <w:szCs w:val="28"/>
              </w:rPr>
            </w:pPr>
          </w:p>
        </w:tc>
        <w:tc>
          <w:tcPr>
            <w:tcW w:w="1804"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hint="eastAsia"/>
                <w:color w:val="000000"/>
                <w:sz w:val="28"/>
              </w:rPr>
              <w:t>文化部函，為111年度中央政府總預算決議，檢送歲出第21款第10項決議（一）「博物館業務」預算凍結書面報告，請查照案。</w:t>
            </w:r>
          </w:p>
        </w:tc>
        <w:tc>
          <w:tcPr>
            <w:tcW w:w="858"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10-5-6</w:t>
            </w:r>
          </w:p>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(111.4.1)</w:t>
            </w:r>
          </w:p>
        </w:tc>
        <w:tc>
          <w:tcPr>
            <w:tcW w:w="487" w:type="pct"/>
          </w:tcPr>
          <w:p w:rsidR="007B4408" w:rsidRPr="002C2B2E" w:rsidRDefault="007B4408" w:rsidP="007B4408">
            <w:pPr>
              <w:rPr>
                <w:rFonts w:ascii="標楷體" w:eastAsia="標楷體" w:hAnsi="標楷體"/>
                <w:color w:val="000000"/>
                <w:sz w:val="28"/>
              </w:rPr>
            </w:pPr>
          </w:p>
        </w:tc>
        <w:tc>
          <w:tcPr>
            <w:tcW w:w="1497" w:type="pct"/>
          </w:tcPr>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1.</w:t>
            </w:r>
            <w:r w:rsidRPr="002C2B2E">
              <w:rPr>
                <w:rFonts w:ascii="標楷體" w:eastAsia="標楷體" w:hAnsi="標楷體" w:hint="eastAsia"/>
                <w:color w:val="000000"/>
              </w:rPr>
              <w:tab/>
              <w:t>第5會期第15次全體委員會議（111.5.25）決議：准予動支，提報院會。</w:t>
            </w:r>
          </w:p>
          <w:p w:rsidR="007B4408" w:rsidRPr="002C2B2E" w:rsidRDefault="007B4408" w:rsidP="007B4408">
            <w:pPr>
              <w:ind w:leftChars="21" w:left="302" w:hangingChars="105" w:hanging="252"/>
              <w:jc w:val="both"/>
              <w:rPr>
                <w:rFonts w:ascii="標楷體" w:eastAsia="標楷體" w:hAnsi="標楷體"/>
                <w:color w:val="000000"/>
              </w:rPr>
            </w:pPr>
            <w:r w:rsidRPr="002C2B2E">
              <w:rPr>
                <w:rFonts w:ascii="標楷體" w:eastAsia="標楷體" w:hAnsi="標楷體" w:hint="eastAsia"/>
                <w:color w:val="000000"/>
              </w:rPr>
              <w:t>2.</w:t>
            </w:r>
            <w:r w:rsidRPr="002C2B2E">
              <w:rPr>
                <w:rFonts w:ascii="標楷體" w:eastAsia="標楷體" w:hAnsi="標楷體" w:hint="eastAsia"/>
                <w:color w:val="000000"/>
              </w:rPr>
              <w:tab/>
              <w:t>第6會期第1次院會（111.9.23）決定：准予備查。</w:t>
            </w:r>
          </w:p>
        </w:tc>
      </w:tr>
      <w:tr w:rsidR="007B4408" w:rsidRPr="00920597" w:rsidTr="001F3F42">
        <w:trPr>
          <w:trHeight w:val="567"/>
        </w:trPr>
        <w:tc>
          <w:tcPr>
            <w:tcW w:w="354" w:type="pct"/>
            <w:vAlign w:val="center"/>
          </w:tcPr>
          <w:p w:rsidR="007B4408" w:rsidRPr="00920597" w:rsidRDefault="007B4408" w:rsidP="006934DD">
            <w:pPr>
              <w:numPr>
                <w:ilvl w:val="0"/>
                <w:numId w:val="21"/>
              </w:numPr>
              <w:spacing w:line="400" w:lineRule="exact"/>
              <w:ind w:right="113"/>
              <w:rPr>
                <w:rFonts w:ascii="標楷體" w:eastAsia="標楷體" w:hAnsi="標楷體"/>
                <w:color w:val="000000" w:themeColor="text1"/>
                <w:sz w:val="28"/>
                <w:szCs w:val="28"/>
              </w:rPr>
            </w:pPr>
          </w:p>
        </w:tc>
        <w:tc>
          <w:tcPr>
            <w:tcW w:w="1804"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hint="eastAsia"/>
                <w:color w:val="000000"/>
                <w:sz w:val="28"/>
              </w:rPr>
              <w:t>文化部函送文化內容策進院111年度預算凍結專案報告，請查照案。</w:t>
            </w:r>
          </w:p>
        </w:tc>
        <w:tc>
          <w:tcPr>
            <w:tcW w:w="858"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10-6-2</w:t>
            </w:r>
          </w:p>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(111.9.30)</w:t>
            </w:r>
          </w:p>
          <w:p w:rsidR="007B4408" w:rsidRPr="007B4408" w:rsidRDefault="007B4408" w:rsidP="007B4408">
            <w:pPr>
              <w:jc w:val="both"/>
              <w:rPr>
                <w:rFonts w:ascii="標楷體" w:eastAsia="標楷體" w:hAnsi="標楷體"/>
                <w:color w:val="000000"/>
                <w:sz w:val="28"/>
              </w:rPr>
            </w:pPr>
          </w:p>
        </w:tc>
        <w:tc>
          <w:tcPr>
            <w:tcW w:w="487" w:type="pct"/>
          </w:tcPr>
          <w:p w:rsidR="007B4408" w:rsidRPr="008B50C1" w:rsidRDefault="007B4408" w:rsidP="007B4408">
            <w:pPr>
              <w:rPr>
                <w:rFonts w:ascii="標楷體" w:eastAsia="標楷體" w:hAnsi="標楷體"/>
                <w:color w:val="000000"/>
                <w:sz w:val="28"/>
              </w:rPr>
            </w:pPr>
          </w:p>
        </w:tc>
        <w:tc>
          <w:tcPr>
            <w:tcW w:w="1497" w:type="pct"/>
          </w:tcPr>
          <w:p w:rsidR="007B4408" w:rsidRPr="008B50C1" w:rsidRDefault="007B4408" w:rsidP="007B4408">
            <w:pPr>
              <w:ind w:leftChars="21" w:left="302" w:hangingChars="105" w:hanging="252"/>
              <w:jc w:val="both"/>
              <w:rPr>
                <w:rFonts w:ascii="標楷體" w:eastAsia="標楷體" w:hAnsi="標楷體"/>
                <w:color w:val="000000"/>
              </w:rPr>
            </w:pPr>
            <w:r w:rsidRPr="008B50C1">
              <w:rPr>
                <w:rFonts w:ascii="標楷體" w:eastAsia="標楷體" w:hAnsi="標楷體" w:hint="eastAsia"/>
                <w:color w:val="000000"/>
              </w:rPr>
              <w:t>1</w:t>
            </w:r>
            <w:r w:rsidRPr="008B50C1">
              <w:rPr>
                <w:rFonts w:ascii="標楷體" w:eastAsia="標楷體" w:hAnsi="標楷體"/>
                <w:color w:val="000000"/>
              </w:rPr>
              <w:t>.</w:t>
            </w:r>
            <w:r w:rsidRPr="008B50C1">
              <w:rPr>
                <w:rFonts w:ascii="標楷體" w:eastAsia="標楷體" w:hAnsi="標楷體" w:hint="eastAsia"/>
                <w:color w:val="000000"/>
              </w:rPr>
              <w:t>第</w:t>
            </w:r>
            <w:r w:rsidRPr="008B50C1">
              <w:rPr>
                <w:rFonts w:ascii="標楷體" w:eastAsia="標楷體" w:hAnsi="標楷體"/>
                <w:color w:val="000000"/>
              </w:rPr>
              <w:t>6</w:t>
            </w:r>
            <w:r w:rsidRPr="008B50C1">
              <w:rPr>
                <w:rFonts w:ascii="標楷體" w:eastAsia="標楷體" w:hAnsi="標楷體" w:hint="eastAsia"/>
                <w:color w:val="000000"/>
              </w:rPr>
              <w:t>會期第</w:t>
            </w:r>
            <w:r w:rsidRPr="008B50C1">
              <w:rPr>
                <w:rFonts w:ascii="標楷體" w:eastAsia="標楷體" w:hAnsi="標楷體"/>
                <w:color w:val="000000"/>
              </w:rPr>
              <w:t>5</w:t>
            </w:r>
            <w:r w:rsidRPr="008B50C1">
              <w:rPr>
                <w:rFonts w:ascii="標楷體" w:eastAsia="標楷體" w:hAnsi="標楷體" w:hint="eastAsia"/>
                <w:color w:val="000000"/>
              </w:rPr>
              <w:t>次全體委員會議（111.10.</w:t>
            </w:r>
            <w:r w:rsidRPr="008B50C1">
              <w:rPr>
                <w:rFonts w:ascii="標楷體" w:eastAsia="標楷體" w:hAnsi="標楷體"/>
                <w:color w:val="000000"/>
              </w:rPr>
              <w:t>24</w:t>
            </w:r>
            <w:r w:rsidRPr="008B50C1">
              <w:rPr>
                <w:rFonts w:ascii="標楷體" w:eastAsia="標楷體" w:hAnsi="標楷體" w:hint="eastAsia"/>
                <w:color w:val="000000"/>
              </w:rPr>
              <w:t>）決議：准予動支，提報院會。</w:t>
            </w:r>
          </w:p>
          <w:p w:rsidR="007B4408" w:rsidRPr="008B50C1" w:rsidRDefault="007B4408" w:rsidP="007B4408">
            <w:pPr>
              <w:ind w:leftChars="21" w:left="302" w:hangingChars="105" w:hanging="252"/>
              <w:jc w:val="both"/>
              <w:rPr>
                <w:rFonts w:ascii="標楷體" w:eastAsia="標楷體" w:hAnsi="標楷體"/>
                <w:color w:val="000000"/>
              </w:rPr>
            </w:pPr>
            <w:r w:rsidRPr="008B50C1">
              <w:rPr>
                <w:rFonts w:ascii="標楷體" w:eastAsia="標楷體" w:hAnsi="標楷體" w:hint="eastAsia"/>
                <w:color w:val="000000"/>
              </w:rPr>
              <w:t>2.</w:t>
            </w:r>
            <w:r w:rsidRPr="008B50C1">
              <w:rPr>
                <w:rFonts w:ascii="標楷體" w:eastAsia="標楷體" w:hAnsi="標楷體" w:hint="eastAsia"/>
                <w:color w:val="000000"/>
              </w:rPr>
              <w:tab/>
              <w:t>第6會期第</w:t>
            </w:r>
            <w:r w:rsidRPr="008B50C1">
              <w:rPr>
                <w:rFonts w:ascii="標楷體" w:eastAsia="標楷體" w:hAnsi="標楷體"/>
                <w:color w:val="000000"/>
              </w:rPr>
              <w:t>8</w:t>
            </w:r>
            <w:r w:rsidRPr="008B50C1">
              <w:rPr>
                <w:rFonts w:ascii="標楷體" w:eastAsia="標楷體" w:hAnsi="標楷體" w:hint="eastAsia"/>
                <w:color w:val="000000"/>
              </w:rPr>
              <w:t>次院會（111.</w:t>
            </w:r>
            <w:r w:rsidRPr="008B50C1">
              <w:rPr>
                <w:rFonts w:ascii="標楷體" w:eastAsia="標楷體" w:hAnsi="標楷體"/>
                <w:color w:val="000000"/>
              </w:rPr>
              <w:t>11</w:t>
            </w:r>
            <w:r w:rsidRPr="008B50C1">
              <w:rPr>
                <w:rFonts w:ascii="標楷體" w:eastAsia="標楷體" w:hAnsi="標楷體" w:hint="eastAsia"/>
                <w:color w:val="000000"/>
              </w:rPr>
              <w:t>.</w:t>
            </w:r>
            <w:r w:rsidRPr="008B50C1">
              <w:rPr>
                <w:rFonts w:ascii="標楷體" w:eastAsia="標楷體" w:hAnsi="標楷體"/>
                <w:color w:val="000000"/>
              </w:rPr>
              <w:t>18</w:t>
            </w:r>
            <w:r w:rsidRPr="008B50C1">
              <w:rPr>
                <w:rFonts w:ascii="標楷體" w:eastAsia="標楷體" w:hAnsi="標楷體" w:hint="eastAsia"/>
                <w:color w:val="000000"/>
              </w:rPr>
              <w:t>）決定：准予備查。</w:t>
            </w:r>
          </w:p>
        </w:tc>
      </w:tr>
    </w:tbl>
    <w:p w:rsidR="00A4133F" w:rsidRDefault="00A4133F">
      <w:pPr>
        <w:widowControl/>
        <w:rPr>
          <w:rFonts w:ascii="標楷體" w:eastAsia="標楷體" w:hAnsi="標楷體"/>
          <w:b/>
          <w:bCs/>
          <w:color w:val="000000" w:themeColor="text1"/>
          <w:spacing w:val="-12"/>
          <w:sz w:val="32"/>
          <w:szCs w:val="32"/>
        </w:rPr>
      </w:pPr>
      <w:r>
        <w:rPr>
          <w:color w:val="000000" w:themeColor="text1"/>
        </w:rPr>
        <w:br w:type="page"/>
      </w:r>
    </w:p>
    <w:p w:rsidR="00983023" w:rsidRPr="00920597" w:rsidRDefault="007B4408" w:rsidP="00F41455">
      <w:pPr>
        <w:pStyle w:val="01-4"/>
        <w:rPr>
          <w:color w:val="000000" w:themeColor="text1"/>
        </w:rPr>
      </w:pPr>
      <w:bookmarkStart w:id="105" w:name="_Toc126068143"/>
      <w:r>
        <w:rPr>
          <w:color w:val="000000" w:themeColor="text1"/>
        </w:rPr>
        <w:lastRenderedPageBreak/>
        <w:t>3</w:t>
      </w:r>
      <w:r w:rsidR="001E538B" w:rsidRPr="00920597">
        <w:rPr>
          <w:color w:val="000000" w:themeColor="text1"/>
        </w:rPr>
        <w:t>.</w:t>
      </w:r>
      <w:r w:rsidR="00AC7083" w:rsidRPr="00AC7083">
        <w:rPr>
          <w:rFonts w:hint="eastAsia"/>
          <w:color w:val="000000" w:themeColor="text1"/>
        </w:rPr>
        <w:t>國家科學及技術委員會</w:t>
      </w:r>
      <w:r w:rsidR="00BA1B63">
        <w:rPr>
          <w:rFonts w:hint="eastAsia"/>
          <w:color w:val="000000" w:themeColor="text1"/>
        </w:rPr>
        <w:t xml:space="preserve"> </w:t>
      </w:r>
      <w:r w:rsidR="00983023" w:rsidRPr="00920597">
        <w:rPr>
          <w:rFonts w:hint="eastAsia"/>
          <w:color w:val="000000" w:themeColor="text1"/>
        </w:rPr>
        <w:t>(</w:t>
      </w:r>
      <w:r w:rsidR="00F41455" w:rsidRPr="00920597">
        <w:rPr>
          <w:rFonts w:hint="eastAsia"/>
          <w:color w:val="000000" w:themeColor="text1"/>
        </w:rPr>
        <w:t>3</w:t>
      </w:r>
      <w:r w:rsidR="00983023" w:rsidRPr="00920597">
        <w:rPr>
          <w:rFonts w:hint="eastAsia"/>
          <w:color w:val="000000" w:themeColor="text1"/>
        </w:rPr>
        <w:t>案）</w:t>
      </w:r>
      <w:bookmarkEnd w:id="105"/>
    </w:p>
    <w:tbl>
      <w:tblPr>
        <w:tblW w:w="5148" w:type="pct"/>
        <w:tblInd w:w="-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2"/>
        <w:gridCol w:w="3577"/>
        <w:gridCol w:w="1701"/>
        <w:gridCol w:w="966"/>
        <w:gridCol w:w="2968"/>
      </w:tblGrid>
      <w:tr w:rsidR="00F41455" w:rsidRPr="00920597" w:rsidTr="00F41455">
        <w:trPr>
          <w:trHeight w:val="700"/>
        </w:trPr>
        <w:tc>
          <w:tcPr>
            <w:tcW w:w="354" w:type="pct"/>
            <w:vAlign w:val="center"/>
          </w:tcPr>
          <w:p w:rsidR="00F41455" w:rsidRPr="00920597" w:rsidRDefault="00F41455" w:rsidP="00F41455">
            <w:pPr>
              <w:spacing w:line="400" w:lineRule="exact"/>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1804" w:type="pct"/>
            <w:vAlign w:val="center"/>
          </w:tcPr>
          <w:p w:rsidR="00F41455" w:rsidRPr="00920597" w:rsidRDefault="00F41455" w:rsidP="00F41455">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58" w:type="pct"/>
            <w:vAlign w:val="center"/>
          </w:tcPr>
          <w:p w:rsidR="00F41455" w:rsidRPr="00920597" w:rsidRDefault="00F41455" w:rsidP="00F41455">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院會交付</w:t>
            </w:r>
          </w:p>
          <w:p w:rsidR="00F41455" w:rsidRPr="00920597" w:rsidRDefault="00F41455" w:rsidP="00F41455">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487" w:type="pct"/>
            <w:vAlign w:val="center"/>
          </w:tcPr>
          <w:p w:rsidR="00F41455" w:rsidRPr="00920597" w:rsidRDefault="00F41455" w:rsidP="00F41455">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聯席</w:t>
            </w:r>
          </w:p>
          <w:p w:rsidR="00F41455" w:rsidRPr="00920597" w:rsidRDefault="00F41455" w:rsidP="00F41455">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w:t>
            </w:r>
          </w:p>
        </w:tc>
        <w:tc>
          <w:tcPr>
            <w:tcW w:w="1497" w:type="pct"/>
            <w:vAlign w:val="center"/>
          </w:tcPr>
          <w:p w:rsidR="00F41455" w:rsidRPr="00920597" w:rsidRDefault="00F41455" w:rsidP="00F41455">
            <w:pPr>
              <w:spacing w:line="400" w:lineRule="exact"/>
              <w:jc w:val="distribute"/>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處理情形</w:t>
            </w:r>
          </w:p>
        </w:tc>
      </w:tr>
      <w:tr w:rsidR="007B4408" w:rsidRPr="00920597" w:rsidTr="001F3F42">
        <w:trPr>
          <w:trHeight w:val="567"/>
        </w:trPr>
        <w:tc>
          <w:tcPr>
            <w:tcW w:w="354" w:type="pct"/>
            <w:vAlign w:val="center"/>
          </w:tcPr>
          <w:p w:rsidR="007B4408" w:rsidRPr="00920597" w:rsidRDefault="007B4408" w:rsidP="006934DD">
            <w:pPr>
              <w:numPr>
                <w:ilvl w:val="0"/>
                <w:numId w:val="55"/>
              </w:numPr>
              <w:spacing w:line="400" w:lineRule="exact"/>
              <w:ind w:right="113"/>
              <w:rPr>
                <w:rFonts w:ascii="標楷體" w:eastAsia="標楷體" w:hAnsi="標楷體"/>
                <w:color w:val="000000" w:themeColor="text1"/>
                <w:sz w:val="28"/>
                <w:szCs w:val="28"/>
              </w:rPr>
            </w:pPr>
          </w:p>
        </w:tc>
        <w:tc>
          <w:tcPr>
            <w:tcW w:w="1804"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hint="eastAsia"/>
                <w:color w:val="000000"/>
                <w:sz w:val="28"/>
              </w:rPr>
              <w:t>科技部函，為109年度中央政府總預算附屬單位預算決議，檢送國家科學技術發展基金決議第1項「人文及社會科學研究」凍結200萬元書面報告，請查照案。</w:t>
            </w:r>
          </w:p>
        </w:tc>
        <w:tc>
          <w:tcPr>
            <w:tcW w:w="858"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10-</w:t>
            </w:r>
            <w:r w:rsidRPr="007B4408">
              <w:rPr>
                <w:rFonts w:ascii="標楷體" w:eastAsia="標楷體" w:hAnsi="標楷體" w:hint="eastAsia"/>
                <w:color w:val="000000"/>
                <w:sz w:val="28"/>
              </w:rPr>
              <w:t>2</w:t>
            </w:r>
            <w:r w:rsidRPr="007B4408">
              <w:rPr>
                <w:rFonts w:ascii="標楷體" w:eastAsia="標楷體" w:hAnsi="標楷體"/>
                <w:color w:val="000000"/>
                <w:sz w:val="28"/>
              </w:rPr>
              <w:t>-</w:t>
            </w:r>
            <w:r w:rsidRPr="007B4408">
              <w:rPr>
                <w:rFonts w:ascii="標楷體" w:eastAsia="標楷體" w:hAnsi="標楷體" w:hint="eastAsia"/>
                <w:color w:val="000000"/>
                <w:sz w:val="28"/>
              </w:rPr>
              <w:t>4</w:t>
            </w:r>
          </w:p>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(109</w:t>
            </w:r>
            <w:r w:rsidRPr="007B4408">
              <w:rPr>
                <w:rFonts w:ascii="標楷體" w:eastAsia="標楷體" w:hAnsi="標楷體" w:hint="eastAsia"/>
                <w:color w:val="000000"/>
                <w:sz w:val="28"/>
              </w:rPr>
              <w:t>.10.23</w:t>
            </w:r>
            <w:r w:rsidRPr="007B4408">
              <w:rPr>
                <w:rFonts w:ascii="標楷體" w:eastAsia="標楷體" w:hAnsi="標楷體"/>
                <w:color w:val="000000"/>
                <w:sz w:val="28"/>
              </w:rPr>
              <w:t>)</w:t>
            </w:r>
          </w:p>
        </w:tc>
        <w:tc>
          <w:tcPr>
            <w:tcW w:w="487" w:type="pct"/>
          </w:tcPr>
          <w:p w:rsidR="007B4408" w:rsidRPr="0095769A" w:rsidRDefault="007B4408" w:rsidP="007B4408">
            <w:pPr>
              <w:jc w:val="both"/>
              <w:rPr>
                <w:rFonts w:ascii="標楷體" w:eastAsia="標楷體" w:hAnsi="標楷體"/>
                <w:color w:val="000000"/>
                <w:sz w:val="28"/>
                <w:szCs w:val="28"/>
              </w:rPr>
            </w:pPr>
          </w:p>
        </w:tc>
        <w:tc>
          <w:tcPr>
            <w:tcW w:w="1497" w:type="pct"/>
          </w:tcPr>
          <w:p w:rsidR="007B4408" w:rsidRPr="0095769A" w:rsidRDefault="007B4408" w:rsidP="007B4408">
            <w:pPr>
              <w:ind w:leftChars="21" w:left="302" w:hangingChars="105" w:hanging="252"/>
              <w:jc w:val="both"/>
              <w:rPr>
                <w:rFonts w:ascii="標楷體" w:eastAsia="標楷體" w:hAnsi="標楷體"/>
                <w:color w:val="000000"/>
              </w:rPr>
            </w:pPr>
            <w:r w:rsidRPr="0095769A">
              <w:rPr>
                <w:rFonts w:ascii="標楷體" w:eastAsia="標楷體" w:hAnsi="標楷體" w:hint="eastAsia"/>
                <w:color w:val="000000"/>
              </w:rPr>
              <w:t>1.逾年度預算執行期間，報請院會存查。</w:t>
            </w:r>
          </w:p>
          <w:p w:rsidR="007B4408" w:rsidRPr="0095769A" w:rsidRDefault="007B4408" w:rsidP="007B4408">
            <w:pPr>
              <w:ind w:leftChars="21" w:left="302" w:hangingChars="105" w:hanging="252"/>
              <w:jc w:val="both"/>
              <w:rPr>
                <w:rFonts w:ascii="標楷體" w:eastAsia="標楷體" w:hAnsi="標楷體"/>
                <w:color w:val="000000"/>
              </w:rPr>
            </w:pPr>
            <w:r w:rsidRPr="0095769A">
              <w:rPr>
                <w:rFonts w:ascii="標楷體" w:eastAsia="標楷體" w:hAnsi="標楷體" w:hint="eastAsia"/>
                <w:color w:val="000000"/>
              </w:rPr>
              <w:t>2.第</w:t>
            </w:r>
            <w:r w:rsidRPr="0095769A">
              <w:rPr>
                <w:rFonts w:ascii="標楷體" w:eastAsia="標楷體" w:hAnsi="標楷體"/>
                <w:color w:val="000000"/>
              </w:rPr>
              <w:t>6</w:t>
            </w:r>
            <w:r w:rsidRPr="0095769A">
              <w:rPr>
                <w:rFonts w:ascii="標楷體" w:eastAsia="標楷體" w:hAnsi="標楷體" w:hint="eastAsia"/>
                <w:color w:val="000000"/>
              </w:rPr>
              <w:t>會期第</w:t>
            </w:r>
            <w:r w:rsidRPr="0095769A">
              <w:rPr>
                <w:rFonts w:ascii="標楷體" w:eastAsia="標楷體" w:hAnsi="標楷體"/>
                <w:color w:val="000000"/>
              </w:rPr>
              <w:t>7</w:t>
            </w:r>
            <w:r w:rsidRPr="0095769A">
              <w:rPr>
                <w:rFonts w:ascii="標楷體" w:eastAsia="標楷體" w:hAnsi="標楷體" w:hint="eastAsia"/>
                <w:color w:val="000000"/>
              </w:rPr>
              <w:t>次院會(111.</w:t>
            </w:r>
            <w:r w:rsidRPr="0095769A">
              <w:rPr>
                <w:rFonts w:ascii="標楷體" w:eastAsia="標楷體" w:hAnsi="標楷體"/>
                <w:color w:val="000000"/>
              </w:rPr>
              <w:t>11</w:t>
            </w:r>
            <w:r w:rsidRPr="0095769A">
              <w:rPr>
                <w:rFonts w:ascii="標楷體" w:eastAsia="標楷體" w:hAnsi="標楷體" w:hint="eastAsia"/>
                <w:color w:val="000000"/>
              </w:rPr>
              <w:t>.</w:t>
            </w:r>
            <w:r w:rsidRPr="0095769A">
              <w:rPr>
                <w:rFonts w:ascii="標楷體" w:eastAsia="標楷體" w:hAnsi="標楷體"/>
                <w:color w:val="000000"/>
              </w:rPr>
              <w:t>11</w:t>
            </w:r>
            <w:r w:rsidRPr="0095769A">
              <w:rPr>
                <w:rFonts w:ascii="標楷體" w:eastAsia="標楷體" w:hAnsi="標楷體" w:hint="eastAsia"/>
                <w:color w:val="000000"/>
              </w:rPr>
              <w:t>)決定：准予備查。</w:t>
            </w:r>
          </w:p>
        </w:tc>
      </w:tr>
      <w:tr w:rsidR="007B4408" w:rsidRPr="00920597" w:rsidTr="001F3F42">
        <w:trPr>
          <w:trHeight w:val="567"/>
        </w:trPr>
        <w:tc>
          <w:tcPr>
            <w:tcW w:w="354" w:type="pct"/>
            <w:vAlign w:val="center"/>
          </w:tcPr>
          <w:p w:rsidR="007B4408" w:rsidRPr="00920597" w:rsidRDefault="007B4408" w:rsidP="006934DD">
            <w:pPr>
              <w:numPr>
                <w:ilvl w:val="0"/>
                <w:numId w:val="55"/>
              </w:numPr>
              <w:spacing w:line="400" w:lineRule="exact"/>
              <w:ind w:right="113"/>
              <w:rPr>
                <w:rFonts w:ascii="標楷體" w:eastAsia="標楷體" w:hAnsi="標楷體"/>
                <w:color w:val="000000" w:themeColor="text1"/>
                <w:sz w:val="28"/>
                <w:szCs w:val="28"/>
              </w:rPr>
            </w:pPr>
          </w:p>
        </w:tc>
        <w:tc>
          <w:tcPr>
            <w:tcW w:w="1804"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hint="eastAsia"/>
                <w:color w:val="000000"/>
                <w:sz w:val="28"/>
              </w:rPr>
              <w:t>科技部函，為109年度中央政府總預算附屬單位預算決議，檢送國家科學技術發展基金決議第2項「跨部會署執行之科技計畫」凍結1,000萬元書面報告，請查照案。</w:t>
            </w:r>
          </w:p>
        </w:tc>
        <w:tc>
          <w:tcPr>
            <w:tcW w:w="858"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10-</w:t>
            </w:r>
            <w:r w:rsidRPr="007B4408">
              <w:rPr>
                <w:rFonts w:ascii="標楷體" w:eastAsia="標楷體" w:hAnsi="標楷體" w:hint="eastAsia"/>
                <w:color w:val="000000"/>
                <w:sz w:val="28"/>
              </w:rPr>
              <w:t>2</w:t>
            </w:r>
            <w:r w:rsidRPr="007B4408">
              <w:rPr>
                <w:rFonts w:ascii="標楷體" w:eastAsia="標楷體" w:hAnsi="標楷體"/>
                <w:color w:val="000000"/>
                <w:sz w:val="28"/>
              </w:rPr>
              <w:t>-</w:t>
            </w:r>
            <w:r w:rsidRPr="007B4408">
              <w:rPr>
                <w:rFonts w:ascii="標楷體" w:eastAsia="標楷體" w:hAnsi="標楷體" w:hint="eastAsia"/>
                <w:color w:val="000000"/>
                <w:sz w:val="28"/>
              </w:rPr>
              <w:t>4</w:t>
            </w:r>
          </w:p>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(109</w:t>
            </w:r>
            <w:r w:rsidRPr="007B4408">
              <w:rPr>
                <w:rFonts w:ascii="標楷體" w:eastAsia="標楷體" w:hAnsi="標楷體" w:hint="eastAsia"/>
                <w:color w:val="000000"/>
                <w:sz w:val="28"/>
              </w:rPr>
              <w:t>.10.23</w:t>
            </w:r>
            <w:r w:rsidRPr="007B4408">
              <w:rPr>
                <w:rFonts w:ascii="標楷體" w:eastAsia="標楷體" w:hAnsi="標楷體"/>
                <w:color w:val="000000"/>
                <w:sz w:val="28"/>
              </w:rPr>
              <w:t>)</w:t>
            </w:r>
          </w:p>
        </w:tc>
        <w:tc>
          <w:tcPr>
            <w:tcW w:w="487" w:type="pct"/>
          </w:tcPr>
          <w:p w:rsidR="007B4408" w:rsidRPr="0095769A" w:rsidRDefault="007B4408" w:rsidP="007B4408">
            <w:pPr>
              <w:jc w:val="both"/>
              <w:rPr>
                <w:rFonts w:ascii="標楷體" w:eastAsia="標楷體" w:hAnsi="標楷體"/>
                <w:color w:val="000000"/>
                <w:sz w:val="28"/>
                <w:szCs w:val="28"/>
              </w:rPr>
            </w:pPr>
          </w:p>
        </w:tc>
        <w:tc>
          <w:tcPr>
            <w:tcW w:w="1497" w:type="pct"/>
          </w:tcPr>
          <w:p w:rsidR="007B4408" w:rsidRPr="0095769A" w:rsidRDefault="007B4408" w:rsidP="007B4408">
            <w:pPr>
              <w:ind w:leftChars="21" w:left="302" w:hangingChars="105" w:hanging="252"/>
              <w:jc w:val="both"/>
              <w:rPr>
                <w:rFonts w:ascii="標楷體" w:eastAsia="標楷體" w:hAnsi="標楷體"/>
                <w:color w:val="000000"/>
              </w:rPr>
            </w:pPr>
            <w:r w:rsidRPr="0095769A">
              <w:rPr>
                <w:rFonts w:ascii="標楷體" w:eastAsia="標楷體" w:hAnsi="標楷體" w:hint="eastAsia"/>
                <w:color w:val="000000"/>
              </w:rPr>
              <w:t>1.逾年度預算執行期間，報請院會存查。</w:t>
            </w:r>
          </w:p>
          <w:p w:rsidR="007B4408" w:rsidRPr="0095769A" w:rsidRDefault="007B4408" w:rsidP="007B4408">
            <w:pPr>
              <w:ind w:leftChars="21" w:left="302" w:hangingChars="105" w:hanging="252"/>
              <w:jc w:val="both"/>
              <w:rPr>
                <w:rFonts w:ascii="標楷體" w:eastAsia="標楷體" w:hAnsi="標楷體"/>
                <w:color w:val="000000"/>
              </w:rPr>
            </w:pPr>
            <w:r w:rsidRPr="0095769A">
              <w:rPr>
                <w:rFonts w:ascii="標楷體" w:eastAsia="標楷體" w:hAnsi="標楷體" w:hint="eastAsia"/>
                <w:color w:val="000000"/>
              </w:rPr>
              <w:t>2.第</w:t>
            </w:r>
            <w:r w:rsidRPr="0095769A">
              <w:rPr>
                <w:rFonts w:ascii="標楷體" w:eastAsia="標楷體" w:hAnsi="標楷體"/>
                <w:color w:val="000000"/>
              </w:rPr>
              <w:t>6</w:t>
            </w:r>
            <w:r w:rsidRPr="0095769A">
              <w:rPr>
                <w:rFonts w:ascii="標楷體" w:eastAsia="標楷體" w:hAnsi="標楷體" w:hint="eastAsia"/>
                <w:color w:val="000000"/>
              </w:rPr>
              <w:t>會期第</w:t>
            </w:r>
            <w:r w:rsidRPr="0095769A">
              <w:rPr>
                <w:rFonts w:ascii="標楷體" w:eastAsia="標楷體" w:hAnsi="標楷體"/>
                <w:color w:val="000000"/>
              </w:rPr>
              <w:t>7</w:t>
            </w:r>
            <w:r w:rsidRPr="0095769A">
              <w:rPr>
                <w:rFonts w:ascii="標楷體" w:eastAsia="標楷體" w:hAnsi="標楷體" w:hint="eastAsia"/>
                <w:color w:val="000000"/>
              </w:rPr>
              <w:t>次院會(111.</w:t>
            </w:r>
            <w:r w:rsidRPr="0095769A">
              <w:rPr>
                <w:rFonts w:ascii="標楷體" w:eastAsia="標楷體" w:hAnsi="標楷體"/>
                <w:color w:val="000000"/>
              </w:rPr>
              <w:t>11</w:t>
            </w:r>
            <w:r w:rsidRPr="0095769A">
              <w:rPr>
                <w:rFonts w:ascii="標楷體" w:eastAsia="標楷體" w:hAnsi="標楷體" w:hint="eastAsia"/>
                <w:color w:val="000000"/>
              </w:rPr>
              <w:t>.</w:t>
            </w:r>
            <w:r w:rsidRPr="0095769A">
              <w:rPr>
                <w:rFonts w:ascii="標楷體" w:eastAsia="標楷體" w:hAnsi="標楷體"/>
                <w:color w:val="000000"/>
              </w:rPr>
              <w:t>11</w:t>
            </w:r>
            <w:r w:rsidRPr="0095769A">
              <w:rPr>
                <w:rFonts w:ascii="標楷體" w:eastAsia="標楷體" w:hAnsi="標楷體" w:hint="eastAsia"/>
                <w:color w:val="000000"/>
              </w:rPr>
              <w:t>)決定：准予備查</w:t>
            </w:r>
          </w:p>
        </w:tc>
      </w:tr>
      <w:tr w:rsidR="007B4408" w:rsidRPr="00920597" w:rsidTr="001F3F42">
        <w:trPr>
          <w:trHeight w:val="567"/>
        </w:trPr>
        <w:tc>
          <w:tcPr>
            <w:tcW w:w="354" w:type="pct"/>
            <w:vAlign w:val="center"/>
          </w:tcPr>
          <w:p w:rsidR="007B4408" w:rsidRPr="00920597" w:rsidRDefault="007B4408" w:rsidP="006934DD">
            <w:pPr>
              <w:numPr>
                <w:ilvl w:val="0"/>
                <w:numId w:val="55"/>
              </w:numPr>
              <w:spacing w:line="400" w:lineRule="exact"/>
              <w:ind w:right="113"/>
              <w:rPr>
                <w:rFonts w:ascii="標楷體" w:eastAsia="標楷體" w:hAnsi="標楷體"/>
                <w:color w:val="000000" w:themeColor="text1"/>
                <w:sz w:val="28"/>
                <w:szCs w:val="28"/>
              </w:rPr>
            </w:pPr>
          </w:p>
        </w:tc>
        <w:tc>
          <w:tcPr>
            <w:tcW w:w="1804"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hint="eastAsia"/>
                <w:color w:val="000000"/>
                <w:sz w:val="28"/>
              </w:rPr>
              <w:t>科技部函，為109年度中央政府總預算附屬單位預算決議，檢送國家科學技術發展基金決議第3項「科學傳播與推廣」凍結100萬元書面報告，請查照案。</w:t>
            </w:r>
          </w:p>
        </w:tc>
        <w:tc>
          <w:tcPr>
            <w:tcW w:w="858" w:type="pct"/>
          </w:tcPr>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10-</w:t>
            </w:r>
            <w:r w:rsidRPr="007B4408">
              <w:rPr>
                <w:rFonts w:ascii="標楷體" w:eastAsia="標楷體" w:hAnsi="標楷體" w:hint="eastAsia"/>
                <w:color w:val="000000"/>
                <w:sz w:val="28"/>
              </w:rPr>
              <w:t>2</w:t>
            </w:r>
            <w:r w:rsidRPr="007B4408">
              <w:rPr>
                <w:rFonts w:ascii="標楷體" w:eastAsia="標楷體" w:hAnsi="標楷體"/>
                <w:color w:val="000000"/>
                <w:sz w:val="28"/>
              </w:rPr>
              <w:t>-</w:t>
            </w:r>
            <w:r w:rsidRPr="007B4408">
              <w:rPr>
                <w:rFonts w:ascii="標楷體" w:eastAsia="標楷體" w:hAnsi="標楷體" w:hint="eastAsia"/>
                <w:color w:val="000000"/>
                <w:sz w:val="28"/>
              </w:rPr>
              <w:t>4</w:t>
            </w:r>
          </w:p>
          <w:p w:rsidR="007B4408" w:rsidRPr="007B4408" w:rsidRDefault="007B4408" w:rsidP="007B4408">
            <w:pPr>
              <w:spacing w:line="400" w:lineRule="exact"/>
              <w:ind w:leftChars="-12" w:left="-29"/>
              <w:jc w:val="both"/>
              <w:rPr>
                <w:rFonts w:ascii="標楷體" w:eastAsia="標楷體" w:hAnsi="標楷體"/>
                <w:color w:val="000000"/>
                <w:sz w:val="28"/>
              </w:rPr>
            </w:pPr>
            <w:r w:rsidRPr="007B4408">
              <w:rPr>
                <w:rFonts w:ascii="標楷體" w:eastAsia="標楷體" w:hAnsi="標楷體"/>
                <w:color w:val="000000"/>
                <w:sz w:val="28"/>
              </w:rPr>
              <w:t>(109</w:t>
            </w:r>
            <w:r w:rsidRPr="007B4408">
              <w:rPr>
                <w:rFonts w:ascii="標楷體" w:eastAsia="標楷體" w:hAnsi="標楷體" w:hint="eastAsia"/>
                <w:color w:val="000000"/>
                <w:sz w:val="28"/>
              </w:rPr>
              <w:t>.10.23</w:t>
            </w:r>
            <w:r w:rsidRPr="007B4408">
              <w:rPr>
                <w:rFonts w:ascii="標楷體" w:eastAsia="標楷體" w:hAnsi="標楷體"/>
                <w:color w:val="000000"/>
                <w:sz w:val="28"/>
              </w:rPr>
              <w:t>)</w:t>
            </w:r>
          </w:p>
        </w:tc>
        <w:tc>
          <w:tcPr>
            <w:tcW w:w="487" w:type="pct"/>
          </w:tcPr>
          <w:p w:rsidR="007B4408" w:rsidRPr="0095769A" w:rsidRDefault="007B4408" w:rsidP="007B4408">
            <w:pPr>
              <w:jc w:val="both"/>
              <w:rPr>
                <w:rFonts w:ascii="標楷體" w:eastAsia="標楷體" w:hAnsi="標楷體"/>
                <w:color w:val="000000"/>
                <w:sz w:val="28"/>
                <w:szCs w:val="28"/>
              </w:rPr>
            </w:pPr>
          </w:p>
        </w:tc>
        <w:tc>
          <w:tcPr>
            <w:tcW w:w="1497" w:type="pct"/>
          </w:tcPr>
          <w:p w:rsidR="007B4408" w:rsidRPr="0095769A" w:rsidRDefault="007B4408" w:rsidP="007B4408">
            <w:pPr>
              <w:ind w:leftChars="21" w:left="302" w:hangingChars="105" w:hanging="252"/>
              <w:jc w:val="both"/>
              <w:rPr>
                <w:rFonts w:ascii="標楷體" w:eastAsia="標楷體" w:hAnsi="標楷體"/>
                <w:color w:val="000000"/>
              </w:rPr>
            </w:pPr>
            <w:r w:rsidRPr="0095769A">
              <w:rPr>
                <w:rFonts w:ascii="標楷體" w:eastAsia="標楷體" w:hAnsi="標楷體" w:hint="eastAsia"/>
                <w:color w:val="000000"/>
              </w:rPr>
              <w:t>1.逾年度預算執行期間，報請院會存查。</w:t>
            </w:r>
          </w:p>
          <w:p w:rsidR="007B4408" w:rsidRPr="0095769A" w:rsidRDefault="007B4408" w:rsidP="007B4408">
            <w:pPr>
              <w:ind w:leftChars="21" w:left="302" w:hangingChars="105" w:hanging="252"/>
              <w:jc w:val="both"/>
              <w:rPr>
                <w:rFonts w:ascii="標楷體" w:eastAsia="標楷體" w:hAnsi="標楷體"/>
                <w:color w:val="000000"/>
              </w:rPr>
            </w:pPr>
            <w:r w:rsidRPr="0095769A">
              <w:rPr>
                <w:rFonts w:ascii="標楷體" w:eastAsia="標楷體" w:hAnsi="標楷體" w:hint="eastAsia"/>
                <w:color w:val="000000"/>
              </w:rPr>
              <w:t>2.第</w:t>
            </w:r>
            <w:r w:rsidRPr="0095769A">
              <w:rPr>
                <w:rFonts w:ascii="標楷體" w:eastAsia="標楷體" w:hAnsi="標楷體"/>
                <w:color w:val="000000"/>
              </w:rPr>
              <w:t>6</w:t>
            </w:r>
            <w:r w:rsidRPr="0095769A">
              <w:rPr>
                <w:rFonts w:ascii="標楷體" w:eastAsia="標楷體" w:hAnsi="標楷體" w:hint="eastAsia"/>
                <w:color w:val="000000"/>
              </w:rPr>
              <w:t>會期第</w:t>
            </w:r>
            <w:r w:rsidRPr="0095769A">
              <w:rPr>
                <w:rFonts w:ascii="標楷體" w:eastAsia="標楷體" w:hAnsi="標楷體"/>
                <w:color w:val="000000"/>
              </w:rPr>
              <w:t>7</w:t>
            </w:r>
            <w:r w:rsidRPr="0095769A">
              <w:rPr>
                <w:rFonts w:ascii="標楷體" w:eastAsia="標楷體" w:hAnsi="標楷體" w:hint="eastAsia"/>
                <w:color w:val="000000"/>
              </w:rPr>
              <w:t>次院會(111.</w:t>
            </w:r>
            <w:r w:rsidRPr="0095769A">
              <w:rPr>
                <w:rFonts w:ascii="標楷體" w:eastAsia="標楷體" w:hAnsi="標楷體"/>
                <w:color w:val="000000"/>
              </w:rPr>
              <w:t>11</w:t>
            </w:r>
            <w:r w:rsidRPr="0095769A">
              <w:rPr>
                <w:rFonts w:ascii="標楷體" w:eastAsia="標楷體" w:hAnsi="標楷體" w:hint="eastAsia"/>
                <w:color w:val="000000"/>
              </w:rPr>
              <w:t>.</w:t>
            </w:r>
            <w:r w:rsidRPr="0095769A">
              <w:rPr>
                <w:rFonts w:ascii="標楷體" w:eastAsia="標楷體" w:hAnsi="標楷體"/>
                <w:color w:val="000000"/>
              </w:rPr>
              <w:t>11</w:t>
            </w:r>
            <w:r w:rsidRPr="0095769A">
              <w:rPr>
                <w:rFonts w:ascii="標楷體" w:eastAsia="標楷體" w:hAnsi="標楷體" w:hint="eastAsia"/>
                <w:color w:val="000000"/>
              </w:rPr>
              <w:t>)決定：准予備查</w:t>
            </w:r>
          </w:p>
        </w:tc>
      </w:tr>
    </w:tbl>
    <w:p w:rsidR="007B4408" w:rsidRPr="00920597" w:rsidRDefault="007B4408" w:rsidP="007B4408">
      <w:pPr>
        <w:pStyle w:val="01-4"/>
        <w:rPr>
          <w:color w:val="000000" w:themeColor="text1"/>
        </w:rPr>
      </w:pPr>
      <w:bookmarkStart w:id="106" w:name="_Toc126068144"/>
      <w:r>
        <w:rPr>
          <w:color w:val="000000" w:themeColor="text1"/>
        </w:rPr>
        <w:t>4</w:t>
      </w:r>
      <w:r w:rsidRPr="00920597">
        <w:rPr>
          <w:color w:val="000000" w:themeColor="text1"/>
        </w:rPr>
        <w:t>.</w:t>
      </w:r>
      <w:r>
        <w:rPr>
          <w:rFonts w:hint="eastAsia"/>
          <w:color w:val="000000" w:themeColor="text1"/>
        </w:rPr>
        <w:t>行政院</w:t>
      </w:r>
      <w:r w:rsidRPr="007B4408">
        <w:rPr>
          <w:rFonts w:hint="eastAsia"/>
          <w:color w:val="000000" w:themeColor="text1"/>
        </w:rPr>
        <w:t>原子能委員會</w:t>
      </w:r>
      <w:r>
        <w:rPr>
          <w:rFonts w:hint="eastAsia"/>
          <w:color w:val="000000" w:themeColor="text1"/>
        </w:rPr>
        <w:t xml:space="preserve"> </w:t>
      </w:r>
      <w:r w:rsidRPr="007B4408">
        <w:rPr>
          <w:rFonts w:hint="eastAsia"/>
          <w:color w:val="000000" w:themeColor="text1"/>
        </w:rPr>
        <w:t>(</w:t>
      </w:r>
      <w:r>
        <w:rPr>
          <w:rFonts w:hint="eastAsia"/>
          <w:color w:val="000000" w:themeColor="text1"/>
        </w:rPr>
        <w:t>3</w:t>
      </w:r>
      <w:r w:rsidRPr="007B4408">
        <w:rPr>
          <w:rFonts w:hint="eastAsia"/>
          <w:color w:val="000000" w:themeColor="text1"/>
        </w:rPr>
        <w:t>案）</w:t>
      </w:r>
      <w:bookmarkEnd w:id="106"/>
    </w:p>
    <w:tbl>
      <w:tblPr>
        <w:tblW w:w="5148" w:type="pct"/>
        <w:tblInd w:w="-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2"/>
        <w:gridCol w:w="3577"/>
        <w:gridCol w:w="1701"/>
        <w:gridCol w:w="966"/>
        <w:gridCol w:w="2968"/>
      </w:tblGrid>
      <w:tr w:rsidR="007B4408" w:rsidRPr="00920597" w:rsidTr="001F3F42">
        <w:trPr>
          <w:trHeight w:val="700"/>
        </w:trPr>
        <w:tc>
          <w:tcPr>
            <w:tcW w:w="354" w:type="pct"/>
            <w:vAlign w:val="center"/>
          </w:tcPr>
          <w:p w:rsidR="007B4408" w:rsidRPr="00920597" w:rsidRDefault="007B4408" w:rsidP="001F3F42">
            <w:pPr>
              <w:spacing w:line="400" w:lineRule="exact"/>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1804" w:type="pct"/>
            <w:vAlign w:val="center"/>
          </w:tcPr>
          <w:p w:rsidR="007B4408" w:rsidRPr="00920597" w:rsidRDefault="007B4408" w:rsidP="001F3F42">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58" w:type="pct"/>
            <w:vAlign w:val="center"/>
          </w:tcPr>
          <w:p w:rsidR="007B4408" w:rsidRPr="00920597" w:rsidRDefault="007B4408" w:rsidP="001F3F42">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院會交付</w:t>
            </w:r>
          </w:p>
          <w:p w:rsidR="007B4408" w:rsidRPr="00920597" w:rsidRDefault="007B4408" w:rsidP="001F3F42">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487" w:type="pct"/>
            <w:vAlign w:val="center"/>
          </w:tcPr>
          <w:p w:rsidR="007B4408" w:rsidRPr="00920597" w:rsidRDefault="007B4408" w:rsidP="001F3F42">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聯席</w:t>
            </w:r>
          </w:p>
          <w:p w:rsidR="007B4408" w:rsidRPr="00920597" w:rsidRDefault="007B4408" w:rsidP="001F3F42">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w:t>
            </w:r>
          </w:p>
        </w:tc>
        <w:tc>
          <w:tcPr>
            <w:tcW w:w="1497" w:type="pct"/>
            <w:vAlign w:val="center"/>
          </w:tcPr>
          <w:p w:rsidR="007B4408" w:rsidRPr="00920597" w:rsidRDefault="007B4408" w:rsidP="001F3F42">
            <w:pPr>
              <w:spacing w:line="400" w:lineRule="exact"/>
              <w:jc w:val="distribute"/>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處理情形</w:t>
            </w:r>
          </w:p>
        </w:tc>
      </w:tr>
      <w:tr w:rsidR="0095519D" w:rsidRPr="00920597" w:rsidTr="001F3F42">
        <w:trPr>
          <w:trHeight w:val="567"/>
        </w:trPr>
        <w:tc>
          <w:tcPr>
            <w:tcW w:w="354" w:type="pct"/>
            <w:vAlign w:val="center"/>
          </w:tcPr>
          <w:p w:rsidR="0095519D" w:rsidRPr="00920597" w:rsidRDefault="0095519D" w:rsidP="006934DD">
            <w:pPr>
              <w:numPr>
                <w:ilvl w:val="0"/>
                <w:numId w:val="57"/>
              </w:numPr>
              <w:spacing w:line="400" w:lineRule="exact"/>
              <w:ind w:right="113"/>
              <w:rPr>
                <w:rFonts w:ascii="標楷體" w:eastAsia="標楷體" w:hAnsi="標楷體"/>
                <w:color w:val="000000" w:themeColor="text1"/>
                <w:sz w:val="28"/>
                <w:szCs w:val="28"/>
              </w:rPr>
            </w:pPr>
          </w:p>
        </w:tc>
        <w:tc>
          <w:tcPr>
            <w:tcW w:w="1804" w:type="pct"/>
          </w:tcPr>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hint="eastAsia"/>
                <w:color w:val="000000"/>
                <w:sz w:val="28"/>
              </w:rPr>
              <w:t>行政院原子能委員會函，為111年度中央政府總預算決議，檢送歲出第17款第3項決議（一）第2目「放射性物料管理」預算凍結50萬元書面報告，請查照案。</w:t>
            </w:r>
          </w:p>
        </w:tc>
        <w:tc>
          <w:tcPr>
            <w:tcW w:w="858" w:type="pct"/>
          </w:tcPr>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color w:val="000000"/>
                <w:sz w:val="28"/>
              </w:rPr>
              <w:t>10-5-8</w:t>
            </w:r>
          </w:p>
          <w:p w:rsidR="0095519D" w:rsidRPr="002C2B2E" w:rsidRDefault="0095519D" w:rsidP="0095519D">
            <w:pPr>
              <w:spacing w:line="400" w:lineRule="exact"/>
              <w:ind w:leftChars="-12" w:left="-29"/>
              <w:jc w:val="both"/>
              <w:rPr>
                <w:rFonts w:ascii="標楷體" w:eastAsia="標楷體" w:hAnsi="標楷體"/>
                <w:color w:val="000000"/>
                <w:sz w:val="28"/>
                <w:szCs w:val="28"/>
              </w:rPr>
            </w:pPr>
            <w:r w:rsidRPr="0095519D">
              <w:rPr>
                <w:rFonts w:ascii="標楷體" w:eastAsia="標楷體" w:hAnsi="標楷體"/>
                <w:color w:val="000000"/>
                <w:sz w:val="28"/>
              </w:rPr>
              <w:t>(111.4.15)</w:t>
            </w:r>
          </w:p>
        </w:tc>
        <w:tc>
          <w:tcPr>
            <w:tcW w:w="487" w:type="pct"/>
          </w:tcPr>
          <w:p w:rsidR="0095519D" w:rsidRPr="002C2B2E" w:rsidRDefault="0095519D" w:rsidP="0095519D">
            <w:pPr>
              <w:rPr>
                <w:rFonts w:ascii="標楷體" w:eastAsia="標楷體" w:hAnsi="標楷體"/>
                <w:color w:val="000000"/>
                <w:sz w:val="28"/>
              </w:rPr>
            </w:pPr>
          </w:p>
        </w:tc>
        <w:tc>
          <w:tcPr>
            <w:tcW w:w="1497" w:type="pct"/>
          </w:tcPr>
          <w:p w:rsidR="0095519D" w:rsidRPr="002C2B2E" w:rsidRDefault="0095519D" w:rsidP="006934DD">
            <w:pPr>
              <w:numPr>
                <w:ilvl w:val="0"/>
                <w:numId w:val="56"/>
              </w:numPr>
              <w:ind w:left="241" w:hanging="241"/>
              <w:jc w:val="both"/>
              <w:rPr>
                <w:rFonts w:ascii="標楷體" w:eastAsia="標楷體" w:hAnsi="標楷體"/>
                <w:bCs/>
                <w:color w:val="000000"/>
              </w:rPr>
            </w:pPr>
            <w:r w:rsidRPr="002C2B2E">
              <w:rPr>
                <w:rFonts w:ascii="標楷體" w:eastAsia="標楷體" w:hAnsi="標楷體" w:hint="eastAsia"/>
                <w:bCs/>
                <w:color w:val="000000"/>
              </w:rPr>
              <w:t>第</w:t>
            </w:r>
            <w:r w:rsidRPr="002C2B2E">
              <w:rPr>
                <w:rFonts w:ascii="標楷體" w:eastAsia="標楷體" w:hAnsi="標楷體"/>
                <w:bCs/>
                <w:color w:val="000000"/>
              </w:rPr>
              <w:t>5</w:t>
            </w:r>
            <w:r w:rsidRPr="002C2B2E">
              <w:rPr>
                <w:rFonts w:ascii="標楷體" w:eastAsia="標楷體" w:hAnsi="標楷體" w:hint="eastAsia"/>
                <w:bCs/>
                <w:color w:val="000000"/>
              </w:rPr>
              <w:t>會期第</w:t>
            </w:r>
            <w:r w:rsidRPr="002C2B2E">
              <w:rPr>
                <w:rFonts w:ascii="標楷體" w:eastAsia="標楷體" w:hAnsi="標楷體"/>
                <w:bCs/>
                <w:color w:val="000000"/>
              </w:rPr>
              <w:t>14</w:t>
            </w:r>
            <w:r w:rsidRPr="002C2B2E">
              <w:rPr>
                <w:rFonts w:ascii="標楷體" w:eastAsia="標楷體" w:hAnsi="標楷體" w:hint="eastAsia"/>
                <w:bCs/>
                <w:color w:val="000000"/>
              </w:rPr>
              <w:t>次全體委員會議(11</w:t>
            </w:r>
            <w:r w:rsidRPr="002C2B2E">
              <w:rPr>
                <w:rFonts w:ascii="標楷體" w:eastAsia="標楷體" w:hAnsi="標楷體"/>
                <w:bCs/>
                <w:color w:val="000000"/>
              </w:rPr>
              <w:t>1</w:t>
            </w:r>
            <w:r w:rsidRPr="002C2B2E">
              <w:rPr>
                <w:rFonts w:ascii="標楷體" w:eastAsia="標楷體" w:hAnsi="標楷體" w:hint="eastAsia"/>
                <w:bCs/>
                <w:color w:val="000000"/>
              </w:rPr>
              <w:t>.</w:t>
            </w:r>
            <w:r w:rsidRPr="002C2B2E">
              <w:rPr>
                <w:rFonts w:ascii="標楷體" w:eastAsia="標楷體" w:hAnsi="標楷體"/>
                <w:bCs/>
                <w:color w:val="000000"/>
              </w:rPr>
              <w:t>5</w:t>
            </w:r>
            <w:r w:rsidRPr="002C2B2E">
              <w:rPr>
                <w:rFonts w:ascii="標楷體" w:eastAsia="標楷體" w:hAnsi="標楷體" w:hint="eastAsia"/>
                <w:bCs/>
                <w:color w:val="000000"/>
              </w:rPr>
              <w:t>.</w:t>
            </w:r>
            <w:r w:rsidRPr="002C2B2E">
              <w:rPr>
                <w:rFonts w:ascii="標楷體" w:eastAsia="標楷體" w:hAnsi="標楷體"/>
                <w:bCs/>
                <w:color w:val="000000"/>
              </w:rPr>
              <w:t>19</w:t>
            </w:r>
            <w:r w:rsidRPr="002C2B2E">
              <w:rPr>
                <w:rFonts w:ascii="標楷體" w:eastAsia="標楷體" w:hAnsi="標楷體" w:hint="eastAsia"/>
                <w:bCs/>
                <w:color w:val="000000"/>
              </w:rPr>
              <w:t>)決議：准予動支，提報院會。</w:t>
            </w:r>
          </w:p>
          <w:p w:rsidR="0095519D" w:rsidRPr="002C2B2E" w:rsidRDefault="0095519D" w:rsidP="0095519D">
            <w:pPr>
              <w:ind w:left="240" w:hangingChars="100" w:hanging="240"/>
              <w:jc w:val="both"/>
              <w:rPr>
                <w:rFonts w:ascii="標楷體" w:eastAsia="標楷體" w:hAnsi="標楷體"/>
                <w:color w:val="000000"/>
                <w:sz w:val="28"/>
                <w:szCs w:val="28"/>
              </w:rPr>
            </w:pPr>
            <w:r w:rsidRPr="002C2B2E">
              <w:rPr>
                <w:rFonts w:ascii="標楷體" w:eastAsia="標楷體" w:hAnsi="標楷體"/>
                <w:bCs/>
                <w:color w:val="000000"/>
              </w:rPr>
              <w:t>2.</w:t>
            </w:r>
            <w:r w:rsidRPr="002C2B2E">
              <w:rPr>
                <w:rFonts w:ascii="標楷體" w:eastAsia="標楷體" w:hAnsi="標楷體" w:hint="eastAsia"/>
                <w:bCs/>
                <w:color w:val="000000"/>
              </w:rPr>
              <w:t>第</w:t>
            </w:r>
            <w:r w:rsidRPr="002C2B2E">
              <w:rPr>
                <w:rFonts w:ascii="標楷體" w:eastAsia="標楷體" w:hAnsi="標楷體"/>
                <w:bCs/>
                <w:color w:val="000000"/>
              </w:rPr>
              <w:t>6</w:t>
            </w:r>
            <w:r w:rsidRPr="002C2B2E">
              <w:rPr>
                <w:rFonts w:ascii="標楷體" w:eastAsia="標楷體" w:hAnsi="標楷體" w:hint="eastAsia"/>
                <w:bCs/>
                <w:color w:val="000000"/>
              </w:rPr>
              <w:t>會期第1次院會（11</w:t>
            </w:r>
            <w:r w:rsidRPr="002C2B2E">
              <w:rPr>
                <w:rFonts w:ascii="標楷體" w:eastAsia="標楷體" w:hAnsi="標楷體"/>
                <w:bCs/>
                <w:color w:val="000000"/>
              </w:rPr>
              <w:t>1</w:t>
            </w:r>
            <w:r w:rsidRPr="002C2B2E">
              <w:rPr>
                <w:rFonts w:ascii="標楷體" w:eastAsia="標楷體" w:hAnsi="標楷體" w:hint="eastAsia"/>
                <w:bCs/>
                <w:color w:val="000000"/>
              </w:rPr>
              <w:t>.</w:t>
            </w:r>
            <w:r w:rsidRPr="002C2B2E">
              <w:rPr>
                <w:rFonts w:ascii="標楷體" w:eastAsia="標楷體" w:hAnsi="標楷體"/>
                <w:bCs/>
                <w:color w:val="000000"/>
              </w:rPr>
              <w:t>9</w:t>
            </w:r>
            <w:r w:rsidRPr="002C2B2E">
              <w:rPr>
                <w:rFonts w:ascii="標楷體" w:eastAsia="標楷體" w:hAnsi="標楷體" w:hint="eastAsia"/>
                <w:bCs/>
                <w:color w:val="000000"/>
              </w:rPr>
              <w:t>.2</w:t>
            </w:r>
            <w:r w:rsidRPr="002C2B2E">
              <w:rPr>
                <w:rFonts w:ascii="標楷體" w:eastAsia="標楷體" w:hAnsi="標楷體"/>
                <w:bCs/>
                <w:color w:val="000000"/>
              </w:rPr>
              <w:t>3</w:t>
            </w:r>
            <w:r w:rsidRPr="002C2B2E">
              <w:rPr>
                <w:rFonts w:ascii="標楷體" w:eastAsia="標楷體" w:hAnsi="標楷體" w:hint="eastAsia"/>
                <w:bCs/>
                <w:color w:val="000000"/>
              </w:rPr>
              <w:t>）決定：准予備查。</w:t>
            </w:r>
          </w:p>
        </w:tc>
      </w:tr>
      <w:tr w:rsidR="0095519D" w:rsidRPr="00920597" w:rsidTr="001F3F42">
        <w:trPr>
          <w:trHeight w:val="567"/>
        </w:trPr>
        <w:tc>
          <w:tcPr>
            <w:tcW w:w="354" w:type="pct"/>
            <w:vAlign w:val="center"/>
          </w:tcPr>
          <w:p w:rsidR="0095519D" w:rsidRPr="00920597" w:rsidRDefault="0095519D" w:rsidP="006934DD">
            <w:pPr>
              <w:numPr>
                <w:ilvl w:val="0"/>
                <w:numId w:val="57"/>
              </w:numPr>
              <w:spacing w:line="400" w:lineRule="exact"/>
              <w:ind w:right="113"/>
              <w:rPr>
                <w:rFonts w:ascii="標楷體" w:eastAsia="標楷體" w:hAnsi="標楷體"/>
                <w:color w:val="000000" w:themeColor="text1"/>
                <w:sz w:val="28"/>
                <w:szCs w:val="28"/>
              </w:rPr>
            </w:pPr>
          </w:p>
        </w:tc>
        <w:tc>
          <w:tcPr>
            <w:tcW w:w="1804" w:type="pct"/>
          </w:tcPr>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hint="eastAsia"/>
                <w:color w:val="000000"/>
                <w:sz w:val="28"/>
              </w:rPr>
              <w:t>行政院原子能委員會函，為111年度中央政府總預算決議，檢送歲出第17款第3項決議（五）第2目「放射性</w:t>
            </w:r>
            <w:r w:rsidRPr="0095519D">
              <w:rPr>
                <w:rFonts w:ascii="標楷體" w:eastAsia="標楷體" w:hAnsi="標楷體" w:hint="eastAsia"/>
                <w:color w:val="000000"/>
                <w:sz w:val="28"/>
              </w:rPr>
              <w:lastRenderedPageBreak/>
              <w:t>物料管理」第2節「放射性廢棄物營運安全管制」預算凍結十分之一專案報告，請查照案。</w:t>
            </w:r>
          </w:p>
        </w:tc>
        <w:tc>
          <w:tcPr>
            <w:tcW w:w="858" w:type="pct"/>
          </w:tcPr>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color w:val="000000"/>
                <w:sz w:val="28"/>
              </w:rPr>
              <w:lastRenderedPageBreak/>
              <w:t>10-5-8</w:t>
            </w:r>
          </w:p>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color w:val="000000"/>
                <w:sz w:val="28"/>
              </w:rPr>
              <w:t>(111.4.15)</w:t>
            </w:r>
          </w:p>
        </w:tc>
        <w:tc>
          <w:tcPr>
            <w:tcW w:w="487" w:type="pct"/>
          </w:tcPr>
          <w:p w:rsidR="0095519D" w:rsidRPr="002C2B2E" w:rsidRDefault="0095519D" w:rsidP="0095519D">
            <w:pPr>
              <w:rPr>
                <w:rFonts w:ascii="標楷體" w:eastAsia="標楷體" w:hAnsi="標楷體"/>
                <w:color w:val="000000"/>
                <w:sz w:val="28"/>
              </w:rPr>
            </w:pPr>
          </w:p>
        </w:tc>
        <w:tc>
          <w:tcPr>
            <w:tcW w:w="1497" w:type="pct"/>
          </w:tcPr>
          <w:p w:rsidR="0095519D" w:rsidRPr="002C2B2E" w:rsidRDefault="0095519D" w:rsidP="0095519D">
            <w:pPr>
              <w:ind w:left="240" w:hangingChars="100" w:hanging="240"/>
              <w:jc w:val="both"/>
              <w:rPr>
                <w:rFonts w:ascii="標楷體" w:eastAsia="標楷體" w:hAnsi="標楷體"/>
                <w:bCs/>
                <w:color w:val="000000"/>
              </w:rPr>
            </w:pPr>
            <w:r w:rsidRPr="002C2B2E">
              <w:rPr>
                <w:rFonts w:ascii="標楷體" w:eastAsia="標楷體" w:hAnsi="標楷體" w:hint="eastAsia"/>
                <w:bCs/>
                <w:color w:val="000000"/>
              </w:rPr>
              <w:t>1</w:t>
            </w:r>
            <w:r w:rsidRPr="002C2B2E">
              <w:rPr>
                <w:rFonts w:ascii="標楷體" w:eastAsia="標楷體" w:hAnsi="標楷體"/>
                <w:bCs/>
                <w:color w:val="000000"/>
              </w:rPr>
              <w:t>.</w:t>
            </w:r>
            <w:r w:rsidRPr="002C2B2E">
              <w:rPr>
                <w:rFonts w:ascii="標楷體" w:eastAsia="標楷體" w:hAnsi="標楷體" w:hint="eastAsia"/>
                <w:bCs/>
                <w:color w:val="000000"/>
              </w:rPr>
              <w:t>第</w:t>
            </w:r>
            <w:r w:rsidRPr="002C2B2E">
              <w:rPr>
                <w:rFonts w:ascii="標楷體" w:eastAsia="標楷體" w:hAnsi="標楷體"/>
                <w:bCs/>
                <w:color w:val="000000"/>
              </w:rPr>
              <w:t>5</w:t>
            </w:r>
            <w:r w:rsidRPr="002C2B2E">
              <w:rPr>
                <w:rFonts w:ascii="標楷體" w:eastAsia="標楷體" w:hAnsi="標楷體" w:hint="eastAsia"/>
                <w:bCs/>
                <w:color w:val="000000"/>
              </w:rPr>
              <w:t>會期第</w:t>
            </w:r>
            <w:r w:rsidRPr="002C2B2E">
              <w:rPr>
                <w:rFonts w:ascii="標楷體" w:eastAsia="標楷體" w:hAnsi="標楷體"/>
                <w:bCs/>
                <w:color w:val="000000"/>
              </w:rPr>
              <w:t>14</w:t>
            </w:r>
            <w:r w:rsidRPr="002C2B2E">
              <w:rPr>
                <w:rFonts w:ascii="標楷體" w:eastAsia="標楷體" w:hAnsi="標楷體" w:hint="eastAsia"/>
                <w:bCs/>
                <w:color w:val="000000"/>
              </w:rPr>
              <w:t>次全體委員會議(11</w:t>
            </w:r>
            <w:r w:rsidRPr="002C2B2E">
              <w:rPr>
                <w:rFonts w:ascii="標楷體" w:eastAsia="標楷體" w:hAnsi="標楷體"/>
                <w:bCs/>
                <w:color w:val="000000"/>
              </w:rPr>
              <w:t>1</w:t>
            </w:r>
            <w:r w:rsidRPr="002C2B2E">
              <w:rPr>
                <w:rFonts w:ascii="標楷體" w:eastAsia="標楷體" w:hAnsi="標楷體" w:hint="eastAsia"/>
                <w:bCs/>
                <w:color w:val="000000"/>
              </w:rPr>
              <w:t>.</w:t>
            </w:r>
            <w:r w:rsidRPr="002C2B2E">
              <w:rPr>
                <w:rFonts w:ascii="標楷體" w:eastAsia="標楷體" w:hAnsi="標楷體"/>
                <w:bCs/>
                <w:color w:val="000000"/>
              </w:rPr>
              <w:t>5</w:t>
            </w:r>
            <w:r w:rsidRPr="002C2B2E">
              <w:rPr>
                <w:rFonts w:ascii="標楷體" w:eastAsia="標楷體" w:hAnsi="標楷體" w:hint="eastAsia"/>
                <w:bCs/>
                <w:color w:val="000000"/>
              </w:rPr>
              <w:t>.</w:t>
            </w:r>
            <w:r w:rsidRPr="002C2B2E">
              <w:rPr>
                <w:rFonts w:ascii="標楷體" w:eastAsia="標楷體" w:hAnsi="標楷體"/>
                <w:bCs/>
                <w:color w:val="000000"/>
              </w:rPr>
              <w:t>19</w:t>
            </w:r>
            <w:r w:rsidRPr="002C2B2E">
              <w:rPr>
                <w:rFonts w:ascii="標楷體" w:eastAsia="標楷體" w:hAnsi="標楷體" w:hint="eastAsia"/>
                <w:bCs/>
                <w:color w:val="000000"/>
              </w:rPr>
              <w:t>)決議：准予動支，提報院會。</w:t>
            </w:r>
          </w:p>
          <w:p w:rsidR="0095519D" w:rsidRPr="002C2B2E" w:rsidRDefault="0095519D" w:rsidP="0095519D">
            <w:pPr>
              <w:ind w:left="240" w:hangingChars="100" w:hanging="240"/>
              <w:jc w:val="both"/>
              <w:rPr>
                <w:rFonts w:ascii="標楷體" w:eastAsia="標楷體" w:hAnsi="標楷體"/>
                <w:color w:val="000000"/>
                <w:sz w:val="28"/>
                <w:szCs w:val="28"/>
              </w:rPr>
            </w:pPr>
            <w:r w:rsidRPr="002C2B2E">
              <w:rPr>
                <w:rFonts w:ascii="標楷體" w:eastAsia="標楷體" w:hAnsi="標楷體"/>
                <w:bCs/>
                <w:color w:val="000000"/>
              </w:rPr>
              <w:t>2.</w:t>
            </w:r>
            <w:r w:rsidRPr="002C2B2E">
              <w:rPr>
                <w:rFonts w:ascii="標楷體" w:eastAsia="標楷體" w:hAnsi="標楷體" w:hint="eastAsia"/>
                <w:bCs/>
                <w:color w:val="000000"/>
              </w:rPr>
              <w:t>第</w:t>
            </w:r>
            <w:r w:rsidRPr="002C2B2E">
              <w:rPr>
                <w:rFonts w:ascii="標楷體" w:eastAsia="標楷體" w:hAnsi="標楷體"/>
                <w:bCs/>
                <w:color w:val="000000"/>
              </w:rPr>
              <w:t>6</w:t>
            </w:r>
            <w:r w:rsidRPr="002C2B2E">
              <w:rPr>
                <w:rFonts w:ascii="標楷體" w:eastAsia="標楷體" w:hAnsi="標楷體" w:hint="eastAsia"/>
                <w:bCs/>
                <w:color w:val="000000"/>
              </w:rPr>
              <w:t>會期第1次院會（11</w:t>
            </w:r>
            <w:r w:rsidRPr="002C2B2E">
              <w:rPr>
                <w:rFonts w:ascii="標楷體" w:eastAsia="標楷體" w:hAnsi="標楷體"/>
                <w:bCs/>
                <w:color w:val="000000"/>
              </w:rPr>
              <w:t>1</w:t>
            </w:r>
            <w:r w:rsidRPr="002C2B2E">
              <w:rPr>
                <w:rFonts w:ascii="標楷體" w:eastAsia="標楷體" w:hAnsi="標楷體" w:hint="eastAsia"/>
                <w:bCs/>
                <w:color w:val="000000"/>
              </w:rPr>
              <w:t>.</w:t>
            </w:r>
            <w:r w:rsidRPr="002C2B2E">
              <w:rPr>
                <w:rFonts w:ascii="標楷體" w:eastAsia="標楷體" w:hAnsi="標楷體"/>
                <w:bCs/>
                <w:color w:val="000000"/>
              </w:rPr>
              <w:t>9</w:t>
            </w:r>
            <w:r w:rsidRPr="002C2B2E">
              <w:rPr>
                <w:rFonts w:ascii="標楷體" w:eastAsia="標楷體" w:hAnsi="標楷體" w:hint="eastAsia"/>
                <w:bCs/>
                <w:color w:val="000000"/>
              </w:rPr>
              <w:t>.2</w:t>
            </w:r>
            <w:r w:rsidRPr="002C2B2E">
              <w:rPr>
                <w:rFonts w:ascii="標楷體" w:eastAsia="標楷體" w:hAnsi="標楷體"/>
                <w:bCs/>
                <w:color w:val="000000"/>
              </w:rPr>
              <w:t>3</w:t>
            </w:r>
            <w:r w:rsidRPr="002C2B2E">
              <w:rPr>
                <w:rFonts w:ascii="標楷體" w:eastAsia="標楷體" w:hAnsi="標楷體" w:hint="eastAsia"/>
                <w:bCs/>
                <w:color w:val="000000"/>
              </w:rPr>
              <w:t>）決定：准予</w:t>
            </w:r>
            <w:r w:rsidRPr="002C2B2E">
              <w:rPr>
                <w:rFonts w:ascii="標楷體" w:eastAsia="標楷體" w:hAnsi="標楷體" w:hint="eastAsia"/>
                <w:bCs/>
                <w:color w:val="000000"/>
              </w:rPr>
              <w:lastRenderedPageBreak/>
              <w:t>備查。</w:t>
            </w:r>
          </w:p>
        </w:tc>
      </w:tr>
      <w:tr w:rsidR="0095519D" w:rsidRPr="00920597" w:rsidTr="001F3F42">
        <w:trPr>
          <w:trHeight w:val="567"/>
        </w:trPr>
        <w:tc>
          <w:tcPr>
            <w:tcW w:w="354" w:type="pct"/>
            <w:vAlign w:val="center"/>
          </w:tcPr>
          <w:p w:rsidR="0095519D" w:rsidRPr="00920597" w:rsidRDefault="0095519D" w:rsidP="006934DD">
            <w:pPr>
              <w:numPr>
                <w:ilvl w:val="0"/>
                <w:numId w:val="57"/>
              </w:numPr>
              <w:spacing w:line="400" w:lineRule="exact"/>
              <w:ind w:right="113"/>
              <w:rPr>
                <w:rFonts w:ascii="標楷體" w:eastAsia="標楷體" w:hAnsi="標楷體"/>
                <w:color w:val="000000" w:themeColor="text1"/>
                <w:sz w:val="28"/>
                <w:szCs w:val="28"/>
              </w:rPr>
            </w:pPr>
          </w:p>
        </w:tc>
        <w:tc>
          <w:tcPr>
            <w:tcW w:w="1804" w:type="pct"/>
          </w:tcPr>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hint="eastAsia"/>
                <w:color w:val="000000"/>
                <w:sz w:val="28"/>
              </w:rPr>
              <w:t>行政院原子能委員會函，為111年度中央政府總預算決議，檢送該會凍結第2目「原子能管理發展業務」200萬元書面報告，請查照案。</w:t>
            </w:r>
          </w:p>
        </w:tc>
        <w:tc>
          <w:tcPr>
            <w:tcW w:w="858" w:type="pct"/>
          </w:tcPr>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color w:val="000000"/>
                <w:sz w:val="28"/>
              </w:rPr>
              <w:t>10-5-</w:t>
            </w:r>
            <w:r w:rsidRPr="0095519D">
              <w:rPr>
                <w:rFonts w:ascii="標楷體" w:eastAsia="標楷體" w:hAnsi="標楷體" w:hint="eastAsia"/>
                <w:color w:val="000000"/>
                <w:sz w:val="28"/>
              </w:rPr>
              <w:t>9</w:t>
            </w:r>
          </w:p>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color w:val="000000"/>
                <w:sz w:val="28"/>
              </w:rPr>
              <w:t>(111.4.22)</w:t>
            </w:r>
          </w:p>
          <w:p w:rsidR="0095519D" w:rsidRPr="0095519D" w:rsidRDefault="0095519D" w:rsidP="0095519D">
            <w:pPr>
              <w:spacing w:line="400" w:lineRule="exact"/>
              <w:ind w:leftChars="-12" w:left="-29"/>
              <w:jc w:val="both"/>
              <w:rPr>
                <w:rFonts w:ascii="標楷體" w:eastAsia="標楷體" w:hAnsi="標楷體"/>
                <w:color w:val="000000"/>
                <w:sz w:val="28"/>
              </w:rPr>
            </w:pPr>
          </w:p>
        </w:tc>
        <w:tc>
          <w:tcPr>
            <w:tcW w:w="487" w:type="pct"/>
          </w:tcPr>
          <w:p w:rsidR="0095519D" w:rsidRPr="002C2B2E" w:rsidRDefault="0095519D" w:rsidP="0095519D">
            <w:pPr>
              <w:rPr>
                <w:rFonts w:ascii="標楷體" w:eastAsia="標楷體" w:hAnsi="標楷體"/>
                <w:color w:val="000000"/>
                <w:sz w:val="28"/>
              </w:rPr>
            </w:pPr>
          </w:p>
        </w:tc>
        <w:tc>
          <w:tcPr>
            <w:tcW w:w="1497" w:type="pct"/>
          </w:tcPr>
          <w:p w:rsidR="0095519D" w:rsidRPr="002C2B2E" w:rsidRDefault="0095519D" w:rsidP="0095519D">
            <w:pPr>
              <w:ind w:left="240" w:hangingChars="100" w:hanging="240"/>
              <w:jc w:val="both"/>
              <w:rPr>
                <w:rFonts w:ascii="標楷體" w:eastAsia="標楷體" w:hAnsi="標楷體"/>
                <w:bCs/>
                <w:color w:val="000000"/>
              </w:rPr>
            </w:pPr>
            <w:r w:rsidRPr="002C2B2E">
              <w:rPr>
                <w:rFonts w:ascii="標楷體" w:eastAsia="標楷體" w:hAnsi="標楷體" w:hint="eastAsia"/>
                <w:bCs/>
                <w:color w:val="000000"/>
              </w:rPr>
              <w:t>1</w:t>
            </w:r>
            <w:r w:rsidRPr="002C2B2E">
              <w:rPr>
                <w:rFonts w:ascii="標楷體" w:eastAsia="標楷體" w:hAnsi="標楷體"/>
                <w:bCs/>
                <w:color w:val="000000"/>
              </w:rPr>
              <w:t>.</w:t>
            </w:r>
            <w:r w:rsidRPr="002C2B2E">
              <w:rPr>
                <w:rFonts w:ascii="標楷體" w:eastAsia="標楷體" w:hAnsi="標楷體" w:hint="eastAsia"/>
                <w:bCs/>
                <w:color w:val="000000"/>
              </w:rPr>
              <w:t>第</w:t>
            </w:r>
            <w:r w:rsidRPr="002C2B2E">
              <w:rPr>
                <w:rFonts w:ascii="標楷體" w:eastAsia="標楷體" w:hAnsi="標楷體"/>
                <w:bCs/>
                <w:color w:val="000000"/>
              </w:rPr>
              <w:t>5</w:t>
            </w:r>
            <w:r w:rsidRPr="002C2B2E">
              <w:rPr>
                <w:rFonts w:ascii="標楷體" w:eastAsia="標楷體" w:hAnsi="標楷體" w:hint="eastAsia"/>
                <w:bCs/>
                <w:color w:val="000000"/>
              </w:rPr>
              <w:t>會期第</w:t>
            </w:r>
            <w:r w:rsidRPr="002C2B2E">
              <w:rPr>
                <w:rFonts w:ascii="標楷體" w:eastAsia="標楷體" w:hAnsi="標楷體"/>
                <w:bCs/>
                <w:color w:val="000000"/>
              </w:rPr>
              <w:t>14</w:t>
            </w:r>
            <w:r w:rsidRPr="002C2B2E">
              <w:rPr>
                <w:rFonts w:ascii="標楷體" w:eastAsia="標楷體" w:hAnsi="標楷體" w:hint="eastAsia"/>
                <w:bCs/>
                <w:color w:val="000000"/>
              </w:rPr>
              <w:t>次全體委員會議(11</w:t>
            </w:r>
            <w:r w:rsidRPr="002C2B2E">
              <w:rPr>
                <w:rFonts w:ascii="標楷體" w:eastAsia="標楷體" w:hAnsi="標楷體"/>
                <w:bCs/>
                <w:color w:val="000000"/>
              </w:rPr>
              <w:t>1</w:t>
            </w:r>
            <w:r w:rsidRPr="002C2B2E">
              <w:rPr>
                <w:rFonts w:ascii="標楷體" w:eastAsia="標楷體" w:hAnsi="標楷體" w:hint="eastAsia"/>
                <w:bCs/>
                <w:color w:val="000000"/>
              </w:rPr>
              <w:t>.</w:t>
            </w:r>
            <w:r w:rsidRPr="002C2B2E">
              <w:rPr>
                <w:rFonts w:ascii="標楷體" w:eastAsia="標楷體" w:hAnsi="標楷體"/>
                <w:bCs/>
                <w:color w:val="000000"/>
              </w:rPr>
              <w:t>5</w:t>
            </w:r>
            <w:r w:rsidRPr="002C2B2E">
              <w:rPr>
                <w:rFonts w:ascii="標楷體" w:eastAsia="標楷體" w:hAnsi="標楷體" w:hint="eastAsia"/>
                <w:bCs/>
                <w:color w:val="000000"/>
              </w:rPr>
              <w:t>.</w:t>
            </w:r>
            <w:r w:rsidRPr="002C2B2E">
              <w:rPr>
                <w:rFonts w:ascii="標楷體" w:eastAsia="標楷體" w:hAnsi="標楷體"/>
                <w:bCs/>
                <w:color w:val="000000"/>
              </w:rPr>
              <w:t>19</w:t>
            </w:r>
            <w:r w:rsidRPr="002C2B2E">
              <w:rPr>
                <w:rFonts w:ascii="標楷體" w:eastAsia="標楷體" w:hAnsi="標楷體" w:hint="eastAsia"/>
                <w:bCs/>
                <w:color w:val="000000"/>
              </w:rPr>
              <w:t>)決議：准予動支，提報院會。</w:t>
            </w:r>
          </w:p>
          <w:p w:rsidR="0095519D" w:rsidRPr="002C2B2E" w:rsidRDefault="0095519D" w:rsidP="0095519D">
            <w:pPr>
              <w:ind w:left="240" w:hangingChars="100" w:hanging="240"/>
              <w:jc w:val="both"/>
              <w:rPr>
                <w:rFonts w:ascii="標楷體" w:eastAsia="標楷體" w:hAnsi="標楷體"/>
                <w:color w:val="000000"/>
                <w:sz w:val="28"/>
                <w:szCs w:val="28"/>
              </w:rPr>
            </w:pPr>
            <w:r w:rsidRPr="002C2B2E">
              <w:rPr>
                <w:rFonts w:ascii="標楷體" w:eastAsia="標楷體" w:hAnsi="標楷體"/>
                <w:bCs/>
                <w:color w:val="000000"/>
              </w:rPr>
              <w:t>2.</w:t>
            </w:r>
            <w:r w:rsidRPr="002C2B2E">
              <w:rPr>
                <w:rFonts w:ascii="標楷體" w:eastAsia="標楷體" w:hAnsi="標楷體" w:hint="eastAsia"/>
                <w:bCs/>
                <w:color w:val="000000"/>
              </w:rPr>
              <w:t>第</w:t>
            </w:r>
            <w:r w:rsidRPr="002C2B2E">
              <w:rPr>
                <w:rFonts w:ascii="標楷體" w:eastAsia="標楷體" w:hAnsi="標楷體"/>
                <w:bCs/>
                <w:color w:val="000000"/>
              </w:rPr>
              <w:t>6</w:t>
            </w:r>
            <w:r w:rsidRPr="002C2B2E">
              <w:rPr>
                <w:rFonts w:ascii="標楷體" w:eastAsia="標楷體" w:hAnsi="標楷體" w:hint="eastAsia"/>
                <w:bCs/>
                <w:color w:val="000000"/>
              </w:rPr>
              <w:t>會期第1次院會（11</w:t>
            </w:r>
            <w:r w:rsidRPr="002C2B2E">
              <w:rPr>
                <w:rFonts w:ascii="標楷體" w:eastAsia="標楷體" w:hAnsi="標楷體"/>
                <w:bCs/>
                <w:color w:val="000000"/>
              </w:rPr>
              <w:t>1</w:t>
            </w:r>
            <w:r w:rsidRPr="002C2B2E">
              <w:rPr>
                <w:rFonts w:ascii="標楷體" w:eastAsia="標楷體" w:hAnsi="標楷體" w:hint="eastAsia"/>
                <w:bCs/>
                <w:color w:val="000000"/>
              </w:rPr>
              <w:t>.</w:t>
            </w:r>
            <w:r w:rsidRPr="002C2B2E">
              <w:rPr>
                <w:rFonts w:ascii="標楷體" w:eastAsia="標楷體" w:hAnsi="標楷體"/>
                <w:bCs/>
                <w:color w:val="000000"/>
              </w:rPr>
              <w:t>9</w:t>
            </w:r>
            <w:r w:rsidRPr="002C2B2E">
              <w:rPr>
                <w:rFonts w:ascii="標楷體" w:eastAsia="標楷體" w:hAnsi="標楷體" w:hint="eastAsia"/>
                <w:bCs/>
                <w:color w:val="000000"/>
              </w:rPr>
              <w:t>.2</w:t>
            </w:r>
            <w:r w:rsidRPr="002C2B2E">
              <w:rPr>
                <w:rFonts w:ascii="標楷體" w:eastAsia="標楷體" w:hAnsi="標楷體"/>
                <w:bCs/>
                <w:color w:val="000000"/>
              </w:rPr>
              <w:t>3</w:t>
            </w:r>
            <w:r w:rsidRPr="002C2B2E">
              <w:rPr>
                <w:rFonts w:ascii="標楷體" w:eastAsia="標楷體" w:hAnsi="標楷體" w:hint="eastAsia"/>
                <w:bCs/>
                <w:color w:val="000000"/>
              </w:rPr>
              <w:t>）決定：准予備查。</w:t>
            </w:r>
          </w:p>
        </w:tc>
      </w:tr>
    </w:tbl>
    <w:p w:rsidR="0095519D" w:rsidRPr="00920597" w:rsidRDefault="0095519D" w:rsidP="0095519D">
      <w:pPr>
        <w:pStyle w:val="01-4"/>
        <w:rPr>
          <w:color w:val="000000" w:themeColor="text1"/>
        </w:rPr>
      </w:pPr>
      <w:bookmarkStart w:id="107" w:name="_Toc126068145"/>
      <w:r>
        <w:rPr>
          <w:rFonts w:hint="eastAsia"/>
          <w:color w:val="000000" w:themeColor="text1"/>
        </w:rPr>
        <w:t>5</w:t>
      </w:r>
      <w:r w:rsidRPr="00920597">
        <w:rPr>
          <w:color w:val="000000" w:themeColor="text1"/>
        </w:rPr>
        <w:t>.</w:t>
      </w:r>
      <w:r>
        <w:rPr>
          <w:rFonts w:hint="eastAsia"/>
          <w:color w:val="000000" w:themeColor="text1"/>
        </w:rPr>
        <w:t xml:space="preserve">國立故宮博物院 </w:t>
      </w:r>
      <w:r w:rsidRPr="007B4408">
        <w:rPr>
          <w:rFonts w:hint="eastAsia"/>
          <w:color w:val="000000" w:themeColor="text1"/>
        </w:rPr>
        <w:t>(</w:t>
      </w:r>
      <w:r>
        <w:rPr>
          <w:rFonts w:hint="eastAsia"/>
          <w:color w:val="000000" w:themeColor="text1"/>
        </w:rPr>
        <w:t>5</w:t>
      </w:r>
      <w:r w:rsidRPr="007B4408">
        <w:rPr>
          <w:rFonts w:hint="eastAsia"/>
          <w:color w:val="000000" w:themeColor="text1"/>
        </w:rPr>
        <w:t>案）</w:t>
      </w:r>
      <w:bookmarkEnd w:id="107"/>
    </w:p>
    <w:tbl>
      <w:tblPr>
        <w:tblW w:w="5148" w:type="pct"/>
        <w:tblInd w:w="-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2"/>
        <w:gridCol w:w="3577"/>
        <w:gridCol w:w="1701"/>
        <w:gridCol w:w="966"/>
        <w:gridCol w:w="2968"/>
      </w:tblGrid>
      <w:tr w:rsidR="0095519D" w:rsidRPr="00920597" w:rsidTr="001F3F42">
        <w:trPr>
          <w:trHeight w:val="700"/>
        </w:trPr>
        <w:tc>
          <w:tcPr>
            <w:tcW w:w="354" w:type="pct"/>
            <w:vAlign w:val="center"/>
          </w:tcPr>
          <w:p w:rsidR="0095519D" w:rsidRPr="00920597" w:rsidRDefault="0095519D" w:rsidP="001F3F42">
            <w:pPr>
              <w:spacing w:line="400" w:lineRule="exact"/>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1804" w:type="pct"/>
            <w:vAlign w:val="center"/>
          </w:tcPr>
          <w:p w:rsidR="0095519D" w:rsidRPr="00920597" w:rsidRDefault="0095519D" w:rsidP="001F3F42">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58" w:type="pct"/>
            <w:vAlign w:val="center"/>
          </w:tcPr>
          <w:p w:rsidR="0095519D" w:rsidRPr="00920597" w:rsidRDefault="0095519D" w:rsidP="001F3F42">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院會交付</w:t>
            </w:r>
          </w:p>
          <w:p w:rsidR="0095519D" w:rsidRPr="00920597" w:rsidRDefault="0095519D" w:rsidP="001F3F42">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487" w:type="pct"/>
            <w:vAlign w:val="center"/>
          </w:tcPr>
          <w:p w:rsidR="0095519D" w:rsidRPr="00920597" w:rsidRDefault="0095519D" w:rsidP="001F3F42">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聯席</w:t>
            </w:r>
          </w:p>
          <w:p w:rsidR="0095519D" w:rsidRPr="00920597" w:rsidRDefault="0095519D" w:rsidP="001F3F42">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w:t>
            </w:r>
          </w:p>
        </w:tc>
        <w:tc>
          <w:tcPr>
            <w:tcW w:w="1497" w:type="pct"/>
            <w:vAlign w:val="center"/>
          </w:tcPr>
          <w:p w:rsidR="0095519D" w:rsidRPr="00920597" w:rsidRDefault="0095519D" w:rsidP="001F3F42">
            <w:pPr>
              <w:spacing w:line="400" w:lineRule="exact"/>
              <w:jc w:val="distribute"/>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處理情形</w:t>
            </w:r>
          </w:p>
        </w:tc>
      </w:tr>
      <w:tr w:rsidR="0095519D" w:rsidRPr="00920597" w:rsidTr="001F3F42">
        <w:trPr>
          <w:trHeight w:val="567"/>
        </w:trPr>
        <w:tc>
          <w:tcPr>
            <w:tcW w:w="354" w:type="pct"/>
            <w:vAlign w:val="center"/>
          </w:tcPr>
          <w:p w:rsidR="0095519D" w:rsidRPr="00920597" w:rsidRDefault="0095519D" w:rsidP="006934DD">
            <w:pPr>
              <w:numPr>
                <w:ilvl w:val="0"/>
                <w:numId w:val="59"/>
              </w:numPr>
              <w:spacing w:line="400" w:lineRule="exact"/>
              <w:ind w:right="113"/>
              <w:rPr>
                <w:rFonts w:ascii="標楷體" w:eastAsia="標楷體" w:hAnsi="標楷體"/>
                <w:color w:val="000000" w:themeColor="text1"/>
                <w:sz w:val="28"/>
                <w:szCs w:val="28"/>
              </w:rPr>
            </w:pPr>
          </w:p>
        </w:tc>
        <w:tc>
          <w:tcPr>
            <w:tcW w:w="1804" w:type="pct"/>
          </w:tcPr>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hint="eastAsia"/>
                <w:color w:val="000000"/>
                <w:sz w:val="28"/>
              </w:rPr>
              <w:t>國立故宮博物院函，為111年度中央政府總預算決議，檢送決議（一）「文物研究與展覽」凍結200萬元書面報告，請查照案。</w:t>
            </w:r>
          </w:p>
        </w:tc>
        <w:tc>
          <w:tcPr>
            <w:tcW w:w="858" w:type="pct"/>
          </w:tcPr>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color w:val="000000"/>
                <w:sz w:val="28"/>
              </w:rPr>
              <w:t>10-5-8</w:t>
            </w:r>
          </w:p>
          <w:p w:rsidR="0095519D" w:rsidRPr="0095519D" w:rsidRDefault="0095519D" w:rsidP="0095519D">
            <w:pPr>
              <w:spacing w:line="400" w:lineRule="exact"/>
              <w:ind w:leftChars="-12" w:left="-29"/>
              <w:rPr>
                <w:rFonts w:ascii="標楷體" w:eastAsia="標楷體" w:hAnsi="標楷體"/>
                <w:color w:val="000000"/>
                <w:sz w:val="28"/>
              </w:rPr>
            </w:pPr>
            <w:r w:rsidRPr="0095519D">
              <w:rPr>
                <w:rFonts w:ascii="標楷體" w:eastAsia="標楷體" w:hAnsi="標楷體"/>
                <w:color w:val="000000"/>
                <w:sz w:val="28"/>
              </w:rPr>
              <w:t>(111.4.15)</w:t>
            </w:r>
          </w:p>
          <w:p w:rsidR="0095519D" w:rsidRPr="0095519D" w:rsidRDefault="0095519D" w:rsidP="0095519D">
            <w:pPr>
              <w:spacing w:line="400" w:lineRule="exact"/>
              <w:ind w:leftChars="-12" w:left="-29"/>
              <w:rPr>
                <w:rFonts w:ascii="標楷體" w:eastAsia="標楷體" w:hAnsi="標楷體"/>
                <w:color w:val="000000"/>
                <w:sz w:val="28"/>
              </w:rPr>
            </w:pPr>
          </w:p>
        </w:tc>
        <w:tc>
          <w:tcPr>
            <w:tcW w:w="487" w:type="pct"/>
          </w:tcPr>
          <w:p w:rsidR="0095519D" w:rsidRPr="002C2B2E" w:rsidRDefault="0095519D" w:rsidP="0095519D">
            <w:pPr>
              <w:spacing w:line="400" w:lineRule="exact"/>
              <w:jc w:val="both"/>
              <w:rPr>
                <w:rFonts w:ascii="標楷體" w:eastAsia="標楷體" w:hAnsi="標楷體"/>
                <w:color w:val="000000"/>
                <w:sz w:val="28"/>
                <w:szCs w:val="28"/>
              </w:rPr>
            </w:pPr>
          </w:p>
        </w:tc>
        <w:tc>
          <w:tcPr>
            <w:tcW w:w="1497" w:type="pct"/>
          </w:tcPr>
          <w:p w:rsidR="0095519D" w:rsidRPr="002C2B2E" w:rsidRDefault="0095519D" w:rsidP="006934DD">
            <w:pPr>
              <w:numPr>
                <w:ilvl w:val="0"/>
                <w:numId w:val="58"/>
              </w:numPr>
              <w:ind w:left="285" w:hanging="248"/>
              <w:jc w:val="both"/>
              <w:rPr>
                <w:rFonts w:ascii="標楷體" w:eastAsia="標楷體" w:hAnsi="標楷體"/>
                <w:color w:val="000000"/>
                <w:szCs w:val="24"/>
              </w:rPr>
            </w:pPr>
            <w:r w:rsidRPr="002C2B2E">
              <w:rPr>
                <w:rFonts w:ascii="標楷體" w:eastAsia="標楷體" w:hAnsi="標楷體" w:hint="eastAsia"/>
                <w:color w:val="000000"/>
                <w:szCs w:val="24"/>
              </w:rPr>
              <w:t>第5會期第15次全體委員會議（111.5.26）決定：准予動支，提報院會。</w:t>
            </w:r>
          </w:p>
          <w:p w:rsidR="0095519D" w:rsidRPr="002C2B2E" w:rsidRDefault="0095519D" w:rsidP="006934DD">
            <w:pPr>
              <w:numPr>
                <w:ilvl w:val="0"/>
                <w:numId w:val="58"/>
              </w:numPr>
              <w:ind w:left="313" w:hanging="276"/>
              <w:jc w:val="both"/>
              <w:rPr>
                <w:rFonts w:ascii="標楷體" w:eastAsia="標楷體" w:hAnsi="標楷體"/>
                <w:color w:val="000000"/>
                <w:szCs w:val="24"/>
              </w:rPr>
            </w:pPr>
            <w:r w:rsidRPr="002C2B2E">
              <w:rPr>
                <w:rFonts w:ascii="標楷體" w:eastAsia="標楷體" w:hAnsi="標楷體" w:hint="eastAsia"/>
                <w:color w:val="000000"/>
                <w:szCs w:val="24"/>
              </w:rPr>
              <w:t>第</w:t>
            </w:r>
            <w:r w:rsidRPr="002C2B2E">
              <w:rPr>
                <w:rFonts w:ascii="標楷體" w:eastAsia="標楷體" w:hAnsi="標楷體"/>
                <w:color w:val="000000"/>
                <w:szCs w:val="24"/>
              </w:rPr>
              <w:t>6</w:t>
            </w:r>
            <w:r w:rsidRPr="002C2B2E">
              <w:rPr>
                <w:rFonts w:ascii="標楷體" w:eastAsia="標楷體" w:hAnsi="標楷體" w:hint="eastAsia"/>
                <w:color w:val="000000"/>
                <w:szCs w:val="24"/>
              </w:rPr>
              <w:t>會期第1次院會（1</w:t>
            </w:r>
            <w:r w:rsidRPr="002C2B2E">
              <w:rPr>
                <w:rFonts w:ascii="標楷體" w:eastAsia="標楷體" w:hAnsi="標楷體"/>
                <w:color w:val="000000"/>
                <w:szCs w:val="24"/>
              </w:rPr>
              <w:t>11</w:t>
            </w:r>
            <w:r w:rsidRPr="002C2B2E">
              <w:rPr>
                <w:rFonts w:ascii="標楷體" w:eastAsia="標楷體" w:hAnsi="標楷體" w:hint="eastAsia"/>
                <w:color w:val="000000"/>
                <w:szCs w:val="24"/>
              </w:rPr>
              <w:t>.</w:t>
            </w:r>
            <w:r w:rsidRPr="002C2B2E">
              <w:rPr>
                <w:rFonts w:ascii="標楷體" w:eastAsia="標楷體" w:hAnsi="標楷體"/>
                <w:color w:val="000000"/>
                <w:szCs w:val="24"/>
              </w:rPr>
              <w:t>9</w:t>
            </w:r>
            <w:r w:rsidRPr="002C2B2E">
              <w:rPr>
                <w:rFonts w:ascii="標楷體" w:eastAsia="標楷體" w:hAnsi="標楷體" w:hint="eastAsia"/>
                <w:color w:val="000000"/>
                <w:szCs w:val="24"/>
              </w:rPr>
              <w:t>.</w:t>
            </w:r>
            <w:r w:rsidRPr="002C2B2E">
              <w:rPr>
                <w:rFonts w:ascii="標楷體" w:eastAsia="標楷體" w:hAnsi="標楷體"/>
                <w:color w:val="000000"/>
                <w:szCs w:val="24"/>
              </w:rPr>
              <w:t>23</w:t>
            </w:r>
            <w:r w:rsidRPr="002C2B2E">
              <w:rPr>
                <w:rFonts w:ascii="標楷體" w:eastAsia="標楷體" w:hAnsi="標楷體" w:hint="eastAsia"/>
                <w:color w:val="000000"/>
                <w:szCs w:val="24"/>
              </w:rPr>
              <w:t>）決定：准予備查。</w:t>
            </w:r>
          </w:p>
        </w:tc>
      </w:tr>
      <w:tr w:rsidR="0095519D" w:rsidRPr="00920597" w:rsidTr="001F3F42">
        <w:trPr>
          <w:trHeight w:val="567"/>
        </w:trPr>
        <w:tc>
          <w:tcPr>
            <w:tcW w:w="354" w:type="pct"/>
            <w:vAlign w:val="center"/>
          </w:tcPr>
          <w:p w:rsidR="0095519D" w:rsidRPr="00920597" w:rsidRDefault="0095519D" w:rsidP="006934DD">
            <w:pPr>
              <w:numPr>
                <w:ilvl w:val="0"/>
                <w:numId w:val="59"/>
              </w:numPr>
              <w:spacing w:line="400" w:lineRule="exact"/>
              <w:ind w:right="113"/>
              <w:rPr>
                <w:rFonts w:ascii="標楷體" w:eastAsia="標楷體" w:hAnsi="標楷體"/>
                <w:color w:val="000000" w:themeColor="text1"/>
                <w:sz w:val="28"/>
                <w:szCs w:val="28"/>
              </w:rPr>
            </w:pPr>
          </w:p>
        </w:tc>
        <w:tc>
          <w:tcPr>
            <w:tcW w:w="1804" w:type="pct"/>
          </w:tcPr>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hint="eastAsia"/>
                <w:color w:val="000000"/>
                <w:sz w:val="28"/>
              </w:rPr>
              <w:t>國立故宮博物院函，為111年度中央政府總預算決議，檢送決議（二）第3目「綜合規劃與推廣行銷」凍結500萬元書面報告，請查照案。</w:t>
            </w:r>
          </w:p>
        </w:tc>
        <w:tc>
          <w:tcPr>
            <w:tcW w:w="858" w:type="pct"/>
          </w:tcPr>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color w:val="000000"/>
                <w:sz w:val="28"/>
              </w:rPr>
              <w:t>10-5-10</w:t>
            </w:r>
          </w:p>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color w:val="000000"/>
                <w:sz w:val="28"/>
              </w:rPr>
              <w:t>(111.4.29)</w:t>
            </w:r>
          </w:p>
        </w:tc>
        <w:tc>
          <w:tcPr>
            <w:tcW w:w="487" w:type="pct"/>
          </w:tcPr>
          <w:p w:rsidR="0095519D" w:rsidRPr="002C2B2E" w:rsidRDefault="0095519D" w:rsidP="0095519D">
            <w:pPr>
              <w:spacing w:line="400" w:lineRule="exact"/>
              <w:jc w:val="both"/>
              <w:rPr>
                <w:rFonts w:ascii="標楷體" w:eastAsia="標楷體" w:hAnsi="標楷體"/>
                <w:color w:val="000000"/>
                <w:sz w:val="28"/>
                <w:szCs w:val="28"/>
              </w:rPr>
            </w:pPr>
          </w:p>
        </w:tc>
        <w:tc>
          <w:tcPr>
            <w:tcW w:w="1497" w:type="pct"/>
          </w:tcPr>
          <w:p w:rsidR="0095519D" w:rsidRPr="002C2B2E" w:rsidRDefault="0095519D" w:rsidP="0095519D">
            <w:pPr>
              <w:ind w:leftChars="37" w:left="329" w:hangingChars="100" w:hanging="240"/>
              <w:jc w:val="both"/>
              <w:rPr>
                <w:rFonts w:ascii="標楷體" w:eastAsia="標楷體" w:hAnsi="標楷體"/>
                <w:color w:val="000000"/>
                <w:szCs w:val="24"/>
              </w:rPr>
            </w:pPr>
            <w:r>
              <w:rPr>
                <w:rFonts w:ascii="標楷體" w:eastAsia="標楷體" w:hAnsi="標楷體" w:hint="eastAsia"/>
                <w:color w:val="000000"/>
                <w:szCs w:val="24"/>
              </w:rPr>
              <w:t>1</w:t>
            </w:r>
            <w:r>
              <w:rPr>
                <w:rFonts w:ascii="標楷體" w:eastAsia="標楷體" w:hAnsi="標楷體"/>
                <w:color w:val="000000"/>
                <w:szCs w:val="24"/>
              </w:rPr>
              <w:t>.</w:t>
            </w:r>
            <w:r w:rsidRPr="002C2B2E">
              <w:rPr>
                <w:rFonts w:ascii="標楷體" w:eastAsia="標楷體" w:hAnsi="標楷體" w:hint="eastAsia"/>
                <w:color w:val="000000"/>
                <w:szCs w:val="24"/>
              </w:rPr>
              <w:t>第5會期第15次全體委員會議（111.5.26）決議：准予動支，提報院會。</w:t>
            </w:r>
          </w:p>
          <w:p w:rsidR="0095519D" w:rsidRPr="002C2B2E" w:rsidRDefault="0095519D" w:rsidP="0095519D">
            <w:pPr>
              <w:ind w:leftChars="37" w:left="329" w:hangingChars="100" w:hanging="240"/>
              <w:jc w:val="both"/>
              <w:rPr>
                <w:rFonts w:ascii="標楷體" w:eastAsia="標楷體" w:hAnsi="標楷體"/>
                <w:color w:val="000000"/>
                <w:szCs w:val="24"/>
              </w:rPr>
            </w:pPr>
            <w:r>
              <w:rPr>
                <w:rFonts w:ascii="標楷體" w:eastAsia="標楷體" w:hAnsi="標楷體" w:hint="eastAsia"/>
                <w:color w:val="000000"/>
                <w:szCs w:val="24"/>
              </w:rPr>
              <w:t>2</w:t>
            </w:r>
            <w:r>
              <w:rPr>
                <w:rFonts w:ascii="標楷體" w:eastAsia="標楷體" w:hAnsi="標楷體"/>
                <w:color w:val="000000"/>
                <w:szCs w:val="24"/>
              </w:rPr>
              <w:t>.</w:t>
            </w:r>
            <w:r w:rsidRPr="002C2B2E">
              <w:rPr>
                <w:rFonts w:ascii="標楷體" w:eastAsia="標楷體" w:hAnsi="標楷體" w:hint="eastAsia"/>
                <w:color w:val="000000"/>
                <w:szCs w:val="24"/>
              </w:rPr>
              <w:t>第</w:t>
            </w:r>
            <w:r w:rsidRPr="002C2B2E">
              <w:rPr>
                <w:rFonts w:ascii="標楷體" w:eastAsia="標楷體" w:hAnsi="標楷體"/>
                <w:color w:val="000000"/>
                <w:szCs w:val="24"/>
              </w:rPr>
              <w:t>6</w:t>
            </w:r>
            <w:r w:rsidRPr="002C2B2E">
              <w:rPr>
                <w:rFonts w:ascii="標楷體" w:eastAsia="標楷體" w:hAnsi="標楷體" w:hint="eastAsia"/>
                <w:color w:val="000000"/>
                <w:szCs w:val="24"/>
              </w:rPr>
              <w:t>會期第1次院會（1</w:t>
            </w:r>
            <w:r w:rsidRPr="002C2B2E">
              <w:rPr>
                <w:rFonts w:ascii="標楷體" w:eastAsia="標楷體" w:hAnsi="標楷體"/>
                <w:color w:val="000000"/>
                <w:szCs w:val="24"/>
              </w:rPr>
              <w:t>11</w:t>
            </w:r>
            <w:r w:rsidRPr="002C2B2E">
              <w:rPr>
                <w:rFonts w:ascii="標楷體" w:eastAsia="標楷體" w:hAnsi="標楷體" w:hint="eastAsia"/>
                <w:color w:val="000000"/>
                <w:szCs w:val="24"/>
              </w:rPr>
              <w:t>.</w:t>
            </w:r>
            <w:r w:rsidRPr="002C2B2E">
              <w:rPr>
                <w:rFonts w:ascii="標楷體" w:eastAsia="標楷體" w:hAnsi="標楷體"/>
                <w:color w:val="000000"/>
                <w:szCs w:val="24"/>
              </w:rPr>
              <w:t>9</w:t>
            </w:r>
            <w:r w:rsidRPr="002C2B2E">
              <w:rPr>
                <w:rFonts w:ascii="標楷體" w:eastAsia="標楷體" w:hAnsi="標楷體" w:hint="eastAsia"/>
                <w:color w:val="000000"/>
                <w:szCs w:val="24"/>
              </w:rPr>
              <w:t>.</w:t>
            </w:r>
            <w:r w:rsidRPr="002C2B2E">
              <w:rPr>
                <w:rFonts w:ascii="標楷體" w:eastAsia="標楷體" w:hAnsi="標楷體"/>
                <w:color w:val="000000"/>
                <w:szCs w:val="24"/>
              </w:rPr>
              <w:t>23</w:t>
            </w:r>
            <w:r w:rsidRPr="002C2B2E">
              <w:rPr>
                <w:rFonts w:ascii="標楷體" w:eastAsia="標楷體" w:hAnsi="標楷體" w:hint="eastAsia"/>
                <w:color w:val="000000"/>
                <w:szCs w:val="24"/>
              </w:rPr>
              <w:t>）決定：准予備查。</w:t>
            </w:r>
          </w:p>
        </w:tc>
      </w:tr>
      <w:tr w:rsidR="0095519D" w:rsidRPr="00920597" w:rsidTr="001F3F42">
        <w:trPr>
          <w:trHeight w:val="567"/>
        </w:trPr>
        <w:tc>
          <w:tcPr>
            <w:tcW w:w="354" w:type="pct"/>
            <w:vAlign w:val="center"/>
          </w:tcPr>
          <w:p w:rsidR="0095519D" w:rsidRPr="00920597" w:rsidRDefault="0095519D" w:rsidP="006934DD">
            <w:pPr>
              <w:numPr>
                <w:ilvl w:val="0"/>
                <w:numId w:val="59"/>
              </w:numPr>
              <w:spacing w:line="400" w:lineRule="exact"/>
              <w:ind w:right="113"/>
              <w:rPr>
                <w:rFonts w:ascii="標楷體" w:eastAsia="標楷體" w:hAnsi="標楷體"/>
                <w:color w:val="000000" w:themeColor="text1"/>
                <w:sz w:val="28"/>
                <w:szCs w:val="28"/>
              </w:rPr>
            </w:pPr>
          </w:p>
        </w:tc>
        <w:tc>
          <w:tcPr>
            <w:tcW w:w="1804" w:type="pct"/>
          </w:tcPr>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hint="eastAsia"/>
                <w:color w:val="000000"/>
                <w:sz w:val="28"/>
              </w:rPr>
              <w:t>國立故宮博物院函，為111年度中央政府總預算決議，檢送決議（三）第5目「新故宮計畫」凍結3,000萬元專案報告，請查照案。</w:t>
            </w:r>
          </w:p>
        </w:tc>
        <w:tc>
          <w:tcPr>
            <w:tcW w:w="858" w:type="pct"/>
          </w:tcPr>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color w:val="000000"/>
                <w:sz w:val="28"/>
              </w:rPr>
              <w:t>10-5-10</w:t>
            </w:r>
          </w:p>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color w:val="000000"/>
                <w:sz w:val="28"/>
              </w:rPr>
              <w:t>(111.4.29)</w:t>
            </w:r>
          </w:p>
        </w:tc>
        <w:tc>
          <w:tcPr>
            <w:tcW w:w="487" w:type="pct"/>
          </w:tcPr>
          <w:p w:rsidR="0095519D" w:rsidRPr="002C2B2E" w:rsidRDefault="0095519D" w:rsidP="0095519D">
            <w:pPr>
              <w:spacing w:line="400" w:lineRule="exact"/>
              <w:jc w:val="both"/>
              <w:rPr>
                <w:rFonts w:ascii="標楷體" w:eastAsia="標楷體" w:hAnsi="標楷體"/>
                <w:color w:val="000000"/>
                <w:sz w:val="28"/>
                <w:szCs w:val="28"/>
              </w:rPr>
            </w:pPr>
          </w:p>
        </w:tc>
        <w:tc>
          <w:tcPr>
            <w:tcW w:w="1497" w:type="pct"/>
          </w:tcPr>
          <w:p w:rsidR="0095519D" w:rsidRPr="002C2B2E" w:rsidRDefault="0095519D" w:rsidP="0095519D">
            <w:pPr>
              <w:ind w:leftChars="37" w:left="329" w:hangingChars="100" w:hanging="240"/>
              <w:jc w:val="both"/>
              <w:rPr>
                <w:rFonts w:ascii="標楷體" w:eastAsia="標楷體" w:hAnsi="標楷體"/>
                <w:color w:val="000000"/>
                <w:szCs w:val="24"/>
              </w:rPr>
            </w:pPr>
            <w:r>
              <w:rPr>
                <w:rFonts w:ascii="標楷體" w:eastAsia="標楷體" w:hAnsi="標楷體" w:hint="eastAsia"/>
                <w:color w:val="000000"/>
                <w:szCs w:val="24"/>
              </w:rPr>
              <w:t>1</w:t>
            </w:r>
            <w:r>
              <w:rPr>
                <w:rFonts w:ascii="標楷體" w:eastAsia="標楷體" w:hAnsi="標楷體"/>
                <w:color w:val="000000"/>
                <w:szCs w:val="24"/>
              </w:rPr>
              <w:t>.</w:t>
            </w:r>
            <w:r w:rsidRPr="002C2B2E">
              <w:rPr>
                <w:rFonts w:ascii="標楷體" w:eastAsia="標楷體" w:hAnsi="標楷體" w:hint="eastAsia"/>
                <w:color w:val="000000"/>
                <w:szCs w:val="24"/>
              </w:rPr>
              <w:t>第5會期第15次全體委員會議（111.5.26）決議：准予動支，</w:t>
            </w:r>
            <w:r w:rsidRPr="002C2B2E">
              <w:rPr>
                <w:rFonts w:ascii="標楷體" w:eastAsia="標楷體" w:hAnsi="標楷體" w:hint="eastAsia"/>
                <w:color w:val="000000"/>
              </w:rPr>
              <w:t>提報</w:t>
            </w:r>
            <w:r w:rsidRPr="002C2B2E">
              <w:rPr>
                <w:rFonts w:ascii="標楷體" w:eastAsia="標楷體" w:hAnsi="標楷體" w:hint="eastAsia"/>
                <w:color w:val="000000"/>
                <w:szCs w:val="24"/>
              </w:rPr>
              <w:t>院會。</w:t>
            </w:r>
          </w:p>
          <w:p w:rsidR="0095519D" w:rsidRPr="002C2B2E" w:rsidRDefault="0095519D" w:rsidP="0095519D">
            <w:pPr>
              <w:ind w:leftChars="37" w:left="329" w:hangingChars="100" w:hanging="240"/>
              <w:jc w:val="both"/>
              <w:rPr>
                <w:rFonts w:ascii="標楷體" w:eastAsia="標楷體" w:hAnsi="標楷體"/>
                <w:color w:val="000000"/>
                <w:szCs w:val="24"/>
              </w:rPr>
            </w:pPr>
            <w:r>
              <w:rPr>
                <w:rFonts w:ascii="標楷體" w:eastAsia="標楷體" w:hAnsi="標楷體" w:hint="eastAsia"/>
                <w:color w:val="000000"/>
                <w:szCs w:val="24"/>
              </w:rPr>
              <w:t>2</w:t>
            </w:r>
            <w:r>
              <w:rPr>
                <w:rFonts w:ascii="標楷體" w:eastAsia="標楷體" w:hAnsi="標楷體"/>
                <w:color w:val="000000"/>
                <w:szCs w:val="24"/>
              </w:rPr>
              <w:t>.</w:t>
            </w:r>
            <w:r w:rsidRPr="002C2B2E">
              <w:rPr>
                <w:rFonts w:ascii="標楷體" w:eastAsia="標楷體" w:hAnsi="標楷體" w:hint="eastAsia"/>
                <w:color w:val="000000"/>
                <w:szCs w:val="24"/>
              </w:rPr>
              <w:t>第</w:t>
            </w:r>
            <w:r w:rsidRPr="002C2B2E">
              <w:rPr>
                <w:rFonts w:ascii="標楷體" w:eastAsia="標楷體" w:hAnsi="標楷體"/>
                <w:color w:val="000000"/>
                <w:szCs w:val="24"/>
              </w:rPr>
              <w:t>6</w:t>
            </w:r>
            <w:r w:rsidRPr="002C2B2E">
              <w:rPr>
                <w:rFonts w:ascii="標楷體" w:eastAsia="標楷體" w:hAnsi="標楷體" w:hint="eastAsia"/>
                <w:color w:val="000000"/>
                <w:szCs w:val="24"/>
              </w:rPr>
              <w:t>會期第1次院會（1</w:t>
            </w:r>
            <w:r w:rsidRPr="002C2B2E">
              <w:rPr>
                <w:rFonts w:ascii="標楷體" w:eastAsia="標楷體" w:hAnsi="標楷體"/>
                <w:color w:val="000000"/>
                <w:szCs w:val="24"/>
              </w:rPr>
              <w:t>11</w:t>
            </w:r>
            <w:r w:rsidRPr="002C2B2E">
              <w:rPr>
                <w:rFonts w:ascii="標楷體" w:eastAsia="標楷體" w:hAnsi="標楷體" w:hint="eastAsia"/>
                <w:color w:val="000000"/>
                <w:szCs w:val="24"/>
              </w:rPr>
              <w:t>.</w:t>
            </w:r>
            <w:r w:rsidRPr="002C2B2E">
              <w:rPr>
                <w:rFonts w:ascii="標楷體" w:eastAsia="標楷體" w:hAnsi="標楷體"/>
                <w:color w:val="000000"/>
                <w:szCs w:val="24"/>
              </w:rPr>
              <w:t>9</w:t>
            </w:r>
            <w:r w:rsidRPr="002C2B2E">
              <w:rPr>
                <w:rFonts w:ascii="標楷體" w:eastAsia="標楷體" w:hAnsi="標楷體" w:hint="eastAsia"/>
                <w:color w:val="000000"/>
                <w:szCs w:val="24"/>
              </w:rPr>
              <w:t>.</w:t>
            </w:r>
            <w:r w:rsidRPr="002C2B2E">
              <w:rPr>
                <w:rFonts w:ascii="標楷體" w:eastAsia="標楷體" w:hAnsi="標楷體"/>
                <w:color w:val="000000"/>
                <w:szCs w:val="24"/>
              </w:rPr>
              <w:t>23</w:t>
            </w:r>
            <w:r w:rsidRPr="002C2B2E">
              <w:rPr>
                <w:rFonts w:ascii="標楷體" w:eastAsia="標楷體" w:hAnsi="標楷體" w:hint="eastAsia"/>
                <w:color w:val="000000"/>
                <w:szCs w:val="24"/>
              </w:rPr>
              <w:t>）決定：准予備查。</w:t>
            </w:r>
          </w:p>
        </w:tc>
      </w:tr>
      <w:tr w:rsidR="0095519D" w:rsidRPr="00920597" w:rsidTr="001F3F42">
        <w:trPr>
          <w:trHeight w:val="567"/>
        </w:trPr>
        <w:tc>
          <w:tcPr>
            <w:tcW w:w="354" w:type="pct"/>
            <w:vAlign w:val="center"/>
          </w:tcPr>
          <w:p w:rsidR="0095519D" w:rsidRPr="00920597" w:rsidRDefault="0095519D" w:rsidP="006934DD">
            <w:pPr>
              <w:numPr>
                <w:ilvl w:val="0"/>
                <w:numId w:val="59"/>
              </w:numPr>
              <w:spacing w:line="400" w:lineRule="exact"/>
              <w:ind w:right="113"/>
              <w:rPr>
                <w:rFonts w:ascii="標楷體" w:eastAsia="標楷體" w:hAnsi="標楷體"/>
                <w:color w:val="000000" w:themeColor="text1"/>
                <w:sz w:val="28"/>
                <w:szCs w:val="28"/>
              </w:rPr>
            </w:pPr>
          </w:p>
        </w:tc>
        <w:tc>
          <w:tcPr>
            <w:tcW w:w="1804" w:type="pct"/>
          </w:tcPr>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hint="eastAsia"/>
                <w:color w:val="000000"/>
                <w:sz w:val="28"/>
              </w:rPr>
              <w:tab/>
              <w:t>國立故宮博物院函，為111年度中央政府總預算決議，檢送決議事項（四十八）第5</w:t>
            </w:r>
            <w:r w:rsidRPr="0095519D">
              <w:rPr>
                <w:rFonts w:ascii="標楷體" w:eastAsia="標楷體" w:hAnsi="標楷體" w:hint="eastAsia"/>
                <w:color w:val="000000"/>
                <w:sz w:val="28"/>
              </w:rPr>
              <w:lastRenderedPageBreak/>
              <w:t>目「新故宮計畫」項下「業務費」凍結500萬元書面報告，請查照案。</w:t>
            </w:r>
          </w:p>
        </w:tc>
        <w:tc>
          <w:tcPr>
            <w:tcW w:w="858" w:type="pct"/>
          </w:tcPr>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color w:val="000000"/>
                <w:sz w:val="28"/>
              </w:rPr>
              <w:lastRenderedPageBreak/>
              <w:t>10-5-1</w:t>
            </w:r>
            <w:r w:rsidRPr="0095519D">
              <w:rPr>
                <w:rFonts w:ascii="標楷體" w:eastAsia="標楷體" w:hAnsi="標楷體" w:hint="eastAsia"/>
                <w:color w:val="000000"/>
                <w:sz w:val="28"/>
              </w:rPr>
              <w:t>1</w:t>
            </w:r>
          </w:p>
          <w:p w:rsidR="0095519D" w:rsidRPr="0095519D" w:rsidRDefault="0095519D" w:rsidP="0095519D">
            <w:pPr>
              <w:spacing w:line="400" w:lineRule="exact"/>
              <w:ind w:leftChars="-12" w:left="-29"/>
              <w:rPr>
                <w:rFonts w:ascii="標楷體" w:eastAsia="標楷體" w:hAnsi="標楷體"/>
                <w:color w:val="000000"/>
                <w:sz w:val="28"/>
              </w:rPr>
            </w:pPr>
            <w:r w:rsidRPr="0095519D">
              <w:rPr>
                <w:rFonts w:ascii="標楷體" w:eastAsia="標楷體" w:hAnsi="標楷體"/>
                <w:color w:val="000000"/>
                <w:sz w:val="28"/>
              </w:rPr>
              <w:t>(111.</w:t>
            </w:r>
            <w:r w:rsidRPr="0095519D">
              <w:rPr>
                <w:rFonts w:ascii="標楷體" w:eastAsia="標楷體" w:hAnsi="標楷體" w:hint="eastAsia"/>
                <w:color w:val="000000"/>
                <w:sz w:val="28"/>
              </w:rPr>
              <w:t>5</w:t>
            </w:r>
            <w:r w:rsidRPr="0095519D">
              <w:rPr>
                <w:rFonts w:ascii="標楷體" w:eastAsia="標楷體" w:hAnsi="標楷體"/>
                <w:color w:val="000000"/>
                <w:sz w:val="28"/>
              </w:rPr>
              <w:t>.</w:t>
            </w:r>
            <w:r w:rsidRPr="0095519D">
              <w:rPr>
                <w:rFonts w:ascii="標楷體" w:eastAsia="標楷體" w:hAnsi="標楷體" w:hint="eastAsia"/>
                <w:color w:val="000000"/>
                <w:sz w:val="28"/>
              </w:rPr>
              <w:t>6</w:t>
            </w:r>
            <w:r w:rsidRPr="0095519D">
              <w:rPr>
                <w:rFonts w:ascii="標楷體" w:eastAsia="標楷體" w:hAnsi="標楷體"/>
                <w:color w:val="000000"/>
                <w:sz w:val="28"/>
              </w:rPr>
              <w:t>)</w:t>
            </w:r>
          </w:p>
        </w:tc>
        <w:tc>
          <w:tcPr>
            <w:tcW w:w="487" w:type="pct"/>
          </w:tcPr>
          <w:p w:rsidR="0095519D" w:rsidRPr="002C2B2E" w:rsidRDefault="0095519D" w:rsidP="0095519D">
            <w:pPr>
              <w:spacing w:line="400" w:lineRule="exact"/>
              <w:jc w:val="both"/>
              <w:rPr>
                <w:rFonts w:ascii="標楷體" w:eastAsia="標楷體" w:hAnsi="標楷體"/>
                <w:color w:val="000000"/>
                <w:sz w:val="28"/>
                <w:szCs w:val="28"/>
              </w:rPr>
            </w:pPr>
          </w:p>
        </w:tc>
        <w:tc>
          <w:tcPr>
            <w:tcW w:w="1497" w:type="pct"/>
          </w:tcPr>
          <w:p w:rsidR="0095519D" w:rsidRPr="002C2B2E" w:rsidRDefault="0095519D" w:rsidP="0095519D">
            <w:pPr>
              <w:ind w:leftChars="37" w:left="329" w:hangingChars="100" w:hanging="240"/>
              <w:jc w:val="both"/>
              <w:rPr>
                <w:rFonts w:ascii="標楷體" w:eastAsia="標楷體" w:hAnsi="標楷體"/>
                <w:color w:val="000000"/>
                <w:szCs w:val="24"/>
              </w:rPr>
            </w:pPr>
            <w:r>
              <w:rPr>
                <w:rFonts w:ascii="標楷體" w:eastAsia="標楷體" w:hAnsi="標楷體" w:hint="eastAsia"/>
                <w:color w:val="000000"/>
                <w:szCs w:val="24"/>
              </w:rPr>
              <w:t>1</w:t>
            </w:r>
            <w:r>
              <w:rPr>
                <w:rFonts w:ascii="標楷體" w:eastAsia="標楷體" w:hAnsi="標楷體"/>
                <w:color w:val="000000"/>
                <w:szCs w:val="24"/>
              </w:rPr>
              <w:t>.</w:t>
            </w:r>
            <w:r w:rsidRPr="002C2B2E">
              <w:rPr>
                <w:rFonts w:ascii="標楷體" w:eastAsia="標楷體" w:hAnsi="標楷體" w:hint="eastAsia"/>
                <w:color w:val="000000"/>
                <w:szCs w:val="24"/>
              </w:rPr>
              <w:t>第5會期第15次全體委員會議（111.5.26）決議：准予動支，提報院會。</w:t>
            </w:r>
          </w:p>
          <w:p w:rsidR="0095519D" w:rsidRPr="002C2B2E" w:rsidRDefault="0095519D" w:rsidP="0095519D">
            <w:pPr>
              <w:ind w:leftChars="37" w:left="329" w:hangingChars="100" w:hanging="240"/>
              <w:jc w:val="both"/>
              <w:rPr>
                <w:rFonts w:ascii="標楷體" w:eastAsia="標楷體" w:hAnsi="標楷體"/>
                <w:color w:val="000000"/>
                <w:szCs w:val="24"/>
              </w:rPr>
            </w:pPr>
            <w:r>
              <w:rPr>
                <w:rFonts w:ascii="標楷體" w:eastAsia="標楷體" w:hAnsi="標楷體" w:hint="eastAsia"/>
                <w:color w:val="000000"/>
                <w:szCs w:val="24"/>
              </w:rPr>
              <w:lastRenderedPageBreak/>
              <w:t>2</w:t>
            </w:r>
            <w:r>
              <w:rPr>
                <w:rFonts w:ascii="標楷體" w:eastAsia="標楷體" w:hAnsi="標楷體"/>
                <w:color w:val="000000"/>
                <w:szCs w:val="24"/>
              </w:rPr>
              <w:t>.</w:t>
            </w:r>
            <w:r w:rsidRPr="002C2B2E">
              <w:rPr>
                <w:rFonts w:ascii="標楷體" w:eastAsia="標楷體" w:hAnsi="標楷體" w:hint="eastAsia"/>
                <w:color w:val="000000"/>
                <w:szCs w:val="24"/>
              </w:rPr>
              <w:t>第</w:t>
            </w:r>
            <w:r w:rsidRPr="002C2B2E">
              <w:rPr>
                <w:rFonts w:ascii="標楷體" w:eastAsia="標楷體" w:hAnsi="標楷體"/>
                <w:color w:val="000000"/>
                <w:szCs w:val="24"/>
              </w:rPr>
              <w:t>6</w:t>
            </w:r>
            <w:r w:rsidRPr="002C2B2E">
              <w:rPr>
                <w:rFonts w:ascii="標楷體" w:eastAsia="標楷體" w:hAnsi="標楷體" w:hint="eastAsia"/>
                <w:color w:val="000000"/>
                <w:szCs w:val="24"/>
              </w:rPr>
              <w:t>會期第1次院會（1</w:t>
            </w:r>
            <w:r w:rsidRPr="002C2B2E">
              <w:rPr>
                <w:rFonts w:ascii="標楷體" w:eastAsia="標楷體" w:hAnsi="標楷體"/>
                <w:color w:val="000000"/>
                <w:szCs w:val="24"/>
              </w:rPr>
              <w:t>11</w:t>
            </w:r>
            <w:r w:rsidRPr="002C2B2E">
              <w:rPr>
                <w:rFonts w:ascii="標楷體" w:eastAsia="標楷體" w:hAnsi="標楷體" w:hint="eastAsia"/>
                <w:color w:val="000000"/>
                <w:szCs w:val="24"/>
              </w:rPr>
              <w:t>.</w:t>
            </w:r>
            <w:r w:rsidRPr="002C2B2E">
              <w:rPr>
                <w:rFonts w:ascii="標楷體" w:eastAsia="標楷體" w:hAnsi="標楷體"/>
                <w:color w:val="000000"/>
                <w:szCs w:val="24"/>
              </w:rPr>
              <w:t>9</w:t>
            </w:r>
            <w:r w:rsidRPr="002C2B2E">
              <w:rPr>
                <w:rFonts w:ascii="標楷體" w:eastAsia="標楷體" w:hAnsi="標楷體" w:hint="eastAsia"/>
                <w:color w:val="000000"/>
                <w:szCs w:val="24"/>
              </w:rPr>
              <w:t>.</w:t>
            </w:r>
            <w:r w:rsidRPr="002C2B2E">
              <w:rPr>
                <w:rFonts w:ascii="標楷體" w:eastAsia="標楷體" w:hAnsi="標楷體"/>
                <w:color w:val="000000"/>
                <w:szCs w:val="24"/>
              </w:rPr>
              <w:t>23</w:t>
            </w:r>
            <w:r w:rsidRPr="002C2B2E">
              <w:rPr>
                <w:rFonts w:ascii="標楷體" w:eastAsia="標楷體" w:hAnsi="標楷體" w:hint="eastAsia"/>
                <w:color w:val="000000"/>
                <w:szCs w:val="24"/>
              </w:rPr>
              <w:t>）決定：准予備查。</w:t>
            </w:r>
          </w:p>
        </w:tc>
      </w:tr>
      <w:tr w:rsidR="0095519D" w:rsidRPr="00920597" w:rsidTr="001F3F42">
        <w:trPr>
          <w:trHeight w:val="567"/>
        </w:trPr>
        <w:tc>
          <w:tcPr>
            <w:tcW w:w="354" w:type="pct"/>
            <w:vAlign w:val="center"/>
          </w:tcPr>
          <w:p w:rsidR="0095519D" w:rsidRPr="00920597" w:rsidRDefault="0095519D" w:rsidP="006934DD">
            <w:pPr>
              <w:numPr>
                <w:ilvl w:val="0"/>
                <w:numId w:val="59"/>
              </w:numPr>
              <w:spacing w:line="400" w:lineRule="exact"/>
              <w:ind w:right="113"/>
              <w:rPr>
                <w:rFonts w:ascii="標楷體" w:eastAsia="標楷體" w:hAnsi="標楷體"/>
                <w:color w:val="000000" w:themeColor="text1"/>
                <w:sz w:val="28"/>
                <w:szCs w:val="28"/>
              </w:rPr>
            </w:pPr>
          </w:p>
        </w:tc>
        <w:tc>
          <w:tcPr>
            <w:tcW w:w="1804" w:type="pct"/>
          </w:tcPr>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hint="eastAsia"/>
                <w:color w:val="000000"/>
                <w:sz w:val="28"/>
              </w:rPr>
              <w:t>國立故宮博物院函，為109年度中央政府總預算附屬單位預算決議，檢送故宮文化藝術發展基金銷貨成本預算凍結書面報告，請查照案。</w:t>
            </w:r>
          </w:p>
        </w:tc>
        <w:tc>
          <w:tcPr>
            <w:tcW w:w="858" w:type="pct"/>
          </w:tcPr>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color w:val="000000"/>
                <w:sz w:val="28"/>
              </w:rPr>
              <w:t>10-</w:t>
            </w:r>
            <w:r w:rsidRPr="0095519D">
              <w:rPr>
                <w:rFonts w:ascii="標楷體" w:eastAsia="標楷體" w:hAnsi="標楷體" w:hint="eastAsia"/>
                <w:color w:val="000000"/>
                <w:sz w:val="28"/>
              </w:rPr>
              <w:t>2</w:t>
            </w:r>
            <w:r w:rsidRPr="0095519D">
              <w:rPr>
                <w:rFonts w:ascii="標楷體" w:eastAsia="標楷體" w:hAnsi="標楷體"/>
                <w:color w:val="000000"/>
                <w:sz w:val="28"/>
              </w:rPr>
              <w:t>-</w:t>
            </w:r>
            <w:r w:rsidRPr="0095519D">
              <w:rPr>
                <w:rFonts w:ascii="標楷體" w:eastAsia="標楷體" w:hAnsi="標楷體" w:hint="eastAsia"/>
                <w:color w:val="000000"/>
                <w:sz w:val="28"/>
              </w:rPr>
              <w:t>4</w:t>
            </w:r>
          </w:p>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color w:val="000000"/>
                <w:sz w:val="28"/>
              </w:rPr>
              <w:t>(109</w:t>
            </w:r>
            <w:r w:rsidRPr="0095519D">
              <w:rPr>
                <w:rFonts w:ascii="標楷體" w:eastAsia="標楷體" w:hAnsi="標楷體" w:hint="eastAsia"/>
                <w:color w:val="000000"/>
                <w:sz w:val="28"/>
              </w:rPr>
              <w:t>.10.23</w:t>
            </w:r>
            <w:r w:rsidRPr="0095519D">
              <w:rPr>
                <w:rFonts w:ascii="標楷體" w:eastAsia="標楷體" w:hAnsi="標楷體"/>
                <w:color w:val="000000"/>
                <w:sz w:val="28"/>
              </w:rPr>
              <w:t>)</w:t>
            </w:r>
          </w:p>
        </w:tc>
        <w:tc>
          <w:tcPr>
            <w:tcW w:w="487" w:type="pct"/>
          </w:tcPr>
          <w:p w:rsidR="0095519D" w:rsidRPr="004B2690" w:rsidRDefault="0095519D" w:rsidP="0095519D">
            <w:pPr>
              <w:spacing w:line="400" w:lineRule="exact"/>
              <w:jc w:val="both"/>
              <w:rPr>
                <w:rFonts w:ascii="標楷體" w:eastAsia="標楷體" w:hAnsi="標楷體"/>
                <w:color w:val="000000"/>
                <w:sz w:val="28"/>
                <w:szCs w:val="28"/>
              </w:rPr>
            </w:pPr>
          </w:p>
        </w:tc>
        <w:tc>
          <w:tcPr>
            <w:tcW w:w="1497" w:type="pct"/>
          </w:tcPr>
          <w:p w:rsidR="0095519D" w:rsidRPr="004B2690" w:rsidRDefault="0095519D" w:rsidP="0095519D">
            <w:pPr>
              <w:ind w:leftChars="21" w:left="302" w:hangingChars="105" w:hanging="252"/>
              <w:jc w:val="both"/>
              <w:rPr>
                <w:rFonts w:ascii="標楷體" w:eastAsia="標楷體" w:hAnsi="標楷體"/>
                <w:color w:val="000000"/>
              </w:rPr>
            </w:pPr>
            <w:r w:rsidRPr="004B2690">
              <w:rPr>
                <w:rFonts w:ascii="標楷體" w:eastAsia="標楷體" w:hAnsi="標楷體" w:hint="eastAsia"/>
                <w:color w:val="000000"/>
              </w:rPr>
              <w:t>1.逾年度預算執行期間，報請院會存查。</w:t>
            </w:r>
          </w:p>
          <w:p w:rsidR="0095519D" w:rsidRPr="004B2690" w:rsidRDefault="0095519D" w:rsidP="0095519D">
            <w:pPr>
              <w:ind w:leftChars="37" w:left="315" w:hangingChars="94" w:hanging="226"/>
              <w:jc w:val="both"/>
              <w:rPr>
                <w:rFonts w:ascii="標楷體" w:eastAsia="標楷體" w:hAnsi="標楷體"/>
                <w:color w:val="000000"/>
                <w:szCs w:val="24"/>
              </w:rPr>
            </w:pPr>
            <w:r w:rsidRPr="004B2690">
              <w:rPr>
                <w:rFonts w:ascii="標楷體" w:eastAsia="標楷體" w:hAnsi="標楷體" w:hint="eastAsia"/>
                <w:color w:val="000000"/>
              </w:rPr>
              <w:t>2.第</w:t>
            </w:r>
            <w:r w:rsidRPr="004B2690">
              <w:rPr>
                <w:rFonts w:ascii="標楷體" w:eastAsia="標楷體" w:hAnsi="標楷體"/>
                <w:color w:val="000000"/>
              </w:rPr>
              <w:t>6</w:t>
            </w:r>
            <w:r w:rsidRPr="004B2690">
              <w:rPr>
                <w:rFonts w:ascii="標楷體" w:eastAsia="標楷體" w:hAnsi="標楷體" w:hint="eastAsia"/>
                <w:color w:val="000000"/>
              </w:rPr>
              <w:t>會期第</w:t>
            </w:r>
            <w:r w:rsidRPr="004B2690">
              <w:rPr>
                <w:rFonts w:ascii="標楷體" w:eastAsia="標楷體" w:hAnsi="標楷體"/>
                <w:color w:val="000000"/>
              </w:rPr>
              <w:t>7</w:t>
            </w:r>
            <w:r w:rsidRPr="004B2690">
              <w:rPr>
                <w:rFonts w:ascii="標楷體" w:eastAsia="標楷體" w:hAnsi="標楷體" w:hint="eastAsia"/>
                <w:color w:val="000000"/>
              </w:rPr>
              <w:t>次院會(111.</w:t>
            </w:r>
            <w:r w:rsidRPr="004B2690">
              <w:rPr>
                <w:rFonts w:ascii="標楷體" w:eastAsia="標楷體" w:hAnsi="標楷體"/>
                <w:color w:val="000000"/>
              </w:rPr>
              <w:t>11</w:t>
            </w:r>
            <w:r w:rsidRPr="004B2690">
              <w:rPr>
                <w:rFonts w:ascii="標楷體" w:eastAsia="標楷體" w:hAnsi="標楷體" w:hint="eastAsia"/>
                <w:color w:val="000000"/>
              </w:rPr>
              <w:t>.</w:t>
            </w:r>
            <w:r w:rsidRPr="004B2690">
              <w:rPr>
                <w:rFonts w:ascii="標楷體" w:eastAsia="標楷體" w:hAnsi="標楷體"/>
                <w:color w:val="000000"/>
              </w:rPr>
              <w:t>11</w:t>
            </w:r>
            <w:r w:rsidRPr="004B2690">
              <w:rPr>
                <w:rFonts w:ascii="標楷體" w:eastAsia="標楷體" w:hAnsi="標楷體" w:hint="eastAsia"/>
                <w:color w:val="000000"/>
              </w:rPr>
              <w:t>)決定：准予備查</w:t>
            </w:r>
          </w:p>
        </w:tc>
      </w:tr>
    </w:tbl>
    <w:p w:rsidR="0095519D" w:rsidRPr="00920597" w:rsidRDefault="0095519D" w:rsidP="0095519D">
      <w:pPr>
        <w:pStyle w:val="01-4"/>
        <w:rPr>
          <w:color w:val="000000" w:themeColor="text1"/>
        </w:rPr>
      </w:pPr>
      <w:bookmarkStart w:id="108" w:name="_Toc126068146"/>
      <w:r>
        <w:rPr>
          <w:color w:val="000000" w:themeColor="text1"/>
        </w:rPr>
        <w:t>6</w:t>
      </w:r>
      <w:r w:rsidRPr="00920597">
        <w:rPr>
          <w:color w:val="000000" w:themeColor="text1"/>
        </w:rPr>
        <w:t>.</w:t>
      </w:r>
      <w:r>
        <w:rPr>
          <w:rFonts w:hint="eastAsia"/>
          <w:color w:val="000000" w:themeColor="text1"/>
        </w:rPr>
        <w:t xml:space="preserve">中央研究院 </w:t>
      </w:r>
      <w:r w:rsidRPr="007B4408">
        <w:rPr>
          <w:rFonts w:hint="eastAsia"/>
          <w:color w:val="000000" w:themeColor="text1"/>
        </w:rPr>
        <w:t>(</w:t>
      </w:r>
      <w:r>
        <w:rPr>
          <w:rFonts w:hint="eastAsia"/>
          <w:color w:val="000000" w:themeColor="text1"/>
        </w:rPr>
        <w:t>9</w:t>
      </w:r>
      <w:r w:rsidRPr="007B4408">
        <w:rPr>
          <w:rFonts w:hint="eastAsia"/>
          <w:color w:val="000000" w:themeColor="text1"/>
        </w:rPr>
        <w:t>案）</w:t>
      </w:r>
      <w:bookmarkEnd w:id="108"/>
    </w:p>
    <w:tbl>
      <w:tblPr>
        <w:tblW w:w="5148" w:type="pct"/>
        <w:tblInd w:w="-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2"/>
        <w:gridCol w:w="3577"/>
        <w:gridCol w:w="1701"/>
        <w:gridCol w:w="966"/>
        <w:gridCol w:w="2968"/>
      </w:tblGrid>
      <w:tr w:rsidR="0095519D" w:rsidRPr="00920597" w:rsidTr="001F3F42">
        <w:trPr>
          <w:trHeight w:val="700"/>
        </w:trPr>
        <w:tc>
          <w:tcPr>
            <w:tcW w:w="354" w:type="pct"/>
            <w:vAlign w:val="center"/>
          </w:tcPr>
          <w:p w:rsidR="0095519D" w:rsidRPr="00920597" w:rsidRDefault="0095519D" w:rsidP="001F3F42">
            <w:pPr>
              <w:spacing w:line="400" w:lineRule="exact"/>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1804" w:type="pct"/>
            <w:vAlign w:val="center"/>
          </w:tcPr>
          <w:p w:rsidR="0095519D" w:rsidRPr="00920597" w:rsidRDefault="0095519D" w:rsidP="001F3F42">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58" w:type="pct"/>
            <w:vAlign w:val="center"/>
          </w:tcPr>
          <w:p w:rsidR="0095519D" w:rsidRPr="00920597" w:rsidRDefault="0095519D" w:rsidP="001F3F42">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院會交付</w:t>
            </w:r>
          </w:p>
          <w:p w:rsidR="0095519D" w:rsidRPr="00920597" w:rsidRDefault="0095519D" w:rsidP="001F3F42">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487" w:type="pct"/>
            <w:vAlign w:val="center"/>
          </w:tcPr>
          <w:p w:rsidR="0095519D" w:rsidRPr="00920597" w:rsidRDefault="0095519D" w:rsidP="001F3F42">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聯席</w:t>
            </w:r>
          </w:p>
          <w:p w:rsidR="0095519D" w:rsidRPr="00920597" w:rsidRDefault="0095519D" w:rsidP="001F3F42">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w:t>
            </w:r>
          </w:p>
        </w:tc>
        <w:tc>
          <w:tcPr>
            <w:tcW w:w="1497" w:type="pct"/>
            <w:vAlign w:val="center"/>
          </w:tcPr>
          <w:p w:rsidR="0095519D" w:rsidRPr="00920597" w:rsidRDefault="0095519D" w:rsidP="001F3F42">
            <w:pPr>
              <w:spacing w:line="400" w:lineRule="exact"/>
              <w:jc w:val="distribute"/>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處理情形</w:t>
            </w:r>
          </w:p>
        </w:tc>
      </w:tr>
      <w:tr w:rsidR="0095519D" w:rsidRPr="00920597" w:rsidTr="001F3F42">
        <w:trPr>
          <w:trHeight w:val="567"/>
        </w:trPr>
        <w:tc>
          <w:tcPr>
            <w:tcW w:w="354" w:type="pct"/>
            <w:vAlign w:val="center"/>
          </w:tcPr>
          <w:p w:rsidR="0095519D" w:rsidRPr="00920597" w:rsidRDefault="0095519D" w:rsidP="006934DD">
            <w:pPr>
              <w:numPr>
                <w:ilvl w:val="0"/>
                <w:numId w:val="60"/>
              </w:numPr>
              <w:spacing w:line="400" w:lineRule="exact"/>
              <w:ind w:right="113"/>
              <w:rPr>
                <w:rFonts w:ascii="標楷體" w:eastAsia="標楷體" w:hAnsi="標楷體"/>
                <w:color w:val="000000" w:themeColor="text1"/>
                <w:sz w:val="28"/>
                <w:szCs w:val="28"/>
              </w:rPr>
            </w:pPr>
          </w:p>
        </w:tc>
        <w:tc>
          <w:tcPr>
            <w:tcW w:w="1804" w:type="pct"/>
          </w:tcPr>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hint="eastAsia"/>
                <w:color w:val="000000"/>
                <w:sz w:val="28"/>
              </w:rPr>
              <w:t>中央研究院函，為111年度中央政府總預算決議，檢送凍結第2目「一般學術研究及評議」2,000萬元書面報告，請查照案。</w:t>
            </w:r>
          </w:p>
        </w:tc>
        <w:tc>
          <w:tcPr>
            <w:tcW w:w="858" w:type="pct"/>
          </w:tcPr>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hint="eastAsia"/>
                <w:color w:val="000000"/>
                <w:sz w:val="28"/>
              </w:rPr>
              <w:t>10-5-7</w:t>
            </w:r>
          </w:p>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hint="eastAsia"/>
                <w:color w:val="000000"/>
                <w:sz w:val="28"/>
              </w:rPr>
              <w:t>(111.4.8)</w:t>
            </w:r>
          </w:p>
          <w:p w:rsidR="0095519D" w:rsidRPr="002C2B2E" w:rsidRDefault="0095519D" w:rsidP="0095519D">
            <w:pPr>
              <w:jc w:val="both"/>
              <w:rPr>
                <w:rFonts w:ascii="標楷體" w:eastAsia="標楷體" w:hAnsi="標楷體"/>
                <w:color w:val="000000"/>
                <w:sz w:val="28"/>
                <w:szCs w:val="28"/>
              </w:rPr>
            </w:pPr>
          </w:p>
        </w:tc>
        <w:tc>
          <w:tcPr>
            <w:tcW w:w="487" w:type="pct"/>
          </w:tcPr>
          <w:p w:rsidR="0095519D" w:rsidRPr="002C2B2E" w:rsidRDefault="0095519D" w:rsidP="0095519D">
            <w:pPr>
              <w:jc w:val="both"/>
              <w:rPr>
                <w:rFonts w:ascii="標楷體" w:eastAsia="標楷體" w:hAnsi="標楷體"/>
                <w:color w:val="000000"/>
                <w:sz w:val="28"/>
                <w:szCs w:val="28"/>
              </w:rPr>
            </w:pPr>
          </w:p>
        </w:tc>
        <w:tc>
          <w:tcPr>
            <w:tcW w:w="1497" w:type="pct"/>
          </w:tcPr>
          <w:p w:rsidR="0095519D" w:rsidRPr="002C2B2E" w:rsidRDefault="0095519D" w:rsidP="0095519D">
            <w:pPr>
              <w:ind w:leftChars="21" w:left="302" w:hangingChars="105" w:hanging="252"/>
              <w:rPr>
                <w:rFonts w:ascii="標楷體" w:eastAsia="標楷體" w:hAnsi="標楷體"/>
                <w:bCs/>
                <w:color w:val="000000"/>
              </w:rPr>
            </w:pPr>
            <w:r w:rsidRPr="002C2B2E">
              <w:rPr>
                <w:rFonts w:ascii="標楷體" w:eastAsia="標楷體" w:hAnsi="標楷體" w:hint="eastAsia"/>
                <w:bCs/>
                <w:color w:val="000000"/>
              </w:rPr>
              <w:t>1</w:t>
            </w:r>
            <w:r w:rsidRPr="002C2B2E">
              <w:rPr>
                <w:rFonts w:ascii="標楷體" w:eastAsia="標楷體" w:hAnsi="標楷體"/>
                <w:bCs/>
                <w:color w:val="000000"/>
              </w:rPr>
              <w:t>.</w:t>
            </w:r>
            <w:r w:rsidRPr="002C2B2E">
              <w:rPr>
                <w:rFonts w:ascii="標楷體" w:eastAsia="標楷體" w:hAnsi="標楷體" w:hint="eastAsia"/>
                <w:bCs/>
                <w:color w:val="000000"/>
              </w:rPr>
              <w:t>第</w:t>
            </w:r>
            <w:r w:rsidRPr="002C2B2E">
              <w:rPr>
                <w:rFonts w:ascii="標楷體" w:eastAsia="標楷體" w:hAnsi="標楷體"/>
                <w:bCs/>
                <w:color w:val="000000"/>
              </w:rPr>
              <w:t>5</w:t>
            </w:r>
            <w:r w:rsidRPr="002C2B2E">
              <w:rPr>
                <w:rFonts w:ascii="標楷體" w:eastAsia="標楷體" w:hAnsi="標楷體" w:hint="eastAsia"/>
                <w:bCs/>
                <w:color w:val="000000"/>
              </w:rPr>
              <w:t>會期第</w:t>
            </w:r>
            <w:r w:rsidRPr="002C2B2E">
              <w:rPr>
                <w:rFonts w:ascii="標楷體" w:eastAsia="標楷體" w:hAnsi="標楷體"/>
                <w:bCs/>
                <w:color w:val="000000"/>
              </w:rPr>
              <w:t>14</w:t>
            </w:r>
            <w:r w:rsidRPr="002C2B2E">
              <w:rPr>
                <w:rFonts w:ascii="標楷體" w:eastAsia="標楷體" w:hAnsi="標楷體" w:hint="eastAsia"/>
                <w:bCs/>
                <w:color w:val="000000"/>
              </w:rPr>
              <w:t>次全體委員會議(11</w:t>
            </w:r>
            <w:r w:rsidRPr="002C2B2E">
              <w:rPr>
                <w:rFonts w:ascii="標楷體" w:eastAsia="標楷體" w:hAnsi="標楷體"/>
                <w:bCs/>
                <w:color w:val="000000"/>
              </w:rPr>
              <w:t>1</w:t>
            </w:r>
            <w:r w:rsidRPr="002C2B2E">
              <w:rPr>
                <w:rFonts w:ascii="標楷體" w:eastAsia="標楷體" w:hAnsi="標楷體" w:hint="eastAsia"/>
                <w:bCs/>
                <w:color w:val="000000"/>
              </w:rPr>
              <w:t>.</w:t>
            </w:r>
            <w:r w:rsidRPr="002C2B2E">
              <w:rPr>
                <w:rFonts w:ascii="標楷體" w:eastAsia="標楷體" w:hAnsi="標楷體"/>
                <w:bCs/>
                <w:color w:val="000000"/>
              </w:rPr>
              <w:t>5</w:t>
            </w:r>
            <w:r w:rsidRPr="002C2B2E">
              <w:rPr>
                <w:rFonts w:ascii="標楷體" w:eastAsia="標楷體" w:hAnsi="標楷體" w:hint="eastAsia"/>
                <w:bCs/>
                <w:color w:val="000000"/>
              </w:rPr>
              <w:t>.</w:t>
            </w:r>
            <w:r w:rsidRPr="002C2B2E">
              <w:rPr>
                <w:rFonts w:ascii="標楷體" w:eastAsia="標楷體" w:hAnsi="標楷體"/>
                <w:bCs/>
                <w:color w:val="000000"/>
              </w:rPr>
              <w:t>19</w:t>
            </w:r>
            <w:r w:rsidRPr="002C2B2E">
              <w:rPr>
                <w:rFonts w:ascii="標楷體" w:eastAsia="標楷體" w:hAnsi="標楷體" w:hint="eastAsia"/>
                <w:bCs/>
                <w:color w:val="000000"/>
              </w:rPr>
              <w:t>)決議：准予動支，提報院會。</w:t>
            </w:r>
          </w:p>
          <w:p w:rsidR="0095519D" w:rsidRPr="002C2B2E" w:rsidRDefault="0095519D" w:rsidP="0095519D">
            <w:pPr>
              <w:ind w:leftChars="21" w:left="302" w:hangingChars="105" w:hanging="252"/>
              <w:jc w:val="both"/>
              <w:rPr>
                <w:rFonts w:ascii="標楷體" w:eastAsia="標楷體" w:hAnsi="標楷體"/>
                <w:color w:val="000000"/>
              </w:rPr>
            </w:pPr>
            <w:r w:rsidRPr="002C2B2E">
              <w:rPr>
                <w:rFonts w:ascii="標楷體" w:eastAsia="標楷體" w:hAnsi="標楷體"/>
                <w:bCs/>
                <w:color w:val="000000"/>
              </w:rPr>
              <w:t>2.</w:t>
            </w:r>
            <w:r w:rsidRPr="002C2B2E">
              <w:rPr>
                <w:rFonts w:ascii="標楷體" w:eastAsia="標楷體" w:hAnsi="標楷體" w:hint="eastAsia"/>
                <w:color w:val="000000"/>
              </w:rPr>
              <w:t>第</w:t>
            </w:r>
            <w:r w:rsidRPr="002C2B2E">
              <w:rPr>
                <w:rFonts w:ascii="標楷體" w:eastAsia="標楷體" w:hAnsi="標楷體"/>
                <w:color w:val="000000"/>
              </w:rPr>
              <w:t>6</w:t>
            </w:r>
            <w:r w:rsidRPr="002C2B2E">
              <w:rPr>
                <w:rFonts w:ascii="標楷體" w:eastAsia="標楷體" w:hAnsi="標楷體" w:hint="eastAsia"/>
                <w:color w:val="000000"/>
              </w:rPr>
              <w:t>會期第1次院會（11</w:t>
            </w:r>
            <w:r w:rsidRPr="002C2B2E">
              <w:rPr>
                <w:rFonts w:ascii="標楷體" w:eastAsia="標楷體" w:hAnsi="標楷體"/>
                <w:color w:val="000000"/>
              </w:rPr>
              <w:t>1</w:t>
            </w:r>
            <w:r w:rsidRPr="002C2B2E">
              <w:rPr>
                <w:rFonts w:ascii="標楷體" w:eastAsia="標楷體" w:hAnsi="標楷體" w:hint="eastAsia"/>
                <w:color w:val="000000"/>
              </w:rPr>
              <w:t>.</w:t>
            </w:r>
            <w:r w:rsidRPr="002C2B2E">
              <w:rPr>
                <w:rFonts w:ascii="標楷體" w:eastAsia="標楷體" w:hAnsi="標楷體"/>
                <w:color w:val="000000"/>
              </w:rPr>
              <w:t>9</w:t>
            </w:r>
            <w:r w:rsidRPr="002C2B2E">
              <w:rPr>
                <w:rFonts w:ascii="標楷體" w:eastAsia="標楷體" w:hAnsi="標楷體" w:hint="eastAsia"/>
                <w:color w:val="000000"/>
              </w:rPr>
              <w:t>.2</w:t>
            </w:r>
            <w:r w:rsidRPr="002C2B2E">
              <w:rPr>
                <w:rFonts w:ascii="標楷體" w:eastAsia="標楷體" w:hAnsi="標楷體"/>
                <w:color w:val="000000"/>
              </w:rPr>
              <w:t>3</w:t>
            </w:r>
            <w:r w:rsidRPr="002C2B2E">
              <w:rPr>
                <w:rFonts w:ascii="標楷體" w:eastAsia="標楷體" w:hAnsi="標楷體" w:hint="eastAsia"/>
                <w:color w:val="000000"/>
              </w:rPr>
              <w:t>）決定：准予備查。</w:t>
            </w:r>
          </w:p>
        </w:tc>
      </w:tr>
      <w:tr w:rsidR="0095519D" w:rsidRPr="00920597" w:rsidTr="001F3F42">
        <w:trPr>
          <w:trHeight w:val="567"/>
        </w:trPr>
        <w:tc>
          <w:tcPr>
            <w:tcW w:w="354" w:type="pct"/>
            <w:vAlign w:val="center"/>
          </w:tcPr>
          <w:p w:rsidR="0095519D" w:rsidRPr="00920597" w:rsidRDefault="0095519D" w:rsidP="006934DD">
            <w:pPr>
              <w:numPr>
                <w:ilvl w:val="0"/>
                <w:numId w:val="60"/>
              </w:numPr>
              <w:spacing w:line="400" w:lineRule="exact"/>
              <w:ind w:right="113"/>
              <w:rPr>
                <w:rFonts w:ascii="標楷體" w:eastAsia="標楷體" w:hAnsi="標楷體"/>
                <w:color w:val="000000" w:themeColor="text1"/>
                <w:sz w:val="28"/>
                <w:szCs w:val="28"/>
              </w:rPr>
            </w:pPr>
          </w:p>
        </w:tc>
        <w:tc>
          <w:tcPr>
            <w:tcW w:w="1804" w:type="pct"/>
          </w:tcPr>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hint="eastAsia"/>
                <w:color w:val="000000"/>
                <w:sz w:val="28"/>
              </w:rPr>
              <w:t>中央研究院函，為111年度中央政府總預算決議，檢送凍結第4目「南部院區」1,500萬元書面報告，請查照案。</w:t>
            </w:r>
          </w:p>
        </w:tc>
        <w:tc>
          <w:tcPr>
            <w:tcW w:w="858" w:type="pct"/>
          </w:tcPr>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hint="eastAsia"/>
                <w:color w:val="000000"/>
                <w:sz w:val="28"/>
              </w:rPr>
              <w:t>10-5-7</w:t>
            </w:r>
          </w:p>
          <w:p w:rsidR="0095519D" w:rsidRPr="0095519D" w:rsidRDefault="0095519D" w:rsidP="0095519D">
            <w:pPr>
              <w:spacing w:line="400" w:lineRule="exact"/>
              <w:ind w:leftChars="-12" w:left="-29"/>
              <w:rPr>
                <w:rFonts w:ascii="標楷體" w:eastAsia="標楷體" w:hAnsi="標楷體"/>
                <w:color w:val="000000"/>
                <w:sz w:val="28"/>
              </w:rPr>
            </w:pPr>
            <w:r w:rsidRPr="0095519D">
              <w:rPr>
                <w:rFonts w:ascii="標楷體" w:eastAsia="標楷體" w:hAnsi="標楷體" w:hint="eastAsia"/>
                <w:color w:val="000000"/>
                <w:sz w:val="28"/>
              </w:rPr>
              <w:t>(111.4.8)</w:t>
            </w:r>
          </w:p>
          <w:p w:rsidR="0095519D" w:rsidRPr="0095519D" w:rsidRDefault="0095519D" w:rsidP="0095519D">
            <w:pPr>
              <w:spacing w:line="400" w:lineRule="exact"/>
              <w:ind w:leftChars="-12" w:left="-29"/>
              <w:jc w:val="both"/>
              <w:rPr>
                <w:rFonts w:ascii="標楷體" w:eastAsia="標楷體" w:hAnsi="標楷體"/>
                <w:color w:val="000000"/>
                <w:sz w:val="28"/>
              </w:rPr>
            </w:pPr>
          </w:p>
        </w:tc>
        <w:tc>
          <w:tcPr>
            <w:tcW w:w="487" w:type="pct"/>
          </w:tcPr>
          <w:p w:rsidR="0095519D" w:rsidRPr="002C2B2E" w:rsidRDefault="0095519D" w:rsidP="0095519D">
            <w:pPr>
              <w:jc w:val="both"/>
              <w:rPr>
                <w:rFonts w:ascii="標楷體" w:eastAsia="標楷體" w:hAnsi="標楷體"/>
                <w:color w:val="000000"/>
                <w:sz w:val="28"/>
                <w:szCs w:val="28"/>
              </w:rPr>
            </w:pPr>
          </w:p>
        </w:tc>
        <w:tc>
          <w:tcPr>
            <w:tcW w:w="1497" w:type="pct"/>
          </w:tcPr>
          <w:p w:rsidR="0095519D" w:rsidRPr="002C2B2E" w:rsidRDefault="0095519D" w:rsidP="0095519D">
            <w:pPr>
              <w:ind w:leftChars="21" w:left="302" w:hangingChars="105" w:hanging="252"/>
              <w:rPr>
                <w:rFonts w:ascii="標楷體" w:eastAsia="標楷體" w:hAnsi="標楷體"/>
                <w:bCs/>
                <w:color w:val="000000"/>
              </w:rPr>
            </w:pPr>
            <w:r w:rsidRPr="002C2B2E">
              <w:rPr>
                <w:rFonts w:ascii="標楷體" w:eastAsia="標楷體" w:hAnsi="標楷體" w:hint="eastAsia"/>
                <w:bCs/>
                <w:color w:val="000000"/>
              </w:rPr>
              <w:t>1</w:t>
            </w:r>
            <w:r w:rsidRPr="002C2B2E">
              <w:rPr>
                <w:rFonts w:ascii="標楷體" w:eastAsia="標楷體" w:hAnsi="標楷體"/>
                <w:bCs/>
                <w:color w:val="000000"/>
              </w:rPr>
              <w:t>.</w:t>
            </w:r>
            <w:r w:rsidRPr="002C2B2E">
              <w:rPr>
                <w:rFonts w:ascii="標楷體" w:eastAsia="標楷體" w:hAnsi="標楷體" w:hint="eastAsia"/>
                <w:bCs/>
                <w:color w:val="000000"/>
              </w:rPr>
              <w:t>第</w:t>
            </w:r>
            <w:r w:rsidRPr="002C2B2E">
              <w:rPr>
                <w:rFonts w:ascii="標楷體" w:eastAsia="標楷體" w:hAnsi="標楷體"/>
                <w:bCs/>
                <w:color w:val="000000"/>
              </w:rPr>
              <w:t>5</w:t>
            </w:r>
            <w:r w:rsidRPr="002C2B2E">
              <w:rPr>
                <w:rFonts w:ascii="標楷體" w:eastAsia="標楷體" w:hAnsi="標楷體" w:hint="eastAsia"/>
                <w:bCs/>
                <w:color w:val="000000"/>
              </w:rPr>
              <w:t>會期第</w:t>
            </w:r>
            <w:r w:rsidRPr="002C2B2E">
              <w:rPr>
                <w:rFonts w:ascii="標楷體" w:eastAsia="標楷體" w:hAnsi="標楷體"/>
                <w:bCs/>
                <w:color w:val="000000"/>
              </w:rPr>
              <w:t>14</w:t>
            </w:r>
            <w:r w:rsidRPr="002C2B2E">
              <w:rPr>
                <w:rFonts w:ascii="標楷體" w:eastAsia="標楷體" w:hAnsi="標楷體" w:hint="eastAsia"/>
                <w:bCs/>
                <w:color w:val="000000"/>
              </w:rPr>
              <w:t>次全體委員會議(11</w:t>
            </w:r>
            <w:r w:rsidRPr="002C2B2E">
              <w:rPr>
                <w:rFonts w:ascii="標楷體" w:eastAsia="標楷體" w:hAnsi="標楷體"/>
                <w:bCs/>
                <w:color w:val="000000"/>
              </w:rPr>
              <w:t>1</w:t>
            </w:r>
            <w:r w:rsidRPr="002C2B2E">
              <w:rPr>
                <w:rFonts w:ascii="標楷體" w:eastAsia="標楷體" w:hAnsi="標楷體" w:hint="eastAsia"/>
                <w:bCs/>
                <w:color w:val="000000"/>
              </w:rPr>
              <w:t>.</w:t>
            </w:r>
            <w:r w:rsidRPr="002C2B2E">
              <w:rPr>
                <w:rFonts w:ascii="標楷體" w:eastAsia="標楷體" w:hAnsi="標楷體"/>
                <w:bCs/>
                <w:color w:val="000000"/>
              </w:rPr>
              <w:t>5</w:t>
            </w:r>
            <w:r w:rsidRPr="002C2B2E">
              <w:rPr>
                <w:rFonts w:ascii="標楷體" w:eastAsia="標楷體" w:hAnsi="標楷體" w:hint="eastAsia"/>
                <w:bCs/>
                <w:color w:val="000000"/>
              </w:rPr>
              <w:t>.</w:t>
            </w:r>
            <w:r w:rsidRPr="002C2B2E">
              <w:rPr>
                <w:rFonts w:ascii="標楷體" w:eastAsia="標楷體" w:hAnsi="標楷體"/>
                <w:bCs/>
                <w:color w:val="000000"/>
              </w:rPr>
              <w:t>19</w:t>
            </w:r>
            <w:r w:rsidRPr="002C2B2E">
              <w:rPr>
                <w:rFonts w:ascii="標楷體" w:eastAsia="標楷體" w:hAnsi="標楷體" w:hint="eastAsia"/>
                <w:bCs/>
                <w:color w:val="000000"/>
              </w:rPr>
              <w:t>)決議：准予動支，提報院會。</w:t>
            </w:r>
          </w:p>
          <w:p w:rsidR="0095519D" w:rsidRPr="002C2B2E" w:rsidRDefault="0095519D" w:rsidP="0095519D">
            <w:pPr>
              <w:ind w:leftChars="21" w:left="302" w:hangingChars="105" w:hanging="252"/>
              <w:jc w:val="both"/>
              <w:rPr>
                <w:rFonts w:ascii="標楷體" w:eastAsia="標楷體" w:hAnsi="標楷體"/>
                <w:color w:val="000000"/>
              </w:rPr>
            </w:pPr>
            <w:r w:rsidRPr="002C2B2E">
              <w:rPr>
                <w:rFonts w:ascii="標楷體" w:eastAsia="標楷體" w:hAnsi="標楷體"/>
                <w:bCs/>
                <w:color w:val="000000"/>
              </w:rPr>
              <w:t>2.</w:t>
            </w:r>
            <w:r w:rsidRPr="002C2B2E">
              <w:rPr>
                <w:rFonts w:ascii="標楷體" w:eastAsia="標楷體" w:hAnsi="標楷體" w:hint="eastAsia"/>
                <w:color w:val="000000"/>
              </w:rPr>
              <w:t>第</w:t>
            </w:r>
            <w:r w:rsidRPr="002C2B2E">
              <w:rPr>
                <w:rFonts w:ascii="標楷體" w:eastAsia="標楷體" w:hAnsi="標楷體"/>
                <w:color w:val="000000"/>
              </w:rPr>
              <w:t>6</w:t>
            </w:r>
            <w:r w:rsidRPr="002C2B2E">
              <w:rPr>
                <w:rFonts w:ascii="標楷體" w:eastAsia="標楷體" w:hAnsi="標楷體" w:hint="eastAsia"/>
                <w:color w:val="000000"/>
              </w:rPr>
              <w:t>會期第1次院會（11</w:t>
            </w:r>
            <w:r w:rsidRPr="002C2B2E">
              <w:rPr>
                <w:rFonts w:ascii="標楷體" w:eastAsia="標楷體" w:hAnsi="標楷體"/>
                <w:color w:val="000000"/>
              </w:rPr>
              <w:t>1</w:t>
            </w:r>
            <w:r w:rsidRPr="002C2B2E">
              <w:rPr>
                <w:rFonts w:ascii="標楷體" w:eastAsia="標楷體" w:hAnsi="標楷體" w:hint="eastAsia"/>
                <w:color w:val="000000"/>
              </w:rPr>
              <w:t>.</w:t>
            </w:r>
            <w:r w:rsidRPr="002C2B2E">
              <w:rPr>
                <w:rFonts w:ascii="標楷體" w:eastAsia="標楷體" w:hAnsi="標楷體"/>
                <w:color w:val="000000"/>
              </w:rPr>
              <w:t>9</w:t>
            </w:r>
            <w:r w:rsidRPr="002C2B2E">
              <w:rPr>
                <w:rFonts w:ascii="標楷體" w:eastAsia="標楷體" w:hAnsi="標楷體" w:hint="eastAsia"/>
                <w:color w:val="000000"/>
              </w:rPr>
              <w:t>.2</w:t>
            </w:r>
            <w:r w:rsidRPr="002C2B2E">
              <w:rPr>
                <w:rFonts w:ascii="標楷體" w:eastAsia="標楷體" w:hAnsi="標楷體"/>
                <w:color w:val="000000"/>
              </w:rPr>
              <w:t>3</w:t>
            </w:r>
            <w:r w:rsidRPr="002C2B2E">
              <w:rPr>
                <w:rFonts w:ascii="標楷體" w:eastAsia="標楷體" w:hAnsi="標楷體" w:hint="eastAsia"/>
                <w:color w:val="000000"/>
              </w:rPr>
              <w:t>）決定：准予備查。</w:t>
            </w:r>
          </w:p>
        </w:tc>
      </w:tr>
      <w:tr w:rsidR="0095519D" w:rsidRPr="00920597" w:rsidTr="001F3F42">
        <w:trPr>
          <w:trHeight w:val="567"/>
        </w:trPr>
        <w:tc>
          <w:tcPr>
            <w:tcW w:w="354" w:type="pct"/>
            <w:vAlign w:val="center"/>
          </w:tcPr>
          <w:p w:rsidR="0095519D" w:rsidRPr="00920597" w:rsidRDefault="0095519D" w:rsidP="006934DD">
            <w:pPr>
              <w:numPr>
                <w:ilvl w:val="0"/>
                <w:numId w:val="60"/>
              </w:numPr>
              <w:spacing w:line="400" w:lineRule="exact"/>
              <w:ind w:right="113"/>
              <w:rPr>
                <w:rFonts w:ascii="標楷體" w:eastAsia="標楷體" w:hAnsi="標楷體"/>
                <w:color w:val="000000" w:themeColor="text1"/>
                <w:sz w:val="28"/>
                <w:szCs w:val="28"/>
              </w:rPr>
            </w:pPr>
          </w:p>
        </w:tc>
        <w:tc>
          <w:tcPr>
            <w:tcW w:w="1804" w:type="pct"/>
          </w:tcPr>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hint="eastAsia"/>
                <w:color w:val="000000"/>
                <w:sz w:val="28"/>
              </w:rPr>
              <w:t>中央研究院函，為111年度中央政府總預算決議，檢送凍結第3目「自然及人文社會科學研究」4,000萬元書面報告，請查照案。</w:t>
            </w:r>
          </w:p>
        </w:tc>
        <w:tc>
          <w:tcPr>
            <w:tcW w:w="858" w:type="pct"/>
          </w:tcPr>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hint="eastAsia"/>
                <w:color w:val="000000"/>
                <w:sz w:val="28"/>
              </w:rPr>
              <w:t>10-5-7</w:t>
            </w:r>
          </w:p>
          <w:p w:rsidR="0095519D" w:rsidRPr="0095519D" w:rsidRDefault="0095519D" w:rsidP="0095519D">
            <w:pPr>
              <w:spacing w:line="400" w:lineRule="exact"/>
              <w:ind w:leftChars="-12" w:left="-29"/>
              <w:rPr>
                <w:rFonts w:ascii="標楷體" w:eastAsia="標楷體" w:hAnsi="標楷體"/>
                <w:color w:val="000000"/>
                <w:sz w:val="28"/>
              </w:rPr>
            </w:pPr>
            <w:r w:rsidRPr="0095519D">
              <w:rPr>
                <w:rFonts w:ascii="標楷體" w:eastAsia="標楷體" w:hAnsi="標楷體" w:hint="eastAsia"/>
                <w:color w:val="000000"/>
                <w:sz w:val="28"/>
              </w:rPr>
              <w:t>(111.4.8)</w:t>
            </w:r>
          </w:p>
          <w:p w:rsidR="0095519D" w:rsidRPr="0095519D" w:rsidRDefault="0095519D" w:rsidP="0095519D">
            <w:pPr>
              <w:spacing w:line="400" w:lineRule="exact"/>
              <w:ind w:leftChars="-12" w:left="-29"/>
              <w:jc w:val="both"/>
              <w:rPr>
                <w:rFonts w:ascii="標楷體" w:eastAsia="標楷體" w:hAnsi="標楷體"/>
                <w:color w:val="000000"/>
                <w:sz w:val="28"/>
              </w:rPr>
            </w:pPr>
          </w:p>
        </w:tc>
        <w:tc>
          <w:tcPr>
            <w:tcW w:w="487" w:type="pct"/>
          </w:tcPr>
          <w:p w:rsidR="0095519D" w:rsidRPr="002C2B2E" w:rsidRDefault="0095519D" w:rsidP="0095519D">
            <w:pPr>
              <w:jc w:val="both"/>
              <w:rPr>
                <w:rFonts w:ascii="標楷體" w:eastAsia="標楷體" w:hAnsi="標楷體"/>
                <w:color w:val="000000"/>
                <w:sz w:val="28"/>
                <w:szCs w:val="28"/>
              </w:rPr>
            </w:pPr>
          </w:p>
        </w:tc>
        <w:tc>
          <w:tcPr>
            <w:tcW w:w="1497" w:type="pct"/>
          </w:tcPr>
          <w:p w:rsidR="0095519D" w:rsidRPr="002C2B2E" w:rsidRDefault="0095519D" w:rsidP="0095519D">
            <w:pPr>
              <w:ind w:leftChars="21" w:left="302" w:hangingChars="105" w:hanging="252"/>
              <w:jc w:val="both"/>
              <w:rPr>
                <w:rFonts w:ascii="標楷體" w:eastAsia="標楷體" w:hAnsi="標楷體"/>
                <w:bCs/>
                <w:color w:val="000000"/>
              </w:rPr>
            </w:pPr>
            <w:r w:rsidRPr="002C2B2E">
              <w:rPr>
                <w:rFonts w:ascii="標楷體" w:eastAsia="標楷體" w:hAnsi="標楷體" w:hint="eastAsia"/>
                <w:bCs/>
                <w:color w:val="000000"/>
              </w:rPr>
              <w:t>1</w:t>
            </w:r>
            <w:r w:rsidRPr="002C2B2E">
              <w:rPr>
                <w:rFonts w:ascii="標楷體" w:eastAsia="標楷體" w:hAnsi="標楷體"/>
                <w:bCs/>
                <w:color w:val="000000"/>
              </w:rPr>
              <w:t>.</w:t>
            </w:r>
            <w:r w:rsidRPr="002C2B2E">
              <w:rPr>
                <w:rFonts w:ascii="標楷體" w:eastAsia="標楷體" w:hAnsi="標楷體" w:hint="eastAsia"/>
                <w:bCs/>
                <w:color w:val="000000"/>
              </w:rPr>
              <w:t>第</w:t>
            </w:r>
            <w:r w:rsidRPr="002C2B2E">
              <w:rPr>
                <w:rFonts w:ascii="標楷體" w:eastAsia="標楷體" w:hAnsi="標楷體"/>
                <w:bCs/>
                <w:color w:val="000000"/>
              </w:rPr>
              <w:t>5</w:t>
            </w:r>
            <w:r w:rsidRPr="002C2B2E">
              <w:rPr>
                <w:rFonts w:ascii="標楷體" w:eastAsia="標楷體" w:hAnsi="標楷體" w:hint="eastAsia"/>
                <w:bCs/>
                <w:color w:val="000000"/>
              </w:rPr>
              <w:t>會期第</w:t>
            </w:r>
            <w:r w:rsidRPr="002C2B2E">
              <w:rPr>
                <w:rFonts w:ascii="標楷體" w:eastAsia="標楷體" w:hAnsi="標楷體"/>
                <w:bCs/>
                <w:color w:val="000000"/>
              </w:rPr>
              <w:t>14</w:t>
            </w:r>
            <w:r w:rsidRPr="002C2B2E">
              <w:rPr>
                <w:rFonts w:ascii="標楷體" w:eastAsia="標楷體" w:hAnsi="標楷體" w:hint="eastAsia"/>
                <w:bCs/>
                <w:color w:val="000000"/>
              </w:rPr>
              <w:t>次全體委員會議(11</w:t>
            </w:r>
            <w:r w:rsidRPr="002C2B2E">
              <w:rPr>
                <w:rFonts w:ascii="標楷體" w:eastAsia="標楷體" w:hAnsi="標楷體"/>
                <w:bCs/>
                <w:color w:val="000000"/>
              </w:rPr>
              <w:t>1</w:t>
            </w:r>
            <w:r w:rsidRPr="002C2B2E">
              <w:rPr>
                <w:rFonts w:ascii="標楷體" w:eastAsia="標楷體" w:hAnsi="標楷體" w:hint="eastAsia"/>
                <w:bCs/>
                <w:color w:val="000000"/>
              </w:rPr>
              <w:t>.</w:t>
            </w:r>
            <w:r w:rsidRPr="002C2B2E">
              <w:rPr>
                <w:rFonts w:ascii="標楷體" w:eastAsia="標楷體" w:hAnsi="標楷體"/>
                <w:bCs/>
                <w:color w:val="000000"/>
              </w:rPr>
              <w:t>5</w:t>
            </w:r>
            <w:r w:rsidRPr="002C2B2E">
              <w:rPr>
                <w:rFonts w:ascii="標楷體" w:eastAsia="標楷體" w:hAnsi="標楷體" w:hint="eastAsia"/>
                <w:bCs/>
                <w:color w:val="000000"/>
              </w:rPr>
              <w:t>.</w:t>
            </w:r>
            <w:r w:rsidRPr="002C2B2E">
              <w:rPr>
                <w:rFonts w:ascii="標楷體" w:eastAsia="標楷體" w:hAnsi="標楷體"/>
                <w:bCs/>
                <w:color w:val="000000"/>
              </w:rPr>
              <w:t>19</w:t>
            </w:r>
            <w:r w:rsidRPr="002C2B2E">
              <w:rPr>
                <w:rFonts w:ascii="標楷體" w:eastAsia="標楷體" w:hAnsi="標楷體" w:hint="eastAsia"/>
                <w:bCs/>
                <w:color w:val="000000"/>
              </w:rPr>
              <w:t>)決議：准予動支，提報院會。</w:t>
            </w:r>
          </w:p>
          <w:p w:rsidR="0095519D" w:rsidRPr="002C2B2E" w:rsidRDefault="0095519D" w:rsidP="0095519D">
            <w:pPr>
              <w:ind w:leftChars="21" w:left="302" w:hangingChars="105" w:hanging="252"/>
              <w:jc w:val="both"/>
              <w:rPr>
                <w:rFonts w:ascii="標楷體" w:eastAsia="標楷體" w:hAnsi="標楷體"/>
                <w:color w:val="000000"/>
              </w:rPr>
            </w:pPr>
            <w:r w:rsidRPr="002C2B2E">
              <w:rPr>
                <w:rFonts w:ascii="標楷體" w:eastAsia="標楷體" w:hAnsi="標楷體"/>
                <w:bCs/>
                <w:color w:val="000000"/>
              </w:rPr>
              <w:t>2.</w:t>
            </w:r>
            <w:r w:rsidRPr="002C2B2E">
              <w:rPr>
                <w:rFonts w:ascii="標楷體" w:eastAsia="標楷體" w:hAnsi="標楷體" w:hint="eastAsia"/>
                <w:bCs/>
                <w:color w:val="000000"/>
              </w:rPr>
              <w:t>第</w:t>
            </w:r>
            <w:r w:rsidRPr="002C2B2E">
              <w:rPr>
                <w:rFonts w:ascii="標楷體" w:eastAsia="標楷體" w:hAnsi="標楷體"/>
                <w:bCs/>
                <w:color w:val="000000"/>
              </w:rPr>
              <w:t>6</w:t>
            </w:r>
            <w:r w:rsidRPr="002C2B2E">
              <w:rPr>
                <w:rFonts w:ascii="標楷體" w:eastAsia="標楷體" w:hAnsi="標楷體" w:hint="eastAsia"/>
                <w:bCs/>
                <w:color w:val="000000"/>
              </w:rPr>
              <w:t>會期第1次院會（11</w:t>
            </w:r>
            <w:r w:rsidRPr="002C2B2E">
              <w:rPr>
                <w:rFonts w:ascii="標楷體" w:eastAsia="標楷體" w:hAnsi="標楷體"/>
                <w:bCs/>
                <w:color w:val="000000"/>
              </w:rPr>
              <w:t>1</w:t>
            </w:r>
            <w:r w:rsidRPr="002C2B2E">
              <w:rPr>
                <w:rFonts w:ascii="標楷體" w:eastAsia="標楷體" w:hAnsi="標楷體" w:hint="eastAsia"/>
                <w:bCs/>
                <w:color w:val="000000"/>
              </w:rPr>
              <w:t>.</w:t>
            </w:r>
            <w:r w:rsidRPr="002C2B2E">
              <w:rPr>
                <w:rFonts w:ascii="標楷體" w:eastAsia="標楷體" w:hAnsi="標楷體"/>
                <w:bCs/>
                <w:color w:val="000000"/>
              </w:rPr>
              <w:t>9</w:t>
            </w:r>
            <w:r w:rsidRPr="002C2B2E">
              <w:rPr>
                <w:rFonts w:ascii="標楷體" w:eastAsia="標楷體" w:hAnsi="標楷體" w:hint="eastAsia"/>
                <w:bCs/>
                <w:color w:val="000000"/>
              </w:rPr>
              <w:t>.2</w:t>
            </w:r>
            <w:r w:rsidRPr="002C2B2E">
              <w:rPr>
                <w:rFonts w:ascii="標楷體" w:eastAsia="標楷體" w:hAnsi="標楷體"/>
                <w:bCs/>
                <w:color w:val="000000"/>
              </w:rPr>
              <w:t>3</w:t>
            </w:r>
            <w:r w:rsidRPr="002C2B2E">
              <w:rPr>
                <w:rFonts w:ascii="標楷體" w:eastAsia="標楷體" w:hAnsi="標楷體" w:hint="eastAsia"/>
                <w:bCs/>
                <w:color w:val="000000"/>
              </w:rPr>
              <w:t>）決定：准予備查。</w:t>
            </w:r>
          </w:p>
        </w:tc>
      </w:tr>
      <w:tr w:rsidR="0095519D" w:rsidRPr="00920597" w:rsidTr="001F3F42">
        <w:trPr>
          <w:trHeight w:val="567"/>
        </w:trPr>
        <w:tc>
          <w:tcPr>
            <w:tcW w:w="354" w:type="pct"/>
            <w:vAlign w:val="center"/>
          </w:tcPr>
          <w:p w:rsidR="0095519D" w:rsidRPr="00920597" w:rsidRDefault="0095519D" w:rsidP="006934DD">
            <w:pPr>
              <w:numPr>
                <w:ilvl w:val="0"/>
                <w:numId w:val="60"/>
              </w:numPr>
              <w:spacing w:line="400" w:lineRule="exact"/>
              <w:ind w:right="113"/>
              <w:rPr>
                <w:rFonts w:ascii="標楷體" w:eastAsia="標楷體" w:hAnsi="標楷體"/>
                <w:color w:val="000000" w:themeColor="text1"/>
                <w:sz w:val="28"/>
                <w:szCs w:val="28"/>
              </w:rPr>
            </w:pPr>
          </w:p>
        </w:tc>
        <w:tc>
          <w:tcPr>
            <w:tcW w:w="1804" w:type="pct"/>
          </w:tcPr>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hint="eastAsia"/>
                <w:color w:val="000000"/>
                <w:sz w:val="28"/>
              </w:rPr>
              <w:t>中央研究院函，為111年度中央政府總預算決議，檢送凍結第5目「非營業特種基金」100萬元書面報告，請查照案。</w:t>
            </w:r>
          </w:p>
        </w:tc>
        <w:tc>
          <w:tcPr>
            <w:tcW w:w="858" w:type="pct"/>
          </w:tcPr>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hint="eastAsia"/>
                <w:color w:val="000000"/>
                <w:sz w:val="28"/>
              </w:rPr>
              <w:t>10-5-7</w:t>
            </w:r>
          </w:p>
          <w:p w:rsidR="0095519D" w:rsidRPr="0095519D" w:rsidRDefault="0095519D" w:rsidP="0095519D">
            <w:pPr>
              <w:spacing w:line="400" w:lineRule="exact"/>
              <w:ind w:leftChars="-12" w:left="-29"/>
              <w:rPr>
                <w:rFonts w:ascii="標楷體" w:eastAsia="標楷體" w:hAnsi="標楷體"/>
                <w:color w:val="000000"/>
                <w:sz w:val="28"/>
              </w:rPr>
            </w:pPr>
            <w:r w:rsidRPr="0095519D">
              <w:rPr>
                <w:rFonts w:ascii="標楷體" w:eastAsia="標楷體" w:hAnsi="標楷體" w:hint="eastAsia"/>
                <w:color w:val="000000"/>
                <w:sz w:val="28"/>
              </w:rPr>
              <w:t>(111.4.8)</w:t>
            </w:r>
          </w:p>
          <w:p w:rsidR="0095519D" w:rsidRPr="0095519D" w:rsidRDefault="0095519D" w:rsidP="0095519D">
            <w:pPr>
              <w:spacing w:line="400" w:lineRule="exact"/>
              <w:ind w:leftChars="-12" w:left="-29"/>
              <w:jc w:val="both"/>
              <w:rPr>
                <w:rFonts w:ascii="標楷體" w:eastAsia="標楷體" w:hAnsi="標楷體"/>
                <w:color w:val="000000"/>
                <w:sz w:val="28"/>
              </w:rPr>
            </w:pPr>
          </w:p>
        </w:tc>
        <w:tc>
          <w:tcPr>
            <w:tcW w:w="487" w:type="pct"/>
          </w:tcPr>
          <w:p w:rsidR="0095519D" w:rsidRPr="002C2B2E" w:rsidRDefault="0095519D" w:rsidP="0095519D">
            <w:pPr>
              <w:jc w:val="both"/>
              <w:rPr>
                <w:rFonts w:ascii="標楷體" w:eastAsia="標楷體" w:hAnsi="標楷體"/>
                <w:color w:val="000000"/>
                <w:sz w:val="28"/>
                <w:szCs w:val="28"/>
              </w:rPr>
            </w:pPr>
          </w:p>
        </w:tc>
        <w:tc>
          <w:tcPr>
            <w:tcW w:w="1497" w:type="pct"/>
          </w:tcPr>
          <w:p w:rsidR="0095519D" w:rsidRPr="002C2B2E" w:rsidRDefault="0095519D" w:rsidP="0095519D">
            <w:pPr>
              <w:ind w:leftChars="21" w:left="302" w:hangingChars="105" w:hanging="252"/>
              <w:jc w:val="both"/>
              <w:rPr>
                <w:rFonts w:ascii="標楷體" w:eastAsia="標楷體" w:hAnsi="標楷體"/>
                <w:bCs/>
                <w:color w:val="000000"/>
              </w:rPr>
            </w:pPr>
            <w:r w:rsidRPr="002C2B2E">
              <w:rPr>
                <w:rFonts w:ascii="標楷體" w:eastAsia="標楷體" w:hAnsi="標楷體" w:hint="eastAsia"/>
                <w:bCs/>
                <w:color w:val="000000"/>
              </w:rPr>
              <w:t>1</w:t>
            </w:r>
            <w:r w:rsidRPr="002C2B2E">
              <w:rPr>
                <w:rFonts w:ascii="標楷體" w:eastAsia="標楷體" w:hAnsi="標楷體"/>
                <w:bCs/>
                <w:color w:val="000000"/>
              </w:rPr>
              <w:t>.</w:t>
            </w:r>
            <w:r w:rsidRPr="002C2B2E">
              <w:rPr>
                <w:rFonts w:ascii="標楷體" w:eastAsia="標楷體" w:hAnsi="標楷體" w:hint="eastAsia"/>
                <w:bCs/>
                <w:color w:val="000000"/>
              </w:rPr>
              <w:t>第</w:t>
            </w:r>
            <w:r w:rsidRPr="002C2B2E">
              <w:rPr>
                <w:rFonts w:ascii="標楷體" w:eastAsia="標楷體" w:hAnsi="標楷體"/>
                <w:bCs/>
                <w:color w:val="000000"/>
              </w:rPr>
              <w:t>5</w:t>
            </w:r>
            <w:r w:rsidRPr="002C2B2E">
              <w:rPr>
                <w:rFonts w:ascii="標楷體" w:eastAsia="標楷體" w:hAnsi="標楷體" w:hint="eastAsia"/>
                <w:bCs/>
                <w:color w:val="000000"/>
              </w:rPr>
              <w:t>會期第</w:t>
            </w:r>
            <w:r w:rsidRPr="002C2B2E">
              <w:rPr>
                <w:rFonts w:ascii="標楷體" w:eastAsia="標楷體" w:hAnsi="標楷體"/>
                <w:bCs/>
                <w:color w:val="000000"/>
              </w:rPr>
              <w:t>14</w:t>
            </w:r>
            <w:r w:rsidRPr="002C2B2E">
              <w:rPr>
                <w:rFonts w:ascii="標楷體" w:eastAsia="標楷體" w:hAnsi="標楷體" w:hint="eastAsia"/>
                <w:bCs/>
                <w:color w:val="000000"/>
              </w:rPr>
              <w:t>次全體委員會議(11</w:t>
            </w:r>
            <w:r w:rsidRPr="002C2B2E">
              <w:rPr>
                <w:rFonts w:ascii="標楷體" w:eastAsia="標楷體" w:hAnsi="標楷體"/>
                <w:bCs/>
                <w:color w:val="000000"/>
              </w:rPr>
              <w:t>1</w:t>
            </w:r>
            <w:r w:rsidRPr="002C2B2E">
              <w:rPr>
                <w:rFonts w:ascii="標楷體" w:eastAsia="標楷體" w:hAnsi="標楷體" w:hint="eastAsia"/>
                <w:bCs/>
                <w:color w:val="000000"/>
              </w:rPr>
              <w:t>.</w:t>
            </w:r>
            <w:r w:rsidRPr="002C2B2E">
              <w:rPr>
                <w:rFonts w:ascii="標楷體" w:eastAsia="標楷體" w:hAnsi="標楷體"/>
                <w:bCs/>
                <w:color w:val="000000"/>
              </w:rPr>
              <w:t>5</w:t>
            </w:r>
            <w:r w:rsidRPr="002C2B2E">
              <w:rPr>
                <w:rFonts w:ascii="標楷體" w:eastAsia="標楷體" w:hAnsi="標楷體" w:hint="eastAsia"/>
                <w:bCs/>
                <w:color w:val="000000"/>
              </w:rPr>
              <w:t>.</w:t>
            </w:r>
            <w:r w:rsidRPr="002C2B2E">
              <w:rPr>
                <w:rFonts w:ascii="標楷體" w:eastAsia="標楷體" w:hAnsi="標楷體"/>
                <w:bCs/>
                <w:color w:val="000000"/>
              </w:rPr>
              <w:t>19</w:t>
            </w:r>
            <w:r w:rsidRPr="002C2B2E">
              <w:rPr>
                <w:rFonts w:ascii="標楷體" w:eastAsia="標楷體" w:hAnsi="標楷體" w:hint="eastAsia"/>
                <w:bCs/>
                <w:color w:val="000000"/>
              </w:rPr>
              <w:t>)決議：准予動支，提報院會。</w:t>
            </w:r>
          </w:p>
          <w:p w:rsidR="0095519D" w:rsidRPr="002C2B2E" w:rsidRDefault="0095519D" w:rsidP="0095519D">
            <w:pPr>
              <w:ind w:leftChars="21" w:left="302" w:hangingChars="105" w:hanging="252"/>
              <w:jc w:val="both"/>
              <w:rPr>
                <w:rFonts w:ascii="標楷體" w:eastAsia="標楷體" w:hAnsi="標楷體"/>
                <w:color w:val="000000"/>
              </w:rPr>
            </w:pPr>
            <w:r w:rsidRPr="002C2B2E">
              <w:rPr>
                <w:rFonts w:ascii="標楷體" w:eastAsia="標楷體" w:hAnsi="標楷體"/>
                <w:bCs/>
                <w:color w:val="000000"/>
              </w:rPr>
              <w:t>2.</w:t>
            </w:r>
            <w:r w:rsidRPr="002C2B2E">
              <w:rPr>
                <w:rFonts w:ascii="標楷體" w:eastAsia="標楷體" w:hAnsi="標楷體" w:hint="eastAsia"/>
                <w:bCs/>
                <w:color w:val="000000"/>
              </w:rPr>
              <w:t>第</w:t>
            </w:r>
            <w:r w:rsidRPr="002C2B2E">
              <w:rPr>
                <w:rFonts w:ascii="標楷體" w:eastAsia="標楷體" w:hAnsi="標楷體"/>
                <w:bCs/>
                <w:color w:val="000000"/>
              </w:rPr>
              <w:t>6</w:t>
            </w:r>
            <w:r w:rsidRPr="002C2B2E">
              <w:rPr>
                <w:rFonts w:ascii="標楷體" w:eastAsia="標楷體" w:hAnsi="標楷體" w:hint="eastAsia"/>
                <w:bCs/>
                <w:color w:val="000000"/>
              </w:rPr>
              <w:t>會期第1次院會</w:t>
            </w:r>
            <w:r w:rsidRPr="002C2B2E">
              <w:rPr>
                <w:rFonts w:ascii="標楷體" w:eastAsia="標楷體" w:hAnsi="標楷體" w:hint="eastAsia"/>
                <w:bCs/>
                <w:color w:val="000000"/>
              </w:rPr>
              <w:lastRenderedPageBreak/>
              <w:t>（11</w:t>
            </w:r>
            <w:r w:rsidRPr="002C2B2E">
              <w:rPr>
                <w:rFonts w:ascii="標楷體" w:eastAsia="標楷體" w:hAnsi="標楷體"/>
                <w:bCs/>
                <w:color w:val="000000"/>
              </w:rPr>
              <w:t>1</w:t>
            </w:r>
            <w:r w:rsidRPr="002C2B2E">
              <w:rPr>
                <w:rFonts w:ascii="標楷體" w:eastAsia="標楷體" w:hAnsi="標楷體" w:hint="eastAsia"/>
                <w:bCs/>
                <w:color w:val="000000"/>
              </w:rPr>
              <w:t>.</w:t>
            </w:r>
            <w:r w:rsidRPr="002C2B2E">
              <w:rPr>
                <w:rFonts w:ascii="標楷體" w:eastAsia="標楷體" w:hAnsi="標楷體"/>
                <w:bCs/>
                <w:color w:val="000000"/>
              </w:rPr>
              <w:t>9</w:t>
            </w:r>
            <w:r w:rsidRPr="002C2B2E">
              <w:rPr>
                <w:rFonts w:ascii="標楷體" w:eastAsia="標楷體" w:hAnsi="標楷體" w:hint="eastAsia"/>
                <w:bCs/>
                <w:color w:val="000000"/>
              </w:rPr>
              <w:t>.2</w:t>
            </w:r>
            <w:r w:rsidRPr="002C2B2E">
              <w:rPr>
                <w:rFonts w:ascii="標楷體" w:eastAsia="標楷體" w:hAnsi="標楷體"/>
                <w:bCs/>
                <w:color w:val="000000"/>
              </w:rPr>
              <w:t>3</w:t>
            </w:r>
            <w:r w:rsidRPr="002C2B2E">
              <w:rPr>
                <w:rFonts w:ascii="標楷體" w:eastAsia="標楷體" w:hAnsi="標楷體" w:hint="eastAsia"/>
                <w:bCs/>
                <w:color w:val="000000"/>
              </w:rPr>
              <w:t>）決定：准予備查。</w:t>
            </w:r>
          </w:p>
        </w:tc>
      </w:tr>
      <w:tr w:rsidR="0095519D" w:rsidRPr="00920597" w:rsidTr="001F3F42">
        <w:trPr>
          <w:trHeight w:val="567"/>
        </w:trPr>
        <w:tc>
          <w:tcPr>
            <w:tcW w:w="354" w:type="pct"/>
            <w:vAlign w:val="center"/>
          </w:tcPr>
          <w:p w:rsidR="0095519D" w:rsidRPr="00920597" w:rsidRDefault="0095519D" w:rsidP="006934DD">
            <w:pPr>
              <w:numPr>
                <w:ilvl w:val="0"/>
                <w:numId w:val="60"/>
              </w:numPr>
              <w:spacing w:line="400" w:lineRule="exact"/>
              <w:ind w:right="113"/>
              <w:rPr>
                <w:rFonts w:ascii="標楷體" w:eastAsia="標楷體" w:hAnsi="標楷體"/>
                <w:color w:val="000000" w:themeColor="text1"/>
                <w:sz w:val="28"/>
                <w:szCs w:val="28"/>
              </w:rPr>
            </w:pPr>
          </w:p>
        </w:tc>
        <w:tc>
          <w:tcPr>
            <w:tcW w:w="1804" w:type="pct"/>
          </w:tcPr>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hint="eastAsia"/>
                <w:color w:val="000000"/>
                <w:sz w:val="28"/>
              </w:rPr>
              <w:t>中央研究院函，為111年度中央政府總預算決議，檢送凍結第1目「一般行政」項下「基本行政工作維持」100萬元書面報告，請查照案。</w:t>
            </w:r>
          </w:p>
        </w:tc>
        <w:tc>
          <w:tcPr>
            <w:tcW w:w="858" w:type="pct"/>
          </w:tcPr>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hint="eastAsia"/>
                <w:color w:val="000000"/>
                <w:sz w:val="28"/>
              </w:rPr>
              <w:t>10-5-7</w:t>
            </w:r>
          </w:p>
          <w:p w:rsidR="0095519D" w:rsidRPr="0095519D" w:rsidRDefault="0095519D" w:rsidP="0095519D">
            <w:pPr>
              <w:spacing w:line="400" w:lineRule="exact"/>
              <w:ind w:leftChars="-12" w:left="-29"/>
              <w:rPr>
                <w:rFonts w:ascii="標楷體" w:eastAsia="標楷體" w:hAnsi="標楷體"/>
                <w:color w:val="000000"/>
                <w:sz w:val="28"/>
              </w:rPr>
            </w:pPr>
            <w:r w:rsidRPr="0095519D">
              <w:rPr>
                <w:rFonts w:ascii="標楷體" w:eastAsia="標楷體" w:hAnsi="標楷體" w:hint="eastAsia"/>
                <w:color w:val="000000"/>
                <w:sz w:val="28"/>
              </w:rPr>
              <w:t>(111.4.8)</w:t>
            </w:r>
          </w:p>
          <w:p w:rsidR="0095519D" w:rsidRPr="0095519D" w:rsidRDefault="0095519D" w:rsidP="0095519D">
            <w:pPr>
              <w:spacing w:line="400" w:lineRule="exact"/>
              <w:ind w:leftChars="-12" w:left="-29"/>
              <w:jc w:val="both"/>
              <w:rPr>
                <w:rFonts w:ascii="標楷體" w:eastAsia="標楷體" w:hAnsi="標楷體"/>
                <w:color w:val="000000"/>
                <w:sz w:val="28"/>
              </w:rPr>
            </w:pPr>
          </w:p>
        </w:tc>
        <w:tc>
          <w:tcPr>
            <w:tcW w:w="487" w:type="pct"/>
          </w:tcPr>
          <w:p w:rsidR="0095519D" w:rsidRPr="002C2B2E" w:rsidRDefault="0095519D" w:rsidP="0095519D">
            <w:pPr>
              <w:jc w:val="both"/>
              <w:rPr>
                <w:rFonts w:ascii="標楷體" w:eastAsia="標楷體" w:hAnsi="標楷體"/>
                <w:color w:val="000000"/>
                <w:sz w:val="28"/>
                <w:szCs w:val="28"/>
              </w:rPr>
            </w:pPr>
          </w:p>
        </w:tc>
        <w:tc>
          <w:tcPr>
            <w:tcW w:w="1497" w:type="pct"/>
          </w:tcPr>
          <w:p w:rsidR="0095519D" w:rsidRPr="002C2B2E" w:rsidRDefault="0095519D" w:rsidP="0095519D">
            <w:pPr>
              <w:ind w:leftChars="21" w:left="302" w:hangingChars="105" w:hanging="252"/>
              <w:jc w:val="both"/>
              <w:rPr>
                <w:rFonts w:ascii="標楷體" w:eastAsia="標楷體" w:hAnsi="標楷體"/>
                <w:bCs/>
                <w:color w:val="000000"/>
              </w:rPr>
            </w:pPr>
            <w:r w:rsidRPr="002C2B2E">
              <w:rPr>
                <w:rFonts w:ascii="標楷體" w:eastAsia="標楷體" w:hAnsi="標楷體" w:hint="eastAsia"/>
                <w:bCs/>
                <w:color w:val="000000"/>
              </w:rPr>
              <w:t>1</w:t>
            </w:r>
            <w:r w:rsidRPr="002C2B2E">
              <w:rPr>
                <w:rFonts w:ascii="標楷體" w:eastAsia="標楷體" w:hAnsi="標楷體"/>
                <w:bCs/>
                <w:color w:val="000000"/>
              </w:rPr>
              <w:t>.</w:t>
            </w:r>
            <w:r w:rsidRPr="002C2B2E">
              <w:rPr>
                <w:rFonts w:ascii="標楷體" w:eastAsia="標楷體" w:hAnsi="標楷體" w:hint="eastAsia"/>
                <w:bCs/>
                <w:color w:val="000000"/>
              </w:rPr>
              <w:t>第</w:t>
            </w:r>
            <w:r w:rsidRPr="002C2B2E">
              <w:rPr>
                <w:rFonts w:ascii="標楷體" w:eastAsia="標楷體" w:hAnsi="標楷體"/>
                <w:bCs/>
                <w:color w:val="000000"/>
              </w:rPr>
              <w:t>5</w:t>
            </w:r>
            <w:r w:rsidRPr="002C2B2E">
              <w:rPr>
                <w:rFonts w:ascii="標楷體" w:eastAsia="標楷體" w:hAnsi="標楷體" w:hint="eastAsia"/>
                <w:bCs/>
                <w:color w:val="000000"/>
              </w:rPr>
              <w:t>會期第</w:t>
            </w:r>
            <w:r w:rsidRPr="002C2B2E">
              <w:rPr>
                <w:rFonts w:ascii="標楷體" w:eastAsia="標楷體" w:hAnsi="標楷體"/>
                <w:bCs/>
                <w:color w:val="000000"/>
              </w:rPr>
              <w:t>14</w:t>
            </w:r>
            <w:r w:rsidRPr="002C2B2E">
              <w:rPr>
                <w:rFonts w:ascii="標楷體" w:eastAsia="標楷體" w:hAnsi="標楷體" w:hint="eastAsia"/>
                <w:bCs/>
                <w:color w:val="000000"/>
              </w:rPr>
              <w:t>次全體委員會議(11</w:t>
            </w:r>
            <w:r w:rsidRPr="002C2B2E">
              <w:rPr>
                <w:rFonts w:ascii="標楷體" w:eastAsia="標楷體" w:hAnsi="標楷體"/>
                <w:bCs/>
                <w:color w:val="000000"/>
              </w:rPr>
              <w:t>1</w:t>
            </w:r>
            <w:r w:rsidRPr="002C2B2E">
              <w:rPr>
                <w:rFonts w:ascii="標楷體" w:eastAsia="標楷體" w:hAnsi="標楷體" w:hint="eastAsia"/>
                <w:bCs/>
                <w:color w:val="000000"/>
              </w:rPr>
              <w:t>.</w:t>
            </w:r>
            <w:r w:rsidRPr="002C2B2E">
              <w:rPr>
                <w:rFonts w:ascii="標楷體" w:eastAsia="標楷體" w:hAnsi="標楷體"/>
                <w:bCs/>
                <w:color w:val="000000"/>
              </w:rPr>
              <w:t>5</w:t>
            </w:r>
            <w:r w:rsidRPr="002C2B2E">
              <w:rPr>
                <w:rFonts w:ascii="標楷體" w:eastAsia="標楷體" w:hAnsi="標楷體" w:hint="eastAsia"/>
                <w:bCs/>
                <w:color w:val="000000"/>
              </w:rPr>
              <w:t>.</w:t>
            </w:r>
            <w:r w:rsidRPr="002C2B2E">
              <w:rPr>
                <w:rFonts w:ascii="標楷體" w:eastAsia="標楷體" w:hAnsi="標楷體"/>
                <w:bCs/>
                <w:color w:val="000000"/>
              </w:rPr>
              <w:t>19</w:t>
            </w:r>
            <w:r w:rsidRPr="002C2B2E">
              <w:rPr>
                <w:rFonts w:ascii="標楷體" w:eastAsia="標楷體" w:hAnsi="標楷體" w:hint="eastAsia"/>
                <w:bCs/>
                <w:color w:val="000000"/>
              </w:rPr>
              <w:t>)決議：准予動支，提報院會。</w:t>
            </w:r>
          </w:p>
          <w:p w:rsidR="0095519D" w:rsidRPr="002C2B2E" w:rsidRDefault="0095519D" w:rsidP="0095519D">
            <w:pPr>
              <w:ind w:leftChars="21" w:left="302" w:hangingChars="105" w:hanging="252"/>
              <w:jc w:val="both"/>
              <w:rPr>
                <w:rFonts w:ascii="標楷體" w:eastAsia="標楷體" w:hAnsi="標楷體"/>
                <w:color w:val="000000"/>
              </w:rPr>
            </w:pPr>
            <w:r w:rsidRPr="002C2B2E">
              <w:rPr>
                <w:rFonts w:ascii="標楷體" w:eastAsia="標楷體" w:hAnsi="標楷體"/>
                <w:bCs/>
                <w:color w:val="000000"/>
              </w:rPr>
              <w:t>2.</w:t>
            </w:r>
            <w:r w:rsidRPr="002C2B2E">
              <w:rPr>
                <w:rFonts w:ascii="標楷體" w:eastAsia="標楷體" w:hAnsi="標楷體" w:hint="eastAsia"/>
                <w:bCs/>
                <w:color w:val="000000"/>
              </w:rPr>
              <w:t>第</w:t>
            </w:r>
            <w:r w:rsidRPr="002C2B2E">
              <w:rPr>
                <w:rFonts w:ascii="標楷體" w:eastAsia="標楷體" w:hAnsi="標楷體"/>
                <w:bCs/>
                <w:color w:val="000000"/>
              </w:rPr>
              <w:t>6</w:t>
            </w:r>
            <w:r w:rsidRPr="002C2B2E">
              <w:rPr>
                <w:rFonts w:ascii="標楷體" w:eastAsia="標楷體" w:hAnsi="標楷體" w:hint="eastAsia"/>
                <w:bCs/>
                <w:color w:val="000000"/>
              </w:rPr>
              <w:t>會期第1次院會（11</w:t>
            </w:r>
            <w:r w:rsidRPr="002C2B2E">
              <w:rPr>
                <w:rFonts w:ascii="標楷體" w:eastAsia="標楷體" w:hAnsi="標楷體"/>
                <w:bCs/>
                <w:color w:val="000000"/>
              </w:rPr>
              <w:t>1</w:t>
            </w:r>
            <w:r w:rsidRPr="002C2B2E">
              <w:rPr>
                <w:rFonts w:ascii="標楷體" w:eastAsia="標楷體" w:hAnsi="標楷體" w:hint="eastAsia"/>
                <w:bCs/>
                <w:color w:val="000000"/>
              </w:rPr>
              <w:t>.</w:t>
            </w:r>
            <w:r w:rsidRPr="002C2B2E">
              <w:rPr>
                <w:rFonts w:ascii="標楷體" w:eastAsia="標楷體" w:hAnsi="標楷體"/>
                <w:bCs/>
                <w:color w:val="000000"/>
              </w:rPr>
              <w:t>9</w:t>
            </w:r>
            <w:r w:rsidRPr="002C2B2E">
              <w:rPr>
                <w:rFonts w:ascii="標楷體" w:eastAsia="標楷體" w:hAnsi="標楷體" w:hint="eastAsia"/>
                <w:bCs/>
                <w:color w:val="000000"/>
              </w:rPr>
              <w:t>.2</w:t>
            </w:r>
            <w:r w:rsidRPr="002C2B2E">
              <w:rPr>
                <w:rFonts w:ascii="標楷體" w:eastAsia="標楷體" w:hAnsi="標楷體"/>
                <w:bCs/>
                <w:color w:val="000000"/>
              </w:rPr>
              <w:t>3</w:t>
            </w:r>
            <w:r w:rsidRPr="002C2B2E">
              <w:rPr>
                <w:rFonts w:ascii="標楷體" w:eastAsia="標楷體" w:hAnsi="標楷體" w:hint="eastAsia"/>
                <w:bCs/>
                <w:color w:val="000000"/>
              </w:rPr>
              <w:t>）決定：准予備查。</w:t>
            </w:r>
          </w:p>
        </w:tc>
      </w:tr>
      <w:tr w:rsidR="0095519D" w:rsidRPr="00920597" w:rsidTr="001F3F42">
        <w:trPr>
          <w:trHeight w:val="567"/>
        </w:trPr>
        <w:tc>
          <w:tcPr>
            <w:tcW w:w="354" w:type="pct"/>
            <w:vAlign w:val="center"/>
          </w:tcPr>
          <w:p w:rsidR="0095519D" w:rsidRPr="00920597" w:rsidRDefault="0095519D" w:rsidP="006934DD">
            <w:pPr>
              <w:numPr>
                <w:ilvl w:val="0"/>
                <w:numId w:val="60"/>
              </w:numPr>
              <w:spacing w:line="400" w:lineRule="exact"/>
              <w:ind w:right="113"/>
              <w:rPr>
                <w:rFonts w:ascii="標楷體" w:eastAsia="標楷體" w:hAnsi="標楷體"/>
                <w:color w:val="000000" w:themeColor="text1"/>
                <w:sz w:val="28"/>
                <w:szCs w:val="28"/>
              </w:rPr>
            </w:pPr>
          </w:p>
        </w:tc>
        <w:tc>
          <w:tcPr>
            <w:tcW w:w="1804" w:type="pct"/>
          </w:tcPr>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hint="eastAsia"/>
                <w:color w:val="000000"/>
                <w:sz w:val="28"/>
              </w:rPr>
              <w:t>中央研究院函，為111年度中央政府總預算決議，檢送凍結第2目「一般學術研究及評議」第2節「學術研究與人才培育」500萬元書面報告，請查照案。</w:t>
            </w:r>
          </w:p>
        </w:tc>
        <w:tc>
          <w:tcPr>
            <w:tcW w:w="858" w:type="pct"/>
          </w:tcPr>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hint="eastAsia"/>
                <w:color w:val="000000"/>
                <w:sz w:val="28"/>
              </w:rPr>
              <w:t>10-5-7</w:t>
            </w:r>
          </w:p>
          <w:p w:rsidR="0095519D" w:rsidRPr="0095519D" w:rsidRDefault="0095519D" w:rsidP="0095519D">
            <w:pPr>
              <w:spacing w:line="400" w:lineRule="exact"/>
              <w:ind w:leftChars="-12" w:left="-29"/>
              <w:rPr>
                <w:rFonts w:ascii="標楷體" w:eastAsia="標楷體" w:hAnsi="標楷體"/>
                <w:color w:val="000000"/>
                <w:sz w:val="28"/>
              </w:rPr>
            </w:pPr>
            <w:r w:rsidRPr="0095519D">
              <w:rPr>
                <w:rFonts w:ascii="標楷體" w:eastAsia="標楷體" w:hAnsi="標楷體" w:hint="eastAsia"/>
                <w:color w:val="000000"/>
                <w:sz w:val="28"/>
              </w:rPr>
              <w:t>(111.4.8)</w:t>
            </w:r>
          </w:p>
          <w:p w:rsidR="0095519D" w:rsidRPr="0095519D" w:rsidRDefault="0095519D" w:rsidP="0095519D">
            <w:pPr>
              <w:spacing w:line="400" w:lineRule="exact"/>
              <w:ind w:leftChars="-12" w:left="-29"/>
              <w:jc w:val="both"/>
              <w:rPr>
                <w:rFonts w:ascii="標楷體" w:eastAsia="標楷體" w:hAnsi="標楷體"/>
                <w:color w:val="000000"/>
                <w:sz w:val="28"/>
              </w:rPr>
            </w:pPr>
          </w:p>
        </w:tc>
        <w:tc>
          <w:tcPr>
            <w:tcW w:w="487" w:type="pct"/>
          </w:tcPr>
          <w:p w:rsidR="0095519D" w:rsidRPr="002C2B2E" w:rsidRDefault="0095519D" w:rsidP="0095519D">
            <w:pPr>
              <w:jc w:val="both"/>
              <w:rPr>
                <w:rFonts w:ascii="標楷體" w:eastAsia="標楷體" w:hAnsi="標楷體"/>
                <w:color w:val="000000"/>
                <w:sz w:val="28"/>
                <w:szCs w:val="28"/>
              </w:rPr>
            </w:pPr>
          </w:p>
        </w:tc>
        <w:tc>
          <w:tcPr>
            <w:tcW w:w="1497" w:type="pct"/>
          </w:tcPr>
          <w:p w:rsidR="0095519D" w:rsidRPr="002C2B2E" w:rsidRDefault="0095519D" w:rsidP="0095519D">
            <w:pPr>
              <w:ind w:leftChars="21" w:left="302" w:hangingChars="105" w:hanging="252"/>
              <w:jc w:val="both"/>
              <w:rPr>
                <w:rFonts w:ascii="標楷體" w:eastAsia="標楷體" w:hAnsi="標楷體"/>
                <w:bCs/>
                <w:color w:val="000000"/>
              </w:rPr>
            </w:pPr>
            <w:r w:rsidRPr="002C2B2E">
              <w:rPr>
                <w:rFonts w:ascii="標楷體" w:eastAsia="標楷體" w:hAnsi="標楷體" w:hint="eastAsia"/>
                <w:bCs/>
                <w:color w:val="000000"/>
              </w:rPr>
              <w:t>1</w:t>
            </w:r>
            <w:r w:rsidRPr="002C2B2E">
              <w:rPr>
                <w:rFonts w:ascii="標楷體" w:eastAsia="標楷體" w:hAnsi="標楷體"/>
                <w:bCs/>
                <w:color w:val="000000"/>
              </w:rPr>
              <w:t>.</w:t>
            </w:r>
            <w:r w:rsidRPr="002C2B2E">
              <w:rPr>
                <w:rFonts w:ascii="標楷體" w:eastAsia="標楷體" w:hAnsi="標楷體" w:hint="eastAsia"/>
                <w:bCs/>
                <w:color w:val="000000"/>
              </w:rPr>
              <w:t>第</w:t>
            </w:r>
            <w:r w:rsidRPr="002C2B2E">
              <w:rPr>
                <w:rFonts w:ascii="標楷體" w:eastAsia="標楷體" w:hAnsi="標楷體"/>
                <w:bCs/>
                <w:color w:val="000000"/>
              </w:rPr>
              <w:t>5</w:t>
            </w:r>
            <w:r w:rsidRPr="002C2B2E">
              <w:rPr>
                <w:rFonts w:ascii="標楷體" w:eastAsia="標楷體" w:hAnsi="標楷體" w:hint="eastAsia"/>
                <w:bCs/>
                <w:color w:val="000000"/>
              </w:rPr>
              <w:t>會期第</w:t>
            </w:r>
            <w:r w:rsidRPr="002C2B2E">
              <w:rPr>
                <w:rFonts w:ascii="標楷體" w:eastAsia="標楷體" w:hAnsi="標楷體"/>
                <w:bCs/>
                <w:color w:val="000000"/>
              </w:rPr>
              <w:t>14</w:t>
            </w:r>
            <w:r w:rsidRPr="002C2B2E">
              <w:rPr>
                <w:rFonts w:ascii="標楷體" w:eastAsia="標楷體" w:hAnsi="標楷體" w:hint="eastAsia"/>
                <w:bCs/>
                <w:color w:val="000000"/>
              </w:rPr>
              <w:t>次全體委員會議(11</w:t>
            </w:r>
            <w:r w:rsidRPr="002C2B2E">
              <w:rPr>
                <w:rFonts w:ascii="標楷體" w:eastAsia="標楷體" w:hAnsi="標楷體"/>
                <w:bCs/>
                <w:color w:val="000000"/>
              </w:rPr>
              <w:t>1</w:t>
            </w:r>
            <w:r w:rsidRPr="002C2B2E">
              <w:rPr>
                <w:rFonts w:ascii="標楷體" w:eastAsia="標楷體" w:hAnsi="標楷體" w:hint="eastAsia"/>
                <w:bCs/>
                <w:color w:val="000000"/>
              </w:rPr>
              <w:t>.</w:t>
            </w:r>
            <w:r w:rsidRPr="002C2B2E">
              <w:rPr>
                <w:rFonts w:ascii="標楷體" w:eastAsia="標楷體" w:hAnsi="標楷體"/>
                <w:bCs/>
                <w:color w:val="000000"/>
              </w:rPr>
              <w:t>5</w:t>
            </w:r>
            <w:r w:rsidRPr="002C2B2E">
              <w:rPr>
                <w:rFonts w:ascii="標楷體" w:eastAsia="標楷體" w:hAnsi="標楷體" w:hint="eastAsia"/>
                <w:bCs/>
                <w:color w:val="000000"/>
              </w:rPr>
              <w:t>.</w:t>
            </w:r>
            <w:r w:rsidRPr="002C2B2E">
              <w:rPr>
                <w:rFonts w:ascii="標楷體" w:eastAsia="標楷體" w:hAnsi="標楷體"/>
                <w:bCs/>
                <w:color w:val="000000"/>
              </w:rPr>
              <w:t>19</w:t>
            </w:r>
            <w:r w:rsidRPr="002C2B2E">
              <w:rPr>
                <w:rFonts w:ascii="標楷體" w:eastAsia="標楷體" w:hAnsi="標楷體" w:hint="eastAsia"/>
                <w:bCs/>
                <w:color w:val="000000"/>
              </w:rPr>
              <w:t>)決議：准予動支，提報院會。</w:t>
            </w:r>
          </w:p>
          <w:p w:rsidR="0095519D" w:rsidRPr="002C2B2E" w:rsidRDefault="0095519D" w:rsidP="0095519D">
            <w:pPr>
              <w:ind w:leftChars="21" w:left="302" w:hangingChars="105" w:hanging="252"/>
              <w:jc w:val="both"/>
              <w:rPr>
                <w:rFonts w:ascii="標楷體" w:eastAsia="標楷體" w:hAnsi="標楷體"/>
                <w:color w:val="000000"/>
              </w:rPr>
            </w:pPr>
            <w:r w:rsidRPr="002C2B2E">
              <w:rPr>
                <w:rFonts w:ascii="標楷體" w:eastAsia="標楷體" w:hAnsi="標楷體"/>
                <w:bCs/>
                <w:color w:val="000000"/>
              </w:rPr>
              <w:t>2.</w:t>
            </w:r>
            <w:r w:rsidRPr="002C2B2E">
              <w:rPr>
                <w:rFonts w:ascii="標楷體" w:eastAsia="標楷體" w:hAnsi="標楷體" w:hint="eastAsia"/>
                <w:bCs/>
                <w:color w:val="000000"/>
              </w:rPr>
              <w:t>第</w:t>
            </w:r>
            <w:r w:rsidRPr="002C2B2E">
              <w:rPr>
                <w:rFonts w:ascii="標楷體" w:eastAsia="標楷體" w:hAnsi="標楷體"/>
                <w:bCs/>
                <w:color w:val="000000"/>
              </w:rPr>
              <w:t>6</w:t>
            </w:r>
            <w:r w:rsidRPr="002C2B2E">
              <w:rPr>
                <w:rFonts w:ascii="標楷體" w:eastAsia="標楷體" w:hAnsi="標楷體" w:hint="eastAsia"/>
                <w:bCs/>
                <w:color w:val="000000"/>
              </w:rPr>
              <w:t>會期第1次院會（11</w:t>
            </w:r>
            <w:r w:rsidRPr="002C2B2E">
              <w:rPr>
                <w:rFonts w:ascii="標楷體" w:eastAsia="標楷體" w:hAnsi="標楷體"/>
                <w:bCs/>
                <w:color w:val="000000"/>
              </w:rPr>
              <w:t>1</w:t>
            </w:r>
            <w:r w:rsidRPr="002C2B2E">
              <w:rPr>
                <w:rFonts w:ascii="標楷體" w:eastAsia="標楷體" w:hAnsi="標楷體" w:hint="eastAsia"/>
                <w:bCs/>
                <w:color w:val="000000"/>
              </w:rPr>
              <w:t>.</w:t>
            </w:r>
            <w:r w:rsidRPr="002C2B2E">
              <w:rPr>
                <w:rFonts w:ascii="標楷體" w:eastAsia="標楷體" w:hAnsi="標楷體"/>
                <w:bCs/>
                <w:color w:val="000000"/>
              </w:rPr>
              <w:t>9</w:t>
            </w:r>
            <w:r w:rsidRPr="002C2B2E">
              <w:rPr>
                <w:rFonts w:ascii="標楷體" w:eastAsia="標楷體" w:hAnsi="標楷體" w:hint="eastAsia"/>
                <w:bCs/>
                <w:color w:val="000000"/>
              </w:rPr>
              <w:t>.2</w:t>
            </w:r>
            <w:r w:rsidRPr="002C2B2E">
              <w:rPr>
                <w:rFonts w:ascii="標楷體" w:eastAsia="標楷體" w:hAnsi="標楷體"/>
                <w:bCs/>
                <w:color w:val="000000"/>
              </w:rPr>
              <w:t>3</w:t>
            </w:r>
            <w:r w:rsidRPr="002C2B2E">
              <w:rPr>
                <w:rFonts w:ascii="標楷體" w:eastAsia="標楷體" w:hAnsi="標楷體" w:hint="eastAsia"/>
                <w:bCs/>
                <w:color w:val="000000"/>
              </w:rPr>
              <w:t>）決定：准予備查。</w:t>
            </w:r>
          </w:p>
        </w:tc>
      </w:tr>
      <w:tr w:rsidR="0095519D" w:rsidRPr="00920597" w:rsidTr="001F3F42">
        <w:trPr>
          <w:trHeight w:val="567"/>
        </w:trPr>
        <w:tc>
          <w:tcPr>
            <w:tcW w:w="354" w:type="pct"/>
            <w:vAlign w:val="center"/>
          </w:tcPr>
          <w:p w:rsidR="0095519D" w:rsidRPr="00920597" w:rsidRDefault="0095519D" w:rsidP="006934DD">
            <w:pPr>
              <w:numPr>
                <w:ilvl w:val="0"/>
                <w:numId w:val="60"/>
              </w:numPr>
              <w:spacing w:line="400" w:lineRule="exact"/>
              <w:ind w:right="113"/>
              <w:rPr>
                <w:rFonts w:ascii="標楷體" w:eastAsia="標楷體" w:hAnsi="標楷體"/>
                <w:color w:val="000000" w:themeColor="text1"/>
                <w:sz w:val="28"/>
                <w:szCs w:val="28"/>
              </w:rPr>
            </w:pPr>
          </w:p>
        </w:tc>
        <w:tc>
          <w:tcPr>
            <w:tcW w:w="1804" w:type="pct"/>
          </w:tcPr>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hint="eastAsia"/>
                <w:color w:val="000000"/>
                <w:sz w:val="28"/>
              </w:rPr>
              <w:t>中央研究院函，為111年度中央政府總預算決議，檢送凍結第2目第2節項下「人才培育及延攬計畫」100萬元書面報告，請查照案。</w:t>
            </w:r>
          </w:p>
        </w:tc>
        <w:tc>
          <w:tcPr>
            <w:tcW w:w="858" w:type="pct"/>
          </w:tcPr>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hint="eastAsia"/>
                <w:color w:val="000000"/>
                <w:sz w:val="28"/>
              </w:rPr>
              <w:t>10-5-7</w:t>
            </w:r>
          </w:p>
          <w:p w:rsidR="0095519D" w:rsidRPr="0095519D" w:rsidRDefault="0095519D" w:rsidP="0095519D">
            <w:pPr>
              <w:spacing w:line="400" w:lineRule="exact"/>
              <w:ind w:leftChars="-12" w:left="-29"/>
              <w:rPr>
                <w:rFonts w:ascii="標楷體" w:eastAsia="標楷體" w:hAnsi="標楷體"/>
                <w:color w:val="000000"/>
                <w:sz w:val="28"/>
              </w:rPr>
            </w:pPr>
            <w:r w:rsidRPr="0095519D">
              <w:rPr>
                <w:rFonts w:ascii="標楷體" w:eastAsia="標楷體" w:hAnsi="標楷體" w:hint="eastAsia"/>
                <w:color w:val="000000"/>
                <w:sz w:val="28"/>
              </w:rPr>
              <w:t>(111.4.8)</w:t>
            </w:r>
          </w:p>
          <w:p w:rsidR="0095519D" w:rsidRPr="0095519D" w:rsidRDefault="0095519D" w:rsidP="0095519D">
            <w:pPr>
              <w:spacing w:line="400" w:lineRule="exact"/>
              <w:ind w:leftChars="-12" w:left="-29"/>
              <w:jc w:val="both"/>
              <w:rPr>
                <w:rFonts w:ascii="標楷體" w:eastAsia="標楷體" w:hAnsi="標楷體"/>
                <w:color w:val="000000"/>
                <w:sz w:val="28"/>
              </w:rPr>
            </w:pPr>
          </w:p>
        </w:tc>
        <w:tc>
          <w:tcPr>
            <w:tcW w:w="487" w:type="pct"/>
          </w:tcPr>
          <w:p w:rsidR="0095519D" w:rsidRPr="002C2B2E" w:rsidRDefault="0095519D" w:rsidP="0095519D">
            <w:pPr>
              <w:jc w:val="both"/>
              <w:rPr>
                <w:rFonts w:ascii="標楷體" w:eastAsia="標楷體" w:hAnsi="標楷體"/>
                <w:color w:val="000000"/>
                <w:sz w:val="28"/>
                <w:szCs w:val="28"/>
              </w:rPr>
            </w:pPr>
          </w:p>
        </w:tc>
        <w:tc>
          <w:tcPr>
            <w:tcW w:w="1497" w:type="pct"/>
          </w:tcPr>
          <w:p w:rsidR="0095519D" w:rsidRPr="002C2B2E" w:rsidRDefault="0095519D" w:rsidP="0095519D">
            <w:pPr>
              <w:ind w:leftChars="21" w:left="302" w:hangingChars="105" w:hanging="252"/>
              <w:jc w:val="both"/>
              <w:rPr>
                <w:rFonts w:ascii="標楷體" w:eastAsia="標楷體" w:hAnsi="標楷體"/>
                <w:bCs/>
                <w:color w:val="000000"/>
              </w:rPr>
            </w:pPr>
            <w:r w:rsidRPr="002C2B2E">
              <w:rPr>
                <w:rFonts w:ascii="標楷體" w:eastAsia="標楷體" w:hAnsi="標楷體" w:hint="eastAsia"/>
                <w:bCs/>
                <w:color w:val="000000"/>
              </w:rPr>
              <w:t>1</w:t>
            </w:r>
            <w:r w:rsidRPr="002C2B2E">
              <w:rPr>
                <w:rFonts w:ascii="標楷體" w:eastAsia="標楷體" w:hAnsi="標楷體"/>
                <w:bCs/>
                <w:color w:val="000000"/>
              </w:rPr>
              <w:t>.</w:t>
            </w:r>
            <w:r w:rsidRPr="002C2B2E">
              <w:rPr>
                <w:rFonts w:ascii="標楷體" w:eastAsia="標楷體" w:hAnsi="標楷體" w:hint="eastAsia"/>
                <w:bCs/>
                <w:color w:val="000000"/>
              </w:rPr>
              <w:t>第</w:t>
            </w:r>
            <w:r w:rsidRPr="002C2B2E">
              <w:rPr>
                <w:rFonts w:ascii="標楷體" w:eastAsia="標楷體" w:hAnsi="標楷體"/>
                <w:bCs/>
                <w:color w:val="000000"/>
              </w:rPr>
              <w:t>5</w:t>
            </w:r>
            <w:r w:rsidRPr="002C2B2E">
              <w:rPr>
                <w:rFonts w:ascii="標楷體" w:eastAsia="標楷體" w:hAnsi="標楷體" w:hint="eastAsia"/>
                <w:bCs/>
                <w:color w:val="000000"/>
              </w:rPr>
              <w:t>會期第</w:t>
            </w:r>
            <w:r w:rsidRPr="002C2B2E">
              <w:rPr>
                <w:rFonts w:ascii="標楷體" w:eastAsia="標楷體" w:hAnsi="標楷體"/>
                <w:bCs/>
                <w:color w:val="000000"/>
              </w:rPr>
              <w:t>14</w:t>
            </w:r>
            <w:r w:rsidRPr="002C2B2E">
              <w:rPr>
                <w:rFonts w:ascii="標楷體" w:eastAsia="標楷體" w:hAnsi="標楷體" w:hint="eastAsia"/>
                <w:bCs/>
                <w:color w:val="000000"/>
              </w:rPr>
              <w:t>次全體委員會議(11</w:t>
            </w:r>
            <w:r w:rsidRPr="002C2B2E">
              <w:rPr>
                <w:rFonts w:ascii="標楷體" w:eastAsia="標楷體" w:hAnsi="標楷體"/>
                <w:bCs/>
                <w:color w:val="000000"/>
              </w:rPr>
              <w:t>1</w:t>
            </w:r>
            <w:r w:rsidRPr="002C2B2E">
              <w:rPr>
                <w:rFonts w:ascii="標楷體" w:eastAsia="標楷體" w:hAnsi="標楷體" w:hint="eastAsia"/>
                <w:bCs/>
                <w:color w:val="000000"/>
              </w:rPr>
              <w:t>.</w:t>
            </w:r>
            <w:r w:rsidRPr="002C2B2E">
              <w:rPr>
                <w:rFonts w:ascii="標楷體" w:eastAsia="標楷體" w:hAnsi="標楷體"/>
                <w:bCs/>
                <w:color w:val="000000"/>
              </w:rPr>
              <w:t>5</w:t>
            </w:r>
            <w:r w:rsidRPr="002C2B2E">
              <w:rPr>
                <w:rFonts w:ascii="標楷體" w:eastAsia="標楷體" w:hAnsi="標楷體" w:hint="eastAsia"/>
                <w:bCs/>
                <w:color w:val="000000"/>
              </w:rPr>
              <w:t>.</w:t>
            </w:r>
            <w:r w:rsidRPr="002C2B2E">
              <w:rPr>
                <w:rFonts w:ascii="標楷體" w:eastAsia="標楷體" w:hAnsi="標楷體"/>
                <w:bCs/>
                <w:color w:val="000000"/>
              </w:rPr>
              <w:t>19</w:t>
            </w:r>
            <w:r w:rsidRPr="002C2B2E">
              <w:rPr>
                <w:rFonts w:ascii="標楷體" w:eastAsia="標楷體" w:hAnsi="標楷體" w:hint="eastAsia"/>
                <w:bCs/>
                <w:color w:val="000000"/>
              </w:rPr>
              <w:t>)決議：准予動支，提報院會。</w:t>
            </w:r>
          </w:p>
          <w:p w:rsidR="0095519D" w:rsidRPr="002C2B2E" w:rsidRDefault="0095519D" w:rsidP="0095519D">
            <w:pPr>
              <w:ind w:leftChars="21" w:left="302" w:hangingChars="105" w:hanging="252"/>
              <w:jc w:val="both"/>
              <w:rPr>
                <w:rFonts w:ascii="標楷體" w:eastAsia="標楷體" w:hAnsi="標楷體"/>
                <w:color w:val="000000"/>
              </w:rPr>
            </w:pPr>
            <w:r w:rsidRPr="002C2B2E">
              <w:rPr>
                <w:rFonts w:ascii="標楷體" w:eastAsia="標楷體" w:hAnsi="標楷體"/>
                <w:bCs/>
                <w:color w:val="000000"/>
              </w:rPr>
              <w:t>2.</w:t>
            </w:r>
            <w:r w:rsidRPr="002C2B2E">
              <w:rPr>
                <w:rFonts w:ascii="標楷體" w:eastAsia="標楷體" w:hAnsi="標楷體" w:hint="eastAsia"/>
                <w:bCs/>
                <w:color w:val="000000"/>
              </w:rPr>
              <w:t>第</w:t>
            </w:r>
            <w:r w:rsidRPr="002C2B2E">
              <w:rPr>
                <w:rFonts w:ascii="標楷體" w:eastAsia="標楷體" w:hAnsi="標楷體"/>
                <w:bCs/>
                <w:color w:val="000000"/>
              </w:rPr>
              <w:t>6</w:t>
            </w:r>
            <w:r w:rsidRPr="002C2B2E">
              <w:rPr>
                <w:rFonts w:ascii="標楷體" w:eastAsia="標楷體" w:hAnsi="標楷體" w:hint="eastAsia"/>
                <w:bCs/>
                <w:color w:val="000000"/>
              </w:rPr>
              <w:t>會期第1次院會（11</w:t>
            </w:r>
            <w:r w:rsidRPr="002C2B2E">
              <w:rPr>
                <w:rFonts w:ascii="標楷體" w:eastAsia="標楷體" w:hAnsi="標楷體"/>
                <w:bCs/>
                <w:color w:val="000000"/>
              </w:rPr>
              <w:t>1</w:t>
            </w:r>
            <w:r w:rsidRPr="002C2B2E">
              <w:rPr>
                <w:rFonts w:ascii="標楷體" w:eastAsia="標楷體" w:hAnsi="標楷體" w:hint="eastAsia"/>
                <w:bCs/>
                <w:color w:val="000000"/>
              </w:rPr>
              <w:t>.</w:t>
            </w:r>
            <w:r w:rsidRPr="002C2B2E">
              <w:rPr>
                <w:rFonts w:ascii="標楷體" w:eastAsia="標楷體" w:hAnsi="標楷體"/>
                <w:bCs/>
                <w:color w:val="000000"/>
              </w:rPr>
              <w:t>9</w:t>
            </w:r>
            <w:r w:rsidRPr="002C2B2E">
              <w:rPr>
                <w:rFonts w:ascii="標楷體" w:eastAsia="標楷體" w:hAnsi="標楷體" w:hint="eastAsia"/>
                <w:bCs/>
                <w:color w:val="000000"/>
              </w:rPr>
              <w:t>.2</w:t>
            </w:r>
            <w:r w:rsidRPr="002C2B2E">
              <w:rPr>
                <w:rFonts w:ascii="標楷體" w:eastAsia="標楷體" w:hAnsi="標楷體"/>
                <w:bCs/>
                <w:color w:val="000000"/>
              </w:rPr>
              <w:t>3</w:t>
            </w:r>
            <w:r w:rsidRPr="002C2B2E">
              <w:rPr>
                <w:rFonts w:ascii="標楷體" w:eastAsia="標楷體" w:hAnsi="標楷體" w:hint="eastAsia"/>
                <w:bCs/>
                <w:color w:val="000000"/>
              </w:rPr>
              <w:t>）決定：准予備查。</w:t>
            </w:r>
          </w:p>
        </w:tc>
      </w:tr>
      <w:tr w:rsidR="0095519D" w:rsidRPr="00920597" w:rsidTr="001F3F42">
        <w:trPr>
          <w:trHeight w:val="567"/>
        </w:trPr>
        <w:tc>
          <w:tcPr>
            <w:tcW w:w="354" w:type="pct"/>
            <w:vAlign w:val="center"/>
          </w:tcPr>
          <w:p w:rsidR="0095519D" w:rsidRPr="00920597" w:rsidRDefault="0095519D" w:rsidP="006934DD">
            <w:pPr>
              <w:numPr>
                <w:ilvl w:val="0"/>
                <w:numId w:val="60"/>
              </w:numPr>
              <w:spacing w:line="400" w:lineRule="exact"/>
              <w:ind w:right="113"/>
              <w:rPr>
                <w:rFonts w:ascii="標楷體" w:eastAsia="標楷體" w:hAnsi="標楷體"/>
                <w:color w:val="000000" w:themeColor="text1"/>
                <w:sz w:val="28"/>
                <w:szCs w:val="28"/>
              </w:rPr>
            </w:pPr>
          </w:p>
        </w:tc>
        <w:tc>
          <w:tcPr>
            <w:tcW w:w="1804" w:type="pct"/>
          </w:tcPr>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hint="eastAsia"/>
                <w:color w:val="000000"/>
                <w:sz w:val="28"/>
              </w:rPr>
              <w:t>中央研究院函，為111年度中央政府總預算決議，檢送凍結第2目第2節項下「學術規劃及交流合作」百分之五書面報告，請查照案。</w:t>
            </w:r>
          </w:p>
        </w:tc>
        <w:tc>
          <w:tcPr>
            <w:tcW w:w="858" w:type="pct"/>
          </w:tcPr>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hint="eastAsia"/>
                <w:color w:val="000000"/>
                <w:sz w:val="28"/>
              </w:rPr>
              <w:t>10-5-7</w:t>
            </w:r>
          </w:p>
          <w:p w:rsidR="0095519D" w:rsidRPr="0095519D" w:rsidRDefault="0095519D" w:rsidP="0095519D">
            <w:pPr>
              <w:spacing w:line="400" w:lineRule="exact"/>
              <w:ind w:leftChars="-12" w:left="-29"/>
              <w:rPr>
                <w:rFonts w:ascii="標楷體" w:eastAsia="標楷體" w:hAnsi="標楷體"/>
                <w:color w:val="000000"/>
                <w:sz w:val="28"/>
              </w:rPr>
            </w:pPr>
            <w:r w:rsidRPr="0095519D">
              <w:rPr>
                <w:rFonts w:ascii="標楷體" w:eastAsia="標楷體" w:hAnsi="標楷體" w:hint="eastAsia"/>
                <w:color w:val="000000"/>
                <w:sz w:val="28"/>
              </w:rPr>
              <w:t>(111.4.8)</w:t>
            </w:r>
          </w:p>
          <w:p w:rsidR="0095519D" w:rsidRPr="0095519D" w:rsidRDefault="0095519D" w:rsidP="0095519D">
            <w:pPr>
              <w:spacing w:line="400" w:lineRule="exact"/>
              <w:ind w:leftChars="-12" w:left="-29"/>
              <w:jc w:val="both"/>
              <w:rPr>
                <w:rFonts w:ascii="標楷體" w:eastAsia="標楷體" w:hAnsi="標楷體"/>
                <w:color w:val="000000"/>
                <w:sz w:val="28"/>
              </w:rPr>
            </w:pPr>
          </w:p>
        </w:tc>
        <w:tc>
          <w:tcPr>
            <w:tcW w:w="487" w:type="pct"/>
          </w:tcPr>
          <w:p w:rsidR="0095519D" w:rsidRPr="002C2B2E" w:rsidRDefault="0095519D" w:rsidP="0095519D">
            <w:pPr>
              <w:jc w:val="both"/>
              <w:rPr>
                <w:rFonts w:ascii="標楷體" w:eastAsia="標楷體" w:hAnsi="標楷體"/>
                <w:color w:val="000000"/>
                <w:sz w:val="28"/>
                <w:szCs w:val="28"/>
              </w:rPr>
            </w:pPr>
          </w:p>
        </w:tc>
        <w:tc>
          <w:tcPr>
            <w:tcW w:w="1497" w:type="pct"/>
          </w:tcPr>
          <w:p w:rsidR="0095519D" w:rsidRPr="002C2B2E" w:rsidRDefault="0095519D" w:rsidP="0095519D">
            <w:pPr>
              <w:ind w:leftChars="21" w:left="302" w:hangingChars="105" w:hanging="252"/>
              <w:jc w:val="both"/>
              <w:rPr>
                <w:rFonts w:ascii="標楷體" w:eastAsia="標楷體" w:hAnsi="標楷體"/>
                <w:bCs/>
                <w:color w:val="000000"/>
              </w:rPr>
            </w:pPr>
            <w:r w:rsidRPr="002C2B2E">
              <w:rPr>
                <w:rFonts w:ascii="標楷體" w:eastAsia="標楷體" w:hAnsi="標楷體" w:hint="eastAsia"/>
                <w:bCs/>
                <w:color w:val="000000"/>
              </w:rPr>
              <w:t>1</w:t>
            </w:r>
            <w:r w:rsidRPr="002C2B2E">
              <w:rPr>
                <w:rFonts w:ascii="標楷體" w:eastAsia="標楷體" w:hAnsi="標楷體"/>
                <w:bCs/>
                <w:color w:val="000000"/>
              </w:rPr>
              <w:t>.</w:t>
            </w:r>
            <w:r w:rsidRPr="002C2B2E">
              <w:rPr>
                <w:rFonts w:ascii="標楷體" w:eastAsia="標楷體" w:hAnsi="標楷體" w:hint="eastAsia"/>
                <w:bCs/>
                <w:color w:val="000000"/>
              </w:rPr>
              <w:t>第</w:t>
            </w:r>
            <w:r w:rsidRPr="002C2B2E">
              <w:rPr>
                <w:rFonts w:ascii="標楷體" w:eastAsia="標楷體" w:hAnsi="標楷體"/>
                <w:bCs/>
                <w:color w:val="000000"/>
              </w:rPr>
              <w:t>5</w:t>
            </w:r>
            <w:r w:rsidRPr="002C2B2E">
              <w:rPr>
                <w:rFonts w:ascii="標楷體" w:eastAsia="標楷體" w:hAnsi="標楷體" w:hint="eastAsia"/>
                <w:bCs/>
                <w:color w:val="000000"/>
              </w:rPr>
              <w:t>會期第</w:t>
            </w:r>
            <w:r w:rsidRPr="002C2B2E">
              <w:rPr>
                <w:rFonts w:ascii="標楷體" w:eastAsia="標楷體" w:hAnsi="標楷體"/>
                <w:bCs/>
                <w:color w:val="000000"/>
              </w:rPr>
              <w:t>14</w:t>
            </w:r>
            <w:r w:rsidRPr="002C2B2E">
              <w:rPr>
                <w:rFonts w:ascii="標楷體" w:eastAsia="標楷體" w:hAnsi="標楷體" w:hint="eastAsia"/>
                <w:bCs/>
                <w:color w:val="000000"/>
              </w:rPr>
              <w:t>次全體委員會議(11</w:t>
            </w:r>
            <w:r w:rsidRPr="002C2B2E">
              <w:rPr>
                <w:rFonts w:ascii="標楷體" w:eastAsia="標楷體" w:hAnsi="標楷體"/>
                <w:bCs/>
                <w:color w:val="000000"/>
              </w:rPr>
              <w:t>1</w:t>
            </w:r>
            <w:r w:rsidRPr="002C2B2E">
              <w:rPr>
                <w:rFonts w:ascii="標楷體" w:eastAsia="標楷體" w:hAnsi="標楷體" w:hint="eastAsia"/>
                <w:bCs/>
                <w:color w:val="000000"/>
              </w:rPr>
              <w:t>.</w:t>
            </w:r>
            <w:r w:rsidRPr="002C2B2E">
              <w:rPr>
                <w:rFonts w:ascii="標楷體" w:eastAsia="標楷體" w:hAnsi="標楷體"/>
                <w:bCs/>
                <w:color w:val="000000"/>
              </w:rPr>
              <w:t>5</w:t>
            </w:r>
            <w:r w:rsidRPr="002C2B2E">
              <w:rPr>
                <w:rFonts w:ascii="標楷體" w:eastAsia="標楷體" w:hAnsi="標楷體" w:hint="eastAsia"/>
                <w:bCs/>
                <w:color w:val="000000"/>
              </w:rPr>
              <w:t>.</w:t>
            </w:r>
            <w:r w:rsidRPr="002C2B2E">
              <w:rPr>
                <w:rFonts w:ascii="標楷體" w:eastAsia="標楷體" w:hAnsi="標楷體"/>
                <w:bCs/>
                <w:color w:val="000000"/>
              </w:rPr>
              <w:t>19</w:t>
            </w:r>
            <w:r w:rsidRPr="002C2B2E">
              <w:rPr>
                <w:rFonts w:ascii="標楷體" w:eastAsia="標楷體" w:hAnsi="標楷體" w:hint="eastAsia"/>
                <w:bCs/>
                <w:color w:val="000000"/>
              </w:rPr>
              <w:t>)決議：准予動支，提報院會。</w:t>
            </w:r>
          </w:p>
          <w:p w:rsidR="0095519D" w:rsidRPr="002C2B2E" w:rsidRDefault="0095519D" w:rsidP="0095519D">
            <w:pPr>
              <w:ind w:leftChars="21" w:left="302" w:hangingChars="105" w:hanging="252"/>
              <w:jc w:val="both"/>
              <w:rPr>
                <w:rFonts w:ascii="標楷體" w:eastAsia="標楷體" w:hAnsi="標楷體"/>
                <w:color w:val="000000"/>
              </w:rPr>
            </w:pPr>
            <w:r w:rsidRPr="002C2B2E">
              <w:rPr>
                <w:rFonts w:ascii="標楷體" w:eastAsia="標楷體" w:hAnsi="標楷體"/>
                <w:bCs/>
                <w:color w:val="000000"/>
              </w:rPr>
              <w:t>2.</w:t>
            </w:r>
            <w:r w:rsidRPr="002C2B2E">
              <w:rPr>
                <w:rFonts w:ascii="標楷體" w:eastAsia="標楷體" w:hAnsi="標楷體" w:hint="eastAsia"/>
                <w:bCs/>
                <w:color w:val="000000"/>
              </w:rPr>
              <w:t>第</w:t>
            </w:r>
            <w:r w:rsidRPr="002C2B2E">
              <w:rPr>
                <w:rFonts w:ascii="標楷體" w:eastAsia="標楷體" w:hAnsi="標楷體"/>
                <w:bCs/>
                <w:color w:val="000000"/>
              </w:rPr>
              <w:t>6</w:t>
            </w:r>
            <w:r w:rsidRPr="002C2B2E">
              <w:rPr>
                <w:rFonts w:ascii="標楷體" w:eastAsia="標楷體" w:hAnsi="標楷體" w:hint="eastAsia"/>
                <w:bCs/>
                <w:color w:val="000000"/>
              </w:rPr>
              <w:t>會期第1次院會（11</w:t>
            </w:r>
            <w:r w:rsidRPr="002C2B2E">
              <w:rPr>
                <w:rFonts w:ascii="標楷體" w:eastAsia="標楷體" w:hAnsi="標楷體"/>
                <w:bCs/>
                <w:color w:val="000000"/>
              </w:rPr>
              <w:t>1</w:t>
            </w:r>
            <w:r w:rsidRPr="002C2B2E">
              <w:rPr>
                <w:rFonts w:ascii="標楷體" w:eastAsia="標楷體" w:hAnsi="標楷體" w:hint="eastAsia"/>
                <w:bCs/>
                <w:color w:val="000000"/>
              </w:rPr>
              <w:t>.</w:t>
            </w:r>
            <w:r w:rsidRPr="002C2B2E">
              <w:rPr>
                <w:rFonts w:ascii="標楷體" w:eastAsia="標楷體" w:hAnsi="標楷體"/>
                <w:bCs/>
                <w:color w:val="000000"/>
              </w:rPr>
              <w:t>9</w:t>
            </w:r>
            <w:r w:rsidRPr="002C2B2E">
              <w:rPr>
                <w:rFonts w:ascii="標楷體" w:eastAsia="標楷體" w:hAnsi="標楷體" w:hint="eastAsia"/>
                <w:bCs/>
                <w:color w:val="000000"/>
              </w:rPr>
              <w:t>.2</w:t>
            </w:r>
            <w:r w:rsidRPr="002C2B2E">
              <w:rPr>
                <w:rFonts w:ascii="標楷體" w:eastAsia="標楷體" w:hAnsi="標楷體"/>
                <w:bCs/>
                <w:color w:val="000000"/>
              </w:rPr>
              <w:t>3</w:t>
            </w:r>
            <w:r w:rsidRPr="002C2B2E">
              <w:rPr>
                <w:rFonts w:ascii="標楷體" w:eastAsia="標楷體" w:hAnsi="標楷體" w:hint="eastAsia"/>
                <w:bCs/>
                <w:color w:val="000000"/>
              </w:rPr>
              <w:t>）決定：准予備查。</w:t>
            </w:r>
          </w:p>
        </w:tc>
      </w:tr>
      <w:tr w:rsidR="0095519D" w:rsidRPr="00920597" w:rsidTr="001F3F42">
        <w:trPr>
          <w:trHeight w:val="567"/>
        </w:trPr>
        <w:tc>
          <w:tcPr>
            <w:tcW w:w="354" w:type="pct"/>
            <w:vAlign w:val="center"/>
          </w:tcPr>
          <w:p w:rsidR="0095519D" w:rsidRPr="00920597" w:rsidRDefault="0095519D" w:rsidP="006934DD">
            <w:pPr>
              <w:numPr>
                <w:ilvl w:val="0"/>
                <w:numId w:val="60"/>
              </w:numPr>
              <w:spacing w:line="400" w:lineRule="exact"/>
              <w:ind w:right="113"/>
              <w:rPr>
                <w:rFonts w:ascii="標楷體" w:eastAsia="標楷體" w:hAnsi="標楷體"/>
                <w:color w:val="000000" w:themeColor="text1"/>
                <w:sz w:val="28"/>
                <w:szCs w:val="28"/>
              </w:rPr>
            </w:pPr>
          </w:p>
        </w:tc>
        <w:tc>
          <w:tcPr>
            <w:tcW w:w="1804" w:type="pct"/>
          </w:tcPr>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hint="eastAsia"/>
                <w:color w:val="000000"/>
                <w:sz w:val="28"/>
              </w:rPr>
              <w:t>中央研究院函，為111年度中央政府總預算決議，檢送凍結第2目第2節項下「跨領域開發及研究設施之改善」中「創新性研究計畫」100萬元書面報告，請查照案。</w:t>
            </w:r>
          </w:p>
        </w:tc>
        <w:tc>
          <w:tcPr>
            <w:tcW w:w="858" w:type="pct"/>
          </w:tcPr>
          <w:p w:rsidR="0095519D" w:rsidRPr="0095519D" w:rsidRDefault="0095519D" w:rsidP="0095519D">
            <w:pPr>
              <w:spacing w:line="400" w:lineRule="exact"/>
              <w:ind w:leftChars="-12" w:left="-29"/>
              <w:jc w:val="both"/>
              <w:rPr>
                <w:rFonts w:ascii="標楷體" w:eastAsia="標楷體" w:hAnsi="標楷體"/>
                <w:color w:val="000000"/>
                <w:sz w:val="28"/>
              </w:rPr>
            </w:pPr>
            <w:r w:rsidRPr="0095519D">
              <w:rPr>
                <w:rFonts w:ascii="標楷體" w:eastAsia="標楷體" w:hAnsi="標楷體" w:hint="eastAsia"/>
                <w:color w:val="000000"/>
                <w:sz w:val="28"/>
              </w:rPr>
              <w:t>10-5-7</w:t>
            </w:r>
          </w:p>
          <w:p w:rsidR="0095519D" w:rsidRPr="0095519D" w:rsidRDefault="0095519D" w:rsidP="0095519D">
            <w:pPr>
              <w:spacing w:line="400" w:lineRule="exact"/>
              <w:ind w:leftChars="-12" w:left="-29"/>
              <w:rPr>
                <w:rFonts w:ascii="標楷體" w:eastAsia="標楷體" w:hAnsi="標楷體"/>
                <w:color w:val="000000"/>
                <w:sz w:val="28"/>
              </w:rPr>
            </w:pPr>
            <w:r w:rsidRPr="0095519D">
              <w:rPr>
                <w:rFonts w:ascii="標楷體" w:eastAsia="標楷體" w:hAnsi="標楷體" w:hint="eastAsia"/>
                <w:color w:val="000000"/>
                <w:sz w:val="28"/>
              </w:rPr>
              <w:t>(111.4.8)</w:t>
            </w:r>
          </w:p>
          <w:p w:rsidR="0095519D" w:rsidRPr="0095519D" w:rsidRDefault="0095519D" w:rsidP="0095519D">
            <w:pPr>
              <w:spacing w:line="400" w:lineRule="exact"/>
              <w:ind w:leftChars="-12" w:left="-29"/>
              <w:jc w:val="both"/>
              <w:rPr>
                <w:rFonts w:ascii="標楷體" w:eastAsia="標楷體" w:hAnsi="標楷體"/>
                <w:color w:val="000000"/>
                <w:sz w:val="28"/>
              </w:rPr>
            </w:pPr>
          </w:p>
        </w:tc>
        <w:tc>
          <w:tcPr>
            <w:tcW w:w="487" w:type="pct"/>
          </w:tcPr>
          <w:p w:rsidR="0095519D" w:rsidRPr="002C2B2E" w:rsidRDefault="0095519D" w:rsidP="0095519D">
            <w:pPr>
              <w:jc w:val="both"/>
              <w:rPr>
                <w:rFonts w:ascii="標楷體" w:eastAsia="標楷體" w:hAnsi="標楷體"/>
                <w:color w:val="000000"/>
                <w:sz w:val="28"/>
                <w:szCs w:val="28"/>
              </w:rPr>
            </w:pPr>
          </w:p>
        </w:tc>
        <w:tc>
          <w:tcPr>
            <w:tcW w:w="1497" w:type="pct"/>
          </w:tcPr>
          <w:p w:rsidR="0095519D" w:rsidRPr="002C2B2E" w:rsidRDefault="0095519D" w:rsidP="0095519D">
            <w:pPr>
              <w:ind w:leftChars="21" w:left="302" w:hangingChars="105" w:hanging="252"/>
              <w:jc w:val="both"/>
              <w:rPr>
                <w:rFonts w:ascii="標楷體" w:eastAsia="標楷體" w:hAnsi="標楷體"/>
                <w:bCs/>
                <w:color w:val="000000"/>
              </w:rPr>
            </w:pPr>
            <w:r w:rsidRPr="002C2B2E">
              <w:rPr>
                <w:rFonts w:ascii="標楷體" w:eastAsia="標楷體" w:hAnsi="標楷體" w:hint="eastAsia"/>
                <w:bCs/>
                <w:color w:val="000000"/>
              </w:rPr>
              <w:t>1</w:t>
            </w:r>
            <w:r w:rsidRPr="002C2B2E">
              <w:rPr>
                <w:rFonts w:ascii="標楷體" w:eastAsia="標楷體" w:hAnsi="標楷體"/>
                <w:bCs/>
                <w:color w:val="000000"/>
              </w:rPr>
              <w:t>.</w:t>
            </w:r>
            <w:r w:rsidRPr="002C2B2E">
              <w:rPr>
                <w:rFonts w:ascii="標楷體" w:eastAsia="標楷體" w:hAnsi="標楷體" w:hint="eastAsia"/>
                <w:bCs/>
                <w:color w:val="000000"/>
              </w:rPr>
              <w:t>第</w:t>
            </w:r>
            <w:r w:rsidRPr="002C2B2E">
              <w:rPr>
                <w:rFonts w:ascii="標楷體" w:eastAsia="標楷體" w:hAnsi="標楷體"/>
                <w:bCs/>
                <w:color w:val="000000"/>
              </w:rPr>
              <w:t>5</w:t>
            </w:r>
            <w:r w:rsidRPr="002C2B2E">
              <w:rPr>
                <w:rFonts w:ascii="標楷體" w:eastAsia="標楷體" w:hAnsi="標楷體" w:hint="eastAsia"/>
                <w:bCs/>
                <w:color w:val="000000"/>
              </w:rPr>
              <w:t>會期第</w:t>
            </w:r>
            <w:r w:rsidRPr="002C2B2E">
              <w:rPr>
                <w:rFonts w:ascii="標楷體" w:eastAsia="標楷體" w:hAnsi="標楷體"/>
                <w:bCs/>
                <w:color w:val="000000"/>
              </w:rPr>
              <w:t>14</w:t>
            </w:r>
            <w:r w:rsidRPr="002C2B2E">
              <w:rPr>
                <w:rFonts w:ascii="標楷體" w:eastAsia="標楷體" w:hAnsi="標楷體" w:hint="eastAsia"/>
                <w:bCs/>
                <w:color w:val="000000"/>
              </w:rPr>
              <w:t>次全體委員會議(11</w:t>
            </w:r>
            <w:r w:rsidRPr="002C2B2E">
              <w:rPr>
                <w:rFonts w:ascii="標楷體" w:eastAsia="標楷體" w:hAnsi="標楷體"/>
                <w:bCs/>
                <w:color w:val="000000"/>
              </w:rPr>
              <w:t>1</w:t>
            </w:r>
            <w:r w:rsidRPr="002C2B2E">
              <w:rPr>
                <w:rFonts w:ascii="標楷體" w:eastAsia="標楷體" w:hAnsi="標楷體" w:hint="eastAsia"/>
                <w:bCs/>
                <w:color w:val="000000"/>
              </w:rPr>
              <w:t>.</w:t>
            </w:r>
            <w:r w:rsidRPr="002C2B2E">
              <w:rPr>
                <w:rFonts w:ascii="標楷體" w:eastAsia="標楷體" w:hAnsi="標楷體"/>
                <w:bCs/>
                <w:color w:val="000000"/>
              </w:rPr>
              <w:t>5</w:t>
            </w:r>
            <w:r w:rsidRPr="002C2B2E">
              <w:rPr>
                <w:rFonts w:ascii="標楷體" w:eastAsia="標楷體" w:hAnsi="標楷體" w:hint="eastAsia"/>
                <w:bCs/>
                <w:color w:val="000000"/>
              </w:rPr>
              <w:t>.</w:t>
            </w:r>
            <w:r w:rsidRPr="002C2B2E">
              <w:rPr>
                <w:rFonts w:ascii="標楷體" w:eastAsia="標楷體" w:hAnsi="標楷體"/>
                <w:bCs/>
                <w:color w:val="000000"/>
              </w:rPr>
              <w:t>19</w:t>
            </w:r>
            <w:r w:rsidRPr="002C2B2E">
              <w:rPr>
                <w:rFonts w:ascii="標楷體" w:eastAsia="標楷體" w:hAnsi="標楷體" w:hint="eastAsia"/>
                <w:bCs/>
                <w:color w:val="000000"/>
              </w:rPr>
              <w:t>)決議：准予動支，提報院會。</w:t>
            </w:r>
          </w:p>
          <w:p w:rsidR="0095519D" w:rsidRPr="002C2B2E" w:rsidRDefault="0095519D" w:rsidP="0095519D">
            <w:pPr>
              <w:ind w:leftChars="21" w:left="302" w:hangingChars="105" w:hanging="252"/>
              <w:jc w:val="both"/>
              <w:rPr>
                <w:rFonts w:ascii="標楷體" w:eastAsia="標楷體" w:hAnsi="標楷體"/>
                <w:color w:val="000000"/>
              </w:rPr>
            </w:pPr>
            <w:r w:rsidRPr="002C2B2E">
              <w:rPr>
                <w:rFonts w:ascii="標楷體" w:eastAsia="標楷體" w:hAnsi="標楷體"/>
                <w:bCs/>
                <w:color w:val="000000"/>
              </w:rPr>
              <w:t>2.</w:t>
            </w:r>
            <w:r w:rsidRPr="002C2B2E">
              <w:rPr>
                <w:rFonts w:ascii="標楷體" w:eastAsia="標楷體" w:hAnsi="標楷體" w:hint="eastAsia"/>
                <w:bCs/>
                <w:color w:val="000000"/>
              </w:rPr>
              <w:t>第</w:t>
            </w:r>
            <w:r w:rsidRPr="002C2B2E">
              <w:rPr>
                <w:rFonts w:ascii="標楷體" w:eastAsia="標楷體" w:hAnsi="標楷體"/>
                <w:bCs/>
                <w:color w:val="000000"/>
              </w:rPr>
              <w:t>6</w:t>
            </w:r>
            <w:r w:rsidRPr="002C2B2E">
              <w:rPr>
                <w:rFonts w:ascii="標楷體" w:eastAsia="標楷體" w:hAnsi="標楷體" w:hint="eastAsia"/>
                <w:bCs/>
                <w:color w:val="000000"/>
              </w:rPr>
              <w:t>會期第1次院會（11</w:t>
            </w:r>
            <w:r w:rsidRPr="002C2B2E">
              <w:rPr>
                <w:rFonts w:ascii="標楷體" w:eastAsia="標楷體" w:hAnsi="標楷體"/>
                <w:bCs/>
                <w:color w:val="000000"/>
              </w:rPr>
              <w:t>1</w:t>
            </w:r>
            <w:r w:rsidRPr="002C2B2E">
              <w:rPr>
                <w:rFonts w:ascii="標楷體" w:eastAsia="標楷體" w:hAnsi="標楷體" w:hint="eastAsia"/>
                <w:bCs/>
                <w:color w:val="000000"/>
              </w:rPr>
              <w:t>.</w:t>
            </w:r>
            <w:r w:rsidRPr="002C2B2E">
              <w:rPr>
                <w:rFonts w:ascii="標楷體" w:eastAsia="標楷體" w:hAnsi="標楷體"/>
                <w:bCs/>
                <w:color w:val="000000"/>
              </w:rPr>
              <w:t>9</w:t>
            </w:r>
            <w:r w:rsidRPr="002C2B2E">
              <w:rPr>
                <w:rFonts w:ascii="標楷體" w:eastAsia="標楷體" w:hAnsi="標楷體" w:hint="eastAsia"/>
                <w:bCs/>
                <w:color w:val="000000"/>
              </w:rPr>
              <w:t>.2</w:t>
            </w:r>
            <w:r w:rsidRPr="002C2B2E">
              <w:rPr>
                <w:rFonts w:ascii="標楷體" w:eastAsia="標楷體" w:hAnsi="標楷體"/>
                <w:bCs/>
                <w:color w:val="000000"/>
              </w:rPr>
              <w:t>3</w:t>
            </w:r>
            <w:r w:rsidRPr="002C2B2E">
              <w:rPr>
                <w:rFonts w:ascii="標楷體" w:eastAsia="標楷體" w:hAnsi="標楷體" w:hint="eastAsia"/>
                <w:bCs/>
                <w:color w:val="000000"/>
              </w:rPr>
              <w:t>）決定：准予備查。</w:t>
            </w:r>
          </w:p>
        </w:tc>
      </w:tr>
    </w:tbl>
    <w:p w:rsidR="00613A41" w:rsidRDefault="00613A41">
      <w:pPr>
        <w:widowControl/>
        <w:rPr>
          <w:rFonts w:ascii="標楷體" w:eastAsia="標楷體" w:hAnsi="標楷體"/>
          <w:b/>
          <w:bCs/>
          <w:sz w:val="32"/>
          <w:szCs w:val="32"/>
        </w:rPr>
      </w:pPr>
      <w:bookmarkStart w:id="109" w:name="_Toc95137422"/>
      <w:r>
        <w:br w:type="page"/>
      </w:r>
    </w:p>
    <w:p w:rsidR="007A203B" w:rsidRDefault="007A203B" w:rsidP="007A203B">
      <w:pPr>
        <w:pStyle w:val="01-21"/>
        <w:rPr>
          <w:color w:val="000000"/>
        </w:rPr>
      </w:pPr>
      <w:bookmarkStart w:id="110" w:name="_Toc126068147"/>
      <w:r>
        <w:rPr>
          <w:rFonts w:hint="eastAsia"/>
        </w:rPr>
        <w:lastRenderedPageBreak/>
        <w:t>三</w:t>
      </w:r>
      <w:r w:rsidRPr="00933AC9">
        <w:rPr>
          <w:rFonts w:hint="eastAsia"/>
        </w:rPr>
        <w:t>、</w:t>
      </w:r>
      <w:r>
        <w:rPr>
          <w:rFonts w:hint="eastAsia"/>
        </w:rPr>
        <w:t>行政命令案</w:t>
      </w:r>
      <w:r w:rsidRPr="0038145F">
        <w:rPr>
          <w:rFonts w:hint="eastAsia"/>
          <w:color w:val="000000"/>
        </w:rPr>
        <w:t>（</w:t>
      </w:r>
      <w:r w:rsidR="004D7BF1">
        <w:rPr>
          <w:color w:val="000000"/>
        </w:rPr>
        <w:t>9</w:t>
      </w:r>
      <w:r w:rsidRPr="0038145F">
        <w:rPr>
          <w:rFonts w:hint="eastAsia"/>
          <w:color w:val="000000"/>
        </w:rPr>
        <w:t>案</w:t>
      </w:r>
      <w:r w:rsidRPr="0038145F">
        <w:rPr>
          <w:color w:val="000000"/>
        </w:rPr>
        <w:t>）</w:t>
      </w:r>
      <w:bookmarkEnd w:id="109"/>
      <w:bookmarkEnd w:id="110"/>
    </w:p>
    <w:tbl>
      <w:tblPr>
        <w:tblW w:w="5146" w:type="pct"/>
        <w:tblInd w:w="-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18"/>
        <w:gridCol w:w="3583"/>
        <w:gridCol w:w="1705"/>
        <w:gridCol w:w="939"/>
        <w:gridCol w:w="2965"/>
      </w:tblGrid>
      <w:tr w:rsidR="007A203B" w:rsidRPr="00A36746" w:rsidTr="007A203B">
        <w:trPr>
          <w:trHeight w:val="700"/>
        </w:trPr>
        <w:tc>
          <w:tcPr>
            <w:tcW w:w="362" w:type="pct"/>
            <w:vAlign w:val="center"/>
          </w:tcPr>
          <w:p w:rsidR="007A203B" w:rsidRPr="00A36746" w:rsidRDefault="007A203B" w:rsidP="00A43930">
            <w:pPr>
              <w:spacing w:line="400" w:lineRule="exact"/>
              <w:jc w:val="center"/>
              <w:rPr>
                <w:rFonts w:ascii="標楷體" w:eastAsia="標楷體" w:hAnsi="標楷體"/>
                <w:b/>
                <w:bCs/>
                <w:spacing w:val="-20"/>
                <w:sz w:val="28"/>
                <w:szCs w:val="28"/>
              </w:rPr>
            </w:pPr>
            <w:r w:rsidRPr="00A36746">
              <w:rPr>
                <w:rFonts w:ascii="標楷體" w:eastAsia="標楷體" w:hAnsi="標楷體" w:hint="eastAsia"/>
                <w:b/>
                <w:bCs/>
                <w:spacing w:val="-20"/>
                <w:sz w:val="28"/>
                <w:szCs w:val="28"/>
              </w:rPr>
              <w:t>序號</w:t>
            </w:r>
          </w:p>
        </w:tc>
        <w:tc>
          <w:tcPr>
            <w:tcW w:w="1808" w:type="pct"/>
            <w:vAlign w:val="center"/>
          </w:tcPr>
          <w:p w:rsidR="007A203B" w:rsidRPr="00A36746" w:rsidRDefault="007A203B" w:rsidP="00A43930">
            <w:pPr>
              <w:spacing w:line="400" w:lineRule="exact"/>
              <w:jc w:val="center"/>
              <w:rPr>
                <w:rFonts w:ascii="標楷體" w:eastAsia="標楷體" w:hAnsi="標楷體"/>
                <w:b/>
                <w:bCs/>
                <w:sz w:val="28"/>
              </w:rPr>
            </w:pPr>
            <w:r w:rsidRPr="00A36746">
              <w:rPr>
                <w:rFonts w:ascii="標楷體" w:eastAsia="標楷體" w:hAnsi="標楷體" w:hint="eastAsia"/>
                <w:b/>
                <w:bCs/>
                <w:sz w:val="28"/>
              </w:rPr>
              <w:t>案          由</w:t>
            </w:r>
          </w:p>
        </w:tc>
        <w:tc>
          <w:tcPr>
            <w:tcW w:w="860" w:type="pct"/>
            <w:vAlign w:val="center"/>
          </w:tcPr>
          <w:p w:rsidR="007A203B" w:rsidRPr="00A36746" w:rsidRDefault="007A203B" w:rsidP="00A43930">
            <w:pPr>
              <w:spacing w:line="400" w:lineRule="exact"/>
              <w:ind w:left="92"/>
              <w:jc w:val="center"/>
              <w:rPr>
                <w:rFonts w:ascii="標楷體" w:eastAsia="標楷體" w:hAnsi="標楷體"/>
                <w:b/>
                <w:bCs/>
                <w:sz w:val="28"/>
              </w:rPr>
            </w:pPr>
            <w:r w:rsidRPr="00A36746">
              <w:rPr>
                <w:rFonts w:ascii="標楷體" w:eastAsia="標楷體" w:hAnsi="標楷體" w:hint="eastAsia"/>
                <w:b/>
                <w:bCs/>
                <w:sz w:val="28"/>
              </w:rPr>
              <w:t>院會交付</w:t>
            </w:r>
          </w:p>
          <w:p w:rsidR="007A203B" w:rsidRPr="00A36746" w:rsidRDefault="007A203B" w:rsidP="00A43930">
            <w:pPr>
              <w:spacing w:line="400" w:lineRule="exact"/>
              <w:ind w:leftChars="-36" w:left="1" w:hangingChars="31" w:hanging="87"/>
              <w:jc w:val="center"/>
              <w:rPr>
                <w:rFonts w:ascii="標楷體" w:eastAsia="標楷體" w:hAnsi="標楷體"/>
                <w:b/>
                <w:bCs/>
                <w:sz w:val="28"/>
              </w:rPr>
            </w:pPr>
            <w:r w:rsidRPr="00A36746">
              <w:rPr>
                <w:rFonts w:ascii="標楷體" w:eastAsia="標楷體" w:hAnsi="標楷體" w:hint="eastAsia"/>
                <w:b/>
                <w:bCs/>
                <w:sz w:val="28"/>
              </w:rPr>
              <w:t>會次及日期</w:t>
            </w:r>
          </w:p>
        </w:tc>
        <w:tc>
          <w:tcPr>
            <w:tcW w:w="474" w:type="pct"/>
            <w:vAlign w:val="center"/>
          </w:tcPr>
          <w:p w:rsidR="007A203B" w:rsidRPr="00A36746" w:rsidRDefault="007A203B" w:rsidP="00A43930">
            <w:pPr>
              <w:spacing w:line="400" w:lineRule="exact"/>
              <w:jc w:val="center"/>
              <w:rPr>
                <w:rFonts w:ascii="標楷體" w:eastAsia="標楷體" w:hAnsi="標楷體"/>
                <w:b/>
                <w:bCs/>
                <w:sz w:val="28"/>
              </w:rPr>
            </w:pPr>
            <w:r w:rsidRPr="00A36746">
              <w:rPr>
                <w:rFonts w:ascii="標楷體" w:eastAsia="標楷體" w:hAnsi="標楷體" w:hint="eastAsia"/>
                <w:b/>
                <w:bCs/>
                <w:sz w:val="28"/>
              </w:rPr>
              <w:t>聯席</w:t>
            </w:r>
          </w:p>
          <w:p w:rsidR="007A203B" w:rsidRPr="00A36746" w:rsidRDefault="007A203B" w:rsidP="00A43930">
            <w:pPr>
              <w:spacing w:line="400" w:lineRule="exact"/>
              <w:jc w:val="center"/>
              <w:rPr>
                <w:rFonts w:ascii="標楷體" w:eastAsia="標楷體" w:hAnsi="標楷體"/>
                <w:b/>
                <w:bCs/>
                <w:sz w:val="28"/>
              </w:rPr>
            </w:pPr>
            <w:r w:rsidRPr="00A36746">
              <w:rPr>
                <w:rFonts w:ascii="標楷體" w:eastAsia="標楷體" w:hAnsi="標楷體" w:hint="eastAsia"/>
                <w:b/>
                <w:bCs/>
                <w:sz w:val="28"/>
              </w:rPr>
              <w:t>委員會</w:t>
            </w:r>
          </w:p>
        </w:tc>
        <w:tc>
          <w:tcPr>
            <w:tcW w:w="1496" w:type="pct"/>
            <w:vAlign w:val="center"/>
          </w:tcPr>
          <w:p w:rsidR="007A203B" w:rsidRPr="00A36746" w:rsidRDefault="007A203B" w:rsidP="00A43930">
            <w:pPr>
              <w:spacing w:line="400" w:lineRule="exact"/>
              <w:jc w:val="distribute"/>
              <w:rPr>
                <w:rFonts w:ascii="標楷體" w:eastAsia="標楷體" w:hAnsi="標楷體"/>
                <w:b/>
                <w:bCs/>
                <w:sz w:val="28"/>
              </w:rPr>
            </w:pPr>
            <w:r w:rsidRPr="00A36746">
              <w:rPr>
                <w:rFonts w:ascii="標楷體" w:eastAsia="標楷體" w:hAnsi="標楷體" w:hint="eastAsia"/>
                <w:b/>
                <w:bCs/>
                <w:sz w:val="28"/>
              </w:rPr>
              <w:t>處理情形</w:t>
            </w:r>
          </w:p>
        </w:tc>
      </w:tr>
      <w:tr w:rsidR="007A203B" w:rsidRPr="00A36746" w:rsidTr="007A203B">
        <w:trPr>
          <w:trHeight w:val="700"/>
        </w:trPr>
        <w:tc>
          <w:tcPr>
            <w:tcW w:w="362" w:type="pct"/>
            <w:vAlign w:val="center"/>
          </w:tcPr>
          <w:p w:rsidR="007A203B" w:rsidRPr="00A36746" w:rsidRDefault="007A203B" w:rsidP="006934DD">
            <w:pPr>
              <w:numPr>
                <w:ilvl w:val="0"/>
                <w:numId w:val="61"/>
              </w:numPr>
              <w:spacing w:line="400" w:lineRule="exact"/>
              <w:ind w:right="113"/>
              <w:rPr>
                <w:rFonts w:ascii="標楷體" w:eastAsia="標楷體" w:hAnsi="標楷體"/>
                <w:sz w:val="28"/>
                <w:szCs w:val="28"/>
              </w:rPr>
            </w:pPr>
          </w:p>
        </w:tc>
        <w:tc>
          <w:tcPr>
            <w:tcW w:w="1808" w:type="pct"/>
          </w:tcPr>
          <w:p w:rsidR="007A203B" w:rsidRPr="002C2B2E" w:rsidRDefault="007A203B" w:rsidP="007A203B">
            <w:pPr>
              <w:spacing w:line="400" w:lineRule="exact"/>
              <w:ind w:leftChars="-12" w:left="-29"/>
              <w:jc w:val="both"/>
              <w:rPr>
                <w:rFonts w:eastAsia="華康楷書體W5"/>
                <w:color w:val="000000"/>
                <w:sz w:val="28"/>
              </w:rPr>
            </w:pPr>
            <w:r w:rsidRPr="007A203B">
              <w:rPr>
                <w:rFonts w:ascii="標楷體" w:eastAsia="標楷體" w:hAnsi="標楷體" w:hint="eastAsia"/>
                <w:color w:val="000000"/>
                <w:sz w:val="28"/>
              </w:rPr>
              <w:t>行政院原子能委員會函，為修正「放射性廢棄物處理貯存及其設施安全管理規則」第八條及第九條條文，請查照案。</w:t>
            </w:r>
          </w:p>
        </w:tc>
        <w:tc>
          <w:tcPr>
            <w:tcW w:w="860" w:type="pct"/>
          </w:tcPr>
          <w:p w:rsidR="007A203B" w:rsidRPr="007A203B" w:rsidRDefault="007A203B" w:rsidP="007A203B">
            <w:pPr>
              <w:spacing w:line="400" w:lineRule="exact"/>
              <w:ind w:leftChars="-12" w:left="-29"/>
              <w:jc w:val="both"/>
              <w:rPr>
                <w:rFonts w:ascii="標楷體" w:eastAsia="標楷體" w:hAnsi="標楷體"/>
                <w:color w:val="000000"/>
                <w:sz w:val="28"/>
              </w:rPr>
            </w:pPr>
            <w:r w:rsidRPr="007A203B">
              <w:rPr>
                <w:rFonts w:ascii="標楷體" w:eastAsia="標楷體" w:hAnsi="標楷體"/>
                <w:color w:val="000000"/>
                <w:sz w:val="28"/>
              </w:rPr>
              <w:t>10-4-4</w:t>
            </w:r>
          </w:p>
          <w:p w:rsidR="007A203B" w:rsidRPr="007A203B" w:rsidRDefault="007A203B" w:rsidP="007A203B">
            <w:pPr>
              <w:spacing w:line="400" w:lineRule="exact"/>
              <w:ind w:leftChars="-12" w:left="-29"/>
              <w:jc w:val="both"/>
              <w:rPr>
                <w:rFonts w:ascii="標楷體" w:eastAsia="標楷體" w:hAnsi="標楷體"/>
                <w:color w:val="000000"/>
                <w:sz w:val="28"/>
              </w:rPr>
            </w:pPr>
            <w:r w:rsidRPr="007A203B">
              <w:rPr>
                <w:rFonts w:ascii="標楷體" w:eastAsia="標楷體" w:hAnsi="標楷體"/>
                <w:color w:val="000000"/>
                <w:sz w:val="28"/>
              </w:rPr>
              <w:t>(110.10.8)</w:t>
            </w:r>
          </w:p>
        </w:tc>
        <w:tc>
          <w:tcPr>
            <w:tcW w:w="474" w:type="pct"/>
          </w:tcPr>
          <w:p w:rsidR="007A203B" w:rsidRPr="002C2B2E" w:rsidRDefault="007A203B" w:rsidP="007A203B">
            <w:pPr>
              <w:jc w:val="both"/>
              <w:rPr>
                <w:rFonts w:ascii="標楷體" w:eastAsia="標楷體" w:hAnsi="標楷體"/>
                <w:color w:val="000000"/>
                <w:sz w:val="28"/>
                <w:szCs w:val="28"/>
              </w:rPr>
            </w:pPr>
          </w:p>
        </w:tc>
        <w:tc>
          <w:tcPr>
            <w:tcW w:w="1496" w:type="pct"/>
          </w:tcPr>
          <w:p w:rsidR="007A203B" w:rsidRPr="007A203B" w:rsidRDefault="007A203B" w:rsidP="007A203B">
            <w:pPr>
              <w:adjustRightInd w:val="0"/>
              <w:snapToGrid w:val="0"/>
              <w:spacing w:line="240" w:lineRule="atLeast"/>
              <w:ind w:left="240" w:hangingChars="100" w:hanging="240"/>
              <w:jc w:val="both"/>
              <w:rPr>
                <w:rFonts w:ascii="標楷體" w:eastAsia="標楷體" w:hAnsi="標楷體"/>
                <w:color w:val="000000"/>
                <w:szCs w:val="24"/>
              </w:rPr>
            </w:pPr>
            <w:r w:rsidRPr="007A203B">
              <w:rPr>
                <w:rFonts w:ascii="標楷體" w:eastAsia="標楷體" w:hAnsi="標楷體" w:hint="eastAsia"/>
                <w:color w:val="000000"/>
                <w:szCs w:val="24"/>
              </w:rPr>
              <w:t>1.逾立法院職權行使法所定審查期限，報請院會存查。</w:t>
            </w:r>
          </w:p>
          <w:p w:rsidR="007A203B" w:rsidRPr="007A203B" w:rsidRDefault="007A203B" w:rsidP="007A203B">
            <w:pPr>
              <w:adjustRightInd w:val="0"/>
              <w:snapToGrid w:val="0"/>
              <w:spacing w:line="240" w:lineRule="atLeast"/>
              <w:ind w:left="240" w:hangingChars="100" w:hanging="240"/>
              <w:jc w:val="both"/>
              <w:rPr>
                <w:rFonts w:ascii="標楷體" w:eastAsia="標楷體" w:hAnsi="標楷體"/>
                <w:color w:val="000000"/>
              </w:rPr>
            </w:pPr>
            <w:r w:rsidRPr="007A203B">
              <w:rPr>
                <w:rFonts w:ascii="標楷體" w:eastAsia="標楷體" w:hAnsi="標楷體" w:hint="eastAsia"/>
                <w:color w:val="000000"/>
                <w:szCs w:val="24"/>
              </w:rPr>
              <w:t>2.第</w:t>
            </w:r>
            <w:r w:rsidRPr="007A203B">
              <w:rPr>
                <w:rFonts w:ascii="標楷體" w:eastAsia="標楷體" w:hAnsi="標楷體"/>
                <w:color w:val="000000"/>
                <w:szCs w:val="24"/>
              </w:rPr>
              <w:t>6</w:t>
            </w:r>
            <w:r w:rsidRPr="007A203B">
              <w:rPr>
                <w:rFonts w:ascii="標楷體" w:eastAsia="標楷體" w:hAnsi="標楷體" w:hint="eastAsia"/>
                <w:color w:val="000000"/>
                <w:szCs w:val="24"/>
              </w:rPr>
              <w:t>會期第</w:t>
            </w:r>
            <w:r w:rsidRPr="007A203B">
              <w:rPr>
                <w:rFonts w:ascii="標楷體" w:eastAsia="標楷體" w:hAnsi="標楷體"/>
                <w:color w:val="000000"/>
                <w:szCs w:val="24"/>
              </w:rPr>
              <w:t>1</w:t>
            </w:r>
            <w:r w:rsidRPr="007A203B">
              <w:rPr>
                <w:rFonts w:ascii="標楷體" w:eastAsia="標楷體" w:hAnsi="標楷體" w:hint="eastAsia"/>
                <w:color w:val="000000"/>
                <w:szCs w:val="24"/>
              </w:rPr>
              <w:t>次院會（11</w:t>
            </w:r>
            <w:r w:rsidRPr="007A203B">
              <w:rPr>
                <w:rFonts w:ascii="標楷體" w:eastAsia="標楷體" w:hAnsi="標楷體"/>
                <w:color w:val="000000"/>
                <w:szCs w:val="24"/>
              </w:rPr>
              <w:t>1</w:t>
            </w:r>
            <w:r w:rsidRPr="007A203B">
              <w:rPr>
                <w:rFonts w:ascii="標楷體" w:eastAsia="標楷體" w:hAnsi="標楷體" w:hint="eastAsia"/>
                <w:color w:val="000000"/>
                <w:szCs w:val="24"/>
              </w:rPr>
              <w:t>.</w:t>
            </w:r>
            <w:r w:rsidRPr="007A203B">
              <w:rPr>
                <w:rFonts w:ascii="標楷體" w:eastAsia="標楷體" w:hAnsi="標楷體"/>
                <w:color w:val="000000"/>
                <w:szCs w:val="24"/>
              </w:rPr>
              <w:t>9</w:t>
            </w:r>
            <w:r w:rsidRPr="007A203B">
              <w:rPr>
                <w:rFonts w:ascii="標楷體" w:eastAsia="標楷體" w:hAnsi="標楷體" w:hint="eastAsia"/>
                <w:color w:val="000000"/>
                <w:szCs w:val="24"/>
              </w:rPr>
              <w:t>.2</w:t>
            </w:r>
            <w:r w:rsidRPr="007A203B">
              <w:rPr>
                <w:rFonts w:ascii="標楷體" w:eastAsia="標楷體" w:hAnsi="標楷體"/>
                <w:color w:val="000000"/>
                <w:szCs w:val="24"/>
              </w:rPr>
              <w:t>3</w:t>
            </w:r>
            <w:r w:rsidRPr="007A203B">
              <w:rPr>
                <w:rFonts w:ascii="標楷體" w:eastAsia="標楷體" w:hAnsi="標楷體" w:hint="eastAsia"/>
                <w:color w:val="000000"/>
                <w:szCs w:val="24"/>
              </w:rPr>
              <w:t>）決定：准予備查。</w:t>
            </w:r>
          </w:p>
        </w:tc>
      </w:tr>
      <w:tr w:rsidR="007A203B" w:rsidRPr="00A36746" w:rsidTr="007A203B">
        <w:trPr>
          <w:trHeight w:val="700"/>
        </w:trPr>
        <w:tc>
          <w:tcPr>
            <w:tcW w:w="362" w:type="pct"/>
            <w:vAlign w:val="center"/>
          </w:tcPr>
          <w:p w:rsidR="007A203B" w:rsidRPr="00A36746" w:rsidRDefault="007A203B" w:rsidP="006934DD">
            <w:pPr>
              <w:numPr>
                <w:ilvl w:val="0"/>
                <w:numId w:val="61"/>
              </w:numPr>
              <w:spacing w:line="400" w:lineRule="exact"/>
              <w:ind w:right="113"/>
              <w:rPr>
                <w:rFonts w:ascii="標楷體" w:eastAsia="標楷體" w:hAnsi="標楷體"/>
                <w:sz w:val="28"/>
                <w:szCs w:val="28"/>
              </w:rPr>
            </w:pPr>
          </w:p>
        </w:tc>
        <w:tc>
          <w:tcPr>
            <w:tcW w:w="1808" w:type="pct"/>
          </w:tcPr>
          <w:p w:rsidR="007A203B" w:rsidRPr="002C2B2E" w:rsidRDefault="007A203B" w:rsidP="007A203B">
            <w:pPr>
              <w:spacing w:line="400" w:lineRule="exact"/>
              <w:ind w:leftChars="-12" w:left="-29"/>
              <w:jc w:val="both"/>
              <w:rPr>
                <w:rFonts w:eastAsia="華康楷書體W5"/>
                <w:color w:val="000000"/>
                <w:sz w:val="28"/>
              </w:rPr>
            </w:pPr>
            <w:r w:rsidRPr="007A203B">
              <w:rPr>
                <w:rFonts w:ascii="標楷體" w:eastAsia="標楷體" w:hAnsi="標楷體" w:hint="eastAsia"/>
                <w:color w:val="000000"/>
                <w:sz w:val="28"/>
              </w:rPr>
              <w:tab/>
              <w:t>文化部函，為修正「文化部對受嚴重特殊傳染性肺炎影響發生營運困難產業事業紓困振興辦法」，請查照案。</w:t>
            </w:r>
          </w:p>
        </w:tc>
        <w:tc>
          <w:tcPr>
            <w:tcW w:w="860" w:type="pct"/>
          </w:tcPr>
          <w:p w:rsidR="007A203B" w:rsidRPr="007A203B" w:rsidRDefault="007A203B" w:rsidP="007A203B">
            <w:pPr>
              <w:spacing w:line="400" w:lineRule="exact"/>
              <w:ind w:leftChars="-12" w:left="-29"/>
              <w:jc w:val="both"/>
              <w:rPr>
                <w:rFonts w:ascii="標楷體" w:eastAsia="標楷體" w:hAnsi="標楷體"/>
                <w:color w:val="000000"/>
                <w:sz w:val="28"/>
              </w:rPr>
            </w:pPr>
            <w:r w:rsidRPr="007A203B">
              <w:rPr>
                <w:rFonts w:ascii="標楷體" w:eastAsia="標楷體" w:hAnsi="標楷體"/>
                <w:color w:val="000000"/>
                <w:sz w:val="28"/>
              </w:rPr>
              <w:t>10-4-</w:t>
            </w:r>
            <w:r w:rsidRPr="007A203B">
              <w:rPr>
                <w:rFonts w:ascii="標楷體" w:eastAsia="標楷體" w:hAnsi="標楷體" w:hint="eastAsia"/>
                <w:color w:val="000000"/>
                <w:sz w:val="28"/>
              </w:rPr>
              <w:t>9</w:t>
            </w:r>
          </w:p>
          <w:p w:rsidR="007A203B" w:rsidRPr="007A203B" w:rsidRDefault="007A203B" w:rsidP="007A203B">
            <w:pPr>
              <w:spacing w:line="400" w:lineRule="exact"/>
              <w:ind w:leftChars="-12" w:left="-29"/>
              <w:jc w:val="both"/>
              <w:rPr>
                <w:rFonts w:ascii="標楷體" w:eastAsia="標楷體" w:hAnsi="標楷體"/>
                <w:color w:val="000000"/>
                <w:sz w:val="28"/>
              </w:rPr>
            </w:pPr>
            <w:r w:rsidRPr="007A203B">
              <w:rPr>
                <w:rFonts w:ascii="標楷體" w:eastAsia="標楷體" w:hAnsi="標楷體"/>
                <w:color w:val="000000"/>
                <w:sz w:val="28"/>
              </w:rPr>
              <w:t>(110.11.12)</w:t>
            </w:r>
          </w:p>
        </w:tc>
        <w:tc>
          <w:tcPr>
            <w:tcW w:w="474" w:type="pct"/>
          </w:tcPr>
          <w:p w:rsidR="007A203B" w:rsidRPr="002C2B2E" w:rsidRDefault="007A203B" w:rsidP="007A203B">
            <w:pPr>
              <w:jc w:val="both"/>
              <w:rPr>
                <w:rFonts w:ascii="標楷體" w:eastAsia="標楷體" w:hAnsi="標楷體"/>
                <w:color w:val="000000"/>
                <w:sz w:val="28"/>
                <w:szCs w:val="28"/>
              </w:rPr>
            </w:pPr>
          </w:p>
        </w:tc>
        <w:tc>
          <w:tcPr>
            <w:tcW w:w="1496" w:type="pct"/>
          </w:tcPr>
          <w:p w:rsidR="007A203B" w:rsidRPr="007A203B" w:rsidRDefault="007A203B" w:rsidP="007A203B">
            <w:pPr>
              <w:adjustRightInd w:val="0"/>
              <w:snapToGrid w:val="0"/>
              <w:spacing w:line="240" w:lineRule="atLeast"/>
              <w:ind w:left="240" w:hangingChars="100" w:hanging="240"/>
              <w:jc w:val="both"/>
              <w:rPr>
                <w:rFonts w:ascii="標楷體" w:eastAsia="標楷體" w:hAnsi="標楷體"/>
                <w:color w:val="000000"/>
                <w:szCs w:val="24"/>
              </w:rPr>
            </w:pPr>
            <w:r w:rsidRPr="007A203B">
              <w:rPr>
                <w:rFonts w:ascii="標楷體" w:eastAsia="標楷體" w:hAnsi="標楷體" w:hint="eastAsia"/>
                <w:color w:val="000000"/>
                <w:szCs w:val="24"/>
              </w:rPr>
              <w:t>1.逾立法院職權行使法所定審查期限，報請院會存查。</w:t>
            </w:r>
          </w:p>
          <w:p w:rsidR="007A203B" w:rsidRPr="007A203B" w:rsidRDefault="007A203B" w:rsidP="007A203B">
            <w:pPr>
              <w:adjustRightInd w:val="0"/>
              <w:snapToGrid w:val="0"/>
              <w:spacing w:line="240" w:lineRule="atLeast"/>
              <w:ind w:left="240" w:hangingChars="100" w:hanging="240"/>
              <w:jc w:val="both"/>
              <w:rPr>
                <w:rFonts w:ascii="標楷體" w:eastAsia="標楷體" w:hAnsi="標楷體"/>
                <w:color w:val="000000"/>
              </w:rPr>
            </w:pPr>
            <w:r w:rsidRPr="007A203B">
              <w:rPr>
                <w:rFonts w:ascii="標楷體" w:eastAsia="標楷體" w:hAnsi="標楷體" w:hint="eastAsia"/>
                <w:color w:val="000000"/>
                <w:szCs w:val="24"/>
              </w:rPr>
              <w:t>2.第</w:t>
            </w:r>
            <w:r w:rsidRPr="007A203B">
              <w:rPr>
                <w:rFonts w:ascii="標楷體" w:eastAsia="標楷體" w:hAnsi="標楷體"/>
                <w:color w:val="000000"/>
                <w:szCs w:val="24"/>
              </w:rPr>
              <w:t>6</w:t>
            </w:r>
            <w:r w:rsidRPr="007A203B">
              <w:rPr>
                <w:rFonts w:ascii="標楷體" w:eastAsia="標楷體" w:hAnsi="標楷體" w:hint="eastAsia"/>
                <w:color w:val="000000"/>
                <w:szCs w:val="24"/>
              </w:rPr>
              <w:t>會期第</w:t>
            </w:r>
            <w:r w:rsidRPr="007A203B">
              <w:rPr>
                <w:rFonts w:ascii="標楷體" w:eastAsia="標楷體" w:hAnsi="標楷體"/>
                <w:color w:val="000000"/>
                <w:szCs w:val="24"/>
              </w:rPr>
              <w:t>1</w:t>
            </w:r>
            <w:r w:rsidRPr="007A203B">
              <w:rPr>
                <w:rFonts w:ascii="標楷體" w:eastAsia="標楷體" w:hAnsi="標楷體" w:hint="eastAsia"/>
                <w:color w:val="000000"/>
                <w:szCs w:val="24"/>
              </w:rPr>
              <w:t>次院會（11</w:t>
            </w:r>
            <w:r w:rsidRPr="007A203B">
              <w:rPr>
                <w:rFonts w:ascii="標楷體" w:eastAsia="標楷體" w:hAnsi="標楷體"/>
                <w:color w:val="000000"/>
                <w:szCs w:val="24"/>
              </w:rPr>
              <w:t>1</w:t>
            </w:r>
            <w:r w:rsidRPr="007A203B">
              <w:rPr>
                <w:rFonts w:ascii="標楷體" w:eastAsia="標楷體" w:hAnsi="標楷體" w:hint="eastAsia"/>
                <w:color w:val="000000"/>
                <w:szCs w:val="24"/>
              </w:rPr>
              <w:t>.</w:t>
            </w:r>
            <w:r w:rsidRPr="007A203B">
              <w:rPr>
                <w:rFonts w:ascii="標楷體" w:eastAsia="標楷體" w:hAnsi="標楷體"/>
                <w:color w:val="000000"/>
                <w:szCs w:val="24"/>
              </w:rPr>
              <w:t>9</w:t>
            </w:r>
            <w:r w:rsidRPr="007A203B">
              <w:rPr>
                <w:rFonts w:ascii="標楷體" w:eastAsia="標楷體" w:hAnsi="標楷體" w:hint="eastAsia"/>
                <w:color w:val="000000"/>
                <w:szCs w:val="24"/>
              </w:rPr>
              <w:t>.2</w:t>
            </w:r>
            <w:r w:rsidRPr="007A203B">
              <w:rPr>
                <w:rFonts w:ascii="標楷體" w:eastAsia="標楷體" w:hAnsi="標楷體"/>
                <w:color w:val="000000"/>
                <w:szCs w:val="24"/>
              </w:rPr>
              <w:t>3</w:t>
            </w:r>
            <w:r w:rsidRPr="007A203B">
              <w:rPr>
                <w:rFonts w:ascii="標楷體" w:eastAsia="標楷體" w:hAnsi="標楷體" w:hint="eastAsia"/>
                <w:color w:val="000000"/>
                <w:szCs w:val="24"/>
              </w:rPr>
              <w:t>）決定：准予備查。</w:t>
            </w:r>
          </w:p>
        </w:tc>
      </w:tr>
      <w:tr w:rsidR="004D7BF1" w:rsidRPr="00A36746" w:rsidTr="007A203B">
        <w:trPr>
          <w:trHeight w:val="700"/>
        </w:trPr>
        <w:tc>
          <w:tcPr>
            <w:tcW w:w="362" w:type="pct"/>
            <w:vAlign w:val="center"/>
          </w:tcPr>
          <w:p w:rsidR="004D7BF1" w:rsidRPr="00A36746" w:rsidRDefault="004D7BF1" w:rsidP="006934DD">
            <w:pPr>
              <w:numPr>
                <w:ilvl w:val="0"/>
                <w:numId w:val="61"/>
              </w:numPr>
              <w:spacing w:line="400" w:lineRule="exact"/>
              <w:ind w:right="113"/>
              <w:rPr>
                <w:rFonts w:ascii="標楷體" w:eastAsia="標楷體" w:hAnsi="標楷體"/>
                <w:sz w:val="28"/>
                <w:szCs w:val="28"/>
              </w:rPr>
            </w:pPr>
          </w:p>
        </w:tc>
        <w:tc>
          <w:tcPr>
            <w:tcW w:w="1808" w:type="pct"/>
          </w:tcPr>
          <w:p w:rsidR="004D7BF1" w:rsidRPr="00D31BDA" w:rsidRDefault="004D7BF1" w:rsidP="004D7BF1">
            <w:pPr>
              <w:spacing w:line="400" w:lineRule="exact"/>
              <w:ind w:leftChars="-12" w:left="-29"/>
              <w:jc w:val="both"/>
              <w:rPr>
                <w:rFonts w:eastAsia="華康楷書體W5"/>
                <w:color w:val="000000"/>
                <w:sz w:val="28"/>
              </w:rPr>
            </w:pPr>
            <w:r w:rsidRPr="00D31BDA">
              <w:rPr>
                <w:rFonts w:eastAsia="華康楷書體W5" w:hint="eastAsia"/>
                <w:color w:val="000000"/>
                <w:sz w:val="28"/>
              </w:rPr>
              <w:t>行政院函，為修正「大專校院轉型及退場</w:t>
            </w:r>
            <w:r w:rsidRPr="00852E9E">
              <w:rPr>
                <w:rFonts w:ascii="標楷體" w:eastAsia="標楷體" w:hAnsi="標楷體" w:hint="eastAsia"/>
                <w:color w:val="000000"/>
                <w:sz w:val="28"/>
              </w:rPr>
              <w:t>基金</w:t>
            </w:r>
            <w:r w:rsidRPr="00D31BDA">
              <w:rPr>
                <w:rFonts w:eastAsia="華康楷書體W5" w:hint="eastAsia"/>
                <w:color w:val="000000"/>
                <w:sz w:val="28"/>
              </w:rPr>
              <w:t>收支保管及運用辦法」第四條及第五條條文，請查照案。</w:t>
            </w:r>
          </w:p>
        </w:tc>
        <w:tc>
          <w:tcPr>
            <w:tcW w:w="860" w:type="pct"/>
          </w:tcPr>
          <w:p w:rsidR="004D7BF1" w:rsidRPr="00852E9E" w:rsidRDefault="004D7BF1" w:rsidP="004D7BF1">
            <w:pPr>
              <w:spacing w:line="400" w:lineRule="exact"/>
              <w:ind w:leftChars="-12" w:left="-29"/>
              <w:jc w:val="both"/>
              <w:rPr>
                <w:rFonts w:ascii="標楷體" w:eastAsia="標楷體" w:hAnsi="標楷體"/>
                <w:color w:val="000000"/>
                <w:sz w:val="28"/>
              </w:rPr>
            </w:pPr>
            <w:r w:rsidRPr="00852E9E">
              <w:rPr>
                <w:rFonts w:ascii="標楷體" w:eastAsia="標楷體" w:hAnsi="標楷體"/>
                <w:color w:val="000000"/>
                <w:sz w:val="28"/>
              </w:rPr>
              <w:t>10-5-2</w:t>
            </w:r>
          </w:p>
          <w:p w:rsidR="004D7BF1" w:rsidRPr="00852E9E" w:rsidRDefault="004D7BF1" w:rsidP="004D7BF1">
            <w:pPr>
              <w:spacing w:line="400" w:lineRule="exact"/>
              <w:ind w:leftChars="-12" w:left="-29"/>
              <w:jc w:val="both"/>
              <w:rPr>
                <w:rFonts w:ascii="標楷體" w:eastAsia="標楷體" w:hAnsi="標楷體"/>
                <w:color w:val="000000"/>
                <w:sz w:val="28"/>
              </w:rPr>
            </w:pPr>
            <w:r w:rsidRPr="00852E9E">
              <w:rPr>
                <w:rFonts w:ascii="標楷體" w:eastAsia="標楷體" w:hAnsi="標楷體"/>
                <w:color w:val="000000"/>
                <w:sz w:val="28"/>
              </w:rPr>
              <w:t>(111.3.4)</w:t>
            </w:r>
          </w:p>
        </w:tc>
        <w:tc>
          <w:tcPr>
            <w:tcW w:w="474" w:type="pct"/>
          </w:tcPr>
          <w:p w:rsidR="004D7BF1" w:rsidRPr="00D31BDA" w:rsidRDefault="004D7BF1" w:rsidP="004D7BF1">
            <w:pPr>
              <w:rPr>
                <w:rFonts w:ascii="標楷體" w:eastAsia="標楷體" w:hAnsi="標楷體"/>
                <w:color w:val="000000"/>
                <w:sz w:val="28"/>
              </w:rPr>
            </w:pPr>
          </w:p>
        </w:tc>
        <w:tc>
          <w:tcPr>
            <w:tcW w:w="1496" w:type="pct"/>
          </w:tcPr>
          <w:p w:rsidR="004D7BF1" w:rsidRPr="00D31BDA" w:rsidRDefault="004D7BF1" w:rsidP="004D7BF1">
            <w:pPr>
              <w:adjustRightInd w:val="0"/>
              <w:snapToGrid w:val="0"/>
              <w:spacing w:line="240" w:lineRule="atLeast"/>
              <w:ind w:left="240" w:hangingChars="100" w:hanging="240"/>
              <w:jc w:val="both"/>
              <w:rPr>
                <w:rFonts w:ascii="標楷體" w:eastAsia="標楷體" w:hAnsi="標楷體"/>
                <w:color w:val="000000"/>
                <w:szCs w:val="24"/>
              </w:rPr>
            </w:pPr>
            <w:r w:rsidRPr="00D31BDA">
              <w:rPr>
                <w:rFonts w:ascii="標楷體" w:eastAsia="標楷體" w:hAnsi="標楷體" w:hint="eastAsia"/>
                <w:color w:val="000000"/>
                <w:szCs w:val="24"/>
              </w:rPr>
              <w:t>1.逾立法院職權行使法所定審查期限，報請院會存查。</w:t>
            </w:r>
          </w:p>
          <w:p w:rsidR="004D7BF1" w:rsidRPr="00D31BDA" w:rsidRDefault="004D7BF1" w:rsidP="004D7BF1">
            <w:pPr>
              <w:adjustRightInd w:val="0"/>
              <w:snapToGrid w:val="0"/>
              <w:spacing w:line="240" w:lineRule="atLeast"/>
              <w:ind w:left="240" w:hangingChars="100" w:hanging="240"/>
              <w:jc w:val="both"/>
              <w:rPr>
                <w:rFonts w:ascii="標楷體" w:eastAsia="標楷體" w:hAnsi="標楷體"/>
                <w:color w:val="000000"/>
                <w:sz w:val="28"/>
              </w:rPr>
            </w:pPr>
            <w:r w:rsidRPr="004D7BF1">
              <w:rPr>
                <w:rFonts w:ascii="標楷體" w:eastAsia="標楷體" w:hAnsi="標楷體" w:hint="eastAsia"/>
                <w:color w:val="000000"/>
                <w:szCs w:val="24"/>
              </w:rPr>
              <w:t>2.第</w:t>
            </w:r>
            <w:r w:rsidRPr="004D7BF1">
              <w:rPr>
                <w:rFonts w:ascii="標楷體" w:eastAsia="標楷體" w:hAnsi="標楷體"/>
                <w:color w:val="000000"/>
                <w:szCs w:val="24"/>
              </w:rPr>
              <w:t>6</w:t>
            </w:r>
            <w:r w:rsidRPr="004D7BF1">
              <w:rPr>
                <w:rFonts w:ascii="標楷體" w:eastAsia="標楷體" w:hAnsi="標楷體" w:hint="eastAsia"/>
                <w:color w:val="000000"/>
                <w:szCs w:val="24"/>
              </w:rPr>
              <w:t>會期第</w:t>
            </w:r>
            <w:r w:rsidRPr="004D7BF1">
              <w:rPr>
                <w:rFonts w:ascii="標楷體" w:eastAsia="標楷體" w:hAnsi="標楷體"/>
                <w:color w:val="000000"/>
                <w:szCs w:val="24"/>
              </w:rPr>
              <w:t>1</w:t>
            </w:r>
            <w:r>
              <w:rPr>
                <w:rFonts w:ascii="標楷體" w:eastAsia="標楷體" w:hAnsi="標楷體"/>
                <w:color w:val="000000"/>
                <w:szCs w:val="24"/>
              </w:rPr>
              <w:t>3</w:t>
            </w:r>
            <w:r w:rsidRPr="004D7BF1">
              <w:rPr>
                <w:rFonts w:ascii="標楷體" w:eastAsia="標楷體" w:hAnsi="標楷體" w:hint="eastAsia"/>
                <w:color w:val="000000"/>
                <w:szCs w:val="24"/>
              </w:rPr>
              <w:t>次院會（11</w:t>
            </w:r>
            <w:r w:rsidRPr="004D7BF1">
              <w:rPr>
                <w:rFonts w:ascii="標楷體" w:eastAsia="標楷體" w:hAnsi="標楷體"/>
                <w:color w:val="000000"/>
                <w:szCs w:val="24"/>
              </w:rPr>
              <w:t>1</w:t>
            </w:r>
            <w:r w:rsidRPr="004D7BF1">
              <w:rPr>
                <w:rFonts w:ascii="標楷體" w:eastAsia="標楷體" w:hAnsi="標楷體" w:hint="eastAsia"/>
                <w:color w:val="000000"/>
                <w:szCs w:val="24"/>
              </w:rPr>
              <w:t>.</w:t>
            </w:r>
            <w:r>
              <w:rPr>
                <w:rFonts w:ascii="標楷體" w:eastAsia="標楷體" w:hAnsi="標楷體"/>
                <w:color w:val="000000"/>
                <w:szCs w:val="24"/>
              </w:rPr>
              <w:t>12</w:t>
            </w:r>
            <w:r w:rsidRPr="004D7BF1">
              <w:rPr>
                <w:rFonts w:ascii="標楷體" w:eastAsia="標楷體" w:hAnsi="標楷體" w:hint="eastAsia"/>
                <w:color w:val="000000"/>
                <w:szCs w:val="24"/>
              </w:rPr>
              <w:t>.2</w:t>
            </w:r>
            <w:r w:rsidRPr="004D7BF1">
              <w:rPr>
                <w:rFonts w:ascii="標楷體" w:eastAsia="標楷體" w:hAnsi="標楷體"/>
                <w:color w:val="000000"/>
                <w:szCs w:val="24"/>
              </w:rPr>
              <w:t>3</w:t>
            </w:r>
            <w:r w:rsidRPr="004D7BF1">
              <w:rPr>
                <w:rFonts w:ascii="標楷體" w:eastAsia="標楷體" w:hAnsi="標楷體" w:hint="eastAsia"/>
                <w:color w:val="000000"/>
                <w:szCs w:val="24"/>
              </w:rPr>
              <w:t>）決定：准予備查。</w:t>
            </w:r>
          </w:p>
        </w:tc>
      </w:tr>
      <w:tr w:rsidR="004D7BF1" w:rsidRPr="00A36746" w:rsidTr="007A203B">
        <w:trPr>
          <w:trHeight w:val="700"/>
        </w:trPr>
        <w:tc>
          <w:tcPr>
            <w:tcW w:w="362" w:type="pct"/>
            <w:vAlign w:val="center"/>
          </w:tcPr>
          <w:p w:rsidR="004D7BF1" w:rsidRPr="00A36746" w:rsidRDefault="004D7BF1" w:rsidP="006934DD">
            <w:pPr>
              <w:numPr>
                <w:ilvl w:val="0"/>
                <w:numId w:val="61"/>
              </w:numPr>
              <w:spacing w:line="400" w:lineRule="exact"/>
              <w:ind w:right="113"/>
              <w:rPr>
                <w:rFonts w:ascii="標楷體" w:eastAsia="標楷體" w:hAnsi="標楷體"/>
                <w:sz w:val="28"/>
                <w:szCs w:val="28"/>
              </w:rPr>
            </w:pPr>
          </w:p>
        </w:tc>
        <w:tc>
          <w:tcPr>
            <w:tcW w:w="1808" w:type="pct"/>
          </w:tcPr>
          <w:p w:rsidR="004D7BF1" w:rsidRPr="00852E9E" w:rsidRDefault="004D7BF1" w:rsidP="004D7BF1">
            <w:pPr>
              <w:spacing w:line="400" w:lineRule="exact"/>
              <w:ind w:leftChars="-12" w:left="-29"/>
              <w:jc w:val="both"/>
              <w:rPr>
                <w:rFonts w:ascii="標楷體" w:eastAsia="標楷體" w:hAnsi="標楷體"/>
                <w:color w:val="000000"/>
                <w:sz w:val="28"/>
              </w:rPr>
            </w:pPr>
            <w:r w:rsidRPr="00852E9E">
              <w:rPr>
                <w:rFonts w:ascii="標楷體" w:eastAsia="標楷體" w:hAnsi="標楷體" w:hint="eastAsia"/>
                <w:color w:val="000000"/>
                <w:sz w:val="28"/>
              </w:rPr>
              <w:t>教育部函，為修正「幼兒園與其分班設立變更及管理辦法」部分條文，請查照案。</w:t>
            </w:r>
          </w:p>
        </w:tc>
        <w:tc>
          <w:tcPr>
            <w:tcW w:w="860" w:type="pct"/>
          </w:tcPr>
          <w:p w:rsidR="004D7BF1" w:rsidRPr="00852E9E" w:rsidRDefault="004D7BF1" w:rsidP="004D7BF1">
            <w:pPr>
              <w:spacing w:line="400" w:lineRule="exact"/>
              <w:ind w:leftChars="-12" w:left="-29"/>
              <w:jc w:val="both"/>
              <w:rPr>
                <w:rFonts w:ascii="標楷體" w:eastAsia="標楷體" w:hAnsi="標楷體"/>
                <w:color w:val="000000"/>
                <w:sz w:val="28"/>
              </w:rPr>
            </w:pPr>
            <w:r w:rsidRPr="00852E9E">
              <w:rPr>
                <w:rFonts w:ascii="標楷體" w:eastAsia="標楷體" w:hAnsi="標楷體"/>
                <w:color w:val="000000"/>
                <w:sz w:val="28"/>
              </w:rPr>
              <w:t>10-5-5</w:t>
            </w:r>
          </w:p>
          <w:p w:rsidR="004D7BF1" w:rsidRPr="00852E9E" w:rsidRDefault="004D7BF1" w:rsidP="004D7BF1">
            <w:pPr>
              <w:spacing w:line="400" w:lineRule="exact"/>
              <w:ind w:leftChars="-12" w:left="-29"/>
              <w:jc w:val="both"/>
              <w:rPr>
                <w:rFonts w:ascii="標楷體" w:eastAsia="標楷體" w:hAnsi="標楷體"/>
                <w:color w:val="000000"/>
                <w:sz w:val="28"/>
              </w:rPr>
            </w:pPr>
            <w:r w:rsidRPr="00852E9E">
              <w:rPr>
                <w:rFonts w:ascii="標楷體" w:eastAsia="標楷體" w:hAnsi="標楷體"/>
                <w:color w:val="000000"/>
                <w:sz w:val="28"/>
              </w:rPr>
              <w:t>(111.3.25)</w:t>
            </w:r>
          </w:p>
        </w:tc>
        <w:tc>
          <w:tcPr>
            <w:tcW w:w="474" w:type="pct"/>
          </w:tcPr>
          <w:p w:rsidR="004D7BF1" w:rsidRPr="00D31BDA" w:rsidRDefault="004D7BF1" w:rsidP="004D7BF1">
            <w:pPr>
              <w:rPr>
                <w:rFonts w:ascii="標楷體" w:eastAsia="標楷體" w:hAnsi="標楷體"/>
                <w:color w:val="000000"/>
                <w:sz w:val="28"/>
              </w:rPr>
            </w:pPr>
          </w:p>
        </w:tc>
        <w:tc>
          <w:tcPr>
            <w:tcW w:w="1496" w:type="pct"/>
          </w:tcPr>
          <w:p w:rsidR="004D7BF1" w:rsidRPr="00D31BDA" w:rsidRDefault="004D7BF1" w:rsidP="004D7BF1">
            <w:pPr>
              <w:adjustRightInd w:val="0"/>
              <w:snapToGrid w:val="0"/>
              <w:spacing w:line="240" w:lineRule="atLeast"/>
              <w:ind w:left="240" w:hangingChars="100" w:hanging="240"/>
              <w:jc w:val="both"/>
              <w:rPr>
                <w:rFonts w:ascii="標楷體" w:eastAsia="標楷體" w:hAnsi="標楷體"/>
                <w:color w:val="000000"/>
                <w:szCs w:val="24"/>
              </w:rPr>
            </w:pPr>
            <w:r w:rsidRPr="00D31BDA">
              <w:rPr>
                <w:rFonts w:ascii="標楷體" w:eastAsia="標楷體" w:hAnsi="標楷體" w:hint="eastAsia"/>
                <w:color w:val="000000"/>
                <w:szCs w:val="24"/>
              </w:rPr>
              <w:t>1.逾立法院職權行使法所定審查期限，報請院會存查。</w:t>
            </w:r>
          </w:p>
          <w:p w:rsidR="004D7BF1" w:rsidRPr="00D31BDA" w:rsidRDefault="004D7BF1" w:rsidP="004D7BF1">
            <w:pPr>
              <w:adjustRightInd w:val="0"/>
              <w:snapToGrid w:val="0"/>
              <w:spacing w:line="240" w:lineRule="atLeast"/>
              <w:ind w:left="240" w:hangingChars="100" w:hanging="240"/>
              <w:jc w:val="both"/>
              <w:rPr>
                <w:rFonts w:ascii="標楷體" w:eastAsia="標楷體" w:hAnsi="標楷體"/>
                <w:color w:val="000000"/>
                <w:sz w:val="28"/>
              </w:rPr>
            </w:pPr>
            <w:r w:rsidRPr="004D7BF1">
              <w:rPr>
                <w:rFonts w:ascii="標楷體" w:eastAsia="標楷體" w:hAnsi="標楷體" w:hint="eastAsia"/>
                <w:color w:val="000000"/>
                <w:szCs w:val="24"/>
              </w:rPr>
              <w:t>2.第</w:t>
            </w:r>
            <w:r w:rsidRPr="004D7BF1">
              <w:rPr>
                <w:rFonts w:ascii="標楷體" w:eastAsia="標楷體" w:hAnsi="標楷體"/>
                <w:color w:val="000000"/>
                <w:szCs w:val="24"/>
              </w:rPr>
              <w:t>6</w:t>
            </w:r>
            <w:r w:rsidRPr="004D7BF1">
              <w:rPr>
                <w:rFonts w:ascii="標楷體" w:eastAsia="標楷體" w:hAnsi="標楷體" w:hint="eastAsia"/>
                <w:color w:val="000000"/>
                <w:szCs w:val="24"/>
              </w:rPr>
              <w:t>會期第</w:t>
            </w:r>
            <w:r w:rsidRPr="004D7BF1">
              <w:rPr>
                <w:rFonts w:ascii="標楷體" w:eastAsia="標楷體" w:hAnsi="標楷體"/>
                <w:color w:val="000000"/>
                <w:szCs w:val="24"/>
              </w:rPr>
              <w:t>1</w:t>
            </w:r>
            <w:r>
              <w:rPr>
                <w:rFonts w:ascii="標楷體" w:eastAsia="標楷體" w:hAnsi="標楷體"/>
                <w:color w:val="000000"/>
                <w:szCs w:val="24"/>
              </w:rPr>
              <w:t>3</w:t>
            </w:r>
            <w:r w:rsidRPr="004D7BF1">
              <w:rPr>
                <w:rFonts w:ascii="標楷體" w:eastAsia="標楷體" w:hAnsi="標楷體" w:hint="eastAsia"/>
                <w:color w:val="000000"/>
                <w:szCs w:val="24"/>
              </w:rPr>
              <w:t>次院會（11</w:t>
            </w:r>
            <w:r w:rsidRPr="004D7BF1">
              <w:rPr>
                <w:rFonts w:ascii="標楷體" w:eastAsia="標楷體" w:hAnsi="標楷體"/>
                <w:color w:val="000000"/>
                <w:szCs w:val="24"/>
              </w:rPr>
              <w:t>1</w:t>
            </w:r>
            <w:r w:rsidRPr="004D7BF1">
              <w:rPr>
                <w:rFonts w:ascii="標楷體" w:eastAsia="標楷體" w:hAnsi="標楷體" w:hint="eastAsia"/>
                <w:color w:val="000000"/>
                <w:szCs w:val="24"/>
              </w:rPr>
              <w:t>.</w:t>
            </w:r>
            <w:r>
              <w:rPr>
                <w:rFonts w:ascii="標楷體" w:eastAsia="標楷體" w:hAnsi="標楷體"/>
                <w:color w:val="000000"/>
                <w:szCs w:val="24"/>
              </w:rPr>
              <w:t>12</w:t>
            </w:r>
            <w:r w:rsidRPr="004D7BF1">
              <w:rPr>
                <w:rFonts w:ascii="標楷體" w:eastAsia="標楷體" w:hAnsi="標楷體" w:hint="eastAsia"/>
                <w:color w:val="000000"/>
                <w:szCs w:val="24"/>
              </w:rPr>
              <w:t>.2</w:t>
            </w:r>
            <w:r w:rsidRPr="004D7BF1">
              <w:rPr>
                <w:rFonts w:ascii="標楷體" w:eastAsia="標楷體" w:hAnsi="標楷體"/>
                <w:color w:val="000000"/>
                <w:szCs w:val="24"/>
              </w:rPr>
              <w:t>3</w:t>
            </w:r>
            <w:r w:rsidRPr="004D7BF1">
              <w:rPr>
                <w:rFonts w:ascii="標楷體" w:eastAsia="標楷體" w:hAnsi="標楷體" w:hint="eastAsia"/>
                <w:color w:val="000000"/>
                <w:szCs w:val="24"/>
              </w:rPr>
              <w:t>）決定：准予備查。</w:t>
            </w:r>
          </w:p>
        </w:tc>
      </w:tr>
      <w:tr w:rsidR="004D7BF1" w:rsidRPr="00A36746" w:rsidTr="007A203B">
        <w:trPr>
          <w:trHeight w:val="700"/>
        </w:trPr>
        <w:tc>
          <w:tcPr>
            <w:tcW w:w="362" w:type="pct"/>
            <w:vAlign w:val="center"/>
          </w:tcPr>
          <w:p w:rsidR="004D7BF1" w:rsidRPr="00A36746" w:rsidRDefault="004D7BF1" w:rsidP="006934DD">
            <w:pPr>
              <w:numPr>
                <w:ilvl w:val="0"/>
                <w:numId w:val="61"/>
              </w:numPr>
              <w:spacing w:line="400" w:lineRule="exact"/>
              <w:ind w:right="113"/>
              <w:rPr>
                <w:rFonts w:ascii="標楷體" w:eastAsia="標楷體" w:hAnsi="標楷體"/>
                <w:sz w:val="28"/>
                <w:szCs w:val="28"/>
              </w:rPr>
            </w:pPr>
          </w:p>
        </w:tc>
        <w:tc>
          <w:tcPr>
            <w:tcW w:w="1808" w:type="pct"/>
          </w:tcPr>
          <w:p w:rsidR="004D7BF1" w:rsidRPr="00D31BDA" w:rsidRDefault="004D7BF1" w:rsidP="004D7BF1">
            <w:pPr>
              <w:spacing w:line="400" w:lineRule="exact"/>
              <w:ind w:leftChars="-12" w:left="-29"/>
              <w:jc w:val="both"/>
              <w:rPr>
                <w:rFonts w:eastAsia="華康楷書體W5"/>
                <w:color w:val="000000"/>
                <w:sz w:val="28"/>
              </w:rPr>
            </w:pPr>
            <w:r w:rsidRPr="00D31BDA">
              <w:rPr>
                <w:rFonts w:eastAsia="華康楷書體W5" w:hint="eastAsia"/>
                <w:color w:val="000000"/>
                <w:sz w:val="28"/>
              </w:rPr>
              <w:t>教育部函，為修正「教保服務機構</w:t>
            </w:r>
            <w:r w:rsidRPr="00852E9E">
              <w:rPr>
                <w:rFonts w:ascii="標楷體" w:eastAsia="標楷體" w:hAnsi="標楷體" w:hint="eastAsia"/>
                <w:color w:val="000000"/>
                <w:sz w:val="28"/>
              </w:rPr>
              <w:t>不適任人員認定通報資訊蒐集及查詢處理利用辦法」第八條條文，請查照案。</w:t>
            </w:r>
          </w:p>
        </w:tc>
        <w:tc>
          <w:tcPr>
            <w:tcW w:w="860" w:type="pct"/>
          </w:tcPr>
          <w:p w:rsidR="004D7BF1" w:rsidRPr="00852E9E" w:rsidRDefault="004D7BF1" w:rsidP="004D7BF1">
            <w:pPr>
              <w:spacing w:line="400" w:lineRule="exact"/>
              <w:ind w:leftChars="-12" w:left="-29"/>
              <w:jc w:val="both"/>
              <w:rPr>
                <w:rFonts w:ascii="標楷體" w:eastAsia="標楷體" w:hAnsi="標楷體"/>
                <w:color w:val="000000"/>
                <w:sz w:val="28"/>
              </w:rPr>
            </w:pPr>
            <w:r w:rsidRPr="00852E9E">
              <w:rPr>
                <w:rFonts w:ascii="標楷體" w:eastAsia="標楷體" w:hAnsi="標楷體"/>
                <w:color w:val="000000"/>
                <w:sz w:val="28"/>
              </w:rPr>
              <w:t>10-5-5</w:t>
            </w:r>
          </w:p>
          <w:p w:rsidR="004D7BF1" w:rsidRPr="00D31BDA" w:rsidRDefault="004D7BF1" w:rsidP="004D7BF1">
            <w:pPr>
              <w:spacing w:line="400" w:lineRule="exact"/>
              <w:ind w:leftChars="-12" w:left="-29"/>
              <w:jc w:val="both"/>
              <w:rPr>
                <w:rFonts w:ascii="標楷體" w:eastAsia="標楷體" w:hAnsi="標楷體"/>
                <w:color w:val="000000"/>
                <w:sz w:val="28"/>
                <w:szCs w:val="28"/>
              </w:rPr>
            </w:pPr>
            <w:r w:rsidRPr="00852E9E">
              <w:rPr>
                <w:rFonts w:ascii="標楷體" w:eastAsia="標楷體" w:hAnsi="標楷體"/>
                <w:color w:val="000000"/>
                <w:sz w:val="28"/>
              </w:rPr>
              <w:t>(111.3.25)</w:t>
            </w:r>
          </w:p>
        </w:tc>
        <w:tc>
          <w:tcPr>
            <w:tcW w:w="474" w:type="pct"/>
          </w:tcPr>
          <w:p w:rsidR="004D7BF1" w:rsidRPr="00D31BDA" w:rsidRDefault="004D7BF1" w:rsidP="004D7BF1">
            <w:pPr>
              <w:rPr>
                <w:rFonts w:ascii="標楷體" w:eastAsia="標楷體" w:hAnsi="標楷體"/>
                <w:color w:val="000000"/>
                <w:sz w:val="28"/>
              </w:rPr>
            </w:pPr>
          </w:p>
        </w:tc>
        <w:tc>
          <w:tcPr>
            <w:tcW w:w="1496" w:type="pct"/>
          </w:tcPr>
          <w:p w:rsidR="004D7BF1" w:rsidRPr="00D31BDA" w:rsidRDefault="004D7BF1" w:rsidP="004D7BF1">
            <w:pPr>
              <w:adjustRightInd w:val="0"/>
              <w:snapToGrid w:val="0"/>
              <w:spacing w:line="240" w:lineRule="atLeast"/>
              <w:ind w:left="240" w:hangingChars="100" w:hanging="240"/>
              <w:jc w:val="both"/>
              <w:rPr>
                <w:rFonts w:ascii="標楷體" w:eastAsia="標楷體" w:hAnsi="標楷體"/>
                <w:color w:val="000000"/>
                <w:szCs w:val="24"/>
              </w:rPr>
            </w:pPr>
            <w:r w:rsidRPr="00D31BDA">
              <w:rPr>
                <w:rFonts w:ascii="標楷體" w:eastAsia="標楷體" w:hAnsi="標楷體" w:hint="eastAsia"/>
                <w:color w:val="000000"/>
                <w:szCs w:val="24"/>
              </w:rPr>
              <w:t>1.逾立法院職權行使法所定審查期限，報請院會存查。</w:t>
            </w:r>
          </w:p>
          <w:p w:rsidR="004D7BF1" w:rsidRPr="00D31BDA" w:rsidRDefault="004D7BF1" w:rsidP="004D7BF1">
            <w:pPr>
              <w:adjustRightInd w:val="0"/>
              <w:snapToGrid w:val="0"/>
              <w:spacing w:line="240" w:lineRule="atLeast"/>
              <w:ind w:left="240" w:hangingChars="100" w:hanging="240"/>
              <w:jc w:val="both"/>
              <w:rPr>
                <w:rFonts w:ascii="標楷體" w:eastAsia="標楷體" w:hAnsi="標楷體"/>
                <w:color w:val="000000"/>
                <w:sz w:val="28"/>
              </w:rPr>
            </w:pPr>
            <w:r w:rsidRPr="004D7BF1">
              <w:rPr>
                <w:rFonts w:ascii="標楷體" w:eastAsia="標楷體" w:hAnsi="標楷體" w:hint="eastAsia"/>
                <w:color w:val="000000"/>
                <w:szCs w:val="24"/>
              </w:rPr>
              <w:t>2.第</w:t>
            </w:r>
            <w:r w:rsidRPr="004D7BF1">
              <w:rPr>
                <w:rFonts w:ascii="標楷體" w:eastAsia="標楷體" w:hAnsi="標楷體"/>
                <w:color w:val="000000"/>
                <w:szCs w:val="24"/>
              </w:rPr>
              <w:t>6</w:t>
            </w:r>
            <w:r w:rsidRPr="004D7BF1">
              <w:rPr>
                <w:rFonts w:ascii="標楷體" w:eastAsia="標楷體" w:hAnsi="標楷體" w:hint="eastAsia"/>
                <w:color w:val="000000"/>
                <w:szCs w:val="24"/>
              </w:rPr>
              <w:t>會期第</w:t>
            </w:r>
            <w:r w:rsidRPr="004D7BF1">
              <w:rPr>
                <w:rFonts w:ascii="標楷體" w:eastAsia="標楷體" w:hAnsi="標楷體"/>
                <w:color w:val="000000"/>
                <w:szCs w:val="24"/>
              </w:rPr>
              <w:t>1</w:t>
            </w:r>
            <w:r>
              <w:rPr>
                <w:rFonts w:ascii="標楷體" w:eastAsia="標楷體" w:hAnsi="標楷體"/>
                <w:color w:val="000000"/>
                <w:szCs w:val="24"/>
              </w:rPr>
              <w:t>3</w:t>
            </w:r>
            <w:r w:rsidRPr="004D7BF1">
              <w:rPr>
                <w:rFonts w:ascii="標楷體" w:eastAsia="標楷體" w:hAnsi="標楷體" w:hint="eastAsia"/>
                <w:color w:val="000000"/>
                <w:szCs w:val="24"/>
              </w:rPr>
              <w:t>次院會（11</w:t>
            </w:r>
            <w:r w:rsidRPr="004D7BF1">
              <w:rPr>
                <w:rFonts w:ascii="標楷體" w:eastAsia="標楷體" w:hAnsi="標楷體"/>
                <w:color w:val="000000"/>
                <w:szCs w:val="24"/>
              </w:rPr>
              <w:t>1</w:t>
            </w:r>
            <w:r w:rsidRPr="004D7BF1">
              <w:rPr>
                <w:rFonts w:ascii="標楷體" w:eastAsia="標楷體" w:hAnsi="標楷體" w:hint="eastAsia"/>
                <w:color w:val="000000"/>
                <w:szCs w:val="24"/>
              </w:rPr>
              <w:t>.</w:t>
            </w:r>
            <w:r>
              <w:rPr>
                <w:rFonts w:ascii="標楷體" w:eastAsia="標楷體" w:hAnsi="標楷體"/>
                <w:color w:val="000000"/>
                <w:szCs w:val="24"/>
              </w:rPr>
              <w:t>12</w:t>
            </w:r>
            <w:r w:rsidRPr="004D7BF1">
              <w:rPr>
                <w:rFonts w:ascii="標楷體" w:eastAsia="標楷體" w:hAnsi="標楷體" w:hint="eastAsia"/>
                <w:color w:val="000000"/>
                <w:szCs w:val="24"/>
              </w:rPr>
              <w:t>.2</w:t>
            </w:r>
            <w:r w:rsidRPr="004D7BF1">
              <w:rPr>
                <w:rFonts w:ascii="標楷體" w:eastAsia="標楷體" w:hAnsi="標楷體"/>
                <w:color w:val="000000"/>
                <w:szCs w:val="24"/>
              </w:rPr>
              <w:t>3</w:t>
            </w:r>
            <w:r w:rsidRPr="004D7BF1">
              <w:rPr>
                <w:rFonts w:ascii="標楷體" w:eastAsia="標楷體" w:hAnsi="標楷體" w:hint="eastAsia"/>
                <w:color w:val="000000"/>
                <w:szCs w:val="24"/>
              </w:rPr>
              <w:t>）決定：准予備查。</w:t>
            </w:r>
          </w:p>
        </w:tc>
      </w:tr>
      <w:tr w:rsidR="004D7BF1" w:rsidRPr="00A36746" w:rsidTr="007A203B">
        <w:trPr>
          <w:trHeight w:val="700"/>
        </w:trPr>
        <w:tc>
          <w:tcPr>
            <w:tcW w:w="362" w:type="pct"/>
            <w:vAlign w:val="center"/>
          </w:tcPr>
          <w:p w:rsidR="004D7BF1" w:rsidRPr="00A36746" w:rsidRDefault="004D7BF1" w:rsidP="006934DD">
            <w:pPr>
              <w:numPr>
                <w:ilvl w:val="0"/>
                <w:numId w:val="61"/>
              </w:numPr>
              <w:spacing w:line="400" w:lineRule="exact"/>
              <w:ind w:right="113"/>
              <w:rPr>
                <w:rFonts w:ascii="標楷體" w:eastAsia="標楷體" w:hAnsi="標楷體"/>
                <w:sz w:val="28"/>
                <w:szCs w:val="28"/>
              </w:rPr>
            </w:pPr>
          </w:p>
        </w:tc>
        <w:tc>
          <w:tcPr>
            <w:tcW w:w="1808" w:type="pct"/>
          </w:tcPr>
          <w:p w:rsidR="004D7BF1" w:rsidRPr="00D31BDA" w:rsidRDefault="004D7BF1" w:rsidP="004D7BF1">
            <w:pPr>
              <w:spacing w:line="400" w:lineRule="exact"/>
              <w:ind w:leftChars="-12" w:left="-29"/>
              <w:jc w:val="both"/>
              <w:rPr>
                <w:rFonts w:eastAsia="華康楷書體W5"/>
                <w:color w:val="000000"/>
                <w:sz w:val="28"/>
              </w:rPr>
            </w:pPr>
            <w:r w:rsidRPr="00D31BDA">
              <w:rPr>
                <w:rFonts w:eastAsia="華康楷書體W5" w:hint="eastAsia"/>
                <w:color w:val="000000"/>
                <w:sz w:val="28"/>
              </w:rPr>
              <w:t>教育部函，為修正「公立幼兒園契約進用</w:t>
            </w:r>
            <w:r w:rsidRPr="00852E9E">
              <w:rPr>
                <w:rFonts w:ascii="標楷體" w:eastAsia="標楷體" w:hAnsi="標楷體" w:hint="eastAsia"/>
                <w:color w:val="000000"/>
                <w:sz w:val="28"/>
              </w:rPr>
              <w:t>人員</w:t>
            </w:r>
            <w:r w:rsidRPr="00D31BDA">
              <w:rPr>
                <w:rFonts w:eastAsia="華康楷書體W5" w:hint="eastAsia"/>
                <w:color w:val="000000"/>
                <w:sz w:val="28"/>
              </w:rPr>
              <w:t>之進用考核及待遇辦法」部分條文，請查照案。</w:t>
            </w:r>
          </w:p>
        </w:tc>
        <w:tc>
          <w:tcPr>
            <w:tcW w:w="860" w:type="pct"/>
          </w:tcPr>
          <w:p w:rsidR="004D7BF1" w:rsidRPr="00852E9E" w:rsidRDefault="004D7BF1" w:rsidP="004D7BF1">
            <w:pPr>
              <w:spacing w:line="400" w:lineRule="exact"/>
              <w:ind w:leftChars="-12" w:left="-29"/>
              <w:jc w:val="both"/>
              <w:rPr>
                <w:rFonts w:ascii="標楷體" w:eastAsia="標楷體" w:hAnsi="標楷體"/>
                <w:color w:val="000000"/>
                <w:sz w:val="28"/>
              </w:rPr>
            </w:pPr>
            <w:r w:rsidRPr="00852E9E">
              <w:rPr>
                <w:rFonts w:ascii="標楷體" w:eastAsia="標楷體" w:hAnsi="標楷體"/>
                <w:color w:val="000000"/>
                <w:sz w:val="28"/>
              </w:rPr>
              <w:t>10-5-5</w:t>
            </w:r>
          </w:p>
          <w:p w:rsidR="004D7BF1" w:rsidRPr="00D31BDA" w:rsidRDefault="004D7BF1" w:rsidP="004D7BF1">
            <w:pPr>
              <w:spacing w:line="400" w:lineRule="exact"/>
              <w:ind w:leftChars="-12" w:left="-29"/>
              <w:jc w:val="both"/>
              <w:rPr>
                <w:rFonts w:ascii="標楷體" w:eastAsia="標楷體" w:hAnsi="標楷體"/>
                <w:color w:val="000000"/>
                <w:sz w:val="28"/>
                <w:szCs w:val="28"/>
              </w:rPr>
            </w:pPr>
            <w:r w:rsidRPr="00852E9E">
              <w:rPr>
                <w:rFonts w:ascii="標楷體" w:eastAsia="標楷體" w:hAnsi="標楷體"/>
                <w:color w:val="000000"/>
                <w:sz w:val="28"/>
              </w:rPr>
              <w:t>(111.3.25)</w:t>
            </w:r>
          </w:p>
        </w:tc>
        <w:tc>
          <w:tcPr>
            <w:tcW w:w="474" w:type="pct"/>
          </w:tcPr>
          <w:p w:rsidR="004D7BF1" w:rsidRPr="00D31BDA" w:rsidRDefault="004D7BF1" w:rsidP="004D7BF1">
            <w:pPr>
              <w:rPr>
                <w:rFonts w:ascii="標楷體" w:eastAsia="標楷體" w:hAnsi="標楷體"/>
                <w:color w:val="000000"/>
                <w:sz w:val="28"/>
              </w:rPr>
            </w:pPr>
          </w:p>
        </w:tc>
        <w:tc>
          <w:tcPr>
            <w:tcW w:w="1496" w:type="pct"/>
          </w:tcPr>
          <w:p w:rsidR="004D7BF1" w:rsidRPr="00D31BDA" w:rsidRDefault="004D7BF1" w:rsidP="004D7BF1">
            <w:pPr>
              <w:adjustRightInd w:val="0"/>
              <w:snapToGrid w:val="0"/>
              <w:spacing w:line="240" w:lineRule="atLeast"/>
              <w:ind w:left="240" w:hangingChars="100" w:hanging="240"/>
              <w:jc w:val="both"/>
              <w:rPr>
                <w:rFonts w:ascii="標楷體" w:eastAsia="標楷體" w:hAnsi="標楷體"/>
                <w:color w:val="000000"/>
                <w:szCs w:val="24"/>
              </w:rPr>
            </w:pPr>
            <w:r w:rsidRPr="00D31BDA">
              <w:rPr>
                <w:rFonts w:ascii="標楷體" w:eastAsia="標楷體" w:hAnsi="標楷體" w:hint="eastAsia"/>
                <w:color w:val="000000"/>
                <w:szCs w:val="24"/>
              </w:rPr>
              <w:t>1.逾立法院職權行使法所定審查期限，報請院會存查。</w:t>
            </w:r>
          </w:p>
          <w:p w:rsidR="004D7BF1" w:rsidRPr="00D31BDA" w:rsidRDefault="004D7BF1" w:rsidP="004D7BF1">
            <w:pPr>
              <w:adjustRightInd w:val="0"/>
              <w:snapToGrid w:val="0"/>
              <w:spacing w:line="240" w:lineRule="atLeast"/>
              <w:ind w:left="240" w:hangingChars="100" w:hanging="240"/>
              <w:jc w:val="both"/>
              <w:rPr>
                <w:rFonts w:ascii="標楷體" w:eastAsia="標楷體" w:hAnsi="標楷體"/>
                <w:color w:val="000000"/>
                <w:sz w:val="28"/>
              </w:rPr>
            </w:pPr>
            <w:r w:rsidRPr="004D7BF1">
              <w:rPr>
                <w:rFonts w:ascii="標楷體" w:eastAsia="標楷體" w:hAnsi="標楷體" w:hint="eastAsia"/>
                <w:color w:val="000000"/>
                <w:szCs w:val="24"/>
              </w:rPr>
              <w:t>2.第</w:t>
            </w:r>
            <w:r w:rsidRPr="004D7BF1">
              <w:rPr>
                <w:rFonts w:ascii="標楷體" w:eastAsia="標楷體" w:hAnsi="標楷體"/>
                <w:color w:val="000000"/>
                <w:szCs w:val="24"/>
              </w:rPr>
              <w:t>6</w:t>
            </w:r>
            <w:r w:rsidRPr="004D7BF1">
              <w:rPr>
                <w:rFonts w:ascii="標楷體" w:eastAsia="標楷體" w:hAnsi="標楷體" w:hint="eastAsia"/>
                <w:color w:val="000000"/>
                <w:szCs w:val="24"/>
              </w:rPr>
              <w:t>會期第</w:t>
            </w:r>
            <w:r w:rsidRPr="004D7BF1">
              <w:rPr>
                <w:rFonts w:ascii="標楷體" w:eastAsia="標楷體" w:hAnsi="標楷體"/>
                <w:color w:val="000000"/>
                <w:szCs w:val="24"/>
              </w:rPr>
              <w:t>1</w:t>
            </w:r>
            <w:r>
              <w:rPr>
                <w:rFonts w:ascii="標楷體" w:eastAsia="標楷體" w:hAnsi="標楷體"/>
                <w:color w:val="000000"/>
                <w:szCs w:val="24"/>
              </w:rPr>
              <w:t>3</w:t>
            </w:r>
            <w:r w:rsidRPr="004D7BF1">
              <w:rPr>
                <w:rFonts w:ascii="標楷體" w:eastAsia="標楷體" w:hAnsi="標楷體" w:hint="eastAsia"/>
                <w:color w:val="000000"/>
                <w:szCs w:val="24"/>
              </w:rPr>
              <w:t>次院會（11</w:t>
            </w:r>
            <w:r w:rsidRPr="004D7BF1">
              <w:rPr>
                <w:rFonts w:ascii="標楷體" w:eastAsia="標楷體" w:hAnsi="標楷體"/>
                <w:color w:val="000000"/>
                <w:szCs w:val="24"/>
              </w:rPr>
              <w:t>1</w:t>
            </w:r>
            <w:r w:rsidRPr="004D7BF1">
              <w:rPr>
                <w:rFonts w:ascii="標楷體" w:eastAsia="標楷體" w:hAnsi="標楷體" w:hint="eastAsia"/>
                <w:color w:val="000000"/>
                <w:szCs w:val="24"/>
              </w:rPr>
              <w:t>.</w:t>
            </w:r>
            <w:r>
              <w:rPr>
                <w:rFonts w:ascii="標楷體" w:eastAsia="標楷體" w:hAnsi="標楷體"/>
                <w:color w:val="000000"/>
                <w:szCs w:val="24"/>
              </w:rPr>
              <w:t>12</w:t>
            </w:r>
            <w:r w:rsidRPr="004D7BF1">
              <w:rPr>
                <w:rFonts w:ascii="標楷體" w:eastAsia="標楷體" w:hAnsi="標楷體" w:hint="eastAsia"/>
                <w:color w:val="000000"/>
                <w:szCs w:val="24"/>
              </w:rPr>
              <w:t>.2</w:t>
            </w:r>
            <w:r w:rsidRPr="004D7BF1">
              <w:rPr>
                <w:rFonts w:ascii="標楷體" w:eastAsia="標楷體" w:hAnsi="標楷體"/>
                <w:color w:val="000000"/>
                <w:szCs w:val="24"/>
              </w:rPr>
              <w:t>3</w:t>
            </w:r>
            <w:r w:rsidRPr="004D7BF1">
              <w:rPr>
                <w:rFonts w:ascii="標楷體" w:eastAsia="標楷體" w:hAnsi="標楷體" w:hint="eastAsia"/>
                <w:color w:val="000000"/>
                <w:szCs w:val="24"/>
              </w:rPr>
              <w:t>）決定：准予備查。</w:t>
            </w:r>
          </w:p>
        </w:tc>
      </w:tr>
      <w:tr w:rsidR="004D7BF1" w:rsidRPr="00A36746" w:rsidTr="007A203B">
        <w:trPr>
          <w:trHeight w:val="700"/>
        </w:trPr>
        <w:tc>
          <w:tcPr>
            <w:tcW w:w="362" w:type="pct"/>
            <w:vAlign w:val="center"/>
          </w:tcPr>
          <w:p w:rsidR="004D7BF1" w:rsidRPr="00A36746" w:rsidRDefault="004D7BF1" w:rsidP="006934DD">
            <w:pPr>
              <w:numPr>
                <w:ilvl w:val="0"/>
                <w:numId w:val="61"/>
              </w:numPr>
              <w:spacing w:line="400" w:lineRule="exact"/>
              <w:ind w:right="113"/>
              <w:rPr>
                <w:rFonts w:ascii="標楷體" w:eastAsia="標楷體" w:hAnsi="標楷體"/>
                <w:sz w:val="28"/>
                <w:szCs w:val="28"/>
              </w:rPr>
            </w:pPr>
          </w:p>
        </w:tc>
        <w:tc>
          <w:tcPr>
            <w:tcW w:w="1808" w:type="pct"/>
          </w:tcPr>
          <w:p w:rsidR="004D7BF1" w:rsidRPr="00D31BDA" w:rsidRDefault="004D7BF1" w:rsidP="004D7BF1">
            <w:pPr>
              <w:spacing w:line="400" w:lineRule="exact"/>
              <w:ind w:leftChars="-12" w:left="-29"/>
              <w:jc w:val="both"/>
              <w:rPr>
                <w:rFonts w:eastAsia="華康楷書體W5"/>
                <w:color w:val="000000"/>
                <w:sz w:val="28"/>
              </w:rPr>
            </w:pPr>
            <w:r w:rsidRPr="00D31BDA">
              <w:rPr>
                <w:rFonts w:eastAsia="華康楷書體W5" w:hint="eastAsia"/>
                <w:color w:val="000000"/>
                <w:sz w:val="28"/>
              </w:rPr>
              <w:t>教育部函，為修正「幼兒教保及照顧服務實施準則」第二條、第四條及第十三條條</w:t>
            </w:r>
            <w:r w:rsidRPr="00D31BDA">
              <w:rPr>
                <w:rFonts w:eastAsia="華康楷書體W5" w:hint="eastAsia"/>
                <w:color w:val="000000"/>
                <w:sz w:val="28"/>
              </w:rPr>
              <w:lastRenderedPageBreak/>
              <w:t>文，請查照案。</w:t>
            </w:r>
          </w:p>
        </w:tc>
        <w:tc>
          <w:tcPr>
            <w:tcW w:w="860" w:type="pct"/>
          </w:tcPr>
          <w:p w:rsidR="004D7BF1" w:rsidRPr="00852E9E" w:rsidRDefault="004D7BF1" w:rsidP="004D7BF1">
            <w:pPr>
              <w:spacing w:line="400" w:lineRule="exact"/>
              <w:ind w:leftChars="-12" w:left="-29"/>
              <w:jc w:val="both"/>
              <w:rPr>
                <w:rFonts w:ascii="標楷體" w:eastAsia="標楷體" w:hAnsi="標楷體"/>
                <w:color w:val="000000"/>
                <w:sz w:val="28"/>
              </w:rPr>
            </w:pPr>
            <w:r w:rsidRPr="00852E9E">
              <w:rPr>
                <w:rFonts w:ascii="標楷體" w:eastAsia="標楷體" w:hAnsi="標楷體"/>
                <w:color w:val="000000"/>
                <w:sz w:val="28"/>
              </w:rPr>
              <w:lastRenderedPageBreak/>
              <w:t>10-5-5</w:t>
            </w:r>
          </w:p>
          <w:p w:rsidR="004D7BF1" w:rsidRPr="00852E9E" w:rsidRDefault="004D7BF1" w:rsidP="004D7BF1">
            <w:pPr>
              <w:spacing w:line="400" w:lineRule="exact"/>
              <w:ind w:leftChars="-12" w:left="-29"/>
              <w:jc w:val="both"/>
              <w:rPr>
                <w:rFonts w:ascii="標楷體" w:eastAsia="標楷體" w:hAnsi="標楷體"/>
                <w:color w:val="000000"/>
                <w:sz w:val="28"/>
              </w:rPr>
            </w:pPr>
            <w:r w:rsidRPr="00852E9E">
              <w:rPr>
                <w:rFonts w:ascii="標楷體" w:eastAsia="標楷體" w:hAnsi="標楷體"/>
                <w:color w:val="000000"/>
                <w:sz w:val="28"/>
              </w:rPr>
              <w:t>(111.3.25)</w:t>
            </w:r>
          </w:p>
        </w:tc>
        <w:tc>
          <w:tcPr>
            <w:tcW w:w="474" w:type="pct"/>
          </w:tcPr>
          <w:p w:rsidR="004D7BF1" w:rsidRPr="00D31BDA" w:rsidRDefault="004D7BF1" w:rsidP="004D7BF1">
            <w:pPr>
              <w:rPr>
                <w:rFonts w:ascii="標楷體" w:eastAsia="標楷體" w:hAnsi="標楷體"/>
                <w:color w:val="000000"/>
                <w:sz w:val="28"/>
              </w:rPr>
            </w:pPr>
          </w:p>
        </w:tc>
        <w:tc>
          <w:tcPr>
            <w:tcW w:w="1496" w:type="pct"/>
          </w:tcPr>
          <w:p w:rsidR="004D7BF1" w:rsidRPr="00D31BDA" w:rsidRDefault="004D7BF1" w:rsidP="004D7BF1">
            <w:pPr>
              <w:adjustRightInd w:val="0"/>
              <w:snapToGrid w:val="0"/>
              <w:spacing w:line="240" w:lineRule="atLeast"/>
              <w:ind w:left="240" w:hangingChars="100" w:hanging="240"/>
              <w:jc w:val="both"/>
              <w:rPr>
                <w:rFonts w:ascii="標楷體" w:eastAsia="標楷體" w:hAnsi="標楷體"/>
                <w:color w:val="000000"/>
                <w:szCs w:val="24"/>
              </w:rPr>
            </w:pPr>
            <w:r w:rsidRPr="00D31BDA">
              <w:rPr>
                <w:rFonts w:ascii="標楷體" w:eastAsia="標楷體" w:hAnsi="標楷體" w:hint="eastAsia"/>
                <w:color w:val="000000"/>
                <w:szCs w:val="24"/>
              </w:rPr>
              <w:t>1.逾立法院職權行使法所定審查期限，報請院會存查。</w:t>
            </w:r>
          </w:p>
          <w:p w:rsidR="004D7BF1" w:rsidRPr="00D31BDA" w:rsidRDefault="004D7BF1" w:rsidP="004D7BF1">
            <w:pPr>
              <w:adjustRightInd w:val="0"/>
              <w:snapToGrid w:val="0"/>
              <w:spacing w:line="240" w:lineRule="atLeast"/>
              <w:ind w:left="240" w:hangingChars="100" w:hanging="240"/>
              <w:jc w:val="both"/>
              <w:rPr>
                <w:rFonts w:ascii="標楷體" w:eastAsia="標楷體" w:hAnsi="標楷體"/>
                <w:color w:val="000000"/>
                <w:sz w:val="28"/>
              </w:rPr>
            </w:pPr>
            <w:r w:rsidRPr="004D7BF1">
              <w:rPr>
                <w:rFonts w:ascii="標楷體" w:eastAsia="標楷體" w:hAnsi="標楷體" w:hint="eastAsia"/>
                <w:color w:val="000000"/>
                <w:szCs w:val="24"/>
              </w:rPr>
              <w:t>2.第</w:t>
            </w:r>
            <w:r w:rsidRPr="004D7BF1">
              <w:rPr>
                <w:rFonts w:ascii="標楷體" w:eastAsia="標楷體" w:hAnsi="標楷體"/>
                <w:color w:val="000000"/>
                <w:szCs w:val="24"/>
              </w:rPr>
              <w:t>6</w:t>
            </w:r>
            <w:r w:rsidRPr="004D7BF1">
              <w:rPr>
                <w:rFonts w:ascii="標楷體" w:eastAsia="標楷體" w:hAnsi="標楷體" w:hint="eastAsia"/>
                <w:color w:val="000000"/>
                <w:szCs w:val="24"/>
              </w:rPr>
              <w:t>會期第</w:t>
            </w:r>
            <w:r w:rsidRPr="004D7BF1">
              <w:rPr>
                <w:rFonts w:ascii="標楷體" w:eastAsia="標楷體" w:hAnsi="標楷體"/>
                <w:color w:val="000000"/>
                <w:szCs w:val="24"/>
              </w:rPr>
              <w:t>1</w:t>
            </w:r>
            <w:r>
              <w:rPr>
                <w:rFonts w:ascii="標楷體" w:eastAsia="標楷體" w:hAnsi="標楷體"/>
                <w:color w:val="000000"/>
                <w:szCs w:val="24"/>
              </w:rPr>
              <w:t>3</w:t>
            </w:r>
            <w:r w:rsidRPr="004D7BF1">
              <w:rPr>
                <w:rFonts w:ascii="標楷體" w:eastAsia="標楷體" w:hAnsi="標楷體" w:hint="eastAsia"/>
                <w:color w:val="000000"/>
                <w:szCs w:val="24"/>
              </w:rPr>
              <w:t>次院會</w:t>
            </w:r>
            <w:r w:rsidRPr="004D7BF1">
              <w:rPr>
                <w:rFonts w:ascii="標楷體" w:eastAsia="標楷體" w:hAnsi="標楷體" w:hint="eastAsia"/>
                <w:color w:val="000000"/>
                <w:szCs w:val="24"/>
              </w:rPr>
              <w:lastRenderedPageBreak/>
              <w:t>（11</w:t>
            </w:r>
            <w:r w:rsidRPr="004D7BF1">
              <w:rPr>
                <w:rFonts w:ascii="標楷體" w:eastAsia="標楷體" w:hAnsi="標楷體"/>
                <w:color w:val="000000"/>
                <w:szCs w:val="24"/>
              </w:rPr>
              <w:t>1</w:t>
            </w:r>
            <w:r w:rsidRPr="004D7BF1">
              <w:rPr>
                <w:rFonts w:ascii="標楷體" w:eastAsia="標楷體" w:hAnsi="標楷體" w:hint="eastAsia"/>
                <w:color w:val="000000"/>
                <w:szCs w:val="24"/>
              </w:rPr>
              <w:t>.</w:t>
            </w:r>
            <w:r>
              <w:rPr>
                <w:rFonts w:ascii="標楷體" w:eastAsia="標楷體" w:hAnsi="標楷體"/>
                <w:color w:val="000000"/>
                <w:szCs w:val="24"/>
              </w:rPr>
              <w:t>12</w:t>
            </w:r>
            <w:r w:rsidRPr="004D7BF1">
              <w:rPr>
                <w:rFonts w:ascii="標楷體" w:eastAsia="標楷體" w:hAnsi="標楷體" w:hint="eastAsia"/>
                <w:color w:val="000000"/>
                <w:szCs w:val="24"/>
              </w:rPr>
              <w:t>.2</w:t>
            </w:r>
            <w:r w:rsidRPr="004D7BF1">
              <w:rPr>
                <w:rFonts w:ascii="標楷體" w:eastAsia="標楷體" w:hAnsi="標楷體"/>
                <w:color w:val="000000"/>
                <w:szCs w:val="24"/>
              </w:rPr>
              <w:t>3</w:t>
            </w:r>
            <w:r w:rsidRPr="004D7BF1">
              <w:rPr>
                <w:rFonts w:ascii="標楷體" w:eastAsia="標楷體" w:hAnsi="標楷體" w:hint="eastAsia"/>
                <w:color w:val="000000"/>
                <w:szCs w:val="24"/>
              </w:rPr>
              <w:t>）決定：准予備查。</w:t>
            </w:r>
          </w:p>
        </w:tc>
      </w:tr>
      <w:tr w:rsidR="004D7BF1" w:rsidRPr="00A36746" w:rsidTr="007A203B">
        <w:trPr>
          <w:trHeight w:val="700"/>
        </w:trPr>
        <w:tc>
          <w:tcPr>
            <w:tcW w:w="362" w:type="pct"/>
            <w:vAlign w:val="center"/>
          </w:tcPr>
          <w:p w:rsidR="004D7BF1" w:rsidRPr="00A36746" w:rsidRDefault="004D7BF1" w:rsidP="006934DD">
            <w:pPr>
              <w:numPr>
                <w:ilvl w:val="0"/>
                <w:numId w:val="61"/>
              </w:numPr>
              <w:spacing w:line="400" w:lineRule="exact"/>
              <w:ind w:right="113"/>
              <w:rPr>
                <w:rFonts w:ascii="標楷體" w:eastAsia="標楷體" w:hAnsi="標楷體"/>
                <w:sz w:val="28"/>
                <w:szCs w:val="28"/>
              </w:rPr>
            </w:pPr>
          </w:p>
        </w:tc>
        <w:tc>
          <w:tcPr>
            <w:tcW w:w="1808" w:type="pct"/>
          </w:tcPr>
          <w:p w:rsidR="004D7BF1" w:rsidRPr="00D31BDA" w:rsidRDefault="004D7BF1" w:rsidP="004D7BF1">
            <w:pPr>
              <w:spacing w:line="400" w:lineRule="exact"/>
              <w:ind w:leftChars="-12" w:left="-29"/>
              <w:jc w:val="both"/>
              <w:rPr>
                <w:rFonts w:eastAsia="華康楷書體W5"/>
                <w:color w:val="000000"/>
                <w:sz w:val="28"/>
              </w:rPr>
            </w:pPr>
            <w:r w:rsidRPr="00D31BDA">
              <w:rPr>
                <w:rFonts w:eastAsia="華康楷書體W5" w:hint="eastAsia"/>
                <w:color w:val="000000"/>
                <w:sz w:val="28"/>
              </w:rPr>
              <w:t>文化部函，</w:t>
            </w:r>
            <w:r w:rsidRPr="00852E9E">
              <w:rPr>
                <w:rFonts w:ascii="標楷體" w:eastAsia="標楷體" w:hAnsi="標楷體" w:hint="eastAsia"/>
                <w:color w:val="000000"/>
                <w:sz w:val="28"/>
              </w:rPr>
              <w:t>為修正</w:t>
            </w:r>
            <w:r w:rsidRPr="00D31BDA">
              <w:rPr>
                <w:rFonts w:eastAsia="華康楷書體W5" w:hint="eastAsia"/>
                <w:color w:val="000000"/>
                <w:sz w:val="28"/>
              </w:rPr>
              <w:t>「文化藝術採購辦法」部分條文，請查照案。</w:t>
            </w:r>
          </w:p>
        </w:tc>
        <w:tc>
          <w:tcPr>
            <w:tcW w:w="860" w:type="pct"/>
          </w:tcPr>
          <w:p w:rsidR="004D7BF1" w:rsidRPr="00852E9E" w:rsidRDefault="004D7BF1" w:rsidP="004D7BF1">
            <w:pPr>
              <w:spacing w:line="400" w:lineRule="exact"/>
              <w:ind w:leftChars="-12" w:left="-29"/>
              <w:jc w:val="both"/>
              <w:rPr>
                <w:rFonts w:ascii="標楷體" w:eastAsia="標楷體" w:hAnsi="標楷體"/>
                <w:color w:val="000000"/>
                <w:sz w:val="28"/>
              </w:rPr>
            </w:pPr>
            <w:r w:rsidRPr="00852E9E">
              <w:rPr>
                <w:rFonts w:ascii="標楷體" w:eastAsia="標楷體" w:hAnsi="標楷體"/>
                <w:color w:val="000000"/>
                <w:sz w:val="28"/>
              </w:rPr>
              <w:t>10-5-5</w:t>
            </w:r>
          </w:p>
          <w:p w:rsidR="004D7BF1" w:rsidRPr="00852E9E" w:rsidRDefault="004D7BF1" w:rsidP="004D7BF1">
            <w:pPr>
              <w:spacing w:line="400" w:lineRule="exact"/>
              <w:ind w:leftChars="-12" w:left="-29"/>
              <w:jc w:val="both"/>
              <w:rPr>
                <w:rFonts w:ascii="標楷體" w:eastAsia="標楷體" w:hAnsi="標楷體"/>
                <w:color w:val="000000"/>
                <w:sz w:val="28"/>
              </w:rPr>
            </w:pPr>
            <w:r w:rsidRPr="00852E9E">
              <w:rPr>
                <w:rFonts w:ascii="標楷體" w:eastAsia="標楷體" w:hAnsi="標楷體"/>
                <w:color w:val="000000"/>
                <w:sz w:val="28"/>
              </w:rPr>
              <w:t>(111.3.25)</w:t>
            </w:r>
          </w:p>
        </w:tc>
        <w:tc>
          <w:tcPr>
            <w:tcW w:w="474" w:type="pct"/>
          </w:tcPr>
          <w:p w:rsidR="004D7BF1" w:rsidRPr="00D31BDA" w:rsidRDefault="004D7BF1" w:rsidP="004D7BF1">
            <w:pPr>
              <w:rPr>
                <w:rFonts w:ascii="標楷體" w:eastAsia="標楷體" w:hAnsi="標楷體"/>
                <w:color w:val="000000"/>
                <w:sz w:val="28"/>
              </w:rPr>
            </w:pPr>
          </w:p>
        </w:tc>
        <w:tc>
          <w:tcPr>
            <w:tcW w:w="1496" w:type="pct"/>
          </w:tcPr>
          <w:p w:rsidR="004D7BF1" w:rsidRPr="00D31BDA" w:rsidRDefault="004D7BF1" w:rsidP="004D7BF1">
            <w:pPr>
              <w:adjustRightInd w:val="0"/>
              <w:snapToGrid w:val="0"/>
              <w:spacing w:line="240" w:lineRule="atLeast"/>
              <w:ind w:left="240" w:hangingChars="100" w:hanging="240"/>
              <w:jc w:val="both"/>
              <w:rPr>
                <w:rFonts w:ascii="標楷體" w:eastAsia="標楷體" w:hAnsi="標楷體"/>
                <w:color w:val="000000"/>
                <w:szCs w:val="24"/>
              </w:rPr>
            </w:pPr>
            <w:r w:rsidRPr="00D31BDA">
              <w:rPr>
                <w:rFonts w:ascii="標楷體" w:eastAsia="標楷體" w:hAnsi="標楷體" w:hint="eastAsia"/>
                <w:color w:val="000000"/>
                <w:szCs w:val="24"/>
              </w:rPr>
              <w:t>1.逾立法院職權行使法所定審查期限，報請院會存查。</w:t>
            </w:r>
          </w:p>
          <w:p w:rsidR="004D7BF1" w:rsidRPr="00D31BDA" w:rsidRDefault="004D7BF1" w:rsidP="004D7BF1">
            <w:pPr>
              <w:adjustRightInd w:val="0"/>
              <w:snapToGrid w:val="0"/>
              <w:spacing w:line="240" w:lineRule="atLeast"/>
              <w:ind w:left="240" w:hangingChars="100" w:hanging="240"/>
              <w:jc w:val="both"/>
              <w:rPr>
                <w:rFonts w:ascii="標楷體" w:eastAsia="標楷體" w:hAnsi="標楷體"/>
                <w:color w:val="000000"/>
                <w:sz w:val="28"/>
              </w:rPr>
            </w:pPr>
            <w:r w:rsidRPr="004D7BF1">
              <w:rPr>
                <w:rFonts w:ascii="標楷體" w:eastAsia="標楷體" w:hAnsi="標楷體" w:hint="eastAsia"/>
                <w:color w:val="000000"/>
                <w:szCs w:val="24"/>
              </w:rPr>
              <w:t>2.第</w:t>
            </w:r>
            <w:r w:rsidRPr="004D7BF1">
              <w:rPr>
                <w:rFonts w:ascii="標楷體" w:eastAsia="標楷體" w:hAnsi="標楷體"/>
                <w:color w:val="000000"/>
                <w:szCs w:val="24"/>
              </w:rPr>
              <w:t>6</w:t>
            </w:r>
            <w:r w:rsidRPr="004D7BF1">
              <w:rPr>
                <w:rFonts w:ascii="標楷體" w:eastAsia="標楷體" w:hAnsi="標楷體" w:hint="eastAsia"/>
                <w:color w:val="000000"/>
                <w:szCs w:val="24"/>
              </w:rPr>
              <w:t>會期第</w:t>
            </w:r>
            <w:r w:rsidRPr="004D7BF1">
              <w:rPr>
                <w:rFonts w:ascii="標楷體" w:eastAsia="標楷體" w:hAnsi="標楷體"/>
                <w:color w:val="000000"/>
                <w:szCs w:val="24"/>
              </w:rPr>
              <w:t>1</w:t>
            </w:r>
            <w:r>
              <w:rPr>
                <w:rFonts w:ascii="標楷體" w:eastAsia="標楷體" w:hAnsi="標楷體"/>
                <w:color w:val="000000"/>
                <w:szCs w:val="24"/>
              </w:rPr>
              <w:t>3</w:t>
            </w:r>
            <w:r w:rsidRPr="004D7BF1">
              <w:rPr>
                <w:rFonts w:ascii="標楷體" w:eastAsia="標楷體" w:hAnsi="標楷體" w:hint="eastAsia"/>
                <w:color w:val="000000"/>
                <w:szCs w:val="24"/>
              </w:rPr>
              <w:t>次院會（11</w:t>
            </w:r>
            <w:r w:rsidRPr="004D7BF1">
              <w:rPr>
                <w:rFonts w:ascii="標楷體" w:eastAsia="標楷體" w:hAnsi="標楷體"/>
                <w:color w:val="000000"/>
                <w:szCs w:val="24"/>
              </w:rPr>
              <w:t>1</w:t>
            </w:r>
            <w:r w:rsidRPr="004D7BF1">
              <w:rPr>
                <w:rFonts w:ascii="標楷體" w:eastAsia="標楷體" w:hAnsi="標楷體" w:hint="eastAsia"/>
                <w:color w:val="000000"/>
                <w:szCs w:val="24"/>
              </w:rPr>
              <w:t>.</w:t>
            </w:r>
            <w:r>
              <w:rPr>
                <w:rFonts w:ascii="標楷體" w:eastAsia="標楷體" w:hAnsi="標楷體"/>
                <w:color w:val="000000"/>
                <w:szCs w:val="24"/>
              </w:rPr>
              <w:t>12</w:t>
            </w:r>
            <w:r w:rsidRPr="004D7BF1">
              <w:rPr>
                <w:rFonts w:ascii="標楷體" w:eastAsia="標楷體" w:hAnsi="標楷體" w:hint="eastAsia"/>
                <w:color w:val="000000"/>
                <w:szCs w:val="24"/>
              </w:rPr>
              <w:t>.2</w:t>
            </w:r>
            <w:r w:rsidRPr="004D7BF1">
              <w:rPr>
                <w:rFonts w:ascii="標楷體" w:eastAsia="標楷體" w:hAnsi="標楷體"/>
                <w:color w:val="000000"/>
                <w:szCs w:val="24"/>
              </w:rPr>
              <w:t>3</w:t>
            </w:r>
            <w:r w:rsidRPr="004D7BF1">
              <w:rPr>
                <w:rFonts w:ascii="標楷體" w:eastAsia="標楷體" w:hAnsi="標楷體" w:hint="eastAsia"/>
                <w:color w:val="000000"/>
                <w:szCs w:val="24"/>
              </w:rPr>
              <w:t>）決定：准予備查。</w:t>
            </w:r>
          </w:p>
        </w:tc>
      </w:tr>
      <w:tr w:rsidR="004D7BF1" w:rsidRPr="00A36746" w:rsidTr="007A203B">
        <w:trPr>
          <w:trHeight w:val="700"/>
        </w:trPr>
        <w:tc>
          <w:tcPr>
            <w:tcW w:w="362" w:type="pct"/>
            <w:vAlign w:val="center"/>
          </w:tcPr>
          <w:p w:rsidR="004D7BF1" w:rsidRPr="00A36746" w:rsidRDefault="004D7BF1" w:rsidP="006934DD">
            <w:pPr>
              <w:numPr>
                <w:ilvl w:val="0"/>
                <w:numId w:val="61"/>
              </w:numPr>
              <w:spacing w:line="400" w:lineRule="exact"/>
              <w:ind w:right="113"/>
              <w:rPr>
                <w:rFonts w:ascii="標楷體" w:eastAsia="標楷體" w:hAnsi="標楷體"/>
                <w:sz w:val="28"/>
                <w:szCs w:val="28"/>
              </w:rPr>
            </w:pPr>
          </w:p>
        </w:tc>
        <w:tc>
          <w:tcPr>
            <w:tcW w:w="1808" w:type="pct"/>
          </w:tcPr>
          <w:p w:rsidR="004D7BF1" w:rsidRPr="00D31BDA" w:rsidRDefault="004D7BF1" w:rsidP="004D7BF1">
            <w:pPr>
              <w:spacing w:line="400" w:lineRule="exact"/>
              <w:ind w:leftChars="-12" w:left="-29"/>
              <w:jc w:val="both"/>
              <w:rPr>
                <w:rFonts w:eastAsia="華康楷書體W5"/>
                <w:color w:val="000000"/>
                <w:sz w:val="28"/>
              </w:rPr>
            </w:pPr>
            <w:r w:rsidRPr="00D31BDA">
              <w:rPr>
                <w:rFonts w:eastAsia="華康楷書體W5" w:hint="eastAsia"/>
                <w:color w:val="000000"/>
                <w:sz w:val="28"/>
              </w:rPr>
              <w:t>中央研究院函送臺灣人體生物資料庫資料及檢體使用收費標準</w:t>
            </w:r>
            <w:r>
              <w:rPr>
                <w:rFonts w:eastAsia="華康楷書體W5" w:hint="eastAsia"/>
                <w:color w:val="000000"/>
                <w:sz w:val="28"/>
              </w:rPr>
              <w:t>。</w:t>
            </w:r>
          </w:p>
        </w:tc>
        <w:tc>
          <w:tcPr>
            <w:tcW w:w="860" w:type="pct"/>
          </w:tcPr>
          <w:p w:rsidR="004D7BF1" w:rsidRPr="00852E9E" w:rsidRDefault="004D7BF1" w:rsidP="004D7BF1">
            <w:pPr>
              <w:spacing w:line="400" w:lineRule="exact"/>
              <w:ind w:leftChars="-12" w:left="-29"/>
              <w:jc w:val="both"/>
              <w:rPr>
                <w:rFonts w:ascii="標楷體" w:eastAsia="標楷體" w:hAnsi="標楷體"/>
                <w:color w:val="000000"/>
                <w:sz w:val="28"/>
              </w:rPr>
            </w:pPr>
            <w:r w:rsidRPr="00852E9E">
              <w:rPr>
                <w:rFonts w:ascii="標楷體" w:eastAsia="標楷體" w:hAnsi="標楷體"/>
                <w:color w:val="000000"/>
                <w:sz w:val="28"/>
              </w:rPr>
              <w:t>10-5-7</w:t>
            </w:r>
          </w:p>
          <w:p w:rsidR="004D7BF1" w:rsidRPr="00D31BDA" w:rsidRDefault="004D7BF1" w:rsidP="004D7BF1">
            <w:pPr>
              <w:spacing w:line="400" w:lineRule="exact"/>
              <w:ind w:leftChars="-12" w:left="-29"/>
              <w:jc w:val="both"/>
              <w:rPr>
                <w:rFonts w:ascii="標楷體" w:eastAsia="標楷體" w:hAnsi="標楷體"/>
                <w:color w:val="000000"/>
                <w:sz w:val="28"/>
                <w:szCs w:val="28"/>
              </w:rPr>
            </w:pPr>
            <w:r w:rsidRPr="00852E9E">
              <w:rPr>
                <w:rFonts w:ascii="標楷體" w:eastAsia="標楷體" w:hAnsi="標楷體"/>
                <w:color w:val="000000"/>
                <w:sz w:val="28"/>
              </w:rPr>
              <w:t>(111.4.8)</w:t>
            </w:r>
          </w:p>
        </w:tc>
        <w:tc>
          <w:tcPr>
            <w:tcW w:w="474" w:type="pct"/>
          </w:tcPr>
          <w:p w:rsidR="004D7BF1" w:rsidRPr="00D31BDA" w:rsidRDefault="004D7BF1" w:rsidP="004D7BF1">
            <w:pPr>
              <w:rPr>
                <w:rFonts w:ascii="標楷體" w:eastAsia="標楷體" w:hAnsi="標楷體"/>
                <w:color w:val="000000"/>
                <w:sz w:val="28"/>
              </w:rPr>
            </w:pPr>
          </w:p>
        </w:tc>
        <w:tc>
          <w:tcPr>
            <w:tcW w:w="1496" w:type="pct"/>
          </w:tcPr>
          <w:p w:rsidR="004D7BF1" w:rsidRPr="00D31BDA" w:rsidRDefault="004D7BF1" w:rsidP="004D7BF1">
            <w:pPr>
              <w:adjustRightInd w:val="0"/>
              <w:snapToGrid w:val="0"/>
              <w:spacing w:line="240" w:lineRule="atLeast"/>
              <w:ind w:left="240" w:hangingChars="100" w:hanging="240"/>
              <w:jc w:val="both"/>
              <w:rPr>
                <w:rFonts w:ascii="標楷體" w:eastAsia="標楷體" w:hAnsi="標楷體"/>
                <w:color w:val="000000"/>
                <w:szCs w:val="24"/>
              </w:rPr>
            </w:pPr>
            <w:r w:rsidRPr="00D31BDA">
              <w:rPr>
                <w:rFonts w:ascii="標楷體" w:eastAsia="標楷體" w:hAnsi="標楷體" w:hint="eastAsia"/>
                <w:color w:val="000000"/>
                <w:szCs w:val="24"/>
              </w:rPr>
              <w:t>1.逾立法院職權行使法所定審查期限，報請院會存查。</w:t>
            </w:r>
          </w:p>
          <w:p w:rsidR="004D7BF1" w:rsidRPr="00D31BDA" w:rsidRDefault="004D7BF1" w:rsidP="004D7BF1">
            <w:pPr>
              <w:adjustRightInd w:val="0"/>
              <w:snapToGrid w:val="0"/>
              <w:spacing w:line="240" w:lineRule="atLeast"/>
              <w:ind w:left="240" w:hangingChars="100" w:hanging="240"/>
              <w:jc w:val="both"/>
              <w:rPr>
                <w:rFonts w:ascii="標楷體" w:eastAsia="標楷體" w:hAnsi="標楷體"/>
                <w:color w:val="000000"/>
                <w:sz w:val="28"/>
              </w:rPr>
            </w:pPr>
            <w:r w:rsidRPr="004D7BF1">
              <w:rPr>
                <w:rFonts w:ascii="標楷體" w:eastAsia="標楷體" w:hAnsi="標楷體" w:hint="eastAsia"/>
                <w:color w:val="000000"/>
                <w:szCs w:val="24"/>
              </w:rPr>
              <w:t>2.第</w:t>
            </w:r>
            <w:r w:rsidRPr="004D7BF1">
              <w:rPr>
                <w:rFonts w:ascii="標楷體" w:eastAsia="標楷體" w:hAnsi="標楷體"/>
                <w:color w:val="000000"/>
                <w:szCs w:val="24"/>
              </w:rPr>
              <w:t>6</w:t>
            </w:r>
            <w:r w:rsidRPr="004D7BF1">
              <w:rPr>
                <w:rFonts w:ascii="標楷體" w:eastAsia="標楷體" w:hAnsi="標楷體" w:hint="eastAsia"/>
                <w:color w:val="000000"/>
                <w:szCs w:val="24"/>
              </w:rPr>
              <w:t>會期第</w:t>
            </w:r>
            <w:r w:rsidRPr="004D7BF1">
              <w:rPr>
                <w:rFonts w:ascii="標楷體" w:eastAsia="標楷體" w:hAnsi="標楷體"/>
                <w:color w:val="000000"/>
                <w:szCs w:val="24"/>
              </w:rPr>
              <w:t>1</w:t>
            </w:r>
            <w:r>
              <w:rPr>
                <w:rFonts w:ascii="標楷體" w:eastAsia="標楷體" w:hAnsi="標楷體"/>
                <w:color w:val="000000"/>
                <w:szCs w:val="24"/>
              </w:rPr>
              <w:t>3</w:t>
            </w:r>
            <w:r w:rsidRPr="004D7BF1">
              <w:rPr>
                <w:rFonts w:ascii="標楷體" w:eastAsia="標楷體" w:hAnsi="標楷體" w:hint="eastAsia"/>
                <w:color w:val="000000"/>
                <w:szCs w:val="24"/>
              </w:rPr>
              <w:t>次院會（11</w:t>
            </w:r>
            <w:r w:rsidRPr="004D7BF1">
              <w:rPr>
                <w:rFonts w:ascii="標楷體" w:eastAsia="標楷體" w:hAnsi="標楷體"/>
                <w:color w:val="000000"/>
                <w:szCs w:val="24"/>
              </w:rPr>
              <w:t>1</w:t>
            </w:r>
            <w:r w:rsidRPr="004D7BF1">
              <w:rPr>
                <w:rFonts w:ascii="標楷體" w:eastAsia="標楷體" w:hAnsi="標楷體" w:hint="eastAsia"/>
                <w:color w:val="000000"/>
                <w:szCs w:val="24"/>
              </w:rPr>
              <w:t>.</w:t>
            </w:r>
            <w:r>
              <w:rPr>
                <w:rFonts w:ascii="標楷體" w:eastAsia="標楷體" w:hAnsi="標楷體"/>
                <w:color w:val="000000"/>
                <w:szCs w:val="24"/>
              </w:rPr>
              <w:t>12</w:t>
            </w:r>
            <w:r w:rsidRPr="004D7BF1">
              <w:rPr>
                <w:rFonts w:ascii="標楷體" w:eastAsia="標楷體" w:hAnsi="標楷體" w:hint="eastAsia"/>
                <w:color w:val="000000"/>
                <w:szCs w:val="24"/>
              </w:rPr>
              <w:t>.2</w:t>
            </w:r>
            <w:r w:rsidRPr="004D7BF1">
              <w:rPr>
                <w:rFonts w:ascii="標楷體" w:eastAsia="標楷體" w:hAnsi="標楷體"/>
                <w:color w:val="000000"/>
                <w:szCs w:val="24"/>
              </w:rPr>
              <w:t>3</w:t>
            </w:r>
            <w:r w:rsidRPr="004D7BF1">
              <w:rPr>
                <w:rFonts w:ascii="標楷體" w:eastAsia="標楷體" w:hAnsi="標楷體" w:hint="eastAsia"/>
                <w:color w:val="000000"/>
                <w:szCs w:val="24"/>
              </w:rPr>
              <w:t>）決定：准予備查。</w:t>
            </w:r>
          </w:p>
        </w:tc>
      </w:tr>
    </w:tbl>
    <w:p w:rsidR="007A203B" w:rsidRDefault="007A203B">
      <w:pPr>
        <w:widowControl/>
        <w:rPr>
          <w:rFonts w:ascii="標楷體" w:eastAsia="標楷體" w:hAnsi="標楷體"/>
          <w:color w:val="000000" w:themeColor="text1"/>
          <w:sz w:val="32"/>
          <w:szCs w:val="32"/>
        </w:rPr>
      </w:pPr>
    </w:p>
    <w:p w:rsidR="007A203B" w:rsidRDefault="007A203B">
      <w:pPr>
        <w:widowControl/>
        <w:rPr>
          <w:rFonts w:ascii="標楷體" w:eastAsia="標楷體" w:hAnsi="標楷體"/>
          <w:color w:val="000000" w:themeColor="text1"/>
          <w:sz w:val="32"/>
          <w:szCs w:val="32"/>
        </w:rPr>
      </w:pPr>
      <w:r>
        <w:rPr>
          <w:rFonts w:ascii="標楷體" w:eastAsia="標楷體" w:hAnsi="標楷體"/>
          <w:color w:val="000000" w:themeColor="text1"/>
          <w:sz w:val="32"/>
          <w:szCs w:val="32"/>
        </w:rPr>
        <w:br w:type="page"/>
      </w:r>
    </w:p>
    <w:p w:rsidR="007A203B" w:rsidRPr="00920597" w:rsidRDefault="007A203B" w:rsidP="007A203B">
      <w:pPr>
        <w:pStyle w:val="01-21"/>
        <w:rPr>
          <w:color w:val="000000" w:themeColor="text1"/>
        </w:rPr>
      </w:pPr>
      <w:bookmarkStart w:id="111" w:name="_Toc126068148"/>
      <w:r>
        <w:rPr>
          <w:rFonts w:hint="eastAsia"/>
          <w:color w:val="000000" w:themeColor="text1"/>
        </w:rPr>
        <w:lastRenderedPageBreak/>
        <w:t>四</w:t>
      </w:r>
      <w:r w:rsidRPr="00920597">
        <w:rPr>
          <w:rFonts w:hint="eastAsia"/>
          <w:color w:val="000000" w:themeColor="text1"/>
        </w:rPr>
        <w:t>、</w:t>
      </w:r>
      <w:r>
        <w:rPr>
          <w:rFonts w:hint="eastAsia"/>
          <w:color w:val="000000" w:themeColor="text1"/>
        </w:rPr>
        <w:t>其他議案</w:t>
      </w:r>
      <w:r w:rsidRPr="00920597">
        <w:rPr>
          <w:rFonts w:hint="eastAsia"/>
          <w:color w:val="000000" w:themeColor="text1"/>
        </w:rPr>
        <w:t>（</w:t>
      </w:r>
      <w:r>
        <w:rPr>
          <w:rFonts w:hint="eastAsia"/>
          <w:color w:val="000000" w:themeColor="text1"/>
        </w:rPr>
        <w:t>106</w:t>
      </w:r>
      <w:r w:rsidRPr="00920597">
        <w:rPr>
          <w:rFonts w:hint="eastAsia"/>
          <w:color w:val="000000" w:themeColor="text1"/>
        </w:rPr>
        <w:t>案）</w:t>
      </w:r>
      <w:bookmarkEnd w:id="111"/>
    </w:p>
    <w:tbl>
      <w:tblPr>
        <w:tblW w:w="50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09"/>
        <w:gridCol w:w="3917"/>
        <w:gridCol w:w="1740"/>
        <w:gridCol w:w="1015"/>
        <w:gridCol w:w="2419"/>
      </w:tblGrid>
      <w:tr w:rsidR="007A203B" w:rsidRPr="001F3F42" w:rsidTr="00A43930">
        <w:trPr>
          <w:trHeight w:val="700"/>
        </w:trPr>
        <w:tc>
          <w:tcPr>
            <w:tcW w:w="314" w:type="pct"/>
            <w:vAlign w:val="center"/>
          </w:tcPr>
          <w:p w:rsidR="007A203B" w:rsidRPr="001F3F42" w:rsidRDefault="007A203B" w:rsidP="00A43930">
            <w:pPr>
              <w:spacing w:line="400" w:lineRule="exact"/>
              <w:jc w:val="center"/>
              <w:rPr>
                <w:rFonts w:ascii="標楷體" w:eastAsia="標楷體" w:hAnsi="標楷體"/>
                <w:b/>
                <w:bCs/>
                <w:color w:val="000000"/>
                <w:spacing w:val="-20"/>
                <w:sz w:val="28"/>
                <w:szCs w:val="28"/>
              </w:rPr>
            </w:pPr>
            <w:r w:rsidRPr="001F3F42">
              <w:rPr>
                <w:rFonts w:ascii="標楷體" w:eastAsia="標楷體" w:hAnsi="標楷體" w:hint="eastAsia"/>
                <w:b/>
                <w:bCs/>
                <w:color w:val="000000"/>
                <w:spacing w:val="-20"/>
                <w:sz w:val="28"/>
                <w:szCs w:val="28"/>
              </w:rPr>
              <w:t>序號</w:t>
            </w:r>
          </w:p>
        </w:tc>
        <w:tc>
          <w:tcPr>
            <w:tcW w:w="2019" w:type="pct"/>
            <w:vAlign w:val="center"/>
          </w:tcPr>
          <w:p w:rsidR="007A203B" w:rsidRPr="001F3F42" w:rsidRDefault="007A203B" w:rsidP="00A43930">
            <w:pPr>
              <w:spacing w:line="400" w:lineRule="exact"/>
              <w:jc w:val="center"/>
              <w:rPr>
                <w:rFonts w:ascii="標楷體" w:eastAsia="標楷體" w:hAnsi="標楷體"/>
                <w:b/>
                <w:bCs/>
                <w:color w:val="000000"/>
                <w:sz w:val="28"/>
              </w:rPr>
            </w:pPr>
            <w:r w:rsidRPr="001F3F42">
              <w:rPr>
                <w:rFonts w:ascii="標楷體" w:eastAsia="標楷體" w:hAnsi="標楷體" w:hint="eastAsia"/>
                <w:b/>
                <w:bCs/>
                <w:color w:val="000000"/>
                <w:sz w:val="28"/>
              </w:rPr>
              <w:t>案          由</w:t>
            </w:r>
          </w:p>
        </w:tc>
        <w:tc>
          <w:tcPr>
            <w:tcW w:w="897" w:type="pct"/>
            <w:vAlign w:val="center"/>
          </w:tcPr>
          <w:p w:rsidR="007A203B" w:rsidRPr="001F3F42" w:rsidRDefault="007A203B" w:rsidP="00A43930">
            <w:pPr>
              <w:spacing w:line="400" w:lineRule="exact"/>
              <w:ind w:left="92"/>
              <w:jc w:val="center"/>
              <w:rPr>
                <w:rFonts w:ascii="標楷體" w:eastAsia="標楷體" w:hAnsi="標楷體"/>
                <w:b/>
                <w:bCs/>
                <w:color w:val="000000"/>
                <w:sz w:val="28"/>
              </w:rPr>
            </w:pPr>
            <w:r w:rsidRPr="001F3F42">
              <w:rPr>
                <w:rFonts w:ascii="標楷體" w:eastAsia="標楷體" w:hAnsi="標楷體" w:hint="eastAsia"/>
                <w:b/>
                <w:bCs/>
                <w:color w:val="000000"/>
                <w:sz w:val="28"/>
              </w:rPr>
              <w:t>院會交付</w:t>
            </w:r>
          </w:p>
          <w:p w:rsidR="007A203B" w:rsidRPr="001F3F42" w:rsidRDefault="007A203B" w:rsidP="00A43930">
            <w:pPr>
              <w:spacing w:line="400" w:lineRule="exact"/>
              <w:ind w:leftChars="-36" w:left="1" w:hangingChars="31" w:hanging="87"/>
              <w:jc w:val="center"/>
              <w:rPr>
                <w:rFonts w:ascii="標楷體" w:eastAsia="標楷體" w:hAnsi="標楷體"/>
                <w:b/>
                <w:bCs/>
                <w:color w:val="000000"/>
                <w:sz w:val="28"/>
              </w:rPr>
            </w:pPr>
            <w:r w:rsidRPr="001F3F42">
              <w:rPr>
                <w:rFonts w:ascii="標楷體" w:eastAsia="標楷體" w:hAnsi="標楷體" w:hint="eastAsia"/>
                <w:b/>
                <w:bCs/>
                <w:color w:val="000000"/>
                <w:sz w:val="28"/>
              </w:rPr>
              <w:t>會次及日期</w:t>
            </w:r>
          </w:p>
        </w:tc>
        <w:tc>
          <w:tcPr>
            <w:tcW w:w="523" w:type="pct"/>
            <w:vAlign w:val="center"/>
          </w:tcPr>
          <w:p w:rsidR="007A203B" w:rsidRPr="001F3F42" w:rsidRDefault="007A203B" w:rsidP="00A43930">
            <w:pPr>
              <w:spacing w:line="400" w:lineRule="exact"/>
              <w:jc w:val="center"/>
              <w:rPr>
                <w:rFonts w:ascii="標楷體" w:eastAsia="標楷體" w:hAnsi="標楷體"/>
                <w:b/>
                <w:bCs/>
                <w:color w:val="000000"/>
                <w:sz w:val="28"/>
              </w:rPr>
            </w:pPr>
            <w:r w:rsidRPr="001F3F42">
              <w:rPr>
                <w:rFonts w:ascii="標楷體" w:eastAsia="標楷體" w:hAnsi="標楷體" w:hint="eastAsia"/>
                <w:b/>
                <w:bCs/>
                <w:color w:val="000000"/>
                <w:sz w:val="28"/>
              </w:rPr>
              <w:t>聯席</w:t>
            </w:r>
          </w:p>
          <w:p w:rsidR="007A203B" w:rsidRPr="001F3F42" w:rsidRDefault="007A203B" w:rsidP="00A43930">
            <w:pPr>
              <w:spacing w:line="400" w:lineRule="exact"/>
              <w:jc w:val="center"/>
              <w:rPr>
                <w:rFonts w:ascii="標楷體" w:eastAsia="標楷體" w:hAnsi="標楷體"/>
                <w:b/>
                <w:bCs/>
                <w:color w:val="000000"/>
                <w:sz w:val="28"/>
              </w:rPr>
            </w:pPr>
            <w:r w:rsidRPr="001F3F42">
              <w:rPr>
                <w:rFonts w:ascii="標楷體" w:eastAsia="標楷體" w:hAnsi="標楷體" w:hint="eastAsia"/>
                <w:b/>
                <w:bCs/>
                <w:color w:val="000000"/>
                <w:sz w:val="28"/>
              </w:rPr>
              <w:t>委員會</w:t>
            </w:r>
          </w:p>
        </w:tc>
        <w:tc>
          <w:tcPr>
            <w:tcW w:w="1247" w:type="pct"/>
            <w:vAlign w:val="center"/>
          </w:tcPr>
          <w:p w:rsidR="007A203B" w:rsidRPr="001F3F42" w:rsidRDefault="007A203B" w:rsidP="00A43930">
            <w:pPr>
              <w:spacing w:line="400" w:lineRule="exact"/>
              <w:jc w:val="distribute"/>
              <w:rPr>
                <w:rFonts w:ascii="標楷體" w:eastAsia="標楷體" w:hAnsi="標楷體"/>
                <w:b/>
                <w:bCs/>
                <w:color w:val="000000"/>
                <w:sz w:val="28"/>
              </w:rPr>
            </w:pPr>
            <w:r w:rsidRPr="001F3F42">
              <w:rPr>
                <w:rFonts w:ascii="標楷體" w:eastAsia="標楷體" w:hAnsi="標楷體" w:hint="eastAsia"/>
                <w:b/>
                <w:bCs/>
                <w:color w:val="000000"/>
                <w:sz w:val="28"/>
              </w:rPr>
              <w:t>處理情形</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科技部函，為109年度中央政府總預算決議，檢送「國家災害防救科技中心自籌來源」報告，請查照案。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3</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.3.6</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行政院原子能委員會函，為109年度</w:t>
            </w:r>
            <w:r w:rsidRPr="001F3F42">
              <w:rPr>
                <w:rFonts w:ascii="標楷體" w:eastAsia="標楷體" w:hAnsi="標楷體" w:hint="eastAsia"/>
                <w:color w:val="000000"/>
                <w:sz w:val="28"/>
              </w:rPr>
              <w:t>中央政府</w:t>
            </w:r>
            <w:r w:rsidRPr="001F3F42">
              <w:rPr>
                <w:rFonts w:ascii="標楷體" w:eastAsia="標楷體" w:hAnsi="標楷體" w:hint="eastAsia"/>
                <w:color w:val="000000"/>
                <w:sz w:val="28"/>
                <w:szCs w:val="28"/>
              </w:rPr>
              <w:t>總預算決議，檢送歲出第17款第1項決議(二十一)專案報告，請查照案。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7</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.4.7</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行政院原子能委員會函，為109年度中央政府總預算決議，檢送歲出第17款第3項決議(二)專案報告，請查照案。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7</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.4.7</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科技部函，為109年度中央政府總預算決議，檢送「國研院收支平衡情形」報告，請查照案。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7</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.4.7</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科技部函，為109年度中央政府總預算決議，檢送「銅鑼、宜蘭、二林及中興園區應積極招商以提升土地出租率」報告，請查照案。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7</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.4.7</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科技部函，為109年度中央政府總預算決議，檢送「園區宿舍租用效能提升作為」報告，請查照案。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7</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.4.7</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科技部函，為109年度中央政府</w:t>
            </w:r>
            <w:r w:rsidRPr="001F3F42">
              <w:rPr>
                <w:rFonts w:ascii="標楷體" w:eastAsia="標楷體" w:hAnsi="標楷體" w:hint="eastAsia"/>
                <w:color w:val="000000"/>
                <w:sz w:val="28"/>
              </w:rPr>
              <w:lastRenderedPageBreak/>
              <w:t>總預算決議，檢送重點產業高階人才培訓與就業計畫辦理情形，請查照案。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lastRenderedPageBreak/>
              <w:t>10-1-</w:t>
            </w:r>
            <w:r w:rsidRPr="001F3F42">
              <w:rPr>
                <w:rFonts w:ascii="標楷體" w:eastAsia="標楷體" w:hAnsi="標楷體" w:hint="eastAsia"/>
                <w:color w:val="000000"/>
                <w:sz w:val="28"/>
                <w:szCs w:val="28"/>
              </w:rPr>
              <w:t>7</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lastRenderedPageBreak/>
              <w:t>(109</w:t>
            </w:r>
            <w:r w:rsidRPr="001F3F42">
              <w:rPr>
                <w:rFonts w:ascii="標楷體" w:eastAsia="標楷體" w:hAnsi="標楷體" w:hint="eastAsia"/>
                <w:color w:val="000000"/>
                <w:sz w:val="28"/>
                <w:szCs w:val="28"/>
              </w:rPr>
              <w:t>.4.7</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w:t>
            </w:r>
            <w:r w:rsidRPr="001F3F42">
              <w:rPr>
                <w:rFonts w:ascii="標楷體" w:eastAsia="標楷體" w:hAnsi="標楷體" w:hint="eastAsia"/>
                <w:color w:val="000000"/>
                <w:szCs w:val="24"/>
              </w:rPr>
              <w:lastRenderedPageBreak/>
              <w:t>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科技部函送該部（含所屬單位）108年第3季於各類媒體辦理政策宣導相關廣告之執行情形資料，請查照案。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7</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.4.7</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文化部函送108年1─10月該部接受外界捐贈款明細表，請查照案。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7</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.4.7</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科技部函，為109年度中央政府總預算決議，檢送該部決議(十五)「因應少子化國內科技人才減少問題」專案報告，請查照案。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10</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.4.24</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行政院原子能委員會函送該會</w:t>
            </w:r>
            <w:r w:rsidRPr="001F3F42">
              <w:rPr>
                <w:rFonts w:ascii="標楷體" w:eastAsia="標楷體" w:hAnsi="標楷體"/>
                <w:color w:val="000000"/>
                <w:sz w:val="28"/>
              </w:rPr>
              <w:t>108</w:t>
            </w:r>
            <w:r w:rsidRPr="001F3F42">
              <w:rPr>
                <w:rFonts w:ascii="標楷體" w:eastAsia="標楷體" w:hAnsi="標楷體" w:hint="eastAsia"/>
                <w:color w:val="000000"/>
                <w:sz w:val="28"/>
              </w:rPr>
              <w:t>年第</w:t>
            </w:r>
            <w:r w:rsidRPr="001F3F42">
              <w:rPr>
                <w:rFonts w:ascii="標楷體" w:eastAsia="標楷體" w:hAnsi="標楷體"/>
                <w:color w:val="000000"/>
                <w:sz w:val="28"/>
              </w:rPr>
              <w:t>3</w:t>
            </w:r>
            <w:r w:rsidRPr="001F3F42">
              <w:rPr>
                <w:rFonts w:ascii="標楷體" w:eastAsia="標楷體" w:hAnsi="標楷體" w:hint="eastAsia"/>
                <w:color w:val="000000"/>
                <w:sz w:val="28"/>
              </w:rPr>
              <w:t>、</w:t>
            </w:r>
            <w:r w:rsidRPr="001F3F42">
              <w:rPr>
                <w:rFonts w:ascii="標楷體" w:eastAsia="標楷體" w:hAnsi="標楷體"/>
                <w:color w:val="000000"/>
                <w:sz w:val="28"/>
              </w:rPr>
              <w:t>4</w:t>
            </w:r>
            <w:r w:rsidRPr="001F3F42">
              <w:rPr>
                <w:rFonts w:ascii="標楷體" w:eastAsia="標楷體" w:hAnsi="標楷體" w:hint="eastAsia"/>
                <w:color w:val="000000"/>
                <w:sz w:val="28"/>
              </w:rPr>
              <w:t>季於媒體辦理政策宣導相關之廣告資料，請查照案。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11</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.5.1</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文化部函送</w:t>
            </w:r>
            <w:r w:rsidRPr="001F3F42">
              <w:rPr>
                <w:rFonts w:ascii="標楷體" w:eastAsia="標楷體" w:hAnsi="標楷體"/>
                <w:color w:val="000000"/>
                <w:sz w:val="28"/>
              </w:rPr>
              <w:t>108</w:t>
            </w:r>
            <w:r w:rsidRPr="001F3F42">
              <w:rPr>
                <w:rFonts w:ascii="標楷體" w:eastAsia="標楷體" w:hAnsi="標楷體" w:hint="eastAsia"/>
                <w:color w:val="000000"/>
                <w:sz w:val="28"/>
              </w:rPr>
              <w:t>年</w:t>
            </w:r>
            <w:r w:rsidRPr="001F3F42">
              <w:rPr>
                <w:rFonts w:ascii="標楷體" w:eastAsia="標楷體" w:hAnsi="標楷體"/>
                <w:color w:val="000000"/>
                <w:sz w:val="28"/>
              </w:rPr>
              <w:t>1</w:t>
            </w:r>
            <w:r w:rsidRPr="001F3F42">
              <w:rPr>
                <w:rFonts w:ascii="標楷體" w:eastAsia="標楷體" w:hAnsi="標楷體" w:hint="eastAsia"/>
                <w:color w:val="000000"/>
                <w:sz w:val="28"/>
              </w:rPr>
              <w:t>－</w:t>
            </w:r>
            <w:r w:rsidRPr="001F3F42">
              <w:rPr>
                <w:rFonts w:ascii="標楷體" w:eastAsia="標楷體" w:hAnsi="標楷體"/>
                <w:color w:val="000000"/>
                <w:sz w:val="28"/>
              </w:rPr>
              <w:t>11</w:t>
            </w:r>
            <w:r w:rsidRPr="001F3F42">
              <w:rPr>
                <w:rFonts w:ascii="標楷體" w:eastAsia="標楷體" w:hAnsi="標楷體" w:hint="eastAsia"/>
                <w:color w:val="000000"/>
                <w:sz w:val="28"/>
              </w:rPr>
              <w:t>月該部接受外界捐贈款明細表，請查照案。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11</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.5.1</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科技部函送該部暨所屬機關</w:t>
            </w:r>
            <w:r w:rsidRPr="001F3F42">
              <w:rPr>
                <w:rFonts w:ascii="標楷體" w:eastAsia="標楷體" w:hAnsi="標楷體"/>
                <w:color w:val="000000"/>
                <w:sz w:val="28"/>
              </w:rPr>
              <w:t>108</w:t>
            </w:r>
            <w:r w:rsidRPr="001F3F42">
              <w:rPr>
                <w:rFonts w:ascii="標楷體" w:eastAsia="標楷體" w:hAnsi="標楷體" w:hint="eastAsia"/>
                <w:color w:val="000000"/>
                <w:sz w:val="28"/>
              </w:rPr>
              <w:t>年第</w:t>
            </w:r>
            <w:r w:rsidRPr="001F3F42">
              <w:rPr>
                <w:rFonts w:ascii="標楷體" w:eastAsia="標楷體" w:hAnsi="標楷體"/>
                <w:color w:val="000000"/>
                <w:sz w:val="28"/>
              </w:rPr>
              <w:t>3</w:t>
            </w:r>
            <w:r w:rsidRPr="001F3F42">
              <w:rPr>
                <w:rFonts w:ascii="標楷體" w:eastAsia="標楷體" w:hAnsi="標楷體" w:hint="eastAsia"/>
                <w:color w:val="000000"/>
                <w:sz w:val="28"/>
              </w:rPr>
              <w:t>季補（捐）助民間團體及個人經費資料一覽表，請查照案。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11</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.5.1</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科技部函送該部暨所屬機關108</w:t>
            </w:r>
            <w:r w:rsidRPr="001F3F42">
              <w:rPr>
                <w:rFonts w:ascii="標楷體" w:eastAsia="標楷體" w:hAnsi="標楷體" w:hint="eastAsia"/>
                <w:color w:val="000000"/>
                <w:sz w:val="28"/>
              </w:rPr>
              <w:lastRenderedPageBreak/>
              <w:t>年第4季補（捐）助民間團體及個人經費資料一覽表，請查照案。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lastRenderedPageBreak/>
              <w:t>10-1-</w:t>
            </w:r>
            <w:r w:rsidRPr="001F3F42">
              <w:rPr>
                <w:rFonts w:ascii="標楷體" w:eastAsia="標楷體" w:hAnsi="標楷體" w:hint="eastAsia"/>
                <w:color w:val="000000"/>
                <w:sz w:val="28"/>
                <w:szCs w:val="28"/>
              </w:rPr>
              <w:t>12</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lastRenderedPageBreak/>
              <w:t>(109</w:t>
            </w:r>
            <w:r w:rsidRPr="001F3F42">
              <w:rPr>
                <w:rFonts w:ascii="標楷體" w:eastAsia="標楷體" w:hAnsi="標楷體" w:hint="eastAsia"/>
                <w:color w:val="000000"/>
                <w:sz w:val="28"/>
                <w:szCs w:val="28"/>
              </w:rPr>
              <w:t>.5.8</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w:t>
            </w:r>
            <w:r w:rsidRPr="001F3F42">
              <w:rPr>
                <w:rFonts w:ascii="標楷體" w:eastAsia="標楷體" w:hAnsi="標楷體" w:hint="eastAsia"/>
                <w:color w:val="000000"/>
                <w:szCs w:val="24"/>
              </w:rPr>
              <w:lastRenderedPageBreak/>
              <w:t>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科技部函送該部（含所屬單位）108年第4季於各類媒體辦理政策宣導相關廣告之執行情形資料，請查照案。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12</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.5.8</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國立故宮博物院函送108年10月至12月政策宣導廣告預算執行情形，請查照案。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12</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.5.8</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文化部函送該部108年度第4季政策宣導相關廣告執行情形月報表，請查照案。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12</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.5.8</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教育部函送該部主管108年度第4季政策宣導相關廣告執行總表及明細表，請查照案。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12</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.5.8</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教育部函送該部主管108年度第4季補捐助經費執行情形總表及明細表，請查照案。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12</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.5.8</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133F">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教育部函，為108年度中央政府總預算附屬單位預算決議，檢送「大專校院轉型及退場基金」書面報告，請查照案。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12</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.5.8</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文化部函送該部「前瞻基礎建</w:t>
            </w:r>
            <w:r w:rsidRPr="001F3F42">
              <w:rPr>
                <w:rFonts w:ascii="標楷體" w:eastAsia="標楷體" w:hAnsi="標楷體" w:hint="eastAsia"/>
                <w:color w:val="000000"/>
                <w:sz w:val="28"/>
                <w:szCs w:val="28"/>
              </w:rPr>
              <w:lastRenderedPageBreak/>
              <w:t>設計畫（數位建設類）」108年度執行情形及績效報告，請查照案。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lastRenderedPageBreak/>
              <w:t>10-1-</w:t>
            </w:r>
            <w:r w:rsidRPr="001F3F42">
              <w:rPr>
                <w:rFonts w:ascii="標楷體" w:eastAsia="標楷體" w:hAnsi="標楷體" w:hint="eastAsia"/>
                <w:color w:val="000000"/>
                <w:sz w:val="28"/>
                <w:szCs w:val="28"/>
              </w:rPr>
              <w:t>13</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lastRenderedPageBreak/>
              <w:t>(109</w:t>
            </w:r>
            <w:r w:rsidRPr="001F3F42">
              <w:rPr>
                <w:rFonts w:ascii="標楷體" w:eastAsia="標楷體" w:hAnsi="標楷體" w:hint="eastAsia"/>
                <w:color w:val="000000"/>
                <w:sz w:val="28"/>
                <w:szCs w:val="28"/>
              </w:rPr>
              <w:t>.5.15</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w:t>
            </w:r>
            <w:r w:rsidRPr="001F3F42">
              <w:rPr>
                <w:rFonts w:ascii="標楷體" w:eastAsia="標楷體" w:hAnsi="標楷體" w:hint="eastAsia"/>
                <w:color w:val="000000"/>
                <w:szCs w:val="24"/>
              </w:rPr>
              <w:lastRenderedPageBreak/>
              <w:t>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國立故宮博物院函送「新故宮－故宮</w:t>
            </w:r>
            <w:r w:rsidRPr="001F3F42">
              <w:rPr>
                <w:rFonts w:ascii="標楷體" w:eastAsia="標楷體" w:hAnsi="標楷體" w:hint="eastAsia"/>
                <w:color w:val="000000"/>
                <w:sz w:val="28"/>
              </w:rPr>
              <w:t>公共</w:t>
            </w:r>
            <w:r w:rsidRPr="001F3F42">
              <w:rPr>
                <w:rFonts w:ascii="標楷體" w:eastAsia="標楷體" w:hAnsi="標楷體" w:hint="eastAsia"/>
                <w:color w:val="000000"/>
                <w:sz w:val="28"/>
                <w:szCs w:val="28"/>
              </w:rPr>
              <w:t>化帶動觀光產業發展中程計畫」108年第4季辦理進度書面報告，請查照案。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13</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.5.15</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w:t>
            </w:r>
            <w:r w:rsidRPr="001F3F42">
              <w:rPr>
                <w:rFonts w:ascii="標楷體" w:eastAsia="標楷體" w:hAnsi="標楷體" w:hint="eastAsia"/>
                <w:color w:val="000000"/>
                <w:sz w:val="28"/>
              </w:rPr>
              <w:t>決議</w:t>
            </w:r>
            <w:r w:rsidRPr="001F3F42">
              <w:rPr>
                <w:rFonts w:ascii="標楷體" w:eastAsia="標楷體" w:hAnsi="標楷體" w:hint="eastAsia"/>
                <w:color w:val="000000"/>
                <w:sz w:val="28"/>
                <w:szCs w:val="28"/>
              </w:rPr>
              <w:t>，檢送「大專校院菸害防制及校園藥物濫用防制工作執行情形」報告，請查照案。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教育部函送「國家運動訓練中心自籌收入辦理情形」報告，請查照案。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文化部函送文化內容策進院108年度、109年度預算決議第2項書面報告，請查照案。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科技部函送產業創新旗艦計畫109年度第1季執行情形書面報告，請查照案。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文化部函送該部及所屬機關（構）108年度第4季補（捐）助經費明細表，請查照案。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文化部函送109年1－2月該部</w:t>
            </w:r>
            <w:r w:rsidRPr="001F3F42">
              <w:rPr>
                <w:rFonts w:ascii="標楷體" w:eastAsia="標楷體" w:hAnsi="標楷體" w:hint="eastAsia"/>
                <w:color w:val="000000"/>
                <w:sz w:val="28"/>
                <w:szCs w:val="28"/>
              </w:rPr>
              <w:lastRenderedPageBreak/>
              <w:t>接受外界捐贈款明細表，請查照案。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lastRenderedPageBreak/>
              <w:t>10-1-</w:t>
            </w:r>
            <w:r w:rsidRPr="001F3F42">
              <w:rPr>
                <w:rFonts w:ascii="標楷體" w:eastAsia="標楷體" w:hAnsi="標楷體" w:hint="eastAsia"/>
                <w:color w:val="000000"/>
                <w:sz w:val="28"/>
                <w:szCs w:val="28"/>
              </w:rPr>
              <w:t>14</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lastRenderedPageBreak/>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w:t>
            </w:r>
            <w:r w:rsidRPr="001F3F42">
              <w:rPr>
                <w:rFonts w:ascii="標楷體" w:eastAsia="標楷體" w:hAnsi="標楷體" w:hint="eastAsia"/>
                <w:color w:val="000000"/>
                <w:szCs w:val="24"/>
              </w:rPr>
              <w:lastRenderedPageBreak/>
              <w:t>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文化部函送該部109年度第1季政策宣導相關廣告執行情形月報表，請查照案。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文化部函送該部及所屬機關（構）109年度第1季補（捐）助經費明細表，請查照案。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文化部函送109年1－3月該部接受外界捐贈款明細表，請查照案。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行政院</w:t>
            </w:r>
            <w:r w:rsidRPr="001F3F42">
              <w:rPr>
                <w:rFonts w:ascii="標楷體" w:eastAsia="標楷體" w:hAnsi="標楷體" w:hint="eastAsia"/>
                <w:color w:val="000000"/>
                <w:sz w:val="28"/>
              </w:rPr>
              <w:t>原子能</w:t>
            </w:r>
            <w:r w:rsidRPr="001F3F42">
              <w:rPr>
                <w:rFonts w:ascii="標楷體" w:eastAsia="標楷體" w:hAnsi="標楷體" w:hint="eastAsia"/>
                <w:color w:val="000000"/>
                <w:sz w:val="28"/>
                <w:szCs w:val="28"/>
              </w:rPr>
              <w:t>委員會函，為該會109年第1季並無辦理政策宣導相關之廣告，請查照案。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國立</w:t>
            </w:r>
            <w:r w:rsidRPr="001F3F42">
              <w:rPr>
                <w:rFonts w:ascii="標楷體" w:eastAsia="標楷體" w:hAnsi="標楷體" w:hint="eastAsia"/>
                <w:color w:val="000000"/>
                <w:sz w:val="28"/>
              </w:rPr>
              <w:t>故宮博物院</w:t>
            </w:r>
            <w:r w:rsidRPr="001F3F42">
              <w:rPr>
                <w:rFonts w:ascii="標楷體" w:eastAsia="標楷體" w:hAnsi="標楷體" w:hint="eastAsia"/>
                <w:color w:val="000000"/>
                <w:sz w:val="28"/>
                <w:szCs w:val="28"/>
              </w:rPr>
              <w:t>函送109年第1季補（捐）助明細表，請查照案。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國立</w:t>
            </w:r>
            <w:r w:rsidRPr="001F3F42">
              <w:rPr>
                <w:rFonts w:ascii="標楷體" w:eastAsia="標楷體" w:hAnsi="標楷體" w:hint="eastAsia"/>
                <w:color w:val="000000"/>
                <w:sz w:val="28"/>
              </w:rPr>
              <w:t>故宮博物院</w:t>
            </w:r>
            <w:r w:rsidRPr="001F3F42">
              <w:rPr>
                <w:rFonts w:ascii="標楷體" w:eastAsia="標楷體" w:hAnsi="標楷體" w:hint="eastAsia"/>
                <w:color w:val="000000"/>
                <w:sz w:val="28"/>
                <w:szCs w:val="28"/>
              </w:rPr>
              <w:t>函送109年第1季政策宣導廣告預算執行情形資料，請查照案。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C90690">
            <w:pPr>
              <w:kinsoku w:val="0"/>
              <w:overflowPunct w:val="0"/>
              <w:autoSpaceDE w:val="0"/>
              <w:autoSpaceDN w:val="0"/>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國立故宮博物院函送故宮文物</w:t>
            </w:r>
            <w:r w:rsidRPr="001F3F42">
              <w:rPr>
                <w:rFonts w:ascii="標楷體" w:eastAsia="標楷體" w:hAnsi="標楷體" w:hint="eastAsia"/>
                <w:color w:val="000000"/>
                <w:sz w:val="28"/>
                <w:szCs w:val="28"/>
              </w:rPr>
              <w:lastRenderedPageBreak/>
              <w:t>藝術發展</w:t>
            </w:r>
            <w:r w:rsidRPr="001F3F42">
              <w:rPr>
                <w:rFonts w:ascii="標楷體" w:eastAsia="標楷體" w:hAnsi="標楷體" w:hint="eastAsia"/>
                <w:color w:val="000000"/>
                <w:sz w:val="28"/>
              </w:rPr>
              <w:t>基金</w:t>
            </w:r>
            <w:r w:rsidRPr="001F3F42">
              <w:rPr>
                <w:rFonts w:ascii="標楷體" w:eastAsia="標楷體" w:hAnsi="標楷體" w:hint="eastAsia"/>
                <w:color w:val="000000"/>
                <w:sz w:val="28"/>
                <w:szCs w:val="28"/>
              </w:rPr>
              <w:t>108年度接受外界捐贈支用明細表，請查照案。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lastRenderedPageBreak/>
              <w:t>10-1-</w:t>
            </w:r>
            <w:r w:rsidRPr="001F3F42">
              <w:rPr>
                <w:rFonts w:ascii="標楷體" w:eastAsia="標楷體" w:hAnsi="標楷體" w:hint="eastAsia"/>
                <w:color w:val="000000"/>
                <w:sz w:val="28"/>
                <w:szCs w:val="28"/>
              </w:rPr>
              <w:t>14</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lastRenderedPageBreak/>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w:t>
            </w:r>
            <w:r w:rsidRPr="001F3F42">
              <w:rPr>
                <w:rFonts w:ascii="標楷體" w:eastAsia="標楷體" w:hAnsi="標楷體" w:hint="eastAsia"/>
                <w:color w:val="000000"/>
                <w:szCs w:val="24"/>
              </w:rPr>
              <w:lastRenderedPageBreak/>
              <w:t>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教育部函送該部主管109年度第1季政策宣導相關廣告執行總表及明細表，請查照案。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教育部函送該部主管109年度第1季補捐助經費執行情形總表及明細表，請查照案。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C90690">
            <w:pPr>
              <w:kinsoku w:val="0"/>
              <w:overflowPunct w:val="0"/>
              <w:autoSpaceDE w:val="0"/>
              <w:autoSpaceDN w:val="0"/>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科技部函送該部（含所屬單位）109年第1季於各類媒體辦理政策宣導相關廣告之執行情形資料，請查照案。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科技部函送該部暨所屬機關109年第1季補（捐）助民間團體及個人經費資料一覽表，請查照案。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教育部函，為109年度中央政府總預算決議，檢送國中小實施適齡之性別平等教育檢討及改善報告，請查照案。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教育部函，為109年度中央政府總預算決議，檢送「私立大專校院預警學校機制及相關資訊公開規劃」書面報告，請查照案。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w:t>
            </w:r>
            <w:r w:rsidRPr="001F3F42">
              <w:rPr>
                <w:rFonts w:ascii="標楷體" w:eastAsia="標楷體" w:hAnsi="標楷體" w:hint="eastAsia"/>
                <w:color w:val="000000"/>
                <w:sz w:val="28"/>
                <w:szCs w:val="28"/>
              </w:rPr>
              <w:lastRenderedPageBreak/>
              <w:t>總預算決議，檢送「私立大專校院轉型退場資訊公開規劃」書面報告，請查照案。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lastRenderedPageBreak/>
              <w:t>10-1-</w:t>
            </w:r>
            <w:r w:rsidRPr="001F3F42">
              <w:rPr>
                <w:rFonts w:ascii="標楷體" w:eastAsia="標楷體" w:hAnsi="標楷體" w:hint="eastAsia"/>
                <w:color w:val="000000"/>
                <w:sz w:val="28"/>
                <w:szCs w:val="28"/>
              </w:rPr>
              <w:t>14</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lastRenderedPageBreak/>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w:t>
            </w:r>
            <w:r w:rsidRPr="001F3F42">
              <w:rPr>
                <w:rFonts w:ascii="標楷體" w:eastAsia="標楷體" w:hAnsi="標楷體" w:hint="eastAsia"/>
                <w:color w:val="000000"/>
                <w:szCs w:val="24"/>
              </w:rPr>
              <w:lastRenderedPageBreak/>
              <w:t>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教育部函，為109年度中央政府總預算決議，檢送私立大專校院轉型退場資訊公開規劃書面報告，請查照案。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教育部函，為109年度中央政府總預算決議，檢送因應港生陸生校園衝突事件書面報告，請查照案。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教育部函，為109年度中央政府總預算決議，檢送「十二年國教課綱課程發展研究及教科書審查機制相關規範」書面報告，請查照案。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教育部函，為109年度中央政府總預算決議，檢送「國家教育研究院</w:t>
            </w:r>
            <w:r w:rsidRPr="001F3F42">
              <w:rPr>
                <w:rFonts w:ascii="標楷體" w:eastAsia="標楷體" w:hAnsi="標楷體" w:hint="eastAsia"/>
                <w:color w:val="000000"/>
                <w:sz w:val="28"/>
              </w:rPr>
              <w:t>臨時</w:t>
            </w:r>
            <w:r w:rsidRPr="001F3F42">
              <w:rPr>
                <w:rFonts w:ascii="標楷體" w:eastAsia="標楷體" w:hAnsi="標楷體" w:hint="eastAsia"/>
                <w:color w:val="000000"/>
                <w:sz w:val="28"/>
                <w:szCs w:val="28"/>
              </w:rPr>
              <w:t>人員預算編列及十二年國教課綱相關研究」書面報告，請查照案。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教育部函，為109年度中央政府總預算決議，檢送「國家教育研究院</w:t>
            </w:r>
            <w:r w:rsidRPr="001F3F42">
              <w:rPr>
                <w:rFonts w:ascii="標楷體" w:eastAsia="標楷體" w:hAnsi="標楷體" w:hint="eastAsia"/>
                <w:color w:val="000000"/>
                <w:sz w:val="28"/>
              </w:rPr>
              <w:t>研究人員</w:t>
            </w:r>
            <w:r w:rsidRPr="001F3F42">
              <w:rPr>
                <w:rFonts w:ascii="標楷體" w:eastAsia="標楷體" w:hAnsi="標楷體" w:hint="eastAsia"/>
                <w:color w:val="000000"/>
                <w:sz w:val="28"/>
                <w:szCs w:val="28"/>
              </w:rPr>
              <w:t>兼職及臨時人員預算編列情形」書面報告，請查照案。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教育部函，為109年度中央政府總預算決議，檢送「新南向產學合作國際專班推動情形」書面報告，請查照案。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w:t>
            </w:r>
            <w:r w:rsidRPr="001F3F42">
              <w:rPr>
                <w:rFonts w:ascii="標楷體" w:eastAsia="標楷體" w:hAnsi="標楷體" w:hint="eastAsia"/>
                <w:color w:val="000000"/>
                <w:sz w:val="28"/>
                <w:szCs w:val="28"/>
              </w:rPr>
              <w:lastRenderedPageBreak/>
              <w:t>總預算決議，檢送新南向產學合作國際專班推動情形報告，請查照案。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lastRenderedPageBreak/>
              <w:t>10-1-</w:t>
            </w:r>
            <w:r w:rsidRPr="001F3F42">
              <w:rPr>
                <w:rFonts w:ascii="標楷體" w:eastAsia="標楷體" w:hAnsi="標楷體" w:hint="eastAsia"/>
                <w:color w:val="000000"/>
                <w:sz w:val="28"/>
                <w:szCs w:val="28"/>
              </w:rPr>
              <w:t>14</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lastRenderedPageBreak/>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w:t>
            </w:r>
            <w:r w:rsidRPr="001F3F42">
              <w:rPr>
                <w:rFonts w:ascii="標楷體" w:eastAsia="標楷體" w:hAnsi="標楷體" w:hint="eastAsia"/>
                <w:color w:val="000000"/>
                <w:szCs w:val="24"/>
              </w:rPr>
              <w:lastRenderedPageBreak/>
              <w:t>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教育部函，為109年度中央政府總預算決議，檢送「</w:t>
            </w:r>
            <w:r w:rsidRPr="001F3F42">
              <w:rPr>
                <w:rFonts w:ascii="標楷體" w:eastAsia="標楷體" w:hAnsi="標楷體" w:hint="eastAsia"/>
                <w:color w:val="000000"/>
                <w:sz w:val="28"/>
              </w:rPr>
              <w:t>高中歷史教科書審查</w:t>
            </w:r>
            <w:r w:rsidRPr="001F3F42">
              <w:rPr>
                <w:rFonts w:ascii="標楷體" w:eastAsia="標楷體" w:hAnsi="標楷體" w:hint="eastAsia"/>
                <w:color w:val="000000"/>
                <w:sz w:val="28"/>
                <w:szCs w:val="28"/>
              </w:rPr>
              <w:t>」書面報告，請查照案。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教育部函，為109年度中央政府總預算決議，檢送「十二年國教課綱與</w:t>
            </w:r>
            <w:r w:rsidRPr="001F3F42">
              <w:rPr>
                <w:rFonts w:ascii="標楷體" w:eastAsia="標楷體" w:hAnsi="標楷體" w:hint="eastAsia"/>
                <w:color w:val="000000"/>
                <w:sz w:val="28"/>
              </w:rPr>
              <w:t>高中</w:t>
            </w:r>
            <w:r w:rsidRPr="001F3F42">
              <w:rPr>
                <w:rFonts w:ascii="標楷體" w:eastAsia="標楷體" w:hAnsi="標楷體" w:hint="eastAsia"/>
                <w:color w:val="000000"/>
                <w:sz w:val="28"/>
                <w:szCs w:val="28"/>
              </w:rPr>
              <w:t>歷史教科書」書面報告，請查照案。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行政院原子能委員會函，為109年度中央政府總預算決議，檢送歲出第17款第1項決議（四）書面報告，請查照案。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國立故宮博物院函，為109年度中央政府總預算決議，檢送決議（十四）新故宮計畫執行率改善書面報告，請查照案。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14</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.5.22</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教育部函，為109年度中央政府總預算決議，檢送輔導私立大專校院改善及停辦機制書面報告，請查照案。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15</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.5.29</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教育部函，為109年度中央政府總預算決議，檢送「大學選才連結高中學習歷程有助於弱勢學生升學及多元入學各管道名額檢討報告」，請查照案。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15</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.5.29</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w:t>
            </w:r>
            <w:r w:rsidRPr="001F3F42">
              <w:rPr>
                <w:rFonts w:ascii="標楷體" w:eastAsia="標楷體" w:hAnsi="標楷體" w:hint="eastAsia"/>
                <w:color w:val="000000"/>
                <w:sz w:val="28"/>
                <w:szCs w:val="28"/>
              </w:rPr>
              <w:lastRenderedPageBreak/>
              <w:t>總預算決議，檢送「大學選才連結高中學習歷程縮短城鄉差距與強化關懷弱勢規劃報告」，請查照案。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lastRenderedPageBreak/>
              <w:t>10-1-</w:t>
            </w:r>
            <w:r w:rsidRPr="001F3F42">
              <w:rPr>
                <w:rFonts w:ascii="標楷體" w:eastAsia="標楷體" w:hAnsi="標楷體" w:hint="eastAsia"/>
                <w:color w:val="000000"/>
                <w:sz w:val="28"/>
                <w:szCs w:val="28"/>
              </w:rPr>
              <w:t>15</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lastRenderedPageBreak/>
              <w:t>(109</w:t>
            </w:r>
            <w:r w:rsidRPr="001F3F42">
              <w:rPr>
                <w:rFonts w:ascii="標楷體" w:eastAsia="標楷體" w:hAnsi="標楷體" w:hint="eastAsia"/>
                <w:color w:val="000000"/>
                <w:sz w:val="28"/>
                <w:szCs w:val="28"/>
              </w:rPr>
              <w:t>.5.29</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w:t>
            </w:r>
            <w:r w:rsidRPr="001F3F42">
              <w:rPr>
                <w:rFonts w:ascii="標楷體" w:eastAsia="標楷體" w:hAnsi="標楷體" w:hint="eastAsia"/>
                <w:color w:val="000000"/>
                <w:szCs w:val="24"/>
              </w:rPr>
              <w:lastRenderedPageBreak/>
              <w:t>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教育部函，為109年度中央政府總預算決議，檢送「新南向人才培育計畫</w:t>
            </w:r>
            <w:r w:rsidRPr="001F3F42">
              <w:rPr>
                <w:rFonts w:ascii="標楷體" w:eastAsia="標楷體" w:hAnsi="標楷體" w:hint="eastAsia"/>
                <w:color w:val="000000"/>
                <w:sz w:val="28"/>
              </w:rPr>
              <w:t>推動</w:t>
            </w:r>
            <w:r w:rsidRPr="001F3F42">
              <w:rPr>
                <w:rFonts w:ascii="標楷體" w:eastAsia="標楷體" w:hAnsi="標楷體" w:hint="eastAsia"/>
                <w:color w:val="000000"/>
                <w:sz w:val="28"/>
                <w:szCs w:val="28"/>
              </w:rPr>
              <w:t>情形」書面報告，請查照案。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15</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.5.29</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教育部函，為109年度中央政府總預算決議，檢送「臺北聯合大學系統組織及運作說明」書面報告，請查照案。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15</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.5.29</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教育部函，為109年度中央政府總預算決議，檢送「臺灣綜合大學系統組織及運作說明」書面報告，請查照案。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15</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.5.29</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教育部函，為109年度中央政府總預算決議，檢送精進新南向產學合作專班及維護境外學生權益相關措施書面報告，請查照案。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10-1-</w:t>
            </w:r>
            <w:r w:rsidRPr="001F3F42">
              <w:rPr>
                <w:rFonts w:ascii="標楷體" w:eastAsia="標楷體" w:hAnsi="標楷體" w:hint="eastAsia"/>
                <w:color w:val="000000"/>
                <w:sz w:val="28"/>
                <w:szCs w:val="28"/>
              </w:rPr>
              <w:t>15</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.5.29</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文化部函送109年1－4月該部接受外界捐贈款明細表，請查照案。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w:t>
            </w:r>
            <w:r w:rsidRPr="001F3F42">
              <w:rPr>
                <w:rFonts w:ascii="標楷體" w:eastAsia="標楷體" w:hAnsi="標楷體" w:hint="eastAsia"/>
                <w:color w:val="000000"/>
                <w:sz w:val="28"/>
                <w:szCs w:val="28"/>
              </w:rPr>
              <w:t>2</w:t>
            </w:r>
            <w:r w:rsidRPr="001F3F42">
              <w:rPr>
                <w:rFonts w:ascii="標楷體" w:eastAsia="標楷體" w:hAnsi="標楷體"/>
                <w:color w:val="000000"/>
                <w:sz w:val="28"/>
                <w:szCs w:val="28"/>
              </w:rPr>
              <w:t>-</w:t>
            </w:r>
            <w:r w:rsidRPr="001F3F42">
              <w:rPr>
                <w:rFonts w:ascii="標楷體" w:eastAsia="標楷體" w:hAnsi="標楷體" w:hint="eastAsia"/>
                <w:color w:val="000000"/>
                <w:sz w:val="28"/>
                <w:szCs w:val="28"/>
              </w:rPr>
              <w:t>6</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.12.4</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文化部函送</w:t>
            </w:r>
            <w:r w:rsidRPr="001F3F42">
              <w:rPr>
                <w:rFonts w:ascii="標楷體" w:eastAsia="標楷體" w:hAnsi="標楷體" w:hint="eastAsia"/>
                <w:color w:val="000000"/>
                <w:sz w:val="28"/>
              </w:rPr>
              <w:t>109</w:t>
            </w:r>
            <w:r w:rsidRPr="001F3F42">
              <w:rPr>
                <w:rFonts w:ascii="標楷體" w:eastAsia="標楷體" w:hAnsi="標楷體" w:hint="eastAsia"/>
                <w:color w:val="000000"/>
                <w:sz w:val="28"/>
                <w:szCs w:val="28"/>
              </w:rPr>
              <w:t>年1－5月接受外界捐贈款明細表，請查照案。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w:t>
            </w:r>
            <w:r w:rsidRPr="001F3F42">
              <w:rPr>
                <w:rFonts w:ascii="標楷體" w:eastAsia="標楷體" w:hAnsi="標楷體" w:hint="eastAsia"/>
                <w:color w:val="000000"/>
                <w:sz w:val="28"/>
                <w:szCs w:val="28"/>
              </w:rPr>
              <w:t>2</w:t>
            </w:r>
            <w:r w:rsidRPr="001F3F42">
              <w:rPr>
                <w:rFonts w:ascii="標楷體" w:eastAsia="標楷體" w:hAnsi="標楷體"/>
                <w:color w:val="000000"/>
                <w:sz w:val="28"/>
                <w:szCs w:val="28"/>
              </w:rPr>
              <w:t>-</w:t>
            </w:r>
            <w:r w:rsidRPr="001F3F42">
              <w:rPr>
                <w:rFonts w:ascii="標楷體" w:eastAsia="標楷體" w:hAnsi="標楷體" w:hint="eastAsia"/>
                <w:color w:val="000000"/>
                <w:sz w:val="28"/>
                <w:szCs w:val="28"/>
              </w:rPr>
              <w:t>6</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.12.4</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國立故宮博物院函送109年第2季政策宣導</w:t>
            </w:r>
            <w:r w:rsidRPr="001F3F42">
              <w:rPr>
                <w:rFonts w:ascii="標楷體" w:eastAsia="標楷體" w:hAnsi="標楷體" w:hint="eastAsia"/>
                <w:color w:val="000000"/>
                <w:sz w:val="28"/>
              </w:rPr>
              <w:t>廣告</w:t>
            </w:r>
            <w:r w:rsidRPr="001F3F42">
              <w:rPr>
                <w:rFonts w:ascii="標楷體" w:eastAsia="標楷體" w:hAnsi="標楷體" w:hint="eastAsia"/>
                <w:color w:val="000000"/>
                <w:sz w:val="28"/>
                <w:szCs w:val="28"/>
              </w:rPr>
              <w:t>預算執行情形資料，請查照案。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w:t>
            </w:r>
            <w:r w:rsidRPr="001F3F42">
              <w:rPr>
                <w:rFonts w:ascii="標楷體" w:eastAsia="標楷體" w:hAnsi="標楷體" w:hint="eastAsia"/>
                <w:color w:val="000000"/>
                <w:sz w:val="28"/>
                <w:szCs w:val="28"/>
              </w:rPr>
              <w:t>2</w:t>
            </w:r>
            <w:r w:rsidRPr="001F3F42">
              <w:rPr>
                <w:rFonts w:ascii="標楷體" w:eastAsia="標楷體" w:hAnsi="標楷體"/>
                <w:color w:val="000000"/>
                <w:sz w:val="28"/>
                <w:szCs w:val="28"/>
              </w:rPr>
              <w:t>-</w:t>
            </w:r>
            <w:r w:rsidRPr="001F3F42">
              <w:rPr>
                <w:rFonts w:ascii="標楷體" w:eastAsia="標楷體" w:hAnsi="標楷體" w:hint="eastAsia"/>
                <w:color w:val="000000"/>
                <w:sz w:val="28"/>
                <w:szCs w:val="28"/>
              </w:rPr>
              <w:t>8</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.12.18</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教育部函送該部主管109年度第2季補捐助經費執行情形總表及明細表，請查照案。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w:t>
            </w:r>
            <w:r w:rsidRPr="001F3F42">
              <w:rPr>
                <w:rFonts w:ascii="標楷體" w:eastAsia="標楷體" w:hAnsi="標楷體" w:hint="eastAsia"/>
                <w:color w:val="000000"/>
                <w:sz w:val="28"/>
                <w:szCs w:val="28"/>
              </w:rPr>
              <w:t>2</w:t>
            </w:r>
            <w:r w:rsidRPr="001F3F42">
              <w:rPr>
                <w:rFonts w:ascii="標楷體" w:eastAsia="標楷體" w:hAnsi="標楷體"/>
                <w:color w:val="000000"/>
                <w:sz w:val="28"/>
                <w:szCs w:val="28"/>
              </w:rPr>
              <w:t>-</w:t>
            </w:r>
            <w:r w:rsidRPr="001F3F42">
              <w:rPr>
                <w:rFonts w:ascii="標楷體" w:eastAsia="標楷體" w:hAnsi="標楷體" w:hint="eastAsia"/>
                <w:color w:val="000000"/>
                <w:sz w:val="28"/>
                <w:szCs w:val="28"/>
              </w:rPr>
              <w:t>8</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.12.18</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教育部函，為109年度中央政府總預算決議，檢送「108年度奧亞運特定體育團體訪評結果及輔導改善方案」報告，請查照案。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w:t>
            </w:r>
            <w:r w:rsidRPr="001F3F42">
              <w:rPr>
                <w:rFonts w:ascii="標楷體" w:eastAsia="標楷體" w:hAnsi="標楷體" w:hint="eastAsia"/>
                <w:color w:val="000000"/>
                <w:sz w:val="28"/>
                <w:szCs w:val="28"/>
              </w:rPr>
              <w:t>2</w:t>
            </w:r>
            <w:r w:rsidRPr="001F3F42">
              <w:rPr>
                <w:rFonts w:ascii="標楷體" w:eastAsia="標楷體" w:hAnsi="標楷體"/>
                <w:color w:val="000000"/>
                <w:sz w:val="28"/>
                <w:szCs w:val="28"/>
              </w:rPr>
              <w:t>-</w:t>
            </w:r>
            <w:r w:rsidRPr="001F3F42">
              <w:rPr>
                <w:rFonts w:ascii="標楷體" w:eastAsia="標楷體" w:hAnsi="標楷體" w:hint="eastAsia"/>
                <w:color w:val="000000"/>
                <w:sz w:val="28"/>
                <w:szCs w:val="28"/>
              </w:rPr>
              <w:t>8</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.12.18</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rPr>
              <w:t>教育部函，為109年度中央政府總預算附屬單位預算決議，檢送「108年度訪評計畫－會計財務項目未完全通過及連續2年未完全通過協會之改善計畫」書面報告，請查照案。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w:t>
            </w:r>
            <w:r w:rsidRPr="001F3F42">
              <w:rPr>
                <w:rFonts w:ascii="標楷體" w:eastAsia="標楷體" w:hAnsi="標楷體" w:hint="eastAsia"/>
                <w:color w:val="000000"/>
                <w:sz w:val="28"/>
                <w:szCs w:val="28"/>
              </w:rPr>
              <w:t>2</w:t>
            </w:r>
            <w:r w:rsidRPr="001F3F42">
              <w:rPr>
                <w:rFonts w:ascii="標楷體" w:eastAsia="標楷體" w:hAnsi="標楷體"/>
                <w:color w:val="000000"/>
                <w:sz w:val="28"/>
                <w:szCs w:val="28"/>
              </w:rPr>
              <w:t>-</w:t>
            </w:r>
            <w:r w:rsidRPr="001F3F42">
              <w:rPr>
                <w:rFonts w:ascii="標楷體" w:eastAsia="標楷體" w:hAnsi="標楷體" w:hint="eastAsia"/>
                <w:color w:val="000000"/>
                <w:sz w:val="28"/>
                <w:szCs w:val="28"/>
              </w:rPr>
              <w:t>9</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.12.24</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教育部函，為109年度預算「學生事務與特殊教育行政及督導」科目經常門業務費等經費不足，動支第一預備金新臺幣8,895萬元，請查照案。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w:t>
            </w:r>
            <w:r w:rsidRPr="001F3F42">
              <w:rPr>
                <w:rFonts w:ascii="標楷體" w:eastAsia="標楷體" w:hAnsi="標楷體" w:hint="eastAsia"/>
                <w:color w:val="000000"/>
                <w:sz w:val="28"/>
                <w:szCs w:val="28"/>
              </w:rPr>
              <w:t>2</w:t>
            </w:r>
            <w:r w:rsidRPr="001F3F42">
              <w:rPr>
                <w:rFonts w:ascii="標楷體" w:eastAsia="標楷體" w:hAnsi="標楷體"/>
                <w:color w:val="000000"/>
                <w:sz w:val="28"/>
                <w:szCs w:val="28"/>
              </w:rPr>
              <w:t>-</w:t>
            </w:r>
            <w:r w:rsidRPr="001F3F42">
              <w:rPr>
                <w:rFonts w:ascii="標楷體" w:eastAsia="標楷體" w:hAnsi="標楷體" w:hint="eastAsia"/>
                <w:color w:val="000000"/>
                <w:sz w:val="28"/>
                <w:szCs w:val="28"/>
              </w:rPr>
              <w:t>10</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.12.25</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教育部函送該部主管109年度第2季政策宣導相關廣告執行情形總表及明細表，請查照案。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w:t>
            </w:r>
            <w:r w:rsidRPr="001F3F42">
              <w:rPr>
                <w:rFonts w:ascii="標楷體" w:eastAsia="標楷體" w:hAnsi="標楷體" w:hint="eastAsia"/>
                <w:color w:val="000000"/>
                <w:sz w:val="28"/>
                <w:szCs w:val="28"/>
              </w:rPr>
              <w:t>2</w:t>
            </w:r>
            <w:r w:rsidRPr="001F3F42">
              <w:rPr>
                <w:rFonts w:ascii="標楷體" w:eastAsia="標楷體" w:hAnsi="標楷體"/>
                <w:color w:val="000000"/>
                <w:sz w:val="28"/>
                <w:szCs w:val="28"/>
              </w:rPr>
              <w:t>-</w:t>
            </w:r>
            <w:r w:rsidRPr="001F3F42">
              <w:rPr>
                <w:rFonts w:ascii="標楷體" w:eastAsia="標楷體" w:hAnsi="標楷體" w:hint="eastAsia"/>
                <w:color w:val="000000"/>
                <w:sz w:val="28"/>
                <w:szCs w:val="28"/>
              </w:rPr>
              <w:t>10</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.12.25</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科技部函送該部暨所屬機關109年第2季補（捐）助民間團體及個人經費資料一覽表，請查照案。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w:t>
            </w:r>
            <w:r w:rsidRPr="001F3F42">
              <w:rPr>
                <w:rFonts w:ascii="標楷體" w:eastAsia="標楷體" w:hAnsi="標楷體" w:hint="eastAsia"/>
                <w:color w:val="000000"/>
                <w:sz w:val="28"/>
                <w:szCs w:val="28"/>
              </w:rPr>
              <w:t>2</w:t>
            </w:r>
            <w:r w:rsidRPr="001F3F42">
              <w:rPr>
                <w:rFonts w:ascii="標楷體" w:eastAsia="標楷體" w:hAnsi="標楷體"/>
                <w:color w:val="000000"/>
                <w:sz w:val="28"/>
                <w:szCs w:val="28"/>
              </w:rPr>
              <w:t>-</w:t>
            </w:r>
            <w:r w:rsidRPr="001F3F42">
              <w:rPr>
                <w:rFonts w:ascii="標楷體" w:eastAsia="標楷體" w:hAnsi="標楷體" w:hint="eastAsia"/>
                <w:color w:val="000000"/>
                <w:sz w:val="28"/>
                <w:szCs w:val="28"/>
              </w:rPr>
              <w:t>10</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.12.25</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w:t>
            </w:r>
            <w:r w:rsidRPr="001F3F42">
              <w:rPr>
                <w:rFonts w:ascii="標楷體" w:eastAsia="標楷體" w:hAnsi="標楷體" w:hint="eastAsia"/>
                <w:color w:val="000000"/>
                <w:szCs w:val="24"/>
              </w:rPr>
              <w:lastRenderedPageBreak/>
              <w:t>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科技部函送該部（含所屬單位）109年第2季於各類媒體辦理政策宣導相關廣告之執行情形資料，請查照案。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w:t>
            </w:r>
            <w:r w:rsidRPr="001F3F42">
              <w:rPr>
                <w:rFonts w:ascii="標楷體" w:eastAsia="標楷體" w:hAnsi="標楷體" w:hint="eastAsia"/>
                <w:color w:val="000000"/>
                <w:sz w:val="28"/>
                <w:szCs w:val="28"/>
              </w:rPr>
              <w:t>2</w:t>
            </w:r>
            <w:r w:rsidRPr="001F3F42">
              <w:rPr>
                <w:rFonts w:ascii="標楷體" w:eastAsia="標楷體" w:hAnsi="標楷體"/>
                <w:color w:val="000000"/>
                <w:sz w:val="28"/>
                <w:szCs w:val="28"/>
              </w:rPr>
              <w:t>-</w:t>
            </w:r>
            <w:r w:rsidRPr="001F3F42">
              <w:rPr>
                <w:rFonts w:ascii="標楷體" w:eastAsia="標楷體" w:hAnsi="標楷體" w:hint="eastAsia"/>
                <w:color w:val="000000"/>
                <w:sz w:val="28"/>
                <w:szCs w:val="28"/>
              </w:rPr>
              <w:t>10</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.12.25</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國立故宮博物院函送「新故宮─故宮公共化帶動觀光產業發展中程計畫」109年第2季辦理進度書面報告，請查照案。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w:t>
            </w:r>
            <w:r w:rsidRPr="001F3F42">
              <w:rPr>
                <w:rFonts w:ascii="標楷體" w:eastAsia="標楷體" w:hAnsi="標楷體" w:hint="eastAsia"/>
                <w:color w:val="000000"/>
                <w:sz w:val="28"/>
                <w:szCs w:val="28"/>
              </w:rPr>
              <w:t>2</w:t>
            </w:r>
            <w:r w:rsidRPr="001F3F42">
              <w:rPr>
                <w:rFonts w:ascii="標楷體" w:eastAsia="標楷體" w:hAnsi="標楷體"/>
                <w:color w:val="000000"/>
                <w:sz w:val="28"/>
                <w:szCs w:val="28"/>
              </w:rPr>
              <w:t>-</w:t>
            </w:r>
            <w:r w:rsidRPr="001F3F42">
              <w:rPr>
                <w:rFonts w:ascii="標楷體" w:eastAsia="標楷體" w:hAnsi="標楷體" w:hint="eastAsia"/>
                <w:color w:val="000000"/>
                <w:sz w:val="28"/>
                <w:szCs w:val="28"/>
              </w:rPr>
              <w:t>10</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.12.25</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文化部函送該部109年度第2季政策宣導相關廣告執行情形月報表，請查照案。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w:t>
            </w:r>
            <w:r w:rsidRPr="001F3F42">
              <w:rPr>
                <w:rFonts w:ascii="標楷體" w:eastAsia="標楷體" w:hAnsi="標楷體" w:hint="eastAsia"/>
                <w:color w:val="000000"/>
                <w:sz w:val="28"/>
                <w:szCs w:val="28"/>
              </w:rPr>
              <w:t>2</w:t>
            </w:r>
            <w:r w:rsidRPr="001F3F42">
              <w:rPr>
                <w:rFonts w:ascii="標楷體" w:eastAsia="標楷體" w:hAnsi="標楷體"/>
                <w:color w:val="000000"/>
                <w:sz w:val="28"/>
                <w:szCs w:val="28"/>
              </w:rPr>
              <w:t>-</w:t>
            </w:r>
            <w:r w:rsidRPr="001F3F42">
              <w:rPr>
                <w:rFonts w:ascii="標楷體" w:eastAsia="標楷體" w:hAnsi="標楷體" w:hint="eastAsia"/>
                <w:color w:val="000000"/>
                <w:sz w:val="28"/>
                <w:szCs w:val="28"/>
              </w:rPr>
              <w:t>10</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.12.25</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文化部函送109年1─6月該部接受外界捐贈款明細表，請查照案。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w:t>
            </w:r>
            <w:r w:rsidRPr="001F3F42">
              <w:rPr>
                <w:rFonts w:ascii="標楷體" w:eastAsia="標楷體" w:hAnsi="標楷體" w:hint="eastAsia"/>
                <w:color w:val="000000"/>
                <w:sz w:val="28"/>
                <w:szCs w:val="28"/>
              </w:rPr>
              <w:t>2</w:t>
            </w:r>
            <w:r w:rsidRPr="001F3F42">
              <w:rPr>
                <w:rFonts w:ascii="標楷體" w:eastAsia="標楷體" w:hAnsi="標楷體"/>
                <w:color w:val="000000"/>
                <w:sz w:val="28"/>
                <w:szCs w:val="28"/>
              </w:rPr>
              <w:t>-</w:t>
            </w:r>
            <w:r w:rsidRPr="001F3F42">
              <w:rPr>
                <w:rFonts w:ascii="標楷體" w:eastAsia="標楷體" w:hAnsi="標楷體" w:hint="eastAsia"/>
                <w:color w:val="000000"/>
                <w:sz w:val="28"/>
                <w:szCs w:val="28"/>
              </w:rPr>
              <w:t>10</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w:t>
            </w:r>
            <w:r w:rsidRPr="001F3F42">
              <w:rPr>
                <w:rFonts w:ascii="標楷體" w:eastAsia="標楷體" w:hAnsi="標楷體" w:hint="eastAsia"/>
                <w:color w:val="000000"/>
                <w:sz w:val="28"/>
                <w:szCs w:val="28"/>
              </w:rPr>
              <w:t>.12.25</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204" w:hangingChars="85" w:hanging="204"/>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文化部函送該部及所屬機關（構）109年度第2季補（捐）助經費明細表，請查照案。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10-2-1</w:t>
            </w:r>
            <w:r w:rsidRPr="001F3F42">
              <w:rPr>
                <w:rFonts w:ascii="標楷體" w:eastAsia="標楷體" w:hAnsi="標楷體" w:hint="eastAsia"/>
                <w:color w:val="000000"/>
                <w:sz w:val="28"/>
                <w:szCs w:val="28"/>
              </w:rPr>
              <w:t>1</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(109.12.</w:t>
            </w:r>
            <w:r w:rsidRPr="001F3F42">
              <w:rPr>
                <w:rFonts w:ascii="標楷體" w:eastAsia="標楷體" w:hAnsi="標楷體" w:hint="eastAsia"/>
                <w:color w:val="000000"/>
                <w:sz w:val="28"/>
                <w:szCs w:val="28"/>
              </w:rPr>
              <w:t>30</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文化部函送109年1－7月該部接受外界捐贈款明細表，請查照案。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10-2-1</w:t>
            </w:r>
            <w:r w:rsidRPr="001F3F42">
              <w:rPr>
                <w:rFonts w:ascii="標楷體" w:eastAsia="標楷體" w:hAnsi="標楷體" w:hint="eastAsia"/>
                <w:color w:val="000000"/>
                <w:sz w:val="28"/>
                <w:szCs w:val="28"/>
              </w:rPr>
              <w:t>1</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(109.12.</w:t>
            </w:r>
            <w:r w:rsidRPr="001F3F42">
              <w:rPr>
                <w:rFonts w:ascii="標楷體" w:eastAsia="標楷體" w:hAnsi="標楷體" w:hint="eastAsia"/>
                <w:color w:val="000000"/>
                <w:sz w:val="28"/>
                <w:szCs w:val="28"/>
              </w:rPr>
              <w:t>30</w:t>
            </w:r>
            <w:r w:rsidRPr="001F3F42">
              <w:rPr>
                <w:rFonts w:ascii="標楷體" w:eastAsia="標楷體" w:hAnsi="標楷體"/>
                <w:color w:val="000000"/>
                <w:sz w:val="28"/>
                <w:szCs w:val="28"/>
              </w:rPr>
              <w:t>)</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204" w:hangingChars="85" w:hanging="204"/>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文化部函送109年1－8月該部接受外界捐贈款明細表，請查照案。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10-2-11</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(109.12.30)</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w:t>
            </w:r>
            <w:r w:rsidRPr="001F3F42">
              <w:rPr>
                <w:rFonts w:ascii="標楷體" w:eastAsia="標楷體" w:hAnsi="標楷體" w:hint="eastAsia"/>
                <w:color w:val="000000"/>
                <w:szCs w:val="24"/>
              </w:rPr>
              <w:lastRenderedPageBreak/>
              <w:t>（11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文化部函送109年1－9月接受外界捐贈款明細表，請查照案。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10-2-11</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(109.12.30)</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204" w:hangingChars="85" w:hanging="204"/>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文化部函送109年1－10月接受外界捐贈款明細表，請查照案。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10-2-11</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(109.12.30)</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文化部函送109年度第3季政策宣導相關廣告執行情形月報表，請查照案。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10-2-11</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(109.12.30)</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204" w:hangingChars="85" w:hanging="204"/>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文化部函送109年度第3季補（捐）助經費明細表，請查照案。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10-2-11</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(109.12.30)</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國立故宮博物院函送109年第2季補（捐）助明細表，請查照案。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10-2-11</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(109.12.30)</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204" w:hangingChars="85" w:hanging="204"/>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國立故宮博物院函送109年第3季政策宣導廣告預算執行情形資料，請查照案。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10-2-11</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(109.12.30)</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國立故宮博物院函送109年第3季補（捐）助明細表，請查照案。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10-2-11</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(109.12.30)</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204" w:hangingChars="85" w:hanging="204"/>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w:t>
            </w:r>
            <w:r w:rsidRPr="001F3F42">
              <w:rPr>
                <w:rFonts w:ascii="標楷體" w:eastAsia="標楷體" w:hAnsi="標楷體" w:hint="eastAsia"/>
                <w:color w:val="000000"/>
                <w:szCs w:val="24"/>
              </w:rPr>
              <w:lastRenderedPageBreak/>
              <w:t>（11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國立故宮博物院函送109年第3季「新故宮－故宮公共化帶動觀光產業發展中程計畫」辦理進度書面報告，請查照案。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10-2-11</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(109.12.30)</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教育部函送該部主管109年度第3季政策宣導相關廣告執行情形總表及明細表，請查照案。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10-2-11</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(109.12.30)</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204" w:hangingChars="85" w:hanging="204"/>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科技部函送產業創新旗艦計畫109年度第3季執行情形書面報告，請查照案。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10-2-11</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(109.12.30)</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教育部函送該部主管109年度第3季補捐助經費執行情形總表及明細表，請查照案。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10-2-11</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(109.12.30)</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204" w:hangingChars="85" w:hanging="204"/>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科技部函送「科學園區管理局作業基金各項財務改善措施之執行成效」109年第3季書面報告，請查照案。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10-2-11</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(109.12.30)</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科技部函送109年第3季於各類媒體辦理政策宣導相關廣告之執行情形資料，請查照案。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10-2-11</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(109.12.30)</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204" w:hangingChars="85" w:hanging="204"/>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C90690">
            <w:pPr>
              <w:kinsoku w:val="0"/>
              <w:overflowPunct w:val="0"/>
              <w:autoSpaceDE w:val="0"/>
              <w:autoSpaceDN w:val="0"/>
              <w:spacing w:line="400" w:lineRule="exact"/>
              <w:ind w:leftChars="-12" w:left="-29"/>
              <w:jc w:val="both"/>
              <w:rPr>
                <w:rFonts w:ascii="標楷體" w:eastAsia="標楷體" w:hAnsi="標楷體"/>
                <w:color w:val="000000"/>
                <w:sz w:val="28"/>
              </w:rPr>
            </w:pPr>
            <w:r w:rsidRPr="001F3F42">
              <w:rPr>
                <w:rFonts w:ascii="標楷體" w:eastAsia="標楷體" w:hAnsi="標楷體" w:hint="eastAsia"/>
                <w:color w:val="000000"/>
                <w:sz w:val="28"/>
              </w:rPr>
              <w:t>科技部函送109年第3季補（捐）助民間團體及個人經費資料一覽表，請查照案。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10-2-11</w:t>
            </w:r>
          </w:p>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(109.12.30)</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w:t>
            </w:r>
            <w:r w:rsidRPr="001F3F42">
              <w:rPr>
                <w:rFonts w:ascii="標楷體" w:eastAsia="標楷體" w:hAnsi="標楷體" w:hint="eastAsia"/>
                <w:color w:val="000000"/>
                <w:szCs w:val="24"/>
              </w:rPr>
              <w:lastRenderedPageBreak/>
              <w:t>（11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641E57" w:rsidP="00A43930">
            <w:pPr>
              <w:spacing w:line="400" w:lineRule="exact"/>
              <w:ind w:leftChars="-12" w:left="-29"/>
              <w:jc w:val="both"/>
              <w:rPr>
                <w:rFonts w:ascii="標楷體" w:eastAsia="標楷體" w:hAnsi="標楷體"/>
                <w:color w:val="000000"/>
                <w:sz w:val="28"/>
                <w:szCs w:val="28"/>
              </w:rPr>
            </w:pPr>
            <w:hyperlink r:id="rId38" w:tooltip="一百八十九、行政院原子能委員會函送109年第2－3季於媒體辦理政策宣導相關之廣告資料，請查照案。" w:history="1">
              <w:r w:rsidR="007A203B" w:rsidRPr="001F3F42">
                <w:rPr>
                  <w:rFonts w:ascii="標楷體" w:eastAsia="標楷體" w:hAnsi="標楷體" w:hint="eastAsia"/>
                  <w:color w:val="000000"/>
                  <w:sz w:val="28"/>
                </w:rPr>
                <w:t>行政院原子能委員會函送109年第2－3季於媒體辦理政策宣導相關之廣告資料，請查照案。</w:t>
              </w:r>
            </w:hyperlink>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10-3-9 (110.4.23)</w:t>
            </w:r>
          </w:p>
          <w:p w:rsidR="007A203B" w:rsidRPr="001F3F42" w:rsidRDefault="007A203B" w:rsidP="00A43930">
            <w:pPr>
              <w:spacing w:line="400" w:lineRule="exact"/>
              <w:ind w:leftChars="-12" w:left="-29"/>
              <w:jc w:val="both"/>
              <w:rPr>
                <w:rFonts w:ascii="標楷體" w:eastAsia="標楷體" w:hAnsi="標楷體"/>
                <w:color w:val="000000"/>
                <w:sz w:val="28"/>
                <w:szCs w:val="28"/>
              </w:rPr>
            </w:pP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204" w:hangingChars="85" w:hanging="204"/>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641E57" w:rsidP="00A43930">
            <w:pPr>
              <w:spacing w:line="400" w:lineRule="exact"/>
              <w:ind w:leftChars="-12" w:left="-29"/>
              <w:jc w:val="both"/>
              <w:rPr>
                <w:rFonts w:ascii="標楷體" w:eastAsia="標楷體" w:hAnsi="標楷體"/>
                <w:color w:val="000000"/>
                <w:sz w:val="28"/>
                <w:szCs w:val="28"/>
              </w:rPr>
            </w:pPr>
            <w:hyperlink r:id="rId39" w:tooltip="一百九十、行政院原子能委員會函送109年第4季於媒體辦理政策宣導相關之廣告資料，請查照案。" w:history="1">
              <w:r w:rsidR="007A203B" w:rsidRPr="001F3F42">
                <w:rPr>
                  <w:rFonts w:ascii="標楷體" w:eastAsia="標楷體" w:hAnsi="標楷體" w:hint="eastAsia"/>
                  <w:color w:val="000000"/>
                  <w:sz w:val="28"/>
                  <w:szCs w:val="28"/>
                </w:rPr>
                <w:t>行政院原子能委員會函送109年第4季於媒體辦理政策宣導相關之廣告資料，請查照案。</w:t>
              </w:r>
            </w:hyperlink>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10-3-9 (110.4.23)</w:t>
            </w:r>
          </w:p>
          <w:p w:rsidR="007A203B" w:rsidRPr="001F3F42" w:rsidRDefault="007A203B" w:rsidP="00A43930">
            <w:pPr>
              <w:spacing w:line="400" w:lineRule="exact"/>
              <w:ind w:leftChars="-12" w:left="-29"/>
              <w:jc w:val="both"/>
              <w:rPr>
                <w:rFonts w:ascii="標楷體" w:eastAsia="標楷體" w:hAnsi="標楷體"/>
                <w:color w:val="000000"/>
                <w:sz w:val="28"/>
                <w:szCs w:val="28"/>
              </w:rPr>
            </w:pP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641E57" w:rsidP="00A43930">
            <w:pPr>
              <w:spacing w:line="400" w:lineRule="exact"/>
              <w:ind w:leftChars="-12" w:left="-29"/>
              <w:jc w:val="both"/>
              <w:rPr>
                <w:rFonts w:ascii="標楷體" w:eastAsia="標楷體" w:hAnsi="標楷體"/>
                <w:color w:val="000000"/>
                <w:sz w:val="28"/>
                <w:szCs w:val="28"/>
              </w:rPr>
            </w:pPr>
            <w:hyperlink r:id="rId40" w:tooltip="一百九十一、文化部函送109年1－11月接受外界捐贈款明細表，請查照案。" w:history="1">
              <w:r w:rsidR="007A203B" w:rsidRPr="001F3F42">
                <w:rPr>
                  <w:rFonts w:ascii="標楷體" w:eastAsia="標楷體" w:hAnsi="標楷體" w:hint="eastAsia"/>
                  <w:color w:val="000000"/>
                  <w:sz w:val="28"/>
                  <w:szCs w:val="28"/>
                </w:rPr>
                <w:t>文化部函送109年1－11月接受外界捐贈款明細表，請查照案。</w:t>
              </w:r>
            </w:hyperlink>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10-3-9 (110.4.23)</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204" w:hangingChars="85" w:hanging="204"/>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641E57" w:rsidP="00A43930">
            <w:pPr>
              <w:spacing w:line="400" w:lineRule="exact"/>
              <w:ind w:leftChars="-12" w:left="-29"/>
              <w:jc w:val="both"/>
              <w:rPr>
                <w:rFonts w:ascii="標楷體" w:eastAsia="標楷體" w:hAnsi="標楷體"/>
                <w:color w:val="000000"/>
                <w:sz w:val="28"/>
                <w:szCs w:val="28"/>
              </w:rPr>
            </w:pPr>
            <w:hyperlink r:id="rId41" w:tooltip="一百九十二、文化部函送109年度第4季政策宣導相關廣告執行情形月報表，請查照案。" w:history="1">
              <w:r w:rsidR="007A203B" w:rsidRPr="001F3F42">
                <w:rPr>
                  <w:rFonts w:ascii="標楷體" w:eastAsia="標楷體" w:hAnsi="標楷體" w:hint="eastAsia"/>
                  <w:color w:val="000000"/>
                  <w:sz w:val="28"/>
                  <w:szCs w:val="28"/>
                </w:rPr>
                <w:t>文化部函送109年度第4季政策宣導相關廣告執行情形月報表，請查照案。</w:t>
              </w:r>
            </w:hyperlink>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10-3-9 (110.4.23)</w:t>
            </w:r>
          </w:p>
          <w:p w:rsidR="007A203B" w:rsidRPr="001F3F42" w:rsidRDefault="007A203B" w:rsidP="00A43930">
            <w:pPr>
              <w:spacing w:line="400" w:lineRule="exact"/>
              <w:ind w:leftChars="-12" w:left="-29"/>
              <w:jc w:val="both"/>
              <w:rPr>
                <w:rFonts w:ascii="標楷體" w:eastAsia="標楷體" w:hAnsi="標楷體"/>
                <w:color w:val="000000"/>
                <w:sz w:val="28"/>
                <w:szCs w:val="28"/>
              </w:rPr>
            </w:pP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641E57" w:rsidP="00A43930">
            <w:pPr>
              <w:spacing w:line="400" w:lineRule="exact"/>
              <w:ind w:leftChars="-12" w:left="-29"/>
              <w:jc w:val="both"/>
              <w:rPr>
                <w:rFonts w:ascii="標楷體" w:eastAsia="標楷體" w:hAnsi="標楷體"/>
                <w:color w:val="000000"/>
                <w:sz w:val="28"/>
                <w:szCs w:val="28"/>
              </w:rPr>
            </w:pPr>
            <w:hyperlink r:id="rId42" w:tooltip="一百九十三、國立故宮博物院函送109年第4季政策宣導廣告預算執行情形資料，請查照案。" w:history="1">
              <w:r w:rsidR="007A203B" w:rsidRPr="001F3F42">
                <w:rPr>
                  <w:rFonts w:ascii="標楷體" w:eastAsia="標楷體" w:hAnsi="標楷體" w:hint="eastAsia"/>
                  <w:color w:val="000000"/>
                  <w:sz w:val="28"/>
                  <w:szCs w:val="28"/>
                </w:rPr>
                <w:t>國立故宮博物院函送109年第4季政策宣導廣告預算執行情形資料，請查照案。</w:t>
              </w:r>
            </w:hyperlink>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10-3-9 (110.4.23)</w:t>
            </w:r>
          </w:p>
          <w:p w:rsidR="007A203B" w:rsidRPr="001F3F42" w:rsidRDefault="007A203B" w:rsidP="00A43930">
            <w:pPr>
              <w:spacing w:line="400" w:lineRule="exact"/>
              <w:ind w:leftChars="-12" w:left="-29"/>
              <w:jc w:val="both"/>
              <w:rPr>
                <w:rFonts w:ascii="標楷體" w:eastAsia="標楷體" w:hAnsi="標楷體"/>
                <w:color w:val="000000"/>
                <w:sz w:val="28"/>
                <w:szCs w:val="28"/>
              </w:rPr>
            </w:pP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204" w:hangingChars="85" w:hanging="204"/>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641E57" w:rsidP="00A43930">
            <w:pPr>
              <w:spacing w:line="400" w:lineRule="exact"/>
              <w:ind w:leftChars="-12" w:left="-29"/>
              <w:jc w:val="both"/>
              <w:rPr>
                <w:rFonts w:ascii="標楷體" w:eastAsia="標楷體" w:hAnsi="標楷體"/>
                <w:color w:val="000000"/>
                <w:sz w:val="28"/>
                <w:szCs w:val="28"/>
              </w:rPr>
            </w:pPr>
            <w:hyperlink r:id="rId43" w:tooltip="一百九十四、國立故宮博物院函送109年第4季補（捐）助明細表，請查照案。" w:history="1">
              <w:r w:rsidR="007A203B" w:rsidRPr="001F3F42">
                <w:rPr>
                  <w:rFonts w:ascii="標楷體" w:eastAsia="標楷體" w:hAnsi="標楷體" w:hint="eastAsia"/>
                  <w:color w:val="000000"/>
                  <w:sz w:val="28"/>
                  <w:szCs w:val="28"/>
                </w:rPr>
                <w:t>國立故宮博物院函送109年第4季補（捐）助明細表，請查照案。</w:t>
              </w:r>
            </w:hyperlink>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10-3-9 (110.4.23)</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641E57" w:rsidP="00A43930">
            <w:pPr>
              <w:spacing w:line="400" w:lineRule="exact"/>
              <w:ind w:leftChars="-12" w:left="-29"/>
              <w:jc w:val="both"/>
              <w:rPr>
                <w:rFonts w:ascii="標楷體" w:eastAsia="標楷體" w:hAnsi="標楷體"/>
                <w:color w:val="000000"/>
                <w:sz w:val="28"/>
                <w:szCs w:val="28"/>
              </w:rPr>
            </w:pPr>
            <w:hyperlink r:id="rId44" w:tooltip="一百九十五、科技部函送109年第4季於各類媒體辦理政策宣導相關廣告之執行情形資料，請查照案。" w:history="1">
              <w:r w:rsidR="007A203B" w:rsidRPr="001F3F42">
                <w:rPr>
                  <w:rFonts w:ascii="標楷體" w:eastAsia="標楷體" w:hAnsi="標楷體" w:hint="eastAsia"/>
                  <w:color w:val="000000"/>
                  <w:sz w:val="28"/>
                  <w:szCs w:val="28"/>
                </w:rPr>
                <w:t>科技部函送109年第4季於各類媒體辦理政策宣導相關廣告之執行情形資料，請查照案。</w:t>
              </w:r>
            </w:hyperlink>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10-3-9 (110.4.23)</w:t>
            </w:r>
          </w:p>
          <w:p w:rsidR="007A203B" w:rsidRPr="001F3F42" w:rsidRDefault="007A203B" w:rsidP="00A43930">
            <w:pPr>
              <w:spacing w:line="400" w:lineRule="exact"/>
              <w:ind w:leftChars="-12" w:left="-29"/>
              <w:jc w:val="both"/>
              <w:rPr>
                <w:rFonts w:ascii="標楷體" w:eastAsia="標楷體" w:hAnsi="標楷體"/>
                <w:color w:val="000000"/>
                <w:sz w:val="28"/>
                <w:szCs w:val="28"/>
              </w:rPr>
            </w:pP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204" w:hangingChars="85" w:hanging="204"/>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w:t>
            </w:r>
            <w:r w:rsidRPr="001F3F42">
              <w:rPr>
                <w:rFonts w:ascii="標楷體" w:eastAsia="標楷體" w:hAnsi="標楷體" w:hint="eastAsia"/>
                <w:color w:val="000000"/>
                <w:szCs w:val="24"/>
              </w:rPr>
              <w:lastRenderedPageBreak/>
              <w:t>（11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641E57" w:rsidP="00A43930">
            <w:pPr>
              <w:spacing w:line="400" w:lineRule="exact"/>
              <w:ind w:leftChars="-12" w:left="-29"/>
              <w:jc w:val="both"/>
              <w:rPr>
                <w:rFonts w:ascii="標楷體" w:eastAsia="標楷體" w:hAnsi="標楷體"/>
                <w:color w:val="000000"/>
                <w:sz w:val="28"/>
                <w:szCs w:val="28"/>
              </w:rPr>
            </w:pPr>
            <w:hyperlink r:id="rId45" w:tooltip="一百九十六、科技部函送產業創新旗艦計畫109年度第4季執行情形書面報告，請查照案。" w:history="1">
              <w:r w:rsidR="007A203B" w:rsidRPr="001F3F42">
                <w:rPr>
                  <w:rFonts w:ascii="標楷體" w:eastAsia="標楷體" w:hAnsi="標楷體" w:hint="eastAsia"/>
                  <w:color w:val="000000"/>
                  <w:sz w:val="28"/>
                  <w:szCs w:val="28"/>
                </w:rPr>
                <w:t>科技部函送產業創新旗艦計畫109年度第4季執行情形書面報告，請查照案。</w:t>
              </w:r>
            </w:hyperlink>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10-3-9 (110.4.23)</w:t>
            </w:r>
          </w:p>
          <w:p w:rsidR="007A203B" w:rsidRPr="001F3F42" w:rsidRDefault="007A203B" w:rsidP="00A43930">
            <w:pPr>
              <w:spacing w:line="400" w:lineRule="exact"/>
              <w:ind w:leftChars="-12" w:left="-29"/>
              <w:jc w:val="both"/>
              <w:rPr>
                <w:rFonts w:ascii="標楷體" w:eastAsia="標楷體" w:hAnsi="標楷體"/>
                <w:color w:val="000000"/>
                <w:sz w:val="28"/>
                <w:szCs w:val="28"/>
              </w:rPr>
            </w:pP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641E57" w:rsidP="00A43930">
            <w:pPr>
              <w:spacing w:line="400" w:lineRule="exact"/>
              <w:ind w:leftChars="-12" w:left="-29"/>
              <w:jc w:val="both"/>
              <w:rPr>
                <w:rFonts w:ascii="標楷體" w:eastAsia="標楷體" w:hAnsi="標楷體"/>
                <w:color w:val="000000"/>
                <w:sz w:val="28"/>
                <w:szCs w:val="28"/>
              </w:rPr>
            </w:pPr>
            <w:hyperlink r:id="rId46" w:tooltip="一百九十七、教育部函送109年度第4季補捐助經費執行情形總表及明細表，請查照案。" w:history="1">
              <w:r w:rsidR="007A203B" w:rsidRPr="001F3F42">
                <w:rPr>
                  <w:rFonts w:ascii="標楷體" w:eastAsia="標楷體" w:hAnsi="標楷體" w:hint="eastAsia"/>
                  <w:color w:val="000000"/>
                  <w:sz w:val="28"/>
                  <w:szCs w:val="28"/>
                </w:rPr>
                <w:t>教育部函送109年度第4季補捐助經費執行情形總表及明細表，請查照案。</w:t>
              </w:r>
            </w:hyperlink>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10-3-9 (110.4.23)</w:t>
            </w:r>
          </w:p>
          <w:p w:rsidR="007A203B" w:rsidRPr="001F3F42" w:rsidRDefault="007A203B" w:rsidP="00A43930">
            <w:pPr>
              <w:spacing w:line="400" w:lineRule="exact"/>
              <w:ind w:leftChars="-12" w:left="-29"/>
              <w:jc w:val="both"/>
              <w:rPr>
                <w:rFonts w:ascii="標楷體" w:eastAsia="標楷體" w:hAnsi="標楷體"/>
                <w:color w:val="000000"/>
                <w:sz w:val="28"/>
                <w:szCs w:val="28"/>
              </w:rPr>
            </w:pP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204" w:hangingChars="85" w:hanging="204"/>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教育部函送109年度第4季政策宣導相關廣告執行情形總表及明細表，請查照案。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10-3-9 (110.4.23)</w:t>
            </w:r>
          </w:p>
          <w:p w:rsidR="007A203B" w:rsidRPr="001F3F42" w:rsidRDefault="007A203B" w:rsidP="00A43930">
            <w:pPr>
              <w:spacing w:line="400" w:lineRule="exact"/>
              <w:ind w:leftChars="-12" w:left="-29"/>
              <w:jc w:val="both"/>
              <w:rPr>
                <w:rFonts w:ascii="標楷體" w:eastAsia="標楷體" w:hAnsi="標楷體"/>
                <w:color w:val="000000"/>
                <w:sz w:val="28"/>
                <w:szCs w:val="28"/>
              </w:rPr>
            </w:pP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szCs w:val="28"/>
              </w:rPr>
              <w:t>文化部函送109年1－12月該部接受外界捐贈款明細表，請查照案。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10-3-</w:t>
            </w:r>
            <w:r w:rsidRPr="001F3F42">
              <w:rPr>
                <w:rFonts w:ascii="標楷體" w:eastAsia="標楷體" w:hAnsi="標楷體" w:hint="eastAsia"/>
                <w:color w:val="000000"/>
                <w:sz w:val="28"/>
                <w:szCs w:val="28"/>
              </w:rPr>
              <w:t>1</w:t>
            </w:r>
            <w:r w:rsidRPr="001F3F42">
              <w:rPr>
                <w:rFonts w:ascii="標楷體" w:eastAsia="標楷體" w:hAnsi="標楷體"/>
                <w:color w:val="000000"/>
                <w:sz w:val="28"/>
                <w:szCs w:val="28"/>
              </w:rPr>
              <w:t>0 (110.4.30)</w:t>
            </w: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204" w:hangingChars="85" w:hanging="204"/>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rPr>
              <w:t>文化部函送該部及所屬機關（構）109年度第4季補（捐）助經費明細表書面報告，請查照案。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10-3-</w:t>
            </w:r>
            <w:r w:rsidRPr="001F3F42">
              <w:rPr>
                <w:rFonts w:ascii="標楷體" w:eastAsia="標楷體" w:hAnsi="標楷體" w:hint="eastAsia"/>
                <w:color w:val="000000"/>
                <w:sz w:val="28"/>
                <w:szCs w:val="28"/>
              </w:rPr>
              <w:t>1</w:t>
            </w:r>
            <w:r w:rsidRPr="001F3F42">
              <w:rPr>
                <w:rFonts w:ascii="標楷體" w:eastAsia="標楷體" w:hAnsi="標楷體"/>
                <w:color w:val="000000"/>
                <w:sz w:val="28"/>
                <w:szCs w:val="28"/>
              </w:rPr>
              <w:t>0 (110.4.30)</w:t>
            </w:r>
          </w:p>
          <w:p w:rsidR="007A203B" w:rsidRPr="001F3F42" w:rsidRDefault="007A203B" w:rsidP="00A43930">
            <w:pPr>
              <w:spacing w:line="400" w:lineRule="exact"/>
              <w:ind w:leftChars="-12" w:left="-29"/>
              <w:jc w:val="both"/>
              <w:rPr>
                <w:rFonts w:ascii="標楷體" w:eastAsia="標楷體" w:hAnsi="標楷體"/>
                <w:color w:val="000000"/>
                <w:sz w:val="28"/>
                <w:szCs w:val="28"/>
              </w:rPr>
            </w:pP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C90690">
            <w:pPr>
              <w:kinsoku w:val="0"/>
              <w:overflowPunct w:val="0"/>
              <w:autoSpaceDE w:val="0"/>
              <w:autoSpaceDN w:val="0"/>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rPr>
              <w:t>國立故宮博物院函送「新故宮－故宮公共化帶動觀光產業發展中程計畫」109年第4季辦理進度書面報告，請查照案。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10-3-</w:t>
            </w:r>
            <w:r w:rsidRPr="001F3F42">
              <w:rPr>
                <w:rFonts w:ascii="標楷體" w:eastAsia="標楷體" w:hAnsi="標楷體" w:hint="eastAsia"/>
                <w:color w:val="000000"/>
                <w:sz w:val="28"/>
                <w:szCs w:val="28"/>
              </w:rPr>
              <w:t>1</w:t>
            </w:r>
            <w:r w:rsidRPr="001F3F42">
              <w:rPr>
                <w:rFonts w:ascii="標楷體" w:eastAsia="標楷體" w:hAnsi="標楷體"/>
                <w:color w:val="000000"/>
                <w:sz w:val="28"/>
                <w:szCs w:val="28"/>
              </w:rPr>
              <w:t>0 (110.4.30)</w:t>
            </w:r>
          </w:p>
          <w:p w:rsidR="007A203B" w:rsidRPr="001F3F42" w:rsidRDefault="007A203B" w:rsidP="00A43930">
            <w:pPr>
              <w:spacing w:line="400" w:lineRule="exact"/>
              <w:ind w:leftChars="-12" w:left="-29"/>
              <w:jc w:val="both"/>
              <w:rPr>
                <w:rFonts w:ascii="標楷體" w:eastAsia="標楷體" w:hAnsi="標楷體"/>
                <w:color w:val="000000"/>
                <w:sz w:val="28"/>
                <w:szCs w:val="28"/>
              </w:rPr>
            </w:pP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204" w:hangingChars="85" w:hanging="204"/>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rPr>
              <w:t>國立故宮博物院函送故宮文物藝術發展基金109年度接受外界捐贈支用明細表，請查照案。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10-3-</w:t>
            </w:r>
            <w:r w:rsidRPr="001F3F42">
              <w:rPr>
                <w:rFonts w:ascii="標楷體" w:eastAsia="標楷體" w:hAnsi="標楷體" w:hint="eastAsia"/>
                <w:color w:val="000000"/>
                <w:sz w:val="28"/>
                <w:szCs w:val="28"/>
              </w:rPr>
              <w:t>1</w:t>
            </w:r>
            <w:r w:rsidRPr="001F3F42">
              <w:rPr>
                <w:rFonts w:ascii="標楷體" w:eastAsia="標楷體" w:hAnsi="標楷體"/>
                <w:color w:val="000000"/>
                <w:sz w:val="28"/>
                <w:szCs w:val="28"/>
              </w:rPr>
              <w:t>0 (110.4.30)</w:t>
            </w:r>
          </w:p>
          <w:p w:rsidR="007A203B" w:rsidRPr="001F3F42" w:rsidRDefault="007A203B" w:rsidP="00A43930">
            <w:pPr>
              <w:spacing w:line="400" w:lineRule="exact"/>
              <w:ind w:leftChars="-12" w:left="-29"/>
              <w:jc w:val="both"/>
              <w:rPr>
                <w:rFonts w:ascii="標楷體" w:eastAsia="標楷體" w:hAnsi="標楷體"/>
                <w:color w:val="000000"/>
                <w:sz w:val="28"/>
                <w:szCs w:val="28"/>
              </w:rPr>
            </w:pP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w:t>
            </w:r>
            <w:r w:rsidRPr="001F3F42">
              <w:rPr>
                <w:rFonts w:ascii="標楷體" w:eastAsia="標楷體" w:hAnsi="標楷體" w:hint="eastAsia"/>
                <w:color w:val="000000"/>
                <w:szCs w:val="24"/>
              </w:rPr>
              <w:lastRenderedPageBreak/>
              <w:t>（11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rPr>
              <w:t>科技部函送「科學園區管理局作業基金各項財務改善措施之執行成效」109年第4季書面報告，請查照案。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10-3-</w:t>
            </w:r>
            <w:r w:rsidRPr="001F3F42">
              <w:rPr>
                <w:rFonts w:ascii="標楷體" w:eastAsia="標楷體" w:hAnsi="標楷體" w:hint="eastAsia"/>
                <w:color w:val="000000"/>
                <w:sz w:val="28"/>
                <w:szCs w:val="28"/>
              </w:rPr>
              <w:t>1</w:t>
            </w:r>
            <w:r w:rsidRPr="001F3F42">
              <w:rPr>
                <w:rFonts w:ascii="標楷體" w:eastAsia="標楷體" w:hAnsi="標楷體"/>
                <w:color w:val="000000"/>
                <w:sz w:val="28"/>
                <w:szCs w:val="28"/>
              </w:rPr>
              <w:t>0 (110.4.30)</w:t>
            </w:r>
          </w:p>
          <w:p w:rsidR="007A203B" w:rsidRPr="001F3F42" w:rsidRDefault="007A203B" w:rsidP="00A43930">
            <w:pPr>
              <w:spacing w:line="400" w:lineRule="exact"/>
              <w:ind w:leftChars="-12" w:left="-29"/>
              <w:jc w:val="both"/>
              <w:rPr>
                <w:rFonts w:ascii="標楷體" w:eastAsia="標楷體" w:hAnsi="標楷體"/>
                <w:color w:val="000000"/>
                <w:sz w:val="28"/>
                <w:szCs w:val="28"/>
              </w:rPr>
            </w:pP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204" w:hangingChars="85" w:hanging="204"/>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r w:rsidR="007A203B" w:rsidRPr="001F3F42" w:rsidTr="00A43930">
        <w:trPr>
          <w:trHeight w:val="700"/>
        </w:trPr>
        <w:tc>
          <w:tcPr>
            <w:tcW w:w="314" w:type="pct"/>
            <w:vAlign w:val="center"/>
          </w:tcPr>
          <w:p w:rsidR="007A203B" w:rsidRPr="001F3F42" w:rsidRDefault="007A203B" w:rsidP="006934DD">
            <w:pPr>
              <w:numPr>
                <w:ilvl w:val="0"/>
                <w:numId w:val="62"/>
              </w:numPr>
              <w:spacing w:line="400" w:lineRule="exact"/>
              <w:ind w:right="113"/>
              <w:rPr>
                <w:rFonts w:ascii="標楷體" w:eastAsia="標楷體" w:hAnsi="標楷體"/>
                <w:sz w:val="28"/>
                <w:szCs w:val="28"/>
              </w:rPr>
            </w:pPr>
          </w:p>
        </w:tc>
        <w:tc>
          <w:tcPr>
            <w:tcW w:w="2019"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hint="eastAsia"/>
                <w:color w:val="000000"/>
                <w:sz w:val="28"/>
              </w:rPr>
              <w:t>科技部函送該部暨所屬機關109年度第4季補（捐）助民間團體及個人經費資料一覽表，請查照案。</w:t>
            </w:r>
          </w:p>
        </w:tc>
        <w:tc>
          <w:tcPr>
            <w:tcW w:w="897" w:type="pct"/>
          </w:tcPr>
          <w:p w:rsidR="007A203B" w:rsidRPr="001F3F42" w:rsidRDefault="007A203B" w:rsidP="00A43930">
            <w:pPr>
              <w:spacing w:line="400" w:lineRule="exact"/>
              <w:ind w:leftChars="-12" w:left="-29"/>
              <w:jc w:val="both"/>
              <w:rPr>
                <w:rFonts w:ascii="標楷體" w:eastAsia="標楷體" w:hAnsi="標楷體"/>
                <w:color w:val="000000"/>
                <w:sz w:val="28"/>
                <w:szCs w:val="28"/>
              </w:rPr>
            </w:pPr>
            <w:r w:rsidRPr="001F3F42">
              <w:rPr>
                <w:rFonts w:ascii="標楷體" w:eastAsia="標楷體" w:hAnsi="標楷體"/>
                <w:color w:val="000000"/>
                <w:sz w:val="28"/>
                <w:szCs w:val="28"/>
              </w:rPr>
              <w:t>10-3-</w:t>
            </w:r>
            <w:r w:rsidRPr="001F3F42">
              <w:rPr>
                <w:rFonts w:ascii="標楷體" w:eastAsia="標楷體" w:hAnsi="標楷體" w:hint="eastAsia"/>
                <w:color w:val="000000"/>
                <w:sz w:val="28"/>
                <w:szCs w:val="28"/>
              </w:rPr>
              <w:t>1</w:t>
            </w:r>
            <w:r w:rsidRPr="001F3F42">
              <w:rPr>
                <w:rFonts w:ascii="標楷體" w:eastAsia="標楷體" w:hAnsi="標楷體"/>
                <w:color w:val="000000"/>
                <w:sz w:val="28"/>
                <w:szCs w:val="28"/>
              </w:rPr>
              <w:t>0 (110.4.30)</w:t>
            </w:r>
          </w:p>
          <w:p w:rsidR="007A203B" w:rsidRPr="001F3F42" w:rsidRDefault="007A203B" w:rsidP="00A43930">
            <w:pPr>
              <w:spacing w:line="400" w:lineRule="exact"/>
              <w:ind w:leftChars="-12" w:left="-29"/>
              <w:jc w:val="both"/>
              <w:rPr>
                <w:rFonts w:ascii="標楷體" w:eastAsia="標楷體" w:hAnsi="標楷體"/>
                <w:color w:val="000000"/>
                <w:sz w:val="28"/>
                <w:szCs w:val="28"/>
              </w:rPr>
            </w:pPr>
          </w:p>
        </w:tc>
        <w:tc>
          <w:tcPr>
            <w:tcW w:w="523" w:type="pct"/>
          </w:tcPr>
          <w:p w:rsidR="007A203B" w:rsidRPr="001F3F42" w:rsidRDefault="007A203B" w:rsidP="00A43930">
            <w:pPr>
              <w:jc w:val="both"/>
              <w:rPr>
                <w:rFonts w:ascii="標楷體" w:eastAsia="標楷體" w:hAnsi="標楷體"/>
                <w:color w:val="000000"/>
              </w:rPr>
            </w:pPr>
          </w:p>
        </w:tc>
        <w:tc>
          <w:tcPr>
            <w:tcW w:w="1247" w:type="pct"/>
          </w:tcPr>
          <w:p w:rsidR="007A203B" w:rsidRPr="001F3F42" w:rsidRDefault="007A203B" w:rsidP="00A43930">
            <w:pPr>
              <w:adjustRightInd w:val="0"/>
              <w:snapToGrid w:val="0"/>
              <w:spacing w:line="240" w:lineRule="atLeast"/>
              <w:ind w:left="190" w:hangingChars="79" w:hanging="190"/>
              <w:jc w:val="both"/>
              <w:rPr>
                <w:rFonts w:ascii="標楷體" w:eastAsia="標楷體" w:hAnsi="標楷體"/>
                <w:color w:val="000000"/>
                <w:szCs w:val="24"/>
              </w:rPr>
            </w:pPr>
            <w:r w:rsidRPr="001F3F42">
              <w:rPr>
                <w:rFonts w:ascii="標楷體" w:eastAsia="標楷體" w:hAnsi="標楷體" w:hint="eastAsia"/>
                <w:color w:val="000000"/>
                <w:szCs w:val="24"/>
              </w:rPr>
              <w:t>1.逾立法院職權行使法所定審查期限，報請院會存查。</w:t>
            </w:r>
          </w:p>
          <w:p w:rsidR="007A203B" w:rsidRPr="001F3F42" w:rsidRDefault="007A203B" w:rsidP="00A43930">
            <w:pPr>
              <w:ind w:left="190" w:hangingChars="79" w:hanging="190"/>
              <w:jc w:val="both"/>
              <w:rPr>
                <w:rFonts w:ascii="標楷體" w:eastAsia="標楷體" w:hAnsi="標楷體"/>
                <w:color w:val="000000"/>
              </w:rPr>
            </w:pPr>
            <w:r w:rsidRPr="001F3F42">
              <w:rPr>
                <w:rFonts w:ascii="標楷體" w:eastAsia="標楷體" w:hAnsi="標楷體" w:hint="eastAsia"/>
                <w:color w:val="000000"/>
                <w:szCs w:val="24"/>
              </w:rPr>
              <w:t>2.第</w:t>
            </w:r>
            <w:r w:rsidRPr="001F3F42">
              <w:rPr>
                <w:rFonts w:ascii="標楷體" w:eastAsia="標楷體" w:hAnsi="標楷體"/>
                <w:color w:val="000000"/>
                <w:szCs w:val="24"/>
              </w:rPr>
              <w:t>6</w:t>
            </w:r>
            <w:r w:rsidRPr="001F3F42">
              <w:rPr>
                <w:rFonts w:ascii="標楷體" w:eastAsia="標楷體" w:hAnsi="標楷體" w:hint="eastAsia"/>
                <w:color w:val="000000"/>
                <w:szCs w:val="24"/>
              </w:rPr>
              <w:t>會期第4次院會（11</w:t>
            </w:r>
            <w:r w:rsidRPr="001F3F42">
              <w:rPr>
                <w:rFonts w:ascii="標楷體" w:eastAsia="標楷體" w:hAnsi="標楷體"/>
                <w:color w:val="000000"/>
                <w:szCs w:val="24"/>
              </w:rPr>
              <w:t>1</w:t>
            </w:r>
            <w:r w:rsidRPr="001F3F42">
              <w:rPr>
                <w:rFonts w:ascii="標楷體" w:eastAsia="標楷體" w:hAnsi="標楷體" w:hint="eastAsia"/>
                <w:color w:val="000000"/>
                <w:szCs w:val="24"/>
              </w:rPr>
              <w:t>.</w:t>
            </w:r>
            <w:r w:rsidRPr="001F3F42">
              <w:rPr>
                <w:rFonts w:ascii="標楷體" w:eastAsia="標楷體" w:hAnsi="標楷體"/>
                <w:color w:val="000000"/>
                <w:szCs w:val="24"/>
              </w:rPr>
              <w:t>10</w:t>
            </w:r>
            <w:r w:rsidRPr="001F3F42">
              <w:rPr>
                <w:rFonts w:ascii="標楷體" w:eastAsia="標楷體" w:hAnsi="標楷體" w:hint="eastAsia"/>
                <w:color w:val="000000"/>
                <w:szCs w:val="24"/>
              </w:rPr>
              <w:t>.</w:t>
            </w:r>
            <w:r w:rsidRPr="001F3F42">
              <w:rPr>
                <w:rFonts w:ascii="標楷體" w:eastAsia="標楷體" w:hAnsi="標楷體"/>
                <w:color w:val="000000"/>
                <w:szCs w:val="24"/>
              </w:rPr>
              <w:t>14</w:t>
            </w:r>
            <w:r w:rsidRPr="001F3F42">
              <w:rPr>
                <w:rFonts w:ascii="標楷體" w:eastAsia="標楷體" w:hAnsi="標楷體" w:hint="eastAsia"/>
                <w:color w:val="000000"/>
                <w:szCs w:val="24"/>
              </w:rPr>
              <w:t>）決定：准予備查。</w:t>
            </w:r>
          </w:p>
        </w:tc>
      </w:tr>
    </w:tbl>
    <w:p w:rsidR="00301886" w:rsidRDefault="00301886">
      <w:pPr>
        <w:widowControl/>
        <w:rPr>
          <w:rFonts w:ascii="標楷體" w:eastAsia="標楷體" w:hAnsi="標楷體"/>
          <w:color w:val="000000" w:themeColor="text1"/>
          <w:sz w:val="32"/>
          <w:szCs w:val="32"/>
        </w:rPr>
      </w:pPr>
    </w:p>
    <w:p w:rsidR="00301886" w:rsidRDefault="00301886">
      <w:pPr>
        <w:widowControl/>
        <w:rPr>
          <w:rFonts w:ascii="標楷體" w:eastAsia="標楷體" w:hAnsi="標楷體"/>
          <w:color w:val="000000" w:themeColor="text1"/>
          <w:sz w:val="32"/>
          <w:szCs w:val="32"/>
        </w:rPr>
      </w:pPr>
      <w:r>
        <w:rPr>
          <w:rFonts w:ascii="標楷體" w:eastAsia="標楷體" w:hAnsi="標楷體"/>
          <w:color w:val="000000" w:themeColor="text1"/>
          <w:sz w:val="32"/>
          <w:szCs w:val="32"/>
        </w:rPr>
        <w:br w:type="page"/>
      </w:r>
    </w:p>
    <w:p w:rsidR="00F41455" w:rsidRPr="007A203B" w:rsidRDefault="00301886" w:rsidP="00301886">
      <w:pPr>
        <w:pStyle w:val="01-21"/>
      </w:pPr>
      <w:bookmarkStart w:id="112" w:name="_Toc126068149"/>
      <w:r>
        <w:rPr>
          <w:rFonts w:hint="eastAsia"/>
        </w:rPr>
        <w:lastRenderedPageBreak/>
        <w:t>五</w:t>
      </w:r>
      <w:r w:rsidRPr="00301886">
        <w:rPr>
          <w:rFonts w:hint="eastAsia"/>
        </w:rPr>
        <w:t>、</w:t>
      </w:r>
      <w:r>
        <w:rPr>
          <w:rFonts w:hint="eastAsia"/>
        </w:rPr>
        <w:t>人民請願案</w:t>
      </w:r>
      <w:r w:rsidRPr="00301886">
        <w:rPr>
          <w:rFonts w:hint="eastAsia"/>
        </w:rPr>
        <w:t>（1案）</w:t>
      </w:r>
      <w:bookmarkEnd w:id="112"/>
    </w:p>
    <w:tbl>
      <w:tblPr>
        <w:tblW w:w="5117" w:type="pct"/>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98"/>
        <w:gridCol w:w="4243"/>
        <w:gridCol w:w="1675"/>
        <w:gridCol w:w="3238"/>
      </w:tblGrid>
      <w:tr w:rsidR="00301886" w:rsidRPr="00301886" w:rsidTr="00AE1389">
        <w:trPr>
          <w:trHeight w:val="700"/>
        </w:trPr>
        <w:tc>
          <w:tcPr>
            <w:tcW w:w="354" w:type="pct"/>
            <w:vAlign w:val="center"/>
          </w:tcPr>
          <w:p w:rsidR="00301886" w:rsidRPr="00301886" w:rsidRDefault="00301886" w:rsidP="00301886">
            <w:pPr>
              <w:spacing w:line="400" w:lineRule="exact"/>
              <w:jc w:val="center"/>
              <w:rPr>
                <w:rFonts w:ascii="標楷體" w:eastAsia="標楷體" w:hAnsi="標楷體"/>
                <w:b/>
                <w:bCs/>
                <w:color w:val="000000"/>
                <w:spacing w:val="-20"/>
                <w:sz w:val="28"/>
                <w:szCs w:val="28"/>
              </w:rPr>
            </w:pPr>
            <w:r w:rsidRPr="00301886">
              <w:rPr>
                <w:rFonts w:ascii="標楷體" w:eastAsia="標楷體" w:hAnsi="標楷體" w:hint="eastAsia"/>
                <w:b/>
                <w:bCs/>
                <w:color w:val="000000"/>
                <w:spacing w:val="-20"/>
                <w:sz w:val="28"/>
                <w:szCs w:val="28"/>
              </w:rPr>
              <w:t>序號</w:t>
            </w:r>
          </w:p>
        </w:tc>
        <w:tc>
          <w:tcPr>
            <w:tcW w:w="2153" w:type="pct"/>
            <w:vAlign w:val="center"/>
          </w:tcPr>
          <w:p w:rsidR="00301886" w:rsidRPr="00301886" w:rsidRDefault="00301886" w:rsidP="00301886">
            <w:pPr>
              <w:spacing w:line="400" w:lineRule="exact"/>
              <w:jc w:val="center"/>
              <w:rPr>
                <w:rFonts w:ascii="標楷體" w:eastAsia="標楷體" w:hAnsi="標楷體"/>
                <w:b/>
                <w:bCs/>
                <w:color w:val="000000"/>
                <w:sz w:val="28"/>
              </w:rPr>
            </w:pPr>
            <w:r w:rsidRPr="00301886">
              <w:rPr>
                <w:rFonts w:ascii="標楷體" w:eastAsia="標楷體" w:hAnsi="標楷體" w:hint="eastAsia"/>
                <w:b/>
                <w:bCs/>
                <w:color w:val="000000"/>
                <w:sz w:val="28"/>
              </w:rPr>
              <w:t>案          由</w:t>
            </w:r>
          </w:p>
        </w:tc>
        <w:tc>
          <w:tcPr>
            <w:tcW w:w="850" w:type="pct"/>
            <w:vAlign w:val="center"/>
          </w:tcPr>
          <w:p w:rsidR="00301886" w:rsidRPr="00301886" w:rsidRDefault="00301886" w:rsidP="00301886">
            <w:pPr>
              <w:spacing w:line="400" w:lineRule="exact"/>
              <w:ind w:leftChars="6" w:left="14"/>
              <w:jc w:val="center"/>
              <w:rPr>
                <w:rFonts w:ascii="標楷體" w:eastAsia="標楷體" w:hAnsi="標楷體"/>
                <w:b/>
                <w:bCs/>
                <w:color w:val="000000"/>
                <w:sz w:val="28"/>
              </w:rPr>
            </w:pPr>
            <w:r w:rsidRPr="00301886">
              <w:rPr>
                <w:rFonts w:ascii="標楷體" w:eastAsia="標楷體" w:hAnsi="標楷體" w:hint="eastAsia"/>
                <w:b/>
                <w:bCs/>
                <w:color w:val="000000"/>
                <w:sz w:val="28"/>
              </w:rPr>
              <w:t>程序委員會</w:t>
            </w:r>
          </w:p>
          <w:p w:rsidR="00301886" w:rsidRPr="00301886" w:rsidRDefault="00301886" w:rsidP="00301886">
            <w:pPr>
              <w:spacing w:line="400" w:lineRule="exact"/>
              <w:ind w:leftChars="6" w:left="28" w:hangingChars="5" w:hanging="14"/>
              <w:jc w:val="center"/>
              <w:rPr>
                <w:rFonts w:ascii="標楷體" w:eastAsia="標楷體" w:hAnsi="標楷體"/>
                <w:b/>
                <w:bCs/>
                <w:color w:val="000000"/>
                <w:sz w:val="28"/>
              </w:rPr>
            </w:pPr>
            <w:r w:rsidRPr="00301886">
              <w:rPr>
                <w:rFonts w:ascii="標楷體" w:eastAsia="標楷體" w:hAnsi="標楷體" w:hint="eastAsia"/>
                <w:b/>
                <w:bCs/>
                <w:color w:val="000000"/>
                <w:sz w:val="28"/>
              </w:rPr>
              <w:t>函送日期</w:t>
            </w:r>
          </w:p>
        </w:tc>
        <w:tc>
          <w:tcPr>
            <w:tcW w:w="1643" w:type="pct"/>
            <w:vAlign w:val="center"/>
          </w:tcPr>
          <w:p w:rsidR="00301886" w:rsidRPr="00301886" w:rsidRDefault="00301886" w:rsidP="00301886">
            <w:pPr>
              <w:spacing w:line="400" w:lineRule="exact"/>
              <w:jc w:val="center"/>
              <w:rPr>
                <w:rFonts w:ascii="標楷體" w:eastAsia="標楷體" w:hAnsi="標楷體"/>
                <w:b/>
                <w:bCs/>
                <w:color w:val="000000"/>
                <w:sz w:val="28"/>
              </w:rPr>
            </w:pPr>
            <w:r w:rsidRPr="00301886">
              <w:rPr>
                <w:rFonts w:ascii="標楷體" w:eastAsia="標楷體" w:hAnsi="標楷體" w:hint="eastAsia"/>
                <w:b/>
                <w:bCs/>
                <w:color w:val="000000"/>
                <w:sz w:val="28"/>
              </w:rPr>
              <w:t>處 理 情 形</w:t>
            </w:r>
          </w:p>
        </w:tc>
      </w:tr>
      <w:tr w:rsidR="00301886" w:rsidRPr="00301886" w:rsidTr="00AE1389">
        <w:trPr>
          <w:trHeight w:val="567"/>
        </w:trPr>
        <w:tc>
          <w:tcPr>
            <w:tcW w:w="354" w:type="pct"/>
            <w:vAlign w:val="center"/>
          </w:tcPr>
          <w:p w:rsidR="00301886" w:rsidRPr="00301886" w:rsidRDefault="00301886" w:rsidP="006934DD">
            <w:pPr>
              <w:numPr>
                <w:ilvl w:val="0"/>
                <w:numId w:val="63"/>
              </w:numPr>
              <w:spacing w:line="400" w:lineRule="exact"/>
              <w:ind w:right="113"/>
              <w:rPr>
                <w:rFonts w:ascii="標楷體" w:eastAsia="標楷體" w:hAnsi="標楷體"/>
                <w:color w:val="000000"/>
                <w:sz w:val="28"/>
                <w:szCs w:val="28"/>
              </w:rPr>
            </w:pPr>
          </w:p>
        </w:tc>
        <w:tc>
          <w:tcPr>
            <w:tcW w:w="2153" w:type="pct"/>
          </w:tcPr>
          <w:p w:rsidR="00301886" w:rsidRPr="00301886" w:rsidRDefault="00301886" w:rsidP="00301886">
            <w:pPr>
              <w:spacing w:line="400" w:lineRule="exact"/>
              <w:jc w:val="both"/>
              <w:rPr>
                <w:rFonts w:ascii="標楷體" w:eastAsia="標楷體" w:hAnsi="標楷體"/>
                <w:color w:val="000000"/>
                <w:sz w:val="28"/>
                <w:szCs w:val="28"/>
              </w:rPr>
            </w:pPr>
            <w:r w:rsidRPr="00301886">
              <w:rPr>
                <w:rFonts w:ascii="標楷體" w:eastAsia="標楷體" w:hAnsi="標楷體" w:hint="eastAsia"/>
                <w:color w:val="000000"/>
                <w:sz w:val="28"/>
                <w:szCs w:val="28"/>
              </w:rPr>
              <w:t>葉方叡君所提教師法第九條條文修正草案，建請學生代表納入教師評審委員會成員請願文書乙份，請查照審查。</w:t>
            </w:r>
          </w:p>
        </w:tc>
        <w:tc>
          <w:tcPr>
            <w:tcW w:w="850" w:type="pct"/>
          </w:tcPr>
          <w:p w:rsidR="00301886" w:rsidRPr="00301886" w:rsidRDefault="00301886" w:rsidP="00301886">
            <w:pPr>
              <w:spacing w:line="400" w:lineRule="exact"/>
              <w:jc w:val="center"/>
              <w:rPr>
                <w:rFonts w:ascii="標楷體" w:eastAsia="標楷體" w:hAnsi="標楷體"/>
                <w:color w:val="000000"/>
                <w:sz w:val="28"/>
                <w:szCs w:val="28"/>
              </w:rPr>
            </w:pPr>
            <w:r w:rsidRPr="00301886">
              <w:rPr>
                <w:rFonts w:ascii="標楷體" w:eastAsia="標楷體" w:hAnsi="標楷體"/>
                <w:color w:val="000000"/>
                <w:sz w:val="28"/>
                <w:szCs w:val="28"/>
              </w:rPr>
              <w:t>111.4.2</w:t>
            </w:r>
            <w:r w:rsidRPr="00301886">
              <w:rPr>
                <w:rFonts w:ascii="標楷體" w:eastAsia="標楷體" w:hAnsi="標楷體" w:hint="eastAsia"/>
                <w:color w:val="000000"/>
                <w:sz w:val="28"/>
                <w:szCs w:val="28"/>
              </w:rPr>
              <w:t>8</w:t>
            </w:r>
          </w:p>
        </w:tc>
        <w:tc>
          <w:tcPr>
            <w:tcW w:w="1643" w:type="pct"/>
          </w:tcPr>
          <w:p w:rsidR="00301886" w:rsidRDefault="00301886" w:rsidP="00301886">
            <w:pPr>
              <w:wordWrap w:val="0"/>
              <w:ind w:left="240" w:hangingChars="100" w:hanging="240"/>
              <w:jc w:val="both"/>
              <w:rPr>
                <w:rFonts w:ascii="標楷體" w:eastAsia="標楷體" w:hAnsi="標楷體"/>
                <w:color w:val="000000"/>
                <w:szCs w:val="24"/>
              </w:rPr>
            </w:pPr>
            <w:r w:rsidRPr="00301886">
              <w:rPr>
                <w:rFonts w:ascii="標楷體" w:eastAsia="標楷體" w:hAnsi="標楷體" w:hint="eastAsia"/>
                <w:color w:val="000000"/>
                <w:szCs w:val="24"/>
              </w:rPr>
              <w:t>1.第6會期第16次全體委員會議(111.12.26)決議：本案不成為議案，送程序委員會報請院會存查。</w:t>
            </w:r>
          </w:p>
          <w:p w:rsidR="00301886" w:rsidRPr="00301886" w:rsidRDefault="00301886" w:rsidP="00301886">
            <w:pPr>
              <w:wordWrap w:val="0"/>
              <w:ind w:left="240" w:hangingChars="100" w:hanging="240"/>
              <w:jc w:val="both"/>
              <w:rPr>
                <w:rFonts w:ascii="標楷體" w:eastAsia="標楷體" w:hAnsi="標楷體"/>
                <w:color w:val="000000"/>
                <w:sz w:val="26"/>
                <w:szCs w:val="26"/>
              </w:rPr>
            </w:pPr>
            <w:r>
              <w:rPr>
                <w:rFonts w:ascii="標楷體" w:eastAsia="標楷體" w:hAnsi="標楷體" w:hint="eastAsia"/>
                <w:color w:val="000000"/>
                <w:szCs w:val="24"/>
              </w:rPr>
              <w:t>2.</w:t>
            </w:r>
            <w:r w:rsidRPr="00301886">
              <w:rPr>
                <w:rFonts w:ascii="標楷體" w:eastAsia="標楷體" w:hAnsi="標楷體" w:hint="eastAsia"/>
                <w:color w:val="000000"/>
                <w:szCs w:val="24"/>
              </w:rPr>
              <w:t>第</w:t>
            </w:r>
            <w:r>
              <w:rPr>
                <w:rFonts w:ascii="標楷體" w:eastAsia="標楷體" w:hAnsi="標楷體" w:hint="eastAsia"/>
                <w:color w:val="000000"/>
                <w:szCs w:val="24"/>
              </w:rPr>
              <w:t>6</w:t>
            </w:r>
            <w:r w:rsidRPr="00301886">
              <w:rPr>
                <w:rFonts w:ascii="標楷體" w:eastAsia="標楷體" w:hAnsi="標楷體" w:hint="eastAsia"/>
                <w:color w:val="000000"/>
                <w:szCs w:val="24"/>
              </w:rPr>
              <w:t>會期第</w:t>
            </w:r>
            <w:r>
              <w:rPr>
                <w:rFonts w:ascii="標楷體" w:eastAsia="標楷體" w:hAnsi="標楷體" w:hint="eastAsia"/>
                <w:color w:val="000000"/>
                <w:szCs w:val="24"/>
              </w:rPr>
              <w:t>15</w:t>
            </w:r>
            <w:r w:rsidRPr="00301886">
              <w:rPr>
                <w:rFonts w:ascii="標楷體" w:eastAsia="標楷體" w:hAnsi="標楷體" w:hint="eastAsia"/>
                <w:color w:val="000000"/>
                <w:szCs w:val="24"/>
              </w:rPr>
              <w:t>次院會（11</w:t>
            </w:r>
            <w:r>
              <w:rPr>
                <w:rFonts w:ascii="標楷體" w:eastAsia="標楷體" w:hAnsi="標楷體" w:hint="eastAsia"/>
                <w:color w:val="000000"/>
                <w:szCs w:val="24"/>
              </w:rPr>
              <w:t>2</w:t>
            </w:r>
            <w:r w:rsidRPr="00301886">
              <w:rPr>
                <w:rFonts w:ascii="標楷體" w:eastAsia="標楷體" w:hAnsi="標楷體" w:hint="eastAsia"/>
                <w:color w:val="000000"/>
                <w:szCs w:val="24"/>
              </w:rPr>
              <w:t>.</w:t>
            </w:r>
            <w:r w:rsidRPr="00301886">
              <w:rPr>
                <w:rFonts w:ascii="標楷體" w:eastAsia="標楷體" w:hAnsi="標楷體"/>
                <w:color w:val="000000"/>
                <w:szCs w:val="24"/>
              </w:rPr>
              <w:t>1</w:t>
            </w:r>
            <w:r w:rsidRPr="00301886">
              <w:rPr>
                <w:rFonts w:ascii="標楷體" w:eastAsia="標楷體" w:hAnsi="標楷體" w:hint="eastAsia"/>
                <w:color w:val="000000"/>
                <w:szCs w:val="24"/>
              </w:rPr>
              <w:t>.</w:t>
            </w:r>
            <w:r>
              <w:rPr>
                <w:rFonts w:ascii="標楷體" w:eastAsia="標楷體" w:hAnsi="標楷體" w:hint="eastAsia"/>
                <w:color w:val="000000"/>
                <w:szCs w:val="24"/>
              </w:rPr>
              <w:t>9</w:t>
            </w:r>
            <w:r w:rsidRPr="00301886">
              <w:rPr>
                <w:rFonts w:ascii="標楷體" w:eastAsia="標楷體" w:hAnsi="標楷體" w:hint="eastAsia"/>
                <w:color w:val="000000"/>
                <w:szCs w:val="24"/>
              </w:rPr>
              <w:t>）決定：准予備查。</w:t>
            </w:r>
          </w:p>
        </w:tc>
      </w:tr>
    </w:tbl>
    <w:p w:rsidR="007A203B" w:rsidRPr="00301886" w:rsidRDefault="007A203B">
      <w:pPr>
        <w:widowControl/>
        <w:rPr>
          <w:rFonts w:ascii="標楷體" w:eastAsia="標楷體" w:hAnsi="標楷體"/>
          <w:color w:val="000000" w:themeColor="text1"/>
          <w:sz w:val="32"/>
          <w:szCs w:val="32"/>
        </w:rPr>
      </w:pPr>
    </w:p>
    <w:p w:rsidR="007B4408" w:rsidRPr="00920597" w:rsidRDefault="007B4408">
      <w:pPr>
        <w:widowControl/>
        <w:rPr>
          <w:rFonts w:ascii="標楷體" w:eastAsia="標楷體" w:hAnsi="標楷體"/>
          <w:color w:val="000000" w:themeColor="text1"/>
          <w:sz w:val="32"/>
          <w:szCs w:val="32"/>
        </w:rPr>
      </w:pPr>
    </w:p>
    <w:p w:rsidR="00F41455" w:rsidRPr="00920597" w:rsidRDefault="00F41455">
      <w:pPr>
        <w:widowControl/>
        <w:rPr>
          <w:rFonts w:ascii="標楷體" w:eastAsia="標楷體" w:hAnsi="標楷體"/>
          <w:color w:val="000000" w:themeColor="text1"/>
          <w:sz w:val="32"/>
          <w:szCs w:val="32"/>
        </w:rPr>
        <w:sectPr w:rsidR="00F41455" w:rsidRPr="00920597" w:rsidSect="000121AE">
          <w:pgSz w:w="11907" w:h="16840" w:code="9"/>
          <w:pgMar w:top="1134" w:right="1134" w:bottom="1134" w:left="1134" w:header="851" w:footer="850" w:gutter="0"/>
          <w:cols w:space="425"/>
          <w:docGrid w:type="linesAndChars" w:linePitch="360"/>
        </w:sectPr>
      </w:pPr>
    </w:p>
    <w:p w:rsidR="00512F9C" w:rsidRPr="00920597" w:rsidRDefault="00512F9C" w:rsidP="00512F9C">
      <w:pPr>
        <w:pStyle w:val="01-11"/>
        <w:rPr>
          <w:color w:val="000000" w:themeColor="text1"/>
        </w:rPr>
      </w:pPr>
      <w:bookmarkStart w:id="113" w:name="_Toc126068150"/>
      <w:r w:rsidRPr="00920597">
        <w:rPr>
          <w:rFonts w:hint="eastAsia"/>
          <w:color w:val="000000" w:themeColor="text1"/>
        </w:rPr>
        <w:lastRenderedPageBreak/>
        <w:t>伍、尚待院會審議之議案</w:t>
      </w:r>
      <w:r w:rsidR="00303040" w:rsidRPr="00920597">
        <w:rPr>
          <w:rFonts w:hint="eastAsia"/>
          <w:color w:val="000000" w:themeColor="text1"/>
        </w:rPr>
        <w:t xml:space="preserve"> (</w:t>
      </w:r>
      <w:r w:rsidR="005A1BAD">
        <w:rPr>
          <w:rFonts w:hint="eastAsia"/>
          <w:color w:val="000000" w:themeColor="text1"/>
        </w:rPr>
        <w:t>42</w:t>
      </w:r>
      <w:r w:rsidR="00303040" w:rsidRPr="00920597">
        <w:rPr>
          <w:rFonts w:hint="eastAsia"/>
          <w:color w:val="000000" w:themeColor="text1"/>
        </w:rPr>
        <w:t>案)</w:t>
      </w:r>
      <w:bookmarkEnd w:id="113"/>
    </w:p>
    <w:p w:rsidR="00753BB3" w:rsidRPr="00920597" w:rsidRDefault="00753BB3" w:rsidP="00512F9C">
      <w:pPr>
        <w:pStyle w:val="01-21"/>
        <w:rPr>
          <w:color w:val="000000" w:themeColor="text1"/>
        </w:rPr>
      </w:pPr>
      <w:bookmarkStart w:id="114" w:name="_Toc126068151"/>
      <w:r w:rsidRPr="00920597">
        <w:rPr>
          <w:rFonts w:hint="eastAsia"/>
          <w:color w:val="000000" w:themeColor="text1"/>
        </w:rPr>
        <w:t>一、法律案（</w:t>
      </w:r>
      <w:r w:rsidR="00AE1389">
        <w:rPr>
          <w:rFonts w:hint="eastAsia"/>
          <w:color w:val="000000" w:themeColor="text1"/>
        </w:rPr>
        <w:t>38</w:t>
      </w:r>
      <w:r w:rsidRPr="00920597">
        <w:rPr>
          <w:rFonts w:hint="eastAsia"/>
          <w:color w:val="000000" w:themeColor="text1"/>
        </w:rPr>
        <w:t>案）</w:t>
      </w:r>
      <w:bookmarkEnd w:id="114"/>
    </w:p>
    <w:p w:rsidR="00753BB3" w:rsidRPr="00920597" w:rsidRDefault="000F1455" w:rsidP="008D0A60">
      <w:pPr>
        <w:pStyle w:val="01-3"/>
        <w:rPr>
          <w:color w:val="000000" w:themeColor="text1"/>
        </w:rPr>
      </w:pPr>
      <w:bookmarkStart w:id="115" w:name="_Toc126068152"/>
      <w:r w:rsidRPr="00920597">
        <w:rPr>
          <w:rFonts w:hint="eastAsia"/>
          <w:color w:val="000000" w:themeColor="text1"/>
        </w:rPr>
        <w:t>(一)</w:t>
      </w:r>
      <w:r w:rsidR="00366215" w:rsidRPr="00920597">
        <w:rPr>
          <w:rFonts w:hint="eastAsia"/>
          <w:color w:val="000000" w:themeColor="text1"/>
        </w:rPr>
        <w:t>教育</w:t>
      </w:r>
      <w:r w:rsidR="00753BB3" w:rsidRPr="00920597">
        <w:rPr>
          <w:rFonts w:hint="eastAsia"/>
          <w:color w:val="000000" w:themeColor="text1"/>
        </w:rPr>
        <w:t>部</w:t>
      </w:r>
      <w:r w:rsidR="00AF62FC" w:rsidRPr="00920597">
        <w:rPr>
          <w:rFonts w:hint="eastAsia"/>
          <w:color w:val="000000" w:themeColor="text1"/>
        </w:rPr>
        <w:t xml:space="preserve"> </w:t>
      </w:r>
      <w:r w:rsidR="00753BB3" w:rsidRPr="00920597">
        <w:rPr>
          <w:rFonts w:hint="eastAsia"/>
          <w:color w:val="000000" w:themeColor="text1"/>
        </w:rPr>
        <w:t>(</w:t>
      </w:r>
      <w:r w:rsidR="00883865" w:rsidRPr="00920597">
        <w:rPr>
          <w:rFonts w:hint="eastAsia"/>
          <w:color w:val="000000" w:themeColor="text1"/>
        </w:rPr>
        <w:t>3</w:t>
      </w:r>
      <w:r w:rsidR="00737E6B" w:rsidRPr="00920597">
        <w:rPr>
          <w:color w:val="000000" w:themeColor="text1"/>
        </w:rPr>
        <w:t>8</w:t>
      </w:r>
      <w:r w:rsidR="00753BB3" w:rsidRPr="00920597">
        <w:rPr>
          <w:rFonts w:hint="eastAsia"/>
          <w:color w:val="000000" w:themeColor="text1"/>
        </w:rPr>
        <w:t>案）</w:t>
      </w:r>
      <w:bookmarkEnd w:id="115"/>
    </w:p>
    <w:tbl>
      <w:tblPr>
        <w:tblW w:w="5226"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548"/>
        <w:gridCol w:w="2715"/>
        <w:gridCol w:w="1596"/>
        <w:gridCol w:w="912"/>
        <w:gridCol w:w="2904"/>
        <w:gridCol w:w="1211"/>
      </w:tblGrid>
      <w:tr w:rsidR="00366215" w:rsidRPr="00920597" w:rsidTr="00D0353B">
        <w:trPr>
          <w:trHeight w:val="700"/>
        </w:trPr>
        <w:tc>
          <w:tcPr>
            <w:tcW w:w="561" w:type="dxa"/>
            <w:vAlign w:val="center"/>
          </w:tcPr>
          <w:p w:rsidR="00366215" w:rsidRPr="00920597" w:rsidRDefault="00366215" w:rsidP="00366215">
            <w:pPr>
              <w:spacing w:line="400" w:lineRule="exact"/>
              <w:jc w:val="center"/>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2776" w:type="dxa"/>
            <w:vAlign w:val="center"/>
          </w:tcPr>
          <w:p w:rsidR="00366215" w:rsidRPr="00920597" w:rsidRDefault="007A4976" w:rsidP="00366215">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1596" w:type="dxa"/>
            <w:vAlign w:val="center"/>
          </w:tcPr>
          <w:p w:rsidR="00366215" w:rsidRPr="00920597" w:rsidRDefault="00366215" w:rsidP="00366215">
            <w:pPr>
              <w:spacing w:line="400" w:lineRule="exact"/>
              <w:ind w:rightChars="26" w:right="62"/>
              <w:jc w:val="center"/>
              <w:rPr>
                <w:rFonts w:ascii="標楷體" w:eastAsia="標楷體" w:hAnsi="標楷體"/>
                <w:b/>
                <w:bCs/>
                <w:color w:val="000000" w:themeColor="text1"/>
                <w:spacing w:val="-20"/>
                <w:sz w:val="28"/>
              </w:rPr>
            </w:pPr>
            <w:r w:rsidRPr="00920597">
              <w:rPr>
                <w:rFonts w:ascii="標楷體" w:eastAsia="標楷體" w:hAnsi="標楷體" w:hint="eastAsia"/>
                <w:b/>
                <w:bCs/>
                <w:color w:val="000000" w:themeColor="text1"/>
                <w:spacing w:val="-20"/>
                <w:sz w:val="28"/>
              </w:rPr>
              <w:t>院會交付</w:t>
            </w:r>
          </w:p>
          <w:p w:rsidR="00366215" w:rsidRPr="00920597" w:rsidRDefault="00366215" w:rsidP="00366215">
            <w:pPr>
              <w:spacing w:line="400" w:lineRule="exact"/>
              <w:ind w:rightChars="26" w:right="6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pacing w:val="-20"/>
                <w:sz w:val="28"/>
              </w:rPr>
              <w:t>會次及日期</w:t>
            </w:r>
          </w:p>
        </w:tc>
        <w:tc>
          <w:tcPr>
            <w:tcW w:w="926" w:type="dxa"/>
            <w:vAlign w:val="center"/>
          </w:tcPr>
          <w:p w:rsidR="00366215" w:rsidRPr="00920597" w:rsidRDefault="00366215" w:rsidP="00366215">
            <w:pPr>
              <w:spacing w:line="400" w:lineRule="exact"/>
              <w:ind w:leftChars="1" w:left="282" w:hangingChars="100" w:hanging="280"/>
              <w:jc w:val="center"/>
              <w:rPr>
                <w:rFonts w:ascii="標楷體" w:eastAsia="標楷體" w:hAnsi="標楷體"/>
                <w:b/>
                <w:color w:val="000000" w:themeColor="text1"/>
                <w:sz w:val="28"/>
              </w:rPr>
            </w:pPr>
            <w:r w:rsidRPr="00920597">
              <w:rPr>
                <w:rFonts w:ascii="標楷體" w:eastAsia="標楷體" w:hAnsi="標楷體" w:hint="eastAsia"/>
                <w:b/>
                <w:color w:val="000000" w:themeColor="text1"/>
                <w:sz w:val="28"/>
              </w:rPr>
              <w:t>聯席</w:t>
            </w:r>
          </w:p>
          <w:p w:rsidR="00366215" w:rsidRPr="00920597" w:rsidRDefault="00366215" w:rsidP="00366215">
            <w:pPr>
              <w:spacing w:line="400" w:lineRule="exact"/>
              <w:ind w:leftChars="1" w:left="282" w:hangingChars="100" w:hanging="280"/>
              <w:jc w:val="center"/>
              <w:rPr>
                <w:rFonts w:ascii="標楷體" w:eastAsia="標楷體" w:hAnsi="標楷體"/>
                <w:b/>
                <w:bCs/>
                <w:color w:val="000000" w:themeColor="text1"/>
                <w:sz w:val="28"/>
              </w:rPr>
            </w:pPr>
            <w:r w:rsidRPr="00920597">
              <w:rPr>
                <w:rFonts w:ascii="標楷體" w:eastAsia="標楷體" w:hAnsi="標楷體" w:hint="eastAsia"/>
                <w:b/>
                <w:color w:val="000000" w:themeColor="text1"/>
                <w:sz w:val="28"/>
              </w:rPr>
              <w:t>委員會</w:t>
            </w:r>
          </w:p>
        </w:tc>
        <w:tc>
          <w:tcPr>
            <w:tcW w:w="2952" w:type="dxa"/>
            <w:vAlign w:val="center"/>
          </w:tcPr>
          <w:p w:rsidR="00366215" w:rsidRPr="00920597" w:rsidRDefault="00366215" w:rsidP="00366215">
            <w:pPr>
              <w:spacing w:line="400" w:lineRule="exact"/>
              <w:ind w:rightChars="104" w:right="250"/>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w:t>
            </w:r>
            <w:r w:rsidR="007A4976" w:rsidRPr="00920597">
              <w:rPr>
                <w:rFonts w:ascii="標楷體" w:eastAsia="標楷體" w:hAnsi="標楷體" w:hint="eastAsia"/>
                <w:b/>
                <w:bCs/>
                <w:color w:val="000000" w:themeColor="text1"/>
                <w:sz w:val="28"/>
              </w:rPr>
              <w:t xml:space="preserve">  </w:t>
            </w:r>
            <w:r w:rsidRPr="00920597">
              <w:rPr>
                <w:rFonts w:ascii="標楷體" w:eastAsia="標楷體" w:hAnsi="標楷體" w:hint="eastAsia"/>
                <w:b/>
                <w:bCs/>
                <w:color w:val="000000" w:themeColor="text1"/>
                <w:sz w:val="28"/>
              </w:rPr>
              <w:t>理</w:t>
            </w:r>
            <w:r w:rsidR="007A4976" w:rsidRPr="00920597">
              <w:rPr>
                <w:rFonts w:ascii="標楷體" w:eastAsia="標楷體" w:hAnsi="標楷體" w:hint="eastAsia"/>
                <w:b/>
                <w:bCs/>
                <w:color w:val="000000" w:themeColor="text1"/>
                <w:sz w:val="28"/>
              </w:rPr>
              <w:t xml:space="preserve">  </w:t>
            </w:r>
            <w:r w:rsidRPr="00920597">
              <w:rPr>
                <w:rFonts w:ascii="標楷體" w:eastAsia="標楷體" w:hAnsi="標楷體" w:hint="eastAsia"/>
                <w:b/>
                <w:bCs/>
                <w:color w:val="000000" w:themeColor="text1"/>
                <w:sz w:val="28"/>
              </w:rPr>
              <w:t>情</w:t>
            </w:r>
            <w:r w:rsidR="007A4976" w:rsidRPr="00920597">
              <w:rPr>
                <w:rFonts w:ascii="標楷體" w:eastAsia="標楷體" w:hAnsi="標楷體" w:hint="eastAsia"/>
                <w:b/>
                <w:bCs/>
                <w:color w:val="000000" w:themeColor="text1"/>
                <w:sz w:val="28"/>
              </w:rPr>
              <w:t xml:space="preserve">  </w:t>
            </w:r>
            <w:r w:rsidRPr="00920597">
              <w:rPr>
                <w:rFonts w:ascii="標楷體" w:eastAsia="標楷體" w:hAnsi="標楷體" w:hint="eastAsia"/>
                <w:b/>
                <w:bCs/>
                <w:color w:val="000000" w:themeColor="text1"/>
                <w:sz w:val="28"/>
              </w:rPr>
              <w:t>形</w:t>
            </w:r>
          </w:p>
        </w:tc>
        <w:tc>
          <w:tcPr>
            <w:tcW w:w="1253" w:type="dxa"/>
            <w:vAlign w:val="center"/>
          </w:tcPr>
          <w:p w:rsidR="00366215" w:rsidRPr="00920597" w:rsidRDefault="00366215" w:rsidP="00366215">
            <w:pPr>
              <w:spacing w:line="400" w:lineRule="exact"/>
              <w:ind w:rightChars="26" w:right="62"/>
              <w:jc w:val="distribute"/>
              <w:rPr>
                <w:rFonts w:ascii="標楷體" w:eastAsia="標楷體" w:hAnsi="標楷體"/>
                <w:b/>
                <w:bCs/>
                <w:color w:val="000000" w:themeColor="text1"/>
                <w:spacing w:val="-20"/>
                <w:sz w:val="28"/>
              </w:rPr>
            </w:pPr>
            <w:r w:rsidRPr="00920597">
              <w:rPr>
                <w:rFonts w:ascii="標楷體" w:eastAsia="標楷體" w:hAnsi="標楷體" w:hint="eastAsia"/>
                <w:b/>
                <w:bCs/>
                <w:color w:val="000000" w:themeColor="text1"/>
                <w:spacing w:val="-20"/>
                <w:sz w:val="28"/>
              </w:rPr>
              <w:t>院會說明</w:t>
            </w:r>
          </w:p>
          <w:p w:rsidR="00366215" w:rsidRPr="00920597" w:rsidRDefault="00366215" w:rsidP="00366215">
            <w:pPr>
              <w:spacing w:line="400" w:lineRule="exact"/>
              <w:ind w:rightChars="26" w:right="6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pacing w:val="-20"/>
                <w:sz w:val="28"/>
              </w:rPr>
              <w:t>委員</w:t>
            </w:r>
          </w:p>
        </w:tc>
      </w:tr>
      <w:tr w:rsidR="003E4ADD" w:rsidRPr="00920597" w:rsidTr="00D0353B">
        <w:trPr>
          <w:trHeight w:val="572"/>
        </w:trPr>
        <w:tc>
          <w:tcPr>
            <w:tcW w:w="561" w:type="dxa"/>
            <w:vAlign w:val="center"/>
          </w:tcPr>
          <w:p w:rsidR="00366215" w:rsidRPr="00920597" w:rsidRDefault="00366215" w:rsidP="006934DD">
            <w:pPr>
              <w:numPr>
                <w:ilvl w:val="0"/>
                <w:numId w:val="10"/>
              </w:numPr>
              <w:spacing w:line="400" w:lineRule="exact"/>
              <w:jc w:val="both"/>
              <w:rPr>
                <w:rFonts w:ascii="標楷體" w:eastAsia="標楷體" w:hAnsi="標楷體"/>
                <w:color w:val="000000" w:themeColor="text1"/>
                <w:sz w:val="28"/>
              </w:rPr>
            </w:pPr>
          </w:p>
        </w:tc>
        <w:tc>
          <w:tcPr>
            <w:tcW w:w="2776" w:type="dxa"/>
          </w:tcPr>
          <w:p w:rsidR="007E6E4E" w:rsidRPr="00920597" w:rsidRDefault="007E6E4E" w:rsidP="007E6E4E">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併案審查</w:t>
            </w:r>
          </w:p>
          <w:p w:rsidR="007E6E4E" w:rsidRPr="00920597" w:rsidRDefault="007E6E4E" w:rsidP="007E6E4E">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1.學校衛生法第二十四條條文修正草案</w:t>
            </w:r>
          </w:p>
          <w:p w:rsidR="007E6E4E" w:rsidRPr="00920597" w:rsidRDefault="007E6E4E" w:rsidP="007E6E4E">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(委員林奕華等23人)</w:t>
            </w:r>
          </w:p>
          <w:p w:rsidR="007E6E4E" w:rsidRPr="00920597" w:rsidRDefault="007E6E4E" w:rsidP="007E6E4E">
            <w:pPr>
              <w:spacing w:line="400" w:lineRule="exact"/>
              <w:jc w:val="both"/>
              <w:rPr>
                <w:rFonts w:ascii="標楷體" w:eastAsia="標楷體" w:hAnsi="標楷體"/>
                <w:color w:val="000000" w:themeColor="text1"/>
                <w:sz w:val="28"/>
                <w:szCs w:val="28"/>
              </w:rPr>
            </w:pPr>
          </w:p>
          <w:p w:rsidR="007E6E4E" w:rsidRPr="00920597" w:rsidRDefault="007E6E4E" w:rsidP="007E6E4E">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2.學校衛生法增訂第二十四條之一條文草案</w:t>
            </w:r>
          </w:p>
          <w:p w:rsidR="007E6E4E" w:rsidRPr="00920597" w:rsidRDefault="007E6E4E" w:rsidP="007E6E4E">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(委員林奕華等18人)</w:t>
            </w:r>
          </w:p>
          <w:p w:rsidR="007E6E4E" w:rsidRPr="00920597" w:rsidRDefault="007E6E4E" w:rsidP="007E6E4E">
            <w:pPr>
              <w:spacing w:line="400" w:lineRule="exact"/>
              <w:jc w:val="both"/>
              <w:rPr>
                <w:rFonts w:ascii="標楷體" w:eastAsia="標楷體" w:hAnsi="標楷體"/>
                <w:color w:val="000000" w:themeColor="text1"/>
                <w:sz w:val="28"/>
                <w:szCs w:val="28"/>
              </w:rPr>
            </w:pPr>
          </w:p>
          <w:p w:rsidR="007E6E4E" w:rsidRPr="00920597" w:rsidRDefault="007E6E4E" w:rsidP="007E6E4E">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3.學校衛生法第二十四條條文修正草案</w:t>
            </w:r>
          </w:p>
          <w:p w:rsidR="007E6E4E" w:rsidRPr="00920597" w:rsidRDefault="007E6E4E" w:rsidP="007E6E4E">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(委員洪孟楷等17人)</w:t>
            </w:r>
          </w:p>
          <w:p w:rsidR="007E6E4E" w:rsidRPr="00920597" w:rsidRDefault="007E6E4E" w:rsidP="007E6E4E">
            <w:pPr>
              <w:spacing w:line="400" w:lineRule="exact"/>
              <w:jc w:val="both"/>
              <w:rPr>
                <w:rFonts w:ascii="標楷體" w:eastAsia="標楷體" w:hAnsi="標楷體"/>
                <w:color w:val="000000" w:themeColor="text1"/>
                <w:sz w:val="28"/>
                <w:szCs w:val="28"/>
              </w:rPr>
            </w:pPr>
          </w:p>
          <w:p w:rsidR="007E6E4E" w:rsidRPr="00920597" w:rsidRDefault="007E6E4E" w:rsidP="007E6E4E">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4.學校衛生法第二十四條條文修正草案</w:t>
            </w:r>
          </w:p>
          <w:p w:rsidR="007E6E4E" w:rsidRPr="00920597" w:rsidRDefault="007E6E4E" w:rsidP="007E6E4E">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(委員李德維等18人)</w:t>
            </w:r>
          </w:p>
          <w:p w:rsidR="007E6E4E" w:rsidRPr="00920597" w:rsidRDefault="007E6E4E" w:rsidP="007E6E4E">
            <w:pPr>
              <w:spacing w:line="400" w:lineRule="exact"/>
              <w:jc w:val="both"/>
              <w:rPr>
                <w:rFonts w:ascii="標楷體" w:eastAsia="標楷體" w:hAnsi="標楷體"/>
                <w:color w:val="000000" w:themeColor="text1"/>
                <w:sz w:val="28"/>
                <w:szCs w:val="28"/>
              </w:rPr>
            </w:pPr>
          </w:p>
          <w:p w:rsidR="007E6E4E" w:rsidRPr="00920597" w:rsidRDefault="007E6E4E" w:rsidP="007E6E4E">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5.學校衛生法第二十四條條文修正草案</w:t>
            </w:r>
          </w:p>
          <w:p w:rsidR="007E6E4E" w:rsidRPr="00920597" w:rsidRDefault="007E6E4E" w:rsidP="007E6E4E">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(委員魯明哲等19人)</w:t>
            </w:r>
          </w:p>
          <w:p w:rsidR="007E6E4E" w:rsidRPr="00920597" w:rsidRDefault="007E6E4E" w:rsidP="007E6E4E">
            <w:pPr>
              <w:spacing w:line="400" w:lineRule="exact"/>
              <w:jc w:val="both"/>
              <w:rPr>
                <w:rFonts w:ascii="標楷體" w:eastAsia="標楷體" w:hAnsi="標楷體"/>
                <w:color w:val="000000" w:themeColor="text1"/>
                <w:sz w:val="28"/>
                <w:szCs w:val="28"/>
              </w:rPr>
            </w:pPr>
          </w:p>
          <w:p w:rsidR="007E6E4E" w:rsidRPr="00920597" w:rsidRDefault="007E6E4E" w:rsidP="007E6E4E">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6.學校衛生法第二十四條條文修正草案</w:t>
            </w:r>
          </w:p>
          <w:p w:rsidR="007E6E4E" w:rsidRPr="00920597" w:rsidRDefault="007E6E4E" w:rsidP="007E6E4E">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(委員洪孟楷等17人)</w:t>
            </w:r>
          </w:p>
          <w:p w:rsidR="007E6E4E" w:rsidRPr="00920597" w:rsidRDefault="007E6E4E" w:rsidP="007E6E4E">
            <w:pPr>
              <w:spacing w:line="400" w:lineRule="exact"/>
              <w:jc w:val="both"/>
              <w:rPr>
                <w:rFonts w:ascii="標楷體" w:eastAsia="標楷體" w:hAnsi="標楷體"/>
                <w:color w:val="000000" w:themeColor="text1"/>
                <w:sz w:val="28"/>
                <w:szCs w:val="28"/>
              </w:rPr>
            </w:pPr>
          </w:p>
          <w:p w:rsidR="007E6E4E" w:rsidRPr="00920597" w:rsidRDefault="007E6E4E" w:rsidP="007E6E4E">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7.學校衛生法第二十四條條文修正草案</w:t>
            </w:r>
          </w:p>
          <w:p w:rsidR="007E6E4E" w:rsidRPr="00920597" w:rsidRDefault="007E6E4E" w:rsidP="00635BB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(委員萬美玲等18人)</w:t>
            </w:r>
          </w:p>
        </w:tc>
        <w:tc>
          <w:tcPr>
            <w:tcW w:w="1596" w:type="dxa"/>
          </w:tcPr>
          <w:p w:rsidR="00366215" w:rsidRPr="00920597" w:rsidRDefault="00366215" w:rsidP="00366215">
            <w:pPr>
              <w:spacing w:line="400" w:lineRule="exact"/>
              <w:jc w:val="both"/>
              <w:rPr>
                <w:rFonts w:ascii="標楷體" w:eastAsia="標楷體" w:hAnsi="標楷體"/>
                <w:color w:val="000000" w:themeColor="text1"/>
                <w:sz w:val="28"/>
                <w:szCs w:val="28"/>
              </w:rPr>
            </w:pPr>
          </w:p>
          <w:p w:rsidR="007E6E4E" w:rsidRPr="00920597" w:rsidRDefault="007E6E4E" w:rsidP="007E6E4E">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10-3-1</w:t>
            </w:r>
          </w:p>
          <w:p w:rsidR="007E6E4E" w:rsidRPr="00920597" w:rsidRDefault="007E6E4E" w:rsidP="007E6E4E">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(110.2.26)</w:t>
            </w:r>
          </w:p>
          <w:p w:rsidR="007E6E4E" w:rsidRPr="00920597" w:rsidRDefault="007E6E4E" w:rsidP="007E6E4E">
            <w:pPr>
              <w:spacing w:line="400" w:lineRule="exact"/>
              <w:jc w:val="both"/>
              <w:rPr>
                <w:rFonts w:ascii="標楷體" w:eastAsia="標楷體" w:hAnsi="標楷體"/>
                <w:color w:val="000000" w:themeColor="text1"/>
                <w:sz w:val="28"/>
                <w:szCs w:val="28"/>
              </w:rPr>
            </w:pPr>
          </w:p>
          <w:p w:rsidR="007E6E4E" w:rsidRPr="00920597" w:rsidRDefault="007E6E4E" w:rsidP="007E6E4E">
            <w:pPr>
              <w:spacing w:line="400" w:lineRule="exact"/>
              <w:jc w:val="both"/>
              <w:rPr>
                <w:rFonts w:ascii="標楷體" w:eastAsia="標楷體" w:hAnsi="標楷體"/>
                <w:color w:val="000000" w:themeColor="text1"/>
                <w:sz w:val="28"/>
                <w:szCs w:val="28"/>
              </w:rPr>
            </w:pPr>
          </w:p>
          <w:p w:rsidR="007E6E4E" w:rsidRPr="00920597" w:rsidRDefault="007E6E4E" w:rsidP="007E6E4E">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10-3-3</w:t>
            </w:r>
          </w:p>
          <w:p w:rsidR="007E6E4E" w:rsidRPr="00920597" w:rsidRDefault="007E6E4E" w:rsidP="007E6E4E">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(110.3.12)</w:t>
            </w:r>
          </w:p>
          <w:p w:rsidR="007E6E4E" w:rsidRPr="00920597" w:rsidRDefault="007E6E4E" w:rsidP="007E6E4E">
            <w:pPr>
              <w:spacing w:line="400" w:lineRule="exact"/>
              <w:jc w:val="both"/>
              <w:rPr>
                <w:rFonts w:ascii="標楷體" w:eastAsia="標楷體" w:hAnsi="標楷體"/>
                <w:color w:val="000000" w:themeColor="text1"/>
                <w:sz w:val="28"/>
                <w:szCs w:val="28"/>
              </w:rPr>
            </w:pPr>
          </w:p>
          <w:p w:rsidR="007E6E4E" w:rsidRPr="00920597" w:rsidRDefault="007E6E4E" w:rsidP="007E6E4E">
            <w:pPr>
              <w:spacing w:line="400" w:lineRule="exact"/>
              <w:jc w:val="both"/>
              <w:rPr>
                <w:rFonts w:ascii="標楷體" w:eastAsia="標楷體" w:hAnsi="標楷體"/>
                <w:color w:val="000000" w:themeColor="text1"/>
                <w:sz w:val="28"/>
                <w:szCs w:val="28"/>
              </w:rPr>
            </w:pPr>
          </w:p>
          <w:p w:rsidR="007E6E4E" w:rsidRPr="00920597" w:rsidRDefault="007E6E4E" w:rsidP="007E6E4E">
            <w:pPr>
              <w:spacing w:line="400" w:lineRule="exact"/>
              <w:jc w:val="both"/>
              <w:rPr>
                <w:rFonts w:ascii="標楷體" w:eastAsia="標楷體" w:hAnsi="標楷體"/>
                <w:color w:val="000000" w:themeColor="text1"/>
                <w:sz w:val="28"/>
                <w:szCs w:val="28"/>
              </w:rPr>
            </w:pPr>
          </w:p>
          <w:p w:rsidR="007E6E4E" w:rsidRPr="00920597" w:rsidRDefault="007E6E4E" w:rsidP="007E6E4E">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10-3-5</w:t>
            </w:r>
          </w:p>
          <w:p w:rsidR="007E6E4E" w:rsidRPr="00920597" w:rsidRDefault="007E6E4E" w:rsidP="007E6E4E">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(110.3.26)</w:t>
            </w:r>
          </w:p>
          <w:p w:rsidR="007E6E4E" w:rsidRPr="00920597" w:rsidRDefault="007E6E4E" w:rsidP="007E6E4E">
            <w:pPr>
              <w:spacing w:line="400" w:lineRule="exact"/>
              <w:jc w:val="both"/>
              <w:rPr>
                <w:rFonts w:ascii="標楷體" w:eastAsia="標楷體" w:hAnsi="標楷體"/>
                <w:color w:val="000000" w:themeColor="text1"/>
                <w:sz w:val="28"/>
                <w:szCs w:val="28"/>
              </w:rPr>
            </w:pPr>
          </w:p>
          <w:p w:rsidR="007E6E4E" w:rsidRPr="00920597" w:rsidRDefault="007E6E4E" w:rsidP="007E6E4E">
            <w:pPr>
              <w:spacing w:line="400" w:lineRule="exact"/>
              <w:jc w:val="both"/>
              <w:rPr>
                <w:rFonts w:ascii="標楷體" w:eastAsia="標楷體" w:hAnsi="標楷體"/>
                <w:color w:val="000000" w:themeColor="text1"/>
                <w:sz w:val="28"/>
                <w:szCs w:val="28"/>
              </w:rPr>
            </w:pPr>
          </w:p>
          <w:p w:rsidR="007E6E4E" w:rsidRPr="00920597" w:rsidRDefault="007E6E4E" w:rsidP="007E6E4E">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10-3-10</w:t>
            </w:r>
          </w:p>
          <w:p w:rsidR="007E6E4E" w:rsidRPr="00920597" w:rsidRDefault="007E6E4E" w:rsidP="007E6E4E">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(110.4.30)</w:t>
            </w:r>
          </w:p>
          <w:p w:rsidR="007E6E4E" w:rsidRPr="00920597" w:rsidRDefault="007E6E4E" w:rsidP="007E6E4E">
            <w:pPr>
              <w:spacing w:line="400" w:lineRule="exact"/>
              <w:jc w:val="both"/>
              <w:rPr>
                <w:rFonts w:ascii="標楷體" w:eastAsia="標楷體" w:hAnsi="標楷體"/>
                <w:color w:val="000000" w:themeColor="text1"/>
                <w:sz w:val="28"/>
                <w:szCs w:val="28"/>
              </w:rPr>
            </w:pPr>
          </w:p>
          <w:p w:rsidR="007E6E4E" w:rsidRPr="00920597" w:rsidRDefault="007E6E4E" w:rsidP="007E6E4E">
            <w:pPr>
              <w:spacing w:line="400" w:lineRule="exact"/>
              <w:jc w:val="both"/>
              <w:rPr>
                <w:rFonts w:ascii="標楷體" w:eastAsia="標楷體" w:hAnsi="標楷體"/>
                <w:color w:val="000000" w:themeColor="text1"/>
                <w:sz w:val="28"/>
                <w:szCs w:val="28"/>
              </w:rPr>
            </w:pPr>
          </w:p>
          <w:p w:rsidR="007E6E4E" w:rsidRPr="00920597" w:rsidRDefault="007E6E4E" w:rsidP="007E6E4E">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10-3-1</w:t>
            </w:r>
            <w:r w:rsidRPr="00920597">
              <w:rPr>
                <w:rFonts w:ascii="標楷體" w:eastAsia="標楷體" w:hAnsi="標楷體" w:hint="eastAsia"/>
                <w:color w:val="000000" w:themeColor="text1"/>
                <w:sz w:val="28"/>
                <w:szCs w:val="28"/>
              </w:rPr>
              <w:t>3</w:t>
            </w:r>
          </w:p>
          <w:p w:rsidR="007E6E4E" w:rsidRPr="00920597" w:rsidRDefault="007E6E4E" w:rsidP="007E6E4E">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(110.</w:t>
            </w:r>
            <w:r w:rsidRPr="00920597">
              <w:rPr>
                <w:rFonts w:ascii="標楷體" w:eastAsia="標楷體" w:hAnsi="標楷體" w:hint="eastAsia"/>
                <w:color w:val="000000" w:themeColor="text1"/>
                <w:sz w:val="28"/>
                <w:szCs w:val="28"/>
              </w:rPr>
              <w:t>5</w:t>
            </w:r>
            <w:r w:rsidRPr="00920597">
              <w:rPr>
                <w:rFonts w:ascii="標楷體" w:eastAsia="標楷體" w:hAnsi="標楷體"/>
                <w:color w:val="000000" w:themeColor="text1"/>
                <w:sz w:val="28"/>
                <w:szCs w:val="28"/>
              </w:rPr>
              <w:t>.</w:t>
            </w:r>
            <w:r w:rsidRPr="00920597">
              <w:rPr>
                <w:rFonts w:ascii="標楷體" w:eastAsia="標楷體" w:hAnsi="標楷體" w:hint="eastAsia"/>
                <w:color w:val="000000" w:themeColor="text1"/>
                <w:sz w:val="28"/>
                <w:szCs w:val="28"/>
              </w:rPr>
              <w:t>21</w:t>
            </w:r>
            <w:r w:rsidRPr="00920597">
              <w:rPr>
                <w:rFonts w:ascii="標楷體" w:eastAsia="標楷體" w:hAnsi="標楷體"/>
                <w:color w:val="000000" w:themeColor="text1"/>
                <w:sz w:val="28"/>
                <w:szCs w:val="28"/>
              </w:rPr>
              <w:t>)</w:t>
            </w:r>
          </w:p>
          <w:p w:rsidR="007E6E4E" w:rsidRPr="00920597" w:rsidRDefault="007E6E4E" w:rsidP="007E6E4E">
            <w:pPr>
              <w:spacing w:line="400" w:lineRule="exact"/>
              <w:jc w:val="both"/>
              <w:rPr>
                <w:rFonts w:ascii="標楷體" w:eastAsia="標楷體" w:hAnsi="標楷體"/>
                <w:color w:val="000000" w:themeColor="text1"/>
                <w:sz w:val="28"/>
                <w:szCs w:val="28"/>
              </w:rPr>
            </w:pPr>
          </w:p>
          <w:p w:rsidR="007E6E4E" w:rsidRPr="00920597" w:rsidRDefault="007E6E4E" w:rsidP="007E6E4E">
            <w:pPr>
              <w:spacing w:line="400" w:lineRule="exact"/>
              <w:jc w:val="both"/>
              <w:rPr>
                <w:rFonts w:ascii="標楷體" w:eastAsia="標楷體" w:hAnsi="標楷體"/>
                <w:color w:val="000000" w:themeColor="text1"/>
                <w:sz w:val="28"/>
                <w:szCs w:val="28"/>
              </w:rPr>
            </w:pPr>
          </w:p>
          <w:p w:rsidR="007E6E4E" w:rsidRPr="00920597" w:rsidRDefault="007E6E4E" w:rsidP="007E6E4E">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10-4-6</w:t>
            </w:r>
          </w:p>
          <w:p w:rsidR="007E6E4E" w:rsidRPr="00920597" w:rsidRDefault="007E6E4E" w:rsidP="007E6E4E">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(110.10.22)</w:t>
            </w:r>
          </w:p>
          <w:p w:rsidR="007E6E4E" w:rsidRPr="00920597" w:rsidRDefault="007E6E4E" w:rsidP="007E6E4E">
            <w:pPr>
              <w:spacing w:line="400" w:lineRule="exact"/>
              <w:jc w:val="both"/>
              <w:rPr>
                <w:rFonts w:ascii="標楷體" w:eastAsia="標楷體" w:hAnsi="標楷體"/>
                <w:color w:val="000000" w:themeColor="text1"/>
                <w:sz w:val="28"/>
                <w:szCs w:val="28"/>
              </w:rPr>
            </w:pPr>
          </w:p>
          <w:p w:rsidR="007E6E4E" w:rsidRPr="00920597" w:rsidRDefault="007E6E4E" w:rsidP="007E6E4E">
            <w:pPr>
              <w:spacing w:line="400" w:lineRule="exact"/>
              <w:jc w:val="both"/>
              <w:rPr>
                <w:rFonts w:ascii="標楷體" w:eastAsia="標楷體" w:hAnsi="標楷體"/>
                <w:color w:val="000000" w:themeColor="text1"/>
                <w:sz w:val="28"/>
                <w:szCs w:val="28"/>
              </w:rPr>
            </w:pPr>
          </w:p>
          <w:p w:rsidR="007E6E4E" w:rsidRPr="00920597" w:rsidRDefault="007E6E4E" w:rsidP="007E6E4E">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10-5-5</w:t>
            </w:r>
          </w:p>
          <w:p w:rsidR="00D0353B" w:rsidRPr="00920597" w:rsidRDefault="007E6E4E" w:rsidP="007E6E4E">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(111.3.25)</w:t>
            </w:r>
          </w:p>
        </w:tc>
        <w:tc>
          <w:tcPr>
            <w:tcW w:w="926" w:type="dxa"/>
          </w:tcPr>
          <w:p w:rsidR="00366215" w:rsidRPr="00920597" w:rsidRDefault="00366215" w:rsidP="00366215">
            <w:pPr>
              <w:spacing w:line="400" w:lineRule="exact"/>
              <w:ind w:leftChars="-12" w:left="-29" w:firstLine="2"/>
              <w:jc w:val="center"/>
              <w:rPr>
                <w:rFonts w:ascii="標楷體" w:eastAsia="標楷體" w:hAnsi="標楷體"/>
                <w:color w:val="000000" w:themeColor="text1"/>
                <w:sz w:val="28"/>
              </w:rPr>
            </w:pPr>
          </w:p>
        </w:tc>
        <w:tc>
          <w:tcPr>
            <w:tcW w:w="2952" w:type="dxa"/>
          </w:tcPr>
          <w:p w:rsidR="00366215" w:rsidRPr="00920597" w:rsidRDefault="00366215" w:rsidP="00366215">
            <w:pPr>
              <w:ind w:left="240" w:hangingChars="100" w:hanging="240"/>
              <w:jc w:val="both"/>
              <w:rPr>
                <w:rFonts w:ascii="標楷體" w:eastAsia="標楷體" w:hAnsi="標楷體"/>
                <w:color w:val="000000" w:themeColor="text1"/>
                <w:szCs w:val="24"/>
              </w:rPr>
            </w:pPr>
            <w:r w:rsidRPr="00920597">
              <w:rPr>
                <w:rFonts w:ascii="標楷體" w:eastAsia="標楷體" w:hAnsi="標楷體" w:hint="eastAsia"/>
                <w:color w:val="000000" w:themeColor="text1"/>
                <w:szCs w:val="24"/>
              </w:rPr>
              <w:t>1.第3會期第</w:t>
            </w:r>
            <w:r w:rsidRPr="00920597">
              <w:rPr>
                <w:rFonts w:ascii="標楷體" w:eastAsia="標楷體" w:hAnsi="標楷體"/>
                <w:color w:val="000000" w:themeColor="text1"/>
                <w:szCs w:val="24"/>
              </w:rPr>
              <w:t>19</w:t>
            </w:r>
            <w:r w:rsidRPr="00920597">
              <w:rPr>
                <w:rFonts w:ascii="標楷體" w:eastAsia="標楷體" w:hAnsi="標楷體" w:hint="eastAsia"/>
                <w:color w:val="000000" w:themeColor="text1"/>
                <w:szCs w:val="24"/>
              </w:rPr>
              <w:t>次全體委員會議(110.</w:t>
            </w:r>
            <w:r w:rsidRPr="00920597">
              <w:rPr>
                <w:rFonts w:ascii="標楷體" w:eastAsia="標楷體" w:hAnsi="標楷體"/>
                <w:color w:val="000000" w:themeColor="text1"/>
                <w:szCs w:val="24"/>
              </w:rPr>
              <w:t>5</w:t>
            </w:r>
            <w:r w:rsidRPr="00920597">
              <w:rPr>
                <w:rFonts w:ascii="標楷體" w:eastAsia="標楷體" w:hAnsi="標楷體" w:hint="eastAsia"/>
                <w:color w:val="000000" w:themeColor="text1"/>
                <w:szCs w:val="24"/>
              </w:rPr>
              <w:t>.</w:t>
            </w:r>
            <w:r w:rsidRPr="00920597">
              <w:rPr>
                <w:rFonts w:ascii="標楷體" w:eastAsia="標楷體" w:hAnsi="標楷體"/>
                <w:color w:val="000000" w:themeColor="text1"/>
                <w:szCs w:val="24"/>
              </w:rPr>
              <w:t>12</w:t>
            </w:r>
            <w:r w:rsidRPr="00920597">
              <w:rPr>
                <w:rFonts w:ascii="標楷體" w:eastAsia="標楷體" w:hAnsi="標楷體" w:hint="eastAsia"/>
                <w:color w:val="000000" w:themeColor="text1"/>
                <w:szCs w:val="24"/>
              </w:rPr>
              <w:t>)決議：審查完竣，須交由黨團協商，擬具審查報告，提</w:t>
            </w:r>
            <w:r w:rsidR="00D17E29" w:rsidRPr="00920597">
              <w:rPr>
                <w:rFonts w:ascii="標楷體" w:eastAsia="標楷體" w:hAnsi="標楷體" w:hint="eastAsia"/>
                <w:color w:val="000000" w:themeColor="text1"/>
                <w:szCs w:val="24"/>
              </w:rPr>
              <w:t>請</w:t>
            </w:r>
            <w:r w:rsidRPr="00920597">
              <w:rPr>
                <w:rFonts w:ascii="標楷體" w:eastAsia="標楷體" w:hAnsi="標楷體" w:hint="eastAsia"/>
                <w:color w:val="000000" w:themeColor="text1"/>
                <w:szCs w:val="24"/>
              </w:rPr>
              <w:t>院會討論。</w:t>
            </w:r>
            <w:r w:rsidR="007E6E4E" w:rsidRPr="00920597">
              <w:rPr>
                <w:rFonts w:ascii="標楷體" w:eastAsia="標楷體" w:hAnsi="標楷體" w:hint="eastAsia"/>
                <w:color w:val="000000" w:themeColor="text1"/>
                <w:szCs w:val="24"/>
              </w:rPr>
              <w:t>(第1至4案)</w:t>
            </w:r>
          </w:p>
          <w:p w:rsidR="00366215" w:rsidRPr="00920597" w:rsidRDefault="00366215" w:rsidP="00041497">
            <w:pPr>
              <w:kinsoku w:val="0"/>
              <w:overflowPunct w:val="0"/>
              <w:autoSpaceDE w:val="0"/>
              <w:autoSpaceDN w:val="0"/>
              <w:ind w:left="240" w:hangingChars="100" w:hanging="240"/>
              <w:jc w:val="both"/>
              <w:rPr>
                <w:rFonts w:ascii="標楷體" w:eastAsia="標楷體" w:hAnsi="標楷體"/>
                <w:color w:val="000000" w:themeColor="text1"/>
                <w:szCs w:val="24"/>
              </w:rPr>
            </w:pPr>
            <w:r w:rsidRPr="00920597">
              <w:rPr>
                <w:rFonts w:ascii="標楷體" w:eastAsia="標楷體" w:hAnsi="標楷體" w:hint="eastAsia"/>
                <w:color w:val="000000" w:themeColor="text1"/>
                <w:szCs w:val="24"/>
              </w:rPr>
              <w:t>2.院會10-3-13(110.5.21)：第5案逕付二讀，</w:t>
            </w:r>
            <w:r w:rsidR="007E6E4E" w:rsidRPr="00920597">
              <w:rPr>
                <w:rFonts w:ascii="標楷體" w:eastAsia="標楷體" w:hAnsi="標楷體" w:hint="eastAsia"/>
                <w:color w:val="000000" w:themeColor="text1"/>
                <w:szCs w:val="24"/>
              </w:rPr>
              <w:t>與相關提案併案協商</w:t>
            </w:r>
            <w:r w:rsidRPr="00920597">
              <w:rPr>
                <w:rFonts w:ascii="標楷體" w:eastAsia="標楷體" w:hAnsi="標楷體" w:hint="eastAsia"/>
                <w:color w:val="000000" w:themeColor="text1"/>
                <w:szCs w:val="24"/>
              </w:rPr>
              <w:t>。</w:t>
            </w:r>
          </w:p>
          <w:p w:rsidR="00D0353B" w:rsidRPr="00920597" w:rsidRDefault="00D0353B" w:rsidP="00C024D0">
            <w:pPr>
              <w:ind w:left="240" w:hangingChars="100" w:hanging="240"/>
              <w:jc w:val="both"/>
              <w:rPr>
                <w:rFonts w:ascii="標楷體" w:eastAsia="標楷體" w:hAnsi="標楷體"/>
                <w:color w:val="000000" w:themeColor="text1"/>
                <w:szCs w:val="24"/>
              </w:rPr>
            </w:pPr>
            <w:r w:rsidRPr="00920597">
              <w:rPr>
                <w:rFonts w:ascii="標楷體" w:eastAsia="標楷體" w:hAnsi="標楷體" w:hint="eastAsia"/>
                <w:color w:val="000000" w:themeColor="text1"/>
                <w:szCs w:val="24"/>
              </w:rPr>
              <w:t>3.院會</w:t>
            </w:r>
            <w:r w:rsidRPr="000E7F24">
              <w:rPr>
                <w:rFonts w:ascii="標楷體" w:eastAsia="標楷體" w:hAnsi="標楷體" w:hint="eastAsia"/>
                <w:color w:val="000000" w:themeColor="text1"/>
                <w:spacing w:val="-20"/>
                <w:szCs w:val="24"/>
              </w:rPr>
              <w:t>10-4-</w:t>
            </w:r>
            <w:r w:rsidR="000E7F24">
              <w:rPr>
                <w:rFonts w:ascii="標楷體" w:eastAsia="標楷體" w:hAnsi="標楷體" w:hint="eastAsia"/>
                <w:color w:val="000000" w:themeColor="text1"/>
                <w:spacing w:val="-20"/>
                <w:szCs w:val="24"/>
              </w:rPr>
              <w:t>6</w:t>
            </w:r>
            <w:r w:rsidRPr="000E7F24">
              <w:rPr>
                <w:rFonts w:ascii="標楷體" w:eastAsia="標楷體" w:hAnsi="標楷體" w:hint="eastAsia"/>
                <w:color w:val="000000" w:themeColor="text1"/>
                <w:spacing w:val="-20"/>
                <w:szCs w:val="24"/>
              </w:rPr>
              <w:t>(110.</w:t>
            </w:r>
            <w:r w:rsidRPr="000E7F24">
              <w:rPr>
                <w:rFonts w:ascii="標楷體" w:eastAsia="標楷體" w:hAnsi="標楷體"/>
                <w:color w:val="000000" w:themeColor="text1"/>
                <w:spacing w:val="-20"/>
                <w:szCs w:val="24"/>
              </w:rPr>
              <w:t>10</w:t>
            </w:r>
            <w:r w:rsidRPr="000E7F24">
              <w:rPr>
                <w:rFonts w:ascii="標楷體" w:eastAsia="標楷體" w:hAnsi="標楷體" w:hint="eastAsia"/>
                <w:color w:val="000000" w:themeColor="text1"/>
                <w:spacing w:val="-20"/>
                <w:szCs w:val="24"/>
              </w:rPr>
              <w:t>.2</w:t>
            </w:r>
            <w:r w:rsidRPr="000E7F24">
              <w:rPr>
                <w:rFonts w:ascii="標楷體" w:eastAsia="標楷體" w:hAnsi="標楷體"/>
                <w:color w:val="000000" w:themeColor="text1"/>
                <w:spacing w:val="-20"/>
                <w:szCs w:val="24"/>
              </w:rPr>
              <w:t>2</w:t>
            </w:r>
            <w:r w:rsidRPr="000E7F24">
              <w:rPr>
                <w:rFonts w:ascii="標楷體" w:eastAsia="標楷體" w:hAnsi="標楷體" w:hint="eastAsia"/>
                <w:color w:val="000000" w:themeColor="text1"/>
                <w:spacing w:val="-20"/>
                <w:szCs w:val="24"/>
              </w:rPr>
              <w:t>)：</w:t>
            </w:r>
            <w:r w:rsidRPr="00920597">
              <w:rPr>
                <w:rFonts w:ascii="標楷體" w:eastAsia="標楷體" w:hAnsi="標楷體" w:hint="eastAsia"/>
                <w:color w:val="000000" w:themeColor="text1"/>
                <w:szCs w:val="24"/>
              </w:rPr>
              <w:t>第6案逕付二讀，</w:t>
            </w:r>
            <w:r w:rsidR="007E6E4E" w:rsidRPr="00920597">
              <w:rPr>
                <w:rFonts w:ascii="標楷體" w:eastAsia="標楷體" w:hAnsi="標楷體" w:hint="eastAsia"/>
                <w:color w:val="000000" w:themeColor="text1"/>
                <w:szCs w:val="24"/>
              </w:rPr>
              <w:t>與相關提案併案協商</w:t>
            </w:r>
            <w:r w:rsidRPr="00920597">
              <w:rPr>
                <w:rFonts w:ascii="標楷體" w:eastAsia="標楷體" w:hAnsi="標楷體" w:hint="eastAsia"/>
                <w:color w:val="000000" w:themeColor="text1"/>
                <w:szCs w:val="24"/>
              </w:rPr>
              <w:t>。</w:t>
            </w:r>
          </w:p>
          <w:p w:rsidR="007E6E4E" w:rsidRPr="00920597" w:rsidRDefault="007E6E4E" w:rsidP="00C024D0">
            <w:pPr>
              <w:ind w:left="240" w:hangingChars="100" w:hanging="240"/>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Cs w:val="24"/>
              </w:rPr>
              <w:t>4</w:t>
            </w:r>
            <w:r w:rsidRPr="00920597">
              <w:rPr>
                <w:rFonts w:ascii="標楷體" w:eastAsia="標楷體" w:hAnsi="標楷體"/>
                <w:color w:val="000000" w:themeColor="text1"/>
                <w:szCs w:val="24"/>
              </w:rPr>
              <w:t>.</w:t>
            </w:r>
            <w:r w:rsidRPr="00920597">
              <w:rPr>
                <w:rFonts w:ascii="標楷體" w:eastAsia="標楷體" w:hAnsi="標楷體" w:hint="eastAsia"/>
                <w:color w:val="000000" w:themeColor="text1"/>
                <w:spacing w:val="-6"/>
                <w:szCs w:val="24"/>
              </w:rPr>
              <w:t>院會10-</w:t>
            </w:r>
            <w:r w:rsidRPr="00920597">
              <w:rPr>
                <w:rFonts w:ascii="標楷體" w:eastAsia="標楷體" w:hAnsi="標楷體"/>
                <w:color w:val="000000" w:themeColor="text1"/>
                <w:spacing w:val="-6"/>
                <w:szCs w:val="24"/>
              </w:rPr>
              <w:t>5</w:t>
            </w:r>
            <w:r w:rsidRPr="00920597">
              <w:rPr>
                <w:rFonts w:ascii="標楷體" w:eastAsia="標楷體" w:hAnsi="標楷體" w:hint="eastAsia"/>
                <w:color w:val="000000" w:themeColor="text1"/>
                <w:spacing w:val="-6"/>
                <w:szCs w:val="24"/>
              </w:rPr>
              <w:t>-</w:t>
            </w:r>
            <w:r w:rsidRPr="00920597">
              <w:rPr>
                <w:rFonts w:ascii="標楷體" w:eastAsia="標楷體" w:hAnsi="標楷體"/>
                <w:color w:val="000000" w:themeColor="text1"/>
                <w:spacing w:val="-6"/>
                <w:szCs w:val="24"/>
              </w:rPr>
              <w:t>5</w:t>
            </w:r>
            <w:r w:rsidRPr="00920597">
              <w:rPr>
                <w:rFonts w:ascii="標楷體" w:eastAsia="標楷體" w:hAnsi="標楷體" w:hint="eastAsia"/>
                <w:color w:val="000000" w:themeColor="text1"/>
                <w:spacing w:val="-6"/>
                <w:szCs w:val="24"/>
              </w:rPr>
              <w:t>(11</w:t>
            </w:r>
            <w:r w:rsidRPr="00920597">
              <w:rPr>
                <w:rFonts w:ascii="標楷體" w:eastAsia="標楷體" w:hAnsi="標楷體"/>
                <w:color w:val="000000" w:themeColor="text1"/>
                <w:spacing w:val="-6"/>
                <w:szCs w:val="24"/>
              </w:rPr>
              <w:t>1</w:t>
            </w:r>
            <w:r w:rsidRPr="00920597">
              <w:rPr>
                <w:rFonts w:ascii="標楷體" w:eastAsia="標楷體" w:hAnsi="標楷體" w:hint="eastAsia"/>
                <w:color w:val="000000" w:themeColor="text1"/>
                <w:spacing w:val="-6"/>
                <w:szCs w:val="24"/>
              </w:rPr>
              <w:t>.</w:t>
            </w:r>
            <w:r w:rsidRPr="00920597">
              <w:rPr>
                <w:rFonts w:ascii="標楷體" w:eastAsia="標楷體" w:hAnsi="標楷體"/>
                <w:color w:val="000000" w:themeColor="text1"/>
                <w:spacing w:val="-6"/>
                <w:szCs w:val="24"/>
              </w:rPr>
              <w:t>3</w:t>
            </w:r>
            <w:r w:rsidRPr="00920597">
              <w:rPr>
                <w:rFonts w:ascii="標楷體" w:eastAsia="標楷體" w:hAnsi="標楷體" w:hint="eastAsia"/>
                <w:color w:val="000000" w:themeColor="text1"/>
                <w:spacing w:val="-6"/>
                <w:szCs w:val="24"/>
              </w:rPr>
              <w:t>.2</w:t>
            </w:r>
            <w:r w:rsidRPr="00920597">
              <w:rPr>
                <w:rFonts w:ascii="標楷體" w:eastAsia="標楷體" w:hAnsi="標楷體"/>
                <w:color w:val="000000" w:themeColor="text1"/>
                <w:spacing w:val="-6"/>
                <w:szCs w:val="24"/>
              </w:rPr>
              <w:t>5</w:t>
            </w:r>
            <w:r w:rsidRPr="00920597">
              <w:rPr>
                <w:rFonts w:ascii="標楷體" w:eastAsia="標楷體" w:hAnsi="標楷體" w:hint="eastAsia"/>
                <w:color w:val="000000" w:themeColor="text1"/>
                <w:spacing w:val="-6"/>
                <w:szCs w:val="24"/>
              </w:rPr>
              <w:t>)</w:t>
            </w:r>
            <w:r w:rsidRPr="00920597">
              <w:rPr>
                <w:rFonts w:ascii="標楷體" w:eastAsia="標楷體" w:hAnsi="標楷體" w:hint="eastAsia"/>
                <w:color w:val="000000" w:themeColor="text1"/>
                <w:szCs w:val="24"/>
              </w:rPr>
              <w:t>：第</w:t>
            </w:r>
            <w:r w:rsidRPr="00920597">
              <w:rPr>
                <w:rFonts w:ascii="標楷體" w:eastAsia="標楷體" w:hAnsi="標楷體"/>
                <w:color w:val="000000" w:themeColor="text1"/>
                <w:szCs w:val="24"/>
              </w:rPr>
              <w:t>7</w:t>
            </w:r>
            <w:r w:rsidRPr="00920597">
              <w:rPr>
                <w:rFonts w:ascii="標楷體" w:eastAsia="標楷體" w:hAnsi="標楷體" w:hint="eastAsia"/>
                <w:color w:val="000000" w:themeColor="text1"/>
                <w:szCs w:val="24"/>
              </w:rPr>
              <w:t>案逕付二讀，與相關提案併案協商。</w:t>
            </w:r>
          </w:p>
        </w:tc>
        <w:tc>
          <w:tcPr>
            <w:tcW w:w="1253" w:type="dxa"/>
          </w:tcPr>
          <w:p w:rsidR="00366215" w:rsidRPr="00920597" w:rsidRDefault="00366215" w:rsidP="00366215">
            <w:pPr>
              <w:spacing w:line="400" w:lineRule="exact"/>
              <w:jc w:val="center"/>
              <w:rPr>
                <w:rFonts w:ascii="標楷體" w:eastAsia="標楷體" w:hAnsi="標楷體"/>
                <w:color w:val="000000" w:themeColor="text1"/>
                <w:sz w:val="28"/>
              </w:rPr>
            </w:pPr>
            <w:r w:rsidRPr="00920597">
              <w:rPr>
                <w:rFonts w:ascii="標楷體" w:eastAsia="標楷體" w:hAnsi="標楷體" w:hint="eastAsia"/>
                <w:color w:val="000000" w:themeColor="text1"/>
                <w:sz w:val="28"/>
              </w:rPr>
              <w:t>林奕華</w:t>
            </w:r>
          </w:p>
        </w:tc>
      </w:tr>
      <w:tr w:rsidR="003E4ADD" w:rsidRPr="00920597" w:rsidTr="00A56439">
        <w:trPr>
          <w:trHeight w:val="572"/>
        </w:trPr>
        <w:tc>
          <w:tcPr>
            <w:tcW w:w="561" w:type="dxa"/>
            <w:vAlign w:val="center"/>
          </w:tcPr>
          <w:p w:rsidR="003E4ADD" w:rsidRPr="00920597" w:rsidRDefault="003E4ADD" w:rsidP="006934DD">
            <w:pPr>
              <w:numPr>
                <w:ilvl w:val="0"/>
                <w:numId w:val="10"/>
              </w:numPr>
              <w:spacing w:line="400" w:lineRule="exact"/>
              <w:jc w:val="both"/>
              <w:rPr>
                <w:rFonts w:ascii="標楷體" w:eastAsia="標楷體" w:hAnsi="標楷體"/>
                <w:color w:val="000000" w:themeColor="text1"/>
                <w:sz w:val="28"/>
              </w:rPr>
            </w:pPr>
          </w:p>
        </w:tc>
        <w:tc>
          <w:tcPr>
            <w:tcW w:w="2776" w:type="dxa"/>
          </w:tcPr>
          <w:p w:rsidR="003E4ADD" w:rsidRPr="00920597" w:rsidRDefault="003E4ADD" w:rsidP="00A56439">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偏遠地區學校教育發展條例第十二條條文修正草案</w:t>
            </w:r>
          </w:p>
          <w:p w:rsidR="003E4ADD" w:rsidRPr="00920597" w:rsidRDefault="003E4ADD" w:rsidP="00A56439">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(委員伍麗華Saidhai Tahovecahe等21人)</w:t>
            </w:r>
          </w:p>
        </w:tc>
        <w:tc>
          <w:tcPr>
            <w:tcW w:w="1596" w:type="dxa"/>
            <w:tcBorders>
              <w:top w:val="single" w:sz="4" w:space="0" w:color="auto"/>
              <w:left w:val="single" w:sz="4" w:space="0" w:color="auto"/>
              <w:bottom w:val="single" w:sz="4" w:space="0" w:color="auto"/>
              <w:right w:val="single" w:sz="4" w:space="0" w:color="auto"/>
            </w:tcBorders>
          </w:tcPr>
          <w:p w:rsidR="003E4ADD" w:rsidRPr="00920597" w:rsidRDefault="003E4ADD" w:rsidP="00A56439">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10-3-12</w:t>
            </w:r>
          </w:p>
          <w:p w:rsidR="003E4ADD" w:rsidRPr="00920597" w:rsidRDefault="003E4ADD" w:rsidP="00A56439">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(110.5.14)</w:t>
            </w:r>
          </w:p>
        </w:tc>
        <w:tc>
          <w:tcPr>
            <w:tcW w:w="926" w:type="dxa"/>
          </w:tcPr>
          <w:p w:rsidR="003E4ADD" w:rsidRPr="00920597" w:rsidRDefault="003E4ADD" w:rsidP="00A56439">
            <w:pPr>
              <w:spacing w:line="400" w:lineRule="exact"/>
              <w:ind w:leftChars="-12" w:left="-29" w:firstLine="2"/>
              <w:jc w:val="center"/>
              <w:rPr>
                <w:rFonts w:ascii="標楷體" w:eastAsia="標楷體" w:hAnsi="標楷體"/>
                <w:color w:val="000000" w:themeColor="text1"/>
                <w:sz w:val="28"/>
              </w:rPr>
            </w:pPr>
          </w:p>
        </w:tc>
        <w:tc>
          <w:tcPr>
            <w:tcW w:w="2952" w:type="dxa"/>
          </w:tcPr>
          <w:p w:rsidR="003E4ADD" w:rsidRPr="00920597" w:rsidRDefault="003E4ADD" w:rsidP="00A56439">
            <w:pPr>
              <w:ind w:left="212" w:hangingChars="90" w:hanging="212"/>
              <w:jc w:val="both"/>
              <w:rPr>
                <w:rFonts w:ascii="標楷體" w:eastAsia="標楷體" w:hAnsi="標楷體"/>
                <w:color w:val="000000" w:themeColor="text1"/>
                <w:spacing w:val="-2"/>
                <w:szCs w:val="24"/>
              </w:rPr>
            </w:pPr>
            <w:r w:rsidRPr="00920597">
              <w:rPr>
                <w:rFonts w:ascii="標楷體" w:eastAsia="標楷體" w:hAnsi="標楷體" w:hint="eastAsia"/>
                <w:color w:val="000000" w:themeColor="text1"/>
                <w:spacing w:val="-2"/>
                <w:szCs w:val="24"/>
              </w:rPr>
              <w:t>1</w:t>
            </w:r>
            <w:r w:rsidRPr="00920597">
              <w:rPr>
                <w:rFonts w:ascii="標楷體" w:eastAsia="標楷體" w:hAnsi="標楷體"/>
                <w:color w:val="000000" w:themeColor="text1"/>
                <w:spacing w:val="-2"/>
                <w:szCs w:val="24"/>
              </w:rPr>
              <w:t>.</w:t>
            </w:r>
            <w:r w:rsidRPr="00920597">
              <w:rPr>
                <w:rFonts w:ascii="標楷體" w:eastAsia="標楷體" w:hAnsi="標楷體" w:hint="eastAsia"/>
                <w:color w:val="000000" w:themeColor="text1"/>
                <w:spacing w:val="-2"/>
                <w:szCs w:val="24"/>
              </w:rPr>
              <w:t>第4會期第10次全體委員會議(110.11.22)決議：審查完竣，須交由黨團協商，擬具審查報告，提請院會討論。</w:t>
            </w:r>
          </w:p>
        </w:tc>
        <w:tc>
          <w:tcPr>
            <w:tcW w:w="1253" w:type="dxa"/>
          </w:tcPr>
          <w:p w:rsidR="003E4ADD" w:rsidRPr="00920597" w:rsidRDefault="003E4ADD" w:rsidP="00A56439">
            <w:pPr>
              <w:spacing w:line="400" w:lineRule="exact"/>
              <w:jc w:val="center"/>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林宜瑾</w:t>
            </w:r>
          </w:p>
        </w:tc>
      </w:tr>
      <w:tr w:rsidR="003E4ADD" w:rsidRPr="00920597" w:rsidTr="00D0353B">
        <w:trPr>
          <w:trHeight w:val="572"/>
        </w:trPr>
        <w:tc>
          <w:tcPr>
            <w:tcW w:w="561" w:type="dxa"/>
            <w:vAlign w:val="center"/>
          </w:tcPr>
          <w:p w:rsidR="00D0353B" w:rsidRPr="00920597" w:rsidRDefault="00D0353B" w:rsidP="006934DD">
            <w:pPr>
              <w:numPr>
                <w:ilvl w:val="0"/>
                <w:numId w:val="10"/>
              </w:numPr>
              <w:spacing w:line="400" w:lineRule="exact"/>
              <w:jc w:val="both"/>
              <w:rPr>
                <w:rFonts w:ascii="標楷體" w:eastAsia="標楷體" w:hAnsi="標楷體"/>
                <w:color w:val="000000" w:themeColor="text1"/>
                <w:sz w:val="28"/>
              </w:rPr>
            </w:pPr>
          </w:p>
        </w:tc>
        <w:tc>
          <w:tcPr>
            <w:tcW w:w="2776" w:type="dxa"/>
          </w:tcPr>
          <w:p w:rsidR="00D0353B" w:rsidRPr="00920597" w:rsidRDefault="00D0353B" w:rsidP="00D0353B">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私立學校法第三十九條及第五十七條條文修正草案</w:t>
            </w:r>
          </w:p>
          <w:p w:rsidR="00D0353B" w:rsidRPr="00920597" w:rsidRDefault="00D0353B" w:rsidP="00D0353B">
            <w:pPr>
              <w:spacing w:line="400" w:lineRule="exact"/>
              <w:ind w:leftChars="-12" w:left="-29"/>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(委員林宜瑾等23人)</w:t>
            </w:r>
          </w:p>
        </w:tc>
        <w:tc>
          <w:tcPr>
            <w:tcW w:w="1596" w:type="dxa"/>
          </w:tcPr>
          <w:p w:rsidR="00D0353B" w:rsidRPr="00920597" w:rsidRDefault="00D0353B" w:rsidP="00D0353B">
            <w:pPr>
              <w:spacing w:line="400" w:lineRule="exact"/>
              <w:ind w:leftChars="-12" w:left="-29"/>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10-</w:t>
            </w:r>
            <w:r w:rsidRPr="00920597">
              <w:rPr>
                <w:rFonts w:ascii="標楷體" w:eastAsia="標楷體" w:hAnsi="標楷體" w:hint="eastAsia"/>
                <w:color w:val="000000" w:themeColor="text1"/>
                <w:sz w:val="28"/>
                <w:szCs w:val="28"/>
              </w:rPr>
              <w:t>2</w:t>
            </w:r>
            <w:r w:rsidRPr="00920597">
              <w:rPr>
                <w:rFonts w:ascii="標楷體" w:eastAsia="標楷體" w:hAnsi="標楷體"/>
                <w:color w:val="000000" w:themeColor="text1"/>
                <w:sz w:val="28"/>
                <w:szCs w:val="28"/>
              </w:rPr>
              <w:t>-</w:t>
            </w:r>
            <w:r w:rsidRPr="00920597">
              <w:rPr>
                <w:rFonts w:ascii="標楷體" w:eastAsia="標楷體" w:hAnsi="標楷體" w:hint="eastAsia"/>
                <w:color w:val="000000" w:themeColor="text1"/>
                <w:sz w:val="28"/>
                <w:szCs w:val="28"/>
              </w:rPr>
              <w:t>8</w:t>
            </w:r>
          </w:p>
          <w:p w:rsidR="00D0353B" w:rsidRPr="00920597" w:rsidRDefault="00D0353B" w:rsidP="00D0353B">
            <w:pPr>
              <w:spacing w:line="400" w:lineRule="exact"/>
              <w:ind w:leftChars="-12" w:left="-29"/>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(109</w:t>
            </w:r>
            <w:r w:rsidRPr="00920597">
              <w:rPr>
                <w:rFonts w:ascii="標楷體" w:eastAsia="標楷體" w:hAnsi="標楷體" w:hint="eastAsia"/>
                <w:color w:val="000000" w:themeColor="text1"/>
                <w:sz w:val="28"/>
                <w:szCs w:val="28"/>
              </w:rPr>
              <w:t>.12.18</w:t>
            </w:r>
            <w:r w:rsidRPr="00920597">
              <w:rPr>
                <w:rFonts w:ascii="標楷體" w:eastAsia="標楷體" w:hAnsi="標楷體"/>
                <w:color w:val="000000" w:themeColor="text1"/>
                <w:sz w:val="28"/>
                <w:szCs w:val="28"/>
              </w:rPr>
              <w:t>)</w:t>
            </w:r>
          </w:p>
          <w:p w:rsidR="00D0353B" w:rsidRPr="00920597" w:rsidRDefault="00D0353B" w:rsidP="00D0353B">
            <w:pPr>
              <w:spacing w:line="400" w:lineRule="exact"/>
              <w:jc w:val="both"/>
              <w:rPr>
                <w:rFonts w:ascii="標楷體" w:eastAsia="標楷體" w:hAnsi="標楷體"/>
                <w:color w:val="000000" w:themeColor="text1"/>
                <w:sz w:val="28"/>
                <w:szCs w:val="28"/>
              </w:rPr>
            </w:pPr>
          </w:p>
        </w:tc>
        <w:tc>
          <w:tcPr>
            <w:tcW w:w="926" w:type="dxa"/>
          </w:tcPr>
          <w:p w:rsidR="00D0353B" w:rsidRPr="00920597" w:rsidRDefault="00D0353B" w:rsidP="00D0353B">
            <w:pPr>
              <w:spacing w:line="400" w:lineRule="exact"/>
              <w:ind w:leftChars="-12" w:left="-29" w:firstLine="2"/>
              <w:jc w:val="center"/>
              <w:rPr>
                <w:rFonts w:ascii="標楷體" w:eastAsia="標楷體" w:hAnsi="標楷體"/>
                <w:color w:val="000000" w:themeColor="text1"/>
                <w:sz w:val="28"/>
              </w:rPr>
            </w:pPr>
          </w:p>
        </w:tc>
        <w:tc>
          <w:tcPr>
            <w:tcW w:w="2952" w:type="dxa"/>
          </w:tcPr>
          <w:p w:rsidR="00D0353B" w:rsidRPr="00920597" w:rsidRDefault="00D0353B" w:rsidP="00D0353B">
            <w:pPr>
              <w:ind w:left="240" w:hangingChars="100" w:hanging="240"/>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Cs w:val="24"/>
              </w:rPr>
              <w:t>1.</w:t>
            </w:r>
            <w:r w:rsidRPr="00920597">
              <w:rPr>
                <w:rFonts w:ascii="標楷體" w:eastAsia="標楷體" w:hAnsi="標楷體" w:hint="eastAsia"/>
                <w:color w:val="000000" w:themeColor="text1"/>
                <w:spacing w:val="-2"/>
                <w:szCs w:val="24"/>
              </w:rPr>
              <w:t>第4會期第10次全體委員會議(110.11.22)決議</w:t>
            </w:r>
            <w:r w:rsidR="007019E2" w:rsidRPr="00920597">
              <w:rPr>
                <w:rFonts w:ascii="標楷體" w:eastAsia="標楷體" w:hAnsi="標楷體" w:hint="eastAsia"/>
                <w:color w:val="000000" w:themeColor="text1"/>
                <w:spacing w:val="-2"/>
                <w:szCs w:val="24"/>
              </w:rPr>
              <w:t>：</w:t>
            </w:r>
            <w:r w:rsidRPr="00920597">
              <w:rPr>
                <w:rFonts w:ascii="標楷體" w:eastAsia="標楷體" w:hAnsi="標楷體" w:hint="eastAsia"/>
                <w:color w:val="000000" w:themeColor="text1"/>
                <w:spacing w:val="-2"/>
                <w:szCs w:val="24"/>
              </w:rPr>
              <w:t>審查完竣，須交由黨團協商，擬具審查報告，提請院會討論。</w:t>
            </w:r>
          </w:p>
        </w:tc>
        <w:tc>
          <w:tcPr>
            <w:tcW w:w="1253" w:type="dxa"/>
          </w:tcPr>
          <w:p w:rsidR="00D0353B" w:rsidRPr="00920597" w:rsidRDefault="00D0353B" w:rsidP="00D0353B">
            <w:pPr>
              <w:spacing w:line="400" w:lineRule="exact"/>
              <w:jc w:val="center"/>
              <w:rPr>
                <w:rFonts w:ascii="標楷體" w:eastAsia="標楷體" w:hAnsi="標楷體"/>
                <w:color w:val="000000" w:themeColor="text1"/>
                <w:sz w:val="28"/>
              </w:rPr>
            </w:pPr>
            <w:r w:rsidRPr="00920597">
              <w:rPr>
                <w:rFonts w:ascii="標楷體" w:eastAsia="標楷體" w:hAnsi="標楷體"/>
                <w:color w:val="000000" w:themeColor="text1"/>
                <w:sz w:val="28"/>
              </w:rPr>
              <w:t>林宜瑾</w:t>
            </w:r>
          </w:p>
        </w:tc>
      </w:tr>
      <w:tr w:rsidR="003E4ADD" w:rsidRPr="00920597" w:rsidTr="00A56439">
        <w:trPr>
          <w:trHeight w:val="572"/>
        </w:trPr>
        <w:tc>
          <w:tcPr>
            <w:tcW w:w="561" w:type="dxa"/>
            <w:vAlign w:val="center"/>
          </w:tcPr>
          <w:p w:rsidR="003E4ADD" w:rsidRPr="00920597" w:rsidRDefault="003E4ADD" w:rsidP="006934DD">
            <w:pPr>
              <w:numPr>
                <w:ilvl w:val="0"/>
                <w:numId w:val="10"/>
              </w:numPr>
              <w:spacing w:line="400" w:lineRule="exact"/>
              <w:jc w:val="both"/>
              <w:rPr>
                <w:rFonts w:ascii="標楷體" w:eastAsia="標楷體" w:hAnsi="標楷體"/>
                <w:color w:val="000000" w:themeColor="text1"/>
                <w:sz w:val="28"/>
              </w:rPr>
            </w:pPr>
          </w:p>
        </w:tc>
        <w:tc>
          <w:tcPr>
            <w:tcW w:w="2776" w:type="dxa"/>
            <w:tcBorders>
              <w:top w:val="single" w:sz="4" w:space="0" w:color="auto"/>
              <w:left w:val="single" w:sz="4" w:space="0" w:color="auto"/>
              <w:bottom w:val="single" w:sz="4" w:space="0" w:color="auto"/>
              <w:right w:val="single" w:sz="4" w:space="0" w:color="auto"/>
            </w:tcBorders>
          </w:tcPr>
          <w:p w:rsidR="003E4ADD" w:rsidRPr="00920597" w:rsidRDefault="003E4ADD" w:rsidP="00A56439">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併案審查</w:t>
            </w:r>
          </w:p>
          <w:p w:rsidR="003E4ADD" w:rsidRPr="00920597" w:rsidRDefault="003E4ADD" w:rsidP="00A56439">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1.私立學校法第六十二條條文修正草案</w:t>
            </w:r>
          </w:p>
          <w:p w:rsidR="003E4ADD" w:rsidRPr="00920597" w:rsidRDefault="003E4ADD" w:rsidP="00A56439">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(委員李德維等17人)</w:t>
            </w:r>
          </w:p>
          <w:p w:rsidR="003E4ADD" w:rsidRPr="00920597" w:rsidRDefault="003E4ADD" w:rsidP="00A56439">
            <w:pPr>
              <w:spacing w:line="400" w:lineRule="exact"/>
              <w:jc w:val="both"/>
              <w:rPr>
                <w:rFonts w:ascii="標楷體" w:eastAsia="標楷體" w:hAnsi="標楷體"/>
                <w:color w:val="000000" w:themeColor="text1"/>
                <w:sz w:val="28"/>
                <w:szCs w:val="28"/>
              </w:rPr>
            </w:pPr>
          </w:p>
          <w:p w:rsidR="003E4ADD" w:rsidRPr="00920597" w:rsidRDefault="003E4ADD" w:rsidP="00A56439">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2.私立學校法第六十二條條文修正草案</w:t>
            </w:r>
          </w:p>
          <w:p w:rsidR="003E4ADD" w:rsidRPr="00920597" w:rsidRDefault="003E4ADD" w:rsidP="00A56439">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(委員林奕華等18人)</w:t>
            </w:r>
          </w:p>
        </w:tc>
        <w:tc>
          <w:tcPr>
            <w:tcW w:w="1596" w:type="dxa"/>
            <w:tcBorders>
              <w:top w:val="single" w:sz="4" w:space="0" w:color="auto"/>
              <w:left w:val="single" w:sz="4" w:space="0" w:color="auto"/>
              <w:bottom w:val="single" w:sz="4" w:space="0" w:color="auto"/>
              <w:right w:val="single" w:sz="4" w:space="0" w:color="auto"/>
            </w:tcBorders>
          </w:tcPr>
          <w:p w:rsidR="003E4ADD" w:rsidRPr="00920597" w:rsidRDefault="003E4ADD" w:rsidP="00A56439">
            <w:pPr>
              <w:spacing w:line="400" w:lineRule="exact"/>
              <w:jc w:val="both"/>
              <w:rPr>
                <w:rFonts w:ascii="標楷體" w:eastAsia="標楷體" w:hAnsi="標楷體"/>
                <w:color w:val="000000" w:themeColor="text1"/>
                <w:sz w:val="28"/>
                <w:szCs w:val="28"/>
              </w:rPr>
            </w:pPr>
          </w:p>
          <w:p w:rsidR="003E4ADD" w:rsidRPr="00920597" w:rsidRDefault="003E4ADD" w:rsidP="00A56439">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10-</w:t>
            </w:r>
            <w:r w:rsidRPr="00920597">
              <w:rPr>
                <w:rFonts w:ascii="標楷體" w:eastAsia="標楷體" w:hAnsi="標楷體" w:hint="eastAsia"/>
                <w:color w:val="000000" w:themeColor="text1"/>
                <w:sz w:val="28"/>
                <w:szCs w:val="28"/>
              </w:rPr>
              <w:t>3</w:t>
            </w:r>
            <w:r w:rsidRPr="00920597">
              <w:rPr>
                <w:rFonts w:ascii="標楷體" w:eastAsia="標楷體" w:hAnsi="標楷體"/>
                <w:color w:val="000000" w:themeColor="text1"/>
                <w:sz w:val="28"/>
                <w:szCs w:val="28"/>
              </w:rPr>
              <w:t>-</w:t>
            </w:r>
            <w:r w:rsidRPr="00920597">
              <w:rPr>
                <w:rFonts w:ascii="標楷體" w:eastAsia="標楷體" w:hAnsi="標楷體" w:hint="eastAsia"/>
                <w:color w:val="000000" w:themeColor="text1"/>
                <w:sz w:val="28"/>
                <w:szCs w:val="28"/>
              </w:rPr>
              <w:t>1</w:t>
            </w:r>
          </w:p>
          <w:p w:rsidR="003E4ADD" w:rsidRPr="00920597" w:rsidRDefault="003E4ADD" w:rsidP="00A56439">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w:t>
            </w:r>
            <w:r w:rsidRPr="00920597">
              <w:rPr>
                <w:rFonts w:ascii="標楷體" w:eastAsia="標楷體" w:hAnsi="標楷體" w:hint="eastAsia"/>
                <w:color w:val="000000" w:themeColor="text1"/>
                <w:sz w:val="28"/>
                <w:szCs w:val="28"/>
              </w:rPr>
              <w:t>10</w:t>
            </w:r>
            <w:r w:rsidRPr="00920597">
              <w:rPr>
                <w:rFonts w:ascii="標楷體" w:eastAsia="標楷體" w:hAnsi="標楷體"/>
                <w:color w:val="000000" w:themeColor="text1"/>
                <w:sz w:val="28"/>
                <w:szCs w:val="28"/>
              </w:rPr>
              <w:t>.</w:t>
            </w:r>
            <w:r w:rsidRPr="00920597">
              <w:rPr>
                <w:rFonts w:ascii="標楷體" w:eastAsia="標楷體" w:hAnsi="標楷體" w:hint="eastAsia"/>
                <w:color w:val="000000" w:themeColor="text1"/>
                <w:sz w:val="28"/>
                <w:szCs w:val="28"/>
              </w:rPr>
              <w:t>2</w:t>
            </w:r>
            <w:r w:rsidRPr="00920597">
              <w:rPr>
                <w:rFonts w:ascii="標楷體" w:eastAsia="標楷體" w:hAnsi="標楷體"/>
                <w:color w:val="000000" w:themeColor="text1"/>
                <w:sz w:val="28"/>
                <w:szCs w:val="28"/>
              </w:rPr>
              <w:t>.</w:t>
            </w:r>
            <w:r w:rsidRPr="00920597">
              <w:rPr>
                <w:rFonts w:ascii="標楷體" w:eastAsia="標楷體" w:hAnsi="標楷體" w:hint="eastAsia"/>
                <w:color w:val="000000" w:themeColor="text1"/>
                <w:sz w:val="28"/>
                <w:szCs w:val="28"/>
              </w:rPr>
              <w:t>26</w:t>
            </w:r>
            <w:r w:rsidRPr="00920597">
              <w:rPr>
                <w:rFonts w:ascii="標楷體" w:eastAsia="標楷體" w:hAnsi="標楷體"/>
                <w:color w:val="000000" w:themeColor="text1"/>
                <w:sz w:val="28"/>
                <w:szCs w:val="28"/>
              </w:rPr>
              <w:t>)</w:t>
            </w:r>
            <w:r w:rsidRPr="00920597">
              <w:rPr>
                <w:rFonts w:ascii="標楷體" w:eastAsia="標楷體" w:hAnsi="標楷體" w:hint="eastAsia"/>
                <w:color w:val="000000" w:themeColor="text1"/>
                <w:sz w:val="28"/>
                <w:szCs w:val="28"/>
              </w:rPr>
              <w:t xml:space="preserve"> </w:t>
            </w:r>
          </w:p>
          <w:p w:rsidR="003E4ADD" w:rsidRPr="00920597" w:rsidRDefault="003E4ADD" w:rsidP="00A56439">
            <w:pPr>
              <w:spacing w:line="400" w:lineRule="exact"/>
              <w:jc w:val="both"/>
              <w:rPr>
                <w:rFonts w:ascii="標楷體" w:eastAsia="標楷體" w:hAnsi="標楷體"/>
                <w:color w:val="000000" w:themeColor="text1"/>
                <w:sz w:val="28"/>
                <w:szCs w:val="28"/>
              </w:rPr>
            </w:pPr>
          </w:p>
          <w:p w:rsidR="003E4ADD" w:rsidRPr="00920597" w:rsidRDefault="003E4ADD" w:rsidP="00A56439">
            <w:pPr>
              <w:spacing w:line="400" w:lineRule="exact"/>
              <w:jc w:val="both"/>
              <w:rPr>
                <w:rFonts w:ascii="標楷體" w:eastAsia="標楷體" w:hAnsi="標楷體"/>
                <w:color w:val="000000" w:themeColor="text1"/>
                <w:sz w:val="28"/>
                <w:szCs w:val="28"/>
              </w:rPr>
            </w:pPr>
          </w:p>
          <w:p w:rsidR="003E4ADD" w:rsidRPr="00920597" w:rsidRDefault="003E4ADD" w:rsidP="00A56439">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10-3-3</w:t>
            </w:r>
          </w:p>
          <w:p w:rsidR="003E4ADD" w:rsidRPr="00920597" w:rsidRDefault="003E4ADD" w:rsidP="00A56439">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(110.3.12)</w:t>
            </w:r>
          </w:p>
          <w:p w:rsidR="003E4ADD" w:rsidRPr="00920597" w:rsidRDefault="003E4ADD" w:rsidP="00A56439">
            <w:pPr>
              <w:spacing w:line="400" w:lineRule="exact"/>
              <w:jc w:val="both"/>
              <w:rPr>
                <w:rFonts w:ascii="標楷體" w:eastAsia="標楷體" w:hAnsi="標楷體"/>
                <w:color w:val="000000" w:themeColor="text1"/>
                <w:sz w:val="28"/>
                <w:szCs w:val="28"/>
              </w:rPr>
            </w:pPr>
          </w:p>
        </w:tc>
        <w:tc>
          <w:tcPr>
            <w:tcW w:w="926" w:type="dxa"/>
            <w:tcBorders>
              <w:top w:val="single" w:sz="4" w:space="0" w:color="auto"/>
              <w:left w:val="single" w:sz="4" w:space="0" w:color="auto"/>
              <w:bottom w:val="single" w:sz="4" w:space="0" w:color="auto"/>
              <w:right w:val="single" w:sz="4" w:space="0" w:color="auto"/>
            </w:tcBorders>
          </w:tcPr>
          <w:p w:rsidR="003E4ADD" w:rsidRPr="00920597" w:rsidRDefault="003E4ADD" w:rsidP="00A56439">
            <w:pPr>
              <w:spacing w:line="400" w:lineRule="exact"/>
              <w:rPr>
                <w:rFonts w:ascii="標楷體" w:eastAsia="標楷體" w:hAnsi="標楷體"/>
                <w:color w:val="000000" w:themeColor="text1"/>
                <w:sz w:val="28"/>
                <w:szCs w:val="28"/>
              </w:rPr>
            </w:pPr>
          </w:p>
        </w:tc>
        <w:tc>
          <w:tcPr>
            <w:tcW w:w="2952" w:type="dxa"/>
            <w:tcBorders>
              <w:top w:val="single" w:sz="4" w:space="0" w:color="auto"/>
              <w:left w:val="single" w:sz="4" w:space="0" w:color="auto"/>
              <w:bottom w:val="single" w:sz="4" w:space="0" w:color="auto"/>
              <w:right w:val="single" w:sz="4" w:space="0" w:color="auto"/>
            </w:tcBorders>
          </w:tcPr>
          <w:p w:rsidR="003E4ADD" w:rsidRPr="00920597" w:rsidRDefault="003E4ADD" w:rsidP="00A56439">
            <w:pPr>
              <w:ind w:left="216" w:hangingChars="90" w:hanging="216"/>
              <w:jc w:val="both"/>
              <w:rPr>
                <w:rFonts w:ascii="標楷體" w:eastAsia="標楷體" w:hAnsi="標楷體"/>
                <w:color w:val="000000" w:themeColor="text1"/>
                <w:szCs w:val="24"/>
              </w:rPr>
            </w:pPr>
            <w:r w:rsidRPr="00920597">
              <w:rPr>
                <w:rFonts w:ascii="標楷體" w:eastAsia="標楷體" w:hAnsi="標楷體" w:hint="eastAsia"/>
                <w:color w:val="000000" w:themeColor="text1"/>
                <w:szCs w:val="24"/>
              </w:rPr>
              <w:t>1.</w:t>
            </w:r>
            <w:r w:rsidRPr="00920597">
              <w:rPr>
                <w:rFonts w:ascii="標楷體" w:eastAsia="標楷體" w:hAnsi="標楷體" w:hint="eastAsia"/>
                <w:color w:val="000000" w:themeColor="text1"/>
                <w:spacing w:val="-2"/>
                <w:szCs w:val="24"/>
              </w:rPr>
              <w:t>第4會期第7次全體委員會議(110.11.1)決議：報告及詢答完畢，另定期繼續審查。</w:t>
            </w:r>
          </w:p>
          <w:p w:rsidR="003E4ADD" w:rsidRPr="00920597" w:rsidRDefault="003E4ADD" w:rsidP="00A56439">
            <w:pPr>
              <w:kinsoku w:val="0"/>
              <w:overflowPunct w:val="0"/>
              <w:autoSpaceDE w:val="0"/>
              <w:autoSpaceDN w:val="0"/>
              <w:ind w:left="216" w:hangingChars="90" w:hanging="216"/>
              <w:jc w:val="both"/>
              <w:rPr>
                <w:rFonts w:ascii="標楷體" w:eastAsia="標楷體" w:hAnsi="標楷體"/>
                <w:color w:val="000000" w:themeColor="text1"/>
                <w:spacing w:val="-2"/>
                <w:szCs w:val="24"/>
              </w:rPr>
            </w:pPr>
            <w:r w:rsidRPr="00920597">
              <w:rPr>
                <w:rFonts w:ascii="標楷體" w:eastAsia="標楷體" w:hAnsi="標楷體" w:hint="eastAsia"/>
                <w:color w:val="000000" w:themeColor="text1"/>
                <w:szCs w:val="24"/>
              </w:rPr>
              <w:t>2.</w:t>
            </w:r>
            <w:r w:rsidRPr="00920597">
              <w:rPr>
                <w:rFonts w:ascii="標楷體" w:eastAsia="標楷體" w:hAnsi="標楷體" w:hint="eastAsia"/>
                <w:color w:val="000000" w:themeColor="text1"/>
                <w:spacing w:val="-2"/>
                <w:szCs w:val="24"/>
              </w:rPr>
              <w:t>第4會期第12次全體委員會議(110.12.15)決議：另定期繼續審查。</w:t>
            </w:r>
          </w:p>
          <w:p w:rsidR="003E4ADD" w:rsidRPr="00920597" w:rsidRDefault="003E4ADD" w:rsidP="00A56439">
            <w:pPr>
              <w:kinsoku w:val="0"/>
              <w:overflowPunct w:val="0"/>
              <w:autoSpaceDE w:val="0"/>
              <w:autoSpaceDN w:val="0"/>
              <w:ind w:left="216" w:hangingChars="90" w:hanging="216"/>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Cs w:val="24"/>
              </w:rPr>
              <w:t>3.</w:t>
            </w:r>
            <w:r w:rsidRPr="00920597">
              <w:rPr>
                <w:rFonts w:ascii="標楷體" w:eastAsia="標楷體" w:hAnsi="標楷體" w:hint="eastAsia"/>
                <w:color w:val="000000" w:themeColor="text1"/>
                <w:spacing w:val="-2"/>
                <w:szCs w:val="24"/>
              </w:rPr>
              <w:t>第4會期第14次全體委員會議(110.12.29)決議：審查完竣，須交由黨團協商，併案擬具審查報告，提請院會討論。</w:t>
            </w:r>
          </w:p>
        </w:tc>
        <w:tc>
          <w:tcPr>
            <w:tcW w:w="1253" w:type="dxa"/>
            <w:tcBorders>
              <w:top w:val="single" w:sz="4" w:space="0" w:color="auto"/>
              <w:left w:val="single" w:sz="4" w:space="0" w:color="auto"/>
              <w:bottom w:val="single" w:sz="4" w:space="0" w:color="auto"/>
              <w:right w:val="single" w:sz="4" w:space="0" w:color="auto"/>
            </w:tcBorders>
          </w:tcPr>
          <w:p w:rsidR="003E4ADD" w:rsidRPr="00920597" w:rsidRDefault="003E4ADD" w:rsidP="00A56439">
            <w:pPr>
              <w:spacing w:line="400" w:lineRule="exact"/>
              <w:ind w:leftChars="-12" w:left="-29"/>
              <w:jc w:val="center"/>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李德維</w:t>
            </w:r>
          </w:p>
        </w:tc>
      </w:tr>
      <w:tr w:rsidR="003E4ADD" w:rsidRPr="00920597" w:rsidTr="00D0353B">
        <w:trPr>
          <w:trHeight w:val="572"/>
        </w:trPr>
        <w:tc>
          <w:tcPr>
            <w:tcW w:w="561" w:type="dxa"/>
            <w:vAlign w:val="center"/>
          </w:tcPr>
          <w:p w:rsidR="00D0353B" w:rsidRPr="00920597" w:rsidRDefault="00D0353B" w:rsidP="006934DD">
            <w:pPr>
              <w:numPr>
                <w:ilvl w:val="0"/>
                <w:numId w:val="10"/>
              </w:numPr>
              <w:spacing w:line="400" w:lineRule="exact"/>
              <w:jc w:val="both"/>
              <w:rPr>
                <w:rFonts w:ascii="標楷體" w:eastAsia="標楷體" w:hAnsi="標楷體"/>
                <w:color w:val="000000" w:themeColor="text1"/>
                <w:sz w:val="28"/>
              </w:rPr>
            </w:pPr>
          </w:p>
        </w:tc>
        <w:tc>
          <w:tcPr>
            <w:tcW w:w="2776" w:type="dxa"/>
            <w:tcBorders>
              <w:top w:val="single" w:sz="4" w:space="0" w:color="auto"/>
              <w:left w:val="single" w:sz="4" w:space="0" w:color="auto"/>
              <w:bottom w:val="single" w:sz="4" w:space="0" w:color="auto"/>
              <w:right w:val="single" w:sz="4" w:space="0" w:color="auto"/>
            </w:tcBorders>
          </w:tcPr>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併案審查</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1.國民教育法第二十條之一條文修正草案</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w:t>
            </w:r>
            <w:r w:rsidRPr="00920597">
              <w:rPr>
                <w:rFonts w:ascii="標楷體" w:eastAsia="標楷體" w:hAnsi="標楷體" w:hint="eastAsia"/>
                <w:color w:val="000000" w:themeColor="text1"/>
                <w:spacing w:val="-10"/>
                <w:sz w:val="28"/>
                <w:szCs w:val="28"/>
              </w:rPr>
              <w:t>委員張廖萬堅等21人</w:t>
            </w:r>
            <w:r w:rsidRPr="00920597">
              <w:rPr>
                <w:rFonts w:ascii="標楷體" w:eastAsia="標楷體" w:hAnsi="標楷體" w:hint="eastAsia"/>
                <w:color w:val="000000" w:themeColor="text1"/>
                <w:sz w:val="28"/>
                <w:szCs w:val="28"/>
              </w:rPr>
              <w:t>)</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2.國民教育法第二十條之一條文修正草案</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(委員林宜瑾等18人)</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3.國民教育法部分條文修正草案</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(委員林奕華等17人)</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4.國民教育法第二十</w:t>
            </w:r>
            <w:r w:rsidRPr="00920597">
              <w:rPr>
                <w:rFonts w:ascii="標楷體" w:eastAsia="標楷體" w:hAnsi="標楷體" w:hint="eastAsia"/>
                <w:color w:val="000000" w:themeColor="text1"/>
                <w:sz w:val="28"/>
                <w:szCs w:val="28"/>
              </w:rPr>
              <w:lastRenderedPageBreak/>
              <w:t>條之一條文修正草案</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(委員范雲等20人)</w:t>
            </w:r>
            <w:r w:rsidRPr="00920597">
              <w:rPr>
                <w:rFonts w:ascii="標楷體" w:eastAsia="標楷體" w:hAnsi="標楷體" w:hint="eastAsia"/>
                <w:color w:val="000000" w:themeColor="text1"/>
                <w:sz w:val="28"/>
                <w:szCs w:val="28"/>
              </w:rPr>
              <w:tab/>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5.國民教育法第二十條之一條文修正草案</w:t>
            </w:r>
          </w:p>
          <w:p w:rsidR="003E4ADD" w:rsidRPr="00920597" w:rsidRDefault="003E4ADD" w:rsidP="00635BB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(委員林奕華等16人)</w:t>
            </w:r>
          </w:p>
        </w:tc>
        <w:tc>
          <w:tcPr>
            <w:tcW w:w="1596" w:type="dxa"/>
            <w:tcBorders>
              <w:top w:val="single" w:sz="4" w:space="0" w:color="auto"/>
              <w:left w:val="single" w:sz="4" w:space="0" w:color="auto"/>
              <w:bottom w:val="single" w:sz="4" w:space="0" w:color="auto"/>
              <w:right w:val="single" w:sz="4" w:space="0" w:color="auto"/>
            </w:tcBorders>
          </w:tcPr>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10-1-10</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(109.4.24)</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10-1-12</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(109.5.8)</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10-3-13</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(110.5.21)</w:t>
            </w:r>
            <w:r w:rsidRPr="00920597">
              <w:rPr>
                <w:rFonts w:ascii="標楷體" w:eastAsia="標楷體" w:hAnsi="標楷體" w:hint="eastAsia"/>
                <w:color w:val="000000" w:themeColor="text1"/>
                <w:sz w:val="28"/>
                <w:szCs w:val="28"/>
              </w:rPr>
              <w:t xml:space="preserve"> </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10-4-7</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(110.10.29)</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10-5-9</w:t>
            </w:r>
          </w:p>
          <w:p w:rsidR="00D0353B" w:rsidRPr="00920597" w:rsidRDefault="003E4ADD" w:rsidP="003E4ADD">
            <w:pPr>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(111.4.22)</w:t>
            </w:r>
          </w:p>
        </w:tc>
        <w:tc>
          <w:tcPr>
            <w:tcW w:w="926" w:type="dxa"/>
            <w:tcBorders>
              <w:top w:val="single" w:sz="4" w:space="0" w:color="auto"/>
              <w:left w:val="single" w:sz="4" w:space="0" w:color="auto"/>
              <w:bottom w:val="single" w:sz="4" w:space="0" w:color="auto"/>
              <w:right w:val="single" w:sz="4" w:space="0" w:color="auto"/>
            </w:tcBorders>
          </w:tcPr>
          <w:p w:rsidR="00D0353B" w:rsidRPr="00920597" w:rsidRDefault="00D0353B" w:rsidP="00D0353B">
            <w:pPr>
              <w:jc w:val="center"/>
              <w:rPr>
                <w:rFonts w:ascii="標楷體" w:eastAsia="標楷體" w:hAnsi="標楷體"/>
                <w:color w:val="000000" w:themeColor="text1"/>
                <w:sz w:val="28"/>
                <w:szCs w:val="28"/>
              </w:rPr>
            </w:pPr>
          </w:p>
        </w:tc>
        <w:tc>
          <w:tcPr>
            <w:tcW w:w="2952" w:type="dxa"/>
            <w:tcBorders>
              <w:top w:val="single" w:sz="4" w:space="0" w:color="auto"/>
              <w:left w:val="single" w:sz="4" w:space="0" w:color="auto"/>
              <w:bottom w:val="single" w:sz="4" w:space="0" w:color="auto"/>
              <w:right w:val="single" w:sz="4" w:space="0" w:color="auto"/>
            </w:tcBorders>
          </w:tcPr>
          <w:p w:rsidR="003E4ADD" w:rsidRPr="00920597" w:rsidRDefault="003E4ADD" w:rsidP="003E4ADD">
            <w:pPr>
              <w:ind w:left="216" w:hangingChars="90" w:hanging="216"/>
              <w:jc w:val="both"/>
              <w:rPr>
                <w:rFonts w:ascii="標楷體" w:eastAsia="標楷體" w:hAnsi="標楷體"/>
                <w:color w:val="000000" w:themeColor="text1"/>
                <w:szCs w:val="24"/>
              </w:rPr>
            </w:pPr>
            <w:r w:rsidRPr="00920597">
              <w:rPr>
                <w:rFonts w:ascii="標楷體" w:eastAsia="標楷體" w:hAnsi="標楷體" w:hint="eastAsia"/>
                <w:color w:val="000000" w:themeColor="text1"/>
                <w:szCs w:val="24"/>
              </w:rPr>
              <w:t>1</w:t>
            </w:r>
            <w:r w:rsidRPr="00920597">
              <w:rPr>
                <w:rFonts w:ascii="標楷體" w:eastAsia="標楷體" w:hAnsi="標楷體"/>
                <w:color w:val="000000" w:themeColor="text1"/>
                <w:szCs w:val="24"/>
              </w:rPr>
              <w:t>.</w:t>
            </w:r>
            <w:r w:rsidRPr="00920597">
              <w:rPr>
                <w:rFonts w:ascii="標楷體" w:eastAsia="標楷體" w:hAnsi="標楷體" w:hint="eastAsia"/>
                <w:color w:val="000000" w:themeColor="text1"/>
                <w:szCs w:val="24"/>
              </w:rPr>
              <w:t>第3會期第19次全體委員會議(110.5.12)決議:報告及詢答完畢，另定期繼續審查。(第1至2案</w:t>
            </w:r>
            <w:r w:rsidRPr="00920597">
              <w:rPr>
                <w:rFonts w:ascii="標楷體" w:eastAsia="標楷體" w:hAnsi="標楷體"/>
                <w:color w:val="000000" w:themeColor="text1"/>
                <w:szCs w:val="24"/>
              </w:rPr>
              <w:t>)</w:t>
            </w:r>
          </w:p>
          <w:p w:rsidR="003E4ADD" w:rsidRPr="00920597" w:rsidRDefault="003E4ADD" w:rsidP="003E4ADD">
            <w:pPr>
              <w:ind w:left="216" w:hangingChars="90" w:hanging="216"/>
              <w:jc w:val="both"/>
              <w:rPr>
                <w:rFonts w:ascii="標楷體" w:eastAsia="標楷體" w:hAnsi="標楷體"/>
                <w:color w:val="000000" w:themeColor="text1"/>
                <w:szCs w:val="24"/>
              </w:rPr>
            </w:pPr>
            <w:r w:rsidRPr="00920597">
              <w:rPr>
                <w:rFonts w:ascii="標楷體" w:eastAsia="標楷體" w:hAnsi="標楷體" w:hint="eastAsia"/>
                <w:color w:val="000000" w:themeColor="text1"/>
                <w:szCs w:val="24"/>
              </w:rPr>
              <w:t>2</w:t>
            </w:r>
            <w:r w:rsidRPr="00920597">
              <w:rPr>
                <w:rFonts w:ascii="標楷體" w:eastAsia="標楷體" w:hAnsi="標楷體"/>
                <w:color w:val="000000" w:themeColor="text1"/>
                <w:szCs w:val="24"/>
              </w:rPr>
              <w:t>.</w:t>
            </w:r>
            <w:r w:rsidRPr="00920597">
              <w:rPr>
                <w:rFonts w:ascii="標楷體" w:eastAsia="標楷體" w:hAnsi="標楷體" w:hint="eastAsia"/>
                <w:color w:val="000000" w:themeColor="text1"/>
                <w:szCs w:val="24"/>
              </w:rPr>
              <w:t>第5會期第8次全體委員會議(111.4.11)決議:審查完竣，須交由黨團協商，併案擬具審查報告，提請院會討論。(第1至4案)</w:t>
            </w:r>
          </w:p>
          <w:p w:rsidR="003E4ADD" w:rsidRPr="00920597" w:rsidRDefault="003E4ADD" w:rsidP="003E4ADD">
            <w:pPr>
              <w:ind w:left="216" w:hangingChars="90" w:hanging="216"/>
              <w:jc w:val="both"/>
              <w:rPr>
                <w:rFonts w:ascii="標楷體" w:eastAsia="標楷體" w:hAnsi="標楷體"/>
                <w:color w:val="000000" w:themeColor="text1"/>
                <w:szCs w:val="24"/>
              </w:rPr>
            </w:pPr>
            <w:r w:rsidRPr="00920597">
              <w:rPr>
                <w:rFonts w:ascii="標楷體" w:eastAsia="標楷體" w:hAnsi="標楷體" w:hint="eastAsia"/>
                <w:color w:val="000000" w:themeColor="text1"/>
                <w:szCs w:val="24"/>
              </w:rPr>
              <w:t>3.</w:t>
            </w:r>
            <w:r w:rsidRPr="00920597">
              <w:rPr>
                <w:rFonts w:ascii="標楷體" w:eastAsia="標楷體" w:hAnsi="標楷體" w:hint="eastAsia"/>
                <w:color w:val="000000" w:themeColor="text1"/>
                <w:spacing w:val="-6"/>
                <w:szCs w:val="24"/>
              </w:rPr>
              <w:t>院會10-5-9(111.4.22)</w:t>
            </w:r>
            <w:r w:rsidRPr="00920597">
              <w:rPr>
                <w:rFonts w:ascii="標楷體" w:eastAsia="標楷體" w:hAnsi="標楷體" w:hint="eastAsia"/>
                <w:color w:val="000000" w:themeColor="text1"/>
                <w:szCs w:val="24"/>
              </w:rPr>
              <w:t>：  第5案逕付二讀，</w:t>
            </w:r>
            <w:r w:rsidR="00F67F88">
              <w:rPr>
                <w:rFonts w:ascii="標楷體" w:eastAsia="標楷體" w:hAnsi="標楷體" w:hint="eastAsia"/>
                <w:color w:val="000000" w:themeColor="text1"/>
                <w:szCs w:val="24"/>
              </w:rPr>
              <w:t>與相關提案</w:t>
            </w:r>
            <w:r w:rsidRPr="00920597">
              <w:rPr>
                <w:rFonts w:ascii="標楷體" w:eastAsia="標楷體" w:hAnsi="標楷體" w:hint="eastAsia"/>
                <w:color w:val="000000" w:themeColor="text1"/>
                <w:szCs w:val="24"/>
              </w:rPr>
              <w:t>併案協商。</w:t>
            </w:r>
          </w:p>
          <w:p w:rsidR="00D0353B" w:rsidRPr="00920597" w:rsidRDefault="00D0353B" w:rsidP="00D0353B">
            <w:pPr>
              <w:ind w:left="252" w:hangingChars="90" w:hanging="252"/>
              <w:jc w:val="both"/>
              <w:rPr>
                <w:rFonts w:ascii="標楷體" w:eastAsia="標楷體" w:hAnsi="標楷體"/>
                <w:color w:val="000000" w:themeColor="text1"/>
                <w:sz w:val="28"/>
                <w:szCs w:val="28"/>
              </w:rPr>
            </w:pPr>
          </w:p>
        </w:tc>
        <w:tc>
          <w:tcPr>
            <w:tcW w:w="1253" w:type="dxa"/>
            <w:tcBorders>
              <w:top w:val="single" w:sz="4" w:space="0" w:color="auto"/>
              <w:left w:val="single" w:sz="4" w:space="0" w:color="auto"/>
              <w:bottom w:val="single" w:sz="4" w:space="0" w:color="auto"/>
              <w:right w:val="single" w:sz="4" w:space="0" w:color="auto"/>
            </w:tcBorders>
          </w:tcPr>
          <w:p w:rsidR="00D0353B" w:rsidRPr="00920597" w:rsidRDefault="00D0353B" w:rsidP="003E4ADD">
            <w:pPr>
              <w:spacing w:line="400" w:lineRule="exact"/>
              <w:ind w:leftChars="-12" w:left="-29"/>
              <w:jc w:val="center"/>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林</w:t>
            </w:r>
            <w:r w:rsidR="003E4ADD" w:rsidRPr="00920597">
              <w:rPr>
                <w:rFonts w:ascii="標楷體" w:eastAsia="標楷體" w:hAnsi="標楷體" w:hint="eastAsia"/>
                <w:color w:val="000000" w:themeColor="text1"/>
                <w:sz w:val="28"/>
                <w:szCs w:val="28"/>
              </w:rPr>
              <w:t>奕華</w:t>
            </w:r>
          </w:p>
        </w:tc>
      </w:tr>
      <w:tr w:rsidR="003E4ADD" w:rsidRPr="00920597" w:rsidTr="00D0353B">
        <w:trPr>
          <w:trHeight w:val="572"/>
        </w:trPr>
        <w:tc>
          <w:tcPr>
            <w:tcW w:w="561" w:type="dxa"/>
            <w:vAlign w:val="center"/>
          </w:tcPr>
          <w:p w:rsidR="003E4ADD" w:rsidRPr="00920597" w:rsidRDefault="003E4ADD" w:rsidP="006934DD">
            <w:pPr>
              <w:numPr>
                <w:ilvl w:val="0"/>
                <w:numId w:val="10"/>
              </w:numPr>
              <w:spacing w:line="400" w:lineRule="exact"/>
              <w:jc w:val="both"/>
              <w:rPr>
                <w:rFonts w:ascii="標楷體" w:eastAsia="標楷體" w:hAnsi="標楷體"/>
                <w:color w:val="000000" w:themeColor="text1"/>
                <w:sz w:val="28"/>
              </w:rPr>
            </w:pPr>
          </w:p>
        </w:tc>
        <w:tc>
          <w:tcPr>
            <w:tcW w:w="2776" w:type="dxa"/>
            <w:tcBorders>
              <w:top w:val="single" w:sz="4" w:space="0" w:color="auto"/>
              <w:left w:val="single" w:sz="4" w:space="0" w:color="auto"/>
              <w:bottom w:val="single" w:sz="4" w:space="0" w:color="auto"/>
              <w:right w:val="single" w:sz="4" w:space="0" w:color="auto"/>
            </w:tcBorders>
          </w:tcPr>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併案審查</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1.大學法第十五條條文修正草案</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(委員羅致政等18人)</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2.大學法第十五條條文修正草案</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(民眾黨黨團)</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3.大學法第十五條及第三十三條條文修正草案</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(委員王美惠等18人)</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4.大學法第七條條文修正草案</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(委員賴品妤等21人)</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5.大學法第九條條文修正草案</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(委員賴品妤等21人)</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6.大學法第十五條條文修正草案</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(委員賴品妤等21人)</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7.大學法第三十三條條文修正草案</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(委員賴品妤等21人)</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8.大學法第七條條文修正草案</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(委員范雲等17人)</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9.大學法第九條條文修正草案</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(委員范雲等17人)</w:t>
            </w:r>
            <w:r w:rsidRPr="00920597">
              <w:rPr>
                <w:rFonts w:ascii="標楷體" w:eastAsia="標楷體" w:hAnsi="標楷體" w:hint="eastAsia"/>
                <w:color w:val="000000" w:themeColor="text1"/>
                <w:sz w:val="28"/>
                <w:szCs w:val="28"/>
              </w:rPr>
              <w:tab/>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10.大學法第十五條條文修正草案</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(委員范雲等16人)</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11.大學法第三十三條條文修正草案</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(委員范雲等17人)</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12.大學法第七條條文修正草案</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(委員林宜瑾等19人)</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13.大學法部分條文修正草案</w:t>
            </w:r>
          </w:p>
          <w:p w:rsidR="003E4ADD" w:rsidRPr="00282A1E" w:rsidRDefault="003E4ADD" w:rsidP="003E4ADD">
            <w:pPr>
              <w:spacing w:line="400" w:lineRule="exact"/>
              <w:jc w:val="both"/>
              <w:rPr>
                <w:rFonts w:ascii="標楷體" w:eastAsia="標楷體" w:hAnsi="標楷體"/>
                <w:color w:val="000000" w:themeColor="text1"/>
                <w:spacing w:val="-18"/>
                <w:sz w:val="28"/>
                <w:szCs w:val="28"/>
              </w:rPr>
            </w:pPr>
            <w:r w:rsidRPr="00282A1E">
              <w:rPr>
                <w:rFonts w:ascii="標楷體" w:eastAsia="標楷體" w:hAnsi="標楷體" w:hint="eastAsia"/>
                <w:color w:val="000000" w:themeColor="text1"/>
                <w:spacing w:val="-18"/>
                <w:sz w:val="28"/>
                <w:szCs w:val="28"/>
              </w:rPr>
              <w:t>(委員張廖萬堅等17人)</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14.大學法第二十九條條文修正草案</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(委員王定宇等30人)</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15.大學法第七條條文修正草案</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(委員鄭正鈐等19人)</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16.大學法部分條文修正草案</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lastRenderedPageBreak/>
              <w:t>(</w:t>
            </w:r>
            <w:r w:rsidRPr="00920597">
              <w:rPr>
                <w:rFonts w:ascii="標楷體" w:eastAsia="標楷體" w:hAnsi="標楷體" w:hint="eastAsia"/>
                <w:color w:val="000000" w:themeColor="text1"/>
                <w:sz w:val="28"/>
                <w:szCs w:val="28"/>
              </w:rPr>
              <w:t>委員陳秀寳等</w:t>
            </w:r>
            <w:r w:rsidRPr="00920597">
              <w:rPr>
                <w:rFonts w:ascii="標楷體" w:eastAsia="標楷體" w:hAnsi="標楷體"/>
                <w:color w:val="000000" w:themeColor="text1"/>
                <w:sz w:val="28"/>
                <w:szCs w:val="28"/>
              </w:rPr>
              <w:t>17</w:t>
            </w:r>
            <w:r w:rsidRPr="00920597">
              <w:rPr>
                <w:rFonts w:ascii="標楷體" w:eastAsia="標楷體" w:hAnsi="標楷體" w:hint="eastAsia"/>
                <w:color w:val="000000" w:themeColor="text1"/>
                <w:sz w:val="28"/>
                <w:szCs w:val="28"/>
              </w:rPr>
              <w:t>人</w:t>
            </w:r>
            <w:r w:rsidRPr="00920597">
              <w:rPr>
                <w:rFonts w:ascii="標楷體" w:eastAsia="標楷體" w:hAnsi="標楷體"/>
                <w:color w:val="000000" w:themeColor="text1"/>
                <w:sz w:val="28"/>
                <w:szCs w:val="28"/>
              </w:rPr>
              <w:t>)</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17.大學法部分條文修正草案</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(委員吳思瑤等18人)</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18.大學法第九條及第九條之一條文修正草案</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 xml:space="preserve">(委員林奕華等17人) </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19.大學法第十五條條文修正草案</w:t>
            </w:r>
            <w:r w:rsidRPr="00920597">
              <w:rPr>
                <w:rFonts w:ascii="標楷體" w:eastAsia="標楷體" w:hAnsi="標楷體" w:hint="eastAsia"/>
                <w:color w:val="000000" w:themeColor="text1"/>
                <w:sz w:val="28"/>
                <w:szCs w:val="28"/>
              </w:rPr>
              <w:tab/>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 xml:space="preserve">(委員林奕華等17人) </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20.大學法第三十三條條文修正草案</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(委員林奕華等16人)</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21.大學法部分條文修正草案</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(台灣民眾黨黨團)</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22.大學法部分條文修正草案</w:t>
            </w:r>
          </w:p>
          <w:p w:rsidR="003E4ADD" w:rsidRPr="00920597" w:rsidRDefault="003E4ADD" w:rsidP="00635BB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(時代力量黨團)</w:t>
            </w:r>
          </w:p>
        </w:tc>
        <w:tc>
          <w:tcPr>
            <w:tcW w:w="1596" w:type="dxa"/>
            <w:tcBorders>
              <w:top w:val="single" w:sz="4" w:space="0" w:color="auto"/>
              <w:left w:val="single" w:sz="4" w:space="0" w:color="auto"/>
              <w:bottom w:val="single" w:sz="4" w:space="0" w:color="auto"/>
              <w:right w:val="single" w:sz="4" w:space="0" w:color="auto"/>
            </w:tcBorders>
          </w:tcPr>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10-1-12</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(109.5.8)</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10-1-12</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(109.5.8)</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10-1-14</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(109.5.22)</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10-4-15</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(110.12.24)</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10-4-15</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(110.12.24)</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10-4-15</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(110.12.24)</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10-4-15</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(110.12.24)</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10-4-15</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(110.12.24)</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10-4-15</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(110.12.24)</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10-4-15</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(110.12.24)</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10-4-15</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(110.12.24)</w:t>
            </w:r>
            <w:r w:rsidRPr="00920597">
              <w:rPr>
                <w:rFonts w:ascii="標楷體" w:eastAsia="標楷體" w:hAnsi="標楷體" w:hint="eastAsia"/>
                <w:color w:val="000000" w:themeColor="text1"/>
                <w:sz w:val="28"/>
                <w:szCs w:val="28"/>
              </w:rPr>
              <w:t xml:space="preserve"> </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10-5-5</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(111.3.25)</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10-5-8</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(111.4.15)</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10-2-3</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(109.10.6)</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10-5-11</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(111.</w:t>
            </w:r>
            <w:r w:rsidRPr="00920597">
              <w:rPr>
                <w:rFonts w:ascii="標楷體" w:eastAsia="標楷體" w:hAnsi="標楷體" w:hint="eastAsia"/>
                <w:color w:val="000000" w:themeColor="text1"/>
                <w:sz w:val="28"/>
                <w:szCs w:val="28"/>
              </w:rPr>
              <w:t>5</w:t>
            </w:r>
            <w:r w:rsidRPr="00920597">
              <w:rPr>
                <w:rFonts w:ascii="標楷體" w:eastAsia="標楷體" w:hAnsi="標楷體"/>
                <w:color w:val="000000" w:themeColor="text1"/>
                <w:sz w:val="28"/>
                <w:szCs w:val="28"/>
              </w:rPr>
              <w:t>.</w:t>
            </w:r>
            <w:r w:rsidRPr="00920597">
              <w:rPr>
                <w:rFonts w:ascii="標楷體" w:eastAsia="標楷體" w:hAnsi="標楷體" w:hint="eastAsia"/>
                <w:color w:val="000000" w:themeColor="text1"/>
                <w:sz w:val="28"/>
                <w:szCs w:val="28"/>
              </w:rPr>
              <w:t>6</w:t>
            </w:r>
            <w:r w:rsidRPr="00920597">
              <w:rPr>
                <w:rFonts w:ascii="標楷體" w:eastAsia="標楷體" w:hAnsi="標楷體"/>
                <w:color w:val="000000" w:themeColor="text1"/>
                <w:sz w:val="28"/>
                <w:szCs w:val="28"/>
              </w:rPr>
              <w:t>)</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10-5-11</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(111.</w:t>
            </w:r>
            <w:r w:rsidRPr="00920597">
              <w:rPr>
                <w:rFonts w:ascii="標楷體" w:eastAsia="標楷體" w:hAnsi="標楷體" w:hint="eastAsia"/>
                <w:color w:val="000000" w:themeColor="text1"/>
                <w:sz w:val="28"/>
                <w:szCs w:val="28"/>
              </w:rPr>
              <w:t>5</w:t>
            </w:r>
            <w:r w:rsidRPr="00920597">
              <w:rPr>
                <w:rFonts w:ascii="標楷體" w:eastAsia="標楷體" w:hAnsi="標楷體"/>
                <w:color w:val="000000" w:themeColor="text1"/>
                <w:sz w:val="28"/>
                <w:szCs w:val="28"/>
              </w:rPr>
              <w:t>.</w:t>
            </w:r>
            <w:r w:rsidRPr="00920597">
              <w:rPr>
                <w:rFonts w:ascii="標楷體" w:eastAsia="標楷體" w:hAnsi="標楷體" w:hint="eastAsia"/>
                <w:color w:val="000000" w:themeColor="text1"/>
                <w:sz w:val="28"/>
                <w:szCs w:val="28"/>
              </w:rPr>
              <w:t>6</w:t>
            </w:r>
            <w:r w:rsidRPr="00920597">
              <w:rPr>
                <w:rFonts w:ascii="標楷體" w:eastAsia="標楷體" w:hAnsi="標楷體"/>
                <w:color w:val="000000" w:themeColor="text1"/>
                <w:sz w:val="28"/>
                <w:szCs w:val="28"/>
              </w:rPr>
              <w:t>)</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10-5-11</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(111.</w:t>
            </w:r>
            <w:r w:rsidRPr="00920597">
              <w:rPr>
                <w:rFonts w:ascii="標楷體" w:eastAsia="標楷體" w:hAnsi="標楷體" w:hint="eastAsia"/>
                <w:color w:val="000000" w:themeColor="text1"/>
                <w:sz w:val="28"/>
                <w:szCs w:val="28"/>
              </w:rPr>
              <w:t>5</w:t>
            </w:r>
            <w:r w:rsidRPr="00920597">
              <w:rPr>
                <w:rFonts w:ascii="標楷體" w:eastAsia="標楷體" w:hAnsi="標楷體"/>
                <w:color w:val="000000" w:themeColor="text1"/>
                <w:sz w:val="28"/>
                <w:szCs w:val="28"/>
              </w:rPr>
              <w:t>.</w:t>
            </w:r>
            <w:r w:rsidRPr="00920597">
              <w:rPr>
                <w:rFonts w:ascii="標楷體" w:eastAsia="標楷體" w:hAnsi="標楷體" w:hint="eastAsia"/>
                <w:color w:val="000000" w:themeColor="text1"/>
                <w:sz w:val="28"/>
                <w:szCs w:val="28"/>
              </w:rPr>
              <w:t>6</w:t>
            </w:r>
            <w:r w:rsidRPr="00920597">
              <w:rPr>
                <w:rFonts w:ascii="標楷體" w:eastAsia="標楷體" w:hAnsi="標楷體"/>
                <w:color w:val="000000" w:themeColor="text1"/>
                <w:sz w:val="28"/>
                <w:szCs w:val="28"/>
              </w:rPr>
              <w:t>)</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10-5-12</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(111.</w:t>
            </w:r>
            <w:r w:rsidRPr="00920597">
              <w:rPr>
                <w:rFonts w:ascii="標楷體" w:eastAsia="標楷體" w:hAnsi="標楷體" w:hint="eastAsia"/>
                <w:color w:val="000000" w:themeColor="text1"/>
                <w:sz w:val="28"/>
                <w:szCs w:val="28"/>
              </w:rPr>
              <w:t>5</w:t>
            </w:r>
            <w:r w:rsidRPr="00920597">
              <w:rPr>
                <w:rFonts w:ascii="標楷體" w:eastAsia="標楷體" w:hAnsi="標楷體"/>
                <w:color w:val="000000" w:themeColor="text1"/>
                <w:sz w:val="28"/>
                <w:szCs w:val="28"/>
              </w:rPr>
              <w:t>.1</w:t>
            </w:r>
            <w:r w:rsidRPr="00920597">
              <w:rPr>
                <w:rFonts w:ascii="標楷體" w:eastAsia="標楷體" w:hAnsi="標楷體" w:hint="eastAsia"/>
                <w:color w:val="000000" w:themeColor="text1"/>
                <w:sz w:val="28"/>
                <w:szCs w:val="28"/>
              </w:rPr>
              <w:t>3</w:t>
            </w:r>
            <w:r w:rsidRPr="00920597">
              <w:rPr>
                <w:rFonts w:ascii="標楷體" w:eastAsia="標楷體" w:hAnsi="標楷體"/>
                <w:color w:val="000000" w:themeColor="text1"/>
                <w:sz w:val="28"/>
                <w:szCs w:val="28"/>
              </w:rPr>
              <w:t>)</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10-5-12</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(111.</w:t>
            </w:r>
            <w:r w:rsidRPr="00920597">
              <w:rPr>
                <w:rFonts w:ascii="標楷體" w:eastAsia="標楷體" w:hAnsi="標楷體" w:hint="eastAsia"/>
                <w:color w:val="000000" w:themeColor="text1"/>
                <w:sz w:val="28"/>
                <w:szCs w:val="28"/>
              </w:rPr>
              <w:t>5</w:t>
            </w:r>
            <w:r w:rsidRPr="00920597">
              <w:rPr>
                <w:rFonts w:ascii="標楷體" w:eastAsia="標楷體" w:hAnsi="標楷體"/>
                <w:color w:val="000000" w:themeColor="text1"/>
                <w:sz w:val="28"/>
                <w:szCs w:val="28"/>
              </w:rPr>
              <w:t>.1</w:t>
            </w:r>
            <w:r w:rsidRPr="00920597">
              <w:rPr>
                <w:rFonts w:ascii="標楷體" w:eastAsia="標楷體" w:hAnsi="標楷體" w:hint="eastAsia"/>
                <w:color w:val="000000" w:themeColor="text1"/>
                <w:sz w:val="28"/>
                <w:szCs w:val="28"/>
              </w:rPr>
              <w:t>3</w:t>
            </w:r>
            <w:r w:rsidRPr="00920597">
              <w:rPr>
                <w:rFonts w:ascii="標楷體" w:eastAsia="標楷體" w:hAnsi="標楷體"/>
                <w:color w:val="000000" w:themeColor="text1"/>
                <w:sz w:val="28"/>
                <w:szCs w:val="28"/>
              </w:rPr>
              <w:t>)</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10-5-</w:t>
            </w:r>
            <w:r w:rsidRPr="00920597">
              <w:rPr>
                <w:rFonts w:ascii="標楷體" w:eastAsia="標楷體" w:hAnsi="標楷體" w:hint="eastAsia"/>
                <w:color w:val="000000" w:themeColor="text1"/>
                <w:sz w:val="28"/>
                <w:szCs w:val="28"/>
              </w:rPr>
              <w:t>12</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(111.</w:t>
            </w:r>
            <w:r w:rsidRPr="00920597">
              <w:rPr>
                <w:rFonts w:ascii="標楷體" w:eastAsia="標楷體" w:hAnsi="標楷體" w:hint="eastAsia"/>
                <w:color w:val="000000" w:themeColor="text1"/>
                <w:sz w:val="28"/>
                <w:szCs w:val="28"/>
              </w:rPr>
              <w:t>5</w:t>
            </w:r>
            <w:r w:rsidRPr="00920597">
              <w:rPr>
                <w:rFonts w:ascii="標楷體" w:eastAsia="標楷體" w:hAnsi="標楷體"/>
                <w:color w:val="000000" w:themeColor="text1"/>
                <w:sz w:val="28"/>
                <w:szCs w:val="28"/>
              </w:rPr>
              <w:t>.1</w:t>
            </w:r>
            <w:r w:rsidRPr="00920597">
              <w:rPr>
                <w:rFonts w:ascii="標楷體" w:eastAsia="標楷體" w:hAnsi="標楷體" w:hint="eastAsia"/>
                <w:color w:val="000000" w:themeColor="text1"/>
                <w:sz w:val="28"/>
                <w:szCs w:val="28"/>
              </w:rPr>
              <w:t>3</w:t>
            </w:r>
            <w:r w:rsidRPr="00920597">
              <w:rPr>
                <w:rFonts w:ascii="標楷體" w:eastAsia="標楷體" w:hAnsi="標楷體"/>
                <w:color w:val="000000" w:themeColor="text1"/>
                <w:sz w:val="28"/>
                <w:szCs w:val="28"/>
              </w:rPr>
              <w:t>)</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10-5-</w:t>
            </w:r>
            <w:r w:rsidRPr="00920597">
              <w:rPr>
                <w:rFonts w:ascii="標楷體" w:eastAsia="標楷體" w:hAnsi="標楷體" w:hint="eastAsia"/>
                <w:color w:val="000000" w:themeColor="text1"/>
                <w:sz w:val="28"/>
                <w:szCs w:val="28"/>
              </w:rPr>
              <w:t>12</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(111.</w:t>
            </w:r>
            <w:r w:rsidRPr="00920597">
              <w:rPr>
                <w:rFonts w:ascii="標楷體" w:eastAsia="標楷體" w:hAnsi="標楷體" w:hint="eastAsia"/>
                <w:color w:val="000000" w:themeColor="text1"/>
                <w:sz w:val="28"/>
                <w:szCs w:val="28"/>
              </w:rPr>
              <w:t>5</w:t>
            </w:r>
            <w:r w:rsidRPr="00920597">
              <w:rPr>
                <w:rFonts w:ascii="標楷體" w:eastAsia="標楷體" w:hAnsi="標楷體"/>
                <w:color w:val="000000" w:themeColor="text1"/>
                <w:sz w:val="28"/>
                <w:szCs w:val="28"/>
              </w:rPr>
              <w:t>.1</w:t>
            </w:r>
            <w:r w:rsidRPr="00920597">
              <w:rPr>
                <w:rFonts w:ascii="標楷體" w:eastAsia="標楷體" w:hAnsi="標楷體" w:hint="eastAsia"/>
                <w:color w:val="000000" w:themeColor="text1"/>
                <w:sz w:val="28"/>
                <w:szCs w:val="28"/>
              </w:rPr>
              <w:t>3</w:t>
            </w:r>
            <w:r w:rsidRPr="00920597">
              <w:rPr>
                <w:rFonts w:ascii="標楷體" w:eastAsia="標楷體" w:hAnsi="標楷體"/>
                <w:color w:val="000000" w:themeColor="text1"/>
                <w:sz w:val="28"/>
                <w:szCs w:val="28"/>
              </w:rPr>
              <w:t>)</w:t>
            </w: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10-5-</w:t>
            </w:r>
            <w:r w:rsidRPr="00920597">
              <w:rPr>
                <w:rFonts w:ascii="標楷體" w:eastAsia="標楷體" w:hAnsi="標楷體" w:hint="eastAsia"/>
                <w:color w:val="000000" w:themeColor="text1"/>
                <w:sz w:val="28"/>
                <w:szCs w:val="28"/>
              </w:rPr>
              <w:t>13</w:t>
            </w:r>
          </w:p>
          <w:p w:rsidR="003E4ADD" w:rsidRPr="00920597" w:rsidRDefault="003E4ADD" w:rsidP="003E4ADD">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(111.</w:t>
            </w:r>
            <w:r w:rsidRPr="00920597">
              <w:rPr>
                <w:rFonts w:ascii="標楷體" w:eastAsia="標楷體" w:hAnsi="標楷體" w:hint="eastAsia"/>
                <w:color w:val="000000" w:themeColor="text1"/>
                <w:sz w:val="28"/>
                <w:szCs w:val="28"/>
              </w:rPr>
              <w:t>5</w:t>
            </w:r>
            <w:r w:rsidRPr="00920597">
              <w:rPr>
                <w:rFonts w:ascii="標楷體" w:eastAsia="標楷體" w:hAnsi="標楷體"/>
                <w:color w:val="000000" w:themeColor="text1"/>
                <w:sz w:val="28"/>
                <w:szCs w:val="28"/>
              </w:rPr>
              <w:t>.</w:t>
            </w:r>
            <w:r w:rsidRPr="00920597">
              <w:rPr>
                <w:rFonts w:ascii="標楷體" w:eastAsia="標楷體" w:hAnsi="標楷體" w:hint="eastAsia"/>
                <w:color w:val="000000" w:themeColor="text1"/>
                <w:sz w:val="28"/>
                <w:szCs w:val="28"/>
              </w:rPr>
              <w:t>20</w:t>
            </w:r>
            <w:r w:rsidRPr="00920597">
              <w:rPr>
                <w:rFonts w:ascii="標楷體" w:eastAsia="標楷體" w:hAnsi="標楷體"/>
                <w:color w:val="000000" w:themeColor="text1"/>
                <w:sz w:val="28"/>
                <w:szCs w:val="28"/>
              </w:rPr>
              <w:t>)</w:t>
            </w:r>
          </w:p>
          <w:p w:rsidR="003E4ADD" w:rsidRPr="00920597" w:rsidRDefault="003E4ADD" w:rsidP="003E4ADD">
            <w:pPr>
              <w:spacing w:line="400" w:lineRule="exact"/>
              <w:jc w:val="both"/>
              <w:rPr>
                <w:rFonts w:ascii="標楷體" w:eastAsia="標楷體" w:hAnsi="標楷體"/>
                <w:color w:val="000000" w:themeColor="text1"/>
                <w:sz w:val="28"/>
                <w:szCs w:val="28"/>
              </w:rPr>
            </w:pPr>
          </w:p>
        </w:tc>
        <w:tc>
          <w:tcPr>
            <w:tcW w:w="926" w:type="dxa"/>
            <w:tcBorders>
              <w:top w:val="single" w:sz="4" w:space="0" w:color="auto"/>
              <w:left w:val="single" w:sz="4" w:space="0" w:color="auto"/>
              <w:bottom w:val="single" w:sz="4" w:space="0" w:color="auto"/>
              <w:right w:val="single" w:sz="4" w:space="0" w:color="auto"/>
            </w:tcBorders>
          </w:tcPr>
          <w:p w:rsidR="003E4ADD" w:rsidRPr="00920597" w:rsidRDefault="003E4ADD" w:rsidP="003E4ADD">
            <w:pPr>
              <w:jc w:val="center"/>
              <w:rPr>
                <w:rFonts w:ascii="標楷體" w:eastAsia="標楷體" w:hAnsi="標楷體"/>
                <w:color w:val="000000" w:themeColor="text1"/>
                <w:sz w:val="28"/>
                <w:szCs w:val="28"/>
              </w:rPr>
            </w:pPr>
          </w:p>
        </w:tc>
        <w:tc>
          <w:tcPr>
            <w:tcW w:w="2952" w:type="dxa"/>
            <w:tcBorders>
              <w:top w:val="single" w:sz="4" w:space="0" w:color="auto"/>
              <w:left w:val="single" w:sz="4" w:space="0" w:color="auto"/>
              <w:bottom w:val="single" w:sz="4" w:space="0" w:color="auto"/>
              <w:right w:val="single" w:sz="4" w:space="0" w:color="auto"/>
            </w:tcBorders>
          </w:tcPr>
          <w:p w:rsidR="003E4ADD" w:rsidRPr="00920597" w:rsidRDefault="003E4ADD" w:rsidP="003E4ADD">
            <w:pPr>
              <w:ind w:left="216" w:hangingChars="90" w:hanging="216"/>
              <w:jc w:val="both"/>
              <w:rPr>
                <w:rFonts w:ascii="標楷體" w:eastAsia="標楷體" w:hAnsi="標楷體"/>
                <w:color w:val="000000" w:themeColor="text1"/>
                <w:szCs w:val="24"/>
              </w:rPr>
            </w:pPr>
            <w:r w:rsidRPr="00920597">
              <w:rPr>
                <w:rFonts w:ascii="標楷體" w:eastAsia="標楷體" w:hAnsi="標楷體" w:hint="eastAsia"/>
                <w:color w:val="000000" w:themeColor="text1"/>
                <w:szCs w:val="24"/>
              </w:rPr>
              <w:t>1.第5會期第12次全體委員會議(111.5.4)決議:報告及詢答完畢，另定期繼續審查。(第1至13案)</w:t>
            </w:r>
          </w:p>
          <w:p w:rsidR="003E4ADD" w:rsidRPr="00920597" w:rsidRDefault="003E4ADD" w:rsidP="003E4ADD">
            <w:pPr>
              <w:ind w:left="216" w:hangingChars="90" w:hanging="216"/>
              <w:jc w:val="both"/>
              <w:rPr>
                <w:rFonts w:ascii="標楷體" w:eastAsia="標楷體" w:hAnsi="標楷體"/>
                <w:color w:val="000000" w:themeColor="text1"/>
                <w:szCs w:val="24"/>
              </w:rPr>
            </w:pPr>
            <w:r w:rsidRPr="00920597">
              <w:rPr>
                <w:rFonts w:ascii="標楷體" w:eastAsia="標楷體" w:hAnsi="標楷體" w:hint="eastAsia"/>
                <w:color w:val="000000" w:themeColor="text1"/>
                <w:szCs w:val="24"/>
              </w:rPr>
              <w:t>2.第5會期第14次全體委員會議(111.5.19)決議:審查完竣，不須交由黨團協商，併案擬具審查報告，提請院會討論。(第1至21案)</w:t>
            </w:r>
          </w:p>
          <w:p w:rsidR="003E4ADD" w:rsidRPr="00920597" w:rsidRDefault="003E4ADD" w:rsidP="003E4ADD">
            <w:pPr>
              <w:ind w:left="216" w:hangingChars="90" w:hanging="216"/>
              <w:jc w:val="both"/>
              <w:rPr>
                <w:rFonts w:ascii="標楷體" w:eastAsia="標楷體" w:hAnsi="標楷體"/>
                <w:color w:val="000000" w:themeColor="text1"/>
                <w:szCs w:val="24"/>
              </w:rPr>
            </w:pPr>
            <w:r w:rsidRPr="00920597">
              <w:rPr>
                <w:rFonts w:ascii="標楷體" w:eastAsia="標楷體" w:hAnsi="標楷體" w:hint="eastAsia"/>
                <w:color w:val="000000" w:themeColor="text1"/>
                <w:szCs w:val="24"/>
              </w:rPr>
              <w:t>3.</w:t>
            </w:r>
            <w:r w:rsidRPr="00920597">
              <w:rPr>
                <w:rFonts w:ascii="標楷體" w:eastAsia="標楷體" w:hAnsi="標楷體" w:hint="eastAsia"/>
                <w:color w:val="000000" w:themeColor="text1"/>
                <w:spacing w:val="-20"/>
                <w:szCs w:val="24"/>
              </w:rPr>
              <w:t>院會10-5-13</w:t>
            </w:r>
            <w:r w:rsidRPr="00920597">
              <w:rPr>
                <w:rFonts w:ascii="標楷體" w:eastAsia="標楷體" w:hAnsi="標楷體" w:hint="eastAsia"/>
                <w:color w:val="000000" w:themeColor="text1"/>
                <w:szCs w:val="24"/>
              </w:rPr>
              <w:t>(111.5.20)：第22案逕付二讀，</w:t>
            </w:r>
            <w:r w:rsidRPr="00920597">
              <w:rPr>
                <w:rFonts w:ascii="標楷體" w:eastAsia="標楷體" w:hAnsi="標楷體"/>
                <w:color w:val="000000" w:themeColor="text1"/>
                <w:szCs w:val="24"/>
              </w:rPr>
              <w:t>並由時代力量黨團負責召集協商</w:t>
            </w:r>
            <w:r w:rsidRPr="00920597">
              <w:rPr>
                <w:rFonts w:ascii="標楷體" w:eastAsia="標楷體" w:hAnsi="標楷體" w:hint="eastAsia"/>
                <w:color w:val="000000" w:themeColor="text1"/>
                <w:szCs w:val="24"/>
              </w:rPr>
              <w:t>。</w:t>
            </w:r>
          </w:p>
          <w:p w:rsidR="003E4ADD" w:rsidRPr="00920597" w:rsidRDefault="003E4ADD" w:rsidP="003E4ADD">
            <w:pPr>
              <w:ind w:left="252" w:hangingChars="90" w:hanging="252"/>
              <w:jc w:val="both"/>
              <w:rPr>
                <w:rFonts w:ascii="標楷體" w:eastAsia="標楷體" w:hAnsi="標楷體"/>
                <w:color w:val="000000" w:themeColor="text1"/>
                <w:sz w:val="28"/>
                <w:szCs w:val="28"/>
              </w:rPr>
            </w:pPr>
          </w:p>
        </w:tc>
        <w:tc>
          <w:tcPr>
            <w:tcW w:w="1253" w:type="dxa"/>
            <w:tcBorders>
              <w:top w:val="single" w:sz="4" w:space="0" w:color="auto"/>
              <w:left w:val="single" w:sz="4" w:space="0" w:color="auto"/>
              <w:bottom w:val="single" w:sz="4" w:space="0" w:color="auto"/>
              <w:right w:val="single" w:sz="4" w:space="0" w:color="auto"/>
            </w:tcBorders>
          </w:tcPr>
          <w:p w:rsidR="003E4ADD" w:rsidRPr="00920597" w:rsidRDefault="003E4ADD" w:rsidP="003E4ADD">
            <w:pPr>
              <w:spacing w:line="400" w:lineRule="exact"/>
              <w:ind w:leftChars="-12" w:left="-29"/>
              <w:jc w:val="center"/>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賴品妤</w:t>
            </w:r>
          </w:p>
        </w:tc>
      </w:tr>
    </w:tbl>
    <w:p w:rsidR="00753BB3" w:rsidRPr="00920597" w:rsidRDefault="00753BB3" w:rsidP="007429BA">
      <w:pPr>
        <w:pStyle w:val="01-21"/>
        <w:rPr>
          <w:color w:val="000000" w:themeColor="text1"/>
        </w:rPr>
      </w:pPr>
      <w:r w:rsidRPr="00920597">
        <w:rPr>
          <w:color w:val="000000" w:themeColor="text1"/>
        </w:rPr>
        <w:lastRenderedPageBreak/>
        <w:br w:type="page"/>
      </w:r>
      <w:bookmarkStart w:id="116" w:name="_Toc126068153"/>
      <w:r w:rsidRPr="00920597">
        <w:rPr>
          <w:rFonts w:hint="eastAsia"/>
          <w:color w:val="000000" w:themeColor="text1"/>
        </w:rPr>
        <w:lastRenderedPageBreak/>
        <w:t>二、預(決)算案（</w:t>
      </w:r>
      <w:r w:rsidR="005A1BAD">
        <w:rPr>
          <w:rFonts w:hint="eastAsia"/>
          <w:color w:val="000000" w:themeColor="text1"/>
        </w:rPr>
        <w:t>1</w:t>
      </w:r>
      <w:r w:rsidRPr="00920597">
        <w:rPr>
          <w:rFonts w:hint="eastAsia"/>
          <w:color w:val="000000" w:themeColor="text1"/>
        </w:rPr>
        <w:t>案</w:t>
      </w:r>
      <w:r w:rsidRPr="00920597">
        <w:rPr>
          <w:color w:val="000000" w:themeColor="text1"/>
        </w:rPr>
        <w:t>）</w:t>
      </w:r>
      <w:bookmarkEnd w:id="116"/>
    </w:p>
    <w:p w:rsidR="002544FC" w:rsidRDefault="002544FC" w:rsidP="002544FC">
      <w:pPr>
        <w:pStyle w:val="01-3"/>
        <w:rPr>
          <w:color w:val="000000" w:themeColor="text1"/>
        </w:rPr>
      </w:pPr>
      <w:bookmarkStart w:id="117" w:name="_Toc126068154"/>
      <w:r w:rsidRPr="00920597">
        <w:rPr>
          <w:rFonts w:hint="eastAsia"/>
          <w:color w:val="000000" w:themeColor="text1"/>
        </w:rPr>
        <w:t>(一)11</w:t>
      </w:r>
      <w:r w:rsidR="00F70287">
        <w:rPr>
          <w:rFonts w:hint="eastAsia"/>
          <w:color w:val="000000" w:themeColor="text1"/>
        </w:rPr>
        <w:t>2</w:t>
      </w:r>
      <w:r w:rsidRPr="00920597">
        <w:rPr>
          <w:rFonts w:hint="eastAsia"/>
          <w:color w:val="000000" w:themeColor="text1"/>
        </w:rPr>
        <w:t>年度中央政府總預算案(非營業基金預算) (1案)</w:t>
      </w:r>
      <w:bookmarkEnd w:id="117"/>
    </w:p>
    <w:tbl>
      <w:tblPr>
        <w:tblW w:w="5226" w:type="pct"/>
        <w:tblInd w:w="-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53"/>
        <w:gridCol w:w="4200"/>
        <w:gridCol w:w="1456"/>
        <w:gridCol w:w="3577"/>
      </w:tblGrid>
      <w:tr w:rsidR="00AE1389" w:rsidRPr="00AE1389" w:rsidTr="005A1BAD">
        <w:trPr>
          <w:trHeight w:val="885"/>
        </w:trPr>
        <w:tc>
          <w:tcPr>
            <w:tcW w:w="334" w:type="pct"/>
            <w:vAlign w:val="center"/>
          </w:tcPr>
          <w:p w:rsidR="00AE1389" w:rsidRPr="00AE1389" w:rsidRDefault="00AE1389" w:rsidP="00AE1389">
            <w:pPr>
              <w:adjustRightInd w:val="0"/>
              <w:snapToGrid w:val="0"/>
              <w:rPr>
                <w:rFonts w:ascii="標楷體" w:eastAsia="標楷體" w:hAnsi="標楷體"/>
                <w:b/>
                <w:bCs/>
                <w:color w:val="000000" w:themeColor="text1"/>
                <w:sz w:val="28"/>
                <w:szCs w:val="28"/>
              </w:rPr>
            </w:pPr>
            <w:r w:rsidRPr="00AE1389">
              <w:rPr>
                <w:rFonts w:ascii="標楷體" w:eastAsia="標楷體" w:hAnsi="標楷體" w:hint="eastAsia"/>
                <w:b/>
                <w:bCs/>
                <w:color w:val="000000" w:themeColor="text1"/>
                <w:sz w:val="28"/>
                <w:szCs w:val="28"/>
              </w:rPr>
              <w:t>序號</w:t>
            </w:r>
          </w:p>
        </w:tc>
        <w:tc>
          <w:tcPr>
            <w:tcW w:w="2128" w:type="pct"/>
            <w:vAlign w:val="center"/>
          </w:tcPr>
          <w:p w:rsidR="00AE1389" w:rsidRPr="00AE1389" w:rsidRDefault="00AE1389" w:rsidP="00AE1389">
            <w:pPr>
              <w:adjustRightInd w:val="0"/>
              <w:snapToGrid w:val="0"/>
              <w:jc w:val="center"/>
              <w:rPr>
                <w:rFonts w:ascii="標楷體" w:eastAsia="標楷體" w:hAnsi="標楷體"/>
                <w:b/>
                <w:bCs/>
                <w:color w:val="000000" w:themeColor="text1"/>
                <w:sz w:val="28"/>
                <w:szCs w:val="28"/>
              </w:rPr>
            </w:pPr>
            <w:r w:rsidRPr="00AE1389">
              <w:rPr>
                <w:rFonts w:ascii="標楷體" w:eastAsia="標楷體" w:hAnsi="標楷體" w:hint="eastAsia"/>
                <w:b/>
                <w:bCs/>
                <w:color w:val="000000" w:themeColor="text1"/>
                <w:sz w:val="28"/>
                <w:szCs w:val="28"/>
              </w:rPr>
              <w:t>案由</w:t>
            </w:r>
          </w:p>
        </w:tc>
        <w:tc>
          <w:tcPr>
            <w:tcW w:w="726" w:type="pct"/>
            <w:vAlign w:val="center"/>
          </w:tcPr>
          <w:p w:rsidR="00AE1389" w:rsidRPr="00AE1389" w:rsidRDefault="00AE1389" w:rsidP="00AE1389">
            <w:pPr>
              <w:adjustRightInd w:val="0"/>
              <w:snapToGrid w:val="0"/>
              <w:jc w:val="center"/>
              <w:rPr>
                <w:rFonts w:ascii="標楷體" w:eastAsia="標楷體" w:hAnsi="標楷體"/>
                <w:b/>
                <w:bCs/>
                <w:color w:val="000000" w:themeColor="text1"/>
                <w:sz w:val="28"/>
                <w:szCs w:val="28"/>
              </w:rPr>
            </w:pPr>
            <w:r w:rsidRPr="00AE1389">
              <w:rPr>
                <w:rFonts w:ascii="標楷體" w:eastAsia="標楷體" w:hAnsi="標楷體" w:hint="eastAsia"/>
                <w:b/>
                <w:bCs/>
                <w:color w:val="000000" w:themeColor="text1"/>
                <w:sz w:val="28"/>
                <w:szCs w:val="28"/>
              </w:rPr>
              <w:t>院會交付</w:t>
            </w:r>
          </w:p>
          <w:p w:rsidR="00AE1389" w:rsidRPr="00AE1389" w:rsidRDefault="00AE1389" w:rsidP="00AE1389">
            <w:pPr>
              <w:adjustRightInd w:val="0"/>
              <w:snapToGrid w:val="0"/>
              <w:jc w:val="center"/>
              <w:rPr>
                <w:rFonts w:ascii="標楷體" w:eastAsia="標楷體" w:hAnsi="標楷體"/>
                <w:b/>
                <w:bCs/>
                <w:color w:val="000000" w:themeColor="text1"/>
                <w:sz w:val="28"/>
                <w:szCs w:val="28"/>
              </w:rPr>
            </w:pPr>
            <w:r w:rsidRPr="00AE1389">
              <w:rPr>
                <w:rFonts w:ascii="標楷體" w:eastAsia="標楷體" w:hAnsi="標楷體" w:hint="eastAsia"/>
                <w:b/>
                <w:bCs/>
                <w:color w:val="000000" w:themeColor="text1"/>
                <w:sz w:val="28"/>
                <w:szCs w:val="28"/>
              </w:rPr>
              <w:t>會次及日期</w:t>
            </w:r>
          </w:p>
        </w:tc>
        <w:tc>
          <w:tcPr>
            <w:tcW w:w="1812" w:type="pct"/>
            <w:vAlign w:val="center"/>
          </w:tcPr>
          <w:p w:rsidR="00AE1389" w:rsidRPr="00AE1389" w:rsidRDefault="00AE1389" w:rsidP="00AE1389">
            <w:pPr>
              <w:spacing w:line="400" w:lineRule="exact"/>
              <w:jc w:val="distribute"/>
              <w:rPr>
                <w:rFonts w:ascii="標楷體" w:eastAsia="標楷體" w:hAnsi="標楷體"/>
                <w:b/>
                <w:bCs/>
                <w:color w:val="000000" w:themeColor="text1"/>
                <w:sz w:val="28"/>
                <w:szCs w:val="28"/>
              </w:rPr>
            </w:pPr>
            <w:r w:rsidRPr="00AE1389">
              <w:rPr>
                <w:rFonts w:ascii="標楷體" w:eastAsia="標楷體" w:hint="eastAsia"/>
                <w:b/>
                <w:bCs/>
                <w:color w:val="000000" w:themeColor="text1"/>
                <w:sz w:val="28"/>
              </w:rPr>
              <w:t>處理情形</w:t>
            </w:r>
          </w:p>
        </w:tc>
      </w:tr>
      <w:tr w:rsidR="00AE1389" w:rsidRPr="00AE1389" w:rsidTr="005A1BAD">
        <w:trPr>
          <w:trHeight w:val="951"/>
        </w:trPr>
        <w:tc>
          <w:tcPr>
            <w:tcW w:w="334" w:type="pct"/>
            <w:vMerge w:val="restart"/>
            <w:vAlign w:val="center"/>
          </w:tcPr>
          <w:p w:rsidR="00AE1389" w:rsidRPr="00AE1389" w:rsidRDefault="00AE1389" w:rsidP="00AE1389">
            <w:pPr>
              <w:spacing w:line="400" w:lineRule="exact"/>
              <w:ind w:leftChars="-12" w:left="-29" w:firstLine="2"/>
              <w:jc w:val="center"/>
              <w:rPr>
                <w:rFonts w:ascii="標楷體" w:eastAsia="標楷體" w:hAnsi="標楷體"/>
                <w:b/>
                <w:color w:val="000000" w:themeColor="text1"/>
                <w:sz w:val="28"/>
              </w:rPr>
            </w:pPr>
            <w:r w:rsidRPr="00AE1389">
              <w:rPr>
                <w:rFonts w:ascii="標楷體" w:eastAsia="標楷體" w:hAnsi="標楷體" w:hint="eastAsia"/>
                <w:b/>
                <w:color w:val="000000" w:themeColor="text1"/>
                <w:sz w:val="28"/>
              </w:rPr>
              <w:t>1</w:t>
            </w:r>
          </w:p>
        </w:tc>
        <w:tc>
          <w:tcPr>
            <w:tcW w:w="2128" w:type="pct"/>
          </w:tcPr>
          <w:p w:rsidR="00AE1389" w:rsidRPr="00AE1389" w:rsidRDefault="00AE1389" w:rsidP="00AE1389">
            <w:pPr>
              <w:spacing w:line="400" w:lineRule="exact"/>
              <w:ind w:leftChars="-12" w:left="-29" w:firstLine="2"/>
              <w:jc w:val="both"/>
              <w:rPr>
                <w:rFonts w:ascii="標楷體" w:eastAsia="標楷體" w:hAnsi="標楷體"/>
                <w:b/>
                <w:color w:val="000000" w:themeColor="text1"/>
                <w:sz w:val="28"/>
              </w:rPr>
            </w:pPr>
            <w:r w:rsidRPr="00AE1389">
              <w:rPr>
                <w:rFonts w:ascii="標楷體" w:eastAsia="標楷體" w:hAnsi="標楷體" w:hint="eastAsia"/>
                <w:b/>
                <w:color w:val="000000" w:themeColor="text1"/>
                <w:sz w:val="28"/>
              </w:rPr>
              <w:t>特別收入基金:</w:t>
            </w:r>
          </w:p>
          <w:p w:rsidR="00AE1389" w:rsidRPr="00AE1389" w:rsidRDefault="00AE1389" w:rsidP="00AE1389">
            <w:pPr>
              <w:spacing w:line="400" w:lineRule="exact"/>
              <w:ind w:leftChars="-12" w:left="-29" w:firstLine="2"/>
              <w:jc w:val="both"/>
              <w:rPr>
                <w:rFonts w:ascii="標楷體" w:eastAsia="標楷體" w:hAnsi="標楷體"/>
                <w:color w:val="000000" w:themeColor="text1"/>
                <w:sz w:val="28"/>
              </w:rPr>
            </w:pPr>
            <w:r w:rsidRPr="00AE1389">
              <w:rPr>
                <w:rFonts w:ascii="標楷體" w:eastAsia="標楷體" w:hAnsi="標楷體" w:hint="eastAsia"/>
                <w:color w:val="000000" w:themeColor="text1"/>
                <w:sz w:val="28"/>
              </w:rPr>
              <w:t>1.中央研究院科學研究基金</w:t>
            </w:r>
          </w:p>
        </w:tc>
        <w:tc>
          <w:tcPr>
            <w:tcW w:w="726" w:type="pct"/>
            <w:vMerge w:val="restart"/>
          </w:tcPr>
          <w:p w:rsidR="00AE1389" w:rsidRPr="00AE1389" w:rsidRDefault="00AE1389" w:rsidP="00AE1389">
            <w:pPr>
              <w:adjustRightInd w:val="0"/>
              <w:snapToGrid w:val="0"/>
              <w:spacing w:line="240" w:lineRule="atLeast"/>
              <w:jc w:val="both"/>
              <w:rPr>
                <w:rFonts w:ascii="標楷體" w:eastAsia="標楷體" w:hAnsi="標楷體"/>
                <w:color w:val="000000" w:themeColor="text1"/>
                <w:szCs w:val="24"/>
              </w:rPr>
            </w:pPr>
            <w:r w:rsidRPr="00AE1389">
              <w:rPr>
                <w:rFonts w:ascii="標楷體" w:eastAsia="標楷體" w:hAnsi="標楷體"/>
                <w:color w:val="000000" w:themeColor="text1"/>
                <w:szCs w:val="24"/>
              </w:rPr>
              <w:t>10-6-2</w:t>
            </w:r>
          </w:p>
          <w:p w:rsidR="00AE1389" w:rsidRPr="00AE1389" w:rsidRDefault="00AE1389" w:rsidP="00AE1389">
            <w:pPr>
              <w:adjustRightInd w:val="0"/>
              <w:snapToGrid w:val="0"/>
              <w:spacing w:line="240" w:lineRule="atLeast"/>
              <w:jc w:val="both"/>
              <w:rPr>
                <w:rFonts w:ascii="標楷體" w:eastAsia="標楷體" w:hAnsi="標楷體"/>
                <w:color w:val="000000" w:themeColor="text1"/>
                <w:szCs w:val="24"/>
              </w:rPr>
            </w:pPr>
            <w:r w:rsidRPr="00AE1389">
              <w:rPr>
                <w:rFonts w:ascii="標楷體" w:eastAsia="標楷體" w:hAnsi="標楷體"/>
                <w:color w:val="000000" w:themeColor="text1"/>
                <w:szCs w:val="24"/>
              </w:rPr>
              <w:t>(111.10.4)</w:t>
            </w:r>
          </w:p>
        </w:tc>
        <w:tc>
          <w:tcPr>
            <w:tcW w:w="1812" w:type="pct"/>
          </w:tcPr>
          <w:p w:rsidR="00AE1389" w:rsidRPr="00AE1389" w:rsidRDefault="00AE1389" w:rsidP="00AE1389">
            <w:pPr>
              <w:adjustRightInd w:val="0"/>
              <w:snapToGrid w:val="0"/>
              <w:spacing w:line="240" w:lineRule="atLeast"/>
              <w:ind w:left="240" w:hangingChars="100" w:hanging="240"/>
              <w:jc w:val="both"/>
              <w:rPr>
                <w:rFonts w:ascii="標楷體" w:eastAsia="標楷體" w:hAnsi="標楷體"/>
                <w:color w:val="000000" w:themeColor="text1"/>
                <w:szCs w:val="24"/>
              </w:rPr>
            </w:pPr>
            <w:r w:rsidRPr="00AE1389">
              <w:rPr>
                <w:rFonts w:ascii="標楷體" w:eastAsia="標楷體" w:hAnsi="標楷體" w:hint="eastAsia"/>
                <w:color w:val="000000" w:themeColor="text1"/>
                <w:szCs w:val="24"/>
              </w:rPr>
              <w:t>1.第6會期第</w:t>
            </w:r>
            <w:r w:rsidRPr="00AE1389">
              <w:rPr>
                <w:rFonts w:ascii="標楷體" w:eastAsia="標楷體" w:hAnsi="標楷體"/>
                <w:color w:val="000000" w:themeColor="text1"/>
                <w:szCs w:val="24"/>
              </w:rPr>
              <w:t>10</w:t>
            </w:r>
            <w:r w:rsidRPr="00AE1389">
              <w:rPr>
                <w:rFonts w:ascii="標楷體" w:eastAsia="標楷體" w:hAnsi="標楷體" w:hint="eastAsia"/>
                <w:color w:val="000000" w:themeColor="text1"/>
                <w:szCs w:val="24"/>
              </w:rPr>
              <w:t>次全體委員會議（111.1</w:t>
            </w:r>
            <w:r w:rsidRPr="00AE1389">
              <w:rPr>
                <w:rFonts w:ascii="標楷體" w:eastAsia="標楷體" w:hAnsi="標楷體"/>
                <w:color w:val="000000" w:themeColor="text1"/>
                <w:szCs w:val="24"/>
              </w:rPr>
              <w:t>1</w:t>
            </w:r>
            <w:r w:rsidRPr="00AE1389">
              <w:rPr>
                <w:rFonts w:ascii="標楷體" w:eastAsia="標楷體" w:hAnsi="標楷體" w:hint="eastAsia"/>
                <w:color w:val="000000" w:themeColor="text1"/>
                <w:szCs w:val="24"/>
              </w:rPr>
              <w:t>.2</w:t>
            </w:r>
            <w:r w:rsidRPr="00AE1389">
              <w:rPr>
                <w:rFonts w:ascii="標楷體" w:eastAsia="標楷體" w:hAnsi="標楷體"/>
                <w:color w:val="000000" w:themeColor="text1"/>
                <w:szCs w:val="24"/>
              </w:rPr>
              <w:t>3</w:t>
            </w:r>
            <w:r w:rsidRPr="00AE1389">
              <w:rPr>
                <w:rFonts w:ascii="標楷體" w:eastAsia="標楷體" w:hAnsi="標楷體" w:hint="eastAsia"/>
                <w:color w:val="000000" w:themeColor="text1"/>
                <w:szCs w:val="24"/>
              </w:rPr>
              <w:t>）決議：報告及詢答完畢，另定期繼續審查。</w:t>
            </w:r>
          </w:p>
          <w:p w:rsidR="00AE1389" w:rsidRPr="00AE1389" w:rsidRDefault="00AE1389" w:rsidP="00AE1389">
            <w:pPr>
              <w:ind w:left="146" w:hangingChars="61" w:hanging="146"/>
              <w:jc w:val="both"/>
              <w:rPr>
                <w:rFonts w:ascii="標楷體" w:eastAsia="標楷體" w:hAnsi="標楷體"/>
                <w:color w:val="000000" w:themeColor="text1"/>
                <w:szCs w:val="24"/>
              </w:rPr>
            </w:pPr>
            <w:r w:rsidRPr="00AE1389">
              <w:rPr>
                <w:rFonts w:ascii="標楷體" w:eastAsia="標楷體" w:hAnsi="標楷體" w:hint="eastAsia"/>
                <w:color w:val="000000" w:themeColor="text1"/>
                <w:szCs w:val="24"/>
              </w:rPr>
              <w:t>2</w:t>
            </w:r>
            <w:r w:rsidRPr="00AE1389">
              <w:rPr>
                <w:rFonts w:ascii="標楷體" w:eastAsia="標楷體" w:hAnsi="標楷體"/>
                <w:color w:val="000000" w:themeColor="text1"/>
                <w:szCs w:val="24"/>
              </w:rPr>
              <w:t>.</w:t>
            </w:r>
            <w:r w:rsidRPr="00AE1389">
              <w:rPr>
                <w:rFonts w:ascii="標楷體" w:eastAsia="標楷體" w:hAnsi="標楷體" w:hint="eastAsia"/>
                <w:color w:val="000000" w:themeColor="text1"/>
                <w:szCs w:val="24"/>
              </w:rPr>
              <w:t>第6會期第</w:t>
            </w:r>
            <w:r w:rsidRPr="00AE1389">
              <w:rPr>
                <w:rFonts w:ascii="標楷體" w:eastAsia="標楷體" w:hAnsi="標楷體"/>
                <w:color w:val="000000" w:themeColor="text1"/>
                <w:szCs w:val="24"/>
              </w:rPr>
              <w:t>13</w:t>
            </w:r>
            <w:r w:rsidRPr="00AE1389">
              <w:rPr>
                <w:rFonts w:ascii="標楷體" w:eastAsia="標楷體" w:hAnsi="標楷體" w:hint="eastAsia"/>
                <w:color w:val="000000" w:themeColor="text1"/>
                <w:szCs w:val="24"/>
              </w:rPr>
              <w:t>次全體委員會議（111.1</w:t>
            </w:r>
            <w:r w:rsidRPr="00AE1389">
              <w:rPr>
                <w:rFonts w:ascii="標楷體" w:eastAsia="標楷體" w:hAnsi="標楷體"/>
                <w:color w:val="000000" w:themeColor="text1"/>
                <w:szCs w:val="24"/>
              </w:rPr>
              <w:t>2</w:t>
            </w:r>
            <w:r w:rsidRPr="00AE1389">
              <w:rPr>
                <w:rFonts w:ascii="標楷體" w:eastAsia="標楷體" w:hAnsi="標楷體" w:hint="eastAsia"/>
                <w:color w:val="000000" w:themeColor="text1"/>
                <w:szCs w:val="24"/>
              </w:rPr>
              <w:t>.</w:t>
            </w:r>
            <w:r w:rsidRPr="00AE1389">
              <w:rPr>
                <w:rFonts w:ascii="標楷體" w:eastAsia="標楷體" w:hAnsi="標楷體"/>
                <w:color w:val="000000" w:themeColor="text1"/>
                <w:szCs w:val="24"/>
              </w:rPr>
              <w:t>7</w:t>
            </w:r>
            <w:r w:rsidRPr="00AE1389">
              <w:rPr>
                <w:rFonts w:ascii="標楷體" w:eastAsia="標楷體" w:hAnsi="標楷體" w:hint="eastAsia"/>
                <w:color w:val="000000" w:themeColor="text1"/>
                <w:szCs w:val="24"/>
              </w:rPr>
              <w:t>）決議：審查完竣。</w:t>
            </w:r>
          </w:p>
        </w:tc>
      </w:tr>
      <w:tr w:rsidR="00AE1389" w:rsidRPr="00AE1389" w:rsidTr="005A1BAD">
        <w:trPr>
          <w:trHeight w:val="790"/>
        </w:trPr>
        <w:tc>
          <w:tcPr>
            <w:tcW w:w="334" w:type="pct"/>
            <w:vMerge/>
          </w:tcPr>
          <w:p w:rsidR="00AE1389" w:rsidRPr="00AE1389" w:rsidRDefault="00AE1389" w:rsidP="00AE1389">
            <w:pPr>
              <w:spacing w:line="400" w:lineRule="exact"/>
              <w:ind w:leftChars="-12" w:left="-29" w:firstLine="2"/>
              <w:jc w:val="both"/>
              <w:rPr>
                <w:rFonts w:ascii="標楷體" w:eastAsia="標楷體" w:hAnsi="標楷體"/>
                <w:color w:val="000000" w:themeColor="text1"/>
                <w:sz w:val="28"/>
              </w:rPr>
            </w:pPr>
          </w:p>
        </w:tc>
        <w:tc>
          <w:tcPr>
            <w:tcW w:w="2128" w:type="pct"/>
          </w:tcPr>
          <w:p w:rsidR="00AE1389" w:rsidRPr="00AE1389" w:rsidRDefault="00AE1389" w:rsidP="00AE1389">
            <w:pPr>
              <w:spacing w:line="400" w:lineRule="exact"/>
              <w:ind w:leftChars="-12" w:left="-29" w:firstLine="2"/>
              <w:jc w:val="both"/>
              <w:rPr>
                <w:rFonts w:ascii="標楷體" w:eastAsia="標楷體" w:hAnsi="標楷體"/>
                <w:color w:val="000000" w:themeColor="text1"/>
                <w:sz w:val="28"/>
              </w:rPr>
            </w:pPr>
            <w:r w:rsidRPr="00AE1389">
              <w:rPr>
                <w:rFonts w:ascii="標楷體" w:eastAsia="標楷體" w:hAnsi="標楷體" w:hint="eastAsia"/>
                <w:color w:val="000000" w:themeColor="text1"/>
                <w:sz w:val="28"/>
              </w:rPr>
              <w:t>2.行政院國家科學技術發展基金</w:t>
            </w:r>
          </w:p>
        </w:tc>
        <w:tc>
          <w:tcPr>
            <w:tcW w:w="726" w:type="pct"/>
            <w:vMerge/>
          </w:tcPr>
          <w:p w:rsidR="00AE1389" w:rsidRPr="00AE1389" w:rsidRDefault="00AE1389" w:rsidP="00AE1389">
            <w:pPr>
              <w:adjustRightInd w:val="0"/>
              <w:snapToGrid w:val="0"/>
              <w:spacing w:line="240" w:lineRule="atLeast"/>
              <w:jc w:val="both"/>
              <w:rPr>
                <w:rFonts w:ascii="標楷體" w:eastAsia="標楷體" w:hAnsi="標楷體"/>
                <w:color w:val="000000" w:themeColor="text1"/>
                <w:szCs w:val="24"/>
              </w:rPr>
            </w:pPr>
          </w:p>
        </w:tc>
        <w:tc>
          <w:tcPr>
            <w:tcW w:w="1812" w:type="pct"/>
          </w:tcPr>
          <w:p w:rsidR="00AE1389" w:rsidRPr="00AE1389" w:rsidRDefault="00AE1389" w:rsidP="00AE1389">
            <w:pPr>
              <w:adjustRightInd w:val="0"/>
              <w:snapToGrid w:val="0"/>
              <w:spacing w:line="240" w:lineRule="atLeast"/>
              <w:ind w:left="240" w:hangingChars="100" w:hanging="240"/>
              <w:jc w:val="both"/>
              <w:rPr>
                <w:rFonts w:ascii="標楷體" w:eastAsia="標楷體" w:hAnsi="標楷體"/>
                <w:color w:val="000000" w:themeColor="text1"/>
                <w:szCs w:val="24"/>
              </w:rPr>
            </w:pPr>
            <w:r>
              <w:rPr>
                <w:rFonts w:ascii="標楷體" w:eastAsia="標楷體" w:hAnsi="標楷體" w:hint="eastAsia"/>
                <w:color w:val="000000" w:themeColor="text1"/>
                <w:szCs w:val="24"/>
              </w:rPr>
              <w:t>1.</w:t>
            </w:r>
            <w:r w:rsidRPr="00AE1389">
              <w:rPr>
                <w:rFonts w:ascii="標楷體" w:eastAsia="標楷體" w:hAnsi="標楷體" w:hint="eastAsia"/>
                <w:color w:val="000000" w:themeColor="text1"/>
                <w:szCs w:val="24"/>
              </w:rPr>
              <w:t>第6會期第7次全體委員會議（111.1</w:t>
            </w:r>
            <w:r w:rsidRPr="00AE1389">
              <w:rPr>
                <w:rFonts w:ascii="標楷體" w:eastAsia="標楷體" w:hAnsi="標楷體"/>
                <w:color w:val="000000" w:themeColor="text1"/>
                <w:szCs w:val="24"/>
              </w:rPr>
              <w:t>1</w:t>
            </w:r>
            <w:r w:rsidRPr="00AE1389">
              <w:rPr>
                <w:rFonts w:ascii="標楷體" w:eastAsia="標楷體" w:hAnsi="標楷體" w:hint="eastAsia"/>
                <w:color w:val="000000" w:themeColor="text1"/>
                <w:szCs w:val="24"/>
              </w:rPr>
              <w:t>.</w:t>
            </w:r>
            <w:r w:rsidRPr="00AE1389">
              <w:rPr>
                <w:rFonts w:ascii="標楷體" w:eastAsia="標楷體" w:hAnsi="標楷體"/>
                <w:color w:val="000000" w:themeColor="text1"/>
                <w:szCs w:val="24"/>
              </w:rPr>
              <w:t>9</w:t>
            </w:r>
            <w:r w:rsidRPr="00AE1389">
              <w:rPr>
                <w:rFonts w:ascii="標楷體" w:eastAsia="標楷體" w:hAnsi="標楷體" w:hint="eastAsia"/>
                <w:color w:val="000000" w:themeColor="text1"/>
                <w:szCs w:val="24"/>
              </w:rPr>
              <w:t>）決議：報告及詢答完畢，另定期繼續審查。</w:t>
            </w:r>
          </w:p>
          <w:p w:rsidR="00AE1389" w:rsidRPr="00AE1389" w:rsidRDefault="00AE1389" w:rsidP="00AE1389">
            <w:pPr>
              <w:adjustRightInd w:val="0"/>
              <w:snapToGrid w:val="0"/>
              <w:spacing w:line="240" w:lineRule="atLeast"/>
              <w:ind w:left="240" w:hangingChars="100" w:hanging="240"/>
              <w:jc w:val="both"/>
              <w:rPr>
                <w:rFonts w:ascii="標楷體" w:eastAsia="標楷體" w:hAnsi="標楷體"/>
                <w:color w:val="000000" w:themeColor="text1"/>
                <w:szCs w:val="24"/>
              </w:rPr>
            </w:pPr>
            <w:r>
              <w:rPr>
                <w:rFonts w:ascii="標楷體" w:eastAsia="標楷體" w:hAnsi="標楷體" w:hint="eastAsia"/>
                <w:color w:val="000000" w:themeColor="text1"/>
                <w:szCs w:val="24"/>
              </w:rPr>
              <w:t>2.</w:t>
            </w:r>
            <w:r w:rsidRPr="00AE1389">
              <w:rPr>
                <w:rFonts w:ascii="標楷體" w:eastAsia="標楷體" w:hAnsi="標楷體" w:hint="eastAsia"/>
                <w:color w:val="000000" w:themeColor="text1"/>
                <w:szCs w:val="24"/>
              </w:rPr>
              <w:t>第6會期第13次全體委員會議（111.12.8）決議：審查完竣。</w:t>
            </w:r>
          </w:p>
        </w:tc>
      </w:tr>
      <w:tr w:rsidR="00AE1389" w:rsidRPr="00AE1389" w:rsidTr="005A1BAD">
        <w:trPr>
          <w:trHeight w:val="1221"/>
        </w:trPr>
        <w:tc>
          <w:tcPr>
            <w:tcW w:w="334" w:type="pct"/>
            <w:vMerge/>
          </w:tcPr>
          <w:p w:rsidR="00AE1389" w:rsidRPr="00AE1389" w:rsidRDefault="00AE1389" w:rsidP="00AE1389">
            <w:pPr>
              <w:spacing w:line="400" w:lineRule="exact"/>
              <w:ind w:leftChars="-12" w:left="-29" w:firstLine="2"/>
              <w:jc w:val="both"/>
              <w:rPr>
                <w:rFonts w:ascii="標楷體" w:eastAsia="標楷體" w:hAnsi="標楷體"/>
                <w:color w:val="000000" w:themeColor="text1"/>
                <w:sz w:val="28"/>
              </w:rPr>
            </w:pPr>
          </w:p>
        </w:tc>
        <w:tc>
          <w:tcPr>
            <w:tcW w:w="2128" w:type="pct"/>
          </w:tcPr>
          <w:p w:rsidR="00AE1389" w:rsidRPr="00AE1389" w:rsidRDefault="00AE1389" w:rsidP="00AE1389">
            <w:pPr>
              <w:spacing w:line="400" w:lineRule="exact"/>
              <w:ind w:leftChars="-12" w:left="-29" w:firstLine="2"/>
              <w:jc w:val="both"/>
              <w:rPr>
                <w:rFonts w:ascii="標楷體" w:eastAsia="標楷體" w:hAnsi="標楷體"/>
                <w:color w:val="000000" w:themeColor="text1"/>
                <w:sz w:val="28"/>
              </w:rPr>
            </w:pPr>
            <w:r w:rsidRPr="00AE1389">
              <w:rPr>
                <w:rFonts w:ascii="標楷體" w:eastAsia="標楷體" w:hAnsi="標楷體" w:hint="eastAsia"/>
                <w:color w:val="000000" w:themeColor="text1"/>
                <w:sz w:val="28"/>
              </w:rPr>
              <w:t>3.學產基金</w:t>
            </w:r>
          </w:p>
          <w:p w:rsidR="00AE1389" w:rsidRPr="00AE1389" w:rsidRDefault="00AE1389" w:rsidP="00AE1389">
            <w:pPr>
              <w:spacing w:line="400" w:lineRule="exact"/>
              <w:ind w:leftChars="-12" w:left="-29" w:firstLine="2"/>
              <w:jc w:val="both"/>
              <w:rPr>
                <w:rFonts w:ascii="標楷體" w:eastAsia="標楷體" w:hAnsi="標楷體"/>
                <w:color w:val="000000" w:themeColor="text1"/>
                <w:sz w:val="28"/>
              </w:rPr>
            </w:pPr>
            <w:r w:rsidRPr="00AE1389">
              <w:rPr>
                <w:rFonts w:ascii="標楷體" w:eastAsia="標楷體" w:hAnsi="標楷體" w:hint="eastAsia"/>
                <w:color w:val="000000" w:themeColor="text1"/>
                <w:sz w:val="28"/>
              </w:rPr>
              <w:t>4.運動發展基金</w:t>
            </w:r>
          </w:p>
          <w:p w:rsidR="00AE1389" w:rsidRPr="00AE1389" w:rsidRDefault="00AE1389" w:rsidP="00AE1389">
            <w:pPr>
              <w:spacing w:line="400" w:lineRule="exact"/>
              <w:ind w:leftChars="-12" w:left="-29" w:firstLine="2"/>
              <w:jc w:val="both"/>
              <w:rPr>
                <w:rFonts w:ascii="標楷體" w:eastAsia="標楷體" w:hAnsi="標楷體"/>
                <w:color w:val="000000" w:themeColor="text1"/>
                <w:sz w:val="28"/>
              </w:rPr>
            </w:pPr>
            <w:r w:rsidRPr="00AE1389">
              <w:rPr>
                <w:rFonts w:ascii="標楷體" w:eastAsia="標楷體" w:hAnsi="標楷體" w:hint="eastAsia"/>
                <w:color w:val="000000" w:themeColor="text1"/>
                <w:sz w:val="28"/>
              </w:rPr>
              <w:t>5.私立高級中等以上學校退場基金</w:t>
            </w:r>
          </w:p>
        </w:tc>
        <w:tc>
          <w:tcPr>
            <w:tcW w:w="726" w:type="pct"/>
            <w:vMerge/>
          </w:tcPr>
          <w:p w:rsidR="00AE1389" w:rsidRPr="00AE1389" w:rsidRDefault="00AE1389" w:rsidP="00AE1389">
            <w:pPr>
              <w:adjustRightInd w:val="0"/>
              <w:snapToGrid w:val="0"/>
              <w:spacing w:line="240" w:lineRule="atLeast"/>
              <w:jc w:val="both"/>
              <w:rPr>
                <w:rFonts w:ascii="標楷體" w:eastAsia="標楷體" w:hAnsi="標楷體"/>
                <w:color w:val="000000" w:themeColor="text1"/>
                <w:szCs w:val="24"/>
              </w:rPr>
            </w:pPr>
          </w:p>
        </w:tc>
        <w:tc>
          <w:tcPr>
            <w:tcW w:w="1812" w:type="pct"/>
          </w:tcPr>
          <w:p w:rsidR="00AE1389" w:rsidRPr="00AE1389" w:rsidRDefault="00AE1389" w:rsidP="00AE1389">
            <w:pPr>
              <w:adjustRightInd w:val="0"/>
              <w:snapToGrid w:val="0"/>
              <w:spacing w:line="240" w:lineRule="atLeast"/>
              <w:ind w:left="240" w:hangingChars="100" w:hanging="240"/>
              <w:jc w:val="both"/>
              <w:rPr>
                <w:rFonts w:ascii="標楷體" w:eastAsia="標楷體" w:hAnsi="標楷體"/>
                <w:color w:val="000000" w:themeColor="text1"/>
                <w:szCs w:val="24"/>
              </w:rPr>
            </w:pPr>
            <w:r>
              <w:rPr>
                <w:rFonts w:ascii="標楷體" w:eastAsia="標楷體" w:hAnsi="標楷體" w:hint="eastAsia"/>
                <w:color w:val="000000" w:themeColor="text1"/>
                <w:szCs w:val="24"/>
              </w:rPr>
              <w:t>1.</w:t>
            </w:r>
            <w:r w:rsidRPr="00AE1389">
              <w:rPr>
                <w:rFonts w:ascii="標楷體" w:eastAsia="標楷體" w:hAnsi="標楷體" w:hint="eastAsia"/>
                <w:color w:val="000000" w:themeColor="text1"/>
                <w:szCs w:val="24"/>
              </w:rPr>
              <w:t>第6會期第4次全體委員會議（111.10.20）決議：報告及詢答完畢，另定期繼續審查。</w:t>
            </w:r>
          </w:p>
          <w:p w:rsidR="00AE1389" w:rsidRPr="00AE1389" w:rsidRDefault="00AE1389" w:rsidP="00AE1389">
            <w:pPr>
              <w:adjustRightInd w:val="0"/>
              <w:snapToGrid w:val="0"/>
              <w:spacing w:line="240" w:lineRule="atLeast"/>
              <w:ind w:left="240" w:hangingChars="100" w:hanging="240"/>
              <w:jc w:val="both"/>
              <w:rPr>
                <w:rFonts w:ascii="標楷體" w:eastAsia="標楷體" w:hAnsi="標楷體"/>
                <w:color w:val="000000" w:themeColor="text1"/>
                <w:szCs w:val="24"/>
              </w:rPr>
            </w:pPr>
            <w:r>
              <w:rPr>
                <w:rFonts w:ascii="標楷體" w:eastAsia="標楷體" w:hAnsi="標楷體" w:hint="eastAsia"/>
                <w:color w:val="000000" w:themeColor="text1"/>
                <w:szCs w:val="24"/>
              </w:rPr>
              <w:t>2.</w:t>
            </w:r>
            <w:r w:rsidRPr="00AE1389">
              <w:rPr>
                <w:rFonts w:ascii="標楷體" w:eastAsia="標楷體" w:hAnsi="標楷體" w:hint="eastAsia"/>
                <w:color w:val="000000" w:themeColor="text1"/>
                <w:szCs w:val="24"/>
              </w:rPr>
              <w:t>第6會期第6次全體委員會議（111.11.3）決議：審查完竣。</w:t>
            </w:r>
          </w:p>
        </w:tc>
      </w:tr>
      <w:tr w:rsidR="00AE1389" w:rsidRPr="00AE1389" w:rsidTr="005A1BAD">
        <w:trPr>
          <w:trHeight w:val="790"/>
        </w:trPr>
        <w:tc>
          <w:tcPr>
            <w:tcW w:w="334" w:type="pct"/>
            <w:vMerge/>
          </w:tcPr>
          <w:p w:rsidR="00AE1389" w:rsidRPr="00AE1389" w:rsidRDefault="00AE1389" w:rsidP="00AE1389">
            <w:pPr>
              <w:spacing w:line="400" w:lineRule="exact"/>
              <w:ind w:leftChars="-12" w:left="-29" w:firstLine="2"/>
              <w:jc w:val="both"/>
              <w:rPr>
                <w:rFonts w:ascii="標楷體" w:eastAsia="標楷體" w:hAnsi="標楷體"/>
                <w:color w:val="000000" w:themeColor="text1"/>
                <w:sz w:val="28"/>
              </w:rPr>
            </w:pPr>
          </w:p>
        </w:tc>
        <w:tc>
          <w:tcPr>
            <w:tcW w:w="2128" w:type="pct"/>
          </w:tcPr>
          <w:p w:rsidR="00AE1389" w:rsidRPr="00AE1389" w:rsidRDefault="00AE1389" w:rsidP="00AE1389">
            <w:pPr>
              <w:spacing w:line="400" w:lineRule="exact"/>
              <w:ind w:leftChars="-12" w:left="-29" w:firstLine="2"/>
              <w:jc w:val="both"/>
              <w:rPr>
                <w:rFonts w:ascii="標楷體" w:eastAsia="標楷體" w:hAnsi="標楷體"/>
                <w:color w:val="000000" w:themeColor="text1"/>
                <w:sz w:val="28"/>
              </w:rPr>
            </w:pPr>
            <w:r w:rsidRPr="00AE1389">
              <w:rPr>
                <w:rFonts w:ascii="標楷體" w:eastAsia="標楷體" w:hAnsi="標楷體" w:hint="eastAsia"/>
                <w:color w:val="000000" w:themeColor="text1"/>
                <w:sz w:val="28"/>
              </w:rPr>
              <w:t>6.核子事故緊急應變基金</w:t>
            </w:r>
          </w:p>
        </w:tc>
        <w:tc>
          <w:tcPr>
            <w:tcW w:w="726" w:type="pct"/>
            <w:vMerge/>
          </w:tcPr>
          <w:p w:rsidR="00AE1389" w:rsidRPr="00AE1389" w:rsidRDefault="00AE1389" w:rsidP="00AE1389">
            <w:pPr>
              <w:adjustRightInd w:val="0"/>
              <w:snapToGrid w:val="0"/>
              <w:spacing w:line="240" w:lineRule="atLeast"/>
              <w:jc w:val="both"/>
              <w:rPr>
                <w:rFonts w:ascii="標楷體" w:eastAsia="標楷體" w:hAnsi="標楷體"/>
                <w:color w:val="000000" w:themeColor="text1"/>
                <w:szCs w:val="24"/>
              </w:rPr>
            </w:pPr>
          </w:p>
        </w:tc>
        <w:tc>
          <w:tcPr>
            <w:tcW w:w="1812" w:type="pct"/>
          </w:tcPr>
          <w:p w:rsidR="00AE1389" w:rsidRPr="00AE1389" w:rsidRDefault="00AE1389" w:rsidP="00AE1389">
            <w:pPr>
              <w:adjustRightInd w:val="0"/>
              <w:snapToGrid w:val="0"/>
              <w:spacing w:line="240" w:lineRule="atLeast"/>
              <w:ind w:left="240" w:hangingChars="100" w:hanging="240"/>
              <w:jc w:val="both"/>
              <w:rPr>
                <w:rFonts w:ascii="標楷體" w:eastAsia="標楷體" w:hAnsi="標楷體"/>
                <w:color w:val="000000" w:themeColor="text1"/>
                <w:szCs w:val="24"/>
              </w:rPr>
            </w:pPr>
            <w:r w:rsidRPr="00AE1389">
              <w:rPr>
                <w:rFonts w:ascii="標楷體" w:eastAsia="標楷體" w:hAnsi="標楷體" w:hint="eastAsia"/>
                <w:color w:val="000000" w:themeColor="text1"/>
                <w:szCs w:val="24"/>
              </w:rPr>
              <w:t>1</w:t>
            </w:r>
            <w:r w:rsidRPr="00AE1389">
              <w:rPr>
                <w:rFonts w:ascii="標楷體" w:eastAsia="標楷體" w:hAnsi="標楷體"/>
                <w:color w:val="000000" w:themeColor="text1"/>
                <w:szCs w:val="24"/>
              </w:rPr>
              <w:t>.</w:t>
            </w:r>
            <w:r w:rsidRPr="00AE1389">
              <w:rPr>
                <w:rFonts w:ascii="標楷體" w:eastAsia="標楷體" w:hAnsi="標楷體" w:hint="eastAsia"/>
                <w:color w:val="000000" w:themeColor="text1"/>
                <w:szCs w:val="24"/>
              </w:rPr>
              <w:t>第</w:t>
            </w:r>
            <w:r w:rsidRPr="00AE1389">
              <w:rPr>
                <w:rFonts w:ascii="標楷體" w:eastAsia="標楷體" w:hAnsi="標楷體"/>
                <w:color w:val="000000" w:themeColor="text1"/>
                <w:szCs w:val="24"/>
              </w:rPr>
              <w:t>6</w:t>
            </w:r>
            <w:r w:rsidRPr="00AE1389">
              <w:rPr>
                <w:rFonts w:ascii="標楷體" w:eastAsia="標楷體" w:hAnsi="標楷體" w:hint="eastAsia"/>
                <w:color w:val="000000" w:themeColor="text1"/>
                <w:szCs w:val="24"/>
              </w:rPr>
              <w:t>會期第</w:t>
            </w:r>
            <w:r w:rsidRPr="00AE1389">
              <w:rPr>
                <w:rFonts w:ascii="標楷體" w:eastAsia="標楷體" w:hAnsi="標楷體"/>
                <w:color w:val="000000" w:themeColor="text1"/>
                <w:szCs w:val="24"/>
              </w:rPr>
              <w:t>12</w:t>
            </w:r>
            <w:r w:rsidRPr="00AE1389">
              <w:rPr>
                <w:rFonts w:ascii="標楷體" w:eastAsia="標楷體" w:hAnsi="標楷體" w:hint="eastAsia"/>
                <w:color w:val="000000" w:themeColor="text1"/>
                <w:szCs w:val="24"/>
              </w:rPr>
              <w:t>次全體委員會議（11</w:t>
            </w:r>
            <w:r w:rsidRPr="00AE1389">
              <w:rPr>
                <w:rFonts w:ascii="標楷體" w:eastAsia="標楷體" w:hAnsi="標楷體"/>
                <w:color w:val="000000" w:themeColor="text1"/>
                <w:szCs w:val="24"/>
              </w:rPr>
              <w:t>1</w:t>
            </w:r>
            <w:r w:rsidRPr="00AE1389">
              <w:rPr>
                <w:rFonts w:ascii="標楷體" w:eastAsia="標楷體" w:hAnsi="標楷體" w:hint="eastAsia"/>
                <w:color w:val="000000" w:themeColor="text1"/>
                <w:szCs w:val="24"/>
              </w:rPr>
              <w:t>.1</w:t>
            </w:r>
            <w:r w:rsidRPr="00AE1389">
              <w:rPr>
                <w:rFonts w:ascii="標楷體" w:eastAsia="標楷體" w:hAnsi="標楷體"/>
                <w:color w:val="000000" w:themeColor="text1"/>
                <w:szCs w:val="24"/>
              </w:rPr>
              <w:t>1</w:t>
            </w:r>
            <w:r w:rsidRPr="00AE1389">
              <w:rPr>
                <w:rFonts w:ascii="標楷體" w:eastAsia="標楷體" w:hAnsi="標楷體" w:hint="eastAsia"/>
                <w:color w:val="000000" w:themeColor="text1"/>
                <w:szCs w:val="24"/>
              </w:rPr>
              <w:t>.</w:t>
            </w:r>
            <w:r w:rsidRPr="00AE1389">
              <w:rPr>
                <w:rFonts w:ascii="標楷體" w:eastAsia="標楷體" w:hAnsi="標楷體"/>
                <w:color w:val="000000" w:themeColor="text1"/>
                <w:szCs w:val="24"/>
              </w:rPr>
              <w:t>30</w:t>
            </w:r>
            <w:r w:rsidRPr="00AE1389">
              <w:rPr>
                <w:rFonts w:ascii="標楷體" w:eastAsia="標楷體" w:hAnsi="標楷體" w:hint="eastAsia"/>
                <w:color w:val="000000" w:themeColor="text1"/>
                <w:szCs w:val="24"/>
              </w:rPr>
              <w:t>）決議：報告及詢答完畢，另定期繼續審查。</w:t>
            </w:r>
          </w:p>
          <w:p w:rsidR="00AE1389" w:rsidRPr="00AE1389" w:rsidRDefault="00AE1389" w:rsidP="00AE1389">
            <w:pPr>
              <w:adjustRightInd w:val="0"/>
              <w:snapToGrid w:val="0"/>
              <w:spacing w:line="240" w:lineRule="atLeast"/>
              <w:ind w:left="240" w:hangingChars="100" w:hanging="240"/>
              <w:jc w:val="both"/>
              <w:rPr>
                <w:rFonts w:ascii="標楷體" w:eastAsia="標楷體" w:hAnsi="標楷體"/>
                <w:color w:val="000000" w:themeColor="text1"/>
                <w:szCs w:val="24"/>
              </w:rPr>
            </w:pPr>
            <w:r w:rsidRPr="00AE1389">
              <w:rPr>
                <w:rFonts w:ascii="標楷體" w:eastAsia="標楷體" w:hAnsi="標楷體" w:hint="eastAsia"/>
                <w:color w:val="000000" w:themeColor="text1"/>
                <w:szCs w:val="24"/>
              </w:rPr>
              <w:t>2.第6會期第</w:t>
            </w:r>
            <w:r w:rsidRPr="00AE1389">
              <w:rPr>
                <w:rFonts w:ascii="標楷體" w:eastAsia="標楷體" w:hAnsi="標楷體"/>
                <w:color w:val="000000" w:themeColor="text1"/>
                <w:szCs w:val="24"/>
              </w:rPr>
              <w:t>14</w:t>
            </w:r>
            <w:r w:rsidRPr="00AE1389">
              <w:rPr>
                <w:rFonts w:ascii="標楷體" w:eastAsia="標楷體" w:hAnsi="標楷體" w:hint="eastAsia"/>
                <w:color w:val="000000" w:themeColor="text1"/>
                <w:szCs w:val="24"/>
              </w:rPr>
              <w:t>次全體委員會議（111.1</w:t>
            </w:r>
            <w:r w:rsidRPr="00AE1389">
              <w:rPr>
                <w:rFonts w:ascii="標楷體" w:eastAsia="標楷體" w:hAnsi="標楷體"/>
                <w:color w:val="000000" w:themeColor="text1"/>
                <w:szCs w:val="24"/>
              </w:rPr>
              <w:t>2</w:t>
            </w:r>
            <w:r w:rsidRPr="00AE1389">
              <w:rPr>
                <w:rFonts w:ascii="標楷體" w:eastAsia="標楷體" w:hAnsi="標楷體" w:hint="eastAsia"/>
                <w:color w:val="000000" w:themeColor="text1"/>
                <w:szCs w:val="24"/>
              </w:rPr>
              <w:t>.</w:t>
            </w:r>
            <w:r w:rsidRPr="00AE1389">
              <w:rPr>
                <w:rFonts w:ascii="標楷體" w:eastAsia="標楷體" w:hAnsi="標楷體"/>
                <w:color w:val="000000" w:themeColor="text1"/>
                <w:szCs w:val="24"/>
              </w:rPr>
              <w:t>14</w:t>
            </w:r>
            <w:r w:rsidRPr="00AE1389">
              <w:rPr>
                <w:rFonts w:ascii="標楷體" w:eastAsia="標楷體" w:hAnsi="標楷體" w:hint="eastAsia"/>
                <w:color w:val="000000" w:themeColor="text1"/>
                <w:szCs w:val="24"/>
              </w:rPr>
              <w:t>）決議：審查完竣。</w:t>
            </w:r>
          </w:p>
        </w:tc>
      </w:tr>
      <w:tr w:rsidR="00AE1389" w:rsidRPr="00AE1389" w:rsidTr="005A1BAD">
        <w:trPr>
          <w:trHeight w:val="790"/>
        </w:trPr>
        <w:tc>
          <w:tcPr>
            <w:tcW w:w="334" w:type="pct"/>
            <w:vMerge/>
          </w:tcPr>
          <w:p w:rsidR="00AE1389" w:rsidRPr="00AE1389" w:rsidRDefault="00AE1389" w:rsidP="00AE1389">
            <w:pPr>
              <w:spacing w:line="400" w:lineRule="exact"/>
              <w:ind w:leftChars="-12" w:left="-29" w:firstLine="2"/>
              <w:jc w:val="both"/>
              <w:rPr>
                <w:rFonts w:ascii="標楷體" w:eastAsia="標楷體" w:hAnsi="標楷體"/>
                <w:color w:val="000000" w:themeColor="text1"/>
                <w:sz w:val="28"/>
              </w:rPr>
            </w:pPr>
          </w:p>
        </w:tc>
        <w:tc>
          <w:tcPr>
            <w:tcW w:w="2128" w:type="pct"/>
          </w:tcPr>
          <w:p w:rsidR="00AE1389" w:rsidRPr="00AE1389" w:rsidRDefault="00AE1389" w:rsidP="00AE1389">
            <w:pPr>
              <w:spacing w:line="400" w:lineRule="exact"/>
              <w:ind w:leftChars="-12" w:left="-29" w:firstLine="2"/>
              <w:jc w:val="both"/>
              <w:rPr>
                <w:rFonts w:ascii="標楷體" w:eastAsia="標楷體" w:hAnsi="標楷體"/>
                <w:color w:val="000000" w:themeColor="text1"/>
                <w:sz w:val="28"/>
              </w:rPr>
            </w:pPr>
            <w:r w:rsidRPr="00AE1389">
              <w:rPr>
                <w:rFonts w:ascii="標楷體" w:eastAsia="標楷體" w:hAnsi="標楷體" w:hint="eastAsia"/>
                <w:color w:val="000000" w:themeColor="text1"/>
                <w:sz w:val="28"/>
              </w:rPr>
              <w:t>7.文化發展基金</w:t>
            </w:r>
          </w:p>
        </w:tc>
        <w:tc>
          <w:tcPr>
            <w:tcW w:w="726" w:type="pct"/>
            <w:vMerge/>
          </w:tcPr>
          <w:p w:rsidR="00AE1389" w:rsidRPr="00AE1389" w:rsidRDefault="00AE1389" w:rsidP="00AE1389">
            <w:pPr>
              <w:adjustRightInd w:val="0"/>
              <w:snapToGrid w:val="0"/>
              <w:spacing w:line="240" w:lineRule="atLeast"/>
              <w:jc w:val="both"/>
              <w:rPr>
                <w:rFonts w:ascii="標楷體" w:eastAsia="標楷體" w:hAnsi="標楷體"/>
                <w:color w:val="000000" w:themeColor="text1"/>
                <w:szCs w:val="24"/>
              </w:rPr>
            </w:pPr>
          </w:p>
        </w:tc>
        <w:tc>
          <w:tcPr>
            <w:tcW w:w="1812" w:type="pct"/>
          </w:tcPr>
          <w:p w:rsidR="00AE1389" w:rsidRPr="00AE1389" w:rsidRDefault="00AE1389" w:rsidP="00AE1389">
            <w:pPr>
              <w:adjustRightInd w:val="0"/>
              <w:snapToGrid w:val="0"/>
              <w:spacing w:line="240" w:lineRule="atLeast"/>
              <w:ind w:left="240" w:hangingChars="100" w:hanging="240"/>
              <w:jc w:val="both"/>
              <w:rPr>
                <w:rFonts w:ascii="標楷體" w:eastAsia="標楷體" w:hAnsi="標楷體"/>
                <w:color w:val="000000" w:themeColor="text1"/>
                <w:szCs w:val="24"/>
              </w:rPr>
            </w:pPr>
            <w:r>
              <w:rPr>
                <w:rFonts w:ascii="標楷體" w:eastAsia="標楷體" w:hAnsi="標楷體" w:hint="eastAsia"/>
                <w:color w:val="000000" w:themeColor="text1"/>
                <w:szCs w:val="24"/>
              </w:rPr>
              <w:t>1.</w:t>
            </w:r>
            <w:r w:rsidRPr="00AE1389">
              <w:rPr>
                <w:rFonts w:ascii="標楷體" w:eastAsia="標楷體" w:hAnsi="標楷體" w:hint="eastAsia"/>
                <w:color w:val="000000" w:themeColor="text1"/>
                <w:szCs w:val="24"/>
              </w:rPr>
              <w:t>第6會期第7次全體委員會議（111.11.10）決議：報告及詢答完畢，另定期繼續審查。</w:t>
            </w:r>
          </w:p>
          <w:p w:rsidR="00AE1389" w:rsidRPr="00AE1389" w:rsidRDefault="00AE1389" w:rsidP="00AE1389">
            <w:pPr>
              <w:adjustRightInd w:val="0"/>
              <w:snapToGrid w:val="0"/>
              <w:spacing w:line="240" w:lineRule="atLeast"/>
              <w:ind w:left="240" w:hangingChars="100" w:hanging="240"/>
              <w:jc w:val="both"/>
              <w:rPr>
                <w:rFonts w:ascii="標楷體" w:eastAsia="標楷體" w:hAnsi="標楷體"/>
                <w:color w:val="000000" w:themeColor="text1"/>
                <w:szCs w:val="24"/>
              </w:rPr>
            </w:pPr>
            <w:r>
              <w:rPr>
                <w:rFonts w:ascii="標楷體" w:eastAsia="標楷體" w:hAnsi="標楷體" w:hint="eastAsia"/>
                <w:color w:val="000000" w:themeColor="text1"/>
                <w:szCs w:val="24"/>
              </w:rPr>
              <w:t>2.</w:t>
            </w:r>
            <w:r w:rsidRPr="00AE1389">
              <w:rPr>
                <w:rFonts w:ascii="標楷體" w:eastAsia="標楷體" w:hAnsi="標楷體" w:hint="eastAsia"/>
                <w:color w:val="000000" w:themeColor="text1"/>
                <w:szCs w:val="24"/>
              </w:rPr>
              <w:t>第6會期第1</w:t>
            </w:r>
            <w:r w:rsidRPr="00AE1389">
              <w:rPr>
                <w:rFonts w:ascii="標楷體" w:eastAsia="標楷體" w:hAnsi="標楷體"/>
                <w:color w:val="000000" w:themeColor="text1"/>
                <w:szCs w:val="24"/>
              </w:rPr>
              <w:t>5</w:t>
            </w:r>
            <w:r w:rsidRPr="00AE1389">
              <w:rPr>
                <w:rFonts w:ascii="標楷體" w:eastAsia="標楷體" w:hAnsi="標楷體" w:hint="eastAsia"/>
                <w:color w:val="000000" w:themeColor="text1"/>
                <w:szCs w:val="24"/>
              </w:rPr>
              <w:t>次全體委員會議（111.12.2</w:t>
            </w:r>
            <w:r w:rsidRPr="00AE1389">
              <w:rPr>
                <w:rFonts w:ascii="標楷體" w:eastAsia="標楷體" w:hAnsi="標楷體"/>
                <w:color w:val="000000" w:themeColor="text1"/>
                <w:szCs w:val="24"/>
              </w:rPr>
              <w:t>1</w:t>
            </w:r>
            <w:r w:rsidRPr="00AE1389">
              <w:rPr>
                <w:rFonts w:ascii="標楷體" w:eastAsia="標楷體" w:hAnsi="標楷體" w:hint="eastAsia"/>
                <w:color w:val="000000" w:themeColor="text1"/>
                <w:szCs w:val="24"/>
              </w:rPr>
              <w:t>）決議：審查完竣。</w:t>
            </w:r>
          </w:p>
        </w:tc>
      </w:tr>
      <w:tr w:rsidR="00AE1389" w:rsidRPr="00AE1389" w:rsidTr="005A1BAD">
        <w:trPr>
          <w:trHeight w:val="790"/>
        </w:trPr>
        <w:tc>
          <w:tcPr>
            <w:tcW w:w="334" w:type="pct"/>
            <w:vMerge w:val="restart"/>
            <w:vAlign w:val="center"/>
          </w:tcPr>
          <w:p w:rsidR="00AE1389" w:rsidRPr="00AE1389" w:rsidRDefault="00AE1389" w:rsidP="00AE1389">
            <w:pPr>
              <w:spacing w:line="400" w:lineRule="exact"/>
              <w:ind w:leftChars="-12" w:left="-29" w:firstLine="2"/>
              <w:jc w:val="center"/>
              <w:rPr>
                <w:rFonts w:ascii="標楷體" w:eastAsia="標楷體" w:hAnsi="標楷體"/>
                <w:b/>
                <w:color w:val="000000" w:themeColor="text1"/>
                <w:sz w:val="28"/>
              </w:rPr>
            </w:pPr>
            <w:r w:rsidRPr="00AE1389">
              <w:rPr>
                <w:rFonts w:ascii="標楷體" w:eastAsia="標楷體" w:hAnsi="標楷體" w:hint="eastAsia"/>
                <w:b/>
                <w:color w:val="000000" w:themeColor="text1"/>
                <w:sz w:val="28"/>
              </w:rPr>
              <w:t>2</w:t>
            </w:r>
          </w:p>
        </w:tc>
        <w:tc>
          <w:tcPr>
            <w:tcW w:w="2128" w:type="pct"/>
          </w:tcPr>
          <w:p w:rsidR="00AE1389" w:rsidRPr="00AE1389" w:rsidRDefault="00AE1389" w:rsidP="00AE1389">
            <w:pPr>
              <w:spacing w:line="400" w:lineRule="exact"/>
              <w:ind w:leftChars="-12" w:left="-29" w:firstLine="2"/>
              <w:jc w:val="both"/>
              <w:rPr>
                <w:rFonts w:ascii="標楷體" w:eastAsia="標楷體" w:hAnsi="標楷體"/>
                <w:b/>
                <w:color w:val="000000" w:themeColor="text1"/>
                <w:sz w:val="28"/>
              </w:rPr>
            </w:pPr>
            <w:r w:rsidRPr="00AE1389">
              <w:rPr>
                <w:rFonts w:ascii="標楷體" w:eastAsia="標楷體" w:hAnsi="標楷體" w:hint="eastAsia"/>
                <w:b/>
                <w:color w:val="000000" w:themeColor="text1"/>
                <w:sz w:val="28"/>
              </w:rPr>
              <w:t>作業基金:</w:t>
            </w:r>
          </w:p>
          <w:p w:rsidR="00AE1389" w:rsidRPr="00AE1389" w:rsidRDefault="00AE1389" w:rsidP="00AE1389">
            <w:pPr>
              <w:spacing w:line="400" w:lineRule="exact"/>
              <w:ind w:leftChars="-12" w:left="-29" w:firstLine="2"/>
              <w:jc w:val="both"/>
              <w:rPr>
                <w:rFonts w:ascii="標楷體" w:eastAsia="標楷體" w:hAnsi="標楷體"/>
                <w:color w:val="000000" w:themeColor="text1"/>
                <w:sz w:val="28"/>
              </w:rPr>
            </w:pPr>
            <w:r w:rsidRPr="00AE1389">
              <w:rPr>
                <w:rFonts w:ascii="標楷體" w:eastAsia="標楷體" w:hAnsi="標楷體" w:hint="eastAsia"/>
                <w:color w:val="000000" w:themeColor="text1"/>
                <w:sz w:val="28"/>
              </w:rPr>
              <w:t>1.47所國立大學校院校務基金</w:t>
            </w:r>
          </w:p>
          <w:p w:rsidR="00AE1389" w:rsidRPr="00AE1389" w:rsidRDefault="00AE1389" w:rsidP="00AE1389">
            <w:pPr>
              <w:spacing w:line="400" w:lineRule="exact"/>
              <w:ind w:leftChars="-12" w:left="251" w:hangingChars="100" w:hanging="280"/>
              <w:rPr>
                <w:rFonts w:ascii="標楷體" w:eastAsia="標楷體" w:hAnsi="標楷體"/>
                <w:color w:val="000000" w:themeColor="text1"/>
                <w:sz w:val="28"/>
              </w:rPr>
            </w:pPr>
            <w:r w:rsidRPr="00AE1389">
              <w:rPr>
                <w:rFonts w:ascii="標楷體" w:eastAsia="標楷體" w:hAnsi="標楷體" w:hint="eastAsia"/>
                <w:color w:val="000000" w:themeColor="text1"/>
                <w:sz w:val="28"/>
              </w:rPr>
              <w:t>2.國立臺灣大學附設醫院作業基金</w:t>
            </w:r>
          </w:p>
          <w:p w:rsidR="00AE1389" w:rsidRPr="00AE1389" w:rsidRDefault="00AE1389" w:rsidP="00AE1389">
            <w:pPr>
              <w:spacing w:line="400" w:lineRule="exact"/>
              <w:ind w:leftChars="-12" w:left="251" w:hangingChars="100" w:hanging="280"/>
              <w:rPr>
                <w:rFonts w:ascii="標楷體" w:eastAsia="標楷體" w:hAnsi="標楷體"/>
                <w:color w:val="000000" w:themeColor="text1"/>
                <w:sz w:val="28"/>
              </w:rPr>
            </w:pPr>
            <w:r w:rsidRPr="00AE1389">
              <w:rPr>
                <w:rFonts w:ascii="標楷體" w:eastAsia="標楷體" w:hAnsi="標楷體" w:hint="eastAsia"/>
                <w:color w:val="000000" w:themeColor="text1"/>
                <w:sz w:val="28"/>
              </w:rPr>
              <w:t>3.國立成功大學附設醫院作業基金</w:t>
            </w:r>
          </w:p>
          <w:p w:rsidR="00AE1389" w:rsidRPr="00AE1389" w:rsidRDefault="00AE1389" w:rsidP="00AE1389">
            <w:pPr>
              <w:spacing w:line="400" w:lineRule="exact"/>
              <w:ind w:leftChars="-12" w:left="251" w:hangingChars="100" w:hanging="280"/>
              <w:rPr>
                <w:rFonts w:ascii="標楷體" w:eastAsia="標楷體" w:hAnsi="標楷體"/>
                <w:color w:val="000000" w:themeColor="text1"/>
                <w:sz w:val="28"/>
              </w:rPr>
            </w:pPr>
            <w:r w:rsidRPr="00AE1389">
              <w:rPr>
                <w:rFonts w:ascii="標楷體" w:eastAsia="標楷體" w:hAnsi="標楷體" w:hint="eastAsia"/>
                <w:color w:val="000000" w:themeColor="text1"/>
                <w:sz w:val="28"/>
              </w:rPr>
              <w:lastRenderedPageBreak/>
              <w:t>4.國立陽明交通大學附設醫院作業基金</w:t>
            </w:r>
          </w:p>
          <w:p w:rsidR="00AE1389" w:rsidRPr="00AE1389" w:rsidRDefault="00AE1389" w:rsidP="00AE1389">
            <w:pPr>
              <w:spacing w:line="400" w:lineRule="exact"/>
              <w:ind w:leftChars="-12" w:left="251" w:hangingChars="100" w:hanging="280"/>
              <w:rPr>
                <w:rFonts w:ascii="標楷體" w:eastAsia="標楷體" w:hAnsi="標楷體"/>
                <w:color w:val="000000" w:themeColor="text1"/>
                <w:sz w:val="28"/>
              </w:rPr>
            </w:pPr>
            <w:r w:rsidRPr="00AE1389">
              <w:rPr>
                <w:rFonts w:ascii="標楷體" w:eastAsia="標楷體" w:hAnsi="標楷體" w:hint="eastAsia"/>
                <w:color w:val="000000" w:themeColor="text1"/>
                <w:sz w:val="28"/>
              </w:rPr>
              <w:t>5.教育部所屬機構作業基金</w:t>
            </w:r>
          </w:p>
          <w:p w:rsidR="00AE1389" w:rsidRPr="00AE1389" w:rsidRDefault="00AE1389" w:rsidP="00AE1389">
            <w:pPr>
              <w:spacing w:line="400" w:lineRule="exact"/>
              <w:ind w:leftChars="-12" w:left="251" w:hangingChars="100" w:hanging="280"/>
              <w:rPr>
                <w:rFonts w:ascii="標楷體" w:eastAsia="標楷體" w:hAnsi="標楷體"/>
                <w:color w:val="000000" w:themeColor="text1"/>
                <w:sz w:val="28"/>
              </w:rPr>
            </w:pPr>
            <w:r w:rsidRPr="00AE1389">
              <w:rPr>
                <w:rFonts w:ascii="標楷體" w:eastAsia="標楷體" w:hAnsi="標楷體" w:hint="eastAsia"/>
                <w:color w:val="000000" w:themeColor="text1"/>
                <w:sz w:val="28"/>
              </w:rPr>
              <w:t>6.國立高級中等學校校務基金</w:t>
            </w:r>
          </w:p>
        </w:tc>
        <w:tc>
          <w:tcPr>
            <w:tcW w:w="726" w:type="pct"/>
            <w:vMerge w:val="restart"/>
          </w:tcPr>
          <w:p w:rsidR="00AE1389" w:rsidRPr="00AE1389" w:rsidRDefault="00AE1389" w:rsidP="00AE1389">
            <w:pPr>
              <w:adjustRightInd w:val="0"/>
              <w:snapToGrid w:val="0"/>
              <w:spacing w:line="240" w:lineRule="atLeast"/>
              <w:jc w:val="both"/>
              <w:rPr>
                <w:rFonts w:ascii="標楷體" w:eastAsia="標楷體" w:hAnsi="標楷體"/>
                <w:color w:val="000000" w:themeColor="text1"/>
                <w:sz w:val="28"/>
                <w:szCs w:val="22"/>
              </w:rPr>
            </w:pPr>
            <w:r w:rsidRPr="00AE1389">
              <w:rPr>
                <w:rFonts w:ascii="標楷體" w:eastAsia="標楷體" w:hAnsi="標楷體"/>
                <w:color w:val="000000" w:themeColor="text1"/>
                <w:sz w:val="28"/>
                <w:szCs w:val="22"/>
              </w:rPr>
              <w:lastRenderedPageBreak/>
              <w:t>10-6-2</w:t>
            </w:r>
          </w:p>
          <w:p w:rsidR="00AE1389" w:rsidRPr="00AE1389" w:rsidRDefault="00AE1389" w:rsidP="00AE1389">
            <w:pPr>
              <w:adjustRightInd w:val="0"/>
              <w:snapToGrid w:val="0"/>
              <w:spacing w:line="240" w:lineRule="atLeast"/>
              <w:jc w:val="both"/>
              <w:rPr>
                <w:rFonts w:ascii="標楷體" w:eastAsia="標楷體" w:hAnsi="標楷體"/>
                <w:color w:val="000000" w:themeColor="text1"/>
                <w:sz w:val="28"/>
                <w:szCs w:val="22"/>
              </w:rPr>
            </w:pPr>
            <w:r w:rsidRPr="00AE1389">
              <w:rPr>
                <w:rFonts w:ascii="標楷體" w:eastAsia="標楷體" w:hAnsi="標楷體"/>
                <w:color w:val="000000" w:themeColor="text1"/>
                <w:sz w:val="28"/>
                <w:szCs w:val="22"/>
              </w:rPr>
              <w:t>(111.10.4)</w:t>
            </w:r>
          </w:p>
        </w:tc>
        <w:tc>
          <w:tcPr>
            <w:tcW w:w="1812" w:type="pct"/>
          </w:tcPr>
          <w:p w:rsidR="00AE1389" w:rsidRPr="00AE1389" w:rsidRDefault="00AE1389" w:rsidP="00AE1389">
            <w:pPr>
              <w:adjustRightInd w:val="0"/>
              <w:snapToGrid w:val="0"/>
              <w:spacing w:line="240" w:lineRule="atLeast"/>
              <w:ind w:left="240" w:hangingChars="100" w:hanging="240"/>
              <w:jc w:val="both"/>
              <w:rPr>
                <w:rFonts w:ascii="標楷體" w:eastAsia="標楷體" w:hAnsi="標楷體"/>
                <w:color w:val="000000" w:themeColor="text1"/>
                <w:szCs w:val="24"/>
              </w:rPr>
            </w:pPr>
            <w:r w:rsidRPr="00AE1389">
              <w:rPr>
                <w:rFonts w:ascii="標楷體" w:eastAsia="標楷體" w:hAnsi="標楷體" w:hint="eastAsia"/>
                <w:color w:val="000000" w:themeColor="text1"/>
                <w:szCs w:val="24"/>
              </w:rPr>
              <w:t>1.第6會期第4次全體委員會議（111.10.20）決議：報告及詢答完畢，另定期繼續審查。</w:t>
            </w:r>
          </w:p>
          <w:p w:rsidR="00AE1389" w:rsidRPr="00AE1389" w:rsidRDefault="00AE1389" w:rsidP="00AE1389">
            <w:pPr>
              <w:adjustRightInd w:val="0"/>
              <w:snapToGrid w:val="0"/>
              <w:spacing w:line="240" w:lineRule="atLeast"/>
              <w:ind w:left="240" w:hangingChars="100" w:hanging="240"/>
              <w:jc w:val="both"/>
              <w:rPr>
                <w:rFonts w:ascii="標楷體" w:eastAsia="標楷體" w:hAnsi="標楷體"/>
                <w:color w:val="000000" w:themeColor="text1"/>
                <w:szCs w:val="24"/>
              </w:rPr>
            </w:pPr>
            <w:r w:rsidRPr="00AE1389">
              <w:rPr>
                <w:rFonts w:ascii="標楷體" w:eastAsia="標楷體" w:hAnsi="標楷體" w:hint="eastAsia"/>
                <w:color w:val="000000" w:themeColor="text1"/>
                <w:szCs w:val="24"/>
              </w:rPr>
              <w:t>2</w:t>
            </w:r>
            <w:r w:rsidRPr="00AE1389">
              <w:rPr>
                <w:rFonts w:ascii="標楷體" w:eastAsia="標楷體" w:hAnsi="標楷體"/>
                <w:color w:val="000000" w:themeColor="text1"/>
                <w:szCs w:val="24"/>
              </w:rPr>
              <w:t>.</w:t>
            </w:r>
            <w:r w:rsidRPr="00AE1389">
              <w:rPr>
                <w:rFonts w:ascii="標楷體" w:eastAsia="標楷體" w:hAnsi="標楷體" w:hint="eastAsia"/>
                <w:color w:val="000000" w:themeColor="text1"/>
                <w:szCs w:val="24"/>
              </w:rPr>
              <w:t>第6會期第6次全體委員會議（111.11.3）決議：審查完竣。</w:t>
            </w:r>
          </w:p>
        </w:tc>
      </w:tr>
      <w:tr w:rsidR="00AE1389" w:rsidRPr="00AE1389" w:rsidTr="005A1BAD">
        <w:trPr>
          <w:trHeight w:val="790"/>
        </w:trPr>
        <w:tc>
          <w:tcPr>
            <w:tcW w:w="334" w:type="pct"/>
            <w:vMerge/>
          </w:tcPr>
          <w:p w:rsidR="00AE1389" w:rsidRPr="00AE1389" w:rsidRDefault="00AE1389" w:rsidP="00AE1389">
            <w:pPr>
              <w:spacing w:line="400" w:lineRule="exact"/>
              <w:ind w:leftChars="-12" w:left="251" w:hangingChars="100" w:hanging="280"/>
              <w:jc w:val="both"/>
              <w:rPr>
                <w:rFonts w:ascii="標楷體" w:eastAsia="標楷體" w:hAnsi="標楷體"/>
                <w:color w:val="000000" w:themeColor="text1"/>
                <w:sz w:val="28"/>
              </w:rPr>
            </w:pPr>
          </w:p>
        </w:tc>
        <w:tc>
          <w:tcPr>
            <w:tcW w:w="2128" w:type="pct"/>
          </w:tcPr>
          <w:p w:rsidR="00AE1389" w:rsidRPr="00AE1389" w:rsidRDefault="00AE1389" w:rsidP="00AE1389">
            <w:pPr>
              <w:spacing w:line="400" w:lineRule="exact"/>
              <w:ind w:leftChars="-12" w:left="251" w:hangingChars="100" w:hanging="280"/>
              <w:jc w:val="both"/>
              <w:rPr>
                <w:rFonts w:ascii="標楷體" w:eastAsia="標楷體" w:hAnsi="標楷體"/>
                <w:color w:val="000000" w:themeColor="text1"/>
                <w:sz w:val="28"/>
              </w:rPr>
            </w:pPr>
            <w:r w:rsidRPr="00AE1389">
              <w:rPr>
                <w:rFonts w:ascii="標楷體" w:eastAsia="標楷體" w:hAnsi="標楷體" w:hint="eastAsia"/>
                <w:color w:val="000000" w:themeColor="text1"/>
                <w:sz w:val="28"/>
              </w:rPr>
              <w:t>7.科學園區管理局作業基金</w:t>
            </w:r>
          </w:p>
        </w:tc>
        <w:tc>
          <w:tcPr>
            <w:tcW w:w="726" w:type="pct"/>
            <w:vMerge/>
          </w:tcPr>
          <w:p w:rsidR="00AE1389" w:rsidRPr="00AE1389" w:rsidRDefault="00AE1389" w:rsidP="00AE1389">
            <w:pPr>
              <w:adjustRightInd w:val="0"/>
              <w:snapToGrid w:val="0"/>
              <w:spacing w:line="240" w:lineRule="atLeast"/>
              <w:jc w:val="both"/>
              <w:rPr>
                <w:rFonts w:ascii="標楷體" w:eastAsia="標楷體" w:hAnsi="標楷體"/>
                <w:color w:val="000000" w:themeColor="text1"/>
                <w:sz w:val="28"/>
                <w:szCs w:val="22"/>
              </w:rPr>
            </w:pPr>
          </w:p>
        </w:tc>
        <w:tc>
          <w:tcPr>
            <w:tcW w:w="1812" w:type="pct"/>
          </w:tcPr>
          <w:p w:rsidR="00AE1389" w:rsidRPr="00AE1389" w:rsidRDefault="00AE1389" w:rsidP="00AE1389">
            <w:pPr>
              <w:adjustRightInd w:val="0"/>
              <w:snapToGrid w:val="0"/>
              <w:spacing w:line="240" w:lineRule="atLeast"/>
              <w:ind w:left="240" w:hangingChars="100" w:hanging="240"/>
              <w:jc w:val="both"/>
              <w:rPr>
                <w:rFonts w:ascii="標楷體" w:eastAsia="標楷體" w:hAnsi="標楷體"/>
                <w:color w:val="000000" w:themeColor="text1"/>
                <w:szCs w:val="24"/>
              </w:rPr>
            </w:pPr>
            <w:r w:rsidRPr="00AE1389">
              <w:rPr>
                <w:rFonts w:ascii="標楷體" w:eastAsia="標楷體" w:hAnsi="標楷體" w:hint="eastAsia"/>
                <w:color w:val="000000" w:themeColor="text1"/>
                <w:szCs w:val="24"/>
              </w:rPr>
              <w:t>1.第6會期第7次全體委員會議（111.1</w:t>
            </w:r>
            <w:r w:rsidRPr="00AE1389">
              <w:rPr>
                <w:rFonts w:ascii="標楷體" w:eastAsia="標楷體" w:hAnsi="標楷體"/>
                <w:color w:val="000000" w:themeColor="text1"/>
                <w:szCs w:val="24"/>
              </w:rPr>
              <w:t>1</w:t>
            </w:r>
            <w:r w:rsidRPr="00AE1389">
              <w:rPr>
                <w:rFonts w:ascii="標楷體" w:eastAsia="標楷體" w:hAnsi="標楷體" w:hint="eastAsia"/>
                <w:color w:val="000000" w:themeColor="text1"/>
                <w:szCs w:val="24"/>
              </w:rPr>
              <w:t>.</w:t>
            </w:r>
            <w:r w:rsidRPr="00AE1389">
              <w:rPr>
                <w:rFonts w:ascii="標楷體" w:eastAsia="標楷體" w:hAnsi="標楷體"/>
                <w:color w:val="000000" w:themeColor="text1"/>
                <w:szCs w:val="24"/>
              </w:rPr>
              <w:t>9</w:t>
            </w:r>
            <w:r w:rsidRPr="00AE1389">
              <w:rPr>
                <w:rFonts w:ascii="標楷體" w:eastAsia="標楷體" w:hAnsi="標楷體" w:hint="eastAsia"/>
                <w:color w:val="000000" w:themeColor="text1"/>
                <w:szCs w:val="24"/>
              </w:rPr>
              <w:t>）決議：報告及詢答完畢，另定期繼續審查。</w:t>
            </w:r>
          </w:p>
          <w:p w:rsidR="00AE1389" w:rsidRPr="00AE1389" w:rsidRDefault="00AE1389" w:rsidP="00AE1389">
            <w:pPr>
              <w:adjustRightInd w:val="0"/>
              <w:snapToGrid w:val="0"/>
              <w:spacing w:line="240" w:lineRule="atLeast"/>
              <w:ind w:left="240" w:hangingChars="100" w:hanging="240"/>
              <w:jc w:val="both"/>
              <w:rPr>
                <w:rFonts w:ascii="標楷體" w:eastAsia="標楷體" w:hAnsi="標楷體"/>
                <w:color w:val="000000" w:themeColor="text1"/>
              </w:rPr>
            </w:pPr>
            <w:r w:rsidRPr="00AE1389">
              <w:rPr>
                <w:rFonts w:ascii="標楷體" w:eastAsia="標楷體" w:hAnsi="標楷體" w:hint="eastAsia"/>
                <w:color w:val="000000" w:themeColor="text1"/>
              </w:rPr>
              <w:t>2.第6會期第13次全體委員會議（111.</w:t>
            </w:r>
            <w:r w:rsidRPr="00AE1389">
              <w:rPr>
                <w:rFonts w:ascii="標楷體" w:eastAsia="標楷體" w:hAnsi="標楷體" w:hint="eastAsia"/>
                <w:color w:val="000000" w:themeColor="text1"/>
                <w:szCs w:val="24"/>
              </w:rPr>
              <w:t>12</w:t>
            </w:r>
            <w:r w:rsidRPr="00AE1389">
              <w:rPr>
                <w:rFonts w:ascii="標楷體" w:eastAsia="標楷體" w:hAnsi="標楷體" w:hint="eastAsia"/>
                <w:color w:val="000000" w:themeColor="text1"/>
              </w:rPr>
              <w:t>.8）決議：審查完竣。</w:t>
            </w:r>
          </w:p>
        </w:tc>
      </w:tr>
      <w:tr w:rsidR="00AE1389" w:rsidRPr="00AE1389" w:rsidTr="005A1BAD">
        <w:trPr>
          <w:trHeight w:val="790"/>
        </w:trPr>
        <w:tc>
          <w:tcPr>
            <w:tcW w:w="334" w:type="pct"/>
            <w:vMerge/>
          </w:tcPr>
          <w:p w:rsidR="00AE1389" w:rsidRPr="00AE1389" w:rsidRDefault="00AE1389" w:rsidP="00AE1389">
            <w:pPr>
              <w:spacing w:line="400" w:lineRule="exact"/>
              <w:ind w:leftChars="-12" w:left="-29" w:firstLine="2"/>
              <w:jc w:val="both"/>
              <w:rPr>
                <w:rFonts w:ascii="標楷體" w:eastAsia="標楷體" w:hAnsi="標楷體"/>
                <w:color w:val="000000" w:themeColor="text1"/>
                <w:sz w:val="28"/>
              </w:rPr>
            </w:pPr>
          </w:p>
        </w:tc>
        <w:tc>
          <w:tcPr>
            <w:tcW w:w="2128" w:type="pct"/>
          </w:tcPr>
          <w:p w:rsidR="00AE1389" w:rsidRPr="00AE1389" w:rsidRDefault="00AE1389" w:rsidP="00AE1389">
            <w:pPr>
              <w:spacing w:line="400" w:lineRule="exact"/>
              <w:ind w:leftChars="-12" w:left="-29" w:firstLine="2"/>
              <w:jc w:val="both"/>
              <w:rPr>
                <w:rFonts w:ascii="標楷體" w:eastAsia="標楷體" w:hAnsi="標楷體"/>
                <w:color w:val="000000" w:themeColor="text1"/>
                <w:sz w:val="28"/>
              </w:rPr>
            </w:pPr>
            <w:r w:rsidRPr="00AE1389">
              <w:rPr>
                <w:rFonts w:ascii="標楷體" w:eastAsia="標楷體" w:hAnsi="標楷體" w:hint="eastAsia"/>
                <w:color w:val="000000" w:themeColor="text1"/>
                <w:sz w:val="28"/>
              </w:rPr>
              <w:t>8</w:t>
            </w:r>
            <w:r w:rsidRPr="00AE1389">
              <w:rPr>
                <w:rFonts w:ascii="標楷體" w:eastAsia="標楷體" w:hAnsi="標楷體"/>
                <w:color w:val="000000" w:themeColor="text1"/>
                <w:sz w:val="28"/>
              </w:rPr>
              <w:t>.</w:t>
            </w:r>
            <w:r w:rsidRPr="00AE1389">
              <w:rPr>
                <w:rFonts w:ascii="標楷體" w:eastAsia="標楷體" w:hAnsi="標楷體" w:hint="eastAsia"/>
                <w:color w:val="000000" w:themeColor="text1"/>
                <w:sz w:val="28"/>
              </w:rPr>
              <w:t>國立文化機構作業基金</w:t>
            </w:r>
          </w:p>
        </w:tc>
        <w:tc>
          <w:tcPr>
            <w:tcW w:w="726" w:type="pct"/>
            <w:vMerge/>
          </w:tcPr>
          <w:p w:rsidR="00AE1389" w:rsidRPr="00AE1389" w:rsidRDefault="00AE1389" w:rsidP="00AE1389">
            <w:pPr>
              <w:adjustRightInd w:val="0"/>
              <w:snapToGrid w:val="0"/>
              <w:spacing w:line="240" w:lineRule="atLeast"/>
              <w:jc w:val="both"/>
              <w:rPr>
                <w:rFonts w:ascii="標楷體" w:eastAsia="標楷體" w:hAnsi="標楷體"/>
                <w:color w:val="000000" w:themeColor="text1"/>
                <w:sz w:val="28"/>
                <w:szCs w:val="22"/>
              </w:rPr>
            </w:pPr>
          </w:p>
        </w:tc>
        <w:tc>
          <w:tcPr>
            <w:tcW w:w="1812" w:type="pct"/>
          </w:tcPr>
          <w:p w:rsidR="00AE1389" w:rsidRPr="00AE1389" w:rsidRDefault="00AE1389" w:rsidP="00AE1389">
            <w:pPr>
              <w:adjustRightInd w:val="0"/>
              <w:snapToGrid w:val="0"/>
              <w:spacing w:line="240" w:lineRule="atLeast"/>
              <w:ind w:left="240" w:hangingChars="100" w:hanging="240"/>
              <w:jc w:val="both"/>
              <w:rPr>
                <w:rFonts w:ascii="標楷體" w:eastAsia="標楷體" w:hAnsi="標楷體"/>
                <w:color w:val="000000" w:themeColor="text1"/>
                <w:szCs w:val="24"/>
              </w:rPr>
            </w:pPr>
            <w:r>
              <w:rPr>
                <w:rFonts w:ascii="標楷體" w:eastAsia="標楷體" w:hAnsi="標楷體" w:hint="eastAsia"/>
                <w:color w:val="000000" w:themeColor="text1"/>
                <w:szCs w:val="24"/>
              </w:rPr>
              <w:t>1.</w:t>
            </w:r>
            <w:r w:rsidRPr="00AE1389">
              <w:rPr>
                <w:rFonts w:ascii="標楷體" w:eastAsia="標楷體" w:hAnsi="標楷體" w:hint="eastAsia"/>
                <w:color w:val="000000" w:themeColor="text1"/>
                <w:szCs w:val="24"/>
              </w:rPr>
              <w:t>第6會期第7次全體委員會議（111.11.10）決議：報告及詢答完畢，另定期繼續審查。</w:t>
            </w:r>
          </w:p>
          <w:p w:rsidR="00AE1389" w:rsidRPr="00AE1389" w:rsidRDefault="00AE1389" w:rsidP="00AE1389">
            <w:pPr>
              <w:adjustRightInd w:val="0"/>
              <w:snapToGrid w:val="0"/>
              <w:spacing w:line="240" w:lineRule="atLeast"/>
              <w:ind w:left="240" w:hangingChars="100" w:hanging="240"/>
              <w:jc w:val="both"/>
              <w:rPr>
                <w:rFonts w:ascii="標楷體" w:eastAsia="標楷體" w:hAnsi="標楷體"/>
                <w:color w:val="000000" w:themeColor="text1"/>
                <w:sz w:val="28"/>
              </w:rPr>
            </w:pPr>
            <w:r w:rsidRPr="00AE1389">
              <w:rPr>
                <w:rFonts w:ascii="標楷體" w:eastAsia="標楷體" w:hAnsi="標楷體"/>
                <w:color w:val="000000" w:themeColor="text1"/>
                <w:szCs w:val="24"/>
              </w:rPr>
              <w:t>2.</w:t>
            </w:r>
            <w:r w:rsidRPr="00AE1389">
              <w:rPr>
                <w:rFonts w:ascii="標楷體" w:eastAsia="標楷體" w:hAnsi="標楷體" w:hint="eastAsia"/>
                <w:color w:val="000000" w:themeColor="text1"/>
                <w:szCs w:val="24"/>
              </w:rPr>
              <w:t>第6會期第1</w:t>
            </w:r>
            <w:r w:rsidRPr="00AE1389">
              <w:rPr>
                <w:rFonts w:ascii="標楷體" w:eastAsia="標楷體" w:hAnsi="標楷體"/>
                <w:color w:val="000000" w:themeColor="text1"/>
                <w:szCs w:val="24"/>
              </w:rPr>
              <w:t>5</w:t>
            </w:r>
            <w:r w:rsidRPr="00AE1389">
              <w:rPr>
                <w:rFonts w:ascii="標楷體" w:eastAsia="標楷體" w:hAnsi="標楷體" w:hint="eastAsia"/>
                <w:color w:val="000000" w:themeColor="text1"/>
                <w:szCs w:val="24"/>
              </w:rPr>
              <w:t>次全體委員會議（111.12.2</w:t>
            </w:r>
            <w:r w:rsidRPr="00AE1389">
              <w:rPr>
                <w:rFonts w:ascii="標楷體" w:eastAsia="標楷體" w:hAnsi="標楷體"/>
                <w:color w:val="000000" w:themeColor="text1"/>
                <w:szCs w:val="24"/>
              </w:rPr>
              <w:t>1</w:t>
            </w:r>
            <w:r w:rsidRPr="00AE1389">
              <w:rPr>
                <w:rFonts w:ascii="標楷體" w:eastAsia="標楷體" w:hAnsi="標楷體" w:hint="eastAsia"/>
                <w:color w:val="000000" w:themeColor="text1"/>
                <w:szCs w:val="24"/>
              </w:rPr>
              <w:t>）決議：審查完竣。</w:t>
            </w:r>
          </w:p>
        </w:tc>
      </w:tr>
      <w:tr w:rsidR="00AE1389" w:rsidRPr="00AE1389" w:rsidTr="005A1BAD">
        <w:trPr>
          <w:trHeight w:val="790"/>
        </w:trPr>
        <w:tc>
          <w:tcPr>
            <w:tcW w:w="334" w:type="pct"/>
            <w:vMerge/>
          </w:tcPr>
          <w:p w:rsidR="00AE1389" w:rsidRPr="00AE1389" w:rsidRDefault="00AE1389" w:rsidP="00AE1389">
            <w:pPr>
              <w:spacing w:line="400" w:lineRule="exact"/>
              <w:ind w:leftChars="-12" w:left="-29" w:firstLine="2"/>
              <w:jc w:val="both"/>
              <w:rPr>
                <w:rFonts w:ascii="標楷體" w:eastAsia="標楷體" w:hAnsi="標楷體"/>
                <w:color w:val="000000" w:themeColor="text1"/>
                <w:sz w:val="28"/>
              </w:rPr>
            </w:pPr>
          </w:p>
        </w:tc>
        <w:tc>
          <w:tcPr>
            <w:tcW w:w="2128" w:type="pct"/>
          </w:tcPr>
          <w:p w:rsidR="00AE1389" w:rsidRPr="00AE1389" w:rsidRDefault="00AE1389" w:rsidP="00AE1389">
            <w:pPr>
              <w:spacing w:line="400" w:lineRule="exact"/>
              <w:ind w:leftChars="-12" w:left="-29" w:firstLine="2"/>
              <w:jc w:val="both"/>
              <w:rPr>
                <w:rFonts w:ascii="標楷體" w:eastAsia="標楷體" w:hAnsi="標楷體"/>
                <w:color w:val="000000" w:themeColor="text1"/>
                <w:sz w:val="28"/>
              </w:rPr>
            </w:pPr>
            <w:r w:rsidRPr="00AE1389">
              <w:rPr>
                <w:rFonts w:ascii="標楷體" w:eastAsia="標楷體" w:hAnsi="標楷體" w:hint="eastAsia"/>
                <w:color w:val="000000" w:themeColor="text1"/>
                <w:sz w:val="28"/>
              </w:rPr>
              <w:t>9.故宮文物藝術發展基金</w:t>
            </w:r>
          </w:p>
        </w:tc>
        <w:tc>
          <w:tcPr>
            <w:tcW w:w="726" w:type="pct"/>
            <w:vMerge/>
          </w:tcPr>
          <w:p w:rsidR="00AE1389" w:rsidRPr="00AE1389" w:rsidRDefault="00AE1389" w:rsidP="00AE1389">
            <w:pPr>
              <w:adjustRightInd w:val="0"/>
              <w:snapToGrid w:val="0"/>
              <w:spacing w:line="240" w:lineRule="atLeast"/>
              <w:jc w:val="both"/>
              <w:rPr>
                <w:rFonts w:ascii="標楷體" w:eastAsia="標楷體" w:hAnsi="標楷體"/>
                <w:color w:val="000000" w:themeColor="text1"/>
                <w:sz w:val="28"/>
                <w:szCs w:val="22"/>
              </w:rPr>
            </w:pPr>
          </w:p>
        </w:tc>
        <w:tc>
          <w:tcPr>
            <w:tcW w:w="1812" w:type="pct"/>
          </w:tcPr>
          <w:p w:rsidR="00AE1389" w:rsidRPr="00AE1389" w:rsidRDefault="00AE1389" w:rsidP="00AE1389">
            <w:pPr>
              <w:adjustRightInd w:val="0"/>
              <w:snapToGrid w:val="0"/>
              <w:spacing w:line="240" w:lineRule="atLeast"/>
              <w:ind w:left="240" w:hangingChars="100" w:hanging="240"/>
              <w:jc w:val="both"/>
              <w:rPr>
                <w:rFonts w:ascii="標楷體" w:eastAsia="標楷體" w:hAnsi="標楷體"/>
                <w:color w:val="000000" w:themeColor="text1"/>
                <w:szCs w:val="24"/>
              </w:rPr>
            </w:pPr>
            <w:r>
              <w:rPr>
                <w:rFonts w:ascii="標楷體" w:eastAsia="標楷體" w:hAnsi="標楷體" w:hint="eastAsia"/>
                <w:color w:val="000000" w:themeColor="text1"/>
                <w:szCs w:val="24"/>
              </w:rPr>
              <w:t>1.</w:t>
            </w:r>
            <w:r w:rsidRPr="00AE1389">
              <w:rPr>
                <w:rFonts w:ascii="標楷體" w:eastAsia="標楷體" w:hAnsi="標楷體" w:hint="eastAsia"/>
                <w:color w:val="000000" w:themeColor="text1"/>
                <w:szCs w:val="24"/>
              </w:rPr>
              <w:t>第</w:t>
            </w:r>
            <w:r w:rsidRPr="00AE1389">
              <w:rPr>
                <w:rFonts w:ascii="標楷體" w:eastAsia="標楷體" w:hAnsi="標楷體"/>
                <w:color w:val="000000" w:themeColor="text1"/>
                <w:szCs w:val="24"/>
              </w:rPr>
              <w:t>6</w:t>
            </w:r>
            <w:r w:rsidRPr="00AE1389">
              <w:rPr>
                <w:rFonts w:ascii="標楷體" w:eastAsia="標楷體" w:hAnsi="標楷體" w:hint="eastAsia"/>
                <w:color w:val="000000" w:themeColor="text1"/>
                <w:szCs w:val="24"/>
              </w:rPr>
              <w:t>會期第</w:t>
            </w:r>
            <w:r w:rsidRPr="00AE1389">
              <w:rPr>
                <w:rFonts w:ascii="標楷體" w:eastAsia="標楷體" w:hAnsi="標楷體"/>
                <w:color w:val="000000" w:themeColor="text1"/>
                <w:szCs w:val="24"/>
              </w:rPr>
              <w:t>4</w:t>
            </w:r>
            <w:r w:rsidRPr="00AE1389">
              <w:rPr>
                <w:rFonts w:ascii="標楷體" w:eastAsia="標楷體" w:hAnsi="標楷體" w:hint="eastAsia"/>
                <w:color w:val="000000" w:themeColor="text1"/>
                <w:szCs w:val="24"/>
              </w:rPr>
              <w:t>次全體委員會議（11</w:t>
            </w:r>
            <w:r w:rsidRPr="00AE1389">
              <w:rPr>
                <w:rFonts w:ascii="標楷體" w:eastAsia="標楷體" w:hAnsi="標楷體"/>
                <w:color w:val="000000" w:themeColor="text1"/>
                <w:szCs w:val="24"/>
              </w:rPr>
              <w:t>1</w:t>
            </w:r>
            <w:r w:rsidRPr="00AE1389">
              <w:rPr>
                <w:rFonts w:ascii="標楷體" w:eastAsia="標楷體" w:hAnsi="標楷體" w:hint="eastAsia"/>
                <w:color w:val="000000" w:themeColor="text1"/>
                <w:szCs w:val="24"/>
              </w:rPr>
              <w:t>.10.</w:t>
            </w:r>
            <w:r w:rsidRPr="00AE1389">
              <w:rPr>
                <w:rFonts w:ascii="標楷體" w:eastAsia="標楷體" w:hAnsi="標楷體"/>
                <w:color w:val="000000" w:themeColor="text1"/>
                <w:szCs w:val="24"/>
              </w:rPr>
              <w:t>19</w:t>
            </w:r>
            <w:r w:rsidRPr="00AE1389">
              <w:rPr>
                <w:rFonts w:ascii="標楷體" w:eastAsia="標楷體" w:hAnsi="標楷體" w:hint="eastAsia"/>
                <w:color w:val="000000" w:themeColor="text1"/>
                <w:szCs w:val="24"/>
              </w:rPr>
              <w:t>）決議：報告及詢答完畢，另定期繼續審查。</w:t>
            </w:r>
          </w:p>
          <w:p w:rsidR="00AE1389" w:rsidRPr="00AE1389" w:rsidRDefault="00AE1389" w:rsidP="00AE1389">
            <w:pPr>
              <w:adjustRightInd w:val="0"/>
              <w:snapToGrid w:val="0"/>
              <w:spacing w:line="240" w:lineRule="atLeast"/>
              <w:ind w:left="240" w:hangingChars="100" w:hanging="240"/>
              <w:jc w:val="both"/>
              <w:rPr>
                <w:rFonts w:ascii="標楷體" w:eastAsia="標楷體" w:hAnsi="標楷體"/>
                <w:color w:val="000000" w:themeColor="text1"/>
                <w:szCs w:val="24"/>
              </w:rPr>
            </w:pPr>
            <w:r>
              <w:rPr>
                <w:rFonts w:ascii="標楷體" w:eastAsia="標楷體" w:hAnsi="標楷體" w:hint="eastAsia"/>
                <w:color w:val="000000" w:themeColor="text1"/>
                <w:szCs w:val="24"/>
              </w:rPr>
              <w:t>2.</w:t>
            </w:r>
            <w:r w:rsidRPr="00AE1389">
              <w:rPr>
                <w:rFonts w:ascii="標楷體" w:eastAsia="標楷體" w:hAnsi="標楷體" w:hint="eastAsia"/>
                <w:color w:val="000000" w:themeColor="text1"/>
                <w:szCs w:val="24"/>
              </w:rPr>
              <w:t>第6會期第1</w:t>
            </w:r>
            <w:r w:rsidRPr="00AE1389">
              <w:rPr>
                <w:rFonts w:ascii="標楷體" w:eastAsia="標楷體" w:hAnsi="標楷體"/>
                <w:color w:val="000000" w:themeColor="text1"/>
                <w:szCs w:val="24"/>
              </w:rPr>
              <w:t>2</w:t>
            </w:r>
            <w:r w:rsidRPr="00AE1389">
              <w:rPr>
                <w:rFonts w:ascii="標楷體" w:eastAsia="標楷體" w:hAnsi="標楷體" w:hint="eastAsia"/>
                <w:color w:val="000000" w:themeColor="text1"/>
                <w:szCs w:val="24"/>
              </w:rPr>
              <w:t>次全體委員會議（111.11.</w:t>
            </w:r>
            <w:r w:rsidRPr="00AE1389">
              <w:rPr>
                <w:rFonts w:ascii="標楷體" w:eastAsia="標楷體" w:hAnsi="標楷體"/>
                <w:color w:val="000000" w:themeColor="text1"/>
                <w:szCs w:val="24"/>
              </w:rPr>
              <w:t>30</w:t>
            </w:r>
            <w:r w:rsidRPr="00AE1389">
              <w:rPr>
                <w:rFonts w:ascii="標楷體" w:eastAsia="標楷體" w:hAnsi="標楷體" w:hint="eastAsia"/>
                <w:color w:val="000000" w:themeColor="text1"/>
                <w:szCs w:val="24"/>
              </w:rPr>
              <w:t>）決議：審查完竣。</w:t>
            </w:r>
          </w:p>
        </w:tc>
      </w:tr>
    </w:tbl>
    <w:p w:rsidR="00301886" w:rsidRDefault="00301886">
      <w:pPr>
        <w:widowControl/>
        <w:rPr>
          <w:color w:val="000000" w:themeColor="text1"/>
        </w:rPr>
      </w:pPr>
    </w:p>
    <w:p w:rsidR="00301886" w:rsidRDefault="00301886">
      <w:pPr>
        <w:widowControl/>
        <w:rPr>
          <w:color w:val="000000" w:themeColor="text1"/>
        </w:rPr>
      </w:pPr>
      <w:r>
        <w:rPr>
          <w:color w:val="000000" w:themeColor="text1"/>
        </w:rPr>
        <w:br w:type="page"/>
      </w:r>
    </w:p>
    <w:p w:rsidR="00301886" w:rsidRDefault="00301886" w:rsidP="00301886">
      <w:pPr>
        <w:snapToGrid w:val="0"/>
        <w:spacing w:afterLines="30" w:after="108" w:line="480" w:lineRule="exact"/>
        <w:ind w:leftChars="119" w:left="446" w:hangingChars="50" w:hanging="160"/>
        <w:jc w:val="both"/>
        <w:outlineLvl w:val="1"/>
        <w:rPr>
          <w:rFonts w:ascii="標楷體" w:eastAsia="標楷體" w:hAnsi="標楷體"/>
          <w:b/>
          <w:bCs/>
          <w:color w:val="000000" w:themeColor="text1"/>
          <w:sz w:val="32"/>
          <w:szCs w:val="32"/>
        </w:rPr>
      </w:pPr>
      <w:bookmarkStart w:id="118" w:name="_Toc126068155"/>
      <w:r>
        <w:rPr>
          <w:rFonts w:ascii="標楷體" w:eastAsia="標楷體" w:hAnsi="標楷體" w:hint="eastAsia"/>
          <w:b/>
          <w:bCs/>
          <w:color w:val="000000" w:themeColor="text1"/>
          <w:sz w:val="32"/>
          <w:szCs w:val="32"/>
        </w:rPr>
        <w:lastRenderedPageBreak/>
        <w:t>三</w:t>
      </w:r>
      <w:r w:rsidRPr="00301886">
        <w:rPr>
          <w:rFonts w:ascii="標楷體" w:eastAsia="標楷體" w:hAnsi="標楷體" w:hint="eastAsia"/>
          <w:b/>
          <w:bCs/>
          <w:color w:val="000000" w:themeColor="text1"/>
          <w:sz w:val="32"/>
          <w:szCs w:val="32"/>
        </w:rPr>
        <w:t>、</w:t>
      </w:r>
      <w:r>
        <w:rPr>
          <w:rFonts w:ascii="標楷體" w:eastAsia="標楷體" w:hAnsi="標楷體" w:hint="eastAsia"/>
          <w:b/>
          <w:bCs/>
          <w:color w:val="000000" w:themeColor="text1"/>
          <w:sz w:val="32"/>
          <w:szCs w:val="32"/>
        </w:rPr>
        <w:t>行政命令</w:t>
      </w:r>
      <w:r w:rsidRPr="00301886">
        <w:rPr>
          <w:rFonts w:ascii="標楷體" w:eastAsia="標楷體" w:hAnsi="標楷體" w:hint="eastAsia"/>
          <w:b/>
          <w:bCs/>
          <w:color w:val="000000" w:themeColor="text1"/>
          <w:sz w:val="32"/>
          <w:szCs w:val="32"/>
        </w:rPr>
        <w:t>（</w:t>
      </w:r>
      <w:r>
        <w:rPr>
          <w:rFonts w:ascii="標楷體" w:eastAsia="標楷體" w:hAnsi="標楷體" w:hint="eastAsia"/>
          <w:b/>
          <w:bCs/>
          <w:color w:val="000000" w:themeColor="text1"/>
          <w:sz w:val="32"/>
          <w:szCs w:val="32"/>
        </w:rPr>
        <w:t>3</w:t>
      </w:r>
      <w:r w:rsidRPr="00301886">
        <w:rPr>
          <w:rFonts w:ascii="標楷體" w:eastAsia="標楷體" w:hAnsi="標楷體" w:hint="eastAsia"/>
          <w:b/>
          <w:bCs/>
          <w:color w:val="000000" w:themeColor="text1"/>
          <w:sz w:val="32"/>
          <w:szCs w:val="32"/>
        </w:rPr>
        <w:t>案</w:t>
      </w:r>
      <w:r w:rsidRPr="00301886">
        <w:rPr>
          <w:rFonts w:ascii="標楷體" w:eastAsia="標楷體" w:hAnsi="標楷體"/>
          <w:b/>
          <w:bCs/>
          <w:color w:val="000000" w:themeColor="text1"/>
          <w:sz w:val="32"/>
          <w:szCs w:val="32"/>
        </w:rPr>
        <w:t>）</w:t>
      </w:r>
      <w:bookmarkEnd w:id="118"/>
    </w:p>
    <w:tbl>
      <w:tblPr>
        <w:tblW w:w="5146" w:type="pct"/>
        <w:tblInd w:w="-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5"/>
        <w:gridCol w:w="3520"/>
        <w:gridCol w:w="1674"/>
        <w:gridCol w:w="923"/>
        <w:gridCol w:w="2912"/>
      </w:tblGrid>
      <w:tr w:rsidR="00301886" w:rsidRPr="00301886" w:rsidTr="00AE1389">
        <w:trPr>
          <w:trHeight w:val="700"/>
        </w:trPr>
        <w:tc>
          <w:tcPr>
            <w:tcW w:w="362" w:type="pct"/>
            <w:vAlign w:val="center"/>
          </w:tcPr>
          <w:p w:rsidR="00301886" w:rsidRPr="00301886" w:rsidRDefault="00301886" w:rsidP="00301886">
            <w:pPr>
              <w:spacing w:line="400" w:lineRule="exact"/>
              <w:jc w:val="center"/>
              <w:rPr>
                <w:rFonts w:ascii="標楷體" w:eastAsia="標楷體" w:hAnsi="標楷體"/>
                <w:b/>
                <w:bCs/>
                <w:color w:val="000000" w:themeColor="text1"/>
                <w:spacing w:val="-20"/>
                <w:sz w:val="28"/>
                <w:szCs w:val="28"/>
              </w:rPr>
            </w:pPr>
            <w:r w:rsidRPr="00301886">
              <w:rPr>
                <w:rFonts w:ascii="標楷體" w:eastAsia="標楷體" w:hAnsi="標楷體" w:hint="eastAsia"/>
                <w:b/>
                <w:bCs/>
                <w:color w:val="000000" w:themeColor="text1"/>
                <w:spacing w:val="-20"/>
                <w:sz w:val="28"/>
                <w:szCs w:val="28"/>
              </w:rPr>
              <w:t>序號</w:t>
            </w:r>
          </w:p>
        </w:tc>
        <w:tc>
          <w:tcPr>
            <w:tcW w:w="1808" w:type="pct"/>
            <w:vAlign w:val="center"/>
          </w:tcPr>
          <w:p w:rsidR="00301886" w:rsidRPr="00301886" w:rsidRDefault="00301886" w:rsidP="00301886">
            <w:pPr>
              <w:spacing w:line="400" w:lineRule="exact"/>
              <w:jc w:val="center"/>
              <w:rPr>
                <w:rFonts w:ascii="標楷體" w:eastAsia="標楷體" w:hAnsi="標楷體"/>
                <w:b/>
                <w:bCs/>
                <w:color w:val="000000" w:themeColor="text1"/>
                <w:sz w:val="28"/>
              </w:rPr>
            </w:pPr>
            <w:r w:rsidRPr="00301886">
              <w:rPr>
                <w:rFonts w:ascii="標楷體" w:eastAsia="標楷體" w:hAnsi="標楷體" w:hint="eastAsia"/>
                <w:b/>
                <w:bCs/>
                <w:color w:val="000000" w:themeColor="text1"/>
                <w:sz w:val="28"/>
              </w:rPr>
              <w:t>案          由</w:t>
            </w:r>
          </w:p>
        </w:tc>
        <w:tc>
          <w:tcPr>
            <w:tcW w:w="860" w:type="pct"/>
            <w:vAlign w:val="center"/>
          </w:tcPr>
          <w:p w:rsidR="00301886" w:rsidRPr="00301886" w:rsidRDefault="00301886" w:rsidP="00301886">
            <w:pPr>
              <w:spacing w:line="400" w:lineRule="exact"/>
              <w:ind w:left="92"/>
              <w:jc w:val="center"/>
              <w:rPr>
                <w:rFonts w:ascii="標楷體" w:eastAsia="標楷體" w:hAnsi="標楷體"/>
                <w:b/>
                <w:bCs/>
                <w:color w:val="000000" w:themeColor="text1"/>
                <w:sz w:val="28"/>
              </w:rPr>
            </w:pPr>
            <w:r w:rsidRPr="00301886">
              <w:rPr>
                <w:rFonts w:ascii="標楷體" w:eastAsia="標楷體" w:hAnsi="標楷體" w:hint="eastAsia"/>
                <w:b/>
                <w:bCs/>
                <w:color w:val="000000" w:themeColor="text1"/>
                <w:sz w:val="28"/>
              </w:rPr>
              <w:t>院會交付</w:t>
            </w:r>
          </w:p>
          <w:p w:rsidR="00301886" w:rsidRPr="00301886" w:rsidRDefault="00301886" w:rsidP="00301886">
            <w:pPr>
              <w:spacing w:line="400" w:lineRule="exact"/>
              <w:ind w:leftChars="-36" w:left="1" w:hangingChars="31" w:hanging="87"/>
              <w:jc w:val="center"/>
              <w:rPr>
                <w:rFonts w:ascii="標楷體" w:eastAsia="標楷體" w:hAnsi="標楷體"/>
                <w:b/>
                <w:bCs/>
                <w:color w:val="000000" w:themeColor="text1"/>
                <w:sz w:val="28"/>
              </w:rPr>
            </w:pPr>
            <w:r w:rsidRPr="00301886">
              <w:rPr>
                <w:rFonts w:ascii="標楷體" w:eastAsia="標楷體" w:hAnsi="標楷體" w:hint="eastAsia"/>
                <w:b/>
                <w:bCs/>
                <w:color w:val="000000" w:themeColor="text1"/>
                <w:sz w:val="28"/>
              </w:rPr>
              <w:t>會次及日期</w:t>
            </w:r>
          </w:p>
        </w:tc>
        <w:tc>
          <w:tcPr>
            <w:tcW w:w="474" w:type="pct"/>
            <w:vAlign w:val="center"/>
          </w:tcPr>
          <w:p w:rsidR="00301886" w:rsidRPr="00301886" w:rsidRDefault="00301886" w:rsidP="00301886">
            <w:pPr>
              <w:spacing w:line="400" w:lineRule="exact"/>
              <w:jc w:val="center"/>
              <w:rPr>
                <w:rFonts w:ascii="標楷體" w:eastAsia="標楷體" w:hAnsi="標楷體"/>
                <w:b/>
                <w:bCs/>
                <w:color w:val="000000" w:themeColor="text1"/>
                <w:sz w:val="28"/>
              </w:rPr>
            </w:pPr>
            <w:r w:rsidRPr="00301886">
              <w:rPr>
                <w:rFonts w:ascii="標楷體" w:eastAsia="標楷體" w:hAnsi="標楷體" w:hint="eastAsia"/>
                <w:b/>
                <w:bCs/>
                <w:color w:val="000000" w:themeColor="text1"/>
                <w:sz w:val="28"/>
              </w:rPr>
              <w:t>聯席</w:t>
            </w:r>
          </w:p>
          <w:p w:rsidR="00301886" w:rsidRPr="00301886" w:rsidRDefault="00301886" w:rsidP="00301886">
            <w:pPr>
              <w:spacing w:line="400" w:lineRule="exact"/>
              <w:jc w:val="center"/>
              <w:rPr>
                <w:rFonts w:ascii="標楷體" w:eastAsia="標楷體" w:hAnsi="標楷體"/>
                <w:b/>
                <w:bCs/>
                <w:color w:val="000000" w:themeColor="text1"/>
                <w:sz w:val="28"/>
              </w:rPr>
            </w:pPr>
            <w:r w:rsidRPr="00301886">
              <w:rPr>
                <w:rFonts w:ascii="標楷體" w:eastAsia="標楷體" w:hAnsi="標楷體" w:hint="eastAsia"/>
                <w:b/>
                <w:bCs/>
                <w:color w:val="000000" w:themeColor="text1"/>
                <w:sz w:val="28"/>
              </w:rPr>
              <w:t>委員會</w:t>
            </w:r>
          </w:p>
        </w:tc>
        <w:tc>
          <w:tcPr>
            <w:tcW w:w="1496" w:type="pct"/>
            <w:vAlign w:val="center"/>
          </w:tcPr>
          <w:p w:rsidR="00301886" w:rsidRPr="00301886" w:rsidRDefault="00301886" w:rsidP="00301886">
            <w:pPr>
              <w:spacing w:line="400" w:lineRule="exact"/>
              <w:jc w:val="distribute"/>
              <w:rPr>
                <w:rFonts w:ascii="標楷體" w:eastAsia="標楷體" w:hAnsi="標楷體"/>
                <w:b/>
                <w:bCs/>
                <w:color w:val="000000" w:themeColor="text1"/>
                <w:sz w:val="28"/>
              </w:rPr>
            </w:pPr>
            <w:r w:rsidRPr="00301886">
              <w:rPr>
                <w:rFonts w:ascii="標楷體" w:eastAsia="標楷體" w:hAnsi="標楷體" w:hint="eastAsia"/>
                <w:b/>
                <w:bCs/>
                <w:color w:val="000000" w:themeColor="text1"/>
                <w:sz w:val="28"/>
              </w:rPr>
              <w:t>處理情形</w:t>
            </w:r>
          </w:p>
        </w:tc>
      </w:tr>
      <w:tr w:rsidR="005A1BAD" w:rsidRPr="00301886" w:rsidTr="00AE1389">
        <w:trPr>
          <w:trHeight w:val="700"/>
        </w:trPr>
        <w:tc>
          <w:tcPr>
            <w:tcW w:w="362" w:type="pct"/>
            <w:vAlign w:val="center"/>
          </w:tcPr>
          <w:p w:rsidR="005A1BAD" w:rsidRPr="00301886" w:rsidRDefault="005A1BAD" w:rsidP="006934DD">
            <w:pPr>
              <w:numPr>
                <w:ilvl w:val="0"/>
                <w:numId w:val="64"/>
              </w:numPr>
              <w:spacing w:line="400" w:lineRule="exact"/>
              <w:ind w:right="113"/>
              <w:rPr>
                <w:rFonts w:ascii="標楷體" w:eastAsia="標楷體" w:hAnsi="標楷體"/>
                <w:color w:val="000000" w:themeColor="text1"/>
                <w:sz w:val="28"/>
                <w:szCs w:val="28"/>
              </w:rPr>
            </w:pPr>
          </w:p>
        </w:tc>
        <w:tc>
          <w:tcPr>
            <w:tcW w:w="1808" w:type="pct"/>
          </w:tcPr>
          <w:p w:rsidR="005A1BAD" w:rsidRPr="00920597" w:rsidRDefault="005A1BAD" w:rsidP="005A1BAD">
            <w:pPr>
              <w:spacing w:line="400" w:lineRule="exact"/>
              <w:jc w:val="both"/>
              <w:rPr>
                <w:rFonts w:eastAsia="華康楷書體W5"/>
                <w:color w:val="000000" w:themeColor="text1"/>
                <w:sz w:val="28"/>
              </w:rPr>
            </w:pPr>
            <w:r w:rsidRPr="00920597">
              <w:rPr>
                <w:rFonts w:eastAsia="華康楷書體W5" w:hint="eastAsia"/>
                <w:color w:val="000000" w:themeColor="text1"/>
                <w:sz w:val="28"/>
              </w:rPr>
              <w:t>教育部函，為修正「高級中等學校建教合作審議小組與專家小組組成及運作辦法」第三條條文，請查照案。</w:t>
            </w:r>
          </w:p>
        </w:tc>
        <w:tc>
          <w:tcPr>
            <w:tcW w:w="860" w:type="pct"/>
          </w:tcPr>
          <w:p w:rsidR="005A1BAD" w:rsidRPr="00920597" w:rsidRDefault="005A1BAD" w:rsidP="005A1BAD">
            <w:pPr>
              <w:spacing w:line="400" w:lineRule="exact"/>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10-5-10</w:t>
            </w:r>
          </w:p>
          <w:p w:rsidR="005A1BAD" w:rsidRPr="00920597" w:rsidRDefault="005A1BAD" w:rsidP="005A1BAD">
            <w:pPr>
              <w:spacing w:line="400" w:lineRule="exact"/>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(111.4.29)</w:t>
            </w:r>
          </w:p>
        </w:tc>
        <w:tc>
          <w:tcPr>
            <w:tcW w:w="474" w:type="pct"/>
          </w:tcPr>
          <w:p w:rsidR="005A1BAD" w:rsidRPr="00D31BDA" w:rsidRDefault="005A1BAD" w:rsidP="005A1BAD">
            <w:pPr>
              <w:rPr>
                <w:rFonts w:ascii="標楷體" w:eastAsia="標楷體" w:hAnsi="標楷體"/>
                <w:color w:val="000000"/>
                <w:sz w:val="28"/>
              </w:rPr>
            </w:pPr>
          </w:p>
        </w:tc>
        <w:tc>
          <w:tcPr>
            <w:tcW w:w="1496" w:type="pct"/>
          </w:tcPr>
          <w:p w:rsidR="005A1BAD" w:rsidRPr="00D31BDA" w:rsidRDefault="005A1BAD" w:rsidP="005A1BAD">
            <w:pPr>
              <w:adjustRightInd w:val="0"/>
              <w:snapToGrid w:val="0"/>
              <w:spacing w:line="240" w:lineRule="atLeast"/>
              <w:ind w:left="240" w:hangingChars="100" w:hanging="240"/>
              <w:jc w:val="both"/>
              <w:rPr>
                <w:rFonts w:ascii="標楷體" w:eastAsia="標楷體" w:hAnsi="標楷體"/>
                <w:color w:val="000000"/>
                <w:szCs w:val="24"/>
              </w:rPr>
            </w:pPr>
            <w:r w:rsidRPr="00E710E8">
              <w:rPr>
                <w:rFonts w:ascii="標楷體" w:eastAsia="標楷體" w:hAnsi="標楷體" w:hint="eastAsia"/>
                <w:color w:val="000000"/>
                <w:szCs w:val="24"/>
              </w:rPr>
              <w:t>1.逾立法院職權行使法所定審查期限，報請院會存查。</w:t>
            </w:r>
          </w:p>
        </w:tc>
      </w:tr>
      <w:tr w:rsidR="005A1BAD" w:rsidRPr="00301886" w:rsidTr="00AE1389">
        <w:trPr>
          <w:trHeight w:val="700"/>
        </w:trPr>
        <w:tc>
          <w:tcPr>
            <w:tcW w:w="362" w:type="pct"/>
            <w:vAlign w:val="center"/>
          </w:tcPr>
          <w:p w:rsidR="005A1BAD" w:rsidRPr="00301886" w:rsidRDefault="005A1BAD" w:rsidP="006934DD">
            <w:pPr>
              <w:numPr>
                <w:ilvl w:val="0"/>
                <w:numId w:val="64"/>
              </w:numPr>
              <w:spacing w:line="400" w:lineRule="exact"/>
              <w:ind w:right="113"/>
              <w:rPr>
                <w:rFonts w:ascii="標楷體" w:eastAsia="標楷體" w:hAnsi="標楷體"/>
                <w:color w:val="000000" w:themeColor="text1"/>
                <w:sz w:val="28"/>
                <w:szCs w:val="28"/>
              </w:rPr>
            </w:pPr>
          </w:p>
        </w:tc>
        <w:tc>
          <w:tcPr>
            <w:tcW w:w="1808" w:type="pct"/>
          </w:tcPr>
          <w:p w:rsidR="005A1BAD" w:rsidRPr="00920597" w:rsidRDefault="005A1BAD" w:rsidP="005A1BAD">
            <w:pPr>
              <w:spacing w:line="400" w:lineRule="exact"/>
              <w:jc w:val="both"/>
              <w:rPr>
                <w:rFonts w:eastAsia="華康楷書體W5"/>
                <w:color w:val="000000" w:themeColor="text1"/>
                <w:sz w:val="28"/>
              </w:rPr>
            </w:pPr>
            <w:r w:rsidRPr="00920597">
              <w:rPr>
                <w:rFonts w:eastAsia="華康楷書體W5" w:hint="eastAsia"/>
                <w:color w:val="000000" w:themeColor="text1"/>
                <w:sz w:val="28"/>
              </w:rPr>
              <w:t>教育部函，為修正「特定體育團體建立運動教練資格檢定及管理辦法」第九條、第九條之一及第十條條文，請查照案。</w:t>
            </w:r>
          </w:p>
        </w:tc>
        <w:tc>
          <w:tcPr>
            <w:tcW w:w="860" w:type="pct"/>
          </w:tcPr>
          <w:p w:rsidR="005A1BAD" w:rsidRPr="00920597" w:rsidRDefault="005A1BAD" w:rsidP="005A1BAD">
            <w:pPr>
              <w:spacing w:line="400" w:lineRule="exact"/>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10-5-11</w:t>
            </w:r>
          </w:p>
          <w:p w:rsidR="005A1BAD" w:rsidRPr="00920597" w:rsidRDefault="005A1BAD" w:rsidP="005A1BAD">
            <w:pPr>
              <w:spacing w:line="400" w:lineRule="exact"/>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(111.5.6)</w:t>
            </w:r>
          </w:p>
        </w:tc>
        <w:tc>
          <w:tcPr>
            <w:tcW w:w="474" w:type="pct"/>
          </w:tcPr>
          <w:p w:rsidR="005A1BAD" w:rsidRPr="00D31BDA" w:rsidRDefault="005A1BAD" w:rsidP="005A1BAD">
            <w:pPr>
              <w:rPr>
                <w:rFonts w:ascii="標楷體" w:eastAsia="標楷體" w:hAnsi="標楷體"/>
                <w:color w:val="000000"/>
                <w:sz w:val="28"/>
              </w:rPr>
            </w:pPr>
          </w:p>
        </w:tc>
        <w:tc>
          <w:tcPr>
            <w:tcW w:w="1496" w:type="pct"/>
          </w:tcPr>
          <w:p w:rsidR="005A1BAD" w:rsidRPr="00D31BDA" w:rsidRDefault="005A1BAD" w:rsidP="005A1BAD">
            <w:pPr>
              <w:adjustRightInd w:val="0"/>
              <w:snapToGrid w:val="0"/>
              <w:spacing w:line="240" w:lineRule="atLeast"/>
              <w:ind w:left="240" w:hangingChars="100" w:hanging="240"/>
              <w:jc w:val="both"/>
              <w:rPr>
                <w:rFonts w:ascii="標楷體" w:eastAsia="標楷體" w:hAnsi="標楷體"/>
                <w:color w:val="000000"/>
                <w:szCs w:val="24"/>
              </w:rPr>
            </w:pPr>
            <w:r w:rsidRPr="00E710E8">
              <w:rPr>
                <w:rFonts w:ascii="標楷體" w:eastAsia="標楷體" w:hAnsi="標楷體" w:hint="eastAsia"/>
                <w:color w:val="000000"/>
                <w:szCs w:val="24"/>
              </w:rPr>
              <w:t>1.逾立法院職權行使法所定審查期限，報請院會存查。</w:t>
            </w:r>
          </w:p>
        </w:tc>
      </w:tr>
      <w:tr w:rsidR="005A1BAD" w:rsidRPr="00301886" w:rsidTr="00AE1389">
        <w:trPr>
          <w:trHeight w:val="700"/>
        </w:trPr>
        <w:tc>
          <w:tcPr>
            <w:tcW w:w="362" w:type="pct"/>
            <w:vAlign w:val="center"/>
          </w:tcPr>
          <w:p w:rsidR="005A1BAD" w:rsidRPr="00301886" w:rsidRDefault="005A1BAD" w:rsidP="006934DD">
            <w:pPr>
              <w:numPr>
                <w:ilvl w:val="0"/>
                <w:numId w:val="64"/>
              </w:numPr>
              <w:spacing w:line="400" w:lineRule="exact"/>
              <w:ind w:right="113"/>
              <w:rPr>
                <w:rFonts w:ascii="標楷體" w:eastAsia="標楷體" w:hAnsi="標楷體"/>
                <w:color w:val="000000" w:themeColor="text1"/>
                <w:sz w:val="28"/>
                <w:szCs w:val="28"/>
              </w:rPr>
            </w:pPr>
          </w:p>
        </w:tc>
        <w:tc>
          <w:tcPr>
            <w:tcW w:w="1808" w:type="pct"/>
          </w:tcPr>
          <w:p w:rsidR="005A1BAD" w:rsidRPr="00920597" w:rsidRDefault="005A1BAD" w:rsidP="005A1BAD">
            <w:pPr>
              <w:spacing w:line="400" w:lineRule="exact"/>
              <w:jc w:val="both"/>
              <w:rPr>
                <w:rFonts w:eastAsia="華康楷書體W5"/>
                <w:color w:val="000000" w:themeColor="text1"/>
                <w:sz w:val="28"/>
              </w:rPr>
            </w:pPr>
            <w:r w:rsidRPr="00920597">
              <w:rPr>
                <w:rFonts w:eastAsia="華康楷書體W5" w:hint="eastAsia"/>
                <w:color w:val="000000" w:themeColor="text1"/>
                <w:sz w:val="28"/>
              </w:rPr>
              <w:t>教育部函，為修正「專科以上學校兼任教師聘任辦法」第十四條條文，請查照案。</w:t>
            </w:r>
          </w:p>
        </w:tc>
        <w:tc>
          <w:tcPr>
            <w:tcW w:w="860" w:type="pct"/>
          </w:tcPr>
          <w:p w:rsidR="005A1BAD" w:rsidRPr="00920597" w:rsidRDefault="005A1BAD" w:rsidP="005A1BAD">
            <w:pPr>
              <w:spacing w:line="400" w:lineRule="exact"/>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10-5-11</w:t>
            </w:r>
          </w:p>
          <w:p w:rsidR="005A1BAD" w:rsidRPr="00920597" w:rsidRDefault="005A1BAD" w:rsidP="005A1BAD">
            <w:pPr>
              <w:spacing w:line="400" w:lineRule="exact"/>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(111.5.6)</w:t>
            </w:r>
          </w:p>
        </w:tc>
        <w:tc>
          <w:tcPr>
            <w:tcW w:w="474" w:type="pct"/>
          </w:tcPr>
          <w:p w:rsidR="005A1BAD" w:rsidRPr="00D31BDA" w:rsidRDefault="005A1BAD" w:rsidP="005A1BAD">
            <w:pPr>
              <w:rPr>
                <w:rFonts w:ascii="標楷體" w:eastAsia="標楷體" w:hAnsi="標楷體"/>
                <w:color w:val="000000"/>
                <w:sz w:val="28"/>
              </w:rPr>
            </w:pPr>
          </w:p>
        </w:tc>
        <w:tc>
          <w:tcPr>
            <w:tcW w:w="1496" w:type="pct"/>
          </w:tcPr>
          <w:p w:rsidR="005A1BAD" w:rsidRPr="00D31BDA" w:rsidRDefault="005A1BAD" w:rsidP="005A1BAD">
            <w:pPr>
              <w:adjustRightInd w:val="0"/>
              <w:snapToGrid w:val="0"/>
              <w:spacing w:line="240" w:lineRule="atLeast"/>
              <w:ind w:left="240" w:hangingChars="100" w:hanging="240"/>
              <w:jc w:val="both"/>
              <w:rPr>
                <w:rFonts w:ascii="標楷體" w:eastAsia="標楷體" w:hAnsi="標楷體"/>
                <w:color w:val="000000"/>
                <w:szCs w:val="24"/>
              </w:rPr>
            </w:pPr>
            <w:r w:rsidRPr="00E710E8">
              <w:rPr>
                <w:rFonts w:ascii="標楷體" w:eastAsia="標楷體" w:hAnsi="標楷體" w:hint="eastAsia"/>
                <w:color w:val="000000"/>
                <w:szCs w:val="24"/>
              </w:rPr>
              <w:t>1.逾立法院職權行使法所定審查期限，報請院會存查。</w:t>
            </w:r>
          </w:p>
        </w:tc>
      </w:tr>
    </w:tbl>
    <w:p w:rsidR="0005583A" w:rsidRPr="00920597" w:rsidRDefault="0005583A">
      <w:pPr>
        <w:widowControl/>
        <w:rPr>
          <w:rFonts w:ascii="標楷體" w:eastAsia="標楷體" w:hAnsi="標楷體"/>
          <w:b/>
          <w:bCs/>
          <w:color w:val="000000" w:themeColor="text1"/>
          <w:sz w:val="32"/>
          <w:szCs w:val="32"/>
        </w:rPr>
      </w:pPr>
      <w:r w:rsidRPr="00920597">
        <w:rPr>
          <w:color w:val="000000" w:themeColor="text1"/>
        </w:rPr>
        <w:br w:type="page"/>
      </w:r>
    </w:p>
    <w:p w:rsidR="00FB0608" w:rsidRPr="00920597" w:rsidRDefault="00FB0608" w:rsidP="00FB0608">
      <w:pPr>
        <w:pStyle w:val="01-11"/>
        <w:rPr>
          <w:color w:val="000000" w:themeColor="text1"/>
        </w:rPr>
      </w:pPr>
      <w:bookmarkStart w:id="119" w:name="_Toc126068156"/>
      <w:r w:rsidRPr="00920597">
        <w:rPr>
          <w:rFonts w:hint="eastAsia"/>
          <w:color w:val="000000" w:themeColor="text1"/>
        </w:rPr>
        <w:lastRenderedPageBreak/>
        <w:t>陸、本會待審(處理)之議案</w:t>
      </w:r>
      <w:r w:rsidR="00303040" w:rsidRPr="00920597">
        <w:rPr>
          <w:rFonts w:hint="eastAsia"/>
          <w:color w:val="000000" w:themeColor="text1"/>
        </w:rPr>
        <w:t xml:space="preserve"> (</w:t>
      </w:r>
      <w:r w:rsidR="00C01682">
        <w:rPr>
          <w:color w:val="000000" w:themeColor="text1"/>
        </w:rPr>
        <w:t>9</w:t>
      </w:r>
      <w:r w:rsidR="00ED71FE">
        <w:rPr>
          <w:rFonts w:hint="eastAsia"/>
          <w:color w:val="000000" w:themeColor="text1"/>
        </w:rPr>
        <w:t>51</w:t>
      </w:r>
      <w:r w:rsidR="00303040" w:rsidRPr="00920597">
        <w:rPr>
          <w:rFonts w:hint="eastAsia"/>
          <w:color w:val="000000" w:themeColor="text1"/>
        </w:rPr>
        <w:t>案)</w:t>
      </w:r>
      <w:bookmarkEnd w:id="119"/>
    </w:p>
    <w:p w:rsidR="00FB0608" w:rsidRPr="00920597" w:rsidRDefault="00FB0608" w:rsidP="00FE1E19">
      <w:pPr>
        <w:pStyle w:val="01-21"/>
        <w:rPr>
          <w:color w:val="000000" w:themeColor="text1"/>
        </w:rPr>
      </w:pPr>
      <w:bookmarkStart w:id="120" w:name="_Toc126068157"/>
      <w:r w:rsidRPr="00920597">
        <w:rPr>
          <w:rFonts w:hint="eastAsia"/>
          <w:color w:val="000000" w:themeColor="text1"/>
        </w:rPr>
        <w:t>一、法律案</w:t>
      </w:r>
      <w:r w:rsidR="00732884" w:rsidRPr="00920597">
        <w:rPr>
          <w:rFonts w:hint="eastAsia"/>
          <w:color w:val="000000" w:themeColor="text1"/>
        </w:rPr>
        <w:t xml:space="preserve"> </w:t>
      </w:r>
      <w:r w:rsidR="00CD0D60" w:rsidRPr="00920597">
        <w:rPr>
          <w:rFonts w:hint="eastAsia"/>
          <w:color w:val="000000" w:themeColor="text1"/>
        </w:rPr>
        <w:t>(</w:t>
      </w:r>
      <w:r w:rsidR="00FD3BEA">
        <w:rPr>
          <w:rFonts w:hint="eastAsia"/>
          <w:color w:val="000000" w:themeColor="text1"/>
        </w:rPr>
        <w:t>350</w:t>
      </w:r>
      <w:r w:rsidRPr="00920597">
        <w:rPr>
          <w:rFonts w:hint="eastAsia"/>
          <w:color w:val="000000" w:themeColor="text1"/>
        </w:rPr>
        <w:t>案）</w:t>
      </w:r>
      <w:bookmarkEnd w:id="120"/>
    </w:p>
    <w:p w:rsidR="00FB0608" w:rsidRPr="00920597" w:rsidRDefault="00502BBF" w:rsidP="008D0A60">
      <w:pPr>
        <w:pStyle w:val="01-3"/>
        <w:rPr>
          <w:color w:val="000000" w:themeColor="text1"/>
        </w:rPr>
      </w:pPr>
      <w:bookmarkStart w:id="121" w:name="_Toc126068158"/>
      <w:r w:rsidRPr="00920597">
        <w:rPr>
          <w:rFonts w:hint="eastAsia"/>
          <w:color w:val="000000" w:themeColor="text1"/>
        </w:rPr>
        <w:t>(一)</w:t>
      </w:r>
      <w:r w:rsidR="00FB0608" w:rsidRPr="00920597">
        <w:rPr>
          <w:rFonts w:hint="eastAsia"/>
          <w:color w:val="000000" w:themeColor="text1"/>
        </w:rPr>
        <w:t>教育部</w:t>
      </w:r>
      <w:r w:rsidR="00732884" w:rsidRPr="00920597">
        <w:rPr>
          <w:rFonts w:hint="eastAsia"/>
          <w:color w:val="000000" w:themeColor="text1"/>
        </w:rPr>
        <w:t xml:space="preserve"> </w:t>
      </w:r>
      <w:r w:rsidR="00FB0608" w:rsidRPr="00920597">
        <w:rPr>
          <w:rFonts w:hint="eastAsia"/>
          <w:color w:val="000000" w:themeColor="text1"/>
        </w:rPr>
        <w:t>(</w:t>
      </w:r>
      <w:r w:rsidR="006C7FD7">
        <w:rPr>
          <w:rFonts w:hint="eastAsia"/>
          <w:color w:val="000000" w:themeColor="text1"/>
        </w:rPr>
        <w:t>254</w:t>
      </w:r>
      <w:r w:rsidR="00FB0608" w:rsidRPr="00920597">
        <w:rPr>
          <w:rFonts w:hint="eastAsia"/>
          <w:color w:val="000000" w:themeColor="text1"/>
        </w:rPr>
        <w:t>案）</w:t>
      </w:r>
      <w:bookmarkEnd w:id="121"/>
    </w:p>
    <w:tbl>
      <w:tblPr>
        <w:tblW w:w="5127" w:type="pct"/>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696"/>
        <w:gridCol w:w="2679"/>
        <w:gridCol w:w="1596"/>
        <w:gridCol w:w="981"/>
        <w:gridCol w:w="2000"/>
        <w:gridCol w:w="1746"/>
      </w:tblGrid>
      <w:tr w:rsidR="001A495B" w:rsidRPr="001A495B" w:rsidTr="001A495B">
        <w:trPr>
          <w:trHeight w:val="700"/>
        </w:trPr>
        <w:tc>
          <w:tcPr>
            <w:tcW w:w="359" w:type="pct"/>
            <w:tcBorders>
              <w:top w:val="single" w:sz="4" w:space="0" w:color="auto"/>
              <w:left w:val="single" w:sz="4" w:space="0" w:color="auto"/>
              <w:bottom w:val="single" w:sz="4" w:space="0" w:color="auto"/>
              <w:right w:val="single" w:sz="4" w:space="0" w:color="auto"/>
            </w:tcBorders>
            <w:vAlign w:val="center"/>
            <w:hideMark/>
          </w:tcPr>
          <w:p w:rsidR="001A495B" w:rsidRPr="001A495B" w:rsidRDefault="001A495B" w:rsidP="001A495B">
            <w:pPr>
              <w:snapToGrid w:val="0"/>
              <w:spacing w:line="400" w:lineRule="exact"/>
              <w:jc w:val="distribute"/>
              <w:rPr>
                <w:rFonts w:ascii="標楷體" w:eastAsia="標楷體" w:hAnsi="標楷體"/>
                <w:b/>
                <w:bCs/>
                <w:spacing w:val="-20"/>
                <w:sz w:val="28"/>
                <w:szCs w:val="28"/>
              </w:rPr>
            </w:pPr>
            <w:r w:rsidRPr="001A495B">
              <w:rPr>
                <w:rFonts w:ascii="標楷體" w:eastAsia="標楷體" w:hAnsi="標楷體" w:hint="eastAsia"/>
                <w:b/>
                <w:bCs/>
                <w:spacing w:val="-20"/>
                <w:sz w:val="28"/>
                <w:szCs w:val="28"/>
              </w:rPr>
              <w:t>序號</w:t>
            </w:r>
          </w:p>
        </w:tc>
        <w:tc>
          <w:tcPr>
            <w:tcW w:w="1381" w:type="pct"/>
            <w:tcBorders>
              <w:top w:val="single" w:sz="4" w:space="0" w:color="auto"/>
              <w:left w:val="single" w:sz="4" w:space="0" w:color="auto"/>
              <w:bottom w:val="single" w:sz="4" w:space="0" w:color="auto"/>
              <w:right w:val="single" w:sz="4" w:space="0" w:color="auto"/>
            </w:tcBorders>
            <w:vAlign w:val="center"/>
            <w:hideMark/>
          </w:tcPr>
          <w:p w:rsidR="001A495B" w:rsidRPr="001A495B" w:rsidRDefault="001A495B" w:rsidP="001A495B">
            <w:pPr>
              <w:snapToGrid w:val="0"/>
              <w:spacing w:line="400" w:lineRule="exact"/>
              <w:jc w:val="center"/>
              <w:rPr>
                <w:rFonts w:ascii="標楷體" w:eastAsia="標楷體" w:hAnsi="標楷體"/>
                <w:b/>
                <w:bCs/>
                <w:sz w:val="28"/>
              </w:rPr>
            </w:pPr>
            <w:r w:rsidRPr="001A495B">
              <w:rPr>
                <w:rFonts w:ascii="標楷體" w:eastAsia="標楷體" w:hAnsi="標楷體" w:hint="eastAsia"/>
                <w:b/>
                <w:bCs/>
                <w:sz w:val="28"/>
              </w:rPr>
              <w:t>法案名稱</w:t>
            </w:r>
            <w:r w:rsidRPr="001A495B">
              <w:rPr>
                <w:rFonts w:ascii="標楷體" w:eastAsia="標楷體" w:hAnsi="標楷體" w:hint="eastAsia"/>
                <w:b/>
                <w:sz w:val="28"/>
                <w:szCs w:val="28"/>
              </w:rPr>
              <w:t>及提案單位</w:t>
            </w:r>
          </w:p>
        </w:tc>
        <w:tc>
          <w:tcPr>
            <w:tcW w:w="823" w:type="pct"/>
            <w:tcBorders>
              <w:top w:val="single" w:sz="4" w:space="0" w:color="auto"/>
              <w:left w:val="single" w:sz="4" w:space="0" w:color="auto"/>
              <w:bottom w:val="single" w:sz="4" w:space="0" w:color="auto"/>
              <w:right w:val="single" w:sz="4" w:space="0" w:color="auto"/>
            </w:tcBorders>
            <w:vAlign w:val="center"/>
            <w:hideMark/>
          </w:tcPr>
          <w:p w:rsidR="001A495B" w:rsidRPr="001A495B" w:rsidRDefault="001A495B" w:rsidP="001A495B">
            <w:pPr>
              <w:snapToGrid w:val="0"/>
              <w:spacing w:line="400" w:lineRule="exact"/>
              <w:ind w:left="-29"/>
              <w:jc w:val="center"/>
              <w:rPr>
                <w:rFonts w:ascii="標楷體" w:eastAsia="標楷體" w:hAnsi="標楷體"/>
                <w:b/>
                <w:bCs/>
                <w:sz w:val="28"/>
              </w:rPr>
            </w:pPr>
            <w:r w:rsidRPr="001A495B">
              <w:rPr>
                <w:rFonts w:ascii="標楷體" w:eastAsia="標楷體" w:hAnsi="標楷體" w:hint="eastAsia"/>
                <w:b/>
                <w:bCs/>
                <w:sz w:val="28"/>
              </w:rPr>
              <w:t>院會交付</w:t>
            </w:r>
          </w:p>
          <w:p w:rsidR="001A495B" w:rsidRPr="001A495B" w:rsidRDefault="001A495B" w:rsidP="001A495B">
            <w:pPr>
              <w:snapToGrid w:val="0"/>
              <w:spacing w:line="400" w:lineRule="exact"/>
              <w:ind w:left="-29" w:right="-28"/>
              <w:jc w:val="center"/>
              <w:rPr>
                <w:rFonts w:ascii="標楷體" w:eastAsia="標楷體" w:hAnsi="標楷體"/>
                <w:b/>
                <w:bCs/>
                <w:sz w:val="28"/>
              </w:rPr>
            </w:pPr>
            <w:r w:rsidRPr="001A495B">
              <w:rPr>
                <w:rFonts w:ascii="標楷體" w:eastAsia="標楷體" w:hAnsi="標楷體" w:hint="eastAsia"/>
                <w:b/>
                <w:bCs/>
                <w:sz w:val="28"/>
              </w:rPr>
              <w:t>會次及日期</w:t>
            </w:r>
          </w:p>
        </w:tc>
        <w:tc>
          <w:tcPr>
            <w:tcW w:w="506" w:type="pct"/>
            <w:tcBorders>
              <w:top w:val="single" w:sz="4" w:space="0" w:color="auto"/>
              <w:left w:val="single" w:sz="4" w:space="0" w:color="auto"/>
              <w:bottom w:val="single" w:sz="4" w:space="0" w:color="auto"/>
              <w:right w:val="single" w:sz="4" w:space="0" w:color="auto"/>
            </w:tcBorders>
            <w:vAlign w:val="center"/>
            <w:hideMark/>
          </w:tcPr>
          <w:p w:rsidR="001A495B" w:rsidRPr="001A495B" w:rsidRDefault="001A495B" w:rsidP="001A495B">
            <w:pPr>
              <w:snapToGrid w:val="0"/>
              <w:spacing w:line="400" w:lineRule="exact"/>
              <w:jc w:val="center"/>
              <w:rPr>
                <w:rFonts w:ascii="標楷體" w:eastAsia="標楷體" w:hAnsi="標楷體"/>
                <w:b/>
                <w:bCs/>
                <w:sz w:val="28"/>
              </w:rPr>
            </w:pPr>
            <w:r w:rsidRPr="001A495B">
              <w:rPr>
                <w:rFonts w:ascii="標楷體" w:eastAsia="標楷體" w:hAnsi="標楷體" w:hint="eastAsia"/>
                <w:b/>
                <w:bCs/>
                <w:sz w:val="28"/>
              </w:rPr>
              <w:t>聯席</w:t>
            </w:r>
          </w:p>
          <w:p w:rsidR="001A495B" w:rsidRPr="001A495B" w:rsidRDefault="001A495B" w:rsidP="001A495B">
            <w:pPr>
              <w:snapToGrid w:val="0"/>
              <w:spacing w:line="400" w:lineRule="exact"/>
              <w:jc w:val="center"/>
              <w:rPr>
                <w:rFonts w:ascii="標楷體" w:eastAsia="標楷體" w:hAnsi="標楷體"/>
                <w:b/>
                <w:bCs/>
                <w:sz w:val="28"/>
              </w:rPr>
            </w:pPr>
            <w:r w:rsidRPr="001A495B">
              <w:rPr>
                <w:rFonts w:ascii="標楷體" w:eastAsia="標楷體" w:hAnsi="標楷體" w:hint="eastAsia"/>
                <w:b/>
                <w:bCs/>
                <w:sz w:val="28"/>
              </w:rPr>
              <w:t>委員會</w:t>
            </w:r>
          </w:p>
        </w:tc>
        <w:tc>
          <w:tcPr>
            <w:tcW w:w="1031" w:type="pct"/>
            <w:tcBorders>
              <w:top w:val="single" w:sz="4" w:space="0" w:color="auto"/>
              <w:left w:val="single" w:sz="4" w:space="0" w:color="auto"/>
              <w:bottom w:val="single" w:sz="4" w:space="0" w:color="auto"/>
              <w:right w:val="single" w:sz="4" w:space="0" w:color="auto"/>
            </w:tcBorders>
            <w:vAlign w:val="center"/>
            <w:hideMark/>
          </w:tcPr>
          <w:p w:rsidR="001A495B" w:rsidRPr="001A495B" w:rsidRDefault="001A495B" w:rsidP="001A495B">
            <w:pPr>
              <w:snapToGrid w:val="0"/>
              <w:spacing w:line="400" w:lineRule="exact"/>
              <w:jc w:val="center"/>
              <w:rPr>
                <w:rFonts w:ascii="標楷體" w:eastAsia="標楷體" w:hAnsi="標楷體"/>
                <w:b/>
                <w:bCs/>
                <w:sz w:val="28"/>
              </w:rPr>
            </w:pPr>
            <w:r w:rsidRPr="001A495B">
              <w:rPr>
                <w:rFonts w:ascii="標楷體" w:eastAsia="標楷體" w:hAnsi="標楷體" w:hint="eastAsia"/>
                <w:b/>
                <w:bCs/>
                <w:sz w:val="28"/>
              </w:rPr>
              <w:t>處理情形</w:t>
            </w:r>
          </w:p>
        </w:tc>
        <w:tc>
          <w:tcPr>
            <w:tcW w:w="900" w:type="pct"/>
            <w:tcBorders>
              <w:top w:val="single" w:sz="4" w:space="0" w:color="auto"/>
              <w:left w:val="single" w:sz="4" w:space="0" w:color="auto"/>
              <w:bottom w:val="single" w:sz="4" w:space="0" w:color="auto"/>
              <w:right w:val="single" w:sz="4" w:space="0" w:color="auto"/>
            </w:tcBorders>
            <w:vAlign w:val="center"/>
            <w:hideMark/>
          </w:tcPr>
          <w:p w:rsidR="001A495B" w:rsidRPr="001A495B" w:rsidRDefault="001A495B" w:rsidP="001A495B">
            <w:pPr>
              <w:spacing w:line="400" w:lineRule="exact"/>
              <w:ind w:leftChars="-12" w:left="-28" w:hanging="1"/>
              <w:jc w:val="center"/>
              <w:rPr>
                <w:rFonts w:ascii="標楷體" w:eastAsia="標楷體" w:hAnsi="標楷體"/>
                <w:b/>
                <w:bCs/>
                <w:sz w:val="28"/>
              </w:rPr>
            </w:pPr>
            <w:r w:rsidRPr="001A495B">
              <w:rPr>
                <w:rFonts w:ascii="標楷體" w:eastAsia="標楷體" w:hAnsi="標楷體" w:hint="eastAsia"/>
                <w:b/>
                <w:bCs/>
                <w:sz w:val="28"/>
              </w:rPr>
              <w:t>備註</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學校衛生法第二十三條之一</w:t>
            </w:r>
            <w:r w:rsidRPr="001A495B">
              <w:rPr>
                <w:rFonts w:hint="eastAsia"/>
                <w:color w:val="000000" w:themeColor="text1"/>
              </w:rPr>
              <w:t>條文</w:t>
            </w:r>
            <w:r w:rsidRPr="001A495B">
              <w:rPr>
                <w:rFonts w:hint="eastAsia"/>
              </w:rPr>
              <w:t>修正草案</w:t>
            </w:r>
          </w:p>
          <w:p w:rsidR="001A495B" w:rsidRPr="001A495B" w:rsidRDefault="001A495B" w:rsidP="001A495B">
            <w:pPr>
              <w:pStyle w:val="0-"/>
            </w:pPr>
            <w:r w:rsidRPr="001A495B">
              <w:rPr>
                <w:rFonts w:hint="eastAsia"/>
              </w:rPr>
              <w:t>(委員張育美等21人)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10-1-6</w:t>
            </w:r>
          </w:p>
          <w:p w:rsidR="001A495B" w:rsidRPr="001A495B" w:rsidRDefault="001A495B" w:rsidP="00F70E7C">
            <w:pPr>
              <w:pStyle w:val="0-"/>
            </w:pPr>
            <w:r w:rsidRPr="001A495B">
              <w:t>(109</w:t>
            </w:r>
            <w:r w:rsidRPr="001A495B">
              <w:rPr>
                <w:rFonts w:hint="eastAsia"/>
              </w:rPr>
              <w:t>.3.</w:t>
            </w:r>
            <w:r w:rsidRPr="001A495B">
              <w:t>27)</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ind w:left="240" w:hangingChars="100" w:hanging="240"/>
              <w:jc w:val="both"/>
              <w:rPr>
                <w:rFonts w:ascii="標楷體" w:eastAsia="標楷體" w:hAnsi="標楷體"/>
              </w:rPr>
            </w:pPr>
            <w:r w:rsidRPr="001A495B">
              <w:rPr>
                <w:rFonts w:ascii="標楷體" w:eastAsia="標楷體" w:hAnsi="標楷體" w:hint="eastAsia"/>
              </w:rPr>
              <w:t>1.第2會期第5次全體委員會議</w:t>
            </w:r>
            <w:r w:rsidRPr="001A495B">
              <w:rPr>
                <w:rFonts w:ascii="標楷體" w:eastAsia="標楷體" w:hAnsi="標楷體" w:hint="eastAsia"/>
                <w:sz w:val="22"/>
                <w:szCs w:val="22"/>
              </w:rPr>
              <w:t>（109.10.21）</w:t>
            </w:r>
            <w:r w:rsidRPr="001A495B">
              <w:rPr>
                <w:rFonts w:ascii="標楷體" w:eastAsia="標楷體" w:hAnsi="標楷體" w:hint="eastAsia"/>
              </w:rPr>
              <w:t>決議：</w:t>
            </w:r>
            <w:r w:rsidRPr="001A495B">
              <w:rPr>
                <w:rFonts w:ascii="標楷體" w:eastAsia="標楷體" w:hAnsi="標楷體" w:hint="eastAsia"/>
                <w:bCs/>
              </w:rPr>
              <w:t>報告及詢答完畢，</w:t>
            </w:r>
            <w:r w:rsidRPr="001A495B">
              <w:rPr>
                <w:rFonts w:ascii="標楷體" w:eastAsia="標楷體" w:hAnsi="標楷體" w:hint="eastAsia"/>
              </w:rPr>
              <w:t>另定期繼續審查。</w:t>
            </w:r>
          </w:p>
          <w:p w:rsidR="001A495B" w:rsidRPr="001A495B" w:rsidRDefault="001A495B" w:rsidP="001A495B">
            <w:pPr>
              <w:ind w:left="240" w:hangingChars="100" w:hanging="240"/>
              <w:jc w:val="both"/>
              <w:rPr>
                <w:rFonts w:ascii="標楷體" w:eastAsia="標楷體" w:hAnsi="標楷體"/>
                <w:sz w:val="28"/>
                <w:szCs w:val="28"/>
              </w:rPr>
            </w:pPr>
            <w:r w:rsidRPr="001A495B">
              <w:rPr>
                <w:rFonts w:ascii="標楷體" w:eastAsia="標楷體" w:hAnsi="標楷體" w:hint="eastAsia"/>
              </w:rPr>
              <w:t>2.第2會期第7次全體委員會議（109.11.2）決議：另定期繼續審查。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將學校營養師之地位予以法制化，並進一步明確及完善學校營養師職能，裨益其發揮專業功能。(1條)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學校衛生法第七條條文</w:t>
            </w:r>
            <w:r w:rsidRPr="001A495B">
              <w:rPr>
                <w:rFonts w:hint="eastAsia"/>
                <w:color w:val="000000" w:themeColor="text1"/>
              </w:rPr>
              <w:t>修正草案</w:t>
            </w:r>
          </w:p>
          <w:p w:rsidR="001A495B" w:rsidRPr="001A495B" w:rsidRDefault="001A495B" w:rsidP="001A495B">
            <w:pPr>
              <w:pStyle w:val="0-"/>
            </w:pPr>
            <w:r w:rsidRPr="001A495B">
              <w:rPr>
                <w:rFonts w:hint="eastAsia"/>
              </w:rPr>
              <w:t>(委員林宜瑾等16人)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10-4-4</w:t>
            </w:r>
          </w:p>
          <w:p w:rsidR="001A495B" w:rsidRPr="001A495B" w:rsidRDefault="001A495B" w:rsidP="00F70E7C">
            <w:pPr>
              <w:pStyle w:val="0-"/>
            </w:pPr>
            <w:r w:rsidRPr="001A495B">
              <w:t>(</w:t>
            </w:r>
            <w:r w:rsidRPr="001A495B">
              <w:rPr>
                <w:color w:val="000000" w:themeColor="text1"/>
              </w:rPr>
              <w:t>110</w:t>
            </w:r>
            <w:r w:rsidRPr="001A495B">
              <w:t>.10.8)</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ind w:left="280" w:hangingChars="100" w:hanging="280"/>
              <w:jc w:val="both"/>
              <w:rPr>
                <w:rFonts w:ascii="標楷體" w:eastAsia="標楷體" w:hAnsi="標楷體"/>
                <w:color w:val="000000"/>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為提升師生在</w:t>
            </w:r>
            <w:r w:rsidRPr="001A495B">
              <w:rPr>
                <w:rFonts w:hint="eastAsia"/>
                <w:color w:val="000000" w:themeColor="text1"/>
              </w:rPr>
              <w:t>校園</w:t>
            </w:r>
            <w:r w:rsidRPr="001A495B">
              <w:rPr>
                <w:rFonts w:hint="eastAsia"/>
              </w:rPr>
              <w:t>內的健康與安全照護。(1條)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學校衛生法第七條條文修正草案</w:t>
            </w:r>
          </w:p>
          <w:p w:rsidR="001A495B" w:rsidRPr="001A495B" w:rsidRDefault="001A495B" w:rsidP="001A495B">
            <w:pPr>
              <w:pStyle w:val="0-"/>
              <w:rPr>
                <w:color w:val="000000" w:themeColor="text1"/>
              </w:rPr>
            </w:pPr>
            <w:r w:rsidRPr="001A495B">
              <w:rPr>
                <w:rFonts w:hint="eastAsia"/>
                <w:color w:val="000000" w:themeColor="text1"/>
              </w:rPr>
              <w:t>(委員林奕華等26人)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10-4-4</w:t>
            </w:r>
          </w:p>
          <w:p w:rsidR="001A495B" w:rsidRPr="001A495B" w:rsidRDefault="001A495B" w:rsidP="00F70E7C">
            <w:pPr>
              <w:pStyle w:val="0-"/>
              <w:rPr>
                <w:color w:val="000000" w:themeColor="text1"/>
              </w:rPr>
            </w:pPr>
            <w:r w:rsidRPr="001A495B">
              <w:rPr>
                <w:color w:val="000000" w:themeColor="text1"/>
              </w:rPr>
              <w:t>(110.10.8)</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ind w:left="280" w:hangingChars="100" w:hanging="280"/>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解決醫事人員「高資低用」之問題，以表對護理專業之尊重與公平對待。(1條)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學校衛生法第五條條文修正草案</w:t>
            </w:r>
          </w:p>
          <w:p w:rsidR="001A495B" w:rsidRPr="001A495B" w:rsidRDefault="001A495B" w:rsidP="001A495B">
            <w:pPr>
              <w:pStyle w:val="0-"/>
              <w:rPr>
                <w:color w:val="000000" w:themeColor="text1"/>
              </w:rPr>
            </w:pPr>
            <w:r w:rsidRPr="001A495B">
              <w:rPr>
                <w:rFonts w:hint="eastAsia"/>
                <w:color w:val="000000" w:themeColor="text1"/>
              </w:rPr>
              <w:t>(委員邱泰源等24人</w:t>
            </w:r>
            <w:r w:rsidRPr="001A495B">
              <w:rPr>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10-4-12</w:t>
            </w:r>
          </w:p>
          <w:p w:rsidR="001A495B" w:rsidRPr="001A495B" w:rsidRDefault="001A495B" w:rsidP="00F70E7C">
            <w:pPr>
              <w:pStyle w:val="0-"/>
              <w:rPr>
                <w:color w:val="000000" w:themeColor="text1"/>
              </w:rPr>
            </w:pPr>
            <w:r w:rsidRPr="001A495B">
              <w:rPr>
                <w:color w:val="000000" w:themeColor="text1"/>
              </w:rPr>
              <w:t>(110.12.3)</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ind w:left="280" w:hangingChars="100" w:hanging="280"/>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在促進校園環境健康方面，應將具備人文關懷及醫療專業的「醫師」納入學校衛生委員會委員之一。(1條)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學校衛生法第二十三條之一條文修正草案</w:t>
            </w:r>
          </w:p>
          <w:p w:rsidR="001A495B" w:rsidRPr="001A495B" w:rsidRDefault="001A495B" w:rsidP="001A495B">
            <w:pPr>
              <w:pStyle w:val="0-"/>
              <w:rPr>
                <w:color w:val="000000" w:themeColor="text1"/>
              </w:rPr>
            </w:pPr>
            <w:r w:rsidRPr="001A495B">
              <w:rPr>
                <w:rFonts w:hint="eastAsia"/>
                <w:color w:val="000000" w:themeColor="text1"/>
              </w:rPr>
              <w:t>(委員賴品妤等28人)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10-4-13</w:t>
            </w:r>
          </w:p>
          <w:p w:rsidR="001A495B" w:rsidRPr="001A495B" w:rsidRDefault="001A495B" w:rsidP="00F70E7C">
            <w:pPr>
              <w:pStyle w:val="0-"/>
              <w:rPr>
                <w:color w:val="000000" w:themeColor="text1"/>
              </w:rPr>
            </w:pPr>
            <w:r w:rsidRPr="001A495B">
              <w:rPr>
                <w:color w:val="000000" w:themeColor="text1"/>
              </w:rPr>
              <w:t>(110.12.10)</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ind w:left="280" w:hangingChars="100" w:hanging="280"/>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原有營養師人數配置已不足負擔把關學童營養午餐健康此一重要工作項目。(1條)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學校衛生法第五條條文修正草案</w:t>
            </w:r>
          </w:p>
          <w:p w:rsidR="001A495B" w:rsidRPr="001A495B" w:rsidRDefault="001A495B" w:rsidP="001A495B">
            <w:pPr>
              <w:pStyle w:val="0-"/>
              <w:rPr>
                <w:color w:val="000000" w:themeColor="text1"/>
              </w:rPr>
            </w:pPr>
            <w:r w:rsidRPr="001A495B">
              <w:rPr>
                <w:color w:val="000000" w:themeColor="text1"/>
              </w:rPr>
              <w:t>(</w:t>
            </w:r>
            <w:r w:rsidRPr="001A495B">
              <w:rPr>
                <w:rFonts w:hint="eastAsia"/>
                <w:color w:val="000000" w:themeColor="text1"/>
              </w:rPr>
              <w:t>委員張育美等17人)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10-5-2</w:t>
            </w:r>
          </w:p>
          <w:p w:rsidR="001A495B" w:rsidRPr="001A495B" w:rsidRDefault="001A495B" w:rsidP="00F70E7C">
            <w:pPr>
              <w:pStyle w:val="0-"/>
              <w:rPr>
                <w:color w:val="000000" w:themeColor="text1"/>
              </w:rPr>
            </w:pPr>
            <w:r w:rsidRPr="001A495B">
              <w:rPr>
                <w:color w:val="000000" w:themeColor="text1"/>
              </w:rPr>
              <w:t>(111.3.4)</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ind w:left="280" w:hangingChars="100" w:hanging="280"/>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保障學生健康生活與成長，並加強健康、營養及衛生教育，使本法臻於完善。(1條)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學校衛生法第二十三條及第二十三條之三條文修正草案</w:t>
            </w:r>
          </w:p>
          <w:p w:rsidR="001A495B" w:rsidRPr="001A495B" w:rsidRDefault="001A495B" w:rsidP="001A495B">
            <w:pPr>
              <w:pStyle w:val="0-"/>
              <w:rPr>
                <w:color w:val="000000" w:themeColor="text1"/>
              </w:rPr>
            </w:pPr>
            <w:r w:rsidRPr="001A495B">
              <w:rPr>
                <w:rFonts w:hint="eastAsia"/>
                <w:color w:val="000000" w:themeColor="text1"/>
              </w:rPr>
              <w:t>(委員張育美等17人)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10-5-2</w:t>
            </w:r>
          </w:p>
          <w:p w:rsidR="001A495B" w:rsidRPr="001A495B" w:rsidRDefault="001A495B" w:rsidP="00F70E7C">
            <w:pPr>
              <w:pStyle w:val="0-"/>
              <w:rPr>
                <w:color w:val="000000" w:themeColor="text1"/>
              </w:rPr>
            </w:pPr>
            <w:r w:rsidRPr="001A495B">
              <w:rPr>
                <w:color w:val="000000" w:themeColor="text1"/>
              </w:rPr>
              <w:t>(111.3.4)</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ind w:left="280" w:hangingChars="100" w:hanging="280"/>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為杜絕校園食安風險，保障兒童和青少年學生之健康。(2條)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學校衛生法第二十三條及第二十三條之三條文修正草案</w:t>
            </w:r>
          </w:p>
          <w:p w:rsidR="001A495B" w:rsidRPr="001A495B" w:rsidRDefault="001A495B" w:rsidP="001A495B">
            <w:pPr>
              <w:pStyle w:val="0-"/>
              <w:rPr>
                <w:color w:val="000000" w:themeColor="text1"/>
              </w:rPr>
            </w:pPr>
            <w:r w:rsidRPr="001A495B">
              <w:rPr>
                <w:rFonts w:hint="eastAsia"/>
                <w:color w:val="000000" w:themeColor="text1"/>
              </w:rPr>
              <w:t>(委員鄭正鈐等19人)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10-5-2</w:t>
            </w:r>
          </w:p>
          <w:p w:rsidR="001A495B" w:rsidRPr="001A495B" w:rsidRDefault="001A495B" w:rsidP="00F70E7C">
            <w:pPr>
              <w:pStyle w:val="0-"/>
              <w:rPr>
                <w:color w:val="000000" w:themeColor="text1"/>
              </w:rPr>
            </w:pPr>
            <w:r w:rsidRPr="001A495B">
              <w:rPr>
                <w:color w:val="000000" w:themeColor="text1"/>
              </w:rPr>
              <w:t>(111.3.4)</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ind w:left="280" w:hangingChars="100" w:hanging="280"/>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學校午餐應避免使用含核食的食品及其加工品，不應讓學生曝露在食安風險下。(2條)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學校衛生法第二十二條、第二十三條及第二十三條之三條文修正草案</w:t>
            </w:r>
          </w:p>
          <w:p w:rsidR="001A495B" w:rsidRPr="001A495B" w:rsidRDefault="001A495B" w:rsidP="001A495B">
            <w:pPr>
              <w:pStyle w:val="0-"/>
              <w:rPr>
                <w:color w:val="000000" w:themeColor="text1"/>
              </w:rPr>
            </w:pPr>
            <w:r w:rsidRPr="001A495B">
              <w:rPr>
                <w:rFonts w:hint="eastAsia"/>
                <w:color w:val="000000" w:themeColor="text1"/>
              </w:rPr>
              <w:t>(委員林奕華等17人)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10-5-3</w:t>
            </w:r>
          </w:p>
          <w:p w:rsidR="001A495B" w:rsidRPr="001A495B" w:rsidRDefault="001A495B" w:rsidP="00F70E7C">
            <w:pPr>
              <w:pStyle w:val="0-"/>
              <w:rPr>
                <w:color w:val="000000" w:themeColor="text1"/>
              </w:rPr>
            </w:pPr>
            <w:r w:rsidRPr="001A495B">
              <w:rPr>
                <w:color w:val="000000" w:themeColor="text1"/>
              </w:rPr>
              <w:t>(111.3.11)</w:t>
            </w:r>
          </w:p>
          <w:p w:rsidR="001A495B" w:rsidRPr="001A495B" w:rsidRDefault="001A495B" w:rsidP="00F70E7C">
            <w:pPr>
              <w:pStyle w:val="0-"/>
              <w:rPr>
                <w:color w:val="000000" w:themeColor="text1"/>
              </w:rPr>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ind w:left="280" w:hangingChars="100" w:hanging="280"/>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為維護各級學校學生與教職員飲食安全。(</w:t>
            </w:r>
            <w:r w:rsidRPr="001A495B">
              <w:rPr>
                <w:color w:val="000000" w:themeColor="text1"/>
              </w:rPr>
              <w:t>3</w:t>
            </w:r>
            <w:r w:rsidRPr="001A495B">
              <w:rPr>
                <w:rFonts w:hint="eastAsia"/>
                <w:color w:val="000000" w:themeColor="text1"/>
              </w:rPr>
              <w:t>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學校衛生法第二十三條條文修正草案</w:t>
            </w:r>
          </w:p>
          <w:p w:rsidR="001A495B" w:rsidRPr="001A495B" w:rsidRDefault="001A495B" w:rsidP="001A495B">
            <w:pPr>
              <w:pStyle w:val="0-"/>
              <w:rPr>
                <w:color w:val="000000" w:themeColor="text1"/>
              </w:rPr>
            </w:pPr>
            <w:r w:rsidRPr="001A495B">
              <w:rPr>
                <w:rFonts w:hint="eastAsia"/>
                <w:color w:val="000000" w:themeColor="text1"/>
              </w:rPr>
              <w:t>(委員鄭麗文等16人)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10-5-3</w:t>
            </w:r>
          </w:p>
          <w:p w:rsidR="001A495B" w:rsidRPr="001A495B" w:rsidRDefault="001A495B" w:rsidP="00F70E7C">
            <w:pPr>
              <w:pStyle w:val="0-"/>
              <w:rPr>
                <w:color w:val="000000" w:themeColor="text1"/>
              </w:rPr>
            </w:pPr>
            <w:r w:rsidRPr="001A495B">
              <w:rPr>
                <w:color w:val="000000" w:themeColor="text1"/>
              </w:rPr>
              <w:t>(111.3.11)</w:t>
            </w:r>
          </w:p>
          <w:p w:rsidR="001A495B" w:rsidRPr="001A495B" w:rsidRDefault="001A495B" w:rsidP="00F70E7C">
            <w:pPr>
              <w:pStyle w:val="0-"/>
              <w:rPr>
                <w:color w:val="000000" w:themeColor="text1"/>
              </w:rPr>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ind w:left="280" w:hangingChars="100" w:hanging="280"/>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為嚴格把關我國校園食品安全，使相關法規明確化。(1條)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學校衛生法第二十三條條文修正草案</w:t>
            </w:r>
          </w:p>
          <w:p w:rsidR="001A495B" w:rsidRPr="001A495B" w:rsidRDefault="001A495B" w:rsidP="001A495B">
            <w:pPr>
              <w:pStyle w:val="0-"/>
              <w:rPr>
                <w:color w:val="000000" w:themeColor="text1"/>
              </w:rPr>
            </w:pPr>
            <w:r w:rsidRPr="001A495B">
              <w:rPr>
                <w:rFonts w:hint="eastAsia"/>
                <w:color w:val="000000" w:themeColor="text1"/>
              </w:rPr>
              <w:t>(委員謝衣鳯等</w:t>
            </w:r>
            <w:r w:rsidRPr="001A495B">
              <w:rPr>
                <w:color w:val="000000" w:themeColor="text1"/>
              </w:rPr>
              <w:t>21</w:t>
            </w:r>
            <w:r w:rsidRPr="001A495B">
              <w:rPr>
                <w:rFonts w:hint="eastAsia"/>
                <w:color w:val="000000" w:themeColor="text1"/>
              </w:rPr>
              <w:t>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10-5-3</w:t>
            </w:r>
          </w:p>
          <w:p w:rsidR="001A495B" w:rsidRPr="001A495B" w:rsidRDefault="001A495B" w:rsidP="00F70E7C">
            <w:pPr>
              <w:pStyle w:val="0-"/>
              <w:rPr>
                <w:color w:val="000000" w:themeColor="text1"/>
              </w:rPr>
            </w:pPr>
            <w:r w:rsidRPr="001A495B">
              <w:rPr>
                <w:color w:val="000000" w:themeColor="text1"/>
              </w:rPr>
              <w:t>(111.3.11)</w:t>
            </w:r>
          </w:p>
          <w:p w:rsidR="001A495B" w:rsidRPr="001A495B" w:rsidRDefault="001A495B" w:rsidP="00F70E7C">
            <w:pPr>
              <w:pStyle w:val="0-"/>
              <w:rPr>
                <w:color w:val="000000" w:themeColor="text1"/>
              </w:rPr>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ind w:left="280" w:hangingChars="100" w:hanging="280"/>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增訂食品輻射檢測結果檢出之生鮮食材及初級加工品禁止使用，以保障我國學子之食品安全。(1條)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學校衛生法第二十三條條文修正草案</w:t>
            </w:r>
          </w:p>
          <w:p w:rsidR="001A495B" w:rsidRPr="001A495B" w:rsidRDefault="001A495B" w:rsidP="001A495B">
            <w:pPr>
              <w:pStyle w:val="0-"/>
              <w:rPr>
                <w:color w:val="000000" w:themeColor="text1"/>
              </w:rPr>
            </w:pPr>
            <w:r w:rsidRPr="001A495B">
              <w:rPr>
                <w:rFonts w:hint="eastAsia"/>
                <w:color w:val="000000" w:themeColor="text1"/>
              </w:rPr>
              <w:t>(委員楊瓊瓔等17人)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10-5-4</w:t>
            </w:r>
          </w:p>
          <w:p w:rsidR="001A495B" w:rsidRPr="001A495B" w:rsidRDefault="001A495B" w:rsidP="00F70E7C">
            <w:pPr>
              <w:pStyle w:val="0-"/>
              <w:rPr>
                <w:color w:val="000000" w:themeColor="text1"/>
              </w:rPr>
            </w:pPr>
            <w:r w:rsidRPr="001A495B">
              <w:rPr>
                <w:color w:val="000000" w:themeColor="text1"/>
              </w:rPr>
              <w:t>(111.3.18)</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ind w:left="280" w:hangingChars="100" w:hanging="280"/>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為確保校園食品安全，保護學童健康。(1條)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學校衛生法第二十五條條文修正草案</w:t>
            </w:r>
          </w:p>
          <w:p w:rsidR="001A495B" w:rsidRPr="001A495B" w:rsidRDefault="001A495B" w:rsidP="001A495B">
            <w:pPr>
              <w:pStyle w:val="0-"/>
              <w:rPr>
                <w:color w:val="000000" w:themeColor="text1"/>
              </w:rPr>
            </w:pPr>
            <w:r w:rsidRPr="001A495B">
              <w:rPr>
                <w:rFonts w:hint="eastAsia"/>
                <w:color w:val="000000" w:themeColor="text1"/>
              </w:rPr>
              <w:t>(委員黃國書等18人</w:t>
            </w:r>
            <w:r w:rsidRPr="001A495B">
              <w:rPr>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10-5-4</w:t>
            </w:r>
          </w:p>
          <w:p w:rsidR="001A495B" w:rsidRPr="001A495B" w:rsidRDefault="001A495B" w:rsidP="00F70E7C">
            <w:pPr>
              <w:pStyle w:val="0-"/>
              <w:rPr>
                <w:color w:val="000000" w:themeColor="text1"/>
              </w:rPr>
            </w:pPr>
            <w:r w:rsidRPr="001A495B">
              <w:rPr>
                <w:color w:val="000000" w:themeColor="text1"/>
              </w:rPr>
              <w:t>(111.3.18)</w:t>
            </w:r>
          </w:p>
          <w:p w:rsidR="001A495B" w:rsidRPr="001A495B" w:rsidRDefault="001A495B" w:rsidP="00F70E7C">
            <w:pPr>
              <w:pStyle w:val="0-"/>
              <w:rPr>
                <w:color w:val="000000" w:themeColor="text1"/>
              </w:rPr>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ind w:left="280" w:hangingChars="100" w:hanging="280"/>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確保身心障礙學童於成長過程也能與其他孩童同樂，透過遊具學習、成長。(1條)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學校衛生法第二十三條條文修正草案</w:t>
            </w:r>
          </w:p>
          <w:p w:rsidR="001A495B" w:rsidRPr="001A495B" w:rsidRDefault="001A495B" w:rsidP="001A495B">
            <w:pPr>
              <w:pStyle w:val="0-"/>
              <w:rPr>
                <w:color w:val="000000" w:themeColor="text1"/>
              </w:rPr>
            </w:pPr>
            <w:r w:rsidRPr="001A495B">
              <w:rPr>
                <w:rFonts w:hint="eastAsia"/>
                <w:color w:val="000000" w:themeColor="text1"/>
              </w:rPr>
              <w:t>(委員萬美玲等18人)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10-5-5</w:t>
            </w:r>
          </w:p>
          <w:p w:rsidR="001A495B" w:rsidRPr="001A495B" w:rsidRDefault="001A495B" w:rsidP="00F70E7C">
            <w:pPr>
              <w:pStyle w:val="0-"/>
              <w:rPr>
                <w:color w:val="000000" w:themeColor="text1"/>
              </w:rPr>
            </w:pPr>
            <w:r w:rsidRPr="001A495B">
              <w:rPr>
                <w:color w:val="000000" w:themeColor="text1"/>
              </w:rPr>
              <w:t>(111.3.25)</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ind w:left="280" w:hangingChars="100" w:hanging="280"/>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明定學校提供膳食只能以中央農業主管機關認證之在地優良農業產品作為食材，且學校營養午餐不得含有對人體有害之放射性物質，以保障學童之食品安全。(1條)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學校衛生法第二十三條條文修正草案</w:t>
            </w:r>
          </w:p>
          <w:p w:rsidR="001A495B" w:rsidRPr="001A495B" w:rsidRDefault="001A495B" w:rsidP="001A495B">
            <w:pPr>
              <w:pStyle w:val="0-"/>
              <w:rPr>
                <w:color w:val="000000" w:themeColor="text1"/>
              </w:rPr>
            </w:pPr>
            <w:r w:rsidRPr="001A495B">
              <w:rPr>
                <w:rFonts w:hint="eastAsia"/>
                <w:color w:val="000000" w:themeColor="text1"/>
              </w:rPr>
              <w:t>(委員馬文君等16人</w:t>
            </w:r>
            <w:r w:rsidRPr="001A495B">
              <w:rPr>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10-5-5</w:t>
            </w:r>
          </w:p>
          <w:p w:rsidR="001A495B" w:rsidRPr="001A495B" w:rsidRDefault="001A495B" w:rsidP="00F70E7C">
            <w:pPr>
              <w:pStyle w:val="0-"/>
              <w:rPr>
                <w:color w:val="000000" w:themeColor="text1"/>
              </w:rPr>
            </w:pPr>
            <w:r w:rsidRPr="001A495B">
              <w:rPr>
                <w:color w:val="000000" w:themeColor="text1"/>
              </w:rPr>
              <w:t>(111.3.25)</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ind w:left="280" w:hangingChars="100" w:hanging="280"/>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學校團膳食安禁止使用含受輻射影響食品及其初級加工品，以保障校</w:t>
            </w:r>
            <w:r w:rsidRPr="001A495B">
              <w:rPr>
                <w:rFonts w:hint="eastAsia"/>
                <w:color w:val="000000" w:themeColor="text1"/>
              </w:rPr>
              <w:lastRenderedPageBreak/>
              <w:t>園學子之健康與食品安全。(1條)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學校衛生法第五條條文修正草案</w:t>
            </w:r>
          </w:p>
          <w:p w:rsidR="001A495B" w:rsidRPr="001A495B" w:rsidRDefault="001A495B" w:rsidP="001A495B">
            <w:pPr>
              <w:pStyle w:val="0-"/>
              <w:rPr>
                <w:color w:val="000000" w:themeColor="text1"/>
              </w:rPr>
            </w:pPr>
            <w:r w:rsidRPr="001A495B">
              <w:rPr>
                <w:rFonts w:hint="eastAsia"/>
                <w:color w:val="000000" w:themeColor="text1"/>
              </w:rPr>
              <w:t>(委員鄭麗文等16人)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10-5-5</w:t>
            </w:r>
          </w:p>
          <w:p w:rsidR="001A495B" w:rsidRPr="001A495B" w:rsidRDefault="001A495B" w:rsidP="00F70E7C">
            <w:pPr>
              <w:pStyle w:val="0-"/>
              <w:rPr>
                <w:color w:val="000000" w:themeColor="text1"/>
              </w:rPr>
            </w:pPr>
            <w:r w:rsidRPr="001A495B">
              <w:rPr>
                <w:color w:val="000000" w:themeColor="text1"/>
              </w:rPr>
              <w:t>(111.3.25)</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ind w:left="280" w:hangingChars="100" w:hanging="280"/>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將醫藥、營養及公共衛生納入必要之專業條件，促進學生於校園內健康生活與成長。(1條)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學校衛生法第七條、第十九條及第二十條條文修正草案</w:t>
            </w:r>
          </w:p>
          <w:p w:rsidR="001A495B" w:rsidRPr="001A495B" w:rsidRDefault="001A495B" w:rsidP="001A495B">
            <w:pPr>
              <w:pStyle w:val="0-"/>
              <w:rPr>
                <w:color w:val="000000" w:themeColor="text1"/>
              </w:rPr>
            </w:pPr>
            <w:r w:rsidRPr="001A495B">
              <w:rPr>
                <w:rFonts w:hint="eastAsia"/>
                <w:color w:val="000000" w:themeColor="text1"/>
              </w:rPr>
              <w:t>(委員萬美玲等17人)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10-5-7</w:t>
            </w:r>
          </w:p>
          <w:p w:rsidR="001A495B" w:rsidRPr="001A495B" w:rsidRDefault="001A495B" w:rsidP="00F70E7C">
            <w:pPr>
              <w:pStyle w:val="0-"/>
              <w:rPr>
                <w:color w:val="000000" w:themeColor="text1"/>
              </w:rPr>
            </w:pPr>
            <w:r w:rsidRPr="001A495B">
              <w:rPr>
                <w:rFonts w:hint="eastAsia"/>
                <w:color w:val="000000" w:themeColor="text1"/>
              </w:rPr>
              <w:t>(111.4.8)</w:t>
            </w:r>
          </w:p>
          <w:p w:rsidR="001A495B" w:rsidRPr="001A495B" w:rsidRDefault="001A495B" w:rsidP="00F70E7C">
            <w:pPr>
              <w:pStyle w:val="0-"/>
              <w:rPr>
                <w:color w:val="000000" w:themeColor="text1"/>
              </w:rPr>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ind w:left="280" w:hangingChars="100" w:hanging="280"/>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解決醫事人員「高資低用」之問題，以表對護理專業之尊重與公平對待；及為進一步加強和完善學校辦理衛生和健康相關教育。(3條)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學校衛生法第二十五條條文修正草案</w:t>
            </w:r>
          </w:p>
          <w:p w:rsidR="001A495B" w:rsidRPr="001A495B" w:rsidRDefault="001A495B" w:rsidP="001A495B">
            <w:pPr>
              <w:pStyle w:val="0-"/>
              <w:rPr>
                <w:color w:val="000000" w:themeColor="text1"/>
              </w:rPr>
            </w:pPr>
            <w:r w:rsidRPr="001A495B">
              <w:rPr>
                <w:rFonts w:hint="eastAsia"/>
                <w:color w:val="000000" w:themeColor="text1"/>
              </w:rPr>
              <w:t>(委員萬美玲等16人)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10-5-11</w:t>
            </w:r>
          </w:p>
          <w:p w:rsidR="001A495B" w:rsidRPr="001A495B" w:rsidRDefault="001A495B" w:rsidP="00F70E7C">
            <w:pPr>
              <w:pStyle w:val="0-"/>
              <w:rPr>
                <w:color w:val="000000" w:themeColor="text1"/>
              </w:rPr>
            </w:pPr>
            <w:r w:rsidRPr="001A495B">
              <w:rPr>
                <w:color w:val="000000" w:themeColor="text1"/>
              </w:rPr>
              <w:t>(111.5.6)</w:t>
            </w:r>
          </w:p>
          <w:p w:rsidR="001A495B" w:rsidRPr="001A495B" w:rsidRDefault="001A495B" w:rsidP="00F70E7C">
            <w:pPr>
              <w:pStyle w:val="0-"/>
              <w:rPr>
                <w:color w:val="000000" w:themeColor="text1"/>
              </w:rPr>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ind w:left="280" w:hangingChars="100" w:hanging="280"/>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為使身心障礙學生能享有友善之教學環境、教具及各項運動遊戲器材設備與其他學生共同學習、成長。(1條)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學校衛生法第二十三條及第二十七條條文修正草案</w:t>
            </w:r>
          </w:p>
          <w:p w:rsidR="001A495B" w:rsidRPr="001A495B" w:rsidRDefault="001A495B" w:rsidP="001A495B">
            <w:pPr>
              <w:pStyle w:val="0-"/>
              <w:rPr>
                <w:color w:val="000000" w:themeColor="text1"/>
              </w:rPr>
            </w:pPr>
            <w:r w:rsidRPr="001A495B">
              <w:rPr>
                <w:rFonts w:hint="eastAsia"/>
                <w:color w:val="000000" w:themeColor="text1"/>
              </w:rPr>
              <w:t>(委員溫玉霞等18人)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10-5-11</w:t>
            </w:r>
          </w:p>
          <w:p w:rsidR="001A495B" w:rsidRPr="001A495B" w:rsidRDefault="001A495B" w:rsidP="00F70E7C">
            <w:pPr>
              <w:pStyle w:val="0-"/>
              <w:rPr>
                <w:color w:val="000000" w:themeColor="text1"/>
              </w:rPr>
            </w:pPr>
            <w:r w:rsidRPr="001A495B">
              <w:rPr>
                <w:color w:val="000000" w:themeColor="text1"/>
              </w:rPr>
              <w:t>(111.5.6)</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ind w:left="280" w:hangingChars="100" w:hanging="280"/>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鑒於含萊克多巴胺（瘦肉精）之肉品及其加工品及來自核子事故地區產製之食材</w:t>
            </w:r>
            <w:r w:rsidRPr="001A495B">
              <w:rPr>
                <w:rFonts w:hint="eastAsia"/>
                <w:color w:val="000000" w:themeColor="text1"/>
              </w:rPr>
              <w:lastRenderedPageBreak/>
              <w:t>及其加工品，都影響健康，特別有害青少年及兒童發育，應以法律明定禁止。(2條)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學校衛生法部分條文修正草案</w:t>
            </w:r>
          </w:p>
          <w:p w:rsidR="001A495B" w:rsidRPr="001A495B" w:rsidRDefault="001A495B" w:rsidP="001A495B">
            <w:pPr>
              <w:pStyle w:val="0-"/>
              <w:rPr>
                <w:color w:val="000000" w:themeColor="text1"/>
              </w:rPr>
            </w:pPr>
            <w:r w:rsidRPr="001A495B">
              <w:rPr>
                <w:rFonts w:hint="eastAsia"/>
                <w:color w:val="000000" w:themeColor="text1"/>
              </w:rPr>
              <w:t>(委員陳玉珍等18人)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10-5-11</w:t>
            </w:r>
          </w:p>
          <w:p w:rsidR="001A495B" w:rsidRPr="001A495B" w:rsidRDefault="001A495B" w:rsidP="00F70E7C">
            <w:pPr>
              <w:pStyle w:val="0-"/>
              <w:rPr>
                <w:color w:val="000000" w:themeColor="text1"/>
              </w:rPr>
            </w:pPr>
            <w:r w:rsidRPr="001A495B">
              <w:rPr>
                <w:color w:val="000000" w:themeColor="text1"/>
              </w:rPr>
              <w:t>(111.5.6)</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ind w:left="280" w:hangingChars="100" w:hanging="280"/>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對金門等離島地區，對於辦理午餐之補助項目應予以擴大，以加惠離島偏鄉等地區。(3條)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學校衛生法第五條條文修正草案</w:t>
            </w:r>
          </w:p>
          <w:p w:rsidR="001A495B" w:rsidRPr="001A495B" w:rsidRDefault="001A495B" w:rsidP="001A495B">
            <w:pPr>
              <w:pStyle w:val="0-"/>
              <w:rPr>
                <w:color w:val="000000" w:themeColor="text1"/>
              </w:rPr>
            </w:pPr>
            <w:r w:rsidRPr="001A495B">
              <w:rPr>
                <w:color w:val="000000" w:themeColor="text1"/>
              </w:rPr>
              <w:t>(</w:t>
            </w:r>
            <w:r w:rsidRPr="001A495B">
              <w:rPr>
                <w:rFonts w:hint="eastAsia"/>
                <w:color w:val="000000" w:themeColor="text1"/>
              </w:rPr>
              <w:t>委員萬美玲等16人</w:t>
            </w:r>
            <w:r w:rsidRPr="001A495B">
              <w:rPr>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10-5-12</w:t>
            </w:r>
          </w:p>
          <w:p w:rsidR="001A495B" w:rsidRPr="001A495B" w:rsidRDefault="001A495B" w:rsidP="00F70E7C">
            <w:pPr>
              <w:pStyle w:val="0-"/>
              <w:rPr>
                <w:color w:val="000000" w:themeColor="text1"/>
              </w:rPr>
            </w:pPr>
            <w:r w:rsidRPr="001A495B">
              <w:rPr>
                <w:color w:val="000000" w:themeColor="text1"/>
              </w:rPr>
              <w:t>(111.5.13)</w:t>
            </w:r>
          </w:p>
          <w:p w:rsidR="001A495B" w:rsidRPr="001A495B" w:rsidRDefault="001A495B" w:rsidP="00F70E7C">
            <w:pPr>
              <w:pStyle w:val="0-"/>
              <w:rPr>
                <w:color w:val="000000" w:themeColor="text1"/>
              </w:rPr>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ind w:left="280" w:hangingChars="100" w:hanging="280"/>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各級主管機關應遴聘具醫藥、公衛、營養等專業之學者、專家、團體相關機關代表組成學校衛生委員會。(1條)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學生輔導法第三條及第七條條文修正草案</w:t>
            </w:r>
          </w:p>
          <w:p w:rsidR="001A495B" w:rsidRPr="001A495B" w:rsidRDefault="001A495B" w:rsidP="001A495B">
            <w:pPr>
              <w:pStyle w:val="0-"/>
              <w:rPr>
                <w:color w:val="000000" w:themeColor="text1"/>
              </w:rPr>
            </w:pPr>
            <w:r w:rsidRPr="001A495B">
              <w:rPr>
                <w:rFonts w:hint="eastAsia"/>
                <w:color w:val="000000" w:themeColor="text1"/>
              </w:rPr>
              <w:t>(委員廖婉汝等17人)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10-1-</w:t>
            </w:r>
            <w:r w:rsidRPr="001A495B">
              <w:rPr>
                <w:rFonts w:hint="eastAsia"/>
                <w:color w:val="000000" w:themeColor="text1"/>
              </w:rPr>
              <w:t>2</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.3.3</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增列通譯輔助人員，以利跨國銜轉學生的輔導工作。(2條)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學生輔導法第五條及第七條條文修正草案</w:t>
            </w:r>
          </w:p>
          <w:p w:rsidR="001A495B" w:rsidRPr="001A495B" w:rsidRDefault="001A495B" w:rsidP="001A495B">
            <w:pPr>
              <w:pStyle w:val="0-"/>
              <w:rPr>
                <w:color w:val="000000" w:themeColor="text1"/>
              </w:rPr>
            </w:pPr>
            <w:r w:rsidRPr="001A495B">
              <w:rPr>
                <w:rFonts w:hint="eastAsia"/>
                <w:color w:val="000000" w:themeColor="text1"/>
              </w:rPr>
              <w:t>(委員陳亭妃等19人)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w:t>
            </w:r>
            <w:r w:rsidRPr="001A495B">
              <w:rPr>
                <w:rFonts w:hint="eastAsia"/>
                <w:color w:val="000000" w:themeColor="text1"/>
              </w:rPr>
              <w:t>2</w:t>
            </w:r>
            <w:r w:rsidRPr="001A495B">
              <w:rPr>
                <w:color w:val="000000" w:themeColor="text1"/>
              </w:rPr>
              <w:t>-</w:t>
            </w:r>
            <w:r w:rsidRPr="001A495B">
              <w:rPr>
                <w:rFonts w:hint="eastAsia"/>
                <w:color w:val="000000" w:themeColor="text1"/>
              </w:rPr>
              <w:t>6</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.12.4</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為落實校園教育讓學生在安全無慮的環境下學習成長，進一步讓全台校園成為無毒 家園。</w:t>
            </w:r>
            <w:r w:rsidRPr="001A495B">
              <w:rPr>
                <w:rFonts w:hint="eastAsia"/>
                <w:color w:val="000000" w:themeColor="text1"/>
              </w:rPr>
              <w:t>(2條)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學生輔導法第三條及第七條條文修正草案</w:t>
            </w:r>
          </w:p>
          <w:p w:rsidR="001A495B" w:rsidRPr="001A495B" w:rsidRDefault="001A495B" w:rsidP="001A495B">
            <w:pPr>
              <w:pStyle w:val="0-"/>
              <w:rPr>
                <w:color w:val="000000" w:themeColor="text1"/>
              </w:rPr>
            </w:pPr>
            <w:r w:rsidRPr="001A495B">
              <w:rPr>
                <w:rFonts w:hint="eastAsia"/>
                <w:color w:val="000000" w:themeColor="text1"/>
              </w:rPr>
              <w:t>(委員傅崐萁等</w:t>
            </w:r>
            <w:r w:rsidRPr="001A495B">
              <w:rPr>
                <w:color w:val="000000" w:themeColor="text1"/>
              </w:rPr>
              <w:t>18</w:t>
            </w:r>
            <w:r w:rsidRPr="001A495B">
              <w:rPr>
                <w:rFonts w:hint="eastAsia"/>
                <w:color w:val="000000" w:themeColor="text1"/>
              </w:rPr>
              <w:t>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10-5-1</w:t>
            </w:r>
          </w:p>
          <w:p w:rsidR="001A495B" w:rsidRPr="001A495B" w:rsidRDefault="001A495B" w:rsidP="00F70E7C">
            <w:pPr>
              <w:pStyle w:val="0-"/>
              <w:rPr>
                <w:color w:val="000000" w:themeColor="text1"/>
              </w:rPr>
            </w:pPr>
            <w:r w:rsidRPr="001A495B">
              <w:rPr>
                <w:color w:val="000000" w:themeColor="text1"/>
              </w:rPr>
              <w:t>(111.3.1)</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國際學生或跨國銜轉學生常因華語能力不足，更需要通譯助理人員協助即時翻譯、學習及輔導工作。(2條)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學生輔導法第七條及第十二條條文修正草案</w:t>
            </w:r>
          </w:p>
          <w:p w:rsidR="001A495B" w:rsidRPr="001A495B" w:rsidRDefault="001A495B" w:rsidP="001A495B">
            <w:pPr>
              <w:pStyle w:val="0-"/>
              <w:rPr>
                <w:color w:val="000000" w:themeColor="text1"/>
              </w:rPr>
            </w:pPr>
            <w:r w:rsidRPr="001A495B">
              <w:rPr>
                <w:rFonts w:hint="eastAsia"/>
                <w:color w:val="000000" w:themeColor="text1"/>
              </w:rPr>
              <w:t>(委員萬美玲等18人)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10-5-7</w:t>
            </w:r>
          </w:p>
          <w:p w:rsidR="001A495B" w:rsidRPr="001A495B" w:rsidRDefault="001A495B" w:rsidP="00F70E7C">
            <w:pPr>
              <w:pStyle w:val="0-"/>
              <w:rPr>
                <w:color w:val="000000" w:themeColor="text1"/>
              </w:rPr>
            </w:pPr>
            <w:r w:rsidRPr="001A495B">
              <w:rPr>
                <w:rFonts w:hint="eastAsia"/>
                <w:color w:val="000000" w:themeColor="text1"/>
              </w:rPr>
              <w:t>(111.4.8)</w:t>
            </w:r>
          </w:p>
          <w:p w:rsidR="001A495B" w:rsidRPr="001A495B" w:rsidRDefault="001A495B" w:rsidP="00F70E7C">
            <w:pPr>
              <w:pStyle w:val="0-"/>
              <w:rPr>
                <w:color w:val="000000" w:themeColor="text1"/>
              </w:rPr>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為落實校園反毒及防制藥物濫用教育，讓學生在純淨校園下健康安全成長，俾有效輔導防杜吸毒年輕化、學生化現象。(2條)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學生輔導法第十一條條文修正草案</w:t>
            </w:r>
          </w:p>
          <w:p w:rsidR="001A495B" w:rsidRPr="001A495B" w:rsidRDefault="001A495B" w:rsidP="001A495B">
            <w:pPr>
              <w:pStyle w:val="0-"/>
              <w:rPr>
                <w:color w:val="000000" w:themeColor="text1"/>
              </w:rPr>
            </w:pPr>
            <w:r w:rsidRPr="001A495B">
              <w:rPr>
                <w:rFonts w:hint="eastAsia"/>
                <w:color w:val="000000" w:themeColor="text1"/>
              </w:rPr>
              <w:t>(時代力量黨團)</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10-6-14</w:t>
            </w:r>
          </w:p>
          <w:p w:rsidR="001A495B" w:rsidRPr="001A495B" w:rsidRDefault="001A495B" w:rsidP="00F70E7C">
            <w:pPr>
              <w:pStyle w:val="0-"/>
              <w:rPr>
                <w:color w:val="000000" w:themeColor="text1"/>
              </w:rPr>
            </w:pPr>
            <w:r w:rsidRPr="001A495B">
              <w:rPr>
                <w:color w:val="000000" w:themeColor="text1"/>
              </w:rPr>
              <w:t>(111.12.30)</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實踐校園輔導三級預防策略，應檢討並增加專任專業輔導人員人力，以承接住每一個有輔導需求的學生。(1條)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私立學校法第五十七條條文修正草案</w:t>
            </w:r>
          </w:p>
          <w:p w:rsidR="001A495B" w:rsidRPr="001A495B" w:rsidRDefault="001A495B" w:rsidP="001A495B">
            <w:pPr>
              <w:pStyle w:val="0-"/>
              <w:rPr>
                <w:color w:val="000000" w:themeColor="text1"/>
              </w:rPr>
            </w:pPr>
            <w:r w:rsidRPr="001A495B">
              <w:rPr>
                <w:rFonts w:hint="eastAsia"/>
                <w:color w:val="000000" w:themeColor="text1"/>
              </w:rPr>
              <w:t>(委員許淑華等17人)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10-1-</w:t>
            </w:r>
            <w:r w:rsidRPr="001A495B">
              <w:rPr>
                <w:rFonts w:hint="eastAsia"/>
                <w:color w:val="000000" w:themeColor="text1"/>
              </w:rPr>
              <w:t>3</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.3.6</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避免人才浪費及「年齡歧視」，以利私校校務「國際盃」發展具其延續性，俾彈性有效放寬私立學校辦學限</w:t>
            </w:r>
            <w:r w:rsidRPr="001A495B">
              <w:rPr>
                <w:rFonts w:hint="eastAsia"/>
                <w:color w:val="000000" w:themeColor="text1"/>
              </w:rPr>
              <w:lastRenderedPageBreak/>
              <w:t>制之鬆綁意旨。(1條)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私立學校法第五十七條及第八十六條條文修正草案</w:t>
            </w:r>
          </w:p>
          <w:p w:rsidR="001A495B" w:rsidRPr="001A495B" w:rsidRDefault="001A495B" w:rsidP="001A495B">
            <w:pPr>
              <w:pStyle w:val="0-"/>
              <w:rPr>
                <w:color w:val="000000" w:themeColor="text1"/>
              </w:rPr>
            </w:pPr>
            <w:r w:rsidRPr="001A495B">
              <w:rPr>
                <w:rFonts w:hint="eastAsia"/>
                <w:color w:val="000000" w:themeColor="text1"/>
              </w:rPr>
              <w:t>(委員李德維等18人)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10-1-15</w:t>
            </w:r>
          </w:p>
          <w:p w:rsidR="001A495B" w:rsidRPr="001A495B" w:rsidRDefault="001A495B" w:rsidP="00F70E7C">
            <w:pPr>
              <w:pStyle w:val="0-"/>
              <w:rPr>
                <w:color w:val="000000" w:themeColor="text1"/>
              </w:rPr>
            </w:pPr>
            <w:r w:rsidRPr="001A495B">
              <w:rPr>
                <w:rFonts w:hint="eastAsia"/>
                <w:color w:val="000000" w:themeColor="text1"/>
              </w:rPr>
              <w:t>(109.5.29)</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為使國內辦學績優私校校長及教授能貢獻所長，克服少子化之危機，同時，避免人才浪費及「年齡歧視」，以利私校校務發展具其延續性。(2條)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私立學校法第八十四條條文修正草案</w:t>
            </w:r>
          </w:p>
          <w:p w:rsidR="001A495B" w:rsidRPr="001A495B" w:rsidRDefault="001A495B" w:rsidP="001A495B">
            <w:pPr>
              <w:pStyle w:val="0-"/>
              <w:rPr>
                <w:color w:val="000000" w:themeColor="text1"/>
              </w:rPr>
            </w:pPr>
            <w:r w:rsidRPr="001A495B">
              <w:rPr>
                <w:rFonts w:hint="eastAsia"/>
                <w:color w:val="000000" w:themeColor="text1"/>
              </w:rPr>
              <w:t>(委員林俊憲等24人)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w:t>
            </w:r>
            <w:r w:rsidRPr="001A495B">
              <w:rPr>
                <w:rFonts w:hint="eastAsia"/>
                <w:color w:val="000000" w:themeColor="text1"/>
              </w:rPr>
              <w:t>2</w:t>
            </w:r>
            <w:r w:rsidRPr="001A495B">
              <w:rPr>
                <w:color w:val="000000" w:themeColor="text1"/>
              </w:rPr>
              <w:t>-</w:t>
            </w:r>
            <w:r w:rsidRPr="001A495B">
              <w:rPr>
                <w:rFonts w:hint="eastAsia"/>
                <w:color w:val="000000" w:themeColor="text1"/>
              </w:rPr>
              <w:t>6</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.12.4</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基於我國朝城市化發展之需求，提升國際競爭力之目標，以及實踐我國以英文作為第二官方語言之政策。</w:t>
            </w:r>
            <w:r w:rsidRPr="001A495B">
              <w:rPr>
                <w:rFonts w:hint="eastAsia"/>
                <w:color w:val="000000" w:themeColor="text1"/>
              </w:rPr>
              <w:t>(1條)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私立學校法部分條文修正草案</w:t>
            </w:r>
          </w:p>
          <w:p w:rsidR="001A495B" w:rsidRPr="001A495B" w:rsidRDefault="001A495B" w:rsidP="001A495B">
            <w:pPr>
              <w:pStyle w:val="0-"/>
              <w:rPr>
                <w:color w:val="000000" w:themeColor="text1"/>
              </w:rPr>
            </w:pPr>
            <w:r w:rsidRPr="001A495B">
              <w:rPr>
                <w:rFonts w:hint="eastAsia"/>
                <w:color w:val="000000" w:themeColor="text1"/>
              </w:rPr>
              <w:t>(時代力量黨團)</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w:t>
            </w:r>
            <w:r w:rsidRPr="001A495B">
              <w:rPr>
                <w:rFonts w:hint="eastAsia"/>
                <w:color w:val="000000" w:themeColor="text1"/>
              </w:rPr>
              <w:t>2</w:t>
            </w:r>
            <w:r w:rsidRPr="001A495B">
              <w:rPr>
                <w:color w:val="000000" w:themeColor="text1"/>
              </w:rPr>
              <w:t>-</w:t>
            </w:r>
            <w:r w:rsidRPr="001A495B">
              <w:rPr>
                <w:rFonts w:hint="eastAsia"/>
                <w:color w:val="000000" w:themeColor="text1"/>
              </w:rPr>
              <w:t>6</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.12.4</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透過民主治理、強化監督、公開資訊及健全退場機制，以保障學生受教權及受僱教職員工之勞動權益，並促進教育公共化。</w:t>
            </w:r>
            <w:r w:rsidRPr="001A495B">
              <w:rPr>
                <w:rFonts w:hint="eastAsia"/>
                <w:color w:val="000000" w:themeColor="text1"/>
              </w:rPr>
              <w:t>(18條)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私立學校法第四十一條條文修正草案</w:t>
            </w:r>
          </w:p>
          <w:p w:rsidR="001A495B" w:rsidRPr="001A495B" w:rsidRDefault="001A495B" w:rsidP="001A495B">
            <w:pPr>
              <w:pStyle w:val="0-"/>
              <w:rPr>
                <w:color w:val="000000" w:themeColor="text1"/>
              </w:rPr>
            </w:pPr>
            <w:r w:rsidRPr="001A495B">
              <w:rPr>
                <w:rFonts w:hint="eastAsia"/>
                <w:color w:val="000000" w:themeColor="text1"/>
              </w:rPr>
              <w:t>(委員萬美玲等16人)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10-5-8</w:t>
            </w:r>
          </w:p>
          <w:p w:rsidR="001A495B" w:rsidRPr="001A495B" w:rsidRDefault="001A495B" w:rsidP="00F70E7C">
            <w:pPr>
              <w:pStyle w:val="0-"/>
              <w:rPr>
                <w:color w:val="000000" w:themeColor="text1"/>
              </w:rPr>
            </w:pPr>
            <w:r w:rsidRPr="001A495B">
              <w:rPr>
                <w:color w:val="000000" w:themeColor="text1"/>
              </w:rPr>
              <w:t>(111.4.15)</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涵蓋附設或合併後的三種學校樣態，並得</w:t>
            </w:r>
            <w:r w:rsidRPr="001A495B">
              <w:rPr>
                <w:rFonts w:hint="eastAsia"/>
                <w:color w:val="000000" w:themeColor="text1"/>
              </w:rPr>
              <w:lastRenderedPageBreak/>
              <w:t>在學校組織規程中納入共列畢業證書校長之規定。(1條)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私立學校法第三十條條文修正草案</w:t>
            </w:r>
          </w:p>
          <w:p w:rsidR="001A495B" w:rsidRPr="001A495B" w:rsidRDefault="001A495B" w:rsidP="001A495B">
            <w:pPr>
              <w:pStyle w:val="0-"/>
              <w:rPr>
                <w:color w:val="000000" w:themeColor="text1"/>
              </w:rPr>
            </w:pPr>
            <w:r w:rsidRPr="001A495B">
              <w:rPr>
                <w:rFonts w:hint="eastAsia"/>
                <w:color w:val="000000" w:themeColor="text1"/>
              </w:rPr>
              <w:t>(委員李貴敏等17人)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10-6-8</w:t>
            </w:r>
          </w:p>
          <w:p w:rsidR="001A495B" w:rsidRPr="001A495B" w:rsidRDefault="001A495B" w:rsidP="00F70E7C">
            <w:pPr>
              <w:pStyle w:val="0-"/>
              <w:rPr>
                <w:color w:val="000000" w:themeColor="text1"/>
              </w:rPr>
            </w:pPr>
            <w:r w:rsidRPr="001A495B">
              <w:rPr>
                <w:color w:val="000000" w:themeColor="text1"/>
              </w:rPr>
              <w:t>(111.11.18)</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茲為確保私立學校財務健全並撙節開支以維持正常營運，以避免不必要之社會問題。(1條)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教育經費編列與管理法第三條條文修正草案</w:t>
            </w:r>
          </w:p>
          <w:p w:rsidR="001A495B" w:rsidRPr="001A495B" w:rsidRDefault="001A495B" w:rsidP="001A495B">
            <w:pPr>
              <w:pStyle w:val="0-"/>
              <w:rPr>
                <w:color w:val="000000" w:themeColor="text1"/>
              </w:rPr>
            </w:pPr>
            <w:r w:rsidRPr="001A495B">
              <w:rPr>
                <w:rFonts w:hint="eastAsia"/>
                <w:color w:val="000000" w:themeColor="text1"/>
              </w:rPr>
              <w:t>(委員林奕華等20人)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10-1-</w:t>
            </w:r>
            <w:r w:rsidRPr="001A495B">
              <w:rPr>
                <w:rFonts w:hint="eastAsia"/>
                <w:color w:val="000000" w:themeColor="text1"/>
              </w:rPr>
              <w:t>4</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.3.13</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將現行法定教育經費預算下限調高為「合計應不低於該年度預算籌編時之前三年度決算歲入淨額平均值之百分之二十三點五」。(1條)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教育經費編列與管理法第三條條文修正草案</w:t>
            </w:r>
          </w:p>
          <w:p w:rsidR="001A495B" w:rsidRPr="001A495B" w:rsidRDefault="001A495B" w:rsidP="001A495B">
            <w:pPr>
              <w:pStyle w:val="0-"/>
              <w:rPr>
                <w:color w:val="000000" w:themeColor="text1"/>
              </w:rPr>
            </w:pPr>
            <w:r w:rsidRPr="001A495B">
              <w:rPr>
                <w:rFonts w:hint="eastAsia"/>
                <w:color w:val="000000" w:themeColor="text1"/>
              </w:rPr>
              <w:t>(委員楊瓊瓔等18人)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10-4-10</w:t>
            </w:r>
          </w:p>
          <w:p w:rsidR="001A495B" w:rsidRPr="001A495B" w:rsidRDefault="001A495B" w:rsidP="00F70E7C">
            <w:pPr>
              <w:pStyle w:val="0-"/>
              <w:rPr>
                <w:color w:val="000000" w:themeColor="text1"/>
              </w:rPr>
            </w:pPr>
            <w:r w:rsidRPr="001A495B">
              <w:rPr>
                <w:color w:val="000000" w:themeColor="text1"/>
              </w:rPr>
              <w:t>(110.11.19)</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我國投入教育的經費仍有提升空間。為完善教育制度、提升教育品質，為國家培育更多優秀人才。(1條)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教育經費編列與管理法第三條及第三條之二條文修正草案</w:t>
            </w:r>
          </w:p>
          <w:p w:rsidR="001A495B" w:rsidRPr="001A495B" w:rsidRDefault="001A495B" w:rsidP="001A495B">
            <w:pPr>
              <w:pStyle w:val="0-"/>
              <w:rPr>
                <w:color w:val="000000" w:themeColor="text1"/>
              </w:rPr>
            </w:pPr>
            <w:r w:rsidRPr="001A495B">
              <w:rPr>
                <w:rFonts w:hint="eastAsia"/>
                <w:color w:val="000000" w:themeColor="text1"/>
              </w:rPr>
              <w:t>(委員費鴻泰等21人)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10-4-11</w:t>
            </w:r>
          </w:p>
          <w:p w:rsidR="001A495B" w:rsidRPr="001A495B" w:rsidRDefault="001A495B" w:rsidP="00F70E7C">
            <w:pPr>
              <w:pStyle w:val="0-"/>
              <w:rPr>
                <w:color w:val="000000" w:themeColor="text1"/>
              </w:rPr>
            </w:pPr>
            <w:r w:rsidRPr="001A495B">
              <w:rPr>
                <w:color w:val="000000" w:themeColor="text1"/>
              </w:rPr>
              <w:t>(110.11.26)</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明文規定水費、電費與校園營養午餐補助款不計入各級政府教育經</w:t>
            </w:r>
            <w:r w:rsidRPr="001A495B">
              <w:rPr>
                <w:rFonts w:hint="eastAsia"/>
                <w:color w:val="000000" w:themeColor="text1"/>
              </w:rPr>
              <w:lastRenderedPageBreak/>
              <w:t>費預算金額。(2條)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教育經費編列與管理法第三條條文修正草案</w:t>
            </w:r>
          </w:p>
          <w:p w:rsidR="001A495B" w:rsidRPr="001A495B" w:rsidRDefault="001A495B" w:rsidP="001A495B">
            <w:pPr>
              <w:pStyle w:val="0-"/>
              <w:rPr>
                <w:color w:val="000000" w:themeColor="text1"/>
              </w:rPr>
            </w:pPr>
            <w:r w:rsidRPr="001A495B">
              <w:rPr>
                <w:rFonts w:hint="eastAsia"/>
                <w:color w:val="000000" w:themeColor="text1"/>
              </w:rPr>
              <w:t>(委員萬美玲等16人)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10-5-11</w:t>
            </w:r>
          </w:p>
          <w:p w:rsidR="001A495B" w:rsidRPr="001A495B" w:rsidRDefault="001A495B" w:rsidP="00F70E7C">
            <w:pPr>
              <w:pStyle w:val="0-"/>
              <w:rPr>
                <w:color w:val="000000" w:themeColor="text1"/>
              </w:rPr>
            </w:pPr>
            <w:r w:rsidRPr="001A495B">
              <w:rPr>
                <w:color w:val="000000" w:themeColor="text1"/>
              </w:rPr>
              <w:t>(111.5.6)</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教育經費顯有再調整改善之空間，為提升、精進我國教育品質。(1條)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教育經費編列與管理法第十三條條文修正草案</w:t>
            </w:r>
          </w:p>
          <w:p w:rsidR="001A495B" w:rsidRPr="001A495B" w:rsidRDefault="001A495B" w:rsidP="001A495B">
            <w:pPr>
              <w:pStyle w:val="0-"/>
              <w:rPr>
                <w:color w:val="000000" w:themeColor="text1"/>
              </w:rPr>
            </w:pPr>
            <w:r w:rsidRPr="001A495B">
              <w:rPr>
                <w:rFonts w:hint="eastAsia"/>
                <w:color w:val="000000" w:themeColor="text1"/>
              </w:rPr>
              <w:t>(委員范雲等19人)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10-6-14</w:t>
            </w:r>
          </w:p>
          <w:p w:rsidR="001A495B" w:rsidRPr="001A495B" w:rsidRDefault="001A495B" w:rsidP="00F70E7C">
            <w:pPr>
              <w:pStyle w:val="0-"/>
              <w:rPr>
                <w:color w:val="000000" w:themeColor="text1"/>
              </w:rPr>
            </w:pPr>
            <w:r w:rsidRPr="001A495B">
              <w:rPr>
                <w:color w:val="000000" w:themeColor="text1"/>
              </w:rPr>
              <w:t>(111.12.30)</w:t>
            </w:r>
          </w:p>
          <w:p w:rsidR="001A495B" w:rsidRPr="001A495B" w:rsidRDefault="001A495B" w:rsidP="00F70E7C">
            <w:pPr>
              <w:pStyle w:val="0-"/>
              <w:rPr>
                <w:color w:val="000000" w:themeColor="text1"/>
              </w:rPr>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有鑑於地方政府長期為節省教育經費聘用代理教師替代正式教師，致代理教師比例持續飆高，損害師生權益。(1條)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勞動教育促進法草案</w:t>
            </w:r>
          </w:p>
          <w:p w:rsidR="001A495B" w:rsidRPr="001A495B" w:rsidRDefault="001A495B" w:rsidP="001A495B">
            <w:pPr>
              <w:pStyle w:val="0-"/>
              <w:rPr>
                <w:color w:val="000000" w:themeColor="text1"/>
              </w:rPr>
            </w:pPr>
            <w:r w:rsidRPr="001A495B">
              <w:rPr>
                <w:rFonts w:hint="eastAsia"/>
                <w:color w:val="000000" w:themeColor="text1"/>
              </w:rPr>
              <w:t>(委員劉建國等17人)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10-1-</w:t>
            </w:r>
            <w:r w:rsidRPr="001A495B">
              <w:rPr>
                <w:rFonts w:hint="eastAsia"/>
                <w:color w:val="000000" w:themeColor="text1"/>
              </w:rPr>
              <w:t>4</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.3.13</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針對勞動教育向下紮根並制定勞動教育專法已形成共識。(21條)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勞動教育促進法草案</w:t>
            </w:r>
          </w:p>
          <w:p w:rsidR="001A495B" w:rsidRPr="001A495B" w:rsidRDefault="001A495B" w:rsidP="001A495B">
            <w:pPr>
              <w:pStyle w:val="0-"/>
              <w:rPr>
                <w:color w:val="000000" w:themeColor="text1"/>
              </w:rPr>
            </w:pPr>
            <w:r w:rsidRPr="001A495B">
              <w:rPr>
                <w:rFonts w:hint="eastAsia"/>
                <w:color w:val="000000" w:themeColor="text1"/>
              </w:rPr>
              <w:t>(委員范雲等19人)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10-1-</w:t>
            </w:r>
            <w:r w:rsidRPr="001A495B">
              <w:rPr>
                <w:rFonts w:hint="eastAsia"/>
                <w:color w:val="000000" w:themeColor="text1"/>
              </w:rPr>
              <w:t>8</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.4.10</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有鑑於德、日、美等世界各國長期將勞動教育紮根於職場、校園與社會各領域，值得效法(25條)。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勞動教育促進法草案</w:t>
            </w:r>
          </w:p>
          <w:p w:rsidR="001A495B" w:rsidRPr="001A495B" w:rsidRDefault="001A495B" w:rsidP="001A495B">
            <w:pPr>
              <w:pStyle w:val="0-"/>
              <w:rPr>
                <w:color w:val="000000" w:themeColor="text1"/>
              </w:rPr>
            </w:pPr>
            <w:r w:rsidRPr="001A495B">
              <w:rPr>
                <w:rFonts w:hint="eastAsia"/>
                <w:color w:val="000000" w:themeColor="text1"/>
              </w:rPr>
              <w:t>(委員李昆澤等21人)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w:t>
            </w:r>
            <w:r w:rsidRPr="001A495B">
              <w:rPr>
                <w:rFonts w:hint="eastAsia"/>
                <w:color w:val="000000" w:themeColor="text1"/>
              </w:rPr>
              <w:t>2</w:t>
            </w:r>
            <w:r w:rsidRPr="001A495B">
              <w:rPr>
                <w:color w:val="000000" w:themeColor="text1"/>
              </w:rPr>
              <w:t>-</w:t>
            </w:r>
            <w:r w:rsidRPr="001A495B">
              <w:rPr>
                <w:rFonts w:hint="eastAsia"/>
                <w:color w:val="000000" w:themeColor="text1"/>
              </w:rPr>
              <w:t>6</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.12.4</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此制定勞動教育專法，不啻為各級政府部門辦理相關業務確立法律明</w:t>
            </w:r>
            <w:r w:rsidRPr="001A495B">
              <w:rPr>
                <w:color w:val="000000" w:themeColor="text1"/>
              </w:rPr>
              <w:lastRenderedPageBreak/>
              <w:t>文依據，亦可建構可長可久、與時俱進的全民勞動教育。</w:t>
            </w:r>
            <w:r w:rsidRPr="001A495B">
              <w:rPr>
                <w:rFonts w:hint="eastAsia"/>
                <w:color w:val="000000" w:themeColor="text1"/>
              </w:rPr>
              <w:t>(20條)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勞動教育促進法草案</w:t>
            </w:r>
          </w:p>
          <w:p w:rsidR="001A495B" w:rsidRPr="001A495B" w:rsidRDefault="001A495B" w:rsidP="001A495B">
            <w:pPr>
              <w:pStyle w:val="0-"/>
              <w:rPr>
                <w:color w:val="000000" w:themeColor="text1"/>
              </w:rPr>
            </w:pPr>
            <w:r w:rsidRPr="001A495B">
              <w:rPr>
                <w:rFonts w:hint="eastAsia"/>
                <w:color w:val="000000" w:themeColor="text1"/>
              </w:rPr>
              <w:t>(民眾黨黨團)</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w:t>
            </w:r>
            <w:r w:rsidRPr="001A495B">
              <w:rPr>
                <w:rFonts w:hint="eastAsia"/>
                <w:color w:val="000000" w:themeColor="text1"/>
              </w:rPr>
              <w:t>2</w:t>
            </w:r>
            <w:r w:rsidRPr="001A495B">
              <w:rPr>
                <w:color w:val="000000" w:themeColor="text1"/>
              </w:rPr>
              <w:t>-</w:t>
            </w:r>
            <w:r w:rsidRPr="001A495B">
              <w:rPr>
                <w:rFonts w:hint="eastAsia"/>
                <w:color w:val="000000" w:themeColor="text1"/>
              </w:rPr>
              <w:t>8</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.12.18</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color w:val="000000" w:themeColor="text1"/>
                <w:sz w:val="28"/>
                <w:szCs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為使現行推展中之勞工教育確立法律基礎，擴大勞動教育內涵、面向、對象，向下扎根與十二年國民基本教育及高等教育接軌。</w:t>
            </w:r>
            <w:r w:rsidRPr="001A495B">
              <w:rPr>
                <w:rFonts w:hint="eastAsia"/>
                <w:color w:val="000000" w:themeColor="text1"/>
              </w:rPr>
              <w:t>(20條)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勞動教育促進法草案</w:t>
            </w:r>
          </w:p>
          <w:p w:rsidR="001A495B" w:rsidRPr="001A495B" w:rsidRDefault="001A495B" w:rsidP="001A495B">
            <w:pPr>
              <w:pStyle w:val="0-"/>
              <w:rPr>
                <w:color w:val="000000" w:themeColor="text1"/>
              </w:rPr>
            </w:pPr>
            <w:r w:rsidRPr="001A495B">
              <w:rPr>
                <w:rFonts w:hint="eastAsia"/>
                <w:color w:val="000000" w:themeColor="text1"/>
              </w:rPr>
              <w:t>(委員林宜瑾等20人)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10-5-6</w:t>
            </w:r>
          </w:p>
          <w:p w:rsidR="001A495B" w:rsidRPr="001A495B" w:rsidRDefault="001A495B" w:rsidP="00F70E7C">
            <w:pPr>
              <w:pStyle w:val="0-"/>
              <w:rPr>
                <w:color w:val="000000" w:themeColor="text1"/>
              </w:rPr>
            </w:pPr>
            <w:r w:rsidRPr="001A495B">
              <w:rPr>
                <w:color w:val="000000" w:themeColor="text1"/>
              </w:rPr>
              <w:t>(111.4.1)</w:t>
            </w:r>
          </w:p>
          <w:p w:rsidR="001A495B" w:rsidRPr="001A495B" w:rsidRDefault="001A495B" w:rsidP="00F70E7C">
            <w:pPr>
              <w:pStyle w:val="0-"/>
              <w:rPr>
                <w:color w:val="000000" w:themeColor="text1"/>
              </w:rPr>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color w:val="000000" w:themeColor="text1"/>
                <w:sz w:val="28"/>
                <w:szCs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落實現代民主法治國家基本權的保障，亦讓各級政府部門辦理相關業務有法律明文依據。(20條)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勞動教育促進法草案</w:t>
            </w:r>
          </w:p>
          <w:p w:rsidR="001A495B" w:rsidRPr="001A495B" w:rsidRDefault="001A495B" w:rsidP="001A495B">
            <w:pPr>
              <w:pStyle w:val="0-"/>
              <w:rPr>
                <w:color w:val="000000" w:themeColor="text1"/>
              </w:rPr>
            </w:pPr>
            <w:r w:rsidRPr="001A495B">
              <w:rPr>
                <w:rFonts w:hint="eastAsia"/>
                <w:color w:val="000000" w:themeColor="text1"/>
              </w:rPr>
              <w:t>(委員林為洲等21人)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10-6-3</w:t>
            </w:r>
          </w:p>
          <w:p w:rsidR="001A495B" w:rsidRPr="001A495B" w:rsidRDefault="001A495B" w:rsidP="00F70E7C">
            <w:pPr>
              <w:pStyle w:val="0-"/>
              <w:rPr>
                <w:color w:val="000000" w:themeColor="text1"/>
              </w:rPr>
            </w:pPr>
            <w:r w:rsidRPr="001A495B">
              <w:rPr>
                <w:color w:val="000000" w:themeColor="text1"/>
              </w:rPr>
              <w:t>(111.10.7)</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color w:val="000000" w:themeColor="text1"/>
                <w:sz w:val="28"/>
                <w:szCs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為推動勞動教育向下扎根，維護尊嚴勞動與保障勞動人權，穩定勞資關係。(21條)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幼兒教育及照顧法第七條條文修正草案</w:t>
            </w:r>
          </w:p>
          <w:p w:rsidR="001A495B" w:rsidRPr="001A495B" w:rsidRDefault="001A495B" w:rsidP="001A495B">
            <w:pPr>
              <w:pStyle w:val="0-"/>
              <w:rPr>
                <w:color w:val="000000" w:themeColor="text1"/>
              </w:rPr>
            </w:pPr>
            <w:r w:rsidRPr="001A495B">
              <w:rPr>
                <w:rFonts w:hint="eastAsia"/>
                <w:color w:val="000000" w:themeColor="text1"/>
              </w:rPr>
              <w:t>(委員陳玉珍等21人)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10-4-7</w:t>
            </w:r>
          </w:p>
          <w:p w:rsidR="001A495B" w:rsidRPr="001A495B" w:rsidRDefault="001A495B" w:rsidP="00F70E7C">
            <w:pPr>
              <w:pStyle w:val="0-"/>
              <w:rPr>
                <w:color w:val="000000" w:themeColor="text1"/>
              </w:rPr>
            </w:pPr>
            <w:r w:rsidRPr="001A495B">
              <w:rPr>
                <w:color w:val="000000" w:themeColor="text1"/>
              </w:rPr>
              <w:t>(110</w:t>
            </w:r>
            <w:r w:rsidRPr="001A495B">
              <w:rPr>
                <w:rFonts w:hint="eastAsia"/>
                <w:color w:val="000000" w:themeColor="text1"/>
              </w:rPr>
              <w:t>.</w:t>
            </w:r>
            <w:r w:rsidRPr="001A495B">
              <w:rPr>
                <w:color w:val="000000" w:themeColor="text1"/>
              </w:rPr>
              <w:t>10</w:t>
            </w:r>
            <w:r w:rsidRPr="001A495B">
              <w:rPr>
                <w:rFonts w:hint="eastAsia"/>
                <w:color w:val="000000" w:themeColor="text1"/>
              </w:rPr>
              <w:t>.2</w:t>
            </w:r>
            <w:r w:rsidRPr="001A495B">
              <w:rPr>
                <w:color w:val="000000" w:themeColor="text1"/>
              </w:rPr>
              <w:t>9)</w:t>
            </w:r>
          </w:p>
          <w:p w:rsidR="001A495B" w:rsidRPr="001A495B" w:rsidRDefault="001A495B" w:rsidP="00F70E7C">
            <w:pPr>
              <w:pStyle w:val="0-"/>
              <w:rPr>
                <w:color w:val="000000" w:themeColor="text1"/>
              </w:rPr>
            </w:pPr>
          </w:p>
          <w:p w:rsidR="001A495B" w:rsidRPr="001A495B" w:rsidRDefault="001A495B" w:rsidP="00F70E7C">
            <w:pPr>
              <w:pStyle w:val="0-"/>
              <w:rPr>
                <w:color w:val="000000" w:themeColor="text1"/>
              </w:rPr>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1A495B" w:rsidRPr="006C7FD7" w:rsidRDefault="0049327E" w:rsidP="0049327E">
            <w:pPr>
              <w:ind w:left="240" w:hangingChars="100" w:hanging="240"/>
              <w:jc w:val="both"/>
              <w:rPr>
                <w:rFonts w:ascii="標楷體" w:eastAsia="標楷體" w:hAnsi="標楷體"/>
              </w:rPr>
            </w:pPr>
            <w:r>
              <w:rPr>
                <w:rFonts w:ascii="標楷體" w:eastAsia="標楷體" w:hAnsi="標楷體" w:hint="eastAsia"/>
                <w:color w:val="000000"/>
                <w:szCs w:val="24"/>
              </w:rPr>
              <w:t>1.</w:t>
            </w:r>
            <w:r w:rsidR="001A495B" w:rsidRPr="006C7FD7">
              <w:rPr>
                <w:rFonts w:ascii="標楷體" w:eastAsia="標楷體" w:hAnsi="標楷體" w:hint="eastAsia"/>
                <w:color w:val="000000"/>
                <w:szCs w:val="24"/>
              </w:rPr>
              <w:t>第</w:t>
            </w:r>
            <w:r w:rsidR="001A495B" w:rsidRPr="006C7FD7">
              <w:rPr>
                <w:rFonts w:ascii="標楷體" w:eastAsia="標楷體" w:hAnsi="標楷體"/>
                <w:color w:val="000000"/>
                <w:szCs w:val="24"/>
              </w:rPr>
              <w:t>5</w:t>
            </w:r>
            <w:r w:rsidR="001A495B" w:rsidRPr="006C7FD7">
              <w:rPr>
                <w:rFonts w:ascii="標楷體" w:eastAsia="標楷體" w:hAnsi="標楷體" w:hint="eastAsia"/>
                <w:color w:val="000000"/>
                <w:szCs w:val="24"/>
              </w:rPr>
              <w:t>會期教育及文化、社會福利及衛生環境委員會第1次聯席會</w:t>
            </w:r>
            <w:r w:rsidR="001A495B" w:rsidRPr="006C7FD7">
              <w:rPr>
                <w:rFonts w:ascii="標楷體" w:eastAsia="標楷體" w:hAnsi="標楷體" w:hint="eastAsia"/>
                <w:color w:val="000000"/>
                <w:szCs w:val="24"/>
              </w:rPr>
              <w:lastRenderedPageBreak/>
              <w:t>議(11</w:t>
            </w:r>
            <w:r w:rsidR="001A495B" w:rsidRPr="006C7FD7">
              <w:rPr>
                <w:rFonts w:ascii="標楷體" w:eastAsia="標楷體" w:hAnsi="標楷體"/>
                <w:color w:val="000000"/>
                <w:szCs w:val="24"/>
              </w:rPr>
              <w:t>1</w:t>
            </w:r>
            <w:r w:rsidR="001A495B" w:rsidRPr="006C7FD7">
              <w:rPr>
                <w:rFonts w:ascii="標楷體" w:eastAsia="標楷體" w:hAnsi="標楷體" w:hint="eastAsia"/>
                <w:color w:val="000000"/>
                <w:szCs w:val="24"/>
              </w:rPr>
              <w:t>.</w:t>
            </w:r>
            <w:r w:rsidR="001A495B" w:rsidRPr="006C7FD7">
              <w:rPr>
                <w:rFonts w:ascii="標楷體" w:eastAsia="標楷體" w:hAnsi="標楷體"/>
                <w:color w:val="000000"/>
                <w:szCs w:val="24"/>
              </w:rPr>
              <w:t>4</w:t>
            </w:r>
            <w:r w:rsidR="001A495B" w:rsidRPr="006C7FD7">
              <w:rPr>
                <w:rFonts w:ascii="標楷體" w:eastAsia="標楷體" w:hAnsi="標楷體" w:hint="eastAsia"/>
                <w:color w:val="000000"/>
                <w:szCs w:val="24"/>
              </w:rPr>
              <w:t>.2</w:t>
            </w:r>
            <w:r w:rsidR="001A495B" w:rsidRPr="006C7FD7">
              <w:rPr>
                <w:rFonts w:ascii="標楷體" w:eastAsia="標楷體" w:hAnsi="標楷體"/>
                <w:color w:val="000000"/>
                <w:szCs w:val="24"/>
              </w:rPr>
              <w:t>0</w:t>
            </w:r>
            <w:r w:rsidR="001A495B" w:rsidRPr="006C7FD7">
              <w:rPr>
                <w:rFonts w:ascii="標楷體" w:eastAsia="標楷體" w:hAnsi="標楷體" w:hint="eastAsia"/>
                <w:color w:val="000000"/>
                <w:szCs w:val="24"/>
              </w:rPr>
              <w:t>)決議:另定期繼續審查。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lastRenderedPageBreak/>
              <w:t>新增得給予租稅優惠及獎勵等政策工具，增加誘因，以</w:t>
            </w:r>
            <w:r w:rsidRPr="001A495B">
              <w:rPr>
                <w:rFonts w:hint="eastAsia"/>
                <w:color w:val="000000" w:themeColor="text1"/>
              </w:rPr>
              <w:lastRenderedPageBreak/>
              <w:t>提升離島等偏遠地區教保服務品質。(1條)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青年發展基本法草案</w:t>
            </w:r>
          </w:p>
          <w:p w:rsidR="001A495B" w:rsidRPr="001A495B" w:rsidRDefault="001A495B" w:rsidP="001A495B">
            <w:pPr>
              <w:pStyle w:val="0-"/>
              <w:rPr>
                <w:color w:val="000000" w:themeColor="text1"/>
              </w:rPr>
            </w:pPr>
            <w:r w:rsidRPr="001A495B">
              <w:rPr>
                <w:color w:val="000000" w:themeColor="text1"/>
              </w:rPr>
              <w:t>(</w:t>
            </w:r>
            <w:r w:rsidRPr="001A495B">
              <w:rPr>
                <w:rFonts w:hint="eastAsia"/>
                <w:color w:val="000000" w:themeColor="text1"/>
              </w:rPr>
              <w:t>委員林德福等</w:t>
            </w:r>
            <w:r w:rsidRPr="001A495B">
              <w:rPr>
                <w:color w:val="000000" w:themeColor="text1"/>
              </w:rPr>
              <w:t>23</w:t>
            </w:r>
            <w:r w:rsidRPr="001A495B">
              <w:rPr>
                <w:rFonts w:hint="eastAsia"/>
                <w:color w:val="000000" w:themeColor="text1"/>
              </w:rPr>
              <w:t>人</w:t>
            </w:r>
            <w:r w:rsidRPr="001A495B">
              <w:rPr>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10-1-5</w:t>
            </w:r>
          </w:p>
          <w:p w:rsidR="001A495B" w:rsidRPr="001A495B" w:rsidRDefault="001A495B" w:rsidP="00F70E7C">
            <w:pPr>
              <w:pStyle w:val="0-"/>
              <w:rPr>
                <w:color w:val="000000" w:themeColor="text1"/>
              </w:rPr>
            </w:pPr>
            <w:r w:rsidRPr="001A495B">
              <w:rPr>
                <w:rFonts w:hint="eastAsia"/>
                <w:color w:val="000000" w:themeColor="text1"/>
              </w:rPr>
              <w:t>(109.3.20)</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讓青年能獲得政府資源支持，搭配民間資源引進，以促進青年發展。(21條)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特殊教育法第二十三條條文修正草案</w:t>
            </w:r>
          </w:p>
          <w:p w:rsidR="001A495B" w:rsidRPr="001A495B" w:rsidRDefault="001A495B" w:rsidP="001A495B">
            <w:pPr>
              <w:pStyle w:val="0-"/>
              <w:rPr>
                <w:color w:val="000000" w:themeColor="text1"/>
              </w:rPr>
            </w:pPr>
            <w:r w:rsidRPr="001A495B">
              <w:rPr>
                <w:rFonts w:hint="eastAsia"/>
                <w:color w:val="000000" w:themeColor="text1"/>
              </w:rPr>
              <w:t>(委員黃國書等22人)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10-1-</w:t>
            </w:r>
            <w:r w:rsidRPr="001A495B">
              <w:rPr>
                <w:rFonts w:hint="eastAsia"/>
                <w:color w:val="000000" w:themeColor="text1"/>
              </w:rPr>
              <w:t>7</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.4.7</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完善早期療育服務，使學齡前後之特殊教育生其療育、輔導、教育得加強整合與銜接。(1條)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特殊教育法第十條及第十八條條文修正草案</w:t>
            </w:r>
          </w:p>
          <w:p w:rsidR="001A495B" w:rsidRPr="001A495B" w:rsidRDefault="001A495B" w:rsidP="001A495B">
            <w:pPr>
              <w:pStyle w:val="0-"/>
              <w:rPr>
                <w:color w:val="000000" w:themeColor="text1"/>
              </w:rPr>
            </w:pPr>
            <w:r w:rsidRPr="001A495B">
              <w:rPr>
                <w:rFonts w:hint="eastAsia"/>
                <w:color w:val="000000" w:themeColor="text1"/>
              </w:rPr>
              <w:t>(民眾黨黨團)</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10-1-</w:t>
            </w:r>
            <w:r w:rsidRPr="001A495B">
              <w:rPr>
                <w:rFonts w:hint="eastAsia"/>
                <w:color w:val="000000" w:themeColor="text1"/>
              </w:rPr>
              <w:t>14</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.5.22</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整合各目的事業主管機關資源投入，並賦予社會共同責任，以保障親職教育能夠落實，讓更多特教生能獲得幫助。(2條)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特殊教育法第二十三條條文修正草案</w:t>
            </w:r>
          </w:p>
          <w:p w:rsidR="001A495B" w:rsidRPr="001A495B" w:rsidRDefault="001A495B" w:rsidP="001A495B">
            <w:pPr>
              <w:pStyle w:val="0-"/>
              <w:rPr>
                <w:color w:val="000000" w:themeColor="text1"/>
              </w:rPr>
            </w:pPr>
            <w:r w:rsidRPr="001A495B">
              <w:rPr>
                <w:rFonts w:hint="eastAsia"/>
                <w:color w:val="000000" w:themeColor="text1"/>
              </w:rPr>
              <w:t>(委員謝衣鳯等18人)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10-1-15</w:t>
            </w:r>
          </w:p>
          <w:p w:rsidR="001A495B" w:rsidRPr="001A495B" w:rsidRDefault="001A495B" w:rsidP="00F70E7C">
            <w:pPr>
              <w:pStyle w:val="0-"/>
              <w:rPr>
                <w:color w:val="000000" w:themeColor="text1"/>
              </w:rPr>
            </w:pPr>
            <w:r w:rsidRPr="001A495B">
              <w:rPr>
                <w:rFonts w:hint="eastAsia"/>
                <w:color w:val="000000" w:themeColor="text1"/>
              </w:rPr>
              <w:t>(109.5.29)</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為增進身心障礙兒童之早期療育之權益，簡化現行之行政流程，並減少重複評估及醫療資源浪費，降低家長反覆奔波的情</w:t>
            </w:r>
            <w:r w:rsidRPr="001A495B">
              <w:rPr>
                <w:rFonts w:hint="eastAsia"/>
                <w:color w:val="000000" w:themeColor="text1"/>
              </w:rPr>
              <w:lastRenderedPageBreak/>
              <w:t>形，明定教育部與衛福部應進行早期療育資訊系統之整合。(1條)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特殊教育法部分條文修正草案</w:t>
            </w:r>
          </w:p>
          <w:p w:rsidR="001A495B" w:rsidRPr="001A495B" w:rsidRDefault="001A495B" w:rsidP="001A495B">
            <w:pPr>
              <w:pStyle w:val="0-"/>
              <w:rPr>
                <w:color w:val="000000" w:themeColor="text1"/>
              </w:rPr>
            </w:pPr>
            <w:r w:rsidRPr="001A495B">
              <w:rPr>
                <w:rFonts w:hint="eastAsia"/>
                <w:color w:val="000000" w:themeColor="text1"/>
              </w:rPr>
              <w:t>(委員黃國書等20人)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w:t>
            </w:r>
            <w:r w:rsidRPr="001A495B">
              <w:rPr>
                <w:rFonts w:hint="eastAsia"/>
                <w:color w:val="000000" w:themeColor="text1"/>
              </w:rPr>
              <w:t>2</w:t>
            </w:r>
            <w:r w:rsidRPr="001A495B">
              <w:rPr>
                <w:color w:val="000000" w:themeColor="text1"/>
              </w:rPr>
              <w:t>-</w:t>
            </w:r>
            <w:r w:rsidRPr="001A495B">
              <w:rPr>
                <w:rFonts w:hint="eastAsia"/>
                <w:color w:val="000000" w:themeColor="text1"/>
              </w:rPr>
              <w:t>6</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.12.4</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為提升對特殊教育學生之家庭支持服務及學前階段身心障礙兒童及其家庭之支持</w:t>
            </w:r>
            <w:r w:rsidRPr="001A495B">
              <w:rPr>
                <w:rFonts w:hint="eastAsia"/>
                <w:color w:val="000000" w:themeColor="text1"/>
              </w:rPr>
              <w:t>。(6條)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特殊教育法第十條及第十條之一條文修正草案</w:t>
            </w:r>
          </w:p>
          <w:p w:rsidR="001A495B" w:rsidRPr="001A495B" w:rsidRDefault="001A495B" w:rsidP="001A495B">
            <w:pPr>
              <w:pStyle w:val="0-"/>
              <w:rPr>
                <w:color w:val="000000" w:themeColor="text1"/>
              </w:rPr>
            </w:pPr>
            <w:r w:rsidRPr="001A495B">
              <w:rPr>
                <w:rFonts w:hint="eastAsia"/>
                <w:color w:val="000000" w:themeColor="text1"/>
              </w:rPr>
              <w:t>(委員林奕華等19人)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w:t>
            </w:r>
            <w:r w:rsidRPr="001A495B">
              <w:rPr>
                <w:rFonts w:hint="eastAsia"/>
                <w:color w:val="000000" w:themeColor="text1"/>
              </w:rPr>
              <w:t>2</w:t>
            </w:r>
            <w:r w:rsidRPr="001A495B">
              <w:rPr>
                <w:color w:val="000000" w:themeColor="text1"/>
              </w:rPr>
              <w:t>-</w:t>
            </w:r>
            <w:r w:rsidRPr="001A495B">
              <w:rPr>
                <w:rFonts w:hint="eastAsia"/>
                <w:color w:val="000000" w:themeColor="text1"/>
              </w:rPr>
              <w:t>8</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.12.18</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為強化幼兒園及國民教育階段推動特殊教育之品質，保障特殊教育學生之受教權，並提供特殊教育家長親職教育，以促進家庭功能。</w:t>
            </w:r>
            <w:r w:rsidRPr="001A495B">
              <w:rPr>
                <w:rFonts w:hint="eastAsia"/>
                <w:color w:val="000000" w:themeColor="text1"/>
              </w:rPr>
              <w:t>(2條)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特殊教育法部分條文修正草案</w:t>
            </w:r>
          </w:p>
          <w:p w:rsidR="001A495B" w:rsidRPr="001A495B" w:rsidRDefault="001A495B" w:rsidP="001A495B">
            <w:pPr>
              <w:pStyle w:val="0-"/>
              <w:rPr>
                <w:color w:val="000000" w:themeColor="text1"/>
              </w:rPr>
            </w:pPr>
            <w:r w:rsidRPr="001A495B">
              <w:rPr>
                <w:rFonts w:hint="eastAsia"/>
                <w:color w:val="000000" w:themeColor="text1"/>
              </w:rPr>
              <w:t>(委員陳以信等21人)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w:t>
            </w:r>
            <w:r w:rsidRPr="001A495B">
              <w:rPr>
                <w:rFonts w:hint="eastAsia"/>
                <w:color w:val="000000" w:themeColor="text1"/>
              </w:rPr>
              <w:t>2</w:t>
            </w:r>
            <w:r w:rsidRPr="001A495B">
              <w:rPr>
                <w:color w:val="000000" w:themeColor="text1"/>
              </w:rPr>
              <w:t>-</w:t>
            </w:r>
            <w:r w:rsidRPr="001A495B">
              <w:rPr>
                <w:rFonts w:hint="eastAsia"/>
                <w:color w:val="000000" w:themeColor="text1"/>
              </w:rPr>
              <w:t>10</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.12.25</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應於《特殊教育法》明文化各級政府單位推動融合教育之權責及義務，俾增強教育體系職能，有效整合特殊教育學生所需資源。</w:t>
            </w:r>
            <w:r w:rsidRPr="001A495B">
              <w:rPr>
                <w:rFonts w:hint="eastAsia"/>
                <w:color w:val="000000" w:themeColor="text1"/>
              </w:rPr>
              <w:t>(2條)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特殊教育法第三十條之一條文修正草案</w:t>
            </w:r>
          </w:p>
          <w:p w:rsidR="001A495B" w:rsidRPr="001A495B" w:rsidRDefault="001A495B" w:rsidP="001A495B">
            <w:pPr>
              <w:pStyle w:val="0-"/>
              <w:rPr>
                <w:color w:val="000000" w:themeColor="text1"/>
              </w:rPr>
            </w:pPr>
            <w:r w:rsidRPr="001A495B">
              <w:rPr>
                <w:rFonts w:hint="eastAsia"/>
                <w:color w:val="000000" w:themeColor="text1"/>
              </w:rPr>
              <w:lastRenderedPageBreak/>
              <w:t>(委員黃國書等17人)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lastRenderedPageBreak/>
              <w:t>10-4-7</w:t>
            </w:r>
          </w:p>
          <w:p w:rsidR="001A495B" w:rsidRPr="001A495B" w:rsidRDefault="001A495B" w:rsidP="00F70E7C">
            <w:pPr>
              <w:pStyle w:val="0-"/>
              <w:rPr>
                <w:color w:val="000000" w:themeColor="text1"/>
              </w:rPr>
            </w:pPr>
            <w:r w:rsidRPr="001A495B">
              <w:rPr>
                <w:color w:val="000000" w:themeColor="text1"/>
              </w:rPr>
              <w:t>(110</w:t>
            </w:r>
            <w:r w:rsidRPr="001A495B">
              <w:rPr>
                <w:rFonts w:hint="eastAsia"/>
                <w:color w:val="000000" w:themeColor="text1"/>
              </w:rPr>
              <w:t>.</w:t>
            </w:r>
            <w:r w:rsidRPr="001A495B">
              <w:rPr>
                <w:color w:val="000000" w:themeColor="text1"/>
              </w:rPr>
              <w:t>10</w:t>
            </w:r>
            <w:r w:rsidRPr="001A495B">
              <w:rPr>
                <w:rFonts w:hint="eastAsia"/>
                <w:color w:val="000000" w:themeColor="text1"/>
              </w:rPr>
              <w:t>.2</w:t>
            </w:r>
            <w:r w:rsidRPr="001A495B">
              <w:rPr>
                <w:color w:val="000000" w:themeColor="text1"/>
              </w:rPr>
              <w:t>9)</w:t>
            </w:r>
          </w:p>
          <w:p w:rsidR="001A495B" w:rsidRPr="001A495B" w:rsidRDefault="001A495B" w:rsidP="00F70E7C">
            <w:pPr>
              <w:pStyle w:val="0-"/>
              <w:rPr>
                <w:color w:val="000000" w:themeColor="text1"/>
              </w:rPr>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教育單位應保障身心障礙學</w:t>
            </w:r>
            <w:r w:rsidRPr="001A495B">
              <w:rPr>
                <w:rFonts w:hint="eastAsia"/>
                <w:color w:val="000000" w:themeColor="text1"/>
              </w:rPr>
              <w:lastRenderedPageBreak/>
              <w:t>生入學及就學機會，以落實身心障礙者高等教育人才之培育。(</w:t>
            </w:r>
            <w:r w:rsidRPr="001A495B">
              <w:rPr>
                <w:color w:val="000000" w:themeColor="text1"/>
              </w:rPr>
              <w:t>1</w:t>
            </w:r>
            <w:r w:rsidRPr="001A495B">
              <w:rPr>
                <w:rFonts w:hint="eastAsia"/>
                <w:color w:val="000000" w:themeColor="text1"/>
              </w:rPr>
              <w:t>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特殊教育法部分條文修正草案</w:t>
            </w:r>
          </w:p>
          <w:p w:rsidR="001A495B" w:rsidRPr="001A495B" w:rsidRDefault="001A495B" w:rsidP="001A495B">
            <w:pPr>
              <w:pStyle w:val="0-"/>
              <w:rPr>
                <w:color w:val="000000" w:themeColor="text1"/>
              </w:rPr>
            </w:pPr>
            <w:r w:rsidRPr="001A495B">
              <w:rPr>
                <w:rFonts w:hint="eastAsia"/>
                <w:color w:val="000000" w:themeColor="text1"/>
              </w:rPr>
              <w:t>(</w:t>
            </w:r>
            <w:r w:rsidRPr="00F70E7C">
              <w:rPr>
                <w:rFonts w:hint="eastAsia"/>
                <w:color w:val="000000" w:themeColor="text1"/>
                <w:spacing w:val="-20"/>
              </w:rPr>
              <w:t>委員張廖萬堅等19人</w:t>
            </w:r>
            <w:r w:rsidRPr="001A495B">
              <w:rPr>
                <w:rFonts w:hint="eastAsia"/>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10-5-1</w:t>
            </w:r>
          </w:p>
          <w:p w:rsidR="001A495B" w:rsidRPr="001A495B" w:rsidRDefault="001A495B" w:rsidP="00F70E7C">
            <w:pPr>
              <w:pStyle w:val="0-"/>
              <w:rPr>
                <w:color w:val="000000" w:themeColor="text1"/>
              </w:rPr>
            </w:pPr>
            <w:r w:rsidRPr="001A495B">
              <w:rPr>
                <w:color w:val="000000" w:themeColor="text1"/>
              </w:rPr>
              <w:t>(111.3.1)</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雙重特殊教育學生教育推動等面向皆有再提升的空間。(</w:t>
            </w:r>
            <w:r w:rsidRPr="001A495B">
              <w:rPr>
                <w:color w:val="000000" w:themeColor="text1"/>
              </w:rPr>
              <w:t>4</w:t>
            </w:r>
            <w:r w:rsidRPr="001A495B">
              <w:rPr>
                <w:rFonts w:hint="eastAsia"/>
                <w:color w:val="000000" w:themeColor="text1"/>
              </w:rPr>
              <w:t>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特殊教育法第二十一條條文修正草案</w:t>
            </w:r>
          </w:p>
          <w:p w:rsidR="001A495B" w:rsidRPr="001A495B" w:rsidRDefault="001A495B" w:rsidP="001A495B">
            <w:pPr>
              <w:pStyle w:val="0-"/>
              <w:rPr>
                <w:color w:val="000000" w:themeColor="text1"/>
              </w:rPr>
            </w:pPr>
            <w:r w:rsidRPr="001A495B">
              <w:rPr>
                <w:rFonts w:hint="eastAsia"/>
                <w:color w:val="000000" w:themeColor="text1"/>
              </w:rPr>
              <w:t>(</w:t>
            </w:r>
            <w:r w:rsidRPr="00F70E7C">
              <w:rPr>
                <w:rFonts w:hint="eastAsia"/>
                <w:color w:val="000000" w:themeColor="text1"/>
                <w:spacing w:val="-20"/>
              </w:rPr>
              <w:t>委員張廖萬堅等19人</w:t>
            </w:r>
            <w:r w:rsidRPr="001A495B">
              <w:rPr>
                <w:rFonts w:hint="eastAsia"/>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10-5-1</w:t>
            </w:r>
          </w:p>
          <w:p w:rsidR="001A495B" w:rsidRPr="001A495B" w:rsidRDefault="001A495B" w:rsidP="00F70E7C">
            <w:pPr>
              <w:pStyle w:val="0-"/>
              <w:rPr>
                <w:color w:val="000000" w:themeColor="text1"/>
              </w:rPr>
            </w:pPr>
            <w:r w:rsidRPr="001A495B">
              <w:rPr>
                <w:color w:val="000000" w:themeColor="text1"/>
              </w:rPr>
              <w:t>(111.3.1)</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特殊教育學生如遭遇違法或不當對待致損害其權益時，對申訴決定不服者，無法提起再申訴，實不合理。(1條)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特殊教育法第九條條文修正草案</w:t>
            </w:r>
          </w:p>
          <w:p w:rsidR="001A495B" w:rsidRPr="001A495B" w:rsidRDefault="001A495B" w:rsidP="001A495B">
            <w:pPr>
              <w:pStyle w:val="0-"/>
              <w:rPr>
                <w:color w:val="000000" w:themeColor="text1"/>
              </w:rPr>
            </w:pPr>
            <w:r w:rsidRPr="001A495B">
              <w:rPr>
                <w:rFonts w:hint="eastAsia"/>
                <w:color w:val="000000" w:themeColor="text1"/>
              </w:rPr>
              <w:t>(委員萬美玲等16人</w:t>
            </w:r>
            <w:r w:rsidRPr="001A495B">
              <w:rPr>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10-5-8</w:t>
            </w:r>
          </w:p>
          <w:p w:rsidR="001A495B" w:rsidRPr="001A495B" w:rsidRDefault="001A495B" w:rsidP="00F70E7C">
            <w:pPr>
              <w:pStyle w:val="0-"/>
              <w:rPr>
                <w:color w:val="000000" w:themeColor="text1"/>
              </w:rPr>
            </w:pPr>
            <w:r w:rsidRPr="001A495B">
              <w:rPr>
                <w:color w:val="000000" w:themeColor="text1"/>
              </w:rPr>
              <w:t>(111.4.15)</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特殊教育學生人數逐年上升，顯見特殊教育經費有提升之必要，為使特殊教育學生能得到完善之照顧。(1條)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特殊教育法修正草案</w:t>
            </w:r>
          </w:p>
          <w:p w:rsidR="001A495B" w:rsidRPr="001A495B" w:rsidRDefault="001A495B" w:rsidP="001A495B">
            <w:pPr>
              <w:pStyle w:val="0-"/>
              <w:rPr>
                <w:color w:val="000000" w:themeColor="text1"/>
              </w:rPr>
            </w:pPr>
            <w:r w:rsidRPr="001A495B">
              <w:rPr>
                <w:rFonts w:hint="eastAsia"/>
                <w:color w:val="000000" w:themeColor="text1"/>
              </w:rPr>
              <w:t>(委員黃國書等18人)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10-5-9</w:t>
            </w:r>
          </w:p>
          <w:p w:rsidR="001A495B" w:rsidRPr="001A495B" w:rsidRDefault="001A495B" w:rsidP="00F70E7C">
            <w:pPr>
              <w:pStyle w:val="0-"/>
              <w:rPr>
                <w:color w:val="000000" w:themeColor="text1"/>
              </w:rPr>
            </w:pPr>
            <w:r w:rsidRPr="001A495B">
              <w:rPr>
                <w:color w:val="000000" w:themeColor="text1"/>
              </w:rPr>
              <w:t>(111.4.22)</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為因應社會變遷、整體教育環境演進以及當代特殊教育推動發展之需求。(54條)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特殊教育法第六條條</w:t>
            </w:r>
            <w:r w:rsidRPr="001A495B">
              <w:rPr>
                <w:rFonts w:hint="eastAsia"/>
                <w:color w:val="000000" w:themeColor="text1"/>
              </w:rPr>
              <w:lastRenderedPageBreak/>
              <w:t>文修正草案</w:t>
            </w:r>
          </w:p>
          <w:p w:rsidR="001A495B" w:rsidRPr="001A495B" w:rsidRDefault="001A495B" w:rsidP="001A495B">
            <w:pPr>
              <w:pStyle w:val="0-"/>
              <w:rPr>
                <w:color w:val="000000" w:themeColor="text1"/>
              </w:rPr>
            </w:pPr>
            <w:r w:rsidRPr="001A495B">
              <w:rPr>
                <w:rFonts w:hint="eastAsia"/>
                <w:color w:val="000000" w:themeColor="text1"/>
              </w:rPr>
              <w:t>(委員莊瑞雄等21人)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lastRenderedPageBreak/>
              <w:t>10-5-10</w:t>
            </w:r>
          </w:p>
          <w:p w:rsidR="001A495B" w:rsidRPr="001A495B" w:rsidRDefault="001A495B" w:rsidP="00F70E7C">
            <w:pPr>
              <w:pStyle w:val="0-"/>
              <w:rPr>
                <w:color w:val="000000" w:themeColor="text1"/>
              </w:rPr>
            </w:pPr>
            <w:r w:rsidRPr="001A495B">
              <w:rPr>
                <w:color w:val="000000" w:themeColor="text1"/>
              </w:rPr>
              <w:lastRenderedPageBreak/>
              <w:t>(111.4.29)</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近年受少子化</w:t>
            </w:r>
            <w:r w:rsidRPr="001A495B">
              <w:rPr>
                <w:rFonts w:hint="eastAsia"/>
                <w:color w:val="000000" w:themeColor="text1"/>
              </w:rPr>
              <w:lastRenderedPageBreak/>
              <w:t>影響，特教生人數仍逐年成長，顯見特殊教育制度應同步與時俱進。(1條)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特殊教育法第九條條文修正草案</w:t>
            </w:r>
          </w:p>
          <w:p w:rsidR="001A495B" w:rsidRPr="001A495B" w:rsidRDefault="001A495B" w:rsidP="001A495B">
            <w:pPr>
              <w:pStyle w:val="0-"/>
              <w:rPr>
                <w:color w:val="000000" w:themeColor="text1"/>
              </w:rPr>
            </w:pPr>
            <w:r w:rsidRPr="001A495B">
              <w:rPr>
                <w:rFonts w:hint="eastAsia"/>
                <w:color w:val="000000" w:themeColor="text1"/>
              </w:rPr>
              <w:t>(委員莊瑞雄等21人</w:t>
            </w:r>
            <w:r w:rsidRPr="001A495B">
              <w:rPr>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10-5-10</w:t>
            </w:r>
          </w:p>
          <w:p w:rsidR="001A495B" w:rsidRPr="001A495B" w:rsidRDefault="001A495B" w:rsidP="00F70E7C">
            <w:pPr>
              <w:pStyle w:val="0-"/>
              <w:rPr>
                <w:color w:val="000000" w:themeColor="text1"/>
              </w:rPr>
            </w:pPr>
            <w:r w:rsidRPr="001A495B">
              <w:rPr>
                <w:color w:val="000000" w:themeColor="text1"/>
              </w:rPr>
              <w:t>(111.4.29)</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為確保我國特殊教育品質，充實特殊教育實施所需之經費。(1條)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特殊教育法修正草案</w:t>
            </w:r>
          </w:p>
          <w:p w:rsidR="001A495B" w:rsidRPr="001A495B" w:rsidRDefault="001A495B" w:rsidP="001A495B">
            <w:pPr>
              <w:pStyle w:val="0-"/>
              <w:rPr>
                <w:color w:val="000000" w:themeColor="text1"/>
              </w:rPr>
            </w:pPr>
            <w:r w:rsidRPr="001A495B">
              <w:rPr>
                <w:rFonts w:hint="eastAsia"/>
                <w:color w:val="000000" w:themeColor="text1"/>
              </w:rPr>
              <w:t>(委員吳玉琴等18人</w:t>
            </w:r>
            <w:r w:rsidRPr="001A495B">
              <w:rPr>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10-5-10</w:t>
            </w:r>
          </w:p>
          <w:p w:rsidR="001A495B" w:rsidRPr="001A495B" w:rsidRDefault="001A495B" w:rsidP="00F70E7C">
            <w:pPr>
              <w:pStyle w:val="0-"/>
              <w:rPr>
                <w:color w:val="000000" w:themeColor="text1"/>
              </w:rPr>
            </w:pPr>
            <w:r w:rsidRPr="001A495B">
              <w:rPr>
                <w:color w:val="000000" w:themeColor="text1"/>
              </w:rPr>
              <w:t>(111.4.29)</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為邁向融合，落實以學生為本的教育環境，並回應教學現場需要及身心障礙者權利公約國家報告審查意見。(40條)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特殊教育法第九條條文修正草案</w:t>
            </w:r>
          </w:p>
          <w:p w:rsidR="001A495B" w:rsidRPr="001A495B" w:rsidRDefault="001A495B" w:rsidP="001A495B">
            <w:pPr>
              <w:pStyle w:val="0-"/>
              <w:rPr>
                <w:color w:val="000000" w:themeColor="text1"/>
              </w:rPr>
            </w:pPr>
            <w:r w:rsidRPr="001A495B">
              <w:rPr>
                <w:rFonts w:hint="eastAsia"/>
                <w:color w:val="000000" w:themeColor="text1"/>
              </w:rPr>
              <w:t>(委員陳秀寳等</w:t>
            </w:r>
            <w:r w:rsidRPr="001A495B">
              <w:rPr>
                <w:color w:val="000000" w:themeColor="text1"/>
              </w:rPr>
              <w:t>17</w:t>
            </w:r>
            <w:r w:rsidRPr="001A495B">
              <w:rPr>
                <w:rFonts w:hint="eastAsia"/>
                <w:color w:val="000000" w:themeColor="text1"/>
              </w:rPr>
              <w:t>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10-5-11</w:t>
            </w:r>
          </w:p>
          <w:p w:rsidR="001A495B" w:rsidRPr="001A495B" w:rsidRDefault="001A495B" w:rsidP="00F70E7C">
            <w:pPr>
              <w:pStyle w:val="0-"/>
              <w:rPr>
                <w:color w:val="000000" w:themeColor="text1"/>
              </w:rPr>
            </w:pPr>
            <w:r w:rsidRPr="001A495B">
              <w:rPr>
                <w:color w:val="000000" w:themeColor="text1"/>
              </w:rPr>
              <w:t>(111.5.6)</w:t>
            </w:r>
          </w:p>
          <w:p w:rsidR="001A495B" w:rsidRPr="001A495B" w:rsidRDefault="001A495B" w:rsidP="00F70E7C">
            <w:pPr>
              <w:pStyle w:val="0-"/>
              <w:rPr>
                <w:color w:val="000000" w:themeColor="text1"/>
              </w:rPr>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調修各級政府編列特殊教育預算之法定標準，俾以符合特殊教育政策之整體發展。(1條)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特殊教育法第八條及第九條條文修正草案</w:t>
            </w:r>
          </w:p>
          <w:p w:rsidR="001A495B" w:rsidRPr="001A495B" w:rsidRDefault="001A495B" w:rsidP="001A495B">
            <w:pPr>
              <w:pStyle w:val="0-"/>
              <w:rPr>
                <w:color w:val="000000" w:themeColor="text1"/>
              </w:rPr>
            </w:pPr>
            <w:r w:rsidRPr="001A495B">
              <w:rPr>
                <w:rFonts w:hint="eastAsia"/>
                <w:color w:val="000000" w:themeColor="text1"/>
              </w:rPr>
              <w:t>(委員馬文君等16人)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10-5-11</w:t>
            </w:r>
          </w:p>
          <w:p w:rsidR="001A495B" w:rsidRPr="001A495B" w:rsidRDefault="001A495B" w:rsidP="00F70E7C">
            <w:pPr>
              <w:pStyle w:val="0-"/>
              <w:rPr>
                <w:color w:val="000000" w:themeColor="text1"/>
              </w:rPr>
            </w:pPr>
            <w:r w:rsidRPr="001A495B">
              <w:rPr>
                <w:color w:val="000000" w:themeColor="text1"/>
              </w:rPr>
              <w:t>(111.5.6)</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要求各級主管機關應每年定期將特殊教育學生之相關數據分析，以妥善規劃各項特殊教育措施。(2條)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特殊教育法部分條文修正草案</w:t>
            </w:r>
          </w:p>
          <w:p w:rsidR="001A495B" w:rsidRPr="001A495B" w:rsidRDefault="001A495B" w:rsidP="001A495B">
            <w:pPr>
              <w:pStyle w:val="0-"/>
              <w:rPr>
                <w:color w:val="000000" w:themeColor="text1"/>
              </w:rPr>
            </w:pPr>
            <w:r w:rsidRPr="001A495B">
              <w:rPr>
                <w:rFonts w:hint="eastAsia"/>
                <w:color w:val="000000" w:themeColor="text1"/>
              </w:rPr>
              <w:t>(委員蔡適應等19人)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10-5-13</w:t>
            </w:r>
          </w:p>
          <w:p w:rsidR="001A495B" w:rsidRPr="001A495B" w:rsidRDefault="001A495B" w:rsidP="00F70E7C">
            <w:pPr>
              <w:pStyle w:val="0-"/>
              <w:rPr>
                <w:color w:val="000000" w:themeColor="text1"/>
              </w:rPr>
            </w:pPr>
            <w:r w:rsidRPr="001A495B">
              <w:rPr>
                <w:color w:val="000000" w:themeColor="text1"/>
              </w:rPr>
              <w:t>(111.5.20)</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涉及許多須接受特殊教育及相關服務措施之兒童，為使規範更為完善，且符合《兒童權利公約》要求。(6條)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特殊教育法第二十一條條文修正草案</w:t>
            </w:r>
          </w:p>
          <w:p w:rsidR="001A495B" w:rsidRPr="001A495B" w:rsidRDefault="001A495B" w:rsidP="001A495B">
            <w:pPr>
              <w:pStyle w:val="0-"/>
              <w:rPr>
                <w:color w:val="000000" w:themeColor="text1"/>
              </w:rPr>
            </w:pPr>
            <w:r w:rsidRPr="001A495B">
              <w:rPr>
                <w:rFonts w:hint="eastAsia"/>
                <w:color w:val="000000" w:themeColor="text1"/>
              </w:rPr>
              <w:t>(委員萬美玲等16人)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10-5-14</w:t>
            </w:r>
          </w:p>
          <w:p w:rsidR="001A495B" w:rsidRPr="001A495B" w:rsidRDefault="001A495B" w:rsidP="00F70E7C">
            <w:pPr>
              <w:pStyle w:val="0-"/>
              <w:rPr>
                <w:color w:val="000000" w:themeColor="text1"/>
              </w:rPr>
            </w:pPr>
            <w:r w:rsidRPr="001A495B">
              <w:rPr>
                <w:color w:val="000000" w:themeColor="text1"/>
              </w:rPr>
              <w:t>(111.5.</w:t>
            </w:r>
            <w:r w:rsidRPr="001A495B">
              <w:rPr>
                <w:rFonts w:hint="eastAsia"/>
                <w:color w:val="000000" w:themeColor="text1"/>
              </w:rPr>
              <w:t>27</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明定特殊教育學生及其監護人、法定代理人若認為其學習權益受損或對鑑輔會之鑑定、安置及輔導有爭議時，可提出申訴及再申訴。(1條)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特殊教育法第二十一條條文修正草案</w:t>
            </w:r>
          </w:p>
          <w:p w:rsidR="001A495B" w:rsidRPr="001A495B" w:rsidRDefault="001A495B" w:rsidP="001A495B">
            <w:pPr>
              <w:pStyle w:val="0-"/>
              <w:rPr>
                <w:color w:val="000000" w:themeColor="text1"/>
              </w:rPr>
            </w:pPr>
            <w:r w:rsidRPr="001A495B">
              <w:rPr>
                <w:rFonts w:hint="eastAsia"/>
                <w:color w:val="000000" w:themeColor="text1"/>
              </w:rPr>
              <w:t>(委員黃國書等19人)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10-6-2</w:t>
            </w:r>
          </w:p>
          <w:p w:rsidR="001A495B" w:rsidRPr="001A495B" w:rsidRDefault="001A495B" w:rsidP="00F70E7C">
            <w:pPr>
              <w:pStyle w:val="0-"/>
              <w:rPr>
                <w:color w:val="000000" w:themeColor="text1"/>
              </w:rPr>
            </w:pPr>
            <w:r w:rsidRPr="001A495B">
              <w:rPr>
                <w:color w:val="000000" w:themeColor="text1"/>
              </w:rPr>
              <w:t>(111.9.30)</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增設特殊教育學生再申訴機制，以完備特殊教育學生權益救濟制度。(1條)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特殊教育法第二十一條條文修正草案</w:t>
            </w:r>
          </w:p>
          <w:p w:rsidR="001A495B" w:rsidRPr="001A495B" w:rsidRDefault="001A495B" w:rsidP="001A495B">
            <w:pPr>
              <w:pStyle w:val="0-"/>
              <w:rPr>
                <w:color w:val="000000" w:themeColor="text1"/>
              </w:rPr>
            </w:pPr>
            <w:r w:rsidRPr="001A495B">
              <w:rPr>
                <w:rFonts w:hint="eastAsia"/>
                <w:color w:val="000000" w:themeColor="text1"/>
              </w:rPr>
              <w:t>(委員謝衣鳯等</w:t>
            </w:r>
            <w:r w:rsidRPr="001A495B">
              <w:rPr>
                <w:color w:val="000000" w:themeColor="text1"/>
              </w:rPr>
              <w:t>16</w:t>
            </w:r>
            <w:r w:rsidRPr="001A495B">
              <w:rPr>
                <w:rFonts w:hint="eastAsia"/>
                <w:color w:val="000000" w:themeColor="text1"/>
              </w:rPr>
              <w:t>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10-6-2</w:t>
            </w:r>
          </w:p>
          <w:p w:rsidR="001A495B" w:rsidRPr="001A495B" w:rsidRDefault="001A495B" w:rsidP="00F70E7C">
            <w:pPr>
              <w:pStyle w:val="0-"/>
              <w:rPr>
                <w:color w:val="000000" w:themeColor="text1"/>
              </w:rPr>
            </w:pPr>
            <w:r w:rsidRPr="001A495B">
              <w:rPr>
                <w:color w:val="000000" w:themeColor="text1"/>
              </w:rPr>
              <w:t>(111.9.30)</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增訂特殊教育學生再申訴機制，以完備特殊教育學生權益救濟制度。(1條)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特殊教育法第二十一條條文修正草案</w:t>
            </w:r>
          </w:p>
          <w:p w:rsidR="001A495B" w:rsidRPr="001A495B" w:rsidRDefault="001A495B" w:rsidP="001A495B">
            <w:pPr>
              <w:pStyle w:val="0-"/>
              <w:rPr>
                <w:color w:val="000000" w:themeColor="text1"/>
              </w:rPr>
            </w:pPr>
            <w:r w:rsidRPr="001A495B">
              <w:rPr>
                <w:rFonts w:hint="eastAsia"/>
                <w:color w:val="000000" w:themeColor="text1"/>
              </w:rPr>
              <w:t>(委員陳秀寳等</w:t>
            </w:r>
            <w:r w:rsidRPr="001A495B">
              <w:rPr>
                <w:color w:val="000000" w:themeColor="text1"/>
              </w:rPr>
              <w:t>24</w:t>
            </w:r>
            <w:r w:rsidRPr="001A495B">
              <w:rPr>
                <w:rFonts w:hint="eastAsia"/>
                <w:color w:val="000000" w:themeColor="text1"/>
              </w:rPr>
              <w:t>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10-6-4</w:t>
            </w:r>
          </w:p>
          <w:p w:rsidR="001A495B" w:rsidRPr="001A495B" w:rsidRDefault="001A495B" w:rsidP="00F70E7C">
            <w:pPr>
              <w:pStyle w:val="0-"/>
              <w:rPr>
                <w:color w:val="000000" w:themeColor="text1"/>
              </w:rPr>
            </w:pPr>
            <w:r w:rsidRPr="001A495B">
              <w:rPr>
                <w:color w:val="000000" w:themeColor="text1"/>
              </w:rPr>
              <w:t>(111.10.14)</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參酌高級中等教育法之規定，增訂不服</w:t>
            </w:r>
            <w:r w:rsidRPr="001A495B">
              <w:rPr>
                <w:rFonts w:hint="eastAsia"/>
                <w:color w:val="000000" w:themeColor="text1"/>
              </w:rPr>
              <w:lastRenderedPageBreak/>
              <w:t>學校申訴決定得向各該主管機關提出再申訴之救濟措施。(1條)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特殊教育法第九條條文修正草案</w:t>
            </w:r>
          </w:p>
          <w:p w:rsidR="001A495B" w:rsidRPr="001A495B" w:rsidRDefault="001A495B" w:rsidP="001A495B">
            <w:pPr>
              <w:pStyle w:val="0-"/>
              <w:rPr>
                <w:color w:val="000000" w:themeColor="text1"/>
              </w:rPr>
            </w:pPr>
            <w:r w:rsidRPr="001A495B">
              <w:rPr>
                <w:color w:val="000000" w:themeColor="text1"/>
              </w:rPr>
              <w:t>(</w:t>
            </w:r>
            <w:r w:rsidRPr="001A495B">
              <w:rPr>
                <w:rFonts w:hint="eastAsia"/>
                <w:color w:val="000000" w:themeColor="text1"/>
              </w:rPr>
              <w:t>委員楊瓊瓔等17人</w:t>
            </w:r>
            <w:r w:rsidRPr="001A495B">
              <w:rPr>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10-6-4</w:t>
            </w:r>
          </w:p>
          <w:p w:rsidR="001A495B" w:rsidRPr="001A495B" w:rsidRDefault="001A495B" w:rsidP="00F70E7C">
            <w:pPr>
              <w:pStyle w:val="0-"/>
              <w:rPr>
                <w:color w:val="000000" w:themeColor="text1"/>
              </w:rPr>
            </w:pPr>
            <w:r w:rsidRPr="001A495B">
              <w:rPr>
                <w:color w:val="000000" w:themeColor="text1"/>
              </w:rPr>
              <w:t>(111.10.14)</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為保障特殊教育學生之權益並提升其教育品質，提高中央及地方政府編列特殊教育預算比率。(1條)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特殊教育法第二十一條條文修正草案</w:t>
            </w:r>
          </w:p>
          <w:p w:rsidR="001A495B" w:rsidRPr="001A495B" w:rsidRDefault="001A495B" w:rsidP="001A495B">
            <w:pPr>
              <w:pStyle w:val="0-"/>
              <w:rPr>
                <w:color w:val="000000" w:themeColor="text1"/>
              </w:rPr>
            </w:pPr>
            <w:r w:rsidRPr="001A495B">
              <w:rPr>
                <w:rFonts w:hint="eastAsia"/>
                <w:color w:val="000000" w:themeColor="text1"/>
              </w:rPr>
              <w:t>(委員林宜瑾等16人</w:t>
            </w:r>
            <w:r w:rsidRPr="001A495B">
              <w:rPr>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10-6-11</w:t>
            </w:r>
          </w:p>
          <w:p w:rsidR="001A495B" w:rsidRPr="001A495B" w:rsidRDefault="001A495B" w:rsidP="00F70E7C">
            <w:pPr>
              <w:pStyle w:val="0-"/>
              <w:rPr>
                <w:color w:val="000000" w:themeColor="text1"/>
              </w:rPr>
            </w:pPr>
            <w:r w:rsidRPr="001A495B">
              <w:rPr>
                <w:color w:val="000000" w:themeColor="text1"/>
              </w:rPr>
              <w:t>(111.12.9)</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為完備本法之救濟管道，並使特殊教育學生同受相當之保障。(1條)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特殊教育法部分條文修正草案</w:t>
            </w:r>
          </w:p>
          <w:p w:rsidR="001A495B" w:rsidRPr="001A495B" w:rsidRDefault="001A495B" w:rsidP="001A495B">
            <w:pPr>
              <w:pStyle w:val="0-"/>
              <w:rPr>
                <w:color w:val="000000" w:themeColor="text1"/>
              </w:rPr>
            </w:pPr>
            <w:r w:rsidRPr="001A495B">
              <w:rPr>
                <w:rFonts w:hint="eastAsia"/>
                <w:color w:val="000000" w:themeColor="text1"/>
              </w:rPr>
              <w:t>(時代力量黨團)</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10-6-1</w:t>
            </w:r>
            <w:r w:rsidRPr="001A495B">
              <w:rPr>
                <w:rFonts w:hint="eastAsia"/>
                <w:color w:val="000000" w:themeColor="text1"/>
              </w:rPr>
              <w:t>2</w:t>
            </w:r>
          </w:p>
          <w:p w:rsidR="001A495B" w:rsidRPr="001A495B" w:rsidRDefault="001A495B" w:rsidP="00F70E7C">
            <w:pPr>
              <w:pStyle w:val="0-"/>
              <w:rPr>
                <w:color w:val="000000" w:themeColor="text1"/>
              </w:rPr>
            </w:pPr>
            <w:r w:rsidRPr="001A495B">
              <w:rPr>
                <w:color w:val="000000" w:themeColor="text1"/>
              </w:rPr>
              <w:t>(111.12.</w:t>
            </w:r>
            <w:r w:rsidRPr="001A495B">
              <w:rPr>
                <w:rFonts w:hint="eastAsia"/>
                <w:color w:val="000000" w:themeColor="text1"/>
              </w:rPr>
              <w:t>16</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為保障特殊教育學生之表意權及有效參與教育之機會。(7條)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特殊教育法第二十一條條文修正草案</w:t>
            </w:r>
          </w:p>
          <w:p w:rsidR="001A495B" w:rsidRPr="001A495B" w:rsidRDefault="001A495B" w:rsidP="001A495B">
            <w:pPr>
              <w:pStyle w:val="0-"/>
              <w:rPr>
                <w:color w:val="000000" w:themeColor="text1"/>
              </w:rPr>
            </w:pPr>
            <w:r w:rsidRPr="001A495B">
              <w:rPr>
                <w:rFonts w:hint="eastAsia"/>
                <w:color w:val="000000" w:themeColor="text1"/>
              </w:rPr>
              <w:t>(委員賴品妤等17人)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10-6-1</w:t>
            </w:r>
            <w:r w:rsidRPr="001A495B">
              <w:rPr>
                <w:rFonts w:hint="eastAsia"/>
                <w:color w:val="000000" w:themeColor="text1"/>
              </w:rPr>
              <w:t>3</w:t>
            </w:r>
          </w:p>
          <w:p w:rsidR="001A495B" w:rsidRPr="001A495B" w:rsidRDefault="001A495B" w:rsidP="00F70E7C">
            <w:pPr>
              <w:pStyle w:val="0-"/>
              <w:rPr>
                <w:color w:val="000000" w:themeColor="text1"/>
              </w:rPr>
            </w:pPr>
            <w:r w:rsidRPr="001A495B">
              <w:rPr>
                <w:color w:val="000000" w:themeColor="text1"/>
              </w:rPr>
              <w:t>(111.12.</w:t>
            </w:r>
            <w:r w:rsidRPr="001A495B">
              <w:rPr>
                <w:rFonts w:hint="eastAsia"/>
                <w:color w:val="000000" w:themeColor="text1"/>
              </w:rPr>
              <w:t>23</w:t>
            </w:r>
            <w:r w:rsidRPr="001A495B">
              <w:rPr>
                <w:color w:val="000000" w:themeColor="text1"/>
              </w:rPr>
              <w:t>)</w:t>
            </w:r>
          </w:p>
          <w:p w:rsidR="001A495B" w:rsidRPr="001A495B" w:rsidRDefault="001A495B" w:rsidP="00F70E7C">
            <w:pPr>
              <w:pStyle w:val="0-"/>
              <w:rPr>
                <w:color w:val="000000" w:themeColor="text1"/>
              </w:rPr>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為保障特殊教育學生之權益，並使特殊教育體系之申訴管道與一般教育體系受相同保障。(1條)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教育基本法第三條及第十二條之一條文修正草案」</w:t>
            </w:r>
          </w:p>
          <w:p w:rsidR="001A495B" w:rsidRPr="001A495B" w:rsidRDefault="001A495B" w:rsidP="001A495B">
            <w:pPr>
              <w:pStyle w:val="0-"/>
              <w:rPr>
                <w:color w:val="000000" w:themeColor="text1"/>
              </w:rPr>
            </w:pPr>
            <w:r w:rsidRPr="001A495B">
              <w:rPr>
                <w:rFonts w:hint="eastAsia"/>
                <w:color w:val="000000" w:themeColor="text1"/>
              </w:rPr>
              <w:t>(民眾黨黨團)</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10-1-</w:t>
            </w:r>
            <w:r w:rsidRPr="001A495B">
              <w:rPr>
                <w:rFonts w:hint="eastAsia"/>
                <w:color w:val="000000" w:themeColor="text1"/>
              </w:rPr>
              <w:t>7</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.4.7</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為加強現代化教育，國家應加強推動教育與產業鏈連</w:t>
            </w:r>
            <w:r w:rsidRPr="001A495B">
              <w:rPr>
                <w:rFonts w:hint="eastAsia"/>
                <w:color w:val="000000" w:themeColor="text1"/>
              </w:rPr>
              <w:lastRenderedPageBreak/>
              <w:t>結，以培養國家優秀人才。(2條)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教育基本法第二條條文修正草案</w:t>
            </w:r>
          </w:p>
          <w:p w:rsidR="001A495B" w:rsidRPr="001A495B" w:rsidRDefault="001A495B" w:rsidP="001A495B">
            <w:pPr>
              <w:pStyle w:val="0-"/>
              <w:rPr>
                <w:color w:val="000000" w:themeColor="text1"/>
              </w:rPr>
            </w:pPr>
            <w:r w:rsidRPr="001A495B">
              <w:rPr>
                <w:rFonts w:hint="eastAsia"/>
                <w:color w:val="000000" w:themeColor="text1"/>
              </w:rPr>
              <w:t>(委員吳思瑤等23人)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10-1-</w:t>
            </w:r>
            <w:r w:rsidRPr="001A495B">
              <w:rPr>
                <w:rFonts w:hint="eastAsia"/>
                <w:color w:val="000000" w:themeColor="text1"/>
              </w:rPr>
              <w:t>14</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.5.22</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為配合</w:t>
            </w:r>
            <w:r w:rsidRPr="001A495B">
              <w:rPr>
                <w:color w:val="000000" w:themeColor="text1"/>
              </w:rPr>
              <w:t>108</w:t>
            </w:r>
            <w:r w:rsidRPr="001A495B">
              <w:rPr>
                <w:rFonts w:hint="eastAsia"/>
                <w:color w:val="000000" w:themeColor="text1"/>
              </w:rPr>
              <w:t>新課綱核心素養具體內涵，培養人民新時代應具備之創新知能，提升藝術美感及設計思考能力，以利國家發展軟實力。(1條)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教育基本法第八條條文修正草案</w:t>
            </w:r>
          </w:p>
          <w:p w:rsidR="001A495B" w:rsidRPr="001A495B" w:rsidRDefault="001A495B" w:rsidP="001A495B">
            <w:pPr>
              <w:pStyle w:val="0-"/>
              <w:rPr>
                <w:color w:val="000000" w:themeColor="text1"/>
              </w:rPr>
            </w:pPr>
            <w:r w:rsidRPr="001A495B">
              <w:rPr>
                <w:rFonts w:hint="eastAsia"/>
                <w:color w:val="000000" w:themeColor="text1"/>
              </w:rPr>
              <w:t>(委員洪孟楷等18人)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w:t>
            </w:r>
            <w:r w:rsidRPr="001A495B">
              <w:rPr>
                <w:rFonts w:hint="eastAsia"/>
                <w:color w:val="000000" w:themeColor="text1"/>
              </w:rPr>
              <w:t>2</w:t>
            </w:r>
            <w:r w:rsidRPr="001A495B">
              <w:rPr>
                <w:color w:val="000000" w:themeColor="text1"/>
              </w:rPr>
              <w:t>-</w:t>
            </w:r>
            <w:r w:rsidRPr="001A495B">
              <w:rPr>
                <w:rFonts w:hint="eastAsia"/>
                <w:color w:val="000000" w:themeColor="text1"/>
              </w:rPr>
              <w:t>1</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.9.18</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修訂條文賦予國家應予保障，並使學生不受任何體罰及各類場域含數位網路平台之霸凌行為。</w:t>
            </w:r>
            <w:r w:rsidRPr="001A495B">
              <w:rPr>
                <w:rFonts w:hint="eastAsia"/>
                <w:color w:val="000000" w:themeColor="text1"/>
              </w:rPr>
              <w:t>(1條)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教育基本法第五條條文修正草案</w:t>
            </w:r>
          </w:p>
          <w:p w:rsidR="001A495B" w:rsidRPr="001A495B" w:rsidRDefault="001A495B" w:rsidP="001A495B">
            <w:pPr>
              <w:pStyle w:val="0-"/>
              <w:rPr>
                <w:color w:val="000000" w:themeColor="text1"/>
              </w:rPr>
            </w:pPr>
            <w:r w:rsidRPr="001A495B">
              <w:rPr>
                <w:rFonts w:hint="eastAsia"/>
                <w:color w:val="000000" w:themeColor="text1"/>
              </w:rPr>
              <w:t>(</w:t>
            </w:r>
            <w:r w:rsidRPr="00F70E7C">
              <w:rPr>
                <w:rFonts w:hint="eastAsia"/>
                <w:color w:val="000000" w:themeColor="text1"/>
                <w:spacing w:val="-20"/>
              </w:rPr>
              <w:t>委員鄭天財Sra Kacaw等19人</w:t>
            </w:r>
            <w:r w:rsidRPr="001A495B">
              <w:rPr>
                <w:rFonts w:hint="eastAsia"/>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w:t>
            </w:r>
            <w:r w:rsidRPr="001A495B">
              <w:rPr>
                <w:rFonts w:hint="eastAsia"/>
                <w:color w:val="000000" w:themeColor="text1"/>
              </w:rPr>
              <w:t>2</w:t>
            </w:r>
            <w:r w:rsidRPr="001A495B">
              <w:rPr>
                <w:color w:val="000000" w:themeColor="text1"/>
              </w:rPr>
              <w:t>-</w:t>
            </w:r>
            <w:r w:rsidRPr="001A495B">
              <w:rPr>
                <w:rFonts w:hint="eastAsia"/>
                <w:color w:val="000000" w:themeColor="text1"/>
              </w:rPr>
              <w:t>4</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.10.23</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現行教育基本法第五條第二項之規定，並未將原住民及離島地區，列入各級政府優先補助教育經費之範圍，並未符合憲法增修條文第十條之規範。</w:t>
            </w:r>
            <w:r w:rsidRPr="001A495B">
              <w:rPr>
                <w:rFonts w:hint="eastAsia"/>
                <w:color w:val="000000" w:themeColor="text1"/>
              </w:rPr>
              <w:t>(1條)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教育基本法第八條條文修正草案</w:t>
            </w:r>
          </w:p>
          <w:p w:rsidR="001A495B" w:rsidRPr="001A495B" w:rsidRDefault="001A495B" w:rsidP="001A495B">
            <w:pPr>
              <w:pStyle w:val="0-"/>
              <w:rPr>
                <w:color w:val="000000" w:themeColor="text1"/>
              </w:rPr>
            </w:pPr>
            <w:r w:rsidRPr="001A495B">
              <w:rPr>
                <w:rFonts w:hint="eastAsia"/>
                <w:color w:val="000000" w:themeColor="text1"/>
              </w:rPr>
              <w:lastRenderedPageBreak/>
              <w:t>(委員陳秀寳等</w:t>
            </w:r>
            <w:r w:rsidRPr="001A495B">
              <w:rPr>
                <w:color w:val="000000" w:themeColor="text1"/>
              </w:rPr>
              <w:t>17</w:t>
            </w:r>
            <w:r w:rsidRPr="001A495B">
              <w:rPr>
                <w:rFonts w:hint="eastAsia"/>
                <w:color w:val="000000" w:themeColor="text1"/>
              </w:rPr>
              <w:t>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lastRenderedPageBreak/>
              <w:t>10-3-9 (110.4.23)</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有鑑於現行法制欠缺法律明</w:t>
            </w:r>
            <w:r w:rsidRPr="001A495B">
              <w:rPr>
                <w:rFonts w:hint="eastAsia"/>
                <w:color w:val="000000" w:themeColor="text1"/>
              </w:rPr>
              <w:lastRenderedPageBreak/>
              <w:t>確授權訂定有關學生服儀管理之準則，為積極保障學生身體自主及人格發展自由。(1條)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教育基本法第五條條文修正草案</w:t>
            </w:r>
          </w:p>
          <w:p w:rsidR="001A495B" w:rsidRPr="001A495B" w:rsidRDefault="001A495B" w:rsidP="001A495B">
            <w:pPr>
              <w:pStyle w:val="0-"/>
              <w:rPr>
                <w:color w:val="000000" w:themeColor="text1"/>
              </w:rPr>
            </w:pPr>
            <w:r w:rsidRPr="001A495B">
              <w:rPr>
                <w:rFonts w:hint="eastAsia"/>
                <w:color w:val="000000" w:themeColor="text1"/>
              </w:rPr>
              <w:t>(委員孔文吉等17人)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10-4-9 (110.11.12)</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真正弭平長年來都會區與原鄉地區間教育經費與其相關資源上的顯著落差。(1條)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教育基本法第二條條文修正草案</w:t>
            </w:r>
          </w:p>
          <w:p w:rsidR="001A495B" w:rsidRPr="001A495B" w:rsidRDefault="001A495B" w:rsidP="001A495B">
            <w:pPr>
              <w:pStyle w:val="0-"/>
              <w:rPr>
                <w:color w:val="000000" w:themeColor="text1"/>
              </w:rPr>
            </w:pPr>
            <w:r w:rsidRPr="001A495B">
              <w:rPr>
                <w:rFonts w:hint="eastAsia"/>
                <w:color w:val="000000" w:themeColor="text1"/>
              </w:rPr>
              <w:t>(委員萬美玲等19人</w:t>
            </w:r>
            <w:r w:rsidRPr="001A495B">
              <w:rPr>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10-5-6</w:t>
            </w:r>
          </w:p>
          <w:p w:rsidR="001A495B" w:rsidRPr="001A495B" w:rsidRDefault="001A495B" w:rsidP="00F70E7C">
            <w:pPr>
              <w:pStyle w:val="0-"/>
              <w:rPr>
                <w:color w:val="000000" w:themeColor="text1"/>
              </w:rPr>
            </w:pPr>
            <w:r w:rsidRPr="001A495B">
              <w:rPr>
                <w:color w:val="000000" w:themeColor="text1"/>
              </w:rPr>
              <w:t>(111.4.1)</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我國教育體制之根本大法，卻未將「美育」載入規範，不符五育均衡發展之教育理念。(1條)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教育基本法第四條條文修正草案</w:t>
            </w:r>
          </w:p>
          <w:p w:rsidR="001A495B" w:rsidRPr="001A495B" w:rsidRDefault="001A495B" w:rsidP="001A495B">
            <w:pPr>
              <w:pStyle w:val="0-"/>
              <w:rPr>
                <w:color w:val="000000" w:themeColor="text1"/>
              </w:rPr>
            </w:pPr>
            <w:r w:rsidRPr="001A495B">
              <w:rPr>
                <w:rFonts w:hint="eastAsia"/>
                <w:color w:val="000000" w:themeColor="text1"/>
              </w:rPr>
              <w:t>(委員萬美玲等18人)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10-5-7</w:t>
            </w:r>
          </w:p>
          <w:p w:rsidR="001A495B" w:rsidRPr="001A495B" w:rsidRDefault="001A495B" w:rsidP="00F70E7C">
            <w:pPr>
              <w:pStyle w:val="0-"/>
              <w:rPr>
                <w:color w:val="000000" w:themeColor="text1"/>
              </w:rPr>
            </w:pPr>
            <w:r w:rsidRPr="001A495B">
              <w:rPr>
                <w:color w:val="000000" w:themeColor="text1"/>
              </w:rPr>
              <w:t>(111.4.8)</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使其於臺灣社會得以教養兒女並增進親職教養能力，落實多元文化學習及循序漸進的學習效果。(1條)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高級中等教育法第五十六條條文修正草案</w:t>
            </w:r>
          </w:p>
          <w:p w:rsidR="001A495B" w:rsidRPr="001A495B" w:rsidRDefault="001A495B" w:rsidP="001A495B">
            <w:pPr>
              <w:pStyle w:val="0-"/>
              <w:rPr>
                <w:color w:val="000000" w:themeColor="text1"/>
              </w:rPr>
            </w:pPr>
            <w:r w:rsidRPr="001A495B">
              <w:rPr>
                <w:rFonts w:hint="eastAsia"/>
                <w:color w:val="000000" w:themeColor="text1"/>
              </w:rPr>
              <w:t>(國民黨黨團)</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10-2-</w:t>
            </w:r>
            <w:r w:rsidRPr="001A495B">
              <w:rPr>
                <w:rFonts w:hint="eastAsia"/>
                <w:color w:val="000000" w:themeColor="text1"/>
              </w:rPr>
              <w:t>4</w:t>
            </w:r>
          </w:p>
          <w:p w:rsidR="001A495B" w:rsidRPr="001A495B" w:rsidRDefault="001A495B" w:rsidP="00F70E7C">
            <w:pPr>
              <w:pStyle w:val="0-"/>
              <w:rPr>
                <w:color w:val="000000" w:themeColor="text1"/>
              </w:rPr>
            </w:pPr>
            <w:r w:rsidRPr="001A495B">
              <w:rPr>
                <w:color w:val="000000" w:themeColor="text1"/>
              </w:rPr>
              <w:t>(109.1</w:t>
            </w:r>
            <w:r w:rsidRPr="001A495B">
              <w:rPr>
                <w:rFonts w:hint="eastAsia"/>
                <w:color w:val="000000" w:themeColor="text1"/>
              </w:rPr>
              <w:t>0</w:t>
            </w:r>
            <w:r w:rsidRPr="001A495B">
              <w:rPr>
                <w:color w:val="000000" w:themeColor="text1"/>
              </w:rPr>
              <w:t>.2</w:t>
            </w:r>
            <w:r w:rsidRPr="001A495B">
              <w:rPr>
                <w:rFonts w:hint="eastAsia"/>
                <w:color w:val="000000" w:themeColor="text1"/>
              </w:rPr>
              <w:t>3</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0306DD" w:rsidP="000306DD">
            <w:pPr>
              <w:ind w:left="248" w:hangingChars="100" w:hanging="248"/>
              <w:jc w:val="both"/>
              <w:rPr>
                <w:rFonts w:ascii="標楷體" w:eastAsia="標楷體" w:hAnsi="標楷體"/>
                <w:color w:val="000000" w:themeColor="text1"/>
                <w:sz w:val="28"/>
                <w:szCs w:val="28"/>
              </w:rPr>
            </w:pPr>
            <w:r>
              <w:rPr>
                <w:rFonts w:ascii="標楷體" w:eastAsia="標楷體" w:hAnsi="標楷體" w:hint="eastAsia"/>
                <w:spacing w:val="4"/>
              </w:rPr>
              <w:t>1.</w:t>
            </w:r>
            <w:r w:rsidR="001A495B" w:rsidRPr="006C7FD7">
              <w:rPr>
                <w:rFonts w:ascii="標楷體" w:eastAsia="標楷體" w:hAnsi="標楷體" w:hint="eastAsia"/>
                <w:spacing w:val="4"/>
              </w:rPr>
              <w:t>第3會期第12次全體委員會議(110.4.15)決議:報告及詢答完畢，另定期繼續審查。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將高級中等學校各學年度學校學雜費及代收代付費(使用費)下之冷氣使用及維護</w:t>
            </w:r>
            <w:r w:rsidRPr="001A495B">
              <w:rPr>
                <w:rFonts w:hint="eastAsia"/>
                <w:color w:val="000000" w:themeColor="text1"/>
              </w:rPr>
              <w:lastRenderedPageBreak/>
              <w:t>費，應由中央教育主管機關編列預算全額支應，以保障學生學習之基本權益，減輕清寒學子家庭負擔。(1條)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高級中等教育法第六十條條文修正草案</w:t>
            </w:r>
          </w:p>
          <w:p w:rsidR="001A495B" w:rsidRPr="001A495B" w:rsidRDefault="001A495B" w:rsidP="001A495B">
            <w:pPr>
              <w:pStyle w:val="0-"/>
              <w:rPr>
                <w:color w:val="000000" w:themeColor="text1"/>
              </w:rPr>
            </w:pPr>
            <w:r w:rsidRPr="001A495B">
              <w:rPr>
                <w:rFonts w:hint="eastAsia"/>
                <w:color w:val="000000" w:themeColor="text1"/>
              </w:rPr>
              <w:t>(委員林奕華等18人)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10-4-2</w:t>
            </w:r>
          </w:p>
          <w:p w:rsidR="001A495B" w:rsidRPr="001A495B" w:rsidRDefault="001A495B" w:rsidP="00F70E7C">
            <w:pPr>
              <w:pStyle w:val="0-"/>
              <w:rPr>
                <w:color w:val="000000" w:themeColor="text1"/>
              </w:rPr>
            </w:pPr>
            <w:r w:rsidRPr="001A495B">
              <w:rPr>
                <w:color w:val="000000" w:themeColor="text1"/>
              </w:rPr>
              <w:t>(110.9.24)</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部分學校因考量聘用教師之時間、流程或少子女化等因素，以聘用代理教師權充人力，若長期下來恐影響高級中等學校推動十二年國教之穩健性。(1條)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高級中等教育法第三十二條條文修正草案</w:t>
            </w:r>
          </w:p>
          <w:p w:rsidR="001A495B" w:rsidRPr="001A495B" w:rsidRDefault="001A495B" w:rsidP="001A495B">
            <w:pPr>
              <w:pStyle w:val="0-"/>
              <w:rPr>
                <w:color w:val="000000" w:themeColor="text1"/>
              </w:rPr>
            </w:pPr>
            <w:r w:rsidRPr="001A495B">
              <w:rPr>
                <w:rFonts w:hint="eastAsia"/>
                <w:color w:val="000000" w:themeColor="text1"/>
              </w:rPr>
              <w:t>(委員林宜瑾等16人)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10-4-4</w:t>
            </w:r>
          </w:p>
          <w:p w:rsidR="001A495B" w:rsidRPr="001A495B" w:rsidRDefault="001A495B" w:rsidP="00F70E7C">
            <w:pPr>
              <w:pStyle w:val="0-"/>
              <w:rPr>
                <w:color w:val="000000" w:themeColor="text1"/>
              </w:rPr>
            </w:pPr>
            <w:r w:rsidRPr="001A495B">
              <w:rPr>
                <w:color w:val="000000" w:themeColor="text1"/>
              </w:rPr>
              <w:t>(110.10.8)</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為友善教師勞動環境及學生受教權。(1條)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高級中等教育法第三十二條條文修正草案</w:t>
            </w:r>
          </w:p>
          <w:p w:rsidR="001A495B" w:rsidRPr="001A495B" w:rsidRDefault="001A495B" w:rsidP="001A495B">
            <w:pPr>
              <w:pStyle w:val="0-"/>
              <w:rPr>
                <w:color w:val="000000" w:themeColor="text1"/>
              </w:rPr>
            </w:pPr>
            <w:r w:rsidRPr="001A495B">
              <w:rPr>
                <w:rFonts w:hint="eastAsia"/>
                <w:color w:val="000000" w:themeColor="text1"/>
              </w:rPr>
              <w:t>(委員范雲等16人)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10-4-15</w:t>
            </w:r>
          </w:p>
          <w:p w:rsidR="001A495B" w:rsidRPr="001A495B" w:rsidRDefault="001A495B" w:rsidP="00F70E7C">
            <w:pPr>
              <w:pStyle w:val="0-"/>
              <w:rPr>
                <w:color w:val="000000" w:themeColor="text1"/>
              </w:rPr>
            </w:pPr>
            <w:r w:rsidRPr="001A495B">
              <w:rPr>
                <w:color w:val="000000" w:themeColor="text1"/>
              </w:rPr>
              <w:t>(110.12.24)</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為友善教師勞動環境及學生受教權。(1條)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高級中等教育法第三十二條條文修正草案</w:t>
            </w:r>
          </w:p>
          <w:p w:rsidR="001A495B" w:rsidRPr="001A495B" w:rsidRDefault="001A495B" w:rsidP="001A495B">
            <w:pPr>
              <w:pStyle w:val="0-"/>
              <w:rPr>
                <w:color w:val="000000" w:themeColor="text1"/>
              </w:rPr>
            </w:pPr>
            <w:r w:rsidRPr="001A495B">
              <w:rPr>
                <w:rFonts w:hint="eastAsia"/>
                <w:color w:val="000000" w:themeColor="text1"/>
              </w:rPr>
              <w:t>(委員萬美玲等16人)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10-5-7</w:t>
            </w:r>
          </w:p>
          <w:p w:rsidR="001A495B" w:rsidRPr="001A495B" w:rsidRDefault="001A495B" w:rsidP="00F70E7C">
            <w:pPr>
              <w:pStyle w:val="0-"/>
              <w:rPr>
                <w:color w:val="000000" w:themeColor="text1"/>
              </w:rPr>
            </w:pPr>
            <w:r w:rsidRPr="001A495B">
              <w:rPr>
                <w:rFonts w:hint="eastAsia"/>
                <w:color w:val="000000" w:themeColor="text1"/>
              </w:rPr>
              <w:t>(111.4.8)</w:t>
            </w:r>
          </w:p>
          <w:p w:rsidR="001A495B" w:rsidRPr="001A495B" w:rsidRDefault="001A495B" w:rsidP="00F70E7C">
            <w:pPr>
              <w:pStyle w:val="0-"/>
              <w:rPr>
                <w:color w:val="000000" w:themeColor="text1"/>
              </w:rPr>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部分私校要求教師必須負擔教學以外的行政工作，諸多不公平之對待，對私校教師心力形同嚴</w:t>
            </w:r>
            <w:r w:rsidRPr="001A495B">
              <w:rPr>
                <w:rFonts w:hint="eastAsia"/>
                <w:color w:val="000000" w:themeColor="text1"/>
              </w:rPr>
              <w:lastRenderedPageBreak/>
              <w:t>重之剝削，更對教育品質造成負面影響，為維護私校教師權益。(1條)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高級中等教育法第三十二條條文修正草案</w:t>
            </w:r>
          </w:p>
          <w:p w:rsidR="001A495B" w:rsidRPr="001A495B" w:rsidRDefault="001A495B" w:rsidP="001A495B">
            <w:pPr>
              <w:pStyle w:val="0-"/>
              <w:rPr>
                <w:color w:val="000000" w:themeColor="text1"/>
              </w:rPr>
            </w:pPr>
            <w:r w:rsidRPr="001A495B">
              <w:rPr>
                <w:rFonts w:hint="eastAsia"/>
                <w:color w:val="000000" w:themeColor="text1"/>
              </w:rPr>
              <w:t>(委員賴品妤等16人)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10-5-12</w:t>
            </w:r>
          </w:p>
          <w:p w:rsidR="001A495B" w:rsidRPr="001A495B" w:rsidRDefault="001A495B" w:rsidP="00F70E7C">
            <w:pPr>
              <w:pStyle w:val="0-"/>
              <w:rPr>
                <w:color w:val="000000" w:themeColor="text1"/>
              </w:rPr>
            </w:pPr>
            <w:r w:rsidRPr="001A495B">
              <w:rPr>
                <w:color w:val="000000" w:themeColor="text1"/>
              </w:rPr>
              <w:t>(111.5.13)</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為提升教師勞動環境、改善學生受教權。(1條)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國民教育法修正草案</w:t>
            </w:r>
          </w:p>
          <w:p w:rsidR="001A495B" w:rsidRPr="001A495B" w:rsidRDefault="001A495B" w:rsidP="001A495B">
            <w:pPr>
              <w:pStyle w:val="0-"/>
              <w:rPr>
                <w:color w:val="000000" w:themeColor="text1"/>
              </w:rPr>
            </w:pPr>
            <w:r w:rsidRPr="001A495B">
              <w:rPr>
                <w:rFonts w:hint="eastAsia"/>
                <w:color w:val="000000" w:themeColor="text1"/>
              </w:rPr>
              <w:t>(行政院)</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10-5-1</w:t>
            </w:r>
            <w:r w:rsidRPr="001A495B">
              <w:rPr>
                <w:rFonts w:hint="eastAsia"/>
                <w:color w:val="000000" w:themeColor="text1"/>
              </w:rPr>
              <w:t>4</w:t>
            </w:r>
          </w:p>
          <w:p w:rsidR="001A495B" w:rsidRPr="001A495B" w:rsidRDefault="001A495B" w:rsidP="00F70E7C">
            <w:pPr>
              <w:pStyle w:val="0-"/>
              <w:rPr>
                <w:color w:val="000000" w:themeColor="text1"/>
              </w:rPr>
            </w:pPr>
            <w:r w:rsidRPr="001A495B">
              <w:rPr>
                <w:color w:val="000000" w:themeColor="text1"/>
              </w:rPr>
              <w:t>(111.5.</w:t>
            </w:r>
            <w:r w:rsidRPr="001A495B">
              <w:rPr>
                <w:rFonts w:hint="eastAsia"/>
                <w:color w:val="000000" w:themeColor="text1"/>
              </w:rPr>
              <w:t>27</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6C7FD7" w:rsidRDefault="001A495B" w:rsidP="006C7FD7">
            <w:pPr>
              <w:kinsoku w:val="0"/>
              <w:overflowPunct w:val="0"/>
              <w:autoSpaceDE w:val="0"/>
              <w:autoSpaceDN w:val="0"/>
              <w:ind w:left="240" w:hangingChars="100" w:hanging="240"/>
              <w:jc w:val="both"/>
              <w:rPr>
                <w:rFonts w:ascii="標楷體" w:eastAsia="標楷體" w:hAnsi="標楷體"/>
              </w:rPr>
            </w:pPr>
            <w:r w:rsidRPr="006C7FD7">
              <w:rPr>
                <w:rFonts w:ascii="標楷體" w:eastAsia="標楷體" w:hAnsi="標楷體" w:hint="eastAsia"/>
              </w:rPr>
              <w:t>1</w:t>
            </w:r>
            <w:r w:rsidRPr="006C7FD7">
              <w:rPr>
                <w:rFonts w:ascii="標楷體" w:eastAsia="標楷體" w:hAnsi="標楷體"/>
              </w:rPr>
              <w:t>.</w:t>
            </w:r>
            <w:r w:rsidRPr="006C7FD7">
              <w:rPr>
                <w:rFonts w:ascii="標楷體" w:eastAsia="標楷體" w:hAnsi="標楷體" w:hint="eastAsia"/>
              </w:rPr>
              <w:t>第</w:t>
            </w:r>
            <w:r w:rsidRPr="006C7FD7">
              <w:rPr>
                <w:rFonts w:ascii="標楷體" w:eastAsia="標楷體" w:hAnsi="標楷體"/>
              </w:rPr>
              <w:t>6</w:t>
            </w:r>
            <w:r w:rsidRPr="006C7FD7">
              <w:rPr>
                <w:rFonts w:ascii="標楷體" w:eastAsia="標楷體" w:hAnsi="標楷體" w:hint="eastAsia"/>
              </w:rPr>
              <w:t>會期第1</w:t>
            </w:r>
            <w:r w:rsidRPr="006C7FD7">
              <w:rPr>
                <w:rFonts w:ascii="標楷體" w:eastAsia="標楷體" w:hAnsi="標楷體"/>
              </w:rPr>
              <w:t>2</w:t>
            </w:r>
            <w:r w:rsidRPr="006C7FD7">
              <w:rPr>
                <w:rFonts w:ascii="標楷體" w:eastAsia="標楷體" w:hAnsi="標楷體" w:hint="eastAsia"/>
              </w:rPr>
              <w:t>次全體委員會議</w:t>
            </w:r>
            <w:r w:rsidRPr="000306DD">
              <w:rPr>
                <w:rFonts w:ascii="標楷體" w:eastAsia="標楷體" w:hAnsi="標楷體" w:hint="eastAsia"/>
                <w:spacing w:val="-10"/>
              </w:rPr>
              <w:t>(11</w:t>
            </w:r>
            <w:r w:rsidRPr="000306DD">
              <w:rPr>
                <w:rFonts w:ascii="標楷體" w:eastAsia="標楷體" w:hAnsi="標楷體"/>
                <w:spacing w:val="-10"/>
              </w:rPr>
              <w:t>1</w:t>
            </w:r>
            <w:r w:rsidRPr="000306DD">
              <w:rPr>
                <w:rFonts w:ascii="標楷體" w:eastAsia="標楷體" w:hAnsi="標楷體" w:hint="eastAsia"/>
                <w:spacing w:val="-10"/>
              </w:rPr>
              <w:t>.</w:t>
            </w:r>
            <w:r w:rsidRPr="000306DD">
              <w:rPr>
                <w:rFonts w:ascii="標楷體" w:eastAsia="標楷體" w:hAnsi="標楷體"/>
                <w:spacing w:val="-10"/>
              </w:rPr>
              <w:t>12</w:t>
            </w:r>
            <w:r w:rsidRPr="000306DD">
              <w:rPr>
                <w:rFonts w:ascii="標楷體" w:eastAsia="標楷體" w:hAnsi="標楷體" w:hint="eastAsia"/>
                <w:spacing w:val="-10"/>
              </w:rPr>
              <w:t>.</w:t>
            </w:r>
            <w:r w:rsidRPr="000306DD">
              <w:rPr>
                <w:rFonts w:ascii="標楷體" w:eastAsia="標楷體" w:hAnsi="標楷體"/>
                <w:spacing w:val="-10"/>
              </w:rPr>
              <w:t>1</w:t>
            </w:r>
            <w:r w:rsidRPr="000306DD">
              <w:rPr>
                <w:rFonts w:ascii="標楷體" w:eastAsia="標楷體" w:hAnsi="標楷體" w:hint="eastAsia"/>
                <w:spacing w:val="-10"/>
              </w:rPr>
              <w:t>)決議:</w:t>
            </w:r>
            <w:r w:rsidRPr="006C7FD7">
              <w:rPr>
                <w:rFonts w:ascii="標楷體" w:eastAsia="標楷體" w:hAnsi="標楷體" w:hint="eastAsia"/>
              </w:rPr>
              <w:t>報告及詢答完畢，另定期繼續審查。</w:t>
            </w:r>
          </w:p>
          <w:p w:rsidR="001A495B" w:rsidRPr="001A495B" w:rsidRDefault="001A495B" w:rsidP="001A495B">
            <w:pPr>
              <w:spacing w:line="400" w:lineRule="exact"/>
              <w:jc w:val="both"/>
              <w:rPr>
                <w:rFonts w:ascii="標楷體" w:eastAsia="標楷體" w:hAnsi="標楷體"/>
                <w:color w:val="000000" w:themeColor="text1"/>
                <w:sz w:val="28"/>
                <w:szCs w:val="28"/>
              </w:rPr>
            </w:pP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須增訂相關國民補習教育之規定，故有必要予以修正，以因應國民教育發展需求。(61條)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國民教育法第八條之一條文修正草案</w:t>
            </w:r>
          </w:p>
          <w:p w:rsidR="001A495B" w:rsidRPr="001A495B" w:rsidRDefault="001A495B" w:rsidP="001A495B">
            <w:pPr>
              <w:pStyle w:val="0-"/>
              <w:rPr>
                <w:color w:val="000000" w:themeColor="text1"/>
              </w:rPr>
            </w:pPr>
            <w:r w:rsidRPr="001A495B">
              <w:rPr>
                <w:rFonts w:hint="eastAsia"/>
                <w:color w:val="000000" w:themeColor="text1"/>
              </w:rPr>
              <w:t>(國民黨黨團)</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w:t>
            </w:r>
            <w:r w:rsidRPr="001A495B">
              <w:rPr>
                <w:rFonts w:hint="eastAsia"/>
                <w:color w:val="000000" w:themeColor="text1"/>
              </w:rPr>
              <w:t>2</w:t>
            </w:r>
            <w:r w:rsidRPr="001A495B">
              <w:rPr>
                <w:color w:val="000000" w:themeColor="text1"/>
              </w:rPr>
              <w:t>-</w:t>
            </w:r>
            <w:r w:rsidRPr="001A495B">
              <w:rPr>
                <w:rFonts w:hint="eastAsia"/>
                <w:color w:val="000000" w:themeColor="text1"/>
              </w:rPr>
              <w:t>4</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.10.23</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6C7FD7" w:rsidRDefault="001A495B" w:rsidP="006C7FD7">
            <w:pPr>
              <w:kinsoku w:val="0"/>
              <w:overflowPunct w:val="0"/>
              <w:autoSpaceDE w:val="0"/>
              <w:autoSpaceDN w:val="0"/>
              <w:ind w:left="240" w:hangingChars="100" w:hanging="240"/>
              <w:jc w:val="both"/>
              <w:rPr>
                <w:rFonts w:ascii="標楷體" w:eastAsia="標楷體" w:hAnsi="標楷體"/>
              </w:rPr>
            </w:pPr>
            <w:r w:rsidRPr="006C7FD7">
              <w:rPr>
                <w:rFonts w:ascii="標楷體" w:eastAsia="標楷體" w:hAnsi="標楷體" w:hint="eastAsia"/>
              </w:rPr>
              <w:t>1</w:t>
            </w:r>
            <w:r w:rsidRPr="006C7FD7">
              <w:rPr>
                <w:rFonts w:ascii="標楷體" w:eastAsia="標楷體" w:hAnsi="標楷體"/>
              </w:rPr>
              <w:t>.</w:t>
            </w:r>
            <w:r w:rsidRPr="006C7FD7">
              <w:rPr>
                <w:rFonts w:ascii="標楷體" w:eastAsia="標楷體" w:hAnsi="標楷體" w:hint="eastAsia"/>
              </w:rPr>
              <w:t>第3會期第19次全體委員會議</w:t>
            </w:r>
            <w:r w:rsidRPr="000306DD">
              <w:rPr>
                <w:rFonts w:ascii="標楷體" w:eastAsia="標楷體" w:hAnsi="標楷體" w:hint="eastAsia"/>
                <w:spacing w:val="-10"/>
              </w:rPr>
              <w:t>(110.5.12)決議:</w:t>
            </w:r>
            <w:r w:rsidRPr="006C7FD7">
              <w:rPr>
                <w:rFonts w:ascii="標楷體" w:eastAsia="標楷體" w:hAnsi="標楷體" w:hint="eastAsia"/>
              </w:rPr>
              <w:t>報告及詢答完畢，另定期繼續審查。</w:t>
            </w:r>
          </w:p>
          <w:p w:rsidR="001A495B" w:rsidRPr="001A495B" w:rsidRDefault="001A495B" w:rsidP="006C7FD7">
            <w:pPr>
              <w:kinsoku w:val="0"/>
              <w:overflowPunct w:val="0"/>
              <w:autoSpaceDE w:val="0"/>
              <w:autoSpaceDN w:val="0"/>
              <w:ind w:left="240" w:hangingChars="100" w:hanging="240"/>
              <w:jc w:val="both"/>
              <w:rPr>
                <w:rFonts w:ascii="標楷體" w:eastAsia="標楷體" w:hAnsi="標楷體"/>
                <w:color w:val="000000" w:themeColor="text1"/>
                <w:sz w:val="28"/>
                <w:szCs w:val="28"/>
              </w:rPr>
            </w:pPr>
            <w:r w:rsidRPr="006C7FD7">
              <w:rPr>
                <w:rFonts w:ascii="標楷體" w:eastAsia="標楷體" w:hAnsi="標楷體" w:hint="eastAsia"/>
              </w:rPr>
              <w:t>2</w:t>
            </w:r>
            <w:r w:rsidRPr="006C7FD7">
              <w:rPr>
                <w:rFonts w:ascii="標楷體" w:eastAsia="標楷體" w:hAnsi="標楷體"/>
              </w:rPr>
              <w:t>.</w:t>
            </w:r>
            <w:r w:rsidRPr="006C7FD7">
              <w:rPr>
                <w:rFonts w:ascii="標楷體" w:eastAsia="標楷體" w:hAnsi="標楷體" w:hint="eastAsia"/>
              </w:rPr>
              <w:t>第</w:t>
            </w:r>
            <w:r w:rsidRPr="006C7FD7">
              <w:rPr>
                <w:rFonts w:ascii="標楷體" w:eastAsia="標楷體" w:hAnsi="標楷體"/>
              </w:rPr>
              <w:t>5</w:t>
            </w:r>
            <w:r w:rsidRPr="006C7FD7">
              <w:rPr>
                <w:rFonts w:ascii="標楷體" w:eastAsia="標楷體" w:hAnsi="標楷體" w:hint="eastAsia"/>
              </w:rPr>
              <w:t>會期第8次全體委員會議</w:t>
            </w:r>
            <w:r w:rsidRPr="000306DD">
              <w:rPr>
                <w:rFonts w:ascii="標楷體" w:eastAsia="標楷體" w:hAnsi="標楷體" w:hint="eastAsia"/>
                <w:spacing w:val="-10"/>
              </w:rPr>
              <w:t>(11</w:t>
            </w:r>
            <w:r w:rsidRPr="000306DD">
              <w:rPr>
                <w:rFonts w:ascii="標楷體" w:eastAsia="標楷體" w:hAnsi="標楷體"/>
                <w:spacing w:val="-10"/>
              </w:rPr>
              <w:t>1</w:t>
            </w:r>
            <w:r w:rsidRPr="000306DD">
              <w:rPr>
                <w:rFonts w:ascii="標楷體" w:eastAsia="標楷體" w:hAnsi="標楷體" w:hint="eastAsia"/>
                <w:spacing w:val="-10"/>
              </w:rPr>
              <w:t>.</w:t>
            </w:r>
            <w:r w:rsidRPr="000306DD">
              <w:rPr>
                <w:rFonts w:ascii="標楷體" w:eastAsia="標楷體" w:hAnsi="標楷體"/>
                <w:spacing w:val="-10"/>
              </w:rPr>
              <w:t>4</w:t>
            </w:r>
            <w:r w:rsidRPr="000306DD">
              <w:rPr>
                <w:rFonts w:ascii="標楷體" w:eastAsia="標楷體" w:hAnsi="標楷體" w:hint="eastAsia"/>
                <w:spacing w:val="-10"/>
              </w:rPr>
              <w:t>.1</w:t>
            </w:r>
            <w:r w:rsidRPr="000306DD">
              <w:rPr>
                <w:rFonts w:ascii="標楷體" w:eastAsia="標楷體" w:hAnsi="標楷體"/>
                <w:spacing w:val="-10"/>
              </w:rPr>
              <w:t>1</w:t>
            </w:r>
            <w:r w:rsidRPr="000306DD">
              <w:rPr>
                <w:rFonts w:ascii="標楷體" w:eastAsia="標楷體" w:hAnsi="標楷體" w:hint="eastAsia"/>
                <w:spacing w:val="-10"/>
              </w:rPr>
              <w:t>)決議:</w:t>
            </w:r>
            <w:r w:rsidRPr="006C7FD7">
              <w:rPr>
                <w:rFonts w:ascii="標楷體" w:eastAsia="標楷體" w:hAnsi="標楷體" w:hint="eastAsia"/>
              </w:rPr>
              <w:t>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將冷氣設備、電力系統項目增列為必要教學設備，所需相關經費包括電費、維修、保養費等由中央政府編列預算支應，以保障學生學習之基本權益 ，符合實際教學之需求。</w:t>
            </w:r>
            <w:r w:rsidRPr="001A495B">
              <w:rPr>
                <w:rFonts w:hint="eastAsia"/>
                <w:color w:val="000000" w:themeColor="text1"/>
              </w:rPr>
              <w:t>(1條)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國民教育法第七條之一條文修正草案</w:t>
            </w:r>
          </w:p>
          <w:p w:rsidR="001A495B" w:rsidRPr="001A495B" w:rsidRDefault="001A495B" w:rsidP="001A495B">
            <w:pPr>
              <w:pStyle w:val="0-"/>
              <w:rPr>
                <w:color w:val="000000" w:themeColor="text1"/>
              </w:rPr>
            </w:pPr>
            <w:r w:rsidRPr="001A495B">
              <w:rPr>
                <w:rFonts w:hint="eastAsia"/>
                <w:color w:val="000000" w:themeColor="text1"/>
              </w:rPr>
              <w:t>(委員李昆澤等21人)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w:t>
            </w:r>
            <w:r w:rsidRPr="001A495B">
              <w:rPr>
                <w:rFonts w:hint="eastAsia"/>
                <w:color w:val="000000" w:themeColor="text1"/>
              </w:rPr>
              <w:t>2</w:t>
            </w:r>
            <w:r w:rsidRPr="001A495B">
              <w:rPr>
                <w:color w:val="000000" w:themeColor="text1"/>
              </w:rPr>
              <w:t>-</w:t>
            </w:r>
            <w:r w:rsidRPr="001A495B">
              <w:rPr>
                <w:rFonts w:hint="eastAsia"/>
                <w:color w:val="000000" w:themeColor="text1"/>
              </w:rPr>
              <w:t>6</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.12.4</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6C7FD7" w:rsidRDefault="001A495B" w:rsidP="006C7FD7">
            <w:pPr>
              <w:kinsoku w:val="0"/>
              <w:overflowPunct w:val="0"/>
              <w:autoSpaceDE w:val="0"/>
              <w:autoSpaceDN w:val="0"/>
              <w:ind w:left="240" w:hangingChars="100" w:hanging="240"/>
              <w:jc w:val="both"/>
              <w:rPr>
                <w:rFonts w:ascii="標楷體" w:eastAsia="標楷體" w:hAnsi="標楷體"/>
              </w:rPr>
            </w:pPr>
            <w:r w:rsidRPr="006C7FD7">
              <w:rPr>
                <w:rFonts w:ascii="標楷體" w:eastAsia="標楷體" w:hAnsi="標楷體" w:hint="eastAsia"/>
              </w:rPr>
              <w:t>1</w:t>
            </w:r>
            <w:r w:rsidRPr="006C7FD7">
              <w:rPr>
                <w:rFonts w:ascii="標楷體" w:eastAsia="標楷體" w:hAnsi="標楷體"/>
              </w:rPr>
              <w:t>.</w:t>
            </w:r>
            <w:r w:rsidRPr="006C7FD7">
              <w:rPr>
                <w:rFonts w:ascii="標楷體" w:eastAsia="標楷體" w:hAnsi="標楷體" w:hint="eastAsia"/>
              </w:rPr>
              <w:t>第3會期第19次全體委員會議</w:t>
            </w:r>
            <w:r w:rsidRPr="000306DD">
              <w:rPr>
                <w:rFonts w:ascii="標楷體" w:eastAsia="標楷體" w:hAnsi="標楷體" w:hint="eastAsia"/>
                <w:spacing w:val="-10"/>
              </w:rPr>
              <w:t>(110.5.12)決議:</w:t>
            </w:r>
            <w:r w:rsidRPr="006C7FD7">
              <w:rPr>
                <w:rFonts w:ascii="標楷體" w:eastAsia="標楷體" w:hAnsi="標楷體" w:hint="eastAsia"/>
              </w:rPr>
              <w:t>報告及詢答完畢</w:t>
            </w:r>
            <w:r w:rsidRPr="006C7FD7">
              <w:rPr>
                <w:rFonts w:ascii="標楷體" w:eastAsia="標楷體" w:hAnsi="標楷體" w:hint="eastAsia"/>
              </w:rPr>
              <w:lastRenderedPageBreak/>
              <w:t>，另定期繼續審查。</w:t>
            </w:r>
          </w:p>
          <w:p w:rsidR="001A495B" w:rsidRPr="006C7FD7" w:rsidRDefault="001A495B" w:rsidP="006C7FD7">
            <w:pPr>
              <w:kinsoku w:val="0"/>
              <w:overflowPunct w:val="0"/>
              <w:autoSpaceDE w:val="0"/>
              <w:autoSpaceDN w:val="0"/>
              <w:ind w:left="240" w:hangingChars="100" w:hanging="240"/>
              <w:jc w:val="both"/>
              <w:rPr>
                <w:rFonts w:ascii="標楷體" w:eastAsia="標楷體" w:hAnsi="標楷體"/>
              </w:rPr>
            </w:pPr>
            <w:r w:rsidRPr="006C7FD7">
              <w:rPr>
                <w:rFonts w:ascii="標楷體" w:eastAsia="標楷體" w:hAnsi="標楷體" w:hint="eastAsia"/>
              </w:rPr>
              <w:t>2.第5會期第8次全體委員會議</w:t>
            </w:r>
            <w:r w:rsidRPr="000306DD">
              <w:rPr>
                <w:rFonts w:ascii="標楷體" w:eastAsia="標楷體" w:hAnsi="標楷體" w:hint="eastAsia"/>
                <w:spacing w:val="-10"/>
              </w:rPr>
              <w:t>(111.4.11)決議:</w:t>
            </w:r>
            <w:r w:rsidRPr="006C7FD7">
              <w:rPr>
                <w:rFonts w:ascii="標楷體" w:eastAsia="標楷體" w:hAnsi="標楷體" w:hint="eastAsia"/>
              </w:rPr>
              <w:t>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lastRenderedPageBreak/>
              <w:t>國民中、小學學生不僅需學習知識與技能，亦須逐步</w:t>
            </w:r>
            <w:r w:rsidRPr="001A495B">
              <w:rPr>
                <w:color w:val="000000" w:themeColor="text1"/>
              </w:rPr>
              <w:lastRenderedPageBreak/>
              <w:t>建立勞動意識，了解勞動價值。</w:t>
            </w:r>
            <w:r w:rsidRPr="001A495B">
              <w:rPr>
                <w:rFonts w:hint="eastAsia"/>
                <w:color w:val="000000" w:themeColor="text1"/>
              </w:rPr>
              <w:t>(1條)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國民教育法增訂第二十條之三條文草案</w:t>
            </w:r>
          </w:p>
          <w:p w:rsidR="001A495B" w:rsidRPr="001A495B" w:rsidRDefault="001A495B" w:rsidP="001A495B">
            <w:pPr>
              <w:pStyle w:val="0-"/>
              <w:rPr>
                <w:color w:val="000000" w:themeColor="text1"/>
              </w:rPr>
            </w:pPr>
            <w:r w:rsidRPr="001A495B">
              <w:rPr>
                <w:rFonts w:hint="eastAsia"/>
                <w:color w:val="000000" w:themeColor="text1"/>
              </w:rPr>
              <w:t>(委員林俊憲等23人)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w:t>
            </w:r>
            <w:r w:rsidRPr="001A495B">
              <w:rPr>
                <w:rFonts w:hint="eastAsia"/>
                <w:color w:val="000000" w:themeColor="text1"/>
              </w:rPr>
              <w:t>2</w:t>
            </w:r>
            <w:r w:rsidRPr="001A495B">
              <w:rPr>
                <w:color w:val="000000" w:themeColor="text1"/>
              </w:rPr>
              <w:t>-</w:t>
            </w:r>
            <w:r w:rsidRPr="001A495B">
              <w:rPr>
                <w:rFonts w:hint="eastAsia"/>
                <w:color w:val="000000" w:themeColor="text1"/>
              </w:rPr>
              <w:t>6</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.12.4</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6C7FD7" w:rsidRDefault="001A495B" w:rsidP="006C7FD7">
            <w:pPr>
              <w:kinsoku w:val="0"/>
              <w:overflowPunct w:val="0"/>
              <w:autoSpaceDE w:val="0"/>
              <w:autoSpaceDN w:val="0"/>
              <w:ind w:left="240" w:hangingChars="100" w:hanging="240"/>
              <w:jc w:val="both"/>
              <w:rPr>
                <w:rFonts w:ascii="標楷體" w:eastAsia="標楷體" w:hAnsi="標楷體"/>
              </w:rPr>
            </w:pPr>
            <w:r w:rsidRPr="006C7FD7">
              <w:rPr>
                <w:rFonts w:ascii="標楷體" w:eastAsia="標楷體" w:hAnsi="標楷體" w:hint="eastAsia"/>
              </w:rPr>
              <w:t>1</w:t>
            </w:r>
            <w:r w:rsidRPr="006C7FD7">
              <w:rPr>
                <w:rFonts w:ascii="標楷體" w:eastAsia="標楷體" w:hAnsi="標楷體"/>
              </w:rPr>
              <w:t>.</w:t>
            </w:r>
            <w:r w:rsidRPr="006C7FD7">
              <w:rPr>
                <w:rFonts w:ascii="標楷體" w:eastAsia="標楷體" w:hAnsi="標楷體" w:hint="eastAsia"/>
              </w:rPr>
              <w:t>第3會期第19次全體委員會議</w:t>
            </w:r>
            <w:r w:rsidRPr="000306DD">
              <w:rPr>
                <w:rFonts w:ascii="標楷體" w:eastAsia="標楷體" w:hAnsi="標楷體" w:hint="eastAsia"/>
                <w:spacing w:val="-10"/>
              </w:rPr>
              <w:t>(110.5.12)決議:</w:t>
            </w:r>
            <w:r w:rsidRPr="006C7FD7">
              <w:rPr>
                <w:rFonts w:ascii="標楷體" w:eastAsia="標楷體" w:hAnsi="標楷體" w:hint="eastAsia"/>
              </w:rPr>
              <w:t>報告及詢答完畢，另定期繼續審查。</w:t>
            </w:r>
          </w:p>
          <w:p w:rsidR="001A495B" w:rsidRPr="006C7FD7" w:rsidRDefault="001A495B" w:rsidP="006C7FD7">
            <w:pPr>
              <w:kinsoku w:val="0"/>
              <w:overflowPunct w:val="0"/>
              <w:autoSpaceDE w:val="0"/>
              <w:autoSpaceDN w:val="0"/>
              <w:ind w:left="240" w:hangingChars="100" w:hanging="240"/>
              <w:jc w:val="both"/>
              <w:rPr>
                <w:rFonts w:ascii="標楷體" w:eastAsia="標楷體" w:hAnsi="標楷體"/>
              </w:rPr>
            </w:pPr>
            <w:r w:rsidRPr="006C7FD7">
              <w:rPr>
                <w:rFonts w:ascii="標楷體" w:eastAsia="標楷體" w:hAnsi="標楷體" w:hint="eastAsia"/>
              </w:rPr>
              <w:t>2.第5會期第8次全體委員會議</w:t>
            </w:r>
            <w:r w:rsidRPr="000306DD">
              <w:rPr>
                <w:rFonts w:ascii="標楷體" w:eastAsia="標楷體" w:hAnsi="標楷體" w:hint="eastAsia"/>
                <w:spacing w:val="-10"/>
              </w:rPr>
              <w:t>(111.4.11)決議:</w:t>
            </w:r>
            <w:r w:rsidRPr="006C7FD7">
              <w:rPr>
                <w:rFonts w:ascii="標楷體" w:eastAsia="標楷體" w:hAnsi="標楷體" w:hint="eastAsia"/>
              </w:rPr>
              <w:t>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應開放公立學校亦得設置外國課程之部或班，以利全台學生皆有平等接觸外文學習課程之機會。</w:t>
            </w:r>
            <w:r w:rsidRPr="001A495B">
              <w:rPr>
                <w:rFonts w:hint="eastAsia"/>
                <w:color w:val="000000" w:themeColor="text1"/>
              </w:rPr>
              <w:t>(1條)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國民教育法第十五條條文修正草案</w:t>
            </w:r>
          </w:p>
          <w:p w:rsidR="001A495B" w:rsidRPr="001A495B" w:rsidRDefault="001A495B" w:rsidP="001A495B">
            <w:pPr>
              <w:pStyle w:val="0-"/>
              <w:rPr>
                <w:color w:val="000000" w:themeColor="text1"/>
              </w:rPr>
            </w:pPr>
            <w:r w:rsidRPr="001A495B">
              <w:rPr>
                <w:rFonts w:hint="eastAsia"/>
                <w:color w:val="000000" w:themeColor="text1"/>
              </w:rPr>
              <w:t>(委員許智傑等20人)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w:t>
            </w:r>
            <w:r w:rsidRPr="001A495B">
              <w:rPr>
                <w:rFonts w:hint="eastAsia"/>
                <w:color w:val="000000" w:themeColor="text1"/>
              </w:rPr>
              <w:t>2</w:t>
            </w:r>
            <w:r w:rsidRPr="001A495B">
              <w:rPr>
                <w:color w:val="000000" w:themeColor="text1"/>
              </w:rPr>
              <w:t>-</w:t>
            </w:r>
            <w:r w:rsidRPr="001A495B">
              <w:rPr>
                <w:rFonts w:hint="eastAsia"/>
                <w:color w:val="000000" w:themeColor="text1"/>
              </w:rPr>
              <w:t>6</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.12.4</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6C7FD7" w:rsidRDefault="001A495B" w:rsidP="006C7FD7">
            <w:pPr>
              <w:kinsoku w:val="0"/>
              <w:overflowPunct w:val="0"/>
              <w:autoSpaceDE w:val="0"/>
              <w:autoSpaceDN w:val="0"/>
              <w:ind w:left="240" w:hangingChars="100" w:hanging="240"/>
              <w:jc w:val="both"/>
              <w:rPr>
                <w:rFonts w:ascii="標楷體" w:eastAsia="標楷體" w:hAnsi="標楷體"/>
              </w:rPr>
            </w:pPr>
            <w:r w:rsidRPr="006C7FD7">
              <w:rPr>
                <w:rFonts w:ascii="標楷體" w:eastAsia="標楷體" w:hAnsi="標楷體" w:hint="eastAsia"/>
              </w:rPr>
              <w:t>1</w:t>
            </w:r>
            <w:r w:rsidRPr="006C7FD7">
              <w:rPr>
                <w:rFonts w:ascii="標楷體" w:eastAsia="標楷體" w:hAnsi="標楷體"/>
              </w:rPr>
              <w:t>.</w:t>
            </w:r>
            <w:r w:rsidRPr="006C7FD7">
              <w:rPr>
                <w:rFonts w:ascii="標楷體" w:eastAsia="標楷體" w:hAnsi="標楷體" w:hint="eastAsia"/>
              </w:rPr>
              <w:t>第3會期第19次全體委員會議</w:t>
            </w:r>
            <w:r w:rsidRPr="000306DD">
              <w:rPr>
                <w:rFonts w:ascii="標楷體" w:eastAsia="標楷體" w:hAnsi="標楷體" w:hint="eastAsia"/>
                <w:spacing w:val="-10"/>
              </w:rPr>
              <w:t>(110.5.12)決議:</w:t>
            </w:r>
            <w:r w:rsidRPr="006C7FD7">
              <w:rPr>
                <w:rFonts w:ascii="標楷體" w:eastAsia="標楷體" w:hAnsi="標楷體" w:hint="eastAsia"/>
              </w:rPr>
              <w:t>報告及詢答完畢，另定期繼續審查。</w:t>
            </w:r>
          </w:p>
          <w:p w:rsidR="001A495B" w:rsidRPr="006C7FD7" w:rsidRDefault="001A495B" w:rsidP="006C7FD7">
            <w:pPr>
              <w:kinsoku w:val="0"/>
              <w:overflowPunct w:val="0"/>
              <w:autoSpaceDE w:val="0"/>
              <w:autoSpaceDN w:val="0"/>
              <w:ind w:left="240" w:hangingChars="100" w:hanging="240"/>
              <w:jc w:val="both"/>
              <w:rPr>
                <w:rFonts w:ascii="標楷體" w:eastAsia="標楷體" w:hAnsi="標楷體"/>
              </w:rPr>
            </w:pPr>
            <w:r w:rsidRPr="006C7FD7">
              <w:rPr>
                <w:rFonts w:ascii="標楷體" w:eastAsia="標楷體" w:hAnsi="標楷體" w:hint="eastAsia"/>
              </w:rPr>
              <w:t>2.第5會期第8次全體委員會議</w:t>
            </w:r>
            <w:r w:rsidRPr="000306DD">
              <w:rPr>
                <w:rFonts w:ascii="標楷體" w:eastAsia="標楷體" w:hAnsi="標楷體" w:hint="eastAsia"/>
                <w:spacing w:val="-10"/>
              </w:rPr>
              <w:t>(111.4.11)決議:</w:t>
            </w:r>
            <w:r w:rsidRPr="006C7FD7">
              <w:rPr>
                <w:rFonts w:ascii="標楷體" w:eastAsia="標楷體" w:hAnsi="標楷體" w:hint="eastAsia"/>
              </w:rPr>
              <w:t>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學校可依所在地區的特殊人文及地理背景，發展出因地制宜的學校特色，以整合教育資源，將相關資源發揮最大效用。</w:t>
            </w:r>
            <w:r w:rsidRPr="001A495B">
              <w:rPr>
                <w:rFonts w:hint="eastAsia"/>
                <w:color w:val="000000" w:themeColor="text1"/>
              </w:rPr>
              <w:t>(1條)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641E57" w:rsidP="001A495B">
            <w:pPr>
              <w:pStyle w:val="0-"/>
              <w:rPr>
                <w:color w:val="000000" w:themeColor="text1"/>
              </w:rPr>
            </w:pPr>
            <w:hyperlink r:id="rId47" w:tooltip="六、本院委員林奕華等16人擬具「國民教育法第八條之一及第二十條之一條文修正草案」，請審議案。" w:history="1">
              <w:r w:rsidR="001A495B" w:rsidRPr="001A495B">
                <w:rPr>
                  <w:rFonts w:hint="eastAsia"/>
                  <w:color w:val="000000" w:themeColor="text1"/>
                </w:rPr>
                <w:t>國民教育法第八條之一及第二十條之一條文修正草案</w:t>
              </w:r>
            </w:hyperlink>
          </w:p>
          <w:p w:rsidR="001A495B" w:rsidRPr="001A495B" w:rsidRDefault="001A495B" w:rsidP="001A495B">
            <w:pPr>
              <w:pStyle w:val="0-"/>
              <w:rPr>
                <w:color w:val="000000" w:themeColor="text1"/>
              </w:rPr>
            </w:pPr>
            <w:r w:rsidRPr="001A495B">
              <w:rPr>
                <w:rFonts w:hint="eastAsia"/>
                <w:color w:val="000000" w:themeColor="text1"/>
              </w:rPr>
              <w:t>(委員林奕華等16人)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10-3-7</w:t>
            </w:r>
          </w:p>
          <w:p w:rsidR="001A495B" w:rsidRPr="001A495B" w:rsidRDefault="001A495B" w:rsidP="00F70E7C">
            <w:pPr>
              <w:pStyle w:val="0-"/>
              <w:rPr>
                <w:color w:val="000000" w:themeColor="text1"/>
              </w:rPr>
            </w:pPr>
            <w:r w:rsidRPr="001A495B">
              <w:rPr>
                <w:color w:val="000000" w:themeColor="text1"/>
              </w:rPr>
              <w:t>(110.4.9)</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6C7FD7" w:rsidRDefault="001A495B" w:rsidP="006C7FD7">
            <w:pPr>
              <w:kinsoku w:val="0"/>
              <w:overflowPunct w:val="0"/>
              <w:autoSpaceDE w:val="0"/>
              <w:autoSpaceDN w:val="0"/>
              <w:ind w:left="240" w:hangingChars="100" w:hanging="240"/>
              <w:jc w:val="both"/>
              <w:rPr>
                <w:rFonts w:ascii="標楷體" w:eastAsia="標楷體" w:hAnsi="標楷體"/>
              </w:rPr>
            </w:pPr>
            <w:r w:rsidRPr="006C7FD7">
              <w:rPr>
                <w:rFonts w:ascii="標楷體" w:eastAsia="標楷體" w:hAnsi="標楷體" w:hint="eastAsia"/>
              </w:rPr>
              <w:t>1</w:t>
            </w:r>
            <w:r w:rsidRPr="006C7FD7">
              <w:rPr>
                <w:rFonts w:ascii="標楷體" w:eastAsia="標楷體" w:hAnsi="標楷體"/>
              </w:rPr>
              <w:t>.</w:t>
            </w:r>
            <w:r w:rsidRPr="006C7FD7">
              <w:rPr>
                <w:rFonts w:ascii="標楷體" w:eastAsia="標楷體" w:hAnsi="標楷體" w:hint="eastAsia"/>
              </w:rPr>
              <w:t>第3會期第19次全體委員會議</w:t>
            </w:r>
            <w:r w:rsidRPr="000306DD">
              <w:rPr>
                <w:rFonts w:ascii="標楷體" w:eastAsia="標楷體" w:hAnsi="標楷體" w:hint="eastAsia"/>
                <w:spacing w:val="-10"/>
              </w:rPr>
              <w:t>(110.5.12)決議:</w:t>
            </w:r>
            <w:r w:rsidRPr="006C7FD7">
              <w:rPr>
                <w:rFonts w:ascii="標楷體" w:eastAsia="標楷體" w:hAnsi="標楷體" w:hint="eastAsia"/>
              </w:rPr>
              <w:t>報告及詢答完畢，另定期繼續審查。</w:t>
            </w:r>
          </w:p>
          <w:p w:rsidR="001A495B" w:rsidRPr="006C7FD7" w:rsidRDefault="001A495B" w:rsidP="006C7FD7">
            <w:pPr>
              <w:kinsoku w:val="0"/>
              <w:overflowPunct w:val="0"/>
              <w:autoSpaceDE w:val="0"/>
              <w:autoSpaceDN w:val="0"/>
              <w:ind w:left="240" w:hangingChars="100" w:hanging="240"/>
              <w:jc w:val="both"/>
              <w:rPr>
                <w:rFonts w:ascii="標楷體" w:eastAsia="標楷體" w:hAnsi="標楷體"/>
              </w:rPr>
            </w:pPr>
            <w:r w:rsidRPr="006C7FD7">
              <w:rPr>
                <w:rFonts w:ascii="標楷體" w:eastAsia="標楷體" w:hAnsi="標楷體" w:hint="eastAsia"/>
              </w:rPr>
              <w:t>2.第5會期第8次全體委員會議</w:t>
            </w:r>
            <w:r w:rsidRPr="000306DD">
              <w:rPr>
                <w:rFonts w:ascii="標楷體" w:eastAsia="標楷體" w:hAnsi="標楷體" w:hint="eastAsia"/>
                <w:spacing w:val="-10"/>
              </w:rPr>
              <w:t>(111.4.11)決議:</w:t>
            </w:r>
            <w:r w:rsidRPr="006C7FD7">
              <w:rPr>
                <w:rFonts w:ascii="標楷體" w:eastAsia="標楷體" w:hAnsi="標楷體" w:hint="eastAsia"/>
              </w:rPr>
              <w:t>另定期繼續審查</w:t>
            </w:r>
            <w:r w:rsidRPr="006C7FD7">
              <w:rPr>
                <w:rFonts w:ascii="標楷體" w:eastAsia="標楷體" w:hAnsi="標楷體" w:hint="eastAsia"/>
              </w:rPr>
              <w:lastRenderedPageBreak/>
              <w:t>。</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lastRenderedPageBreak/>
              <w:t>為貫徹保障各級學校學生訴訟權，凡學生因學校教育或管理公權力措施遭受侵害，無需限制學生提起相應之救濟行為。(</w:t>
            </w:r>
            <w:r w:rsidRPr="001A495B">
              <w:rPr>
                <w:color w:val="000000" w:themeColor="text1"/>
              </w:rPr>
              <w:t>2</w:t>
            </w:r>
            <w:r w:rsidRPr="001A495B">
              <w:rPr>
                <w:rFonts w:hint="eastAsia"/>
                <w:color w:val="000000" w:themeColor="text1"/>
              </w:rPr>
              <w:lastRenderedPageBreak/>
              <w:t>條</w:t>
            </w:r>
            <w:r w:rsidRPr="001A495B">
              <w:rPr>
                <w:color w:val="000000" w:themeColor="text1"/>
              </w:rPr>
              <w:t>)</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國民教育法第四條條文修正草案</w:t>
            </w:r>
          </w:p>
          <w:p w:rsidR="001A495B" w:rsidRPr="001A495B" w:rsidRDefault="001A495B" w:rsidP="001A495B">
            <w:pPr>
              <w:pStyle w:val="0-"/>
              <w:rPr>
                <w:color w:val="000000" w:themeColor="text1"/>
              </w:rPr>
            </w:pPr>
            <w:r w:rsidRPr="001A495B">
              <w:rPr>
                <w:rFonts w:hint="eastAsia"/>
                <w:color w:val="000000" w:themeColor="text1"/>
              </w:rPr>
              <w:t>(委員黃秀芳等22人)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10-3-11</w:t>
            </w:r>
          </w:p>
          <w:p w:rsidR="001A495B" w:rsidRPr="001A495B" w:rsidRDefault="001A495B" w:rsidP="00F70E7C">
            <w:pPr>
              <w:pStyle w:val="0-"/>
              <w:rPr>
                <w:color w:val="000000" w:themeColor="text1"/>
              </w:rPr>
            </w:pPr>
            <w:r w:rsidRPr="001A495B">
              <w:rPr>
                <w:color w:val="000000" w:themeColor="text1"/>
              </w:rPr>
              <w:t>(110.5.7)</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6C7FD7" w:rsidRDefault="002F5F9C" w:rsidP="002F5F9C">
            <w:pPr>
              <w:kinsoku w:val="0"/>
              <w:overflowPunct w:val="0"/>
              <w:autoSpaceDE w:val="0"/>
              <w:autoSpaceDN w:val="0"/>
              <w:ind w:left="240" w:hangingChars="100" w:hanging="240"/>
              <w:jc w:val="both"/>
              <w:rPr>
                <w:rFonts w:ascii="標楷體" w:eastAsia="標楷體" w:hAnsi="標楷體"/>
              </w:rPr>
            </w:pPr>
            <w:r>
              <w:rPr>
                <w:rFonts w:ascii="標楷體" w:eastAsia="標楷體" w:hAnsi="標楷體" w:hint="eastAsia"/>
              </w:rPr>
              <w:t>1.</w:t>
            </w:r>
            <w:r w:rsidR="001A495B" w:rsidRPr="006C7FD7">
              <w:rPr>
                <w:rFonts w:ascii="標楷體" w:eastAsia="標楷體" w:hAnsi="標楷體" w:hint="eastAsia"/>
              </w:rPr>
              <w:t>第5會期第8次全體委員會議</w:t>
            </w:r>
            <w:r w:rsidR="001A495B" w:rsidRPr="000306DD">
              <w:rPr>
                <w:rFonts w:ascii="標楷體" w:eastAsia="標楷體" w:hAnsi="標楷體" w:hint="eastAsia"/>
                <w:spacing w:val="-10"/>
              </w:rPr>
              <w:t>(111.4.11)決議:</w:t>
            </w:r>
            <w:r w:rsidR="001A495B" w:rsidRPr="006C7FD7">
              <w:rPr>
                <w:rFonts w:ascii="標楷體" w:eastAsia="標楷體" w:hAnsi="標楷體" w:hint="eastAsia"/>
              </w:rPr>
              <w:t>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公立國民中小學依「學校型態實驗教育實施條例」辦理實驗教育之學校大都為偏鄉小校，同一學區內未就讀實驗教育學校學生之權益可能因此受到影響。(1條)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國民教育法第七條及第七條之一條文修正草案</w:t>
            </w:r>
          </w:p>
          <w:p w:rsidR="001A495B" w:rsidRPr="001A495B" w:rsidRDefault="001A495B" w:rsidP="001A495B">
            <w:pPr>
              <w:pStyle w:val="0-"/>
              <w:rPr>
                <w:color w:val="000000" w:themeColor="text1"/>
              </w:rPr>
            </w:pPr>
            <w:r w:rsidRPr="001A495B">
              <w:rPr>
                <w:rFonts w:hint="eastAsia"/>
                <w:color w:val="000000" w:themeColor="text1"/>
              </w:rPr>
              <w:t>(委員蔡易餘等18人)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10-4-6</w:t>
            </w:r>
          </w:p>
          <w:p w:rsidR="001A495B" w:rsidRPr="001A495B" w:rsidRDefault="001A495B" w:rsidP="00F70E7C">
            <w:pPr>
              <w:pStyle w:val="0-"/>
              <w:rPr>
                <w:color w:val="000000" w:themeColor="text1"/>
              </w:rPr>
            </w:pPr>
            <w:r w:rsidRPr="001A495B">
              <w:rPr>
                <w:color w:val="000000" w:themeColor="text1"/>
              </w:rPr>
              <w:t>(110.10.22)</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2F5F9C" w:rsidP="002F5F9C">
            <w:pPr>
              <w:kinsoku w:val="0"/>
              <w:overflowPunct w:val="0"/>
              <w:autoSpaceDE w:val="0"/>
              <w:autoSpaceDN w:val="0"/>
              <w:ind w:left="240" w:hangingChars="100" w:hanging="240"/>
              <w:jc w:val="both"/>
              <w:rPr>
                <w:rFonts w:ascii="標楷體" w:eastAsia="標楷體" w:hAnsi="標楷體"/>
                <w:color w:val="000000" w:themeColor="text1"/>
                <w:sz w:val="28"/>
                <w:szCs w:val="28"/>
              </w:rPr>
            </w:pPr>
            <w:r>
              <w:rPr>
                <w:rFonts w:ascii="標楷體" w:eastAsia="標楷體" w:hAnsi="標楷體" w:hint="eastAsia"/>
              </w:rPr>
              <w:t>1.</w:t>
            </w:r>
            <w:r w:rsidR="001A495B" w:rsidRPr="002F5F9C">
              <w:rPr>
                <w:rFonts w:ascii="標楷體" w:eastAsia="標楷體" w:hAnsi="標楷體" w:hint="eastAsia"/>
              </w:rPr>
              <w:t>第5會期第8次全體委員會議</w:t>
            </w:r>
            <w:r w:rsidR="001A495B" w:rsidRPr="000306DD">
              <w:rPr>
                <w:rFonts w:ascii="標楷體" w:eastAsia="標楷體" w:hAnsi="標楷體" w:hint="eastAsia"/>
                <w:spacing w:val="-10"/>
              </w:rPr>
              <w:t>(111.4.11)決議:</w:t>
            </w:r>
            <w:r w:rsidR="001A495B" w:rsidRPr="002F5F9C">
              <w:rPr>
                <w:rFonts w:ascii="標楷體" w:eastAsia="標楷體" w:hAnsi="標楷體" w:hint="eastAsia"/>
              </w:rPr>
              <w:t>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將國民中小學每週之上課時數、類型、內容、上課時數與限制、非學習時間可進行之活動包括午餐、午休、環境清掃、課間活動等活動直接類型明文化。(</w:t>
            </w:r>
            <w:r w:rsidRPr="001A495B">
              <w:rPr>
                <w:color w:val="000000" w:themeColor="text1"/>
              </w:rPr>
              <w:t>2</w:t>
            </w:r>
            <w:r w:rsidRPr="001A495B">
              <w:rPr>
                <w:rFonts w:hint="eastAsia"/>
                <w:color w:val="000000" w:themeColor="text1"/>
              </w:rPr>
              <w:t>條</w:t>
            </w:r>
            <w:r w:rsidRPr="001A495B">
              <w:rPr>
                <w:color w:val="000000" w:themeColor="text1"/>
              </w:rPr>
              <w:t>)</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國民教育法第四條條文修正草案</w:t>
            </w:r>
          </w:p>
          <w:p w:rsidR="001A495B" w:rsidRPr="001A495B" w:rsidRDefault="001A495B" w:rsidP="001A495B">
            <w:pPr>
              <w:pStyle w:val="0-"/>
              <w:rPr>
                <w:color w:val="000000" w:themeColor="text1"/>
              </w:rPr>
            </w:pPr>
            <w:r w:rsidRPr="001A495B">
              <w:rPr>
                <w:rFonts w:hint="eastAsia"/>
                <w:color w:val="000000" w:themeColor="text1"/>
              </w:rPr>
              <w:t>(時代力量黨團)</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10-4-6</w:t>
            </w:r>
          </w:p>
          <w:p w:rsidR="001A495B" w:rsidRPr="001A495B" w:rsidRDefault="001A495B" w:rsidP="00F70E7C">
            <w:pPr>
              <w:pStyle w:val="0-"/>
              <w:rPr>
                <w:color w:val="000000" w:themeColor="text1"/>
              </w:rPr>
            </w:pPr>
            <w:r w:rsidRPr="001A495B">
              <w:rPr>
                <w:color w:val="000000" w:themeColor="text1"/>
              </w:rPr>
              <w:t>(110.10.22)</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2F5F9C" w:rsidRDefault="002F5F9C" w:rsidP="002F5F9C">
            <w:pPr>
              <w:kinsoku w:val="0"/>
              <w:overflowPunct w:val="0"/>
              <w:autoSpaceDE w:val="0"/>
              <w:autoSpaceDN w:val="0"/>
              <w:ind w:left="240" w:hangingChars="100" w:hanging="240"/>
              <w:jc w:val="both"/>
              <w:rPr>
                <w:rFonts w:ascii="標楷體" w:eastAsia="標楷體" w:hAnsi="標楷體"/>
              </w:rPr>
            </w:pPr>
            <w:r>
              <w:rPr>
                <w:rFonts w:ascii="標楷體" w:eastAsia="標楷體" w:hAnsi="標楷體" w:hint="eastAsia"/>
              </w:rPr>
              <w:t>1.</w:t>
            </w:r>
            <w:r w:rsidR="001A495B" w:rsidRPr="002F5F9C">
              <w:rPr>
                <w:rFonts w:ascii="標楷體" w:eastAsia="標楷體" w:hAnsi="標楷體" w:hint="eastAsia"/>
              </w:rPr>
              <w:t>第5會期第8次全體委員會議</w:t>
            </w:r>
            <w:r w:rsidR="001A495B" w:rsidRPr="000306DD">
              <w:rPr>
                <w:rFonts w:ascii="標楷體" w:eastAsia="標楷體" w:hAnsi="標楷體" w:hint="eastAsia"/>
                <w:spacing w:val="-10"/>
              </w:rPr>
              <w:t>(111.4.11)決議:</w:t>
            </w:r>
            <w:r w:rsidR="001A495B" w:rsidRPr="002F5F9C">
              <w:rPr>
                <w:rFonts w:ascii="標楷體" w:eastAsia="標楷體" w:hAnsi="標楷體" w:hint="eastAsia"/>
              </w:rPr>
              <w:t>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為使不同社會經濟地位之家庭，皆有平等選擇實驗教育之機會。(1條)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國民教育法第二條條文修正草案</w:t>
            </w:r>
          </w:p>
          <w:p w:rsidR="001A495B" w:rsidRPr="001A495B" w:rsidRDefault="001A495B" w:rsidP="001A495B">
            <w:pPr>
              <w:pStyle w:val="0-"/>
              <w:rPr>
                <w:color w:val="000000" w:themeColor="text1"/>
              </w:rPr>
            </w:pPr>
            <w:r w:rsidRPr="001A495B">
              <w:rPr>
                <w:rFonts w:hint="eastAsia"/>
                <w:color w:val="000000" w:themeColor="text1"/>
              </w:rPr>
              <w:t>(委員鄭正鈐等30人)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10-4-11</w:t>
            </w:r>
          </w:p>
          <w:p w:rsidR="001A495B" w:rsidRPr="001A495B" w:rsidRDefault="001A495B" w:rsidP="00F70E7C">
            <w:pPr>
              <w:pStyle w:val="0-"/>
              <w:rPr>
                <w:color w:val="000000" w:themeColor="text1"/>
              </w:rPr>
            </w:pPr>
            <w:r w:rsidRPr="001A495B">
              <w:rPr>
                <w:color w:val="000000" w:themeColor="text1"/>
              </w:rPr>
              <w:t>(110.11.26)</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2F5F9C" w:rsidRDefault="002F5F9C" w:rsidP="002F5F9C">
            <w:pPr>
              <w:kinsoku w:val="0"/>
              <w:overflowPunct w:val="0"/>
              <w:autoSpaceDE w:val="0"/>
              <w:autoSpaceDN w:val="0"/>
              <w:ind w:left="240" w:hangingChars="100" w:hanging="240"/>
              <w:jc w:val="both"/>
              <w:rPr>
                <w:rFonts w:ascii="標楷體" w:eastAsia="標楷體" w:hAnsi="標楷體"/>
              </w:rPr>
            </w:pPr>
            <w:r>
              <w:rPr>
                <w:rFonts w:ascii="標楷體" w:eastAsia="標楷體" w:hAnsi="標楷體" w:hint="eastAsia"/>
              </w:rPr>
              <w:t>1.</w:t>
            </w:r>
            <w:r w:rsidR="001A495B" w:rsidRPr="002F5F9C">
              <w:rPr>
                <w:rFonts w:ascii="標楷體" w:eastAsia="標楷體" w:hAnsi="標楷體" w:hint="eastAsia"/>
              </w:rPr>
              <w:t>第5會期第8次全體委員會議</w:t>
            </w:r>
            <w:r w:rsidR="001A495B" w:rsidRPr="000306DD">
              <w:rPr>
                <w:rFonts w:ascii="標楷體" w:eastAsia="標楷體" w:hAnsi="標楷體" w:hint="eastAsia"/>
                <w:spacing w:val="-10"/>
              </w:rPr>
              <w:t>(111.4.11)決議:</w:t>
            </w:r>
            <w:r w:rsidR="001A495B" w:rsidRPr="002F5F9C">
              <w:rPr>
                <w:rFonts w:ascii="標楷體" w:eastAsia="標楷體" w:hAnsi="標楷體" w:hint="eastAsia"/>
              </w:rPr>
              <w:t>另定期繼續審查</w:t>
            </w:r>
            <w:r w:rsidR="001A495B" w:rsidRPr="002F5F9C">
              <w:rPr>
                <w:rFonts w:ascii="標楷體" w:eastAsia="標楷體" w:hAnsi="標楷體" w:hint="eastAsia"/>
              </w:rPr>
              <w:lastRenderedPageBreak/>
              <w:t>。</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lastRenderedPageBreak/>
              <w:t>有鑑於台灣的少子化問題日趨嚴重，已成為國安問題，</w:t>
            </w:r>
            <w:r w:rsidRPr="001A495B">
              <w:rPr>
                <w:rFonts w:hint="eastAsia"/>
                <w:color w:val="000000" w:themeColor="text1"/>
              </w:rPr>
              <w:lastRenderedPageBreak/>
              <w:t>為使年輕父母願意放心安心生育下一代。(1條)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國民教育法第八條之一條文修正草案</w:t>
            </w:r>
          </w:p>
          <w:p w:rsidR="001A495B" w:rsidRPr="001A495B" w:rsidRDefault="001A495B" w:rsidP="001A495B">
            <w:pPr>
              <w:pStyle w:val="0-"/>
              <w:rPr>
                <w:color w:val="000000" w:themeColor="text1"/>
              </w:rPr>
            </w:pPr>
            <w:r w:rsidRPr="001A495B">
              <w:rPr>
                <w:rFonts w:hint="eastAsia"/>
                <w:color w:val="000000" w:themeColor="text1"/>
              </w:rPr>
              <w:t>(委員費鴻泰等22人)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10-4-11</w:t>
            </w:r>
          </w:p>
          <w:p w:rsidR="001A495B" w:rsidRPr="001A495B" w:rsidRDefault="001A495B" w:rsidP="00F70E7C">
            <w:pPr>
              <w:pStyle w:val="0-"/>
              <w:rPr>
                <w:color w:val="000000" w:themeColor="text1"/>
              </w:rPr>
            </w:pPr>
            <w:r w:rsidRPr="001A495B">
              <w:rPr>
                <w:color w:val="000000" w:themeColor="text1"/>
              </w:rPr>
              <w:t>(110.11.26)</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2F5F9C" w:rsidRDefault="002F5F9C" w:rsidP="002F5F9C">
            <w:pPr>
              <w:kinsoku w:val="0"/>
              <w:overflowPunct w:val="0"/>
              <w:autoSpaceDE w:val="0"/>
              <w:autoSpaceDN w:val="0"/>
              <w:ind w:left="240" w:hangingChars="100" w:hanging="240"/>
              <w:jc w:val="both"/>
              <w:rPr>
                <w:rFonts w:ascii="標楷體" w:eastAsia="標楷體" w:hAnsi="標楷體"/>
              </w:rPr>
            </w:pPr>
            <w:r>
              <w:rPr>
                <w:rFonts w:ascii="標楷體" w:eastAsia="標楷體" w:hAnsi="標楷體" w:hint="eastAsia"/>
              </w:rPr>
              <w:t>1.</w:t>
            </w:r>
            <w:r w:rsidR="001A495B" w:rsidRPr="002F5F9C">
              <w:rPr>
                <w:rFonts w:ascii="標楷體" w:eastAsia="標楷體" w:hAnsi="標楷體" w:hint="eastAsia"/>
              </w:rPr>
              <w:t>第5會期第8次全體委員會議</w:t>
            </w:r>
            <w:r w:rsidR="001A495B" w:rsidRPr="000306DD">
              <w:rPr>
                <w:rFonts w:ascii="標楷體" w:eastAsia="標楷體" w:hAnsi="標楷體" w:hint="eastAsia"/>
                <w:spacing w:val="-10"/>
              </w:rPr>
              <w:t>(111.4.11)決議:</w:t>
            </w:r>
            <w:r w:rsidR="001A495B" w:rsidRPr="002F5F9C">
              <w:rPr>
                <w:rFonts w:ascii="標楷體" w:eastAsia="標楷體" w:hAnsi="標楷體" w:hint="eastAsia"/>
              </w:rPr>
              <w:t>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為避免偏鄉校區學生需花費太多時間於通勤影響學習效果，爰要求地方主管機關應主動調查並提供相關協助。(1條)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國民教育法第二條、第三條及第六條條文修正草案</w:t>
            </w:r>
          </w:p>
          <w:p w:rsidR="001A495B" w:rsidRPr="001A495B" w:rsidRDefault="00F70E7C" w:rsidP="00F70E7C">
            <w:pPr>
              <w:pStyle w:val="0-"/>
              <w:jc w:val="left"/>
              <w:rPr>
                <w:color w:val="000000" w:themeColor="text1"/>
              </w:rPr>
            </w:pPr>
            <w:r>
              <w:rPr>
                <w:rFonts w:hint="eastAsia"/>
                <w:color w:val="000000" w:themeColor="text1"/>
              </w:rPr>
              <w:t>(</w:t>
            </w:r>
            <w:r w:rsidRPr="00F70E7C">
              <w:rPr>
                <w:rFonts w:hint="eastAsia"/>
                <w:color w:val="000000" w:themeColor="text1"/>
                <w:spacing w:val="-10"/>
              </w:rPr>
              <w:t>委</w:t>
            </w:r>
            <w:r w:rsidR="001A495B" w:rsidRPr="00F70E7C">
              <w:rPr>
                <w:rFonts w:hint="eastAsia"/>
                <w:color w:val="000000" w:themeColor="text1"/>
                <w:spacing w:val="-10"/>
              </w:rPr>
              <w:t>員洪孟楷等17人</w:t>
            </w:r>
            <w:r w:rsidR="001A495B" w:rsidRPr="001A495B">
              <w:rPr>
                <w:rFonts w:hint="eastAsia"/>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10-5-2</w:t>
            </w:r>
          </w:p>
          <w:p w:rsidR="001A495B" w:rsidRPr="001A495B" w:rsidRDefault="001A495B" w:rsidP="00F70E7C">
            <w:pPr>
              <w:pStyle w:val="0-"/>
              <w:rPr>
                <w:color w:val="000000" w:themeColor="text1"/>
              </w:rPr>
            </w:pPr>
            <w:r w:rsidRPr="001A495B">
              <w:rPr>
                <w:color w:val="000000" w:themeColor="text1"/>
              </w:rPr>
              <w:t>(111.3.4)</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2F5F9C" w:rsidRDefault="002F5F9C" w:rsidP="002F5F9C">
            <w:pPr>
              <w:kinsoku w:val="0"/>
              <w:overflowPunct w:val="0"/>
              <w:autoSpaceDE w:val="0"/>
              <w:autoSpaceDN w:val="0"/>
              <w:ind w:left="240" w:hangingChars="100" w:hanging="240"/>
              <w:jc w:val="both"/>
              <w:rPr>
                <w:rFonts w:ascii="標楷體" w:eastAsia="標楷體" w:hAnsi="標楷體"/>
              </w:rPr>
            </w:pPr>
            <w:r>
              <w:rPr>
                <w:rFonts w:ascii="標楷體" w:eastAsia="標楷體" w:hAnsi="標楷體" w:hint="eastAsia"/>
              </w:rPr>
              <w:t>1.</w:t>
            </w:r>
            <w:r w:rsidR="001A495B" w:rsidRPr="002F5F9C">
              <w:rPr>
                <w:rFonts w:ascii="標楷體" w:eastAsia="標楷體" w:hAnsi="標楷體" w:hint="eastAsia"/>
              </w:rPr>
              <w:t>第5會期第8次全體委員會議</w:t>
            </w:r>
            <w:r w:rsidR="001A495B" w:rsidRPr="000306DD">
              <w:rPr>
                <w:rFonts w:ascii="標楷體" w:eastAsia="標楷體" w:hAnsi="標楷體" w:hint="eastAsia"/>
                <w:spacing w:val="-10"/>
              </w:rPr>
              <w:t>(111.4.11)決議:</w:t>
            </w:r>
            <w:r w:rsidR="001A495B" w:rsidRPr="002F5F9C">
              <w:rPr>
                <w:rFonts w:ascii="標楷體" w:eastAsia="標楷體" w:hAnsi="標楷體" w:hint="eastAsia"/>
              </w:rPr>
              <w:t>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就目前國民教育二階段再予新增「學前教育」一階段，以及增訂五歲國民教育幼兒入學彈性法定方式藉以落實之。(</w:t>
            </w:r>
            <w:r w:rsidRPr="001A495B">
              <w:rPr>
                <w:color w:val="000000" w:themeColor="text1"/>
              </w:rPr>
              <w:t>3</w:t>
            </w:r>
            <w:r w:rsidRPr="001A495B">
              <w:rPr>
                <w:rFonts w:hint="eastAsia"/>
                <w:color w:val="000000" w:themeColor="text1"/>
              </w:rPr>
              <w:t>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國民教育法第二條及第二十二條條文修正草案</w:t>
            </w:r>
          </w:p>
          <w:p w:rsidR="001A495B" w:rsidRPr="001A495B" w:rsidRDefault="001A495B" w:rsidP="001A495B">
            <w:pPr>
              <w:pStyle w:val="0-"/>
              <w:rPr>
                <w:color w:val="000000" w:themeColor="text1"/>
              </w:rPr>
            </w:pPr>
            <w:r w:rsidRPr="001A495B">
              <w:rPr>
                <w:rFonts w:hint="eastAsia"/>
                <w:color w:val="000000" w:themeColor="text1"/>
              </w:rPr>
              <w:t>(委員溫玉霞等18人</w:t>
            </w:r>
            <w:r w:rsidRPr="001A495B">
              <w:rPr>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10-5-3</w:t>
            </w:r>
          </w:p>
          <w:p w:rsidR="001A495B" w:rsidRPr="001A495B" w:rsidRDefault="001A495B" w:rsidP="00F70E7C">
            <w:pPr>
              <w:pStyle w:val="0-"/>
              <w:rPr>
                <w:color w:val="000000" w:themeColor="text1"/>
              </w:rPr>
            </w:pPr>
            <w:r w:rsidRPr="001A495B">
              <w:rPr>
                <w:color w:val="000000" w:themeColor="text1"/>
              </w:rPr>
              <w:t>(111.3.11)</w:t>
            </w:r>
          </w:p>
          <w:p w:rsidR="001A495B" w:rsidRPr="001A495B" w:rsidRDefault="001A495B" w:rsidP="00F70E7C">
            <w:pPr>
              <w:pStyle w:val="0-"/>
              <w:rPr>
                <w:color w:val="000000" w:themeColor="text1"/>
              </w:rPr>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2F5F9C" w:rsidRDefault="002F5F9C" w:rsidP="002F5F9C">
            <w:pPr>
              <w:kinsoku w:val="0"/>
              <w:overflowPunct w:val="0"/>
              <w:autoSpaceDE w:val="0"/>
              <w:autoSpaceDN w:val="0"/>
              <w:ind w:left="240" w:hangingChars="100" w:hanging="240"/>
              <w:jc w:val="both"/>
              <w:rPr>
                <w:rFonts w:ascii="標楷體" w:eastAsia="標楷體" w:hAnsi="標楷體"/>
              </w:rPr>
            </w:pPr>
            <w:r>
              <w:rPr>
                <w:rFonts w:ascii="標楷體" w:eastAsia="標楷體" w:hAnsi="標楷體" w:hint="eastAsia"/>
              </w:rPr>
              <w:t>1.</w:t>
            </w:r>
            <w:r w:rsidR="001A495B" w:rsidRPr="002F5F9C">
              <w:rPr>
                <w:rFonts w:ascii="標楷體" w:eastAsia="標楷體" w:hAnsi="標楷體" w:hint="eastAsia"/>
              </w:rPr>
              <w:t>第5會期第8次全體委員會議</w:t>
            </w:r>
            <w:r w:rsidR="001A495B" w:rsidRPr="000306DD">
              <w:rPr>
                <w:rFonts w:ascii="標楷體" w:eastAsia="標楷體" w:hAnsi="標楷體" w:hint="eastAsia"/>
                <w:spacing w:val="-10"/>
              </w:rPr>
              <w:t>(111.4.11)決議:</w:t>
            </w:r>
            <w:r w:rsidR="001A495B" w:rsidRPr="002F5F9C">
              <w:rPr>
                <w:rFonts w:ascii="標楷體" w:eastAsia="標楷體" w:hAnsi="標楷體" w:hint="eastAsia"/>
              </w:rPr>
              <w:t>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擴大國民教育，也減輕家長負擔，進而增加生育誘因，鼓勵生育。(2條)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國民教育法第二條、第三條及第六條條文修正草案</w:t>
            </w:r>
          </w:p>
          <w:p w:rsidR="001A495B" w:rsidRPr="001A495B" w:rsidRDefault="001A495B" w:rsidP="001A495B">
            <w:pPr>
              <w:pStyle w:val="0-"/>
              <w:rPr>
                <w:color w:val="000000" w:themeColor="text1"/>
              </w:rPr>
            </w:pPr>
            <w:r w:rsidRPr="001A495B">
              <w:rPr>
                <w:rFonts w:hint="eastAsia"/>
                <w:color w:val="000000" w:themeColor="text1"/>
              </w:rPr>
              <w:t>(委員萬美玲等27人</w:t>
            </w:r>
            <w:r w:rsidRPr="001A495B">
              <w:rPr>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10-5-4</w:t>
            </w:r>
          </w:p>
          <w:p w:rsidR="001A495B" w:rsidRPr="001A495B" w:rsidRDefault="001A495B" w:rsidP="00F70E7C">
            <w:pPr>
              <w:pStyle w:val="0-"/>
              <w:rPr>
                <w:color w:val="000000" w:themeColor="text1"/>
              </w:rPr>
            </w:pPr>
            <w:r w:rsidRPr="001A495B">
              <w:rPr>
                <w:color w:val="000000" w:themeColor="text1"/>
              </w:rPr>
              <w:t>(111.3.18)</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2F5F9C" w:rsidRDefault="002F5F9C" w:rsidP="002F5F9C">
            <w:pPr>
              <w:kinsoku w:val="0"/>
              <w:overflowPunct w:val="0"/>
              <w:autoSpaceDE w:val="0"/>
              <w:autoSpaceDN w:val="0"/>
              <w:ind w:left="240" w:hangingChars="100" w:hanging="240"/>
              <w:jc w:val="both"/>
              <w:rPr>
                <w:rFonts w:ascii="標楷體" w:eastAsia="標楷體" w:hAnsi="標楷體"/>
              </w:rPr>
            </w:pPr>
            <w:r>
              <w:rPr>
                <w:rFonts w:ascii="標楷體" w:eastAsia="標楷體" w:hAnsi="標楷體" w:hint="eastAsia"/>
              </w:rPr>
              <w:t>1.</w:t>
            </w:r>
            <w:r w:rsidR="001A495B" w:rsidRPr="002F5F9C">
              <w:rPr>
                <w:rFonts w:ascii="標楷體" w:eastAsia="標楷體" w:hAnsi="標楷體" w:hint="eastAsia"/>
              </w:rPr>
              <w:t>第5會期第8次全體委員會議</w:t>
            </w:r>
            <w:r w:rsidR="001A495B" w:rsidRPr="000306DD">
              <w:rPr>
                <w:rFonts w:ascii="標楷體" w:eastAsia="標楷體" w:hAnsi="標楷體" w:hint="eastAsia"/>
                <w:spacing w:val="-10"/>
              </w:rPr>
              <w:t>(111.4.11)決議:</w:t>
            </w:r>
            <w:r w:rsidR="001A495B" w:rsidRPr="002F5F9C">
              <w:rPr>
                <w:rFonts w:ascii="標楷體" w:eastAsia="標楷體" w:hAnsi="標楷體" w:hint="eastAsia"/>
              </w:rPr>
              <w:t>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將國民義務教育向下延伸至五歲幼兒，並將國民教育分為三階段。(3條)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國民教育法第八條之</w:t>
            </w:r>
            <w:r w:rsidRPr="001A495B">
              <w:rPr>
                <w:rFonts w:hint="eastAsia"/>
                <w:color w:val="000000" w:themeColor="text1"/>
              </w:rPr>
              <w:lastRenderedPageBreak/>
              <w:t>一條文修正草案</w:t>
            </w:r>
          </w:p>
          <w:p w:rsidR="001A495B" w:rsidRPr="001A495B" w:rsidRDefault="001A495B" w:rsidP="001A495B">
            <w:pPr>
              <w:pStyle w:val="0-"/>
              <w:rPr>
                <w:color w:val="000000" w:themeColor="text1"/>
              </w:rPr>
            </w:pPr>
            <w:r w:rsidRPr="001A495B">
              <w:rPr>
                <w:rFonts w:hint="eastAsia"/>
                <w:color w:val="000000" w:themeColor="text1"/>
              </w:rPr>
              <w:t>(委員萬美玲等19人</w:t>
            </w:r>
            <w:r w:rsidRPr="001A495B">
              <w:rPr>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lastRenderedPageBreak/>
              <w:t>10-5-4</w:t>
            </w:r>
          </w:p>
          <w:p w:rsidR="001A495B" w:rsidRPr="001A495B" w:rsidRDefault="001A495B" w:rsidP="00F70E7C">
            <w:pPr>
              <w:pStyle w:val="0-"/>
              <w:rPr>
                <w:color w:val="000000" w:themeColor="text1"/>
              </w:rPr>
            </w:pPr>
            <w:r w:rsidRPr="001A495B">
              <w:rPr>
                <w:color w:val="000000" w:themeColor="text1"/>
              </w:rPr>
              <w:lastRenderedPageBreak/>
              <w:t>(111.3.18)</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2F5F9C" w:rsidRDefault="002F5F9C" w:rsidP="002F5F9C">
            <w:pPr>
              <w:kinsoku w:val="0"/>
              <w:overflowPunct w:val="0"/>
              <w:autoSpaceDE w:val="0"/>
              <w:autoSpaceDN w:val="0"/>
              <w:ind w:left="240" w:hangingChars="100" w:hanging="240"/>
              <w:jc w:val="both"/>
              <w:rPr>
                <w:rFonts w:ascii="標楷體" w:eastAsia="標楷體" w:hAnsi="標楷體"/>
              </w:rPr>
            </w:pPr>
            <w:r>
              <w:rPr>
                <w:rFonts w:ascii="標楷體" w:eastAsia="標楷體" w:hAnsi="標楷體" w:hint="eastAsia"/>
              </w:rPr>
              <w:t>1.</w:t>
            </w:r>
            <w:r w:rsidR="001A495B" w:rsidRPr="002F5F9C">
              <w:rPr>
                <w:rFonts w:ascii="標楷體" w:eastAsia="標楷體" w:hAnsi="標楷體" w:hint="eastAsia"/>
              </w:rPr>
              <w:t>第5會期第8次全</w:t>
            </w:r>
            <w:r w:rsidR="001A495B" w:rsidRPr="002F5F9C">
              <w:rPr>
                <w:rFonts w:ascii="標楷體" w:eastAsia="標楷體" w:hAnsi="標楷體" w:hint="eastAsia"/>
              </w:rPr>
              <w:lastRenderedPageBreak/>
              <w:t>體委員會議</w:t>
            </w:r>
            <w:r w:rsidR="001A495B" w:rsidRPr="000306DD">
              <w:rPr>
                <w:rFonts w:ascii="標楷體" w:eastAsia="標楷體" w:hAnsi="標楷體" w:hint="eastAsia"/>
                <w:spacing w:val="-10"/>
              </w:rPr>
              <w:t>(111.4.11)決議:</w:t>
            </w:r>
            <w:r w:rsidR="001A495B" w:rsidRPr="002F5F9C">
              <w:rPr>
                <w:rFonts w:ascii="標楷體" w:eastAsia="標楷體" w:hAnsi="標楷體" w:hint="eastAsia"/>
              </w:rPr>
              <w:t>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lastRenderedPageBreak/>
              <w:t>增訂設置冷</w:t>
            </w:r>
            <w:r w:rsidRPr="001A495B">
              <w:rPr>
                <w:rFonts w:hint="eastAsia"/>
                <w:color w:val="000000" w:themeColor="text1"/>
              </w:rPr>
              <w:lastRenderedPageBreak/>
              <w:t>（暖）器設備、電力系統設備、資訊網路設備等相關經費及其使用設備所衍生之經費，由中央主管機關編列預算支應。(1條)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國民教育法第二條、第三條及第六條條文修正草案</w:t>
            </w:r>
          </w:p>
          <w:p w:rsidR="001A495B" w:rsidRPr="001A495B" w:rsidRDefault="001A495B" w:rsidP="001A495B">
            <w:pPr>
              <w:pStyle w:val="0-"/>
              <w:rPr>
                <w:color w:val="000000" w:themeColor="text1"/>
              </w:rPr>
            </w:pPr>
            <w:r w:rsidRPr="001A495B">
              <w:rPr>
                <w:rFonts w:hint="eastAsia"/>
                <w:color w:val="000000" w:themeColor="text1"/>
              </w:rPr>
              <w:t>(委員吳怡玎等18人)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10-5-7</w:t>
            </w:r>
          </w:p>
          <w:p w:rsidR="001A495B" w:rsidRPr="001A495B" w:rsidRDefault="001A495B" w:rsidP="00F70E7C">
            <w:pPr>
              <w:pStyle w:val="0-"/>
              <w:rPr>
                <w:color w:val="000000" w:themeColor="text1"/>
              </w:rPr>
            </w:pPr>
            <w:r w:rsidRPr="001A495B">
              <w:rPr>
                <w:color w:val="000000" w:themeColor="text1"/>
              </w:rPr>
              <w:t>(111.4.8)</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2F5F9C" w:rsidRDefault="002F5F9C" w:rsidP="002F5F9C">
            <w:pPr>
              <w:kinsoku w:val="0"/>
              <w:overflowPunct w:val="0"/>
              <w:autoSpaceDE w:val="0"/>
              <w:autoSpaceDN w:val="0"/>
              <w:ind w:left="240" w:hangingChars="100" w:hanging="240"/>
              <w:jc w:val="both"/>
              <w:rPr>
                <w:rFonts w:ascii="標楷體" w:eastAsia="標楷體" w:hAnsi="標楷體"/>
              </w:rPr>
            </w:pPr>
            <w:r>
              <w:rPr>
                <w:rFonts w:ascii="標楷體" w:eastAsia="標楷體" w:hAnsi="標楷體" w:hint="eastAsia"/>
              </w:rPr>
              <w:t>1.</w:t>
            </w:r>
            <w:r w:rsidR="001A495B" w:rsidRPr="002F5F9C">
              <w:rPr>
                <w:rFonts w:ascii="標楷體" w:eastAsia="標楷體" w:hAnsi="標楷體" w:hint="eastAsia"/>
              </w:rPr>
              <w:t>第5會期第8次全體委員會議</w:t>
            </w:r>
            <w:r w:rsidR="001A495B" w:rsidRPr="000306DD">
              <w:rPr>
                <w:rFonts w:ascii="標楷體" w:eastAsia="標楷體" w:hAnsi="標楷體" w:hint="eastAsia"/>
                <w:spacing w:val="-10"/>
              </w:rPr>
              <w:t>(111.4.11)決議:</w:t>
            </w:r>
            <w:r w:rsidR="001A495B" w:rsidRPr="002F5F9C">
              <w:rPr>
                <w:rFonts w:ascii="標楷體" w:eastAsia="標楷體" w:hAnsi="標楷體" w:hint="eastAsia"/>
              </w:rPr>
              <w:t>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建議應儘速推動5歲幼兒教育義務化，使幼兒得到更好教育資源，減輕家長養育年幼子女負擔，以厚植國家未來資產。(</w:t>
            </w:r>
            <w:r w:rsidRPr="001A495B">
              <w:rPr>
                <w:color w:val="000000" w:themeColor="text1"/>
              </w:rPr>
              <w:t>3</w:t>
            </w:r>
            <w:r w:rsidRPr="001A495B">
              <w:rPr>
                <w:rFonts w:hint="eastAsia"/>
                <w:color w:val="000000" w:themeColor="text1"/>
              </w:rPr>
              <w:t>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國民教育法第二條、第三條及第六條條文修正草案</w:t>
            </w:r>
          </w:p>
          <w:p w:rsidR="001A495B" w:rsidRPr="001A495B" w:rsidRDefault="001A495B" w:rsidP="001A495B">
            <w:pPr>
              <w:pStyle w:val="0-"/>
              <w:rPr>
                <w:color w:val="000000" w:themeColor="text1"/>
              </w:rPr>
            </w:pPr>
            <w:r w:rsidRPr="001A495B">
              <w:rPr>
                <w:rFonts w:hint="eastAsia"/>
                <w:color w:val="000000" w:themeColor="text1"/>
              </w:rPr>
              <w:t>(委員張育美等17人)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10-5-9</w:t>
            </w:r>
          </w:p>
          <w:p w:rsidR="001A495B" w:rsidRPr="001A495B" w:rsidRDefault="001A495B" w:rsidP="00F70E7C">
            <w:pPr>
              <w:pStyle w:val="0-"/>
              <w:rPr>
                <w:color w:val="000000" w:themeColor="text1"/>
              </w:rPr>
            </w:pPr>
            <w:r w:rsidRPr="001A495B">
              <w:rPr>
                <w:color w:val="000000" w:themeColor="text1"/>
              </w:rPr>
              <w:t>(111.4.22)</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2F5F9C" w:rsidRDefault="001A495B" w:rsidP="002F5F9C">
            <w:pPr>
              <w:kinsoku w:val="0"/>
              <w:overflowPunct w:val="0"/>
              <w:autoSpaceDE w:val="0"/>
              <w:autoSpaceDN w:val="0"/>
              <w:ind w:left="240" w:hangingChars="100" w:hanging="240"/>
              <w:jc w:val="both"/>
              <w:rPr>
                <w:rFonts w:ascii="標楷體" w:eastAsia="標楷體" w:hAnsi="標楷體"/>
              </w:rPr>
            </w:pPr>
            <w:r w:rsidRPr="002F5F9C">
              <w:rPr>
                <w:rFonts w:ascii="標楷體" w:eastAsia="標楷體" w:hAnsi="標楷體" w:hint="eastAsia"/>
              </w:rPr>
              <w:t>1</w:t>
            </w:r>
            <w:r w:rsidRPr="002F5F9C">
              <w:rPr>
                <w:rFonts w:ascii="標楷體" w:eastAsia="標楷體" w:hAnsi="標楷體"/>
              </w:rPr>
              <w:t>.</w:t>
            </w:r>
            <w:r w:rsidRPr="002F5F9C">
              <w:rPr>
                <w:rFonts w:ascii="標楷體" w:eastAsia="標楷體" w:hAnsi="標楷體" w:hint="eastAsia"/>
              </w:rPr>
              <w:t>第</w:t>
            </w:r>
            <w:r w:rsidRPr="002F5F9C">
              <w:rPr>
                <w:rFonts w:ascii="標楷體" w:eastAsia="標楷體" w:hAnsi="標楷體"/>
              </w:rPr>
              <w:t>6</w:t>
            </w:r>
            <w:r w:rsidRPr="002F5F9C">
              <w:rPr>
                <w:rFonts w:ascii="標楷體" w:eastAsia="標楷體" w:hAnsi="標楷體" w:hint="eastAsia"/>
              </w:rPr>
              <w:t>會期第1</w:t>
            </w:r>
            <w:r w:rsidRPr="002F5F9C">
              <w:rPr>
                <w:rFonts w:ascii="標楷體" w:eastAsia="標楷體" w:hAnsi="標楷體"/>
              </w:rPr>
              <w:t>2</w:t>
            </w:r>
            <w:r w:rsidRPr="002F5F9C">
              <w:rPr>
                <w:rFonts w:ascii="標楷體" w:eastAsia="標楷體" w:hAnsi="標楷體" w:hint="eastAsia"/>
              </w:rPr>
              <w:t>次全體委員會議</w:t>
            </w:r>
            <w:r w:rsidRPr="000306DD">
              <w:rPr>
                <w:rFonts w:ascii="標楷體" w:eastAsia="標楷體" w:hAnsi="標楷體" w:hint="eastAsia"/>
                <w:spacing w:val="-10"/>
              </w:rPr>
              <w:t>(11</w:t>
            </w:r>
            <w:r w:rsidRPr="000306DD">
              <w:rPr>
                <w:rFonts w:ascii="標楷體" w:eastAsia="標楷體" w:hAnsi="標楷體"/>
                <w:spacing w:val="-10"/>
              </w:rPr>
              <w:t>1</w:t>
            </w:r>
            <w:r w:rsidRPr="000306DD">
              <w:rPr>
                <w:rFonts w:ascii="標楷體" w:eastAsia="標楷體" w:hAnsi="標楷體" w:hint="eastAsia"/>
                <w:spacing w:val="-10"/>
              </w:rPr>
              <w:t>.</w:t>
            </w:r>
            <w:r w:rsidRPr="000306DD">
              <w:rPr>
                <w:rFonts w:ascii="標楷體" w:eastAsia="標楷體" w:hAnsi="標楷體"/>
                <w:spacing w:val="-10"/>
              </w:rPr>
              <w:t>12</w:t>
            </w:r>
            <w:r w:rsidRPr="000306DD">
              <w:rPr>
                <w:rFonts w:ascii="標楷體" w:eastAsia="標楷體" w:hAnsi="標楷體" w:hint="eastAsia"/>
                <w:spacing w:val="-10"/>
              </w:rPr>
              <w:t>.</w:t>
            </w:r>
            <w:r w:rsidRPr="000306DD">
              <w:rPr>
                <w:rFonts w:ascii="標楷體" w:eastAsia="標楷體" w:hAnsi="標楷體"/>
                <w:spacing w:val="-10"/>
              </w:rPr>
              <w:t>1</w:t>
            </w:r>
            <w:r w:rsidRPr="000306DD">
              <w:rPr>
                <w:rFonts w:ascii="標楷體" w:eastAsia="標楷體" w:hAnsi="標楷體" w:hint="eastAsia"/>
                <w:spacing w:val="-10"/>
              </w:rPr>
              <w:t>)決議:</w:t>
            </w:r>
            <w:r w:rsidRPr="002F5F9C">
              <w:rPr>
                <w:rFonts w:ascii="標楷體" w:eastAsia="標楷體" w:hAnsi="標楷體" w:hint="eastAsia"/>
              </w:rPr>
              <w:t>報告及詢答完畢，另定期繼續審查。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為推動義務教育延伸至五歲幼教，以促進社會青年生、養育下一代之積極意願。(</w:t>
            </w:r>
            <w:r w:rsidRPr="001A495B">
              <w:rPr>
                <w:color w:val="000000" w:themeColor="text1"/>
              </w:rPr>
              <w:t>3</w:t>
            </w:r>
            <w:r w:rsidRPr="001A495B">
              <w:rPr>
                <w:rFonts w:hint="eastAsia"/>
                <w:color w:val="000000" w:themeColor="text1"/>
              </w:rPr>
              <w:t>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國民教育法第二條、第三條及第六條條文修正草案</w:t>
            </w:r>
          </w:p>
          <w:p w:rsidR="001A495B" w:rsidRPr="001A495B" w:rsidRDefault="001A495B" w:rsidP="001A495B">
            <w:pPr>
              <w:pStyle w:val="0-"/>
              <w:rPr>
                <w:color w:val="000000" w:themeColor="text1"/>
              </w:rPr>
            </w:pPr>
            <w:r w:rsidRPr="001A495B">
              <w:rPr>
                <w:rFonts w:hint="eastAsia"/>
                <w:color w:val="000000" w:themeColor="text1"/>
              </w:rPr>
              <w:t>(委員廖婉汝等22人)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10-5-11</w:t>
            </w:r>
          </w:p>
          <w:p w:rsidR="001A495B" w:rsidRPr="001A495B" w:rsidRDefault="001A495B" w:rsidP="00F70E7C">
            <w:pPr>
              <w:pStyle w:val="0-"/>
              <w:rPr>
                <w:color w:val="000000" w:themeColor="text1"/>
              </w:rPr>
            </w:pPr>
            <w:r w:rsidRPr="001A495B">
              <w:rPr>
                <w:color w:val="000000" w:themeColor="text1"/>
              </w:rPr>
              <w:t>(111.5.6)</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2F5F9C" w:rsidRDefault="001A495B" w:rsidP="002F5F9C">
            <w:pPr>
              <w:kinsoku w:val="0"/>
              <w:overflowPunct w:val="0"/>
              <w:autoSpaceDE w:val="0"/>
              <w:autoSpaceDN w:val="0"/>
              <w:ind w:left="240" w:hangingChars="100" w:hanging="240"/>
              <w:jc w:val="both"/>
              <w:rPr>
                <w:rFonts w:ascii="標楷體" w:eastAsia="標楷體" w:hAnsi="標楷體"/>
              </w:rPr>
            </w:pPr>
            <w:r w:rsidRPr="002F5F9C">
              <w:rPr>
                <w:rFonts w:ascii="標楷體" w:eastAsia="標楷體" w:hAnsi="標楷體" w:hint="eastAsia"/>
              </w:rPr>
              <w:t>1</w:t>
            </w:r>
            <w:r w:rsidRPr="002F5F9C">
              <w:rPr>
                <w:rFonts w:ascii="標楷體" w:eastAsia="標楷體" w:hAnsi="標楷體"/>
              </w:rPr>
              <w:t>.</w:t>
            </w:r>
            <w:r w:rsidRPr="002F5F9C">
              <w:rPr>
                <w:rFonts w:ascii="標楷體" w:eastAsia="標楷體" w:hAnsi="標楷體" w:hint="eastAsia"/>
              </w:rPr>
              <w:t>第</w:t>
            </w:r>
            <w:r w:rsidRPr="002F5F9C">
              <w:rPr>
                <w:rFonts w:ascii="標楷體" w:eastAsia="標楷體" w:hAnsi="標楷體"/>
              </w:rPr>
              <w:t>6</w:t>
            </w:r>
            <w:r w:rsidRPr="002F5F9C">
              <w:rPr>
                <w:rFonts w:ascii="標楷體" w:eastAsia="標楷體" w:hAnsi="標楷體" w:hint="eastAsia"/>
              </w:rPr>
              <w:t>會期第1</w:t>
            </w:r>
            <w:r w:rsidRPr="002F5F9C">
              <w:rPr>
                <w:rFonts w:ascii="標楷體" w:eastAsia="標楷體" w:hAnsi="標楷體"/>
              </w:rPr>
              <w:t>2</w:t>
            </w:r>
            <w:r w:rsidRPr="002F5F9C">
              <w:rPr>
                <w:rFonts w:ascii="標楷體" w:eastAsia="標楷體" w:hAnsi="標楷體" w:hint="eastAsia"/>
              </w:rPr>
              <w:t>次全體委員會議</w:t>
            </w:r>
            <w:r w:rsidRPr="000306DD">
              <w:rPr>
                <w:rFonts w:ascii="標楷體" w:eastAsia="標楷體" w:hAnsi="標楷體" w:hint="eastAsia"/>
                <w:spacing w:val="-10"/>
              </w:rPr>
              <w:t>(11</w:t>
            </w:r>
            <w:r w:rsidRPr="000306DD">
              <w:rPr>
                <w:rFonts w:ascii="標楷體" w:eastAsia="標楷體" w:hAnsi="標楷體"/>
                <w:spacing w:val="-10"/>
              </w:rPr>
              <w:t>1</w:t>
            </w:r>
            <w:r w:rsidRPr="000306DD">
              <w:rPr>
                <w:rFonts w:ascii="標楷體" w:eastAsia="標楷體" w:hAnsi="標楷體" w:hint="eastAsia"/>
                <w:spacing w:val="-10"/>
              </w:rPr>
              <w:t>.</w:t>
            </w:r>
            <w:r w:rsidRPr="000306DD">
              <w:rPr>
                <w:rFonts w:ascii="標楷體" w:eastAsia="標楷體" w:hAnsi="標楷體"/>
                <w:spacing w:val="-10"/>
              </w:rPr>
              <w:t>12</w:t>
            </w:r>
            <w:r w:rsidRPr="000306DD">
              <w:rPr>
                <w:rFonts w:ascii="標楷體" w:eastAsia="標楷體" w:hAnsi="標楷體" w:hint="eastAsia"/>
                <w:spacing w:val="-10"/>
              </w:rPr>
              <w:t>.</w:t>
            </w:r>
            <w:r w:rsidRPr="000306DD">
              <w:rPr>
                <w:rFonts w:ascii="標楷體" w:eastAsia="標楷體" w:hAnsi="標楷體"/>
                <w:spacing w:val="-10"/>
              </w:rPr>
              <w:t>1</w:t>
            </w:r>
            <w:r w:rsidRPr="000306DD">
              <w:rPr>
                <w:rFonts w:ascii="標楷體" w:eastAsia="標楷體" w:hAnsi="標楷體" w:hint="eastAsia"/>
                <w:spacing w:val="-10"/>
              </w:rPr>
              <w:t>)決議:</w:t>
            </w:r>
            <w:r w:rsidRPr="002F5F9C">
              <w:rPr>
                <w:rFonts w:ascii="標楷體" w:eastAsia="標楷體" w:hAnsi="標楷體" w:hint="eastAsia"/>
              </w:rPr>
              <w:t>報告及詢答完畢，另定期繼續審查。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為提升每位學齡前之幼兒受教育之機會與公平性提升、減輕父母生育負擔。(3條)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國民教育法第八條之二及第八條之三條文</w:t>
            </w:r>
            <w:r w:rsidRPr="001A495B">
              <w:rPr>
                <w:rFonts w:hint="eastAsia"/>
                <w:color w:val="000000" w:themeColor="text1"/>
              </w:rPr>
              <w:lastRenderedPageBreak/>
              <w:t>修正草案</w:t>
            </w:r>
          </w:p>
          <w:p w:rsidR="001A495B" w:rsidRPr="001A495B" w:rsidRDefault="001A495B" w:rsidP="001A495B">
            <w:pPr>
              <w:pStyle w:val="0-"/>
              <w:rPr>
                <w:color w:val="000000" w:themeColor="text1"/>
              </w:rPr>
            </w:pPr>
            <w:r w:rsidRPr="001A495B">
              <w:rPr>
                <w:rFonts w:hint="eastAsia"/>
                <w:color w:val="000000" w:themeColor="text1"/>
              </w:rPr>
              <w:t>(委員賴品妤等16人)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lastRenderedPageBreak/>
              <w:t>10-5-11</w:t>
            </w:r>
          </w:p>
          <w:p w:rsidR="001A495B" w:rsidRPr="001A495B" w:rsidRDefault="001A495B" w:rsidP="00F70E7C">
            <w:pPr>
              <w:pStyle w:val="0-"/>
              <w:rPr>
                <w:color w:val="000000" w:themeColor="text1"/>
              </w:rPr>
            </w:pPr>
            <w:r w:rsidRPr="001A495B">
              <w:rPr>
                <w:color w:val="000000" w:themeColor="text1"/>
              </w:rPr>
              <w:t>(111.5.6)</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2F5F9C" w:rsidRDefault="001A495B" w:rsidP="002F5F9C">
            <w:pPr>
              <w:kinsoku w:val="0"/>
              <w:overflowPunct w:val="0"/>
              <w:autoSpaceDE w:val="0"/>
              <w:autoSpaceDN w:val="0"/>
              <w:ind w:left="240" w:hangingChars="100" w:hanging="240"/>
              <w:jc w:val="both"/>
              <w:rPr>
                <w:rFonts w:ascii="標楷體" w:eastAsia="標楷體" w:hAnsi="標楷體"/>
              </w:rPr>
            </w:pPr>
            <w:r w:rsidRPr="002F5F9C">
              <w:rPr>
                <w:rFonts w:ascii="標楷體" w:eastAsia="標楷體" w:hAnsi="標楷體" w:hint="eastAsia"/>
              </w:rPr>
              <w:t>1</w:t>
            </w:r>
            <w:r w:rsidRPr="002F5F9C">
              <w:rPr>
                <w:rFonts w:ascii="標楷體" w:eastAsia="標楷體" w:hAnsi="標楷體"/>
              </w:rPr>
              <w:t>.</w:t>
            </w:r>
            <w:r w:rsidRPr="002F5F9C">
              <w:rPr>
                <w:rFonts w:ascii="標楷體" w:eastAsia="標楷體" w:hAnsi="標楷體" w:hint="eastAsia"/>
              </w:rPr>
              <w:t>第</w:t>
            </w:r>
            <w:r w:rsidRPr="002F5F9C">
              <w:rPr>
                <w:rFonts w:ascii="標楷體" w:eastAsia="標楷體" w:hAnsi="標楷體"/>
              </w:rPr>
              <w:t>6</w:t>
            </w:r>
            <w:r w:rsidRPr="002F5F9C">
              <w:rPr>
                <w:rFonts w:ascii="標楷體" w:eastAsia="標楷體" w:hAnsi="標楷體" w:hint="eastAsia"/>
              </w:rPr>
              <w:t>會期第1</w:t>
            </w:r>
            <w:r w:rsidRPr="002F5F9C">
              <w:rPr>
                <w:rFonts w:ascii="標楷體" w:eastAsia="標楷體" w:hAnsi="標楷體"/>
              </w:rPr>
              <w:t>2</w:t>
            </w:r>
            <w:r w:rsidRPr="002F5F9C">
              <w:rPr>
                <w:rFonts w:ascii="標楷體" w:eastAsia="標楷體" w:hAnsi="標楷體" w:hint="eastAsia"/>
              </w:rPr>
              <w:t>次全體委員會議</w:t>
            </w:r>
            <w:r w:rsidRPr="000306DD">
              <w:rPr>
                <w:rFonts w:ascii="標楷體" w:eastAsia="標楷體" w:hAnsi="標楷體" w:hint="eastAsia"/>
                <w:spacing w:val="-10"/>
              </w:rPr>
              <w:lastRenderedPageBreak/>
              <w:t>(11</w:t>
            </w:r>
            <w:r w:rsidRPr="000306DD">
              <w:rPr>
                <w:rFonts w:ascii="標楷體" w:eastAsia="標楷體" w:hAnsi="標楷體"/>
                <w:spacing w:val="-10"/>
              </w:rPr>
              <w:t>1</w:t>
            </w:r>
            <w:r w:rsidRPr="000306DD">
              <w:rPr>
                <w:rFonts w:ascii="標楷體" w:eastAsia="標楷體" w:hAnsi="標楷體" w:hint="eastAsia"/>
                <w:spacing w:val="-10"/>
              </w:rPr>
              <w:t>.</w:t>
            </w:r>
            <w:r w:rsidRPr="000306DD">
              <w:rPr>
                <w:rFonts w:ascii="標楷體" w:eastAsia="標楷體" w:hAnsi="標楷體"/>
                <w:spacing w:val="-10"/>
              </w:rPr>
              <w:t>12</w:t>
            </w:r>
            <w:r w:rsidRPr="000306DD">
              <w:rPr>
                <w:rFonts w:ascii="標楷體" w:eastAsia="標楷體" w:hAnsi="標楷體" w:hint="eastAsia"/>
                <w:spacing w:val="-10"/>
              </w:rPr>
              <w:t>.</w:t>
            </w:r>
            <w:r w:rsidRPr="000306DD">
              <w:rPr>
                <w:rFonts w:ascii="標楷體" w:eastAsia="標楷體" w:hAnsi="標楷體"/>
                <w:spacing w:val="-10"/>
              </w:rPr>
              <w:t>1</w:t>
            </w:r>
            <w:r w:rsidRPr="000306DD">
              <w:rPr>
                <w:rFonts w:ascii="標楷體" w:eastAsia="標楷體" w:hAnsi="標楷體" w:hint="eastAsia"/>
                <w:spacing w:val="-10"/>
              </w:rPr>
              <w:t>)決議:</w:t>
            </w:r>
            <w:r w:rsidRPr="002F5F9C">
              <w:rPr>
                <w:rFonts w:ascii="標楷體" w:eastAsia="標楷體" w:hAnsi="標楷體" w:hint="eastAsia"/>
              </w:rPr>
              <w:t>報告及詢答完畢，另定期繼續審查。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lastRenderedPageBreak/>
              <w:t>參考高級中等教育法修正相</w:t>
            </w:r>
            <w:r w:rsidRPr="001A495B">
              <w:rPr>
                <w:rFonts w:hint="eastAsia"/>
                <w:color w:val="000000" w:themeColor="text1"/>
              </w:rPr>
              <w:lastRenderedPageBreak/>
              <w:t>關規定，明定屬國家教育研究院權責。(2條)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國民教育法第二十條之一條文修正草案</w:t>
            </w:r>
          </w:p>
          <w:p w:rsidR="001A495B" w:rsidRPr="001A495B" w:rsidRDefault="001A495B" w:rsidP="001A495B">
            <w:pPr>
              <w:pStyle w:val="0-"/>
              <w:rPr>
                <w:color w:val="000000" w:themeColor="text1"/>
              </w:rPr>
            </w:pPr>
            <w:r w:rsidRPr="001A495B">
              <w:rPr>
                <w:rFonts w:hint="eastAsia"/>
                <w:color w:val="000000" w:themeColor="text1"/>
              </w:rPr>
              <w:t>(委員賴品妤等16人)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10-5-11</w:t>
            </w:r>
          </w:p>
          <w:p w:rsidR="001A495B" w:rsidRPr="001A495B" w:rsidRDefault="001A495B" w:rsidP="00F70E7C">
            <w:pPr>
              <w:pStyle w:val="0-"/>
              <w:rPr>
                <w:color w:val="000000" w:themeColor="text1"/>
              </w:rPr>
            </w:pPr>
            <w:r w:rsidRPr="001A495B">
              <w:rPr>
                <w:color w:val="000000" w:themeColor="text1"/>
              </w:rPr>
              <w:t>(111.5.6)</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2F5F9C" w:rsidRDefault="001A495B" w:rsidP="002F5F9C">
            <w:pPr>
              <w:kinsoku w:val="0"/>
              <w:overflowPunct w:val="0"/>
              <w:autoSpaceDE w:val="0"/>
              <w:autoSpaceDN w:val="0"/>
              <w:ind w:left="240" w:hangingChars="100" w:hanging="240"/>
              <w:jc w:val="both"/>
              <w:rPr>
                <w:rFonts w:ascii="標楷體" w:eastAsia="標楷體" w:hAnsi="標楷體"/>
              </w:rPr>
            </w:pPr>
            <w:r w:rsidRPr="002F5F9C">
              <w:rPr>
                <w:rFonts w:ascii="標楷體" w:eastAsia="標楷體" w:hAnsi="標楷體" w:hint="eastAsia"/>
              </w:rPr>
              <w:t>1</w:t>
            </w:r>
            <w:r w:rsidRPr="002F5F9C">
              <w:rPr>
                <w:rFonts w:ascii="標楷體" w:eastAsia="標楷體" w:hAnsi="標楷體"/>
              </w:rPr>
              <w:t>.</w:t>
            </w:r>
            <w:r w:rsidRPr="002F5F9C">
              <w:rPr>
                <w:rFonts w:ascii="標楷體" w:eastAsia="標楷體" w:hAnsi="標楷體" w:hint="eastAsia"/>
              </w:rPr>
              <w:t>第</w:t>
            </w:r>
            <w:r w:rsidRPr="002F5F9C">
              <w:rPr>
                <w:rFonts w:ascii="標楷體" w:eastAsia="標楷體" w:hAnsi="標楷體"/>
              </w:rPr>
              <w:t>6</w:t>
            </w:r>
            <w:r w:rsidRPr="002F5F9C">
              <w:rPr>
                <w:rFonts w:ascii="標楷體" w:eastAsia="標楷體" w:hAnsi="標楷體" w:hint="eastAsia"/>
              </w:rPr>
              <w:t>會期第1</w:t>
            </w:r>
            <w:r w:rsidRPr="002F5F9C">
              <w:rPr>
                <w:rFonts w:ascii="標楷體" w:eastAsia="標楷體" w:hAnsi="標楷體"/>
              </w:rPr>
              <w:t>2</w:t>
            </w:r>
            <w:r w:rsidRPr="002F5F9C">
              <w:rPr>
                <w:rFonts w:ascii="標楷體" w:eastAsia="標楷體" w:hAnsi="標楷體" w:hint="eastAsia"/>
              </w:rPr>
              <w:t>次全體委員會議</w:t>
            </w:r>
            <w:r w:rsidRPr="000306DD">
              <w:rPr>
                <w:rFonts w:ascii="標楷體" w:eastAsia="標楷體" w:hAnsi="標楷體" w:hint="eastAsia"/>
                <w:spacing w:val="-10"/>
              </w:rPr>
              <w:t>(11</w:t>
            </w:r>
            <w:r w:rsidRPr="000306DD">
              <w:rPr>
                <w:rFonts w:ascii="標楷體" w:eastAsia="標楷體" w:hAnsi="標楷體"/>
                <w:spacing w:val="-10"/>
              </w:rPr>
              <w:t>1</w:t>
            </w:r>
            <w:r w:rsidRPr="000306DD">
              <w:rPr>
                <w:rFonts w:ascii="標楷體" w:eastAsia="標楷體" w:hAnsi="標楷體" w:hint="eastAsia"/>
                <w:spacing w:val="-10"/>
              </w:rPr>
              <w:t>.</w:t>
            </w:r>
            <w:r w:rsidRPr="000306DD">
              <w:rPr>
                <w:rFonts w:ascii="標楷體" w:eastAsia="標楷體" w:hAnsi="標楷體"/>
                <w:spacing w:val="-10"/>
              </w:rPr>
              <w:t>12</w:t>
            </w:r>
            <w:r w:rsidRPr="000306DD">
              <w:rPr>
                <w:rFonts w:ascii="標楷體" w:eastAsia="標楷體" w:hAnsi="標楷體" w:hint="eastAsia"/>
                <w:spacing w:val="-10"/>
              </w:rPr>
              <w:t>.</w:t>
            </w:r>
            <w:r w:rsidRPr="000306DD">
              <w:rPr>
                <w:rFonts w:ascii="標楷體" w:eastAsia="標楷體" w:hAnsi="標楷體"/>
                <w:spacing w:val="-10"/>
              </w:rPr>
              <w:t>1</w:t>
            </w:r>
            <w:r w:rsidRPr="000306DD">
              <w:rPr>
                <w:rFonts w:ascii="標楷體" w:eastAsia="標楷體" w:hAnsi="標楷體" w:hint="eastAsia"/>
                <w:spacing w:val="-10"/>
              </w:rPr>
              <w:t>)決議:</w:t>
            </w:r>
            <w:r w:rsidRPr="002F5F9C">
              <w:rPr>
                <w:rFonts w:ascii="標楷體" w:eastAsia="標楷體" w:hAnsi="標楷體" w:hint="eastAsia"/>
              </w:rPr>
              <w:t>報告及詢答完畢，另定期繼續審查。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各地各校之申訴機制也多有不同，且屢發生不夠公正專業及對學生不友善之爭議，致使學生權益受損。(1條)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國民教育法第二條、第三條及第六條條文修正草案</w:t>
            </w:r>
          </w:p>
          <w:p w:rsidR="001A495B" w:rsidRPr="001A495B" w:rsidRDefault="001A495B" w:rsidP="001A495B">
            <w:pPr>
              <w:pStyle w:val="0-"/>
              <w:rPr>
                <w:color w:val="000000" w:themeColor="text1"/>
              </w:rPr>
            </w:pPr>
            <w:r w:rsidRPr="001A495B">
              <w:rPr>
                <w:rFonts w:hint="eastAsia"/>
                <w:color w:val="000000" w:themeColor="text1"/>
              </w:rPr>
              <w:t>(委員陳玉珍等18人)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10-5-11</w:t>
            </w:r>
          </w:p>
          <w:p w:rsidR="001A495B" w:rsidRPr="001A495B" w:rsidRDefault="001A495B" w:rsidP="00F70E7C">
            <w:pPr>
              <w:pStyle w:val="0-"/>
              <w:rPr>
                <w:color w:val="000000" w:themeColor="text1"/>
              </w:rPr>
            </w:pPr>
            <w:r w:rsidRPr="001A495B">
              <w:rPr>
                <w:color w:val="000000" w:themeColor="text1"/>
              </w:rPr>
              <w:t>(111.5.6)</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2F5F9C" w:rsidRDefault="001A495B" w:rsidP="002F5F9C">
            <w:pPr>
              <w:kinsoku w:val="0"/>
              <w:overflowPunct w:val="0"/>
              <w:autoSpaceDE w:val="0"/>
              <w:autoSpaceDN w:val="0"/>
              <w:ind w:left="240" w:hangingChars="100" w:hanging="240"/>
              <w:jc w:val="both"/>
              <w:rPr>
                <w:rFonts w:ascii="標楷體" w:eastAsia="標楷體" w:hAnsi="標楷體"/>
              </w:rPr>
            </w:pPr>
            <w:r w:rsidRPr="002F5F9C">
              <w:rPr>
                <w:rFonts w:ascii="標楷體" w:eastAsia="標楷體" w:hAnsi="標楷體" w:hint="eastAsia"/>
              </w:rPr>
              <w:t>1</w:t>
            </w:r>
            <w:r w:rsidRPr="002F5F9C">
              <w:rPr>
                <w:rFonts w:ascii="標楷體" w:eastAsia="標楷體" w:hAnsi="標楷體"/>
              </w:rPr>
              <w:t>.</w:t>
            </w:r>
            <w:r w:rsidRPr="002F5F9C">
              <w:rPr>
                <w:rFonts w:ascii="標楷體" w:eastAsia="標楷體" w:hAnsi="標楷體" w:hint="eastAsia"/>
              </w:rPr>
              <w:t>第</w:t>
            </w:r>
            <w:r w:rsidRPr="002F5F9C">
              <w:rPr>
                <w:rFonts w:ascii="標楷體" w:eastAsia="標楷體" w:hAnsi="標楷體"/>
              </w:rPr>
              <w:t>6</w:t>
            </w:r>
            <w:r w:rsidRPr="002F5F9C">
              <w:rPr>
                <w:rFonts w:ascii="標楷體" w:eastAsia="標楷體" w:hAnsi="標楷體" w:hint="eastAsia"/>
              </w:rPr>
              <w:t>會期第1</w:t>
            </w:r>
            <w:r w:rsidRPr="002F5F9C">
              <w:rPr>
                <w:rFonts w:ascii="標楷體" w:eastAsia="標楷體" w:hAnsi="標楷體"/>
              </w:rPr>
              <w:t>2</w:t>
            </w:r>
            <w:r w:rsidRPr="002F5F9C">
              <w:rPr>
                <w:rFonts w:ascii="標楷體" w:eastAsia="標楷體" w:hAnsi="標楷體" w:hint="eastAsia"/>
              </w:rPr>
              <w:t>次全體委員會議</w:t>
            </w:r>
            <w:r w:rsidRPr="000306DD">
              <w:rPr>
                <w:rFonts w:ascii="標楷體" w:eastAsia="標楷體" w:hAnsi="標楷體" w:hint="eastAsia"/>
                <w:spacing w:val="-10"/>
              </w:rPr>
              <w:t>(11</w:t>
            </w:r>
            <w:r w:rsidRPr="000306DD">
              <w:rPr>
                <w:rFonts w:ascii="標楷體" w:eastAsia="標楷體" w:hAnsi="標楷體"/>
                <w:spacing w:val="-10"/>
              </w:rPr>
              <w:t>1</w:t>
            </w:r>
            <w:r w:rsidRPr="000306DD">
              <w:rPr>
                <w:rFonts w:ascii="標楷體" w:eastAsia="標楷體" w:hAnsi="標楷體" w:hint="eastAsia"/>
                <w:spacing w:val="-10"/>
              </w:rPr>
              <w:t>.</w:t>
            </w:r>
            <w:r w:rsidRPr="000306DD">
              <w:rPr>
                <w:rFonts w:ascii="標楷體" w:eastAsia="標楷體" w:hAnsi="標楷體"/>
                <w:spacing w:val="-10"/>
              </w:rPr>
              <w:t>12</w:t>
            </w:r>
            <w:r w:rsidRPr="000306DD">
              <w:rPr>
                <w:rFonts w:ascii="標楷體" w:eastAsia="標楷體" w:hAnsi="標楷體" w:hint="eastAsia"/>
                <w:spacing w:val="-10"/>
              </w:rPr>
              <w:t>.</w:t>
            </w:r>
            <w:r w:rsidRPr="000306DD">
              <w:rPr>
                <w:rFonts w:ascii="標楷體" w:eastAsia="標楷體" w:hAnsi="標楷體"/>
                <w:spacing w:val="-10"/>
              </w:rPr>
              <w:t>1</w:t>
            </w:r>
            <w:r w:rsidRPr="000306DD">
              <w:rPr>
                <w:rFonts w:ascii="標楷體" w:eastAsia="標楷體" w:hAnsi="標楷體" w:hint="eastAsia"/>
                <w:spacing w:val="-10"/>
              </w:rPr>
              <w:t>)決議:</w:t>
            </w:r>
            <w:r w:rsidRPr="002F5F9C">
              <w:rPr>
                <w:rFonts w:ascii="標楷體" w:eastAsia="標楷體" w:hAnsi="標楷體" w:hint="eastAsia"/>
              </w:rPr>
              <w:t>報告及詢答完畢，另定期繼續審查。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良莠不齊的幼教品質亦損害家長幼教選擇權，五歲幼兒教育在普及與品質上仍有待加強。(3條)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國民教育法修正草案</w:t>
            </w:r>
          </w:p>
          <w:p w:rsidR="001A495B" w:rsidRPr="001A495B" w:rsidRDefault="001A495B" w:rsidP="001A495B">
            <w:pPr>
              <w:pStyle w:val="0-"/>
              <w:rPr>
                <w:color w:val="000000" w:themeColor="text1"/>
              </w:rPr>
            </w:pPr>
            <w:r w:rsidRPr="001A495B">
              <w:rPr>
                <w:rFonts w:hint="eastAsia"/>
                <w:color w:val="000000" w:themeColor="text1"/>
              </w:rPr>
              <w:t>(委員何志偉等22人)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10-5-13</w:t>
            </w:r>
          </w:p>
          <w:p w:rsidR="001A495B" w:rsidRPr="001A495B" w:rsidRDefault="001A495B" w:rsidP="00F70E7C">
            <w:pPr>
              <w:pStyle w:val="0-"/>
              <w:rPr>
                <w:color w:val="000000" w:themeColor="text1"/>
              </w:rPr>
            </w:pPr>
            <w:r w:rsidRPr="001A495B">
              <w:rPr>
                <w:color w:val="000000" w:themeColor="text1"/>
              </w:rPr>
              <w:t>(111.5.20)</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2F5F9C" w:rsidRDefault="001A495B" w:rsidP="002F5F9C">
            <w:pPr>
              <w:kinsoku w:val="0"/>
              <w:overflowPunct w:val="0"/>
              <w:autoSpaceDE w:val="0"/>
              <w:autoSpaceDN w:val="0"/>
              <w:ind w:left="240" w:hangingChars="100" w:hanging="240"/>
              <w:jc w:val="both"/>
              <w:rPr>
                <w:rFonts w:ascii="標楷體" w:eastAsia="標楷體" w:hAnsi="標楷體"/>
              </w:rPr>
            </w:pPr>
            <w:r w:rsidRPr="002F5F9C">
              <w:rPr>
                <w:rFonts w:ascii="標楷體" w:eastAsia="標楷體" w:hAnsi="標楷體" w:hint="eastAsia"/>
              </w:rPr>
              <w:t>1</w:t>
            </w:r>
            <w:r w:rsidRPr="002F5F9C">
              <w:rPr>
                <w:rFonts w:ascii="標楷體" w:eastAsia="標楷體" w:hAnsi="標楷體"/>
              </w:rPr>
              <w:t>.</w:t>
            </w:r>
            <w:r w:rsidRPr="002F5F9C">
              <w:rPr>
                <w:rFonts w:ascii="標楷體" w:eastAsia="標楷體" w:hAnsi="標楷體" w:hint="eastAsia"/>
              </w:rPr>
              <w:t>第</w:t>
            </w:r>
            <w:r w:rsidRPr="002F5F9C">
              <w:rPr>
                <w:rFonts w:ascii="標楷體" w:eastAsia="標楷體" w:hAnsi="標楷體"/>
              </w:rPr>
              <w:t>6</w:t>
            </w:r>
            <w:r w:rsidRPr="002F5F9C">
              <w:rPr>
                <w:rFonts w:ascii="標楷體" w:eastAsia="標楷體" w:hAnsi="標楷體" w:hint="eastAsia"/>
              </w:rPr>
              <w:t>會期第1</w:t>
            </w:r>
            <w:r w:rsidRPr="002F5F9C">
              <w:rPr>
                <w:rFonts w:ascii="標楷體" w:eastAsia="標楷體" w:hAnsi="標楷體"/>
              </w:rPr>
              <w:t>2</w:t>
            </w:r>
            <w:r w:rsidRPr="002F5F9C">
              <w:rPr>
                <w:rFonts w:ascii="標楷體" w:eastAsia="標楷體" w:hAnsi="標楷體" w:hint="eastAsia"/>
              </w:rPr>
              <w:t>次全體委員會議</w:t>
            </w:r>
            <w:r w:rsidRPr="000306DD">
              <w:rPr>
                <w:rFonts w:ascii="標楷體" w:eastAsia="標楷體" w:hAnsi="標楷體" w:hint="eastAsia"/>
                <w:spacing w:val="-10"/>
              </w:rPr>
              <w:t>(11</w:t>
            </w:r>
            <w:r w:rsidRPr="000306DD">
              <w:rPr>
                <w:rFonts w:ascii="標楷體" w:eastAsia="標楷體" w:hAnsi="標楷體"/>
                <w:spacing w:val="-10"/>
              </w:rPr>
              <w:t>1</w:t>
            </w:r>
            <w:r w:rsidRPr="000306DD">
              <w:rPr>
                <w:rFonts w:ascii="標楷體" w:eastAsia="標楷體" w:hAnsi="標楷體" w:hint="eastAsia"/>
                <w:spacing w:val="-10"/>
              </w:rPr>
              <w:t>.</w:t>
            </w:r>
            <w:r w:rsidRPr="000306DD">
              <w:rPr>
                <w:rFonts w:ascii="標楷體" w:eastAsia="標楷體" w:hAnsi="標楷體"/>
                <w:spacing w:val="-10"/>
              </w:rPr>
              <w:t>12</w:t>
            </w:r>
            <w:r w:rsidRPr="000306DD">
              <w:rPr>
                <w:rFonts w:ascii="標楷體" w:eastAsia="標楷體" w:hAnsi="標楷體" w:hint="eastAsia"/>
                <w:spacing w:val="-10"/>
              </w:rPr>
              <w:t>.</w:t>
            </w:r>
            <w:r w:rsidRPr="000306DD">
              <w:rPr>
                <w:rFonts w:ascii="標楷體" w:eastAsia="標楷體" w:hAnsi="標楷體"/>
                <w:spacing w:val="-10"/>
              </w:rPr>
              <w:t>1</w:t>
            </w:r>
            <w:r w:rsidRPr="000306DD">
              <w:rPr>
                <w:rFonts w:ascii="標楷體" w:eastAsia="標楷體" w:hAnsi="標楷體" w:hint="eastAsia"/>
                <w:spacing w:val="-10"/>
              </w:rPr>
              <w:t>)決議:</w:t>
            </w:r>
            <w:r w:rsidRPr="002F5F9C">
              <w:rPr>
                <w:rFonts w:ascii="標楷體" w:eastAsia="標楷體" w:hAnsi="標楷體" w:hint="eastAsia"/>
              </w:rPr>
              <w:t>報告及詢答完畢，另定期繼續審查。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相關國民補習教育之規定亦需一併從補習及進修教育法移列至國民教育法，故有必要加以修正，以因應國民教育發展需求。(61條)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國民教育法修正草案</w:t>
            </w:r>
          </w:p>
          <w:p w:rsidR="001A495B" w:rsidRPr="001A495B" w:rsidRDefault="001A495B" w:rsidP="001A495B">
            <w:pPr>
              <w:pStyle w:val="0-"/>
              <w:rPr>
                <w:color w:val="000000" w:themeColor="text1"/>
              </w:rPr>
            </w:pPr>
            <w:r w:rsidRPr="001A495B">
              <w:rPr>
                <w:rFonts w:hint="eastAsia"/>
                <w:color w:val="000000" w:themeColor="text1"/>
              </w:rPr>
              <w:t>(委員陳秀寳等</w:t>
            </w:r>
            <w:r w:rsidRPr="001A495B">
              <w:rPr>
                <w:color w:val="000000" w:themeColor="text1"/>
              </w:rPr>
              <w:t>20</w:t>
            </w:r>
            <w:r w:rsidRPr="001A495B">
              <w:rPr>
                <w:rFonts w:hint="eastAsia"/>
                <w:color w:val="000000" w:themeColor="text1"/>
              </w:rPr>
              <w:t>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10-5-1</w:t>
            </w:r>
            <w:r w:rsidRPr="001A495B">
              <w:rPr>
                <w:rFonts w:hint="eastAsia"/>
                <w:color w:val="000000" w:themeColor="text1"/>
              </w:rPr>
              <w:t>4</w:t>
            </w:r>
          </w:p>
          <w:p w:rsidR="001A495B" w:rsidRPr="001A495B" w:rsidRDefault="001A495B" w:rsidP="00F70E7C">
            <w:pPr>
              <w:pStyle w:val="0-"/>
              <w:rPr>
                <w:color w:val="000000" w:themeColor="text1"/>
              </w:rPr>
            </w:pPr>
            <w:r w:rsidRPr="001A495B">
              <w:rPr>
                <w:color w:val="000000" w:themeColor="text1"/>
              </w:rPr>
              <w:t>(111.5.</w:t>
            </w:r>
            <w:r w:rsidRPr="001A495B">
              <w:rPr>
                <w:rFonts w:hint="eastAsia"/>
                <w:color w:val="000000" w:themeColor="text1"/>
              </w:rPr>
              <w:t>27</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2F5F9C" w:rsidRDefault="001A495B" w:rsidP="002F5F9C">
            <w:pPr>
              <w:kinsoku w:val="0"/>
              <w:overflowPunct w:val="0"/>
              <w:autoSpaceDE w:val="0"/>
              <w:autoSpaceDN w:val="0"/>
              <w:ind w:left="240" w:hangingChars="100" w:hanging="240"/>
              <w:jc w:val="both"/>
              <w:rPr>
                <w:rFonts w:ascii="標楷體" w:eastAsia="標楷體" w:hAnsi="標楷體"/>
              </w:rPr>
            </w:pPr>
            <w:r w:rsidRPr="002F5F9C">
              <w:rPr>
                <w:rFonts w:ascii="標楷體" w:eastAsia="標楷體" w:hAnsi="標楷體" w:hint="eastAsia"/>
              </w:rPr>
              <w:t>1</w:t>
            </w:r>
            <w:r w:rsidRPr="002F5F9C">
              <w:rPr>
                <w:rFonts w:ascii="標楷體" w:eastAsia="標楷體" w:hAnsi="標楷體"/>
              </w:rPr>
              <w:t>.</w:t>
            </w:r>
            <w:r w:rsidRPr="002F5F9C">
              <w:rPr>
                <w:rFonts w:ascii="標楷體" w:eastAsia="標楷體" w:hAnsi="標楷體" w:hint="eastAsia"/>
              </w:rPr>
              <w:t>第</w:t>
            </w:r>
            <w:r w:rsidRPr="002F5F9C">
              <w:rPr>
                <w:rFonts w:ascii="標楷體" w:eastAsia="標楷體" w:hAnsi="標楷體"/>
              </w:rPr>
              <w:t>6</w:t>
            </w:r>
            <w:r w:rsidRPr="002F5F9C">
              <w:rPr>
                <w:rFonts w:ascii="標楷體" w:eastAsia="標楷體" w:hAnsi="標楷體" w:hint="eastAsia"/>
              </w:rPr>
              <w:t>會期第1</w:t>
            </w:r>
            <w:r w:rsidRPr="002F5F9C">
              <w:rPr>
                <w:rFonts w:ascii="標楷體" w:eastAsia="標楷體" w:hAnsi="標楷體"/>
              </w:rPr>
              <w:t>2</w:t>
            </w:r>
            <w:r w:rsidRPr="002F5F9C">
              <w:rPr>
                <w:rFonts w:ascii="標楷體" w:eastAsia="標楷體" w:hAnsi="標楷體" w:hint="eastAsia"/>
              </w:rPr>
              <w:t>次全體委員會議</w:t>
            </w:r>
            <w:r w:rsidRPr="000306DD">
              <w:rPr>
                <w:rFonts w:ascii="標楷體" w:eastAsia="標楷體" w:hAnsi="標楷體" w:hint="eastAsia"/>
                <w:spacing w:val="-10"/>
              </w:rPr>
              <w:t>(11</w:t>
            </w:r>
            <w:r w:rsidRPr="000306DD">
              <w:rPr>
                <w:rFonts w:ascii="標楷體" w:eastAsia="標楷體" w:hAnsi="標楷體"/>
                <w:spacing w:val="-10"/>
              </w:rPr>
              <w:t>1</w:t>
            </w:r>
            <w:r w:rsidRPr="000306DD">
              <w:rPr>
                <w:rFonts w:ascii="標楷體" w:eastAsia="標楷體" w:hAnsi="標楷體" w:hint="eastAsia"/>
                <w:spacing w:val="-10"/>
              </w:rPr>
              <w:t>.</w:t>
            </w:r>
            <w:r w:rsidRPr="000306DD">
              <w:rPr>
                <w:rFonts w:ascii="標楷體" w:eastAsia="標楷體" w:hAnsi="標楷體"/>
                <w:spacing w:val="-10"/>
              </w:rPr>
              <w:t>12</w:t>
            </w:r>
            <w:r w:rsidRPr="000306DD">
              <w:rPr>
                <w:rFonts w:ascii="標楷體" w:eastAsia="標楷體" w:hAnsi="標楷體" w:hint="eastAsia"/>
                <w:spacing w:val="-10"/>
              </w:rPr>
              <w:t>.</w:t>
            </w:r>
            <w:r w:rsidRPr="000306DD">
              <w:rPr>
                <w:rFonts w:ascii="標楷體" w:eastAsia="標楷體" w:hAnsi="標楷體"/>
                <w:spacing w:val="-10"/>
              </w:rPr>
              <w:t>1</w:t>
            </w:r>
            <w:r w:rsidRPr="000306DD">
              <w:rPr>
                <w:rFonts w:ascii="標楷體" w:eastAsia="標楷體" w:hAnsi="標楷體" w:hint="eastAsia"/>
                <w:spacing w:val="-10"/>
              </w:rPr>
              <w:t>)決議:</w:t>
            </w:r>
            <w:r w:rsidRPr="002F5F9C">
              <w:rPr>
                <w:rFonts w:ascii="標楷體" w:eastAsia="標楷體" w:hAnsi="標楷體" w:hint="eastAsia"/>
              </w:rPr>
              <w:t>報告及詢答完畢，另定期繼續審查。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本法規範結構及內容仍與國民教育現況有所落差，因應實務需求有必要進行全條文</w:t>
            </w:r>
            <w:r w:rsidRPr="001A495B">
              <w:rPr>
                <w:rFonts w:hint="eastAsia"/>
                <w:color w:val="000000" w:themeColor="text1"/>
              </w:rPr>
              <w:lastRenderedPageBreak/>
              <w:t>修正草案。(60條)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國民教育法第八條之一條文修正草案</w:t>
            </w:r>
          </w:p>
          <w:p w:rsidR="001A495B" w:rsidRPr="001A495B" w:rsidRDefault="001A495B" w:rsidP="001A495B">
            <w:pPr>
              <w:pStyle w:val="0-"/>
              <w:rPr>
                <w:color w:val="000000" w:themeColor="text1"/>
              </w:rPr>
            </w:pPr>
            <w:r w:rsidRPr="001A495B">
              <w:rPr>
                <w:rFonts w:hint="eastAsia"/>
                <w:color w:val="000000" w:themeColor="text1"/>
              </w:rPr>
              <w:t>(委員林文瑞等16人)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10-5-1</w:t>
            </w:r>
            <w:r w:rsidRPr="001A495B">
              <w:rPr>
                <w:rFonts w:hint="eastAsia"/>
                <w:color w:val="000000" w:themeColor="text1"/>
              </w:rPr>
              <w:t>4</w:t>
            </w:r>
          </w:p>
          <w:p w:rsidR="001A495B" w:rsidRPr="001A495B" w:rsidRDefault="001A495B" w:rsidP="00F70E7C">
            <w:pPr>
              <w:pStyle w:val="0-"/>
              <w:rPr>
                <w:color w:val="000000" w:themeColor="text1"/>
              </w:rPr>
            </w:pPr>
            <w:r w:rsidRPr="001A495B">
              <w:rPr>
                <w:color w:val="000000" w:themeColor="text1"/>
              </w:rPr>
              <w:t>(111.5.</w:t>
            </w:r>
            <w:r w:rsidRPr="001A495B">
              <w:rPr>
                <w:rFonts w:hint="eastAsia"/>
                <w:color w:val="000000" w:themeColor="text1"/>
              </w:rPr>
              <w:t>27</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2F5F9C" w:rsidRDefault="001A495B" w:rsidP="002F5F9C">
            <w:pPr>
              <w:kinsoku w:val="0"/>
              <w:overflowPunct w:val="0"/>
              <w:autoSpaceDE w:val="0"/>
              <w:autoSpaceDN w:val="0"/>
              <w:ind w:left="240" w:hangingChars="100" w:hanging="240"/>
              <w:jc w:val="both"/>
              <w:rPr>
                <w:rFonts w:ascii="標楷體" w:eastAsia="標楷體" w:hAnsi="標楷體"/>
              </w:rPr>
            </w:pPr>
            <w:r w:rsidRPr="002F5F9C">
              <w:rPr>
                <w:rFonts w:ascii="標楷體" w:eastAsia="標楷體" w:hAnsi="標楷體" w:hint="eastAsia"/>
              </w:rPr>
              <w:t>1</w:t>
            </w:r>
            <w:r w:rsidRPr="002F5F9C">
              <w:rPr>
                <w:rFonts w:ascii="標楷體" w:eastAsia="標楷體" w:hAnsi="標楷體"/>
              </w:rPr>
              <w:t>.</w:t>
            </w:r>
            <w:r w:rsidRPr="002F5F9C">
              <w:rPr>
                <w:rFonts w:ascii="標楷體" w:eastAsia="標楷體" w:hAnsi="標楷體" w:hint="eastAsia"/>
              </w:rPr>
              <w:t>第</w:t>
            </w:r>
            <w:r w:rsidRPr="002F5F9C">
              <w:rPr>
                <w:rFonts w:ascii="標楷體" w:eastAsia="標楷體" w:hAnsi="標楷體"/>
              </w:rPr>
              <w:t>6</w:t>
            </w:r>
            <w:r w:rsidRPr="002F5F9C">
              <w:rPr>
                <w:rFonts w:ascii="標楷體" w:eastAsia="標楷體" w:hAnsi="標楷體" w:hint="eastAsia"/>
              </w:rPr>
              <w:t>會期第1</w:t>
            </w:r>
            <w:r w:rsidRPr="002F5F9C">
              <w:rPr>
                <w:rFonts w:ascii="標楷體" w:eastAsia="標楷體" w:hAnsi="標楷體"/>
              </w:rPr>
              <w:t>2</w:t>
            </w:r>
            <w:r w:rsidRPr="002F5F9C">
              <w:rPr>
                <w:rFonts w:ascii="標楷體" w:eastAsia="標楷體" w:hAnsi="標楷體" w:hint="eastAsia"/>
              </w:rPr>
              <w:t>次全體委員會議</w:t>
            </w:r>
            <w:r w:rsidRPr="000306DD">
              <w:rPr>
                <w:rFonts w:ascii="標楷體" w:eastAsia="標楷體" w:hAnsi="標楷體" w:hint="eastAsia"/>
                <w:spacing w:val="-10"/>
              </w:rPr>
              <w:t>(11</w:t>
            </w:r>
            <w:r w:rsidRPr="000306DD">
              <w:rPr>
                <w:rFonts w:ascii="標楷體" w:eastAsia="標楷體" w:hAnsi="標楷體"/>
                <w:spacing w:val="-10"/>
              </w:rPr>
              <w:t>1</w:t>
            </w:r>
            <w:r w:rsidRPr="000306DD">
              <w:rPr>
                <w:rFonts w:ascii="標楷體" w:eastAsia="標楷體" w:hAnsi="標楷體" w:hint="eastAsia"/>
                <w:spacing w:val="-10"/>
              </w:rPr>
              <w:t>.</w:t>
            </w:r>
            <w:r w:rsidRPr="000306DD">
              <w:rPr>
                <w:rFonts w:ascii="標楷體" w:eastAsia="標楷體" w:hAnsi="標楷體"/>
                <w:spacing w:val="-10"/>
              </w:rPr>
              <w:t>12</w:t>
            </w:r>
            <w:r w:rsidRPr="000306DD">
              <w:rPr>
                <w:rFonts w:ascii="標楷體" w:eastAsia="標楷體" w:hAnsi="標楷體" w:hint="eastAsia"/>
                <w:spacing w:val="-10"/>
              </w:rPr>
              <w:t>.</w:t>
            </w:r>
            <w:r w:rsidRPr="000306DD">
              <w:rPr>
                <w:rFonts w:ascii="標楷體" w:eastAsia="標楷體" w:hAnsi="標楷體"/>
                <w:spacing w:val="-10"/>
              </w:rPr>
              <w:t>1</w:t>
            </w:r>
            <w:r w:rsidRPr="000306DD">
              <w:rPr>
                <w:rFonts w:ascii="標楷體" w:eastAsia="標楷體" w:hAnsi="標楷體" w:hint="eastAsia"/>
                <w:spacing w:val="-10"/>
              </w:rPr>
              <w:t>)決議:</w:t>
            </w:r>
            <w:r w:rsidRPr="002F5F9C">
              <w:rPr>
                <w:rFonts w:ascii="標楷體" w:eastAsia="標楷體" w:hAnsi="標楷體" w:hint="eastAsia"/>
              </w:rPr>
              <w:t>報告及詢答完畢，另定期繼續審查。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要求地方主管機關應主動調查就學交通不便之學生並提供相關協助措施。(1條)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國民教育法修正草案</w:t>
            </w:r>
          </w:p>
          <w:p w:rsidR="001A495B" w:rsidRPr="001A495B" w:rsidRDefault="001A495B" w:rsidP="001A495B">
            <w:pPr>
              <w:pStyle w:val="0-"/>
              <w:rPr>
                <w:color w:val="000000" w:themeColor="text1"/>
              </w:rPr>
            </w:pPr>
            <w:r w:rsidRPr="001A495B">
              <w:rPr>
                <w:rFonts w:hint="eastAsia"/>
                <w:color w:val="000000" w:themeColor="text1"/>
              </w:rPr>
              <w:t>(委員黃國書等17人)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10-6-2</w:t>
            </w:r>
          </w:p>
          <w:p w:rsidR="001A495B" w:rsidRPr="001A495B" w:rsidRDefault="001A495B" w:rsidP="00F70E7C">
            <w:pPr>
              <w:pStyle w:val="0-"/>
              <w:rPr>
                <w:color w:val="000000" w:themeColor="text1"/>
              </w:rPr>
            </w:pPr>
            <w:r w:rsidRPr="001A495B">
              <w:rPr>
                <w:color w:val="000000" w:themeColor="text1"/>
              </w:rPr>
              <w:t>(111.9.30)</w:t>
            </w:r>
          </w:p>
          <w:p w:rsidR="001A495B" w:rsidRPr="001A495B" w:rsidRDefault="001A495B" w:rsidP="00F70E7C">
            <w:pPr>
              <w:pStyle w:val="0-"/>
              <w:rPr>
                <w:color w:val="000000" w:themeColor="text1"/>
              </w:rPr>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2F5F9C" w:rsidRDefault="001A495B" w:rsidP="002F5F9C">
            <w:pPr>
              <w:kinsoku w:val="0"/>
              <w:overflowPunct w:val="0"/>
              <w:autoSpaceDE w:val="0"/>
              <w:autoSpaceDN w:val="0"/>
              <w:ind w:left="240" w:hangingChars="100" w:hanging="240"/>
              <w:jc w:val="both"/>
              <w:rPr>
                <w:rFonts w:ascii="標楷體" w:eastAsia="標楷體" w:hAnsi="標楷體"/>
              </w:rPr>
            </w:pPr>
            <w:r w:rsidRPr="002F5F9C">
              <w:rPr>
                <w:rFonts w:ascii="標楷體" w:eastAsia="標楷體" w:hAnsi="標楷體" w:hint="eastAsia"/>
              </w:rPr>
              <w:t>1</w:t>
            </w:r>
            <w:r w:rsidRPr="002F5F9C">
              <w:rPr>
                <w:rFonts w:ascii="標楷體" w:eastAsia="標楷體" w:hAnsi="標楷體"/>
              </w:rPr>
              <w:t>.</w:t>
            </w:r>
            <w:r w:rsidRPr="002F5F9C">
              <w:rPr>
                <w:rFonts w:ascii="標楷體" w:eastAsia="標楷體" w:hAnsi="標楷體" w:hint="eastAsia"/>
              </w:rPr>
              <w:t>第</w:t>
            </w:r>
            <w:r w:rsidRPr="002F5F9C">
              <w:rPr>
                <w:rFonts w:ascii="標楷體" w:eastAsia="標楷體" w:hAnsi="標楷體"/>
              </w:rPr>
              <w:t>6</w:t>
            </w:r>
            <w:r w:rsidRPr="002F5F9C">
              <w:rPr>
                <w:rFonts w:ascii="標楷體" w:eastAsia="標楷體" w:hAnsi="標楷體" w:hint="eastAsia"/>
              </w:rPr>
              <w:t>會期第1</w:t>
            </w:r>
            <w:r w:rsidRPr="002F5F9C">
              <w:rPr>
                <w:rFonts w:ascii="標楷體" w:eastAsia="標楷體" w:hAnsi="標楷體"/>
              </w:rPr>
              <w:t>2</w:t>
            </w:r>
            <w:r w:rsidRPr="002F5F9C">
              <w:rPr>
                <w:rFonts w:ascii="標楷體" w:eastAsia="標楷體" w:hAnsi="標楷體" w:hint="eastAsia"/>
              </w:rPr>
              <w:t>次全體委員會議</w:t>
            </w:r>
            <w:r w:rsidRPr="000306DD">
              <w:rPr>
                <w:rFonts w:ascii="標楷體" w:eastAsia="標楷體" w:hAnsi="標楷體" w:hint="eastAsia"/>
                <w:spacing w:val="-10"/>
              </w:rPr>
              <w:t>(11</w:t>
            </w:r>
            <w:r w:rsidRPr="000306DD">
              <w:rPr>
                <w:rFonts w:ascii="標楷體" w:eastAsia="標楷體" w:hAnsi="標楷體"/>
                <w:spacing w:val="-10"/>
              </w:rPr>
              <w:t>1</w:t>
            </w:r>
            <w:r w:rsidRPr="000306DD">
              <w:rPr>
                <w:rFonts w:ascii="標楷體" w:eastAsia="標楷體" w:hAnsi="標楷體" w:hint="eastAsia"/>
                <w:spacing w:val="-10"/>
              </w:rPr>
              <w:t>.</w:t>
            </w:r>
            <w:r w:rsidRPr="000306DD">
              <w:rPr>
                <w:rFonts w:ascii="標楷體" w:eastAsia="標楷體" w:hAnsi="標楷體"/>
                <w:spacing w:val="-10"/>
              </w:rPr>
              <w:t>12</w:t>
            </w:r>
            <w:r w:rsidRPr="000306DD">
              <w:rPr>
                <w:rFonts w:ascii="標楷體" w:eastAsia="標楷體" w:hAnsi="標楷體" w:hint="eastAsia"/>
                <w:spacing w:val="-10"/>
              </w:rPr>
              <w:t>.</w:t>
            </w:r>
            <w:r w:rsidRPr="000306DD">
              <w:rPr>
                <w:rFonts w:ascii="標楷體" w:eastAsia="標楷體" w:hAnsi="標楷體"/>
                <w:spacing w:val="-10"/>
              </w:rPr>
              <w:t>1</w:t>
            </w:r>
            <w:r w:rsidRPr="000306DD">
              <w:rPr>
                <w:rFonts w:ascii="標楷體" w:eastAsia="標楷體" w:hAnsi="標楷體" w:hint="eastAsia"/>
                <w:spacing w:val="-10"/>
              </w:rPr>
              <w:t>)決議:</w:t>
            </w:r>
            <w:r w:rsidRPr="002F5F9C">
              <w:rPr>
                <w:rFonts w:ascii="標楷體" w:eastAsia="標楷體" w:hAnsi="標楷體" w:hint="eastAsia"/>
              </w:rPr>
              <w:t>報告及詢答完畢，另定期繼續審查。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為因應社會環境與教育潮流之變遷，健全國民教育環境。(61條)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國民教育法第八條之三條文修正草案</w:t>
            </w:r>
          </w:p>
          <w:p w:rsidR="001A495B" w:rsidRPr="001A495B" w:rsidRDefault="001A495B" w:rsidP="001A495B">
            <w:pPr>
              <w:pStyle w:val="0-"/>
              <w:rPr>
                <w:color w:val="000000" w:themeColor="text1"/>
              </w:rPr>
            </w:pPr>
            <w:r w:rsidRPr="001A495B">
              <w:rPr>
                <w:rFonts w:hint="eastAsia"/>
                <w:color w:val="000000" w:themeColor="text1"/>
              </w:rPr>
              <w:t>(委員馬文君等16人</w:t>
            </w:r>
            <w:r w:rsidRPr="001A495B">
              <w:rPr>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10-6-4</w:t>
            </w:r>
          </w:p>
          <w:p w:rsidR="001A495B" w:rsidRPr="001A495B" w:rsidRDefault="001A495B" w:rsidP="00F70E7C">
            <w:pPr>
              <w:pStyle w:val="0-"/>
              <w:rPr>
                <w:color w:val="000000" w:themeColor="text1"/>
              </w:rPr>
            </w:pPr>
            <w:r w:rsidRPr="001A495B">
              <w:rPr>
                <w:color w:val="000000" w:themeColor="text1"/>
              </w:rPr>
              <w:t>(111.10.14)</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2F5F9C" w:rsidRDefault="001A495B" w:rsidP="002F5F9C">
            <w:pPr>
              <w:kinsoku w:val="0"/>
              <w:overflowPunct w:val="0"/>
              <w:autoSpaceDE w:val="0"/>
              <w:autoSpaceDN w:val="0"/>
              <w:ind w:left="240" w:hangingChars="100" w:hanging="240"/>
              <w:jc w:val="both"/>
              <w:rPr>
                <w:rFonts w:ascii="標楷體" w:eastAsia="標楷體" w:hAnsi="標楷體"/>
              </w:rPr>
            </w:pPr>
            <w:r w:rsidRPr="002F5F9C">
              <w:rPr>
                <w:rFonts w:ascii="標楷體" w:eastAsia="標楷體" w:hAnsi="標楷體" w:hint="eastAsia"/>
              </w:rPr>
              <w:t>1</w:t>
            </w:r>
            <w:r w:rsidRPr="002F5F9C">
              <w:rPr>
                <w:rFonts w:ascii="標楷體" w:eastAsia="標楷體" w:hAnsi="標楷體"/>
              </w:rPr>
              <w:t>.</w:t>
            </w:r>
            <w:r w:rsidRPr="002F5F9C">
              <w:rPr>
                <w:rFonts w:ascii="標楷體" w:eastAsia="標楷體" w:hAnsi="標楷體" w:hint="eastAsia"/>
              </w:rPr>
              <w:t>第</w:t>
            </w:r>
            <w:r w:rsidRPr="002F5F9C">
              <w:rPr>
                <w:rFonts w:ascii="標楷體" w:eastAsia="標楷體" w:hAnsi="標楷體"/>
              </w:rPr>
              <w:t>6</w:t>
            </w:r>
            <w:r w:rsidRPr="002F5F9C">
              <w:rPr>
                <w:rFonts w:ascii="標楷體" w:eastAsia="標楷體" w:hAnsi="標楷體" w:hint="eastAsia"/>
              </w:rPr>
              <w:t>會期第1</w:t>
            </w:r>
            <w:r w:rsidRPr="002F5F9C">
              <w:rPr>
                <w:rFonts w:ascii="標楷體" w:eastAsia="標楷體" w:hAnsi="標楷體"/>
              </w:rPr>
              <w:t>2</w:t>
            </w:r>
            <w:r w:rsidRPr="002F5F9C">
              <w:rPr>
                <w:rFonts w:ascii="標楷體" w:eastAsia="標楷體" w:hAnsi="標楷體" w:hint="eastAsia"/>
              </w:rPr>
              <w:t>次全體委員會議</w:t>
            </w:r>
            <w:r w:rsidRPr="000306DD">
              <w:rPr>
                <w:rFonts w:ascii="標楷體" w:eastAsia="標楷體" w:hAnsi="標楷體" w:hint="eastAsia"/>
                <w:spacing w:val="-10"/>
              </w:rPr>
              <w:t>(11</w:t>
            </w:r>
            <w:r w:rsidRPr="000306DD">
              <w:rPr>
                <w:rFonts w:ascii="標楷體" w:eastAsia="標楷體" w:hAnsi="標楷體"/>
                <w:spacing w:val="-10"/>
              </w:rPr>
              <w:t>1</w:t>
            </w:r>
            <w:r w:rsidRPr="000306DD">
              <w:rPr>
                <w:rFonts w:ascii="標楷體" w:eastAsia="標楷體" w:hAnsi="標楷體" w:hint="eastAsia"/>
                <w:spacing w:val="-10"/>
              </w:rPr>
              <w:t>.</w:t>
            </w:r>
            <w:r w:rsidRPr="000306DD">
              <w:rPr>
                <w:rFonts w:ascii="標楷體" w:eastAsia="標楷體" w:hAnsi="標楷體"/>
                <w:spacing w:val="-10"/>
              </w:rPr>
              <w:t>12</w:t>
            </w:r>
            <w:r w:rsidRPr="000306DD">
              <w:rPr>
                <w:rFonts w:ascii="標楷體" w:eastAsia="標楷體" w:hAnsi="標楷體" w:hint="eastAsia"/>
                <w:spacing w:val="-10"/>
              </w:rPr>
              <w:t>.</w:t>
            </w:r>
            <w:r w:rsidRPr="000306DD">
              <w:rPr>
                <w:rFonts w:ascii="標楷體" w:eastAsia="標楷體" w:hAnsi="標楷體"/>
                <w:spacing w:val="-10"/>
              </w:rPr>
              <w:t>1</w:t>
            </w:r>
            <w:r w:rsidRPr="000306DD">
              <w:rPr>
                <w:rFonts w:ascii="標楷體" w:eastAsia="標楷體" w:hAnsi="標楷體" w:hint="eastAsia"/>
                <w:spacing w:val="-10"/>
              </w:rPr>
              <w:t>)決議</w:t>
            </w:r>
            <w:r w:rsidRPr="002F5F9C">
              <w:rPr>
                <w:rFonts w:ascii="標楷體" w:eastAsia="標楷體" w:hAnsi="標楷體" w:hint="eastAsia"/>
              </w:rPr>
              <w:t>:報告及詢答完畢，另定期繼續審查。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有關學校藝術與人文、健康與體育、綜合活動等科目之教科用書，應免費借用予需要之學生，並增訂用畢收回，以助於推動教科書循環使用。(1條)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國民教育法第二十條之一條文修正草案</w:t>
            </w:r>
          </w:p>
          <w:p w:rsidR="001A495B" w:rsidRPr="001A495B" w:rsidRDefault="001A495B" w:rsidP="001A495B">
            <w:pPr>
              <w:pStyle w:val="0-"/>
              <w:rPr>
                <w:color w:val="000000" w:themeColor="text1"/>
              </w:rPr>
            </w:pPr>
            <w:r w:rsidRPr="001A495B">
              <w:rPr>
                <w:rFonts w:hint="eastAsia"/>
                <w:color w:val="000000" w:themeColor="text1"/>
              </w:rPr>
              <w:t>(委員吳思瑤等16人)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10-6-6</w:t>
            </w:r>
          </w:p>
          <w:p w:rsidR="001A495B" w:rsidRPr="001A495B" w:rsidRDefault="001A495B" w:rsidP="00F70E7C">
            <w:pPr>
              <w:pStyle w:val="0-"/>
              <w:rPr>
                <w:color w:val="000000" w:themeColor="text1"/>
              </w:rPr>
            </w:pPr>
            <w:r w:rsidRPr="001A495B">
              <w:rPr>
                <w:color w:val="000000" w:themeColor="text1"/>
              </w:rPr>
              <w:t>(111.11.4)</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2F5F9C" w:rsidRDefault="001A495B" w:rsidP="002F5F9C">
            <w:pPr>
              <w:kinsoku w:val="0"/>
              <w:overflowPunct w:val="0"/>
              <w:autoSpaceDE w:val="0"/>
              <w:autoSpaceDN w:val="0"/>
              <w:ind w:left="240" w:hangingChars="100" w:hanging="240"/>
              <w:jc w:val="both"/>
              <w:rPr>
                <w:rFonts w:ascii="標楷體" w:eastAsia="標楷體" w:hAnsi="標楷體"/>
              </w:rPr>
            </w:pPr>
            <w:r w:rsidRPr="002F5F9C">
              <w:rPr>
                <w:rFonts w:ascii="標楷體" w:eastAsia="標楷體" w:hAnsi="標楷體" w:hint="eastAsia"/>
              </w:rPr>
              <w:t>1</w:t>
            </w:r>
            <w:r w:rsidRPr="002F5F9C">
              <w:rPr>
                <w:rFonts w:ascii="標楷體" w:eastAsia="標楷體" w:hAnsi="標楷體"/>
              </w:rPr>
              <w:t>.</w:t>
            </w:r>
            <w:r w:rsidRPr="002F5F9C">
              <w:rPr>
                <w:rFonts w:ascii="標楷體" w:eastAsia="標楷體" w:hAnsi="標楷體" w:hint="eastAsia"/>
              </w:rPr>
              <w:t>第</w:t>
            </w:r>
            <w:r w:rsidRPr="002F5F9C">
              <w:rPr>
                <w:rFonts w:ascii="標楷體" w:eastAsia="標楷體" w:hAnsi="標楷體"/>
              </w:rPr>
              <w:t>6</w:t>
            </w:r>
            <w:r w:rsidRPr="002F5F9C">
              <w:rPr>
                <w:rFonts w:ascii="標楷體" w:eastAsia="標楷體" w:hAnsi="標楷體" w:hint="eastAsia"/>
              </w:rPr>
              <w:t>會期第1</w:t>
            </w:r>
            <w:r w:rsidRPr="002F5F9C">
              <w:rPr>
                <w:rFonts w:ascii="標楷體" w:eastAsia="標楷體" w:hAnsi="標楷體"/>
              </w:rPr>
              <w:t>2</w:t>
            </w:r>
            <w:r w:rsidRPr="002F5F9C">
              <w:rPr>
                <w:rFonts w:ascii="標楷體" w:eastAsia="標楷體" w:hAnsi="標楷體" w:hint="eastAsia"/>
              </w:rPr>
              <w:t>次全體委員會議</w:t>
            </w:r>
            <w:r w:rsidRPr="000306DD">
              <w:rPr>
                <w:rFonts w:ascii="標楷體" w:eastAsia="標楷體" w:hAnsi="標楷體" w:hint="eastAsia"/>
                <w:spacing w:val="-10"/>
              </w:rPr>
              <w:t>(11</w:t>
            </w:r>
            <w:r w:rsidRPr="000306DD">
              <w:rPr>
                <w:rFonts w:ascii="標楷體" w:eastAsia="標楷體" w:hAnsi="標楷體"/>
                <w:spacing w:val="-10"/>
              </w:rPr>
              <w:t>1</w:t>
            </w:r>
            <w:r w:rsidRPr="000306DD">
              <w:rPr>
                <w:rFonts w:ascii="標楷體" w:eastAsia="標楷體" w:hAnsi="標楷體" w:hint="eastAsia"/>
                <w:spacing w:val="-10"/>
              </w:rPr>
              <w:t>.</w:t>
            </w:r>
            <w:r w:rsidRPr="000306DD">
              <w:rPr>
                <w:rFonts w:ascii="標楷體" w:eastAsia="標楷體" w:hAnsi="標楷體"/>
                <w:spacing w:val="-10"/>
              </w:rPr>
              <w:t>12</w:t>
            </w:r>
            <w:r w:rsidRPr="000306DD">
              <w:rPr>
                <w:rFonts w:ascii="標楷體" w:eastAsia="標楷體" w:hAnsi="標楷體" w:hint="eastAsia"/>
                <w:spacing w:val="-10"/>
              </w:rPr>
              <w:t>.</w:t>
            </w:r>
            <w:r w:rsidRPr="000306DD">
              <w:rPr>
                <w:rFonts w:ascii="標楷體" w:eastAsia="標楷體" w:hAnsi="標楷體"/>
                <w:spacing w:val="-10"/>
              </w:rPr>
              <w:t>1</w:t>
            </w:r>
            <w:r w:rsidRPr="000306DD">
              <w:rPr>
                <w:rFonts w:ascii="標楷體" w:eastAsia="標楷體" w:hAnsi="標楷體" w:hint="eastAsia"/>
                <w:spacing w:val="-10"/>
              </w:rPr>
              <w:t>)決議:</w:t>
            </w:r>
            <w:r w:rsidRPr="002F5F9C">
              <w:rPr>
                <w:rFonts w:ascii="標楷體" w:eastAsia="標楷體" w:hAnsi="標楷體" w:hint="eastAsia"/>
              </w:rPr>
              <w:t>報告及詢答完畢，另定期繼續審查。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爰參考《高級中等教育法》所定之高中學生申訴制度，修正國中小學生申訴機制。(1條)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國民教育法部分條文修正草案</w:t>
            </w:r>
          </w:p>
          <w:p w:rsidR="001A495B" w:rsidRPr="001A495B" w:rsidRDefault="001A495B" w:rsidP="001A495B">
            <w:pPr>
              <w:pStyle w:val="0-"/>
              <w:rPr>
                <w:color w:val="000000" w:themeColor="text1"/>
              </w:rPr>
            </w:pPr>
            <w:r w:rsidRPr="001A495B">
              <w:rPr>
                <w:rFonts w:hint="eastAsia"/>
                <w:color w:val="000000" w:themeColor="text1"/>
              </w:rPr>
              <w:t>(委員范雲等18人</w:t>
            </w:r>
            <w:r w:rsidRPr="001A495B">
              <w:rPr>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10-6-11</w:t>
            </w:r>
          </w:p>
          <w:p w:rsidR="001A495B" w:rsidRPr="001A495B" w:rsidRDefault="001A495B" w:rsidP="00F70E7C">
            <w:pPr>
              <w:pStyle w:val="0-"/>
              <w:rPr>
                <w:color w:val="000000" w:themeColor="text1"/>
              </w:rPr>
            </w:pPr>
            <w:r w:rsidRPr="001A495B">
              <w:rPr>
                <w:color w:val="000000" w:themeColor="text1"/>
              </w:rPr>
              <w:t>(111.12.9)</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國民教育階段資料蒐集、處理或利用之規範缺乏等問</w:t>
            </w:r>
            <w:r w:rsidRPr="001A495B">
              <w:rPr>
                <w:rFonts w:hint="eastAsia"/>
                <w:color w:val="000000" w:themeColor="text1"/>
              </w:rPr>
              <w:lastRenderedPageBreak/>
              <w:t>題，有必要加以修正。(</w:t>
            </w:r>
            <w:r w:rsidRPr="001A495B">
              <w:rPr>
                <w:color w:val="000000" w:themeColor="text1"/>
              </w:rPr>
              <w:t>8</w:t>
            </w:r>
            <w:r w:rsidRPr="001A495B">
              <w:rPr>
                <w:rFonts w:hint="eastAsia"/>
                <w:color w:val="000000" w:themeColor="text1"/>
              </w:rPr>
              <w:t>條</w:t>
            </w:r>
            <w:r w:rsidRPr="001A495B">
              <w:rPr>
                <w:color w:val="000000" w:themeColor="text1"/>
              </w:rPr>
              <w:t>)</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國民教育法修正草案</w:t>
            </w:r>
          </w:p>
          <w:p w:rsidR="001A495B" w:rsidRPr="001A495B" w:rsidRDefault="001A495B" w:rsidP="001A495B">
            <w:pPr>
              <w:pStyle w:val="0-"/>
              <w:rPr>
                <w:color w:val="000000" w:themeColor="text1"/>
              </w:rPr>
            </w:pPr>
            <w:r w:rsidRPr="001A495B">
              <w:rPr>
                <w:rFonts w:hint="eastAsia"/>
                <w:color w:val="000000" w:themeColor="text1"/>
              </w:rPr>
              <w:t>(</w:t>
            </w:r>
            <w:r w:rsidRPr="00F70E7C">
              <w:rPr>
                <w:rFonts w:hint="eastAsia"/>
                <w:color w:val="000000" w:themeColor="text1"/>
                <w:spacing w:val="-20"/>
              </w:rPr>
              <w:t>委員張廖萬堅等18人</w:t>
            </w:r>
            <w:r w:rsidRPr="001A495B">
              <w:rPr>
                <w:rFonts w:hint="eastAsia"/>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10-6-11</w:t>
            </w:r>
          </w:p>
          <w:p w:rsidR="001A495B" w:rsidRPr="001A495B" w:rsidRDefault="001A495B" w:rsidP="00F70E7C">
            <w:pPr>
              <w:pStyle w:val="0-"/>
              <w:rPr>
                <w:color w:val="000000" w:themeColor="text1"/>
              </w:rPr>
            </w:pPr>
            <w:r w:rsidRPr="001A495B">
              <w:rPr>
                <w:color w:val="000000" w:themeColor="text1"/>
              </w:rPr>
              <w:t>(111.12.9)</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部分條文宜依照校園實際運作情況重新檢視、整併及修正，以及為因應國民教育之發展需求。(6</w:t>
            </w:r>
            <w:r w:rsidRPr="001A495B">
              <w:rPr>
                <w:color w:val="000000" w:themeColor="text1"/>
              </w:rPr>
              <w:t>1</w:t>
            </w:r>
            <w:r w:rsidRPr="001A495B">
              <w:rPr>
                <w:rFonts w:hint="eastAsia"/>
                <w:color w:val="000000" w:themeColor="text1"/>
              </w:rPr>
              <w:t>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國民教育法修正草案</w:t>
            </w:r>
          </w:p>
          <w:p w:rsidR="001A495B" w:rsidRPr="001A495B" w:rsidRDefault="001A495B" w:rsidP="001A495B">
            <w:pPr>
              <w:pStyle w:val="0-"/>
              <w:rPr>
                <w:color w:val="000000" w:themeColor="text1"/>
              </w:rPr>
            </w:pPr>
            <w:r w:rsidRPr="001A495B">
              <w:rPr>
                <w:rFonts w:hint="eastAsia"/>
                <w:color w:val="000000" w:themeColor="text1"/>
              </w:rPr>
              <w:t>(時代力量黨團)</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10-6-1</w:t>
            </w:r>
            <w:r w:rsidRPr="001A495B">
              <w:rPr>
                <w:rFonts w:hint="eastAsia"/>
                <w:color w:val="000000" w:themeColor="text1"/>
              </w:rPr>
              <w:t>2</w:t>
            </w:r>
          </w:p>
          <w:p w:rsidR="001A495B" w:rsidRPr="001A495B" w:rsidRDefault="001A495B" w:rsidP="00F70E7C">
            <w:pPr>
              <w:pStyle w:val="0-"/>
              <w:rPr>
                <w:color w:val="000000" w:themeColor="text1"/>
              </w:rPr>
            </w:pPr>
            <w:r w:rsidRPr="001A495B">
              <w:rPr>
                <w:color w:val="000000" w:themeColor="text1"/>
              </w:rPr>
              <w:t>(111.12.</w:t>
            </w:r>
            <w:r w:rsidRPr="001A495B">
              <w:rPr>
                <w:rFonts w:hint="eastAsia"/>
                <w:color w:val="000000" w:themeColor="text1"/>
              </w:rPr>
              <w:t>16</w:t>
            </w:r>
            <w:r w:rsidRPr="001A495B">
              <w:rPr>
                <w:color w:val="000000" w:themeColor="text1"/>
              </w:rPr>
              <w:t>)</w:t>
            </w:r>
          </w:p>
          <w:p w:rsidR="001A495B" w:rsidRPr="001A495B" w:rsidRDefault="001A495B" w:rsidP="00F70E7C">
            <w:pPr>
              <w:pStyle w:val="0-"/>
              <w:rPr>
                <w:color w:val="000000" w:themeColor="text1"/>
              </w:rPr>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學校行政組織無法因應組織再造與總量管制之精神、公立學校之場地等提供他人使用相關收支運用欠缺彈性等問題。(6</w:t>
            </w:r>
            <w:r w:rsidRPr="001A495B">
              <w:rPr>
                <w:color w:val="000000" w:themeColor="text1"/>
              </w:rPr>
              <w:t>1</w:t>
            </w:r>
            <w:r w:rsidRPr="001A495B">
              <w:rPr>
                <w:rFonts w:hint="eastAsia"/>
                <w:color w:val="000000" w:themeColor="text1"/>
              </w:rPr>
              <w:t>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國民教育法部分條文修正草案</w:t>
            </w:r>
          </w:p>
          <w:p w:rsidR="001A495B" w:rsidRPr="001A495B" w:rsidRDefault="001A495B" w:rsidP="001A495B">
            <w:pPr>
              <w:pStyle w:val="0-"/>
              <w:rPr>
                <w:color w:val="000000" w:themeColor="text1"/>
              </w:rPr>
            </w:pPr>
            <w:r w:rsidRPr="001A495B">
              <w:rPr>
                <w:rFonts w:hint="eastAsia"/>
                <w:color w:val="000000" w:themeColor="text1"/>
              </w:rPr>
              <w:t>(委員林奕華等16人)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10-6-1</w:t>
            </w:r>
            <w:r w:rsidRPr="001A495B">
              <w:rPr>
                <w:rFonts w:hint="eastAsia"/>
                <w:color w:val="000000" w:themeColor="text1"/>
              </w:rPr>
              <w:t>3</w:t>
            </w:r>
          </w:p>
          <w:p w:rsidR="001A495B" w:rsidRPr="001A495B" w:rsidRDefault="001A495B" w:rsidP="00F70E7C">
            <w:pPr>
              <w:pStyle w:val="0-"/>
              <w:rPr>
                <w:color w:val="000000" w:themeColor="text1"/>
              </w:rPr>
            </w:pPr>
            <w:r w:rsidRPr="001A495B">
              <w:rPr>
                <w:color w:val="000000" w:themeColor="text1"/>
              </w:rPr>
              <w:t>(111.12.</w:t>
            </w:r>
            <w:r w:rsidRPr="001A495B">
              <w:rPr>
                <w:rFonts w:hint="eastAsia"/>
                <w:color w:val="000000" w:themeColor="text1"/>
              </w:rPr>
              <w:t>23</w:t>
            </w:r>
            <w:r w:rsidRPr="001A495B">
              <w:rPr>
                <w:color w:val="000000" w:themeColor="text1"/>
              </w:rPr>
              <w:t>)</w:t>
            </w:r>
          </w:p>
          <w:p w:rsidR="001A495B" w:rsidRPr="001A495B" w:rsidRDefault="001A495B" w:rsidP="00F70E7C">
            <w:pPr>
              <w:pStyle w:val="0-"/>
              <w:rPr>
                <w:color w:val="000000" w:themeColor="text1"/>
              </w:rPr>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若不即刻修法，恐影響教育現場運作甚鉅。(6條)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國民教育法第二十條之一條文修正草案</w:t>
            </w:r>
          </w:p>
          <w:p w:rsidR="001A495B" w:rsidRPr="001A495B" w:rsidRDefault="001A495B" w:rsidP="001A495B">
            <w:pPr>
              <w:pStyle w:val="0-"/>
              <w:rPr>
                <w:color w:val="000000" w:themeColor="text1"/>
              </w:rPr>
            </w:pPr>
            <w:r w:rsidRPr="001A495B">
              <w:rPr>
                <w:rFonts w:hint="eastAsia"/>
                <w:color w:val="000000" w:themeColor="text1"/>
              </w:rPr>
              <w:t>(委員蔡適應等18人)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10-6-1</w:t>
            </w:r>
            <w:r w:rsidRPr="001A495B">
              <w:rPr>
                <w:rFonts w:hint="eastAsia"/>
                <w:color w:val="000000" w:themeColor="text1"/>
              </w:rPr>
              <w:t>3</w:t>
            </w:r>
          </w:p>
          <w:p w:rsidR="001A495B" w:rsidRPr="001A495B" w:rsidRDefault="001A495B" w:rsidP="00F70E7C">
            <w:pPr>
              <w:pStyle w:val="0-"/>
              <w:rPr>
                <w:color w:val="000000" w:themeColor="text1"/>
              </w:rPr>
            </w:pPr>
            <w:r w:rsidRPr="001A495B">
              <w:rPr>
                <w:color w:val="000000" w:themeColor="text1"/>
              </w:rPr>
              <w:t>(111.12.</w:t>
            </w:r>
            <w:r w:rsidRPr="001A495B">
              <w:rPr>
                <w:rFonts w:hint="eastAsia"/>
                <w:color w:val="000000" w:themeColor="text1"/>
              </w:rPr>
              <w:t>23</w:t>
            </w:r>
            <w:r w:rsidRPr="001A495B">
              <w:rPr>
                <w:color w:val="000000" w:themeColor="text1"/>
              </w:rPr>
              <w:t>)</w:t>
            </w:r>
          </w:p>
          <w:p w:rsidR="001A495B" w:rsidRPr="001A495B" w:rsidRDefault="001A495B" w:rsidP="00F70E7C">
            <w:pPr>
              <w:pStyle w:val="0-"/>
              <w:rPr>
                <w:color w:val="000000" w:themeColor="text1"/>
              </w:rPr>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為使規範更為完善，且符合《兒童權利公約》要求。(</w:t>
            </w:r>
            <w:r w:rsidRPr="001A495B">
              <w:rPr>
                <w:color w:val="000000" w:themeColor="text1"/>
              </w:rPr>
              <w:t>1</w:t>
            </w:r>
            <w:r w:rsidRPr="001A495B">
              <w:rPr>
                <w:rFonts w:hint="eastAsia"/>
                <w:color w:val="000000" w:themeColor="text1"/>
              </w:rPr>
              <w:t>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國民教育法第十一條條文修正草案</w:t>
            </w:r>
          </w:p>
          <w:p w:rsidR="001A495B" w:rsidRPr="001A495B" w:rsidRDefault="001A495B" w:rsidP="001A495B">
            <w:pPr>
              <w:pStyle w:val="0-"/>
              <w:rPr>
                <w:color w:val="000000" w:themeColor="text1"/>
              </w:rPr>
            </w:pPr>
            <w:r w:rsidRPr="001A495B">
              <w:rPr>
                <w:rFonts w:hint="eastAsia"/>
                <w:color w:val="000000" w:themeColor="text1"/>
              </w:rPr>
              <w:t>(委員黃秀芳等22人)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10-6-1</w:t>
            </w:r>
            <w:r w:rsidRPr="001A495B">
              <w:rPr>
                <w:rFonts w:hint="eastAsia"/>
                <w:color w:val="000000" w:themeColor="text1"/>
              </w:rPr>
              <w:t>3</w:t>
            </w:r>
          </w:p>
          <w:p w:rsidR="001A495B" w:rsidRPr="001A495B" w:rsidRDefault="001A495B" w:rsidP="00F70E7C">
            <w:pPr>
              <w:pStyle w:val="0-"/>
              <w:rPr>
                <w:color w:val="000000" w:themeColor="text1"/>
              </w:rPr>
            </w:pPr>
            <w:r w:rsidRPr="001A495B">
              <w:rPr>
                <w:color w:val="000000" w:themeColor="text1"/>
              </w:rPr>
              <w:t>(111.12.</w:t>
            </w:r>
            <w:r w:rsidRPr="001A495B">
              <w:rPr>
                <w:rFonts w:hint="eastAsia"/>
                <w:color w:val="000000" w:themeColor="text1"/>
              </w:rPr>
              <w:t>23</w:t>
            </w:r>
            <w:r w:rsidRPr="001A495B">
              <w:rPr>
                <w:color w:val="000000" w:themeColor="text1"/>
              </w:rPr>
              <w:t>)</w:t>
            </w:r>
          </w:p>
          <w:p w:rsidR="001A495B" w:rsidRPr="001A495B" w:rsidRDefault="001A495B" w:rsidP="00F70E7C">
            <w:pPr>
              <w:pStyle w:val="0-"/>
              <w:rPr>
                <w:color w:val="000000" w:themeColor="text1"/>
              </w:rPr>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為提高學童教育品質、教學環境、縮短城鄉差距。(1條)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國民教育法部分條文修正草案</w:t>
            </w:r>
          </w:p>
          <w:p w:rsidR="001A495B" w:rsidRPr="001A495B" w:rsidRDefault="001A495B" w:rsidP="001A495B">
            <w:pPr>
              <w:pStyle w:val="0-"/>
              <w:rPr>
                <w:color w:val="000000" w:themeColor="text1"/>
              </w:rPr>
            </w:pPr>
            <w:r w:rsidRPr="001A495B">
              <w:rPr>
                <w:rFonts w:hint="eastAsia"/>
                <w:color w:val="000000" w:themeColor="text1"/>
              </w:rPr>
              <w:t>(委員林宜瑾等16人)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10-6-1</w:t>
            </w:r>
            <w:r w:rsidRPr="001A495B">
              <w:rPr>
                <w:rFonts w:hint="eastAsia"/>
                <w:color w:val="000000" w:themeColor="text1"/>
              </w:rPr>
              <w:t>3</w:t>
            </w:r>
          </w:p>
          <w:p w:rsidR="001A495B" w:rsidRPr="001A495B" w:rsidRDefault="001A495B" w:rsidP="00F70E7C">
            <w:pPr>
              <w:pStyle w:val="0-"/>
              <w:rPr>
                <w:color w:val="000000" w:themeColor="text1"/>
              </w:rPr>
            </w:pPr>
            <w:r w:rsidRPr="001A495B">
              <w:rPr>
                <w:color w:val="000000" w:themeColor="text1"/>
              </w:rPr>
              <w:t>(111.12.</w:t>
            </w:r>
            <w:r w:rsidRPr="001A495B">
              <w:rPr>
                <w:rFonts w:hint="eastAsia"/>
                <w:color w:val="000000" w:themeColor="text1"/>
              </w:rPr>
              <w:t>23</w:t>
            </w:r>
            <w:r w:rsidRPr="001A495B">
              <w:rPr>
                <w:color w:val="000000" w:themeColor="text1"/>
              </w:rPr>
              <w:t>)</w:t>
            </w:r>
          </w:p>
          <w:p w:rsidR="001A495B" w:rsidRPr="001A495B" w:rsidRDefault="001A495B" w:rsidP="00F70E7C">
            <w:pPr>
              <w:pStyle w:val="0-"/>
              <w:rPr>
                <w:color w:val="000000" w:themeColor="text1"/>
              </w:rPr>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考量本法相關規範多涉及師生需求與權益，而為使本法與時俱進，並與《高級中等教育法》之制度齊一，以符合現行多變之教育實務現場。(13條)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原住民族學校法草案</w:t>
            </w:r>
          </w:p>
          <w:p w:rsidR="001A495B" w:rsidRPr="001A495B" w:rsidRDefault="001A495B" w:rsidP="001A495B">
            <w:pPr>
              <w:pStyle w:val="0-"/>
              <w:rPr>
                <w:color w:val="000000" w:themeColor="text1"/>
              </w:rPr>
            </w:pPr>
            <w:r w:rsidRPr="001A495B">
              <w:rPr>
                <w:rFonts w:hint="eastAsia"/>
                <w:color w:val="000000" w:themeColor="text1"/>
              </w:rPr>
              <w:t>(</w:t>
            </w:r>
            <w:r w:rsidRPr="00F70E7C">
              <w:rPr>
                <w:rFonts w:hint="eastAsia"/>
                <w:color w:val="000000" w:themeColor="text1"/>
                <w:spacing w:val="-20"/>
              </w:rPr>
              <w:t>委員伍麗華</w:t>
            </w:r>
            <w:r w:rsidRPr="00F70E7C">
              <w:rPr>
                <w:color w:val="000000" w:themeColor="text1"/>
                <w:spacing w:val="-20"/>
              </w:rPr>
              <w:t>Saidhai Tahovecahe</w:t>
            </w:r>
            <w:r w:rsidRPr="00F70E7C">
              <w:rPr>
                <w:rFonts w:hint="eastAsia"/>
                <w:color w:val="000000" w:themeColor="text1"/>
                <w:spacing w:val="-20"/>
              </w:rPr>
              <w:t>等</w:t>
            </w:r>
            <w:r w:rsidRPr="00F70E7C">
              <w:rPr>
                <w:color w:val="000000" w:themeColor="text1"/>
                <w:spacing w:val="-20"/>
              </w:rPr>
              <w:t>17</w:t>
            </w:r>
            <w:r w:rsidRPr="00F70E7C">
              <w:rPr>
                <w:rFonts w:hint="eastAsia"/>
                <w:color w:val="000000" w:themeColor="text1"/>
                <w:spacing w:val="-20"/>
              </w:rPr>
              <w:t>人</w:t>
            </w:r>
            <w:r w:rsidRPr="001A495B">
              <w:rPr>
                <w:rFonts w:hint="eastAsia"/>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10-1-</w:t>
            </w:r>
            <w:r w:rsidRPr="001A495B">
              <w:rPr>
                <w:rFonts w:hint="eastAsia"/>
                <w:color w:val="000000" w:themeColor="text1"/>
              </w:rPr>
              <w:t>11</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.5.1</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內政</w:t>
            </w:r>
          </w:p>
        </w:tc>
        <w:tc>
          <w:tcPr>
            <w:tcW w:w="1031" w:type="pct"/>
            <w:tcBorders>
              <w:top w:val="single" w:sz="4" w:space="0" w:color="auto"/>
              <w:left w:val="single" w:sz="4" w:space="0" w:color="auto"/>
              <w:bottom w:val="single" w:sz="4" w:space="0" w:color="auto"/>
              <w:right w:val="single" w:sz="4" w:space="0" w:color="auto"/>
            </w:tcBorders>
          </w:tcPr>
          <w:p w:rsidR="001A495B" w:rsidRPr="002F5F9C" w:rsidRDefault="000306DD" w:rsidP="002F5F9C">
            <w:pPr>
              <w:kinsoku w:val="0"/>
              <w:overflowPunct w:val="0"/>
              <w:autoSpaceDE w:val="0"/>
              <w:autoSpaceDN w:val="0"/>
              <w:ind w:left="240" w:hangingChars="100" w:hanging="240"/>
              <w:jc w:val="both"/>
              <w:rPr>
                <w:rFonts w:ascii="標楷體" w:eastAsia="標楷體" w:hAnsi="標楷體"/>
              </w:rPr>
            </w:pPr>
            <w:r>
              <w:rPr>
                <w:rFonts w:ascii="標楷體" w:eastAsia="標楷體" w:hAnsi="標楷體" w:hint="eastAsia"/>
              </w:rPr>
              <w:t>1.</w:t>
            </w:r>
            <w:r w:rsidR="001A495B" w:rsidRPr="002F5F9C">
              <w:rPr>
                <w:rFonts w:ascii="標楷體" w:eastAsia="標楷體" w:hAnsi="標楷體" w:hint="eastAsia"/>
              </w:rPr>
              <w:t>第1會期教育及文化、內政委員會第1次聯席會議（109.5.21）決議：報告及詢答完畢，另定期繼續審查。</w:t>
            </w:r>
          </w:p>
          <w:p w:rsidR="001A495B" w:rsidRPr="001A495B" w:rsidRDefault="001A495B" w:rsidP="002F5F9C">
            <w:pPr>
              <w:kinsoku w:val="0"/>
              <w:overflowPunct w:val="0"/>
              <w:autoSpaceDE w:val="0"/>
              <w:autoSpaceDN w:val="0"/>
              <w:ind w:left="240" w:hangingChars="100" w:hanging="240"/>
              <w:jc w:val="both"/>
              <w:rPr>
                <w:rFonts w:ascii="標楷體" w:eastAsia="標楷體" w:hAnsi="標楷體"/>
                <w:color w:val="000000" w:themeColor="text1"/>
                <w:sz w:val="28"/>
                <w:szCs w:val="28"/>
              </w:rPr>
            </w:pPr>
            <w:r w:rsidRPr="002F5F9C">
              <w:rPr>
                <w:rFonts w:ascii="標楷體" w:eastAsia="標楷體" w:hAnsi="標楷體" w:hint="eastAsia"/>
              </w:rPr>
              <w:t>2.第5會期教育及文化、內政委員會第1次聯席會議（111.5.26）決議：另定期繼續審查。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依據《原住民族教育法》第十五條明令各級政府得視需要設立各級原住民族學校，其設立事項另以法律定之。(39條)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原住民族學校法草案</w:t>
            </w:r>
          </w:p>
          <w:p w:rsidR="001A495B" w:rsidRPr="001A495B" w:rsidRDefault="001A495B" w:rsidP="001A495B">
            <w:pPr>
              <w:pStyle w:val="0-"/>
              <w:rPr>
                <w:color w:val="000000" w:themeColor="text1"/>
              </w:rPr>
            </w:pPr>
            <w:r w:rsidRPr="001A495B">
              <w:rPr>
                <w:rFonts w:hint="eastAsia"/>
                <w:color w:val="000000" w:themeColor="text1"/>
              </w:rPr>
              <w:t>(</w:t>
            </w:r>
            <w:r w:rsidRPr="00F70E7C">
              <w:rPr>
                <w:rFonts w:hint="eastAsia"/>
                <w:color w:val="000000" w:themeColor="text1"/>
                <w:spacing w:val="-20"/>
              </w:rPr>
              <w:t>委員高金素梅等</w:t>
            </w:r>
            <w:r w:rsidRPr="00F70E7C">
              <w:rPr>
                <w:color w:val="000000" w:themeColor="text1"/>
                <w:spacing w:val="-20"/>
              </w:rPr>
              <w:t>22</w:t>
            </w:r>
            <w:r w:rsidRPr="00F70E7C">
              <w:rPr>
                <w:rFonts w:hint="eastAsia"/>
                <w:color w:val="000000" w:themeColor="text1"/>
                <w:spacing w:val="-20"/>
              </w:rPr>
              <w:t>人</w:t>
            </w:r>
            <w:r w:rsidRPr="001A495B">
              <w:rPr>
                <w:rFonts w:hint="eastAsia"/>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10-1-</w:t>
            </w:r>
            <w:r w:rsidRPr="001A495B">
              <w:rPr>
                <w:rFonts w:hint="eastAsia"/>
                <w:color w:val="000000" w:themeColor="text1"/>
              </w:rPr>
              <w:t>11</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.5.1</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內政</w:t>
            </w:r>
          </w:p>
        </w:tc>
        <w:tc>
          <w:tcPr>
            <w:tcW w:w="1031" w:type="pct"/>
            <w:tcBorders>
              <w:top w:val="single" w:sz="4" w:space="0" w:color="auto"/>
              <w:left w:val="single" w:sz="4" w:space="0" w:color="auto"/>
              <w:bottom w:val="single" w:sz="4" w:space="0" w:color="auto"/>
              <w:right w:val="single" w:sz="4" w:space="0" w:color="auto"/>
            </w:tcBorders>
          </w:tcPr>
          <w:p w:rsidR="001A495B" w:rsidRPr="002F5F9C" w:rsidRDefault="001A495B" w:rsidP="002F5F9C">
            <w:pPr>
              <w:kinsoku w:val="0"/>
              <w:overflowPunct w:val="0"/>
              <w:autoSpaceDE w:val="0"/>
              <w:autoSpaceDN w:val="0"/>
              <w:ind w:left="240" w:hangingChars="100" w:hanging="240"/>
              <w:jc w:val="both"/>
              <w:rPr>
                <w:rFonts w:ascii="標楷體" w:eastAsia="標楷體" w:hAnsi="標楷體"/>
              </w:rPr>
            </w:pPr>
            <w:r w:rsidRPr="002F5F9C">
              <w:rPr>
                <w:rFonts w:ascii="標楷體" w:eastAsia="標楷體" w:hAnsi="標楷體" w:hint="eastAsia"/>
              </w:rPr>
              <w:t>1.第1會期教育及文化、內政委員會第1次聯席會議（109.5.21）決議：報告及詢答完畢，另定期繼續審查。</w:t>
            </w:r>
          </w:p>
          <w:p w:rsidR="001A495B" w:rsidRPr="002F5F9C" w:rsidRDefault="001A495B" w:rsidP="002F5F9C">
            <w:pPr>
              <w:kinsoku w:val="0"/>
              <w:overflowPunct w:val="0"/>
              <w:autoSpaceDE w:val="0"/>
              <w:autoSpaceDN w:val="0"/>
              <w:ind w:left="240" w:hangingChars="100" w:hanging="240"/>
              <w:jc w:val="both"/>
              <w:rPr>
                <w:rFonts w:ascii="標楷體" w:eastAsia="標楷體" w:hAnsi="標楷體"/>
              </w:rPr>
            </w:pPr>
            <w:r w:rsidRPr="002F5F9C">
              <w:rPr>
                <w:rFonts w:ascii="標楷體" w:eastAsia="標楷體" w:hAnsi="標楷體" w:hint="eastAsia"/>
              </w:rPr>
              <w:t>2.第5會期教育及文化、內政委員會第1次聯席會議（111.5.26）決議：另定期繼續審查。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為落實蔡英文總統推動原住民族教育政策及建置原住民族學校願景。(48條)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color w:val="000000" w:themeColor="text1"/>
              </w:rPr>
              <w:t>原住民族學校法草案</w:t>
            </w:r>
          </w:p>
          <w:p w:rsidR="001A495B" w:rsidRPr="001A495B" w:rsidRDefault="001A495B" w:rsidP="001A495B">
            <w:pPr>
              <w:pStyle w:val="0-"/>
              <w:rPr>
                <w:color w:val="000000" w:themeColor="text1"/>
              </w:rPr>
            </w:pPr>
            <w:r w:rsidRPr="001A495B">
              <w:rPr>
                <w:rFonts w:hint="eastAsia"/>
                <w:color w:val="000000" w:themeColor="text1"/>
              </w:rPr>
              <w:t>(</w:t>
            </w:r>
            <w:r w:rsidRPr="001A495B">
              <w:rPr>
                <w:color w:val="000000" w:themeColor="text1"/>
              </w:rPr>
              <w:t>委員鍾佳濱等21人</w:t>
            </w:r>
            <w:r w:rsidRPr="001A495B">
              <w:rPr>
                <w:rFonts w:hint="eastAsia"/>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10-1-</w:t>
            </w:r>
            <w:r w:rsidRPr="001A495B">
              <w:rPr>
                <w:rFonts w:hint="eastAsia"/>
                <w:color w:val="000000" w:themeColor="text1"/>
              </w:rPr>
              <w:t>13</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.5.15</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內政</w:t>
            </w:r>
          </w:p>
        </w:tc>
        <w:tc>
          <w:tcPr>
            <w:tcW w:w="1031" w:type="pct"/>
            <w:tcBorders>
              <w:top w:val="single" w:sz="4" w:space="0" w:color="auto"/>
              <w:left w:val="single" w:sz="4" w:space="0" w:color="auto"/>
              <w:bottom w:val="single" w:sz="4" w:space="0" w:color="auto"/>
              <w:right w:val="single" w:sz="4" w:space="0" w:color="auto"/>
            </w:tcBorders>
          </w:tcPr>
          <w:p w:rsidR="001A495B" w:rsidRPr="002F5F9C" w:rsidRDefault="001A495B" w:rsidP="002F5F9C">
            <w:pPr>
              <w:kinsoku w:val="0"/>
              <w:overflowPunct w:val="0"/>
              <w:autoSpaceDE w:val="0"/>
              <w:autoSpaceDN w:val="0"/>
              <w:ind w:left="240" w:hangingChars="100" w:hanging="240"/>
              <w:jc w:val="both"/>
              <w:rPr>
                <w:rFonts w:ascii="標楷體" w:eastAsia="標楷體" w:hAnsi="標楷體"/>
              </w:rPr>
            </w:pPr>
            <w:r w:rsidRPr="002F5F9C">
              <w:rPr>
                <w:rFonts w:ascii="標楷體" w:eastAsia="標楷體" w:hAnsi="標楷體" w:hint="eastAsia"/>
              </w:rPr>
              <w:t>1.第1會期教育及文化、內政委員會第1次聯席會議（109.5.21）決議：報告及詢答完畢，另定期繼續審查。</w:t>
            </w:r>
          </w:p>
          <w:p w:rsidR="001A495B" w:rsidRPr="002F5F9C" w:rsidRDefault="001A495B" w:rsidP="002F5F9C">
            <w:pPr>
              <w:kinsoku w:val="0"/>
              <w:overflowPunct w:val="0"/>
              <w:autoSpaceDE w:val="0"/>
              <w:autoSpaceDN w:val="0"/>
              <w:ind w:left="240" w:hangingChars="100" w:hanging="240"/>
              <w:jc w:val="both"/>
              <w:rPr>
                <w:rFonts w:ascii="標楷體" w:eastAsia="標楷體" w:hAnsi="標楷體"/>
              </w:rPr>
            </w:pPr>
            <w:r w:rsidRPr="002F5F9C">
              <w:rPr>
                <w:rFonts w:ascii="標楷體" w:eastAsia="標楷體" w:hAnsi="標楷體" w:hint="eastAsia"/>
              </w:rPr>
              <w:t>2.第5會期教育及文化、內政委員會第1次聯席會議（111.5.26）決議：另定期繼續審查。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保障原住民學習及教育選擇權，落實憲法增修條文第十條及依原住民族教育法第十五條之規定。(41條)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原住民族教育法第四條條文修正草案</w:t>
            </w:r>
          </w:p>
          <w:p w:rsidR="001A495B" w:rsidRPr="001A495B" w:rsidRDefault="001A495B" w:rsidP="001A495B">
            <w:pPr>
              <w:pStyle w:val="0-"/>
              <w:rPr>
                <w:color w:val="000000" w:themeColor="text1"/>
              </w:rPr>
            </w:pPr>
            <w:r w:rsidRPr="001A495B">
              <w:rPr>
                <w:rFonts w:hint="eastAsia"/>
                <w:color w:val="000000" w:themeColor="text1"/>
              </w:rPr>
              <w:t>(委員蘇巧慧等24人)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10-3-8</w:t>
            </w:r>
          </w:p>
          <w:p w:rsidR="001A495B" w:rsidRPr="001A495B" w:rsidRDefault="001A495B" w:rsidP="00F70E7C">
            <w:pPr>
              <w:pStyle w:val="0-"/>
              <w:rPr>
                <w:color w:val="000000" w:themeColor="text1"/>
              </w:rPr>
            </w:pPr>
            <w:r w:rsidRPr="001A495B">
              <w:rPr>
                <w:rFonts w:hint="eastAsia"/>
                <w:color w:val="000000" w:themeColor="text1"/>
              </w:rPr>
              <w:t>(110.4.16)</w:t>
            </w:r>
            <w:r w:rsidRPr="001A495B">
              <w:rPr>
                <w:rFonts w:hint="eastAsia"/>
                <w:color w:val="000000" w:themeColor="text1"/>
              </w:rPr>
              <w:tab/>
            </w:r>
            <w:r w:rsidRPr="001A495B">
              <w:rPr>
                <w:rFonts w:hint="eastAsia"/>
                <w:color w:val="000000" w:themeColor="text1"/>
              </w:rPr>
              <w:tab/>
            </w:r>
            <w:r w:rsidRPr="001A495B">
              <w:rPr>
                <w:rFonts w:hint="eastAsia"/>
                <w:color w:val="000000" w:themeColor="text1"/>
              </w:rPr>
              <w:tab/>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內政</w:t>
            </w: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保障原住民族教育之權利，培育原住民族所需人才，以利原住民族發展。(1條)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原住民族教育法第十九條條文修正草案</w:t>
            </w:r>
          </w:p>
          <w:p w:rsidR="001A495B" w:rsidRPr="001A495B" w:rsidRDefault="001A495B" w:rsidP="001A495B">
            <w:pPr>
              <w:pStyle w:val="0-"/>
              <w:rPr>
                <w:color w:val="000000" w:themeColor="text1"/>
              </w:rPr>
            </w:pPr>
            <w:r w:rsidRPr="001A495B">
              <w:rPr>
                <w:rFonts w:hint="eastAsia"/>
                <w:color w:val="000000" w:themeColor="text1"/>
              </w:rPr>
              <w:t>(</w:t>
            </w:r>
            <w:r w:rsidRPr="00F70E7C">
              <w:rPr>
                <w:rFonts w:hint="eastAsia"/>
                <w:color w:val="000000" w:themeColor="text1"/>
                <w:spacing w:val="-20"/>
              </w:rPr>
              <w:t>委員伍麗華Saidhai Tahovecahe等23人</w:t>
            </w:r>
            <w:r w:rsidRPr="001A495B">
              <w:rPr>
                <w:rFonts w:hint="eastAsia"/>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10-4-12</w:t>
            </w:r>
          </w:p>
          <w:p w:rsidR="001A495B" w:rsidRPr="001A495B" w:rsidRDefault="001A495B" w:rsidP="00F70E7C">
            <w:pPr>
              <w:pStyle w:val="0-"/>
              <w:rPr>
                <w:color w:val="000000" w:themeColor="text1"/>
              </w:rPr>
            </w:pPr>
            <w:r w:rsidRPr="001A495B">
              <w:rPr>
                <w:color w:val="000000" w:themeColor="text1"/>
              </w:rPr>
              <w:t>(110.12.3)</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內政</w:t>
            </w: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為讓各地原住民族教育資源中心能夠有效推展原住民族教育課程、教材與教學方法之研發及推廣等。(1條)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原住民族教育法第三十七條條文修正草案</w:t>
            </w:r>
          </w:p>
          <w:p w:rsidR="001A495B" w:rsidRPr="001A495B" w:rsidRDefault="001A495B" w:rsidP="001A495B">
            <w:pPr>
              <w:pStyle w:val="0-"/>
              <w:rPr>
                <w:color w:val="000000" w:themeColor="text1"/>
              </w:rPr>
            </w:pPr>
            <w:r w:rsidRPr="001A495B">
              <w:rPr>
                <w:rFonts w:hint="eastAsia"/>
                <w:color w:val="000000" w:themeColor="text1"/>
              </w:rPr>
              <w:t>(</w:t>
            </w:r>
            <w:r w:rsidRPr="00F70E7C">
              <w:rPr>
                <w:rFonts w:hint="eastAsia"/>
                <w:color w:val="000000" w:themeColor="text1"/>
                <w:spacing w:val="-20"/>
              </w:rPr>
              <w:t>委員高金素梅等17人</w:t>
            </w:r>
            <w:r w:rsidRPr="001A495B">
              <w:rPr>
                <w:rFonts w:hint="eastAsia"/>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10-5-10</w:t>
            </w:r>
          </w:p>
          <w:p w:rsidR="001A495B" w:rsidRPr="001A495B" w:rsidRDefault="001A495B" w:rsidP="00F70E7C">
            <w:pPr>
              <w:pStyle w:val="0-"/>
              <w:rPr>
                <w:color w:val="000000" w:themeColor="text1"/>
              </w:rPr>
            </w:pPr>
            <w:r w:rsidRPr="001A495B">
              <w:rPr>
                <w:color w:val="000000" w:themeColor="text1"/>
              </w:rPr>
              <w:t>(111.4.29)</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內政</w:t>
            </w: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鑒於現行原住民族教育法有關原住民族文化及多元文化研習工作之落實，未明確規範大專院校教職員工原住民族教育之基本</w:t>
            </w:r>
            <w:r w:rsidRPr="001A495B">
              <w:rPr>
                <w:rFonts w:hint="eastAsia"/>
                <w:color w:val="000000" w:themeColor="text1"/>
              </w:rPr>
              <w:lastRenderedPageBreak/>
              <w:t>知能及專業能力。(1條)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家庭教育法第十三條、第十四條及第十五條條文修正草案</w:t>
            </w:r>
          </w:p>
          <w:p w:rsidR="001A495B" w:rsidRPr="001A495B" w:rsidRDefault="001A495B" w:rsidP="001A495B">
            <w:pPr>
              <w:pStyle w:val="0-"/>
              <w:rPr>
                <w:color w:val="000000" w:themeColor="text1"/>
              </w:rPr>
            </w:pPr>
            <w:r w:rsidRPr="001A495B">
              <w:rPr>
                <w:rFonts w:hint="eastAsia"/>
                <w:color w:val="000000" w:themeColor="text1"/>
              </w:rPr>
              <w:t>(委員呂玉玲等16人)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10-1-</w:t>
            </w:r>
            <w:r w:rsidRPr="001A495B">
              <w:rPr>
                <w:rFonts w:hint="eastAsia"/>
                <w:color w:val="000000" w:themeColor="text1"/>
              </w:rPr>
              <w:t>12</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.5.8</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強化家庭教育與家暴防治課程的規範。(3條)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家庭教育法第十三條及第十五條條文修正草案</w:t>
            </w:r>
          </w:p>
          <w:p w:rsidR="001A495B" w:rsidRPr="001A495B" w:rsidRDefault="001A495B" w:rsidP="001A495B">
            <w:pPr>
              <w:pStyle w:val="0-"/>
              <w:rPr>
                <w:color w:val="000000" w:themeColor="text1"/>
              </w:rPr>
            </w:pPr>
            <w:r w:rsidRPr="001A495B">
              <w:rPr>
                <w:rFonts w:hint="eastAsia"/>
                <w:color w:val="000000" w:themeColor="text1"/>
              </w:rPr>
              <w:t>(委員黃秀芳等18人)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w:t>
            </w:r>
            <w:r w:rsidRPr="001A495B">
              <w:rPr>
                <w:rFonts w:hint="eastAsia"/>
                <w:color w:val="000000" w:themeColor="text1"/>
              </w:rPr>
              <w:t>2</w:t>
            </w:r>
            <w:r w:rsidRPr="001A495B">
              <w:rPr>
                <w:color w:val="000000" w:themeColor="text1"/>
              </w:rPr>
              <w:t>-</w:t>
            </w:r>
            <w:r w:rsidRPr="001A495B">
              <w:rPr>
                <w:rFonts w:hint="eastAsia"/>
                <w:color w:val="000000" w:themeColor="text1"/>
              </w:rPr>
              <w:t>8</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.12.18</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又對於家庭失去功 能，致少年無法獲得適當管教者，學校得結合相關目的事業主管機關或社區資源給與妥善輔導。</w:t>
            </w:r>
            <w:r w:rsidRPr="001A495B">
              <w:rPr>
                <w:rFonts w:hint="eastAsia"/>
                <w:color w:val="000000" w:themeColor="text1"/>
              </w:rPr>
              <w:t>(2條)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家庭教育法第七條條文修正草案</w:t>
            </w:r>
          </w:p>
          <w:p w:rsidR="001A495B" w:rsidRPr="001A495B" w:rsidRDefault="001A495B" w:rsidP="001A495B">
            <w:pPr>
              <w:pStyle w:val="0-"/>
              <w:rPr>
                <w:color w:val="000000" w:themeColor="text1"/>
              </w:rPr>
            </w:pPr>
            <w:r w:rsidRPr="001A495B">
              <w:rPr>
                <w:rFonts w:hint="eastAsia"/>
                <w:color w:val="000000" w:themeColor="text1"/>
              </w:rPr>
              <w:t>(民眾黨黨團)</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w:t>
            </w:r>
            <w:r w:rsidRPr="001A495B">
              <w:rPr>
                <w:rFonts w:hint="eastAsia"/>
                <w:color w:val="000000" w:themeColor="text1"/>
              </w:rPr>
              <w:t>4</w:t>
            </w:r>
            <w:r w:rsidRPr="001A495B">
              <w:rPr>
                <w:color w:val="000000" w:themeColor="text1"/>
              </w:rPr>
              <w:t>-</w:t>
            </w:r>
            <w:r w:rsidRPr="001A495B">
              <w:rPr>
                <w:rFonts w:hint="eastAsia"/>
                <w:color w:val="000000" w:themeColor="text1"/>
              </w:rPr>
              <w:t>1</w:t>
            </w:r>
          </w:p>
          <w:p w:rsidR="001A495B" w:rsidRPr="001A495B" w:rsidRDefault="001A495B" w:rsidP="00F70E7C">
            <w:pPr>
              <w:pStyle w:val="0-"/>
              <w:rPr>
                <w:color w:val="000000" w:themeColor="text1"/>
              </w:rPr>
            </w:pPr>
            <w:r w:rsidRPr="001A495B">
              <w:rPr>
                <w:color w:val="000000" w:themeColor="text1"/>
              </w:rPr>
              <w:t>(1</w:t>
            </w:r>
            <w:r w:rsidRPr="001A495B">
              <w:rPr>
                <w:rFonts w:hint="eastAsia"/>
                <w:color w:val="000000" w:themeColor="text1"/>
              </w:rPr>
              <w:t>10.9.23</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為加強孩童及少年的交通安全知識，改善兒少交通事故的高死傷率。(1條)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家庭教育法第七條條文修正草案</w:t>
            </w:r>
          </w:p>
          <w:p w:rsidR="001A495B" w:rsidRPr="001A495B" w:rsidRDefault="001A495B" w:rsidP="001A495B">
            <w:pPr>
              <w:pStyle w:val="0-"/>
              <w:rPr>
                <w:color w:val="000000" w:themeColor="text1"/>
              </w:rPr>
            </w:pPr>
            <w:r w:rsidRPr="001A495B">
              <w:rPr>
                <w:rFonts w:hint="eastAsia"/>
                <w:color w:val="000000" w:themeColor="text1"/>
              </w:rPr>
              <w:t>(委員葉毓蘭等21人)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10-4-15</w:t>
            </w:r>
          </w:p>
          <w:p w:rsidR="001A495B" w:rsidRPr="001A495B" w:rsidRDefault="001A495B" w:rsidP="00F70E7C">
            <w:pPr>
              <w:pStyle w:val="0-"/>
              <w:rPr>
                <w:color w:val="000000" w:themeColor="text1"/>
              </w:rPr>
            </w:pPr>
            <w:r w:rsidRPr="001A495B">
              <w:rPr>
                <w:color w:val="000000" w:themeColor="text1"/>
              </w:rPr>
              <w:t>(110.12.24)</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顯示強化交通安全教育措施之必要。(1條)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家庭教育法第七條條文修正草案</w:t>
            </w:r>
          </w:p>
          <w:p w:rsidR="001A495B" w:rsidRPr="001A495B" w:rsidRDefault="001A495B" w:rsidP="001A495B">
            <w:pPr>
              <w:pStyle w:val="0-"/>
              <w:rPr>
                <w:color w:val="000000" w:themeColor="text1"/>
              </w:rPr>
            </w:pPr>
            <w:r w:rsidRPr="001A495B">
              <w:rPr>
                <w:rFonts w:hint="eastAsia"/>
                <w:color w:val="000000" w:themeColor="text1"/>
              </w:rPr>
              <w:t>(委員馬文君等16人)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10-5-9</w:t>
            </w:r>
          </w:p>
          <w:p w:rsidR="001A495B" w:rsidRPr="001A495B" w:rsidRDefault="001A495B" w:rsidP="00F70E7C">
            <w:pPr>
              <w:pStyle w:val="0-"/>
              <w:rPr>
                <w:color w:val="000000" w:themeColor="text1"/>
              </w:rPr>
            </w:pPr>
            <w:r w:rsidRPr="001A495B">
              <w:rPr>
                <w:color w:val="000000" w:themeColor="text1"/>
              </w:rPr>
              <w:t>(111.4.22)</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增訂納入「交通」領域，以加強孩童及少年之交通安全知識，一起守護孩童交通安全。(1條)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家庭教育法第七條條文修正草案</w:t>
            </w:r>
          </w:p>
          <w:p w:rsidR="001A495B" w:rsidRPr="001A495B" w:rsidRDefault="001A495B" w:rsidP="001A495B">
            <w:pPr>
              <w:pStyle w:val="0-"/>
              <w:rPr>
                <w:color w:val="000000" w:themeColor="text1"/>
              </w:rPr>
            </w:pPr>
            <w:r w:rsidRPr="001A495B">
              <w:rPr>
                <w:rFonts w:hint="eastAsia"/>
                <w:color w:val="000000" w:themeColor="text1"/>
              </w:rPr>
              <w:t>(委員萬美玲等17人</w:t>
            </w:r>
            <w:r w:rsidRPr="001A495B">
              <w:rPr>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10-5-9</w:t>
            </w:r>
          </w:p>
          <w:p w:rsidR="001A495B" w:rsidRPr="001A495B" w:rsidRDefault="001A495B" w:rsidP="00F70E7C">
            <w:pPr>
              <w:pStyle w:val="0-"/>
              <w:rPr>
                <w:color w:val="000000" w:themeColor="text1"/>
              </w:rPr>
            </w:pPr>
            <w:r w:rsidRPr="001A495B">
              <w:rPr>
                <w:color w:val="000000" w:themeColor="text1"/>
              </w:rPr>
              <w:t>(111.4.22)</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推動家庭教育相關事宜時，應結合交通機</w:t>
            </w:r>
            <w:r w:rsidRPr="001A495B">
              <w:rPr>
                <w:rFonts w:hint="eastAsia"/>
                <w:color w:val="000000" w:themeColor="text1"/>
              </w:rPr>
              <w:lastRenderedPageBreak/>
              <w:t>關或單位等，共同推動交通安全相關知識。(1條)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家庭教育法第七條條文修正草案</w:t>
            </w:r>
          </w:p>
          <w:p w:rsidR="001A495B" w:rsidRPr="001A495B" w:rsidRDefault="001A495B" w:rsidP="001A495B">
            <w:pPr>
              <w:pStyle w:val="0-"/>
              <w:rPr>
                <w:color w:val="000000" w:themeColor="text1"/>
              </w:rPr>
            </w:pPr>
            <w:r w:rsidRPr="001A495B">
              <w:rPr>
                <w:rFonts w:hint="eastAsia"/>
                <w:color w:val="000000" w:themeColor="text1"/>
              </w:rPr>
              <w:t>(委員鄭正鈐等17人)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10-5-11</w:t>
            </w:r>
          </w:p>
          <w:p w:rsidR="001A495B" w:rsidRPr="001A495B" w:rsidRDefault="001A495B" w:rsidP="00F70E7C">
            <w:pPr>
              <w:pStyle w:val="0-"/>
              <w:rPr>
                <w:color w:val="000000" w:themeColor="text1"/>
              </w:rPr>
            </w:pPr>
            <w:r w:rsidRPr="001A495B">
              <w:rPr>
                <w:color w:val="000000" w:themeColor="text1"/>
              </w:rPr>
              <w:t>(111.5.6)</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p w:rsidR="001A495B" w:rsidRPr="001A495B" w:rsidRDefault="001A495B" w:rsidP="001A495B">
            <w:pPr>
              <w:spacing w:line="400" w:lineRule="exact"/>
              <w:jc w:val="both"/>
              <w:rPr>
                <w:rFonts w:ascii="標楷體" w:eastAsia="標楷體" w:hAnsi="標楷體"/>
                <w:color w:val="000000" w:themeColor="text1"/>
                <w:sz w:val="28"/>
                <w:szCs w:val="28"/>
              </w:rPr>
            </w:pP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未滿12歲兒童的道路交通事故傷亡，近3年卻逐漸攀升，真是「馬路如虎口」。(1條)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家庭教育法第七條條文修正草案</w:t>
            </w:r>
          </w:p>
          <w:p w:rsidR="001A495B" w:rsidRPr="001A495B" w:rsidRDefault="001A495B" w:rsidP="001A495B">
            <w:pPr>
              <w:pStyle w:val="0-"/>
              <w:rPr>
                <w:color w:val="000000" w:themeColor="text1"/>
              </w:rPr>
            </w:pPr>
            <w:r w:rsidRPr="001A495B">
              <w:rPr>
                <w:rFonts w:hint="eastAsia"/>
                <w:color w:val="000000" w:themeColor="text1"/>
              </w:rPr>
              <w:t>(委員鄭麗文等17人)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10-6-3</w:t>
            </w:r>
          </w:p>
          <w:p w:rsidR="001A495B" w:rsidRPr="001A495B" w:rsidRDefault="001A495B" w:rsidP="00F70E7C">
            <w:pPr>
              <w:pStyle w:val="0-"/>
              <w:rPr>
                <w:color w:val="000000" w:themeColor="text1"/>
              </w:rPr>
            </w:pPr>
            <w:r w:rsidRPr="001A495B">
              <w:rPr>
                <w:color w:val="000000" w:themeColor="text1"/>
              </w:rPr>
              <w:t>(111.10.7)</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為重視人本交通及兒少生命安全權利，及建立下一代友善安全的交通及通學環境。(1條)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家庭教育法第七條條文修正草案</w:t>
            </w:r>
          </w:p>
          <w:p w:rsidR="001A495B" w:rsidRPr="001A495B" w:rsidRDefault="001A495B" w:rsidP="001A495B">
            <w:pPr>
              <w:pStyle w:val="0-"/>
              <w:rPr>
                <w:color w:val="000000" w:themeColor="text1"/>
              </w:rPr>
            </w:pPr>
            <w:r w:rsidRPr="001A495B">
              <w:rPr>
                <w:rFonts w:hint="eastAsia"/>
                <w:color w:val="000000" w:themeColor="text1"/>
              </w:rPr>
              <w:t>(委員楊瓊瓔等19人)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10-6-5</w:t>
            </w:r>
          </w:p>
          <w:p w:rsidR="001A495B" w:rsidRPr="001A495B" w:rsidRDefault="001A495B" w:rsidP="00F70E7C">
            <w:pPr>
              <w:pStyle w:val="0-"/>
              <w:rPr>
                <w:color w:val="000000" w:themeColor="text1"/>
              </w:rPr>
            </w:pPr>
            <w:r w:rsidRPr="001A495B">
              <w:rPr>
                <w:color w:val="000000" w:themeColor="text1"/>
              </w:rPr>
              <w:t>(111.10.28)</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交通安全知識的推動及教育，刻不容緩，為增加家長及孩童的道路交通安全相關知識。(1條)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學校飲食法草案</w:t>
            </w:r>
          </w:p>
          <w:p w:rsidR="001A495B" w:rsidRPr="001A495B" w:rsidRDefault="001A495B" w:rsidP="001A495B">
            <w:pPr>
              <w:pStyle w:val="0-"/>
              <w:rPr>
                <w:color w:val="000000" w:themeColor="text1"/>
              </w:rPr>
            </w:pPr>
            <w:r w:rsidRPr="001A495B">
              <w:rPr>
                <w:rFonts w:hint="eastAsia"/>
                <w:color w:val="000000" w:themeColor="text1"/>
              </w:rPr>
              <w:t>(委員吳思瑤等25人)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10-1-</w:t>
            </w:r>
            <w:r w:rsidRPr="001A495B">
              <w:rPr>
                <w:rFonts w:hint="eastAsia"/>
                <w:color w:val="000000" w:themeColor="text1"/>
              </w:rPr>
              <w:t>14</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.5.22</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為積極推動健康飲食教育，並結合食農教育、地方食文化創生、美感教育等政策配套資源，將學校飲食相關辦理措施法制</w:t>
            </w:r>
            <w:r w:rsidRPr="001A495B">
              <w:rPr>
                <w:rFonts w:hint="eastAsia"/>
                <w:color w:val="000000" w:themeColor="text1"/>
              </w:rPr>
              <w:lastRenderedPageBreak/>
              <w:t>化。(20條)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學校飲食法草案</w:t>
            </w:r>
          </w:p>
          <w:p w:rsidR="001A495B" w:rsidRPr="001A495B" w:rsidRDefault="001A495B" w:rsidP="001A495B">
            <w:pPr>
              <w:pStyle w:val="0-"/>
              <w:rPr>
                <w:color w:val="000000" w:themeColor="text1"/>
              </w:rPr>
            </w:pPr>
            <w:r w:rsidRPr="001A495B">
              <w:rPr>
                <w:rFonts w:hint="eastAsia"/>
                <w:color w:val="000000" w:themeColor="text1"/>
              </w:rPr>
              <w:t>(委員林宜瑾等18人</w:t>
            </w:r>
            <w:r w:rsidRPr="001A495B">
              <w:rPr>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10-5-6</w:t>
            </w:r>
          </w:p>
          <w:p w:rsidR="001A495B" w:rsidRPr="001A495B" w:rsidRDefault="001A495B" w:rsidP="00F70E7C">
            <w:pPr>
              <w:pStyle w:val="0-"/>
              <w:rPr>
                <w:color w:val="000000" w:themeColor="text1"/>
              </w:rPr>
            </w:pPr>
            <w:r w:rsidRPr="001A495B">
              <w:rPr>
                <w:color w:val="000000" w:themeColor="text1"/>
              </w:rPr>
              <w:t>(111.4.1)</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 xml:space="preserve">為建構完善之飲食供給模式，改善學校辦理困境，以健全學生之身心健康發展，並奠定國民健康之基礎。(26條) </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學校飲食法草案</w:t>
            </w:r>
          </w:p>
          <w:p w:rsidR="001A495B" w:rsidRPr="001A495B" w:rsidRDefault="001A495B" w:rsidP="001A495B">
            <w:pPr>
              <w:pStyle w:val="0-"/>
              <w:rPr>
                <w:color w:val="000000" w:themeColor="text1"/>
              </w:rPr>
            </w:pPr>
            <w:r w:rsidRPr="001A495B">
              <w:rPr>
                <w:rFonts w:hint="eastAsia"/>
                <w:color w:val="000000" w:themeColor="text1"/>
              </w:rPr>
              <w:t>(委員陳秀寳等</w:t>
            </w:r>
            <w:r w:rsidRPr="001A495B">
              <w:rPr>
                <w:color w:val="000000" w:themeColor="text1"/>
              </w:rPr>
              <w:t>16</w:t>
            </w:r>
            <w:r w:rsidRPr="001A495B">
              <w:rPr>
                <w:rFonts w:hint="eastAsia"/>
                <w:color w:val="000000" w:themeColor="text1"/>
              </w:rPr>
              <w:t>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10-6-1</w:t>
            </w:r>
          </w:p>
          <w:p w:rsidR="001A495B" w:rsidRPr="001A495B" w:rsidRDefault="001A495B" w:rsidP="00F70E7C">
            <w:pPr>
              <w:pStyle w:val="0-"/>
              <w:rPr>
                <w:color w:val="000000" w:themeColor="text1"/>
              </w:rPr>
            </w:pPr>
            <w:r w:rsidRPr="001A495B">
              <w:rPr>
                <w:color w:val="000000" w:themeColor="text1"/>
              </w:rPr>
              <w:t>(111.9.23)</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為保障學校飲食安全，促進學生健康發展，同時為建構完善之學校飲食供給制度。(</w:t>
            </w:r>
            <w:r w:rsidRPr="001A495B">
              <w:rPr>
                <w:color w:val="000000" w:themeColor="text1"/>
              </w:rPr>
              <w:t>22</w:t>
            </w:r>
            <w:r w:rsidRPr="001A495B">
              <w:rPr>
                <w:rFonts w:hint="eastAsia"/>
                <w:color w:val="000000" w:themeColor="text1"/>
              </w:rPr>
              <w:t>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學校飲食教育法草案</w:t>
            </w:r>
          </w:p>
          <w:p w:rsidR="001A495B" w:rsidRPr="001A495B" w:rsidRDefault="001A495B" w:rsidP="001A495B">
            <w:pPr>
              <w:pStyle w:val="0-"/>
              <w:rPr>
                <w:color w:val="000000" w:themeColor="text1"/>
              </w:rPr>
            </w:pPr>
            <w:r w:rsidRPr="001A495B">
              <w:rPr>
                <w:rFonts w:hint="eastAsia"/>
                <w:color w:val="000000" w:themeColor="text1"/>
              </w:rPr>
              <w:t>(委員范雲等20人)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w:t>
            </w:r>
            <w:r w:rsidRPr="001A495B">
              <w:rPr>
                <w:rFonts w:hint="eastAsia"/>
                <w:color w:val="000000" w:themeColor="text1"/>
              </w:rPr>
              <w:t>2</w:t>
            </w:r>
            <w:r w:rsidRPr="001A495B">
              <w:rPr>
                <w:color w:val="000000" w:themeColor="text1"/>
              </w:rPr>
              <w:t>-</w:t>
            </w:r>
            <w:r w:rsidRPr="001A495B">
              <w:rPr>
                <w:rFonts w:hint="eastAsia"/>
                <w:color w:val="000000" w:themeColor="text1"/>
              </w:rPr>
              <w:t>9</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.12.</w:t>
            </w:r>
            <w:r w:rsidRPr="001A495B">
              <w:rPr>
                <w:color w:val="000000" w:themeColor="text1"/>
              </w:rPr>
              <w:t>24</w:t>
            </w:r>
            <w:r w:rsidRPr="001A495B">
              <w:rPr>
                <w:rFonts w:hint="eastAsia"/>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目前學校辦理學校飲食之相關規定分散於各式法令，未能有效整合規範各地區學校辦餐之相關機制，有必要制定專法統一規範之。</w:t>
            </w:r>
            <w:r w:rsidRPr="001A495B">
              <w:rPr>
                <w:rFonts w:hint="eastAsia"/>
                <w:color w:val="000000" w:themeColor="text1"/>
              </w:rPr>
              <w:t>(21條)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學校飲食教育法草案</w:t>
            </w:r>
          </w:p>
          <w:p w:rsidR="001A495B" w:rsidRPr="001A495B" w:rsidRDefault="001A495B" w:rsidP="001A495B">
            <w:pPr>
              <w:pStyle w:val="0-"/>
              <w:rPr>
                <w:color w:val="000000" w:themeColor="text1"/>
              </w:rPr>
            </w:pPr>
            <w:r w:rsidRPr="001A495B">
              <w:rPr>
                <w:rFonts w:hint="eastAsia"/>
                <w:color w:val="000000" w:themeColor="text1"/>
              </w:rPr>
              <w:t>(時代力量黨團)</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10-4-6</w:t>
            </w:r>
          </w:p>
          <w:p w:rsidR="001A495B" w:rsidRPr="001A495B" w:rsidRDefault="001A495B" w:rsidP="00F70E7C">
            <w:pPr>
              <w:pStyle w:val="0-"/>
              <w:rPr>
                <w:color w:val="000000" w:themeColor="text1"/>
              </w:rPr>
            </w:pPr>
            <w:r w:rsidRPr="001A495B">
              <w:rPr>
                <w:color w:val="000000" w:themeColor="text1"/>
              </w:rPr>
              <w:t>(110</w:t>
            </w:r>
            <w:r w:rsidRPr="001A495B">
              <w:rPr>
                <w:rFonts w:hint="eastAsia"/>
                <w:color w:val="000000" w:themeColor="text1"/>
              </w:rPr>
              <w:t>.</w:t>
            </w:r>
            <w:r w:rsidRPr="001A495B">
              <w:rPr>
                <w:color w:val="000000" w:themeColor="text1"/>
              </w:rPr>
              <w:t>10</w:t>
            </w:r>
            <w:r w:rsidRPr="001A495B">
              <w:rPr>
                <w:rFonts w:hint="eastAsia"/>
                <w:color w:val="000000" w:themeColor="text1"/>
              </w:rPr>
              <w:t>.</w:t>
            </w:r>
            <w:r w:rsidRPr="001A495B">
              <w:rPr>
                <w:color w:val="000000" w:themeColor="text1"/>
              </w:rPr>
              <w:t>22)</w:t>
            </w:r>
          </w:p>
          <w:p w:rsidR="001A495B" w:rsidRPr="001A495B" w:rsidRDefault="001A495B" w:rsidP="00F70E7C">
            <w:pPr>
              <w:pStyle w:val="0-"/>
              <w:rPr>
                <w:color w:val="000000" w:themeColor="text1"/>
              </w:rPr>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參酌日本之立法例，學校飲食應兼具營養健康及教育目的。(</w:t>
            </w:r>
            <w:r w:rsidRPr="001A495B">
              <w:rPr>
                <w:color w:val="000000" w:themeColor="text1"/>
              </w:rPr>
              <w:t>22</w:t>
            </w:r>
            <w:r w:rsidRPr="001A495B">
              <w:rPr>
                <w:rFonts w:hint="eastAsia"/>
                <w:color w:val="000000" w:themeColor="text1"/>
              </w:rPr>
              <w:t>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學校飲食營養促進法草案</w:t>
            </w:r>
          </w:p>
          <w:p w:rsidR="001A495B" w:rsidRPr="001A495B" w:rsidRDefault="001A495B" w:rsidP="001A495B">
            <w:pPr>
              <w:pStyle w:val="0-"/>
              <w:rPr>
                <w:color w:val="000000" w:themeColor="text1"/>
              </w:rPr>
            </w:pPr>
            <w:r w:rsidRPr="001A495B">
              <w:rPr>
                <w:rFonts w:hint="eastAsia"/>
                <w:color w:val="000000" w:themeColor="text1"/>
              </w:rPr>
              <w:lastRenderedPageBreak/>
              <w:t>(委員黃國書等21人)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lastRenderedPageBreak/>
              <w:t>10-3-8</w:t>
            </w:r>
          </w:p>
          <w:p w:rsidR="001A495B" w:rsidRPr="001A495B" w:rsidRDefault="001A495B" w:rsidP="000306DD">
            <w:pPr>
              <w:pStyle w:val="0-"/>
              <w:rPr>
                <w:color w:val="000000" w:themeColor="text1"/>
              </w:rPr>
            </w:pPr>
            <w:r w:rsidRPr="001A495B">
              <w:rPr>
                <w:color w:val="000000" w:themeColor="text1"/>
              </w:rPr>
              <w:t>(110.4.16)</w:t>
            </w:r>
            <w:r w:rsidRPr="001A495B">
              <w:rPr>
                <w:color w:val="000000" w:themeColor="text1"/>
              </w:rPr>
              <w:tab/>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充實辦理學校午餐所需之人</w:t>
            </w:r>
            <w:r w:rsidRPr="001A495B">
              <w:rPr>
                <w:rFonts w:hint="eastAsia"/>
                <w:color w:val="000000" w:themeColor="text1"/>
              </w:rPr>
              <w:lastRenderedPageBreak/>
              <w:t>力，已達妥善替食品衛生把關之效果，並實施健康飲食教育促進學童營養與健康。(19條)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學校飲食健康促進法草案</w:t>
            </w:r>
          </w:p>
          <w:p w:rsidR="001A495B" w:rsidRPr="001A495B" w:rsidRDefault="001A495B" w:rsidP="001A495B">
            <w:pPr>
              <w:pStyle w:val="0-"/>
              <w:rPr>
                <w:color w:val="000000" w:themeColor="text1"/>
              </w:rPr>
            </w:pPr>
            <w:r w:rsidRPr="001A495B">
              <w:rPr>
                <w:rFonts w:hint="eastAsia"/>
                <w:color w:val="000000" w:themeColor="text1"/>
              </w:rPr>
              <w:t>(委員林奕華等25人)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10-4-14</w:t>
            </w:r>
          </w:p>
          <w:p w:rsidR="001A495B" w:rsidRPr="001A495B" w:rsidRDefault="001A495B" w:rsidP="00F70E7C">
            <w:pPr>
              <w:pStyle w:val="0-"/>
              <w:rPr>
                <w:color w:val="000000" w:themeColor="text1"/>
              </w:rPr>
            </w:pPr>
            <w:r w:rsidRPr="001A495B">
              <w:rPr>
                <w:color w:val="000000" w:themeColor="text1"/>
              </w:rPr>
              <w:t>(110.12.17)</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透過政策制訂、資源投入、人力協助及管理執行等層面，讓臺灣校園供餐體系日趨完善，健全學生身心發展。(</w:t>
            </w:r>
            <w:r w:rsidRPr="001A495B">
              <w:rPr>
                <w:color w:val="000000" w:themeColor="text1"/>
              </w:rPr>
              <w:t>26</w:t>
            </w:r>
            <w:r w:rsidRPr="001A495B">
              <w:rPr>
                <w:rFonts w:hint="eastAsia"/>
                <w:color w:val="000000" w:themeColor="text1"/>
              </w:rPr>
              <w:t>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學校供餐法草案</w:t>
            </w:r>
          </w:p>
          <w:p w:rsidR="001A495B" w:rsidRPr="001A495B" w:rsidRDefault="001A495B" w:rsidP="001A495B">
            <w:pPr>
              <w:pStyle w:val="0-"/>
              <w:rPr>
                <w:color w:val="000000" w:themeColor="text1"/>
              </w:rPr>
            </w:pPr>
            <w:r w:rsidRPr="001A495B">
              <w:rPr>
                <w:rFonts w:hint="eastAsia"/>
                <w:color w:val="000000" w:themeColor="text1"/>
              </w:rPr>
              <w:t>(民眾黨黨團)</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10-3-13</w:t>
            </w:r>
          </w:p>
          <w:p w:rsidR="001A495B" w:rsidRPr="001A495B" w:rsidRDefault="001A495B" w:rsidP="00F70E7C">
            <w:pPr>
              <w:pStyle w:val="0-"/>
              <w:rPr>
                <w:color w:val="000000" w:themeColor="text1"/>
              </w:rPr>
            </w:pPr>
            <w:r w:rsidRPr="001A495B">
              <w:rPr>
                <w:color w:val="000000" w:themeColor="text1"/>
              </w:rPr>
              <w:t>(110.5.21)</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實踐聯合國永續發展目標與人道經濟之進步價值，以促進學生健康飲食，及健全學生身心發展。(23條)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學校供餐法草案</w:t>
            </w:r>
          </w:p>
          <w:p w:rsidR="001A495B" w:rsidRPr="001A495B" w:rsidRDefault="001A495B" w:rsidP="001A495B">
            <w:pPr>
              <w:pStyle w:val="0-"/>
              <w:rPr>
                <w:color w:val="000000" w:themeColor="text1"/>
              </w:rPr>
            </w:pPr>
            <w:r w:rsidRPr="001A495B">
              <w:rPr>
                <w:rFonts w:hint="eastAsia"/>
                <w:color w:val="000000" w:themeColor="text1"/>
              </w:rPr>
              <w:t>(委員蔣萬安等20人)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10-3-14</w:t>
            </w:r>
          </w:p>
          <w:p w:rsidR="001A495B" w:rsidRPr="001A495B" w:rsidRDefault="001A495B" w:rsidP="00F70E7C">
            <w:pPr>
              <w:pStyle w:val="0-"/>
              <w:rPr>
                <w:color w:val="000000" w:themeColor="text1"/>
              </w:rPr>
            </w:pPr>
            <w:r w:rsidRPr="001A495B">
              <w:rPr>
                <w:rFonts w:hint="eastAsia"/>
                <w:color w:val="000000" w:themeColor="text1"/>
              </w:rPr>
              <w:t>(110.5.31)</w:t>
            </w:r>
            <w:r w:rsidRPr="001A495B">
              <w:rPr>
                <w:color w:val="000000" w:themeColor="text1"/>
              </w:rPr>
              <w:t xml:space="preserve"> </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參考鄰近國家例如日本、韓國分於1954年、1981年制定《學校給食法》，為學童校園午餐安全把關。(26條)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學校供餐法草案</w:t>
            </w:r>
          </w:p>
          <w:p w:rsidR="001A495B" w:rsidRPr="001A495B" w:rsidRDefault="001A495B" w:rsidP="001A495B">
            <w:pPr>
              <w:pStyle w:val="0-"/>
              <w:rPr>
                <w:color w:val="000000" w:themeColor="text1"/>
              </w:rPr>
            </w:pPr>
            <w:r w:rsidRPr="001A495B">
              <w:rPr>
                <w:rFonts w:hint="eastAsia"/>
                <w:color w:val="000000" w:themeColor="text1"/>
              </w:rPr>
              <w:t>(委員賴品妤等29人)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10-4-13</w:t>
            </w:r>
          </w:p>
          <w:p w:rsidR="001A495B" w:rsidRPr="001A495B" w:rsidRDefault="001A495B" w:rsidP="00F70E7C">
            <w:pPr>
              <w:pStyle w:val="0-"/>
              <w:rPr>
                <w:color w:val="000000" w:themeColor="text1"/>
              </w:rPr>
            </w:pPr>
            <w:r w:rsidRPr="001A495B">
              <w:rPr>
                <w:color w:val="000000" w:themeColor="text1"/>
              </w:rPr>
              <w:t>(110.12.10)</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為改善城鄉學童校內飲食品</w:t>
            </w:r>
            <w:r w:rsidRPr="001A495B">
              <w:rPr>
                <w:rFonts w:hint="eastAsia"/>
                <w:color w:val="000000" w:themeColor="text1"/>
              </w:rPr>
              <w:lastRenderedPageBreak/>
              <w:t>質之差異，促進學童之營養均衡、保障身心發展。(</w:t>
            </w:r>
            <w:r w:rsidRPr="001A495B">
              <w:rPr>
                <w:color w:val="000000" w:themeColor="text1"/>
              </w:rPr>
              <w:t>26</w:t>
            </w:r>
            <w:r w:rsidRPr="001A495B">
              <w:rPr>
                <w:rFonts w:hint="eastAsia"/>
                <w:color w:val="000000" w:themeColor="text1"/>
              </w:rPr>
              <w:t>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學校供餐法草案</w:t>
            </w:r>
          </w:p>
          <w:p w:rsidR="001A495B" w:rsidRPr="001A495B" w:rsidRDefault="001A495B" w:rsidP="001A495B">
            <w:pPr>
              <w:pStyle w:val="0-"/>
              <w:rPr>
                <w:color w:val="000000" w:themeColor="text1"/>
              </w:rPr>
            </w:pPr>
            <w:r w:rsidRPr="001A495B">
              <w:rPr>
                <w:rFonts w:hint="eastAsia"/>
                <w:color w:val="000000" w:themeColor="text1"/>
              </w:rPr>
              <w:t>(委員魯明哲等21人)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10-4-15</w:t>
            </w:r>
          </w:p>
          <w:p w:rsidR="001A495B" w:rsidRPr="001A495B" w:rsidRDefault="001A495B" w:rsidP="00F70E7C">
            <w:pPr>
              <w:pStyle w:val="0-"/>
              <w:rPr>
                <w:color w:val="000000" w:themeColor="text1"/>
              </w:rPr>
            </w:pPr>
            <w:r w:rsidRPr="001A495B">
              <w:rPr>
                <w:color w:val="000000" w:themeColor="text1"/>
              </w:rPr>
              <w:t>(110.12.24)</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建立完整的學校供餐制度，為校園餐食安全把關。</w:t>
            </w:r>
          </w:p>
          <w:p w:rsidR="001A495B" w:rsidRPr="001A495B" w:rsidRDefault="001A495B" w:rsidP="00F70E7C">
            <w:pPr>
              <w:pStyle w:val="0-"/>
              <w:rPr>
                <w:color w:val="000000" w:themeColor="text1"/>
              </w:rPr>
            </w:pPr>
            <w:r w:rsidRPr="001A495B">
              <w:rPr>
                <w:rFonts w:hint="eastAsia"/>
                <w:color w:val="000000" w:themeColor="text1"/>
              </w:rPr>
              <w:t>(27條)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學校供餐法草案</w:t>
            </w:r>
          </w:p>
          <w:p w:rsidR="001A495B" w:rsidRPr="001A495B" w:rsidRDefault="001A495B" w:rsidP="001A495B">
            <w:pPr>
              <w:pStyle w:val="0-"/>
              <w:rPr>
                <w:color w:val="000000" w:themeColor="text1"/>
              </w:rPr>
            </w:pPr>
            <w:r w:rsidRPr="001A495B">
              <w:rPr>
                <w:rFonts w:hint="eastAsia"/>
                <w:color w:val="000000" w:themeColor="text1"/>
              </w:rPr>
              <w:t>(委員馬文君等16人)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10-5-11</w:t>
            </w:r>
          </w:p>
          <w:p w:rsidR="001A495B" w:rsidRPr="001A495B" w:rsidRDefault="001A495B" w:rsidP="00F70E7C">
            <w:pPr>
              <w:pStyle w:val="0-"/>
              <w:rPr>
                <w:color w:val="000000" w:themeColor="text1"/>
              </w:rPr>
            </w:pPr>
            <w:r w:rsidRPr="001A495B">
              <w:rPr>
                <w:color w:val="000000" w:themeColor="text1"/>
              </w:rPr>
              <w:t>(111.5.6)</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透過制定專法辦理學校供餐體系充分支持與完備，以健全學生營養均衡及兼顧食品安全。(21條)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學校供餐條例草案</w:t>
            </w:r>
          </w:p>
          <w:p w:rsidR="001A495B" w:rsidRPr="001A495B" w:rsidRDefault="001A495B" w:rsidP="001A495B">
            <w:pPr>
              <w:pStyle w:val="0-"/>
              <w:rPr>
                <w:color w:val="000000" w:themeColor="text1"/>
              </w:rPr>
            </w:pPr>
            <w:r w:rsidRPr="001A495B">
              <w:rPr>
                <w:rFonts w:hint="eastAsia"/>
                <w:color w:val="000000" w:themeColor="text1"/>
              </w:rPr>
              <w:t>(委員楊瓊瓔等16人)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10-4-6</w:t>
            </w:r>
          </w:p>
          <w:p w:rsidR="001A495B" w:rsidRPr="001A495B" w:rsidRDefault="001A495B" w:rsidP="00F70E7C">
            <w:pPr>
              <w:pStyle w:val="0-"/>
              <w:rPr>
                <w:color w:val="000000" w:themeColor="text1"/>
              </w:rPr>
            </w:pPr>
            <w:r w:rsidRPr="001A495B">
              <w:rPr>
                <w:color w:val="000000" w:themeColor="text1"/>
              </w:rPr>
              <w:t>(110.10.22)</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讓臺灣校園供餐系統日趨完善，保障學童受照顧之權利。(</w:t>
            </w:r>
            <w:r w:rsidRPr="001A495B">
              <w:rPr>
                <w:color w:val="000000" w:themeColor="text1"/>
              </w:rPr>
              <w:t>21</w:t>
            </w:r>
            <w:r w:rsidRPr="001A495B">
              <w:rPr>
                <w:rFonts w:hint="eastAsia"/>
                <w:color w:val="000000" w:themeColor="text1"/>
              </w:rPr>
              <w:t>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學校午餐條例草案</w:t>
            </w:r>
          </w:p>
          <w:p w:rsidR="001A495B" w:rsidRPr="001A495B" w:rsidRDefault="001A495B" w:rsidP="001A495B">
            <w:pPr>
              <w:pStyle w:val="0-"/>
              <w:rPr>
                <w:color w:val="000000" w:themeColor="text1"/>
              </w:rPr>
            </w:pPr>
            <w:r w:rsidRPr="001A495B">
              <w:rPr>
                <w:rFonts w:hint="eastAsia"/>
                <w:color w:val="000000" w:themeColor="text1"/>
              </w:rPr>
              <w:t>(委員萬美玲等20人)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10-4-6</w:t>
            </w:r>
          </w:p>
          <w:p w:rsidR="001A495B" w:rsidRPr="001A495B" w:rsidRDefault="001A495B" w:rsidP="00F70E7C">
            <w:pPr>
              <w:pStyle w:val="0-"/>
              <w:rPr>
                <w:color w:val="000000" w:themeColor="text1"/>
              </w:rPr>
            </w:pPr>
            <w:r w:rsidRPr="001A495B">
              <w:rPr>
                <w:color w:val="000000" w:themeColor="text1"/>
              </w:rPr>
              <w:t>(110.10.22)</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建置更完善且具體之學校午餐制度並制定專法確有必要。(</w:t>
            </w:r>
            <w:r w:rsidRPr="001A495B">
              <w:rPr>
                <w:color w:val="000000" w:themeColor="text1"/>
              </w:rPr>
              <w:t>20</w:t>
            </w:r>
            <w:r w:rsidRPr="001A495B">
              <w:rPr>
                <w:rFonts w:hint="eastAsia"/>
                <w:color w:val="000000" w:themeColor="text1"/>
              </w:rPr>
              <w:t>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學校午餐法草案</w:t>
            </w:r>
          </w:p>
          <w:p w:rsidR="001A495B" w:rsidRPr="001A495B" w:rsidRDefault="001A495B" w:rsidP="001A495B">
            <w:pPr>
              <w:pStyle w:val="0-"/>
              <w:rPr>
                <w:color w:val="000000" w:themeColor="text1"/>
              </w:rPr>
            </w:pPr>
            <w:r w:rsidRPr="001A495B">
              <w:rPr>
                <w:rFonts w:hint="eastAsia"/>
                <w:color w:val="000000" w:themeColor="text1"/>
              </w:rPr>
              <w:t>(</w:t>
            </w:r>
            <w:r w:rsidRPr="00F70E7C">
              <w:rPr>
                <w:rFonts w:hint="eastAsia"/>
                <w:color w:val="000000" w:themeColor="text1"/>
                <w:spacing w:val="-20"/>
              </w:rPr>
              <w:t>委員張廖萬堅等18人</w:t>
            </w:r>
            <w:r w:rsidRPr="001A495B">
              <w:rPr>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10-5-1</w:t>
            </w:r>
          </w:p>
          <w:p w:rsidR="001A495B" w:rsidRPr="001A495B" w:rsidRDefault="001A495B" w:rsidP="00F70E7C">
            <w:pPr>
              <w:pStyle w:val="0-"/>
              <w:rPr>
                <w:color w:val="000000" w:themeColor="text1"/>
              </w:rPr>
            </w:pPr>
            <w:r w:rsidRPr="001A495B">
              <w:rPr>
                <w:color w:val="000000" w:themeColor="text1"/>
              </w:rPr>
              <w:t>(111</w:t>
            </w:r>
            <w:r w:rsidRPr="001A495B">
              <w:rPr>
                <w:rFonts w:hint="eastAsia"/>
                <w:color w:val="000000" w:themeColor="text1"/>
              </w:rPr>
              <w:t>.</w:t>
            </w:r>
            <w:r w:rsidRPr="001A495B">
              <w:rPr>
                <w:color w:val="000000" w:themeColor="text1"/>
              </w:rPr>
              <w:t>3</w:t>
            </w:r>
            <w:r w:rsidRPr="001A495B">
              <w:rPr>
                <w:rFonts w:hint="eastAsia"/>
                <w:color w:val="000000" w:themeColor="text1"/>
              </w:rPr>
              <w:t>.</w:t>
            </w:r>
            <w:r w:rsidRPr="001A495B">
              <w:rPr>
                <w:color w:val="000000" w:themeColor="text1"/>
              </w:rPr>
              <w:t>1)</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為解決現行困境及學校午餐規定分散於各法令之問題，並提升學校午餐品質，推動健康飲食教</w:t>
            </w:r>
            <w:r w:rsidRPr="001A495B">
              <w:rPr>
                <w:rFonts w:hint="eastAsia"/>
                <w:color w:val="000000" w:themeColor="text1"/>
              </w:rPr>
              <w:lastRenderedPageBreak/>
              <w:t>育。(21條)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國民體育法第三十三條及第四十條條文修正草案</w:t>
            </w:r>
          </w:p>
          <w:p w:rsidR="001A495B" w:rsidRPr="001A495B" w:rsidRDefault="001A495B" w:rsidP="001A495B">
            <w:pPr>
              <w:pStyle w:val="0-"/>
              <w:rPr>
                <w:color w:val="000000" w:themeColor="text1"/>
              </w:rPr>
            </w:pPr>
            <w:r w:rsidRPr="001A495B">
              <w:rPr>
                <w:rFonts w:hint="eastAsia"/>
                <w:color w:val="000000" w:themeColor="text1"/>
              </w:rPr>
              <w:t>(委員江永昌等16人)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10-1-</w:t>
            </w:r>
            <w:r w:rsidRPr="001A495B">
              <w:rPr>
                <w:rFonts w:hint="eastAsia"/>
                <w:color w:val="000000" w:themeColor="text1"/>
              </w:rPr>
              <w:t>14</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.5.22</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2F5F9C" w:rsidRDefault="002F5F9C" w:rsidP="002F5F9C">
            <w:pPr>
              <w:spacing w:line="400" w:lineRule="exact"/>
              <w:ind w:left="240" w:hangingChars="100" w:hanging="240"/>
              <w:jc w:val="both"/>
              <w:rPr>
                <w:rFonts w:ascii="標楷體" w:eastAsia="標楷體" w:hAnsi="標楷體"/>
                <w:color w:val="000000" w:themeColor="text1"/>
                <w:szCs w:val="24"/>
              </w:rPr>
            </w:pPr>
            <w:r>
              <w:rPr>
                <w:rFonts w:ascii="標楷體" w:eastAsia="標楷體" w:hAnsi="標楷體" w:hint="eastAsia"/>
                <w:color w:val="000000" w:themeColor="text1"/>
                <w:szCs w:val="24"/>
              </w:rPr>
              <w:t>1.</w:t>
            </w:r>
            <w:r w:rsidR="001A495B" w:rsidRPr="002F5F9C">
              <w:rPr>
                <w:rFonts w:ascii="標楷體" w:eastAsia="標楷體" w:hAnsi="標楷體" w:hint="eastAsia"/>
                <w:color w:val="000000" w:themeColor="text1"/>
                <w:szCs w:val="24"/>
              </w:rPr>
              <w:t>第3會期第6次全體委員會議(110.3.25)決議:報告及詢答完畢，另定期繼續審查。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要求訪視會、考核會及各專項委員會成員單一性別不得少於三分之一，以保障不同之性別皆有平等參與之權利與機會。(2條)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國民體育法第三十九條及第四十一條條文修正草案</w:t>
            </w:r>
          </w:p>
          <w:p w:rsidR="001A495B" w:rsidRPr="001A495B" w:rsidRDefault="001A495B" w:rsidP="001A495B">
            <w:pPr>
              <w:pStyle w:val="0-"/>
              <w:rPr>
                <w:color w:val="000000" w:themeColor="text1"/>
              </w:rPr>
            </w:pPr>
            <w:r w:rsidRPr="001A495B">
              <w:rPr>
                <w:rFonts w:hint="eastAsia"/>
                <w:color w:val="000000" w:themeColor="text1"/>
              </w:rPr>
              <w:t>(委員林宜瑾等27人)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10-1-15</w:t>
            </w:r>
          </w:p>
          <w:p w:rsidR="001A495B" w:rsidRPr="001A495B" w:rsidRDefault="001A495B" w:rsidP="00F70E7C">
            <w:pPr>
              <w:pStyle w:val="0-"/>
              <w:rPr>
                <w:color w:val="000000" w:themeColor="text1"/>
              </w:rPr>
            </w:pPr>
            <w:r w:rsidRPr="001A495B">
              <w:rPr>
                <w:rFonts w:hint="eastAsia"/>
                <w:color w:val="000000" w:themeColor="text1"/>
              </w:rPr>
              <w:t>(109.5.29)</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2F5F9C" w:rsidP="002F5F9C">
            <w:pPr>
              <w:spacing w:line="400" w:lineRule="exact"/>
              <w:ind w:left="240" w:hangingChars="100" w:hanging="240"/>
              <w:jc w:val="both"/>
              <w:rPr>
                <w:rFonts w:ascii="標楷體" w:eastAsia="標楷體" w:hAnsi="標楷體"/>
                <w:color w:val="000000" w:themeColor="text1"/>
                <w:sz w:val="28"/>
                <w:szCs w:val="28"/>
              </w:rPr>
            </w:pPr>
            <w:r>
              <w:rPr>
                <w:rFonts w:ascii="標楷體" w:eastAsia="標楷體" w:hAnsi="標楷體" w:hint="eastAsia"/>
                <w:color w:val="000000" w:themeColor="text1"/>
                <w:szCs w:val="24"/>
              </w:rPr>
              <w:t>1.</w:t>
            </w:r>
            <w:r w:rsidR="001A495B" w:rsidRPr="002F5F9C">
              <w:rPr>
                <w:rFonts w:ascii="標楷體" w:eastAsia="標楷體" w:hAnsi="標楷體" w:hint="eastAsia"/>
                <w:color w:val="000000" w:themeColor="text1"/>
                <w:szCs w:val="24"/>
              </w:rPr>
              <w:t>第3會期第6次全體委員會議(110.3.25)決議:報告及詢答完畢，另定期繼續審查。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對秘書長之聘僱，仍逕由理事長加以遴選，且未設任期限制，導致部分特定全國性體育團體之理事長選舉發生弊案，並經法院判處罪刑定讞，而受緩刑宣告之被告卻得以繼續擔任協會重要職務。(2條)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國民體育法第二十四條條文修正草案</w:t>
            </w:r>
          </w:p>
          <w:p w:rsidR="001A495B" w:rsidRPr="001A495B" w:rsidRDefault="001A495B" w:rsidP="001A495B">
            <w:pPr>
              <w:pStyle w:val="0-"/>
              <w:rPr>
                <w:color w:val="000000" w:themeColor="text1"/>
              </w:rPr>
            </w:pPr>
            <w:r w:rsidRPr="001A495B">
              <w:rPr>
                <w:rFonts w:hint="eastAsia"/>
                <w:color w:val="000000" w:themeColor="text1"/>
              </w:rPr>
              <w:t>(時代力量黨團)</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w:t>
            </w:r>
            <w:r w:rsidRPr="001A495B">
              <w:rPr>
                <w:rFonts w:hint="eastAsia"/>
                <w:color w:val="000000" w:themeColor="text1"/>
              </w:rPr>
              <w:t>2</w:t>
            </w:r>
            <w:r w:rsidRPr="001A495B">
              <w:rPr>
                <w:color w:val="000000" w:themeColor="text1"/>
              </w:rPr>
              <w:t>-</w:t>
            </w:r>
            <w:r w:rsidRPr="001A495B">
              <w:rPr>
                <w:rFonts w:hint="eastAsia"/>
                <w:color w:val="000000" w:themeColor="text1"/>
              </w:rPr>
              <w:t>3</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.10.6</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2F5F9C" w:rsidRDefault="002F5F9C" w:rsidP="002F5F9C">
            <w:pPr>
              <w:spacing w:line="400" w:lineRule="exact"/>
              <w:ind w:left="240" w:hangingChars="100" w:hanging="240"/>
              <w:jc w:val="both"/>
              <w:rPr>
                <w:rFonts w:ascii="標楷體" w:eastAsia="標楷體" w:hAnsi="標楷體"/>
                <w:color w:val="000000" w:themeColor="text1"/>
                <w:szCs w:val="24"/>
              </w:rPr>
            </w:pPr>
            <w:r>
              <w:rPr>
                <w:rFonts w:ascii="標楷體" w:eastAsia="標楷體" w:hAnsi="標楷體" w:hint="eastAsia"/>
                <w:color w:val="000000" w:themeColor="text1"/>
                <w:szCs w:val="24"/>
              </w:rPr>
              <w:t>1.</w:t>
            </w:r>
            <w:r w:rsidR="001A495B" w:rsidRPr="002F5F9C">
              <w:rPr>
                <w:rFonts w:ascii="標楷體" w:eastAsia="標楷體" w:hAnsi="標楷體" w:hint="eastAsia"/>
                <w:color w:val="000000" w:themeColor="text1"/>
                <w:szCs w:val="24"/>
              </w:rPr>
              <w:t>第3會期第6次全體委員會議</w:t>
            </w:r>
            <w:r w:rsidR="001A495B" w:rsidRPr="002F5F9C">
              <w:rPr>
                <w:rFonts w:ascii="標楷體" w:eastAsia="標楷體" w:hAnsi="標楷體" w:hint="eastAsia"/>
                <w:color w:val="000000" w:themeColor="text1"/>
                <w:spacing w:val="-10"/>
                <w:szCs w:val="24"/>
              </w:rPr>
              <w:t>(110.3.25)決議</w:t>
            </w:r>
            <w:r w:rsidR="001A495B" w:rsidRPr="002F5F9C">
              <w:rPr>
                <w:rFonts w:ascii="標楷體" w:eastAsia="標楷體" w:hAnsi="標楷體" w:hint="eastAsia"/>
                <w:color w:val="000000" w:themeColor="text1"/>
                <w:szCs w:val="24"/>
              </w:rPr>
              <w:t>:報告及詢答完畢，另定期繼續審查。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運動選手可能因為食用含有添加乙型受體素之肉品，影響藥檢，造成爭議。</w:t>
            </w:r>
            <w:r w:rsidRPr="001A495B">
              <w:rPr>
                <w:rFonts w:hint="eastAsia"/>
                <w:color w:val="000000" w:themeColor="text1"/>
              </w:rPr>
              <w:t>(1條)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國民體育法第二十四條條文修正草案</w:t>
            </w:r>
          </w:p>
          <w:p w:rsidR="001A495B" w:rsidRPr="001A495B" w:rsidRDefault="001A495B" w:rsidP="001A495B">
            <w:pPr>
              <w:pStyle w:val="0-"/>
              <w:rPr>
                <w:color w:val="000000" w:themeColor="text1"/>
              </w:rPr>
            </w:pPr>
            <w:r w:rsidRPr="001A495B">
              <w:rPr>
                <w:rFonts w:hint="eastAsia"/>
                <w:color w:val="000000" w:themeColor="text1"/>
              </w:rPr>
              <w:t>(委員謝衣鳯等17人)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w:t>
            </w:r>
            <w:r w:rsidRPr="001A495B">
              <w:rPr>
                <w:rFonts w:hint="eastAsia"/>
                <w:color w:val="000000" w:themeColor="text1"/>
              </w:rPr>
              <w:t>2</w:t>
            </w:r>
            <w:r w:rsidRPr="001A495B">
              <w:rPr>
                <w:color w:val="000000" w:themeColor="text1"/>
              </w:rPr>
              <w:t>-</w:t>
            </w:r>
            <w:r w:rsidRPr="001A495B">
              <w:rPr>
                <w:rFonts w:hint="eastAsia"/>
                <w:color w:val="000000" w:themeColor="text1"/>
              </w:rPr>
              <w:t>4</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.10.23</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2F5F9C" w:rsidRDefault="002F5F9C" w:rsidP="002F5F9C">
            <w:pPr>
              <w:spacing w:line="400" w:lineRule="exact"/>
              <w:ind w:left="240" w:hangingChars="100" w:hanging="240"/>
              <w:jc w:val="both"/>
              <w:rPr>
                <w:rFonts w:ascii="標楷體" w:eastAsia="標楷體" w:hAnsi="標楷體"/>
                <w:color w:val="000000" w:themeColor="text1"/>
                <w:szCs w:val="24"/>
              </w:rPr>
            </w:pPr>
            <w:r>
              <w:rPr>
                <w:rFonts w:ascii="標楷體" w:eastAsia="標楷體" w:hAnsi="標楷體" w:hint="eastAsia"/>
                <w:color w:val="000000" w:themeColor="text1"/>
                <w:szCs w:val="24"/>
              </w:rPr>
              <w:t>1.</w:t>
            </w:r>
            <w:r w:rsidR="001A495B" w:rsidRPr="002F5F9C">
              <w:rPr>
                <w:rFonts w:ascii="標楷體" w:eastAsia="標楷體" w:hAnsi="標楷體" w:hint="eastAsia"/>
                <w:color w:val="000000" w:themeColor="text1"/>
                <w:szCs w:val="24"/>
              </w:rPr>
              <w:t>第3會期第6次全體委員會議</w:t>
            </w:r>
            <w:r w:rsidR="001A495B" w:rsidRPr="002F5F9C">
              <w:rPr>
                <w:rFonts w:ascii="標楷體" w:eastAsia="標楷體" w:hAnsi="標楷體" w:hint="eastAsia"/>
                <w:color w:val="000000" w:themeColor="text1"/>
                <w:spacing w:val="-10"/>
                <w:szCs w:val="24"/>
              </w:rPr>
              <w:t>(110.3.25)決議</w:t>
            </w:r>
            <w:r w:rsidR="001A495B" w:rsidRPr="002F5F9C">
              <w:rPr>
                <w:rFonts w:ascii="標楷體" w:eastAsia="標楷體" w:hAnsi="標楷體" w:hint="eastAsia"/>
                <w:color w:val="000000" w:themeColor="text1"/>
                <w:szCs w:val="24"/>
              </w:rPr>
              <w:t>:</w:t>
            </w:r>
            <w:r w:rsidR="001A495B" w:rsidRPr="002F5F9C">
              <w:rPr>
                <w:rFonts w:ascii="標楷體" w:eastAsia="標楷體" w:hAnsi="標楷體" w:hint="eastAsia"/>
                <w:color w:val="000000" w:themeColor="text1"/>
                <w:szCs w:val="24"/>
              </w:rPr>
              <w:lastRenderedPageBreak/>
              <w:t>報告及詢答完畢，另定期繼續審查。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lastRenderedPageBreak/>
              <w:t>為避免運動選手可能因為食用含有添加乙</w:t>
            </w:r>
            <w:r w:rsidRPr="001A495B">
              <w:rPr>
                <w:color w:val="000000" w:themeColor="text1"/>
              </w:rPr>
              <w:lastRenderedPageBreak/>
              <w:t>型受體素之肉品，影響藥檢，造成爭議，增訂運動禁藥管制應含禁止使用含乙型受體素之相關產製品。</w:t>
            </w:r>
            <w:r w:rsidRPr="001A495B">
              <w:rPr>
                <w:rFonts w:hint="eastAsia"/>
                <w:color w:val="000000" w:themeColor="text1"/>
              </w:rPr>
              <w:t>(1條)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國民體育法第七條、第十四條及第四十四條條文修正草案</w:t>
            </w:r>
          </w:p>
          <w:p w:rsidR="001A495B" w:rsidRPr="001A495B" w:rsidRDefault="001A495B" w:rsidP="001A495B">
            <w:pPr>
              <w:pStyle w:val="0-"/>
              <w:rPr>
                <w:color w:val="000000" w:themeColor="text1"/>
              </w:rPr>
            </w:pPr>
            <w:r w:rsidRPr="001A495B">
              <w:rPr>
                <w:rFonts w:hint="eastAsia"/>
                <w:color w:val="000000" w:themeColor="text1"/>
              </w:rPr>
              <w:t>(委員賴品妤等16人)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w:t>
            </w:r>
            <w:r w:rsidRPr="001A495B">
              <w:rPr>
                <w:rFonts w:hint="eastAsia"/>
                <w:color w:val="000000" w:themeColor="text1"/>
              </w:rPr>
              <w:t>2</w:t>
            </w:r>
            <w:r w:rsidRPr="001A495B">
              <w:rPr>
                <w:color w:val="000000" w:themeColor="text1"/>
              </w:rPr>
              <w:t>-</w:t>
            </w:r>
            <w:r w:rsidRPr="001A495B">
              <w:rPr>
                <w:rFonts w:hint="eastAsia"/>
                <w:color w:val="000000" w:themeColor="text1"/>
              </w:rPr>
              <w:t>8</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.12.18</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2F5F9C" w:rsidRDefault="002F5F9C" w:rsidP="002F5F9C">
            <w:pPr>
              <w:spacing w:line="400" w:lineRule="exact"/>
              <w:ind w:left="240" w:hangingChars="100" w:hanging="240"/>
              <w:jc w:val="both"/>
              <w:rPr>
                <w:rFonts w:ascii="標楷體" w:eastAsia="標楷體" w:hAnsi="標楷體"/>
                <w:color w:val="000000" w:themeColor="text1"/>
                <w:szCs w:val="24"/>
              </w:rPr>
            </w:pPr>
            <w:r>
              <w:rPr>
                <w:rFonts w:ascii="標楷體" w:eastAsia="標楷體" w:hAnsi="標楷體" w:hint="eastAsia"/>
                <w:color w:val="000000" w:themeColor="text1"/>
                <w:szCs w:val="24"/>
              </w:rPr>
              <w:t>1.</w:t>
            </w:r>
            <w:r w:rsidR="001A495B" w:rsidRPr="002F5F9C">
              <w:rPr>
                <w:rFonts w:ascii="標楷體" w:eastAsia="標楷體" w:hAnsi="標楷體" w:hint="eastAsia"/>
                <w:color w:val="000000" w:themeColor="text1"/>
                <w:szCs w:val="24"/>
              </w:rPr>
              <w:t>第3會期第6次全體委員會議</w:t>
            </w:r>
            <w:r w:rsidR="001A495B" w:rsidRPr="002F5F9C">
              <w:rPr>
                <w:rFonts w:ascii="標楷體" w:eastAsia="標楷體" w:hAnsi="標楷體" w:hint="eastAsia"/>
                <w:color w:val="000000" w:themeColor="text1"/>
                <w:spacing w:val="-10"/>
                <w:szCs w:val="24"/>
              </w:rPr>
              <w:t>(110.3.25)決議:</w:t>
            </w:r>
            <w:r w:rsidR="001A495B" w:rsidRPr="002F5F9C">
              <w:rPr>
                <w:rFonts w:ascii="標楷體" w:eastAsia="標楷體" w:hAnsi="標楷體" w:hint="eastAsia"/>
                <w:color w:val="000000" w:themeColor="text1"/>
                <w:szCs w:val="24"/>
              </w:rPr>
              <w:t>報告及詢答完畢，另定期繼續審查。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現行法制對於身心障礙者參與運動活動之保障與促進未臻周延，以至於相關政策之擬定以及運動設施、場所及器材之設置均未納入身心障礙者之意見與需求之情形。</w:t>
            </w:r>
            <w:r w:rsidRPr="001A495B">
              <w:rPr>
                <w:rFonts w:hint="eastAsia"/>
                <w:color w:val="000000" w:themeColor="text1"/>
              </w:rPr>
              <w:t>(3條)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國民體育法增訂第十六條之一條文草案</w:t>
            </w:r>
          </w:p>
          <w:p w:rsidR="001A495B" w:rsidRPr="001A495B" w:rsidRDefault="001A495B" w:rsidP="001A495B">
            <w:pPr>
              <w:pStyle w:val="0-"/>
              <w:rPr>
                <w:color w:val="000000" w:themeColor="text1"/>
              </w:rPr>
            </w:pPr>
            <w:r w:rsidRPr="001A495B">
              <w:rPr>
                <w:rFonts w:hint="eastAsia"/>
                <w:color w:val="000000" w:themeColor="text1"/>
              </w:rPr>
              <w:t>(</w:t>
            </w:r>
            <w:r w:rsidRPr="00F70E7C">
              <w:rPr>
                <w:rFonts w:hint="eastAsia"/>
                <w:color w:val="000000" w:themeColor="text1"/>
                <w:spacing w:val="-20"/>
              </w:rPr>
              <w:t>委員張廖萬堅等23人</w:t>
            </w:r>
            <w:r w:rsidRPr="001A495B">
              <w:rPr>
                <w:rFonts w:hint="eastAsia"/>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w:t>
            </w:r>
            <w:r w:rsidRPr="001A495B">
              <w:rPr>
                <w:rFonts w:hint="eastAsia"/>
                <w:color w:val="000000" w:themeColor="text1"/>
              </w:rPr>
              <w:t>3</w:t>
            </w:r>
            <w:r w:rsidRPr="001A495B">
              <w:rPr>
                <w:color w:val="000000" w:themeColor="text1"/>
              </w:rPr>
              <w:t>-</w:t>
            </w:r>
            <w:r w:rsidRPr="001A495B">
              <w:rPr>
                <w:rFonts w:hint="eastAsia"/>
                <w:color w:val="000000" w:themeColor="text1"/>
              </w:rPr>
              <w:t>2</w:t>
            </w:r>
          </w:p>
          <w:p w:rsidR="001A495B" w:rsidRPr="001A495B" w:rsidRDefault="001A495B" w:rsidP="00F70E7C">
            <w:pPr>
              <w:pStyle w:val="0-"/>
              <w:rPr>
                <w:color w:val="000000" w:themeColor="text1"/>
              </w:rPr>
            </w:pPr>
            <w:r w:rsidRPr="001A495B">
              <w:rPr>
                <w:color w:val="000000" w:themeColor="text1"/>
              </w:rPr>
              <w:t>(1</w:t>
            </w:r>
            <w:r w:rsidRPr="001A495B">
              <w:rPr>
                <w:rFonts w:hint="eastAsia"/>
                <w:color w:val="000000" w:themeColor="text1"/>
              </w:rPr>
              <w:t>10.3.5</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2F5F9C" w:rsidRDefault="002F5F9C" w:rsidP="002F5F9C">
            <w:pPr>
              <w:spacing w:line="400" w:lineRule="exact"/>
              <w:ind w:left="240" w:hangingChars="100" w:hanging="240"/>
              <w:jc w:val="both"/>
              <w:rPr>
                <w:rFonts w:ascii="標楷體" w:eastAsia="標楷體" w:hAnsi="標楷體"/>
                <w:color w:val="000000" w:themeColor="text1"/>
                <w:szCs w:val="24"/>
              </w:rPr>
            </w:pPr>
            <w:r>
              <w:rPr>
                <w:rFonts w:ascii="標楷體" w:eastAsia="標楷體" w:hAnsi="標楷體" w:hint="eastAsia"/>
                <w:color w:val="000000" w:themeColor="text1"/>
                <w:szCs w:val="24"/>
              </w:rPr>
              <w:t>1.</w:t>
            </w:r>
            <w:r w:rsidR="001A495B" w:rsidRPr="002F5F9C">
              <w:rPr>
                <w:rFonts w:ascii="標楷體" w:eastAsia="標楷體" w:hAnsi="標楷體" w:hint="eastAsia"/>
                <w:color w:val="000000" w:themeColor="text1"/>
                <w:szCs w:val="24"/>
              </w:rPr>
              <w:t>第3會期第6次全體委員會議</w:t>
            </w:r>
            <w:r w:rsidR="001A495B" w:rsidRPr="002F5F9C">
              <w:rPr>
                <w:rFonts w:ascii="標楷體" w:eastAsia="標楷體" w:hAnsi="標楷體" w:hint="eastAsia"/>
                <w:color w:val="000000" w:themeColor="text1"/>
                <w:spacing w:val="-10"/>
                <w:szCs w:val="24"/>
              </w:rPr>
              <w:t>(110.3.25)決議:</w:t>
            </w:r>
            <w:r w:rsidR="001A495B" w:rsidRPr="002F5F9C">
              <w:rPr>
                <w:rFonts w:ascii="標楷體" w:eastAsia="標楷體" w:hAnsi="標楷體" w:hint="eastAsia"/>
                <w:color w:val="000000" w:themeColor="text1"/>
                <w:szCs w:val="24"/>
              </w:rPr>
              <w:t>報告及詢答完畢，另定期繼續審查。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近年學校屢傳學生被專任運動教練以外之運動教練不當管教或體罰事件，學校卻無相關規範可以依循處理，導致選手（學生）之學習權、受教育權、身體自主權及人格發展</w:t>
            </w:r>
            <w:r w:rsidRPr="001A495B">
              <w:rPr>
                <w:rFonts w:hint="eastAsia"/>
                <w:color w:val="000000" w:themeColor="text1"/>
              </w:rPr>
              <w:lastRenderedPageBreak/>
              <w:t>權恐受侵害。(1條)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國民體育法第三十六條及第三十九條條文修正草案</w:t>
            </w:r>
          </w:p>
          <w:p w:rsidR="001A495B" w:rsidRPr="001A495B" w:rsidRDefault="001A495B" w:rsidP="001A495B">
            <w:pPr>
              <w:pStyle w:val="0-"/>
              <w:rPr>
                <w:color w:val="000000" w:themeColor="text1"/>
              </w:rPr>
            </w:pPr>
            <w:r w:rsidRPr="001A495B">
              <w:rPr>
                <w:rFonts w:hint="eastAsia"/>
                <w:color w:val="000000" w:themeColor="text1"/>
              </w:rPr>
              <w:t>(時代力量黨團)</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10-3-6</w:t>
            </w:r>
          </w:p>
          <w:p w:rsidR="001A495B" w:rsidRPr="001A495B" w:rsidRDefault="001A495B" w:rsidP="00F70E7C">
            <w:pPr>
              <w:pStyle w:val="0-"/>
              <w:rPr>
                <w:color w:val="000000" w:themeColor="text1"/>
              </w:rPr>
            </w:pPr>
            <w:r w:rsidRPr="001A495B">
              <w:rPr>
                <w:color w:val="000000" w:themeColor="text1"/>
              </w:rPr>
              <w:t>(110.4.6)</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考量體育團體之理、監事及秘書長應有利益迴避相關之需要。(2條)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國民體育法第三十三條及第四十一條條文修正草案</w:t>
            </w:r>
          </w:p>
          <w:p w:rsidR="001A495B" w:rsidRPr="001A495B" w:rsidRDefault="001A495B" w:rsidP="001A495B">
            <w:pPr>
              <w:pStyle w:val="0-"/>
              <w:rPr>
                <w:color w:val="000000" w:themeColor="text1"/>
              </w:rPr>
            </w:pPr>
            <w:r w:rsidRPr="001A495B">
              <w:rPr>
                <w:rFonts w:hint="eastAsia"/>
                <w:color w:val="000000" w:themeColor="text1"/>
              </w:rPr>
              <w:t>(時代力量黨團)</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10-3-7</w:t>
            </w:r>
          </w:p>
          <w:p w:rsidR="001A495B" w:rsidRPr="001A495B" w:rsidRDefault="001A495B" w:rsidP="00F70E7C">
            <w:pPr>
              <w:pStyle w:val="0-"/>
              <w:rPr>
                <w:color w:val="000000" w:themeColor="text1"/>
              </w:rPr>
            </w:pPr>
            <w:r w:rsidRPr="001A495B">
              <w:rPr>
                <w:color w:val="000000" w:themeColor="text1"/>
              </w:rPr>
              <w:t>(110.4.9)</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現行法對於秘書長之聘僱，仍逕由理事長加以遴選，且未設任期限制，恐生弊端，與社會大眾期待藉由體育改革以達公開透明之旨不符。(</w:t>
            </w:r>
            <w:r w:rsidRPr="001A495B">
              <w:rPr>
                <w:color w:val="000000" w:themeColor="text1"/>
              </w:rPr>
              <w:t>2</w:t>
            </w:r>
            <w:r w:rsidRPr="001A495B">
              <w:rPr>
                <w:rFonts w:hint="eastAsia"/>
                <w:color w:val="000000" w:themeColor="text1"/>
              </w:rPr>
              <w:t>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國民體育法部分條文修正草案</w:t>
            </w:r>
          </w:p>
          <w:p w:rsidR="001A495B" w:rsidRPr="001A495B" w:rsidRDefault="001A495B" w:rsidP="001A495B">
            <w:pPr>
              <w:pStyle w:val="0-"/>
              <w:rPr>
                <w:color w:val="000000" w:themeColor="text1"/>
              </w:rPr>
            </w:pPr>
            <w:r w:rsidRPr="001A495B">
              <w:rPr>
                <w:rFonts w:hint="eastAsia"/>
                <w:color w:val="000000" w:themeColor="text1"/>
              </w:rPr>
              <w:t>(民眾黨黨團)</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10-3-9 (110.4.23)</w:t>
            </w:r>
          </w:p>
          <w:p w:rsidR="001A495B" w:rsidRPr="001A495B" w:rsidRDefault="001A495B" w:rsidP="00F70E7C">
            <w:pPr>
              <w:pStyle w:val="0-"/>
              <w:rPr>
                <w:color w:val="000000" w:themeColor="text1"/>
              </w:rPr>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ind w:leftChars="-10" w:left="26" w:rightChars="-41" w:right="-98" w:hangingChars="18" w:hanging="50"/>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近年民間運動場館數增加，有未符相關設置標準，而導致事故發生。(4條)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國民體育法第四十一條條文修正草案</w:t>
            </w:r>
          </w:p>
          <w:p w:rsidR="001A495B" w:rsidRPr="001A495B" w:rsidRDefault="001A495B" w:rsidP="001A495B">
            <w:pPr>
              <w:pStyle w:val="0-"/>
              <w:rPr>
                <w:color w:val="000000" w:themeColor="text1"/>
              </w:rPr>
            </w:pPr>
            <w:r w:rsidRPr="001A495B">
              <w:rPr>
                <w:rFonts w:hint="eastAsia"/>
                <w:color w:val="000000" w:themeColor="text1"/>
              </w:rPr>
              <w:t>(委員莊瑞雄等16人)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10-3-12</w:t>
            </w:r>
          </w:p>
          <w:p w:rsidR="001A495B" w:rsidRPr="001A495B" w:rsidRDefault="001A495B" w:rsidP="00F70E7C">
            <w:pPr>
              <w:pStyle w:val="0-"/>
              <w:rPr>
                <w:color w:val="000000" w:themeColor="text1"/>
              </w:rPr>
            </w:pPr>
            <w:r w:rsidRPr="001A495B">
              <w:rPr>
                <w:color w:val="000000" w:themeColor="text1"/>
              </w:rPr>
              <w:t>(110.5.14)</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未明確規定秘書長、副秘書之任期，以致目前國內許多特定體育團體之秘書長、副秘書長任期過長不易流動。(1條)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國民體育法第二十一條之一及第二十三條</w:t>
            </w:r>
            <w:r w:rsidRPr="001A495B">
              <w:rPr>
                <w:rFonts w:hint="eastAsia"/>
                <w:color w:val="000000" w:themeColor="text1"/>
              </w:rPr>
              <w:lastRenderedPageBreak/>
              <w:t>條文修正草案</w:t>
            </w:r>
          </w:p>
          <w:p w:rsidR="001A495B" w:rsidRPr="001A495B" w:rsidRDefault="001A495B" w:rsidP="001A495B">
            <w:pPr>
              <w:pStyle w:val="0-"/>
              <w:rPr>
                <w:color w:val="000000" w:themeColor="text1"/>
              </w:rPr>
            </w:pPr>
            <w:r w:rsidRPr="001A495B">
              <w:rPr>
                <w:rFonts w:hint="eastAsia"/>
                <w:color w:val="000000" w:themeColor="text1"/>
              </w:rPr>
              <w:t>(委員鄭麗文等17人)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lastRenderedPageBreak/>
              <w:t>10-4-6</w:t>
            </w:r>
          </w:p>
          <w:p w:rsidR="001A495B" w:rsidRPr="001A495B" w:rsidRDefault="001A495B" w:rsidP="00F70E7C">
            <w:pPr>
              <w:pStyle w:val="0-"/>
              <w:rPr>
                <w:color w:val="000000" w:themeColor="text1"/>
              </w:rPr>
            </w:pPr>
            <w:r w:rsidRPr="001A495B">
              <w:rPr>
                <w:color w:val="000000" w:themeColor="text1"/>
              </w:rPr>
              <w:t>(110.10.22)</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保障選手在培訓期間由政府</w:t>
            </w:r>
            <w:r w:rsidRPr="001A495B">
              <w:rPr>
                <w:rFonts w:hint="eastAsia"/>
                <w:color w:val="000000" w:themeColor="text1"/>
              </w:rPr>
              <w:lastRenderedPageBreak/>
              <w:t>編列預算提供生活津貼，且津貼不得低於國民平均月薪之百分之八十。(2條)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國民體育法增訂第二十二條之一條文草案</w:t>
            </w:r>
          </w:p>
          <w:p w:rsidR="001A495B" w:rsidRPr="001A495B" w:rsidRDefault="001A495B" w:rsidP="001A495B">
            <w:pPr>
              <w:pStyle w:val="0-"/>
              <w:rPr>
                <w:color w:val="000000" w:themeColor="text1"/>
              </w:rPr>
            </w:pPr>
            <w:r w:rsidRPr="001A495B">
              <w:rPr>
                <w:rFonts w:hint="eastAsia"/>
                <w:color w:val="000000" w:themeColor="text1"/>
              </w:rPr>
              <w:t>(委員林奕華等17人)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10-4-7</w:t>
            </w:r>
          </w:p>
          <w:p w:rsidR="001A495B" w:rsidRPr="001A495B" w:rsidRDefault="001A495B" w:rsidP="00F70E7C">
            <w:pPr>
              <w:pStyle w:val="0-"/>
              <w:rPr>
                <w:color w:val="000000" w:themeColor="text1"/>
              </w:rPr>
            </w:pPr>
            <w:r w:rsidRPr="001A495B">
              <w:rPr>
                <w:color w:val="000000" w:themeColor="text1"/>
              </w:rPr>
              <w:t>(110.10.29)</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為鼓勵優秀運動員為國爭光且有益於運動行銷與推廣，提升運動產業發展。(1條)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國民體育法增訂第三十八條之一及第三十八條之二條文草案</w:t>
            </w:r>
          </w:p>
          <w:p w:rsidR="001A495B" w:rsidRPr="001A495B" w:rsidRDefault="001A495B" w:rsidP="001A495B">
            <w:pPr>
              <w:pStyle w:val="0-"/>
              <w:rPr>
                <w:color w:val="000000" w:themeColor="text1"/>
              </w:rPr>
            </w:pPr>
            <w:r w:rsidRPr="001A495B">
              <w:rPr>
                <w:rFonts w:hint="eastAsia"/>
                <w:color w:val="000000" w:themeColor="text1"/>
              </w:rPr>
              <w:t>(委員林為洲等18人)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10-4-</w:t>
            </w:r>
            <w:r w:rsidRPr="001A495B">
              <w:rPr>
                <w:rFonts w:hint="eastAsia"/>
                <w:color w:val="000000" w:themeColor="text1"/>
              </w:rPr>
              <w:t>8</w:t>
            </w:r>
          </w:p>
          <w:p w:rsidR="001A495B" w:rsidRPr="001A495B" w:rsidRDefault="001A495B" w:rsidP="00F70E7C">
            <w:pPr>
              <w:pStyle w:val="0-"/>
              <w:rPr>
                <w:color w:val="000000" w:themeColor="text1"/>
              </w:rPr>
            </w:pPr>
            <w:r w:rsidRPr="001A495B">
              <w:rPr>
                <w:color w:val="000000" w:themeColor="text1"/>
              </w:rPr>
              <w:t>(110.11.5)</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對於違法之行徑處以刑罰及罰金；以強暴、脅迫或其他非法方法妨害他人選舉應加重刑責及罰金。(</w:t>
            </w:r>
            <w:r w:rsidRPr="001A495B">
              <w:rPr>
                <w:color w:val="000000" w:themeColor="text1"/>
              </w:rPr>
              <w:t>2</w:t>
            </w:r>
            <w:r w:rsidRPr="001A495B">
              <w:rPr>
                <w:rFonts w:hint="eastAsia"/>
                <w:color w:val="000000" w:themeColor="text1"/>
              </w:rPr>
              <w:t>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國民體育法增訂第二十二條之一條文草案</w:t>
            </w:r>
          </w:p>
          <w:p w:rsidR="001A495B" w:rsidRPr="001A495B" w:rsidRDefault="001A495B" w:rsidP="001A495B">
            <w:pPr>
              <w:pStyle w:val="0-"/>
              <w:rPr>
                <w:color w:val="000000" w:themeColor="text1"/>
              </w:rPr>
            </w:pPr>
            <w:r w:rsidRPr="001A495B">
              <w:rPr>
                <w:rFonts w:hint="eastAsia"/>
                <w:color w:val="000000" w:themeColor="text1"/>
              </w:rPr>
              <w:t>(委員葉毓蘭等16人)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10-4-</w:t>
            </w:r>
            <w:r w:rsidRPr="001A495B">
              <w:rPr>
                <w:rFonts w:hint="eastAsia"/>
                <w:color w:val="000000" w:themeColor="text1"/>
              </w:rPr>
              <w:t>8</w:t>
            </w:r>
          </w:p>
          <w:p w:rsidR="001A495B" w:rsidRPr="001A495B" w:rsidRDefault="001A495B" w:rsidP="00F70E7C">
            <w:pPr>
              <w:pStyle w:val="0-"/>
              <w:rPr>
                <w:color w:val="000000" w:themeColor="text1"/>
              </w:rPr>
            </w:pPr>
            <w:r w:rsidRPr="001A495B">
              <w:rPr>
                <w:color w:val="000000" w:themeColor="text1"/>
              </w:rPr>
              <w:t>(110.11.5)</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鼓勵具有潛力及成績優異之運動選手及身心障礙運動選手投入各類運動項目，俾利我國各類運動項目永續發展。(1條)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國民體育法部分條文修正草案</w:t>
            </w:r>
          </w:p>
          <w:p w:rsidR="001A495B" w:rsidRPr="001A495B" w:rsidRDefault="001A495B" w:rsidP="001A495B">
            <w:pPr>
              <w:pStyle w:val="0-"/>
              <w:rPr>
                <w:color w:val="000000" w:themeColor="text1"/>
              </w:rPr>
            </w:pPr>
            <w:r w:rsidRPr="001A495B">
              <w:rPr>
                <w:rFonts w:hint="eastAsia"/>
                <w:color w:val="000000" w:themeColor="text1"/>
              </w:rPr>
              <w:t>(民眾黨黨團)</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10-4-</w:t>
            </w:r>
            <w:r w:rsidRPr="001A495B">
              <w:rPr>
                <w:rFonts w:hint="eastAsia"/>
                <w:color w:val="000000" w:themeColor="text1"/>
              </w:rPr>
              <w:t>9</w:t>
            </w:r>
          </w:p>
          <w:p w:rsidR="001A495B" w:rsidRPr="001A495B" w:rsidRDefault="001A495B" w:rsidP="00F70E7C">
            <w:pPr>
              <w:pStyle w:val="0-"/>
              <w:rPr>
                <w:color w:val="000000" w:themeColor="text1"/>
              </w:rPr>
            </w:pPr>
            <w:r w:rsidRPr="001A495B">
              <w:rPr>
                <w:color w:val="000000" w:themeColor="text1"/>
              </w:rPr>
              <w:t>(110.11.12)</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2F5F9C" w:rsidP="00747612">
            <w:pPr>
              <w:kinsoku w:val="0"/>
              <w:overflowPunct w:val="0"/>
              <w:autoSpaceDE w:val="0"/>
              <w:autoSpaceDN w:val="0"/>
              <w:spacing w:line="400" w:lineRule="exact"/>
              <w:ind w:left="240" w:hangingChars="100" w:hanging="240"/>
              <w:jc w:val="both"/>
              <w:rPr>
                <w:rFonts w:ascii="標楷體" w:eastAsia="標楷體" w:hAnsi="標楷體"/>
                <w:color w:val="000000" w:themeColor="text1"/>
                <w:sz w:val="28"/>
                <w:szCs w:val="28"/>
              </w:rPr>
            </w:pPr>
            <w:r>
              <w:rPr>
                <w:rFonts w:ascii="標楷體" w:eastAsia="標楷體" w:hAnsi="標楷體" w:hint="eastAsia"/>
                <w:color w:val="000000" w:themeColor="text1"/>
                <w:szCs w:val="24"/>
              </w:rPr>
              <w:t>1.</w:t>
            </w:r>
            <w:r w:rsidR="001A495B" w:rsidRPr="002F5F9C">
              <w:rPr>
                <w:rFonts w:ascii="標楷體" w:eastAsia="標楷體" w:hAnsi="標楷體" w:hint="eastAsia"/>
                <w:color w:val="000000" w:themeColor="text1"/>
                <w:szCs w:val="24"/>
              </w:rPr>
              <w:t>第4會期第12次全體委員會議</w:t>
            </w:r>
            <w:r w:rsidR="001A495B" w:rsidRPr="002F5F9C">
              <w:rPr>
                <w:rFonts w:ascii="標楷體" w:eastAsia="標楷體" w:hAnsi="標楷體" w:hint="eastAsia"/>
                <w:color w:val="000000" w:themeColor="text1"/>
                <w:spacing w:val="-10"/>
                <w:szCs w:val="24"/>
              </w:rPr>
              <w:t>(110.12.13)決議</w:t>
            </w:r>
            <w:r w:rsidR="001A495B" w:rsidRPr="00747612">
              <w:rPr>
                <w:rFonts w:ascii="標楷體" w:eastAsia="標楷體" w:hAnsi="標楷體" w:hint="eastAsia"/>
                <w:color w:val="000000" w:themeColor="text1"/>
                <w:spacing w:val="-10"/>
                <w:szCs w:val="24"/>
              </w:rPr>
              <w:t>:</w:t>
            </w:r>
            <w:r w:rsidR="001A495B" w:rsidRPr="002F5F9C">
              <w:rPr>
                <w:rFonts w:ascii="標楷體" w:eastAsia="標楷體" w:hAnsi="標楷體" w:hint="eastAsia"/>
                <w:color w:val="000000" w:themeColor="text1"/>
                <w:szCs w:val="24"/>
              </w:rPr>
              <w:t>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為使我國運動員、運動教練、運動裁判、體育專業人員等體育及運動領域從業</w:t>
            </w:r>
            <w:r w:rsidRPr="001A495B">
              <w:rPr>
                <w:rFonts w:hint="eastAsia"/>
                <w:color w:val="000000" w:themeColor="text1"/>
              </w:rPr>
              <w:lastRenderedPageBreak/>
              <w:t>人員權益得獲與時俱進之保障，並針對上述問題予以改正。(9條)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國民體育法第三十條及第四十四條之一條文修正草案</w:t>
            </w:r>
          </w:p>
          <w:p w:rsidR="001A495B" w:rsidRPr="001A495B" w:rsidRDefault="001A495B" w:rsidP="001A495B">
            <w:pPr>
              <w:pStyle w:val="0-"/>
              <w:rPr>
                <w:color w:val="000000" w:themeColor="text1"/>
              </w:rPr>
            </w:pPr>
            <w:r w:rsidRPr="001A495B">
              <w:rPr>
                <w:rFonts w:hint="eastAsia"/>
                <w:color w:val="000000" w:themeColor="text1"/>
              </w:rPr>
              <w:t>(委員莊瑞雄等16人)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10-4-13</w:t>
            </w:r>
          </w:p>
          <w:p w:rsidR="001A495B" w:rsidRPr="001A495B" w:rsidRDefault="001A495B" w:rsidP="00F70E7C">
            <w:pPr>
              <w:pStyle w:val="0-"/>
              <w:rPr>
                <w:color w:val="000000" w:themeColor="text1"/>
              </w:rPr>
            </w:pPr>
            <w:r w:rsidRPr="001A495B">
              <w:rPr>
                <w:color w:val="000000" w:themeColor="text1"/>
              </w:rPr>
              <w:t>(110.12.10)</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現行國民體育法規範有增訂民間運動場所之相關管理及監督規範之必要。(2條)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國民體育法增訂第十六條之一條文草案</w:t>
            </w:r>
          </w:p>
          <w:p w:rsidR="001A495B" w:rsidRPr="001A495B" w:rsidRDefault="001A495B" w:rsidP="001A495B">
            <w:pPr>
              <w:pStyle w:val="0-"/>
              <w:rPr>
                <w:color w:val="000000" w:themeColor="text1"/>
              </w:rPr>
            </w:pPr>
            <w:r w:rsidRPr="001A495B">
              <w:rPr>
                <w:rFonts w:hint="eastAsia"/>
                <w:color w:val="000000" w:themeColor="text1"/>
              </w:rPr>
              <w:t>(委員黃國書等20人</w:t>
            </w:r>
            <w:r w:rsidRPr="001A495B">
              <w:rPr>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10-5-4</w:t>
            </w:r>
          </w:p>
          <w:p w:rsidR="001A495B" w:rsidRPr="001A495B" w:rsidRDefault="001A495B" w:rsidP="00F70E7C">
            <w:pPr>
              <w:pStyle w:val="0-"/>
              <w:rPr>
                <w:color w:val="000000" w:themeColor="text1"/>
              </w:rPr>
            </w:pPr>
            <w:r w:rsidRPr="001A495B">
              <w:rPr>
                <w:color w:val="000000" w:themeColor="text1"/>
              </w:rPr>
              <w:t>(111.3.18)</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將校園內體育專業人員之任用比照教育人員任用，杜絕可能傷害學童的人員陪伴在其左右。(1條)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國民體育法第二十五條條文修正草案</w:t>
            </w:r>
          </w:p>
          <w:p w:rsidR="001A495B" w:rsidRPr="001A495B" w:rsidRDefault="001A495B" w:rsidP="001A495B">
            <w:pPr>
              <w:pStyle w:val="0-"/>
              <w:rPr>
                <w:color w:val="000000" w:themeColor="text1"/>
              </w:rPr>
            </w:pPr>
            <w:r w:rsidRPr="001A495B">
              <w:rPr>
                <w:rFonts w:hint="eastAsia"/>
                <w:color w:val="000000" w:themeColor="text1"/>
              </w:rPr>
              <w:t>(委員羅美玲等20人</w:t>
            </w:r>
            <w:r w:rsidRPr="001A495B">
              <w:rPr>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10-5-6</w:t>
            </w:r>
          </w:p>
          <w:p w:rsidR="001A495B" w:rsidRPr="001A495B" w:rsidRDefault="001A495B" w:rsidP="00F70E7C">
            <w:pPr>
              <w:pStyle w:val="0-"/>
              <w:rPr>
                <w:color w:val="000000" w:themeColor="text1"/>
              </w:rPr>
            </w:pPr>
            <w:r w:rsidRPr="001A495B">
              <w:rPr>
                <w:color w:val="000000" w:themeColor="text1"/>
              </w:rPr>
              <w:t>(111.4.1)</w:t>
            </w:r>
          </w:p>
          <w:p w:rsidR="001A495B" w:rsidRPr="001A495B" w:rsidRDefault="001A495B" w:rsidP="00F70E7C">
            <w:pPr>
              <w:pStyle w:val="0-"/>
              <w:rPr>
                <w:color w:val="000000" w:themeColor="text1"/>
              </w:rPr>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對於維護運動員健康之重要性，不亞於維護身體健康之物理治療師或運動防護員。(1條)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國民體育法第二十三條條文修正草案</w:t>
            </w:r>
          </w:p>
          <w:p w:rsidR="001A495B" w:rsidRPr="001A495B" w:rsidRDefault="001A495B" w:rsidP="001A495B">
            <w:pPr>
              <w:pStyle w:val="0-"/>
              <w:rPr>
                <w:color w:val="000000" w:themeColor="text1"/>
              </w:rPr>
            </w:pPr>
            <w:r w:rsidRPr="001A495B">
              <w:rPr>
                <w:rFonts w:hint="eastAsia"/>
                <w:color w:val="000000" w:themeColor="text1"/>
              </w:rPr>
              <w:t>(委員莊瑞雄等23人</w:t>
            </w:r>
            <w:r w:rsidRPr="001A495B">
              <w:rPr>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10-5-10</w:t>
            </w:r>
          </w:p>
          <w:p w:rsidR="001A495B" w:rsidRPr="001A495B" w:rsidRDefault="001A495B" w:rsidP="00F70E7C">
            <w:pPr>
              <w:pStyle w:val="0-"/>
              <w:rPr>
                <w:color w:val="000000" w:themeColor="text1"/>
              </w:rPr>
            </w:pPr>
            <w:r w:rsidRPr="001A495B">
              <w:rPr>
                <w:rFonts w:hint="eastAsia"/>
                <w:color w:val="000000" w:themeColor="text1"/>
              </w:rPr>
              <w:t>(111.4.29)</w:t>
            </w:r>
          </w:p>
          <w:p w:rsidR="001A495B" w:rsidRPr="001A495B" w:rsidRDefault="001A495B" w:rsidP="00F70E7C">
            <w:pPr>
              <w:pStyle w:val="0-"/>
              <w:rPr>
                <w:color w:val="000000" w:themeColor="text1"/>
              </w:rPr>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在投入訓練及參賽期間如有嚴重運動傷害，在醫療及就業輔導上能夠獲得充分保障。(1條)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國民體育法增訂第十六條之一條文草案</w:t>
            </w:r>
          </w:p>
          <w:p w:rsidR="001A495B" w:rsidRPr="001A495B" w:rsidRDefault="001A495B" w:rsidP="001A495B">
            <w:pPr>
              <w:pStyle w:val="0-"/>
              <w:rPr>
                <w:color w:val="000000" w:themeColor="text1"/>
              </w:rPr>
            </w:pPr>
            <w:r w:rsidRPr="001A495B">
              <w:rPr>
                <w:rFonts w:hint="eastAsia"/>
                <w:color w:val="000000" w:themeColor="text1"/>
              </w:rPr>
              <w:lastRenderedPageBreak/>
              <w:t>(委員莊瑞雄等19人)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lastRenderedPageBreak/>
              <w:t>10-5-10</w:t>
            </w:r>
          </w:p>
          <w:p w:rsidR="001A495B" w:rsidRPr="001A495B" w:rsidRDefault="001A495B" w:rsidP="00F70E7C">
            <w:pPr>
              <w:pStyle w:val="0-"/>
              <w:rPr>
                <w:color w:val="000000" w:themeColor="text1"/>
              </w:rPr>
            </w:pPr>
            <w:r w:rsidRPr="001A495B">
              <w:rPr>
                <w:rFonts w:hint="eastAsia"/>
                <w:color w:val="000000" w:themeColor="text1"/>
              </w:rPr>
              <w:t>(111.4.29)</w:t>
            </w:r>
          </w:p>
          <w:p w:rsidR="001A495B" w:rsidRPr="001A495B" w:rsidRDefault="001A495B" w:rsidP="00F70E7C">
            <w:pPr>
              <w:pStyle w:val="0-"/>
              <w:rPr>
                <w:color w:val="000000" w:themeColor="text1"/>
              </w:rPr>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為確保兒少運動員身心發展</w:t>
            </w:r>
            <w:r w:rsidRPr="001A495B">
              <w:rPr>
                <w:rFonts w:hint="eastAsia"/>
                <w:color w:val="000000" w:themeColor="text1"/>
              </w:rPr>
              <w:lastRenderedPageBreak/>
              <w:t>及降低影響其往後運動生涯之運動傷害，遂將校園內體育專業人員之任用比照教育人員任用。(1條)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國民體育法第七條條文修正草案</w:t>
            </w:r>
          </w:p>
          <w:p w:rsidR="001A495B" w:rsidRPr="001A495B" w:rsidRDefault="001A495B" w:rsidP="001A495B">
            <w:pPr>
              <w:pStyle w:val="0-"/>
              <w:rPr>
                <w:color w:val="000000" w:themeColor="text1"/>
              </w:rPr>
            </w:pPr>
            <w:r w:rsidRPr="001A495B">
              <w:rPr>
                <w:rFonts w:hint="eastAsia"/>
                <w:color w:val="000000" w:themeColor="text1"/>
              </w:rPr>
              <w:t>(委員萬美玲等16人)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10-5-11</w:t>
            </w:r>
          </w:p>
          <w:p w:rsidR="001A495B" w:rsidRPr="001A495B" w:rsidRDefault="001A495B" w:rsidP="00F70E7C">
            <w:pPr>
              <w:pStyle w:val="0-"/>
              <w:rPr>
                <w:color w:val="000000" w:themeColor="text1"/>
              </w:rPr>
            </w:pPr>
            <w:r w:rsidRPr="001A495B">
              <w:rPr>
                <w:color w:val="000000" w:themeColor="text1"/>
              </w:rPr>
              <w:t>(111.5.6)</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應邀請身心障礙者團體及代表參與，聽取身心障礙者之需求及建議。(1條)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國民體育法第二十三條條文修正草案</w:t>
            </w:r>
          </w:p>
          <w:p w:rsidR="001A495B" w:rsidRPr="001A495B" w:rsidRDefault="001A495B" w:rsidP="001A495B">
            <w:pPr>
              <w:pStyle w:val="0-"/>
              <w:rPr>
                <w:color w:val="000000" w:themeColor="text1"/>
              </w:rPr>
            </w:pPr>
            <w:r w:rsidRPr="001A495B">
              <w:rPr>
                <w:rFonts w:hint="eastAsia"/>
                <w:color w:val="000000" w:themeColor="text1"/>
              </w:rPr>
              <w:t>(委員萬美玲等16人)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10-5-14</w:t>
            </w:r>
          </w:p>
          <w:p w:rsidR="001A495B" w:rsidRPr="001A495B" w:rsidRDefault="001A495B" w:rsidP="00F70E7C">
            <w:pPr>
              <w:pStyle w:val="0-"/>
              <w:rPr>
                <w:color w:val="000000" w:themeColor="text1"/>
              </w:rPr>
            </w:pPr>
            <w:r w:rsidRPr="001A495B">
              <w:rPr>
                <w:color w:val="000000" w:themeColor="text1"/>
              </w:rPr>
              <w:t>(111.5.</w:t>
            </w:r>
            <w:r w:rsidRPr="001A495B">
              <w:rPr>
                <w:rFonts w:hint="eastAsia"/>
                <w:color w:val="000000" w:themeColor="text1"/>
              </w:rPr>
              <w:t>27</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為使運動員能無後顧之憂，全心投入培訓及賽事。(1條)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國民體育法第二十五條條文修正草案</w:t>
            </w:r>
          </w:p>
          <w:p w:rsidR="001A495B" w:rsidRPr="001A495B" w:rsidRDefault="001A495B" w:rsidP="001A495B">
            <w:pPr>
              <w:pStyle w:val="0-"/>
              <w:rPr>
                <w:color w:val="000000" w:themeColor="text1"/>
              </w:rPr>
            </w:pPr>
            <w:r w:rsidRPr="001A495B">
              <w:rPr>
                <w:rFonts w:hint="eastAsia"/>
                <w:color w:val="000000" w:themeColor="text1"/>
              </w:rPr>
              <w:t>(委員莊瑞雄等18人)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10-5-1</w:t>
            </w:r>
            <w:r w:rsidRPr="001A495B">
              <w:rPr>
                <w:rFonts w:hint="eastAsia"/>
                <w:color w:val="000000" w:themeColor="text1"/>
              </w:rPr>
              <w:t>4</w:t>
            </w:r>
          </w:p>
          <w:p w:rsidR="001A495B" w:rsidRPr="001A495B" w:rsidRDefault="001A495B" w:rsidP="00F70E7C">
            <w:pPr>
              <w:pStyle w:val="0-"/>
              <w:rPr>
                <w:color w:val="000000" w:themeColor="text1"/>
              </w:rPr>
            </w:pPr>
            <w:r w:rsidRPr="001A495B">
              <w:rPr>
                <w:color w:val="000000" w:themeColor="text1"/>
              </w:rPr>
              <w:t>(111.5.</w:t>
            </w:r>
            <w:r w:rsidRPr="001A495B">
              <w:rPr>
                <w:rFonts w:hint="eastAsia"/>
                <w:color w:val="000000" w:themeColor="text1"/>
              </w:rPr>
              <w:t>27</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為維護運動員培訓及競賽期間心理與精神健康。(1條)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國民體育法第二十五條條文修正草案</w:t>
            </w:r>
          </w:p>
          <w:p w:rsidR="001A495B" w:rsidRPr="001A495B" w:rsidRDefault="001A495B" w:rsidP="001A495B">
            <w:pPr>
              <w:pStyle w:val="0-"/>
              <w:rPr>
                <w:color w:val="000000" w:themeColor="text1"/>
              </w:rPr>
            </w:pPr>
            <w:r w:rsidRPr="001A495B">
              <w:rPr>
                <w:rFonts w:hint="eastAsia"/>
                <w:color w:val="000000" w:themeColor="text1"/>
              </w:rPr>
              <w:t>(委員賴品妤等16人)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10-5-14</w:t>
            </w:r>
          </w:p>
          <w:p w:rsidR="001A495B" w:rsidRPr="001A495B" w:rsidRDefault="001A495B" w:rsidP="00F70E7C">
            <w:pPr>
              <w:pStyle w:val="0-"/>
              <w:rPr>
                <w:color w:val="000000" w:themeColor="text1"/>
              </w:rPr>
            </w:pPr>
            <w:r w:rsidRPr="001A495B">
              <w:rPr>
                <w:color w:val="000000" w:themeColor="text1"/>
              </w:rPr>
              <w:t>(111.5.</w:t>
            </w:r>
            <w:r w:rsidRPr="001A495B">
              <w:rPr>
                <w:rFonts w:hint="eastAsia"/>
                <w:color w:val="000000" w:themeColor="text1"/>
              </w:rPr>
              <w:t>27</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為促進我國運動科學發展、弭平現有運動心理諮詢協助之不足。(1條)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國民體育法第七條條文修正草案</w:t>
            </w:r>
          </w:p>
          <w:p w:rsidR="001A495B" w:rsidRPr="001A495B" w:rsidRDefault="001A495B" w:rsidP="001A495B">
            <w:pPr>
              <w:pStyle w:val="0-"/>
              <w:rPr>
                <w:color w:val="000000" w:themeColor="text1"/>
              </w:rPr>
            </w:pPr>
            <w:r w:rsidRPr="001A495B">
              <w:rPr>
                <w:rFonts w:hint="eastAsia"/>
                <w:color w:val="000000" w:themeColor="text1"/>
              </w:rPr>
              <w:t>(委員鄭麗文等18人)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10-6-1</w:t>
            </w:r>
          </w:p>
          <w:p w:rsidR="001A495B" w:rsidRPr="001A495B" w:rsidRDefault="001A495B" w:rsidP="00F70E7C">
            <w:pPr>
              <w:pStyle w:val="0-"/>
              <w:rPr>
                <w:color w:val="000000" w:themeColor="text1"/>
              </w:rPr>
            </w:pPr>
            <w:r w:rsidRPr="001A495B">
              <w:rPr>
                <w:color w:val="000000" w:themeColor="text1"/>
              </w:rPr>
              <w:t>(111.9.23)</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實際聽取身心障礙者需求，導致政策制定時易忽略身心障礙者權益，使其參與體育</w:t>
            </w:r>
            <w:r w:rsidRPr="001A495B">
              <w:rPr>
                <w:rFonts w:hint="eastAsia"/>
                <w:color w:val="000000" w:themeColor="text1"/>
              </w:rPr>
              <w:lastRenderedPageBreak/>
              <w:t>活動時產生困難。(1條)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國民體育法第二十五條條文修正草案</w:t>
            </w:r>
          </w:p>
          <w:p w:rsidR="001A495B" w:rsidRPr="001A495B" w:rsidRDefault="001A495B" w:rsidP="001A495B">
            <w:pPr>
              <w:pStyle w:val="0-"/>
              <w:rPr>
                <w:color w:val="000000" w:themeColor="text1"/>
              </w:rPr>
            </w:pPr>
            <w:r w:rsidRPr="001A495B">
              <w:rPr>
                <w:rFonts w:hint="eastAsia"/>
                <w:color w:val="000000" w:themeColor="text1"/>
              </w:rPr>
              <w:t>(委員張育美等17人)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10-6-2</w:t>
            </w:r>
          </w:p>
          <w:p w:rsidR="001A495B" w:rsidRPr="001A495B" w:rsidRDefault="001A495B" w:rsidP="00F70E7C">
            <w:pPr>
              <w:pStyle w:val="0-"/>
              <w:rPr>
                <w:color w:val="000000" w:themeColor="text1"/>
              </w:rPr>
            </w:pPr>
            <w:r w:rsidRPr="001A495B">
              <w:rPr>
                <w:color w:val="000000" w:themeColor="text1"/>
              </w:rPr>
              <w:t>(111.9.30)</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對運動員之心理特質、於高壓環境下之心理調適、及促進團隊互動與凝聚力鮮少重視，更缺乏相關資源的投入。(1條)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國民體育法增訂第十六條之一條文草案</w:t>
            </w:r>
          </w:p>
          <w:p w:rsidR="001A495B" w:rsidRPr="001A495B" w:rsidRDefault="001A495B" w:rsidP="001A495B">
            <w:pPr>
              <w:pStyle w:val="0-"/>
              <w:rPr>
                <w:color w:val="000000" w:themeColor="text1"/>
              </w:rPr>
            </w:pPr>
            <w:r w:rsidRPr="001A495B">
              <w:rPr>
                <w:rFonts w:hint="eastAsia"/>
                <w:color w:val="000000" w:themeColor="text1"/>
              </w:rPr>
              <w:t>(委員萬美玲等21人</w:t>
            </w:r>
            <w:r w:rsidRPr="001A495B">
              <w:rPr>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10-6-4</w:t>
            </w:r>
          </w:p>
          <w:p w:rsidR="001A495B" w:rsidRPr="001A495B" w:rsidRDefault="001A495B" w:rsidP="00F70E7C">
            <w:pPr>
              <w:pStyle w:val="0-"/>
              <w:rPr>
                <w:color w:val="000000" w:themeColor="text1"/>
              </w:rPr>
            </w:pPr>
            <w:r w:rsidRPr="001A495B">
              <w:rPr>
                <w:color w:val="000000" w:themeColor="text1"/>
              </w:rPr>
              <w:t>(111.10.14)</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應準用「教育人員任用條例」第三十一條第一項規定，以期藉此防範不適格之體育專業人員接近學生運動員。(1條)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國民體育法第二十五條條文修正草案</w:t>
            </w:r>
          </w:p>
          <w:p w:rsidR="001A495B" w:rsidRPr="001A495B" w:rsidRDefault="001A495B" w:rsidP="001A495B">
            <w:pPr>
              <w:pStyle w:val="0-"/>
              <w:rPr>
                <w:color w:val="000000" w:themeColor="text1"/>
              </w:rPr>
            </w:pPr>
            <w:r w:rsidRPr="001A495B">
              <w:rPr>
                <w:rFonts w:hint="eastAsia"/>
                <w:color w:val="000000" w:themeColor="text1"/>
              </w:rPr>
              <w:t>(委員楊瓊瓔等17人)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10-6-5</w:t>
            </w:r>
          </w:p>
          <w:p w:rsidR="001A495B" w:rsidRPr="001A495B" w:rsidRDefault="001A495B" w:rsidP="00F70E7C">
            <w:pPr>
              <w:pStyle w:val="0-"/>
              <w:rPr>
                <w:color w:val="000000" w:themeColor="text1"/>
              </w:rPr>
            </w:pPr>
            <w:r w:rsidRPr="001A495B">
              <w:rPr>
                <w:color w:val="000000" w:themeColor="text1"/>
              </w:rPr>
              <w:t>(111.10.28)</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為使我國運動員於培訓及競賽期間，能夠受到適當的心理諮詢以維護心理及精神健康。(1條)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國民體育法第三十九條條文修正草案</w:t>
            </w:r>
          </w:p>
          <w:p w:rsidR="001A495B" w:rsidRPr="001A495B" w:rsidRDefault="001A495B" w:rsidP="001A495B">
            <w:pPr>
              <w:pStyle w:val="0-"/>
              <w:rPr>
                <w:color w:val="000000" w:themeColor="text1"/>
              </w:rPr>
            </w:pPr>
            <w:r w:rsidRPr="001A495B">
              <w:rPr>
                <w:rFonts w:hint="eastAsia"/>
                <w:color w:val="000000" w:themeColor="text1"/>
              </w:rPr>
              <w:t>(委員林靜儀等28人</w:t>
            </w:r>
            <w:r w:rsidRPr="001A495B">
              <w:rPr>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10-6-7</w:t>
            </w:r>
          </w:p>
          <w:p w:rsidR="001A495B" w:rsidRPr="001A495B" w:rsidRDefault="001A495B" w:rsidP="00F70E7C">
            <w:pPr>
              <w:pStyle w:val="0-"/>
              <w:rPr>
                <w:color w:val="000000" w:themeColor="text1"/>
              </w:rPr>
            </w:pPr>
            <w:r w:rsidRPr="001A495B">
              <w:rPr>
                <w:color w:val="000000" w:themeColor="text1"/>
              </w:rPr>
              <w:t>(111.11.11)</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為落實「消除對婦女一切形式歧視公約施行法」，並使體育之相關領域健全發展。(1條)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國民體育法第二十三</w:t>
            </w:r>
            <w:r w:rsidRPr="001A495B">
              <w:rPr>
                <w:rFonts w:hint="eastAsia"/>
                <w:color w:val="000000" w:themeColor="text1"/>
              </w:rPr>
              <w:lastRenderedPageBreak/>
              <w:t>條條文修正草案</w:t>
            </w:r>
          </w:p>
          <w:p w:rsidR="001A495B" w:rsidRPr="001A495B" w:rsidRDefault="001A495B" w:rsidP="001A495B">
            <w:pPr>
              <w:pStyle w:val="0-"/>
              <w:rPr>
                <w:color w:val="000000" w:themeColor="text1"/>
              </w:rPr>
            </w:pPr>
            <w:r w:rsidRPr="001A495B">
              <w:rPr>
                <w:rFonts w:hint="eastAsia"/>
                <w:color w:val="000000" w:themeColor="text1"/>
              </w:rPr>
              <w:t>(委員鄭麗文等17人)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lastRenderedPageBreak/>
              <w:t>10-6-12</w:t>
            </w:r>
          </w:p>
          <w:p w:rsidR="001A495B" w:rsidRPr="001A495B" w:rsidRDefault="001A495B" w:rsidP="00F70E7C">
            <w:pPr>
              <w:pStyle w:val="0-"/>
              <w:rPr>
                <w:color w:val="000000" w:themeColor="text1"/>
              </w:rPr>
            </w:pPr>
            <w:r w:rsidRPr="001A495B">
              <w:rPr>
                <w:color w:val="000000" w:themeColor="text1"/>
              </w:rPr>
              <w:lastRenderedPageBreak/>
              <w:t>(111.12.16)</w:t>
            </w:r>
          </w:p>
          <w:p w:rsidR="001A495B" w:rsidRPr="001A495B" w:rsidRDefault="001A495B" w:rsidP="00F70E7C">
            <w:pPr>
              <w:pStyle w:val="0-"/>
              <w:rPr>
                <w:color w:val="000000" w:themeColor="text1"/>
              </w:rPr>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提供在訓練及</w:t>
            </w:r>
            <w:r w:rsidRPr="001A495B">
              <w:rPr>
                <w:rFonts w:hint="eastAsia"/>
                <w:color w:val="000000" w:themeColor="text1"/>
              </w:rPr>
              <w:lastRenderedPageBreak/>
              <w:t>參賽期間致短期失能、身心障礙之運動員，提供完善後續醫療照顧及轉職輔導。(1條)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國民體育法第三十八條及第四十三條條文修正草案</w:t>
            </w:r>
          </w:p>
          <w:p w:rsidR="001A495B" w:rsidRPr="001A495B" w:rsidRDefault="001A495B" w:rsidP="001A495B">
            <w:pPr>
              <w:pStyle w:val="0-"/>
              <w:rPr>
                <w:color w:val="000000" w:themeColor="text1"/>
              </w:rPr>
            </w:pPr>
            <w:r w:rsidRPr="001A495B">
              <w:rPr>
                <w:rFonts w:hint="eastAsia"/>
                <w:color w:val="000000" w:themeColor="text1"/>
              </w:rPr>
              <w:t>(委員邱志偉等18人</w:t>
            </w:r>
            <w:r w:rsidRPr="001A495B">
              <w:rPr>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10-6-12</w:t>
            </w:r>
          </w:p>
          <w:p w:rsidR="001A495B" w:rsidRPr="001A495B" w:rsidRDefault="001A495B" w:rsidP="00F70E7C">
            <w:pPr>
              <w:pStyle w:val="0-"/>
              <w:rPr>
                <w:color w:val="000000" w:themeColor="text1"/>
              </w:rPr>
            </w:pPr>
            <w:r w:rsidRPr="001A495B">
              <w:rPr>
                <w:color w:val="000000" w:themeColor="text1"/>
              </w:rPr>
              <w:t>(111.12.16)</w:t>
            </w:r>
          </w:p>
          <w:p w:rsidR="001A495B" w:rsidRPr="001A495B" w:rsidRDefault="001A495B" w:rsidP="00F70E7C">
            <w:pPr>
              <w:pStyle w:val="0-"/>
              <w:rPr>
                <w:color w:val="000000" w:themeColor="text1"/>
              </w:rPr>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確保單項協會善盡組織義務，降低不法或爭議事件發生可能。(</w:t>
            </w:r>
            <w:r w:rsidRPr="001A495B">
              <w:rPr>
                <w:color w:val="000000" w:themeColor="text1"/>
              </w:rPr>
              <w:t>2</w:t>
            </w:r>
            <w:r w:rsidRPr="001A495B">
              <w:rPr>
                <w:rFonts w:hint="eastAsia"/>
                <w:color w:val="000000" w:themeColor="text1"/>
              </w:rPr>
              <w:t>條</w:t>
            </w:r>
            <w:r w:rsidRPr="001A495B">
              <w:rPr>
                <w:color w:val="000000" w:themeColor="text1"/>
              </w:rPr>
              <w:t>)</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國民體育法第三十九條條文修正草案</w:t>
            </w:r>
          </w:p>
          <w:p w:rsidR="001A495B" w:rsidRPr="001A495B" w:rsidRDefault="001A495B" w:rsidP="001A495B">
            <w:pPr>
              <w:pStyle w:val="0-"/>
              <w:rPr>
                <w:color w:val="000000" w:themeColor="text1"/>
              </w:rPr>
            </w:pPr>
            <w:r w:rsidRPr="001A495B">
              <w:rPr>
                <w:rFonts w:hint="eastAsia"/>
                <w:color w:val="000000" w:themeColor="text1"/>
              </w:rPr>
              <w:t>(委員賴品妤等19人)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10-6-1</w:t>
            </w:r>
            <w:r w:rsidRPr="001A495B">
              <w:rPr>
                <w:rFonts w:hint="eastAsia"/>
                <w:color w:val="000000" w:themeColor="text1"/>
              </w:rPr>
              <w:t>3</w:t>
            </w:r>
          </w:p>
          <w:p w:rsidR="001A495B" w:rsidRPr="001A495B" w:rsidRDefault="001A495B" w:rsidP="00F70E7C">
            <w:pPr>
              <w:pStyle w:val="0-"/>
              <w:rPr>
                <w:color w:val="000000" w:themeColor="text1"/>
              </w:rPr>
            </w:pPr>
            <w:r w:rsidRPr="001A495B">
              <w:rPr>
                <w:color w:val="000000" w:themeColor="text1"/>
              </w:rPr>
              <w:t>(111.12.</w:t>
            </w:r>
            <w:r w:rsidRPr="001A495B">
              <w:rPr>
                <w:rFonts w:hint="eastAsia"/>
                <w:color w:val="000000" w:themeColor="text1"/>
              </w:rPr>
              <w:t>23</w:t>
            </w:r>
            <w:r w:rsidRPr="001A495B">
              <w:rPr>
                <w:color w:val="000000" w:themeColor="text1"/>
              </w:rPr>
              <w:t>)</w:t>
            </w:r>
          </w:p>
          <w:p w:rsidR="001A495B" w:rsidRPr="001A495B" w:rsidRDefault="001A495B" w:rsidP="00F70E7C">
            <w:pPr>
              <w:pStyle w:val="0-"/>
              <w:rPr>
                <w:color w:val="000000" w:themeColor="text1"/>
              </w:rPr>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推動台灣性別平權工程邁入新階段，並促進體育相關領域健全發展。(1條)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國民體育法第三十九條條文修正草案</w:t>
            </w:r>
          </w:p>
          <w:p w:rsidR="001A495B" w:rsidRPr="001A495B" w:rsidRDefault="001A495B" w:rsidP="001A495B">
            <w:pPr>
              <w:pStyle w:val="0-"/>
              <w:rPr>
                <w:color w:val="000000" w:themeColor="text1"/>
              </w:rPr>
            </w:pPr>
            <w:r w:rsidRPr="001A495B">
              <w:rPr>
                <w:rFonts w:hint="eastAsia"/>
                <w:color w:val="000000" w:themeColor="text1"/>
              </w:rPr>
              <w:t>(委員范雲等17人)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10-6-14</w:t>
            </w:r>
          </w:p>
          <w:p w:rsidR="001A495B" w:rsidRPr="001A495B" w:rsidRDefault="001A495B" w:rsidP="00F70E7C">
            <w:pPr>
              <w:pStyle w:val="0-"/>
              <w:rPr>
                <w:color w:val="000000" w:themeColor="text1"/>
              </w:rPr>
            </w:pPr>
            <w:r w:rsidRPr="001A495B">
              <w:rPr>
                <w:color w:val="000000" w:themeColor="text1"/>
              </w:rPr>
              <w:t>(111.12.30)</w:t>
            </w:r>
          </w:p>
          <w:p w:rsidR="001A495B" w:rsidRPr="001A495B" w:rsidRDefault="001A495B" w:rsidP="00F70E7C">
            <w:pPr>
              <w:pStyle w:val="0-"/>
              <w:rPr>
                <w:color w:val="000000" w:themeColor="text1"/>
              </w:rPr>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為落實CEDAW，確保特定體育團體決策機制中多元性別觀點之納入，健全我國體育發展。(1條)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國立大學校院校務基金設置條例第五條、第五條之一及第七條條文修正草案</w:t>
            </w:r>
          </w:p>
          <w:p w:rsidR="001A495B" w:rsidRPr="001A495B" w:rsidRDefault="001A495B" w:rsidP="001A495B">
            <w:pPr>
              <w:pStyle w:val="0-"/>
              <w:rPr>
                <w:color w:val="000000" w:themeColor="text1"/>
              </w:rPr>
            </w:pPr>
            <w:r w:rsidRPr="001A495B">
              <w:rPr>
                <w:rFonts w:hint="eastAsia"/>
                <w:color w:val="000000" w:themeColor="text1"/>
              </w:rPr>
              <w:t>(時代力量黨團)</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10-1-</w:t>
            </w:r>
            <w:r w:rsidRPr="001A495B">
              <w:rPr>
                <w:rFonts w:hint="eastAsia"/>
                <w:color w:val="000000" w:themeColor="text1"/>
              </w:rPr>
              <w:t>14</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.5.22</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新增設置「財務管理委員會」，用以稽核校務基金運作，同時並修訂稽核人員隸屬於財務管理委員會，以符</w:t>
            </w:r>
            <w:r w:rsidRPr="001A495B">
              <w:rPr>
                <w:rFonts w:hint="eastAsia"/>
                <w:color w:val="000000" w:themeColor="text1"/>
              </w:rPr>
              <w:lastRenderedPageBreak/>
              <w:t>合內部稽核自主之精神。(3條)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國立大學校院校務基金設置條例第三條條文修正草案</w:t>
            </w:r>
          </w:p>
          <w:p w:rsidR="001A495B" w:rsidRPr="001A495B" w:rsidRDefault="001A495B" w:rsidP="001A495B">
            <w:pPr>
              <w:pStyle w:val="0-"/>
              <w:rPr>
                <w:color w:val="000000" w:themeColor="text1"/>
              </w:rPr>
            </w:pPr>
            <w:r w:rsidRPr="001A495B">
              <w:rPr>
                <w:rFonts w:hint="eastAsia"/>
                <w:color w:val="000000" w:themeColor="text1"/>
              </w:rPr>
              <w:t>(委員陳秀寳等16人)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w:t>
            </w:r>
            <w:r w:rsidRPr="001A495B">
              <w:rPr>
                <w:rFonts w:hint="eastAsia"/>
                <w:color w:val="000000" w:themeColor="text1"/>
              </w:rPr>
              <w:t>2</w:t>
            </w:r>
            <w:r w:rsidRPr="001A495B">
              <w:rPr>
                <w:color w:val="000000" w:themeColor="text1"/>
              </w:rPr>
              <w:t>-</w:t>
            </w:r>
            <w:r w:rsidRPr="001A495B">
              <w:rPr>
                <w:rFonts w:hint="eastAsia"/>
                <w:color w:val="000000" w:themeColor="text1"/>
              </w:rPr>
              <w:t>6</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.12.4</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為使國立大學校院校務基金發揮其功能，不致使遭受不實核銷或用於與研究無關事項，明定科研補助之核銷規定。</w:t>
            </w:r>
            <w:r w:rsidRPr="001A495B">
              <w:rPr>
                <w:rFonts w:hint="eastAsia"/>
                <w:color w:val="000000" w:themeColor="text1"/>
              </w:rPr>
              <w:t>(1條)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國立大學校院校務基金設置條例第五條、第七條及第十條條文修正草案</w:t>
            </w:r>
          </w:p>
          <w:p w:rsidR="001A495B" w:rsidRPr="001A495B" w:rsidRDefault="001A495B" w:rsidP="001A495B">
            <w:pPr>
              <w:pStyle w:val="0-"/>
              <w:rPr>
                <w:color w:val="000000" w:themeColor="text1"/>
              </w:rPr>
            </w:pPr>
            <w:r w:rsidRPr="001A495B">
              <w:rPr>
                <w:rFonts w:hint="eastAsia"/>
                <w:color w:val="000000" w:themeColor="text1"/>
              </w:rPr>
              <w:t>(委員賴品妤等19人)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w:t>
            </w:r>
            <w:r w:rsidRPr="001A495B">
              <w:rPr>
                <w:rFonts w:hint="eastAsia"/>
                <w:color w:val="000000" w:themeColor="text1"/>
              </w:rPr>
              <w:t>2</w:t>
            </w:r>
            <w:r w:rsidRPr="001A495B">
              <w:rPr>
                <w:color w:val="000000" w:themeColor="text1"/>
              </w:rPr>
              <w:t>-</w:t>
            </w:r>
            <w:r w:rsidRPr="001A495B">
              <w:rPr>
                <w:rFonts w:hint="eastAsia"/>
                <w:color w:val="000000" w:themeColor="text1"/>
              </w:rPr>
              <w:t>6</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.12.4</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為加強監督校務基金之收支、保管及運用，以及令相關投資計畫公開透明，以供檢視，並增加學生參與。</w:t>
            </w:r>
            <w:r w:rsidRPr="001A495B">
              <w:rPr>
                <w:rFonts w:hint="eastAsia"/>
                <w:color w:val="000000" w:themeColor="text1"/>
              </w:rPr>
              <w:t>(3條)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國立大學校院校務基金設置條例第五條及第七條條文修正草案</w:t>
            </w:r>
          </w:p>
          <w:p w:rsidR="001A495B" w:rsidRPr="001A495B" w:rsidRDefault="001A495B" w:rsidP="001A495B">
            <w:pPr>
              <w:pStyle w:val="0-"/>
              <w:rPr>
                <w:color w:val="000000" w:themeColor="text1"/>
              </w:rPr>
            </w:pPr>
            <w:r w:rsidRPr="001A495B">
              <w:rPr>
                <w:rFonts w:hint="eastAsia"/>
                <w:color w:val="000000" w:themeColor="text1"/>
              </w:rPr>
              <w:t>(委員吳思瑤等17人)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w:t>
            </w:r>
            <w:r w:rsidRPr="001A495B">
              <w:rPr>
                <w:rFonts w:hint="eastAsia"/>
                <w:color w:val="000000" w:themeColor="text1"/>
              </w:rPr>
              <w:t>2</w:t>
            </w:r>
            <w:r w:rsidRPr="001A495B">
              <w:rPr>
                <w:color w:val="000000" w:themeColor="text1"/>
              </w:rPr>
              <w:t>-</w:t>
            </w:r>
            <w:r w:rsidRPr="001A495B">
              <w:rPr>
                <w:rFonts w:hint="eastAsia"/>
                <w:color w:val="000000" w:themeColor="text1"/>
              </w:rPr>
              <w:t>6</w:t>
            </w:r>
          </w:p>
          <w:p w:rsidR="001A495B" w:rsidRPr="001A495B" w:rsidRDefault="001A495B" w:rsidP="00F70E7C">
            <w:pPr>
              <w:pStyle w:val="0-"/>
              <w:rPr>
                <w:color w:val="000000" w:themeColor="text1"/>
              </w:rPr>
            </w:pPr>
            <w:r w:rsidRPr="001A495B">
              <w:rPr>
                <w:color w:val="000000" w:themeColor="text1"/>
              </w:rPr>
              <w:t>(109</w:t>
            </w:r>
            <w:r w:rsidRPr="001A495B">
              <w:rPr>
                <w:rFonts w:hint="eastAsia"/>
                <w:color w:val="000000" w:themeColor="text1"/>
              </w:rPr>
              <w:t>.12.4</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恢復設置經費稽核委員會、刪除專業稽核人員與校長之隸屬關係，並在管理與稽核委員會中增設學生代表。</w:t>
            </w:r>
            <w:r w:rsidRPr="001A495B">
              <w:rPr>
                <w:rFonts w:hint="eastAsia"/>
                <w:color w:val="000000" w:themeColor="text1"/>
              </w:rPr>
              <w:t>(1條)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國立大學校院校務基金設置條例第五條及第七條條文修正草案。</w:t>
            </w:r>
          </w:p>
          <w:p w:rsidR="001A495B" w:rsidRPr="001A495B" w:rsidRDefault="001A495B" w:rsidP="001A495B">
            <w:pPr>
              <w:pStyle w:val="0-"/>
              <w:rPr>
                <w:color w:val="000000" w:themeColor="text1"/>
              </w:rPr>
            </w:pPr>
            <w:r w:rsidRPr="001A495B">
              <w:rPr>
                <w:rFonts w:hint="eastAsia"/>
                <w:color w:val="000000" w:themeColor="text1"/>
              </w:rPr>
              <w:t>(</w:t>
            </w:r>
            <w:r w:rsidRPr="00F70E7C">
              <w:rPr>
                <w:rFonts w:hint="eastAsia"/>
                <w:color w:val="000000" w:themeColor="text1"/>
                <w:spacing w:val="-20"/>
              </w:rPr>
              <w:t>委員張廖萬堅等23人</w:t>
            </w:r>
            <w:r w:rsidRPr="001A495B">
              <w:rPr>
                <w:rFonts w:hint="eastAsia"/>
                <w:color w:val="000000" w:themeColor="text1"/>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w:t>
            </w:r>
            <w:r w:rsidRPr="001A495B">
              <w:rPr>
                <w:rFonts w:hint="eastAsia"/>
                <w:color w:val="000000" w:themeColor="text1"/>
              </w:rPr>
              <w:t>3</w:t>
            </w:r>
            <w:r w:rsidRPr="001A495B">
              <w:rPr>
                <w:color w:val="000000" w:themeColor="text1"/>
              </w:rPr>
              <w:t>-</w:t>
            </w:r>
            <w:r w:rsidRPr="001A495B">
              <w:rPr>
                <w:rFonts w:hint="eastAsia"/>
                <w:color w:val="000000" w:themeColor="text1"/>
              </w:rPr>
              <w:t>2</w:t>
            </w:r>
          </w:p>
          <w:p w:rsidR="001A495B" w:rsidRPr="001A495B" w:rsidRDefault="001A495B" w:rsidP="00F70E7C">
            <w:pPr>
              <w:pStyle w:val="0-"/>
              <w:rPr>
                <w:color w:val="000000" w:themeColor="text1"/>
              </w:rPr>
            </w:pPr>
            <w:r w:rsidRPr="001A495B">
              <w:rPr>
                <w:color w:val="000000" w:themeColor="text1"/>
              </w:rPr>
              <w:t>(1</w:t>
            </w:r>
            <w:r w:rsidRPr="001A495B">
              <w:rPr>
                <w:rFonts w:hint="eastAsia"/>
                <w:color w:val="000000" w:themeColor="text1"/>
              </w:rPr>
              <w:t>10.3.5</w:t>
            </w:r>
            <w:r w:rsidRPr="001A495B">
              <w:rPr>
                <w:color w:val="000000" w:themeColor="text1"/>
              </w:rPr>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為提升各國立大學校院校務基金管理監督、公開透明，強化稽核</w:t>
            </w:r>
            <w:r w:rsidRPr="001A495B">
              <w:rPr>
                <w:rFonts w:hint="eastAsia"/>
                <w:color w:val="000000" w:themeColor="text1"/>
              </w:rPr>
              <w:lastRenderedPageBreak/>
              <w:t>人員的專業獨立性。(2條)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國立大學校院校務基金設置條例第十條條文修正草案</w:t>
            </w:r>
          </w:p>
          <w:p w:rsidR="001A495B" w:rsidRPr="001A495B" w:rsidRDefault="001A495B" w:rsidP="001A495B">
            <w:pPr>
              <w:pStyle w:val="0-"/>
              <w:rPr>
                <w:color w:val="000000" w:themeColor="text1"/>
              </w:rPr>
            </w:pPr>
            <w:r w:rsidRPr="001A495B">
              <w:rPr>
                <w:rFonts w:hint="eastAsia"/>
                <w:color w:val="000000" w:themeColor="text1"/>
              </w:rPr>
              <w:t>(委員邱泰源等23人)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10-3-12</w:t>
            </w:r>
          </w:p>
          <w:p w:rsidR="001A495B" w:rsidRPr="001A495B" w:rsidRDefault="001A495B" w:rsidP="00F70E7C">
            <w:pPr>
              <w:pStyle w:val="0-"/>
              <w:rPr>
                <w:color w:val="000000" w:themeColor="text1"/>
              </w:rPr>
            </w:pPr>
            <w:r w:rsidRPr="001A495B">
              <w:rPr>
                <w:color w:val="000000" w:themeColor="text1"/>
              </w:rPr>
              <w:t>(110.5.14)</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避免國立大學校院校務基金流入違法公司、企業，成為壓榨勞工、破壞環境之幫兇。(1條)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國立大學校院校務基金設置條例第五條及第七條條文修正草案</w:t>
            </w:r>
          </w:p>
          <w:p w:rsidR="001A495B" w:rsidRPr="001A495B" w:rsidRDefault="001A495B" w:rsidP="001A495B">
            <w:pPr>
              <w:pStyle w:val="0-"/>
              <w:rPr>
                <w:color w:val="000000" w:themeColor="text1"/>
              </w:rPr>
            </w:pPr>
            <w:r w:rsidRPr="001A495B">
              <w:rPr>
                <w:rFonts w:hint="eastAsia"/>
                <w:color w:val="000000" w:themeColor="text1"/>
              </w:rPr>
              <w:t>(民眾黨黨團)</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10-4-9</w:t>
            </w:r>
          </w:p>
          <w:p w:rsidR="001A495B" w:rsidRPr="001A495B" w:rsidRDefault="001A495B" w:rsidP="00F70E7C">
            <w:pPr>
              <w:pStyle w:val="0-"/>
              <w:rPr>
                <w:color w:val="000000" w:themeColor="text1"/>
              </w:rPr>
            </w:pPr>
            <w:r w:rsidRPr="001A495B">
              <w:rPr>
                <w:color w:val="000000" w:themeColor="text1"/>
              </w:rPr>
              <w:t>(110.11.12)</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jc w:val="both"/>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鑑於校務基金之運用攸關校園維護及教育提供品質，而學生作為校園主體，理應尊重學生之校務參與權，並藉參加校務培養學生民主能力與素養。(2條)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圖書館法第七條、第十五條及第十八條條文修正草案</w:t>
            </w:r>
          </w:p>
          <w:p w:rsidR="001A495B" w:rsidRPr="001A495B" w:rsidRDefault="001A495B" w:rsidP="001A495B">
            <w:pPr>
              <w:pStyle w:val="0-"/>
            </w:pPr>
            <w:r w:rsidRPr="001A495B">
              <w:rPr>
                <w:rFonts w:hint="eastAsia"/>
              </w:rPr>
              <w:t>(委員蘇巧慧等16人)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10-1-15</w:t>
            </w:r>
          </w:p>
          <w:p w:rsidR="001A495B" w:rsidRPr="001A495B" w:rsidRDefault="001A495B" w:rsidP="00F70E7C">
            <w:pPr>
              <w:pStyle w:val="0-"/>
            </w:pPr>
            <w:r w:rsidRPr="001A495B">
              <w:rPr>
                <w:rFonts w:hint="eastAsia"/>
              </w:rPr>
              <w:t>(109.5.29)</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jc w:val="both"/>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為尊重並振興出版事業，出版人送存國家圖書館及立法院國會圖書館之出版品，政府應支付出版人相當於該出版品出版及送存之費用，出版品相關權利人亦得因相關出版品於圖書館內供公眾無</w:t>
            </w:r>
            <w:r w:rsidRPr="001A495B">
              <w:rPr>
                <w:rFonts w:hint="eastAsia"/>
              </w:rPr>
              <w:lastRenderedPageBreak/>
              <w:t>償使用而獲適當之補償。(3條)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eastAsia="華康楷書體W5" w:hint="eastAsia"/>
              </w:rPr>
              <w:t>學產基金管理條例草案</w:t>
            </w:r>
          </w:p>
          <w:p w:rsidR="001A495B" w:rsidRPr="001A495B" w:rsidRDefault="001A495B" w:rsidP="001A495B">
            <w:pPr>
              <w:pStyle w:val="0-"/>
            </w:pPr>
            <w:r w:rsidRPr="001A495B">
              <w:rPr>
                <w:rFonts w:eastAsia="華康楷書體W5" w:hint="eastAsia"/>
              </w:rPr>
              <w:t>(</w:t>
            </w:r>
            <w:r w:rsidRPr="00F70E7C">
              <w:rPr>
                <w:rFonts w:eastAsia="華康楷書體W5" w:hint="eastAsia"/>
                <w:spacing w:val="-20"/>
              </w:rPr>
              <w:t>委員張廖萬堅等</w:t>
            </w:r>
            <w:r w:rsidRPr="00F70E7C">
              <w:rPr>
                <w:rFonts w:eastAsia="華康楷書體W5" w:hint="eastAsia"/>
                <w:spacing w:val="-20"/>
              </w:rPr>
              <w:t>20</w:t>
            </w:r>
            <w:r w:rsidRPr="00F70E7C">
              <w:rPr>
                <w:rFonts w:eastAsia="華康楷書體W5" w:hint="eastAsia"/>
                <w:spacing w:val="-20"/>
              </w:rPr>
              <w:t>人</w:t>
            </w:r>
            <w:r w:rsidRPr="001A495B">
              <w:rPr>
                <w:rFonts w:eastAsia="華康楷書體W5" w:hint="eastAsia"/>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w:t>
            </w:r>
            <w:r w:rsidRPr="001A495B">
              <w:rPr>
                <w:rFonts w:hint="eastAsia"/>
              </w:rPr>
              <w:t>2</w:t>
            </w:r>
            <w:r w:rsidRPr="001A495B">
              <w:t>-</w:t>
            </w:r>
            <w:r w:rsidRPr="001A495B">
              <w:rPr>
                <w:rFonts w:hint="eastAsia"/>
              </w:rPr>
              <w:t>1</w:t>
            </w:r>
          </w:p>
          <w:p w:rsidR="001A495B" w:rsidRPr="001A495B" w:rsidRDefault="001A495B" w:rsidP="00F70E7C">
            <w:pPr>
              <w:pStyle w:val="0-"/>
            </w:pPr>
            <w:r w:rsidRPr="001A495B">
              <w:t>(109</w:t>
            </w:r>
            <w:r w:rsidRPr="001A495B">
              <w:rPr>
                <w:rFonts w:hint="eastAsia"/>
              </w:rPr>
              <w:t>.9.18</w:t>
            </w:r>
            <w:r w:rsidRPr="001A495B">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jc w:val="both"/>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為活化學產基金資產，增加其收益，以照顧弱勢學子，實現興學、助學之目的，並落實學產基金永續發展之目標。</w:t>
            </w:r>
            <w:r w:rsidRPr="001A495B">
              <w:rPr>
                <w:rFonts w:hint="eastAsia"/>
              </w:rPr>
              <w:t>(22條)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運動彩券發行條例第八條條文修正草案</w:t>
            </w:r>
          </w:p>
          <w:p w:rsidR="001A495B" w:rsidRPr="001A495B" w:rsidRDefault="001A495B" w:rsidP="001A495B">
            <w:pPr>
              <w:pStyle w:val="0-"/>
            </w:pPr>
            <w:r w:rsidRPr="001A495B">
              <w:rPr>
                <w:rFonts w:hint="eastAsia"/>
              </w:rPr>
              <w:t>(委員鄭麗文等18人)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10-4-4</w:t>
            </w:r>
          </w:p>
          <w:p w:rsidR="001A495B" w:rsidRPr="001A495B" w:rsidRDefault="001A495B" w:rsidP="00F70E7C">
            <w:pPr>
              <w:pStyle w:val="0-"/>
            </w:pPr>
            <w:r w:rsidRPr="001A495B">
              <w:t>(110.10.8)</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jc w:val="both"/>
              <w:rPr>
                <w:rFonts w:ascii="標楷體" w:eastAsia="標楷體" w:hAnsi="標楷體"/>
                <w:color w:val="000000"/>
                <w:sz w:val="28"/>
                <w:szCs w:val="28"/>
              </w:rPr>
            </w:pPr>
            <w:r w:rsidRPr="001A495B">
              <w:rPr>
                <w:rFonts w:ascii="標楷體" w:eastAsia="標楷體" w:hAnsi="標楷體" w:hint="eastAsia"/>
                <w:color w:val="000000"/>
                <w:sz w:val="28"/>
                <w:szCs w:val="28"/>
              </w:rPr>
              <w:t>財政</w:t>
            </w: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747612" w:rsidP="00747612">
            <w:pPr>
              <w:ind w:left="240" w:hangingChars="100" w:hanging="240"/>
              <w:jc w:val="both"/>
              <w:rPr>
                <w:rFonts w:ascii="標楷體" w:eastAsia="標楷體" w:hAnsi="標楷體"/>
                <w:color w:val="000000"/>
                <w:sz w:val="28"/>
                <w:szCs w:val="28"/>
              </w:rPr>
            </w:pPr>
            <w:r>
              <w:rPr>
                <w:rFonts w:ascii="標楷體" w:eastAsia="標楷體" w:hAnsi="標楷體" w:hint="eastAsia"/>
                <w:color w:val="000000"/>
                <w:szCs w:val="24"/>
              </w:rPr>
              <w:t>1.</w:t>
            </w:r>
            <w:r w:rsidR="001A495B" w:rsidRPr="001A495B">
              <w:rPr>
                <w:rFonts w:ascii="標楷體" w:eastAsia="標楷體" w:hAnsi="標楷體" w:hint="eastAsia"/>
                <w:color w:val="000000"/>
                <w:szCs w:val="24"/>
              </w:rPr>
              <w:t>第4會期教育及文化、財政委員會第1次聯席會議(110.12.20)決議:報告及詢答完畢，另定期繼續審查。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強化國家對於體育選手照顧，將體育選手培訓、生活、就醫及退役、轉職輔導照顧列為法定義務，並給予財源。(1條)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學位授予法增訂第十七條之一條文草案</w:t>
            </w:r>
          </w:p>
          <w:p w:rsidR="001A495B" w:rsidRPr="001A495B" w:rsidRDefault="001A495B" w:rsidP="001A495B">
            <w:pPr>
              <w:pStyle w:val="0-"/>
            </w:pPr>
            <w:r w:rsidRPr="001A495B">
              <w:rPr>
                <w:rFonts w:hint="eastAsia"/>
              </w:rPr>
              <w:t>(委員林為洲等19人)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w:t>
            </w:r>
            <w:r w:rsidRPr="001A495B">
              <w:rPr>
                <w:rFonts w:hint="eastAsia"/>
              </w:rPr>
              <w:t>2</w:t>
            </w:r>
            <w:r w:rsidRPr="001A495B">
              <w:t>-</w:t>
            </w:r>
            <w:r w:rsidRPr="001A495B">
              <w:rPr>
                <w:rFonts w:hint="eastAsia"/>
              </w:rPr>
              <w:t>4</w:t>
            </w:r>
          </w:p>
          <w:p w:rsidR="001A495B" w:rsidRPr="001A495B" w:rsidRDefault="001A495B" w:rsidP="00F70E7C">
            <w:pPr>
              <w:pStyle w:val="0-"/>
            </w:pPr>
            <w:r w:rsidRPr="001A495B">
              <w:t>(109</w:t>
            </w:r>
            <w:r w:rsidRPr="001A495B">
              <w:rPr>
                <w:rFonts w:hint="eastAsia"/>
              </w:rPr>
              <w:t>.10.23</w:t>
            </w:r>
            <w:r w:rsidRPr="001A495B">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jc w:val="both"/>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有鑑於學術倫理為高等教育所重視，若有違反，對高等教育之聲譽影響甚鉅。</w:t>
            </w:r>
            <w:r w:rsidRPr="001A495B">
              <w:rPr>
                <w:rFonts w:hint="eastAsia"/>
              </w:rPr>
              <w:t>(1條)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學位授予法第十八條條文修正草案</w:t>
            </w:r>
          </w:p>
          <w:p w:rsidR="001A495B" w:rsidRPr="001A495B" w:rsidRDefault="001A495B" w:rsidP="001A495B">
            <w:pPr>
              <w:pStyle w:val="0-"/>
            </w:pPr>
            <w:r w:rsidRPr="001A495B">
              <w:rPr>
                <w:rFonts w:hint="eastAsia"/>
              </w:rPr>
              <w:t>(委員鄭正鈐等16人)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10-6-2</w:t>
            </w:r>
          </w:p>
          <w:p w:rsidR="001A495B" w:rsidRPr="001A495B" w:rsidRDefault="001A495B" w:rsidP="00F70E7C">
            <w:pPr>
              <w:pStyle w:val="0-"/>
            </w:pPr>
            <w:r w:rsidRPr="001A495B">
              <w:t>(111.9.30)</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jc w:val="both"/>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目前僅對代寫論文予以處罰，卻未對當事人或居間仲介者進行究責，為規範學術倫理，杜絕</w:t>
            </w:r>
            <w:r w:rsidRPr="001A495B">
              <w:rPr>
                <w:rFonts w:hint="eastAsia"/>
              </w:rPr>
              <w:lastRenderedPageBreak/>
              <w:t>博碩士學位論文抄襲。(1條)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學位授予法第十八條條文修正草案</w:t>
            </w:r>
          </w:p>
          <w:p w:rsidR="001A495B" w:rsidRPr="001A495B" w:rsidRDefault="001A495B" w:rsidP="001A495B">
            <w:pPr>
              <w:pStyle w:val="0-"/>
            </w:pPr>
            <w:r w:rsidRPr="001A495B">
              <w:rPr>
                <w:rFonts w:hint="eastAsia"/>
              </w:rPr>
              <w:t>(委員呂玉玲等16人)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10-6-9</w:t>
            </w:r>
          </w:p>
          <w:p w:rsidR="001A495B" w:rsidRPr="001A495B" w:rsidRDefault="001A495B" w:rsidP="00F70E7C">
            <w:pPr>
              <w:pStyle w:val="0-"/>
            </w:pPr>
            <w:r w:rsidRPr="001A495B">
              <w:rPr>
                <w:rFonts w:hint="eastAsia"/>
              </w:rPr>
              <w:t>(111.11.25)</w:t>
            </w:r>
          </w:p>
          <w:p w:rsidR="001A495B" w:rsidRPr="001A495B" w:rsidRDefault="001A495B" w:rsidP="00F70E7C">
            <w:pPr>
              <w:pStyle w:val="0-"/>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jc w:val="both"/>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為落實學術倫理，杜絕論文抄襲弊端。(1條)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學位授予法增訂第十七條之一條文草案</w:t>
            </w:r>
          </w:p>
          <w:p w:rsidR="001A495B" w:rsidRPr="001A495B" w:rsidRDefault="001A495B" w:rsidP="001A495B">
            <w:pPr>
              <w:pStyle w:val="0-"/>
            </w:pPr>
            <w:r w:rsidRPr="001A495B">
              <w:rPr>
                <w:rFonts w:hint="eastAsia"/>
              </w:rPr>
              <w:t>(委員林奕華等16人)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10-6-12</w:t>
            </w:r>
          </w:p>
          <w:p w:rsidR="001A495B" w:rsidRPr="001A495B" w:rsidRDefault="001A495B" w:rsidP="00F70E7C">
            <w:pPr>
              <w:pStyle w:val="0-"/>
            </w:pPr>
            <w:r w:rsidRPr="001A495B">
              <w:t>(111.12.16)</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jc w:val="both"/>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若未思檢討改進，將學位把關責任予以法制化，恐將致使日後碩博士生學位遭質疑事件層出不窮。為端正高等教育學位授予規格。(1條)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學位授予法第十六條條文修正草案</w:t>
            </w:r>
          </w:p>
          <w:p w:rsidR="001A495B" w:rsidRPr="001A495B" w:rsidRDefault="001A495B" w:rsidP="001A495B">
            <w:pPr>
              <w:pStyle w:val="0-"/>
            </w:pPr>
            <w:r w:rsidRPr="001A495B">
              <w:rPr>
                <w:rFonts w:hint="eastAsia"/>
              </w:rPr>
              <w:t>(國民黨黨團)</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10-6-12</w:t>
            </w:r>
          </w:p>
          <w:p w:rsidR="001A495B" w:rsidRPr="001A495B" w:rsidRDefault="001A495B" w:rsidP="00F70E7C">
            <w:pPr>
              <w:pStyle w:val="0-"/>
            </w:pPr>
            <w:r w:rsidRPr="001A495B">
              <w:t>(111.12.16)</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jc w:val="both"/>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對於學位論文不公開年限問題加強管理，藉以完善論文公開機制，端正學術風氣。(1條)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學校型態實驗教育實施條例第二十三條條文修正草案</w:t>
            </w:r>
          </w:p>
          <w:p w:rsidR="001A495B" w:rsidRPr="001A495B" w:rsidRDefault="001A495B" w:rsidP="001A495B">
            <w:pPr>
              <w:pStyle w:val="0-"/>
            </w:pPr>
            <w:r w:rsidRPr="001A495B">
              <w:rPr>
                <w:rFonts w:hint="eastAsia"/>
              </w:rPr>
              <w:t>(委員賴士葆等20人)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w:t>
            </w:r>
            <w:r w:rsidRPr="001A495B">
              <w:rPr>
                <w:rFonts w:hint="eastAsia"/>
              </w:rPr>
              <w:t>2</w:t>
            </w:r>
            <w:r w:rsidRPr="001A495B">
              <w:t>-</w:t>
            </w:r>
            <w:r w:rsidRPr="001A495B">
              <w:rPr>
                <w:rFonts w:hint="eastAsia"/>
              </w:rPr>
              <w:t>4</w:t>
            </w:r>
          </w:p>
          <w:p w:rsidR="001A495B" w:rsidRPr="001A495B" w:rsidRDefault="001A495B" w:rsidP="00F70E7C">
            <w:pPr>
              <w:pStyle w:val="0-"/>
            </w:pPr>
            <w:r w:rsidRPr="001A495B">
              <w:t>(109</w:t>
            </w:r>
            <w:r w:rsidRPr="001A495B">
              <w:rPr>
                <w:rFonts w:hint="eastAsia"/>
              </w:rPr>
              <w:t>.10.23</w:t>
            </w:r>
            <w:r w:rsidRPr="001A495B">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jc w:val="both"/>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明定公立高級中等以下實驗教育學校校長之年齡，經主管機關同意後，得不受本法及相關法令規定之限制，而由學校定之。</w:t>
            </w:r>
            <w:r w:rsidRPr="001A495B">
              <w:rPr>
                <w:rFonts w:hint="eastAsia"/>
              </w:rPr>
              <w:t>(1條)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學校型態實驗教育實施條例第二十三條條文修正草案</w:t>
            </w:r>
          </w:p>
          <w:p w:rsidR="001A495B" w:rsidRPr="001A495B" w:rsidRDefault="001A495B" w:rsidP="001A495B">
            <w:pPr>
              <w:pStyle w:val="0-"/>
            </w:pPr>
            <w:r w:rsidRPr="001A495B">
              <w:rPr>
                <w:rFonts w:hint="eastAsia"/>
              </w:rPr>
              <w:t>(委員黃秀芳等21人)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10-3-11</w:t>
            </w:r>
          </w:p>
          <w:p w:rsidR="001A495B" w:rsidRPr="001A495B" w:rsidRDefault="001A495B" w:rsidP="00F70E7C">
            <w:pPr>
              <w:pStyle w:val="0-"/>
            </w:pPr>
            <w:r w:rsidRPr="001A495B">
              <w:t>(110.5.7)</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jc w:val="both"/>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明定若學生不願就讀實驗教育學校，主管機關應協助依其意願辦理學生轉入鄰近學校就讀，並補助其交通費，轉入學校應視實際需要對學生進行生活及學習輔導。(1條)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學校型態實驗教育實施條例部分條文修正草案</w:t>
            </w:r>
          </w:p>
          <w:p w:rsidR="001A495B" w:rsidRPr="001A495B" w:rsidRDefault="001A495B" w:rsidP="001A495B">
            <w:pPr>
              <w:pStyle w:val="0-"/>
            </w:pPr>
            <w:r w:rsidRPr="001A495B">
              <w:rPr>
                <w:rFonts w:hint="eastAsia"/>
              </w:rPr>
              <w:t>(時代力量黨團)</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10-4-6</w:t>
            </w:r>
          </w:p>
          <w:p w:rsidR="001A495B" w:rsidRPr="001A495B" w:rsidRDefault="001A495B" w:rsidP="00F70E7C">
            <w:pPr>
              <w:pStyle w:val="0-"/>
            </w:pPr>
            <w:r w:rsidRPr="001A495B">
              <w:t>(110.10.22)</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jc w:val="both"/>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為保障實驗教育學校之學生、家長、參與實驗教育人員、教學人員及職員等之權益，促進多元教育。(4條)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國家語言發展法第九條條文修正草案</w:t>
            </w:r>
          </w:p>
          <w:p w:rsidR="001A495B" w:rsidRPr="001A495B" w:rsidRDefault="001A495B" w:rsidP="001A495B">
            <w:pPr>
              <w:pStyle w:val="0-"/>
            </w:pPr>
            <w:r w:rsidRPr="001A495B">
              <w:rPr>
                <w:rFonts w:hint="eastAsia"/>
              </w:rPr>
              <w:t>(</w:t>
            </w:r>
            <w:r w:rsidRPr="00F70E7C">
              <w:rPr>
                <w:rFonts w:hint="eastAsia"/>
                <w:spacing w:val="-20"/>
              </w:rPr>
              <w:t>委員伍麗華Saidhai Tahovecahe等26人</w:t>
            </w:r>
            <w:r w:rsidRPr="001A495B">
              <w:rPr>
                <w:rFonts w:hint="eastAsia"/>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w:t>
            </w:r>
            <w:r w:rsidRPr="001A495B">
              <w:rPr>
                <w:rFonts w:hint="eastAsia"/>
              </w:rPr>
              <w:t>2</w:t>
            </w:r>
            <w:r w:rsidRPr="001A495B">
              <w:t>-</w:t>
            </w:r>
            <w:r w:rsidRPr="001A495B">
              <w:rPr>
                <w:rFonts w:hint="eastAsia"/>
              </w:rPr>
              <w:t>6</w:t>
            </w:r>
          </w:p>
          <w:p w:rsidR="001A495B" w:rsidRPr="001A495B" w:rsidRDefault="001A495B" w:rsidP="00F70E7C">
            <w:pPr>
              <w:pStyle w:val="0-"/>
            </w:pPr>
            <w:r w:rsidRPr="001A495B">
              <w:t>(109</w:t>
            </w:r>
            <w:r w:rsidRPr="001A495B">
              <w:rPr>
                <w:rFonts w:hint="eastAsia"/>
              </w:rPr>
              <w:t>.12.4</w:t>
            </w:r>
            <w:r w:rsidRPr="001A495B">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jc w:val="both"/>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鑑於國家語言發展法第九條第二項規定中所稱「國民基本教育各階段」文意未臻明確，導致原條文之立法意旨造成誤解。</w:t>
            </w:r>
            <w:r w:rsidRPr="001A495B">
              <w:rPr>
                <w:rFonts w:hint="eastAsia"/>
              </w:rPr>
              <w:t>(1條)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國家語言發展法第九條條文修正草案</w:t>
            </w:r>
          </w:p>
          <w:p w:rsidR="001A495B" w:rsidRPr="001A495B" w:rsidRDefault="001A495B" w:rsidP="001A495B">
            <w:pPr>
              <w:pStyle w:val="0-"/>
            </w:pPr>
            <w:r w:rsidRPr="001A495B">
              <w:rPr>
                <w:rFonts w:hint="eastAsia"/>
              </w:rPr>
              <w:t>(</w:t>
            </w:r>
            <w:r w:rsidRPr="00F70E7C">
              <w:rPr>
                <w:rFonts w:hint="eastAsia"/>
                <w:spacing w:val="-20"/>
              </w:rPr>
              <w:t>委員鄭天財Sra Kacaw等18人</w:t>
            </w:r>
            <w:r w:rsidRPr="001A495B">
              <w:rPr>
                <w:rFonts w:hint="eastAsia"/>
              </w:rPr>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w:t>
            </w:r>
            <w:r w:rsidRPr="001A495B">
              <w:rPr>
                <w:rFonts w:hint="eastAsia"/>
              </w:rPr>
              <w:t>2</w:t>
            </w:r>
            <w:r w:rsidRPr="001A495B">
              <w:t>-</w:t>
            </w:r>
            <w:r w:rsidRPr="001A495B">
              <w:rPr>
                <w:rFonts w:hint="eastAsia"/>
              </w:rPr>
              <w:t>6</w:t>
            </w:r>
          </w:p>
          <w:p w:rsidR="001A495B" w:rsidRPr="001A495B" w:rsidRDefault="001A495B" w:rsidP="00F70E7C">
            <w:pPr>
              <w:pStyle w:val="0-"/>
            </w:pPr>
            <w:r w:rsidRPr="001A495B">
              <w:t>(109</w:t>
            </w:r>
            <w:r w:rsidRPr="001A495B">
              <w:rPr>
                <w:rFonts w:hint="eastAsia"/>
              </w:rPr>
              <w:t>.12.4</w:t>
            </w:r>
            <w:r w:rsidRPr="001A495B">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jc w:val="both"/>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為解決對國民基本教育認知上之疑義，使國家語言部定</w:t>
            </w:r>
            <w:r w:rsidRPr="001A495B">
              <w:lastRenderedPageBreak/>
              <w:t>課程明確適用於十二年國民基本教育之各階段。</w:t>
            </w:r>
            <w:r w:rsidRPr="001A495B">
              <w:rPr>
                <w:rFonts w:hint="eastAsia"/>
              </w:rPr>
              <w:t>(1條)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國家語言發展法第三條條文修正草案</w:t>
            </w:r>
          </w:p>
          <w:p w:rsidR="001A495B" w:rsidRPr="001A495B" w:rsidRDefault="001A495B" w:rsidP="001A495B">
            <w:pPr>
              <w:pStyle w:val="0-"/>
            </w:pPr>
            <w:r w:rsidRPr="001A495B">
              <w:rPr>
                <w:rFonts w:hint="eastAsia"/>
              </w:rPr>
              <w:t>(委員廖婉汝等21人)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10-4-4</w:t>
            </w:r>
          </w:p>
          <w:p w:rsidR="001A495B" w:rsidRPr="001A495B" w:rsidRDefault="001A495B" w:rsidP="00F70E7C">
            <w:pPr>
              <w:pStyle w:val="0-"/>
            </w:pPr>
            <w:r w:rsidRPr="001A495B">
              <w:t>(110.10.8)</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jc w:val="both"/>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為使各個族群不因其地理、族群受到法規上主觀或客觀之歧視與限制。(1條</w:t>
            </w:r>
            <w:r w:rsidRPr="001A495B">
              <w:t>)</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專科以上學校校外實習教育法草案</w:t>
            </w:r>
          </w:p>
          <w:p w:rsidR="001A495B" w:rsidRPr="001A495B" w:rsidRDefault="001A495B" w:rsidP="001A495B">
            <w:pPr>
              <w:pStyle w:val="0-"/>
            </w:pPr>
            <w:r w:rsidRPr="001A495B">
              <w:rPr>
                <w:rFonts w:hint="eastAsia"/>
              </w:rPr>
              <w:t>(委員蘇治芬等24人)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w:t>
            </w:r>
            <w:r w:rsidRPr="001A495B">
              <w:rPr>
                <w:rFonts w:hint="eastAsia"/>
              </w:rPr>
              <w:t>2</w:t>
            </w:r>
            <w:r w:rsidRPr="001A495B">
              <w:t>-</w:t>
            </w:r>
            <w:r w:rsidRPr="001A495B">
              <w:rPr>
                <w:rFonts w:hint="eastAsia"/>
              </w:rPr>
              <w:t>6</w:t>
            </w:r>
          </w:p>
          <w:p w:rsidR="001A495B" w:rsidRPr="001A495B" w:rsidRDefault="001A495B" w:rsidP="00F70E7C">
            <w:pPr>
              <w:pStyle w:val="0-"/>
            </w:pPr>
            <w:r w:rsidRPr="001A495B">
              <w:t>(109</w:t>
            </w:r>
            <w:r w:rsidRPr="001A495B">
              <w:rPr>
                <w:rFonts w:hint="eastAsia"/>
              </w:rPr>
              <w:t>.12.4</w:t>
            </w:r>
            <w:r w:rsidRPr="001A495B">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jc w:val="both"/>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當前大專以上學生實習人數眾多，實習樣態多元，但是對於實習教育的機制及學生權益的保障卻無法律明文規定。</w:t>
            </w:r>
            <w:r w:rsidRPr="001A495B">
              <w:rPr>
                <w:rFonts w:hint="eastAsia"/>
              </w:rPr>
              <w:t>(1條)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專科以上學校校外實習教育法草案</w:t>
            </w:r>
          </w:p>
          <w:p w:rsidR="001A495B" w:rsidRPr="001A495B" w:rsidRDefault="001A495B" w:rsidP="001A495B">
            <w:pPr>
              <w:pStyle w:val="0-"/>
            </w:pPr>
            <w:r w:rsidRPr="001A495B">
              <w:rPr>
                <w:rFonts w:hint="eastAsia"/>
              </w:rPr>
              <w:t>(委員羅美玲等23人)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10-5-5</w:t>
            </w:r>
          </w:p>
          <w:p w:rsidR="001A495B" w:rsidRPr="001A495B" w:rsidRDefault="001A495B" w:rsidP="00F70E7C">
            <w:pPr>
              <w:pStyle w:val="0-"/>
            </w:pPr>
            <w:r w:rsidRPr="001A495B">
              <w:t>(111.3.25)</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jc w:val="both"/>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為健全大專院校以上學校實習教育之推展，及保障學生實習權益。(</w:t>
            </w:r>
            <w:r w:rsidRPr="001A495B">
              <w:t>40</w:t>
            </w:r>
            <w:r w:rsidRPr="001A495B">
              <w:rPr>
                <w:rFonts w:hint="eastAsia"/>
              </w:rPr>
              <w:t>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專科以上學校校外實習教育法草案</w:t>
            </w:r>
          </w:p>
          <w:p w:rsidR="001A495B" w:rsidRPr="001A495B" w:rsidRDefault="001A495B" w:rsidP="001A495B">
            <w:pPr>
              <w:pStyle w:val="0-"/>
            </w:pPr>
            <w:r w:rsidRPr="001A495B">
              <w:rPr>
                <w:rFonts w:hint="eastAsia"/>
              </w:rPr>
              <w:t>(委員何志偉等22人)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10-5-13</w:t>
            </w:r>
          </w:p>
          <w:p w:rsidR="001A495B" w:rsidRPr="001A495B" w:rsidRDefault="001A495B" w:rsidP="00F70E7C">
            <w:pPr>
              <w:pStyle w:val="0-"/>
            </w:pPr>
            <w:r w:rsidRPr="001A495B">
              <w:t>(111.5.20)</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jc w:val="both"/>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就學生之權益保障與爭議處理、對學校及校外實習機構之監督及課責予以明定。(44條)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師資培育法第十條條文修正草案</w:t>
            </w:r>
          </w:p>
          <w:p w:rsidR="001A495B" w:rsidRPr="001A495B" w:rsidRDefault="001A495B" w:rsidP="001A495B">
            <w:pPr>
              <w:pStyle w:val="0-"/>
            </w:pPr>
            <w:r w:rsidRPr="001A495B">
              <w:rPr>
                <w:rFonts w:hint="eastAsia"/>
              </w:rPr>
              <w:t>(委員鄭麗文等19人)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w:t>
            </w:r>
            <w:r w:rsidRPr="001A495B">
              <w:rPr>
                <w:rFonts w:hint="eastAsia"/>
              </w:rPr>
              <w:t>2</w:t>
            </w:r>
            <w:r w:rsidRPr="001A495B">
              <w:t>-</w:t>
            </w:r>
            <w:r w:rsidRPr="001A495B">
              <w:rPr>
                <w:rFonts w:hint="eastAsia"/>
              </w:rPr>
              <w:t>8</w:t>
            </w:r>
          </w:p>
          <w:p w:rsidR="001A495B" w:rsidRPr="001A495B" w:rsidRDefault="001A495B" w:rsidP="00F70E7C">
            <w:pPr>
              <w:pStyle w:val="0-"/>
            </w:pPr>
            <w:r w:rsidRPr="001A495B">
              <w:t>(109</w:t>
            </w:r>
            <w:r w:rsidRPr="001A495B">
              <w:rPr>
                <w:rFonts w:hint="eastAsia"/>
              </w:rPr>
              <w:t>.12.18</w:t>
            </w:r>
            <w:r w:rsidRPr="001A495B">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ind w:leftChars="-12" w:left="-29"/>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ind w:leftChars="-12" w:left="-29"/>
              <w:jc w:val="both"/>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教育實習期間有勞務提供與工作事實卻未</w:t>
            </w:r>
            <w:r w:rsidRPr="001A495B">
              <w:lastRenderedPageBreak/>
              <w:t>發給津貼，恐有損學生權益。</w:t>
            </w:r>
            <w:r w:rsidRPr="001A495B">
              <w:rPr>
                <w:rFonts w:hint="eastAsia"/>
              </w:rPr>
              <w:t>(1條)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師資培育法第十條條文修正草案</w:t>
            </w:r>
          </w:p>
          <w:p w:rsidR="001A495B" w:rsidRPr="001A495B" w:rsidRDefault="001A495B" w:rsidP="001A495B">
            <w:pPr>
              <w:pStyle w:val="0-"/>
            </w:pPr>
            <w:r w:rsidRPr="001A495B">
              <w:rPr>
                <w:rFonts w:hint="eastAsia"/>
              </w:rPr>
              <w:t>(委員林思銘等19人)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10-4-6</w:t>
            </w:r>
          </w:p>
          <w:p w:rsidR="001A495B" w:rsidRPr="001A495B" w:rsidRDefault="001A495B" w:rsidP="00F70E7C">
            <w:pPr>
              <w:pStyle w:val="0-"/>
            </w:pPr>
            <w:r w:rsidRPr="001A495B">
              <w:t>(110.10.22)</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ind w:leftChars="-12" w:left="-29"/>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ind w:leftChars="-12" w:left="-29"/>
              <w:jc w:val="both"/>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為師資培育學生依規定須參加半年全時教育實習，實習期間有勞務提供與工作事實卻未發給津貼，有損學生權益。(1條)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師資培育法第十條及第十九條條文修正草案</w:t>
            </w:r>
          </w:p>
          <w:p w:rsidR="001A495B" w:rsidRPr="001A495B" w:rsidRDefault="001A495B" w:rsidP="001A495B">
            <w:pPr>
              <w:pStyle w:val="0-"/>
            </w:pPr>
            <w:r w:rsidRPr="001A495B">
              <w:rPr>
                <w:rFonts w:hint="eastAsia"/>
              </w:rPr>
              <w:t>(委員鄭正鈐等26人)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10-4-6</w:t>
            </w:r>
          </w:p>
          <w:p w:rsidR="001A495B" w:rsidRPr="001A495B" w:rsidRDefault="001A495B" w:rsidP="00F70E7C">
            <w:pPr>
              <w:pStyle w:val="0-"/>
            </w:pPr>
            <w:r w:rsidRPr="001A495B">
              <w:t>(110.10.22)</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ind w:leftChars="-12" w:left="-29"/>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ind w:leftChars="-12" w:left="-29"/>
              <w:jc w:val="both"/>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對比其他考照執業如律師、醫師、會計師等，實習期間也都有薪資，通過資格考的師培生實習卻沒有薪資或津貼。(2條)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師資培育法第十條條文修正草案</w:t>
            </w:r>
          </w:p>
          <w:p w:rsidR="001A495B" w:rsidRPr="001A495B" w:rsidRDefault="001A495B" w:rsidP="001A495B">
            <w:pPr>
              <w:pStyle w:val="0-"/>
            </w:pPr>
            <w:r w:rsidRPr="001A495B">
              <w:rPr>
                <w:rFonts w:hint="eastAsia"/>
              </w:rPr>
              <w:t>(委員楊瓊瓔等17人)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10-6-5</w:t>
            </w:r>
          </w:p>
          <w:p w:rsidR="001A495B" w:rsidRPr="001A495B" w:rsidRDefault="001A495B" w:rsidP="00F70E7C">
            <w:pPr>
              <w:pStyle w:val="0-"/>
            </w:pPr>
            <w:r w:rsidRPr="001A495B">
              <w:t>(111.10.28)</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ind w:leftChars="-12" w:left="-29"/>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ind w:leftChars="-12" w:left="-29"/>
              <w:jc w:val="both"/>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師培生實習期間有勞務提供與工作事實，但卻未發給津貼，恐有損學生權益。(</w:t>
            </w:r>
            <w:r w:rsidRPr="001A495B">
              <w:t>1</w:t>
            </w:r>
            <w:r w:rsidRPr="001A495B">
              <w:rPr>
                <w:rFonts w:hint="eastAsia"/>
              </w:rPr>
              <w:t>條</w:t>
            </w:r>
            <w:r w:rsidRPr="001A495B">
              <w:t>)</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技術及職業教育法第十七條條文修正草案</w:t>
            </w:r>
          </w:p>
          <w:p w:rsidR="001A495B" w:rsidRPr="001A495B" w:rsidRDefault="001A495B" w:rsidP="001A495B">
            <w:pPr>
              <w:pStyle w:val="0-"/>
            </w:pPr>
            <w:r w:rsidRPr="001A495B">
              <w:rPr>
                <w:rFonts w:hint="eastAsia"/>
              </w:rPr>
              <w:t>(委員呂玉玲等18人)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10-3-6</w:t>
            </w:r>
          </w:p>
          <w:p w:rsidR="001A495B" w:rsidRPr="001A495B" w:rsidRDefault="001A495B" w:rsidP="00F70E7C">
            <w:pPr>
              <w:pStyle w:val="0-"/>
            </w:pPr>
            <w:r w:rsidRPr="001A495B">
              <w:t>(110.4.6)</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基於保護學生與教育目的，應該嚴格要求合作廠商進一步保護學生權益。(</w:t>
            </w:r>
            <w:r w:rsidRPr="001A495B">
              <w:t>1</w:t>
            </w:r>
            <w:r w:rsidRPr="001A495B">
              <w:rPr>
                <w:rFonts w:hint="eastAsia"/>
              </w:rPr>
              <w:t>條</w:t>
            </w:r>
            <w:r w:rsidRPr="001A495B">
              <w:t>)</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補習及進修教育法第九條條文修正草案</w:t>
            </w:r>
          </w:p>
          <w:p w:rsidR="001A495B" w:rsidRPr="001A495B" w:rsidRDefault="001A495B" w:rsidP="001A495B">
            <w:pPr>
              <w:pStyle w:val="0-"/>
            </w:pPr>
            <w:r w:rsidRPr="001A495B">
              <w:rPr>
                <w:rFonts w:hint="eastAsia"/>
              </w:rPr>
              <w:t>(委員鄭麗文等17人)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10-3-8</w:t>
            </w:r>
          </w:p>
          <w:p w:rsidR="001A495B" w:rsidRPr="001A495B" w:rsidRDefault="001A495B" w:rsidP="00F70E7C">
            <w:pPr>
              <w:pStyle w:val="0-"/>
            </w:pPr>
            <w:r w:rsidRPr="001A495B">
              <w:t>(110.4.16)</w:t>
            </w:r>
            <w:r w:rsidRPr="001A495B">
              <w:tab/>
            </w:r>
            <w:r w:rsidRPr="001A495B">
              <w:tab/>
            </w:r>
            <w:r w:rsidRPr="001A495B">
              <w:tab/>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現行法規尚未將體罰或霸凌納入補習班人員不適任之理由、未規範補習班在案件調查期間禁止涉案之補習班人員入班、罰則恐不足生嚇阻作用等，難以防堵不適任補習班人員對學生身心可能造成之傷害。(1條)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補習及進修教育法第九條條文修正草案</w:t>
            </w:r>
          </w:p>
          <w:p w:rsidR="001A495B" w:rsidRPr="001A495B" w:rsidRDefault="001A495B" w:rsidP="001A495B">
            <w:pPr>
              <w:pStyle w:val="0-"/>
            </w:pPr>
            <w:r w:rsidRPr="001A495B">
              <w:rPr>
                <w:rFonts w:hint="eastAsia"/>
              </w:rPr>
              <w:t>(委員萬美玲等17人)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10-4-4</w:t>
            </w:r>
          </w:p>
          <w:p w:rsidR="001A495B" w:rsidRPr="001A495B" w:rsidRDefault="001A495B" w:rsidP="00F70E7C">
            <w:pPr>
              <w:pStyle w:val="0-"/>
            </w:pPr>
            <w:r w:rsidRPr="001A495B">
              <w:t>(110.10.8)</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涉案之教職人員入班對學生造成二次傷害，使學生之學習環境存有隱患。(1條)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補習及進修教育法第九條條文修正草案</w:t>
            </w:r>
          </w:p>
          <w:p w:rsidR="001A495B" w:rsidRPr="001A495B" w:rsidRDefault="001A495B" w:rsidP="001A495B">
            <w:pPr>
              <w:pStyle w:val="0-"/>
            </w:pPr>
            <w:r w:rsidRPr="001A495B">
              <w:rPr>
                <w:rFonts w:hint="eastAsia"/>
              </w:rPr>
              <w:t>(委員范雲等20人)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10-4-7</w:t>
            </w:r>
          </w:p>
          <w:p w:rsidR="001A495B" w:rsidRPr="001A495B" w:rsidRDefault="001A495B" w:rsidP="00F70E7C">
            <w:pPr>
              <w:pStyle w:val="0-"/>
            </w:pPr>
            <w:r w:rsidRPr="001A495B">
              <w:t>(110.10.29)</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將體罰、霸凌、違反專業倫理列入應解聘或解僱之情事，保障學生安全之學習環境。(1條)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補習及進修教育法第六條條文修正草案</w:t>
            </w:r>
          </w:p>
          <w:p w:rsidR="001A495B" w:rsidRPr="001A495B" w:rsidRDefault="001A495B" w:rsidP="001A495B">
            <w:pPr>
              <w:pStyle w:val="0-"/>
            </w:pPr>
            <w:r w:rsidRPr="001A495B">
              <w:rPr>
                <w:rFonts w:hint="eastAsia"/>
              </w:rPr>
              <w:t>(委員黃國書等16人</w:t>
            </w:r>
            <w:r w:rsidRPr="001A495B">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10-4-</w:t>
            </w:r>
            <w:r w:rsidRPr="001A495B">
              <w:rPr>
                <w:rFonts w:hint="eastAsia"/>
              </w:rPr>
              <w:t>9</w:t>
            </w:r>
          </w:p>
          <w:p w:rsidR="001A495B" w:rsidRPr="001A495B" w:rsidRDefault="001A495B" w:rsidP="00F70E7C">
            <w:pPr>
              <w:pStyle w:val="0-"/>
            </w:pPr>
            <w:r w:rsidRPr="001A495B">
              <w:rPr>
                <w:rFonts w:hint="eastAsia"/>
              </w:rPr>
              <w:t>(110.1</w:t>
            </w:r>
            <w:r w:rsidRPr="001A495B">
              <w:t>1</w:t>
            </w:r>
            <w:r w:rsidRPr="001A495B">
              <w:rPr>
                <w:rFonts w:hint="eastAsia"/>
              </w:rPr>
              <w:t>.</w:t>
            </w:r>
            <w:r w:rsidRPr="001A495B">
              <w:t>12</w:t>
            </w:r>
            <w:r w:rsidRPr="001A495B">
              <w:rPr>
                <w:rFonts w:hint="eastAsia"/>
              </w:rPr>
              <w:t>)</w:t>
            </w:r>
            <w:r w:rsidRPr="001A495B">
              <w:rPr>
                <w:rFonts w:hint="eastAsia"/>
              </w:rPr>
              <w:tab/>
            </w:r>
            <w:r w:rsidRPr="001A495B">
              <w:rPr>
                <w:rFonts w:hint="eastAsia"/>
              </w:rPr>
              <w:tab/>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明定短期補習教育可依核准類科聘僱專業師資提供學員學習及輔導服務，以符合學</w:t>
            </w:r>
            <w:r w:rsidRPr="001A495B">
              <w:rPr>
                <w:rFonts w:hint="eastAsia"/>
              </w:rPr>
              <w:lastRenderedPageBreak/>
              <w:t>員參加補習班之目的。(1條)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補習及進修教育法第九條條文修正草案</w:t>
            </w:r>
          </w:p>
          <w:p w:rsidR="001A495B" w:rsidRPr="001A495B" w:rsidRDefault="001A495B" w:rsidP="001A495B">
            <w:pPr>
              <w:pStyle w:val="0-"/>
            </w:pPr>
            <w:r w:rsidRPr="001A495B">
              <w:rPr>
                <w:rFonts w:hint="eastAsia"/>
              </w:rPr>
              <w:t>(委員賴品妤等16人)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10-5-12</w:t>
            </w:r>
          </w:p>
          <w:p w:rsidR="001A495B" w:rsidRPr="001A495B" w:rsidRDefault="001A495B" w:rsidP="00F70E7C">
            <w:pPr>
              <w:pStyle w:val="0-"/>
            </w:pPr>
            <w:r w:rsidRPr="001A495B">
              <w:t>(111.5.13)</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將體罰或霸凌之情事列入補習班解聘或解僱之緣由，並禁止涉案調查之補習班教職員入班。(1條)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補習及進修教育法第九條條文修正草案</w:t>
            </w:r>
          </w:p>
          <w:p w:rsidR="001A495B" w:rsidRPr="001A495B" w:rsidRDefault="001A495B" w:rsidP="001A495B">
            <w:pPr>
              <w:pStyle w:val="0-"/>
            </w:pPr>
            <w:r w:rsidRPr="001A495B">
              <w:rPr>
                <w:rFonts w:hint="eastAsia"/>
              </w:rPr>
              <w:t>(委員游毓蘭等20人)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10-6-3</w:t>
            </w:r>
          </w:p>
          <w:p w:rsidR="001A495B" w:rsidRPr="001A495B" w:rsidRDefault="001A495B" w:rsidP="00F70E7C">
            <w:pPr>
              <w:pStyle w:val="0-"/>
            </w:pPr>
            <w:r w:rsidRPr="001A495B">
              <w:t>(111.10.7)</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鑑於補習及進修教育法未規範補習班在案件調查期間禁止涉案之補習班人員入班，難以防堵不適任補習班人員對學生身心可能造成之傷害。(1條)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補習及進修教育法第九條條文修正草案</w:t>
            </w:r>
          </w:p>
          <w:p w:rsidR="001A495B" w:rsidRPr="001A495B" w:rsidRDefault="001A495B" w:rsidP="001A495B">
            <w:pPr>
              <w:pStyle w:val="0-"/>
            </w:pPr>
            <w:r w:rsidRPr="001A495B">
              <w:rPr>
                <w:rFonts w:hint="eastAsia"/>
              </w:rPr>
              <w:t>(委員楊瓊瓔等17人</w:t>
            </w:r>
            <w:r w:rsidRPr="001A495B">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10-6-4</w:t>
            </w:r>
          </w:p>
          <w:p w:rsidR="001A495B" w:rsidRPr="001A495B" w:rsidRDefault="001A495B" w:rsidP="00F70E7C">
            <w:pPr>
              <w:pStyle w:val="0-"/>
            </w:pPr>
            <w:r w:rsidRPr="001A495B">
              <w:t>(111.10.14)</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將體罰或霸凌之情事列入補習班解聘或解僱之緣由，禁止涉案調查之補習班教職員入班，並提高罰則以達嚇阻作用。(1條)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高級中等學校建教合作實施及建教生權益保障法第二十五條條文修正草案</w:t>
            </w:r>
          </w:p>
          <w:p w:rsidR="001A495B" w:rsidRPr="001A495B" w:rsidRDefault="001A495B" w:rsidP="001A495B">
            <w:pPr>
              <w:pStyle w:val="0-"/>
            </w:pPr>
            <w:r w:rsidRPr="001A495B">
              <w:rPr>
                <w:rFonts w:hint="eastAsia"/>
              </w:rPr>
              <w:lastRenderedPageBreak/>
              <w:t>(委員吳琪銘等20人)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lastRenderedPageBreak/>
              <w:t>10-3-11</w:t>
            </w:r>
          </w:p>
          <w:p w:rsidR="001A495B" w:rsidRPr="001A495B" w:rsidRDefault="001A495B" w:rsidP="00F70E7C">
            <w:pPr>
              <w:pStyle w:val="0-"/>
            </w:pPr>
            <w:r w:rsidRPr="001A495B">
              <w:t>(110.5.7)</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鑑於「高級中等學校建教合作實施及建教生權益保障</w:t>
            </w:r>
            <w:r w:rsidRPr="001A495B">
              <w:rPr>
                <w:rFonts w:hint="eastAsia"/>
              </w:rPr>
              <w:lastRenderedPageBreak/>
              <w:t>法」中仍有「殘廢」用詞，殊與「身心障礙者權利公約」所推動反歧視之精神有違。(1條)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高級中等學校建教合作實施及建教生權益保障法部分條文修正草案</w:t>
            </w:r>
          </w:p>
          <w:p w:rsidR="001A495B" w:rsidRPr="001A495B" w:rsidRDefault="001A495B" w:rsidP="001A495B">
            <w:pPr>
              <w:pStyle w:val="0-"/>
            </w:pPr>
            <w:r w:rsidRPr="001A495B">
              <w:rPr>
                <w:rFonts w:hint="eastAsia"/>
              </w:rPr>
              <w:t>(委員范雲等17人)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10-3-11</w:t>
            </w:r>
          </w:p>
          <w:p w:rsidR="001A495B" w:rsidRPr="001A495B" w:rsidRDefault="001A495B" w:rsidP="00F70E7C">
            <w:pPr>
              <w:pStyle w:val="0-"/>
            </w:pPr>
            <w:r w:rsidRPr="001A495B">
              <w:t>(110.5.7)</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近年建教生勞動爭議頻傳，復以僑生建教專班人數逐年攀升，有必要因應變遷修正，以健全建教合作制度、強化建教生之權益保障。(10條)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高級中等學校建教合作實施及建教生權益保障法部分條文修正草案</w:t>
            </w:r>
          </w:p>
          <w:p w:rsidR="001A495B" w:rsidRPr="001A495B" w:rsidRDefault="001A495B" w:rsidP="001A495B">
            <w:pPr>
              <w:pStyle w:val="0-"/>
            </w:pPr>
            <w:r w:rsidRPr="001A495B">
              <w:rPr>
                <w:rFonts w:hint="eastAsia"/>
              </w:rPr>
              <w:t>(委員林宜瑾等19人)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10-3-12</w:t>
            </w:r>
          </w:p>
          <w:p w:rsidR="001A495B" w:rsidRPr="001A495B" w:rsidRDefault="001A495B" w:rsidP="00F70E7C">
            <w:pPr>
              <w:pStyle w:val="0-"/>
            </w:pPr>
            <w:r w:rsidRPr="001A495B">
              <w:t>(110.5.14)</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完備勞動人權及勞動權益手冊之內容，並為落實身心障礙者權利公約所揭示平等與不歧視之規定。(4條)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偏遠地區學校教育發展條例第十六條及第十九條條文修正草案</w:t>
            </w:r>
          </w:p>
          <w:p w:rsidR="001A495B" w:rsidRPr="001A495B" w:rsidRDefault="001A495B" w:rsidP="001A495B">
            <w:pPr>
              <w:pStyle w:val="0-"/>
            </w:pPr>
            <w:r w:rsidRPr="001A495B">
              <w:rPr>
                <w:rFonts w:hint="eastAsia"/>
              </w:rPr>
              <w:t>(委員馬文君等16人)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10-3-13</w:t>
            </w:r>
          </w:p>
          <w:p w:rsidR="001A495B" w:rsidRPr="001A495B" w:rsidRDefault="001A495B" w:rsidP="00F70E7C">
            <w:pPr>
              <w:pStyle w:val="0-"/>
            </w:pPr>
            <w:r w:rsidRPr="001A495B">
              <w:t>(110.5.21)</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每位學生不應因城鄉距離造成教育資源的差距。(2條)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偏遠地區學校教育發展條例部分條文修正草案</w:t>
            </w:r>
          </w:p>
          <w:p w:rsidR="001A495B" w:rsidRPr="001A495B" w:rsidRDefault="001A495B" w:rsidP="001A495B">
            <w:pPr>
              <w:pStyle w:val="0-"/>
            </w:pPr>
            <w:r w:rsidRPr="001A495B">
              <w:rPr>
                <w:rFonts w:hint="eastAsia"/>
              </w:rPr>
              <w:t>(委員黃秀芳等19人)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10-3-1</w:t>
            </w:r>
            <w:r w:rsidRPr="001A495B">
              <w:rPr>
                <w:rFonts w:hint="eastAsia"/>
              </w:rPr>
              <w:t>4</w:t>
            </w:r>
          </w:p>
          <w:p w:rsidR="001A495B" w:rsidRPr="001A495B" w:rsidRDefault="001A495B" w:rsidP="00F70E7C">
            <w:pPr>
              <w:pStyle w:val="0-"/>
            </w:pPr>
            <w:r w:rsidRPr="001A495B">
              <w:t>(110.5.</w:t>
            </w:r>
            <w:r w:rsidRPr="001A495B">
              <w:rPr>
                <w:rFonts w:hint="eastAsia"/>
              </w:rPr>
              <w:t>31</w:t>
            </w:r>
            <w:r w:rsidRPr="001A495B">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有鑑於少子女化現象除了影響國家人口結構外，對偏遠地區學校的衝</w:t>
            </w:r>
            <w:r w:rsidRPr="001A495B">
              <w:rPr>
                <w:rFonts w:hint="eastAsia"/>
              </w:rPr>
              <w:lastRenderedPageBreak/>
              <w:t>擊更為明顯，形成教育重大危機之一。(7條)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偏遠地區學校教育發展條例第十六條條文修正草案</w:t>
            </w:r>
          </w:p>
          <w:p w:rsidR="001A495B" w:rsidRPr="001A495B" w:rsidRDefault="001A495B" w:rsidP="001A495B">
            <w:pPr>
              <w:pStyle w:val="0-"/>
            </w:pPr>
            <w:r w:rsidRPr="001A495B">
              <w:rPr>
                <w:rFonts w:hint="eastAsia"/>
              </w:rPr>
              <w:t>(委員魯明哲等22人)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10-4-4</w:t>
            </w:r>
          </w:p>
          <w:p w:rsidR="001A495B" w:rsidRPr="001A495B" w:rsidRDefault="001A495B" w:rsidP="00F70E7C">
            <w:pPr>
              <w:pStyle w:val="0-"/>
            </w:pPr>
            <w:r w:rsidRPr="001A495B">
              <w:t>(110.10.8)</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中央主管機關應全額補助偏遠地區學校提供學生學習活動及兒童課後照顧服務之所需經費，提升偏鄉地區教育發展。(1條)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偏遠地區學校教育發展條例部分條文修正草案</w:t>
            </w:r>
          </w:p>
          <w:p w:rsidR="001A495B" w:rsidRPr="001A495B" w:rsidRDefault="001A495B" w:rsidP="001A495B">
            <w:pPr>
              <w:pStyle w:val="0-"/>
            </w:pPr>
            <w:r w:rsidRPr="001A495B">
              <w:rPr>
                <w:rFonts w:hint="eastAsia"/>
              </w:rPr>
              <w:t>(民眾黨黨團)</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10-4-7</w:t>
            </w:r>
          </w:p>
          <w:p w:rsidR="001A495B" w:rsidRPr="001A495B" w:rsidRDefault="001A495B" w:rsidP="00F70E7C">
            <w:pPr>
              <w:pStyle w:val="0-"/>
            </w:pPr>
            <w:r w:rsidRPr="001A495B">
              <w:t>(110.10.29)</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為實現教育機會平等原則，弭平城鄉之教育均衡發展。(</w:t>
            </w:r>
            <w:r w:rsidRPr="001A495B">
              <w:t>5</w:t>
            </w:r>
            <w:r w:rsidRPr="001A495B">
              <w:rPr>
                <w:rFonts w:hint="eastAsia"/>
              </w:rPr>
              <w:t>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偏遠地區學校教育發展條例第九條條文修正草案</w:t>
            </w:r>
          </w:p>
          <w:p w:rsidR="001A495B" w:rsidRPr="001A495B" w:rsidRDefault="001A495B" w:rsidP="001A495B">
            <w:pPr>
              <w:pStyle w:val="0-"/>
            </w:pPr>
            <w:r w:rsidRPr="001A495B">
              <w:rPr>
                <w:rFonts w:hint="eastAsia"/>
              </w:rPr>
              <w:t>(委員賴惠員等18人)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10-4-9</w:t>
            </w:r>
          </w:p>
          <w:p w:rsidR="001A495B" w:rsidRPr="001A495B" w:rsidRDefault="001A495B" w:rsidP="00F70E7C">
            <w:pPr>
              <w:pStyle w:val="0-"/>
            </w:pPr>
            <w:r w:rsidRPr="001A495B">
              <w:t>(110.11.12)</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鑒於偏遠地區學校學生於COVID-19疫情影響期間，恐礙於家中基礎資訊設施設備不足而無法進行遠距教學，進而影響其學習權益。(</w:t>
            </w:r>
            <w:r w:rsidRPr="001A495B">
              <w:t>1</w:t>
            </w:r>
            <w:r w:rsidRPr="001A495B">
              <w:rPr>
                <w:rFonts w:hint="eastAsia"/>
              </w:rPr>
              <w:t>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偏遠地區學校教育發展條例第十二條條文修正草案。</w:t>
            </w:r>
          </w:p>
          <w:p w:rsidR="001A495B" w:rsidRPr="001A495B" w:rsidRDefault="001A495B" w:rsidP="001A495B">
            <w:pPr>
              <w:pStyle w:val="0-"/>
            </w:pPr>
            <w:r w:rsidRPr="001A495B">
              <w:rPr>
                <w:rFonts w:hint="eastAsia"/>
              </w:rPr>
              <w:t>(委員孔文吉等17人)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10-4-9</w:t>
            </w:r>
          </w:p>
          <w:p w:rsidR="001A495B" w:rsidRPr="001A495B" w:rsidRDefault="001A495B" w:rsidP="00F70E7C">
            <w:pPr>
              <w:pStyle w:val="0-"/>
            </w:pPr>
            <w:r w:rsidRPr="001A495B">
              <w:t>(110.11.12)</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考量偏遠及離島地區特殊性，依憲法增修條文第十條保障扶助並促其發展之精</w:t>
            </w:r>
            <w:r w:rsidRPr="001A495B">
              <w:rPr>
                <w:rFonts w:hint="eastAsia"/>
              </w:rPr>
              <w:lastRenderedPageBreak/>
              <w:t>神，並輔導該等地區存未合法之建築物做為國民小學分校、分班或教學場所者納入管理。(1條)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偏遠地區學校教育發展條例第九條、第十五條及第十六條條文修正草案</w:t>
            </w:r>
          </w:p>
          <w:p w:rsidR="001A495B" w:rsidRPr="001A495B" w:rsidRDefault="001A495B" w:rsidP="001A495B">
            <w:pPr>
              <w:pStyle w:val="0-"/>
            </w:pPr>
            <w:r w:rsidRPr="001A495B">
              <w:rPr>
                <w:rFonts w:hint="eastAsia"/>
              </w:rPr>
              <w:t>(委員陳玉珍等22人)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10-4-</w:t>
            </w:r>
            <w:r w:rsidRPr="001A495B">
              <w:rPr>
                <w:rFonts w:hint="eastAsia"/>
              </w:rPr>
              <w:t>12</w:t>
            </w:r>
          </w:p>
          <w:p w:rsidR="001A495B" w:rsidRPr="001A495B" w:rsidRDefault="001A495B" w:rsidP="00F70E7C">
            <w:pPr>
              <w:pStyle w:val="0-"/>
            </w:pPr>
            <w:r w:rsidRPr="001A495B">
              <w:t>(110.1</w:t>
            </w:r>
            <w:r w:rsidRPr="001A495B">
              <w:rPr>
                <w:rFonts w:hint="eastAsia"/>
              </w:rPr>
              <w:t>2</w:t>
            </w:r>
            <w:r w:rsidRPr="001A495B">
              <w:t>.</w:t>
            </w:r>
            <w:r w:rsidRPr="001A495B">
              <w:rPr>
                <w:rFonts w:hint="eastAsia"/>
              </w:rPr>
              <w:t>3</w:t>
            </w:r>
            <w:r w:rsidRPr="001A495B">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鑑於偏遠地區學校在地理位置及教育資源上本屬弱勢，且教育不應因為城鄉差距而造成教育資源的差距。(</w:t>
            </w:r>
            <w:r w:rsidRPr="001A495B">
              <w:t>3</w:t>
            </w:r>
            <w:r w:rsidRPr="001A495B">
              <w:rPr>
                <w:rFonts w:hint="eastAsia"/>
              </w:rPr>
              <w:t>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282A1E" w:rsidRDefault="001A495B" w:rsidP="001A495B">
            <w:pPr>
              <w:pStyle w:val="0-"/>
            </w:pPr>
            <w:r w:rsidRPr="001A495B">
              <w:rPr>
                <w:rFonts w:hint="eastAsia"/>
              </w:rPr>
              <w:t>高級中等以下教育階段非學校型態實驗教育實施條例部分條文修正草案</w:t>
            </w:r>
          </w:p>
          <w:p w:rsidR="001A495B" w:rsidRPr="001A495B" w:rsidRDefault="001A495B" w:rsidP="001A495B">
            <w:pPr>
              <w:pStyle w:val="0-"/>
            </w:pPr>
            <w:r w:rsidRPr="001A495B">
              <w:rPr>
                <w:rFonts w:hint="eastAsia"/>
              </w:rPr>
              <w:t>(時代力量黨團)</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10-4-6</w:t>
            </w:r>
          </w:p>
          <w:p w:rsidR="001A495B" w:rsidRPr="001A495B" w:rsidRDefault="001A495B" w:rsidP="00F70E7C">
            <w:pPr>
              <w:pStyle w:val="0-"/>
            </w:pPr>
            <w:r w:rsidRPr="001A495B">
              <w:t>(110.10.22)</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為保障實驗教育機構之學生、家長、參與實驗教育人員、教學人員及職員等之權益，促進多元教育。(5條)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國際教育及海外學習法草案</w:t>
            </w:r>
          </w:p>
          <w:p w:rsidR="001A495B" w:rsidRPr="001A495B" w:rsidRDefault="001A495B" w:rsidP="001A495B">
            <w:pPr>
              <w:pStyle w:val="0-"/>
            </w:pPr>
            <w:r w:rsidRPr="001A495B">
              <w:rPr>
                <w:rFonts w:hint="eastAsia"/>
              </w:rPr>
              <w:t>(委員鍾佳濱等21人)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10-4-8</w:t>
            </w:r>
          </w:p>
          <w:p w:rsidR="001A495B" w:rsidRPr="001A495B" w:rsidRDefault="001A495B" w:rsidP="00F70E7C">
            <w:pPr>
              <w:pStyle w:val="0-"/>
            </w:pPr>
            <w:r w:rsidRPr="001A495B">
              <w:t>(110.11.5)</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有鑑於我國有良好之華語學習環境與人力資源，及因新南向政策之推動，東南亞國家與我國技職校院交流密切。(22條)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運動產業發展條例增訂第二十六條之二條文草案</w:t>
            </w:r>
          </w:p>
          <w:p w:rsidR="001A495B" w:rsidRPr="001A495B" w:rsidRDefault="001A495B" w:rsidP="001A495B">
            <w:pPr>
              <w:pStyle w:val="0-"/>
            </w:pPr>
            <w:r w:rsidRPr="001A495B">
              <w:rPr>
                <w:rFonts w:hint="eastAsia"/>
              </w:rPr>
              <w:t>(委員何欣純等16人)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10-4-13</w:t>
            </w:r>
          </w:p>
          <w:p w:rsidR="001A495B" w:rsidRPr="001A495B" w:rsidRDefault="001A495B" w:rsidP="00F70E7C">
            <w:pPr>
              <w:pStyle w:val="0-"/>
            </w:pPr>
            <w:r w:rsidRPr="001A495B">
              <w:t>(110.12.10)</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提升民間企業挹注資源投入體育投資、強化職業或業餘運動業發展。(1條)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運動產業發展條例增訂第二十六條之二條文草案</w:t>
            </w:r>
          </w:p>
          <w:p w:rsidR="001A495B" w:rsidRPr="001A495B" w:rsidRDefault="001A495B" w:rsidP="001A495B">
            <w:pPr>
              <w:pStyle w:val="0-"/>
            </w:pPr>
            <w:r w:rsidRPr="001A495B">
              <w:rPr>
                <w:rFonts w:hint="eastAsia"/>
              </w:rPr>
              <w:t>(委員莊瑞雄等18人)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10-4-14</w:t>
            </w:r>
          </w:p>
          <w:p w:rsidR="001A495B" w:rsidRPr="001A495B" w:rsidRDefault="001A495B" w:rsidP="00F70E7C">
            <w:pPr>
              <w:pStyle w:val="0-"/>
            </w:pPr>
            <w:r w:rsidRPr="001A495B">
              <w:t>(110.12.17)</w:t>
            </w:r>
          </w:p>
          <w:p w:rsidR="001A495B" w:rsidRPr="001A495B" w:rsidRDefault="001A495B" w:rsidP="00F70E7C">
            <w:pPr>
              <w:pStyle w:val="0-"/>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為提升民間投資運動產業之誘因，擴大民間投資運動產業。(1條)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運動產業發展條例第二十條條文修正草案</w:t>
            </w:r>
          </w:p>
          <w:p w:rsidR="001A495B" w:rsidRPr="001A495B" w:rsidRDefault="001A495B" w:rsidP="001A495B">
            <w:pPr>
              <w:pStyle w:val="0-"/>
            </w:pPr>
            <w:r w:rsidRPr="001A495B">
              <w:rPr>
                <w:rFonts w:hint="eastAsia"/>
              </w:rPr>
              <w:t>(委員黃國書等18人)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10-4-14</w:t>
            </w:r>
          </w:p>
          <w:p w:rsidR="001A495B" w:rsidRPr="001A495B" w:rsidRDefault="001A495B" w:rsidP="00F70E7C">
            <w:pPr>
              <w:pStyle w:val="0-"/>
            </w:pPr>
            <w:r w:rsidRPr="001A495B">
              <w:t>(110.12.17)</w:t>
            </w:r>
          </w:p>
          <w:p w:rsidR="001A495B" w:rsidRPr="001A495B" w:rsidRDefault="001A495B" w:rsidP="00F70E7C">
            <w:pPr>
              <w:pStyle w:val="0-"/>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明定具公務員身分、曾任國家代表隊之優秀運動員得經其任職機構同意後接受商業代言。(1條)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運動產業發展條例第二十條條文修正草案</w:t>
            </w:r>
          </w:p>
          <w:p w:rsidR="001A495B" w:rsidRPr="001A495B" w:rsidRDefault="001A495B" w:rsidP="001A495B">
            <w:pPr>
              <w:pStyle w:val="0-"/>
            </w:pPr>
            <w:r w:rsidRPr="001A495B">
              <w:rPr>
                <w:rFonts w:hint="eastAsia"/>
              </w:rPr>
              <w:t>(委員陳秀寳等</w:t>
            </w:r>
            <w:r w:rsidRPr="001A495B">
              <w:t>18</w:t>
            </w:r>
            <w:r w:rsidRPr="001A495B">
              <w:rPr>
                <w:rFonts w:hint="eastAsia"/>
              </w:rPr>
              <w:t>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10-5-13</w:t>
            </w:r>
          </w:p>
          <w:p w:rsidR="001A495B" w:rsidRPr="001A495B" w:rsidRDefault="001A495B" w:rsidP="00F70E7C">
            <w:pPr>
              <w:pStyle w:val="0-"/>
            </w:pPr>
            <w:r w:rsidRPr="001A495B">
              <w:t>(111.5.20)</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使曾任國家代表隊之運動選手得以經任職機關（構）同意後，接受商業代言。(1條)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終身學習法第十九條條文修正草案</w:t>
            </w:r>
          </w:p>
          <w:p w:rsidR="001A495B" w:rsidRPr="001A495B" w:rsidRDefault="001A495B" w:rsidP="001A495B">
            <w:pPr>
              <w:pStyle w:val="0-"/>
            </w:pPr>
            <w:r w:rsidRPr="001A495B">
              <w:rPr>
                <w:rFonts w:hint="eastAsia"/>
              </w:rPr>
              <w:t>(委員陳玉珍等20人)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10-4-14</w:t>
            </w:r>
          </w:p>
          <w:p w:rsidR="001A495B" w:rsidRPr="001A495B" w:rsidRDefault="001A495B" w:rsidP="00F70E7C">
            <w:pPr>
              <w:pStyle w:val="0-"/>
            </w:pPr>
            <w:r w:rsidRPr="001A495B">
              <w:t>(110.12.17)</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鼓勵長者活到老、學到老的終身學習精神，在快樂的學習中歡樂生活，同時達到長者身心靈健康的目的。(1條)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性別平等教育法第三十條條文修正草案</w:t>
            </w:r>
          </w:p>
          <w:p w:rsidR="001A495B" w:rsidRPr="001A495B" w:rsidRDefault="001A495B" w:rsidP="001A495B">
            <w:pPr>
              <w:pStyle w:val="0-"/>
            </w:pPr>
            <w:r w:rsidRPr="001A495B">
              <w:rPr>
                <w:rFonts w:hint="eastAsia"/>
              </w:rPr>
              <w:t>(委員范雲等17人)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10-4-1</w:t>
            </w:r>
            <w:r w:rsidRPr="001A495B">
              <w:rPr>
                <w:rFonts w:hint="eastAsia"/>
              </w:rPr>
              <w:t>5</w:t>
            </w:r>
          </w:p>
          <w:p w:rsidR="001A495B" w:rsidRPr="001A495B" w:rsidRDefault="001A495B" w:rsidP="00F70E7C">
            <w:pPr>
              <w:pStyle w:val="0-"/>
            </w:pPr>
            <w:r w:rsidRPr="001A495B">
              <w:t>(110.12.</w:t>
            </w:r>
            <w:r w:rsidRPr="001A495B">
              <w:rPr>
                <w:rFonts w:hint="eastAsia"/>
              </w:rPr>
              <w:t>24</w:t>
            </w:r>
            <w:r w:rsidRPr="001A495B">
              <w:t>)</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增列送交中央主管機關性別平等教育委員會重新審查等程序，使本法程序更為完善，避免衍生爭議。(1條)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性別平等教育法第二條及第三條條文修正草案</w:t>
            </w:r>
          </w:p>
          <w:p w:rsidR="001A495B" w:rsidRPr="001A495B" w:rsidRDefault="001A495B" w:rsidP="001A495B">
            <w:pPr>
              <w:pStyle w:val="0-"/>
            </w:pPr>
            <w:r w:rsidRPr="001A495B">
              <w:rPr>
                <w:rFonts w:hint="eastAsia"/>
              </w:rPr>
              <w:t>(委員游毓蘭等20人)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10-6-3</w:t>
            </w:r>
          </w:p>
          <w:p w:rsidR="001A495B" w:rsidRPr="001A495B" w:rsidRDefault="001A495B" w:rsidP="00F70E7C">
            <w:pPr>
              <w:pStyle w:val="0-"/>
            </w:pPr>
            <w:r w:rsidRPr="001A495B">
              <w:t>(111.10.7)</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鑑於性別平等教育法僅規範教育部主管之公私立各級學校，並未包括軍警校院，有違本法之立法目的。(</w:t>
            </w:r>
            <w:r w:rsidRPr="001A495B">
              <w:t>2</w:t>
            </w:r>
            <w:r w:rsidRPr="001A495B">
              <w:rPr>
                <w:rFonts w:hint="eastAsia"/>
              </w:rPr>
              <w:t>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性別平等教育法第二條條文修正草案</w:t>
            </w:r>
          </w:p>
          <w:p w:rsidR="001A495B" w:rsidRPr="001A495B" w:rsidRDefault="001A495B" w:rsidP="001A495B">
            <w:pPr>
              <w:pStyle w:val="0-"/>
            </w:pPr>
            <w:r w:rsidRPr="001A495B">
              <w:rPr>
                <w:rFonts w:hint="eastAsia"/>
              </w:rPr>
              <w:t>(委員趙天麟等20人)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10-6-1</w:t>
            </w:r>
            <w:r w:rsidRPr="001A495B">
              <w:rPr>
                <w:rFonts w:hint="eastAsia"/>
              </w:rPr>
              <w:t>3</w:t>
            </w:r>
          </w:p>
          <w:p w:rsidR="001A495B" w:rsidRPr="001A495B" w:rsidRDefault="001A495B" w:rsidP="00F70E7C">
            <w:pPr>
              <w:pStyle w:val="0-"/>
            </w:pPr>
            <w:r w:rsidRPr="001A495B">
              <w:t>(111.12.</w:t>
            </w:r>
            <w:r w:rsidRPr="001A495B">
              <w:rPr>
                <w:rFonts w:hint="eastAsia"/>
              </w:rPr>
              <w:t>23</w:t>
            </w:r>
            <w:r w:rsidRPr="001A495B">
              <w:t>)</w:t>
            </w:r>
          </w:p>
          <w:p w:rsidR="001A495B" w:rsidRPr="001A495B" w:rsidRDefault="001A495B" w:rsidP="00F70E7C">
            <w:pPr>
              <w:pStyle w:val="0-"/>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不論在教育部主管之學校或內政部、國防部，為完備學生在校之保障，並落實性別平等教育法之精神。(1條)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國家重點領域產學合作及人才培育創新條例第四條條文修正草案</w:t>
            </w:r>
          </w:p>
          <w:p w:rsidR="001A495B" w:rsidRPr="001A495B" w:rsidRDefault="001A495B" w:rsidP="001A495B">
            <w:pPr>
              <w:pStyle w:val="0-"/>
            </w:pPr>
            <w:r w:rsidRPr="001A495B">
              <w:rPr>
                <w:rFonts w:hint="eastAsia"/>
              </w:rPr>
              <w:t>(委員林奕華等17人)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10-5-5</w:t>
            </w:r>
          </w:p>
          <w:p w:rsidR="001A495B" w:rsidRPr="001A495B" w:rsidRDefault="001A495B" w:rsidP="00F70E7C">
            <w:pPr>
              <w:pStyle w:val="0-"/>
            </w:pPr>
            <w:r w:rsidRPr="001A495B">
              <w:t>(111.3.25)</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科技部將改組為跨部會之國家科學及技術委員會，促使科學發展相關事務推動及整合。(1條)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國家重點領域產學合作及人才培育創新條例第四條條文修正草</w:t>
            </w:r>
            <w:r w:rsidRPr="001A495B">
              <w:rPr>
                <w:rFonts w:hint="eastAsia"/>
              </w:rPr>
              <w:lastRenderedPageBreak/>
              <w:t>案</w:t>
            </w:r>
          </w:p>
          <w:p w:rsidR="001A495B" w:rsidRPr="001A495B" w:rsidRDefault="001A495B" w:rsidP="001A495B">
            <w:pPr>
              <w:pStyle w:val="0-"/>
            </w:pPr>
            <w:r w:rsidRPr="001A495B">
              <w:rPr>
                <w:rFonts w:hint="eastAsia"/>
              </w:rPr>
              <w:t>(民眾黨黨團</w:t>
            </w:r>
            <w:r w:rsidRPr="001A495B">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lastRenderedPageBreak/>
              <w:t>10-5-6</w:t>
            </w:r>
          </w:p>
          <w:p w:rsidR="001A495B" w:rsidRPr="001A495B" w:rsidRDefault="001A495B" w:rsidP="00F70E7C">
            <w:pPr>
              <w:pStyle w:val="0-"/>
              <w:rPr>
                <w:rFonts w:ascii="Calibri" w:hAnsi="Calibri"/>
                <w:sz w:val="20"/>
              </w:rPr>
            </w:pPr>
            <w:r w:rsidRPr="001A495B">
              <w:t>(111.4.1)</w:t>
            </w:r>
          </w:p>
          <w:p w:rsidR="001A495B" w:rsidRPr="001A495B" w:rsidRDefault="001A495B" w:rsidP="00F70E7C">
            <w:pPr>
              <w:pStyle w:val="0-"/>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為使涉及原科技部之相關現行法名稱一</w:t>
            </w:r>
            <w:r w:rsidRPr="001A495B">
              <w:rPr>
                <w:rFonts w:hint="eastAsia"/>
              </w:rPr>
              <w:lastRenderedPageBreak/>
              <w:t>致。(1條)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國家重點領域產學合作及人才培育創新條例第四條條文修正草案</w:t>
            </w:r>
          </w:p>
          <w:p w:rsidR="001A495B" w:rsidRPr="001A495B" w:rsidRDefault="001A495B" w:rsidP="001A495B">
            <w:pPr>
              <w:pStyle w:val="0-"/>
            </w:pPr>
            <w:r w:rsidRPr="001A495B">
              <w:rPr>
                <w:rFonts w:hint="eastAsia"/>
              </w:rPr>
              <w:t>(委員萬美玲等19人</w:t>
            </w:r>
            <w:r w:rsidRPr="001A495B">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10-5-6</w:t>
            </w:r>
          </w:p>
          <w:p w:rsidR="001A495B" w:rsidRPr="001A495B" w:rsidRDefault="001A495B" w:rsidP="00F70E7C">
            <w:pPr>
              <w:pStyle w:val="0-"/>
            </w:pPr>
            <w:r w:rsidRPr="001A495B">
              <w:t>(111.4.1)</w:t>
            </w:r>
          </w:p>
          <w:p w:rsidR="001A495B" w:rsidRPr="001A495B" w:rsidRDefault="001A495B" w:rsidP="00F70E7C">
            <w:pPr>
              <w:pStyle w:val="0-"/>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現行「國家重點領域產學合作及人才培育創新條例」第四條第二項之「科技部」尚未修正，為使法律完備。(1條)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國家重點領域產學合作及人才培育創新條例第四條條文修正草案</w:t>
            </w:r>
          </w:p>
          <w:p w:rsidR="001A495B" w:rsidRPr="001A495B" w:rsidRDefault="001A495B" w:rsidP="001A495B">
            <w:pPr>
              <w:pStyle w:val="0-"/>
            </w:pPr>
            <w:r w:rsidRPr="001A495B">
              <w:rPr>
                <w:rFonts w:hint="eastAsia"/>
              </w:rPr>
              <w:t>(委員謝衣鳯等</w:t>
            </w:r>
            <w:r w:rsidRPr="001A495B">
              <w:t>21</w:t>
            </w:r>
            <w:r w:rsidRPr="001A495B">
              <w:rPr>
                <w:rFonts w:hint="eastAsia"/>
              </w:rPr>
              <w:t>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10-5-1</w:t>
            </w:r>
            <w:r w:rsidRPr="001A495B">
              <w:rPr>
                <w:rFonts w:hint="eastAsia"/>
              </w:rPr>
              <w:t>4</w:t>
            </w:r>
          </w:p>
          <w:p w:rsidR="001A495B" w:rsidRPr="001A495B" w:rsidRDefault="001A495B" w:rsidP="00F70E7C">
            <w:pPr>
              <w:pStyle w:val="0-"/>
            </w:pPr>
            <w:r w:rsidRPr="001A495B">
              <w:t>(111.5.</w:t>
            </w:r>
            <w:r w:rsidRPr="001A495B">
              <w:rPr>
                <w:rFonts w:hint="eastAsia"/>
              </w:rPr>
              <w:t>27</w:t>
            </w:r>
            <w:r w:rsidRPr="001A495B">
              <w:t>)</w:t>
            </w:r>
          </w:p>
          <w:p w:rsidR="001A495B" w:rsidRPr="001A495B" w:rsidRDefault="001A495B" w:rsidP="00F70E7C">
            <w:pPr>
              <w:pStyle w:val="0-"/>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282A1E">
            <w:pPr>
              <w:pStyle w:val="0-"/>
            </w:pPr>
            <w:r w:rsidRPr="001A495B">
              <w:rPr>
                <w:rFonts w:hint="eastAsia"/>
              </w:rPr>
              <w:t>將第二項之科技部代表更改為國家科學及技術委員會代表。(4條)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國家重點領域產學合作及人才培育創新條例第四條條文修正草案</w:t>
            </w:r>
          </w:p>
          <w:p w:rsidR="001A495B" w:rsidRPr="001A495B" w:rsidRDefault="001A495B" w:rsidP="001A495B">
            <w:pPr>
              <w:pStyle w:val="0-"/>
            </w:pPr>
            <w:r w:rsidRPr="001A495B">
              <w:rPr>
                <w:rFonts w:hint="eastAsia"/>
              </w:rPr>
              <w:t>(委員陳明文等20人)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10-6-3</w:t>
            </w:r>
          </w:p>
          <w:p w:rsidR="001A495B" w:rsidRPr="001A495B" w:rsidRDefault="001A495B" w:rsidP="00F70E7C">
            <w:pPr>
              <w:pStyle w:val="0-"/>
            </w:pPr>
            <w:r w:rsidRPr="001A495B">
              <w:t>(111.10.7)</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國家重點領域產學合作及人才培育創新審議會仍將科技部部長列為審議會的委員，顯不符現況。(1條)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國家重點領域產學合作及人才培育創新條例第四條條文修正草案</w:t>
            </w:r>
          </w:p>
          <w:p w:rsidR="001A495B" w:rsidRPr="001A495B" w:rsidRDefault="001A495B" w:rsidP="001A495B">
            <w:pPr>
              <w:pStyle w:val="0-"/>
            </w:pPr>
            <w:r w:rsidRPr="001A495B">
              <w:rPr>
                <w:rFonts w:hint="eastAsia"/>
              </w:rPr>
              <w:t>(委員陳秀寳等</w:t>
            </w:r>
            <w:r w:rsidRPr="001A495B">
              <w:t>21</w:t>
            </w:r>
            <w:r w:rsidRPr="001A495B">
              <w:rPr>
                <w:rFonts w:hint="eastAsia"/>
              </w:rPr>
              <w:t>人</w:t>
            </w:r>
            <w:r w:rsidRPr="001A495B">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10-6-4</w:t>
            </w:r>
          </w:p>
          <w:p w:rsidR="001A495B" w:rsidRPr="001A495B" w:rsidRDefault="001A495B" w:rsidP="00F70E7C">
            <w:pPr>
              <w:pStyle w:val="0-"/>
            </w:pPr>
            <w:r w:rsidRPr="001A495B">
              <w:t>(111.10.14)</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為促進國家重點領域產學合作及人才培育之創新，培育高階科學技術人才。(1條)</w:t>
            </w:r>
          </w:p>
        </w:tc>
      </w:tr>
      <w:tr w:rsidR="001A495B" w:rsidRPr="001A495B" w:rsidTr="00282A1E">
        <w:trPr>
          <w:trHeight w:val="416"/>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國家重點領域產學合作及人才培育創新條例第四條條文修正草案</w:t>
            </w:r>
          </w:p>
          <w:p w:rsidR="001A495B" w:rsidRPr="001A495B" w:rsidRDefault="001A495B" w:rsidP="001A495B">
            <w:pPr>
              <w:pStyle w:val="0-"/>
            </w:pPr>
            <w:r w:rsidRPr="001A495B">
              <w:rPr>
                <w:rFonts w:hint="eastAsia"/>
              </w:rPr>
              <w:t>(時代力量黨團)</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10-6-5</w:t>
            </w:r>
          </w:p>
          <w:p w:rsidR="001A495B" w:rsidRPr="001A495B" w:rsidRDefault="001A495B" w:rsidP="00F70E7C">
            <w:pPr>
              <w:pStyle w:val="0-"/>
            </w:pPr>
            <w:r w:rsidRPr="001A495B">
              <w:t>(111.10.28)</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282A1E" w:rsidRDefault="001A495B" w:rsidP="00F70E7C">
            <w:pPr>
              <w:pStyle w:val="0-"/>
            </w:pPr>
            <w:r w:rsidRPr="00282A1E">
              <w:rPr>
                <w:rFonts w:hint="eastAsia"/>
              </w:rPr>
              <w:t>科技部已正式更名為國家科學及技術委員會，為明確業務權責。(1</w:t>
            </w:r>
            <w:r w:rsidRPr="00282A1E">
              <w:rPr>
                <w:rFonts w:hint="eastAsia"/>
              </w:rPr>
              <w:lastRenderedPageBreak/>
              <w:t>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國家重點領域產學合作及人才培育創新條例第四條條文修正草案</w:t>
            </w:r>
          </w:p>
          <w:p w:rsidR="001A495B" w:rsidRPr="001A495B" w:rsidRDefault="001A495B" w:rsidP="001A495B">
            <w:pPr>
              <w:pStyle w:val="0-"/>
            </w:pPr>
            <w:r w:rsidRPr="001A495B">
              <w:rPr>
                <w:rFonts w:hint="eastAsia"/>
              </w:rPr>
              <w:t>(委員林宜瑾等19人)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10-6-9</w:t>
            </w:r>
          </w:p>
          <w:p w:rsidR="001A495B" w:rsidRPr="001A495B" w:rsidRDefault="001A495B" w:rsidP="00F70E7C">
            <w:pPr>
              <w:pStyle w:val="0-"/>
            </w:pPr>
            <w:r w:rsidRPr="001A495B">
              <w:rPr>
                <w:rFonts w:hint="eastAsia"/>
              </w:rPr>
              <w:t>(111.11.25)</w:t>
            </w:r>
          </w:p>
          <w:p w:rsidR="001A495B" w:rsidRPr="001A495B" w:rsidRDefault="001A495B" w:rsidP="00F70E7C">
            <w:pPr>
              <w:pStyle w:val="0-"/>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282A1E">
            <w:pPr>
              <w:pStyle w:val="0-"/>
            </w:pPr>
            <w:r w:rsidRPr="001A495B">
              <w:rPr>
                <w:rFonts w:hint="eastAsia"/>
              </w:rPr>
              <w:t>有關國家重點領域產學合作及人才培育創新審議會委員代表之規定尚未有配合相應之調整</w:t>
            </w:r>
            <w:r w:rsidR="00282A1E" w:rsidRPr="001A495B">
              <w:rPr>
                <w:rFonts w:hint="eastAsia"/>
              </w:rPr>
              <w:t>。</w:t>
            </w:r>
            <w:r w:rsidRPr="001A495B">
              <w:rPr>
                <w:rFonts w:hint="eastAsia"/>
              </w:rPr>
              <w:t>(1條)</w:t>
            </w:r>
            <w:r w:rsidR="00282A1E" w:rsidRPr="001A495B">
              <w:t xml:space="preserve"> </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國家重點領域產學合作及人才培育創新條例第四條條文修正草案</w:t>
            </w:r>
          </w:p>
          <w:p w:rsidR="001A495B" w:rsidRPr="001A495B" w:rsidRDefault="001A495B" w:rsidP="001A495B">
            <w:pPr>
              <w:pStyle w:val="0-"/>
            </w:pPr>
            <w:r w:rsidRPr="001A495B">
              <w:rPr>
                <w:rFonts w:hint="eastAsia"/>
              </w:rPr>
              <w:t>(委員賴品妤等22人</w:t>
            </w:r>
            <w:r w:rsidRPr="001A495B">
              <w:t>)</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10-6-12</w:t>
            </w:r>
          </w:p>
          <w:p w:rsidR="001A495B" w:rsidRPr="001A495B" w:rsidRDefault="001A495B" w:rsidP="00F70E7C">
            <w:pPr>
              <w:pStyle w:val="0-"/>
            </w:pPr>
            <w:r w:rsidRPr="001A495B">
              <w:t>(111.12.16)</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282A1E">
            <w:pPr>
              <w:pStyle w:val="0-"/>
            </w:pPr>
            <w:r w:rsidRPr="001A495B">
              <w:rPr>
                <w:rFonts w:hint="eastAsia"/>
              </w:rPr>
              <w:t>為配合政府現狀應將相關法規作相應調整，並使法制體例相符</w:t>
            </w:r>
            <w:r w:rsidR="00282A1E" w:rsidRPr="001A495B">
              <w:rPr>
                <w:rFonts w:hint="eastAsia"/>
              </w:rPr>
              <w:t>。</w:t>
            </w:r>
            <w:r w:rsidRPr="001A495B">
              <w:rPr>
                <w:rFonts w:hint="eastAsia"/>
              </w:rPr>
              <w:t>(1條)</w:t>
            </w:r>
            <w:r w:rsidR="00282A1E" w:rsidRPr="001A495B">
              <w:t xml:space="preserve"> </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空中大學設置條例第十六條條文修正草案</w:t>
            </w:r>
          </w:p>
          <w:p w:rsidR="001A495B" w:rsidRPr="001A495B" w:rsidRDefault="001A495B" w:rsidP="001A495B">
            <w:pPr>
              <w:pStyle w:val="0-"/>
            </w:pPr>
            <w:r w:rsidRPr="001A495B">
              <w:rPr>
                <w:rFonts w:hint="eastAsia"/>
              </w:rPr>
              <w:t>(委員萬美玲等16人)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10-5-9</w:t>
            </w:r>
          </w:p>
          <w:p w:rsidR="001A495B" w:rsidRPr="001A495B" w:rsidRDefault="001A495B" w:rsidP="00F70E7C">
            <w:pPr>
              <w:pStyle w:val="0-"/>
            </w:pPr>
            <w:r w:rsidRPr="001A495B">
              <w:t>(111.4.22)</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747612">
            <w:pPr>
              <w:pStyle w:val="0-"/>
              <w:rPr>
                <w:rFonts w:eastAsia="華康楷書體W5"/>
              </w:rPr>
            </w:pPr>
            <w:r w:rsidRPr="00747612">
              <w:rPr>
                <w:rFonts w:hint="eastAsia"/>
              </w:rPr>
              <w:t>司法及法制</w:t>
            </w: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為保障海外僑胞之終身學習權益，增訂空中大學得招收僑居國外國民為境外之全修生或選修生。(1條)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教保服務人員條例增訂第十二條之一條文草案</w:t>
            </w:r>
          </w:p>
          <w:p w:rsidR="001A495B" w:rsidRPr="001A495B" w:rsidRDefault="001A495B" w:rsidP="001A495B">
            <w:pPr>
              <w:pStyle w:val="0-"/>
            </w:pPr>
            <w:r w:rsidRPr="001A495B">
              <w:rPr>
                <w:rFonts w:hint="eastAsia"/>
              </w:rPr>
              <w:t>(委員林思銘等16人)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10-6-3</w:t>
            </w:r>
          </w:p>
          <w:p w:rsidR="001A495B" w:rsidRPr="001A495B" w:rsidRDefault="001A495B" w:rsidP="00F70E7C">
            <w:pPr>
              <w:pStyle w:val="0-"/>
            </w:pPr>
            <w:r w:rsidRPr="001A495B">
              <w:t>(111.10.7)</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教保服務人員涉及刑事責任，需司法機關協助將涉案人員罪責類型、程度及結果介接該平台系統，以利地方教育主管機關及學校辦理人員聘用前，得以查詢有無</w:t>
            </w:r>
            <w:r w:rsidRPr="001A495B">
              <w:rPr>
                <w:rFonts w:hint="eastAsia"/>
              </w:rPr>
              <w:lastRenderedPageBreak/>
              <w:t>違反不得聘任之情形。(1條)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教師法第四十七條條文修正草案</w:t>
            </w:r>
          </w:p>
          <w:p w:rsidR="001A495B" w:rsidRPr="001A495B" w:rsidRDefault="001A495B" w:rsidP="001A495B">
            <w:pPr>
              <w:pStyle w:val="0-"/>
              <w:rPr>
                <w:color w:val="000000" w:themeColor="text1"/>
              </w:rPr>
            </w:pPr>
            <w:r w:rsidRPr="001A495B">
              <w:rPr>
                <w:rFonts w:hint="eastAsia"/>
                <w:color w:val="000000" w:themeColor="text1"/>
              </w:rPr>
              <w:t>(時代力量黨團)</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10-6-8</w:t>
            </w:r>
          </w:p>
          <w:p w:rsidR="001A495B" w:rsidRPr="001A495B" w:rsidRDefault="001A495B" w:rsidP="00F70E7C">
            <w:pPr>
              <w:pStyle w:val="0-"/>
              <w:rPr>
                <w:color w:val="000000" w:themeColor="text1"/>
              </w:rPr>
            </w:pPr>
            <w:r w:rsidRPr="001A495B">
              <w:rPr>
                <w:color w:val="000000" w:themeColor="text1"/>
              </w:rPr>
              <w:t>(111.11.18)</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明定私立專科以上學校兼任教師鐘點費雖得由學校依視財務狀況定之，但應保障不得低於公立專科以上學校兼任教師鐘點費支給基準。(1條)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pPr>
            <w:r w:rsidRPr="001A495B">
              <w:rPr>
                <w:rFonts w:hint="eastAsia"/>
              </w:rPr>
              <w:t>教師法第四十七條條文</w:t>
            </w:r>
            <w:r w:rsidRPr="001A495B">
              <w:rPr>
                <w:rFonts w:hint="eastAsia"/>
                <w:color w:val="000000" w:themeColor="text1"/>
              </w:rPr>
              <w:t>修正草案</w:t>
            </w:r>
          </w:p>
          <w:p w:rsidR="001A495B" w:rsidRPr="001A495B" w:rsidRDefault="001A495B" w:rsidP="001A495B">
            <w:pPr>
              <w:pStyle w:val="0-"/>
            </w:pPr>
            <w:r w:rsidRPr="001A495B">
              <w:rPr>
                <w:rFonts w:hint="eastAsia"/>
              </w:rPr>
              <w:t>(委員陳瑩等16人)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t>10-6-12</w:t>
            </w:r>
          </w:p>
          <w:p w:rsidR="001A495B" w:rsidRPr="001A495B" w:rsidRDefault="001A495B" w:rsidP="00F70E7C">
            <w:pPr>
              <w:pStyle w:val="0-"/>
            </w:pPr>
            <w:r w:rsidRPr="001A495B">
              <w:t>(111.12.16)</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rPr>
                <w:rFonts w:ascii="標楷體" w:eastAsia="標楷體" w:hAnsi="標楷體"/>
                <w:color w:val="000000"/>
                <w:sz w:val="28"/>
                <w:szCs w:val="28"/>
              </w:rPr>
            </w:pPr>
            <w:r w:rsidRPr="001A495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pPr>
            <w:r w:rsidRPr="001A495B">
              <w:rPr>
                <w:rFonts w:hint="eastAsia"/>
              </w:rPr>
              <w:t>為維護學生受教權，應健全代理教師待遇，以達留人留才穩定師資。(1條)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教師法第十四條及第十五條條文修正草案</w:t>
            </w:r>
          </w:p>
          <w:p w:rsidR="001A495B" w:rsidRPr="001A495B" w:rsidRDefault="001A495B" w:rsidP="001A495B">
            <w:pPr>
              <w:pStyle w:val="0-"/>
              <w:rPr>
                <w:color w:val="000000" w:themeColor="text1"/>
              </w:rPr>
            </w:pPr>
            <w:r w:rsidRPr="001A495B">
              <w:rPr>
                <w:rFonts w:hint="eastAsia"/>
                <w:color w:val="000000" w:themeColor="text1"/>
              </w:rPr>
              <w:t>(時代力量黨團)</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10-6-1</w:t>
            </w:r>
            <w:r w:rsidRPr="001A495B">
              <w:rPr>
                <w:rFonts w:hint="eastAsia"/>
                <w:color w:val="000000" w:themeColor="text1"/>
              </w:rPr>
              <w:t>3</w:t>
            </w:r>
          </w:p>
          <w:p w:rsidR="001A495B" w:rsidRPr="001A495B" w:rsidRDefault="001A495B" w:rsidP="00F70E7C">
            <w:pPr>
              <w:pStyle w:val="0-"/>
              <w:rPr>
                <w:color w:val="000000" w:themeColor="text1"/>
              </w:rPr>
            </w:pPr>
            <w:r w:rsidRPr="001A495B">
              <w:rPr>
                <w:color w:val="000000" w:themeColor="text1"/>
              </w:rPr>
              <w:t>(111.12.</w:t>
            </w:r>
            <w:r w:rsidRPr="001A495B">
              <w:rPr>
                <w:rFonts w:hint="eastAsia"/>
                <w:color w:val="000000" w:themeColor="text1"/>
              </w:rPr>
              <w:t>23</w:t>
            </w:r>
            <w:r w:rsidRPr="001A495B">
              <w:rPr>
                <w:color w:val="000000" w:themeColor="text1"/>
              </w:rPr>
              <w:t>)</w:t>
            </w:r>
          </w:p>
          <w:p w:rsidR="001A495B" w:rsidRPr="001A495B" w:rsidRDefault="001A495B" w:rsidP="00F70E7C">
            <w:pPr>
              <w:pStyle w:val="0-"/>
              <w:rPr>
                <w:color w:val="000000" w:themeColor="text1"/>
              </w:rPr>
            </w:pP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有鑑於現行教師法未規範教師以體罰、霸凌以外之其他違法方式處罰學生，造成學生身心侵害，已達解聘之程度時，解聘及禁止為教師期限之相關規定，似有疏漏。(2條)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大學法第二十五條條文修正草案</w:t>
            </w:r>
          </w:p>
          <w:p w:rsidR="001A495B" w:rsidRPr="001A495B" w:rsidRDefault="001A495B" w:rsidP="001A495B">
            <w:pPr>
              <w:pStyle w:val="0-"/>
              <w:rPr>
                <w:color w:val="000000" w:themeColor="text1"/>
              </w:rPr>
            </w:pPr>
            <w:r w:rsidRPr="001A495B">
              <w:rPr>
                <w:rFonts w:hint="eastAsia"/>
                <w:color w:val="000000" w:themeColor="text1"/>
              </w:rPr>
              <w:lastRenderedPageBreak/>
              <w:t>(委員羅美玲等16人)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lastRenderedPageBreak/>
              <w:t>10-6-9</w:t>
            </w:r>
          </w:p>
          <w:p w:rsidR="001A495B" w:rsidRPr="001A495B" w:rsidRDefault="001A495B" w:rsidP="00F70E7C">
            <w:pPr>
              <w:pStyle w:val="0-"/>
              <w:rPr>
                <w:color w:val="000000" w:themeColor="text1"/>
              </w:rPr>
            </w:pPr>
            <w:r w:rsidRPr="001A495B">
              <w:rPr>
                <w:color w:val="000000" w:themeColor="text1"/>
              </w:rPr>
              <w:t>(111.11.25)</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為促進歸化人士進入大學就</w:t>
            </w:r>
            <w:r w:rsidRPr="001A495B">
              <w:rPr>
                <w:rFonts w:hint="eastAsia"/>
                <w:color w:val="000000" w:themeColor="text1"/>
              </w:rPr>
              <w:lastRenderedPageBreak/>
              <w:t>讀，提案修正「大學法」第二十五條條文。(1條)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運動防護師法草案</w:t>
            </w:r>
          </w:p>
          <w:p w:rsidR="001A495B" w:rsidRPr="001A495B" w:rsidRDefault="001A495B" w:rsidP="001A495B">
            <w:pPr>
              <w:pStyle w:val="0-"/>
              <w:rPr>
                <w:color w:val="000000" w:themeColor="text1"/>
              </w:rPr>
            </w:pPr>
            <w:r w:rsidRPr="001A495B">
              <w:rPr>
                <w:rFonts w:hint="eastAsia"/>
                <w:color w:val="000000" w:themeColor="text1"/>
              </w:rPr>
              <w:t>(委員陳瑩等17人)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10-6-12</w:t>
            </w:r>
          </w:p>
          <w:p w:rsidR="001A495B" w:rsidRPr="001A495B" w:rsidRDefault="001A495B" w:rsidP="00F70E7C">
            <w:pPr>
              <w:pStyle w:val="0-"/>
              <w:rPr>
                <w:color w:val="000000" w:themeColor="text1"/>
              </w:rPr>
            </w:pPr>
            <w:r w:rsidRPr="001A495B">
              <w:rPr>
                <w:color w:val="000000" w:themeColor="text1"/>
              </w:rPr>
              <w:t>(111.12.16)</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為建立國家運動防護專業體系，明確定義運動防護師之權利義務，提升運動防護專業與發展。(</w:t>
            </w:r>
            <w:r w:rsidRPr="001A495B">
              <w:rPr>
                <w:color w:val="000000" w:themeColor="text1"/>
              </w:rPr>
              <w:t>39</w:t>
            </w:r>
            <w:r w:rsidRPr="001A495B">
              <w:rPr>
                <w:rFonts w:hint="eastAsia"/>
                <w:color w:val="000000" w:themeColor="text1"/>
              </w:rPr>
              <w:t>條)</w:t>
            </w:r>
          </w:p>
        </w:tc>
      </w:tr>
      <w:tr w:rsidR="001A495B" w:rsidRPr="001A495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1A495B" w:rsidRPr="001A495B" w:rsidRDefault="001A495B" w:rsidP="001A495B">
            <w:pPr>
              <w:numPr>
                <w:ilvl w:val="0"/>
                <w:numId w:val="5"/>
              </w:numPr>
              <w:tabs>
                <w:tab w:val="num" w:pos="360"/>
              </w:tabs>
              <w:spacing w:line="400" w:lineRule="exact"/>
              <w:rPr>
                <w:rFonts w:ascii="標楷體" w:eastAsia="標楷體" w:hAnsi="標楷體"/>
                <w:color w:val="000000"/>
                <w:sz w:val="28"/>
              </w:rPr>
            </w:pPr>
          </w:p>
        </w:tc>
        <w:tc>
          <w:tcPr>
            <w:tcW w:w="138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pStyle w:val="0-"/>
              <w:rPr>
                <w:color w:val="000000" w:themeColor="text1"/>
              </w:rPr>
            </w:pPr>
            <w:r w:rsidRPr="001A495B">
              <w:rPr>
                <w:rFonts w:hint="eastAsia"/>
                <w:color w:val="000000" w:themeColor="text1"/>
              </w:rPr>
              <w:t>強迫入學條例第九條條文修正草案</w:t>
            </w:r>
          </w:p>
          <w:p w:rsidR="001A495B" w:rsidRPr="001A495B" w:rsidRDefault="001A495B" w:rsidP="001A495B">
            <w:pPr>
              <w:pStyle w:val="0-"/>
              <w:rPr>
                <w:color w:val="000000" w:themeColor="text1"/>
              </w:rPr>
            </w:pPr>
            <w:r w:rsidRPr="001A495B">
              <w:rPr>
                <w:rFonts w:hint="eastAsia"/>
                <w:color w:val="000000" w:themeColor="text1"/>
              </w:rPr>
              <w:t>(委員羅明才等17人)</w:t>
            </w:r>
          </w:p>
        </w:tc>
        <w:tc>
          <w:tcPr>
            <w:tcW w:w="823"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color w:val="000000" w:themeColor="text1"/>
              </w:rPr>
              <w:t>10-6-13</w:t>
            </w:r>
          </w:p>
          <w:p w:rsidR="001A495B" w:rsidRPr="001A495B" w:rsidRDefault="001A495B" w:rsidP="00F70E7C">
            <w:pPr>
              <w:pStyle w:val="0-"/>
              <w:rPr>
                <w:color w:val="000000" w:themeColor="text1"/>
              </w:rPr>
            </w:pPr>
            <w:r w:rsidRPr="001A495B">
              <w:rPr>
                <w:color w:val="000000" w:themeColor="text1"/>
              </w:rPr>
              <w:t>(111.12.23)</w:t>
            </w:r>
          </w:p>
        </w:tc>
        <w:tc>
          <w:tcPr>
            <w:tcW w:w="506"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rsidR="001A495B" w:rsidRPr="001A495B" w:rsidRDefault="001A495B" w:rsidP="001A495B">
            <w:pPr>
              <w:spacing w:line="400" w:lineRule="exact"/>
              <w:rPr>
                <w:rFonts w:ascii="標楷體" w:eastAsia="標楷體" w:hAnsi="標楷體"/>
                <w:color w:val="000000" w:themeColor="text1"/>
                <w:sz w:val="28"/>
                <w:szCs w:val="28"/>
              </w:rPr>
            </w:pPr>
            <w:r w:rsidRPr="001A495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1A495B" w:rsidRPr="001A495B" w:rsidRDefault="001A495B" w:rsidP="00F70E7C">
            <w:pPr>
              <w:pStyle w:val="0-"/>
              <w:rPr>
                <w:color w:val="000000" w:themeColor="text1"/>
              </w:rPr>
            </w:pPr>
            <w:r w:rsidRPr="001A495B">
              <w:rPr>
                <w:rFonts w:hint="eastAsia"/>
                <w:color w:val="000000" w:themeColor="text1"/>
              </w:rPr>
              <w:t>惟現行若干行政法規仍存在以銀元為單位之條文，為求法規用語應具明確性與一致性。(1條)</w:t>
            </w:r>
          </w:p>
        </w:tc>
      </w:tr>
    </w:tbl>
    <w:p w:rsidR="00FB0608" w:rsidRPr="00920597" w:rsidRDefault="00502BBF" w:rsidP="00303C08">
      <w:pPr>
        <w:pStyle w:val="01-3"/>
        <w:spacing w:line="540" w:lineRule="exact"/>
        <w:rPr>
          <w:color w:val="000000" w:themeColor="text1"/>
        </w:rPr>
      </w:pPr>
      <w:bookmarkStart w:id="122" w:name="_Toc126068159"/>
      <w:r w:rsidRPr="00920597">
        <w:rPr>
          <w:rFonts w:hint="eastAsia"/>
          <w:color w:val="000000" w:themeColor="text1"/>
        </w:rPr>
        <w:t>(二)</w:t>
      </w:r>
      <w:r w:rsidR="00FB0608" w:rsidRPr="00920597">
        <w:rPr>
          <w:rFonts w:hint="eastAsia"/>
          <w:color w:val="000000" w:themeColor="text1"/>
        </w:rPr>
        <w:t>文化部</w:t>
      </w:r>
      <w:r w:rsidR="00732884" w:rsidRPr="00920597">
        <w:rPr>
          <w:rFonts w:hint="eastAsia"/>
          <w:color w:val="000000" w:themeColor="text1"/>
        </w:rPr>
        <w:t xml:space="preserve"> </w:t>
      </w:r>
      <w:r w:rsidR="00FB0608" w:rsidRPr="00920597">
        <w:rPr>
          <w:rFonts w:hint="eastAsia"/>
          <w:color w:val="000000" w:themeColor="text1"/>
        </w:rPr>
        <w:t>(</w:t>
      </w:r>
      <w:r w:rsidR="00E94539">
        <w:rPr>
          <w:rFonts w:hint="eastAsia"/>
          <w:color w:val="000000" w:themeColor="text1"/>
        </w:rPr>
        <w:t>49</w:t>
      </w:r>
      <w:r w:rsidR="00FB0608" w:rsidRPr="00920597">
        <w:rPr>
          <w:rFonts w:hint="eastAsia"/>
          <w:color w:val="000000" w:themeColor="text1"/>
        </w:rPr>
        <w:t>案）</w:t>
      </w:r>
      <w:bookmarkEnd w:id="122"/>
    </w:p>
    <w:tbl>
      <w:tblPr>
        <w:tblW w:w="5133" w:type="pct"/>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50"/>
        <w:gridCol w:w="2786"/>
        <w:gridCol w:w="1548"/>
        <w:gridCol w:w="979"/>
        <w:gridCol w:w="1989"/>
        <w:gridCol w:w="1758"/>
      </w:tblGrid>
      <w:tr w:rsidR="00E94539" w:rsidRPr="006D5ECF" w:rsidTr="00E94539">
        <w:trPr>
          <w:trHeight w:val="567"/>
        </w:trPr>
        <w:tc>
          <w:tcPr>
            <w:tcW w:w="335" w:type="pct"/>
            <w:tcBorders>
              <w:top w:val="single" w:sz="4" w:space="0" w:color="auto"/>
              <w:left w:val="single" w:sz="4" w:space="0" w:color="auto"/>
              <w:bottom w:val="single" w:sz="4" w:space="0" w:color="auto"/>
              <w:right w:val="single" w:sz="4" w:space="0" w:color="auto"/>
            </w:tcBorders>
            <w:vAlign w:val="center"/>
          </w:tcPr>
          <w:p w:rsidR="00E94539" w:rsidRPr="001A495B" w:rsidRDefault="00E94539" w:rsidP="00E94539">
            <w:pPr>
              <w:snapToGrid w:val="0"/>
              <w:spacing w:line="400" w:lineRule="exact"/>
              <w:jc w:val="distribute"/>
              <w:rPr>
                <w:rFonts w:ascii="標楷體" w:eastAsia="標楷體" w:hAnsi="標楷體"/>
                <w:b/>
                <w:bCs/>
                <w:spacing w:val="-20"/>
                <w:sz w:val="28"/>
                <w:szCs w:val="28"/>
              </w:rPr>
            </w:pPr>
            <w:r w:rsidRPr="001A495B">
              <w:rPr>
                <w:rFonts w:ascii="標楷體" w:eastAsia="標楷體" w:hAnsi="標楷體" w:hint="eastAsia"/>
                <w:b/>
                <w:bCs/>
                <w:spacing w:val="-20"/>
                <w:sz w:val="28"/>
                <w:szCs w:val="28"/>
              </w:rPr>
              <w:t>序號</w:t>
            </w:r>
          </w:p>
        </w:tc>
        <w:tc>
          <w:tcPr>
            <w:tcW w:w="1435" w:type="pct"/>
            <w:tcBorders>
              <w:top w:val="single" w:sz="4" w:space="0" w:color="auto"/>
              <w:left w:val="single" w:sz="4" w:space="0" w:color="auto"/>
              <w:bottom w:val="single" w:sz="4" w:space="0" w:color="auto"/>
              <w:right w:val="single" w:sz="4" w:space="0" w:color="auto"/>
            </w:tcBorders>
            <w:vAlign w:val="center"/>
          </w:tcPr>
          <w:p w:rsidR="00E94539" w:rsidRPr="001A495B" w:rsidRDefault="00E94539" w:rsidP="00E94539">
            <w:pPr>
              <w:snapToGrid w:val="0"/>
              <w:spacing w:line="400" w:lineRule="exact"/>
              <w:jc w:val="center"/>
              <w:rPr>
                <w:rFonts w:ascii="標楷體" w:eastAsia="標楷體" w:hAnsi="標楷體"/>
                <w:b/>
                <w:bCs/>
                <w:sz w:val="28"/>
              </w:rPr>
            </w:pPr>
            <w:r w:rsidRPr="001A495B">
              <w:rPr>
                <w:rFonts w:ascii="標楷體" w:eastAsia="標楷體" w:hAnsi="標楷體" w:hint="eastAsia"/>
                <w:b/>
                <w:bCs/>
                <w:sz w:val="28"/>
              </w:rPr>
              <w:t>法案名稱</w:t>
            </w:r>
            <w:r w:rsidRPr="001A495B">
              <w:rPr>
                <w:rFonts w:ascii="標楷體" w:eastAsia="標楷體" w:hAnsi="標楷體" w:hint="eastAsia"/>
                <w:b/>
                <w:sz w:val="28"/>
                <w:szCs w:val="28"/>
              </w:rPr>
              <w:t>及提案單位</w:t>
            </w:r>
          </w:p>
        </w:tc>
        <w:tc>
          <w:tcPr>
            <w:tcW w:w="797" w:type="pct"/>
            <w:tcBorders>
              <w:top w:val="single" w:sz="4" w:space="0" w:color="auto"/>
              <w:left w:val="single" w:sz="4" w:space="0" w:color="auto"/>
              <w:bottom w:val="single" w:sz="4" w:space="0" w:color="auto"/>
              <w:right w:val="single" w:sz="4" w:space="0" w:color="auto"/>
            </w:tcBorders>
            <w:vAlign w:val="center"/>
          </w:tcPr>
          <w:p w:rsidR="00E94539" w:rsidRPr="001A495B" w:rsidRDefault="00E94539" w:rsidP="00E94539">
            <w:pPr>
              <w:snapToGrid w:val="0"/>
              <w:spacing w:line="400" w:lineRule="exact"/>
              <w:ind w:left="-29"/>
              <w:jc w:val="center"/>
              <w:rPr>
                <w:rFonts w:ascii="標楷體" w:eastAsia="標楷體" w:hAnsi="標楷體"/>
                <w:b/>
                <w:bCs/>
                <w:sz w:val="28"/>
              </w:rPr>
            </w:pPr>
            <w:r w:rsidRPr="001A495B">
              <w:rPr>
                <w:rFonts w:ascii="標楷體" w:eastAsia="標楷體" w:hAnsi="標楷體" w:hint="eastAsia"/>
                <w:b/>
                <w:bCs/>
                <w:sz w:val="28"/>
              </w:rPr>
              <w:t>院會交付</w:t>
            </w:r>
          </w:p>
          <w:p w:rsidR="00E94539" w:rsidRPr="001A495B" w:rsidRDefault="00E94539" w:rsidP="00E94539">
            <w:pPr>
              <w:snapToGrid w:val="0"/>
              <w:spacing w:line="400" w:lineRule="exact"/>
              <w:ind w:left="-29" w:right="-28"/>
              <w:jc w:val="center"/>
              <w:rPr>
                <w:rFonts w:ascii="標楷體" w:eastAsia="標楷體" w:hAnsi="標楷體"/>
                <w:b/>
                <w:bCs/>
                <w:sz w:val="28"/>
              </w:rPr>
            </w:pPr>
            <w:r w:rsidRPr="001A495B">
              <w:rPr>
                <w:rFonts w:ascii="標楷體" w:eastAsia="標楷體" w:hAnsi="標楷體" w:hint="eastAsia"/>
                <w:b/>
                <w:bCs/>
                <w:sz w:val="28"/>
              </w:rPr>
              <w:t>會次及日期</w:t>
            </w:r>
          </w:p>
        </w:tc>
        <w:tc>
          <w:tcPr>
            <w:tcW w:w="504" w:type="pct"/>
            <w:tcBorders>
              <w:top w:val="single" w:sz="4" w:space="0" w:color="auto"/>
              <w:left w:val="single" w:sz="4" w:space="0" w:color="auto"/>
              <w:bottom w:val="single" w:sz="4" w:space="0" w:color="auto"/>
              <w:right w:val="single" w:sz="4" w:space="0" w:color="auto"/>
            </w:tcBorders>
            <w:vAlign w:val="center"/>
          </w:tcPr>
          <w:p w:rsidR="00E94539" w:rsidRPr="001A495B" w:rsidRDefault="00E94539" w:rsidP="00E94539">
            <w:pPr>
              <w:snapToGrid w:val="0"/>
              <w:spacing w:line="400" w:lineRule="exact"/>
              <w:jc w:val="center"/>
              <w:rPr>
                <w:rFonts w:ascii="標楷體" w:eastAsia="標楷體" w:hAnsi="標楷體"/>
                <w:b/>
                <w:bCs/>
                <w:sz w:val="28"/>
              </w:rPr>
            </w:pPr>
            <w:r w:rsidRPr="001A495B">
              <w:rPr>
                <w:rFonts w:ascii="標楷體" w:eastAsia="標楷體" w:hAnsi="標楷體" w:hint="eastAsia"/>
                <w:b/>
                <w:bCs/>
                <w:sz w:val="28"/>
              </w:rPr>
              <w:t>聯席</w:t>
            </w:r>
          </w:p>
          <w:p w:rsidR="00E94539" w:rsidRPr="001A495B" w:rsidRDefault="00E94539" w:rsidP="00E94539">
            <w:pPr>
              <w:snapToGrid w:val="0"/>
              <w:spacing w:line="400" w:lineRule="exact"/>
              <w:jc w:val="center"/>
              <w:rPr>
                <w:rFonts w:ascii="標楷體" w:eastAsia="標楷體" w:hAnsi="標楷體"/>
                <w:b/>
                <w:bCs/>
                <w:sz w:val="28"/>
              </w:rPr>
            </w:pPr>
            <w:r w:rsidRPr="001A495B">
              <w:rPr>
                <w:rFonts w:ascii="標楷體" w:eastAsia="標楷體" w:hAnsi="標楷體" w:hint="eastAsia"/>
                <w:b/>
                <w:bCs/>
                <w:sz w:val="28"/>
              </w:rPr>
              <w:t>委員會</w:t>
            </w:r>
          </w:p>
        </w:tc>
        <w:tc>
          <w:tcPr>
            <w:tcW w:w="1024" w:type="pct"/>
            <w:tcBorders>
              <w:top w:val="single" w:sz="4" w:space="0" w:color="auto"/>
              <w:left w:val="single" w:sz="4" w:space="0" w:color="auto"/>
              <w:bottom w:val="single" w:sz="4" w:space="0" w:color="auto"/>
              <w:right w:val="single" w:sz="4" w:space="0" w:color="auto"/>
            </w:tcBorders>
            <w:vAlign w:val="center"/>
          </w:tcPr>
          <w:p w:rsidR="00E94539" w:rsidRPr="001A495B" w:rsidRDefault="00E94539" w:rsidP="00E94539">
            <w:pPr>
              <w:snapToGrid w:val="0"/>
              <w:spacing w:line="400" w:lineRule="exact"/>
              <w:jc w:val="center"/>
              <w:rPr>
                <w:rFonts w:ascii="標楷體" w:eastAsia="標楷體" w:hAnsi="標楷體"/>
                <w:b/>
                <w:bCs/>
                <w:sz w:val="28"/>
              </w:rPr>
            </w:pPr>
            <w:r w:rsidRPr="001A495B">
              <w:rPr>
                <w:rFonts w:ascii="標楷體" w:eastAsia="標楷體" w:hAnsi="標楷體" w:hint="eastAsia"/>
                <w:b/>
                <w:bCs/>
                <w:sz w:val="28"/>
              </w:rPr>
              <w:t>處理情形</w:t>
            </w:r>
          </w:p>
        </w:tc>
        <w:tc>
          <w:tcPr>
            <w:tcW w:w="906" w:type="pct"/>
            <w:tcBorders>
              <w:top w:val="single" w:sz="4" w:space="0" w:color="auto"/>
              <w:left w:val="single" w:sz="4" w:space="0" w:color="auto"/>
              <w:bottom w:val="single" w:sz="4" w:space="0" w:color="auto"/>
              <w:right w:val="single" w:sz="4" w:space="0" w:color="auto"/>
            </w:tcBorders>
            <w:vAlign w:val="center"/>
          </w:tcPr>
          <w:p w:rsidR="00E94539" w:rsidRPr="001A495B" w:rsidRDefault="00E94539" w:rsidP="00E94539">
            <w:pPr>
              <w:spacing w:line="400" w:lineRule="exact"/>
              <w:ind w:leftChars="-12" w:left="-28" w:hanging="1"/>
              <w:jc w:val="center"/>
              <w:rPr>
                <w:rFonts w:ascii="標楷體" w:eastAsia="標楷體" w:hAnsi="標楷體"/>
                <w:b/>
                <w:bCs/>
                <w:sz w:val="28"/>
              </w:rPr>
            </w:pPr>
            <w:r w:rsidRPr="001A495B">
              <w:rPr>
                <w:rFonts w:ascii="標楷體" w:eastAsia="標楷體" w:hAnsi="標楷體" w:hint="eastAsia"/>
                <w:b/>
                <w:bCs/>
                <w:sz w:val="28"/>
              </w:rPr>
              <w:t>備註</w:t>
            </w:r>
          </w:p>
        </w:tc>
      </w:tr>
      <w:tr w:rsidR="00E94539" w:rsidRPr="006D5ECF" w:rsidTr="00E94539">
        <w:trPr>
          <w:trHeight w:val="567"/>
        </w:trPr>
        <w:tc>
          <w:tcPr>
            <w:tcW w:w="335" w:type="pct"/>
            <w:vAlign w:val="center"/>
          </w:tcPr>
          <w:p w:rsidR="00E94539" w:rsidRPr="006D5ECF" w:rsidRDefault="00E94539" w:rsidP="006934DD">
            <w:pPr>
              <w:numPr>
                <w:ilvl w:val="0"/>
                <w:numId w:val="65"/>
              </w:numPr>
              <w:spacing w:line="400" w:lineRule="exact"/>
              <w:rPr>
                <w:rFonts w:ascii="標楷體" w:eastAsia="標楷體" w:hAnsi="標楷體"/>
                <w:color w:val="000000"/>
                <w:sz w:val="28"/>
              </w:rPr>
            </w:pPr>
          </w:p>
        </w:tc>
        <w:tc>
          <w:tcPr>
            <w:tcW w:w="1435" w:type="pct"/>
          </w:tcPr>
          <w:p w:rsidR="00E94539" w:rsidRPr="006D5ECF" w:rsidRDefault="00E94539" w:rsidP="00E94539">
            <w:pPr>
              <w:pStyle w:val="0-"/>
            </w:pPr>
            <w:r w:rsidRPr="006D5ECF">
              <w:rPr>
                <w:rFonts w:hint="eastAsia"/>
              </w:rPr>
              <w:t>電影法第二十一條條文修正草案</w:t>
            </w:r>
          </w:p>
          <w:p w:rsidR="00E94539" w:rsidRPr="006D5ECF" w:rsidRDefault="00E94539" w:rsidP="00E94539">
            <w:pPr>
              <w:pStyle w:val="0-"/>
            </w:pPr>
            <w:r w:rsidRPr="006D5ECF">
              <w:rPr>
                <w:rFonts w:hint="eastAsia"/>
              </w:rPr>
              <w:t>(委員林奕華等19人)</w:t>
            </w:r>
          </w:p>
        </w:tc>
        <w:tc>
          <w:tcPr>
            <w:tcW w:w="797" w:type="pct"/>
          </w:tcPr>
          <w:p w:rsidR="00E94539" w:rsidRPr="006D5ECF" w:rsidRDefault="00E94539" w:rsidP="00E94539">
            <w:pPr>
              <w:pStyle w:val="0-"/>
            </w:pPr>
            <w:r w:rsidRPr="006D5ECF">
              <w:t>10-1-</w:t>
            </w:r>
            <w:r w:rsidRPr="006D5ECF">
              <w:rPr>
                <w:rFonts w:hint="eastAsia"/>
              </w:rPr>
              <w:t>4</w:t>
            </w:r>
          </w:p>
          <w:p w:rsidR="00E94539" w:rsidRPr="006D5ECF" w:rsidRDefault="00E94539" w:rsidP="00E94539">
            <w:pPr>
              <w:pStyle w:val="0-"/>
            </w:pPr>
            <w:r w:rsidRPr="006D5ECF">
              <w:t>(109</w:t>
            </w:r>
            <w:r w:rsidRPr="006D5ECF">
              <w:rPr>
                <w:rFonts w:hint="eastAsia"/>
              </w:rPr>
              <w:t>.3.13</w:t>
            </w:r>
            <w:r w:rsidRPr="006D5ECF">
              <w:t>)</w:t>
            </w:r>
          </w:p>
        </w:tc>
        <w:tc>
          <w:tcPr>
            <w:tcW w:w="504" w:type="pct"/>
          </w:tcPr>
          <w:p w:rsidR="00E94539" w:rsidRPr="006D5ECF" w:rsidRDefault="00E94539" w:rsidP="00E94539">
            <w:pPr>
              <w:jc w:val="both"/>
              <w:rPr>
                <w:rFonts w:ascii="標楷體" w:eastAsia="標楷體" w:hAnsi="標楷體"/>
                <w:color w:val="000000"/>
                <w:sz w:val="28"/>
                <w:szCs w:val="28"/>
              </w:rPr>
            </w:pPr>
          </w:p>
        </w:tc>
        <w:tc>
          <w:tcPr>
            <w:tcW w:w="1024" w:type="pct"/>
          </w:tcPr>
          <w:p w:rsidR="00E94539" w:rsidRPr="006D5ECF" w:rsidRDefault="00E94539" w:rsidP="00E94539">
            <w:pPr>
              <w:jc w:val="both"/>
              <w:rPr>
                <w:rFonts w:ascii="標楷體" w:eastAsia="標楷體" w:hAnsi="標楷體"/>
                <w:color w:val="000000"/>
                <w:sz w:val="28"/>
                <w:szCs w:val="28"/>
              </w:rPr>
            </w:pPr>
            <w:r w:rsidRPr="006D5ECF">
              <w:rPr>
                <w:rFonts w:ascii="標楷體" w:eastAsia="標楷體" w:hAnsi="標楷體" w:hint="eastAsia"/>
                <w:color w:val="000000"/>
                <w:sz w:val="28"/>
                <w:szCs w:val="28"/>
              </w:rPr>
              <w:t>尚未審查</w:t>
            </w:r>
          </w:p>
        </w:tc>
        <w:tc>
          <w:tcPr>
            <w:tcW w:w="906" w:type="pct"/>
          </w:tcPr>
          <w:p w:rsidR="00E94539" w:rsidRPr="006D5ECF" w:rsidRDefault="00E94539" w:rsidP="00E94539">
            <w:pPr>
              <w:pStyle w:val="0-"/>
            </w:pPr>
            <w:r w:rsidRPr="006D5ECF">
              <w:rPr>
                <w:rFonts w:hint="eastAsia"/>
              </w:rPr>
              <w:t>為健全電影產業，落實電影票房透明化。(1條)</w:t>
            </w:r>
          </w:p>
        </w:tc>
      </w:tr>
      <w:tr w:rsidR="00E94539" w:rsidRPr="006D5ECF" w:rsidTr="00E94539">
        <w:trPr>
          <w:trHeight w:val="567"/>
        </w:trPr>
        <w:tc>
          <w:tcPr>
            <w:tcW w:w="335" w:type="pct"/>
            <w:vAlign w:val="center"/>
          </w:tcPr>
          <w:p w:rsidR="00E94539" w:rsidRPr="006D5ECF" w:rsidRDefault="00E94539" w:rsidP="006934DD">
            <w:pPr>
              <w:numPr>
                <w:ilvl w:val="0"/>
                <w:numId w:val="65"/>
              </w:numPr>
              <w:tabs>
                <w:tab w:val="num" w:pos="360"/>
              </w:tabs>
              <w:spacing w:line="400" w:lineRule="exact"/>
              <w:rPr>
                <w:rFonts w:ascii="標楷體" w:eastAsia="標楷體" w:hAnsi="標楷體"/>
                <w:color w:val="000000"/>
                <w:sz w:val="28"/>
              </w:rPr>
            </w:pPr>
          </w:p>
        </w:tc>
        <w:tc>
          <w:tcPr>
            <w:tcW w:w="1435" w:type="pct"/>
          </w:tcPr>
          <w:p w:rsidR="00E94539" w:rsidRPr="006D5ECF" w:rsidRDefault="00E94539" w:rsidP="00E94539">
            <w:pPr>
              <w:pStyle w:val="0-"/>
            </w:pPr>
            <w:r w:rsidRPr="006D5ECF">
              <w:rPr>
                <w:rFonts w:hint="eastAsia"/>
              </w:rPr>
              <w:t>電影法第二十一條條文修正草案</w:t>
            </w:r>
          </w:p>
          <w:p w:rsidR="00E94539" w:rsidRPr="006D5ECF" w:rsidRDefault="00E94539" w:rsidP="00E94539">
            <w:pPr>
              <w:pStyle w:val="0-"/>
            </w:pPr>
            <w:r w:rsidRPr="006D5ECF">
              <w:rPr>
                <w:rFonts w:hint="eastAsia"/>
              </w:rPr>
              <w:t>(委員賴品妤等</w:t>
            </w:r>
            <w:r w:rsidRPr="006D5ECF">
              <w:t>16</w:t>
            </w:r>
            <w:r w:rsidRPr="006D5ECF">
              <w:rPr>
                <w:rFonts w:hint="eastAsia"/>
              </w:rPr>
              <w:t>人)</w:t>
            </w:r>
          </w:p>
        </w:tc>
        <w:tc>
          <w:tcPr>
            <w:tcW w:w="797" w:type="pct"/>
          </w:tcPr>
          <w:p w:rsidR="00E94539" w:rsidRPr="006D5ECF" w:rsidRDefault="00E94539" w:rsidP="00E94539">
            <w:pPr>
              <w:pStyle w:val="0-"/>
            </w:pPr>
            <w:r w:rsidRPr="006D5ECF">
              <w:t>10-1-</w:t>
            </w:r>
            <w:r w:rsidRPr="006D5ECF">
              <w:rPr>
                <w:rFonts w:hint="eastAsia"/>
              </w:rPr>
              <w:t>11</w:t>
            </w:r>
          </w:p>
          <w:p w:rsidR="00E94539" w:rsidRPr="006D5ECF" w:rsidRDefault="00E94539" w:rsidP="00E94539">
            <w:pPr>
              <w:pStyle w:val="0-"/>
            </w:pPr>
            <w:r w:rsidRPr="006D5ECF">
              <w:t>(109</w:t>
            </w:r>
            <w:r w:rsidRPr="006D5ECF">
              <w:rPr>
                <w:rFonts w:hint="eastAsia"/>
              </w:rPr>
              <w:t>.5.1</w:t>
            </w:r>
            <w:r w:rsidRPr="006D5ECF">
              <w:t>)</w:t>
            </w:r>
          </w:p>
        </w:tc>
        <w:tc>
          <w:tcPr>
            <w:tcW w:w="504" w:type="pct"/>
          </w:tcPr>
          <w:p w:rsidR="00E94539" w:rsidRPr="006D5ECF" w:rsidRDefault="00E94539" w:rsidP="00E94539">
            <w:pPr>
              <w:jc w:val="both"/>
              <w:rPr>
                <w:rFonts w:ascii="標楷體" w:eastAsia="標楷體" w:hAnsi="標楷體"/>
                <w:color w:val="000000"/>
                <w:sz w:val="28"/>
                <w:szCs w:val="28"/>
              </w:rPr>
            </w:pPr>
          </w:p>
        </w:tc>
        <w:tc>
          <w:tcPr>
            <w:tcW w:w="1024" w:type="pct"/>
          </w:tcPr>
          <w:p w:rsidR="00E94539" w:rsidRPr="006D5ECF" w:rsidRDefault="00E94539" w:rsidP="00E94539">
            <w:pPr>
              <w:jc w:val="both"/>
              <w:rPr>
                <w:rFonts w:ascii="標楷體" w:eastAsia="標楷體" w:hAnsi="標楷體"/>
                <w:color w:val="000000"/>
                <w:sz w:val="28"/>
                <w:szCs w:val="28"/>
              </w:rPr>
            </w:pPr>
            <w:r w:rsidRPr="006D5ECF">
              <w:rPr>
                <w:rFonts w:ascii="標楷體" w:eastAsia="標楷體" w:hAnsi="標楷體" w:hint="eastAsia"/>
                <w:color w:val="000000"/>
                <w:sz w:val="28"/>
                <w:szCs w:val="28"/>
              </w:rPr>
              <w:t>尚未審查</w:t>
            </w:r>
          </w:p>
        </w:tc>
        <w:tc>
          <w:tcPr>
            <w:tcW w:w="906" w:type="pct"/>
          </w:tcPr>
          <w:p w:rsidR="00E94539" w:rsidRPr="006D5ECF" w:rsidRDefault="00E94539" w:rsidP="00E94539">
            <w:pPr>
              <w:pStyle w:val="0-"/>
            </w:pPr>
            <w:r w:rsidRPr="006D5ECF">
              <w:rPr>
                <w:rFonts w:hint="eastAsia"/>
              </w:rPr>
              <w:t>針對無正當理由而未於限期內提供票房統計相關資料以及提供不實者，列入處罰對象。(1條)</w:t>
            </w:r>
          </w:p>
        </w:tc>
      </w:tr>
      <w:tr w:rsidR="00E94539" w:rsidRPr="006D5ECF" w:rsidTr="00E94539">
        <w:trPr>
          <w:trHeight w:val="567"/>
        </w:trPr>
        <w:tc>
          <w:tcPr>
            <w:tcW w:w="335" w:type="pct"/>
            <w:vAlign w:val="center"/>
          </w:tcPr>
          <w:p w:rsidR="00E94539" w:rsidRPr="006D5ECF" w:rsidRDefault="00E94539" w:rsidP="006934DD">
            <w:pPr>
              <w:numPr>
                <w:ilvl w:val="0"/>
                <w:numId w:val="65"/>
              </w:numPr>
              <w:tabs>
                <w:tab w:val="num" w:pos="360"/>
              </w:tabs>
              <w:spacing w:line="400" w:lineRule="exact"/>
              <w:rPr>
                <w:rFonts w:ascii="標楷體" w:eastAsia="標楷體" w:hAnsi="標楷體"/>
                <w:color w:val="000000"/>
                <w:sz w:val="28"/>
              </w:rPr>
            </w:pPr>
          </w:p>
        </w:tc>
        <w:tc>
          <w:tcPr>
            <w:tcW w:w="1435" w:type="pct"/>
          </w:tcPr>
          <w:p w:rsidR="00E94539" w:rsidRPr="00EC299C" w:rsidRDefault="00E94539" w:rsidP="00E94539">
            <w:pPr>
              <w:pStyle w:val="0-"/>
            </w:pPr>
            <w:r w:rsidRPr="00EC299C">
              <w:rPr>
                <w:rFonts w:hint="eastAsia"/>
              </w:rPr>
              <w:t>電影法部分條文修正草案</w:t>
            </w:r>
          </w:p>
          <w:p w:rsidR="00E94539" w:rsidRPr="00EC299C" w:rsidRDefault="00E94539" w:rsidP="00E94539">
            <w:pPr>
              <w:pStyle w:val="0-"/>
            </w:pPr>
            <w:r w:rsidRPr="00EC299C">
              <w:rPr>
                <w:rFonts w:hint="eastAsia"/>
              </w:rPr>
              <w:t>(委員管碧玲等18人</w:t>
            </w:r>
            <w:r w:rsidRPr="00EC299C">
              <w:t>)</w:t>
            </w:r>
          </w:p>
        </w:tc>
        <w:tc>
          <w:tcPr>
            <w:tcW w:w="797" w:type="pct"/>
          </w:tcPr>
          <w:p w:rsidR="00E94539" w:rsidRPr="00EC299C" w:rsidRDefault="00E94539" w:rsidP="00E94539">
            <w:pPr>
              <w:pStyle w:val="0-"/>
            </w:pPr>
            <w:r w:rsidRPr="00EC299C">
              <w:t>10-5-5</w:t>
            </w:r>
          </w:p>
          <w:p w:rsidR="00E94539" w:rsidRPr="00EC299C" w:rsidRDefault="00E94539" w:rsidP="00E94539">
            <w:pPr>
              <w:pStyle w:val="0-"/>
            </w:pPr>
            <w:r w:rsidRPr="00EC299C">
              <w:t>(111.3.25)</w:t>
            </w:r>
          </w:p>
        </w:tc>
        <w:tc>
          <w:tcPr>
            <w:tcW w:w="504" w:type="pct"/>
          </w:tcPr>
          <w:p w:rsidR="00E94539" w:rsidRPr="00EC299C" w:rsidRDefault="00E94539" w:rsidP="00E94539">
            <w:pPr>
              <w:jc w:val="both"/>
              <w:rPr>
                <w:rFonts w:ascii="標楷體" w:eastAsia="標楷體" w:hAnsi="標楷體"/>
                <w:color w:val="000000"/>
                <w:sz w:val="28"/>
                <w:szCs w:val="28"/>
              </w:rPr>
            </w:pPr>
          </w:p>
        </w:tc>
        <w:tc>
          <w:tcPr>
            <w:tcW w:w="1024" w:type="pct"/>
          </w:tcPr>
          <w:p w:rsidR="00E94539" w:rsidRPr="00EC299C" w:rsidRDefault="00E94539" w:rsidP="00E94539">
            <w:pPr>
              <w:jc w:val="both"/>
              <w:rPr>
                <w:rFonts w:ascii="標楷體" w:eastAsia="標楷體" w:hAnsi="標楷體"/>
                <w:color w:val="000000"/>
                <w:sz w:val="28"/>
                <w:szCs w:val="28"/>
              </w:rPr>
            </w:pPr>
            <w:r w:rsidRPr="00EC299C">
              <w:rPr>
                <w:rFonts w:ascii="標楷體" w:eastAsia="標楷體" w:hAnsi="標楷體" w:hint="eastAsia"/>
                <w:color w:val="000000"/>
                <w:sz w:val="28"/>
                <w:szCs w:val="28"/>
              </w:rPr>
              <w:t>尚未審查</w:t>
            </w:r>
          </w:p>
        </w:tc>
        <w:tc>
          <w:tcPr>
            <w:tcW w:w="906" w:type="pct"/>
          </w:tcPr>
          <w:p w:rsidR="00E94539" w:rsidRPr="00EC299C" w:rsidRDefault="00E94539" w:rsidP="00E94539">
            <w:pPr>
              <w:pStyle w:val="0-"/>
            </w:pPr>
            <w:r w:rsidRPr="00EC299C">
              <w:rPr>
                <w:rFonts w:hint="eastAsia"/>
              </w:rPr>
              <w:t>因此為了確保國內電影人才培養與時俱進，及保障其工作權益與安全權益。(4條)</w:t>
            </w:r>
          </w:p>
        </w:tc>
      </w:tr>
      <w:tr w:rsidR="00E94539" w:rsidRPr="006D5ECF" w:rsidTr="00E94539">
        <w:trPr>
          <w:trHeight w:val="567"/>
        </w:trPr>
        <w:tc>
          <w:tcPr>
            <w:tcW w:w="335" w:type="pct"/>
            <w:vAlign w:val="center"/>
          </w:tcPr>
          <w:p w:rsidR="00E94539" w:rsidRPr="006D5ECF" w:rsidRDefault="00E94539" w:rsidP="006934DD">
            <w:pPr>
              <w:numPr>
                <w:ilvl w:val="0"/>
                <w:numId w:val="65"/>
              </w:numPr>
              <w:tabs>
                <w:tab w:val="num" w:pos="360"/>
              </w:tabs>
              <w:spacing w:line="400" w:lineRule="exact"/>
              <w:rPr>
                <w:rFonts w:ascii="標楷體" w:eastAsia="標楷體" w:hAnsi="標楷體"/>
                <w:color w:val="000000"/>
                <w:sz w:val="28"/>
              </w:rPr>
            </w:pPr>
          </w:p>
        </w:tc>
        <w:tc>
          <w:tcPr>
            <w:tcW w:w="1435" w:type="pct"/>
          </w:tcPr>
          <w:p w:rsidR="00E94539" w:rsidRPr="003E1B86" w:rsidRDefault="00E94539" w:rsidP="00E94539">
            <w:pPr>
              <w:pStyle w:val="0-"/>
            </w:pPr>
            <w:r w:rsidRPr="003E1B86">
              <w:rPr>
                <w:rFonts w:hint="eastAsia"/>
              </w:rPr>
              <w:t>電影法第十四條及第十五條條文修正草案</w:t>
            </w:r>
          </w:p>
          <w:p w:rsidR="00E94539" w:rsidRPr="003E1B86" w:rsidRDefault="00E94539" w:rsidP="00E94539">
            <w:pPr>
              <w:pStyle w:val="0-"/>
            </w:pPr>
            <w:r w:rsidRPr="003E1B86">
              <w:rPr>
                <w:rFonts w:hint="eastAsia"/>
              </w:rPr>
              <w:t>(台灣民眾黨黨團)</w:t>
            </w:r>
          </w:p>
        </w:tc>
        <w:tc>
          <w:tcPr>
            <w:tcW w:w="797" w:type="pct"/>
          </w:tcPr>
          <w:p w:rsidR="00E94539" w:rsidRPr="003E1B86" w:rsidRDefault="00E94539" w:rsidP="00E94539">
            <w:pPr>
              <w:pStyle w:val="0-"/>
            </w:pPr>
            <w:r w:rsidRPr="003E1B86">
              <w:t>10-6-1</w:t>
            </w:r>
          </w:p>
          <w:p w:rsidR="00E94539" w:rsidRPr="003E1B86" w:rsidRDefault="00E94539" w:rsidP="00E94539">
            <w:pPr>
              <w:pStyle w:val="0-"/>
            </w:pPr>
            <w:r w:rsidRPr="003E1B86">
              <w:t>(111.9.23)</w:t>
            </w:r>
          </w:p>
        </w:tc>
        <w:tc>
          <w:tcPr>
            <w:tcW w:w="504" w:type="pct"/>
          </w:tcPr>
          <w:p w:rsidR="00E94539" w:rsidRPr="003E1B86" w:rsidRDefault="00E94539" w:rsidP="00E94539">
            <w:pPr>
              <w:jc w:val="both"/>
              <w:rPr>
                <w:rFonts w:ascii="標楷體" w:eastAsia="標楷體" w:hAnsi="標楷體"/>
                <w:sz w:val="28"/>
                <w:szCs w:val="28"/>
              </w:rPr>
            </w:pPr>
          </w:p>
        </w:tc>
        <w:tc>
          <w:tcPr>
            <w:tcW w:w="1024" w:type="pct"/>
          </w:tcPr>
          <w:p w:rsidR="00E94539" w:rsidRPr="003E1B86" w:rsidRDefault="00E94539" w:rsidP="00E94539">
            <w:pPr>
              <w:jc w:val="both"/>
              <w:rPr>
                <w:rFonts w:ascii="標楷體" w:eastAsia="標楷體" w:hAnsi="標楷體"/>
                <w:sz w:val="28"/>
                <w:szCs w:val="28"/>
              </w:rPr>
            </w:pPr>
            <w:r w:rsidRPr="003E1B86">
              <w:rPr>
                <w:rFonts w:ascii="標楷體" w:eastAsia="標楷體" w:hAnsi="標楷體" w:hint="eastAsia"/>
                <w:sz w:val="28"/>
                <w:szCs w:val="28"/>
              </w:rPr>
              <w:t>尚未審查</w:t>
            </w:r>
          </w:p>
        </w:tc>
        <w:tc>
          <w:tcPr>
            <w:tcW w:w="906" w:type="pct"/>
          </w:tcPr>
          <w:p w:rsidR="00E94539" w:rsidRPr="003E1B86" w:rsidRDefault="00E94539" w:rsidP="00E94539">
            <w:pPr>
              <w:pStyle w:val="0-"/>
            </w:pPr>
            <w:r w:rsidRPr="003E1B86">
              <w:rPr>
                <w:rFonts w:hint="eastAsia"/>
              </w:rPr>
              <w:t>有過度限制映演業營業自由與干涉自由競爭市場機制而難認可達成本法立法目的。(1條)</w:t>
            </w:r>
          </w:p>
        </w:tc>
      </w:tr>
      <w:tr w:rsidR="00E94539" w:rsidRPr="006D5ECF" w:rsidTr="00E94539">
        <w:trPr>
          <w:trHeight w:val="567"/>
        </w:trPr>
        <w:tc>
          <w:tcPr>
            <w:tcW w:w="335" w:type="pct"/>
            <w:vAlign w:val="center"/>
          </w:tcPr>
          <w:p w:rsidR="00E94539" w:rsidRPr="006D5ECF" w:rsidRDefault="00E94539" w:rsidP="006934DD">
            <w:pPr>
              <w:numPr>
                <w:ilvl w:val="0"/>
                <w:numId w:val="65"/>
              </w:numPr>
              <w:tabs>
                <w:tab w:val="num" w:pos="360"/>
              </w:tabs>
              <w:spacing w:line="400" w:lineRule="exact"/>
              <w:rPr>
                <w:rFonts w:ascii="標楷體" w:eastAsia="標楷體" w:hAnsi="標楷體"/>
                <w:color w:val="000000"/>
                <w:sz w:val="28"/>
              </w:rPr>
            </w:pPr>
          </w:p>
        </w:tc>
        <w:tc>
          <w:tcPr>
            <w:tcW w:w="1435" w:type="pct"/>
          </w:tcPr>
          <w:p w:rsidR="00E94539" w:rsidRPr="007B5B67" w:rsidRDefault="00E94539" w:rsidP="00E94539">
            <w:pPr>
              <w:pStyle w:val="0-"/>
            </w:pPr>
            <w:r w:rsidRPr="007B5B67">
              <w:rPr>
                <w:rFonts w:hint="eastAsia"/>
              </w:rPr>
              <w:t>電影法第十四條、第十九條及第二十二條條文修正草案</w:t>
            </w:r>
          </w:p>
          <w:p w:rsidR="00E94539" w:rsidRPr="007B5B67" w:rsidRDefault="00E94539" w:rsidP="00E94539">
            <w:pPr>
              <w:pStyle w:val="0-"/>
            </w:pPr>
            <w:r w:rsidRPr="007B5B67">
              <w:rPr>
                <w:rFonts w:hint="eastAsia"/>
              </w:rPr>
              <w:t>(</w:t>
            </w:r>
            <w:r w:rsidRPr="00E94539">
              <w:rPr>
                <w:rFonts w:hint="eastAsia"/>
                <w:spacing w:val="-20"/>
              </w:rPr>
              <w:t>委員張廖萬堅等22人</w:t>
            </w:r>
            <w:r w:rsidRPr="007B5B67">
              <w:rPr>
                <w:rFonts w:hint="eastAsia"/>
              </w:rPr>
              <w:t>)</w:t>
            </w:r>
          </w:p>
        </w:tc>
        <w:tc>
          <w:tcPr>
            <w:tcW w:w="797" w:type="pct"/>
          </w:tcPr>
          <w:p w:rsidR="00E94539" w:rsidRPr="007B5B67" w:rsidRDefault="00E94539" w:rsidP="00E94539">
            <w:pPr>
              <w:pStyle w:val="0-"/>
            </w:pPr>
            <w:r w:rsidRPr="007B5B67">
              <w:t>10-6-3</w:t>
            </w:r>
          </w:p>
          <w:p w:rsidR="00E94539" w:rsidRPr="007B5B67" w:rsidRDefault="00E94539" w:rsidP="00E94539">
            <w:pPr>
              <w:pStyle w:val="0-"/>
            </w:pPr>
            <w:r w:rsidRPr="007B5B67">
              <w:t>(111.10.7)</w:t>
            </w:r>
          </w:p>
        </w:tc>
        <w:tc>
          <w:tcPr>
            <w:tcW w:w="504" w:type="pct"/>
          </w:tcPr>
          <w:p w:rsidR="00E94539" w:rsidRPr="007B5B67" w:rsidRDefault="00E94539" w:rsidP="00E94539">
            <w:pPr>
              <w:jc w:val="both"/>
              <w:rPr>
                <w:rFonts w:ascii="標楷體" w:eastAsia="標楷體" w:hAnsi="標楷體"/>
                <w:color w:val="000000"/>
                <w:sz w:val="28"/>
                <w:szCs w:val="28"/>
              </w:rPr>
            </w:pPr>
          </w:p>
        </w:tc>
        <w:tc>
          <w:tcPr>
            <w:tcW w:w="1024" w:type="pct"/>
          </w:tcPr>
          <w:p w:rsidR="00E94539" w:rsidRPr="007B5B67" w:rsidRDefault="00E94539" w:rsidP="00E94539">
            <w:pPr>
              <w:jc w:val="both"/>
              <w:rPr>
                <w:rFonts w:ascii="標楷體" w:eastAsia="標楷體" w:hAnsi="標楷體"/>
                <w:color w:val="000000"/>
                <w:sz w:val="28"/>
                <w:szCs w:val="28"/>
              </w:rPr>
            </w:pPr>
            <w:r w:rsidRPr="007B5B67">
              <w:rPr>
                <w:rFonts w:ascii="標楷體" w:eastAsia="標楷體" w:hAnsi="標楷體" w:hint="eastAsia"/>
                <w:color w:val="000000"/>
                <w:sz w:val="28"/>
                <w:szCs w:val="28"/>
              </w:rPr>
              <w:t>尚未審查</w:t>
            </w:r>
          </w:p>
        </w:tc>
        <w:tc>
          <w:tcPr>
            <w:tcW w:w="906" w:type="pct"/>
          </w:tcPr>
          <w:p w:rsidR="00E94539" w:rsidRPr="007B5B67" w:rsidRDefault="00E94539" w:rsidP="00E94539">
            <w:pPr>
              <w:pStyle w:val="0-"/>
            </w:pPr>
            <w:r w:rsidRPr="007B5B67">
              <w:rPr>
                <w:rFonts w:hint="eastAsia"/>
              </w:rPr>
              <w:t>使廣告片時間應照電影片映演業者之營業型態不同而有所區分。(</w:t>
            </w:r>
            <w:r w:rsidRPr="007B5B67">
              <w:t>3</w:t>
            </w:r>
            <w:r w:rsidRPr="007B5B67">
              <w:rPr>
                <w:rFonts w:hint="eastAsia"/>
              </w:rPr>
              <w:t>條)</w:t>
            </w:r>
          </w:p>
        </w:tc>
      </w:tr>
      <w:tr w:rsidR="00E94539" w:rsidRPr="006D5ECF" w:rsidTr="00E94539">
        <w:trPr>
          <w:trHeight w:val="567"/>
        </w:trPr>
        <w:tc>
          <w:tcPr>
            <w:tcW w:w="335" w:type="pct"/>
            <w:vAlign w:val="center"/>
          </w:tcPr>
          <w:p w:rsidR="00E94539" w:rsidRPr="006D5ECF" w:rsidRDefault="00E94539" w:rsidP="006934DD">
            <w:pPr>
              <w:numPr>
                <w:ilvl w:val="0"/>
                <w:numId w:val="65"/>
              </w:numPr>
              <w:tabs>
                <w:tab w:val="num" w:pos="360"/>
              </w:tabs>
              <w:spacing w:line="400" w:lineRule="exact"/>
              <w:rPr>
                <w:rFonts w:ascii="標楷體" w:eastAsia="標楷體" w:hAnsi="標楷體"/>
                <w:color w:val="000000"/>
                <w:sz w:val="28"/>
              </w:rPr>
            </w:pPr>
          </w:p>
        </w:tc>
        <w:tc>
          <w:tcPr>
            <w:tcW w:w="1435" w:type="pct"/>
          </w:tcPr>
          <w:p w:rsidR="00E94539" w:rsidRPr="007B5B67" w:rsidRDefault="00E94539" w:rsidP="00E94539">
            <w:pPr>
              <w:pStyle w:val="0-"/>
            </w:pPr>
            <w:r w:rsidRPr="007B5B67">
              <w:rPr>
                <w:rFonts w:hint="eastAsia"/>
              </w:rPr>
              <w:t>電影法第十四條、第十五條及第十九條條文修正草案</w:t>
            </w:r>
          </w:p>
          <w:p w:rsidR="00E94539" w:rsidRPr="007B5B67" w:rsidRDefault="00E94539" w:rsidP="00E94539">
            <w:pPr>
              <w:pStyle w:val="0-"/>
            </w:pPr>
            <w:r w:rsidRPr="007B5B67">
              <w:rPr>
                <w:rFonts w:hint="eastAsia"/>
              </w:rPr>
              <w:t>(時代力量黨團)</w:t>
            </w:r>
          </w:p>
        </w:tc>
        <w:tc>
          <w:tcPr>
            <w:tcW w:w="797" w:type="pct"/>
          </w:tcPr>
          <w:p w:rsidR="00E94539" w:rsidRPr="007B5B67" w:rsidRDefault="00E94539" w:rsidP="00E94539">
            <w:pPr>
              <w:pStyle w:val="0-"/>
            </w:pPr>
            <w:r w:rsidRPr="007B5B67">
              <w:t>10-6-3</w:t>
            </w:r>
          </w:p>
          <w:p w:rsidR="00E94539" w:rsidRPr="007B5B67" w:rsidRDefault="00E94539" w:rsidP="00E94539">
            <w:pPr>
              <w:pStyle w:val="0-"/>
            </w:pPr>
            <w:r w:rsidRPr="007B5B67">
              <w:t>(111.10.7)</w:t>
            </w:r>
          </w:p>
        </w:tc>
        <w:tc>
          <w:tcPr>
            <w:tcW w:w="504" w:type="pct"/>
          </w:tcPr>
          <w:p w:rsidR="00E94539" w:rsidRPr="007B5B67" w:rsidRDefault="00E94539" w:rsidP="00E94539">
            <w:pPr>
              <w:jc w:val="both"/>
              <w:rPr>
                <w:rFonts w:ascii="標楷體" w:eastAsia="標楷體" w:hAnsi="標楷體"/>
                <w:color w:val="000000"/>
                <w:sz w:val="28"/>
                <w:szCs w:val="28"/>
              </w:rPr>
            </w:pPr>
          </w:p>
        </w:tc>
        <w:tc>
          <w:tcPr>
            <w:tcW w:w="1024" w:type="pct"/>
          </w:tcPr>
          <w:p w:rsidR="00E94539" w:rsidRPr="007B5B67" w:rsidRDefault="00E94539" w:rsidP="00E94539">
            <w:pPr>
              <w:jc w:val="both"/>
              <w:rPr>
                <w:rFonts w:ascii="標楷體" w:eastAsia="標楷體" w:hAnsi="標楷體"/>
                <w:color w:val="000000"/>
                <w:sz w:val="28"/>
                <w:szCs w:val="28"/>
              </w:rPr>
            </w:pPr>
            <w:r w:rsidRPr="007B5B67">
              <w:rPr>
                <w:rFonts w:ascii="標楷體" w:eastAsia="標楷體" w:hAnsi="標楷體" w:hint="eastAsia"/>
                <w:color w:val="000000"/>
                <w:sz w:val="28"/>
                <w:szCs w:val="28"/>
              </w:rPr>
              <w:t>尚未審查</w:t>
            </w:r>
          </w:p>
        </w:tc>
        <w:tc>
          <w:tcPr>
            <w:tcW w:w="906" w:type="pct"/>
          </w:tcPr>
          <w:p w:rsidR="00E94539" w:rsidRPr="007B5B67" w:rsidRDefault="00E94539" w:rsidP="00E94539">
            <w:pPr>
              <w:pStyle w:val="0-"/>
            </w:pPr>
            <w:r w:rsidRPr="007B5B67">
              <w:rPr>
                <w:rFonts w:hint="eastAsia"/>
              </w:rPr>
              <w:t>不分映演電影片新舊性質，一律限制映演廣告片為同一時間，顯過度限制映演業營業自由與干涉自由競爭市場機制。(</w:t>
            </w:r>
            <w:r w:rsidRPr="007B5B67">
              <w:t>3</w:t>
            </w:r>
            <w:r w:rsidRPr="007B5B67">
              <w:rPr>
                <w:rFonts w:hint="eastAsia"/>
              </w:rPr>
              <w:t>條)</w:t>
            </w:r>
          </w:p>
        </w:tc>
      </w:tr>
      <w:tr w:rsidR="00E94539" w:rsidRPr="006D5ECF" w:rsidTr="00E94539">
        <w:trPr>
          <w:trHeight w:val="567"/>
        </w:trPr>
        <w:tc>
          <w:tcPr>
            <w:tcW w:w="335" w:type="pct"/>
            <w:vAlign w:val="center"/>
          </w:tcPr>
          <w:p w:rsidR="00E94539" w:rsidRPr="006D5ECF" w:rsidRDefault="00E94539" w:rsidP="006934DD">
            <w:pPr>
              <w:numPr>
                <w:ilvl w:val="0"/>
                <w:numId w:val="65"/>
              </w:numPr>
              <w:tabs>
                <w:tab w:val="num" w:pos="360"/>
              </w:tabs>
              <w:spacing w:line="400" w:lineRule="exact"/>
              <w:rPr>
                <w:rFonts w:ascii="標楷體" w:eastAsia="標楷體" w:hAnsi="標楷體"/>
                <w:color w:val="000000"/>
                <w:sz w:val="28"/>
              </w:rPr>
            </w:pPr>
          </w:p>
        </w:tc>
        <w:tc>
          <w:tcPr>
            <w:tcW w:w="1435" w:type="pct"/>
          </w:tcPr>
          <w:p w:rsidR="00E94539" w:rsidRPr="00990ACA" w:rsidRDefault="00E94539" w:rsidP="00E94539">
            <w:pPr>
              <w:pStyle w:val="0-"/>
            </w:pPr>
            <w:r w:rsidRPr="00990ACA">
              <w:rPr>
                <w:rFonts w:hint="eastAsia"/>
              </w:rPr>
              <w:t>電影法部分條文修正草案</w:t>
            </w:r>
          </w:p>
          <w:p w:rsidR="00E94539" w:rsidRPr="00990ACA" w:rsidRDefault="00E94539" w:rsidP="00E94539">
            <w:pPr>
              <w:pStyle w:val="0-"/>
            </w:pPr>
            <w:r w:rsidRPr="00990ACA">
              <w:rPr>
                <w:rFonts w:hint="eastAsia"/>
              </w:rPr>
              <w:t>(委員賴品妤等19人)</w:t>
            </w:r>
          </w:p>
        </w:tc>
        <w:tc>
          <w:tcPr>
            <w:tcW w:w="797" w:type="pct"/>
          </w:tcPr>
          <w:p w:rsidR="00E94539" w:rsidRPr="00990ACA" w:rsidRDefault="00E94539" w:rsidP="00E94539">
            <w:pPr>
              <w:pStyle w:val="0-"/>
            </w:pPr>
            <w:r w:rsidRPr="00990ACA">
              <w:t>10-6-1</w:t>
            </w:r>
            <w:r w:rsidRPr="00990ACA">
              <w:rPr>
                <w:rFonts w:hint="eastAsia"/>
              </w:rPr>
              <w:t>3</w:t>
            </w:r>
          </w:p>
          <w:p w:rsidR="00E94539" w:rsidRPr="00E94539" w:rsidRDefault="00E94539" w:rsidP="00E94539">
            <w:pPr>
              <w:pStyle w:val="0-"/>
              <w:rPr>
                <w:spacing w:val="-10"/>
              </w:rPr>
            </w:pPr>
            <w:r w:rsidRPr="00E94539">
              <w:rPr>
                <w:spacing w:val="-10"/>
              </w:rPr>
              <w:t>(111.12.</w:t>
            </w:r>
            <w:r w:rsidRPr="00E94539">
              <w:rPr>
                <w:rFonts w:hint="eastAsia"/>
                <w:spacing w:val="-10"/>
              </w:rPr>
              <w:t>23</w:t>
            </w:r>
            <w:r w:rsidRPr="00E94539">
              <w:rPr>
                <w:spacing w:val="-10"/>
              </w:rPr>
              <w:t>)</w:t>
            </w:r>
          </w:p>
          <w:p w:rsidR="00E94539" w:rsidRPr="00990ACA" w:rsidRDefault="00E94539" w:rsidP="00E94539">
            <w:pPr>
              <w:pStyle w:val="0-"/>
            </w:pPr>
          </w:p>
        </w:tc>
        <w:tc>
          <w:tcPr>
            <w:tcW w:w="504" w:type="pct"/>
          </w:tcPr>
          <w:p w:rsidR="00E94539" w:rsidRPr="00990ACA" w:rsidRDefault="00E94539" w:rsidP="00E94539">
            <w:pPr>
              <w:jc w:val="both"/>
              <w:rPr>
                <w:rFonts w:ascii="標楷體" w:eastAsia="標楷體" w:hAnsi="標楷體"/>
                <w:color w:val="000000"/>
                <w:sz w:val="28"/>
                <w:szCs w:val="28"/>
              </w:rPr>
            </w:pPr>
          </w:p>
        </w:tc>
        <w:tc>
          <w:tcPr>
            <w:tcW w:w="1024" w:type="pct"/>
          </w:tcPr>
          <w:p w:rsidR="00E94539" w:rsidRPr="00990ACA" w:rsidRDefault="00E94539" w:rsidP="00E94539">
            <w:pPr>
              <w:jc w:val="both"/>
              <w:rPr>
                <w:rFonts w:ascii="標楷體" w:eastAsia="標楷體" w:hAnsi="標楷體"/>
                <w:color w:val="000000"/>
                <w:sz w:val="28"/>
                <w:szCs w:val="28"/>
              </w:rPr>
            </w:pPr>
            <w:r w:rsidRPr="00990ACA">
              <w:rPr>
                <w:rFonts w:ascii="標楷體" w:eastAsia="標楷體" w:hAnsi="標楷體" w:hint="eastAsia"/>
                <w:color w:val="000000"/>
                <w:sz w:val="28"/>
                <w:szCs w:val="28"/>
              </w:rPr>
              <w:t>尚未審查</w:t>
            </w:r>
          </w:p>
        </w:tc>
        <w:tc>
          <w:tcPr>
            <w:tcW w:w="906" w:type="pct"/>
          </w:tcPr>
          <w:p w:rsidR="00E94539" w:rsidRPr="00990ACA" w:rsidRDefault="00E94539" w:rsidP="00E94539">
            <w:pPr>
              <w:pStyle w:val="0-"/>
            </w:pPr>
            <w:r w:rsidRPr="00990ACA">
              <w:rPr>
                <w:rFonts w:hint="eastAsia"/>
              </w:rPr>
              <w:t>為促進電影產業內容發展重要關鍵：人才培育及權益提升。(4條)</w:t>
            </w:r>
          </w:p>
        </w:tc>
      </w:tr>
      <w:tr w:rsidR="00E94539" w:rsidRPr="006D5ECF" w:rsidTr="00E94539">
        <w:trPr>
          <w:trHeight w:val="567"/>
        </w:trPr>
        <w:tc>
          <w:tcPr>
            <w:tcW w:w="335" w:type="pct"/>
            <w:vAlign w:val="center"/>
          </w:tcPr>
          <w:p w:rsidR="00E94539" w:rsidRPr="006D5ECF" w:rsidRDefault="00E94539" w:rsidP="006934DD">
            <w:pPr>
              <w:numPr>
                <w:ilvl w:val="0"/>
                <w:numId w:val="65"/>
              </w:numPr>
              <w:tabs>
                <w:tab w:val="num" w:pos="360"/>
              </w:tabs>
              <w:spacing w:line="400" w:lineRule="exact"/>
              <w:rPr>
                <w:rFonts w:ascii="標楷體" w:eastAsia="標楷體" w:hAnsi="標楷體"/>
                <w:color w:val="000000"/>
                <w:sz w:val="28"/>
              </w:rPr>
            </w:pPr>
          </w:p>
        </w:tc>
        <w:tc>
          <w:tcPr>
            <w:tcW w:w="1435" w:type="pct"/>
          </w:tcPr>
          <w:p w:rsidR="00E94539" w:rsidRPr="00990ACA" w:rsidRDefault="00E94539" w:rsidP="00E94539">
            <w:pPr>
              <w:pStyle w:val="0-"/>
            </w:pPr>
            <w:r w:rsidRPr="00990ACA">
              <w:rPr>
                <w:rFonts w:hint="eastAsia"/>
              </w:rPr>
              <w:t>電影法部分條文修正草案</w:t>
            </w:r>
          </w:p>
          <w:p w:rsidR="00E94539" w:rsidRPr="00990ACA" w:rsidRDefault="00E94539" w:rsidP="00E94539">
            <w:pPr>
              <w:pStyle w:val="0-"/>
            </w:pPr>
            <w:r w:rsidRPr="00990ACA">
              <w:rPr>
                <w:rFonts w:hint="eastAsia"/>
              </w:rPr>
              <w:t>(委員黃秀芳等22人)</w:t>
            </w:r>
          </w:p>
        </w:tc>
        <w:tc>
          <w:tcPr>
            <w:tcW w:w="797" w:type="pct"/>
          </w:tcPr>
          <w:p w:rsidR="00E94539" w:rsidRPr="00990ACA" w:rsidRDefault="00E94539" w:rsidP="00E94539">
            <w:pPr>
              <w:pStyle w:val="0-"/>
            </w:pPr>
            <w:r w:rsidRPr="00990ACA">
              <w:t>10-6-1</w:t>
            </w:r>
            <w:r w:rsidRPr="00990ACA">
              <w:rPr>
                <w:rFonts w:hint="eastAsia"/>
              </w:rPr>
              <w:t>3</w:t>
            </w:r>
          </w:p>
          <w:p w:rsidR="00E94539" w:rsidRPr="00990ACA" w:rsidRDefault="00E94539" w:rsidP="00E94539">
            <w:pPr>
              <w:pStyle w:val="0-"/>
            </w:pPr>
            <w:r w:rsidRPr="00990ACA">
              <w:t>(</w:t>
            </w:r>
            <w:r w:rsidRPr="00E94539">
              <w:rPr>
                <w:spacing w:val="-10"/>
              </w:rPr>
              <w:t>111.12.</w:t>
            </w:r>
            <w:r w:rsidRPr="00E94539">
              <w:rPr>
                <w:rFonts w:hint="eastAsia"/>
                <w:spacing w:val="-10"/>
              </w:rPr>
              <w:t>23</w:t>
            </w:r>
            <w:r w:rsidRPr="00990ACA">
              <w:t>)</w:t>
            </w:r>
          </w:p>
          <w:p w:rsidR="00E94539" w:rsidRPr="00990ACA" w:rsidRDefault="00E94539" w:rsidP="00E94539">
            <w:pPr>
              <w:pStyle w:val="0-"/>
            </w:pPr>
          </w:p>
        </w:tc>
        <w:tc>
          <w:tcPr>
            <w:tcW w:w="504" w:type="pct"/>
          </w:tcPr>
          <w:p w:rsidR="00E94539" w:rsidRPr="00990ACA" w:rsidRDefault="00E94539" w:rsidP="00E94539">
            <w:pPr>
              <w:jc w:val="both"/>
              <w:rPr>
                <w:rFonts w:ascii="標楷體" w:eastAsia="標楷體" w:hAnsi="標楷體"/>
                <w:color w:val="000000"/>
                <w:sz w:val="28"/>
                <w:szCs w:val="28"/>
              </w:rPr>
            </w:pPr>
          </w:p>
        </w:tc>
        <w:tc>
          <w:tcPr>
            <w:tcW w:w="1024" w:type="pct"/>
          </w:tcPr>
          <w:p w:rsidR="00E94539" w:rsidRPr="00990ACA" w:rsidRDefault="00E94539" w:rsidP="00E94539">
            <w:pPr>
              <w:jc w:val="both"/>
              <w:rPr>
                <w:rFonts w:ascii="標楷體" w:eastAsia="標楷體" w:hAnsi="標楷體"/>
                <w:color w:val="000000"/>
                <w:sz w:val="28"/>
                <w:szCs w:val="28"/>
              </w:rPr>
            </w:pPr>
            <w:r w:rsidRPr="00990ACA">
              <w:rPr>
                <w:rFonts w:ascii="標楷體" w:eastAsia="標楷體" w:hAnsi="標楷體" w:hint="eastAsia"/>
                <w:color w:val="000000"/>
                <w:sz w:val="28"/>
                <w:szCs w:val="28"/>
              </w:rPr>
              <w:t>尚未審查</w:t>
            </w:r>
          </w:p>
        </w:tc>
        <w:tc>
          <w:tcPr>
            <w:tcW w:w="906" w:type="pct"/>
          </w:tcPr>
          <w:p w:rsidR="00E94539" w:rsidRPr="00990ACA" w:rsidRDefault="00E94539" w:rsidP="00E94539">
            <w:pPr>
              <w:pStyle w:val="0-"/>
            </w:pPr>
            <w:r w:rsidRPr="00990ACA">
              <w:rPr>
                <w:rFonts w:hint="eastAsia"/>
              </w:rPr>
              <w:t>將電影片之廣告片，修改為電影片之預告片，以資區別。(4條)</w:t>
            </w:r>
          </w:p>
        </w:tc>
      </w:tr>
      <w:tr w:rsidR="00E94539" w:rsidRPr="00C049E6"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C049E6" w:rsidRDefault="00E94539" w:rsidP="00E94539">
            <w:pPr>
              <w:pStyle w:val="0-"/>
            </w:pPr>
            <w:r w:rsidRPr="00C049E6">
              <w:rPr>
                <w:rFonts w:hint="eastAsia"/>
              </w:rPr>
              <w:t>文化資產保存法部分條文修正草案</w:t>
            </w:r>
          </w:p>
          <w:p w:rsidR="00E94539" w:rsidRPr="00C049E6" w:rsidRDefault="00E94539" w:rsidP="00E94539">
            <w:pPr>
              <w:pStyle w:val="0-"/>
            </w:pPr>
            <w:r w:rsidRPr="00C049E6">
              <w:rPr>
                <w:rFonts w:hint="eastAsia"/>
              </w:rPr>
              <w:t>(委員黃國書等18人)</w:t>
            </w:r>
          </w:p>
        </w:tc>
        <w:tc>
          <w:tcPr>
            <w:tcW w:w="797" w:type="pct"/>
          </w:tcPr>
          <w:p w:rsidR="00E94539" w:rsidRPr="00C049E6" w:rsidRDefault="00E94539" w:rsidP="00E94539">
            <w:pPr>
              <w:pStyle w:val="0-"/>
            </w:pPr>
            <w:r w:rsidRPr="00C049E6">
              <w:t>10-1-</w:t>
            </w:r>
            <w:r w:rsidRPr="00C049E6">
              <w:rPr>
                <w:rFonts w:hint="eastAsia"/>
              </w:rPr>
              <w:t>5</w:t>
            </w:r>
          </w:p>
          <w:p w:rsidR="00E94539" w:rsidRPr="00C049E6" w:rsidRDefault="00E94539" w:rsidP="00E94539">
            <w:pPr>
              <w:pStyle w:val="0-"/>
            </w:pPr>
            <w:r w:rsidRPr="00C049E6">
              <w:t>(109</w:t>
            </w:r>
            <w:r w:rsidRPr="00C049E6">
              <w:rPr>
                <w:rFonts w:hint="eastAsia"/>
              </w:rPr>
              <w:t>.3.20</w:t>
            </w:r>
            <w:r w:rsidRPr="00C049E6">
              <w:t>)</w:t>
            </w:r>
          </w:p>
        </w:tc>
        <w:tc>
          <w:tcPr>
            <w:tcW w:w="504" w:type="pct"/>
          </w:tcPr>
          <w:p w:rsidR="00E94539" w:rsidRPr="00C049E6" w:rsidRDefault="00E94539" w:rsidP="00E94539">
            <w:pPr>
              <w:jc w:val="both"/>
              <w:rPr>
                <w:rFonts w:ascii="標楷體" w:eastAsia="標楷體" w:hAnsi="標楷體"/>
                <w:sz w:val="28"/>
                <w:szCs w:val="28"/>
              </w:rPr>
            </w:pPr>
          </w:p>
        </w:tc>
        <w:tc>
          <w:tcPr>
            <w:tcW w:w="1024" w:type="pct"/>
          </w:tcPr>
          <w:p w:rsidR="00E94539" w:rsidRPr="00C049E6" w:rsidRDefault="00E94539" w:rsidP="00E94539">
            <w:pPr>
              <w:jc w:val="both"/>
              <w:rPr>
                <w:rFonts w:ascii="標楷體" w:eastAsia="標楷體" w:hAnsi="標楷體"/>
                <w:sz w:val="28"/>
                <w:szCs w:val="28"/>
              </w:rPr>
            </w:pPr>
            <w:r w:rsidRPr="00C049E6">
              <w:rPr>
                <w:rFonts w:ascii="標楷體" w:eastAsia="標楷體" w:hAnsi="標楷體" w:hint="eastAsia"/>
                <w:sz w:val="28"/>
                <w:szCs w:val="28"/>
              </w:rPr>
              <w:t>尚未審查</w:t>
            </w:r>
          </w:p>
        </w:tc>
        <w:tc>
          <w:tcPr>
            <w:tcW w:w="906" w:type="pct"/>
          </w:tcPr>
          <w:p w:rsidR="00E94539" w:rsidRPr="00C049E6" w:rsidRDefault="00E94539" w:rsidP="00E94539">
            <w:pPr>
              <w:pStyle w:val="0-"/>
            </w:pPr>
            <w:r w:rsidRPr="00C049E6">
              <w:rPr>
                <w:rFonts w:hint="eastAsia"/>
              </w:rPr>
              <w:t>為完備文化資產保存法令體系，解決實務執行爭議，優化文化資產活化各項配套機制，以達成臺灣文化資產保存、活化、維護及傳承之立法目的。(56條)</w:t>
            </w:r>
          </w:p>
        </w:tc>
      </w:tr>
      <w:tr w:rsidR="00E94539" w:rsidRPr="00C049E6"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C049E6" w:rsidRDefault="00E94539" w:rsidP="00E94539">
            <w:pPr>
              <w:pStyle w:val="0-"/>
            </w:pPr>
            <w:r w:rsidRPr="00C049E6">
              <w:rPr>
                <w:rFonts w:hint="eastAsia"/>
              </w:rPr>
              <w:t>文化資產保存法部分條文修正草案</w:t>
            </w:r>
          </w:p>
          <w:p w:rsidR="00E94539" w:rsidRPr="00282A1E" w:rsidRDefault="00E94539" w:rsidP="00E94539">
            <w:pPr>
              <w:pStyle w:val="0-"/>
              <w:rPr>
                <w:spacing w:val="-10"/>
              </w:rPr>
            </w:pPr>
            <w:r w:rsidRPr="00282A1E">
              <w:rPr>
                <w:rFonts w:hint="eastAsia"/>
                <w:spacing w:val="-10"/>
              </w:rPr>
              <w:t>(委員張廖萬堅等20人)</w:t>
            </w:r>
          </w:p>
        </w:tc>
        <w:tc>
          <w:tcPr>
            <w:tcW w:w="797" w:type="pct"/>
          </w:tcPr>
          <w:p w:rsidR="00E94539" w:rsidRPr="00C049E6" w:rsidRDefault="00E94539" w:rsidP="00E94539">
            <w:pPr>
              <w:pStyle w:val="0-"/>
            </w:pPr>
            <w:r w:rsidRPr="00C049E6">
              <w:t>10-1-</w:t>
            </w:r>
            <w:r w:rsidRPr="00C049E6">
              <w:rPr>
                <w:rFonts w:hint="eastAsia"/>
              </w:rPr>
              <w:t>10</w:t>
            </w:r>
          </w:p>
          <w:p w:rsidR="00E94539" w:rsidRPr="00C049E6" w:rsidRDefault="00E94539" w:rsidP="00E94539">
            <w:pPr>
              <w:pStyle w:val="0-"/>
            </w:pPr>
            <w:r w:rsidRPr="00C049E6">
              <w:t>(109</w:t>
            </w:r>
            <w:r w:rsidRPr="00C049E6">
              <w:rPr>
                <w:rFonts w:hint="eastAsia"/>
              </w:rPr>
              <w:t>.4.24</w:t>
            </w:r>
            <w:r w:rsidRPr="00C049E6">
              <w:t>)</w:t>
            </w:r>
          </w:p>
        </w:tc>
        <w:tc>
          <w:tcPr>
            <w:tcW w:w="504" w:type="pct"/>
          </w:tcPr>
          <w:p w:rsidR="00E94539" w:rsidRPr="00C049E6" w:rsidRDefault="00E94539" w:rsidP="00E94539">
            <w:pPr>
              <w:jc w:val="both"/>
              <w:rPr>
                <w:rFonts w:ascii="標楷體" w:eastAsia="標楷體" w:hAnsi="標楷體"/>
                <w:sz w:val="28"/>
              </w:rPr>
            </w:pPr>
          </w:p>
        </w:tc>
        <w:tc>
          <w:tcPr>
            <w:tcW w:w="1024" w:type="pct"/>
          </w:tcPr>
          <w:p w:rsidR="00E94539" w:rsidRPr="00C049E6" w:rsidRDefault="00E94539" w:rsidP="00E94539">
            <w:pPr>
              <w:jc w:val="both"/>
              <w:rPr>
                <w:rFonts w:ascii="標楷體" w:eastAsia="標楷體" w:hAnsi="標楷體"/>
                <w:sz w:val="28"/>
                <w:szCs w:val="28"/>
              </w:rPr>
            </w:pPr>
            <w:r w:rsidRPr="00C049E6">
              <w:rPr>
                <w:rFonts w:ascii="標楷體" w:eastAsia="標楷體" w:hAnsi="標楷體" w:hint="eastAsia"/>
                <w:sz w:val="28"/>
                <w:szCs w:val="28"/>
              </w:rPr>
              <w:t>尚未審查</w:t>
            </w:r>
          </w:p>
        </w:tc>
        <w:tc>
          <w:tcPr>
            <w:tcW w:w="906" w:type="pct"/>
          </w:tcPr>
          <w:p w:rsidR="00E94539" w:rsidRPr="00C049E6" w:rsidRDefault="00E94539" w:rsidP="00E94539">
            <w:pPr>
              <w:pStyle w:val="0-"/>
            </w:pPr>
            <w:r w:rsidRPr="00C049E6">
              <w:rPr>
                <w:rFonts w:hint="eastAsia"/>
              </w:rPr>
              <w:t>為增加私有文資保存誘因與強化保存文資作為。(31條)</w:t>
            </w:r>
          </w:p>
        </w:tc>
      </w:tr>
      <w:tr w:rsidR="00E94539" w:rsidRPr="00C049E6"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C049E6" w:rsidRDefault="00E94539" w:rsidP="00E94539">
            <w:pPr>
              <w:pStyle w:val="0-"/>
            </w:pPr>
            <w:r w:rsidRPr="00C049E6">
              <w:rPr>
                <w:rFonts w:hint="eastAsia"/>
              </w:rPr>
              <w:t>文化資產保存法第九十九條條文修正草案</w:t>
            </w:r>
          </w:p>
          <w:p w:rsidR="00E94539" w:rsidRPr="00C049E6" w:rsidRDefault="00E94539" w:rsidP="00E94539">
            <w:pPr>
              <w:pStyle w:val="0-"/>
            </w:pPr>
            <w:r w:rsidRPr="00C049E6">
              <w:rPr>
                <w:rFonts w:hint="eastAsia"/>
              </w:rPr>
              <w:t>(委員何欣純等</w:t>
            </w:r>
            <w:r w:rsidRPr="00C049E6">
              <w:t>16</w:t>
            </w:r>
            <w:r w:rsidRPr="00C049E6">
              <w:rPr>
                <w:rFonts w:hint="eastAsia"/>
              </w:rPr>
              <w:t>人)</w:t>
            </w:r>
          </w:p>
        </w:tc>
        <w:tc>
          <w:tcPr>
            <w:tcW w:w="797" w:type="pct"/>
          </w:tcPr>
          <w:p w:rsidR="00E94539" w:rsidRPr="00C049E6" w:rsidRDefault="00E94539" w:rsidP="00E94539">
            <w:pPr>
              <w:pStyle w:val="0-"/>
            </w:pPr>
            <w:r w:rsidRPr="00C049E6">
              <w:t>10-1-</w:t>
            </w:r>
            <w:r w:rsidRPr="00C049E6">
              <w:rPr>
                <w:rFonts w:hint="eastAsia"/>
              </w:rPr>
              <w:t>11</w:t>
            </w:r>
          </w:p>
          <w:p w:rsidR="00E94539" w:rsidRPr="00C049E6" w:rsidRDefault="00E94539" w:rsidP="00E94539">
            <w:pPr>
              <w:pStyle w:val="0-"/>
            </w:pPr>
            <w:r w:rsidRPr="00C049E6">
              <w:t>(109</w:t>
            </w:r>
            <w:r w:rsidRPr="00C049E6">
              <w:rPr>
                <w:rFonts w:hint="eastAsia"/>
              </w:rPr>
              <w:t>.5.01</w:t>
            </w:r>
            <w:r w:rsidRPr="00C049E6">
              <w:t>)</w:t>
            </w:r>
          </w:p>
        </w:tc>
        <w:tc>
          <w:tcPr>
            <w:tcW w:w="504" w:type="pct"/>
          </w:tcPr>
          <w:p w:rsidR="00E94539" w:rsidRPr="00C049E6" w:rsidRDefault="00E94539" w:rsidP="00E94539">
            <w:pPr>
              <w:jc w:val="both"/>
              <w:rPr>
                <w:rFonts w:ascii="標楷體" w:eastAsia="標楷體" w:hAnsi="標楷體"/>
                <w:sz w:val="28"/>
                <w:szCs w:val="28"/>
              </w:rPr>
            </w:pPr>
          </w:p>
        </w:tc>
        <w:tc>
          <w:tcPr>
            <w:tcW w:w="1024" w:type="pct"/>
          </w:tcPr>
          <w:p w:rsidR="00E94539" w:rsidRPr="00C049E6" w:rsidRDefault="00E94539" w:rsidP="00E94539">
            <w:pPr>
              <w:jc w:val="both"/>
              <w:rPr>
                <w:rFonts w:ascii="標楷體" w:eastAsia="標楷體" w:hAnsi="標楷體"/>
                <w:sz w:val="28"/>
                <w:szCs w:val="28"/>
              </w:rPr>
            </w:pPr>
            <w:r w:rsidRPr="00C049E6">
              <w:rPr>
                <w:rFonts w:ascii="標楷體" w:eastAsia="標楷體" w:hAnsi="標楷體" w:hint="eastAsia"/>
                <w:sz w:val="28"/>
                <w:szCs w:val="28"/>
              </w:rPr>
              <w:t>尚未審查</w:t>
            </w:r>
          </w:p>
        </w:tc>
        <w:tc>
          <w:tcPr>
            <w:tcW w:w="906" w:type="pct"/>
          </w:tcPr>
          <w:p w:rsidR="00E94539" w:rsidRPr="00C049E6" w:rsidRDefault="00E94539" w:rsidP="00E94539">
            <w:pPr>
              <w:pStyle w:val="0-"/>
            </w:pPr>
            <w:r w:rsidRPr="00C049E6">
              <w:rPr>
                <w:rFonts w:hint="eastAsia"/>
              </w:rPr>
              <w:t>為提高民眾參與保存意願，實有修正擴大減免房屋稅與地價稅適用範圍之必要。(1條)</w:t>
            </w:r>
          </w:p>
        </w:tc>
      </w:tr>
      <w:tr w:rsidR="00E94539" w:rsidRPr="00C049E6"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C049E6" w:rsidRDefault="00E94539" w:rsidP="00E94539">
            <w:pPr>
              <w:pStyle w:val="0-"/>
            </w:pPr>
            <w:r w:rsidRPr="00C049E6">
              <w:rPr>
                <w:rFonts w:hint="eastAsia"/>
              </w:rPr>
              <w:t>文化資產保存法第九十九條條文修正草案</w:t>
            </w:r>
          </w:p>
          <w:p w:rsidR="00E94539" w:rsidRPr="00C049E6" w:rsidRDefault="00E94539" w:rsidP="00E94539">
            <w:pPr>
              <w:pStyle w:val="0-"/>
            </w:pPr>
            <w:r w:rsidRPr="00C049E6">
              <w:rPr>
                <w:rFonts w:hint="eastAsia"/>
              </w:rPr>
              <w:t>(委員謝衣鳯等18人)</w:t>
            </w:r>
          </w:p>
        </w:tc>
        <w:tc>
          <w:tcPr>
            <w:tcW w:w="797" w:type="pct"/>
          </w:tcPr>
          <w:p w:rsidR="00E94539" w:rsidRPr="00C049E6" w:rsidRDefault="00E94539" w:rsidP="00E94539">
            <w:pPr>
              <w:pStyle w:val="0-"/>
            </w:pPr>
            <w:r w:rsidRPr="00C049E6">
              <w:t>10-1-</w:t>
            </w:r>
            <w:r w:rsidRPr="00C049E6">
              <w:rPr>
                <w:rFonts w:hint="eastAsia"/>
              </w:rPr>
              <w:t>12</w:t>
            </w:r>
          </w:p>
          <w:p w:rsidR="00E94539" w:rsidRPr="00C049E6" w:rsidRDefault="00E94539" w:rsidP="00E94539">
            <w:pPr>
              <w:pStyle w:val="0-"/>
            </w:pPr>
            <w:r w:rsidRPr="00C049E6">
              <w:t>(109</w:t>
            </w:r>
            <w:r w:rsidRPr="00C049E6">
              <w:rPr>
                <w:rFonts w:hint="eastAsia"/>
              </w:rPr>
              <w:t>.5.8</w:t>
            </w:r>
            <w:r w:rsidRPr="00C049E6">
              <w:t>)</w:t>
            </w:r>
          </w:p>
        </w:tc>
        <w:tc>
          <w:tcPr>
            <w:tcW w:w="504" w:type="pct"/>
          </w:tcPr>
          <w:p w:rsidR="00E94539" w:rsidRPr="00C049E6" w:rsidRDefault="00E94539" w:rsidP="00E94539">
            <w:pPr>
              <w:jc w:val="both"/>
              <w:rPr>
                <w:rFonts w:ascii="標楷體" w:eastAsia="標楷體" w:hAnsi="標楷體"/>
                <w:sz w:val="28"/>
                <w:szCs w:val="28"/>
              </w:rPr>
            </w:pPr>
          </w:p>
        </w:tc>
        <w:tc>
          <w:tcPr>
            <w:tcW w:w="1024" w:type="pct"/>
          </w:tcPr>
          <w:p w:rsidR="00E94539" w:rsidRPr="00C049E6" w:rsidRDefault="00E94539" w:rsidP="00E94539">
            <w:pPr>
              <w:jc w:val="both"/>
              <w:rPr>
                <w:rFonts w:ascii="標楷體" w:eastAsia="標楷體" w:hAnsi="標楷體"/>
                <w:sz w:val="28"/>
                <w:szCs w:val="28"/>
              </w:rPr>
            </w:pPr>
            <w:r w:rsidRPr="00C049E6">
              <w:rPr>
                <w:rFonts w:ascii="標楷體" w:eastAsia="標楷體" w:hAnsi="標楷體" w:hint="eastAsia"/>
                <w:sz w:val="28"/>
                <w:szCs w:val="28"/>
              </w:rPr>
              <w:t>尚未審查</w:t>
            </w:r>
          </w:p>
        </w:tc>
        <w:tc>
          <w:tcPr>
            <w:tcW w:w="906" w:type="pct"/>
          </w:tcPr>
          <w:p w:rsidR="00E94539" w:rsidRPr="00C049E6" w:rsidRDefault="00E94539" w:rsidP="00E94539">
            <w:pPr>
              <w:pStyle w:val="0-"/>
            </w:pPr>
            <w:r w:rsidRPr="00C049E6">
              <w:rPr>
                <w:rFonts w:hint="eastAsia"/>
              </w:rPr>
              <w:t>在「暫定古蹟」期間也能免徵房屋稅及地價稅。(1條)</w:t>
            </w:r>
          </w:p>
        </w:tc>
      </w:tr>
      <w:tr w:rsidR="00E94539" w:rsidRPr="00C049E6"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C049E6" w:rsidRDefault="00E94539" w:rsidP="00E94539">
            <w:pPr>
              <w:pStyle w:val="0-"/>
            </w:pPr>
            <w:r w:rsidRPr="00C049E6">
              <w:rPr>
                <w:rFonts w:hint="eastAsia"/>
              </w:rPr>
              <w:t>文化資產保存法第二十三條條文修正草案</w:t>
            </w:r>
          </w:p>
          <w:p w:rsidR="00E94539" w:rsidRPr="00C049E6" w:rsidRDefault="00E94539" w:rsidP="00E94539">
            <w:pPr>
              <w:pStyle w:val="0-"/>
            </w:pPr>
            <w:r w:rsidRPr="00C049E6">
              <w:rPr>
                <w:rFonts w:hint="eastAsia"/>
              </w:rPr>
              <w:t>(委員湯蕙禎等18人)</w:t>
            </w:r>
          </w:p>
        </w:tc>
        <w:tc>
          <w:tcPr>
            <w:tcW w:w="797" w:type="pct"/>
          </w:tcPr>
          <w:p w:rsidR="00E94539" w:rsidRPr="00C049E6" w:rsidRDefault="00E94539" w:rsidP="00E94539">
            <w:pPr>
              <w:pStyle w:val="0-"/>
            </w:pPr>
            <w:r w:rsidRPr="00C049E6">
              <w:rPr>
                <w:rFonts w:hint="eastAsia"/>
              </w:rPr>
              <w:t>10-1-15</w:t>
            </w:r>
          </w:p>
          <w:p w:rsidR="00E94539" w:rsidRPr="00C049E6" w:rsidRDefault="00E94539" w:rsidP="00E94539">
            <w:pPr>
              <w:pStyle w:val="0-"/>
            </w:pPr>
            <w:r w:rsidRPr="00C049E6">
              <w:rPr>
                <w:rFonts w:hint="eastAsia"/>
              </w:rPr>
              <w:t>(109.5.29)</w:t>
            </w:r>
          </w:p>
        </w:tc>
        <w:tc>
          <w:tcPr>
            <w:tcW w:w="504" w:type="pct"/>
          </w:tcPr>
          <w:p w:rsidR="00E94539" w:rsidRPr="00C049E6" w:rsidRDefault="00E94539" w:rsidP="00E94539">
            <w:pPr>
              <w:jc w:val="both"/>
              <w:rPr>
                <w:rFonts w:ascii="標楷體" w:eastAsia="標楷體" w:hAnsi="標楷體"/>
                <w:sz w:val="28"/>
                <w:szCs w:val="28"/>
              </w:rPr>
            </w:pPr>
          </w:p>
        </w:tc>
        <w:tc>
          <w:tcPr>
            <w:tcW w:w="1024" w:type="pct"/>
          </w:tcPr>
          <w:p w:rsidR="00E94539" w:rsidRPr="00C049E6" w:rsidRDefault="00E94539" w:rsidP="00E94539">
            <w:pPr>
              <w:jc w:val="both"/>
              <w:rPr>
                <w:rFonts w:ascii="標楷體" w:eastAsia="標楷體" w:hAnsi="標楷體"/>
                <w:sz w:val="28"/>
                <w:szCs w:val="28"/>
              </w:rPr>
            </w:pPr>
            <w:r w:rsidRPr="00C049E6">
              <w:rPr>
                <w:rFonts w:ascii="標楷體" w:eastAsia="標楷體" w:hAnsi="標楷體" w:hint="eastAsia"/>
                <w:sz w:val="28"/>
                <w:szCs w:val="28"/>
              </w:rPr>
              <w:t>尚未審查</w:t>
            </w:r>
          </w:p>
        </w:tc>
        <w:tc>
          <w:tcPr>
            <w:tcW w:w="906" w:type="pct"/>
          </w:tcPr>
          <w:p w:rsidR="00E94539" w:rsidRPr="00C049E6" w:rsidRDefault="00E94539" w:rsidP="00E94539">
            <w:pPr>
              <w:pStyle w:val="0-"/>
            </w:pPr>
            <w:r w:rsidRPr="00C049E6">
              <w:rPr>
                <w:rFonts w:hint="eastAsia"/>
              </w:rPr>
              <w:t>鑑於現行文化資產保存法有關古蹟 管理維護項目下，有關防盜、防災、保險與緊急應變計畫，除了應明列擬定與執行方式，亦應加入古蹟防範監視項目，並於所有人、使用人或管理人之手機聯結為一定程度之示警，提升災害防救之風險管理意識。(1條)</w:t>
            </w:r>
          </w:p>
        </w:tc>
      </w:tr>
      <w:tr w:rsidR="00E94539" w:rsidRPr="001B7EC0"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1B7EC0" w:rsidRDefault="00E94539" w:rsidP="00E94539">
            <w:pPr>
              <w:pStyle w:val="0-"/>
            </w:pPr>
            <w:r w:rsidRPr="001B7EC0">
              <w:rPr>
                <w:rFonts w:hint="eastAsia"/>
              </w:rPr>
              <w:t>文化資產保存法部分條文修正草案</w:t>
            </w:r>
          </w:p>
          <w:p w:rsidR="00E94539" w:rsidRPr="001B7EC0" w:rsidRDefault="00E94539" w:rsidP="00E94539">
            <w:pPr>
              <w:pStyle w:val="0-"/>
            </w:pPr>
            <w:r w:rsidRPr="001B7EC0">
              <w:rPr>
                <w:rFonts w:hint="eastAsia"/>
              </w:rPr>
              <w:t>(民眾黨黨團)</w:t>
            </w:r>
          </w:p>
        </w:tc>
        <w:tc>
          <w:tcPr>
            <w:tcW w:w="797" w:type="pct"/>
          </w:tcPr>
          <w:p w:rsidR="00E94539" w:rsidRPr="001B7EC0" w:rsidRDefault="00E94539" w:rsidP="00E94539">
            <w:pPr>
              <w:pStyle w:val="0-"/>
            </w:pPr>
            <w:r w:rsidRPr="001B7EC0">
              <w:t>10-3-1</w:t>
            </w:r>
            <w:r w:rsidRPr="001B7EC0">
              <w:rPr>
                <w:rFonts w:hint="eastAsia"/>
              </w:rPr>
              <w:t>2</w:t>
            </w:r>
          </w:p>
          <w:p w:rsidR="00E94539" w:rsidRPr="001B7EC0" w:rsidRDefault="00E94539" w:rsidP="00E94539">
            <w:pPr>
              <w:pStyle w:val="0-"/>
            </w:pPr>
            <w:r w:rsidRPr="001B7EC0">
              <w:t>(110.5.</w:t>
            </w:r>
            <w:r w:rsidRPr="001B7EC0">
              <w:rPr>
                <w:rFonts w:hint="eastAsia"/>
              </w:rPr>
              <w:t>14</w:t>
            </w:r>
            <w:r w:rsidRPr="001B7EC0">
              <w:t>)</w:t>
            </w:r>
          </w:p>
        </w:tc>
        <w:tc>
          <w:tcPr>
            <w:tcW w:w="504" w:type="pct"/>
          </w:tcPr>
          <w:p w:rsidR="00E94539" w:rsidRPr="001B7EC0" w:rsidRDefault="00E94539" w:rsidP="00E94539">
            <w:pPr>
              <w:jc w:val="both"/>
              <w:rPr>
                <w:rFonts w:ascii="標楷體" w:eastAsia="標楷體" w:hAnsi="標楷體"/>
                <w:color w:val="000000"/>
                <w:sz w:val="28"/>
                <w:szCs w:val="28"/>
              </w:rPr>
            </w:pPr>
          </w:p>
        </w:tc>
        <w:tc>
          <w:tcPr>
            <w:tcW w:w="1024" w:type="pct"/>
          </w:tcPr>
          <w:p w:rsidR="00E94539" w:rsidRPr="001B7EC0" w:rsidRDefault="00E94539" w:rsidP="00E94539">
            <w:pPr>
              <w:jc w:val="both"/>
              <w:rPr>
                <w:rFonts w:ascii="標楷體" w:eastAsia="標楷體" w:hAnsi="標楷體"/>
                <w:color w:val="000000"/>
                <w:sz w:val="28"/>
                <w:szCs w:val="28"/>
              </w:rPr>
            </w:pPr>
            <w:r w:rsidRPr="001B7EC0">
              <w:rPr>
                <w:rFonts w:ascii="標楷體" w:eastAsia="標楷體" w:hAnsi="標楷體" w:hint="eastAsia"/>
                <w:color w:val="000000"/>
                <w:sz w:val="28"/>
                <w:szCs w:val="28"/>
              </w:rPr>
              <w:t>尚未審查</w:t>
            </w:r>
          </w:p>
        </w:tc>
        <w:tc>
          <w:tcPr>
            <w:tcW w:w="906" w:type="pct"/>
          </w:tcPr>
          <w:p w:rsidR="00E94539" w:rsidRPr="001B7EC0" w:rsidRDefault="00E94539" w:rsidP="00E94539">
            <w:pPr>
              <w:pStyle w:val="0-"/>
            </w:pPr>
            <w:r w:rsidRPr="001B7EC0">
              <w:rPr>
                <w:rFonts w:hint="eastAsia"/>
              </w:rPr>
              <w:t>文化資產保存法作為文化資產保存之上位法，應解決實務執行爭議，並達到文化資產之保存、活化及傳承之立法目的。(40條)</w:t>
            </w:r>
          </w:p>
        </w:tc>
      </w:tr>
      <w:tr w:rsidR="00E94539" w:rsidRPr="001B7EC0"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0A07A6" w:rsidRDefault="00E94539" w:rsidP="00E94539">
            <w:pPr>
              <w:pStyle w:val="0-"/>
            </w:pPr>
            <w:r w:rsidRPr="000A07A6">
              <w:rPr>
                <w:rFonts w:hint="eastAsia"/>
              </w:rPr>
              <w:t>文化資產保存法第三條條文修正草案</w:t>
            </w:r>
          </w:p>
          <w:p w:rsidR="00E94539" w:rsidRPr="000A07A6" w:rsidRDefault="00E94539" w:rsidP="00E94539">
            <w:pPr>
              <w:pStyle w:val="0-"/>
            </w:pPr>
            <w:r w:rsidRPr="000A07A6">
              <w:rPr>
                <w:rFonts w:hint="eastAsia"/>
              </w:rPr>
              <w:t>(委員郭國文等17人)</w:t>
            </w:r>
          </w:p>
        </w:tc>
        <w:tc>
          <w:tcPr>
            <w:tcW w:w="797" w:type="pct"/>
          </w:tcPr>
          <w:p w:rsidR="00E94539" w:rsidRPr="000A07A6" w:rsidRDefault="00E94539" w:rsidP="00E94539">
            <w:pPr>
              <w:pStyle w:val="0-"/>
            </w:pPr>
            <w:r w:rsidRPr="000A07A6">
              <w:t>10-4-4</w:t>
            </w:r>
          </w:p>
          <w:p w:rsidR="00E94539" w:rsidRPr="000A07A6" w:rsidRDefault="00E94539" w:rsidP="00E94539">
            <w:pPr>
              <w:pStyle w:val="0-"/>
            </w:pPr>
            <w:r w:rsidRPr="000A07A6">
              <w:t>(110.10.8)</w:t>
            </w:r>
          </w:p>
        </w:tc>
        <w:tc>
          <w:tcPr>
            <w:tcW w:w="504" w:type="pct"/>
          </w:tcPr>
          <w:p w:rsidR="00E94539" w:rsidRPr="000A07A6" w:rsidRDefault="00E94539" w:rsidP="00E94539">
            <w:pPr>
              <w:jc w:val="both"/>
              <w:rPr>
                <w:rFonts w:ascii="標楷體" w:eastAsia="標楷體" w:hAnsi="標楷體"/>
                <w:color w:val="000000"/>
                <w:sz w:val="28"/>
                <w:szCs w:val="28"/>
              </w:rPr>
            </w:pPr>
          </w:p>
        </w:tc>
        <w:tc>
          <w:tcPr>
            <w:tcW w:w="1024" w:type="pct"/>
          </w:tcPr>
          <w:p w:rsidR="00E94539" w:rsidRPr="000A07A6" w:rsidRDefault="00E94539" w:rsidP="00E94539">
            <w:pPr>
              <w:jc w:val="both"/>
              <w:rPr>
                <w:rFonts w:ascii="標楷體" w:eastAsia="標楷體" w:hAnsi="標楷體"/>
                <w:color w:val="000000"/>
                <w:sz w:val="28"/>
                <w:szCs w:val="28"/>
              </w:rPr>
            </w:pPr>
            <w:r w:rsidRPr="000A07A6">
              <w:rPr>
                <w:rFonts w:ascii="標楷體" w:eastAsia="標楷體" w:hAnsi="標楷體" w:hint="eastAsia"/>
                <w:color w:val="000000"/>
                <w:sz w:val="28"/>
                <w:szCs w:val="28"/>
              </w:rPr>
              <w:t>尚未審查</w:t>
            </w:r>
          </w:p>
        </w:tc>
        <w:tc>
          <w:tcPr>
            <w:tcW w:w="906" w:type="pct"/>
          </w:tcPr>
          <w:p w:rsidR="00E94539" w:rsidRPr="000A07A6" w:rsidRDefault="00E94539" w:rsidP="00E94539">
            <w:pPr>
              <w:pStyle w:val="0-"/>
            </w:pPr>
            <w:r w:rsidRPr="000A07A6">
              <w:rPr>
                <w:rFonts w:hint="eastAsia"/>
              </w:rPr>
              <w:t>我國國民生活傳統習俗之保存，恐有保護不足之疑慮。(1條)</w:t>
            </w:r>
          </w:p>
        </w:tc>
      </w:tr>
      <w:tr w:rsidR="00E94539" w:rsidRPr="001B7EC0"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AC715F" w:rsidRDefault="00E94539" w:rsidP="00E94539">
            <w:pPr>
              <w:pStyle w:val="0-"/>
            </w:pPr>
            <w:r w:rsidRPr="00AC715F">
              <w:rPr>
                <w:rFonts w:hint="eastAsia"/>
              </w:rPr>
              <w:t>文化資產保存法第九十九條條文修正草案</w:t>
            </w:r>
          </w:p>
          <w:p w:rsidR="00E94539" w:rsidRPr="00AC715F" w:rsidRDefault="00E94539" w:rsidP="00E94539">
            <w:pPr>
              <w:pStyle w:val="0-"/>
            </w:pPr>
            <w:r w:rsidRPr="00AC715F">
              <w:rPr>
                <w:rFonts w:hint="eastAsia"/>
              </w:rPr>
              <w:t>(委員陳明文等19人)</w:t>
            </w:r>
          </w:p>
        </w:tc>
        <w:tc>
          <w:tcPr>
            <w:tcW w:w="797" w:type="pct"/>
          </w:tcPr>
          <w:p w:rsidR="00E94539" w:rsidRPr="00AC715F" w:rsidRDefault="00E94539" w:rsidP="00E94539">
            <w:pPr>
              <w:pStyle w:val="0-"/>
            </w:pPr>
            <w:r w:rsidRPr="00AC715F">
              <w:t>10-5-13</w:t>
            </w:r>
          </w:p>
          <w:p w:rsidR="00E94539" w:rsidRPr="00AC715F" w:rsidRDefault="00E94539" w:rsidP="00E94539">
            <w:pPr>
              <w:pStyle w:val="0-"/>
            </w:pPr>
            <w:r w:rsidRPr="00AC715F">
              <w:t>(111.5.20)</w:t>
            </w:r>
          </w:p>
        </w:tc>
        <w:tc>
          <w:tcPr>
            <w:tcW w:w="504" w:type="pct"/>
          </w:tcPr>
          <w:p w:rsidR="00E94539" w:rsidRPr="00AC715F" w:rsidRDefault="00E94539" w:rsidP="00E94539">
            <w:pPr>
              <w:jc w:val="both"/>
              <w:rPr>
                <w:rFonts w:ascii="標楷體" w:eastAsia="標楷體" w:hAnsi="標楷體"/>
                <w:color w:val="000000"/>
                <w:sz w:val="28"/>
                <w:szCs w:val="28"/>
              </w:rPr>
            </w:pPr>
          </w:p>
        </w:tc>
        <w:tc>
          <w:tcPr>
            <w:tcW w:w="1024" w:type="pct"/>
          </w:tcPr>
          <w:p w:rsidR="00E94539" w:rsidRPr="00AC715F" w:rsidRDefault="00E94539" w:rsidP="00E94539">
            <w:pPr>
              <w:jc w:val="both"/>
              <w:rPr>
                <w:rFonts w:ascii="標楷體" w:eastAsia="標楷體" w:hAnsi="標楷體"/>
                <w:color w:val="000000"/>
                <w:sz w:val="28"/>
                <w:szCs w:val="28"/>
              </w:rPr>
            </w:pPr>
            <w:r w:rsidRPr="00AC715F">
              <w:rPr>
                <w:rFonts w:ascii="標楷體" w:eastAsia="標楷體" w:hAnsi="標楷體" w:hint="eastAsia"/>
                <w:color w:val="000000"/>
                <w:sz w:val="28"/>
                <w:szCs w:val="28"/>
              </w:rPr>
              <w:t>尚未審查</w:t>
            </w:r>
          </w:p>
        </w:tc>
        <w:tc>
          <w:tcPr>
            <w:tcW w:w="906" w:type="pct"/>
          </w:tcPr>
          <w:p w:rsidR="00E94539" w:rsidRPr="00AC715F" w:rsidRDefault="00E94539" w:rsidP="00E94539">
            <w:pPr>
              <w:pStyle w:val="0-"/>
            </w:pPr>
            <w:r w:rsidRPr="00AC715F">
              <w:rPr>
                <w:rFonts w:hint="eastAsia"/>
              </w:rPr>
              <w:t>大法官會議第813號解釋，認不符憲法第十五條保障人民財產權之意旨，應予修正。(1條)</w:t>
            </w:r>
          </w:p>
        </w:tc>
      </w:tr>
      <w:tr w:rsidR="00E94539" w:rsidRPr="001B7EC0"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AC715F" w:rsidRDefault="00E94539" w:rsidP="00E94539">
            <w:pPr>
              <w:pStyle w:val="0-"/>
            </w:pPr>
            <w:r w:rsidRPr="00AC715F">
              <w:rPr>
                <w:rFonts w:hint="eastAsia"/>
              </w:rPr>
              <w:t>文化資產保存法第九十九條條文修正草案</w:t>
            </w:r>
          </w:p>
          <w:p w:rsidR="00E94539" w:rsidRPr="00AC715F" w:rsidRDefault="00E94539" w:rsidP="00E94539">
            <w:pPr>
              <w:pStyle w:val="0-"/>
            </w:pPr>
            <w:r w:rsidRPr="00AC715F">
              <w:rPr>
                <w:rFonts w:hint="eastAsia"/>
              </w:rPr>
              <w:t>(委員黃秀芳等19人)</w:t>
            </w:r>
          </w:p>
        </w:tc>
        <w:tc>
          <w:tcPr>
            <w:tcW w:w="797" w:type="pct"/>
          </w:tcPr>
          <w:p w:rsidR="00E94539" w:rsidRPr="00AC715F" w:rsidRDefault="00E94539" w:rsidP="00E94539">
            <w:pPr>
              <w:pStyle w:val="0-"/>
            </w:pPr>
            <w:r w:rsidRPr="00AC715F">
              <w:t>10-5-13</w:t>
            </w:r>
          </w:p>
          <w:p w:rsidR="00E94539" w:rsidRPr="00AC715F" w:rsidRDefault="00E94539" w:rsidP="00E94539">
            <w:pPr>
              <w:pStyle w:val="0-"/>
            </w:pPr>
            <w:r w:rsidRPr="00AC715F">
              <w:t>(111.5.20)</w:t>
            </w:r>
          </w:p>
        </w:tc>
        <w:tc>
          <w:tcPr>
            <w:tcW w:w="504" w:type="pct"/>
          </w:tcPr>
          <w:p w:rsidR="00E94539" w:rsidRPr="00AC715F" w:rsidRDefault="00E94539" w:rsidP="00E94539">
            <w:pPr>
              <w:jc w:val="both"/>
              <w:rPr>
                <w:rFonts w:ascii="標楷體" w:eastAsia="標楷體" w:hAnsi="標楷體"/>
                <w:color w:val="000000"/>
                <w:sz w:val="28"/>
                <w:szCs w:val="28"/>
              </w:rPr>
            </w:pPr>
          </w:p>
        </w:tc>
        <w:tc>
          <w:tcPr>
            <w:tcW w:w="1024" w:type="pct"/>
          </w:tcPr>
          <w:p w:rsidR="00E94539" w:rsidRPr="00AC715F" w:rsidRDefault="00E94539" w:rsidP="00E94539">
            <w:pPr>
              <w:jc w:val="both"/>
              <w:rPr>
                <w:rFonts w:ascii="標楷體" w:eastAsia="標楷體" w:hAnsi="標楷體"/>
                <w:color w:val="000000"/>
                <w:sz w:val="28"/>
                <w:szCs w:val="28"/>
              </w:rPr>
            </w:pPr>
            <w:r w:rsidRPr="00AC715F">
              <w:rPr>
                <w:rFonts w:ascii="標楷體" w:eastAsia="標楷體" w:hAnsi="標楷體" w:hint="eastAsia"/>
                <w:color w:val="000000"/>
                <w:sz w:val="28"/>
                <w:szCs w:val="28"/>
              </w:rPr>
              <w:t>尚未審查</w:t>
            </w:r>
          </w:p>
        </w:tc>
        <w:tc>
          <w:tcPr>
            <w:tcW w:w="906" w:type="pct"/>
          </w:tcPr>
          <w:p w:rsidR="00E94539" w:rsidRPr="00AC715F" w:rsidRDefault="00E94539" w:rsidP="00E94539">
            <w:pPr>
              <w:pStyle w:val="0-"/>
            </w:pPr>
            <w:r w:rsidRPr="00AC715F">
              <w:rPr>
                <w:rFonts w:hint="eastAsia"/>
              </w:rPr>
              <w:t>歷史建築、紀念建築之保存、修復、再利用、維護管理及重大災害之緊急修復所受限制相當於古蹟，租稅優惠卻與古蹟有別。(1條)</w:t>
            </w:r>
          </w:p>
        </w:tc>
      </w:tr>
      <w:tr w:rsidR="00E94539" w:rsidRPr="001B7EC0"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7B5B67" w:rsidRDefault="00E94539" w:rsidP="00E94539">
            <w:pPr>
              <w:pStyle w:val="0-"/>
            </w:pPr>
            <w:r w:rsidRPr="007B5B67">
              <w:rPr>
                <w:rFonts w:hint="eastAsia"/>
              </w:rPr>
              <w:t>文化資產保存法第六條條文修正草案</w:t>
            </w:r>
          </w:p>
          <w:p w:rsidR="00E94539" w:rsidRPr="007B5B67" w:rsidRDefault="00E94539" w:rsidP="00E94539">
            <w:pPr>
              <w:pStyle w:val="0-"/>
            </w:pPr>
            <w:r w:rsidRPr="007B5B67">
              <w:rPr>
                <w:rFonts w:hint="eastAsia"/>
              </w:rPr>
              <w:t>(委員黃國書等19人)</w:t>
            </w:r>
          </w:p>
        </w:tc>
        <w:tc>
          <w:tcPr>
            <w:tcW w:w="797" w:type="pct"/>
          </w:tcPr>
          <w:p w:rsidR="00E94539" w:rsidRPr="007B5B67" w:rsidRDefault="00E94539" w:rsidP="00E94539">
            <w:pPr>
              <w:pStyle w:val="0-"/>
            </w:pPr>
            <w:r w:rsidRPr="007B5B67">
              <w:t>10-6-3</w:t>
            </w:r>
          </w:p>
          <w:p w:rsidR="00E94539" w:rsidRPr="007B5B67" w:rsidRDefault="00E94539" w:rsidP="00E94539">
            <w:pPr>
              <w:pStyle w:val="0-"/>
            </w:pPr>
            <w:r w:rsidRPr="007B5B67">
              <w:t>(111.10.7)</w:t>
            </w:r>
          </w:p>
        </w:tc>
        <w:tc>
          <w:tcPr>
            <w:tcW w:w="504" w:type="pct"/>
          </w:tcPr>
          <w:p w:rsidR="00E94539" w:rsidRPr="007B5B67" w:rsidRDefault="00E94539" w:rsidP="00E94539">
            <w:pPr>
              <w:jc w:val="both"/>
              <w:rPr>
                <w:rFonts w:ascii="標楷體" w:eastAsia="標楷體" w:hAnsi="標楷體"/>
                <w:color w:val="000000"/>
                <w:sz w:val="28"/>
                <w:szCs w:val="28"/>
              </w:rPr>
            </w:pPr>
          </w:p>
        </w:tc>
        <w:tc>
          <w:tcPr>
            <w:tcW w:w="1024" w:type="pct"/>
          </w:tcPr>
          <w:p w:rsidR="00E94539" w:rsidRPr="007B5B67" w:rsidRDefault="00E94539" w:rsidP="00E94539">
            <w:pPr>
              <w:jc w:val="both"/>
              <w:rPr>
                <w:rFonts w:ascii="標楷體" w:eastAsia="標楷體" w:hAnsi="標楷體"/>
                <w:color w:val="000000"/>
                <w:sz w:val="28"/>
                <w:szCs w:val="28"/>
              </w:rPr>
            </w:pPr>
            <w:r w:rsidRPr="007B5B67">
              <w:rPr>
                <w:rFonts w:ascii="標楷體" w:eastAsia="標楷體" w:hAnsi="標楷體" w:hint="eastAsia"/>
                <w:color w:val="000000"/>
                <w:sz w:val="28"/>
                <w:szCs w:val="28"/>
              </w:rPr>
              <w:t>尚未審查</w:t>
            </w:r>
          </w:p>
        </w:tc>
        <w:tc>
          <w:tcPr>
            <w:tcW w:w="906" w:type="pct"/>
          </w:tcPr>
          <w:p w:rsidR="00E94539" w:rsidRPr="007B5B67" w:rsidRDefault="00E94539" w:rsidP="00E94539">
            <w:pPr>
              <w:pStyle w:val="0-"/>
            </w:pPr>
            <w:r w:rsidRPr="007B5B67">
              <w:rPr>
                <w:rFonts w:hint="eastAsia"/>
              </w:rPr>
              <w:t>將原規範於辦法中的會議紀錄公告規定移列至文資法中，並要求會議記錄應詳細記載委員意見及決議理由。(1條)</w:t>
            </w:r>
          </w:p>
        </w:tc>
      </w:tr>
      <w:tr w:rsidR="00E94539" w:rsidRPr="001B7EC0"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7B5B67" w:rsidRDefault="00E94539" w:rsidP="00E94539">
            <w:pPr>
              <w:pStyle w:val="0-"/>
            </w:pPr>
            <w:r w:rsidRPr="007B5B67">
              <w:rPr>
                <w:rFonts w:hint="eastAsia"/>
              </w:rPr>
              <w:t>文化資產保存法第十八條條文修正草案</w:t>
            </w:r>
          </w:p>
          <w:p w:rsidR="00E94539" w:rsidRPr="007B5B67" w:rsidRDefault="00E94539" w:rsidP="00E94539">
            <w:pPr>
              <w:pStyle w:val="0-"/>
            </w:pPr>
            <w:r w:rsidRPr="007B5B67">
              <w:rPr>
                <w:rFonts w:hint="eastAsia"/>
              </w:rPr>
              <w:t>(</w:t>
            </w:r>
            <w:r w:rsidRPr="00E94539">
              <w:rPr>
                <w:rFonts w:hint="eastAsia"/>
                <w:spacing w:val="-10"/>
              </w:rPr>
              <w:t>委員張廖萬堅等22人</w:t>
            </w:r>
            <w:r w:rsidRPr="007B5B67">
              <w:rPr>
                <w:rFonts w:hint="eastAsia"/>
              </w:rPr>
              <w:t>)</w:t>
            </w:r>
          </w:p>
        </w:tc>
        <w:tc>
          <w:tcPr>
            <w:tcW w:w="797" w:type="pct"/>
          </w:tcPr>
          <w:p w:rsidR="00E94539" w:rsidRPr="007B5B67" w:rsidRDefault="00E94539" w:rsidP="00E94539">
            <w:pPr>
              <w:pStyle w:val="0-"/>
            </w:pPr>
            <w:r w:rsidRPr="007B5B67">
              <w:t>10-6-3</w:t>
            </w:r>
          </w:p>
          <w:p w:rsidR="00E94539" w:rsidRPr="007B5B67" w:rsidRDefault="00E94539" w:rsidP="00E94539">
            <w:pPr>
              <w:pStyle w:val="0-"/>
            </w:pPr>
            <w:r w:rsidRPr="007B5B67">
              <w:t>(111.10.7)</w:t>
            </w:r>
          </w:p>
        </w:tc>
        <w:tc>
          <w:tcPr>
            <w:tcW w:w="504" w:type="pct"/>
          </w:tcPr>
          <w:p w:rsidR="00E94539" w:rsidRPr="007B5B67" w:rsidRDefault="00E94539" w:rsidP="00E94539">
            <w:pPr>
              <w:jc w:val="both"/>
              <w:rPr>
                <w:rFonts w:ascii="標楷體" w:eastAsia="標楷體" w:hAnsi="標楷體"/>
                <w:color w:val="000000"/>
                <w:sz w:val="28"/>
                <w:szCs w:val="28"/>
              </w:rPr>
            </w:pPr>
          </w:p>
        </w:tc>
        <w:tc>
          <w:tcPr>
            <w:tcW w:w="1024" w:type="pct"/>
          </w:tcPr>
          <w:p w:rsidR="00E94539" w:rsidRPr="007B5B67" w:rsidRDefault="00E94539" w:rsidP="00E94539">
            <w:pPr>
              <w:jc w:val="both"/>
              <w:rPr>
                <w:rFonts w:ascii="標楷體" w:eastAsia="標楷體" w:hAnsi="標楷體"/>
                <w:color w:val="000000"/>
                <w:sz w:val="28"/>
                <w:szCs w:val="28"/>
              </w:rPr>
            </w:pPr>
            <w:r w:rsidRPr="007B5B67">
              <w:rPr>
                <w:rFonts w:ascii="標楷體" w:eastAsia="標楷體" w:hAnsi="標楷體" w:hint="eastAsia"/>
                <w:color w:val="000000"/>
                <w:sz w:val="28"/>
                <w:szCs w:val="28"/>
              </w:rPr>
              <w:t>尚未審查</w:t>
            </w:r>
          </w:p>
        </w:tc>
        <w:tc>
          <w:tcPr>
            <w:tcW w:w="906" w:type="pct"/>
          </w:tcPr>
          <w:p w:rsidR="00E94539" w:rsidRPr="007B5B67" w:rsidRDefault="00E94539" w:rsidP="00E94539">
            <w:pPr>
              <w:pStyle w:val="0-"/>
            </w:pPr>
            <w:r w:rsidRPr="007B5B67">
              <w:rPr>
                <w:rFonts w:hint="eastAsia"/>
              </w:rPr>
              <w:t>現行法針對已登錄歷史建築的廢止程序過於簡略，應修法明確其廢止條件，達到文資保存之目的。(1條)</w:t>
            </w:r>
          </w:p>
        </w:tc>
      </w:tr>
      <w:tr w:rsidR="00E94539" w:rsidRPr="001B7EC0"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7B3632" w:rsidRDefault="00E94539" w:rsidP="00E94539">
            <w:pPr>
              <w:pStyle w:val="0-"/>
            </w:pPr>
            <w:r w:rsidRPr="007B3632">
              <w:rPr>
                <w:rFonts w:hint="eastAsia"/>
              </w:rPr>
              <w:t>文化資產保存法第三十二條、第四十一條及第九十九條條文修正草案</w:t>
            </w:r>
          </w:p>
          <w:p w:rsidR="00E94539" w:rsidRPr="007B3632" w:rsidRDefault="00E94539" w:rsidP="00E94539">
            <w:pPr>
              <w:pStyle w:val="0-"/>
            </w:pPr>
            <w:r w:rsidRPr="007B3632">
              <w:rPr>
                <w:rFonts w:hint="eastAsia"/>
              </w:rPr>
              <w:t>(委員陳秀寳等</w:t>
            </w:r>
            <w:r w:rsidRPr="007B3632">
              <w:t>22</w:t>
            </w:r>
            <w:r w:rsidRPr="007B3632">
              <w:rPr>
                <w:rFonts w:hint="eastAsia"/>
              </w:rPr>
              <w:t>人)</w:t>
            </w:r>
          </w:p>
        </w:tc>
        <w:tc>
          <w:tcPr>
            <w:tcW w:w="797" w:type="pct"/>
          </w:tcPr>
          <w:p w:rsidR="00E94539" w:rsidRPr="007B3632" w:rsidRDefault="00E94539" w:rsidP="00E94539">
            <w:pPr>
              <w:pStyle w:val="0-"/>
            </w:pPr>
            <w:r w:rsidRPr="007B3632">
              <w:t>10-6-4</w:t>
            </w:r>
          </w:p>
          <w:p w:rsidR="00E94539" w:rsidRPr="007B3632" w:rsidRDefault="00E94539" w:rsidP="00E94539">
            <w:pPr>
              <w:pStyle w:val="0-"/>
            </w:pPr>
            <w:r w:rsidRPr="00E94539">
              <w:rPr>
                <w:spacing w:val="-10"/>
              </w:rPr>
              <w:t>(111.10.14)</w:t>
            </w:r>
          </w:p>
        </w:tc>
        <w:tc>
          <w:tcPr>
            <w:tcW w:w="504" w:type="pct"/>
          </w:tcPr>
          <w:p w:rsidR="00E94539" w:rsidRPr="007B3632" w:rsidRDefault="00E94539" w:rsidP="00E94539">
            <w:pPr>
              <w:jc w:val="both"/>
              <w:rPr>
                <w:rFonts w:ascii="標楷體" w:eastAsia="標楷體" w:hAnsi="標楷體"/>
                <w:color w:val="000000"/>
                <w:sz w:val="28"/>
                <w:szCs w:val="28"/>
              </w:rPr>
            </w:pPr>
          </w:p>
        </w:tc>
        <w:tc>
          <w:tcPr>
            <w:tcW w:w="1024" w:type="pct"/>
          </w:tcPr>
          <w:p w:rsidR="00E94539" w:rsidRPr="007B3632" w:rsidRDefault="00E94539" w:rsidP="00E94539">
            <w:pPr>
              <w:jc w:val="both"/>
              <w:rPr>
                <w:rFonts w:ascii="標楷體" w:eastAsia="標楷體" w:hAnsi="標楷體"/>
                <w:color w:val="000000"/>
                <w:sz w:val="28"/>
                <w:szCs w:val="28"/>
              </w:rPr>
            </w:pPr>
            <w:r w:rsidRPr="007B3632">
              <w:rPr>
                <w:rFonts w:ascii="標楷體" w:eastAsia="標楷體" w:hAnsi="標楷體" w:hint="eastAsia"/>
                <w:color w:val="000000"/>
                <w:sz w:val="28"/>
                <w:szCs w:val="28"/>
              </w:rPr>
              <w:t>尚未審查</w:t>
            </w:r>
          </w:p>
        </w:tc>
        <w:tc>
          <w:tcPr>
            <w:tcW w:w="906" w:type="pct"/>
          </w:tcPr>
          <w:p w:rsidR="00E94539" w:rsidRPr="007B3632" w:rsidRDefault="00E94539" w:rsidP="00E94539">
            <w:pPr>
              <w:pStyle w:val="0-"/>
            </w:pPr>
            <w:r w:rsidRPr="007B3632">
              <w:rPr>
                <w:rFonts w:hint="eastAsia"/>
              </w:rPr>
              <w:t>增訂主管機關優先承買權之期限、容積移轉制度及經指定或登錄之私有歷史建築、紀念建築及所定著之土地之補償措施。(</w:t>
            </w:r>
            <w:r w:rsidRPr="007B3632">
              <w:t>3</w:t>
            </w:r>
            <w:r w:rsidRPr="007B3632">
              <w:rPr>
                <w:rFonts w:hint="eastAsia"/>
              </w:rPr>
              <w:t>條)</w:t>
            </w:r>
          </w:p>
        </w:tc>
      </w:tr>
      <w:tr w:rsidR="00E94539" w:rsidRPr="00C33FE7"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7B3632" w:rsidRDefault="00E94539" w:rsidP="00E94539">
            <w:pPr>
              <w:pStyle w:val="0-"/>
            </w:pPr>
            <w:r w:rsidRPr="007B3632">
              <w:rPr>
                <w:rFonts w:hint="eastAsia"/>
              </w:rPr>
              <w:t>文化資產保存法第九十九條條文修正草案</w:t>
            </w:r>
          </w:p>
          <w:p w:rsidR="00E94539" w:rsidRPr="007B3632" w:rsidRDefault="00E94539" w:rsidP="00E94539">
            <w:pPr>
              <w:pStyle w:val="0-"/>
            </w:pPr>
            <w:r w:rsidRPr="007B3632">
              <w:rPr>
                <w:rFonts w:hint="eastAsia"/>
              </w:rPr>
              <w:t>(委員萬美玲等22人</w:t>
            </w:r>
            <w:r w:rsidRPr="007B3632">
              <w:t>)</w:t>
            </w:r>
          </w:p>
        </w:tc>
        <w:tc>
          <w:tcPr>
            <w:tcW w:w="797" w:type="pct"/>
          </w:tcPr>
          <w:p w:rsidR="00E94539" w:rsidRPr="007B3632" w:rsidRDefault="00E94539" w:rsidP="00E94539">
            <w:pPr>
              <w:pStyle w:val="0-"/>
            </w:pPr>
            <w:r w:rsidRPr="007B3632">
              <w:t>10-6-4</w:t>
            </w:r>
          </w:p>
          <w:p w:rsidR="00E94539" w:rsidRPr="007B3632" w:rsidRDefault="00E94539" w:rsidP="00E94539">
            <w:pPr>
              <w:pStyle w:val="0-"/>
            </w:pPr>
            <w:r w:rsidRPr="007B3632">
              <w:t>(</w:t>
            </w:r>
            <w:r w:rsidRPr="00E94539">
              <w:rPr>
                <w:spacing w:val="-10"/>
              </w:rPr>
              <w:t>111.10.14</w:t>
            </w:r>
            <w:r w:rsidRPr="007B3632">
              <w:t>)</w:t>
            </w:r>
          </w:p>
        </w:tc>
        <w:tc>
          <w:tcPr>
            <w:tcW w:w="504" w:type="pct"/>
          </w:tcPr>
          <w:p w:rsidR="00E94539" w:rsidRPr="007B3632" w:rsidRDefault="00E94539" w:rsidP="00E94539">
            <w:pPr>
              <w:jc w:val="both"/>
              <w:rPr>
                <w:rFonts w:ascii="標楷體" w:eastAsia="標楷體" w:hAnsi="標楷體"/>
                <w:color w:val="000000"/>
                <w:sz w:val="28"/>
                <w:szCs w:val="28"/>
              </w:rPr>
            </w:pPr>
          </w:p>
        </w:tc>
        <w:tc>
          <w:tcPr>
            <w:tcW w:w="1024" w:type="pct"/>
          </w:tcPr>
          <w:p w:rsidR="00E94539" w:rsidRPr="007B3632" w:rsidRDefault="00E94539" w:rsidP="00E94539">
            <w:pPr>
              <w:jc w:val="both"/>
              <w:rPr>
                <w:rFonts w:ascii="標楷體" w:eastAsia="標楷體" w:hAnsi="標楷體"/>
                <w:color w:val="000000"/>
                <w:sz w:val="28"/>
                <w:szCs w:val="28"/>
              </w:rPr>
            </w:pPr>
            <w:r w:rsidRPr="007B3632">
              <w:rPr>
                <w:rFonts w:ascii="標楷體" w:eastAsia="標楷體" w:hAnsi="標楷體" w:hint="eastAsia"/>
                <w:color w:val="000000"/>
                <w:sz w:val="28"/>
                <w:szCs w:val="28"/>
              </w:rPr>
              <w:t>尚未審查</w:t>
            </w:r>
          </w:p>
        </w:tc>
        <w:tc>
          <w:tcPr>
            <w:tcW w:w="906" w:type="pct"/>
          </w:tcPr>
          <w:p w:rsidR="00E94539" w:rsidRPr="007B3632" w:rsidRDefault="00E94539" w:rsidP="00E94539">
            <w:pPr>
              <w:pStyle w:val="0-"/>
            </w:pPr>
            <w:r w:rsidRPr="007B3632">
              <w:rPr>
                <w:rFonts w:hint="eastAsia"/>
              </w:rPr>
              <w:t>將私有暫定古蹟納入免徵房屋稅及地價稅之範圍。(1條)</w:t>
            </w:r>
          </w:p>
        </w:tc>
      </w:tr>
      <w:tr w:rsidR="00E94539" w:rsidRPr="00C33FE7"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D13B0E" w:rsidRDefault="00E94539" w:rsidP="00E94539">
            <w:pPr>
              <w:pStyle w:val="0-"/>
            </w:pPr>
            <w:r w:rsidRPr="00D13B0E">
              <w:rPr>
                <w:rFonts w:hint="eastAsia"/>
              </w:rPr>
              <w:t>文化資產保存法第九十九條條文修正草案</w:t>
            </w:r>
          </w:p>
          <w:p w:rsidR="00E94539" w:rsidRPr="00D13B0E" w:rsidRDefault="00E94539" w:rsidP="00E94539">
            <w:pPr>
              <w:pStyle w:val="0-"/>
            </w:pPr>
            <w:r w:rsidRPr="00D13B0E">
              <w:t>(</w:t>
            </w:r>
            <w:r w:rsidRPr="00D13B0E">
              <w:rPr>
                <w:rFonts w:hint="eastAsia"/>
              </w:rPr>
              <w:t>委員賴品妤等17人</w:t>
            </w:r>
            <w:r w:rsidRPr="00D13B0E">
              <w:t>)</w:t>
            </w:r>
          </w:p>
        </w:tc>
        <w:tc>
          <w:tcPr>
            <w:tcW w:w="797" w:type="pct"/>
          </w:tcPr>
          <w:p w:rsidR="00E94539" w:rsidRPr="00D13B0E" w:rsidRDefault="00E94539" w:rsidP="00E94539">
            <w:pPr>
              <w:pStyle w:val="0-"/>
            </w:pPr>
            <w:r w:rsidRPr="00D13B0E">
              <w:t>10-6-12</w:t>
            </w:r>
          </w:p>
          <w:p w:rsidR="00E94539" w:rsidRPr="00D13B0E" w:rsidRDefault="00E94539" w:rsidP="00E94539">
            <w:pPr>
              <w:pStyle w:val="0-"/>
            </w:pPr>
            <w:r w:rsidRPr="00D13B0E">
              <w:t>(</w:t>
            </w:r>
            <w:r w:rsidRPr="00E94539">
              <w:rPr>
                <w:spacing w:val="-10"/>
              </w:rPr>
              <w:t>111.12.16</w:t>
            </w:r>
            <w:r w:rsidRPr="00D13B0E">
              <w:t>)</w:t>
            </w:r>
          </w:p>
        </w:tc>
        <w:tc>
          <w:tcPr>
            <w:tcW w:w="504" w:type="pct"/>
          </w:tcPr>
          <w:p w:rsidR="00E94539" w:rsidRPr="00D13B0E" w:rsidRDefault="00E94539" w:rsidP="00E94539">
            <w:pPr>
              <w:jc w:val="both"/>
              <w:rPr>
                <w:rFonts w:ascii="標楷體" w:eastAsia="標楷體" w:hAnsi="標楷體"/>
                <w:color w:val="000000"/>
                <w:sz w:val="28"/>
                <w:szCs w:val="28"/>
              </w:rPr>
            </w:pPr>
          </w:p>
        </w:tc>
        <w:tc>
          <w:tcPr>
            <w:tcW w:w="1024" w:type="pct"/>
          </w:tcPr>
          <w:p w:rsidR="00E94539" w:rsidRPr="00D13B0E" w:rsidRDefault="00E94539" w:rsidP="00E94539">
            <w:pPr>
              <w:jc w:val="both"/>
              <w:rPr>
                <w:rFonts w:ascii="標楷體" w:eastAsia="標楷體" w:hAnsi="標楷體"/>
                <w:color w:val="000000"/>
                <w:sz w:val="28"/>
                <w:szCs w:val="28"/>
              </w:rPr>
            </w:pPr>
            <w:r w:rsidRPr="00D13B0E">
              <w:rPr>
                <w:rFonts w:ascii="標楷體" w:eastAsia="標楷體" w:hAnsi="標楷體" w:hint="eastAsia"/>
                <w:color w:val="000000"/>
                <w:sz w:val="28"/>
                <w:szCs w:val="28"/>
              </w:rPr>
              <w:t>尚未審查</w:t>
            </w:r>
          </w:p>
        </w:tc>
        <w:tc>
          <w:tcPr>
            <w:tcW w:w="906" w:type="pct"/>
          </w:tcPr>
          <w:p w:rsidR="00E94539" w:rsidRPr="00D13B0E" w:rsidRDefault="00E94539" w:rsidP="00E94539">
            <w:pPr>
              <w:pStyle w:val="0-"/>
            </w:pPr>
            <w:r w:rsidRPr="00D13B0E">
              <w:rPr>
                <w:rFonts w:hint="eastAsia"/>
              </w:rPr>
              <w:t>擴大歷史建築、紀念建築免徵房屋稅及地價稅，以利文化資產保存維護。(1條)</w:t>
            </w:r>
          </w:p>
        </w:tc>
      </w:tr>
      <w:tr w:rsidR="00E94539" w:rsidRPr="00C33FE7"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D13B0E" w:rsidRDefault="00E94539" w:rsidP="00E94539">
            <w:pPr>
              <w:pStyle w:val="0-"/>
            </w:pPr>
            <w:r w:rsidRPr="00D13B0E">
              <w:rPr>
                <w:rFonts w:hint="eastAsia"/>
              </w:rPr>
              <w:t>文化資產保存法第六十八條條文修正草案</w:t>
            </w:r>
          </w:p>
          <w:p w:rsidR="00E94539" w:rsidRPr="00D13B0E" w:rsidRDefault="00E94539" w:rsidP="00E94539">
            <w:pPr>
              <w:pStyle w:val="0-"/>
            </w:pPr>
            <w:r w:rsidRPr="00D13B0E">
              <w:rPr>
                <w:rFonts w:hint="eastAsia"/>
              </w:rPr>
              <w:t>(委員陳以信等16人</w:t>
            </w:r>
            <w:r w:rsidRPr="00D13B0E">
              <w:t>)</w:t>
            </w:r>
          </w:p>
        </w:tc>
        <w:tc>
          <w:tcPr>
            <w:tcW w:w="797" w:type="pct"/>
          </w:tcPr>
          <w:p w:rsidR="00E94539" w:rsidRPr="00D13B0E" w:rsidRDefault="00E94539" w:rsidP="00E94539">
            <w:pPr>
              <w:pStyle w:val="0-"/>
            </w:pPr>
            <w:r w:rsidRPr="00D13B0E">
              <w:t>10-6-12</w:t>
            </w:r>
          </w:p>
          <w:p w:rsidR="00E94539" w:rsidRPr="00D13B0E" w:rsidRDefault="00E94539" w:rsidP="00E94539">
            <w:pPr>
              <w:pStyle w:val="0-"/>
            </w:pPr>
            <w:r w:rsidRPr="00D13B0E">
              <w:t>(</w:t>
            </w:r>
            <w:r w:rsidRPr="00E94539">
              <w:rPr>
                <w:spacing w:val="-10"/>
              </w:rPr>
              <w:t>111.12.16</w:t>
            </w:r>
            <w:r w:rsidRPr="00D13B0E">
              <w:t>)</w:t>
            </w:r>
          </w:p>
        </w:tc>
        <w:tc>
          <w:tcPr>
            <w:tcW w:w="504" w:type="pct"/>
          </w:tcPr>
          <w:p w:rsidR="00E94539" w:rsidRPr="00D13B0E" w:rsidRDefault="00E94539" w:rsidP="00E94539">
            <w:pPr>
              <w:jc w:val="both"/>
              <w:rPr>
                <w:rFonts w:ascii="標楷體" w:eastAsia="標楷體" w:hAnsi="標楷體"/>
                <w:color w:val="000000"/>
                <w:sz w:val="28"/>
                <w:szCs w:val="28"/>
              </w:rPr>
            </w:pPr>
          </w:p>
        </w:tc>
        <w:tc>
          <w:tcPr>
            <w:tcW w:w="1024" w:type="pct"/>
          </w:tcPr>
          <w:p w:rsidR="00E94539" w:rsidRPr="00D13B0E" w:rsidRDefault="00E94539" w:rsidP="00E94539">
            <w:pPr>
              <w:jc w:val="both"/>
              <w:rPr>
                <w:rFonts w:ascii="標楷體" w:eastAsia="標楷體" w:hAnsi="標楷體"/>
                <w:color w:val="000000"/>
                <w:sz w:val="28"/>
                <w:szCs w:val="28"/>
              </w:rPr>
            </w:pPr>
            <w:r w:rsidRPr="00D13B0E">
              <w:rPr>
                <w:rFonts w:ascii="標楷體" w:eastAsia="標楷體" w:hAnsi="標楷體" w:hint="eastAsia"/>
                <w:color w:val="000000"/>
                <w:sz w:val="28"/>
                <w:szCs w:val="28"/>
              </w:rPr>
              <w:t>尚未審查</w:t>
            </w:r>
          </w:p>
        </w:tc>
        <w:tc>
          <w:tcPr>
            <w:tcW w:w="906" w:type="pct"/>
          </w:tcPr>
          <w:p w:rsidR="00E94539" w:rsidRPr="00D13B0E" w:rsidRDefault="00E94539" w:rsidP="00E94539">
            <w:pPr>
              <w:pStyle w:val="0-"/>
            </w:pPr>
            <w:r w:rsidRPr="00D13B0E">
              <w:rPr>
                <w:rFonts w:hint="eastAsia"/>
              </w:rPr>
              <w:t>為落實文物管理機制、完備損壞通報處理流程。(1條)</w:t>
            </w:r>
          </w:p>
        </w:tc>
      </w:tr>
      <w:tr w:rsidR="00E94539" w:rsidRPr="00C33FE7"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990ACA" w:rsidRDefault="00E94539" w:rsidP="00E94539">
            <w:pPr>
              <w:pStyle w:val="0-"/>
            </w:pPr>
            <w:r w:rsidRPr="00990ACA">
              <w:rPr>
                <w:rFonts w:hint="eastAsia"/>
              </w:rPr>
              <w:t>文化資產保存法部分條文修正草案</w:t>
            </w:r>
          </w:p>
          <w:p w:rsidR="00E94539" w:rsidRPr="00990ACA" w:rsidRDefault="00E94539" w:rsidP="00E94539">
            <w:pPr>
              <w:pStyle w:val="0-"/>
            </w:pPr>
            <w:r w:rsidRPr="00990ACA">
              <w:rPr>
                <w:rFonts w:hint="eastAsia"/>
              </w:rPr>
              <w:t>(委員邱志偉等17人)</w:t>
            </w:r>
          </w:p>
        </w:tc>
        <w:tc>
          <w:tcPr>
            <w:tcW w:w="797" w:type="pct"/>
          </w:tcPr>
          <w:p w:rsidR="00E94539" w:rsidRPr="00990ACA" w:rsidRDefault="00E94539" w:rsidP="00E94539">
            <w:pPr>
              <w:pStyle w:val="0-"/>
            </w:pPr>
            <w:r w:rsidRPr="00990ACA">
              <w:t>10-6-13</w:t>
            </w:r>
          </w:p>
          <w:p w:rsidR="00E94539" w:rsidRPr="00990ACA" w:rsidRDefault="00E94539" w:rsidP="00E94539">
            <w:pPr>
              <w:pStyle w:val="0-"/>
            </w:pPr>
            <w:r w:rsidRPr="00990ACA">
              <w:t>(</w:t>
            </w:r>
            <w:r w:rsidRPr="00E94539">
              <w:rPr>
                <w:spacing w:val="-10"/>
              </w:rPr>
              <w:t>111.12.23</w:t>
            </w:r>
            <w:r w:rsidRPr="00990ACA">
              <w:t>)</w:t>
            </w:r>
          </w:p>
        </w:tc>
        <w:tc>
          <w:tcPr>
            <w:tcW w:w="504" w:type="pct"/>
          </w:tcPr>
          <w:p w:rsidR="00E94539" w:rsidRPr="00990ACA" w:rsidRDefault="00E94539" w:rsidP="00E94539">
            <w:pPr>
              <w:jc w:val="both"/>
              <w:rPr>
                <w:rFonts w:ascii="標楷體" w:eastAsia="標楷體" w:hAnsi="標楷體"/>
                <w:color w:val="000000"/>
                <w:sz w:val="28"/>
                <w:szCs w:val="28"/>
              </w:rPr>
            </w:pPr>
          </w:p>
        </w:tc>
        <w:tc>
          <w:tcPr>
            <w:tcW w:w="1024" w:type="pct"/>
          </w:tcPr>
          <w:p w:rsidR="00E94539" w:rsidRPr="00990ACA" w:rsidRDefault="00E94539" w:rsidP="00E94539">
            <w:pPr>
              <w:jc w:val="both"/>
              <w:rPr>
                <w:rFonts w:ascii="標楷體" w:eastAsia="標楷體" w:hAnsi="標楷體"/>
                <w:color w:val="000000"/>
                <w:sz w:val="28"/>
                <w:szCs w:val="28"/>
              </w:rPr>
            </w:pPr>
            <w:r w:rsidRPr="00990ACA">
              <w:rPr>
                <w:rFonts w:ascii="標楷體" w:eastAsia="標楷體" w:hAnsi="標楷體" w:hint="eastAsia"/>
                <w:color w:val="000000"/>
                <w:sz w:val="28"/>
                <w:szCs w:val="28"/>
              </w:rPr>
              <w:t>尚未審查</w:t>
            </w:r>
          </w:p>
        </w:tc>
        <w:tc>
          <w:tcPr>
            <w:tcW w:w="906" w:type="pct"/>
          </w:tcPr>
          <w:p w:rsidR="00E94539" w:rsidRPr="00990ACA" w:rsidRDefault="00E94539" w:rsidP="00E94539">
            <w:pPr>
              <w:pStyle w:val="0-"/>
            </w:pPr>
            <w:r w:rsidRPr="00990ACA">
              <w:rPr>
                <w:rFonts w:hint="eastAsia"/>
              </w:rPr>
              <w:t>有關主管機關應鼓勵民間辦理無形文化資產之五大類工作作為具體獎勵項目。(4條)</w:t>
            </w:r>
          </w:p>
        </w:tc>
      </w:tr>
      <w:tr w:rsidR="00E94539" w:rsidRPr="00C049E6"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C049E6" w:rsidRDefault="00E94539" w:rsidP="00E94539">
            <w:pPr>
              <w:pStyle w:val="0-"/>
            </w:pPr>
            <w:r w:rsidRPr="00C049E6">
              <w:rPr>
                <w:rFonts w:hint="eastAsia"/>
              </w:rPr>
              <w:t>公共電視法第十三條條文修正草案</w:t>
            </w:r>
          </w:p>
          <w:p w:rsidR="00E94539" w:rsidRPr="00C049E6" w:rsidRDefault="00E94539" w:rsidP="00E94539">
            <w:pPr>
              <w:pStyle w:val="0-"/>
            </w:pPr>
            <w:r w:rsidRPr="00C049E6">
              <w:rPr>
                <w:rFonts w:hint="eastAsia"/>
              </w:rPr>
              <w:t>(委員陳秀</w:t>
            </w:r>
            <w:r w:rsidRPr="00282A1E">
              <w:rPr>
                <w:rFonts w:hint="eastAsia"/>
              </w:rPr>
              <w:t>寳等</w:t>
            </w:r>
            <w:r w:rsidRPr="00C049E6">
              <w:rPr>
                <w:rFonts w:hint="eastAsia"/>
              </w:rPr>
              <w:t>19人)</w:t>
            </w:r>
          </w:p>
        </w:tc>
        <w:tc>
          <w:tcPr>
            <w:tcW w:w="797" w:type="pct"/>
          </w:tcPr>
          <w:p w:rsidR="00E94539" w:rsidRPr="00C049E6" w:rsidRDefault="00E94539" w:rsidP="00E94539">
            <w:pPr>
              <w:pStyle w:val="0-"/>
            </w:pPr>
            <w:r w:rsidRPr="00C049E6">
              <w:t>10-1-</w:t>
            </w:r>
            <w:r w:rsidRPr="00C049E6">
              <w:rPr>
                <w:rFonts w:hint="eastAsia"/>
              </w:rPr>
              <w:t>10</w:t>
            </w:r>
          </w:p>
          <w:p w:rsidR="00E94539" w:rsidRPr="00C049E6" w:rsidRDefault="00E94539" w:rsidP="00E94539">
            <w:pPr>
              <w:pStyle w:val="0-"/>
            </w:pPr>
            <w:r w:rsidRPr="00C049E6">
              <w:t>(109</w:t>
            </w:r>
            <w:r w:rsidRPr="00C049E6">
              <w:rPr>
                <w:rFonts w:hint="eastAsia"/>
              </w:rPr>
              <w:t>.4.24</w:t>
            </w:r>
            <w:r w:rsidRPr="00C049E6">
              <w:t>)</w:t>
            </w:r>
          </w:p>
        </w:tc>
        <w:tc>
          <w:tcPr>
            <w:tcW w:w="504" w:type="pct"/>
          </w:tcPr>
          <w:p w:rsidR="00E94539" w:rsidRPr="00C049E6" w:rsidRDefault="00E94539" w:rsidP="00E94539">
            <w:pPr>
              <w:jc w:val="both"/>
              <w:rPr>
                <w:rFonts w:ascii="標楷體" w:eastAsia="標楷體" w:hAnsi="標楷體"/>
                <w:sz w:val="28"/>
                <w:szCs w:val="28"/>
              </w:rPr>
            </w:pPr>
          </w:p>
        </w:tc>
        <w:tc>
          <w:tcPr>
            <w:tcW w:w="1024" w:type="pct"/>
          </w:tcPr>
          <w:p w:rsidR="00E94539" w:rsidRPr="00C049E6" w:rsidRDefault="00E94539" w:rsidP="00E94539">
            <w:pPr>
              <w:jc w:val="both"/>
              <w:rPr>
                <w:rFonts w:ascii="標楷體" w:eastAsia="標楷體" w:hAnsi="標楷體"/>
                <w:sz w:val="28"/>
                <w:szCs w:val="28"/>
              </w:rPr>
            </w:pPr>
            <w:r w:rsidRPr="00C049E6">
              <w:rPr>
                <w:rFonts w:ascii="標楷體" w:eastAsia="標楷體" w:hAnsi="標楷體" w:hint="eastAsia"/>
                <w:sz w:val="28"/>
                <w:szCs w:val="28"/>
              </w:rPr>
              <w:t>尚未審查</w:t>
            </w:r>
          </w:p>
        </w:tc>
        <w:tc>
          <w:tcPr>
            <w:tcW w:w="906" w:type="pct"/>
          </w:tcPr>
          <w:p w:rsidR="00E94539" w:rsidRPr="00C049E6" w:rsidRDefault="00E94539" w:rsidP="00E94539">
            <w:pPr>
              <w:pStyle w:val="0-"/>
            </w:pPr>
            <w:r w:rsidRPr="00C049E6">
              <w:rPr>
                <w:rFonts w:hint="eastAsia"/>
              </w:rPr>
              <w:t>為維護公共電視基金會順暢運作，避免</w:t>
            </w:r>
            <w:r w:rsidRPr="00C049E6">
              <w:rPr>
                <w:rFonts w:hint="eastAsia"/>
              </w:rPr>
              <w:lastRenderedPageBreak/>
              <w:t>董、監事換屆審查需審查委員會四分之三以上多數同意的高門檻杯葛情事屢次發生，將審查同意門檻降至二分之一。(1條)</w:t>
            </w:r>
          </w:p>
        </w:tc>
      </w:tr>
      <w:tr w:rsidR="00E94539" w:rsidRPr="00C049E6"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282A1E" w:rsidRDefault="00E94539" w:rsidP="00E94539">
            <w:pPr>
              <w:pStyle w:val="0-"/>
            </w:pPr>
            <w:r w:rsidRPr="00282A1E">
              <w:rPr>
                <w:rFonts w:hint="eastAsia"/>
              </w:rPr>
              <w:t>公共電視法部分條文修正草案</w:t>
            </w:r>
          </w:p>
          <w:p w:rsidR="00E94539" w:rsidRPr="00C049E6" w:rsidRDefault="00E94539" w:rsidP="00E94539">
            <w:pPr>
              <w:pStyle w:val="0-"/>
              <w:rPr>
                <w:rFonts w:eastAsia="華康楷書體W5"/>
              </w:rPr>
            </w:pPr>
            <w:r w:rsidRPr="00282A1E">
              <w:rPr>
                <w:rFonts w:hint="eastAsia"/>
              </w:rPr>
              <w:t>(委員何欣純等21人)</w:t>
            </w:r>
          </w:p>
        </w:tc>
        <w:tc>
          <w:tcPr>
            <w:tcW w:w="797" w:type="pct"/>
          </w:tcPr>
          <w:p w:rsidR="00E94539" w:rsidRPr="00C049E6" w:rsidRDefault="00E94539" w:rsidP="00E94539">
            <w:pPr>
              <w:pStyle w:val="0-"/>
            </w:pPr>
            <w:r w:rsidRPr="00C049E6">
              <w:t>10-</w:t>
            </w:r>
            <w:r w:rsidRPr="00C049E6">
              <w:rPr>
                <w:rFonts w:hint="eastAsia"/>
              </w:rPr>
              <w:t>2</w:t>
            </w:r>
            <w:r w:rsidRPr="00C049E6">
              <w:t>-</w:t>
            </w:r>
            <w:r w:rsidRPr="00C049E6">
              <w:rPr>
                <w:rFonts w:hint="eastAsia"/>
              </w:rPr>
              <w:t>6</w:t>
            </w:r>
          </w:p>
          <w:p w:rsidR="00E94539" w:rsidRPr="00C049E6" w:rsidRDefault="00E94539" w:rsidP="00E94539">
            <w:pPr>
              <w:pStyle w:val="0-"/>
            </w:pPr>
            <w:r w:rsidRPr="00C049E6">
              <w:t>(109</w:t>
            </w:r>
            <w:r w:rsidRPr="00C049E6">
              <w:rPr>
                <w:rFonts w:hint="eastAsia"/>
              </w:rPr>
              <w:t>.12.4</w:t>
            </w:r>
            <w:r w:rsidRPr="00C049E6">
              <w:t>)</w:t>
            </w:r>
          </w:p>
        </w:tc>
        <w:tc>
          <w:tcPr>
            <w:tcW w:w="504" w:type="pct"/>
          </w:tcPr>
          <w:p w:rsidR="00E94539" w:rsidRPr="00C049E6" w:rsidRDefault="00E94539" w:rsidP="00E94539">
            <w:pPr>
              <w:jc w:val="both"/>
              <w:rPr>
                <w:rFonts w:eastAsia="華康楷書體W5"/>
                <w:sz w:val="28"/>
              </w:rPr>
            </w:pPr>
          </w:p>
        </w:tc>
        <w:tc>
          <w:tcPr>
            <w:tcW w:w="1024" w:type="pct"/>
          </w:tcPr>
          <w:p w:rsidR="00E94539" w:rsidRPr="00C049E6" w:rsidRDefault="00E94539" w:rsidP="00E94539">
            <w:pPr>
              <w:jc w:val="both"/>
              <w:rPr>
                <w:rFonts w:ascii="標楷體" w:eastAsia="標楷體" w:hAnsi="標楷體"/>
                <w:sz w:val="28"/>
                <w:szCs w:val="28"/>
              </w:rPr>
            </w:pPr>
            <w:r w:rsidRPr="00C049E6">
              <w:rPr>
                <w:rFonts w:ascii="標楷體" w:eastAsia="標楷體" w:hAnsi="標楷體" w:hint="eastAsia"/>
                <w:sz w:val="28"/>
                <w:szCs w:val="28"/>
              </w:rPr>
              <w:t>尚未審查</w:t>
            </w:r>
          </w:p>
        </w:tc>
        <w:tc>
          <w:tcPr>
            <w:tcW w:w="906" w:type="pct"/>
          </w:tcPr>
          <w:p w:rsidR="00E94539" w:rsidRPr="00C049E6" w:rsidRDefault="00E94539" w:rsidP="00E94539">
            <w:pPr>
              <w:pStyle w:val="0-"/>
            </w:pPr>
            <w:r w:rsidRPr="00C049E6">
              <w:t>鑑於行政院功能業務與組織改造及調整，爰修正公視之資料之公開方式。</w:t>
            </w:r>
            <w:r w:rsidRPr="00C049E6">
              <w:rPr>
                <w:rFonts w:hint="eastAsia"/>
              </w:rPr>
              <w:t>(4條)</w:t>
            </w:r>
          </w:p>
        </w:tc>
      </w:tr>
      <w:tr w:rsidR="00E94539" w:rsidRPr="00C049E6"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282A1E" w:rsidRDefault="00E94539" w:rsidP="00E94539">
            <w:pPr>
              <w:pStyle w:val="0-"/>
            </w:pPr>
            <w:r w:rsidRPr="00282A1E">
              <w:rPr>
                <w:rFonts w:hint="eastAsia"/>
              </w:rPr>
              <w:t>公共電視法第三條及第七條條文修正草案</w:t>
            </w:r>
          </w:p>
          <w:p w:rsidR="00E94539" w:rsidRPr="00B538E6" w:rsidRDefault="00E94539" w:rsidP="00E94539">
            <w:pPr>
              <w:pStyle w:val="0-"/>
              <w:rPr>
                <w:rFonts w:eastAsia="華康楷書體W5"/>
              </w:rPr>
            </w:pPr>
            <w:r w:rsidRPr="00282A1E">
              <w:rPr>
                <w:rFonts w:hint="eastAsia"/>
              </w:rPr>
              <w:t>(委員江永昌等19人)</w:t>
            </w:r>
          </w:p>
        </w:tc>
        <w:tc>
          <w:tcPr>
            <w:tcW w:w="797" w:type="pct"/>
          </w:tcPr>
          <w:p w:rsidR="00E94539" w:rsidRPr="00B538E6" w:rsidRDefault="00E94539" w:rsidP="00E94539">
            <w:pPr>
              <w:pStyle w:val="0-"/>
            </w:pPr>
            <w:r w:rsidRPr="00B538E6">
              <w:t>10-4-12</w:t>
            </w:r>
          </w:p>
          <w:p w:rsidR="00E94539" w:rsidRPr="00B538E6" w:rsidRDefault="00E94539" w:rsidP="00E94539">
            <w:pPr>
              <w:pStyle w:val="0-"/>
            </w:pPr>
            <w:r w:rsidRPr="00B538E6">
              <w:t>(110.12.3)</w:t>
            </w:r>
          </w:p>
          <w:p w:rsidR="00E94539" w:rsidRPr="00B538E6" w:rsidRDefault="00E94539" w:rsidP="00E94539">
            <w:pPr>
              <w:pStyle w:val="0-"/>
            </w:pPr>
          </w:p>
        </w:tc>
        <w:tc>
          <w:tcPr>
            <w:tcW w:w="504" w:type="pct"/>
          </w:tcPr>
          <w:p w:rsidR="00E94539" w:rsidRPr="00B538E6" w:rsidRDefault="00E94539" w:rsidP="00E94539">
            <w:pPr>
              <w:jc w:val="both"/>
              <w:rPr>
                <w:rFonts w:eastAsia="華康楷書體W5"/>
                <w:color w:val="000000"/>
                <w:sz w:val="28"/>
              </w:rPr>
            </w:pPr>
          </w:p>
        </w:tc>
        <w:tc>
          <w:tcPr>
            <w:tcW w:w="1024" w:type="pct"/>
          </w:tcPr>
          <w:p w:rsidR="00E94539" w:rsidRPr="00B538E6" w:rsidRDefault="00E94539" w:rsidP="00E94539">
            <w:pPr>
              <w:jc w:val="both"/>
              <w:rPr>
                <w:rFonts w:ascii="標楷體" w:eastAsia="標楷體" w:hAnsi="標楷體"/>
                <w:color w:val="000000"/>
                <w:sz w:val="28"/>
                <w:szCs w:val="28"/>
              </w:rPr>
            </w:pPr>
            <w:r w:rsidRPr="00B538E6">
              <w:rPr>
                <w:rFonts w:ascii="標楷體" w:eastAsia="標楷體" w:hAnsi="標楷體" w:hint="eastAsia"/>
                <w:color w:val="000000"/>
                <w:sz w:val="28"/>
                <w:szCs w:val="28"/>
              </w:rPr>
              <w:t>尚未審查</w:t>
            </w:r>
          </w:p>
        </w:tc>
        <w:tc>
          <w:tcPr>
            <w:tcW w:w="906" w:type="pct"/>
          </w:tcPr>
          <w:p w:rsidR="00E94539" w:rsidRPr="00B538E6" w:rsidRDefault="00E94539" w:rsidP="00E94539">
            <w:pPr>
              <w:pStyle w:val="0-"/>
            </w:pPr>
            <w:r w:rsidRPr="00B538E6">
              <w:rPr>
                <w:rFonts w:hint="eastAsia"/>
              </w:rPr>
              <w:t>建立為公眾服務之大眾傳播制度，彌補商業電視之不足等，事業目的涉及文化部與國家通訊傳播委員會，其主管機關應以法律明定之。(2條)</w:t>
            </w:r>
          </w:p>
        </w:tc>
      </w:tr>
      <w:tr w:rsidR="00E94539" w:rsidRPr="00C049E6"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282A1E" w:rsidRDefault="00E94539" w:rsidP="00E94539">
            <w:pPr>
              <w:pStyle w:val="0-"/>
            </w:pPr>
            <w:r w:rsidRPr="00282A1E">
              <w:rPr>
                <w:rFonts w:hint="eastAsia"/>
              </w:rPr>
              <w:t>公共電視法部分條文修正草案</w:t>
            </w:r>
          </w:p>
          <w:p w:rsidR="00E94539" w:rsidRPr="00E56CAD" w:rsidRDefault="00E94539" w:rsidP="00E94539">
            <w:pPr>
              <w:pStyle w:val="0-"/>
              <w:rPr>
                <w:rFonts w:eastAsia="華康楷書體W5"/>
              </w:rPr>
            </w:pPr>
            <w:r w:rsidRPr="00282A1E">
              <w:rPr>
                <w:rFonts w:hint="eastAsia"/>
              </w:rPr>
              <w:t>(民眾黨黨團)</w:t>
            </w:r>
          </w:p>
        </w:tc>
        <w:tc>
          <w:tcPr>
            <w:tcW w:w="797" w:type="pct"/>
          </w:tcPr>
          <w:p w:rsidR="00E94539" w:rsidRPr="00E56CAD" w:rsidRDefault="00E94539" w:rsidP="00E94539">
            <w:pPr>
              <w:pStyle w:val="0-"/>
            </w:pPr>
            <w:r w:rsidRPr="00E56CAD">
              <w:t>10-4-15</w:t>
            </w:r>
          </w:p>
          <w:p w:rsidR="00E94539" w:rsidRPr="00E56CAD" w:rsidRDefault="00E94539" w:rsidP="00E94539">
            <w:pPr>
              <w:pStyle w:val="0-"/>
            </w:pPr>
            <w:r w:rsidRPr="00E56CAD">
              <w:t>(</w:t>
            </w:r>
            <w:r w:rsidRPr="00E94539">
              <w:rPr>
                <w:spacing w:val="-10"/>
              </w:rPr>
              <w:t>110.12.24</w:t>
            </w:r>
            <w:r w:rsidRPr="00E56CAD">
              <w:t>)</w:t>
            </w:r>
          </w:p>
        </w:tc>
        <w:tc>
          <w:tcPr>
            <w:tcW w:w="504" w:type="pct"/>
          </w:tcPr>
          <w:p w:rsidR="00E94539" w:rsidRPr="00E56CAD" w:rsidRDefault="00E94539" w:rsidP="00E94539">
            <w:pPr>
              <w:jc w:val="both"/>
              <w:rPr>
                <w:rFonts w:eastAsia="華康楷書體W5"/>
                <w:color w:val="000000"/>
                <w:sz w:val="28"/>
              </w:rPr>
            </w:pPr>
          </w:p>
        </w:tc>
        <w:tc>
          <w:tcPr>
            <w:tcW w:w="1024" w:type="pct"/>
          </w:tcPr>
          <w:p w:rsidR="00E94539" w:rsidRPr="00E56CAD" w:rsidRDefault="00E94539" w:rsidP="00E94539">
            <w:pPr>
              <w:jc w:val="both"/>
              <w:rPr>
                <w:rFonts w:ascii="標楷體" w:eastAsia="標楷體" w:hAnsi="標楷體"/>
                <w:color w:val="000000"/>
                <w:sz w:val="28"/>
                <w:szCs w:val="28"/>
              </w:rPr>
            </w:pPr>
            <w:r w:rsidRPr="00E56CAD">
              <w:rPr>
                <w:rFonts w:ascii="標楷體" w:eastAsia="標楷體" w:hAnsi="標楷體" w:hint="eastAsia"/>
                <w:color w:val="000000"/>
                <w:sz w:val="28"/>
                <w:szCs w:val="28"/>
              </w:rPr>
              <w:t>尚未審查</w:t>
            </w:r>
          </w:p>
        </w:tc>
        <w:tc>
          <w:tcPr>
            <w:tcW w:w="906" w:type="pct"/>
          </w:tcPr>
          <w:p w:rsidR="00E94539" w:rsidRPr="00E56CAD" w:rsidRDefault="00E94539" w:rsidP="00E94539">
            <w:pPr>
              <w:pStyle w:val="0-"/>
            </w:pPr>
            <w:r w:rsidRPr="00E56CAD">
              <w:rPr>
                <w:rFonts w:hint="eastAsia"/>
              </w:rPr>
              <w:t>建立我國公視之公共問責制度以回應社會各界監督，完善我國公共電視體制運作，發揮其設立功能。(9條)</w:t>
            </w:r>
          </w:p>
        </w:tc>
      </w:tr>
      <w:tr w:rsidR="00E94539" w:rsidRPr="00C049E6"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282A1E" w:rsidRDefault="00E94539" w:rsidP="00E94539">
            <w:pPr>
              <w:pStyle w:val="0-"/>
            </w:pPr>
            <w:r w:rsidRPr="00282A1E">
              <w:rPr>
                <w:rFonts w:hint="eastAsia"/>
              </w:rPr>
              <w:t>公共電視法第七條條文修正草案</w:t>
            </w:r>
          </w:p>
          <w:p w:rsidR="00E94539" w:rsidRPr="00E56CAD" w:rsidRDefault="00E94539" w:rsidP="00E94539">
            <w:pPr>
              <w:pStyle w:val="0-"/>
              <w:rPr>
                <w:rFonts w:eastAsia="華康楷書體W5"/>
              </w:rPr>
            </w:pPr>
            <w:r w:rsidRPr="00282A1E">
              <w:rPr>
                <w:rFonts w:hint="eastAsia"/>
              </w:rPr>
              <w:t>(委員賴品妤等21人)</w:t>
            </w:r>
          </w:p>
        </w:tc>
        <w:tc>
          <w:tcPr>
            <w:tcW w:w="797" w:type="pct"/>
          </w:tcPr>
          <w:p w:rsidR="00E94539" w:rsidRPr="00E56CAD" w:rsidRDefault="00E94539" w:rsidP="00E94539">
            <w:pPr>
              <w:pStyle w:val="0-"/>
            </w:pPr>
            <w:r w:rsidRPr="00E56CAD">
              <w:t>10-4-15</w:t>
            </w:r>
          </w:p>
          <w:p w:rsidR="00E94539" w:rsidRPr="00E56CAD" w:rsidRDefault="00E94539" w:rsidP="00E94539">
            <w:pPr>
              <w:pStyle w:val="0-"/>
            </w:pPr>
            <w:r w:rsidRPr="00E56CAD">
              <w:t>(</w:t>
            </w:r>
            <w:r w:rsidRPr="00E94539">
              <w:rPr>
                <w:spacing w:val="-10"/>
              </w:rPr>
              <w:t>110.12.24</w:t>
            </w:r>
            <w:r w:rsidRPr="00E56CAD">
              <w:t>)</w:t>
            </w:r>
          </w:p>
        </w:tc>
        <w:tc>
          <w:tcPr>
            <w:tcW w:w="504" w:type="pct"/>
          </w:tcPr>
          <w:p w:rsidR="00E94539" w:rsidRPr="00E56CAD" w:rsidRDefault="00E94539" w:rsidP="00E94539">
            <w:pPr>
              <w:jc w:val="both"/>
              <w:rPr>
                <w:rFonts w:eastAsia="華康楷書體W5"/>
                <w:color w:val="000000"/>
                <w:sz w:val="28"/>
              </w:rPr>
            </w:pPr>
          </w:p>
        </w:tc>
        <w:tc>
          <w:tcPr>
            <w:tcW w:w="1024" w:type="pct"/>
          </w:tcPr>
          <w:p w:rsidR="00E94539" w:rsidRPr="00E56CAD" w:rsidRDefault="00E94539" w:rsidP="00E94539">
            <w:pPr>
              <w:jc w:val="both"/>
              <w:rPr>
                <w:rFonts w:ascii="標楷體" w:eastAsia="標楷體" w:hAnsi="標楷體"/>
                <w:color w:val="000000"/>
                <w:sz w:val="28"/>
                <w:szCs w:val="28"/>
              </w:rPr>
            </w:pPr>
            <w:r w:rsidRPr="00E56CAD">
              <w:rPr>
                <w:rFonts w:ascii="標楷體" w:eastAsia="標楷體" w:hAnsi="標楷體" w:hint="eastAsia"/>
                <w:color w:val="000000"/>
                <w:sz w:val="28"/>
                <w:szCs w:val="28"/>
              </w:rPr>
              <w:t>尚未審查</w:t>
            </w:r>
          </w:p>
        </w:tc>
        <w:tc>
          <w:tcPr>
            <w:tcW w:w="906" w:type="pct"/>
          </w:tcPr>
          <w:p w:rsidR="00E94539" w:rsidRPr="00E56CAD" w:rsidRDefault="00E94539" w:rsidP="00E94539">
            <w:pPr>
              <w:pStyle w:val="0-"/>
            </w:pPr>
            <w:r w:rsidRPr="00E56CAD">
              <w:rPr>
                <w:rFonts w:hint="eastAsia"/>
              </w:rPr>
              <w:t>鑑於政府行政組織改造，部分機關名稱或部分事業主管機關有所調整。(1條)</w:t>
            </w:r>
          </w:p>
        </w:tc>
      </w:tr>
      <w:tr w:rsidR="00E94539" w:rsidRPr="00C049E6"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282A1E" w:rsidRDefault="00E94539" w:rsidP="00E94539">
            <w:pPr>
              <w:pStyle w:val="0-"/>
            </w:pPr>
            <w:r w:rsidRPr="00282A1E">
              <w:rPr>
                <w:rFonts w:hint="eastAsia"/>
              </w:rPr>
              <w:t>公共電視法部分條文修正草案</w:t>
            </w:r>
          </w:p>
          <w:p w:rsidR="00E94539" w:rsidRPr="006D565A" w:rsidRDefault="00E94539" w:rsidP="00E94539">
            <w:pPr>
              <w:pStyle w:val="0-"/>
              <w:rPr>
                <w:rFonts w:eastAsia="華康楷書體W5"/>
              </w:rPr>
            </w:pPr>
            <w:r w:rsidRPr="00282A1E">
              <w:rPr>
                <w:rFonts w:hint="eastAsia"/>
              </w:rPr>
              <w:t>(委員萬美玲等17人</w:t>
            </w:r>
            <w:r w:rsidRPr="00282A1E">
              <w:t>)</w:t>
            </w:r>
          </w:p>
        </w:tc>
        <w:tc>
          <w:tcPr>
            <w:tcW w:w="797" w:type="pct"/>
          </w:tcPr>
          <w:p w:rsidR="00E94539" w:rsidRPr="006D565A" w:rsidRDefault="00E94539" w:rsidP="00E94539">
            <w:pPr>
              <w:pStyle w:val="0-"/>
            </w:pPr>
            <w:r w:rsidRPr="006D565A">
              <w:t>10-5-9</w:t>
            </w:r>
          </w:p>
          <w:p w:rsidR="00E94539" w:rsidRPr="006D565A" w:rsidRDefault="00E94539" w:rsidP="00E94539">
            <w:pPr>
              <w:pStyle w:val="0-"/>
            </w:pPr>
            <w:r w:rsidRPr="006D565A">
              <w:t>(111.4.22)</w:t>
            </w:r>
          </w:p>
        </w:tc>
        <w:tc>
          <w:tcPr>
            <w:tcW w:w="504" w:type="pct"/>
          </w:tcPr>
          <w:p w:rsidR="00E94539" w:rsidRPr="006D565A" w:rsidRDefault="00E94539" w:rsidP="00E94539">
            <w:pPr>
              <w:jc w:val="both"/>
              <w:rPr>
                <w:rFonts w:eastAsia="華康楷書體W5"/>
                <w:color w:val="000000"/>
                <w:sz w:val="28"/>
              </w:rPr>
            </w:pPr>
          </w:p>
        </w:tc>
        <w:tc>
          <w:tcPr>
            <w:tcW w:w="1024" w:type="pct"/>
          </w:tcPr>
          <w:p w:rsidR="00E94539" w:rsidRPr="006D565A" w:rsidRDefault="00E94539" w:rsidP="00E94539">
            <w:pPr>
              <w:jc w:val="both"/>
              <w:rPr>
                <w:rFonts w:ascii="標楷體" w:eastAsia="標楷體" w:hAnsi="標楷體"/>
                <w:color w:val="000000"/>
                <w:sz w:val="28"/>
                <w:szCs w:val="28"/>
              </w:rPr>
            </w:pPr>
            <w:r w:rsidRPr="006D565A">
              <w:rPr>
                <w:rFonts w:ascii="標楷體" w:eastAsia="標楷體" w:hAnsi="標楷體" w:hint="eastAsia"/>
                <w:color w:val="000000"/>
                <w:sz w:val="28"/>
                <w:szCs w:val="28"/>
              </w:rPr>
              <w:t>尚未審查</w:t>
            </w:r>
          </w:p>
        </w:tc>
        <w:tc>
          <w:tcPr>
            <w:tcW w:w="906" w:type="pct"/>
          </w:tcPr>
          <w:p w:rsidR="00E94539" w:rsidRPr="006D565A" w:rsidRDefault="00E94539" w:rsidP="00E94539">
            <w:pPr>
              <w:pStyle w:val="0-"/>
            </w:pPr>
            <w:r w:rsidRPr="006D565A">
              <w:rPr>
                <w:rFonts w:hint="eastAsia"/>
              </w:rPr>
              <w:t>前電台相關業務之權責機關為國家通訊傳播委員會，然至今「公共電視法」之主管機關及相關權責機關仍未修改，修正相關主管機關與相關權責單位。(</w:t>
            </w:r>
            <w:r w:rsidRPr="006D565A">
              <w:t>4</w:t>
            </w:r>
            <w:r w:rsidRPr="006D565A">
              <w:rPr>
                <w:rFonts w:hint="eastAsia"/>
              </w:rPr>
              <w:t>條</w:t>
            </w:r>
            <w:r w:rsidRPr="006D565A">
              <w:t>)</w:t>
            </w:r>
          </w:p>
        </w:tc>
      </w:tr>
      <w:tr w:rsidR="00E94539" w:rsidRPr="00C049E6"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AC715F" w:rsidRDefault="00E94539" w:rsidP="00E94539">
            <w:pPr>
              <w:pStyle w:val="0-"/>
            </w:pPr>
            <w:r w:rsidRPr="00AC715F">
              <w:rPr>
                <w:rFonts w:hint="eastAsia"/>
              </w:rPr>
              <w:t>公共電視法第三條、第七條及第八條條文修正草案</w:t>
            </w:r>
          </w:p>
          <w:p w:rsidR="00E94539" w:rsidRPr="00AC715F" w:rsidRDefault="00E94539" w:rsidP="00E94539">
            <w:pPr>
              <w:pStyle w:val="0-"/>
            </w:pPr>
            <w:r w:rsidRPr="00AC715F">
              <w:rPr>
                <w:rFonts w:hint="eastAsia"/>
              </w:rPr>
              <w:t>(委員葉毓蘭等17人)</w:t>
            </w:r>
          </w:p>
        </w:tc>
        <w:tc>
          <w:tcPr>
            <w:tcW w:w="797" w:type="pct"/>
          </w:tcPr>
          <w:p w:rsidR="00E94539" w:rsidRPr="00AC715F" w:rsidRDefault="00E94539" w:rsidP="00E94539">
            <w:pPr>
              <w:pStyle w:val="0-"/>
            </w:pPr>
            <w:r w:rsidRPr="00AC715F">
              <w:t>10-5-11</w:t>
            </w:r>
          </w:p>
          <w:p w:rsidR="00E94539" w:rsidRPr="00AC715F" w:rsidRDefault="00E94539" w:rsidP="00E94539">
            <w:pPr>
              <w:pStyle w:val="0-"/>
            </w:pPr>
            <w:r w:rsidRPr="00AC715F">
              <w:t>(111.5.6)</w:t>
            </w:r>
          </w:p>
        </w:tc>
        <w:tc>
          <w:tcPr>
            <w:tcW w:w="504" w:type="pct"/>
          </w:tcPr>
          <w:p w:rsidR="00E94539" w:rsidRPr="00AC715F" w:rsidRDefault="00E94539" w:rsidP="00E94539">
            <w:pPr>
              <w:jc w:val="both"/>
              <w:rPr>
                <w:rFonts w:ascii="標楷體" w:eastAsia="標楷體" w:hAnsi="標楷體"/>
                <w:color w:val="000000"/>
                <w:sz w:val="28"/>
                <w:szCs w:val="28"/>
              </w:rPr>
            </w:pPr>
          </w:p>
        </w:tc>
        <w:tc>
          <w:tcPr>
            <w:tcW w:w="1024" w:type="pct"/>
          </w:tcPr>
          <w:p w:rsidR="00E94539" w:rsidRPr="00AC715F" w:rsidRDefault="00E94539" w:rsidP="00E94539">
            <w:pPr>
              <w:rPr>
                <w:rFonts w:ascii="標楷體" w:eastAsia="標楷體" w:hAnsi="標楷體"/>
                <w:color w:val="000000"/>
                <w:sz w:val="28"/>
                <w:szCs w:val="28"/>
              </w:rPr>
            </w:pPr>
            <w:r w:rsidRPr="00AC715F">
              <w:rPr>
                <w:rFonts w:ascii="標楷體" w:eastAsia="標楷體" w:hAnsi="標楷體" w:hint="eastAsia"/>
                <w:color w:val="000000"/>
                <w:sz w:val="28"/>
                <w:szCs w:val="28"/>
              </w:rPr>
              <w:t>尚未審查</w:t>
            </w:r>
          </w:p>
        </w:tc>
        <w:tc>
          <w:tcPr>
            <w:tcW w:w="906" w:type="pct"/>
          </w:tcPr>
          <w:p w:rsidR="00E94539" w:rsidRPr="00AC715F" w:rsidRDefault="00E94539" w:rsidP="00E94539">
            <w:pPr>
              <w:pStyle w:val="0-"/>
            </w:pPr>
            <w:r w:rsidRPr="00AC715F">
              <w:rPr>
                <w:rFonts w:hint="eastAsia"/>
              </w:rPr>
              <w:t>有鑑於行政院新聞局組織廢止已久，仍有部分法律並未因應現狀調整。(3條)</w:t>
            </w:r>
          </w:p>
        </w:tc>
      </w:tr>
      <w:tr w:rsidR="00E94539" w:rsidRPr="00C049E6"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282A1E" w:rsidRDefault="00E94539" w:rsidP="00E94539">
            <w:pPr>
              <w:pStyle w:val="0-"/>
            </w:pPr>
            <w:r w:rsidRPr="00282A1E">
              <w:rPr>
                <w:rFonts w:hint="eastAsia"/>
              </w:rPr>
              <w:t>公共電視法部分條文修正草案</w:t>
            </w:r>
          </w:p>
          <w:p w:rsidR="00E94539" w:rsidRPr="00AC715F" w:rsidRDefault="00E94539" w:rsidP="00E94539">
            <w:pPr>
              <w:pStyle w:val="0-"/>
              <w:rPr>
                <w:rFonts w:eastAsia="華康楷書體W5"/>
              </w:rPr>
            </w:pPr>
            <w:r w:rsidRPr="00282A1E">
              <w:rPr>
                <w:rFonts w:hint="eastAsia"/>
              </w:rPr>
              <w:t>(委員莊瑞雄等16人)</w:t>
            </w:r>
          </w:p>
        </w:tc>
        <w:tc>
          <w:tcPr>
            <w:tcW w:w="797" w:type="pct"/>
          </w:tcPr>
          <w:p w:rsidR="00E94539" w:rsidRPr="00AC715F" w:rsidRDefault="00E94539" w:rsidP="00E94539">
            <w:pPr>
              <w:pStyle w:val="0-"/>
            </w:pPr>
            <w:r w:rsidRPr="00AC715F">
              <w:t>10-5-11</w:t>
            </w:r>
          </w:p>
          <w:p w:rsidR="00E94539" w:rsidRPr="00AC715F" w:rsidRDefault="00E94539" w:rsidP="00E94539">
            <w:pPr>
              <w:pStyle w:val="0-"/>
            </w:pPr>
            <w:r w:rsidRPr="00AC715F">
              <w:t>(111.5.6)</w:t>
            </w:r>
          </w:p>
        </w:tc>
        <w:tc>
          <w:tcPr>
            <w:tcW w:w="504" w:type="pct"/>
          </w:tcPr>
          <w:p w:rsidR="00E94539" w:rsidRPr="00AC715F" w:rsidRDefault="00E94539" w:rsidP="00E94539">
            <w:pPr>
              <w:jc w:val="both"/>
              <w:rPr>
                <w:rFonts w:eastAsia="華康楷書體W5"/>
                <w:color w:val="000000"/>
                <w:sz w:val="28"/>
              </w:rPr>
            </w:pPr>
          </w:p>
        </w:tc>
        <w:tc>
          <w:tcPr>
            <w:tcW w:w="1024" w:type="pct"/>
          </w:tcPr>
          <w:p w:rsidR="00E94539" w:rsidRPr="00AC715F" w:rsidRDefault="00E94539" w:rsidP="00E94539">
            <w:pPr>
              <w:jc w:val="both"/>
              <w:rPr>
                <w:rFonts w:ascii="標楷體" w:eastAsia="標楷體" w:hAnsi="標楷體"/>
                <w:color w:val="000000"/>
                <w:sz w:val="28"/>
                <w:szCs w:val="28"/>
              </w:rPr>
            </w:pPr>
            <w:r w:rsidRPr="00AC715F">
              <w:rPr>
                <w:rFonts w:ascii="標楷體" w:eastAsia="標楷體" w:hAnsi="標楷體" w:hint="eastAsia"/>
                <w:color w:val="000000"/>
                <w:sz w:val="28"/>
                <w:szCs w:val="28"/>
              </w:rPr>
              <w:t>尚未審查</w:t>
            </w:r>
          </w:p>
        </w:tc>
        <w:tc>
          <w:tcPr>
            <w:tcW w:w="906" w:type="pct"/>
          </w:tcPr>
          <w:p w:rsidR="00E94539" w:rsidRPr="00AC715F" w:rsidRDefault="00E94539" w:rsidP="00E94539">
            <w:pPr>
              <w:pStyle w:val="0-"/>
            </w:pPr>
            <w:r w:rsidRPr="00AC715F">
              <w:rPr>
                <w:rFonts w:hint="eastAsia"/>
              </w:rPr>
              <w:t>鑒於行政院組織與功能業務調整，現行「公共電視法」部分條文所明定相關主管機關與相關權責單位未隨之調整。(4條)</w:t>
            </w:r>
          </w:p>
        </w:tc>
      </w:tr>
      <w:tr w:rsidR="00E94539" w:rsidRPr="00C049E6"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282A1E" w:rsidRDefault="00E94539" w:rsidP="00E94539">
            <w:pPr>
              <w:pStyle w:val="0-"/>
            </w:pPr>
            <w:r w:rsidRPr="00282A1E">
              <w:rPr>
                <w:rFonts w:hint="eastAsia"/>
              </w:rPr>
              <w:t>公共電視法部分條文修正草案</w:t>
            </w:r>
          </w:p>
          <w:p w:rsidR="00E94539" w:rsidRPr="00AC715F" w:rsidRDefault="00E94539" w:rsidP="00E94539">
            <w:pPr>
              <w:pStyle w:val="0-"/>
              <w:rPr>
                <w:rFonts w:eastAsia="華康楷書體W5"/>
              </w:rPr>
            </w:pPr>
            <w:r w:rsidRPr="00282A1E">
              <w:rPr>
                <w:rFonts w:hint="eastAsia"/>
              </w:rPr>
              <w:t>(委員鄭麗文等16人)</w:t>
            </w:r>
          </w:p>
        </w:tc>
        <w:tc>
          <w:tcPr>
            <w:tcW w:w="797" w:type="pct"/>
          </w:tcPr>
          <w:p w:rsidR="00E94539" w:rsidRPr="00AC715F" w:rsidRDefault="00E94539" w:rsidP="00E94539">
            <w:pPr>
              <w:pStyle w:val="0-"/>
            </w:pPr>
            <w:r w:rsidRPr="00AC715F">
              <w:t>10-5-12</w:t>
            </w:r>
          </w:p>
          <w:p w:rsidR="00E94539" w:rsidRPr="00AC715F" w:rsidRDefault="00E94539" w:rsidP="00E94539">
            <w:pPr>
              <w:pStyle w:val="0-"/>
            </w:pPr>
            <w:r w:rsidRPr="00AC715F">
              <w:t>(111.5.13)</w:t>
            </w:r>
          </w:p>
        </w:tc>
        <w:tc>
          <w:tcPr>
            <w:tcW w:w="504" w:type="pct"/>
          </w:tcPr>
          <w:p w:rsidR="00E94539" w:rsidRPr="00AC715F" w:rsidRDefault="00E94539" w:rsidP="00E94539">
            <w:pPr>
              <w:jc w:val="both"/>
              <w:rPr>
                <w:rFonts w:eastAsia="華康楷書體W5"/>
                <w:color w:val="000000"/>
                <w:sz w:val="28"/>
              </w:rPr>
            </w:pPr>
          </w:p>
        </w:tc>
        <w:tc>
          <w:tcPr>
            <w:tcW w:w="1024" w:type="pct"/>
          </w:tcPr>
          <w:p w:rsidR="00E94539" w:rsidRPr="00AC715F" w:rsidRDefault="00E94539" w:rsidP="00E94539">
            <w:pPr>
              <w:jc w:val="both"/>
              <w:rPr>
                <w:rFonts w:ascii="標楷體" w:eastAsia="標楷體" w:hAnsi="標楷體"/>
                <w:color w:val="000000"/>
                <w:sz w:val="28"/>
                <w:szCs w:val="28"/>
              </w:rPr>
            </w:pPr>
            <w:r w:rsidRPr="00AC715F">
              <w:rPr>
                <w:rFonts w:ascii="標楷體" w:eastAsia="標楷體" w:hAnsi="標楷體" w:hint="eastAsia"/>
                <w:color w:val="000000"/>
                <w:sz w:val="28"/>
                <w:szCs w:val="28"/>
              </w:rPr>
              <w:t>尚未審查</w:t>
            </w:r>
          </w:p>
        </w:tc>
        <w:tc>
          <w:tcPr>
            <w:tcW w:w="906" w:type="pct"/>
          </w:tcPr>
          <w:p w:rsidR="00E94539" w:rsidRPr="00AC715F" w:rsidRDefault="00E94539" w:rsidP="00E94539">
            <w:pPr>
              <w:pStyle w:val="0-"/>
            </w:pPr>
            <w:r w:rsidRPr="00AC715F">
              <w:rPr>
                <w:rFonts w:hint="eastAsia"/>
              </w:rPr>
              <w:t>鑒於行政院新聞局為配合行政院功能業務與組織調整，於民國101年裁撤，其主要業務權責已轉移至文化部，另電台相關業務之權責機關為國家通訊傳播委員會</w:t>
            </w:r>
          </w:p>
          <w:p w:rsidR="00E94539" w:rsidRPr="00AC715F" w:rsidRDefault="00E94539" w:rsidP="00E94539">
            <w:pPr>
              <w:pStyle w:val="0-"/>
            </w:pPr>
            <w:r w:rsidRPr="00AC715F">
              <w:rPr>
                <w:rFonts w:hint="eastAsia"/>
              </w:rPr>
              <w:t>。(4條)</w:t>
            </w:r>
          </w:p>
        </w:tc>
      </w:tr>
      <w:tr w:rsidR="00E94539" w:rsidRPr="00C049E6"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AC715F" w:rsidRDefault="00E94539" w:rsidP="00E94539">
            <w:pPr>
              <w:pStyle w:val="0-"/>
            </w:pPr>
            <w:r w:rsidRPr="00AC715F">
              <w:rPr>
                <w:rFonts w:hint="eastAsia"/>
              </w:rPr>
              <w:t>公共電視法部分條文修正草案</w:t>
            </w:r>
          </w:p>
          <w:p w:rsidR="00E94539" w:rsidRPr="00AC715F" w:rsidRDefault="00E94539" w:rsidP="00E94539">
            <w:pPr>
              <w:pStyle w:val="0-"/>
              <w:rPr>
                <w:rFonts w:eastAsia="華康楷書體W5"/>
              </w:rPr>
            </w:pPr>
            <w:r w:rsidRPr="00282A1E">
              <w:rPr>
                <w:rFonts w:hint="eastAsia"/>
              </w:rPr>
              <w:t>(委員魯明哲等18人)</w:t>
            </w:r>
          </w:p>
        </w:tc>
        <w:tc>
          <w:tcPr>
            <w:tcW w:w="797" w:type="pct"/>
          </w:tcPr>
          <w:p w:rsidR="00E94539" w:rsidRPr="00AC715F" w:rsidRDefault="00E94539" w:rsidP="00E94539">
            <w:pPr>
              <w:pStyle w:val="0-"/>
            </w:pPr>
            <w:r w:rsidRPr="00AC715F">
              <w:t>10-5-13</w:t>
            </w:r>
          </w:p>
          <w:p w:rsidR="00E94539" w:rsidRPr="00AC715F" w:rsidRDefault="00E94539" w:rsidP="00E94539">
            <w:pPr>
              <w:pStyle w:val="0-"/>
            </w:pPr>
            <w:r w:rsidRPr="00AC715F">
              <w:t>(111.5.20)</w:t>
            </w:r>
          </w:p>
        </w:tc>
        <w:tc>
          <w:tcPr>
            <w:tcW w:w="504" w:type="pct"/>
          </w:tcPr>
          <w:p w:rsidR="00E94539" w:rsidRPr="00AC715F" w:rsidRDefault="00E94539" w:rsidP="00E94539">
            <w:pPr>
              <w:jc w:val="both"/>
              <w:rPr>
                <w:rFonts w:eastAsia="華康楷書體W5"/>
                <w:color w:val="000000"/>
                <w:sz w:val="28"/>
              </w:rPr>
            </w:pPr>
          </w:p>
        </w:tc>
        <w:tc>
          <w:tcPr>
            <w:tcW w:w="1024" w:type="pct"/>
          </w:tcPr>
          <w:p w:rsidR="00E94539" w:rsidRPr="00AC715F" w:rsidRDefault="00E94539" w:rsidP="00E94539">
            <w:pPr>
              <w:jc w:val="both"/>
              <w:rPr>
                <w:rFonts w:ascii="標楷體" w:eastAsia="標楷體" w:hAnsi="標楷體"/>
                <w:color w:val="000000"/>
                <w:sz w:val="28"/>
                <w:szCs w:val="28"/>
              </w:rPr>
            </w:pPr>
            <w:r w:rsidRPr="00AC715F">
              <w:rPr>
                <w:rFonts w:ascii="標楷體" w:eastAsia="標楷體" w:hAnsi="標楷體" w:hint="eastAsia"/>
                <w:color w:val="000000"/>
                <w:sz w:val="28"/>
                <w:szCs w:val="28"/>
              </w:rPr>
              <w:t>尚未審查</w:t>
            </w:r>
          </w:p>
        </w:tc>
        <w:tc>
          <w:tcPr>
            <w:tcW w:w="906" w:type="pct"/>
          </w:tcPr>
          <w:p w:rsidR="00E94539" w:rsidRPr="00AC715F" w:rsidRDefault="00E94539" w:rsidP="00E94539">
            <w:pPr>
              <w:pStyle w:val="0-"/>
            </w:pPr>
            <w:r w:rsidRPr="00AC715F">
              <w:rPr>
                <w:rFonts w:hint="eastAsia"/>
              </w:rPr>
              <w:t>節目製播時，應尊重我國多元文化並積極促進族群平等及和諧，避免造成族群彼此誤解或加深社會刻板印象之節目內容出現。(2條)</w:t>
            </w:r>
          </w:p>
        </w:tc>
      </w:tr>
      <w:tr w:rsidR="00E94539" w:rsidRPr="00C049E6"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C049E6" w:rsidRDefault="00E94539" w:rsidP="00E94539">
            <w:pPr>
              <w:pStyle w:val="0-"/>
            </w:pPr>
            <w:r w:rsidRPr="00C049E6">
              <w:rPr>
                <w:rFonts w:hint="eastAsia"/>
              </w:rPr>
              <w:t>博物館法第十二條條文修正草案</w:t>
            </w:r>
          </w:p>
          <w:p w:rsidR="00E94539" w:rsidRPr="00C049E6" w:rsidRDefault="00E94539" w:rsidP="00E94539">
            <w:pPr>
              <w:pStyle w:val="0-"/>
            </w:pPr>
            <w:r w:rsidRPr="00C049E6">
              <w:rPr>
                <w:rFonts w:hint="eastAsia"/>
              </w:rPr>
              <w:t>(委員陳秀寳等17人)</w:t>
            </w:r>
          </w:p>
        </w:tc>
        <w:tc>
          <w:tcPr>
            <w:tcW w:w="797" w:type="pct"/>
          </w:tcPr>
          <w:p w:rsidR="00E94539" w:rsidRPr="00C049E6" w:rsidRDefault="00E94539" w:rsidP="00E94539">
            <w:pPr>
              <w:pStyle w:val="0-"/>
            </w:pPr>
            <w:r w:rsidRPr="00C049E6">
              <w:t>10-1-</w:t>
            </w:r>
            <w:r w:rsidRPr="00C049E6">
              <w:rPr>
                <w:rFonts w:hint="eastAsia"/>
              </w:rPr>
              <w:t>13</w:t>
            </w:r>
          </w:p>
          <w:p w:rsidR="00E94539" w:rsidRPr="00C049E6" w:rsidRDefault="00E94539" w:rsidP="00E94539">
            <w:pPr>
              <w:pStyle w:val="0-"/>
            </w:pPr>
            <w:r w:rsidRPr="00C049E6">
              <w:t>(109</w:t>
            </w:r>
            <w:r w:rsidRPr="00C049E6">
              <w:rPr>
                <w:rFonts w:hint="eastAsia"/>
              </w:rPr>
              <w:t>.5.15</w:t>
            </w:r>
            <w:r w:rsidRPr="00C049E6">
              <w:t>)</w:t>
            </w:r>
          </w:p>
        </w:tc>
        <w:tc>
          <w:tcPr>
            <w:tcW w:w="504" w:type="pct"/>
          </w:tcPr>
          <w:p w:rsidR="00E94539" w:rsidRPr="00C049E6" w:rsidRDefault="00E94539" w:rsidP="00E94539">
            <w:pPr>
              <w:jc w:val="both"/>
              <w:rPr>
                <w:rFonts w:ascii="標楷體" w:eastAsia="標楷體" w:hAnsi="標楷體"/>
                <w:sz w:val="28"/>
                <w:szCs w:val="28"/>
              </w:rPr>
            </w:pPr>
          </w:p>
        </w:tc>
        <w:tc>
          <w:tcPr>
            <w:tcW w:w="1024" w:type="pct"/>
          </w:tcPr>
          <w:p w:rsidR="00E94539" w:rsidRPr="00C049E6" w:rsidRDefault="00E94539" w:rsidP="00E94539">
            <w:pPr>
              <w:rPr>
                <w:rFonts w:ascii="標楷體" w:eastAsia="標楷體" w:hAnsi="標楷體"/>
                <w:sz w:val="28"/>
                <w:szCs w:val="28"/>
              </w:rPr>
            </w:pPr>
            <w:r w:rsidRPr="00C049E6">
              <w:rPr>
                <w:rFonts w:ascii="標楷體" w:eastAsia="標楷體" w:hAnsi="標楷體" w:hint="eastAsia"/>
                <w:sz w:val="28"/>
                <w:szCs w:val="28"/>
              </w:rPr>
              <w:t>尚未審查</w:t>
            </w:r>
          </w:p>
        </w:tc>
        <w:tc>
          <w:tcPr>
            <w:tcW w:w="906" w:type="pct"/>
          </w:tcPr>
          <w:p w:rsidR="00E94539" w:rsidRPr="00C049E6" w:rsidRDefault="00E94539" w:rsidP="00E94539">
            <w:pPr>
              <w:pStyle w:val="0-"/>
            </w:pPr>
            <w:r w:rsidRPr="00C049E6">
              <w:rPr>
                <w:rFonts w:hint="eastAsia"/>
              </w:rPr>
              <w:t>增訂博物館作業基金收入得以勸募為來源。(1條)</w:t>
            </w:r>
          </w:p>
        </w:tc>
      </w:tr>
      <w:tr w:rsidR="00E94539" w:rsidRPr="00C049E6"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C049E6" w:rsidRDefault="00E94539" w:rsidP="00E94539">
            <w:pPr>
              <w:pStyle w:val="0-"/>
            </w:pPr>
            <w:r w:rsidRPr="00282A1E">
              <w:rPr>
                <w:rFonts w:hint="eastAsia"/>
              </w:rPr>
              <w:t>文化基本法第二十四條條文修正草案</w:t>
            </w:r>
          </w:p>
          <w:p w:rsidR="00E94539" w:rsidRPr="00282A1E" w:rsidRDefault="00E94539" w:rsidP="00E94539">
            <w:pPr>
              <w:pStyle w:val="0-"/>
              <w:rPr>
                <w:spacing w:val="-10"/>
              </w:rPr>
            </w:pPr>
            <w:r w:rsidRPr="00282A1E">
              <w:rPr>
                <w:rFonts w:hint="eastAsia"/>
                <w:spacing w:val="-10"/>
              </w:rPr>
              <w:t>(委員張廖萬堅等</w:t>
            </w:r>
            <w:r w:rsidRPr="00282A1E">
              <w:rPr>
                <w:spacing w:val="-10"/>
              </w:rPr>
              <w:t>19</w:t>
            </w:r>
            <w:r w:rsidRPr="00282A1E">
              <w:rPr>
                <w:rFonts w:hint="eastAsia"/>
                <w:spacing w:val="-10"/>
              </w:rPr>
              <w:t>人)</w:t>
            </w:r>
          </w:p>
        </w:tc>
        <w:tc>
          <w:tcPr>
            <w:tcW w:w="797" w:type="pct"/>
          </w:tcPr>
          <w:p w:rsidR="00E94539" w:rsidRPr="00C049E6" w:rsidRDefault="00E94539" w:rsidP="00E94539">
            <w:pPr>
              <w:pStyle w:val="0-"/>
            </w:pPr>
            <w:r w:rsidRPr="00C049E6">
              <w:t>10-</w:t>
            </w:r>
            <w:r w:rsidRPr="00C049E6">
              <w:rPr>
                <w:rFonts w:hint="eastAsia"/>
              </w:rPr>
              <w:t>2</w:t>
            </w:r>
            <w:r w:rsidRPr="00C049E6">
              <w:t>-</w:t>
            </w:r>
            <w:r w:rsidRPr="00C049E6">
              <w:rPr>
                <w:rFonts w:hint="eastAsia"/>
              </w:rPr>
              <w:t>2</w:t>
            </w:r>
          </w:p>
          <w:p w:rsidR="00E94539" w:rsidRPr="00C049E6" w:rsidRDefault="00E94539" w:rsidP="00E94539">
            <w:pPr>
              <w:pStyle w:val="0-"/>
            </w:pPr>
            <w:r w:rsidRPr="00C049E6">
              <w:t>(109</w:t>
            </w:r>
            <w:r w:rsidRPr="00C049E6">
              <w:rPr>
                <w:rFonts w:hint="eastAsia"/>
              </w:rPr>
              <w:t>.9.25</w:t>
            </w:r>
            <w:r w:rsidRPr="00C049E6">
              <w:t>)</w:t>
            </w:r>
          </w:p>
        </w:tc>
        <w:tc>
          <w:tcPr>
            <w:tcW w:w="504" w:type="pct"/>
          </w:tcPr>
          <w:p w:rsidR="00E94539" w:rsidRPr="00C049E6" w:rsidRDefault="00E94539" w:rsidP="00E94539">
            <w:pPr>
              <w:jc w:val="both"/>
              <w:rPr>
                <w:rFonts w:ascii="標楷體" w:eastAsia="標楷體" w:hAnsi="標楷體"/>
                <w:sz w:val="28"/>
                <w:szCs w:val="28"/>
              </w:rPr>
            </w:pPr>
          </w:p>
        </w:tc>
        <w:tc>
          <w:tcPr>
            <w:tcW w:w="1024" w:type="pct"/>
          </w:tcPr>
          <w:p w:rsidR="00E94539" w:rsidRPr="00C049E6" w:rsidRDefault="00E94539" w:rsidP="00E94539">
            <w:pPr>
              <w:jc w:val="both"/>
              <w:rPr>
                <w:rFonts w:ascii="標楷體" w:eastAsia="標楷體" w:hAnsi="標楷體"/>
                <w:sz w:val="28"/>
                <w:szCs w:val="28"/>
              </w:rPr>
            </w:pPr>
            <w:r w:rsidRPr="00C049E6">
              <w:rPr>
                <w:rFonts w:ascii="標楷體" w:eastAsia="標楷體" w:hAnsi="標楷體" w:hint="eastAsia"/>
                <w:sz w:val="28"/>
                <w:szCs w:val="28"/>
              </w:rPr>
              <w:t>尚未審查</w:t>
            </w:r>
          </w:p>
        </w:tc>
        <w:tc>
          <w:tcPr>
            <w:tcW w:w="906" w:type="pct"/>
          </w:tcPr>
          <w:p w:rsidR="00E94539" w:rsidRPr="00C049E6" w:rsidRDefault="00E94539" w:rsidP="00E94539">
            <w:pPr>
              <w:pStyle w:val="0-"/>
            </w:pPr>
            <w:r w:rsidRPr="00C049E6">
              <w:t>修法使政府依公開拍賣或招標方式授與通訊傳播業務之 配額、頻率及其他限量或定額特許執照所得收入，以及</w:t>
            </w:r>
            <w:r w:rsidRPr="00C049E6">
              <w:lastRenderedPageBreak/>
              <w:t>由無線電頻率徵收之使用費收入，應提撥一定比例作為文化發展基金之經費來源。</w:t>
            </w:r>
            <w:r w:rsidRPr="00C049E6">
              <w:rPr>
                <w:rFonts w:hint="eastAsia"/>
              </w:rPr>
              <w:t>(1條)</w:t>
            </w:r>
          </w:p>
        </w:tc>
      </w:tr>
      <w:tr w:rsidR="00E94539" w:rsidRPr="00C049E6"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760837" w:rsidRDefault="00E94539" w:rsidP="00E94539">
            <w:pPr>
              <w:pStyle w:val="0-"/>
            </w:pPr>
            <w:r w:rsidRPr="00760837">
              <w:rPr>
                <w:rFonts w:hint="eastAsia"/>
              </w:rPr>
              <w:t>無線電視事業公股處理條例第三條、第七條及第十四條條文修正草案</w:t>
            </w:r>
          </w:p>
          <w:p w:rsidR="00E94539" w:rsidRPr="00C049E6" w:rsidRDefault="00E94539" w:rsidP="00E94539">
            <w:pPr>
              <w:pStyle w:val="0-"/>
              <w:rPr>
                <w:rFonts w:eastAsia="華康楷書體W5"/>
              </w:rPr>
            </w:pPr>
            <w:r w:rsidRPr="00760837">
              <w:rPr>
                <w:rFonts w:hint="eastAsia"/>
              </w:rPr>
              <w:t>(委員何欣純等20人)</w:t>
            </w:r>
          </w:p>
        </w:tc>
        <w:tc>
          <w:tcPr>
            <w:tcW w:w="797" w:type="pct"/>
          </w:tcPr>
          <w:p w:rsidR="00E94539" w:rsidRPr="00C049E6" w:rsidRDefault="00E94539" w:rsidP="00E94539">
            <w:pPr>
              <w:pStyle w:val="0-"/>
            </w:pPr>
            <w:r w:rsidRPr="00C049E6">
              <w:t>10-</w:t>
            </w:r>
            <w:r w:rsidRPr="00C049E6">
              <w:rPr>
                <w:rFonts w:hint="eastAsia"/>
              </w:rPr>
              <w:t>2</w:t>
            </w:r>
            <w:r w:rsidRPr="00C049E6">
              <w:t>-</w:t>
            </w:r>
            <w:r w:rsidRPr="00C049E6">
              <w:rPr>
                <w:rFonts w:hint="eastAsia"/>
              </w:rPr>
              <w:t>6</w:t>
            </w:r>
          </w:p>
          <w:p w:rsidR="00E94539" w:rsidRPr="00C049E6" w:rsidRDefault="00E94539" w:rsidP="00E94539">
            <w:pPr>
              <w:pStyle w:val="0-"/>
              <w:rPr>
                <w:rFonts w:eastAsia="華康楷書體W5"/>
              </w:rPr>
            </w:pPr>
            <w:r w:rsidRPr="00C049E6">
              <w:t>(109</w:t>
            </w:r>
            <w:r w:rsidRPr="00C049E6">
              <w:rPr>
                <w:rFonts w:hint="eastAsia"/>
              </w:rPr>
              <w:t>.12.4</w:t>
            </w:r>
            <w:r w:rsidRPr="00C049E6">
              <w:t>)</w:t>
            </w:r>
          </w:p>
        </w:tc>
        <w:tc>
          <w:tcPr>
            <w:tcW w:w="504" w:type="pct"/>
          </w:tcPr>
          <w:p w:rsidR="00E94539" w:rsidRPr="00C049E6" w:rsidRDefault="00E94539" w:rsidP="00E94539">
            <w:pPr>
              <w:jc w:val="both"/>
              <w:rPr>
                <w:rFonts w:eastAsia="華康楷書體W5"/>
                <w:sz w:val="28"/>
              </w:rPr>
            </w:pPr>
          </w:p>
        </w:tc>
        <w:tc>
          <w:tcPr>
            <w:tcW w:w="1024" w:type="pct"/>
          </w:tcPr>
          <w:p w:rsidR="00E94539" w:rsidRPr="00C049E6" w:rsidRDefault="00E94539" w:rsidP="00E94539">
            <w:pPr>
              <w:jc w:val="both"/>
              <w:rPr>
                <w:rFonts w:ascii="標楷體" w:eastAsia="標楷體" w:hAnsi="標楷體"/>
                <w:sz w:val="28"/>
                <w:szCs w:val="28"/>
              </w:rPr>
            </w:pPr>
            <w:r w:rsidRPr="00C049E6">
              <w:rPr>
                <w:rFonts w:ascii="標楷體" w:eastAsia="標楷體" w:hAnsi="標楷體" w:hint="eastAsia"/>
                <w:sz w:val="28"/>
                <w:szCs w:val="28"/>
              </w:rPr>
              <w:t>尚未審查</w:t>
            </w:r>
          </w:p>
        </w:tc>
        <w:tc>
          <w:tcPr>
            <w:tcW w:w="906" w:type="pct"/>
          </w:tcPr>
          <w:p w:rsidR="00E94539" w:rsidRPr="00C049E6" w:rsidRDefault="00E94539" w:rsidP="00E94539">
            <w:pPr>
              <w:pStyle w:val="0-"/>
            </w:pPr>
            <w:r w:rsidRPr="00C049E6">
              <w:t>鑑於行政院功能業務與組織改造及調整，並修正新增民國一百零八年設立之台語電視。</w:t>
            </w:r>
            <w:r w:rsidRPr="00C049E6">
              <w:rPr>
                <w:rFonts w:hint="eastAsia"/>
              </w:rPr>
              <w:t>(3條)</w:t>
            </w:r>
          </w:p>
        </w:tc>
      </w:tr>
      <w:tr w:rsidR="00E94539" w:rsidRPr="00C049E6"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760837" w:rsidRDefault="00E94539" w:rsidP="00E94539">
            <w:pPr>
              <w:pStyle w:val="0-"/>
            </w:pPr>
            <w:r w:rsidRPr="00760837">
              <w:rPr>
                <w:rFonts w:hint="eastAsia"/>
              </w:rPr>
              <w:t>無線電視事業公股處理條例第三條及第七條條文修正草案</w:t>
            </w:r>
          </w:p>
          <w:p w:rsidR="00E94539" w:rsidRPr="00B538E6" w:rsidRDefault="00E94539" w:rsidP="00E94539">
            <w:pPr>
              <w:pStyle w:val="0-"/>
              <w:rPr>
                <w:rFonts w:eastAsia="華康楷書體W5"/>
              </w:rPr>
            </w:pPr>
            <w:r w:rsidRPr="00760837">
              <w:rPr>
                <w:rFonts w:hint="eastAsia"/>
              </w:rPr>
              <w:t>(委員江永昌等19人)</w:t>
            </w:r>
          </w:p>
        </w:tc>
        <w:tc>
          <w:tcPr>
            <w:tcW w:w="797" w:type="pct"/>
          </w:tcPr>
          <w:p w:rsidR="00E94539" w:rsidRPr="00B538E6" w:rsidRDefault="00E94539" w:rsidP="00E94539">
            <w:pPr>
              <w:pStyle w:val="0-"/>
            </w:pPr>
            <w:r w:rsidRPr="00B538E6">
              <w:t>10-4-12</w:t>
            </w:r>
          </w:p>
          <w:p w:rsidR="00E94539" w:rsidRPr="00B538E6" w:rsidRDefault="00E94539" w:rsidP="00E94539">
            <w:pPr>
              <w:pStyle w:val="0-"/>
            </w:pPr>
            <w:r w:rsidRPr="00B538E6">
              <w:t>(110.12.3)</w:t>
            </w:r>
          </w:p>
        </w:tc>
        <w:tc>
          <w:tcPr>
            <w:tcW w:w="504" w:type="pct"/>
          </w:tcPr>
          <w:p w:rsidR="00E94539" w:rsidRPr="00B538E6" w:rsidRDefault="00E94539" w:rsidP="00E94539">
            <w:pPr>
              <w:jc w:val="both"/>
              <w:rPr>
                <w:rFonts w:eastAsia="華康楷書體W5"/>
                <w:color w:val="000000"/>
                <w:sz w:val="28"/>
              </w:rPr>
            </w:pPr>
          </w:p>
        </w:tc>
        <w:tc>
          <w:tcPr>
            <w:tcW w:w="1024" w:type="pct"/>
          </w:tcPr>
          <w:p w:rsidR="00E94539" w:rsidRPr="00B538E6" w:rsidRDefault="00E94539" w:rsidP="00E94539">
            <w:pPr>
              <w:jc w:val="both"/>
              <w:rPr>
                <w:rFonts w:ascii="標楷體" w:eastAsia="標楷體" w:hAnsi="標楷體"/>
                <w:color w:val="000000"/>
                <w:sz w:val="28"/>
                <w:szCs w:val="28"/>
              </w:rPr>
            </w:pPr>
            <w:r w:rsidRPr="00B538E6">
              <w:rPr>
                <w:rFonts w:ascii="標楷體" w:eastAsia="標楷體" w:hAnsi="標楷體" w:hint="eastAsia"/>
                <w:color w:val="000000"/>
                <w:sz w:val="28"/>
                <w:szCs w:val="28"/>
              </w:rPr>
              <w:t>尚未審查</w:t>
            </w:r>
          </w:p>
        </w:tc>
        <w:tc>
          <w:tcPr>
            <w:tcW w:w="906" w:type="pct"/>
          </w:tcPr>
          <w:p w:rsidR="00E94539" w:rsidRPr="00B538E6" w:rsidRDefault="00E94539" w:rsidP="00E94539">
            <w:pPr>
              <w:pStyle w:val="0-"/>
            </w:pPr>
            <w:r w:rsidRPr="00B538E6">
              <w:rPr>
                <w:rFonts w:hint="eastAsia"/>
              </w:rPr>
              <w:t>行政院亦於民國101年5月15日發布院臺規字第1010131134號令將行政院新聞局主管之無線電視事業公股處理條例第三條與第七條相關權責事項自101年5月20日起改由文化部管轄。(</w:t>
            </w:r>
            <w:r w:rsidRPr="00B538E6">
              <w:t>2</w:t>
            </w:r>
            <w:r w:rsidRPr="00B538E6">
              <w:rPr>
                <w:rFonts w:hint="eastAsia"/>
              </w:rPr>
              <w:t>條)</w:t>
            </w:r>
          </w:p>
        </w:tc>
      </w:tr>
      <w:tr w:rsidR="00E94539" w:rsidRPr="00C049E6"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760837" w:rsidRDefault="00E94539" w:rsidP="00E94539">
            <w:pPr>
              <w:pStyle w:val="0-"/>
            </w:pPr>
            <w:r w:rsidRPr="00760837">
              <w:rPr>
                <w:rFonts w:hint="eastAsia"/>
              </w:rPr>
              <w:t>無線電視事業公股處理條例第三條及第七條條文修正草案</w:t>
            </w:r>
          </w:p>
          <w:p w:rsidR="00E94539" w:rsidRPr="00903663" w:rsidRDefault="00E94539" w:rsidP="00E94539">
            <w:pPr>
              <w:pStyle w:val="0-"/>
              <w:rPr>
                <w:rFonts w:eastAsia="華康楷書體W5"/>
              </w:rPr>
            </w:pPr>
            <w:r w:rsidRPr="00760837">
              <w:rPr>
                <w:rFonts w:hint="eastAsia"/>
              </w:rPr>
              <w:t>(時代力量黨團</w:t>
            </w:r>
            <w:r w:rsidRPr="00760837">
              <w:t>)</w:t>
            </w:r>
          </w:p>
        </w:tc>
        <w:tc>
          <w:tcPr>
            <w:tcW w:w="797" w:type="pct"/>
          </w:tcPr>
          <w:p w:rsidR="00E94539" w:rsidRPr="00903663" w:rsidRDefault="00E94539" w:rsidP="00E94539">
            <w:pPr>
              <w:pStyle w:val="0-"/>
            </w:pPr>
            <w:r w:rsidRPr="00903663">
              <w:t>10-6-6</w:t>
            </w:r>
          </w:p>
          <w:p w:rsidR="00E94539" w:rsidRPr="00903663" w:rsidRDefault="00E94539" w:rsidP="00E94539">
            <w:pPr>
              <w:pStyle w:val="0-"/>
            </w:pPr>
            <w:r w:rsidRPr="00903663">
              <w:t>(111.11.4)</w:t>
            </w:r>
          </w:p>
        </w:tc>
        <w:tc>
          <w:tcPr>
            <w:tcW w:w="504" w:type="pct"/>
          </w:tcPr>
          <w:p w:rsidR="00E94539" w:rsidRPr="00903663" w:rsidRDefault="00E94539" w:rsidP="00E94539">
            <w:pPr>
              <w:jc w:val="both"/>
              <w:rPr>
                <w:rFonts w:eastAsia="華康楷書體W5"/>
                <w:color w:val="000000"/>
                <w:sz w:val="28"/>
              </w:rPr>
            </w:pPr>
          </w:p>
        </w:tc>
        <w:tc>
          <w:tcPr>
            <w:tcW w:w="1024" w:type="pct"/>
          </w:tcPr>
          <w:p w:rsidR="00E94539" w:rsidRPr="00903663" w:rsidRDefault="00E94539" w:rsidP="00E94539">
            <w:pPr>
              <w:jc w:val="both"/>
              <w:rPr>
                <w:rFonts w:ascii="標楷體" w:eastAsia="標楷體" w:hAnsi="標楷體"/>
                <w:color w:val="000000"/>
                <w:sz w:val="28"/>
                <w:szCs w:val="28"/>
              </w:rPr>
            </w:pPr>
            <w:r w:rsidRPr="00903663">
              <w:rPr>
                <w:rFonts w:ascii="標楷體" w:eastAsia="標楷體" w:hAnsi="標楷體" w:hint="eastAsia"/>
                <w:color w:val="000000"/>
                <w:sz w:val="28"/>
                <w:szCs w:val="28"/>
              </w:rPr>
              <w:t>尚未審查</w:t>
            </w:r>
          </w:p>
        </w:tc>
        <w:tc>
          <w:tcPr>
            <w:tcW w:w="906" w:type="pct"/>
          </w:tcPr>
          <w:p w:rsidR="00E94539" w:rsidRPr="00903663" w:rsidRDefault="00E94539" w:rsidP="00E94539">
            <w:pPr>
              <w:pStyle w:val="0-"/>
            </w:pPr>
            <w:r w:rsidRPr="00903663">
              <w:rPr>
                <w:rFonts w:hint="eastAsia"/>
              </w:rPr>
              <w:t>行政院勞工委員會亦於2014年2月17日改制升格為勞動部，相關條文應配合現</w:t>
            </w:r>
            <w:r w:rsidRPr="00903663">
              <w:rPr>
                <w:rFonts w:hint="eastAsia"/>
              </w:rPr>
              <w:lastRenderedPageBreak/>
              <w:t>狀調整</w:t>
            </w:r>
            <w:r w:rsidRPr="00903663">
              <w:t>。</w:t>
            </w:r>
            <w:r w:rsidRPr="00903663">
              <w:rPr>
                <w:rFonts w:hint="eastAsia"/>
              </w:rPr>
              <w:t>(2條)</w:t>
            </w:r>
          </w:p>
        </w:tc>
      </w:tr>
      <w:tr w:rsidR="00E94539" w:rsidRPr="00C049E6"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760837" w:rsidRDefault="00E94539" w:rsidP="00E94539">
            <w:pPr>
              <w:pStyle w:val="0-"/>
            </w:pPr>
            <w:r w:rsidRPr="00760837">
              <w:rPr>
                <w:rFonts w:hint="eastAsia"/>
              </w:rPr>
              <w:t>無線電視事業公股處理條例第三條及第七條條文修正草案</w:t>
            </w:r>
          </w:p>
          <w:p w:rsidR="00E94539" w:rsidRPr="00E232C2" w:rsidRDefault="00E94539" w:rsidP="00E94539">
            <w:pPr>
              <w:pStyle w:val="0-"/>
              <w:rPr>
                <w:rFonts w:eastAsia="華康楷書體W5"/>
              </w:rPr>
            </w:pPr>
            <w:r w:rsidRPr="00760837">
              <w:rPr>
                <w:rFonts w:hint="eastAsia"/>
              </w:rPr>
              <w:t>(委員邱泰源等19人)</w:t>
            </w:r>
          </w:p>
        </w:tc>
        <w:tc>
          <w:tcPr>
            <w:tcW w:w="797" w:type="pct"/>
          </w:tcPr>
          <w:p w:rsidR="00E94539" w:rsidRPr="00E232C2" w:rsidRDefault="00E94539" w:rsidP="00E94539">
            <w:pPr>
              <w:pStyle w:val="0-"/>
            </w:pPr>
            <w:r w:rsidRPr="00E232C2">
              <w:t>10-6-11</w:t>
            </w:r>
          </w:p>
          <w:p w:rsidR="00E94539" w:rsidRPr="00E232C2" w:rsidRDefault="00E94539" w:rsidP="00E94539">
            <w:pPr>
              <w:pStyle w:val="0-"/>
            </w:pPr>
            <w:r w:rsidRPr="00E232C2">
              <w:t>(111.12.9)</w:t>
            </w:r>
          </w:p>
        </w:tc>
        <w:tc>
          <w:tcPr>
            <w:tcW w:w="504" w:type="pct"/>
          </w:tcPr>
          <w:p w:rsidR="00E94539" w:rsidRPr="00E232C2" w:rsidRDefault="00E94539" w:rsidP="00E94539">
            <w:pPr>
              <w:jc w:val="both"/>
              <w:rPr>
                <w:rFonts w:eastAsia="華康楷書體W5"/>
                <w:color w:val="000000"/>
                <w:sz w:val="28"/>
              </w:rPr>
            </w:pPr>
          </w:p>
        </w:tc>
        <w:tc>
          <w:tcPr>
            <w:tcW w:w="1024" w:type="pct"/>
          </w:tcPr>
          <w:p w:rsidR="00E94539" w:rsidRPr="00E232C2" w:rsidRDefault="00E94539" w:rsidP="00E94539">
            <w:pPr>
              <w:jc w:val="both"/>
              <w:rPr>
                <w:rFonts w:ascii="標楷體" w:eastAsia="標楷體" w:hAnsi="標楷體"/>
                <w:color w:val="000000"/>
                <w:sz w:val="28"/>
                <w:szCs w:val="28"/>
              </w:rPr>
            </w:pPr>
            <w:r w:rsidRPr="00E232C2">
              <w:rPr>
                <w:rFonts w:ascii="標楷體" w:eastAsia="標楷體" w:hAnsi="標楷體" w:hint="eastAsia"/>
                <w:color w:val="000000"/>
                <w:sz w:val="28"/>
                <w:szCs w:val="28"/>
              </w:rPr>
              <w:t>尚未審查</w:t>
            </w:r>
          </w:p>
        </w:tc>
        <w:tc>
          <w:tcPr>
            <w:tcW w:w="906" w:type="pct"/>
          </w:tcPr>
          <w:p w:rsidR="00E94539" w:rsidRPr="00E232C2" w:rsidRDefault="00E94539" w:rsidP="00E94539">
            <w:pPr>
              <w:pStyle w:val="0-"/>
            </w:pPr>
            <w:r w:rsidRPr="00E232C2">
              <w:rPr>
                <w:rFonts w:hint="eastAsia"/>
              </w:rPr>
              <w:t>為配合政府組織再造，修正條文用語，以符法制。</w:t>
            </w:r>
            <w:r w:rsidRPr="00E232C2">
              <w:t>(2</w:t>
            </w:r>
            <w:r w:rsidRPr="00E232C2">
              <w:rPr>
                <w:rFonts w:hint="eastAsia"/>
              </w:rPr>
              <w:t>條</w:t>
            </w:r>
            <w:r w:rsidRPr="00E232C2">
              <w:t>)</w:t>
            </w:r>
          </w:p>
        </w:tc>
      </w:tr>
      <w:tr w:rsidR="00E94539" w:rsidRPr="00C049E6"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760837" w:rsidRDefault="00E94539" w:rsidP="00E94539">
            <w:pPr>
              <w:pStyle w:val="0-"/>
            </w:pPr>
            <w:r w:rsidRPr="00760837">
              <w:rPr>
                <w:rFonts w:hint="eastAsia"/>
              </w:rPr>
              <w:t>文化創意產業發展法第十七條條文修正草案</w:t>
            </w:r>
          </w:p>
          <w:p w:rsidR="00E94539" w:rsidRPr="00760837" w:rsidRDefault="00E94539" w:rsidP="00E94539">
            <w:pPr>
              <w:pStyle w:val="0-"/>
            </w:pPr>
            <w:r w:rsidRPr="00760837">
              <w:rPr>
                <w:rFonts w:hint="eastAsia"/>
              </w:rPr>
              <w:t>(委員賴品妤等19人)</w:t>
            </w:r>
          </w:p>
        </w:tc>
        <w:tc>
          <w:tcPr>
            <w:tcW w:w="797" w:type="pct"/>
          </w:tcPr>
          <w:p w:rsidR="00E94539" w:rsidRPr="00C049E6" w:rsidRDefault="00E94539" w:rsidP="00E94539">
            <w:pPr>
              <w:pStyle w:val="0-"/>
            </w:pPr>
            <w:r w:rsidRPr="00C049E6">
              <w:t>10-</w:t>
            </w:r>
            <w:r w:rsidRPr="00C049E6">
              <w:rPr>
                <w:rFonts w:hint="eastAsia"/>
              </w:rPr>
              <w:t>2</w:t>
            </w:r>
            <w:r w:rsidRPr="00C049E6">
              <w:t>-</w:t>
            </w:r>
            <w:r w:rsidRPr="00C049E6">
              <w:rPr>
                <w:rFonts w:hint="eastAsia"/>
              </w:rPr>
              <w:t>6</w:t>
            </w:r>
          </w:p>
          <w:p w:rsidR="00E94539" w:rsidRPr="00C049E6" w:rsidRDefault="00E94539" w:rsidP="00E94539">
            <w:pPr>
              <w:pStyle w:val="0-"/>
              <w:rPr>
                <w:rFonts w:eastAsia="華康楷書體W5"/>
              </w:rPr>
            </w:pPr>
            <w:r w:rsidRPr="00C049E6">
              <w:t>(109</w:t>
            </w:r>
            <w:r w:rsidRPr="00C049E6">
              <w:rPr>
                <w:rFonts w:hint="eastAsia"/>
              </w:rPr>
              <w:t>.12.4</w:t>
            </w:r>
            <w:r w:rsidRPr="00C049E6">
              <w:t>)</w:t>
            </w:r>
          </w:p>
        </w:tc>
        <w:tc>
          <w:tcPr>
            <w:tcW w:w="504" w:type="pct"/>
          </w:tcPr>
          <w:p w:rsidR="00E94539" w:rsidRPr="00C049E6" w:rsidRDefault="00E94539" w:rsidP="00E94539">
            <w:pPr>
              <w:jc w:val="both"/>
              <w:rPr>
                <w:rFonts w:eastAsia="華康楷書體W5"/>
                <w:sz w:val="28"/>
              </w:rPr>
            </w:pPr>
          </w:p>
        </w:tc>
        <w:tc>
          <w:tcPr>
            <w:tcW w:w="1024" w:type="pct"/>
          </w:tcPr>
          <w:p w:rsidR="00E94539" w:rsidRPr="00C049E6" w:rsidRDefault="00E94539" w:rsidP="00E94539">
            <w:pPr>
              <w:jc w:val="both"/>
              <w:rPr>
                <w:rFonts w:ascii="標楷體" w:eastAsia="標楷體" w:hAnsi="標楷體"/>
                <w:sz w:val="28"/>
                <w:szCs w:val="28"/>
              </w:rPr>
            </w:pPr>
            <w:r w:rsidRPr="00C049E6">
              <w:rPr>
                <w:rFonts w:ascii="標楷體" w:eastAsia="標楷體" w:hAnsi="標楷體" w:hint="eastAsia"/>
                <w:sz w:val="28"/>
                <w:szCs w:val="28"/>
              </w:rPr>
              <w:t>尚未審查</w:t>
            </w:r>
          </w:p>
        </w:tc>
        <w:tc>
          <w:tcPr>
            <w:tcW w:w="906" w:type="pct"/>
          </w:tcPr>
          <w:p w:rsidR="00E94539" w:rsidRPr="00C049E6" w:rsidRDefault="00E94539" w:rsidP="00E94539">
            <w:pPr>
              <w:pStyle w:val="0-"/>
            </w:pPr>
            <w:r w:rsidRPr="00C049E6">
              <w:t>將「創意、美學」等採購評選項目，改為文化創意產品及服務內容之應評選項目。</w:t>
            </w:r>
            <w:r w:rsidRPr="00C049E6">
              <w:rPr>
                <w:rFonts w:hint="eastAsia"/>
              </w:rPr>
              <w:t>(1條)</w:t>
            </w:r>
          </w:p>
        </w:tc>
      </w:tr>
      <w:tr w:rsidR="00E94539" w:rsidRPr="00C049E6"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760837" w:rsidRDefault="00E94539" w:rsidP="00E94539">
            <w:pPr>
              <w:pStyle w:val="0-"/>
            </w:pPr>
            <w:r w:rsidRPr="00760837">
              <w:rPr>
                <w:rFonts w:hint="eastAsia"/>
              </w:rPr>
              <w:t>文化創意產業發展法第二十七條條文修正草案</w:t>
            </w:r>
          </w:p>
          <w:p w:rsidR="00E94539" w:rsidRPr="00C049E6" w:rsidRDefault="00E94539" w:rsidP="00E94539">
            <w:pPr>
              <w:pStyle w:val="0-"/>
              <w:rPr>
                <w:rFonts w:eastAsia="華康楷書體W5"/>
              </w:rPr>
            </w:pPr>
            <w:r w:rsidRPr="00760837">
              <w:rPr>
                <w:rFonts w:hint="eastAsia"/>
              </w:rPr>
              <w:t>(委員陳秀寳等16人)</w:t>
            </w:r>
          </w:p>
        </w:tc>
        <w:tc>
          <w:tcPr>
            <w:tcW w:w="797" w:type="pct"/>
          </w:tcPr>
          <w:p w:rsidR="00E94539" w:rsidRPr="00C049E6" w:rsidRDefault="00E94539" w:rsidP="00E94539">
            <w:pPr>
              <w:pStyle w:val="0-"/>
            </w:pPr>
            <w:r w:rsidRPr="00C049E6">
              <w:t>10-</w:t>
            </w:r>
            <w:r w:rsidRPr="00C049E6">
              <w:rPr>
                <w:rFonts w:hint="eastAsia"/>
              </w:rPr>
              <w:t>2</w:t>
            </w:r>
            <w:r w:rsidRPr="00C049E6">
              <w:t>-</w:t>
            </w:r>
            <w:r w:rsidRPr="00C049E6">
              <w:rPr>
                <w:rFonts w:hint="eastAsia"/>
              </w:rPr>
              <w:t>6</w:t>
            </w:r>
          </w:p>
          <w:p w:rsidR="00E94539" w:rsidRPr="00C049E6" w:rsidRDefault="00E94539" w:rsidP="00E94539">
            <w:pPr>
              <w:pStyle w:val="0-"/>
              <w:rPr>
                <w:rFonts w:eastAsia="華康楷書體W5"/>
              </w:rPr>
            </w:pPr>
            <w:r w:rsidRPr="00C049E6">
              <w:t>(109</w:t>
            </w:r>
            <w:r w:rsidRPr="00C049E6">
              <w:rPr>
                <w:rFonts w:hint="eastAsia"/>
              </w:rPr>
              <w:t>.12.4</w:t>
            </w:r>
            <w:r w:rsidRPr="00C049E6">
              <w:t>)</w:t>
            </w:r>
          </w:p>
        </w:tc>
        <w:tc>
          <w:tcPr>
            <w:tcW w:w="504" w:type="pct"/>
          </w:tcPr>
          <w:p w:rsidR="00E94539" w:rsidRPr="00C049E6" w:rsidRDefault="00E94539" w:rsidP="00E94539">
            <w:pPr>
              <w:jc w:val="both"/>
              <w:rPr>
                <w:rFonts w:eastAsia="華康楷書體W5"/>
                <w:sz w:val="28"/>
              </w:rPr>
            </w:pPr>
          </w:p>
        </w:tc>
        <w:tc>
          <w:tcPr>
            <w:tcW w:w="1024" w:type="pct"/>
          </w:tcPr>
          <w:p w:rsidR="00E94539" w:rsidRPr="00C049E6" w:rsidRDefault="00E94539" w:rsidP="00E94539">
            <w:pPr>
              <w:jc w:val="both"/>
              <w:rPr>
                <w:rFonts w:ascii="標楷體" w:eastAsia="標楷體" w:hAnsi="標楷體"/>
                <w:sz w:val="28"/>
                <w:szCs w:val="28"/>
              </w:rPr>
            </w:pPr>
            <w:r w:rsidRPr="00C049E6">
              <w:rPr>
                <w:rFonts w:ascii="標楷體" w:eastAsia="標楷體" w:hAnsi="標楷體" w:hint="eastAsia"/>
                <w:sz w:val="28"/>
                <w:szCs w:val="28"/>
              </w:rPr>
              <w:t>尚未審查</w:t>
            </w:r>
          </w:p>
        </w:tc>
        <w:tc>
          <w:tcPr>
            <w:tcW w:w="906" w:type="pct"/>
          </w:tcPr>
          <w:p w:rsidR="00E94539" w:rsidRPr="00C049E6" w:rsidRDefault="00E94539" w:rsidP="00E94539">
            <w:pPr>
              <w:pStyle w:val="0-"/>
            </w:pPr>
            <w:r w:rsidRPr="00C049E6">
              <w:t>有鑑於文化創意產業長期處於缺乏人才、營利事業投入研發及人才培育誘因不足，其支出抵減 認定標準難以適用、無法依循，爰擬建立文創研發及人才培育減免稅捐辦法。</w:t>
            </w:r>
            <w:r w:rsidRPr="00C049E6">
              <w:rPr>
                <w:rFonts w:hint="eastAsia"/>
              </w:rPr>
              <w:t>(1條)</w:t>
            </w:r>
          </w:p>
        </w:tc>
      </w:tr>
      <w:tr w:rsidR="00E94539" w:rsidRPr="00C049E6"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760837" w:rsidRDefault="00E94539" w:rsidP="00E94539">
            <w:pPr>
              <w:pStyle w:val="0-"/>
            </w:pPr>
            <w:r w:rsidRPr="00760837">
              <w:rPr>
                <w:rFonts w:hint="eastAsia"/>
              </w:rPr>
              <w:t>文化創意產業發展法修正草案</w:t>
            </w:r>
          </w:p>
          <w:p w:rsidR="00E94539" w:rsidRPr="00760837" w:rsidRDefault="00E94539" w:rsidP="00E94539">
            <w:pPr>
              <w:pStyle w:val="0-"/>
              <w:rPr>
                <w:spacing w:val="-20"/>
              </w:rPr>
            </w:pPr>
            <w:r w:rsidRPr="00760837">
              <w:rPr>
                <w:rFonts w:hint="eastAsia"/>
              </w:rPr>
              <w:t>(</w:t>
            </w:r>
            <w:r w:rsidRPr="00760837">
              <w:rPr>
                <w:rFonts w:hint="eastAsia"/>
                <w:spacing w:val="-20"/>
              </w:rPr>
              <w:t>委員張廖萬堅等23人)</w:t>
            </w:r>
          </w:p>
          <w:p w:rsidR="00E94539" w:rsidRPr="00B32B39" w:rsidRDefault="00E94539" w:rsidP="00E94539">
            <w:pPr>
              <w:pStyle w:val="0-"/>
              <w:rPr>
                <w:rFonts w:eastAsia="華康楷書體W5"/>
              </w:rPr>
            </w:pPr>
          </w:p>
        </w:tc>
        <w:tc>
          <w:tcPr>
            <w:tcW w:w="797" w:type="pct"/>
          </w:tcPr>
          <w:p w:rsidR="00E94539" w:rsidRPr="00B32B39" w:rsidRDefault="00E94539" w:rsidP="00E94539">
            <w:pPr>
              <w:pStyle w:val="0-"/>
            </w:pPr>
            <w:r w:rsidRPr="00B32B39">
              <w:t>10-</w:t>
            </w:r>
            <w:r w:rsidRPr="00B32B39">
              <w:rPr>
                <w:rFonts w:hint="eastAsia"/>
              </w:rPr>
              <w:t>3</w:t>
            </w:r>
            <w:r w:rsidRPr="00B32B39">
              <w:t>-</w:t>
            </w:r>
            <w:r w:rsidRPr="00B32B39">
              <w:rPr>
                <w:rFonts w:hint="eastAsia"/>
              </w:rPr>
              <w:t>3</w:t>
            </w:r>
          </w:p>
          <w:p w:rsidR="00E94539" w:rsidRPr="00B32B39" w:rsidRDefault="00E94539" w:rsidP="00E94539">
            <w:pPr>
              <w:pStyle w:val="0-"/>
            </w:pPr>
            <w:r w:rsidRPr="00B32B39">
              <w:t>(1</w:t>
            </w:r>
            <w:r w:rsidRPr="00B32B39">
              <w:rPr>
                <w:rFonts w:hint="eastAsia"/>
              </w:rPr>
              <w:t>10</w:t>
            </w:r>
            <w:r w:rsidRPr="00B32B39">
              <w:t>.</w:t>
            </w:r>
            <w:r w:rsidRPr="00B32B39">
              <w:rPr>
                <w:rFonts w:hint="eastAsia"/>
              </w:rPr>
              <w:t>3</w:t>
            </w:r>
            <w:r w:rsidRPr="00B32B39">
              <w:t>.</w:t>
            </w:r>
            <w:r w:rsidRPr="00B32B39">
              <w:rPr>
                <w:rFonts w:hint="eastAsia"/>
              </w:rPr>
              <w:t>12</w:t>
            </w:r>
            <w:r w:rsidRPr="00B32B39">
              <w:t>)</w:t>
            </w:r>
          </w:p>
        </w:tc>
        <w:tc>
          <w:tcPr>
            <w:tcW w:w="504" w:type="pct"/>
          </w:tcPr>
          <w:p w:rsidR="00E94539" w:rsidRPr="00B32B39" w:rsidRDefault="00E94539" w:rsidP="00E94539">
            <w:pPr>
              <w:jc w:val="both"/>
              <w:rPr>
                <w:rFonts w:eastAsia="華康楷書體W5"/>
                <w:color w:val="000000"/>
                <w:sz w:val="28"/>
              </w:rPr>
            </w:pPr>
          </w:p>
        </w:tc>
        <w:tc>
          <w:tcPr>
            <w:tcW w:w="1024" w:type="pct"/>
          </w:tcPr>
          <w:p w:rsidR="00E94539" w:rsidRPr="00B32B39" w:rsidRDefault="00E94539" w:rsidP="00E94539">
            <w:pPr>
              <w:jc w:val="both"/>
              <w:rPr>
                <w:rFonts w:ascii="標楷體" w:eastAsia="標楷體" w:hAnsi="標楷體"/>
                <w:color w:val="000000"/>
                <w:sz w:val="28"/>
                <w:szCs w:val="28"/>
              </w:rPr>
            </w:pPr>
            <w:r w:rsidRPr="00B32B39">
              <w:rPr>
                <w:rFonts w:ascii="標楷體" w:eastAsia="標楷體" w:hAnsi="標楷體" w:hint="eastAsia"/>
                <w:color w:val="000000"/>
                <w:sz w:val="28"/>
                <w:szCs w:val="28"/>
              </w:rPr>
              <w:t>尚未審查</w:t>
            </w:r>
          </w:p>
        </w:tc>
        <w:tc>
          <w:tcPr>
            <w:tcW w:w="906" w:type="pct"/>
          </w:tcPr>
          <w:p w:rsidR="00E94539" w:rsidRPr="00B32B39" w:rsidRDefault="00E94539" w:rsidP="00E94539">
            <w:pPr>
              <w:pStyle w:val="0-"/>
            </w:pPr>
            <w:r w:rsidRPr="00B32B39">
              <w:rPr>
                <w:rFonts w:hint="eastAsia"/>
              </w:rPr>
              <w:t>整體產業環境因科技快速變遷已與本法公布施行之時大不相同，為健全文化創意產業生態系並使</w:t>
            </w:r>
            <w:r w:rsidRPr="00B32B39">
              <w:rPr>
                <w:rFonts w:hint="eastAsia"/>
              </w:rPr>
              <w:lastRenderedPageBreak/>
              <w:t>本法與時俱進。(29條)</w:t>
            </w:r>
          </w:p>
        </w:tc>
      </w:tr>
      <w:tr w:rsidR="00E94539" w:rsidRPr="00C049E6"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760837" w:rsidRDefault="00E94539" w:rsidP="00E94539">
            <w:pPr>
              <w:pStyle w:val="0-"/>
            </w:pPr>
            <w:r w:rsidRPr="00760837">
              <w:rPr>
                <w:rFonts w:hint="eastAsia"/>
              </w:rPr>
              <w:t>文化創意產業發展法第四條及第二十六條之一條文修正草案</w:t>
            </w:r>
          </w:p>
          <w:p w:rsidR="00E94539" w:rsidRPr="004E65E0" w:rsidRDefault="00E94539" w:rsidP="00E94539">
            <w:pPr>
              <w:pStyle w:val="0-"/>
              <w:rPr>
                <w:rFonts w:eastAsia="華康楷書體W5"/>
              </w:rPr>
            </w:pPr>
            <w:r w:rsidRPr="00760837">
              <w:rPr>
                <w:rFonts w:hint="eastAsia"/>
              </w:rPr>
              <w:t>(委員黃秀芳等17人)</w:t>
            </w:r>
          </w:p>
        </w:tc>
        <w:tc>
          <w:tcPr>
            <w:tcW w:w="797" w:type="pct"/>
          </w:tcPr>
          <w:p w:rsidR="00E94539" w:rsidRPr="004E65E0" w:rsidRDefault="00E94539" w:rsidP="00E94539">
            <w:pPr>
              <w:pStyle w:val="0-"/>
            </w:pPr>
            <w:r w:rsidRPr="004E65E0">
              <w:t>10-</w:t>
            </w:r>
            <w:r w:rsidRPr="004E65E0">
              <w:rPr>
                <w:rFonts w:hint="eastAsia"/>
              </w:rPr>
              <w:t>3</w:t>
            </w:r>
            <w:r w:rsidRPr="004E65E0">
              <w:t>-</w:t>
            </w:r>
            <w:r w:rsidRPr="004E65E0">
              <w:rPr>
                <w:rFonts w:hint="eastAsia"/>
              </w:rPr>
              <w:t>14</w:t>
            </w:r>
          </w:p>
          <w:p w:rsidR="00E94539" w:rsidRPr="004E65E0" w:rsidRDefault="00E94539" w:rsidP="00E94539">
            <w:pPr>
              <w:pStyle w:val="0-"/>
            </w:pPr>
            <w:r w:rsidRPr="004E65E0">
              <w:t>(1</w:t>
            </w:r>
            <w:r w:rsidRPr="004E65E0">
              <w:rPr>
                <w:rFonts w:hint="eastAsia"/>
              </w:rPr>
              <w:t>10</w:t>
            </w:r>
            <w:r w:rsidRPr="004E65E0">
              <w:t>.</w:t>
            </w:r>
            <w:r w:rsidRPr="004E65E0">
              <w:rPr>
                <w:rFonts w:hint="eastAsia"/>
              </w:rPr>
              <w:t>5</w:t>
            </w:r>
            <w:r w:rsidRPr="004E65E0">
              <w:t>.3</w:t>
            </w:r>
            <w:r w:rsidRPr="004E65E0">
              <w:rPr>
                <w:rFonts w:hint="eastAsia"/>
              </w:rPr>
              <w:t>1</w:t>
            </w:r>
            <w:r w:rsidRPr="004E65E0">
              <w:t>)</w:t>
            </w:r>
          </w:p>
        </w:tc>
        <w:tc>
          <w:tcPr>
            <w:tcW w:w="504" w:type="pct"/>
          </w:tcPr>
          <w:p w:rsidR="00E94539" w:rsidRPr="004E65E0" w:rsidRDefault="00E94539" w:rsidP="00E94539">
            <w:pPr>
              <w:jc w:val="both"/>
              <w:rPr>
                <w:rFonts w:eastAsia="華康楷書體W5"/>
                <w:color w:val="000000"/>
                <w:sz w:val="28"/>
              </w:rPr>
            </w:pPr>
          </w:p>
        </w:tc>
        <w:tc>
          <w:tcPr>
            <w:tcW w:w="1024" w:type="pct"/>
          </w:tcPr>
          <w:p w:rsidR="00E94539" w:rsidRPr="004E65E0" w:rsidRDefault="00E94539" w:rsidP="00E94539">
            <w:pPr>
              <w:jc w:val="both"/>
              <w:rPr>
                <w:rFonts w:ascii="標楷體" w:eastAsia="標楷體" w:hAnsi="標楷體"/>
                <w:color w:val="000000"/>
                <w:sz w:val="28"/>
                <w:szCs w:val="28"/>
              </w:rPr>
            </w:pPr>
            <w:r w:rsidRPr="004E65E0">
              <w:rPr>
                <w:rFonts w:ascii="標楷體" w:eastAsia="標楷體" w:hAnsi="標楷體" w:hint="eastAsia"/>
                <w:color w:val="000000"/>
                <w:sz w:val="28"/>
                <w:szCs w:val="28"/>
              </w:rPr>
              <w:t>尚未審查</w:t>
            </w:r>
          </w:p>
        </w:tc>
        <w:tc>
          <w:tcPr>
            <w:tcW w:w="906" w:type="pct"/>
          </w:tcPr>
          <w:p w:rsidR="00E94539" w:rsidRPr="004E65E0" w:rsidRDefault="00E94539" w:rsidP="00E94539">
            <w:pPr>
              <w:pStyle w:val="0-"/>
            </w:pPr>
            <w:r w:rsidRPr="004E65E0">
              <w:rPr>
                <w:rFonts w:hint="eastAsia"/>
              </w:rPr>
              <w:t>文化創意組織包含營利性的文化創意事業，以及非營利性、以推廣文化創意為目標的文化創意團體，惟現行「文化創意產業發展法」並未明確定義文化創意團體。(2條)</w:t>
            </w:r>
          </w:p>
        </w:tc>
      </w:tr>
      <w:tr w:rsidR="00E94539" w:rsidRPr="00C049E6"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760837" w:rsidRDefault="00E94539" w:rsidP="00E94539">
            <w:pPr>
              <w:pStyle w:val="0-"/>
            </w:pPr>
            <w:r w:rsidRPr="00760837">
              <w:rPr>
                <w:rFonts w:hint="eastAsia"/>
              </w:rPr>
              <w:t>文化創意產業發展法部分條文修正草案</w:t>
            </w:r>
          </w:p>
          <w:p w:rsidR="00E94539" w:rsidRPr="005705D2" w:rsidRDefault="00E94539" w:rsidP="00E94539">
            <w:pPr>
              <w:pStyle w:val="0-"/>
              <w:rPr>
                <w:rFonts w:eastAsia="華康楷書體W5"/>
              </w:rPr>
            </w:pPr>
            <w:r w:rsidRPr="00760837">
              <w:rPr>
                <w:rFonts w:hint="eastAsia"/>
              </w:rPr>
              <w:t>(委員黃國書等19人)</w:t>
            </w:r>
          </w:p>
        </w:tc>
        <w:tc>
          <w:tcPr>
            <w:tcW w:w="797" w:type="pct"/>
          </w:tcPr>
          <w:p w:rsidR="00E94539" w:rsidRPr="005705D2" w:rsidRDefault="00E94539" w:rsidP="00E94539">
            <w:pPr>
              <w:pStyle w:val="0-"/>
            </w:pPr>
            <w:r w:rsidRPr="005705D2">
              <w:t>10-4-6</w:t>
            </w:r>
          </w:p>
          <w:p w:rsidR="00E94539" w:rsidRPr="005705D2" w:rsidRDefault="00E94539" w:rsidP="00E94539">
            <w:pPr>
              <w:pStyle w:val="0-"/>
            </w:pPr>
            <w:r w:rsidRPr="005705D2">
              <w:t>(110.10.22)</w:t>
            </w:r>
          </w:p>
        </w:tc>
        <w:tc>
          <w:tcPr>
            <w:tcW w:w="504" w:type="pct"/>
          </w:tcPr>
          <w:p w:rsidR="00E94539" w:rsidRPr="005705D2" w:rsidRDefault="00E94539" w:rsidP="00E94539">
            <w:pPr>
              <w:jc w:val="both"/>
              <w:rPr>
                <w:rFonts w:eastAsia="華康楷書體W5"/>
                <w:color w:val="000000"/>
                <w:sz w:val="28"/>
              </w:rPr>
            </w:pPr>
          </w:p>
        </w:tc>
        <w:tc>
          <w:tcPr>
            <w:tcW w:w="1024" w:type="pct"/>
          </w:tcPr>
          <w:p w:rsidR="00E94539" w:rsidRPr="005705D2" w:rsidRDefault="00E94539" w:rsidP="00E94539">
            <w:pPr>
              <w:jc w:val="both"/>
              <w:rPr>
                <w:rFonts w:ascii="標楷體" w:eastAsia="標楷體" w:hAnsi="標楷體"/>
                <w:color w:val="000000"/>
                <w:sz w:val="28"/>
                <w:szCs w:val="28"/>
              </w:rPr>
            </w:pPr>
            <w:r w:rsidRPr="005705D2">
              <w:rPr>
                <w:rFonts w:ascii="標楷體" w:eastAsia="標楷體" w:hAnsi="標楷體" w:hint="eastAsia"/>
                <w:color w:val="000000"/>
                <w:sz w:val="28"/>
                <w:szCs w:val="28"/>
              </w:rPr>
              <w:t>尚未審查</w:t>
            </w:r>
          </w:p>
        </w:tc>
        <w:tc>
          <w:tcPr>
            <w:tcW w:w="906" w:type="pct"/>
          </w:tcPr>
          <w:p w:rsidR="00E94539" w:rsidRPr="005705D2" w:rsidRDefault="00E94539" w:rsidP="00E94539">
            <w:pPr>
              <w:pStyle w:val="0-"/>
            </w:pPr>
            <w:r w:rsidRPr="005705D2">
              <w:rPr>
                <w:rFonts w:hint="eastAsia"/>
              </w:rPr>
              <w:t>為強化對文化創意事業之投資誘因、鼓勵產業創新，促進產業發展。(4條)</w:t>
            </w:r>
          </w:p>
        </w:tc>
      </w:tr>
      <w:tr w:rsidR="00E94539" w:rsidRPr="00C049E6"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760837" w:rsidRDefault="00E94539" w:rsidP="00E94539">
            <w:pPr>
              <w:pStyle w:val="0-"/>
            </w:pPr>
            <w:r w:rsidRPr="00760837">
              <w:rPr>
                <w:rFonts w:hint="eastAsia"/>
              </w:rPr>
              <w:t>文化創意產業發展法第二十六條、第二十七條及第二十七條之一條文修正草案</w:t>
            </w:r>
          </w:p>
          <w:p w:rsidR="00E94539" w:rsidRPr="00760837" w:rsidRDefault="00E94539" w:rsidP="00E94539">
            <w:pPr>
              <w:pStyle w:val="0-"/>
            </w:pPr>
            <w:r w:rsidRPr="00760837">
              <w:rPr>
                <w:rFonts w:hint="eastAsia"/>
              </w:rPr>
              <w:t>(委員萬美玲等19人</w:t>
            </w:r>
            <w:r w:rsidRPr="00760837">
              <w:t>)</w:t>
            </w:r>
          </w:p>
        </w:tc>
        <w:tc>
          <w:tcPr>
            <w:tcW w:w="797" w:type="pct"/>
          </w:tcPr>
          <w:p w:rsidR="00E94539" w:rsidRPr="00EF2599" w:rsidRDefault="00E94539" w:rsidP="00E94539">
            <w:pPr>
              <w:pStyle w:val="0-"/>
            </w:pPr>
            <w:r w:rsidRPr="00EF2599">
              <w:t>10-5-4</w:t>
            </w:r>
          </w:p>
          <w:p w:rsidR="00E94539" w:rsidRPr="00EF2599" w:rsidRDefault="00E94539" w:rsidP="00E94539">
            <w:pPr>
              <w:pStyle w:val="0-"/>
            </w:pPr>
            <w:r w:rsidRPr="00EF2599">
              <w:t>(111.3.18)</w:t>
            </w:r>
          </w:p>
        </w:tc>
        <w:tc>
          <w:tcPr>
            <w:tcW w:w="504" w:type="pct"/>
          </w:tcPr>
          <w:p w:rsidR="00E94539" w:rsidRPr="00EF2599" w:rsidRDefault="00E94539" w:rsidP="00E94539">
            <w:pPr>
              <w:jc w:val="both"/>
              <w:rPr>
                <w:rFonts w:eastAsia="華康楷書體W5"/>
                <w:sz w:val="28"/>
              </w:rPr>
            </w:pPr>
          </w:p>
        </w:tc>
        <w:tc>
          <w:tcPr>
            <w:tcW w:w="1024" w:type="pct"/>
          </w:tcPr>
          <w:p w:rsidR="00E94539" w:rsidRPr="00EF2599" w:rsidRDefault="00E94539" w:rsidP="00E94539">
            <w:pPr>
              <w:jc w:val="both"/>
              <w:rPr>
                <w:rFonts w:ascii="標楷體" w:eastAsia="標楷體" w:hAnsi="標楷體"/>
                <w:sz w:val="28"/>
                <w:szCs w:val="28"/>
              </w:rPr>
            </w:pPr>
            <w:r w:rsidRPr="00EF2599">
              <w:rPr>
                <w:rFonts w:ascii="標楷體" w:eastAsia="標楷體" w:hAnsi="標楷體" w:hint="eastAsia"/>
                <w:sz w:val="28"/>
                <w:szCs w:val="28"/>
              </w:rPr>
              <w:t>尚未審查</w:t>
            </w:r>
          </w:p>
        </w:tc>
        <w:tc>
          <w:tcPr>
            <w:tcW w:w="906" w:type="pct"/>
          </w:tcPr>
          <w:p w:rsidR="00E94539" w:rsidRPr="00EF2599" w:rsidRDefault="00E94539" w:rsidP="00E94539">
            <w:pPr>
              <w:pStyle w:val="0-"/>
            </w:pPr>
            <w:r w:rsidRPr="00EF2599">
              <w:rPr>
                <w:rFonts w:hint="eastAsia"/>
              </w:rPr>
              <w:t>為提升民間企業及個人捐贈、投資文創相關產業之誘因，替文化創意注入產業化所需之資金活水。(3條)</w:t>
            </w:r>
          </w:p>
        </w:tc>
      </w:tr>
      <w:tr w:rsidR="00E94539" w:rsidRPr="00C049E6"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760837" w:rsidRDefault="00E94539" w:rsidP="00E94539">
            <w:pPr>
              <w:pStyle w:val="0-"/>
            </w:pPr>
            <w:r w:rsidRPr="00760837">
              <w:rPr>
                <w:rFonts w:hint="eastAsia"/>
              </w:rPr>
              <w:t>文化創意產業發展法部分條文修正草案</w:t>
            </w:r>
          </w:p>
          <w:p w:rsidR="00E94539" w:rsidRPr="00EC299C" w:rsidRDefault="00E94539" w:rsidP="00E94539">
            <w:pPr>
              <w:pStyle w:val="0-"/>
              <w:rPr>
                <w:rFonts w:eastAsia="華康楷書體W5"/>
              </w:rPr>
            </w:pPr>
            <w:r w:rsidRPr="00760837">
              <w:rPr>
                <w:rFonts w:hint="eastAsia"/>
              </w:rPr>
              <w:t>(委員張育美等16人)</w:t>
            </w:r>
          </w:p>
        </w:tc>
        <w:tc>
          <w:tcPr>
            <w:tcW w:w="797" w:type="pct"/>
          </w:tcPr>
          <w:p w:rsidR="00E94539" w:rsidRPr="00EC299C" w:rsidRDefault="00E94539" w:rsidP="00E94539">
            <w:pPr>
              <w:pStyle w:val="0-"/>
            </w:pPr>
            <w:r w:rsidRPr="00EC299C">
              <w:t>10-5-5</w:t>
            </w:r>
          </w:p>
          <w:p w:rsidR="00E94539" w:rsidRPr="00EC299C" w:rsidRDefault="00E94539" w:rsidP="00E94539">
            <w:pPr>
              <w:pStyle w:val="0-"/>
            </w:pPr>
            <w:r w:rsidRPr="00EC299C">
              <w:t>(111.3.25)</w:t>
            </w:r>
          </w:p>
        </w:tc>
        <w:tc>
          <w:tcPr>
            <w:tcW w:w="504" w:type="pct"/>
          </w:tcPr>
          <w:p w:rsidR="00E94539" w:rsidRPr="00EC299C" w:rsidRDefault="00E94539" w:rsidP="00E94539">
            <w:pPr>
              <w:jc w:val="both"/>
              <w:rPr>
                <w:rFonts w:eastAsia="華康楷書體W5"/>
                <w:color w:val="000000"/>
                <w:sz w:val="28"/>
              </w:rPr>
            </w:pPr>
          </w:p>
        </w:tc>
        <w:tc>
          <w:tcPr>
            <w:tcW w:w="1024" w:type="pct"/>
          </w:tcPr>
          <w:p w:rsidR="00E94539" w:rsidRPr="00EC299C" w:rsidRDefault="00E94539" w:rsidP="00E94539">
            <w:pPr>
              <w:jc w:val="both"/>
              <w:rPr>
                <w:rFonts w:ascii="標楷體" w:eastAsia="標楷體" w:hAnsi="標楷體"/>
                <w:color w:val="000000"/>
                <w:sz w:val="28"/>
                <w:szCs w:val="28"/>
              </w:rPr>
            </w:pPr>
            <w:r w:rsidRPr="00EC299C">
              <w:rPr>
                <w:rFonts w:ascii="標楷體" w:eastAsia="標楷體" w:hAnsi="標楷體" w:hint="eastAsia"/>
                <w:color w:val="000000"/>
                <w:sz w:val="28"/>
                <w:szCs w:val="28"/>
              </w:rPr>
              <w:t>尚未審查</w:t>
            </w:r>
          </w:p>
        </w:tc>
        <w:tc>
          <w:tcPr>
            <w:tcW w:w="906" w:type="pct"/>
          </w:tcPr>
          <w:p w:rsidR="00E94539" w:rsidRPr="00EC299C" w:rsidRDefault="00E94539" w:rsidP="00E94539">
            <w:pPr>
              <w:pStyle w:val="0-"/>
            </w:pPr>
            <w:r w:rsidRPr="00EC299C">
              <w:rPr>
                <w:rFonts w:hint="eastAsia"/>
              </w:rPr>
              <w:t>為促進政府及民間資源投入文化創意產業，使我國文化創意產業蓬勃發展。(6</w:t>
            </w:r>
            <w:r w:rsidRPr="00EC299C">
              <w:rPr>
                <w:rFonts w:hint="eastAsia"/>
              </w:rPr>
              <w:lastRenderedPageBreak/>
              <w:t>條)</w:t>
            </w:r>
          </w:p>
        </w:tc>
      </w:tr>
      <w:tr w:rsidR="00E94539" w:rsidRPr="00C049E6"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760837" w:rsidRDefault="00E94539" w:rsidP="00E94539">
            <w:pPr>
              <w:pStyle w:val="0-"/>
            </w:pPr>
            <w:r w:rsidRPr="00760837">
              <w:rPr>
                <w:rFonts w:hint="eastAsia"/>
              </w:rPr>
              <w:t>文化創意產業發展法第十七條條文修正草案</w:t>
            </w:r>
          </w:p>
          <w:p w:rsidR="00E94539" w:rsidRPr="00AC715F" w:rsidRDefault="00E94539" w:rsidP="00E94539">
            <w:pPr>
              <w:pStyle w:val="0-"/>
              <w:rPr>
                <w:rFonts w:eastAsia="華康楷書體W5"/>
              </w:rPr>
            </w:pPr>
            <w:r w:rsidRPr="00760837">
              <w:rPr>
                <w:rFonts w:hint="eastAsia"/>
              </w:rPr>
              <w:t>(委員萬美玲等16人)</w:t>
            </w:r>
          </w:p>
        </w:tc>
        <w:tc>
          <w:tcPr>
            <w:tcW w:w="797" w:type="pct"/>
          </w:tcPr>
          <w:p w:rsidR="00E94539" w:rsidRPr="00AC715F" w:rsidRDefault="00E94539" w:rsidP="00E94539">
            <w:pPr>
              <w:pStyle w:val="0-"/>
            </w:pPr>
            <w:r w:rsidRPr="00AC715F">
              <w:t>10-5-11</w:t>
            </w:r>
          </w:p>
          <w:p w:rsidR="00E94539" w:rsidRPr="00AC715F" w:rsidRDefault="00E94539" w:rsidP="00E94539">
            <w:pPr>
              <w:pStyle w:val="0-"/>
            </w:pPr>
            <w:r w:rsidRPr="00AC715F">
              <w:t>(111.5.6)</w:t>
            </w:r>
          </w:p>
        </w:tc>
        <w:tc>
          <w:tcPr>
            <w:tcW w:w="504" w:type="pct"/>
          </w:tcPr>
          <w:p w:rsidR="00E94539" w:rsidRPr="00AC715F" w:rsidRDefault="00E94539" w:rsidP="00E94539">
            <w:pPr>
              <w:jc w:val="both"/>
              <w:rPr>
                <w:rFonts w:eastAsia="華康楷書體W5"/>
                <w:color w:val="000000"/>
                <w:sz w:val="28"/>
              </w:rPr>
            </w:pPr>
          </w:p>
        </w:tc>
        <w:tc>
          <w:tcPr>
            <w:tcW w:w="1024" w:type="pct"/>
          </w:tcPr>
          <w:p w:rsidR="00E94539" w:rsidRPr="00AC715F" w:rsidRDefault="00E94539" w:rsidP="00E94539">
            <w:pPr>
              <w:jc w:val="both"/>
              <w:rPr>
                <w:rFonts w:ascii="標楷體" w:eastAsia="標楷體" w:hAnsi="標楷體"/>
                <w:color w:val="000000"/>
                <w:sz w:val="28"/>
                <w:szCs w:val="28"/>
              </w:rPr>
            </w:pPr>
            <w:r w:rsidRPr="00AC715F">
              <w:rPr>
                <w:rFonts w:ascii="標楷體" w:eastAsia="標楷體" w:hAnsi="標楷體" w:hint="eastAsia"/>
                <w:color w:val="000000"/>
                <w:sz w:val="28"/>
                <w:szCs w:val="28"/>
              </w:rPr>
              <w:t>尚未審查</w:t>
            </w:r>
          </w:p>
        </w:tc>
        <w:tc>
          <w:tcPr>
            <w:tcW w:w="906" w:type="pct"/>
          </w:tcPr>
          <w:p w:rsidR="00E94539" w:rsidRPr="00AC715F" w:rsidRDefault="00E94539" w:rsidP="00E94539">
            <w:pPr>
              <w:pStyle w:val="0-"/>
            </w:pPr>
            <w:r w:rsidRPr="00AC715F">
              <w:rPr>
                <w:rFonts w:hint="eastAsia"/>
              </w:rPr>
              <w:t>顯有違本法之立法意旨，且不能確保政府機關採購之商品或服務能推動文化創意產業之發展。(1條)</w:t>
            </w:r>
          </w:p>
        </w:tc>
      </w:tr>
      <w:tr w:rsidR="00E94539" w:rsidRPr="00C049E6" w:rsidTr="00E94539">
        <w:trPr>
          <w:trHeight w:val="567"/>
        </w:trPr>
        <w:tc>
          <w:tcPr>
            <w:tcW w:w="335" w:type="pct"/>
            <w:vAlign w:val="center"/>
          </w:tcPr>
          <w:p w:rsidR="00E94539" w:rsidRPr="00C049E6" w:rsidRDefault="00E94539" w:rsidP="006934DD">
            <w:pPr>
              <w:numPr>
                <w:ilvl w:val="0"/>
                <w:numId w:val="65"/>
              </w:numPr>
              <w:tabs>
                <w:tab w:val="num" w:pos="360"/>
              </w:tabs>
              <w:spacing w:line="400" w:lineRule="exact"/>
              <w:rPr>
                <w:rFonts w:ascii="標楷體" w:eastAsia="標楷體" w:hAnsi="標楷體"/>
                <w:sz w:val="28"/>
              </w:rPr>
            </w:pPr>
          </w:p>
        </w:tc>
        <w:tc>
          <w:tcPr>
            <w:tcW w:w="1435" w:type="pct"/>
          </w:tcPr>
          <w:p w:rsidR="00E94539" w:rsidRPr="00760837" w:rsidRDefault="00E94539" w:rsidP="00E94539">
            <w:pPr>
              <w:pStyle w:val="0-"/>
            </w:pPr>
            <w:r w:rsidRPr="00760837">
              <w:rPr>
                <w:rFonts w:hint="eastAsia"/>
              </w:rPr>
              <w:t>文化藝術獎助及保障促進條例草案</w:t>
            </w:r>
          </w:p>
          <w:p w:rsidR="00E94539" w:rsidRPr="005705D2" w:rsidRDefault="00E94539" w:rsidP="00E94539">
            <w:pPr>
              <w:pStyle w:val="0-"/>
              <w:rPr>
                <w:rFonts w:eastAsia="華康楷書體W5"/>
              </w:rPr>
            </w:pPr>
            <w:r w:rsidRPr="00760837">
              <w:rPr>
                <w:rFonts w:hint="eastAsia"/>
              </w:rPr>
              <w:t>(民眾黨黨團)</w:t>
            </w:r>
          </w:p>
        </w:tc>
        <w:tc>
          <w:tcPr>
            <w:tcW w:w="797" w:type="pct"/>
          </w:tcPr>
          <w:p w:rsidR="00E94539" w:rsidRPr="005705D2" w:rsidRDefault="00E94539" w:rsidP="00E94539">
            <w:pPr>
              <w:pStyle w:val="0-"/>
            </w:pPr>
            <w:r w:rsidRPr="005705D2">
              <w:t>10-3-11</w:t>
            </w:r>
          </w:p>
          <w:p w:rsidR="00E94539" w:rsidRPr="005705D2" w:rsidRDefault="00E94539" w:rsidP="00E94539">
            <w:pPr>
              <w:pStyle w:val="0-"/>
            </w:pPr>
            <w:r w:rsidRPr="005705D2">
              <w:t>(110.5.7)</w:t>
            </w:r>
          </w:p>
        </w:tc>
        <w:tc>
          <w:tcPr>
            <w:tcW w:w="504" w:type="pct"/>
          </w:tcPr>
          <w:p w:rsidR="00E94539" w:rsidRPr="005705D2" w:rsidRDefault="00E94539" w:rsidP="00E94539">
            <w:pPr>
              <w:jc w:val="both"/>
              <w:rPr>
                <w:rFonts w:eastAsia="華康楷書體W5"/>
                <w:color w:val="000000"/>
                <w:sz w:val="28"/>
              </w:rPr>
            </w:pPr>
          </w:p>
        </w:tc>
        <w:tc>
          <w:tcPr>
            <w:tcW w:w="1024" w:type="pct"/>
          </w:tcPr>
          <w:p w:rsidR="00E94539" w:rsidRPr="005705D2" w:rsidRDefault="00E94539" w:rsidP="00E94539">
            <w:pPr>
              <w:jc w:val="both"/>
              <w:rPr>
                <w:rFonts w:ascii="標楷體" w:eastAsia="標楷體" w:hAnsi="標楷體"/>
                <w:color w:val="000000"/>
                <w:sz w:val="28"/>
                <w:szCs w:val="28"/>
              </w:rPr>
            </w:pPr>
            <w:r w:rsidRPr="005705D2">
              <w:rPr>
                <w:rFonts w:ascii="標楷體" w:eastAsia="標楷體" w:hAnsi="標楷體" w:hint="eastAsia"/>
                <w:color w:val="000000"/>
                <w:sz w:val="28"/>
                <w:szCs w:val="28"/>
              </w:rPr>
              <w:t>尚未審查</w:t>
            </w:r>
          </w:p>
        </w:tc>
        <w:tc>
          <w:tcPr>
            <w:tcW w:w="906" w:type="pct"/>
          </w:tcPr>
          <w:p w:rsidR="00E94539" w:rsidRPr="005705D2" w:rsidRDefault="00E94539" w:rsidP="00E94539">
            <w:pPr>
              <w:pStyle w:val="0-"/>
            </w:pPr>
            <w:r w:rsidRPr="005705D2">
              <w:rPr>
                <w:rFonts w:hint="eastAsia"/>
              </w:rPr>
              <w:t>為保障文化藝術工作者權益，促進其在文化藝術事業之發展。(34條)</w:t>
            </w:r>
          </w:p>
        </w:tc>
      </w:tr>
    </w:tbl>
    <w:p w:rsidR="00FB0608" w:rsidRPr="00920597" w:rsidRDefault="00502BBF" w:rsidP="008D0A60">
      <w:pPr>
        <w:pStyle w:val="01-3"/>
        <w:rPr>
          <w:bCs/>
          <w:color w:val="000000" w:themeColor="text1"/>
        </w:rPr>
      </w:pPr>
      <w:bookmarkStart w:id="123" w:name="科技部2"/>
      <w:bookmarkStart w:id="124" w:name="_Toc126068160"/>
      <w:r w:rsidRPr="00920597">
        <w:rPr>
          <w:rFonts w:hint="eastAsia"/>
          <w:color w:val="000000" w:themeColor="text1"/>
        </w:rPr>
        <w:t>(三)</w:t>
      </w:r>
      <w:bookmarkEnd w:id="123"/>
      <w:r w:rsidR="0012199C">
        <w:rPr>
          <w:rFonts w:hint="eastAsia"/>
          <w:color w:val="000000" w:themeColor="text1"/>
        </w:rPr>
        <w:t>國家科學及技術委員會</w:t>
      </w:r>
      <w:r w:rsidR="00AE6BAE" w:rsidRPr="00920597">
        <w:rPr>
          <w:rFonts w:hint="eastAsia"/>
          <w:color w:val="000000" w:themeColor="text1"/>
        </w:rPr>
        <w:t xml:space="preserve"> </w:t>
      </w:r>
      <w:r w:rsidR="00FB0608" w:rsidRPr="00920597">
        <w:rPr>
          <w:rFonts w:hint="eastAsia"/>
          <w:color w:val="000000" w:themeColor="text1"/>
        </w:rPr>
        <w:t>(</w:t>
      </w:r>
      <w:r w:rsidR="00F74345">
        <w:rPr>
          <w:rFonts w:hint="eastAsia"/>
          <w:color w:val="000000" w:themeColor="text1"/>
        </w:rPr>
        <w:t>42</w:t>
      </w:r>
      <w:r w:rsidR="00FB0608" w:rsidRPr="00920597">
        <w:rPr>
          <w:rFonts w:hint="eastAsia"/>
          <w:color w:val="000000" w:themeColor="text1"/>
        </w:rPr>
        <w:t>案）</w:t>
      </w:r>
      <w:bookmarkEnd w:id="124"/>
    </w:p>
    <w:tbl>
      <w:tblPr>
        <w:tblW w:w="5125" w:type="pct"/>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37"/>
        <w:gridCol w:w="2786"/>
        <w:gridCol w:w="1567"/>
        <w:gridCol w:w="1045"/>
        <w:gridCol w:w="1902"/>
        <w:gridCol w:w="1757"/>
      </w:tblGrid>
      <w:tr w:rsidR="0012199C" w:rsidRPr="003D69B8" w:rsidTr="0012199C">
        <w:trPr>
          <w:trHeight w:val="615"/>
        </w:trPr>
        <w:tc>
          <w:tcPr>
            <w:tcW w:w="329" w:type="pct"/>
            <w:tcBorders>
              <w:top w:val="single" w:sz="4" w:space="0" w:color="auto"/>
              <w:left w:val="single" w:sz="4" w:space="0" w:color="auto"/>
              <w:bottom w:val="single" w:sz="4" w:space="0" w:color="auto"/>
              <w:right w:val="single" w:sz="4" w:space="0" w:color="auto"/>
            </w:tcBorders>
            <w:vAlign w:val="center"/>
          </w:tcPr>
          <w:p w:rsidR="0012199C" w:rsidRPr="001A495B" w:rsidRDefault="0012199C" w:rsidP="0012199C">
            <w:pPr>
              <w:snapToGrid w:val="0"/>
              <w:spacing w:line="400" w:lineRule="exact"/>
              <w:jc w:val="distribute"/>
              <w:rPr>
                <w:rFonts w:ascii="標楷體" w:eastAsia="標楷體" w:hAnsi="標楷體"/>
                <w:b/>
                <w:bCs/>
                <w:spacing w:val="-20"/>
                <w:sz w:val="28"/>
                <w:szCs w:val="28"/>
              </w:rPr>
            </w:pPr>
            <w:r w:rsidRPr="001A495B">
              <w:rPr>
                <w:rFonts w:ascii="標楷體" w:eastAsia="標楷體" w:hAnsi="標楷體" w:hint="eastAsia"/>
                <w:b/>
                <w:bCs/>
                <w:spacing w:val="-20"/>
                <w:sz w:val="28"/>
                <w:szCs w:val="28"/>
              </w:rPr>
              <w:t>序號</w:t>
            </w:r>
          </w:p>
        </w:tc>
        <w:tc>
          <w:tcPr>
            <w:tcW w:w="1437" w:type="pct"/>
            <w:tcBorders>
              <w:top w:val="single" w:sz="4" w:space="0" w:color="auto"/>
              <w:left w:val="single" w:sz="4" w:space="0" w:color="auto"/>
              <w:bottom w:val="single" w:sz="4" w:space="0" w:color="auto"/>
              <w:right w:val="single" w:sz="4" w:space="0" w:color="auto"/>
            </w:tcBorders>
            <w:vAlign w:val="center"/>
          </w:tcPr>
          <w:p w:rsidR="0012199C" w:rsidRPr="001A495B" w:rsidRDefault="0012199C" w:rsidP="0012199C">
            <w:pPr>
              <w:snapToGrid w:val="0"/>
              <w:spacing w:line="400" w:lineRule="exact"/>
              <w:jc w:val="center"/>
              <w:rPr>
                <w:rFonts w:ascii="標楷體" w:eastAsia="標楷體" w:hAnsi="標楷體"/>
                <w:b/>
                <w:bCs/>
                <w:sz w:val="28"/>
              </w:rPr>
            </w:pPr>
            <w:r w:rsidRPr="001A495B">
              <w:rPr>
                <w:rFonts w:ascii="標楷體" w:eastAsia="標楷體" w:hAnsi="標楷體" w:hint="eastAsia"/>
                <w:b/>
                <w:bCs/>
                <w:sz w:val="28"/>
              </w:rPr>
              <w:t>法案名稱</w:t>
            </w:r>
            <w:r w:rsidRPr="001A495B">
              <w:rPr>
                <w:rFonts w:ascii="標楷體" w:eastAsia="標楷體" w:hAnsi="標楷體" w:hint="eastAsia"/>
                <w:b/>
                <w:sz w:val="28"/>
                <w:szCs w:val="28"/>
              </w:rPr>
              <w:t>及提案單位</w:t>
            </w:r>
          </w:p>
        </w:tc>
        <w:tc>
          <w:tcPr>
            <w:tcW w:w="808" w:type="pct"/>
            <w:tcBorders>
              <w:top w:val="single" w:sz="4" w:space="0" w:color="auto"/>
              <w:left w:val="single" w:sz="4" w:space="0" w:color="auto"/>
              <w:bottom w:val="single" w:sz="4" w:space="0" w:color="auto"/>
              <w:right w:val="single" w:sz="4" w:space="0" w:color="auto"/>
            </w:tcBorders>
            <w:vAlign w:val="center"/>
          </w:tcPr>
          <w:p w:rsidR="0012199C" w:rsidRPr="001A495B" w:rsidRDefault="0012199C" w:rsidP="0012199C">
            <w:pPr>
              <w:snapToGrid w:val="0"/>
              <w:spacing w:line="400" w:lineRule="exact"/>
              <w:ind w:left="-29"/>
              <w:jc w:val="center"/>
              <w:rPr>
                <w:rFonts w:ascii="標楷體" w:eastAsia="標楷體" w:hAnsi="標楷體"/>
                <w:b/>
                <w:bCs/>
                <w:sz w:val="28"/>
              </w:rPr>
            </w:pPr>
            <w:r w:rsidRPr="001A495B">
              <w:rPr>
                <w:rFonts w:ascii="標楷體" w:eastAsia="標楷體" w:hAnsi="標楷體" w:hint="eastAsia"/>
                <w:b/>
                <w:bCs/>
                <w:sz w:val="28"/>
              </w:rPr>
              <w:t>院會交付</w:t>
            </w:r>
          </w:p>
          <w:p w:rsidR="0012199C" w:rsidRPr="001A495B" w:rsidRDefault="0012199C" w:rsidP="0012199C">
            <w:pPr>
              <w:snapToGrid w:val="0"/>
              <w:spacing w:line="400" w:lineRule="exact"/>
              <w:ind w:left="-29" w:right="-28"/>
              <w:jc w:val="center"/>
              <w:rPr>
                <w:rFonts w:ascii="標楷體" w:eastAsia="標楷體" w:hAnsi="標楷體"/>
                <w:b/>
                <w:bCs/>
                <w:sz w:val="28"/>
              </w:rPr>
            </w:pPr>
            <w:r w:rsidRPr="001A495B">
              <w:rPr>
                <w:rFonts w:ascii="標楷體" w:eastAsia="標楷體" w:hAnsi="標楷體" w:hint="eastAsia"/>
                <w:b/>
                <w:bCs/>
                <w:sz w:val="28"/>
              </w:rPr>
              <w:t>會次及日期</w:t>
            </w:r>
          </w:p>
        </w:tc>
        <w:tc>
          <w:tcPr>
            <w:tcW w:w="539" w:type="pct"/>
            <w:tcBorders>
              <w:top w:val="single" w:sz="4" w:space="0" w:color="auto"/>
              <w:left w:val="single" w:sz="4" w:space="0" w:color="auto"/>
              <w:bottom w:val="single" w:sz="4" w:space="0" w:color="auto"/>
              <w:right w:val="single" w:sz="4" w:space="0" w:color="auto"/>
            </w:tcBorders>
            <w:vAlign w:val="center"/>
          </w:tcPr>
          <w:p w:rsidR="0012199C" w:rsidRPr="001A495B" w:rsidRDefault="0012199C" w:rsidP="0012199C">
            <w:pPr>
              <w:snapToGrid w:val="0"/>
              <w:spacing w:line="400" w:lineRule="exact"/>
              <w:jc w:val="center"/>
              <w:rPr>
                <w:rFonts w:ascii="標楷體" w:eastAsia="標楷體" w:hAnsi="標楷體"/>
                <w:b/>
                <w:bCs/>
                <w:sz w:val="28"/>
              </w:rPr>
            </w:pPr>
            <w:r w:rsidRPr="001A495B">
              <w:rPr>
                <w:rFonts w:ascii="標楷體" w:eastAsia="標楷體" w:hAnsi="標楷體" w:hint="eastAsia"/>
                <w:b/>
                <w:bCs/>
                <w:sz w:val="28"/>
              </w:rPr>
              <w:t>聯席</w:t>
            </w:r>
          </w:p>
          <w:p w:rsidR="0012199C" w:rsidRPr="001A495B" w:rsidRDefault="0012199C" w:rsidP="0012199C">
            <w:pPr>
              <w:snapToGrid w:val="0"/>
              <w:spacing w:line="400" w:lineRule="exact"/>
              <w:jc w:val="center"/>
              <w:rPr>
                <w:rFonts w:ascii="標楷體" w:eastAsia="標楷體" w:hAnsi="標楷體"/>
                <w:b/>
                <w:bCs/>
                <w:sz w:val="28"/>
              </w:rPr>
            </w:pPr>
            <w:r w:rsidRPr="001A495B">
              <w:rPr>
                <w:rFonts w:ascii="標楷體" w:eastAsia="標楷體" w:hAnsi="標楷體" w:hint="eastAsia"/>
                <w:b/>
                <w:bCs/>
                <w:sz w:val="28"/>
              </w:rPr>
              <w:t>委員會</w:t>
            </w:r>
          </w:p>
        </w:tc>
        <w:tc>
          <w:tcPr>
            <w:tcW w:w="981" w:type="pct"/>
            <w:tcBorders>
              <w:top w:val="single" w:sz="4" w:space="0" w:color="auto"/>
              <w:left w:val="single" w:sz="4" w:space="0" w:color="auto"/>
              <w:bottom w:val="single" w:sz="4" w:space="0" w:color="auto"/>
              <w:right w:val="single" w:sz="4" w:space="0" w:color="auto"/>
            </w:tcBorders>
            <w:vAlign w:val="center"/>
          </w:tcPr>
          <w:p w:rsidR="0012199C" w:rsidRPr="001A495B" w:rsidRDefault="0012199C" w:rsidP="0012199C">
            <w:pPr>
              <w:snapToGrid w:val="0"/>
              <w:spacing w:line="400" w:lineRule="exact"/>
              <w:jc w:val="center"/>
              <w:rPr>
                <w:rFonts w:ascii="標楷體" w:eastAsia="標楷體" w:hAnsi="標楷體"/>
                <w:b/>
                <w:bCs/>
                <w:sz w:val="28"/>
              </w:rPr>
            </w:pPr>
            <w:r w:rsidRPr="001A495B">
              <w:rPr>
                <w:rFonts w:ascii="標楷體" w:eastAsia="標楷體" w:hAnsi="標楷體" w:hint="eastAsia"/>
                <w:b/>
                <w:bCs/>
                <w:sz w:val="28"/>
              </w:rPr>
              <w:t>處理情形</w:t>
            </w:r>
          </w:p>
        </w:tc>
        <w:tc>
          <w:tcPr>
            <w:tcW w:w="906" w:type="pct"/>
            <w:tcBorders>
              <w:top w:val="single" w:sz="4" w:space="0" w:color="auto"/>
              <w:left w:val="single" w:sz="4" w:space="0" w:color="auto"/>
              <w:bottom w:val="single" w:sz="4" w:space="0" w:color="auto"/>
              <w:right w:val="single" w:sz="4" w:space="0" w:color="auto"/>
            </w:tcBorders>
            <w:vAlign w:val="center"/>
          </w:tcPr>
          <w:p w:rsidR="0012199C" w:rsidRPr="001A495B" w:rsidRDefault="0012199C" w:rsidP="0012199C">
            <w:pPr>
              <w:spacing w:line="400" w:lineRule="exact"/>
              <w:ind w:leftChars="-12" w:left="-28" w:hanging="1"/>
              <w:jc w:val="center"/>
              <w:rPr>
                <w:rFonts w:ascii="標楷體" w:eastAsia="標楷體" w:hAnsi="標楷體"/>
                <w:b/>
                <w:bCs/>
                <w:sz w:val="28"/>
              </w:rPr>
            </w:pPr>
            <w:r w:rsidRPr="001A495B">
              <w:rPr>
                <w:rFonts w:ascii="標楷體" w:eastAsia="標楷體" w:hAnsi="標楷體" w:hint="eastAsia"/>
                <w:b/>
                <w:bCs/>
                <w:sz w:val="28"/>
              </w:rPr>
              <w:t>備註</w:t>
            </w:r>
          </w:p>
        </w:tc>
      </w:tr>
      <w:tr w:rsidR="0012199C" w:rsidRPr="003D69B8" w:rsidTr="00F74345">
        <w:trPr>
          <w:trHeight w:val="615"/>
        </w:trPr>
        <w:tc>
          <w:tcPr>
            <w:tcW w:w="329" w:type="pct"/>
            <w:vAlign w:val="center"/>
          </w:tcPr>
          <w:p w:rsidR="0012199C" w:rsidRPr="003D69B8" w:rsidRDefault="0012199C" w:rsidP="006934DD">
            <w:pPr>
              <w:numPr>
                <w:ilvl w:val="0"/>
                <w:numId w:val="66"/>
              </w:numPr>
              <w:spacing w:line="400" w:lineRule="exact"/>
              <w:rPr>
                <w:rFonts w:ascii="標楷體" w:eastAsia="標楷體" w:hAnsi="標楷體"/>
                <w:sz w:val="28"/>
              </w:rPr>
            </w:pPr>
          </w:p>
        </w:tc>
        <w:tc>
          <w:tcPr>
            <w:tcW w:w="1437" w:type="pct"/>
          </w:tcPr>
          <w:p w:rsidR="0012199C" w:rsidRPr="003D69B8" w:rsidRDefault="0012199C" w:rsidP="0012199C">
            <w:pPr>
              <w:pStyle w:val="0-"/>
            </w:pPr>
            <w:r w:rsidRPr="003D69B8">
              <w:rPr>
                <w:rFonts w:hint="eastAsia"/>
              </w:rPr>
              <w:t>科學技術基本法第九條條文修正草案</w:t>
            </w:r>
          </w:p>
          <w:p w:rsidR="0012199C" w:rsidRPr="003D69B8" w:rsidRDefault="0012199C" w:rsidP="0012199C">
            <w:pPr>
              <w:pStyle w:val="0-"/>
            </w:pPr>
            <w:r w:rsidRPr="003D69B8">
              <w:rPr>
                <w:rFonts w:hint="eastAsia"/>
              </w:rPr>
              <w:t>(委員林奕華等22人)</w:t>
            </w:r>
          </w:p>
        </w:tc>
        <w:tc>
          <w:tcPr>
            <w:tcW w:w="808" w:type="pct"/>
          </w:tcPr>
          <w:p w:rsidR="0012199C" w:rsidRPr="003D69B8" w:rsidRDefault="0012199C" w:rsidP="0012199C">
            <w:pPr>
              <w:pStyle w:val="0-"/>
            </w:pPr>
            <w:r w:rsidRPr="003D69B8">
              <w:t>10-1-</w:t>
            </w:r>
            <w:r w:rsidRPr="003D69B8">
              <w:rPr>
                <w:rFonts w:hint="eastAsia"/>
              </w:rPr>
              <w:t>3</w:t>
            </w:r>
          </w:p>
          <w:p w:rsidR="0012199C" w:rsidRPr="003D69B8" w:rsidRDefault="0012199C" w:rsidP="0012199C">
            <w:pPr>
              <w:pStyle w:val="0-"/>
            </w:pPr>
            <w:r w:rsidRPr="003D69B8">
              <w:t>(109</w:t>
            </w:r>
            <w:r w:rsidRPr="003D69B8">
              <w:rPr>
                <w:rFonts w:hint="eastAsia"/>
              </w:rPr>
              <w:t>.3.6</w:t>
            </w:r>
            <w:r w:rsidRPr="003D69B8">
              <w:t>)</w:t>
            </w:r>
          </w:p>
        </w:tc>
        <w:tc>
          <w:tcPr>
            <w:tcW w:w="539" w:type="pct"/>
          </w:tcPr>
          <w:p w:rsidR="0012199C" w:rsidRPr="003D69B8" w:rsidRDefault="0012199C" w:rsidP="0012199C">
            <w:pPr>
              <w:jc w:val="both"/>
              <w:rPr>
                <w:rFonts w:ascii="標楷體" w:eastAsia="標楷體" w:hAnsi="標楷體"/>
                <w:sz w:val="28"/>
                <w:szCs w:val="28"/>
              </w:rPr>
            </w:pPr>
          </w:p>
        </w:tc>
        <w:tc>
          <w:tcPr>
            <w:tcW w:w="981" w:type="pct"/>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Pr>
          <w:p w:rsidR="0012199C" w:rsidRPr="003D69B8" w:rsidRDefault="0012199C" w:rsidP="0012199C">
            <w:pPr>
              <w:pStyle w:val="0-"/>
            </w:pPr>
            <w:r w:rsidRPr="003D69B8">
              <w:rPr>
                <w:rFonts w:hint="eastAsia"/>
              </w:rPr>
              <w:t>要求科技部衡酌全球創新科技發展趨勢，配合每四年召開之全國科學技術會議，提出國家科學技術發展政策藍圖，每兩年進行檢討修正。(1條)</w:t>
            </w:r>
          </w:p>
        </w:tc>
      </w:tr>
      <w:tr w:rsidR="0012199C" w:rsidRPr="003D69B8"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Pr>
          <w:p w:rsidR="0012199C" w:rsidRPr="003D69B8" w:rsidRDefault="0012199C" w:rsidP="0012199C">
            <w:pPr>
              <w:pStyle w:val="0-"/>
            </w:pPr>
            <w:r w:rsidRPr="003D69B8">
              <w:rPr>
                <w:rFonts w:hint="eastAsia"/>
              </w:rPr>
              <w:t>科學技術基本法部分條文修正草案</w:t>
            </w:r>
          </w:p>
          <w:p w:rsidR="0012199C" w:rsidRPr="003D69B8" w:rsidRDefault="0012199C" w:rsidP="0012199C">
            <w:pPr>
              <w:pStyle w:val="0-"/>
            </w:pPr>
            <w:r w:rsidRPr="003D69B8">
              <w:rPr>
                <w:rFonts w:hint="eastAsia"/>
              </w:rPr>
              <w:t>(委員林淑芬等24人)</w:t>
            </w:r>
          </w:p>
        </w:tc>
        <w:tc>
          <w:tcPr>
            <w:tcW w:w="808" w:type="pct"/>
          </w:tcPr>
          <w:p w:rsidR="0012199C" w:rsidRPr="003D69B8" w:rsidRDefault="0012199C" w:rsidP="0012199C">
            <w:pPr>
              <w:pStyle w:val="0-"/>
            </w:pPr>
            <w:r w:rsidRPr="003D69B8">
              <w:t>10-</w:t>
            </w:r>
            <w:r w:rsidRPr="003D69B8">
              <w:rPr>
                <w:rFonts w:hint="eastAsia"/>
              </w:rPr>
              <w:t>2</w:t>
            </w:r>
            <w:r w:rsidRPr="003D69B8">
              <w:t>-</w:t>
            </w:r>
            <w:r w:rsidRPr="003D69B8">
              <w:rPr>
                <w:rFonts w:hint="eastAsia"/>
              </w:rPr>
              <w:t>9</w:t>
            </w:r>
          </w:p>
          <w:p w:rsidR="0012199C" w:rsidRPr="003D69B8" w:rsidRDefault="0012199C" w:rsidP="0012199C">
            <w:pPr>
              <w:pStyle w:val="0-"/>
            </w:pPr>
            <w:r w:rsidRPr="003D69B8">
              <w:t>(</w:t>
            </w:r>
            <w:r w:rsidRPr="0012199C">
              <w:rPr>
                <w:spacing w:val="-20"/>
              </w:rPr>
              <w:t>109</w:t>
            </w:r>
            <w:r w:rsidRPr="0012199C">
              <w:rPr>
                <w:rFonts w:hint="eastAsia"/>
                <w:spacing w:val="-20"/>
              </w:rPr>
              <w:t>.12.</w:t>
            </w:r>
            <w:r w:rsidRPr="0012199C">
              <w:rPr>
                <w:spacing w:val="-20"/>
              </w:rPr>
              <w:t>24</w:t>
            </w:r>
            <w:r w:rsidRPr="003D69B8">
              <w:rPr>
                <w:rFonts w:hint="eastAsia"/>
              </w:rPr>
              <w:t>)</w:t>
            </w:r>
          </w:p>
        </w:tc>
        <w:tc>
          <w:tcPr>
            <w:tcW w:w="539" w:type="pct"/>
          </w:tcPr>
          <w:p w:rsidR="0012199C" w:rsidRPr="003D69B8" w:rsidRDefault="0012199C" w:rsidP="0012199C">
            <w:pPr>
              <w:rPr>
                <w:rFonts w:eastAsia="華康楷書體W5"/>
                <w:sz w:val="28"/>
              </w:rPr>
            </w:pPr>
          </w:p>
        </w:tc>
        <w:tc>
          <w:tcPr>
            <w:tcW w:w="981" w:type="pct"/>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Pr>
          <w:p w:rsidR="0012199C" w:rsidRPr="003D69B8" w:rsidRDefault="0012199C" w:rsidP="0012199C">
            <w:pPr>
              <w:pStyle w:val="0-"/>
            </w:pPr>
            <w:r w:rsidRPr="003D69B8">
              <w:t>為促使本法具體落實，新增相關機關應依本法規定檢討修訂其所主管</w:t>
            </w:r>
            <w:r w:rsidRPr="003D69B8">
              <w:lastRenderedPageBreak/>
              <w:t>之法規命令、行政規則與行政計畫。</w:t>
            </w:r>
            <w:r w:rsidRPr="003D69B8">
              <w:rPr>
                <w:rFonts w:hint="eastAsia"/>
              </w:rPr>
              <w:t>(4條)</w:t>
            </w:r>
          </w:p>
        </w:tc>
      </w:tr>
      <w:tr w:rsidR="0012199C" w:rsidRPr="003D69B8"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Pr>
          <w:p w:rsidR="0012199C" w:rsidRPr="00AC715F" w:rsidRDefault="0012199C" w:rsidP="0012199C">
            <w:pPr>
              <w:pStyle w:val="0-"/>
            </w:pPr>
            <w:r w:rsidRPr="00AC715F">
              <w:rPr>
                <w:rFonts w:hint="eastAsia"/>
              </w:rPr>
              <w:t>科學技術基本法第九條條文修正草案</w:t>
            </w:r>
          </w:p>
          <w:p w:rsidR="0012199C" w:rsidRPr="00AC715F" w:rsidRDefault="0012199C" w:rsidP="0012199C">
            <w:pPr>
              <w:pStyle w:val="0-"/>
            </w:pPr>
            <w:r w:rsidRPr="00AC715F">
              <w:rPr>
                <w:rFonts w:hint="eastAsia"/>
              </w:rPr>
              <w:t>(委員萬美玲等16人)</w:t>
            </w:r>
          </w:p>
        </w:tc>
        <w:tc>
          <w:tcPr>
            <w:tcW w:w="808" w:type="pct"/>
          </w:tcPr>
          <w:p w:rsidR="0012199C" w:rsidRPr="00AC715F" w:rsidRDefault="0012199C" w:rsidP="0012199C">
            <w:pPr>
              <w:pStyle w:val="0-"/>
            </w:pPr>
            <w:r w:rsidRPr="00AC715F">
              <w:t>10-</w:t>
            </w:r>
            <w:r w:rsidRPr="00AC715F">
              <w:rPr>
                <w:rFonts w:hint="eastAsia"/>
              </w:rPr>
              <w:t>5</w:t>
            </w:r>
            <w:r w:rsidRPr="00AC715F">
              <w:t>-</w:t>
            </w:r>
            <w:r w:rsidRPr="00AC715F">
              <w:rPr>
                <w:rFonts w:hint="eastAsia"/>
              </w:rPr>
              <w:t>11</w:t>
            </w:r>
          </w:p>
          <w:p w:rsidR="0012199C" w:rsidRPr="00AC715F" w:rsidRDefault="0012199C" w:rsidP="0012199C">
            <w:pPr>
              <w:pStyle w:val="0-"/>
            </w:pPr>
            <w:r w:rsidRPr="00AC715F">
              <w:t>(1</w:t>
            </w:r>
            <w:r w:rsidRPr="00AC715F">
              <w:rPr>
                <w:rFonts w:hint="eastAsia"/>
              </w:rPr>
              <w:t>11</w:t>
            </w:r>
            <w:r w:rsidRPr="00AC715F">
              <w:t>.</w:t>
            </w:r>
            <w:r w:rsidRPr="00AC715F">
              <w:rPr>
                <w:rFonts w:hint="eastAsia"/>
              </w:rPr>
              <w:t>5</w:t>
            </w:r>
            <w:r w:rsidRPr="00AC715F">
              <w:t>.</w:t>
            </w:r>
            <w:r w:rsidRPr="00AC715F">
              <w:rPr>
                <w:rFonts w:hint="eastAsia"/>
              </w:rPr>
              <w:t>6</w:t>
            </w:r>
            <w:r w:rsidRPr="00AC715F">
              <w:t>)</w:t>
            </w:r>
          </w:p>
        </w:tc>
        <w:tc>
          <w:tcPr>
            <w:tcW w:w="539" w:type="pct"/>
          </w:tcPr>
          <w:p w:rsidR="0012199C" w:rsidRPr="00AC715F" w:rsidRDefault="0012199C" w:rsidP="0012199C">
            <w:pPr>
              <w:rPr>
                <w:rFonts w:eastAsia="華康楷書體W5"/>
                <w:color w:val="000000"/>
                <w:sz w:val="28"/>
              </w:rPr>
            </w:pPr>
          </w:p>
        </w:tc>
        <w:tc>
          <w:tcPr>
            <w:tcW w:w="981" w:type="pct"/>
          </w:tcPr>
          <w:p w:rsidR="0012199C" w:rsidRPr="00AC715F" w:rsidRDefault="0012199C" w:rsidP="005B74D5">
            <w:r w:rsidRPr="005B74D5">
              <w:rPr>
                <w:rFonts w:ascii="標楷體" w:eastAsia="標楷體" w:hAnsi="標楷體" w:hint="eastAsia"/>
                <w:color w:val="000000"/>
                <w:sz w:val="28"/>
                <w:szCs w:val="28"/>
              </w:rPr>
              <w:t>尚未審查</w:t>
            </w:r>
          </w:p>
        </w:tc>
        <w:tc>
          <w:tcPr>
            <w:tcW w:w="906" w:type="pct"/>
          </w:tcPr>
          <w:p w:rsidR="0012199C" w:rsidRPr="00AC715F" w:rsidRDefault="0012199C" w:rsidP="0012199C">
            <w:pPr>
              <w:pStyle w:val="0-"/>
            </w:pPr>
            <w:r w:rsidRPr="00AC715F">
              <w:rPr>
                <w:rFonts w:hint="eastAsia"/>
              </w:rPr>
              <w:t>應以更宏觀、全面之視野制定國家科技發展政策，使我國之科技發展政策切合本國實際科技發展狀況，亦能符合國際科技發展趨勢。(1條)</w:t>
            </w:r>
          </w:p>
        </w:tc>
      </w:tr>
      <w:tr w:rsidR="0012199C" w:rsidRPr="003D69B8"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Pr>
          <w:p w:rsidR="0012199C" w:rsidRPr="003D69B8" w:rsidRDefault="0012199C" w:rsidP="0012199C">
            <w:pPr>
              <w:pStyle w:val="0-"/>
            </w:pPr>
            <w:r w:rsidRPr="003D69B8">
              <w:rPr>
                <w:rFonts w:hint="eastAsia"/>
              </w:rPr>
              <w:t>財團法人國家實驗研究院設置條例第四條及第七條條文修正草案</w:t>
            </w:r>
          </w:p>
          <w:p w:rsidR="0012199C" w:rsidRPr="003D69B8" w:rsidRDefault="0012199C" w:rsidP="0012199C">
            <w:pPr>
              <w:pStyle w:val="0-"/>
            </w:pPr>
            <w:r w:rsidRPr="003D69B8">
              <w:t>(</w:t>
            </w:r>
            <w:r w:rsidRPr="003D69B8">
              <w:rPr>
                <w:rFonts w:hint="eastAsia"/>
              </w:rPr>
              <w:t>委員黃國書等</w:t>
            </w:r>
            <w:r w:rsidRPr="003D69B8">
              <w:t>17</w:t>
            </w:r>
            <w:r w:rsidRPr="003D69B8">
              <w:rPr>
                <w:rFonts w:hint="eastAsia"/>
              </w:rPr>
              <w:t>人</w:t>
            </w:r>
            <w:r w:rsidRPr="003D69B8">
              <w:t>)</w:t>
            </w:r>
          </w:p>
        </w:tc>
        <w:tc>
          <w:tcPr>
            <w:tcW w:w="808" w:type="pct"/>
          </w:tcPr>
          <w:p w:rsidR="0012199C" w:rsidRPr="003D69B8" w:rsidRDefault="0012199C" w:rsidP="0012199C">
            <w:pPr>
              <w:pStyle w:val="0-"/>
            </w:pPr>
            <w:r w:rsidRPr="003D69B8">
              <w:rPr>
                <w:rFonts w:hint="eastAsia"/>
              </w:rPr>
              <w:t>10-1-5</w:t>
            </w:r>
          </w:p>
          <w:p w:rsidR="0012199C" w:rsidRPr="003D69B8" w:rsidRDefault="0012199C" w:rsidP="0012199C">
            <w:pPr>
              <w:pStyle w:val="0-"/>
            </w:pPr>
            <w:r w:rsidRPr="003D69B8">
              <w:rPr>
                <w:rFonts w:hint="eastAsia"/>
              </w:rPr>
              <w:t>(109.3.20)</w:t>
            </w:r>
          </w:p>
        </w:tc>
        <w:tc>
          <w:tcPr>
            <w:tcW w:w="539" w:type="pct"/>
          </w:tcPr>
          <w:p w:rsidR="0012199C" w:rsidRPr="003D69B8" w:rsidRDefault="0012199C" w:rsidP="0012199C">
            <w:pPr>
              <w:pStyle w:val="0-"/>
              <w:jc w:val="left"/>
            </w:pPr>
            <w:r w:rsidRPr="003D69B8">
              <w:rPr>
                <w:rFonts w:hint="eastAsia"/>
              </w:rPr>
              <w:t>司法及法制</w:t>
            </w:r>
          </w:p>
        </w:tc>
        <w:tc>
          <w:tcPr>
            <w:tcW w:w="981" w:type="pct"/>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Pr>
          <w:p w:rsidR="0012199C" w:rsidRPr="003D69B8" w:rsidRDefault="0012199C" w:rsidP="0012199C">
            <w:pPr>
              <w:pStyle w:val="0-"/>
            </w:pPr>
            <w:r w:rsidRPr="003D69B8">
              <w:rPr>
                <w:rFonts w:hint="eastAsia"/>
              </w:rPr>
              <w:t>將財團法人國家實驗研究院設置條例中有關行政院國家科學委員會之文字修正為科技部。(2條)</w:t>
            </w:r>
          </w:p>
        </w:tc>
      </w:tr>
      <w:tr w:rsidR="0012199C" w:rsidRPr="003D69B8"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Pr>
          <w:p w:rsidR="0012199C" w:rsidRPr="00360861" w:rsidRDefault="0012199C" w:rsidP="0012199C">
            <w:pPr>
              <w:pStyle w:val="0-"/>
            </w:pPr>
            <w:r w:rsidRPr="00360861">
              <w:rPr>
                <w:rFonts w:hint="eastAsia"/>
              </w:rPr>
              <w:t>財團法人國家實驗研究院設置條例第四條及第七條條文修正草案</w:t>
            </w:r>
          </w:p>
          <w:p w:rsidR="0012199C" w:rsidRPr="00360861" w:rsidRDefault="0012199C" w:rsidP="0012199C">
            <w:pPr>
              <w:pStyle w:val="0-"/>
            </w:pPr>
            <w:r w:rsidRPr="00360861">
              <w:rPr>
                <w:rFonts w:hint="eastAsia"/>
              </w:rPr>
              <w:t>(委員黃世杰等20人)</w:t>
            </w:r>
          </w:p>
        </w:tc>
        <w:tc>
          <w:tcPr>
            <w:tcW w:w="808" w:type="pct"/>
          </w:tcPr>
          <w:p w:rsidR="0012199C" w:rsidRPr="00360861" w:rsidRDefault="0012199C" w:rsidP="0012199C">
            <w:pPr>
              <w:pStyle w:val="0-"/>
            </w:pPr>
            <w:r w:rsidRPr="00360861">
              <w:t>10-5-3</w:t>
            </w:r>
          </w:p>
          <w:p w:rsidR="0012199C" w:rsidRPr="00360861" w:rsidRDefault="0012199C" w:rsidP="0012199C">
            <w:pPr>
              <w:pStyle w:val="0-"/>
            </w:pPr>
            <w:r w:rsidRPr="00360861">
              <w:t>(111.3.11)</w:t>
            </w:r>
          </w:p>
          <w:p w:rsidR="0012199C" w:rsidRPr="00360861" w:rsidRDefault="0012199C" w:rsidP="0012199C">
            <w:pPr>
              <w:pStyle w:val="0-"/>
            </w:pPr>
          </w:p>
        </w:tc>
        <w:tc>
          <w:tcPr>
            <w:tcW w:w="539" w:type="pct"/>
          </w:tcPr>
          <w:p w:rsidR="0012199C" w:rsidRPr="00360861" w:rsidRDefault="0012199C" w:rsidP="0012199C">
            <w:pPr>
              <w:pStyle w:val="0-"/>
              <w:jc w:val="left"/>
            </w:pPr>
            <w:r w:rsidRPr="00360861">
              <w:rPr>
                <w:rFonts w:hint="eastAsia"/>
              </w:rPr>
              <w:t>司法及法制</w:t>
            </w:r>
          </w:p>
        </w:tc>
        <w:tc>
          <w:tcPr>
            <w:tcW w:w="981" w:type="pct"/>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Pr>
          <w:p w:rsidR="0012199C" w:rsidRPr="00360861" w:rsidRDefault="0012199C" w:rsidP="0012199C">
            <w:pPr>
              <w:pStyle w:val="0-"/>
            </w:pPr>
            <w:r w:rsidRPr="00360861">
              <w:rPr>
                <w:rFonts w:hint="eastAsia"/>
              </w:rPr>
              <w:t>明定主管機關董事會成員之性質，因應政府組織改造，補足法制程序之不足。(2條)</w:t>
            </w:r>
          </w:p>
        </w:tc>
      </w:tr>
      <w:tr w:rsidR="0012199C" w:rsidRPr="003D69B8"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Pr>
          <w:p w:rsidR="0012199C" w:rsidRPr="00B967DA" w:rsidRDefault="0012199C" w:rsidP="0012199C">
            <w:pPr>
              <w:pStyle w:val="0-"/>
            </w:pPr>
            <w:r w:rsidRPr="00B967DA">
              <w:rPr>
                <w:rFonts w:hint="eastAsia"/>
              </w:rPr>
              <w:t>財團法人國家實驗研究院設置條例第四條及第七條條文修正草案</w:t>
            </w:r>
          </w:p>
          <w:p w:rsidR="0012199C" w:rsidRPr="00B967DA" w:rsidRDefault="0012199C" w:rsidP="0012199C">
            <w:pPr>
              <w:pStyle w:val="0-"/>
            </w:pPr>
            <w:r w:rsidRPr="00B967DA">
              <w:rPr>
                <w:rFonts w:hint="eastAsia"/>
              </w:rPr>
              <w:t>(委員林奕華等16人)</w:t>
            </w:r>
          </w:p>
        </w:tc>
        <w:tc>
          <w:tcPr>
            <w:tcW w:w="808" w:type="pct"/>
          </w:tcPr>
          <w:p w:rsidR="0012199C" w:rsidRPr="00B967DA" w:rsidRDefault="0012199C" w:rsidP="0012199C">
            <w:pPr>
              <w:pStyle w:val="0-"/>
            </w:pPr>
            <w:r w:rsidRPr="00B967DA">
              <w:t>10-5-4</w:t>
            </w:r>
          </w:p>
          <w:p w:rsidR="0012199C" w:rsidRPr="00B967DA" w:rsidRDefault="0012199C" w:rsidP="0012199C">
            <w:pPr>
              <w:pStyle w:val="0-"/>
            </w:pPr>
            <w:r w:rsidRPr="00B967DA">
              <w:t>(111.3.18)</w:t>
            </w:r>
          </w:p>
        </w:tc>
        <w:tc>
          <w:tcPr>
            <w:tcW w:w="539" w:type="pct"/>
          </w:tcPr>
          <w:p w:rsidR="0012199C" w:rsidRPr="00B967DA" w:rsidRDefault="0012199C" w:rsidP="0012199C">
            <w:pPr>
              <w:pStyle w:val="0-"/>
              <w:jc w:val="left"/>
            </w:pPr>
            <w:r w:rsidRPr="00B967DA">
              <w:rPr>
                <w:rFonts w:hint="eastAsia"/>
              </w:rPr>
              <w:t>司法及法制</w:t>
            </w:r>
          </w:p>
        </w:tc>
        <w:tc>
          <w:tcPr>
            <w:tcW w:w="981" w:type="pct"/>
          </w:tcPr>
          <w:p w:rsidR="0012199C" w:rsidRPr="00B967DA" w:rsidRDefault="0012199C" w:rsidP="005B74D5">
            <w:r w:rsidRPr="005B74D5">
              <w:rPr>
                <w:rFonts w:ascii="標楷體" w:eastAsia="標楷體" w:hAnsi="標楷體" w:hint="eastAsia"/>
                <w:color w:val="000000"/>
                <w:sz w:val="28"/>
                <w:szCs w:val="28"/>
              </w:rPr>
              <w:t>尚未審查</w:t>
            </w:r>
          </w:p>
        </w:tc>
        <w:tc>
          <w:tcPr>
            <w:tcW w:w="906" w:type="pct"/>
          </w:tcPr>
          <w:p w:rsidR="0012199C" w:rsidRPr="00B967DA" w:rsidRDefault="00A871B0" w:rsidP="00A871B0">
            <w:pPr>
              <w:pStyle w:val="0-"/>
            </w:pPr>
            <w:r>
              <w:rPr>
                <w:rFonts w:hint="eastAsia"/>
              </w:rPr>
              <w:t>「</w:t>
            </w:r>
            <w:r w:rsidR="0012199C" w:rsidRPr="00B967DA">
              <w:rPr>
                <w:rFonts w:hint="eastAsia"/>
              </w:rPr>
              <w:t>財團法人國家實驗研究院設置條例</w:t>
            </w:r>
            <w:r>
              <w:rPr>
                <w:rFonts w:hint="eastAsia"/>
              </w:rPr>
              <w:t>」</w:t>
            </w:r>
            <w:r w:rsidR="0012199C" w:rsidRPr="00B967DA">
              <w:rPr>
                <w:rFonts w:hint="eastAsia"/>
              </w:rPr>
              <w:t>第四條及第七條部分文字，多年來仍未更</w:t>
            </w:r>
            <w:r w:rsidR="0012199C" w:rsidRPr="00B967DA">
              <w:rPr>
                <w:rFonts w:hint="eastAsia"/>
              </w:rPr>
              <w:lastRenderedPageBreak/>
              <w:t>新。(2條)</w:t>
            </w:r>
          </w:p>
        </w:tc>
      </w:tr>
      <w:tr w:rsidR="0012199C" w:rsidRPr="006430AF"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Pr>
          <w:p w:rsidR="0012199C" w:rsidRPr="00EC299C" w:rsidRDefault="0012199C" w:rsidP="0012199C">
            <w:pPr>
              <w:pStyle w:val="0-"/>
            </w:pPr>
            <w:r w:rsidRPr="00EC299C">
              <w:rPr>
                <w:rFonts w:hint="eastAsia"/>
              </w:rPr>
              <w:t>財團法人國家實驗研究院設置條例第四條及第七條條文修正草案</w:t>
            </w:r>
          </w:p>
          <w:p w:rsidR="0012199C" w:rsidRPr="00EC299C" w:rsidRDefault="0012199C" w:rsidP="0012199C">
            <w:pPr>
              <w:pStyle w:val="0-"/>
            </w:pPr>
            <w:r w:rsidRPr="00EC299C">
              <w:rPr>
                <w:rFonts w:hint="eastAsia"/>
              </w:rPr>
              <w:t>(委員林宜瑾等22人</w:t>
            </w:r>
            <w:r w:rsidRPr="00EC299C">
              <w:t>)</w:t>
            </w:r>
          </w:p>
        </w:tc>
        <w:tc>
          <w:tcPr>
            <w:tcW w:w="808" w:type="pct"/>
          </w:tcPr>
          <w:p w:rsidR="0012199C" w:rsidRPr="00EC299C" w:rsidRDefault="0012199C" w:rsidP="0012199C">
            <w:pPr>
              <w:pStyle w:val="0-"/>
            </w:pPr>
            <w:r w:rsidRPr="00EC299C">
              <w:t>10-5-5</w:t>
            </w:r>
          </w:p>
          <w:p w:rsidR="0012199C" w:rsidRPr="00EC299C" w:rsidRDefault="0012199C" w:rsidP="0012199C">
            <w:pPr>
              <w:pStyle w:val="0-"/>
            </w:pPr>
            <w:r w:rsidRPr="00EC299C">
              <w:t>(111.3.25)</w:t>
            </w:r>
          </w:p>
        </w:tc>
        <w:tc>
          <w:tcPr>
            <w:tcW w:w="539" w:type="pct"/>
          </w:tcPr>
          <w:p w:rsidR="0012199C" w:rsidRPr="00EC299C" w:rsidRDefault="0012199C" w:rsidP="0012199C">
            <w:pPr>
              <w:pStyle w:val="0-"/>
              <w:jc w:val="left"/>
            </w:pPr>
            <w:r w:rsidRPr="00EC299C">
              <w:rPr>
                <w:rFonts w:hint="eastAsia"/>
              </w:rPr>
              <w:t>司法及法制</w:t>
            </w:r>
          </w:p>
        </w:tc>
        <w:tc>
          <w:tcPr>
            <w:tcW w:w="981" w:type="pct"/>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Pr>
          <w:p w:rsidR="0012199C" w:rsidRPr="00EC299C" w:rsidRDefault="0012199C" w:rsidP="0012199C">
            <w:pPr>
              <w:pStyle w:val="0-"/>
            </w:pPr>
            <w:r w:rsidRPr="00EC299C">
              <w:rPr>
                <w:rFonts w:hint="eastAsia"/>
              </w:rPr>
              <w:t>應配合科技部組織再次改造，而作相應之調整，以符合法制體例。(2條)</w:t>
            </w:r>
          </w:p>
        </w:tc>
      </w:tr>
      <w:tr w:rsidR="0012199C" w:rsidRPr="006430AF"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Pr>
          <w:p w:rsidR="0012199C" w:rsidRPr="00EF3F30" w:rsidRDefault="0012199C" w:rsidP="0012199C">
            <w:pPr>
              <w:pStyle w:val="0-"/>
            </w:pPr>
            <w:r w:rsidRPr="00EF3F30">
              <w:rPr>
                <w:rFonts w:hint="eastAsia"/>
              </w:rPr>
              <w:t>財團法人國家實驗研究院設置條例第四條及第七條條文修正草案</w:t>
            </w:r>
          </w:p>
          <w:p w:rsidR="0012199C" w:rsidRPr="00EF3F30" w:rsidRDefault="0012199C" w:rsidP="0012199C">
            <w:pPr>
              <w:pStyle w:val="0-"/>
            </w:pPr>
            <w:r w:rsidRPr="00EF3F30">
              <w:rPr>
                <w:rFonts w:hint="eastAsia"/>
              </w:rPr>
              <w:t>(民眾黨黨團</w:t>
            </w:r>
            <w:r w:rsidRPr="00EF3F30">
              <w:t>)</w:t>
            </w:r>
          </w:p>
        </w:tc>
        <w:tc>
          <w:tcPr>
            <w:tcW w:w="808" w:type="pct"/>
          </w:tcPr>
          <w:p w:rsidR="0012199C" w:rsidRPr="00EF3F30" w:rsidRDefault="0012199C" w:rsidP="0012199C">
            <w:pPr>
              <w:pStyle w:val="0-"/>
            </w:pPr>
            <w:r w:rsidRPr="00EF3F30">
              <w:t>10-5-6</w:t>
            </w:r>
          </w:p>
          <w:p w:rsidR="0012199C" w:rsidRPr="00EF3F30" w:rsidRDefault="0012199C" w:rsidP="0012199C">
            <w:pPr>
              <w:pStyle w:val="0-"/>
            </w:pPr>
            <w:r w:rsidRPr="00EF3F30">
              <w:t>(111.4.1)</w:t>
            </w:r>
          </w:p>
        </w:tc>
        <w:tc>
          <w:tcPr>
            <w:tcW w:w="539" w:type="pct"/>
          </w:tcPr>
          <w:p w:rsidR="0012199C" w:rsidRPr="00EF3F30" w:rsidRDefault="0012199C" w:rsidP="0012199C">
            <w:pPr>
              <w:pStyle w:val="0-"/>
              <w:jc w:val="left"/>
            </w:pPr>
            <w:r w:rsidRPr="00EF3F30">
              <w:rPr>
                <w:rFonts w:hint="eastAsia"/>
              </w:rPr>
              <w:t>司法及法制</w:t>
            </w:r>
          </w:p>
        </w:tc>
        <w:tc>
          <w:tcPr>
            <w:tcW w:w="981" w:type="pct"/>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Pr>
          <w:p w:rsidR="0012199C" w:rsidRPr="00EF3F30" w:rsidRDefault="0012199C" w:rsidP="0012199C">
            <w:pPr>
              <w:pStyle w:val="0-"/>
            </w:pPr>
            <w:r w:rsidRPr="00EF3F30">
              <w:rPr>
                <w:rFonts w:hint="eastAsia"/>
              </w:rPr>
              <w:t>為使原科技部主管各單位之設置條例名稱一致。(2條)</w:t>
            </w:r>
          </w:p>
        </w:tc>
      </w:tr>
      <w:tr w:rsidR="0012199C" w:rsidRPr="003D5819"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Pr>
          <w:p w:rsidR="0012199C" w:rsidRPr="006D565A" w:rsidRDefault="0012199C" w:rsidP="0012199C">
            <w:pPr>
              <w:pStyle w:val="0-"/>
            </w:pPr>
            <w:r w:rsidRPr="006D565A">
              <w:rPr>
                <w:rFonts w:hint="eastAsia"/>
              </w:rPr>
              <w:t>財團法人國家實驗研究院設置條例第四條及第七條條文修正草案</w:t>
            </w:r>
          </w:p>
          <w:p w:rsidR="0012199C" w:rsidRPr="006D565A" w:rsidRDefault="0012199C" w:rsidP="0012199C">
            <w:pPr>
              <w:pStyle w:val="0-"/>
            </w:pPr>
            <w:r w:rsidRPr="006D565A">
              <w:rPr>
                <w:rFonts w:hint="eastAsia"/>
              </w:rPr>
              <w:t>(委員萬美玲等16人)</w:t>
            </w:r>
          </w:p>
        </w:tc>
        <w:tc>
          <w:tcPr>
            <w:tcW w:w="808" w:type="pct"/>
          </w:tcPr>
          <w:p w:rsidR="0012199C" w:rsidRPr="006D565A" w:rsidRDefault="0012199C" w:rsidP="0012199C">
            <w:pPr>
              <w:pStyle w:val="0-"/>
            </w:pPr>
            <w:r w:rsidRPr="006D565A">
              <w:t>10-5-</w:t>
            </w:r>
            <w:r w:rsidRPr="006D565A">
              <w:rPr>
                <w:rFonts w:hint="eastAsia"/>
              </w:rPr>
              <w:t>9</w:t>
            </w:r>
          </w:p>
          <w:p w:rsidR="0012199C" w:rsidRPr="006D565A" w:rsidRDefault="0012199C" w:rsidP="0012199C">
            <w:pPr>
              <w:pStyle w:val="0-"/>
            </w:pPr>
            <w:r w:rsidRPr="006D565A">
              <w:t>(111.4.22)</w:t>
            </w:r>
          </w:p>
          <w:p w:rsidR="0012199C" w:rsidRPr="006D565A" w:rsidRDefault="0012199C" w:rsidP="0012199C">
            <w:pPr>
              <w:pStyle w:val="0-"/>
            </w:pPr>
          </w:p>
        </w:tc>
        <w:tc>
          <w:tcPr>
            <w:tcW w:w="539" w:type="pct"/>
          </w:tcPr>
          <w:p w:rsidR="0012199C" w:rsidRPr="006D565A" w:rsidRDefault="0012199C" w:rsidP="0012199C">
            <w:pPr>
              <w:pStyle w:val="0-"/>
              <w:jc w:val="left"/>
            </w:pPr>
            <w:r w:rsidRPr="006D565A">
              <w:rPr>
                <w:rFonts w:hint="eastAsia"/>
              </w:rPr>
              <w:t>司法及法制</w:t>
            </w:r>
          </w:p>
        </w:tc>
        <w:tc>
          <w:tcPr>
            <w:tcW w:w="981" w:type="pct"/>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Pr>
          <w:p w:rsidR="0012199C" w:rsidRPr="006D565A" w:rsidRDefault="0012199C" w:rsidP="0012199C">
            <w:pPr>
              <w:pStyle w:val="0-"/>
            </w:pPr>
            <w:r w:rsidRPr="006D565A">
              <w:rPr>
                <w:rFonts w:hint="eastAsia"/>
              </w:rPr>
              <w:t>為使法律有一致性，將「行政院國家科學委員會」改為「國家科學及技術委員會」。(2條)</w:t>
            </w:r>
          </w:p>
        </w:tc>
      </w:tr>
      <w:tr w:rsidR="0012199C" w:rsidRPr="003D69B8"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Pr>
          <w:p w:rsidR="0012199C" w:rsidRPr="00A253C4" w:rsidRDefault="0012199C" w:rsidP="0012199C">
            <w:pPr>
              <w:pStyle w:val="0-"/>
            </w:pPr>
            <w:r w:rsidRPr="00A253C4">
              <w:rPr>
                <w:rFonts w:eastAsia="華康楷書體W5" w:hint="eastAsia"/>
              </w:rPr>
              <w:t>人工智慧發展基本法草案</w:t>
            </w:r>
          </w:p>
          <w:p w:rsidR="0012199C" w:rsidRPr="00A253C4" w:rsidRDefault="0012199C" w:rsidP="0012199C">
            <w:pPr>
              <w:pStyle w:val="0-"/>
            </w:pPr>
            <w:r w:rsidRPr="00A253C4">
              <w:rPr>
                <w:rFonts w:eastAsia="華康楷書體W5" w:hint="eastAsia"/>
              </w:rPr>
              <w:t>(</w:t>
            </w:r>
            <w:r w:rsidRPr="00A253C4">
              <w:rPr>
                <w:rFonts w:eastAsia="華康楷書體W5" w:hint="eastAsia"/>
              </w:rPr>
              <w:t>委員鄭麗文等</w:t>
            </w:r>
            <w:r w:rsidRPr="00A253C4">
              <w:rPr>
                <w:rFonts w:eastAsia="華康楷書體W5" w:hint="eastAsia"/>
              </w:rPr>
              <w:t>20</w:t>
            </w:r>
            <w:r w:rsidRPr="00A253C4">
              <w:rPr>
                <w:rFonts w:eastAsia="華康楷書體W5" w:hint="eastAsia"/>
              </w:rPr>
              <w:t>人</w:t>
            </w:r>
            <w:r w:rsidRPr="00A253C4">
              <w:rPr>
                <w:rFonts w:eastAsia="華康楷書體W5" w:hint="eastAsia"/>
              </w:rPr>
              <w:t>)</w:t>
            </w:r>
          </w:p>
        </w:tc>
        <w:tc>
          <w:tcPr>
            <w:tcW w:w="808" w:type="pct"/>
          </w:tcPr>
          <w:p w:rsidR="0012199C" w:rsidRPr="00A253C4" w:rsidRDefault="0012199C" w:rsidP="0012199C">
            <w:pPr>
              <w:pStyle w:val="0-"/>
            </w:pPr>
            <w:r w:rsidRPr="00A253C4">
              <w:t>10-</w:t>
            </w:r>
            <w:r w:rsidRPr="00A253C4">
              <w:rPr>
                <w:rFonts w:hint="eastAsia"/>
              </w:rPr>
              <w:t>2</w:t>
            </w:r>
            <w:r w:rsidRPr="00A253C4">
              <w:t>-</w:t>
            </w:r>
            <w:r w:rsidRPr="00A253C4">
              <w:rPr>
                <w:rFonts w:hint="eastAsia"/>
              </w:rPr>
              <w:t>1</w:t>
            </w:r>
          </w:p>
          <w:p w:rsidR="0012199C" w:rsidRPr="00A253C4" w:rsidRDefault="0012199C" w:rsidP="0012199C">
            <w:pPr>
              <w:pStyle w:val="0-"/>
            </w:pPr>
            <w:r w:rsidRPr="00A253C4">
              <w:t>(109</w:t>
            </w:r>
            <w:r w:rsidRPr="00A253C4">
              <w:rPr>
                <w:rFonts w:hint="eastAsia"/>
              </w:rPr>
              <w:t>.9.18</w:t>
            </w:r>
            <w:r w:rsidRPr="00A253C4">
              <w:t>)</w:t>
            </w:r>
          </w:p>
        </w:tc>
        <w:tc>
          <w:tcPr>
            <w:tcW w:w="539" w:type="pct"/>
          </w:tcPr>
          <w:p w:rsidR="0012199C" w:rsidRPr="00A253C4" w:rsidRDefault="0012199C" w:rsidP="0012199C">
            <w:pPr>
              <w:jc w:val="both"/>
              <w:rPr>
                <w:rFonts w:ascii="標楷體" w:eastAsia="標楷體" w:hAnsi="標楷體"/>
                <w:color w:val="000000"/>
                <w:sz w:val="28"/>
                <w:szCs w:val="28"/>
              </w:rPr>
            </w:pPr>
          </w:p>
        </w:tc>
        <w:tc>
          <w:tcPr>
            <w:tcW w:w="981" w:type="pct"/>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Pr>
          <w:p w:rsidR="0012199C" w:rsidRPr="00A253C4" w:rsidRDefault="0012199C" w:rsidP="0012199C">
            <w:pPr>
              <w:pStyle w:val="0-"/>
            </w:pPr>
            <w:r w:rsidRPr="00A253C4">
              <w:t>為找回國家經濟發展動能，帶動台灣經濟、社會結構轉型並進一步驅動經濟發展，並實現保障數位人權之網路社會，促成政府肩負起人工智慧產業引領及制定人工智慧發展倫理規範角色。</w:t>
            </w:r>
            <w:r w:rsidRPr="00A253C4">
              <w:rPr>
                <w:rFonts w:hint="eastAsia"/>
              </w:rPr>
              <w:t>(14條)</w:t>
            </w:r>
          </w:p>
        </w:tc>
      </w:tr>
      <w:tr w:rsidR="0012199C" w:rsidRPr="003D69B8"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Pr>
          <w:p w:rsidR="0012199C" w:rsidRPr="00A253C4" w:rsidRDefault="0012199C" w:rsidP="0012199C">
            <w:pPr>
              <w:pStyle w:val="0-"/>
              <w:rPr>
                <w:rFonts w:eastAsia="華康楷書體W5"/>
              </w:rPr>
            </w:pPr>
            <w:r w:rsidRPr="00A253C4">
              <w:rPr>
                <w:rFonts w:eastAsia="華康楷書體W5" w:hint="eastAsia"/>
              </w:rPr>
              <w:t>量子科技研究及發展條例草案</w:t>
            </w:r>
          </w:p>
          <w:p w:rsidR="0012199C" w:rsidRPr="00A253C4" w:rsidRDefault="0012199C" w:rsidP="0012199C">
            <w:pPr>
              <w:pStyle w:val="0-"/>
              <w:rPr>
                <w:rFonts w:eastAsia="華康楷書體W5"/>
              </w:rPr>
            </w:pPr>
            <w:r w:rsidRPr="00A253C4">
              <w:rPr>
                <w:rFonts w:eastAsia="華康楷書體W5" w:hint="eastAsia"/>
              </w:rPr>
              <w:t>(</w:t>
            </w:r>
            <w:r w:rsidRPr="00A253C4">
              <w:rPr>
                <w:rFonts w:eastAsia="華康楷書體W5" w:hint="eastAsia"/>
              </w:rPr>
              <w:t>委員蘇巧慧等</w:t>
            </w:r>
            <w:r w:rsidRPr="00A253C4">
              <w:rPr>
                <w:rFonts w:eastAsia="華康楷書體W5" w:hint="eastAsia"/>
              </w:rPr>
              <w:t>21</w:t>
            </w:r>
            <w:r w:rsidRPr="00A253C4">
              <w:rPr>
                <w:rFonts w:eastAsia="華康楷書體W5" w:hint="eastAsia"/>
              </w:rPr>
              <w:t>人</w:t>
            </w:r>
            <w:r w:rsidRPr="00A253C4">
              <w:rPr>
                <w:rFonts w:eastAsia="華康楷書體W5" w:hint="eastAsia"/>
              </w:rPr>
              <w:t>)</w:t>
            </w:r>
          </w:p>
        </w:tc>
        <w:tc>
          <w:tcPr>
            <w:tcW w:w="808" w:type="pct"/>
          </w:tcPr>
          <w:p w:rsidR="0012199C" w:rsidRPr="00A253C4" w:rsidRDefault="0012199C" w:rsidP="0012199C">
            <w:pPr>
              <w:pStyle w:val="0-"/>
            </w:pPr>
            <w:r w:rsidRPr="00A253C4">
              <w:t>10-</w:t>
            </w:r>
            <w:r w:rsidRPr="00A253C4">
              <w:rPr>
                <w:rFonts w:hint="eastAsia"/>
              </w:rPr>
              <w:t>2</w:t>
            </w:r>
            <w:r w:rsidRPr="00A253C4">
              <w:t>-</w:t>
            </w:r>
            <w:r w:rsidRPr="00A253C4">
              <w:rPr>
                <w:rFonts w:hint="eastAsia"/>
              </w:rPr>
              <w:t>3</w:t>
            </w:r>
          </w:p>
          <w:p w:rsidR="0012199C" w:rsidRPr="00A253C4" w:rsidRDefault="0012199C" w:rsidP="0012199C">
            <w:pPr>
              <w:pStyle w:val="0-"/>
            </w:pPr>
            <w:r w:rsidRPr="00A253C4">
              <w:t>(109</w:t>
            </w:r>
            <w:r w:rsidRPr="00A253C4">
              <w:rPr>
                <w:rFonts w:hint="eastAsia"/>
              </w:rPr>
              <w:t>.10.6</w:t>
            </w:r>
            <w:r w:rsidRPr="00A253C4">
              <w:t>)</w:t>
            </w:r>
          </w:p>
        </w:tc>
        <w:tc>
          <w:tcPr>
            <w:tcW w:w="539" w:type="pct"/>
          </w:tcPr>
          <w:p w:rsidR="0012199C" w:rsidRPr="00A253C4" w:rsidRDefault="0012199C" w:rsidP="0012199C">
            <w:pPr>
              <w:rPr>
                <w:rFonts w:ascii="標楷體" w:eastAsia="標楷體" w:hAnsi="標楷體"/>
                <w:color w:val="000000"/>
                <w:sz w:val="28"/>
                <w:szCs w:val="28"/>
              </w:rPr>
            </w:pPr>
          </w:p>
        </w:tc>
        <w:tc>
          <w:tcPr>
            <w:tcW w:w="981" w:type="pct"/>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Pr>
          <w:p w:rsidR="0012199C" w:rsidRPr="00A253C4" w:rsidRDefault="0012199C" w:rsidP="0012199C">
            <w:pPr>
              <w:pStyle w:val="0-"/>
            </w:pPr>
            <w:r w:rsidRPr="00A253C4">
              <w:t>為有效結合政府、學界及產業力量，進行量子科技研究，加速量子計算、量子通訊及相關技術之應用，以促進經濟發展，並保障國家安全。</w:t>
            </w:r>
            <w:r w:rsidRPr="00A253C4">
              <w:rPr>
                <w:rFonts w:hint="eastAsia"/>
              </w:rPr>
              <w:t>(8條)</w:t>
            </w:r>
          </w:p>
        </w:tc>
      </w:tr>
      <w:tr w:rsidR="0012199C" w:rsidRPr="003D69B8"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Pr>
          <w:p w:rsidR="0012199C" w:rsidRPr="003D69B8" w:rsidRDefault="0012199C" w:rsidP="0012199C">
            <w:pPr>
              <w:pStyle w:val="0-"/>
            </w:pPr>
            <w:r w:rsidRPr="003D69B8">
              <w:rPr>
                <w:rFonts w:hint="eastAsia"/>
              </w:rPr>
              <w:t>科學園區設置管理條例第六條條文修正草案</w:t>
            </w:r>
          </w:p>
          <w:p w:rsidR="0012199C" w:rsidRPr="003D69B8" w:rsidRDefault="0012199C" w:rsidP="0012199C">
            <w:pPr>
              <w:pStyle w:val="0-"/>
            </w:pPr>
            <w:r w:rsidRPr="003D69B8">
              <w:rPr>
                <w:rFonts w:hint="eastAsia"/>
              </w:rPr>
              <w:t>(委員林宜瑾等23人)</w:t>
            </w:r>
          </w:p>
        </w:tc>
        <w:tc>
          <w:tcPr>
            <w:tcW w:w="808" w:type="pct"/>
          </w:tcPr>
          <w:p w:rsidR="0012199C" w:rsidRPr="003D69B8" w:rsidRDefault="0012199C" w:rsidP="0012199C">
            <w:pPr>
              <w:pStyle w:val="0-"/>
            </w:pPr>
            <w:r w:rsidRPr="003D69B8">
              <w:t>10-</w:t>
            </w:r>
            <w:r w:rsidRPr="003D69B8">
              <w:rPr>
                <w:rFonts w:hint="eastAsia"/>
              </w:rPr>
              <w:t>2</w:t>
            </w:r>
            <w:r w:rsidRPr="003D69B8">
              <w:t>-</w:t>
            </w:r>
            <w:r w:rsidRPr="003D69B8">
              <w:rPr>
                <w:rFonts w:hint="eastAsia"/>
              </w:rPr>
              <w:t>8</w:t>
            </w:r>
          </w:p>
          <w:p w:rsidR="0012199C" w:rsidRPr="003D69B8" w:rsidRDefault="0012199C" w:rsidP="0012199C">
            <w:pPr>
              <w:pStyle w:val="0-"/>
            </w:pPr>
            <w:r w:rsidRPr="003D69B8">
              <w:t>(</w:t>
            </w:r>
            <w:r w:rsidRPr="0012199C">
              <w:rPr>
                <w:spacing w:val="-20"/>
              </w:rPr>
              <w:t>109</w:t>
            </w:r>
            <w:r w:rsidRPr="0012199C">
              <w:rPr>
                <w:rFonts w:hint="eastAsia"/>
                <w:spacing w:val="-20"/>
              </w:rPr>
              <w:t>.12.18</w:t>
            </w:r>
            <w:r w:rsidRPr="003D69B8">
              <w:t>)</w:t>
            </w:r>
          </w:p>
        </w:tc>
        <w:tc>
          <w:tcPr>
            <w:tcW w:w="539" w:type="pct"/>
          </w:tcPr>
          <w:p w:rsidR="0012199C" w:rsidRPr="003D69B8" w:rsidRDefault="0012199C" w:rsidP="0012199C">
            <w:pPr>
              <w:rPr>
                <w:rFonts w:ascii="標楷體" w:eastAsia="標楷體" w:hAnsi="標楷體"/>
                <w:sz w:val="28"/>
                <w:szCs w:val="28"/>
              </w:rPr>
            </w:pPr>
          </w:p>
        </w:tc>
        <w:tc>
          <w:tcPr>
            <w:tcW w:w="981" w:type="pct"/>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Pr>
          <w:p w:rsidR="0012199C" w:rsidRPr="003D69B8" w:rsidRDefault="0012199C" w:rsidP="0012199C">
            <w:pPr>
              <w:pStyle w:val="0-"/>
            </w:pPr>
            <w:r w:rsidRPr="003D69B8">
              <w:t>勞動檢查等係被人民逐漸所要求之一項基本且重要之政治任務，其架構似有檢討之必要。</w:t>
            </w:r>
            <w:r w:rsidRPr="003D69B8">
              <w:rPr>
                <w:rFonts w:hint="eastAsia"/>
              </w:rPr>
              <w:t>(1條)</w:t>
            </w:r>
          </w:p>
        </w:tc>
      </w:tr>
      <w:tr w:rsidR="0012199C" w:rsidRPr="003D69B8"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Pr>
          <w:p w:rsidR="0012199C" w:rsidRPr="00E62CD3" w:rsidRDefault="0012199C" w:rsidP="0012199C">
            <w:pPr>
              <w:pStyle w:val="0-"/>
            </w:pPr>
            <w:r w:rsidRPr="00E62CD3">
              <w:rPr>
                <w:rFonts w:hint="eastAsia"/>
              </w:rPr>
              <w:t>科學園區設置管理條例第二條及第十條條文修正草案</w:t>
            </w:r>
          </w:p>
          <w:p w:rsidR="0012199C" w:rsidRPr="00E62CD3" w:rsidRDefault="0012199C" w:rsidP="0012199C">
            <w:pPr>
              <w:pStyle w:val="0-"/>
            </w:pPr>
            <w:r w:rsidRPr="00E62CD3">
              <w:rPr>
                <w:rFonts w:hint="eastAsia"/>
              </w:rPr>
              <w:t>(時代力量黨團)</w:t>
            </w:r>
          </w:p>
        </w:tc>
        <w:tc>
          <w:tcPr>
            <w:tcW w:w="808" w:type="pct"/>
          </w:tcPr>
          <w:p w:rsidR="0012199C" w:rsidRPr="00E62CD3" w:rsidRDefault="0012199C" w:rsidP="0012199C">
            <w:pPr>
              <w:pStyle w:val="0-"/>
            </w:pPr>
            <w:r w:rsidRPr="00E62CD3">
              <w:t>10-3-11</w:t>
            </w:r>
          </w:p>
          <w:p w:rsidR="0012199C" w:rsidRPr="00E62CD3" w:rsidRDefault="0012199C" w:rsidP="0012199C">
            <w:pPr>
              <w:pStyle w:val="0-"/>
            </w:pPr>
            <w:r w:rsidRPr="00E62CD3">
              <w:t>(110.5.7)</w:t>
            </w:r>
          </w:p>
        </w:tc>
        <w:tc>
          <w:tcPr>
            <w:tcW w:w="539" w:type="pct"/>
          </w:tcPr>
          <w:p w:rsidR="0012199C" w:rsidRPr="00E62CD3" w:rsidRDefault="0012199C" w:rsidP="0012199C">
            <w:pPr>
              <w:rPr>
                <w:rFonts w:ascii="標楷體" w:eastAsia="標楷體" w:hAnsi="標楷體"/>
                <w:color w:val="000000"/>
                <w:sz w:val="28"/>
                <w:szCs w:val="28"/>
              </w:rPr>
            </w:pPr>
          </w:p>
        </w:tc>
        <w:tc>
          <w:tcPr>
            <w:tcW w:w="981" w:type="pct"/>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Pr>
          <w:p w:rsidR="0012199C" w:rsidRPr="00E62CD3" w:rsidRDefault="0012199C" w:rsidP="0012199C">
            <w:pPr>
              <w:pStyle w:val="0-"/>
            </w:pPr>
            <w:r w:rsidRPr="00E62CD3">
              <w:rPr>
                <w:rFonts w:hint="eastAsia"/>
              </w:rPr>
              <w:t>鑒於保障學童之受教權及嬰幼兒須得到完善之照護，實無「達一定規模」之條件必要。(2條)</w:t>
            </w:r>
          </w:p>
        </w:tc>
        <w:bookmarkStart w:id="125" w:name="_GoBack"/>
        <w:bookmarkEnd w:id="125"/>
      </w:tr>
      <w:tr w:rsidR="0012199C" w:rsidRPr="003D69B8"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Pr>
          <w:p w:rsidR="0012199C" w:rsidRPr="00B967DA" w:rsidRDefault="0012199C" w:rsidP="0012199C">
            <w:pPr>
              <w:pStyle w:val="0-"/>
            </w:pPr>
            <w:r w:rsidRPr="00B967DA">
              <w:rPr>
                <w:rFonts w:hint="eastAsia"/>
              </w:rPr>
              <w:t>科學園區設置管理條例第二條條文修正草案</w:t>
            </w:r>
          </w:p>
          <w:p w:rsidR="0012199C" w:rsidRPr="00B967DA" w:rsidRDefault="0012199C" w:rsidP="0012199C">
            <w:pPr>
              <w:pStyle w:val="0-"/>
            </w:pPr>
            <w:r w:rsidRPr="00B967DA">
              <w:rPr>
                <w:rFonts w:hint="eastAsia"/>
              </w:rPr>
              <w:t>(委員林奕華等16人)</w:t>
            </w:r>
          </w:p>
        </w:tc>
        <w:tc>
          <w:tcPr>
            <w:tcW w:w="808" w:type="pct"/>
          </w:tcPr>
          <w:p w:rsidR="0012199C" w:rsidRPr="00B967DA" w:rsidRDefault="0012199C" w:rsidP="0012199C">
            <w:pPr>
              <w:pStyle w:val="0-"/>
            </w:pPr>
            <w:r w:rsidRPr="00B967DA">
              <w:t>10-5-4</w:t>
            </w:r>
          </w:p>
          <w:p w:rsidR="0012199C" w:rsidRPr="00B967DA" w:rsidRDefault="0012199C" w:rsidP="0012199C">
            <w:pPr>
              <w:pStyle w:val="0-"/>
            </w:pPr>
            <w:r w:rsidRPr="00B967DA">
              <w:t>(111.3.18)</w:t>
            </w:r>
          </w:p>
        </w:tc>
        <w:tc>
          <w:tcPr>
            <w:tcW w:w="539" w:type="pct"/>
          </w:tcPr>
          <w:p w:rsidR="0012199C" w:rsidRPr="00B967DA" w:rsidRDefault="0012199C" w:rsidP="0012199C">
            <w:pPr>
              <w:rPr>
                <w:rFonts w:ascii="標楷體" w:eastAsia="標楷體" w:hAnsi="標楷體"/>
                <w:color w:val="000000"/>
                <w:sz w:val="28"/>
                <w:szCs w:val="28"/>
              </w:rPr>
            </w:pPr>
          </w:p>
        </w:tc>
        <w:tc>
          <w:tcPr>
            <w:tcW w:w="981" w:type="pct"/>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Pr>
          <w:p w:rsidR="0012199C" w:rsidRPr="00B967DA" w:rsidRDefault="00A871B0" w:rsidP="0012199C">
            <w:pPr>
              <w:pStyle w:val="0-"/>
            </w:pPr>
            <w:r>
              <w:rPr>
                <w:rFonts w:hint="eastAsia"/>
              </w:rPr>
              <w:t>「</w:t>
            </w:r>
            <w:r w:rsidR="0012199C" w:rsidRPr="00B967DA">
              <w:rPr>
                <w:rFonts w:hint="eastAsia"/>
              </w:rPr>
              <w:t>科學園區設置管理條例</w:t>
            </w:r>
            <w:r>
              <w:rPr>
                <w:rFonts w:hint="eastAsia"/>
              </w:rPr>
              <w:t>」</w:t>
            </w:r>
            <w:r w:rsidR="0012199C" w:rsidRPr="00B967DA">
              <w:rPr>
                <w:rFonts w:hint="eastAsia"/>
              </w:rPr>
              <w:t>第二條部分文字仍尚未更新。(1條)</w:t>
            </w:r>
          </w:p>
        </w:tc>
      </w:tr>
      <w:tr w:rsidR="0012199C" w:rsidRPr="003D69B8"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Pr>
          <w:p w:rsidR="0012199C" w:rsidRPr="00EC299C" w:rsidRDefault="0012199C" w:rsidP="0012199C">
            <w:pPr>
              <w:pStyle w:val="0-"/>
            </w:pPr>
            <w:r w:rsidRPr="00EC299C">
              <w:rPr>
                <w:rFonts w:hint="eastAsia"/>
              </w:rPr>
              <w:t>科學園區設置管理條例第二條條文修正草案</w:t>
            </w:r>
          </w:p>
          <w:p w:rsidR="0012199C" w:rsidRPr="00EC299C" w:rsidRDefault="0012199C" w:rsidP="0012199C">
            <w:pPr>
              <w:pStyle w:val="0-"/>
            </w:pPr>
            <w:r w:rsidRPr="00EC299C">
              <w:rPr>
                <w:rFonts w:hint="eastAsia"/>
              </w:rPr>
              <w:t>(民眾黨黨團</w:t>
            </w:r>
            <w:r w:rsidRPr="00EC299C">
              <w:t>)</w:t>
            </w:r>
          </w:p>
        </w:tc>
        <w:tc>
          <w:tcPr>
            <w:tcW w:w="808" w:type="pct"/>
          </w:tcPr>
          <w:p w:rsidR="0012199C" w:rsidRPr="00EC299C" w:rsidRDefault="0012199C" w:rsidP="0012199C">
            <w:pPr>
              <w:pStyle w:val="0-"/>
            </w:pPr>
            <w:r w:rsidRPr="00EC299C">
              <w:t>10-5-5</w:t>
            </w:r>
          </w:p>
          <w:p w:rsidR="0012199C" w:rsidRPr="00EC299C" w:rsidRDefault="0012199C" w:rsidP="0012199C">
            <w:pPr>
              <w:pStyle w:val="0-"/>
            </w:pPr>
            <w:r w:rsidRPr="00EC299C">
              <w:t>(111.3.25)</w:t>
            </w:r>
          </w:p>
        </w:tc>
        <w:tc>
          <w:tcPr>
            <w:tcW w:w="539" w:type="pct"/>
          </w:tcPr>
          <w:p w:rsidR="0012199C" w:rsidRPr="00EC299C" w:rsidRDefault="0012199C" w:rsidP="0012199C">
            <w:pPr>
              <w:rPr>
                <w:rFonts w:ascii="標楷體" w:eastAsia="標楷體" w:hAnsi="標楷體"/>
                <w:color w:val="000000"/>
                <w:sz w:val="28"/>
                <w:szCs w:val="28"/>
              </w:rPr>
            </w:pPr>
          </w:p>
        </w:tc>
        <w:tc>
          <w:tcPr>
            <w:tcW w:w="981" w:type="pct"/>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Pr>
          <w:p w:rsidR="0012199C" w:rsidRPr="00EC299C" w:rsidRDefault="0012199C" w:rsidP="0012199C">
            <w:pPr>
              <w:pStyle w:val="0-"/>
            </w:pPr>
            <w:r w:rsidRPr="00EC299C">
              <w:rPr>
                <w:rFonts w:hint="eastAsia"/>
              </w:rPr>
              <w:t>為使原科技部主管各單位之設置條例名稱一致。(1條)</w:t>
            </w:r>
          </w:p>
        </w:tc>
      </w:tr>
      <w:tr w:rsidR="0012199C" w:rsidRPr="003D69B8"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Pr>
          <w:p w:rsidR="0012199C" w:rsidRPr="00EF3F30" w:rsidRDefault="0012199C" w:rsidP="0012199C">
            <w:pPr>
              <w:pStyle w:val="0-"/>
            </w:pPr>
            <w:r w:rsidRPr="00EF3F30">
              <w:rPr>
                <w:rFonts w:hint="eastAsia"/>
              </w:rPr>
              <w:t>科學園區設置管理條例第二條條文修正草案</w:t>
            </w:r>
          </w:p>
          <w:p w:rsidR="0012199C" w:rsidRPr="00EF3F30" w:rsidRDefault="0012199C" w:rsidP="0012199C">
            <w:pPr>
              <w:pStyle w:val="0-"/>
            </w:pPr>
            <w:r w:rsidRPr="00EF3F30">
              <w:rPr>
                <w:rFonts w:hint="eastAsia"/>
              </w:rPr>
              <w:t>(委員萬美玲等19人</w:t>
            </w:r>
            <w:r w:rsidRPr="00EF3F30">
              <w:t>)</w:t>
            </w:r>
          </w:p>
        </w:tc>
        <w:tc>
          <w:tcPr>
            <w:tcW w:w="808" w:type="pct"/>
          </w:tcPr>
          <w:p w:rsidR="0012199C" w:rsidRPr="00EF3F30" w:rsidRDefault="0012199C" w:rsidP="0012199C">
            <w:pPr>
              <w:pStyle w:val="0-"/>
            </w:pPr>
            <w:r w:rsidRPr="00EF3F30">
              <w:t>10-5-6</w:t>
            </w:r>
          </w:p>
          <w:p w:rsidR="0012199C" w:rsidRPr="00EF3F30" w:rsidRDefault="0012199C" w:rsidP="0012199C">
            <w:pPr>
              <w:pStyle w:val="0-"/>
            </w:pPr>
            <w:r w:rsidRPr="00EF3F30">
              <w:t>(111.4.1)</w:t>
            </w:r>
          </w:p>
        </w:tc>
        <w:tc>
          <w:tcPr>
            <w:tcW w:w="539" w:type="pct"/>
          </w:tcPr>
          <w:p w:rsidR="0012199C" w:rsidRPr="00EF3F30" w:rsidRDefault="0012199C" w:rsidP="0012199C">
            <w:pPr>
              <w:rPr>
                <w:rFonts w:ascii="標楷體" w:eastAsia="標楷體" w:hAnsi="標楷體"/>
                <w:color w:val="000000"/>
                <w:sz w:val="28"/>
                <w:szCs w:val="28"/>
              </w:rPr>
            </w:pPr>
          </w:p>
        </w:tc>
        <w:tc>
          <w:tcPr>
            <w:tcW w:w="981" w:type="pct"/>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Pr>
          <w:p w:rsidR="0012199C" w:rsidRPr="00EF3F30" w:rsidRDefault="0012199C" w:rsidP="0012199C">
            <w:pPr>
              <w:pStyle w:val="0-"/>
            </w:pPr>
            <w:r w:rsidRPr="00EF3F30">
              <w:rPr>
                <w:rFonts w:hint="eastAsia"/>
              </w:rPr>
              <w:t>現行「科學園區設置管理條例」第二條之主管機關尚未修正，為使法律完備。(1條)</w:t>
            </w:r>
          </w:p>
        </w:tc>
      </w:tr>
      <w:tr w:rsidR="0012199C" w:rsidRPr="003D69B8"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Pr>
          <w:p w:rsidR="0012199C" w:rsidRPr="00F4185D" w:rsidRDefault="0012199C" w:rsidP="0012199C">
            <w:pPr>
              <w:pStyle w:val="0-"/>
            </w:pPr>
            <w:r w:rsidRPr="00F4185D">
              <w:rPr>
                <w:rFonts w:hint="eastAsia"/>
              </w:rPr>
              <w:t>科學園區設置管理條例第二條條文修正草案</w:t>
            </w:r>
          </w:p>
          <w:p w:rsidR="0012199C" w:rsidRPr="00F4185D" w:rsidRDefault="0012199C" w:rsidP="0012199C">
            <w:pPr>
              <w:pStyle w:val="0-"/>
            </w:pPr>
            <w:r w:rsidRPr="00F4185D">
              <w:rPr>
                <w:rFonts w:hint="eastAsia"/>
              </w:rPr>
              <w:t>(委員黃世杰等19人</w:t>
            </w:r>
            <w:r w:rsidRPr="00F4185D">
              <w:t>)</w:t>
            </w:r>
          </w:p>
        </w:tc>
        <w:tc>
          <w:tcPr>
            <w:tcW w:w="808" w:type="pct"/>
          </w:tcPr>
          <w:p w:rsidR="0012199C" w:rsidRPr="00F4185D" w:rsidRDefault="0012199C" w:rsidP="0012199C">
            <w:pPr>
              <w:pStyle w:val="0-"/>
            </w:pPr>
            <w:r w:rsidRPr="00F4185D">
              <w:t>10-5-7</w:t>
            </w:r>
          </w:p>
          <w:p w:rsidR="0012199C" w:rsidRPr="00F4185D" w:rsidRDefault="0012199C" w:rsidP="0012199C">
            <w:pPr>
              <w:pStyle w:val="0-"/>
            </w:pPr>
            <w:r w:rsidRPr="00F4185D">
              <w:t>(111.4.8)</w:t>
            </w:r>
          </w:p>
        </w:tc>
        <w:tc>
          <w:tcPr>
            <w:tcW w:w="539" w:type="pct"/>
          </w:tcPr>
          <w:p w:rsidR="0012199C" w:rsidRPr="00F4185D" w:rsidRDefault="0012199C" w:rsidP="0012199C">
            <w:pPr>
              <w:rPr>
                <w:rFonts w:ascii="標楷體" w:eastAsia="標楷體" w:hAnsi="標楷體"/>
                <w:color w:val="000000"/>
                <w:sz w:val="28"/>
                <w:szCs w:val="28"/>
              </w:rPr>
            </w:pPr>
          </w:p>
        </w:tc>
        <w:tc>
          <w:tcPr>
            <w:tcW w:w="981" w:type="pct"/>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Pr>
          <w:p w:rsidR="0012199C" w:rsidRPr="00F4185D" w:rsidRDefault="0012199C" w:rsidP="0012199C">
            <w:pPr>
              <w:pStyle w:val="0-"/>
            </w:pPr>
            <w:r w:rsidRPr="00F4185D">
              <w:rPr>
                <w:rFonts w:hint="eastAsia"/>
              </w:rPr>
              <w:t>茲為明確化科學院區管理權責，增進科學及技術發展之組織法整合要旨，發揮蘊含於公部門及民間的科技技術國力。(1條)</w:t>
            </w:r>
          </w:p>
        </w:tc>
      </w:tr>
      <w:tr w:rsidR="0012199C" w:rsidRPr="00D5422F"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Pr>
          <w:p w:rsidR="0012199C" w:rsidRPr="006D565A" w:rsidRDefault="0012199C" w:rsidP="0012199C">
            <w:pPr>
              <w:pStyle w:val="0-"/>
            </w:pPr>
            <w:r w:rsidRPr="006D565A">
              <w:rPr>
                <w:rFonts w:hint="eastAsia"/>
              </w:rPr>
              <w:t>科學園區設置管理條例第二條條文修正草案</w:t>
            </w:r>
          </w:p>
          <w:p w:rsidR="0012199C" w:rsidRPr="006D565A" w:rsidRDefault="0012199C" w:rsidP="0012199C">
            <w:pPr>
              <w:pStyle w:val="0-"/>
            </w:pPr>
            <w:r w:rsidRPr="006D565A">
              <w:rPr>
                <w:rFonts w:hint="eastAsia"/>
              </w:rPr>
              <w:t>(委員林宜瑾等25人)</w:t>
            </w:r>
          </w:p>
        </w:tc>
        <w:tc>
          <w:tcPr>
            <w:tcW w:w="808" w:type="pct"/>
          </w:tcPr>
          <w:p w:rsidR="0012199C" w:rsidRPr="006D565A" w:rsidRDefault="0012199C" w:rsidP="0012199C">
            <w:pPr>
              <w:pStyle w:val="0-"/>
            </w:pPr>
            <w:r w:rsidRPr="006D565A">
              <w:t>10-5-9</w:t>
            </w:r>
          </w:p>
          <w:p w:rsidR="0012199C" w:rsidRPr="006D565A" w:rsidRDefault="0012199C" w:rsidP="0012199C">
            <w:pPr>
              <w:pStyle w:val="0-"/>
            </w:pPr>
            <w:r w:rsidRPr="006D565A">
              <w:t>(111.4.22)</w:t>
            </w:r>
          </w:p>
        </w:tc>
        <w:tc>
          <w:tcPr>
            <w:tcW w:w="539" w:type="pct"/>
          </w:tcPr>
          <w:p w:rsidR="0012199C" w:rsidRPr="006D565A" w:rsidRDefault="0012199C" w:rsidP="0012199C">
            <w:pPr>
              <w:rPr>
                <w:rFonts w:ascii="標楷體" w:eastAsia="標楷體" w:hAnsi="標楷體"/>
                <w:color w:val="000000"/>
                <w:sz w:val="28"/>
                <w:szCs w:val="28"/>
              </w:rPr>
            </w:pPr>
          </w:p>
        </w:tc>
        <w:tc>
          <w:tcPr>
            <w:tcW w:w="981" w:type="pct"/>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Pr>
          <w:p w:rsidR="0012199C" w:rsidRPr="006D565A" w:rsidRDefault="0012199C" w:rsidP="0012199C">
            <w:pPr>
              <w:pStyle w:val="0-"/>
            </w:pPr>
            <w:r w:rsidRPr="006D565A">
              <w:rPr>
                <w:rFonts w:hint="eastAsia"/>
              </w:rPr>
              <w:t>科技部正式啟動組織調整，將轉型為「國家科學及技術委員會」。然本條例文字尚未配合做出相應調整，為符合法制體例。(1條)</w:t>
            </w:r>
          </w:p>
        </w:tc>
      </w:tr>
      <w:tr w:rsidR="0012199C" w:rsidRPr="00D5422F"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Pr>
          <w:p w:rsidR="0012199C" w:rsidRPr="006D565A" w:rsidRDefault="0012199C" w:rsidP="0012199C">
            <w:pPr>
              <w:pStyle w:val="0-"/>
            </w:pPr>
            <w:r w:rsidRPr="006D565A">
              <w:rPr>
                <w:rFonts w:hint="eastAsia"/>
              </w:rPr>
              <w:t>科學園區設置管理條例第六條條文修正草案</w:t>
            </w:r>
          </w:p>
          <w:p w:rsidR="0012199C" w:rsidRPr="006D565A" w:rsidRDefault="0012199C" w:rsidP="0012199C">
            <w:pPr>
              <w:pStyle w:val="0-"/>
            </w:pPr>
            <w:r w:rsidRPr="006D565A">
              <w:rPr>
                <w:rFonts w:hint="eastAsia"/>
              </w:rPr>
              <w:t>(委員萬美玲等17人)</w:t>
            </w:r>
          </w:p>
        </w:tc>
        <w:tc>
          <w:tcPr>
            <w:tcW w:w="808" w:type="pct"/>
          </w:tcPr>
          <w:p w:rsidR="0012199C" w:rsidRPr="006D565A" w:rsidRDefault="0012199C" w:rsidP="0012199C">
            <w:pPr>
              <w:pStyle w:val="0-"/>
            </w:pPr>
            <w:r w:rsidRPr="006D565A">
              <w:t>10-5-9</w:t>
            </w:r>
          </w:p>
          <w:p w:rsidR="0012199C" w:rsidRPr="006D565A" w:rsidRDefault="0012199C" w:rsidP="0012199C">
            <w:pPr>
              <w:pStyle w:val="0-"/>
            </w:pPr>
            <w:r w:rsidRPr="006D565A">
              <w:rPr>
                <w:rFonts w:hint="eastAsia"/>
              </w:rPr>
              <w:t>(111.4.22)</w:t>
            </w:r>
            <w:r w:rsidRPr="006D565A">
              <w:rPr>
                <w:rFonts w:hint="eastAsia"/>
              </w:rPr>
              <w:tab/>
            </w:r>
            <w:r w:rsidRPr="006D565A">
              <w:rPr>
                <w:rFonts w:hint="eastAsia"/>
              </w:rPr>
              <w:tab/>
            </w:r>
          </w:p>
        </w:tc>
        <w:tc>
          <w:tcPr>
            <w:tcW w:w="539" w:type="pct"/>
          </w:tcPr>
          <w:p w:rsidR="0012199C" w:rsidRPr="006D565A" w:rsidRDefault="0012199C" w:rsidP="0012199C">
            <w:pPr>
              <w:rPr>
                <w:rFonts w:ascii="標楷體" w:eastAsia="標楷體" w:hAnsi="標楷體"/>
                <w:color w:val="000000"/>
                <w:sz w:val="28"/>
                <w:szCs w:val="28"/>
              </w:rPr>
            </w:pPr>
          </w:p>
        </w:tc>
        <w:tc>
          <w:tcPr>
            <w:tcW w:w="981" w:type="pct"/>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Pr>
          <w:p w:rsidR="0012199C" w:rsidRPr="006D565A" w:rsidRDefault="0012199C" w:rsidP="0012199C">
            <w:pPr>
              <w:pStyle w:val="0-"/>
            </w:pPr>
            <w:r w:rsidRPr="006D565A">
              <w:rPr>
                <w:rFonts w:hint="eastAsia"/>
              </w:rPr>
              <w:t>為避免科學園區管理局發生球員兼裁判的角色衝突，刪除勞動檢查事項。(1條)</w:t>
            </w:r>
          </w:p>
        </w:tc>
      </w:tr>
      <w:tr w:rsidR="0012199C" w:rsidRPr="00D5422F"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Pr>
          <w:p w:rsidR="0012199C" w:rsidRPr="007B5B67" w:rsidRDefault="0012199C" w:rsidP="0012199C">
            <w:pPr>
              <w:pStyle w:val="0-"/>
            </w:pPr>
            <w:r w:rsidRPr="007B5B67">
              <w:rPr>
                <w:rFonts w:hint="eastAsia"/>
              </w:rPr>
              <w:t>科學園區設置管理條例第二條條文修正草案</w:t>
            </w:r>
          </w:p>
          <w:p w:rsidR="0012199C" w:rsidRPr="007B5B67" w:rsidRDefault="0012199C" w:rsidP="0012199C">
            <w:pPr>
              <w:pStyle w:val="0-"/>
            </w:pPr>
            <w:r w:rsidRPr="007B5B67">
              <w:rPr>
                <w:rFonts w:hint="eastAsia"/>
              </w:rPr>
              <w:lastRenderedPageBreak/>
              <w:t>(委員陳明文等20人)</w:t>
            </w:r>
          </w:p>
        </w:tc>
        <w:tc>
          <w:tcPr>
            <w:tcW w:w="808" w:type="pct"/>
          </w:tcPr>
          <w:p w:rsidR="0012199C" w:rsidRPr="007B5B67" w:rsidRDefault="0012199C" w:rsidP="0012199C">
            <w:pPr>
              <w:pStyle w:val="0-"/>
            </w:pPr>
            <w:r w:rsidRPr="007B5B67">
              <w:lastRenderedPageBreak/>
              <w:t>10-6-3</w:t>
            </w:r>
          </w:p>
          <w:p w:rsidR="0012199C" w:rsidRPr="007B5B67" w:rsidRDefault="0012199C" w:rsidP="0012199C">
            <w:pPr>
              <w:pStyle w:val="0-"/>
            </w:pPr>
            <w:r w:rsidRPr="007B5B67">
              <w:t>(111.10.7)</w:t>
            </w:r>
          </w:p>
        </w:tc>
        <w:tc>
          <w:tcPr>
            <w:tcW w:w="539" w:type="pct"/>
          </w:tcPr>
          <w:p w:rsidR="0012199C" w:rsidRPr="007B5B67" w:rsidRDefault="0012199C" w:rsidP="0012199C">
            <w:pPr>
              <w:rPr>
                <w:rFonts w:ascii="標楷體" w:eastAsia="標楷體" w:hAnsi="標楷體"/>
                <w:color w:val="000000"/>
                <w:sz w:val="28"/>
                <w:szCs w:val="28"/>
              </w:rPr>
            </w:pPr>
          </w:p>
        </w:tc>
        <w:tc>
          <w:tcPr>
            <w:tcW w:w="981" w:type="pct"/>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Pr>
          <w:p w:rsidR="0012199C" w:rsidRPr="007B5B67" w:rsidRDefault="0012199C" w:rsidP="0012199C">
            <w:pPr>
              <w:pStyle w:val="0-"/>
            </w:pPr>
            <w:r w:rsidRPr="007B5B67">
              <w:rPr>
                <w:rFonts w:hint="eastAsia"/>
              </w:rPr>
              <w:t>鑒於科技部已改制為國家科學及技術委員</w:t>
            </w:r>
            <w:r w:rsidRPr="007B5B67">
              <w:rPr>
                <w:rFonts w:hint="eastAsia"/>
              </w:rPr>
              <w:lastRenderedPageBreak/>
              <w:t>會，主管機關卻未隨之更改。(1條)</w:t>
            </w:r>
          </w:p>
        </w:tc>
      </w:tr>
      <w:tr w:rsidR="0012199C" w:rsidRPr="00D5422F"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Pr>
          <w:p w:rsidR="0012199C" w:rsidRPr="007B3632" w:rsidRDefault="0012199C" w:rsidP="0012199C">
            <w:pPr>
              <w:pStyle w:val="0-"/>
            </w:pPr>
            <w:r w:rsidRPr="007B3632">
              <w:rPr>
                <w:rFonts w:hint="eastAsia"/>
              </w:rPr>
              <w:t>科學園區設置管理條例第二條條文修正草案</w:t>
            </w:r>
          </w:p>
          <w:p w:rsidR="0012199C" w:rsidRPr="007B3632" w:rsidRDefault="0012199C" w:rsidP="0012199C">
            <w:pPr>
              <w:pStyle w:val="0-"/>
            </w:pPr>
            <w:r w:rsidRPr="007B3632">
              <w:rPr>
                <w:rFonts w:hint="eastAsia"/>
              </w:rPr>
              <w:t>(委員陳秀寳等</w:t>
            </w:r>
            <w:r w:rsidRPr="007B3632">
              <w:t>21</w:t>
            </w:r>
            <w:r w:rsidRPr="007B3632">
              <w:rPr>
                <w:rFonts w:hint="eastAsia"/>
              </w:rPr>
              <w:t>人)</w:t>
            </w:r>
          </w:p>
        </w:tc>
        <w:tc>
          <w:tcPr>
            <w:tcW w:w="808" w:type="pct"/>
          </w:tcPr>
          <w:p w:rsidR="0012199C" w:rsidRPr="007B3632" w:rsidRDefault="0012199C" w:rsidP="0012199C">
            <w:pPr>
              <w:pStyle w:val="0-"/>
            </w:pPr>
            <w:r w:rsidRPr="007B3632">
              <w:t>10-6-4</w:t>
            </w:r>
          </w:p>
          <w:p w:rsidR="0012199C" w:rsidRPr="007B3632" w:rsidRDefault="0012199C" w:rsidP="0012199C">
            <w:pPr>
              <w:pStyle w:val="0-"/>
            </w:pPr>
            <w:r w:rsidRPr="007B3632">
              <w:t>(</w:t>
            </w:r>
            <w:r w:rsidRPr="0012199C">
              <w:rPr>
                <w:spacing w:val="-20"/>
              </w:rPr>
              <w:t>111.10.14</w:t>
            </w:r>
            <w:r w:rsidRPr="007B3632">
              <w:t>)</w:t>
            </w:r>
          </w:p>
        </w:tc>
        <w:tc>
          <w:tcPr>
            <w:tcW w:w="539" w:type="pct"/>
          </w:tcPr>
          <w:p w:rsidR="0012199C" w:rsidRPr="007B3632" w:rsidRDefault="0012199C" w:rsidP="0012199C">
            <w:pPr>
              <w:rPr>
                <w:rFonts w:ascii="標楷體" w:eastAsia="標楷體" w:hAnsi="標楷體"/>
                <w:color w:val="000000"/>
                <w:sz w:val="28"/>
                <w:szCs w:val="28"/>
              </w:rPr>
            </w:pPr>
          </w:p>
        </w:tc>
        <w:tc>
          <w:tcPr>
            <w:tcW w:w="981" w:type="pct"/>
          </w:tcPr>
          <w:p w:rsidR="0012199C" w:rsidRPr="007B3632" w:rsidRDefault="0012199C" w:rsidP="005B74D5">
            <w:r w:rsidRPr="005B74D5">
              <w:rPr>
                <w:rFonts w:ascii="標楷體" w:eastAsia="標楷體" w:hAnsi="標楷體" w:hint="eastAsia"/>
                <w:color w:val="000000"/>
                <w:sz w:val="28"/>
                <w:szCs w:val="28"/>
              </w:rPr>
              <w:t>尚未審查</w:t>
            </w:r>
          </w:p>
        </w:tc>
        <w:tc>
          <w:tcPr>
            <w:tcW w:w="906" w:type="pct"/>
          </w:tcPr>
          <w:p w:rsidR="0012199C" w:rsidRPr="007B3632" w:rsidRDefault="0012199C" w:rsidP="0012199C">
            <w:pPr>
              <w:pStyle w:val="0-"/>
            </w:pPr>
            <w:r w:rsidRPr="007B3632">
              <w:rPr>
                <w:rFonts w:hint="eastAsia"/>
              </w:rPr>
              <w:t>為引進高級技術產業及科學技術人才，提升區域創新整合能量，以激勵國內產業技術之研究創新。(1條)</w:t>
            </w:r>
          </w:p>
        </w:tc>
      </w:tr>
      <w:tr w:rsidR="0012199C" w:rsidRPr="00D5422F"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Pr>
          <w:p w:rsidR="0012199C" w:rsidRPr="00C77949" w:rsidRDefault="0012199C" w:rsidP="0012199C">
            <w:pPr>
              <w:pStyle w:val="0-"/>
            </w:pPr>
            <w:r w:rsidRPr="00C77949">
              <w:rPr>
                <w:rFonts w:hint="eastAsia"/>
              </w:rPr>
              <w:t>科學園區設置管理條例第二條條文修正草案</w:t>
            </w:r>
          </w:p>
          <w:p w:rsidR="0012199C" w:rsidRPr="00760837" w:rsidRDefault="0012199C" w:rsidP="0012199C">
            <w:pPr>
              <w:pStyle w:val="0-"/>
              <w:rPr>
                <w:spacing w:val="-10"/>
              </w:rPr>
            </w:pPr>
            <w:r w:rsidRPr="00760837">
              <w:rPr>
                <w:rFonts w:hint="eastAsia"/>
                <w:spacing w:val="-10"/>
              </w:rPr>
              <w:t>(委員張廖萬堅等16人)</w:t>
            </w:r>
          </w:p>
        </w:tc>
        <w:tc>
          <w:tcPr>
            <w:tcW w:w="808" w:type="pct"/>
          </w:tcPr>
          <w:p w:rsidR="0012199C" w:rsidRPr="00C77949" w:rsidRDefault="0012199C" w:rsidP="0012199C">
            <w:pPr>
              <w:pStyle w:val="0-"/>
            </w:pPr>
            <w:r w:rsidRPr="00C77949">
              <w:t>10-6-5</w:t>
            </w:r>
          </w:p>
          <w:p w:rsidR="0012199C" w:rsidRPr="00C77949" w:rsidRDefault="0012199C" w:rsidP="0012199C">
            <w:pPr>
              <w:pStyle w:val="0-"/>
            </w:pPr>
            <w:r w:rsidRPr="00C77949">
              <w:t>(</w:t>
            </w:r>
            <w:r w:rsidRPr="0012199C">
              <w:rPr>
                <w:spacing w:val="-20"/>
              </w:rPr>
              <w:t>111.10.28</w:t>
            </w:r>
            <w:r w:rsidRPr="00C77949">
              <w:t>)</w:t>
            </w:r>
          </w:p>
        </w:tc>
        <w:tc>
          <w:tcPr>
            <w:tcW w:w="539" w:type="pct"/>
          </w:tcPr>
          <w:p w:rsidR="0012199C" w:rsidRPr="00C77949" w:rsidRDefault="0012199C" w:rsidP="0012199C">
            <w:pPr>
              <w:rPr>
                <w:rFonts w:ascii="標楷體" w:eastAsia="標楷體" w:hAnsi="標楷體"/>
                <w:color w:val="000000"/>
                <w:sz w:val="28"/>
                <w:szCs w:val="28"/>
              </w:rPr>
            </w:pPr>
          </w:p>
        </w:tc>
        <w:tc>
          <w:tcPr>
            <w:tcW w:w="981" w:type="pct"/>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Pr>
          <w:p w:rsidR="0012199C" w:rsidRPr="00C77949" w:rsidRDefault="0012199C" w:rsidP="0012199C">
            <w:pPr>
              <w:pStyle w:val="0-"/>
            </w:pPr>
            <w:r w:rsidRPr="00C77949">
              <w:rPr>
                <w:rFonts w:hint="eastAsia"/>
              </w:rPr>
              <w:t>科學園區設置管理條例當中有關主管機關的條文，尚未配合進行相應之調整。(1條)</w:t>
            </w:r>
          </w:p>
        </w:tc>
      </w:tr>
      <w:tr w:rsidR="0012199C" w:rsidRPr="00D5422F"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Pr>
          <w:p w:rsidR="0012199C" w:rsidRPr="00E47B5F" w:rsidRDefault="0012199C" w:rsidP="0012199C">
            <w:pPr>
              <w:pStyle w:val="0-"/>
            </w:pPr>
            <w:r w:rsidRPr="00E47B5F">
              <w:rPr>
                <w:rFonts w:hint="eastAsia"/>
              </w:rPr>
              <w:t>科學園區設置管理條例第二條條文修正草案</w:t>
            </w:r>
          </w:p>
          <w:p w:rsidR="0012199C" w:rsidRPr="00E47B5F" w:rsidRDefault="0012199C" w:rsidP="0012199C">
            <w:pPr>
              <w:pStyle w:val="0-"/>
            </w:pPr>
            <w:r w:rsidRPr="00E47B5F">
              <w:rPr>
                <w:rFonts w:hint="eastAsia"/>
              </w:rPr>
              <w:t>(委員吳思瑤等17人</w:t>
            </w:r>
            <w:r w:rsidRPr="00E47B5F">
              <w:t>)</w:t>
            </w:r>
          </w:p>
        </w:tc>
        <w:tc>
          <w:tcPr>
            <w:tcW w:w="808" w:type="pct"/>
          </w:tcPr>
          <w:p w:rsidR="0012199C" w:rsidRPr="00E47B5F" w:rsidRDefault="0012199C" w:rsidP="0012199C">
            <w:pPr>
              <w:pStyle w:val="0-"/>
            </w:pPr>
            <w:r w:rsidRPr="00E47B5F">
              <w:t>10-6-7</w:t>
            </w:r>
          </w:p>
          <w:p w:rsidR="0012199C" w:rsidRPr="00E47B5F" w:rsidRDefault="0012199C" w:rsidP="0012199C">
            <w:pPr>
              <w:pStyle w:val="0-"/>
            </w:pPr>
            <w:r w:rsidRPr="00E47B5F">
              <w:t>(111.11.11)</w:t>
            </w:r>
          </w:p>
        </w:tc>
        <w:tc>
          <w:tcPr>
            <w:tcW w:w="539" w:type="pct"/>
          </w:tcPr>
          <w:p w:rsidR="0012199C" w:rsidRPr="00E47B5F" w:rsidRDefault="0012199C" w:rsidP="0012199C">
            <w:pPr>
              <w:rPr>
                <w:rFonts w:ascii="標楷體" w:eastAsia="標楷體" w:hAnsi="標楷體"/>
                <w:color w:val="000000"/>
                <w:sz w:val="28"/>
                <w:szCs w:val="28"/>
              </w:rPr>
            </w:pPr>
          </w:p>
        </w:tc>
        <w:tc>
          <w:tcPr>
            <w:tcW w:w="981" w:type="pct"/>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Pr>
          <w:p w:rsidR="0012199C" w:rsidRPr="00E47B5F" w:rsidRDefault="0012199C" w:rsidP="0012199C">
            <w:pPr>
              <w:pStyle w:val="0-"/>
            </w:pPr>
            <w:r w:rsidRPr="00E47B5F">
              <w:rPr>
                <w:rFonts w:hint="eastAsia"/>
              </w:rPr>
              <w:t>惟現行「科學園區設置管理條例」主管機關尚未修正，為求符合部會權責。(1條)</w:t>
            </w:r>
          </w:p>
        </w:tc>
      </w:tr>
      <w:tr w:rsidR="0012199C" w:rsidRPr="00D5422F"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Pr>
          <w:p w:rsidR="0012199C" w:rsidRPr="00D13B0E" w:rsidRDefault="0012199C" w:rsidP="0012199C">
            <w:pPr>
              <w:pStyle w:val="0-"/>
            </w:pPr>
            <w:r w:rsidRPr="00D13B0E">
              <w:rPr>
                <w:rFonts w:hint="eastAsia"/>
              </w:rPr>
              <w:t>科學園區設置管理條例第二條條文修正草案</w:t>
            </w:r>
          </w:p>
          <w:p w:rsidR="0012199C" w:rsidRPr="00D13B0E" w:rsidRDefault="0012199C" w:rsidP="0012199C">
            <w:pPr>
              <w:pStyle w:val="0-"/>
            </w:pPr>
            <w:r w:rsidRPr="00D13B0E">
              <w:rPr>
                <w:rFonts w:hint="eastAsia"/>
              </w:rPr>
              <w:t>(委員賴品妤等22人</w:t>
            </w:r>
            <w:r w:rsidRPr="00D13B0E">
              <w:t>)</w:t>
            </w:r>
          </w:p>
        </w:tc>
        <w:tc>
          <w:tcPr>
            <w:tcW w:w="808" w:type="pct"/>
          </w:tcPr>
          <w:p w:rsidR="0012199C" w:rsidRPr="00D13B0E" w:rsidRDefault="0012199C" w:rsidP="0012199C">
            <w:pPr>
              <w:pStyle w:val="0-"/>
            </w:pPr>
            <w:r w:rsidRPr="00D13B0E">
              <w:t>10-6-12</w:t>
            </w:r>
          </w:p>
          <w:p w:rsidR="0012199C" w:rsidRPr="00D13B0E" w:rsidRDefault="0012199C" w:rsidP="0012199C">
            <w:pPr>
              <w:pStyle w:val="0-"/>
            </w:pPr>
            <w:r w:rsidRPr="00D13B0E">
              <w:t>(</w:t>
            </w:r>
            <w:r w:rsidRPr="0012199C">
              <w:rPr>
                <w:spacing w:val="-20"/>
              </w:rPr>
              <w:t>111.12.16</w:t>
            </w:r>
            <w:r w:rsidRPr="00D13B0E">
              <w:t>)</w:t>
            </w:r>
          </w:p>
        </w:tc>
        <w:tc>
          <w:tcPr>
            <w:tcW w:w="539" w:type="pct"/>
          </w:tcPr>
          <w:p w:rsidR="0012199C" w:rsidRPr="00D13B0E" w:rsidRDefault="0012199C" w:rsidP="0012199C">
            <w:pPr>
              <w:rPr>
                <w:rFonts w:ascii="標楷體" w:eastAsia="標楷體" w:hAnsi="標楷體"/>
                <w:color w:val="000000"/>
                <w:sz w:val="28"/>
                <w:szCs w:val="28"/>
              </w:rPr>
            </w:pPr>
          </w:p>
        </w:tc>
        <w:tc>
          <w:tcPr>
            <w:tcW w:w="981" w:type="pct"/>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Pr>
          <w:p w:rsidR="0012199C" w:rsidRPr="00D13B0E" w:rsidRDefault="0012199C" w:rsidP="0012199C">
            <w:pPr>
              <w:pStyle w:val="0-"/>
            </w:pPr>
            <w:r w:rsidRPr="00D13B0E">
              <w:rPr>
                <w:rFonts w:hint="eastAsia"/>
              </w:rPr>
              <w:t>為配合政府現狀應將相關法規作相應調整，並使法制體例相符。(1條)</w:t>
            </w:r>
          </w:p>
        </w:tc>
      </w:tr>
      <w:tr w:rsidR="0012199C" w:rsidRPr="003D69B8"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rsidR="0012199C" w:rsidRPr="00B967DA" w:rsidRDefault="0012199C" w:rsidP="0012199C">
            <w:pPr>
              <w:pStyle w:val="0-"/>
            </w:pPr>
            <w:r w:rsidRPr="00B967DA">
              <w:rPr>
                <w:rFonts w:hint="eastAsia"/>
              </w:rPr>
              <w:t>太空發展法第二條條文修正草案</w:t>
            </w:r>
          </w:p>
          <w:p w:rsidR="0012199C" w:rsidRPr="00B967DA" w:rsidRDefault="0012199C" w:rsidP="0012199C">
            <w:pPr>
              <w:pStyle w:val="0-"/>
            </w:pPr>
            <w:r w:rsidRPr="00B967DA">
              <w:rPr>
                <w:rFonts w:hint="eastAsia"/>
              </w:rPr>
              <w:t>(委員林奕華等16人)</w:t>
            </w:r>
          </w:p>
        </w:tc>
        <w:tc>
          <w:tcPr>
            <w:tcW w:w="808" w:type="pct"/>
            <w:tcBorders>
              <w:top w:val="single" w:sz="4" w:space="0" w:color="auto"/>
              <w:left w:val="single" w:sz="4" w:space="0" w:color="auto"/>
              <w:bottom w:val="single" w:sz="4" w:space="0" w:color="auto"/>
              <w:right w:val="single" w:sz="4" w:space="0" w:color="auto"/>
            </w:tcBorders>
          </w:tcPr>
          <w:p w:rsidR="0012199C" w:rsidRPr="00B967DA" w:rsidRDefault="0012199C" w:rsidP="0012199C">
            <w:pPr>
              <w:pStyle w:val="0-"/>
            </w:pPr>
            <w:r w:rsidRPr="00B967DA">
              <w:t>10-5-4</w:t>
            </w:r>
          </w:p>
          <w:p w:rsidR="0012199C" w:rsidRPr="00B967DA" w:rsidRDefault="0012199C" w:rsidP="0012199C">
            <w:pPr>
              <w:pStyle w:val="0-"/>
            </w:pPr>
            <w:r w:rsidRPr="00B967DA">
              <w:t>(111.3.18)</w:t>
            </w:r>
          </w:p>
        </w:tc>
        <w:tc>
          <w:tcPr>
            <w:tcW w:w="539" w:type="pct"/>
            <w:tcBorders>
              <w:top w:val="single" w:sz="4" w:space="0" w:color="auto"/>
              <w:left w:val="single" w:sz="4" w:space="0" w:color="auto"/>
              <w:bottom w:val="single" w:sz="4" w:space="0" w:color="auto"/>
              <w:right w:val="single" w:sz="4" w:space="0" w:color="auto"/>
            </w:tcBorders>
          </w:tcPr>
          <w:p w:rsidR="0012199C" w:rsidRPr="00B967DA" w:rsidRDefault="0012199C" w:rsidP="0012199C">
            <w:pPr>
              <w:rPr>
                <w:rFonts w:eastAsia="華康楷書體W5"/>
                <w:strike/>
                <w:color w:val="000000"/>
                <w:sz w:val="28"/>
              </w:rPr>
            </w:pPr>
          </w:p>
        </w:tc>
        <w:tc>
          <w:tcPr>
            <w:tcW w:w="981" w:type="pct"/>
            <w:tcBorders>
              <w:top w:val="single" w:sz="4" w:space="0" w:color="auto"/>
              <w:left w:val="single" w:sz="4" w:space="0" w:color="auto"/>
              <w:bottom w:val="single" w:sz="4" w:space="0" w:color="auto"/>
              <w:right w:val="single" w:sz="4" w:space="0" w:color="auto"/>
            </w:tcBorders>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Borders>
              <w:top w:val="single" w:sz="4" w:space="0" w:color="auto"/>
              <w:left w:val="single" w:sz="4" w:space="0" w:color="auto"/>
              <w:bottom w:val="single" w:sz="4" w:space="0" w:color="auto"/>
              <w:right w:val="single" w:sz="4" w:space="0" w:color="auto"/>
            </w:tcBorders>
          </w:tcPr>
          <w:p w:rsidR="0012199C" w:rsidRPr="00B967DA" w:rsidRDefault="0012199C" w:rsidP="0012199C">
            <w:pPr>
              <w:pStyle w:val="0-"/>
            </w:pPr>
            <w:r w:rsidRPr="00B967DA">
              <w:rPr>
                <w:rFonts w:hint="eastAsia"/>
              </w:rPr>
              <w:t>科技部將改組為國家科學及技術委員會，促使科學發展相關事務能夠</w:t>
            </w:r>
            <w:r w:rsidRPr="00B967DA">
              <w:rPr>
                <w:rFonts w:hint="eastAsia"/>
              </w:rPr>
              <w:lastRenderedPageBreak/>
              <w:t>跨部會推動及整合。(1條)</w:t>
            </w:r>
          </w:p>
        </w:tc>
      </w:tr>
      <w:tr w:rsidR="0012199C" w:rsidRPr="003D69B8"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rsidR="0012199C" w:rsidRPr="00EC299C" w:rsidRDefault="0012199C" w:rsidP="0012199C">
            <w:pPr>
              <w:pStyle w:val="0-"/>
            </w:pPr>
            <w:r w:rsidRPr="00EC299C">
              <w:rPr>
                <w:rFonts w:hint="eastAsia"/>
              </w:rPr>
              <w:t>太空發展法第二條條文修正草案</w:t>
            </w:r>
          </w:p>
          <w:p w:rsidR="0012199C" w:rsidRPr="00EC299C" w:rsidRDefault="0012199C" w:rsidP="0012199C">
            <w:pPr>
              <w:pStyle w:val="0-"/>
            </w:pPr>
            <w:r w:rsidRPr="00EC299C">
              <w:rPr>
                <w:rFonts w:hint="eastAsia"/>
              </w:rPr>
              <w:t>(民眾黨黨團</w:t>
            </w:r>
            <w:r w:rsidRPr="00EC299C">
              <w:t>)</w:t>
            </w:r>
          </w:p>
        </w:tc>
        <w:tc>
          <w:tcPr>
            <w:tcW w:w="808" w:type="pct"/>
            <w:tcBorders>
              <w:top w:val="single" w:sz="4" w:space="0" w:color="auto"/>
              <w:left w:val="single" w:sz="4" w:space="0" w:color="auto"/>
              <w:bottom w:val="single" w:sz="4" w:space="0" w:color="auto"/>
              <w:right w:val="single" w:sz="4" w:space="0" w:color="auto"/>
            </w:tcBorders>
          </w:tcPr>
          <w:p w:rsidR="0012199C" w:rsidRPr="00EC299C" w:rsidRDefault="0012199C" w:rsidP="0012199C">
            <w:pPr>
              <w:pStyle w:val="0-"/>
            </w:pPr>
            <w:r w:rsidRPr="00EC299C">
              <w:t>10-5-5</w:t>
            </w:r>
          </w:p>
          <w:p w:rsidR="0012199C" w:rsidRPr="00EC299C" w:rsidRDefault="0012199C" w:rsidP="0012199C">
            <w:pPr>
              <w:pStyle w:val="0-"/>
            </w:pPr>
            <w:r w:rsidRPr="00EC299C">
              <w:t>(111.3.25)</w:t>
            </w:r>
          </w:p>
        </w:tc>
        <w:tc>
          <w:tcPr>
            <w:tcW w:w="539" w:type="pct"/>
            <w:tcBorders>
              <w:top w:val="single" w:sz="4" w:space="0" w:color="auto"/>
              <w:left w:val="single" w:sz="4" w:space="0" w:color="auto"/>
              <w:bottom w:val="single" w:sz="4" w:space="0" w:color="auto"/>
              <w:right w:val="single" w:sz="4" w:space="0" w:color="auto"/>
            </w:tcBorders>
          </w:tcPr>
          <w:p w:rsidR="0012199C" w:rsidRPr="00EC299C" w:rsidRDefault="0012199C" w:rsidP="0012199C">
            <w:pPr>
              <w:rPr>
                <w:rFonts w:eastAsia="華康楷書體W5"/>
                <w:color w:val="000000"/>
                <w:sz w:val="28"/>
              </w:rPr>
            </w:pPr>
          </w:p>
        </w:tc>
        <w:tc>
          <w:tcPr>
            <w:tcW w:w="981" w:type="pct"/>
            <w:tcBorders>
              <w:top w:val="single" w:sz="4" w:space="0" w:color="auto"/>
              <w:left w:val="single" w:sz="4" w:space="0" w:color="auto"/>
              <w:bottom w:val="single" w:sz="4" w:space="0" w:color="auto"/>
              <w:right w:val="single" w:sz="4" w:space="0" w:color="auto"/>
            </w:tcBorders>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Borders>
              <w:top w:val="single" w:sz="4" w:space="0" w:color="auto"/>
              <w:left w:val="single" w:sz="4" w:space="0" w:color="auto"/>
              <w:bottom w:val="single" w:sz="4" w:space="0" w:color="auto"/>
              <w:right w:val="single" w:sz="4" w:space="0" w:color="auto"/>
            </w:tcBorders>
          </w:tcPr>
          <w:p w:rsidR="0012199C" w:rsidRPr="00EC299C" w:rsidRDefault="0012199C" w:rsidP="0012199C">
            <w:pPr>
              <w:pStyle w:val="0-"/>
            </w:pPr>
            <w:r w:rsidRPr="00EC299C">
              <w:rPr>
                <w:rFonts w:hint="eastAsia"/>
              </w:rPr>
              <w:t>為使原科技部主管之相關現行法名稱一致。(1條)</w:t>
            </w:r>
          </w:p>
        </w:tc>
      </w:tr>
      <w:tr w:rsidR="0012199C" w:rsidRPr="003D69B8"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rsidR="0012199C" w:rsidRPr="00EF3F30" w:rsidRDefault="0012199C" w:rsidP="0012199C">
            <w:pPr>
              <w:pStyle w:val="0-"/>
            </w:pPr>
            <w:r w:rsidRPr="00EF3F30">
              <w:rPr>
                <w:rFonts w:hint="eastAsia"/>
              </w:rPr>
              <w:t>太空發展法第二條條文修正草案</w:t>
            </w:r>
          </w:p>
          <w:p w:rsidR="0012199C" w:rsidRPr="00EF3F30" w:rsidRDefault="0012199C" w:rsidP="0012199C">
            <w:pPr>
              <w:pStyle w:val="0-"/>
            </w:pPr>
            <w:r w:rsidRPr="00EF3F30">
              <w:rPr>
                <w:rFonts w:hint="eastAsia"/>
              </w:rPr>
              <w:t>(委員萬美玲等19人)</w:t>
            </w:r>
          </w:p>
        </w:tc>
        <w:tc>
          <w:tcPr>
            <w:tcW w:w="808" w:type="pct"/>
            <w:tcBorders>
              <w:top w:val="single" w:sz="4" w:space="0" w:color="auto"/>
              <w:left w:val="single" w:sz="4" w:space="0" w:color="auto"/>
              <w:bottom w:val="single" w:sz="4" w:space="0" w:color="auto"/>
              <w:right w:val="single" w:sz="4" w:space="0" w:color="auto"/>
            </w:tcBorders>
          </w:tcPr>
          <w:p w:rsidR="0012199C" w:rsidRPr="00EF3F30" w:rsidRDefault="0012199C" w:rsidP="0012199C">
            <w:pPr>
              <w:pStyle w:val="0-"/>
            </w:pPr>
            <w:r w:rsidRPr="00EF3F30">
              <w:t>10-5-6</w:t>
            </w:r>
          </w:p>
          <w:p w:rsidR="0012199C" w:rsidRPr="00EF3F30" w:rsidRDefault="0012199C" w:rsidP="0012199C">
            <w:pPr>
              <w:pStyle w:val="0-"/>
            </w:pPr>
            <w:r w:rsidRPr="00EF3F30">
              <w:t>(111.4.1)</w:t>
            </w:r>
          </w:p>
        </w:tc>
        <w:tc>
          <w:tcPr>
            <w:tcW w:w="539" w:type="pct"/>
            <w:tcBorders>
              <w:top w:val="single" w:sz="4" w:space="0" w:color="auto"/>
              <w:left w:val="single" w:sz="4" w:space="0" w:color="auto"/>
              <w:bottom w:val="single" w:sz="4" w:space="0" w:color="auto"/>
              <w:right w:val="single" w:sz="4" w:space="0" w:color="auto"/>
            </w:tcBorders>
          </w:tcPr>
          <w:p w:rsidR="0012199C" w:rsidRPr="00EF3F30" w:rsidRDefault="0012199C" w:rsidP="0012199C">
            <w:pPr>
              <w:rPr>
                <w:rFonts w:eastAsia="華康楷書體W5"/>
                <w:color w:val="000000"/>
                <w:sz w:val="28"/>
              </w:rPr>
            </w:pPr>
          </w:p>
        </w:tc>
        <w:tc>
          <w:tcPr>
            <w:tcW w:w="981" w:type="pct"/>
            <w:tcBorders>
              <w:top w:val="single" w:sz="4" w:space="0" w:color="auto"/>
              <w:left w:val="single" w:sz="4" w:space="0" w:color="auto"/>
              <w:bottom w:val="single" w:sz="4" w:space="0" w:color="auto"/>
              <w:right w:val="single" w:sz="4" w:space="0" w:color="auto"/>
            </w:tcBorders>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Borders>
              <w:top w:val="single" w:sz="4" w:space="0" w:color="auto"/>
              <w:left w:val="single" w:sz="4" w:space="0" w:color="auto"/>
              <w:bottom w:val="single" w:sz="4" w:space="0" w:color="auto"/>
              <w:right w:val="single" w:sz="4" w:space="0" w:color="auto"/>
            </w:tcBorders>
          </w:tcPr>
          <w:p w:rsidR="0012199C" w:rsidRPr="00EF3F30" w:rsidRDefault="0012199C" w:rsidP="0012199C">
            <w:pPr>
              <w:pStyle w:val="0-"/>
            </w:pPr>
            <w:r w:rsidRPr="00EF3F30">
              <w:rPr>
                <w:rFonts w:hint="eastAsia"/>
              </w:rPr>
              <w:t>現行「太空發展法」第二條之主管機關尚未修正，為使法律完備。(1條)</w:t>
            </w:r>
          </w:p>
        </w:tc>
      </w:tr>
      <w:tr w:rsidR="0012199C" w:rsidRPr="003D69B8"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rsidR="0012199C" w:rsidRPr="000946A8" w:rsidRDefault="0012199C" w:rsidP="0012199C">
            <w:pPr>
              <w:pStyle w:val="0-"/>
            </w:pPr>
            <w:r w:rsidRPr="000946A8">
              <w:rPr>
                <w:rFonts w:hint="eastAsia"/>
              </w:rPr>
              <w:t>太空發展法第二條條文修正草案</w:t>
            </w:r>
          </w:p>
          <w:p w:rsidR="0012199C" w:rsidRPr="000946A8" w:rsidRDefault="0012199C" w:rsidP="0012199C">
            <w:pPr>
              <w:pStyle w:val="0-"/>
            </w:pPr>
            <w:r w:rsidRPr="000946A8">
              <w:rPr>
                <w:rFonts w:hint="eastAsia"/>
              </w:rPr>
              <w:t>(委員謝衣鳯等</w:t>
            </w:r>
            <w:r w:rsidRPr="000946A8">
              <w:t>19</w:t>
            </w:r>
            <w:r w:rsidRPr="000946A8">
              <w:rPr>
                <w:rFonts w:hint="eastAsia"/>
              </w:rPr>
              <w:t>人)</w:t>
            </w:r>
          </w:p>
        </w:tc>
        <w:tc>
          <w:tcPr>
            <w:tcW w:w="808" w:type="pct"/>
            <w:tcBorders>
              <w:top w:val="single" w:sz="4" w:space="0" w:color="auto"/>
              <w:left w:val="single" w:sz="4" w:space="0" w:color="auto"/>
              <w:bottom w:val="single" w:sz="4" w:space="0" w:color="auto"/>
              <w:right w:val="single" w:sz="4" w:space="0" w:color="auto"/>
            </w:tcBorders>
          </w:tcPr>
          <w:p w:rsidR="0012199C" w:rsidRPr="000946A8" w:rsidRDefault="0012199C" w:rsidP="0012199C">
            <w:pPr>
              <w:pStyle w:val="0-"/>
            </w:pPr>
            <w:r w:rsidRPr="000946A8">
              <w:t>10-5-14</w:t>
            </w:r>
          </w:p>
          <w:p w:rsidR="0012199C" w:rsidRPr="000946A8" w:rsidRDefault="0012199C" w:rsidP="0012199C">
            <w:pPr>
              <w:pStyle w:val="0-"/>
            </w:pPr>
            <w:r w:rsidRPr="000946A8">
              <w:t>(111.5.</w:t>
            </w:r>
            <w:r w:rsidRPr="000946A8">
              <w:rPr>
                <w:rFonts w:hint="eastAsia"/>
              </w:rPr>
              <w:t>27</w:t>
            </w:r>
            <w:r w:rsidRPr="000946A8">
              <w:t>)</w:t>
            </w:r>
          </w:p>
        </w:tc>
        <w:tc>
          <w:tcPr>
            <w:tcW w:w="539" w:type="pct"/>
            <w:tcBorders>
              <w:top w:val="single" w:sz="4" w:space="0" w:color="auto"/>
              <w:left w:val="single" w:sz="4" w:space="0" w:color="auto"/>
              <w:bottom w:val="single" w:sz="4" w:space="0" w:color="auto"/>
              <w:right w:val="single" w:sz="4" w:space="0" w:color="auto"/>
            </w:tcBorders>
          </w:tcPr>
          <w:p w:rsidR="0012199C" w:rsidRPr="000946A8" w:rsidRDefault="0012199C" w:rsidP="0012199C">
            <w:pPr>
              <w:rPr>
                <w:rFonts w:eastAsia="華康楷書體W5"/>
                <w:color w:val="000000"/>
                <w:sz w:val="28"/>
              </w:rPr>
            </w:pPr>
          </w:p>
        </w:tc>
        <w:tc>
          <w:tcPr>
            <w:tcW w:w="981" w:type="pct"/>
            <w:tcBorders>
              <w:top w:val="single" w:sz="4" w:space="0" w:color="auto"/>
              <w:left w:val="single" w:sz="4" w:space="0" w:color="auto"/>
              <w:bottom w:val="single" w:sz="4" w:space="0" w:color="auto"/>
              <w:right w:val="single" w:sz="4" w:space="0" w:color="auto"/>
            </w:tcBorders>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Borders>
              <w:top w:val="single" w:sz="4" w:space="0" w:color="auto"/>
              <w:left w:val="single" w:sz="4" w:space="0" w:color="auto"/>
              <w:bottom w:val="single" w:sz="4" w:space="0" w:color="auto"/>
              <w:right w:val="single" w:sz="4" w:space="0" w:color="auto"/>
            </w:tcBorders>
          </w:tcPr>
          <w:p w:rsidR="0012199C" w:rsidRPr="000946A8" w:rsidRDefault="0012199C" w:rsidP="0012199C">
            <w:pPr>
              <w:pStyle w:val="0-"/>
            </w:pPr>
            <w:r w:rsidRPr="000946A8">
              <w:rPr>
                <w:rFonts w:hint="eastAsia"/>
              </w:rPr>
              <w:t>為使法律完備，將主管機關更改為國家科學及技術委員會。(1條)</w:t>
            </w:r>
          </w:p>
        </w:tc>
      </w:tr>
      <w:tr w:rsidR="0012199C" w:rsidRPr="003D69B8"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rsidR="0012199C" w:rsidRPr="007B5B67" w:rsidRDefault="0012199C" w:rsidP="0012199C">
            <w:pPr>
              <w:pStyle w:val="0-"/>
            </w:pPr>
            <w:r w:rsidRPr="007B5B67">
              <w:rPr>
                <w:rFonts w:hint="eastAsia"/>
              </w:rPr>
              <w:t>太空發展法第二條條文修正草案</w:t>
            </w:r>
          </w:p>
          <w:p w:rsidR="0012199C" w:rsidRPr="007B5B67" w:rsidRDefault="0012199C" w:rsidP="0012199C">
            <w:pPr>
              <w:pStyle w:val="0-"/>
            </w:pPr>
            <w:r w:rsidRPr="007B5B67">
              <w:rPr>
                <w:rFonts w:hint="eastAsia"/>
              </w:rPr>
              <w:t>(委員陳明文等20人)</w:t>
            </w:r>
          </w:p>
        </w:tc>
        <w:tc>
          <w:tcPr>
            <w:tcW w:w="808" w:type="pct"/>
            <w:tcBorders>
              <w:top w:val="single" w:sz="4" w:space="0" w:color="auto"/>
              <w:left w:val="single" w:sz="4" w:space="0" w:color="auto"/>
              <w:bottom w:val="single" w:sz="4" w:space="0" w:color="auto"/>
              <w:right w:val="single" w:sz="4" w:space="0" w:color="auto"/>
            </w:tcBorders>
          </w:tcPr>
          <w:p w:rsidR="0012199C" w:rsidRPr="007B5B67" w:rsidRDefault="0012199C" w:rsidP="0012199C">
            <w:pPr>
              <w:pStyle w:val="0-"/>
            </w:pPr>
            <w:r w:rsidRPr="007B5B67">
              <w:t>10-6-3</w:t>
            </w:r>
          </w:p>
          <w:p w:rsidR="0012199C" w:rsidRPr="007B5B67" w:rsidRDefault="0012199C" w:rsidP="0012199C">
            <w:pPr>
              <w:pStyle w:val="0-"/>
            </w:pPr>
            <w:r w:rsidRPr="007B5B67">
              <w:t>(111.10.7)</w:t>
            </w:r>
          </w:p>
          <w:p w:rsidR="0012199C" w:rsidRPr="007B5B67" w:rsidRDefault="0012199C" w:rsidP="0012199C">
            <w:pPr>
              <w:pStyle w:val="0-"/>
            </w:pPr>
          </w:p>
        </w:tc>
        <w:tc>
          <w:tcPr>
            <w:tcW w:w="539" w:type="pct"/>
            <w:tcBorders>
              <w:top w:val="single" w:sz="4" w:space="0" w:color="auto"/>
              <w:left w:val="single" w:sz="4" w:space="0" w:color="auto"/>
              <w:bottom w:val="single" w:sz="4" w:space="0" w:color="auto"/>
              <w:right w:val="single" w:sz="4" w:space="0" w:color="auto"/>
            </w:tcBorders>
          </w:tcPr>
          <w:p w:rsidR="0012199C" w:rsidRPr="007B5B67" w:rsidRDefault="0012199C" w:rsidP="0012199C">
            <w:pPr>
              <w:rPr>
                <w:rFonts w:eastAsia="華康楷書體W5"/>
                <w:color w:val="000000"/>
                <w:sz w:val="28"/>
              </w:rPr>
            </w:pPr>
          </w:p>
        </w:tc>
        <w:tc>
          <w:tcPr>
            <w:tcW w:w="981" w:type="pct"/>
            <w:tcBorders>
              <w:top w:val="single" w:sz="4" w:space="0" w:color="auto"/>
              <w:left w:val="single" w:sz="4" w:space="0" w:color="auto"/>
              <w:bottom w:val="single" w:sz="4" w:space="0" w:color="auto"/>
              <w:right w:val="single" w:sz="4" w:space="0" w:color="auto"/>
            </w:tcBorders>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Borders>
              <w:top w:val="single" w:sz="4" w:space="0" w:color="auto"/>
              <w:left w:val="single" w:sz="4" w:space="0" w:color="auto"/>
              <w:bottom w:val="single" w:sz="4" w:space="0" w:color="auto"/>
              <w:right w:val="single" w:sz="4" w:space="0" w:color="auto"/>
            </w:tcBorders>
          </w:tcPr>
          <w:p w:rsidR="0012199C" w:rsidRPr="007B5B67" w:rsidRDefault="0012199C" w:rsidP="0012199C">
            <w:pPr>
              <w:pStyle w:val="0-"/>
            </w:pPr>
            <w:r w:rsidRPr="007B5B67">
              <w:rPr>
                <w:rFonts w:hint="eastAsia"/>
              </w:rPr>
              <w:t>鑒於科技部已改制為國家科學及技術委員會，太空發展法的主管機關卻未隨之更改。(1條)</w:t>
            </w:r>
          </w:p>
        </w:tc>
      </w:tr>
      <w:tr w:rsidR="0012199C" w:rsidRPr="003D69B8"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rsidR="0012199C" w:rsidRPr="007B3632" w:rsidRDefault="0012199C" w:rsidP="0012199C">
            <w:pPr>
              <w:pStyle w:val="0-"/>
            </w:pPr>
            <w:r w:rsidRPr="007B3632">
              <w:rPr>
                <w:rFonts w:hint="eastAsia"/>
              </w:rPr>
              <w:t>太空發展法第二條條文修正草案</w:t>
            </w:r>
          </w:p>
          <w:p w:rsidR="0012199C" w:rsidRPr="007B3632" w:rsidRDefault="0012199C" w:rsidP="0012199C">
            <w:pPr>
              <w:pStyle w:val="0-"/>
            </w:pPr>
            <w:r w:rsidRPr="007B3632">
              <w:rPr>
                <w:rFonts w:hint="eastAsia"/>
              </w:rPr>
              <w:t>(委員陳秀寳等</w:t>
            </w:r>
            <w:r w:rsidRPr="007B3632">
              <w:t>21</w:t>
            </w:r>
            <w:r w:rsidRPr="007B3632">
              <w:rPr>
                <w:rFonts w:hint="eastAsia"/>
              </w:rPr>
              <w:t>人)</w:t>
            </w:r>
          </w:p>
        </w:tc>
        <w:tc>
          <w:tcPr>
            <w:tcW w:w="808" w:type="pct"/>
            <w:tcBorders>
              <w:top w:val="single" w:sz="4" w:space="0" w:color="auto"/>
              <w:left w:val="single" w:sz="4" w:space="0" w:color="auto"/>
              <w:bottom w:val="single" w:sz="4" w:space="0" w:color="auto"/>
              <w:right w:val="single" w:sz="4" w:space="0" w:color="auto"/>
            </w:tcBorders>
          </w:tcPr>
          <w:p w:rsidR="0012199C" w:rsidRPr="007B3632" w:rsidRDefault="0012199C" w:rsidP="0012199C">
            <w:pPr>
              <w:pStyle w:val="0-"/>
            </w:pPr>
            <w:r w:rsidRPr="007B3632">
              <w:t>10-6-4</w:t>
            </w:r>
          </w:p>
          <w:p w:rsidR="0012199C" w:rsidRPr="007B3632" w:rsidRDefault="0012199C" w:rsidP="0012199C">
            <w:pPr>
              <w:pStyle w:val="0-"/>
            </w:pPr>
            <w:r w:rsidRPr="007B3632">
              <w:t>(</w:t>
            </w:r>
            <w:r w:rsidRPr="0012199C">
              <w:rPr>
                <w:spacing w:val="-20"/>
              </w:rPr>
              <w:t>111.10.14</w:t>
            </w:r>
            <w:r w:rsidRPr="007B3632">
              <w:t>)</w:t>
            </w:r>
          </w:p>
        </w:tc>
        <w:tc>
          <w:tcPr>
            <w:tcW w:w="539" w:type="pct"/>
            <w:tcBorders>
              <w:top w:val="single" w:sz="4" w:space="0" w:color="auto"/>
              <w:left w:val="single" w:sz="4" w:space="0" w:color="auto"/>
              <w:bottom w:val="single" w:sz="4" w:space="0" w:color="auto"/>
              <w:right w:val="single" w:sz="4" w:space="0" w:color="auto"/>
            </w:tcBorders>
          </w:tcPr>
          <w:p w:rsidR="0012199C" w:rsidRPr="007B3632" w:rsidRDefault="0012199C" w:rsidP="0012199C">
            <w:pPr>
              <w:rPr>
                <w:rFonts w:eastAsia="華康楷書體W5"/>
                <w:color w:val="000000"/>
                <w:sz w:val="28"/>
              </w:rPr>
            </w:pPr>
          </w:p>
        </w:tc>
        <w:tc>
          <w:tcPr>
            <w:tcW w:w="981" w:type="pct"/>
            <w:tcBorders>
              <w:top w:val="single" w:sz="4" w:space="0" w:color="auto"/>
              <w:left w:val="single" w:sz="4" w:space="0" w:color="auto"/>
              <w:bottom w:val="single" w:sz="4" w:space="0" w:color="auto"/>
              <w:right w:val="single" w:sz="4" w:space="0" w:color="auto"/>
            </w:tcBorders>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Borders>
              <w:top w:val="single" w:sz="4" w:space="0" w:color="auto"/>
              <w:left w:val="single" w:sz="4" w:space="0" w:color="auto"/>
              <w:bottom w:val="single" w:sz="4" w:space="0" w:color="auto"/>
              <w:right w:val="single" w:sz="4" w:space="0" w:color="auto"/>
            </w:tcBorders>
          </w:tcPr>
          <w:p w:rsidR="0012199C" w:rsidRPr="007B3632" w:rsidRDefault="0012199C" w:rsidP="0012199C">
            <w:pPr>
              <w:pStyle w:val="0-"/>
            </w:pPr>
            <w:r w:rsidRPr="007B3632">
              <w:rPr>
                <w:rFonts w:hint="eastAsia"/>
              </w:rPr>
              <w:t>為促進我國太空活動及太空產業之發展，提高國民生活福祉。(1條)</w:t>
            </w:r>
          </w:p>
        </w:tc>
      </w:tr>
      <w:tr w:rsidR="0012199C" w:rsidRPr="003D69B8"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rsidR="0012199C" w:rsidRPr="00C77949" w:rsidRDefault="0012199C" w:rsidP="0012199C">
            <w:pPr>
              <w:pStyle w:val="0-"/>
            </w:pPr>
            <w:r w:rsidRPr="00C77949">
              <w:rPr>
                <w:rFonts w:hint="eastAsia"/>
              </w:rPr>
              <w:t>太空發展法第二條條文修正草案</w:t>
            </w:r>
          </w:p>
          <w:p w:rsidR="0012199C" w:rsidRPr="00C77949" w:rsidRDefault="0012199C" w:rsidP="0012199C">
            <w:pPr>
              <w:pStyle w:val="0-"/>
            </w:pPr>
            <w:r w:rsidRPr="00C77949">
              <w:rPr>
                <w:rFonts w:hint="eastAsia"/>
              </w:rPr>
              <w:t>(</w:t>
            </w:r>
            <w:r w:rsidRPr="0012199C">
              <w:rPr>
                <w:rFonts w:hint="eastAsia"/>
                <w:spacing w:val="-20"/>
              </w:rPr>
              <w:t>委員張廖萬堅等17人</w:t>
            </w:r>
            <w:r w:rsidRPr="00C77949">
              <w:rPr>
                <w:rFonts w:hint="eastAsia"/>
              </w:rPr>
              <w:t>)</w:t>
            </w:r>
          </w:p>
        </w:tc>
        <w:tc>
          <w:tcPr>
            <w:tcW w:w="808" w:type="pct"/>
            <w:tcBorders>
              <w:top w:val="single" w:sz="4" w:space="0" w:color="auto"/>
              <w:left w:val="single" w:sz="4" w:space="0" w:color="auto"/>
              <w:bottom w:val="single" w:sz="4" w:space="0" w:color="auto"/>
              <w:right w:val="single" w:sz="4" w:space="0" w:color="auto"/>
            </w:tcBorders>
          </w:tcPr>
          <w:p w:rsidR="0012199C" w:rsidRPr="00C77949" w:rsidRDefault="0012199C" w:rsidP="0012199C">
            <w:pPr>
              <w:pStyle w:val="0-"/>
            </w:pPr>
            <w:r w:rsidRPr="00C77949">
              <w:t>10-6-5</w:t>
            </w:r>
          </w:p>
          <w:p w:rsidR="0012199C" w:rsidRPr="00C77949" w:rsidRDefault="0012199C" w:rsidP="0012199C">
            <w:pPr>
              <w:pStyle w:val="0-"/>
            </w:pPr>
            <w:r w:rsidRPr="00C77949">
              <w:t>(</w:t>
            </w:r>
            <w:r w:rsidRPr="0012199C">
              <w:rPr>
                <w:spacing w:val="-20"/>
              </w:rPr>
              <w:t>111.10.28</w:t>
            </w:r>
            <w:r w:rsidRPr="00C77949">
              <w:t>)</w:t>
            </w:r>
          </w:p>
        </w:tc>
        <w:tc>
          <w:tcPr>
            <w:tcW w:w="539" w:type="pct"/>
            <w:tcBorders>
              <w:top w:val="single" w:sz="4" w:space="0" w:color="auto"/>
              <w:left w:val="single" w:sz="4" w:space="0" w:color="auto"/>
              <w:bottom w:val="single" w:sz="4" w:space="0" w:color="auto"/>
              <w:right w:val="single" w:sz="4" w:space="0" w:color="auto"/>
            </w:tcBorders>
          </w:tcPr>
          <w:p w:rsidR="0012199C" w:rsidRPr="00C77949" w:rsidRDefault="0012199C" w:rsidP="0012199C">
            <w:pPr>
              <w:rPr>
                <w:rFonts w:eastAsia="華康楷書體W5"/>
                <w:color w:val="000000"/>
                <w:sz w:val="28"/>
              </w:rPr>
            </w:pPr>
          </w:p>
        </w:tc>
        <w:tc>
          <w:tcPr>
            <w:tcW w:w="981" w:type="pct"/>
            <w:tcBorders>
              <w:top w:val="single" w:sz="4" w:space="0" w:color="auto"/>
              <w:left w:val="single" w:sz="4" w:space="0" w:color="auto"/>
              <w:bottom w:val="single" w:sz="4" w:space="0" w:color="auto"/>
              <w:right w:val="single" w:sz="4" w:space="0" w:color="auto"/>
            </w:tcBorders>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Borders>
              <w:top w:val="single" w:sz="4" w:space="0" w:color="auto"/>
              <w:left w:val="single" w:sz="4" w:space="0" w:color="auto"/>
              <w:bottom w:val="single" w:sz="4" w:space="0" w:color="auto"/>
              <w:right w:val="single" w:sz="4" w:space="0" w:color="auto"/>
            </w:tcBorders>
          </w:tcPr>
          <w:p w:rsidR="0012199C" w:rsidRPr="00C77949" w:rsidRDefault="0012199C" w:rsidP="0012199C">
            <w:pPr>
              <w:pStyle w:val="0-"/>
            </w:pPr>
            <w:r w:rsidRPr="00C77949">
              <w:rPr>
                <w:rFonts w:hint="eastAsia"/>
              </w:rPr>
              <w:t>太空發展法當中有關主管機關的條文，尚未配合進行相應之調整。(1條)</w:t>
            </w:r>
          </w:p>
        </w:tc>
      </w:tr>
      <w:tr w:rsidR="0012199C" w:rsidRPr="003D69B8"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rsidR="0012199C" w:rsidRPr="00C77949" w:rsidRDefault="0012199C" w:rsidP="0012199C">
            <w:pPr>
              <w:pStyle w:val="0-"/>
            </w:pPr>
            <w:r w:rsidRPr="00C77949">
              <w:rPr>
                <w:rFonts w:hint="eastAsia"/>
              </w:rPr>
              <w:t>太空發展法第二條條文修正草案</w:t>
            </w:r>
          </w:p>
          <w:p w:rsidR="0012199C" w:rsidRPr="00C77949" w:rsidRDefault="0012199C" w:rsidP="0012199C">
            <w:pPr>
              <w:pStyle w:val="0-"/>
            </w:pPr>
            <w:r w:rsidRPr="00C77949">
              <w:rPr>
                <w:rFonts w:hint="eastAsia"/>
              </w:rPr>
              <w:t>(時代力量黨團)</w:t>
            </w:r>
          </w:p>
        </w:tc>
        <w:tc>
          <w:tcPr>
            <w:tcW w:w="808" w:type="pct"/>
            <w:tcBorders>
              <w:top w:val="single" w:sz="4" w:space="0" w:color="auto"/>
              <w:left w:val="single" w:sz="4" w:space="0" w:color="auto"/>
              <w:bottom w:val="single" w:sz="4" w:space="0" w:color="auto"/>
              <w:right w:val="single" w:sz="4" w:space="0" w:color="auto"/>
            </w:tcBorders>
          </w:tcPr>
          <w:p w:rsidR="0012199C" w:rsidRPr="00C77949" w:rsidRDefault="0012199C" w:rsidP="0012199C">
            <w:pPr>
              <w:pStyle w:val="0-"/>
            </w:pPr>
            <w:r w:rsidRPr="00C77949">
              <w:t>10-6-5</w:t>
            </w:r>
          </w:p>
          <w:p w:rsidR="0012199C" w:rsidRPr="00C77949" w:rsidRDefault="0012199C" w:rsidP="0012199C">
            <w:pPr>
              <w:pStyle w:val="0-"/>
            </w:pPr>
            <w:r w:rsidRPr="00C77949">
              <w:t>(</w:t>
            </w:r>
            <w:r w:rsidRPr="0012199C">
              <w:rPr>
                <w:spacing w:val="-20"/>
              </w:rPr>
              <w:t>111.10.28</w:t>
            </w:r>
            <w:r w:rsidRPr="00C77949">
              <w:t>)</w:t>
            </w:r>
          </w:p>
        </w:tc>
        <w:tc>
          <w:tcPr>
            <w:tcW w:w="539" w:type="pct"/>
            <w:tcBorders>
              <w:top w:val="single" w:sz="4" w:space="0" w:color="auto"/>
              <w:left w:val="single" w:sz="4" w:space="0" w:color="auto"/>
              <w:bottom w:val="single" w:sz="4" w:space="0" w:color="auto"/>
              <w:right w:val="single" w:sz="4" w:space="0" w:color="auto"/>
            </w:tcBorders>
          </w:tcPr>
          <w:p w:rsidR="0012199C" w:rsidRPr="00C77949" w:rsidRDefault="0012199C" w:rsidP="0012199C">
            <w:pPr>
              <w:rPr>
                <w:rFonts w:eastAsia="華康楷書體W5"/>
                <w:color w:val="000000"/>
                <w:sz w:val="28"/>
              </w:rPr>
            </w:pPr>
          </w:p>
        </w:tc>
        <w:tc>
          <w:tcPr>
            <w:tcW w:w="981" w:type="pct"/>
            <w:tcBorders>
              <w:top w:val="single" w:sz="4" w:space="0" w:color="auto"/>
              <w:left w:val="single" w:sz="4" w:space="0" w:color="auto"/>
              <w:bottom w:val="single" w:sz="4" w:space="0" w:color="auto"/>
              <w:right w:val="single" w:sz="4" w:space="0" w:color="auto"/>
            </w:tcBorders>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Borders>
              <w:top w:val="single" w:sz="4" w:space="0" w:color="auto"/>
              <w:left w:val="single" w:sz="4" w:space="0" w:color="auto"/>
              <w:bottom w:val="single" w:sz="4" w:space="0" w:color="auto"/>
              <w:right w:val="single" w:sz="4" w:space="0" w:color="auto"/>
            </w:tcBorders>
          </w:tcPr>
          <w:p w:rsidR="0012199C" w:rsidRPr="00C77949" w:rsidRDefault="0012199C" w:rsidP="0012199C">
            <w:pPr>
              <w:pStyle w:val="0-"/>
            </w:pPr>
            <w:r w:rsidRPr="00C77949">
              <w:rPr>
                <w:rFonts w:hint="eastAsia"/>
              </w:rPr>
              <w:t>科技部已正式更名為國家科學及技術委員會。(1條)</w:t>
            </w:r>
          </w:p>
        </w:tc>
      </w:tr>
      <w:tr w:rsidR="0012199C" w:rsidRPr="003D69B8"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rsidR="0012199C" w:rsidRPr="00E47B5F" w:rsidRDefault="0012199C" w:rsidP="0012199C">
            <w:pPr>
              <w:pStyle w:val="0-"/>
            </w:pPr>
            <w:r w:rsidRPr="00E47B5F">
              <w:rPr>
                <w:rFonts w:hint="eastAsia"/>
              </w:rPr>
              <w:t>太空發展法第二條條文修正草案</w:t>
            </w:r>
          </w:p>
          <w:p w:rsidR="0012199C" w:rsidRPr="00E47B5F" w:rsidRDefault="0012199C" w:rsidP="0012199C">
            <w:pPr>
              <w:pStyle w:val="0-"/>
            </w:pPr>
            <w:r w:rsidRPr="00E47B5F">
              <w:rPr>
                <w:rFonts w:hint="eastAsia"/>
              </w:rPr>
              <w:t>(委員吳思瑤等</w:t>
            </w:r>
            <w:r w:rsidRPr="00E47B5F">
              <w:t>17</w:t>
            </w:r>
            <w:r w:rsidRPr="00E47B5F">
              <w:rPr>
                <w:rFonts w:hint="eastAsia"/>
              </w:rPr>
              <w:t>人)</w:t>
            </w:r>
          </w:p>
        </w:tc>
        <w:tc>
          <w:tcPr>
            <w:tcW w:w="808" w:type="pct"/>
            <w:tcBorders>
              <w:top w:val="single" w:sz="4" w:space="0" w:color="auto"/>
              <w:left w:val="single" w:sz="4" w:space="0" w:color="auto"/>
              <w:bottom w:val="single" w:sz="4" w:space="0" w:color="auto"/>
              <w:right w:val="single" w:sz="4" w:space="0" w:color="auto"/>
            </w:tcBorders>
          </w:tcPr>
          <w:p w:rsidR="0012199C" w:rsidRPr="00E47B5F" w:rsidRDefault="0012199C" w:rsidP="0012199C">
            <w:pPr>
              <w:pStyle w:val="0-"/>
            </w:pPr>
            <w:r w:rsidRPr="00E47B5F">
              <w:t>10-6-7</w:t>
            </w:r>
          </w:p>
          <w:p w:rsidR="0012199C" w:rsidRPr="00E47B5F" w:rsidRDefault="0012199C" w:rsidP="0012199C">
            <w:pPr>
              <w:pStyle w:val="0-"/>
            </w:pPr>
            <w:r w:rsidRPr="00E47B5F">
              <w:t>(</w:t>
            </w:r>
            <w:r w:rsidRPr="0012199C">
              <w:rPr>
                <w:spacing w:val="-20"/>
              </w:rPr>
              <w:t>111.11.11</w:t>
            </w:r>
            <w:r w:rsidRPr="00E47B5F">
              <w:t>)</w:t>
            </w:r>
          </w:p>
        </w:tc>
        <w:tc>
          <w:tcPr>
            <w:tcW w:w="539" w:type="pct"/>
            <w:tcBorders>
              <w:top w:val="single" w:sz="4" w:space="0" w:color="auto"/>
              <w:left w:val="single" w:sz="4" w:space="0" w:color="auto"/>
              <w:bottom w:val="single" w:sz="4" w:space="0" w:color="auto"/>
              <w:right w:val="single" w:sz="4" w:space="0" w:color="auto"/>
            </w:tcBorders>
          </w:tcPr>
          <w:p w:rsidR="0012199C" w:rsidRPr="00E47B5F" w:rsidRDefault="0012199C" w:rsidP="0012199C">
            <w:pPr>
              <w:rPr>
                <w:rFonts w:eastAsia="華康楷書體W5"/>
                <w:color w:val="000000"/>
                <w:sz w:val="28"/>
              </w:rPr>
            </w:pPr>
          </w:p>
        </w:tc>
        <w:tc>
          <w:tcPr>
            <w:tcW w:w="981" w:type="pct"/>
            <w:tcBorders>
              <w:top w:val="single" w:sz="4" w:space="0" w:color="auto"/>
              <w:left w:val="single" w:sz="4" w:space="0" w:color="auto"/>
              <w:bottom w:val="single" w:sz="4" w:space="0" w:color="auto"/>
              <w:right w:val="single" w:sz="4" w:space="0" w:color="auto"/>
            </w:tcBorders>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Borders>
              <w:top w:val="single" w:sz="4" w:space="0" w:color="auto"/>
              <w:left w:val="single" w:sz="4" w:space="0" w:color="auto"/>
              <w:bottom w:val="single" w:sz="4" w:space="0" w:color="auto"/>
              <w:right w:val="single" w:sz="4" w:space="0" w:color="auto"/>
            </w:tcBorders>
          </w:tcPr>
          <w:p w:rsidR="0012199C" w:rsidRPr="00E47B5F" w:rsidRDefault="0012199C" w:rsidP="0012199C">
            <w:pPr>
              <w:pStyle w:val="0-"/>
            </w:pPr>
            <w:r w:rsidRPr="00E47B5F">
              <w:rPr>
                <w:rFonts w:hint="eastAsia"/>
              </w:rPr>
              <w:t>本法有關主管機關之規定尚未有配合相應之調整。是故，為符合法制體例。(1條)</w:t>
            </w:r>
          </w:p>
        </w:tc>
      </w:tr>
      <w:tr w:rsidR="0012199C" w:rsidRPr="003D69B8"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rsidR="0012199C" w:rsidRPr="00E47B5F" w:rsidRDefault="0012199C" w:rsidP="0012199C">
            <w:pPr>
              <w:pStyle w:val="0-"/>
            </w:pPr>
            <w:r w:rsidRPr="00E47B5F">
              <w:rPr>
                <w:rFonts w:hint="eastAsia"/>
              </w:rPr>
              <w:t>太空發展法第二條條文修正草案」</w:t>
            </w:r>
          </w:p>
          <w:p w:rsidR="0012199C" w:rsidRPr="00E47B5F" w:rsidRDefault="0012199C" w:rsidP="0012199C">
            <w:pPr>
              <w:pStyle w:val="0-"/>
            </w:pPr>
            <w:r w:rsidRPr="00E47B5F">
              <w:rPr>
                <w:rFonts w:hint="eastAsia"/>
              </w:rPr>
              <w:t>(委員林宜瑾等21人</w:t>
            </w:r>
            <w:r w:rsidRPr="00E47B5F">
              <w:t>)</w:t>
            </w:r>
          </w:p>
        </w:tc>
        <w:tc>
          <w:tcPr>
            <w:tcW w:w="808" w:type="pct"/>
            <w:tcBorders>
              <w:top w:val="single" w:sz="4" w:space="0" w:color="auto"/>
              <w:left w:val="single" w:sz="4" w:space="0" w:color="auto"/>
              <w:bottom w:val="single" w:sz="4" w:space="0" w:color="auto"/>
              <w:right w:val="single" w:sz="4" w:space="0" w:color="auto"/>
            </w:tcBorders>
          </w:tcPr>
          <w:p w:rsidR="0012199C" w:rsidRPr="00E47B5F" w:rsidRDefault="0012199C" w:rsidP="0012199C">
            <w:pPr>
              <w:pStyle w:val="0-"/>
            </w:pPr>
            <w:r w:rsidRPr="00E47B5F">
              <w:t>10-6-7</w:t>
            </w:r>
          </w:p>
          <w:p w:rsidR="0012199C" w:rsidRPr="00E47B5F" w:rsidRDefault="0012199C" w:rsidP="0012199C">
            <w:pPr>
              <w:pStyle w:val="0-"/>
            </w:pPr>
            <w:r w:rsidRPr="00E47B5F">
              <w:t>(</w:t>
            </w:r>
            <w:r w:rsidRPr="0012199C">
              <w:rPr>
                <w:spacing w:val="-20"/>
              </w:rPr>
              <w:t>111.11.11</w:t>
            </w:r>
            <w:r w:rsidRPr="00E47B5F">
              <w:t>)</w:t>
            </w:r>
          </w:p>
        </w:tc>
        <w:tc>
          <w:tcPr>
            <w:tcW w:w="539" w:type="pct"/>
            <w:tcBorders>
              <w:top w:val="single" w:sz="4" w:space="0" w:color="auto"/>
              <w:left w:val="single" w:sz="4" w:space="0" w:color="auto"/>
              <w:bottom w:val="single" w:sz="4" w:space="0" w:color="auto"/>
              <w:right w:val="single" w:sz="4" w:space="0" w:color="auto"/>
            </w:tcBorders>
          </w:tcPr>
          <w:p w:rsidR="0012199C" w:rsidRPr="00E47B5F" w:rsidRDefault="0012199C" w:rsidP="0012199C">
            <w:pPr>
              <w:rPr>
                <w:rFonts w:eastAsia="華康楷書體W5"/>
                <w:color w:val="000000"/>
                <w:sz w:val="28"/>
              </w:rPr>
            </w:pPr>
          </w:p>
        </w:tc>
        <w:tc>
          <w:tcPr>
            <w:tcW w:w="981" w:type="pct"/>
            <w:tcBorders>
              <w:top w:val="single" w:sz="4" w:space="0" w:color="auto"/>
              <w:left w:val="single" w:sz="4" w:space="0" w:color="auto"/>
              <w:bottom w:val="single" w:sz="4" w:space="0" w:color="auto"/>
              <w:right w:val="single" w:sz="4" w:space="0" w:color="auto"/>
            </w:tcBorders>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Borders>
              <w:top w:val="single" w:sz="4" w:space="0" w:color="auto"/>
              <w:left w:val="single" w:sz="4" w:space="0" w:color="auto"/>
              <w:bottom w:val="single" w:sz="4" w:space="0" w:color="auto"/>
              <w:right w:val="single" w:sz="4" w:space="0" w:color="auto"/>
            </w:tcBorders>
          </w:tcPr>
          <w:p w:rsidR="0012199C" w:rsidRPr="00E47B5F" w:rsidRDefault="0012199C" w:rsidP="0012199C">
            <w:pPr>
              <w:pStyle w:val="0-"/>
            </w:pPr>
            <w:r w:rsidRPr="00E47B5F">
              <w:rPr>
                <w:rFonts w:hint="eastAsia"/>
              </w:rPr>
              <w:t>然本法有關主管機關之規定尚未有配合相應之調整。是故，為符合法制體例。(1條)</w:t>
            </w:r>
          </w:p>
        </w:tc>
      </w:tr>
      <w:tr w:rsidR="0012199C" w:rsidRPr="003D69B8"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rsidR="0012199C" w:rsidRPr="00990ACA" w:rsidRDefault="0012199C" w:rsidP="0012199C">
            <w:pPr>
              <w:pStyle w:val="0-"/>
            </w:pPr>
            <w:r w:rsidRPr="00990ACA">
              <w:rPr>
                <w:rFonts w:hint="eastAsia"/>
              </w:rPr>
              <w:t>太空發展法第二條條文修正草案</w:t>
            </w:r>
          </w:p>
          <w:p w:rsidR="0012199C" w:rsidRPr="00990ACA" w:rsidRDefault="0012199C" w:rsidP="0012199C">
            <w:pPr>
              <w:pStyle w:val="0-"/>
            </w:pPr>
            <w:r w:rsidRPr="00990ACA">
              <w:rPr>
                <w:rFonts w:hint="eastAsia"/>
              </w:rPr>
              <w:t>(委員賴品妤等17人)</w:t>
            </w:r>
          </w:p>
        </w:tc>
        <w:tc>
          <w:tcPr>
            <w:tcW w:w="808" w:type="pct"/>
            <w:tcBorders>
              <w:top w:val="single" w:sz="4" w:space="0" w:color="auto"/>
              <w:left w:val="single" w:sz="4" w:space="0" w:color="auto"/>
              <w:bottom w:val="single" w:sz="4" w:space="0" w:color="auto"/>
              <w:right w:val="single" w:sz="4" w:space="0" w:color="auto"/>
            </w:tcBorders>
          </w:tcPr>
          <w:p w:rsidR="0012199C" w:rsidRPr="00990ACA" w:rsidRDefault="0012199C" w:rsidP="0012199C">
            <w:pPr>
              <w:pStyle w:val="0-"/>
            </w:pPr>
            <w:r w:rsidRPr="00990ACA">
              <w:t>10-6-13</w:t>
            </w:r>
          </w:p>
          <w:p w:rsidR="0012199C" w:rsidRPr="00990ACA" w:rsidRDefault="0012199C" w:rsidP="0012199C">
            <w:pPr>
              <w:pStyle w:val="0-"/>
            </w:pPr>
            <w:r w:rsidRPr="00990ACA">
              <w:t>(</w:t>
            </w:r>
            <w:r w:rsidRPr="0012199C">
              <w:rPr>
                <w:spacing w:val="-20"/>
              </w:rPr>
              <w:t>111.12.23</w:t>
            </w:r>
            <w:r w:rsidRPr="00990ACA">
              <w:t>)</w:t>
            </w:r>
          </w:p>
        </w:tc>
        <w:tc>
          <w:tcPr>
            <w:tcW w:w="539" w:type="pct"/>
            <w:tcBorders>
              <w:top w:val="single" w:sz="4" w:space="0" w:color="auto"/>
              <w:left w:val="single" w:sz="4" w:space="0" w:color="auto"/>
              <w:bottom w:val="single" w:sz="4" w:space="0" w:color="auto"/>
              <w:right w:val="single" w:sz="4" w:space="0" w:color="auto"/>
            </w:tcBorders>
          </w:tcPr>
          <w:p w:rsidR="0012199C" w:rsidRPr="00990ACA" w:rsidRDefault="0012199C" w:rsidP="0012199C">
            <w:pPr>
              <w:rPr>
                <w:rFonts w:eastAsia="華康楷書體W5"/>
                <w:color w:val="000000"/>
                <w:sz w:val="28"/>
              </w:rPr>
            </w:pPr>
          </w:p>
        </w:tc>
        <w:tc>
          <w:tcPr>
            <w:tcW w:w="981" w:type="pct"/>
            <w:tcBorders>
              <w:top w:val="single" w:sz="4" w:space="0" w:color="auto"/>
              <w:left w:val="single" w:sz="4" w:space="0" w:color="auto"/>
              <w:bottom w:val="single" w:sz="4" w:space="0" w:color="auto"/>
              <w:right w:val="single" w:sz="4" w:space="0" w:color="auto"/>
            </w:tcBorders>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Borders>
              <w:top w:val="single" w:sz="4" w:space="0" w:color="auto"/>
              <w:left w:val="single" w:sz="4" w:space="0" w:color="auto"/>
              <w:bottom w:val="single" w:sz="4" w:space="0" w:color="auto"/>
              <w:right w:val="single" w:sz="4" w:space="0" w:color="auto"/>
            </w:tcBorders>
          </w:tcPr>
          <w:p w:rsidR="0012199C" w:rsidRPr="00990ACA" w:rsidRDefault="0012199C" w:rsidP="0012199C">
            <w:pPr>
              <w:pStyle w:val="0-"/>
            </w:pPr>
            <w:r w:rsidRPr="00990ACA">
              <w:rPr>
                <w:rFonts w:hint="eastAsia"/>
              </w:rPr>
              <w:t>現行「太空發展法」之主管機關尚未修正，為求符合部會權責並使法制體例相符。(1條)</w:t>
            </w:r>
          </w:p>
        </w:tc>
      </w:tr>
      <w:tr w:rsidR="0012199C" w:rsidRPr="003D69B8"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rsidR="0012199C" w:rsidRPr="00EC299C" w:rsidRDefault="0012199C" w:rsidP="0012199C">
            <w:pPr>
              <w:pStyle w:val="0-"/>
            </w:pPr>
            <w:r w:rsidRPr="00EC299C">
              <w:rPr>
                <w:rFonts w:hint="eastAsia"/>
              </w:rPr>
              <w:t>財團法人國家同步輻射研究中心設置條例第四條、第五條及第七條條文修正草案</w:t>
            </w:r>
          </w:p>
          <w:p w:rsidR="0012199C" w:rsidRPr="00EC299C" w:rsidRDefault="0012199C" w:rsidP="0012199C">
            <w:pPr>
              <w:pStyle w:val="0-"/>
            </w:pPr>
            <w:r w:rsidRPr="00EC299C">
              <w:rPr>
                <w:rFonts w:hint="eastAsia"/>
              </w:rPr>
              <w:t>(委員林宜瑾等21人</w:t>
            </w:r>
            <w:r w:rsidRPr="00EC299C">
              <w:t>)</w:t>
            </w:r>
          </w:p>
        </w:tc>
        <w:tc>
          <w:tcPr>
            <w:tcW w:w="808" w:type="pct"/>
            <w:tcBorders>
              <w:top w:val="single" w:sz="4" w:space="0" w:color="auto"/>
              <w:left w:val="single" w:sz="4" w:space="0" w:color="auto"/>
              <w:bottom w:val="single" w:sz="4" w:space="0" w:color="auto"/>
              <w:right w:val="single" w:sz="4" w:space="0" w:color="auto"/>
            </w:tcBorders>
          </w:tcPr>
          <w:p w:rsidR="0012199C" w:rsidRPr="00EC299C" w:rsidRDefault="0012199C" w:rsidP="0012199C">
            <w:pPr>
              <w:pStyle w:val="0-"/>
            </w:pPr>
            <w:r w:rsidRPr="00EC299C">
              <w:t>10-5-5</w:t>
            </w:r>
          </w:p>
          <w:p w:rsidR="0012199C" w:rsidRPr="00EC299C" w:rsidRDefault="0012199C" w:rsidP="0012199C">
            <w:pPr>
              <w:pStyle w:val="0-"/>
            </w:pPr>
            <w:r w:rsidRPr="00EC299C">
              <w:t>(111.3.25)</w:t>
            </w:r>
          </w:p>
        </w:tc>
        <w:tc>
          <w:tcPr>
            <w:tcW w:w="539" w:type="pct"/>
            <w:tcBorders>
              <w:top w:val="single" w:sz="4" w:space="0" w:color="auto"/>
              <w:left w:val="single" w:sz="4" w:space="0" w:color="auto"/>
              <w:bottom w:val="single" w:sz="4" w:space="0" w:color="auto"/>
              <w:right w:val="single" w:sz="4" w:space="0" w:color="auto"/>
            </w:tcBorders>
          </w:tcPr>
          <w:p w:rsidR="0012199C" w:rsidRPr="00EC299C" w:rsidRDefault="0012199C" w:rsidP="0012199C">
            <w:pPr>
              <w:pStyle w:val="0-"/>
              <w:jc w:val="left"/>
            </w:pPr>
            <w:r w:rsidRPr="00EC299C">
              <w:rPr>
                <w:rFonts w:hint="eastAsia"/>
              </w:rPr>
              <w:t>司法及法制</w:t>
            </w:r>
          </w:p>
        </w:tc>
        <w:tc>
          <w:tcPr>
            <w:tcW w:w="981" w:type="pct"/>
            <w:tcBorders>
              <w:top w:val="single" w:sz="4" w:space="0" w:color="auto"/>
              <w:left w:val="single" w:sz="4" w:space="0" w:color="auto"/>
              <w:bottom w:val="single" w:sz="4" w:space="0" w:color="auto"/>
              <w:right w:val="single" w:sz="4" w:space="0" w:color="auto"/>
            </w:tcBorders>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Borders>
              <w:top w:val="single" w:sz="4" w:space="0" w:color="auto"/>
              <w:left w:val="single" w:sz="4" w:space="0" w:color="auto"/>
              <w:bottom w:val="single" w:sz="4" w:space="0" w:color="auto"/>
              <w:right w:val="single" w:sz="4" w:space="0" w:color="auto"/>
            </w:tcBorders>
          </w:tcPr>
          <w:p w:rsidR="0012199C" w:rsidRPr="00EC299C" w:rsidRDefault="0012199C" w:rsidP="0012199C">
            <w:pPr>
              <w:pStyle w:val="0-"/>
            </w:pPr>
            <w:r w:rsidRPr="00EC299C">
              <w:rPr>
                <w:rFonts w:hint="eastAsia"/>
              </w:rPr>
              <w:t>應配合科技部組織再次改造，而作相應之調整，以符合法制體例。(</w:t>
            </w:r>
            <w:r w:rsidRPr="00EC299C">
              <w:t>3</w:t>
            </w:r>
            <w:r w:rsidRPr="00EC299C">
              <w:rPr>
                <w:rFonts w:hint="eastAsia"/>
              </w:rPr>
              <w:t>條)</w:t>
            </w:r>
          </w:p>
        </w:tc>
      </w:tr>
      <w:tr w:rsidR="0012199C" w:rsidRPr="003D69B8"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rsidR="0012199C" w:rsidRPr="00EF3F30" w:rsidRDefault="0012199C" w:rsidP="0012199C">
            <w:pPr>
              <w:pStyle w:val="0-"/>
            </w:pPr>
            <w:r w:rsidRPr="00EF3F30">
              <w:rPr>
                <w:rFonts w:hint="eastAsia"/>
              </w:rPr>
              <w:t>財團法人國家同步輻射研究中心設置條例第四條、第五條及第七條條文修正草案</w:t>
            </w:r>
          </w:p>
          <w:p w:rsidR="0012199C" w:rsidRPr="00EF3F30" w:rsidRDefault="0012199C" w:rsidP="0012199C">
            <w:pPr>
              <w:pStyle w:val="0-"/>
            </w:pPr>
            <w:r w:rsidRPr="00EF3F30">
              <w:rPr>
                <w:rFonts w:hint="eastAsia"/>
              </w:rPr>
              <w:lastRenderedPageBreak/>
              <w:t>(委員林奕華等16人</w:t>
            </w:r>
            <w:r w:rsidRPr="00EF3F30">
              <w:t>)</w:t>
            </w:r>
          </w:p>
        </w:tc>
        <w:tc>
          <w:tcPr>
            <w:tcW w:w="808" w:type="pct"/>
            <w:tcBorders>
              <w:top w:val="single" w:sz="4" w:space="0" w:color="auto"/>
              <w:left w:val="single" w:sz="4" w:space="0" w:color="auto"/>
              <w:bottom w:val="single" w:sz="4" w:space="0" w:color="auto"/>
              <w:right w:val="single" w:sz="4" w:space="0" w:color="auto"/>
            </w:tcBorders>
          </w:tcPr>
          <w:p w:rsidR="0012199C" w:rsidRPr="00EF3F30" w:rsidRDefault="0012199C" w:rsidP="0012199C">
            <w:pPr>
              <w:pStyle w:val="0-"/>
            </w:pPr>
            <w:r w:rsidRPr="00EF3F30">
              <w:lastRenderedPageBreak/>
              <w:t>10-5-6</w:t>
            </w:r>
          </w:p>
          <w:p w:rsidR="0012199C" w:rsidRPr="00EF3F30" w:rsidRDefault="0012199C" w:rsidP="0012199C">
            <w:pPr>
              <w:pStyle w:val="0-"/>
              <w:rPr>
                <w:rFonts w:ascii="Calibri" w:hAnsi="Calibri"/>
                <w:sz w:val="20"/>
              </w:rPr>
            </w:pPr>
            <w:r w:rsidRPr="00EF3F30">
              <w:t>(111.4.1)</w:t>
            </w:r>
          </w:p>
          <w:p w:rsidR="0012199C" w:rsidRPr="00EF3F30" w:rsidRDefault="0012199C" w:rsidP="0012199C">
            <w:pPr>
              <w:pStyle w:val="0-"/>
            </w:pPr>
          </w:p>
        </w:tc>
        <w:tc>
          <w:tcPr>
            <w:tcW w:w="539" w:type="pct"/>
            <w:tcBorders>
              <w:top w:val="single" w:sz="4" w:space="0" w:color="auto"/>
              <w:left w:val="single" w:sz="4" w:space="0" w:color="auto"/>
              <w:bottom w:val="single" w:sz="4" w:space="0" w:color="auto"/>
              <w:right w:val="single" w:sz="4" w:space="0" w:color="auto"/>
            </w:tcBorders>
          </w:tcPr>
          <w:p w:rsidR="0012199C" w:rsidRPr="00EF3F30" w:rsidRDefault="0012199C" w:rsidP="0012199C">
            <w:pPr>
              <w:pStyle w:val="0-"/>
              <w:jc w:val="left"/>
              <w:rPr>
                <w:rFonts w:eastAsia="華康楷書體W5"/>
              </w:rPr>
            </w:pPr>
            <w:r w:rsidRPr="0012199C">
              <w:rPr>
                <w:rFonts w:hint="eastAsia"/>
              </w:rPr>
              <w:t>司法及法制</w:t>
            </w:r>
          </w:p>
        </w:tc>
        <w:tc>
          <w:tcPr>
            <w:tcW w:w="981" w:type="pct"/>
            <w:tcBorders>
              <w:top w:val="single" w:sz="4" w:space="0" w:color="auto"/>
              <w:left w:val="single" w:sz="4" w:space="0" w:color="auto"/>
              <w:bottom w:val="single" w:sz="4" w:space="0" w:color="auto"/>
              <w:right w:val="single" w:sz="4" w:space="0" w:color="auto"/>
            </w:tcBorders>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Borders>
              <w:top w:val="single" w:sz="4" w:space="0" w:color="auto"/>
              <w:left w:val="single" w:sz="4" w:space="0" w:color="auto"/>
              <w:bottom w:val="single" w:sz="4" w:space="0" w:color="auto"/>
              <w:right w:val="single" w:sz="4" w:space="0" w:color="auto"/>
            </w:tcBorders>
          </w:tcPr>
          <w:p w:rsidR="0012199C" w:rsidRPr="00EF3F30" w:rsidRDefault="0012199C" w:rsidP="0012199C">
            <w:pPr>
              <w:pStyle w:val="0-"/>
            </w:pPr>
            <w:r w:rsidRPr="00EF3F30">
              <w:rPr>
                <w:rFonts w:hint="eastAsia"/>
              </w:rPr>
              <w:t>部分條文文字，多年來仍未更新。(3條)</w:t>
            </w:r>
          </w:p>
        </w:tc>
      </w:tr>
      <w:tr w:rsidR="0012199C" w:rsidRPr="003D69B8"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rsidR="0012199C" w:rsidRPr="00F4185D" w:rsidRDefault="0012199C" w:rsidP="0012199C">
            <w:pPr>
              <w:pStyle w:val="0-"/>
            </w:pPr>
            <w:r w:rsidRPr="00F4185D">
              <w:rPr>
                <w:rFonts w:hint="eastAsia"/>
              </w:rPr>
              <w:t>財團法人國家同步輻射研究中心設置條例第四條及第七條條文修正草案</w:t>
            </w:r>
          </w:p>
          <w:p w:rsidR="0012199C" w:rsidRPr="00F4185D" w:rsidRDefault="0012199C" w:rsidP="0012199C">
            <w:pPr>
              <w:pStyle w:val="0-"/>
            </w:pPr>
            <w:r w:rsidRPr="00F4185D">
              <w:rPr>
                <w:rFonts w:hint="eastAsia"/>
              </w:rPr>
              <w:t>(委員黃世杰等19人)</w:t>
            </w:r>
          </w:p>
        </w:tc>
        <w:tc>
          <w:tcPr>
            <w:tcW w:w="808" w:type="pct"/>
            <w:tcBorders>
              <w:top w:val="single" w:sz="4" w:space="0" w:color="auto"/>
              <w:left w:val="single" w:sz="4" w:space="0" w:color="auto"/>
              <w:bottom w:val="single" w:sz="4" w:space="0" w:color="auto"/>
              <w:right w:val="single" w:sz="4" w:space="0" w:color="auto"/>
            </w:tcBorders>
          </w:tcPr>
          <w:p w:rsidR="0012199C" w:rsidRPr="00F4185D" w:rsidRDefault="0012199C" w:rsidP="0012199C">
            <w:pPr>
              <w:pStyle w:val="0-"/>
            </w:pPr>
            <w:r w:rsidRPr="00F4185D">
              <w:rPr>
                <w:rFonts w:hint="eastAsia"/>
              </w:rPr>
              <w:t>10-5-7</w:t>
            </w:r>
          </w:p>
          <w:p w:rsidR="0012199C" w:rsidRPr="00F4185D" w:rsidRDefault="0012199C" w:rsidP="0012199C">
            <w:pPr>
              <w:pStyle w:val="0-"/>
            </w:pPr>
            <w:r w:rsidRPr="00F4185D">
              <w:rPr>
                <w:rFonts w:hint="eastAsia"/>
              </w:rPr>
              <w:t>(111.4.8)</w:t>
            </w:r>
          </w:p>
          <w:p w:rsidR="0012199C" w:rsidRPr="00F4185D" w:rsidRDefault="0012199C" w:rsidP="0012199C">
            <w:pPr>
              <w:pStyle w:val="0-"/>
            </w:pPr>
          </w:p>
        </w:tc>
        <w:tc>
          <w:tcPr>
            <w:tcW w:w="539" w:type="pct"/>
            <w:tcBorders>
              <w:top w:val="single" w:sz="4" w:space="0" w:color="auto"/>
              <w:left w:val="single" w:sz="4" w:space="0" w:color="auto"/>
              <w:bottom w:val="single" w:sz="4" w:space="0" w:color="auto"/>
              <w:right w:val="single" w:sz="4" w:space="0" w:color="auto"/>
            </w:tcBorders>
          </w:tcPr>
          <w:p w:rsidR="0012199C" w:rsidRPr="00F4185D" w:rsidRDefault="0012199C" w:rsidP="0012199C">
            <w:pPr>
              <w:pStyle w:val="0-"/>
              <w:jc w:val="left"/>
            </w:pPr>
            <w:r w:rsidRPr="00F4185D">
              <w:rPr>
                <w:rFonts w:hint="eastAsia"/>
              </w:rPr>
              <w:t>司法及法制</w:t>
            </w:r>
          </w:p>
        </w:tc>
        <w:tc>
          <w:tcPr>
            <w:tcW w:w="981" w:type="pct"/>
            <w:tcBorders>
              <w:top w:val="single" w:sz="4" w:space="0" w:color="auto"/>
              <w:left w:val="single" w:sz="4" w:space="0" w:color="auto"/>
              <w:bottom w:val="single" w:sz="4" w:space="0" w:color="auto"/>
              <w:right w:val="single" w:sz="4" w:space="0" w:color="auto"/>
            </w:tcBorders>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Borders>
              <w:top w:val="single" w:sz="4" w:space="0" w:color="auto"/>
              <w:left w:val="single" w:sz="4" w:space="0" w:color="auto"/>
              <w:bottom w:val="single" w:sz="4" w:space="0" w:color="auto"/>
              <w:right w:val="single" w:sz="4" w:space="0" w:color="auto"/>
            </w:tcBorders>
          </w:tcPr>
          <w:p w:rsidR="0012199C" w:rsidRPr="00F4185D" w:rsidRDefault="0012199C" w:rsidP="0012199C">
            <w:pPr>
              <w:pStyle w:val="0-"/>
            </w:pPr>
            <w:r w:rsidRPr="00F4185D">
              <w:rPr>
                <w:rFonts w:hint="eastAsia"/>
              </w:rPr>
              <w:t>明定主管機關董事會成員之性質，因應政府組織改造，補足法制程序之不足。(2條)</w:t>
            </w:r>
          </w:p>
        </w:tc>
      </w:tr>
      <w:tr w:rsidR="0012199C" w:rsidRPr="003D69B8"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rsidR="0012199C" w:rsidRPr="00DA09F6" w:rsidRDefault="0012199C" w:rsidP="0012199C">
            <w:pPr>
              <w:pStyle w:val="0-"/>
            </w:pPr>
            <w:r w:rsidRPr="00DA09F6">
              <w:rPr>
                <w:rFonts w:hint="eastAsia"/>
              </w:rPr>
              <w:t>財團法人國家同步輻射研究中心設置條例第四條、第五條及第七條條文修正草案</w:t>
            </w:r>
          </w:p>
          <w:p w:rsidR="0012199C" w:rsidRPr="00DA09F6" w:rsidRDefault="0012199C" w:rsidP="0012199C">
            <w:pPr>
              <w:pStyle w:val="0-"/>
            </w:pPr>
            <w:r w:rsidRPr="00DA09F6">
              <w:rPr>
                <w:rFonts w:hint="eastAsia"/>
              </w:rPr>
              <w:t>(委員萬美玲等16人)</w:t>
            </w:r>
          </w:p>
        </w:tc>
        <w:tc>
          <w:tcPr>
            <w:tcW w:w="808" w:type="pct"/>
            <w:tcBorders>
              <w:top w:val="single" w:sz="4" w:space="0" w:color="auto"/>
              <w:left w:val="single" w:sz="4" w:space="0" w:color="auto"/>
              <w:bottom w:val="single" w:sz="4" w:space="0" w:color="auto"/>
              <w:right w:val="single" w:sz="4" w:space="0" w:color="auto"/>
            </w:tcBorders>
          </w:tcPr>
          <w:p w:rsidR="0012199C" w:rsidRPr="00DA09F6" w:rsidRDefault="0012199C" w:rsidP="0012199C">
            <w:pPr>
              <w:pStyle w:val="0-"/>
            </w:pPr>
            <w:r w:rsidRPr="00DA09F6">
              <w:t>10-5-10</w:t>
            </w:r>
          </w:p>
          <w:p w:rsidR="0012199C" w:rsidRPr="00DA09F6" w:rsidRDefault="0012199C" w:rsidP="0012199C">
            <w:pPr>
              <w:pStyle w:val="0-"/>
            </w:pPr>
            <w:r w:rsidRPr="00DA09F6">
              <w:t>(111.4.29)</w:t>
            </w:r>
          </w:p>
        </w:tc>
        <w:tc>
          <w:tcPr>
            <w:tcW w:w="539" w:type="pct"/>
            <w:tcBorders>
              <w:top w:val="single" w:sz="4" w:space="0" w:color="auto"/>
              <w:left w:val="single" w:sz="4" w:space="0" w:color="auto"/>
              <w:bottom w:val="single" w:sz="4" w:space="0" w:color="auto"/>
              <w:right w:val="single" w:sz="4" w:space="0" w:color="auto"/>
            </w:tcBorders>
          </w:tcPr>
          <w:p w:rsidR="0012199C" w:rsidRPr="00DA09F6" w:rsidRDefault="0012199C" w:rsidP="0012199C">
            <w:pPr>
              <w:pStyle w:val="0-"/>
              <w:jc w:val="left"/>
            </w:pPr>
            <w:r w:rsidRPr="00DA09F6">
              <w:rPr>
                <w:rFonts w:hint="eastAsia"/>
              </w:rPr>
              <w:t>司法及法制</w:t>
            </w:r>
          </w:p>
        </w:tc>
        <w:tc>
          <w:tcPr>
            <w:tcW w:w="981" w:type="pct"/>
            <w:tcBorders>
              <w:top w:val="single" w:sz="4" w:space="0" w:color="auto"/>
              <w:left w:val="single" w:sz="4" w:space="0" w:color="auto"/>
              <w:bottom w:val="single" w:sz="4" w:space="0" w:color="auto"/>
              <w:right w:val="single" w:sz="4" w:space="0" w:color="auto"/>
            </w:tcBorders>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Borders>
              <w:top w:val="single" w:sz="4" w:space="0" w:color="auto"/>
              <w:left w:val="single" w:sz="4" w:space="0" w:color="auto"/>
              <w:bottom w:val="single" w:sz="4" w:space="0" w:color="auto"/>
              <w:right w:val="single" w:sz="4" w:space="0" w:color="auto"/>
            </w:tcBorders>
          </w:tcPr>
          <w:p w:rsidR="0012199C" w:rsidRPr="00DA09F6" w:rsidRDefault="0012199C" w:rsidP="0012199C">
            <w:pPr>
              <w:pStyle w:val="0-"/>
            </w:pPr>
            <w:r w:rsidRPr="00DA09F6">
              <w:rPr>
                <w:rFonts w:hint="eastAsia"/>
              </w:rPr>
              <w:t>主管機關仍未修改，為使法律有一致性，配合組改修改主管機關。</w:t>
            </w:r>
          </w:p>
          <w:p w:rsidR="0012199C" w:rsidRPr="00DA09F6" w:rsidRDefault="0012199C" w:rsidP="0012199C">
            <w:pPr>
              <w:pStyle w:val="0-"/>
            </w:pPr>
            <w:r w:rsidRPr="00DA09F6">
              <w:rPr>
                <w:rFonts w:hint="eastAsia"/>
              </w:rPr>
              <w:t>(</w:t>
            </w:r>
            <w:r w:rsidRPr="00DA09F6">
              <w:t>3</w:t>
            </w:r>
            <w:r w:rsidRPr="00DA09F6">
              <w:rPr>
                <w:rFonts w:hint="eastAsia"/>
              </w:rPr>
              <w:t>條)</w:t>
            </w:r>
          </w:p>
        </w:tc>
      </w:tr>
      <w:tr w:rsidR="0012199C" w:rsidRPr="003D69B8"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rsidR="0012199C" w:rsidRPr="00D13B0E" w:rsidRDefault="0012199C" w:rsidP="0012199C">
            <w:pPr>
              <w:pStyle w:val="0-"/>
            </w:pPr>
            <w:r w:rsidRPr="00D13B0E">
              <w:rPr>
                <w:rFonts w:hint="eastAsia"/>
              </w:rPr>
              <w:t>財團法人國家同步輻射研究中心設置條例第四條、第五條及第七條條文修正草案</w:t>
            </w:r>
          </w:p>
          <w:p w:rsidR="0012199C" w:rsidRPr="00D13B0E" w:rsidRDefault="0012199C" w:rsidP="0012199C">
            <w:pPr>
              <w:pStyle w:val="0-"/>
            </w:pPr>
            <w:r w:rsidRPr="00D13B0E">
              <w:rPr>
                <w:rFonts w:hint="eastAsia"/>
              </w:rPr>
              <w:t>(委員劉櫂豪等18人)</w:t>
            </w:r>
          </w:p>
        </w:tc>
        <w:tc>
          <w:tcPr>
            <w:tcW w:w="808" w:type="pct"/>
            <w:tcBorders>
              <w:top w:val="single" w:sz="4" w:space="0" w:color="auto"/>
              <w:left w:val="single" w:sz="4" w:space="0" w:color="auto"/>
              <w:bottom w:val="single" w:sz="4" w:space="0" w:color="auto"/>
              <w:right w:val="single" w:sz="4" w:space="0" w:color="auto"/>
            </w:tcBorders>
          </w:tcPr>
          <w:p w:rsidR="0012199C" w:rsidRPr="00D13B0E" w:rsidRDefault="0012199C" w:rsidP="0012199C">
            <w:pPr>
              <w:pStyle w:val="0-"/>
            </w:pPr>
            <w:r w:rsidRPr="00D13B0E">
              <w:t>10-6-12</w:t>
            </w:r>
          </w:p>
          <w:p w:rsidR="0012199C" w:rsidRPr="00D13B0E" w:rsidRDefault="0012199C" w:rsidP="0012199C">
            <w:pPr>
              <w:pStyle w:val="0-"/>
            </w:pPr>
            <w:r w:rsidRPr="00D13B0E">
              <w:t>(</w:t>
            </w:r>
            <w:r w:rsidRPr="0012199C">
              <w:rPr>
                <w:spacing w:val="-20"/>
              </w:rPr>
              <w:t>111.12.16</w:t>
            </w:r>
            <w:r w:rsidRPr="00D13B0E">
              <w:t>)</w:t>
            </w:r>
          </w:p>
        </w:tc>
        <w:tc>
          <w:tcPr>
            <w:tcW w:w="539" w:type="pct"/>
            <w:tcBorders>
              <w:top w:val="single" w:sz="4" w:space="0" w:color="auto"/>
              <w:left w:val="single" w:sz="4" w:space="0" w:color="auto"/>
              <w:bottom w:val="single" w:sz="4" w:space="0" w:color="auto"/>
              <w:right w:val="single" w:sz="4" w:space="0" w:color="auto"/>
            </w:tcBorders>
          </w:tcPr>
          <w:p w:rsidR="0012199C" w:rsidRPr="0012199C" w:rsidRDefault="0012199C" w:rsidP="0012199C">
            <w:pPr>
              <w:pStyle w:val="0-"/>
              <w:jc w:val="left"/>
            </w:pPr>
            <w:r w:rsidRPr="0012199C">
              <w:rPr>
                <w:rFonts w:hint="eastAsia"/>
              </w:rPr>
              <w:t>司法及法制</w:t>
            </w:r>
          </w:p>
        </w:tc>
        <w:tc>
          <w:tcPr>
            <w:tcW w:w="981" w:type="pct"/>
            <w:tcBorders>
              <w:top w:val="single" w:sz="4" w:space="0" w:color="auto"/>
              <w:left w:val="single" w:sz="4" w:space="0" w:color="auto"/>
              <w:bottom w:val="single" w:sz="4" w:space="0" w:color="auto"/>
              <w:right w:val="single" w:sz="4" w:space="0" w:color="auto"/>
            </w:tcBorders>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Borders>
              <w:top w:val="single" w:sz="4" w:space="0" w:color="auto"/>
              <w:left w:val="single" w:sz="4" w:space="0" w:color="auto"/>
              <w:bottom w:val="single" w:sz="4" w:space="0" w:color="auto"/>
              <w:right w:val="single" w:sz="4" w:space="0" w:color="auto"/>
            </w:tcBorders>
          </w:tcPr>
          <w:p w:rsidR="0012199C" w:rsidRPr="00D13B0E" w:rsidRDefault="0012199C" w:rsidP="0012199C">
            <w:pPr>
              <w:pStyle w:val="0-"/>
            </w:pPr>
            <w:r w:rsidRPr="00D13B0E">
              <w:rPr>
                <w:rFonts w:hint="eastAsia"/>
              </w:rPr>
              <w:t>所屬財團法人配合組織改制。(3條)</w:t>
            </w:r>
          </w:p>
        </w:tc>
      </w:tr>
      <w:tr w:rsidR="0012199C" w:rsidRPr="003D69B8"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rsidR="0012199C" w:rsidRPr="00D13B0E" w:rsidRDefault="0012199C" w:rsidP="0012199C">
            <w:pPr>
              <w:pStyle w:val="0-"/>
            </w:pPr>
            <w:r w:rsidRPr="00D13B0E">
              <w:rPr>
                <w:rFonts w:hint="eastAsia"/>
              </w:rPr>
              <w:t>財團法人國家同步輻射研究中心設置條例第四條、第五條及第七條條文修正草案</w:t>
            </w:r>
          </w:p>
          <w:p w:rsidR="0012199C" w:rsidRPr="00D13B0E" w:rsidRDefault="0012199C" w:rsidP="0012199C">
            <w:pPr>
              <w:pStyle w:val="0-"/>
            </w:pPr>
            <w:r w:rsidRPr="00D13B0E">
              <w:rPr>
                <w:rFonts w:hint="eastAsia"/>
              </w:rPr>
              <w:t>(委員賴品妤等21人)</w:t>
            </w:r>
          </w:p>
        </w:tc>
        <w:tc>
          <w:tcPr>
            <w:tcW w:w="808" w:type="pct"/>
            <w:tcBorders>
              <w:top w:val="single" w:sz="4" w:space="0" w:color="auto"/>
              <w:left w:val="single" w:sz="4" w:space="0" w:color="auto"/>
              <w:bottom w:val="single" w:sz="4" w:space="0" w:color="auto"/>
              <w:right w:val="single" w:sz="4" w:space="0" w:color="auto"/>
            </w:tcBorders>
          </w:tcPr>
          <w:p w:rsidR="0012199C" w:rsidRPr="00D13B0E" w:rsidRDefault="0012199C" w:rsidP="0012199C">
            <w:pPr>
              <w:pStyle w:val="0-"/>
            </w:pPr>
            <w:r w:rsidRPr="00D13B0E">
              <w:t>10-6-12</w:t>
            </w:r>
          </w:p>
          <w:p w:rsidR="0012199C" w:rsidRPr="00D13B0E" w:rsidRDefault="0012199C" w:rsidP="0012199C">
            <w:pPr>
              <w:pStyle w:val="0-"/>
            </w:pPr>
            <w:r w:rsidRPr="00D13B0E">
              <w:t>(</w:t>
            </w:r>
            <w:r w:rsidRPr="0012199C">
              <w:rPr>
                <w:spacing w:val="-20"/>
              </w:rPr>
              <w:t>111.12.16</w:t>
            </w:r>
            <w:r w:rsidRPr="00D13B0E">
              <w:t>)</w:t>
            </w:r>
          </w:p>
        </w:tc>
        <w:tc>
          <w:tcPr>
            <w:tcW w:w="539" w:type="pct"/>
            <w:tcBorders>
              <w:top w:val="single" w:sz="4" w:space="0" w:color="auto"/>
              <w:left w:val="single" w:sz="4" w:space="0" w:color="auto"/>
              <w:bottom w:val="single" w:sz="4" w:space="0" w:color="auto"/>
              <w:right w:val="single" w:sz="4" w:space="0" w:color="auto"/>
            </w:tcBorders>
          </w:tcPr>
          <w:p w:rsidR="0012199C" w:rsidRPr="0012199C" w:rsidRDefault="0012199C" w:rsidP="0012199C">
            <w:pPr>
              <w:pStyle w:val="0-"/>
              <w:jc w:val="left"/>
            </w:pPr>
            <w:r w:rsidRPr="0012199C">
              <w:rPr>
                <w:rFonts w:hint="eastAsia"/>
              </w:rPr>
              <w:t>司法及法制</w:t>
            </w:r>
          </w:p>
        </w:tc>
        <w:tc>
          <w:tcPr>
            <w:tcW w:w="981" w:type="pct"/>
            <w:tcBorders>
              <w:top w:val="single" w:sz="4" w:space="0" w:color="auto"/>
              <w:left w:val="single" w:sz="4" w:space="0" w:color="auto"/>
              <w:bottom w:val="single" w:sz="4" w:space="0" w:color="auto"/>
              <w:right w:val="single" w:sz="4" w:space="0" w:color="auto"/>
            </w:tcBorders>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Borders>
              <w:top w:val="single" w:sz="4" w:space="0" w:color="auto"/>
              <w:left w:val="single" w:sz="4" w:space="0" w:color="auto"/>
              <w:bottom w:val="single" w:sz="4" w:space="0" w:color="auto"/>
              <w:right w:val="single" w:sz="4" w:space="0" w:color="auto"/>
            </w:tcBorders>
          </w:tcPr>
          <w:p w:rsidR="0012199C" w:rsidRPr="00D13B0E" w:rsidRDefault="0012199C" w:rsidP="0012199C">
            <w:pPr>
              <w:pStyle w:val="0-"/>
            </w:pPr>
            <w:r w:rsidRPr="00D13B0E">
              <w:rPr>
                <w:rFonts w:hint="eastAsia"/>
              </w:rPr>
              <w:t>為促進科學發展能量，科技部將再次進行改組。(3條)</w:t>
            </w:r>
          </w:p>
        </w:tc>
      </w:tr>
      <w:tr w:rsidR="0012199C" w:rsidRPr="003D69B8" w:rsidTr="00F74345">
        <w:trPr>
          <w:trHeight w:val="615"/>
        </w:trPr>
        <w:tc>
          <w:tcPr>
            <w:tcW w:w="329" w:type="pct"/>
            <w:vAlign w:val="center"/>
          </w:tcPr>
          <w:p w:rsidR="0012199C" w:rsidRPr="003D69B8" w:rsidRDefault="0012199C" w:rsidP="006934DD">
            <w:pPr>
              <w:numPr>
                <w:ilvl w:val="0"/>
                <w:numId w:val="66"/>
              </w:numPr>
              <w:tabs>
                <w:tab w:val="num" w:pos="360"/>
              </w:tabs>
              <w:spacing w:line="400" w:lineRule="exact"/>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rsidR="0012199C" w:rsidRPr="00D13B0E" w:rsidRDefault="0012199C" w:rsidP="0012199C">
            <w:pPr>
              <w:pStyle w:val="0-"/>
            </w:pPr>
            <w:r w:rsidRPr="00D13B0E">
              <w:rPr>
                <w:rFonts w:hint="eastAsia"/>
              </w:rPr>
              <w:t>財團法人國家實驗研究院設置條例第四條及第七條條文修正草案</w:t>
            </w:r>
          </w:p>
          <w:p w:rsidR="0012199C" w:rsidRPr="00D13B0E" w:rsidRDefault="0012199C" w:rsidP="0012199C">
            <w:pPr>
              <w:pStyle w:val="0-"/>
            </w:pPr>
            <w:r w:rsidRPr="00D13B0E">
              <w:rPr>
                <w:rFonts w:hint="eastAsia"/>
              </w:rPr>
              <w:t>(委員賴品妤等21人)</w:t>
            </w:r>
          </w:p>
        </w:tc>
        <w:tc>
          <w:tcPr>
            <w:tcW w:w="808" w:type="pct"/>
            <w:tcBorders>
              <w:top w:val="single" w:sz="4" w:space="0" w:color="auto"/>
              <w:left w:val="single" w:sz="4" w:space="0" w:color="auto"/>
              <w:bottom w:val="single" w:sz="4" w:space="0" w:color="auto"/>
              <w:right w:val="single" w:sz="4" w:space="0" w:color="auto"/>
            </w:tcBorders>
          </w:tcPr>
          <w:p w:rsidR="0012199C" w:rsidRPr="00D13B0E" w:rsidRDefault="0012199C" w:rsidP="0012199C">
            <w:pPr>
              <w:pStyle w:val="0-"/>
            </w:pPr>
            <w:r w:rsidRPr="00D13B0E">
              <w:t>10-6-12</w:t>
            </w:r>
          </w:p>
          <w:p w:rsidR="0012199C" w:rsidRPr="00D13B0E" w:rsidRDefault="0012199C" w:rsidP="0012199C">
            <w:pPr>
              <w:pStyle w:val="0-"/>
            </w:pPr>
            <w:r w:rsidRPr="00D13B0E">
              <w:t>(</w:t>
            </w:r>
            <w:r w:rsidRPr="0012199C">
              <w:rPr>
                <w:spacing w:val="-20"/>
              </w:rPr>
              <w:t>111.12.16</w:t>
            </w:r>
            <w:r w:rsidRPr="00D13B0E">
              <w:t>)</w:t>
            </w:r>
          </w:p>
        </w:tc>
        <w:tc>
          <w:tcPr>
            <w:tcW w:w="539" w:type="pct"/>
            <w:tcBorders>
              <w:top w:val="single" w:sz="4" w:space="0" w:color="auto"/>
              <w:left w:val="single" w:sz="4" w:space="0" w:color="auto"/>
              <w:bottom w:val="single" w:sz="4" w:space="0" w:color="auto"/>
              <w:right w:val="single" w:sz="4" w:space="0" w:color="auto"/>
            </w:tcBorders>
          </w:tcPr>
          <w:p w:rsidR="0012199C" w:rsidRPr="0012199C" w:rsidRDefault="0012199C" w:rsidP="0012199C">
            <w:pPr>
              <w:pStyle w:val="0-"/>
              <w:jc w:val="left"/>
            </w:pPr>
            <w:r w:rsidRPr="0012199C">
              <w:rPr>
                <w:rFonts w:hint="eastAsia"/>
              </w:rPr>
              <w:t>司法及法制</w:t>
            </w:r>
          </w:p>
        </w:tc>
        <w:tc>
          <w:tcPr>
            <w:tcW w:w="981" w:type="pct"/>
            <w:tcBorders>
              <w:top w:val="single" w:sz="4" w:space="0" w:color="auto"/>
              <w:left w:val="single" w:sz="4" w:space="0" w:color="auto"/>
              <w:bottom w:val="single" w:sz="4" w:space="0" w:color="auto"/>
              <w:right w:val="single" w:sz="4" w:space="0" w:color="auto"/>
            </w:tcBorders>
          </w:tcPr>
          <w:p w:rsidR="0012199C" w:rsidRPr="005B74D5" w:rsidRDefault="0012199C"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906" w:type="pct"/>
            <w:tcBorders>
              <w:top w:val="single" w:sz="4" w:space="0" w:color="auto"/>
              <w:left w:val="single" w:sz="4" w:space="0" w:color="auto"/>
              <w:bottom w:val="single" w:sz="4" w:space="0" w:color="auto"/>
              <w:right w:val="single" w:sz="4" w:space="0" w:color="auto"/>
            </w:tcBorders>
          </w:tcPr>
          <w:p w:rsidR="0012199C" w:rsidRPr="00D13B0E" w:rsidRDefault="0012199C" w:rsidP="0012199C">
            <w:pPr>
              <w:pStyle w:val="0-"/>
            </w:pPr>
            <w:r w:rsidRPr="00D13B0E">
              <w:rPr>
                <w:rFonts w:hint="eastAsia"/>
              </w:rPr>
              <w:t>配合政府現狀應將相關法規作相應調整，並使法制體例相符。(</w:t>
            </w:r>
            <w:r w:rsidRPr="00D13B0E">
              <w:t>2</w:t>
            </w:r>
            <w:r w:rsidRPr="00D13B0E">
              <w:rPr>
                <w:rFonts w:hint="eastAsia"/>
              </w:rPr>
              <w:t>條)</w:t>
            </w:r>
          </w:p>
        </w:tc>
      </w:tr>
    </w:tbl>
    <w:p w:rsidR="0012199C" w:rsidRDefault="0012199C">
      <w:pPr>
        <w:widowControl/>
        <w:rPr>
          <w:color w:val="000000" w:themeColor="text1"/>
        </w:rPr>
      </w:pPr>
    </w:p>
    <w:p w:rsidR="00303C08" w:rsidRPr="00920597" w:rsidRDefault="00303C08">
      <w:pPr>
        <w:widowControl/>
        <w:rPr>
          <w:rFonts w:ascii="標楷體" w:eastAsia="標楷體" w:hAnsi="標楷體"/>
          <w:b/>
          <w:color w:val="000000" w:themeColor="text1"/>
          <w:spacing w:val="-4"/>
          <w:sz w:val="32"/>
          <w:szCs w:val="32"/>
        </w:rPr>
      </w:pPr>
      <w:r w:rsidRPr="00920597">
        <w:rPr>
          <w:color w:val="000000" w:themeColor="text1"/>
        </w:rPr>
        <w:br w:type="page"/>
      </w:r>
    </w:p>
    <w:p w:rsidR="00946A1B" w:rsidRPr="00920597" w:rsidRDefault="00946A1B" w:rsidP="00992F26">
      <w:pPr>
        <w:pStyle w:val="01-3"/>
        <w:rPr>
          <w:color w:val="000000" w:themeColor="text1"/>
        </w:rPr>
      </w:pPr>
      <w:bookmarkStart w:id="126" w:name="_Toc126068161"/>
      <w:r w:rsidRPr="00920597">
        <w:rPr>
          <w:rFonts w:hint="eastAsia"/>
          <w:color w:val="000000" w:themeColor="text1"/>
        </w:rPr>
        <w:lastRenderedPageBreak/>
        <w:t>(</w:t>
      </w:r>
      <w:r w:rsidR="00992F26" w:rsidRPr="00920597">
        <w:rPr>
          <w:rFonts w:hint="eastAsia"/>
          <w:color w:val="000000" w:themeColor="text1"/>
        </w:rPr>
        <w:t>四</w:t>
      </w:r>
      <w:r w:rsidRPr="00920597">
        <w:rPr>
          <w:rFonts w:hint="eastAsia"/>
          <w:color w:val="000000" w:themeColor="text1"/>
        </w:rPr>
        <w:t>)</w:t>
      </w:r>
      <w:r w:rsidR="008A0431" w:rsidRPr="00920597">
        <w:rPr>
          <w:rFonts w:hint="eastAsia"/>
          <w:color w:val="000000" w:themeColor="text1"/>
        </w:rPr>
        <w:t>行政院</w:t>
      </w:r>
      <w:r w:rsidRPr="00920597">
        <w:rPr>
          <w:rFonts w:hint="eastAsia"/>
          <w:color w:val="000000" w:themeColor="text1"/>
        </w:rPr>
        <w:t>原子能委員會 (</w:t>
      </w:r>
      <w:r w:rsidR="00F74345">
        <w:rPr>
          <w:rFonts w:hint="eastAsia"/>
          <w:color w:val="000000" w:themeColor="text1"/>
        </w:rPr>
        <w:t>5</w:t>
      </w:r>
      <w:r w:rsidRPr="00920597">
        <w:rPr>
          <w:rFonts w:hint="eastAsia"/>
          <w:color w:val="000000" w:themeColor="text1"/>
        </w:rPr>
        <w:t>案）</w:t>
      </w:r>
      <w:bookmarkEnd w:id="126"/>
    </w:p>
    <w:tbl>
      <w:tblPr>
        <w:tblW w:w="5124" w:type="pct"/>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34"/>
        <w:gridCol w:w="2788"/>
        <w:gridCol w:w="1566"/>
        <w:gridCol w:w="1047"/>
        <w:gridCol w:w="1568"/>
        <w:gridCol w:w="2090"/>
      </w:tblGrid>
      <w:tr w:rsidR="00A530E9" w:rsidRPr="00920597" w:rsidTr="00F74345">
        <w:trPr>
          <w:trHeight w:val="615"/>
        </w:trPr>
        <w:tc>
          <w:tcPr>
            <w:tcW w:w="327" w:type="pct"/>
            <w:tcBorders>
              <w:top w:val="single" w:sz="4" w:space="0" w:color="auto"/>
              <w:left w:val="single" w:sz="4" w:space="0" w:color="auto"/>
              <w:bottom w:val="single" w:sz="4" w:space="0" w:color="auto"/>
              <w:right w:val="single" w:sz="4" w:space="0" w:color="auto"/>
            </w:tcBorders>
            <w:vAlign w:val="center"/>
          </w:tcPr>
          <w:p w:rsidR="00B44253" w:rsidRPr="00920597" w:rsidRDefault="00B44253" w:rsidP="00B44253">
            <w:pPr>
              <w:spacing w:line="400" w:lineRule="exact"/>
              <w:jc w:val="center"/>
              <w:rPr>
                <w:rFonts w:ascii="標楷體" w:eastAsia="標楷體" w:hAnsi="標楷體"/>
                <w:b/>
                <w:bCs/>
                <w:color w:val="000000" w:themeColor="text1"/>
                <w:sz w:val="28"/>
                <w:szCs w:val="28"/>
              </w:rPr>
            </w:pPr>
            <w:r w:rsidRPr="00920597">
              <w:rPr>
                <w:rFonts w:ascii="標楷體" w:eastAsia="標楷體" w:hAnsi="標楷體" w:hint="eastAsia"/>
                <w:b/>
                <w:bCs/>
                <w:color w:val="000000" w:themeColor="text1"/>
                <w:sz w:val="28"/>
                <w:szCs w:val="28"/>
              </w:rPr>
              <w:t>序號</w:t>
            </w:r>
          </w:p>
        </w:tc>
        <w:tc>
          <w:tcPr>
            <w:tcW w:w="1438" w:type="pct"/>
            <w:tcBorders>
              <w:top w:val="single" w:sz="4" w:space="0" w:color="auto"/>
              <w:left w:val="single" w:sz="4" w:space="0" w:color="auto"/>
              <w:bottom w:val="single" w:sz="4" w:space="0" w:color="auto"/>
              <w:right w:val="single" w:sz="4" w:space="0" w:color="auto"/>
            </w:tcBorders>
            <w:vAlign w:val="center"/>
          </w:tcPr>
          <w:p w:rsidR="00B44253" w:rsidRPr="00920597" w:rsidRDefault="00B44253" w:rsidP="00B44253">
            <w:pPr>
              <w:spacing w:line="400" w:lineRule="exact"/>
              <w:jc w:val="center"/>
              <w:rPr>
                <w:rFonts w:ascii="標楷體" w:eastAsia="標楷體" w:hAnsi="標楷體"/>
                <w:b/>
                <w:bCs/>
                <w:color w:val="000000" w:themeColor="text1"/>
                <w:sz w:val="28"/>
                <w:szCs w:val="28"/>
              </w:rPr>
            </w:pPr>
            <w:r w:rsidRPr="00920597">
              <w:rPr>
                <w:rFonts w:ascii="標楷體" w:eastAsia="標楷體" w:hAnsi="標楷體" w:hint="eastAsia"/>
                <w:b/>
                <w:bCs/>
                <w:color w:val="000000" w:themeColor="text1"/>
                <w:sz w:val="28"/>
                <w:szCs w:val="28"/>
              </w:rPr>
              <w:t>法案名稱</w:t>
            </w:r>
            <w:r w:rsidRPr="00920597">
              <w:rPr>
                <w:rFonts w:ascii="標楷體" w:eastAsia="標楷體" w:hAnsi="標楷體" w:hint="eastAsia"/>
                <w:b/>
                <w:color w:val="000000" w:themeColor="text1"/>
                <w:sz w:val="28"/>
                <w:szCs w:val="28"/>
              </w:rPr>
              <w:t>及提案單位</w:t>
            </w:r>
          </w:p>
        </w:tc>
        <w:tc>
          <w:tcPr>
            <w:tcW w:w="808" w:type="pct"/>
            <w:tcBorders>
              <w:top w:val="single" w:sz="4" w:space="0" w:color="auto"/>
              <w:left w:val="single" w:sz="4" w:space="0" w:color="auto"/>
              <w:bottom w:val="single" w:sz="4" w:space="0" w:color="auto"/>
              <w:right w:val="single" w:sz="4" w:space="0" w:color="auto"/>
            </w:tcBorders>
            <w:vAlign w:val="center"/>
          </w:tcPr>
          <w:p w:rsidR="00B44253" w:rsidRPr="00920597" w:rsidRDefault="00B44253" w:rsidP="00A530E9">
            <w:pPr>
              <w:spacing w:line="400" w:lineRule="exact"/>
              <w:jc w:val="center"/>
              <w:rPr>
                <w:rFonts w:ascii="標楷體" w:eastAsia="標楷體" w:hAnsi="標楷體"/>
                <w:b/>
                <w:bCs/>
                <w:color w:val="000000" w:themeColor="text1"/>
                <w:sz w:val="28"/>
                <w:szCs w:val="28"/>
              </w:rPr>
            </w:pPr>
            <w:r w:rsidRPr="00920597">
              <w:rPr>
                <w:rFonts w:ascii="標楷體" w:eastAsia="標楷體" w:hAnsi="標楷體" w:hint="eastAsia"/>
                <w:b/>
                <w:bCs/>
                <w:color w:val="000000" w:themeColor="text1"/>
                <w:sz w:val="28"/>
                <w:szCs w:val="28"/>
              </w:rPr>
              <w:t>院會交付</w:t>
            </w:r>
          </w:p>
          <w:p w:rsidR="00B44253" w:rsidRPr="00920597" w:rsidRDefault="00B44253" w:rsidP="00A530E9">
            <w:pPr>
              <w:spacing w:line="400" w:lineRule="exact"/>
              <w:jc w:val="center"/>
              <w:rPr>
                <w:rFonts w:ascii="標楷體" w:eastAsia="標楷體" w:hAnsi="標楷體"/>
                <w:b/>
                <w:bCs/>
                <w:color w:val="000000" w:themeColor="text1"/>
                <w:sz w:val="28"/>
                <w:szCs w:val="28"/>
              </w:rPr>
            </w:pPr>
            <w:r w:rsidRPr="00920597">
              <w:rPr>
                <w:rFonts w:ascii="標楷體" w:eastAsia="標楷體" w:hAnsi="標楷體" w:hint="eastAsia"/>
                <w:b/>
                <w:bCs/>
                <w:color w:val="000000" w:themeColor="text1"/>
                <w:sz w:val="28"/>
                <w:szCs w:val="28"/>
              </w:rPr>
              <w:t>會次及日期</w:t>
            </w:r>
          </w:p>
        </w:tc>
        <w:tc>
          <w:tcPr>
            <w:tcW w:w="540" w:type="pct"/>
            <w:tcBorders>
              <w:top w:val="single" w:sz="4" w:space="0" w:color="auto"/>
              <w:left w:val="single" w:sz="4" w:space="0" w:color="auto"/>
              <w:bottom w:val="single" w:sz="4" w:space="0" w:color="auto"/>
              <w:right w:val="single" w:sz="4" w:space="0" w:color="auto"/>
            </w:tcBorders>
            <w:vAlign w:val="center"/>
          </w:tcPr>
          <w:p w:rsidR="00B44253" w:rsidRPr="00920597" w:rsidRDefault="00B44253" w:rsidP="00B44253">
            <w:pPr>
              <w:spacing w:line="400" w:lineRule="exact"/>
              <w:jc w:val="center"/>
              <w:rPr>
                <w:rFonts w:ascii="標楷體" w:eastAsia="標楷體" w:hAnsi="標楷體"/>
                <w:b/>
                <w:bCs/>
                <w:color w:val="000000" w:themeColor="text1"/>
                <w:sz w:val="28"/>
                <w:szCs w:val="28"/>
              </w:rPr>
            </w:pPr>
            <w:r w:rsidRPr="00920597">
              <w:rPr>
                <w:rFonts w:ascii="標楷體" w:eastAsia="標楷體" w:hAnsi="標楷體" w:hint="eastAsia"/>
                <w:b/>
                <w:bCs/>
                <w:color w:val="000000" w:themeColor="text1"/>
                <w:sz w:val="28"/>
                <w:szCs w:val="28"/>
              </w:rPr>
              <w:t>聯席</w:t>
            </w:r>
          </w:p>
          <w:p w:rsidR="00B44253" w:rsidRPr="00920597" w:rsidRDefault="00B44253" w:rsidP="00B44253">
            <w:pPr>
              <w:spacing w:line="400" w:lineRule="exact"/>
              <w:jc w:val="center"/>
              <w:rPr>
                <w:rFonts w:ascii="標楷體" w:eastAsia="標楷體" w:hAnsi="標楷體"/>
                <w:b/>
                <w:bCs/>
                <w:color w:val="000000" w:themeColor="text1"/>
                <w:sz w:val="28"/>
                <w:szCs w:val="28"/>
              </w:rPr>
            </w:pPr>
            <w:r w:rsidRPr="00920597">
              <w:rPr>
                <w:rFonts w:ascii="標楷體" w:eastAsia="標楷體" w:hAnsi="標楷體" w:hint="eastAsia"/>
                <w:b/>
                <w:bCs/>
                <w:color w:val="000000" w:themeColor="text1"/>
                <w:sz w:val="28"/>
                <w:szCs w:val="28"/>
              </w:rPr>
              <w:t>委員會</w:t>
            </w:r>
          </w:p>
        </w:tc>
        <w:tc>
          <w:tcPr>
            <w:tcW w:w="809" w:type="pct"/>
            <w:tcBorders>
              <w:top w:val="single" w:sz="4" w:space="0" w:color="auto"/>
              <w:left w:val="single" w:sz="4" w:space="0" w:color="auto"/>
              <w:bottom w:val="single" w:sz="4" w:space="0" w:color="auto"/>
              <w:right w:val="single" w:sz="4" w:space="0" w:color="auto"/>
            </w:tcBorders>
            <w:vAlign w:val="center"/>
          </w:tcPr>
          <w:p w:rsidR="00B44253" w:rsidRPr="00920597" w:rsidRDefault="00B44253" w:rsidP="00B44253">
            <w:pPr>
              <w:spacing w:line="400" w:lineRule="exact"/>
              <w:jc w:val="center"/>
              <w:rPr>
                <w:rFonts w:ascii="標楷體" w:eastAsia="標楷體" w:hAnsi="標楷體"/>
                <w:b/>
                <w:bCs/>
                <w:color w:val="000000" w:themeColor="text1"/>
                <w:sz w:val="28"/>
                <w:szCs w:val="28"/>
              </w:rPr>
            </w:pPr>
            <w:r w:rsidRPr="00920597">
              <w:rPr>
                <w:rFonts w:ascii="標楷體" w:eastAsia="標楷體" w:hAnsi="標楷體" w:hint="eastAsia"/>
                <w:b/>
                <w:bCs/>
                <w:color w:val="000000" w:themeColor="text1"/>
                <w:sz w:val="28"/>
                <w:szCs w:val="28"/>
              </w:rPr>
              <w:t>處理情形</w:t>
            </w:r>
          </w:p>
        </w:tc>
        <w:tc>
          <w:tcPr>
            <w:tcW w:w="1078" w:type="pct"/>
            <w:tcBorders>
              <w:top w:val="single" w:sz="4" w:space="0" w:color="auto"/>
              <w:left w:val="single" w:sz="4" w:space="0" w:color="auto"/>
              <w:bottom w:val="single" w:sz="4" w:space="0" w:color="auto"/>
              <w:right w:val="single" w:sz="4" w:space="0" w:color="auto"/>
            </w:tcBorders>
            <w:vAlign w:val="center"/>
          </w:tcPr>
          <w:p w:rsidR="00B44253" w:rsidRPr="00920597" w:rsidRDefault="00B44253" w:rsidP="00B44253">
            <w:pPr>
              <w:spacing w:line="400" w:lineRule="exact"/>
              <w:jc w:val="center"/>
              <w:rPr>
                <w:rFonts w:ascii="標楷體" w:eastAsia="標楷體" w:hAnsi="標楷體"/>
                <w:b/>
                <w:bCs/>
                <w:color w:val="000000" w:themeColor="text1"/>
                <w:sz w:val="28"/>
                <w:szCs w:val="28"/>
              </w:rPr>
            </w:pPr>
            <w:r w:rsidRPr="00920597">
              <w:rPr>
                <w:rFonts w:ascii="標楷體" w:eastAsia="標楷體" w:hAnsi="標楷體" w:hint="eastAsia"/>
                <w:b/>
                <w:bCs/>
                <w:color w:val="000000" w:themeColor="text1"/>
                <w:sz w:val="28"/>
                <w:szCs w:val="28"/>
              </w:rPr>
              <w:t>備註</w:t>
            </w:r>
          </w:p>
        </w:tc>
      </w:tr>
      <w:tr w:rsidR="00F74345" w:rsidRPr="00920597" w:rsidTr="00F74345">
        <w:trPr>
          <w:trHeight w:val="615"/>
        </w:trPr>
        <w:tc>
          <w:tcPr>
            <w:tcW w:w="327" w:type="pct"/>
            <w:vAlign w:val="center"/>
          </w:tcPr>
          <w:p w:rsidR="00F74345" w:rsidRPr="00920597" w:rsidRDefault="00F74345" w:rsidP="006934DD">
            <w:pPr>
              <w:numPr>
                <w:ilvl w:val="0"/>
                <w:numId w:val="13"/>
              </w:numPr>
              <w:spacing w:line="400" w:lineRule="exact"/>
              <w:rPr>
                <w:rFonts w:ascii="標楷體" w:eastAsia="標楷體" w:hAnsi="標楷體"/>
                <w:color w:val="000000" w:themeColor="text1"/>
                <w:sz w:val="28"/>
                <w:szCs w:val="28"/>
              </w:rPr>
            </w:pPr>
          </w:p>
        </w:tc>
        <w:tc>
          <w:tcPr>
            <w:tcW w:w="1438" w:type="pct"/>
          </w:tcPr>
          <w:p w:rsidR="00F74345" w:rsidRPr="000A165C" w:rsidRDefault="00F74345" w:rsidP="00F74345">
            <w:pPr>
              <w:pStyle w:val="0-"/>
            </w:pPr>
            <w:r w:rsidRPr="000A165C">
              <w:rPr>
                <w:rFonts w:hint="eastAsia"/>
              </w:rPr>
              <w:t>游離輻射防護法部分條文修正草案</w:t>
            </w:r>
          </w:p>
          <w:p w:rsidR="00F74345" w:rsidRPr="000A165C" w:rsidRDefault="00F74345" w:rsidP="00F74345">
            <w:pPr>
              <w:pStyle w:val="0-"/>
            </w:pPr>
            <w:r w:rsidRPr="000A165C">
              <w:rPr>
                <w:rFonts w:hint="eastAsia"/>
              </w:rPr>
              <w:t>(委員陳秀寳等</w:t>
            </w:r>
            <w:r w:rsidRPr="000A165C">
              <w:t>18</w:t>
            </w:r>
            <w:r w:rsidRPr="000A165C">
              <w:rPr>
                <w:rFonts w:hint="eastAsia"/>
              </w:rPr>
              <w:t>人</w:t>
            </w:r>
            <w:r w:rsidRPr="000A165C">
              <w:t>)</w:t>
            </w:r>
          </w:p>
        </w:tc>
        <w:tc>
          <w:tcPr>
            <w:tcW w:w="808" w:type="pct"/>
          </w:tcPr>
          <w:p w:rsidR="00F74345" w:rsidRPr="000A165C" w:rsidRDefault="00F74345" w:rsidP="00F74345">
            <w:pPr>
              <w:pStyle w:val="0-"/>
            </w:pPr>
            <w:r w:rsidRPr="000A165C">
              <w:t>10-3-8</w:t>
            </w:r>
          </w:p>
          <w:p w:rsidR="00F74345" w:rsidRPr="000A165C" w:rsidRDefault="00F74345" w:rsidP="00F74345">
            <w:pPr>
              <w:pStyle w:val="0-"/>
            </w:pPr>
            <w:r w:rsidRPr="000A165C">
              <w:t>(110.4.16)</w:t>
            </w:r>
          </w:p>
        </w:tc>
        <w:tc>
          <w:tcPr>
            <w:tcW w:w="540" w:type="pct"/>
          </w:tcPr>
          <w:p w:rsidR="00F74345" w:rsidRPr="000A165C" w:rsidRDefault="00F74345" w:rsidP="00F74345">
            <w:pPr>
              <w:rPr>
                <w:rFonts w:ascii="標楷體" w:eastAsia="標楷體" w:hAnsi="標楷體"/>
                <w:color w:val="000000"/>
                <w:sz w:val="28"/>
                <w:szCs w:val="28"/>
              </w:rPr>
            </w:pPr>
          </w:p>
        </w:tc>
        <w:tc>
          <w:tcPr>
            <w:tcW w:w="809" w:type="pct"/>
          </w:tcPr>
          <w:p w:rsidR="00F74345" w:rsidRPr="005B74D5" w:rsidRDefault="00F74345"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1078" w:type="pct"/>
          </w:tcPr>
          <w:p w:rsidR="00F74345" w:rsidRPr="000A165C" w:rsidRDefault="00F74345" w:rsidP="00F74345">
            <w:pPr>
              <w:pStyle w:val="0-"/>
            </w:pPr>
            <w:r w:rsidRPr="000A165C">
              <w:rPr>
                <w:rFonts w:hint="eastAsia"/>
              </w:rPr>
              <w:t>為積極防止游離輻射作業相關人員之職業災害發生。</w:t>
            </w:r>
          </w:p>
          <w:p w:rsidR="00F74345" w:rsidRPr="000A165C" w:rsidRDefault="00F74345" w:rsidP="00F74345">
            <w:pPr>
              <w:pStyle w:val="0-"/>
            </w:pPr>
            <w:r w:rsidRPr="000A165C">
              <w:rPr>
                <w:rFonts w:hint="eastAsia"/>
              </w:rPr>
              <w:t>(14條)</w:t>
            </w:r>
          </w:p>
        </w:tc>
      </w:tr>
      <w:tr w:rsidR="00F74345" w:rsidRPr="00920597" w:rsidTr="00F74345">
        <w:trPr>
          <w:trHeight w:val="615"/>
        </w:trPr>
        <w:tc>
          <w:tcPr>
            <w:tcW w:w="327" w:type="pct"/>
            <w:vAlign w:val="center"/>
          </w:tcPr>
          <w:p w:rsidR="00F74345" w:rsidRPr="00920597" w:rsidRDefault="00F74345" w:rsidP="006934DD">
            <w:pPr>
              <w:numPr>
                <w:ilvl w:val="0"/>
                <w:numId w:val="13"/>
              </w:numPr>
              <w:spacing w:line="400" w:lineRule="exact"/>
              <w:rPr>
                <w:rFonts w:ascii="標楷體" w:eastAsia="標楷體" w:hAnsi="標楷體"/>
                <w:color w:val="000000" w:themeColor="text1"/>
                <w:sz w:val="28"/>
                <w:szCs w:val="28"/>
              </w:rPr>
            </w:pPr>
          </w:p>
        </w:tc>
        <w:tc>
          <w:tcPr>
            <w:tcW w:w="1438" w:type="pct"/>
          </w:tcPr>
          <w:p w:rsidR="00F74345" w:rsidRPr="00C77949" w:rsidRDefault="00F74345" w:rsidP="00F74345">
            <w:pPr>
              <w:pStyle w:val="0-"/>
            </w:pPr>
            <w:r w:rsidRPr="00C77949">
              <w:rPr>
                <w:rFonts w:hint="eastAsia"/>
              </w:rPr>
              <w:t>游離輻射防護法第三十一條條文修正草案</w:t>
            </w:r>
          </w:p>
          <w:p w:rsidR="00F74345" w:rsidRPr="00C77949" w:rsidRDefault="00F74345" w:rsidP="00F74345">
            <w:pPr>
              <w:pStyle w:val="0-"/>
            </w:pPr>
            <w:r w:rsidRPr="00C77949">
              <w:rPr>
                <w:rFonts w:hint="eastAsia"/>
              </w:rPr>
              <w:t>(委員李貴敏等17人)</w:t>
            </w:r>
          </w:p>
        </w:tc>
        <w:tc>
          <w:tcPr>
            <w:tcW w:w="808" w:type="pct"/>
          </w:tcPr>
          <w:p w:rsidR="00F74345" w:rsidRPr="00C77949" w:rsidRDefault="00F74345" w:rsidP="00F74345">
            <w:pPr>
              <w:pStyle w:val="0-"/>
            </w:pPr>
            <w:r w:rsidRPr="00C77949">
              <w:t>10-6-5</w:t>
            </w:r>
          </w:p>
          <w:p w:rsidR="00F74345" w:rsidRPr="00C77949" w:rsidRDefault="00F74345" w:rsidP="00F74345">
            <w:pPr>
              <w:pStyle w:val="0-"/>
            </w:pPr>
            <w:r w:rsidRPr="00C77949">
              <w:t>(</w:t>
            </w:r>
            <w:r w:rsidRPr="00F74345">
              <w:rPr>
                <w:spacing w:val="-20"/>
              </w:rPr>
              <w:t>111.10.28</w:t>
            </w:r>
            <w:r w:rsidRPr="00C77949">
              <w:t>)</w:t>
            </w:r>
          </w:p>
        </w:tc>
        <w:tc>
          <w:tcPr>
            <w:tcW w:w="540" w:type="pct"/>
          </w:tcPr>
          <w:p w:rsidR="00F74345" w:rsidRPr="00C77949" w:rsidRDefault="00F74345" w:rsidP="00F74345">
            <w:pPr>
              <w:rPr>
                <w:rFonts w:ascii="標楷體" w:eastAsia="標楷體" w:hAnsi="標楷體"/>
                <w:color w:val="000000"/>
                <w:sz w:val="28"/>
                <w:szCs w:val="28"/>
              </w:rPr>
            </w:pPr>
          </w:p>
        </w:tc>
        <w:tc>
          <w:tcPr>
            <w:tcW w:w="809" w:type="pct"/>
          </w:tcPr>
          <w:p w:rsidR="00F74345" w:rsidRPr="005B74D5" w:rsidRDefault="00F74345"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1078" w:type="pct"/>
          </w:tcPr>
          <w:p w:rsidR="00F74345" w:rsidRPr="00C77949" w:rsidRDefault="00F74345" w:rsidP="00F74345">
            <w:pPr>
              <w:pStyle w:val="0-"/>
            </w:pPr>
            <w:r w:rsidRPr="00C77949">
              <w:rPr>
                <w:rFonts w:hint="eastAsia"/>
              </w:rPr>
              <w:t>有鑑於醫學院學生如已在校選修並取得放射線學學分，其後任職時，不宜浪費社會資源而應將培訓名額讓與他人學習。(1條)</w:t>
            </w:r>
          </w:p>
        </w:tc>
      </w:tr>
      <w:tr w:rsidR="00F74345" w:rsidRPr="00920597" w:rsidTr="00F74345">
        <w:trPr>
          <w:trHeight w:val="615"/>
        </w:trPr>
        <w:tc>
          <w:tcPr>
            <w:tcW w:w="327" w:type="pct"/>
            <w:vAlign w:val="center"/>
          </w:tcPr>
          <w:p w:rsidR="00F74345" w:rsidRPr="00920597" w:rsidRDefault="00F74345" w:rsidP="006934DD">
            <w:pPr>
              <w:numPr>
                <w:ilvl w:val="0"/>
                <w:numId w:val="13"/>
              </w:numPr>
              <w:spacing w:line="400" w:lineRule="exact"/>
              <w:rPr>
                <w:rFonts w:ascii="標楷體" w:eastAsia="標楷體" w:hAnsi="標楷體"/>
                <w:color w:val="000000" w:themeColor="text1"/>
                <w:sz w:val="28"/>
                <w:szCs w:val="28"/>
              </w:rPr>
            </w:pPr>
          </w:p>
        </w:tc>
        <w:tc>
          <w:tcPr>
            <w:tcW w:w="1438" w:type="pct"/>
          </w:tcPr>
          <w:p w:rsidR="00F74345" w:rsidRPr="00881C50" w:rsidRDefault="00F74345" w:rsidP="00F74345">
            <w:pPr>
              <w:pStyle w:val="0-"/>
            </w:pPr>
            <w:r w:rsidRPr="00881C50">
              <w:rPr>
                <w:rFonts w:hint="eastAsia"/>
              </w:rPr>
              <w:t>放射性廢棄物管理條例草案</w:t>
            </w:r>
          </w:p>
          <w:p w:rsidR="00F74345" w:rsidRPr="00881C50" w:rsidRDefault="00F74345" w:rsidP="00F74345">
            <w:pPr>
              <w:pStyle w:val="0-"/>
            </w:pPr>
            <w:r w:rsidRPr="00881C50">
              <w:rPr>
                <w:rFonts w:hint="eastAsia"/>
              </w:rPr>
              <w:t>(時代力量黨團)</w:t>
            </w:r>
          </w:p>
        </w:tc>
        <w:tc>
          <w:tcPr>
            <w:tcW w:w="808" w:type="pct"/>
          </w:tcPr>
          <w:p w:rsidR="00F74345" w:rsidRPr="00881C50" w:rsidRDefault="00F74345" w:rsidP="00F74345">
            <w:pPr>
              <w:pStyle w:val="0-"/>
            </w:pPr>
            <w:r w:rsidRPr="00881C50">
              <w:t>10-4-13</w:t>
            </w:r>
          </w:p>
          <w:p w:rsidR="00F74345" w:rsidRPr="00881C50" w:rsidRDefault="00F74345" w:rsidP="00F74345">
            <w:pPr>
              <w:pStyle w:val="0-"/>
            </w:pPr>
            <w:r w:rsidRPr="00881C50">
              <w:t>(</w:t>
            </w:r>
            <w:r w:rsidRPr="00F74345">
              <w:rPr>
                <w:spacing w:val="-20"/>
              </w:rPr>
              <w:t>110.12.10</w:t>
            </w:r>
            <w:r w:rsidRPr="00881C50">
              <w:t>)</w:t>
            </w:r>
          </w:p>
        </w:tc>
        <w:tc>
          <w:tcPr>
            <w:tcW w:w="540" w:type="pct"/>
          </w:tcPr>
          <w:p w:rsidR="00F74345" w:rsidRPr="00881C50" w:rsidRDefault="00F74345" w:rsidP="00F74345">
            <w:pPr>
              <w:spacing w:line="400" w:lineRule="exact"/>
              <w:ind w:leftChars="-12" w:left="-29" w:firstLine="2"/>
              <w:rPr>
                <w:rFonts w:ascii="標楷體" w:eastAsia="標楷體" w:hAnsi="標楷體"/>
                <w:color w:val="000000"/>
                <w:sz w:val="28"/>
              </w:rPr>
            </w:pPr>
            <w:r w:rsidRPr="00881C50">
              <w:rPr>
                <w:rFonts w:ascii="標楷體" w:eastAsia="標楷體" w:hAnsi="標楷體" w:hint="eastAsia"/>
                <w:color w:val="000000"/>
                <w:sz w:val="28"/>
              </w:rPr>
              <w:t>經濟</w:t>
            </w:r>
          </w:p>
        </w:tc>
        <w:tc>
          <w:tcPr>
            <w:tcW w:w="809" w:type="pct"/>
          </w:tcPr>
          <w:p w:rsidR="00F74345" w:rsidRPr="005B74D5" w:rsidRDefault="00F74345"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1078" w:type="pct"/>
          </w:tcPr>
          <w:p w:rsidR="00F74345" w:rsidRPr="00881C50" w:rsidRDefault="00F74345" w:rsidP="00F74345">
            <w:pPr>
              <w:pStyle w:val="0-"/>
            </w:pPr>
            <w:r w:rsidRPr="00881C50">
              <w:rPr>
                <w:rFonts w:hint="eastAsia"/>
              </w:rPr>
              <w:t>為積極推動放射性廢棄物有效管理，實踐環境永續發展，兼顧世代公平正義，確保人民生命健康及財產安全。(64條)</w:t>
            </w:r>
          </w:p>
        </w:tc>
      </w:tr>
      <w:tr w:rsidR="00F74345" w:rsidRPr="00920597" w:rsidTr="00F74345">
        <w:trPr>
          <w:trHeight w:val="615"/>
        </w:trPr>
        <w:tc>
          <w:tcPr>
            <w:tcW w:w="327" w:type="pct"/>
            <w:vAlign w:val="center"/>
          </w:tcPr>
          <w:p w:rsidR="00F74345" w:rsidRPr="00920597" w:rsidRDefault="00F74345" w:rsidP="006934DD">
            <w:pPr>
              <w:numPr>
                <w:ilvl w:val="0"/>
                <w:numId w:val="13"/>
              </w:numPr>
              <w:spacing w:line="400" w:lineRule="exact"/>
              <w:rPr>
                <w:rFonts w:ascii="標楷體" w:eastAsia="標楷體" w:hAnsi="標楷體"/>
                <w:color w:val="000000" w:themeColor="text1"/>
                <w:sz w:val="28"/>
                <w:szCs w:val="28"/>
              </w:rPr>
            </w:pPr>
          </w:p>
        </w:tc>
        <w:tc>
          <w:tcPr>
            <w:tcW w:w="1438" w:type="pct"/>
          </w:tcPr>
          <w:p w:rsidR="00F74345" w:rsidRPr="00F4185D" w:rsidRDefault="00F74345" w:rsidP="00F74345">
            <w:pPr>
              <w:pStyle w:val="0-"/>
            </w:pPr>
            <w:r w:rsidRPr="00F4185D">
              <w:rPr>
                <w:rFonts w:hint="eastAsia"/>
              </w:rPr>
              <w:t>原子能法部分條文修正草案</w:t>
            </w:r>
          </w:p>
          <w:p w:rsidR="00F74345" w:rsidRPr="00F4185D" w:rsidRDefault="00F74345" w:rsidP="00F74345">
            <w:pPr>
              <w:pStyle w:val="0-"/>
            </w:pPr>
            <w:r w:rsidRPr="00F4185D">
              <w:rPr>
                <w:rFonts w:hint="eastAsia"/>
              </w:rPr>
              <w:t>(</w:t>
            </w:r>
            <w:r>
              <w:rPr>
                <w:rFonts w:hint="eastAsia"/>
              </w:rPr>
              <w:t>委</w:t>
            </w:r>
            <w:r w:rsidRPr="00F4185D">
              <w:rPr>
                <w:rFonts w:hint="eastAsia"/>
              </w:rPr>
              <w:t>員萬美玲等18人)</w:t>
            </w:r>
          </w:p>
        </w:tc>
        <w:tc>
          <w:tcPr>
            <w:tcW w:w="808" w:type="pct"/>
          </w:tcPr>
          <w:p w:rsidR="00F74345" w:rsidRPr="00F4185D" w:rsidRDefault="00F74345" w:rsidP="00F74345">
            <w:pPr>
              <w:pStyle w:val="0-"/>
            </w:pPr>
            <w:r w:rsidRPr="00F4185D">
              <w:rPr>
                <w:rFonts w:hint="eastAsia"/>
              </w:rPr>
              <w:t>10-5-7</w:t>
            </w:r>
          </w:p>
          <w:p w:rsidR="00F74345" w:rsidRPr="00F4185D" w:rsidRDefault="00F74345" w:rsidP="00F74345">
            <w:pPr>
              <w:pStyle w:val="0-"/>
            </w:pPr>
            <w:r w:rsidRPr="00F4185D">
              <w:rPr>
                <w:rFonts w:hint="eastAsia"/>
              </w:rPr>
              <w:t>(111.4.8)</w:t>
            </w:r>
          </w:p>
          <w:p w:rsidR="00F74345" w:rsidRPr="00F4185D" w:rsidRDefault="00F74345" w:rsidP="00F74345">
            <w:pPr>
              <w:pStyle w:val="0-"/>
            </w:pPr>
          </w:p>
        </w:tc>
        <w:tc>
          <w:tcPr>
            <w:tcW w:w="540" w:type="pct"/>
          </w:tcPr>
          <w:p w:rsidR="00F74345" w:rsidRPr="00F4185D" w:rsidRDefault="00F74345" w:rsidP="00F74345">
            <w:pPr>
              <w:spacing w:line="400" w:lineRule="exact"/>
              <w:ind w:leftChars="-12" w:left="-29" w:firstLine="2"/>
              <w:rPr>
                <w:rFonts w:ascii="標楷體" w:eastAsia="標楷體" w:hAnsi="標楷體"/>
                <w:color w:val="000000"/>
                <w:sz w:val="28"/>
              </w:rPr>
            </w:pPr>
          </w:p>
        </w:tc>
        <w:tc>
          <w:tcPr>
            <w:tcW w:w="809" w:type="pct"/>
          </w:tcPr>
          <w:p w:rsidR="00F74345" w:rsidRPr="005B74D5" w:rsidRDefault="00F74345"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1078" w:type="pct"/>
          </w:tcPr>
          <w:p w:rsidR="00F74345" w:rsidRPr="00F4185D" w:rsidRDefault="00F74345" w:rsidP="00F74345">
            <w:pPr>
              <w:pStyle w:val="0-"/>
            </w:pPr>
            <w:r w:rsidRPr="00F4185D">
              <w:rPr>
                <w:rFonts w:hint="eastAsia"/>
              </w:rPr>
              <w:t>現行「原子能法」各條條文仍為原子能委員會，並未隨「行政院原子能委員會組織條例」之公布施行後更改，為使法律有一致性。(8條)</w:t>
            </w:r>
          </w:p>
        </w:tc>
      </w:tr>
      <w:tr w:rsidR="00F74345" w:rsidRPr="00920597" w:rsidTr="00F74345">
        <w:trPr>
          <w:trHeight w:val="615"/>
        </w:trPr>
        <w:tc>
          <w:tcPr>
            <w:tcW w:w="327" w:type="pct"/>
            <w:vAlign w:val="center"/>
          </w:tcPr>
          <w:p w:rsidR="00F74345" w:rsidRPr="00920597" w:rsidRDefault="00F74345" w:rsidP="006934DD">
            <w:pPr>
              <w:numPr>
                <w:ilvl w:val="0"/>
                <w:numId w:val="13"/>
              </w:numPr>
              <w:spacing w:line="400" w:lineRule="exact"/>
              <w:rPr>
                <w:rFonts w:ascii="標楷體" w:eastAsia="標楷體" w:hAnsi="標楷體"/>
                <w:color w:val="000000" w:themeColor="text1"/>
                <w:sz w:val="28"/>
                <w:szCs w:val="28"/>
              </w:rPr>
            </w:pPr>
          </w:p>
        </w:tc>
        <w:tc>
          <w:tcPr>
            <w:tcW w:w="1438" w:type="pct"/>
          </w:tcPr>
          <w:p w:rsidR="00F74345" w:rsidRPr="007B3632" w:rsidRDefault="00F74345" w:rsidP="00F74345">
            <w:pPr>
              <w:pStyle w:val="0-"/>
            </w:pPr>
            <w:r w:rsidRPr="007B3632">
              <w:rPr>
                <w:rFonts w:hint="eastAsia"/>
              </w:rPr>
              <w:t>低放射性廢棄物最終處置設施場址設置條</w:t>
            </w:r>
            <w:r w:rsidRPr="007B3632">
              <w:rPr>
                <w:rFonts w:hint="eastAsia"/>
              </w:rPr>
              <w:lastRenderedPageBreak/>
              <w:t>例第四條條文修正草案</w:t>
            </w:r>
          </w:p>
          <w:p w:rsidR="00F74345" w:rsidRPr="007B3632" w:rsidRDefault="00F74345" w:rsidP="00F74345">
            <w:pPr>
              <w:pStyle w:val="0-"/>
            </w:pPr>
            <w:r w:rsidRPr="007B3632">
              <w:rPr>
                <w:rFonts w:hint="eastAsia"/>
              </w:rPr>
              <w:t>(委員林德福等17人)</w:t>
            </w:r>
          </w:p>
        </w:tc>
        <w:tc>
          <w:tcPr>
            <w:tcW w:w="808" w:type="pct"/>
          </w:tcPr>
          <w:p w:rsidR="00F74345" w:rsidRPr="007B3632" w:rsidRDefault="00F74345" w:rsidP="00F74345">
            <w:pPr>
              <w:pStyle w:val="0-"/>
            </w:pPr>
            <w:r w:rsidRPr="007B3632">
              <w:lastRenderedPageBreak/>
              <w:t>10-6-4</w:t>
            </w:r>
          </w:p>
          <w:p w:rsidR="00F74345" w:rsidRPr="007B3632" w:rsidRDefault="00F74345" w:rsidP="00F74345">
            <w:pPr>
              <w:pStyle w:val="0-"/>
            </w:pPr>
            <w:r w:rsidRPr="007B3632">
              <w:t>(</w:t>
            </w:r>
            <w:r w:rsidRPr="00F74345">
              <w:rPr>
                <w:spacing w:val="-20"/>
              </w:rPr>
              <w:t>111.10.14</w:t>
            </w:r>
            <w:r w:rsidRPr="007B3632">
              <w:t>)</w:t>
            </w:r>
          </w:p>
        </w:tc>
        <w:tc>
          <w:tcPr>
            <w:tcW w:w="540" w:type="pct"/>
          </w:tcPr>
          <w:p w:rsidR="00F74345" w:rsidRPr="007B3632" w:rsidRDefault="00F74345" w:rsidP="00F74345">
            <w:pPr>
              <w:spacing w:line="400" w:lineRule="exact"/>
              <w:ind w:leftChars="-12" w:left="-29" w:firstLine="2"/>
              <w:rPr>
                <w:rFonts w:ascii="標楷體" w:eastAsia="標楷體" w:hAnsi="標楷體"/>
                <w:color w:val="000000"/>
                <w:sz w:val="28"/>
              </w:rPr>
            </w:pPr>
            <w:r w:rsidRPr="007B3632">
              <w:rPr>
                <w:rFonts w:ascii="標楷體" w:eastAsia="標楷體" w:hAnsi="標楷體" w:hint="eastAsia"/>
                <w:color w:val="000000"/>
                <w:sz w:val="28"/>
              </w:rPr>
              <w:t>經濟</w:t>
            </w:r>
          </w:p>
        </w:tc>
        <w:tc>
          <w:tcPr>
            <w:tcW w:w="809" w:type="pct"/>
          </w:tcPr>
          <w:p w:rsidR="00F74345" w:rsidRPr="005B74D5" w:rsidRDefault="00F74345"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c>
          <w:tcPr>
            <w:tcW w:w="1078" w:type="pct"/>
          </w:tcPr>
          <w:p w:rsidR="00F74345" w:rsidRPr="007B3632" w:rsidRDefault="00F74345" w:rsidP="00F74345">
            <w:pPr>
              <w:pStyle w:val="0-"/>
            </w:pPr>
            <w:r w:rsidRPr="007B3632">
              <w:rPr>
                <w:rFonts w:hint="eastAsia"/>
              </w:rPr>
              <w:t>對於高人口密度認定方式，應以</w:t>
            </w:r>
            <w:r w:rsidRPr="007B3632">
              <w:rPr>
                <w:rFonts w:hint="eastAsia"/>
              </w:rPr>
              <w:lastRenderedPageBreak/>
              <w:t>直轄市、縣（市）整體範圍為考量，以求民意之周全。(1條)</w:t>
            </w:r>
          </w:p>
        </w:tc>
      </w:tr>
    </w:tbl>
    <w:p w:rsidR="00FB0608" w:rsidRPr="00920597" w:rsidRDefault="00FB0608" w:rsidP="00EE287F">
      <w:pPr>
        <w:pStyle w:val="01-21"/>
        <w:rPr>
          <w:color w:val="000000" w:themeColor="text1"/>
        </w:rPr>
      </w:pPr>
      <w:r w:rsidRPr="00920597">
        <w:rPr>
          <w:color w:val="000000" w:themeColor="text1"/>
        </w:rPr>
        <w:lastRenderedPageBreak/>
        <w:br w:type="page"/>
      </w:r>
      <w:bookmarkStart w:id="127" w:name="_Toc126068162"/>
      <w:r w:rsidRPr="00920597">
        <w:rPr>
          <w:rFonts w:hint="eastAsia"/>
          <w:color w:val="000000" w:themeColor="text1"/>
        </w:rPr>
        <w:lastRenderedPageBreak/>
        <w:t>二、預(決)算案（</w:t>
      </w:r>
      <w:r w:rsidR="00FD3BEA">
        <w:rPr>
          <w:color w:val="000000" w:themeColor="text1"/>
        </w:rPr>
        <w:t>25</w:t>
      </w:r>
      <w:r w:rsidRPr="00920597">
        <w:rPr>
          <w:rFonts w:hint="eastAsia"/>
          <w:color w:val="000000" w:themeColor="text1"/>
        </w:rPr>
        <w:t>案</w:t>
      </w:r>
      <w:r w:rsidRPr="00920597">
        <w:rPr>
          <w:color w:val="000000" w:themeColor="text1"/>
        </w:rPr>
        <w:t>）</w:t>
      </w:r>
      <w:bookmarkEnd w:id="127"/>
    </w:p>
    <w:p w:rsidR="00FB0608" w:rsidRPr="00920597" w:rsidRDefault="00FB0608" w:rsidP="008D0A60">
      <w:pPr>
        <w:pStyle w:val="01-3"/>
        <w:rPr>
          <w:bCs/>
          <w:color w:val="000000" w:themeColor="text1"/>
        </w:rPr>
      </w:pPr>
      <w:bookmarkStart w:id="128" w:name="_Toc126068163"/>
      <w:r w:rsidRPr="00920597">
        <w:rPr>
          <w:rFonts w:hint="eastAsia"/>
          <w:color w:val="000000" w:themeColor="text1"/>
        </w:rPr>
        <w:t>(</w:t>
      </w:r>
      <w:r w:rsidR="003969D6" w:rsidRPr="00920597">
        <w:rPr>
          <w:rFonts w:hint="eastAsia"/>
          <w:color w:val="000000" w:themeColor="text1"/>
        </w:rPr>
        <w:t>一</w:t>
      </w:r>
      <w:r w:rsidRPr="00920597">
        <w:rPr>
          <w:rFonts w:hint="eastAsia"/>
          <w:color w:val="000000" w:themeColor="text1"/>
        </w:rPr>
        <w:t>)財團法人預決算案（1</w:t>
      </w:r>
      <w:r w:rsidR="00FD3BEA">
        <w:rPr>
          <w:rFonts w:hint="eastAsia"/>
          <w:color w:val="000000" w:themeColor="text1"/>
        </w:rPr>
        <w:t>8</w:t>
      </w:r>
      <w:r w:rsidRPr="00920597">
        <w:rPr>
          <w:rFonts w:hint="eastAsia"/>
          <w:color w:val="000000" w:themeColor="text1"/>
        </w:rPr>
        <w:t>案）</w:t>
      </w:r>
      <w:bookmarkEnd w:id="128"/>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48"/>
        <w:gridCol w:w="3408"/>
        <w:gridCol w:w="1567"/>
        <w:gridCol w:w="942"/>
        <w:gridCol w:w="2897"/>
      </w:tblGrid>
      <w:tr w:rsidR="00FB0608" w:rsidRPr="00920597" w:rsidTr="00992F26">
        <w:trPr>
          <w:trHeight w:val="700"/>
        </w:trPr>
        <w:tc>
          <w:tcPr>
            <w:tcW w:w="342" w:type="pct"/>
            <w:vAlign w:val="center"/>
          </w:tcPr>
          <w:p w:rsidR="00FB0608" w:rsidRPr="00920597" w:rsidRDefault="00FB0608" w:rsidP="00FB0608">
            <w:pPr>
              <w:spacing w:line="400" w:lineRule="exact"/>
              <w:jc w:val="center"/>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1801" w:type="pct"/>
            <w:vAlign w:val="center"/>
          </w:tcPr>
          <w:p w:rsidR="00FB0608" w:rsidRPr="00920597" w:rsidRDefault="007A4976" w:rsidP="00254728">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28" w:type="pct"/>
            <w:vAlign w:val="center"/>
          </w:tcPr>
          <w:p w:rsidR="00FB0608" w:rsidRPr="00920597" w:rsidRDefault="00FB0608" w:rsidP="00254728">
            <w:pPr>
              <w:spacing w:line="400" w:lineRule="exact"/>
              <w:ind w:leftChars="-16" w:left="-2" w:hangingChars="13" w:hanging="36"/>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院會交付</w:t>
            </w:r>
          </w:p>
          <w:p w:rsidR="00FB0608" w:rsidRPr="00920597" w:rsidRDefault="00FB0608" w:rsidP="00254728">
            <w:pPr>
              <w:spacing w:line="400" w:lineRule="exact"/>
              <w:ind w:leftChars="-16" w:left="-2" w:hangingChars="13" w:hanging="36"/>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498" w:type="pct"/>
            <w:vAlign w:val="center"/>
          </w:tcPr>
          <w:p w:rsidR="00FB0608" w:rsidRPr="00920597" w:rsidRDefault="00FB0608" w:rsidP="00FB0608">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聯席</w:t>
            </w:r>
          </w:p>
          <w:p w:rsidR="00FB0608" w:rsidRPr="00920597" w:rsidRDefault="00FB0608" w:rsidP="00FB0608">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w:t>
            </w:r>
          </w:p>
        </w:tc>
        <w:tc>
          <w:tcPr>
            <w:tcW w:w="1531" w:type="pct"/>
            <w:vAlign w:val="center"/>
          </w:tcPr>
          <w:p w:rsidR="00FB0608" w:rsidRPr="00920597" w:rsidRDefault="00FB0608" w:rsidP="008C2561">
            <w:pPr>
              <w:spacing w:line="400" w:lineRule="exact"/>
              <w:jc w:val="distribute"/>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處理情形</w:t>
            </w:r>
          </w:p>
        </w:tc>
      </w:tr>
      <w:tr w:rsidR="00FD3BEA" w:rsidRPr="00920597" w:rsidTr="00992F26">
        <w:trPr>
          <w:trHeight w:val="567"/>
        </w:trPr>
        <w:tc>
          <w:tcPr>
            <w:tcW w:w="342" w:type="pct"/>
            <w:vAlign w:val="center"/>
          </w:tcPr>
          <w:p w:rsidR="00FD3BEA" w:rsidRPr="00920597" w:rsidRDefault="00FD3BEA" w:rsidP="00FD3BEA">
            <w:pPr>
              <w:numPr>
                <w:ilvl w:val="0"/>
                <w:numId w:val="7"/>
              </w:numPr>
              <w:spacing w:line="400" w:lineRule="exact"/>
              <w:ind w:right="113"/>
              <w:rPr>
                <w:rFonts w:ascii="標楷體" w:eastAsia="標楷體" w:hAnsi="標楷體"/>
                <w:color w:val="000000" w:themeColor="text1"/>
                <w:sz w:val="28"/>
                <w:szCs w:val="28"/>
              </w:rPr>
            </w:pPr>
          </w:p>
        </w:tc>
        <w:tc>
          <w:tcPr>
            <w:tcW w:w="1801" w:type="pct"/>
          </w:tcPr>
          <w:p w:rsidR="00FD3BEA" w:rsidRPr="00250364" w:rsidRDefault="00FD3BEA" w:rsidP="00FD3BEA">
            <w:pPr>
              <w:spacing w:line="400" w:lineRule="exact"/>
              <w:ind w:leftChars="-12" w:left="-29"/>
              <w:jc w:val="both"/>
              <w:rPr>
                <w:rFonts w:ascii="標楷體" w:eastAsia="標楷體" w:hAnsi="標楷體"/>
                <w:sz w:val="28"/>
              </w:rPr>
            </w:pPr>
            <w:r w:rsidRPr="00250364">
              <w:rPr>
                <w:rFonts w:ascii="標楷體" w:eastAsia="標楷體" w:hAnsi="標楷體" w:hint="eastAsia"/>
                <w:sz w:val="28"/>
              </w:rPr>
              <w:t>教育部函送財團法人大學入學考試中心基金會等10家財團法人110年度預算書案。</w:t>
            </w:r>
          </w:p>
        </w:tc>
        <w:tc>
          <w:tcPr>
            <w:tcW w:w="828" w:type="pct"/>
          </w:tcPr>
          <w:p w:rsidR="00FD3BEA" w:rsidRPr="00250364" w:rsidRDefault="00FD3BEA" w:rsidP="00FD3BEA">
            <w:pPr>
              <w:pStyle w:val="0-"/>
            </w:pPr>
            <w:r w:rsidRPr="00250364">
              <w:t>10-</w:t>
            </w:r>
            <w:r w:rsidRPr="00250364">
              <w:rPr>
                <w:rFonts w:hint="eastAsia"/>
              </w:rPr>
              <w:t>2</w:t>
            </w:r>
            <w:r w:rsidRPr="00250364">
              <w:t>-</w:t>
            </w:r>
            <w:r w:rsidRPr="00250364">
              <w:rPr>
                <w:rFonts w:hint="eastAsia"/>
              </w:rPr>
              <w:t>3</w:t>
            </w:r>
          </w:p>
          <w:p w:rsidR="00FD3BEA" w:rsidRPr="00250364" w:rsidRDefault="00FD3BEA" w:rsidP="00FD3BEA">
            <w:pPr>
              <w:pStyle w:val="0-"/>
            </w:pPr>
            <w:r w:rsidRPr="00250364">
              <w:t>(109</w:t>
            </w:r>
            <w:r w:rsidRPr="00250364">
              <w:rPr>
                <w:rFonts w:hint="eastAsia"/>
              </w:rPr>
              <w:t>.10.6</w:t>
            </w:r>
            <w:r w:rsidRPr="00250364">
              <w:t>)</w:t>
            </w:r>
          </w:p>
        </w:tc>
        <w:tc>
          <w:tcPr>
            <w:tcW w:w="498" w:type="pct"/>
          </w:tcPr>
          <w:p w:rsidR="00FD3BEA" w:rsidRPr="00250364" w:rsidRDefault="00FD3BEA" w:rsidP="00FD3BEA">
            <w:pPr>
              <w:rPr>
                <w:rFonts w:ascii="標楷體" w:eastAsia="標楷體" w:hAnsi="標楷體"/>
                <w:sz w:val="28"/>
                <w:szCs w:val="28"/>
              </w:rPr>
            </w:pPr>
          </w:p>
        </w:tc>
        <w:tc>
          <w:tcPr>
            <w:tcW w:w="1531" w:type="pct"/>
          </w:tcPr>
          <w:p w:rsidR="00FD3BEA" w:rsidRPr="005B74D5" w:rsidRDefault="00FD3BEA"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r>
      <w:tr w:rsidR="00FD3BEA" w:rsidRPr="00920597" w:rsidTr="00992F26">
        <w:trPr>
          <w:trHeight w:val="567"/>
        </w:trPr>
        <w:tc>
          <w:tcPr>
            <w:tcW w:w="342" w:type="pct"/>
            <w:vAlign w:val="center"/>
          </w:tcPr>
          <w:p w:rsidR="00FD3BEA" w:rsidRPr="00920597" w:rsidRDefault="00FD3BEA" w:rsidP="00FD3BEA">
            <w:pPr>
              <w:numPr>
                <w:ilvl w:val="0"/>
                <w:numId w:val="7"/>
              </w:numPr>
              <w:spacing w:line="400" w:lineRule="exact"/>
              <w:ind w:right="113"/>
              <w:rPr>
                <w:rFonts w:ascii="標楷體" w:eastAsia="標楷體" w:hAnsi="標楷體"/>
                <w:color w:val="000000" w:themeColor="text1"/>
                <w:sz w:val="28"/>
                <w:szCs w:val="28"/>
              </w:rPr>
            </w:pPr>
          </w:p>
        </w:tc>
        <w:tc>
          <w:tcPr>
            <w:tcW w:w="1801" w:type="pct"/>
          </w:tcPr>
          <w:p w:rsidR="00FD3BEA" w:rsidRPr="00250364" w:rsidRDefault="00FD3BEA" w:rsidP="00FD3BEA">
            <w:pPr>
              <w:spacing w:line="400" w:lineRule="exact"/>
              <w:ind w:leftChars="-12" w:left="-29"/>
              <w:jc w:val="both"/>
              <w:rPr>
                <w:rFonts w:ascii="標楷體" w:eastAsia="標楷體" w:hAnsi="標楷體"/>
                <w:sz w:val="28"/>
              </w:rPr>
            </w:pPr>
            <w:r w:rsidRPr="00250364">
              <w:rPr>
                <w:rFonts w:ascii="標楷體" w:eastAsia="標楷體" w:hAnsi="標楷體" w:hint="eastAsia"/>
                <w:sz w:val="28"/>
              </w:rPr>
              <w:t>文化部函送財團法人國家文化藝術基金會等12家財團法人110年度預算書案。</w:t>
            </w:r>
          </w:p>
        </w:tc>
        <w:tc>
          <w:tcPr>
            <w:tcW w:w="828" w:type="pct"/>
          </w:tcPr>
          <w:p w:rsidR="00FD3BEA" w:rsidRPr="00250364" w:rsidRDefault="00FD3BEA" w:rsidP="00FD3BEA">
            <w:pPr>
              <w:pStyle w:val="0-"/>
            </w:pPr>
            <w:r w:rsidRPr="00250364">
              <w:t>10-</w:t>
            </w:r>
            <w:r w:rsidRPr="00250364">
              <w:rPr>
                <w:rFonts w:hint="eastAsia"/>
              </w:rPr>
              <w:t>2</w:t>
            </w:r>
            <w:r w:rsidRPr="00250364">
              <w:t>-</w:t>
            </w:r>
            <w:r w:rsidRPr="00250364">
              <w:rPr>
                <w:rFonts w:hint="eastAsia"/>
              </w:rPr>
              <w:t>3</w:t>
            </w:r>
          </w:p>
          <w:p w:rsidR="00FD3BEA" w:rsidRPr="00250364" w:rsidRDefault="00FD3BEA" w:rsidP="00FD3BEA">
            <w:pPr>
              <w:pStyle w:val="0-"/>
            </w:pPr>
            <w:r w:rsidRPr="00250364">
              <w:t>(109</w:t>
            </w:r>
            <w:r w:rsidRPr="00250364">
              <w:rPr>
                <w:rFonts w:hint="eastAsia"/>
              </w:rPr>
              <w:t>.10.6</w:t>
            </w:r>
            <w:r w:rsidRPr="00250364">
              <w:t>)</w:t>
            </w:r>
          </w:p>
        </w:tc>
        <w:tc>
          <w:tcPr>
            <w:tcW w:w="498" w:type="pct"/>
          </w:tcPr>
          <w:p w:rsidR="00FD3BEA" w:rsidRPr="00250364" w:rsidRDefault="00FD3BEA" w:rsidP="00FD3BEA">
            <w:pPr>
              <w:rPr>
                <w:rFonts w:ascii="標楷體" w:eastAsia="標楷體" w:hAnsi="標楷體"/>
                <w:sz w:val="28"/>
                <w:szCs w:val="28"/>
              </w:rPr>
            </w:pPr>
          </w:p>
        </w:tc>
        <w:tc>
          <w:tcPr>
            <w:tcW w:w="1531" w:type="pct"/>
          </w:tcPr>
          <w:p w:rsidR="00FD3BEA" w:rsidRPr="00250364" w:rsidRDefault="00FD3BEA" w:rsidP="008C2561">
            <w:pPr>
              <w:rPr>
                <w:rFonts w:ascii="標楷體" w:eastAsia="標楷體" w:hAnsi="標楷體"/>
                <w:sz w:val="28"/>
                <w:szCs w:val="28"/>
              </w:rPr>
            </w:pPr>
            <w:r w:rsidRPr="00250364">
              <w:rPr>
                <w:rFonts w:ascii="標楷體" w:eastAsia="標楷體" w:hAnsi="標楷體" w:hint="eastAsia"/>
              </w:rPr>
              <w:t>第2會期第6次全體委員會議（109.10.28）決議：</w:t>
            </w:r>
            <w:r w:rsidRPr="00250364">
              <w:rPr>
                <w:rFonts w:ascii="標楷體" w:eastAsia="標楷體" w:hAnsi="標楷體" w:hint="eastAsia"/>
                <w:bCs/>
              </w:rPr>
              <w:t>報告及詢答完畢，</w:t>
            </w:r>
            <w:r w:rsidRPr="00250364">
              <w:rPr>
                <w:rFonts w:ascii="標楷體" w:eastAsia="標楷體" w:hAnsi="標楷體" w:hint="eastAsia"/>
              </w:rPr>
              <w:t>另定期繼續審查。</w:t>
            </w:r>
          </w:p>
        </w:tc>
      </w:tr>
      <w:tr w:rsidR="00FD3BEA" w:rsidRPr="00920597" w:rsidTr="00992F26">
        <w:trPr>
          <w:trHeight w:val="567"/>
        </w:trPr>
        <w:tc>
          <w:tcPr>
            <w:tcW w:w="342" w:type="pct"/>
            <w:vAlign w:val="center"/>
          </w:tcPr>
          <w:p w:rsidR="00FD3BEA" w:rsidRPr="00920597" w:rsidRDefault="00FD3BEA" w:rsidP="00FD3BEA">
            <w:pPr>
              <w:numPr>
                <w:ilvl w:val="0"/>
                <w:numId w:val="7"/>
              </w:numPr>
              <w:spacing w:line="400" w:lineRule="exact"/>
              <w:ind w:right="113"/>
              <w:rPr>
                <w:rFonts w:ascii="標楷體" w:eastAsia="標楷體" w:hAnsi="標楷體"/>
                <w:color w:val="000000" w:themeColor="text1"/>
                <w:sz w:val="28"/>
                <w:szCs w:val="28"/>
              </w:rPr>
            </w:pPr>
          </w:p>
        </w:tc>
        <w:tc>
          <w:tcPr>
            <w:tcW w:w="1801" w:type="pct"/>
          </w:tcPr>
          <w:p w:rsidR="00FD3BEA" w:rsidRPr="00250364" w:rsidRDefault="00FD3BEA" w:rsidP="00FD3BEA">
            <w:pPr>
              <w:spacing w:line="400" w:lineRule="exact"/>
              <w:ind w:leftChars="-12" w:left="-29"/>
              <w:jc w:val="both"/>
              <w:rPr>
                <w:rFonts w:ascii="標楷體" w:eastAsia="標楷體" w:hAnsi="標楷體"/>
                <w:sz w:val="28"/>
              </w:rPr>
            </w:pPr>
            <w:r w:rsidRPr="00250364">
              <w:rPr>
                <w:rFonts w:ascii="標楷體" w:eastAsia="標楷體" w:hAnsi="標楷體" w:hint="eastAsia"/>
                <w:sz w:val="28"/>
              </w:rPr>
              <w:t>科技部函送財團法人國家實驗研究院110年度預算書案。</w:t>
            </w:r>
          </w:p>
        </w:tc>
        <w:tc>
          <w:tcPr>
            <w:tcW w:w="828" w:type="pct"/>
          </w:tcPr>
          <w:p w:rsidR="00FD3BEA" w:rsidRPr="00250364" w:rsidRDefault="00FD3BEA" w:rsidP="00FD3BEA">
            <w:pPr>
              <w:pStyle w:val="0-"/>
            </w:pPr>
            <w:r w:rsidRPr="00250364">
              <w:t>10-</w:t>
            </w:r>
            <w:r w:rsidRPr="00250364">
              <w:rPr>
                <w:rFonts w:hint="eastAsia"/>
              </w:rPr>
              <w:t>2</w:t>
            </w:r>
            <w:r w:rsidRPr="00250364">
              <w:t>-</w:t>
            </w:r>
            <w:r w:rsidRPr="00250364">
              <w:rPr>
                <w:rFonts w:hint="eastAsia"/>
              </w:rPr>
              <w:t>3</w:t>
            </w:r>
          </w:p>
          <w:p w:rsidR="00FD3BEA" w:rsidRPr="00250364" w:rsidRDefault="00FD3BEA" w:rsidP="00FD3BEA">
            <w:pPr>
              <w:pStyle w:val="0-"/>
            </w:pPr>
            <w:r w:rsidRPr="00250364">
              <w:t>(109</w:t>
            </w:r>
            <w:r w:rsidRPr="00250364">
              <w:rPr>
                <w:rFonts w:hint="eastAsia"/>
              </w:rPr>
              <w:t>.10.6</w:t>
            </w:r>
            <w:r w:rsidRPr="00250364">
              <w:t>)</w:t>
            </w:r>
          </w:p>
        </w:tc>
        <w:tc>
          <w:tcPr>
            <w:tcW w:w="498" w:type="pct"/>
          </w:tcPr>
          <w:p w:rsidR="00FD3BEA" w:rsidRPr="00250364" w:rsidRDefault="00FD3BEA" w:rsidP="00FD3BEA">
            <w:pPr>
              <w:rPr>
                <w:rFonts w:ascii="標楷體" w:eastAsia="標楷體" w:hAnsi="標楷體"/>
                <w:sz w:val="28"/>
                <w:szCs w:val="28"/>
              </w:rPr>
            </w:pPr>
          </w:p>
        </w:tc>
        <w:tc>
          <w:tcPr>
            <w:tcW w:w="1531" w:type="pct"/>
          </w:tcPr>
          <w:p w:rsidR="00FD3BEA" w:rsidRPr="005B74D5" w:rsidRDefault="00FD3BEA"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r>
      <w:tr w:rsidR="00FD3BEA" w:rsidRPr="00920597" w:rsidTr="00992F26">
        <w:trPr>
          <w:trHeight w:val="567"/>
        </w:trPr>
        <w:tc>
          <w:tcPr>
            <w:tcW w:w="342" w:type="pct"/>
            <w:vAlign w:val="center"/>
          </w:tcPr>
          <w:p w:rsidR="00FD3BEA" w:rsidRPr="00920597" w:rsidRDefault="00FD3BEA" w:rsidP="00FD3BEA">
            <w:pPr>
              <w:numPr>
                <w:ilvl w:val="0"/>
                <w:numId w:val="7"/>
              </w:numPr>
              <w:spacing w:line="400" w:lineRule="exact"/>
              <w:ind w:right="113"/>
              <w:rPr>
                <w:rFonts w:ascii="標楷體" w:eastAsia="標楷體" w:hAnsi="標楷體"/>
                <w:color w:val="000000" w:themeColor="text1"/>
                <w:sz w:val="28"/>
                <w:szCs w:val="28"/>
              </w:rPr>
            </w:pPr>
          </w:p>
        </w:tc>
        <w:tc>
          <w:tcPr>
            <w:tcW w:w="1801" w:type="pct"/>
          </w:tcPr>
          <w:p w:rsidR="00FD3BEA" w:rsidRPr="00250364" w:rsidRDefault="00FD3BEA" w:rsidP="00FD3BEA">
            <w:pPr>
              <w:spacing w:line="400" w:lineRule="exact"/>
              <w:ind w:leftChars="-12" w:left="-29"/>
              <w:jc w:val="both"/>
              <w:rPr>
                <w:rFonts w:ascii="標楷體" w:eastAsia="標楷體" w:hAnsi="標楷體"/>
                <w:sz w:val="28"/>
              </w:rPr>
            </w:pPr>
            <w:r w:rsidRPr="00250364">
              <w:rPr>
                <w:rFonts w:ascii="標楷體" w:eastAsia="標楷體" w:hAnsi="標楷體" w:hint="eastAsia"/>
                <w:sz w:val="28"/>
              </w:rPr>
              <w:t>科技部函送財團法人國家同步輻射研究中心110年度預算書案。</w:t>
            </w:r>
          </w:p>
        </w:tc>
        <w:tc>
          <w:tcPr>
            <w:tcW w:w="828" w:type="pct"/>
          </w:tcPr>
          <w:p w:rsidR="00FD3BEA" w:rsidRPr="00250364" w:rsidRDefault="00FD3BEA" w:rsidP="00FD3BEA">
            <w:pPr>
              <w:pStyle w:val="0-"/>
            </w:pPr>
            <w:r w:rsidRPr="00250364">
              <w:t>10-</w:t>
            </w:r>
            <w:r w:rsidRPr="00250364">
              <w:rPr>
                <w:rFonts w:hint="eastAsia"/>
              </w:rPr>
              <w:t>2</w:t>
            </w:r>
            <w:r w:rsidRPr="00250364">
              <w:t>-</w:t>
            </w:r>
            <w:r w:rsidRPr="00250364">
              <w:rPr>
                <w:rFonts w:hint="eastAsia"/>
              </w:rPr>
              <w:t>3</w:t>
            </w:r>
          </w:p>
          <w:p w:rsidR="00FD3BEA" w:rsidRPr="00250364" w:rsidRDefault="00FD3BEA" w:rsidP="00FD3BEA">
            <w:pPr>
              <w:pStyle w:val="0-"/>
            </w:pPr>
            <w:r w:rsidRPr="00250364">
              <w:t>(109</w:t>
            </w:r>
            <w:r w:rsidRPr="00250364">
              <w:rPr>
                <w:rFonts w:hint="eastAsia"/>
              </w:rPr>
              <w:t>.10.6</w:t>
            </w:r>
            <w:r w:rsidRPr="00250364">
              <w:t>)</w:t>
            </w:r>
          </w:p>
        </w:tc>
        <w:tc>
          <w:tcPr>
            <w:tcW w:w="498" w:type="pct"/>
          </w:tcPr>
          <w:p w:rsidR="00FD3BEA" w:rsidRPr="00250364" w:rsidRDefault="00FD3BEA" w:rsidP="00FD3BEA">
            <w:pPr>
              <w:rPr>
                <w:rFonts w:ascii="標楷體" w:eastAsia="標楷體" w:hAnsi="標楷體"/>
                <w:sz w:val="28"/>
                <w:szCs w:val="28"/>
              </w:rPr>
            </w:pPr>
          </w:p>
        </w:tc>
        <w:tc>
          <w:tcPr>
            <w:tcW w:w="1531" w:type="pct"/>
          </w:tcPr>
          <w:p w:rsidR="00FD3BEA" w:rsidRPr="005B74D5" w:rsidRDefault="00FD3BEA"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r>
      <w:tr w:rsidR="00FD3BEA" w:rsidRPr="00920597" w:rsidTr="00992F26">
        <w:trPr>
          <w:trHeight w:val="567"/>
        </w:trPr>
        <w:tc>
          <w:tcPr>
            <w:tcW w:w="342" w:type="pct"/>
            <w:vAlign w:val="center"/>
          </w:tcPr>
          <w:p w:rsidR="00FD3BEA" w:rsidRPr="00920597" w:rsidRDefault="00FD3BEA" w:rsidP="00FD3BEA">
            <w:pPr>
              <w:numPr>
                <w:ilvl w:val="0"/>
                <w:numId w:val="7"/>
              </w:numPr>
              <w:spacing w:line="400" w:lineRule="exact"/>
              <w:ind w:right="113"/>
              <w:rPr>
                <w:rFonts w:ascii="標楷體" w:eastAsia="標楷體" w:hAnsi="標楷體"/>
                <w:color w:val="000000" w:themeColor="text1"/>
                <w:sz w:val="28"/>
                <w:szCs w:val="28"/>
              </w:rPr>
            </w:pPr>
          </w:p>
        </w:tc>
        <w:tc>
          <w:tcPr>
            <w:tcW w:w="1801" w:type="pct"/>
          </w:tcPr>
          <w:p w:rsidR="00FD3BEA" w:rsidRPr="00250364" w:rsidRDefault="00FD3BEA" w:rsidP="00FD3BEA">
            <w:pPr>
              <w:spacing w:line="400" w:lineRule="exact"/>
              <w:ind w:leftChars="-12" w:left="-29"/>
              <w:jc w:val="both"/>
              <w:rPr>
                <w:rFonts w:ascii="標楷體" w:eastAsia="標楷體" w:hAnsi="標楷體"/>
                <w:sz w:val="28"/>
              </w:rPr>
            </w:pPr>
            <w:r w:rsidRPr="00250364">
              <w:rPr>
                <w:rFonts w:ascii="標楷體" w:eastAsia="標楷體" w:hAnsi="標楷體" w:hint="eastAsia"/>
                <w:sz w:val="28"/>
              </w:rPr>
              <w:t>行政院原子能委員會函送財團法人中華民國輻射防護協會及財團法人核能資訊中心110年度預算書案。</w:t>
            </w:r>
          </w:p>
        </w:tc>
        <w:tc>
          <w:tcPr>
            <w:tcW w:w="828" w:type="pct"/>
          </w:tcPr>
          <w:p w:rsidR="00FD3BEA" w:rsidRPr="00250364" w:rsidRDefault="00FD3BEA" w:rsidP="00FD3BEA">
            <w:pPr>
              <w:pStyle w:val="0-"/>
            </w:pPr>
            <w:r w:rsidRPr="00250364">
              <w:t>10-</w:t>
            </w:r>
            <w:r w:rsidRPr="00250364">
              <w:rPr>
                <w:rFonts w:hint="eastAsia"/>
              </w:rPr>
              <w:t>2</w:t>
            </w:r>
            <w:r w:rsidRPr="00250364">
              <w:t>-</w:t>
            </w:r>
            <w:r w:rsidRPr="00250364">
              <w:rPr>
                <w:rFonts w:hint="eastAsia"/>
              </w:rPr>
              <w:t>3</w:t>
            </w:r>
          </w:p>
          <w:p w:rsidR="00FD3BEA" w:rsidRPr="00250364" w:rsidRDefault="00FD3BEA" w:rsidP="00FD3BEA">
            <w:pPr>
              <w:pStyle w:val="0-"/>
            </w:pPr>
            <w:r w:rsidRPr="00250364">
              <w:t>(109</w:t>
            </w:r>
            <w:r w:rsidRPr="00250364">
              <w:rPr>
                <w:rFonts w:hint="eastAsia"/>
              </w:rPr>
              <w:t>.10.6</w:t>
            </w:r>
            <w:r w:rsidRPr="00250364">
              <w:t>)</w:t>
            </w:r>
          </w:p>
        </w:tc>
        <w:tc>
          <w:tcPr>
            <w:tcW w:w="498" w:type="pct"/>
          </w:tcPr>
          <w:p w:rsidR="00FD3BEA" w:rsidRPr="00250364" w:rsidRDefault="00FD3BEA" w:rsidP="00FD3BEA">
            <w:pPr>
              <w:rPr>
                <w:rFonts w:ascii="標楷體" w:eastAsia="標楷體" w:hAnsi="標楷體"/>
                <w:sz w:val="28"/>
                <w:szCs w:val="28"/>
              </w:rPr>
            </w:pPr>
          </w:p>
        </w:tc>
        <w:tc>
          <w:tcPr>
            <w:tcW w:w="1531" w:type="pct"/>
          </w:tcPr>
          <w:p w:rsidR="00FD3BEA" w:rsidRPr="005B74D5" w:rsidRDefault="00FD3BEA" w:rsidP="005B74D5">
            <w:pPr>
              <w:rPr>
                <w:rFonts w:ascii="標楷體" w:eastAsia="標楷體" w:hAnsi="標楷體"/>
                <w:color w:val="000000"/>
                <w:sz w:val="28"/>
                <w:szCs w:val="28"/>
              </w:rPr>
            </w:pPr>
            <w:r w:rsidRPr="005B74D5">
              <w:rPr>
                <w:rFonts w:ascii="標楷體" w:eastAsia="標楷體" w:hAnsi="標楷體" w:hint="eastAsia"/>
                <w:color w:val="000000"/>
                <w:sz w:val="28"/>
                <w:szCs w:val="28"/>
              </w:rPr>
              <w:t>尚未審查</w:t>
            </w:r>
          </w:p>
        </w:tc>
      </w:tr>
      <w:tr w:rsidR="00FD3BEA" w:rsidRPr="00920597" w:rsidTr="00992F26">
        <w:trPr>
          <w:trHeight w:val="567"/>
        </w:trPr>
        <w:tc>
          <w:tcPr>
            <w:tcW w:w="342" w:type="pct"/>
            <w:vAlign w:val="center"/>
          </w:tcPr>
          <w:p w:rsidR="00FD3BEA" w:rsidRPr="00920597" w:rsidRDefault="00FD3BEA" w:rsidP="00FD3BEA">
            <w:pPr>
              <w:numPr>
                <w:ilvl w:val="0"/>
                <w:numId w:val="7"/>
              </w:numPr>
              <w:spacing w:line="400" w:lineRule="exact"/>
              <w:ind w:right="113"/>
              <w:rPr>
                <w:rFonts w:ascii="標楷體" w:eastAsia="標楷體" w:hAnsi="標楷體"/>
                <w:color w:val="000000" w:themeColor="text1"/>
                <w:sz w:val="28"/>
                <w:szCs w:val="28"/>
              </w:rPr>
            </w:pPr>
          </w:p>
        </w:tc>
        <w:tc>
          <w:tcPr>
            <w:tcW w:w="1801" w:type="pct"/>
          </w:tcPr>
          <w:p w:rsidR="00FD3BEA" w:rsidRPr="009B52F6" w:rsidRDefault="00641E57" w:rsidP="00FD3BEA">
            <w:pPr>
              <w:spacing w:line="400" w:lineRule="exact"/>
              <w:ind w:leftChars="-12" w:left="-29"/>
              <w:jc w:val="both"/>
              <w:rPr>
                <w:rFonts w:ascii="標楷體" w:eastAsia="標楷體" w:hAnsi="標楷體"/>
                <w:color w:val="000000"/>
                <w:sz w:val="28"/>
              </w:rPr>
            </w:pPr>
            <w:hyperlink r:id="rId48" w:tooltip="四十八、教育部函送財團法人大學入學考試中心基金會等10家財團法人111年度預算書案。" w:history="1">
              <w:r w:rsidR="00FD3BEA" w:rsidRPr="009B52F6">
                <w:rPr>
                  <w:rFonts w:ascii="標楷體" w:eastAsia="標楷體" w:hAnsi="標楷體" w:hint="eastAsia"/>
                  <w:color w:val="000000"/>
                  <w:sz w:val="28"/>
                </w:rPr>
                <w:t>教育部函送財團法人大學入學考試中心基金會等10家財團法人111年度預算書案。</w:t>
              </w:r>
            </w:hyperlink>
          </w:p>
        </w:tc>
        <w:tc>
          <w:tcPr>
            <w:tcW w:w="828" w:type="pct"/>
          </w:tcPr>
          <w:p w:rsidR="00FD3BEA" w:rsidRPr="009B52F6" w:rsidRDefault="00FD3BEA" w:rsidP="00FD3BEA">
            <w:pPr>
              <w:pStyle w:val="0-"/>
            </w:pPr>
            <w:r w:rsidRPr="009B52F6">
              <w:t>10-4-2</w:t>
            </w:r>
          </w:p>
          <w:p w:rsidR="00FD3BEA" w:rsidRPr="009B52F6" w:rsidRDefault="00FD3BEA" w:rsidP="00FD3BEA">
            <w:pPr>
              <w:pStyle w:val="0-"/>
            </w:pPr>
            <w:r w:rsidRPr="009B52F6">
              <w:t>(110.9.24)</w:t>
            </w:r>
          </w:p>
          <w:p w:rsidR="00FD3BEA" w:rsidRPr="009B52F6" w:rsidRDefault="00FD3BEA" w:rsidP="00FD3BEA">
            <w:pPr>
              <w:pStyle w:val="0-"/>
            </w:pPr>
          </w:p>
        </w:tc>
        <w:tc>
          <w:tcPr>
            <w:tcW w:w="498" w:type="pct"/>
          </w:tcPr>
          <w:p w:rsidR="00FD3BEA" w:rsidRPr="009B52F6" w:rsidRDefault="00FD3BEA" w:rsidP="00FD3BEA">
            <w:pPr>
              <w:jc w:val="both"/>
              <w:rPr>
                <w:rFonts w:ascii="標楷體" w:eastAsia="標楷體" w:hAnsi="標楷體"/>
                <w:color w:val="000000"/>
                <w:sz w:val="28"/>
                <w:szCs w:val="28"/>
              </w:rPr>
            </w:pPr>
          </w:p>
        </w:tc>
        <w:tc>
          <w:tcPr>
            <w:tcW w:w="1531" w:type="pct"/>
          </w:tcPr>
          <w:p w:rsidR="00FD3BEA" w:rsidRPr="009B52F6" w:rsidRDefault="00FD3BEA" w:rsidP="005B74D5">
            <w:pPr>
              <w:rPr>
                <w:rFonts w:ascii="標楷體" w:eastAsia="標楷體" w:hAnsi="標楷體"/>
                <w:color w:val="000000"/>
                <w:sz w:val="28"/>
                <w:szCs w:val="28"/>
              </w:rPr>
            </w:pPr>
            <w:r w:rsidRPr="009B52F6">
              <w:rPr>
                <w:rFonts w:ascii="標楷體" w:eastAsia="標楷體" w:hAnsi="標楷體" w:hint="eastAsia"/>
                <w:color w:val="000000"/>
                <w:sz w:val="28"/>
                <w:szCs w:val="28"/>
              </w:rPr>
              <w:t>尚未審查</w:t>
            </w:r>
          </w:p>
        </w:tc>
      </w:tr>
      <w:tr w:rsidR="00FD3BEA" w:rsidRPr="00920597" w:rsidTr="00992F26">
        <w:trPr>
          <w:trHeight w:val="567"/>
        </w:trPr>
        <w:tc>
          <w:tcPr>
            <w:tcW w:w="342" w:type="pct"/>
            <w:vAlign w:val="center"/>
          </w:tcPr>
          <w:p w:rsidR="00FD3BEA" w:rsidRPr="00920597" w:rsidRDefault="00FD3BEA" w:rsidP="00FD3BEA">
            <w:pPr>
              <w:numPr>
                <w:ilvl w:val="0"/>
                <w:numId w:val="7"/>
              </w:numPr>
              <w:spacing w:line="400" w:lineRule="exact"/>
              <w:ind w:right="113"/>
              <w:rPr>
                <w:rFonts w:ascii="標楷體" w:eastAsia="標楷體" w:hAnsi="標楷體"/>
                <w:color w:val="000000" w:themeColor="text1"/>
                <w:sz w:val="28"/>
                <w:szCs w:val="28"/>
              </w:rPr>
            </w:pPr>
          </w:p>
        </w:tc>
        <w:tc>
          <w:tcPr>
            <w:tcW w:w="1801" w:type="pct"/>
          </w:tcPr>
          <w:p w:rsidR="00FD3BEA" w:rsidRPr="009B52F6" w:rsidRDefault="00641E57" w:rsidP="00FD3BEA">
            <w:pPr>
              <w:spacing w:line="400" w:lineRule="exact"/>
              <w:ind w:leftChars="-12" w:left="-29"/>
              <w:jc w:val="both"/>
              <w:rPr>
                <w:rFonts w:ascii="標楷體" w:eastAsia="標楷體" w:hAnsi="標楷體"/>
                <w:color w:val="000000"/>
                <w:sz w:val="28"/>
              </w:rPr>
            </w:pPr>
            <w:hyperlink r:id="rId49" w:tooltip="五十一、科技部函送財團法人國家實驗研究院及財團法人國家同步輻射研究中心111年度預算書案。" w:history="1">
              <w:r w:rsidR="00FD3BEA" w:rsidRPr="009B52F6">
                <w:rPr>
                  <w:rFonts w:ascii="標楷體" w:eastAsia="標楷體" w:hAnsi="標楷體" w:hint="eastAsia"/>
                  <w:color w:val="000000"/>
                  <w:sz w:val="28"/>
                </w:rPr>
                <w:t>科技部函送財團法人國家實驗研究院及財團法人國家同步輻射研究中心111年度預算書案。</w:t>
              </w:r>
            </w:hyperlink>
          </w:p>
        </w:tc>
        <w:tc>
          <w:tcPr>
            <w:tcW w:w="828" w:type="pct"/>
          </w:tcPr>
          <w:p w:rsidR="00FD3BEA" w:rsidRPr="009B52F6" w:rsidRDefault="00FD3BEA" w:rsidP="00FD3BEA">
            <w:pPr>
              <w:pStyle w:val="0-"/>
            </w:pPr>
            <w:r w:rsidRPr="009B52F6">
              <w:t>10-4-2</w:t>
            </w:r>
          </w:p>
          <w:p w:rsidR="00FD3BEA" w:rsidRPr="009B52F6" w:rsidRDefault="00FD3BEA" w:rsidP="00FD3BEA">
            <w:pPr>
              <w:pStyle w:val="0-"/>
            </w:pPr>
            <w:r w:rsidRPr="009B52F6">
              <w:t>(110.9.24)</w:t>
            </w:r>
          </w:p>
          <w:p w:rsidR="00FD3BEA" w:rsidRPr="009B52F6" w:rsidRDefault="00FD3BEA" w:rsidP="00FD3BEA">
            <w:pPr>
              <w:pStyle w:val="0-"/>
            </w:pPr>
          </w:p>
        </w:tc>
        <w:tc>
          <w:tcPr>
            <w:tcW w:w="498" w:type="pct"/>
          </w:tcPr>
          <w:p w:rsidR="00FD3BEA" w:rsidRPr="009B52F6" w:rsidRDefault="00FD3BEA" w:rsidP="00FD3BEA">
            <w:pPr>
              <w:jc w:val="both"/>
              <w:rPr>
                <w:rFonts w:ascii="標楷體" w:eastAsia="標楷體" w:hAnsi="標楷體"/>
                <w:color w:val="000000"/>
                <w:sz w:val="28"/>
                <w:szCs w:val="28"/>
              </w:rPr>
            </w:pPr>
          </w:p>
        </w:tc>
        <w:tc>
          <w:tcPr>
            <w:tcW w:w="1531" w:type="pct"/>
          </w:tcPr>
          <w:p w:rsidR="00FD3BEA" w:rsidRPr="009B52F6" w:rsidRDefault="00FD3BEA" w:rsidP="005B74D5">
            <w:pPr>
              <w:rPr>
                <w:rFonts w:ascii="標楷體" w:eastAsia="標楷體" w:hAnsi="標楷體"/>
                <w:color w:val="000000"/>
                <w:sz w:val="28"/>
                <w:szCs w:val="28"/>
              </w:rPr>
            </w:pPr>
            <w:r w:rsidRPr="009B52F6">
              <w:rPr>
                <w:rFonts w:ascii="標楷體" w:eastAsia="標楷體" w:hAnsi="標楷體" w:hint="eastAsia"/>
                <w:color w:val="000000"/>
                <w:sz w:val="28"/>
                <w:szCs w:val="28"/>
              </w:rPr>
              <w:t>尚未審查</w:t>
            </w:r>
          </w:p>
        </w:tc>
      </w:tr>
      <w:tr w:rsidR="00FD3BEA" w:rsidRPr="00920597" w:rsidTr="00992F26">
        <w:trPr>
          <w:trHeight w:val="567"/>
        </w:trPr>
        <w:tc>
          <w:tcPr>
            <w:tcW w:w="342" w:type="pct"/>
            <w:vAlign w:val="center"/>
          </w:tcPr>
          <w:p w:rsidR="00FD3BEA" w:rsidRPr="00920597" w:rsidRDefault="00FD3BEA" w:rsidP="00FD3BEA">
            <w:pPr>
              <w:numPr>
                <w:ilvl w:val="0"/>
                <w:numId w:val="7"/>
              </w:numPr>
              <w:spacing w:line="400" w:lineRule="exact"/>
              <w:ind w:right="113"/>
              <w:rPr>
                <w:rFonts w:ascii="標楷體" w:eastAsia="標楷體" w:hAnsi="標楷體"/>
                <w:color w:val="000000" w:themeColor="text1"/>
                <w:sz w:val="28"/>
                <w:szCs w:val="28"/>
              </w:rPr>
            </w:pPr>
          </w:p>
        </w:tc>
        <w:tc>
          <w:tcPr>
            <w:tcW w:w="1801" w:type="pct"/>
          </w:tcPr>
          <w:p w:rsidR="00FD3BEA" w:rsidRPr="009B52F6" w:rsidRDefault="00641E57" w:rsidP="00FD3BEA">
            <w:pPr>
              <w:spacing w:line="400" w:lineRule="exact"/>
              <w:ind w:leftChars="-12" w:left="-29"/>
              <w:jc w:val="both"/>
              <w:rPr>
                <w:rFonts w:ascii="標楷體" w:eastAsia="標楷體" w:hAnsi="標楷體"/>
                <w:color w:val="000000"/>
                <w:sz w:val="28"/>
              </w:rPr>
            </w:pPr>
            <w:hyperlink r:id="rId50" w:tooltip="五十二、行政院原子能委員會函送財團法人中華民國輻射防護協會及財團法人核能資訊中心111年度預算書案。" w:history="1">
              <w:r w:rsidR="00FD3BEA" w:rsidRPr="009B52F6">
                <w:rPr>
                  <w:rFonts w:ascii="標楷體" w:eastAsia="標楷體" w:hAnsi="標楷體" w:hint="eastAsia"/>
                  <w:color w:val="000000"/>
                  <w:sz w:val="28"/>
                </w:rPr>
                <w:t>行政院原子能委員會函送財團法人中華民國輻射防護協會及財團法人核能資訊中心111年度預算書案。</w:t>
              </w:r>
            </w:hyperlink>
          </w:p>
        </w:tc>
        <w:tc>
          <w:tcPr>
            <w:tcW w:w="828" w:type="pct"/>
          </w:tcPr>
          <w:p w:rsidR="00FD3BEA" w:rsidRPr="009B52F6" w:rsidRDefault="00FD3BEA" w:rsidP="00FD3BEA">
            <w:pPr>
              <w:pStyle w:val="0-"/>
            </w:pPr>
            <w:r w:rsidRPr="009B52F6">
              <w:t>10-4-2</w:t>
            </w:r>
          </w:p>
          <w:p w:rsidR="00FD3BEA" w:rsidRPr="009B52F6" w:rsidRDefault="00FD3BEA" w:rsidP="00FD3BEA">
            <w:pPr>
              <w:pStyle w:val="0-"/>
            </w:pPr>
            <w:r w:rsidRPr="009B52F6">
              <w:t>(110.9.24)</w:t>
            </w:r>
          </w:p>
          <w:p w:rsidR="00FD3BEA" w:rsidRPr="009B52F6" w:rsidRDefault="00FD3BEA" w:rsidP="00FD3BEA">
            <w:pPr>
              <w:pStyle w:val="0-"/>
            </w:pPr>
          </w:p>
        </w:tc>
        <w:tc>
          <w:tcPr>
            <w:tcW w:w="498" w:type="pct"/>
          </w:tcPr>
          <w:p w:rsidR="00FD3BEA" w:rsidRPr="009B52F6" w:rsidRDefault="00FD3BEA" w:rsidP="00FD3BEA">
            <w:pPr>
              <w:jc w:val="both"/>
              <w:rPr>
                <w:rFonts w:ascii="標楷體" w:eastAsia="標楷體" w:hAnsi="標楷體"/>
                <w:color w:val="000000"/>
                <w:sz w:val="28"/>
                <w:szCs w:val="28"/>
              </w:rPr>
            </w:pPr>
          </w:p>
        </w:tc>
        <w:tc>
          <w:tcPr>
            <w:tcW w:w="1531" w:type="pct"/>
          </w:tcPr>
          <w:p w:rsidR="00FD3BEA" w:rsidRPr="009B52F6" w:rsidRDefault="00FD3BEA" w:rsidP="005B74D5">
            <w:pPr>
              <w:rPr>
                <w:rFonts w:ascii="標楷體" w:eastAsia="標楷體" w:hAnsi="標楷體"/>
                <w:color w:val="000000"/>
                <w:sz w:val="28"/>
                <w:szCs w:val="28"/>
              </w:rPr>
            </w:pPr>
            <w:r w:rsidRPr="009B52F6">
              <w:rPr>
                <w:rFonts w:ascii="標楷體" w:eastAsia="標楷體" w:hAnsi="標楷體" w:hint="eastAsia"/>
                <w:color w:val="000000"/>
                <w:sz w:val="28"/>
                <w:szCs w:val="28"/>
              </w:rPr>
              <w:t>尚未審查</w:t>
            </w:r>
          </w:p>
        </w:tc>
      </w:tr>
      <w:tr w:rsidR="00FD3BEA" w:rsidRPr="00920597" w:rsidTr="00992F26">
        <w:trPr>
          <w:trHeight w:val="567"/>
        </w:trPr>
        <w:tc>
          <w:tcPr>
            <w:tcW w:w="342" w:type="pct"/>
            <w:vAlign w:val="center"/>
          </w:tcPr>
          <w:p w:rsidR="00FD3BEA" w:rsidRPr="00920597" w:rsidRDefault="00FD3BEA" w:rsidP="00FD3BEA">
            <w:pPr>
              <w:numPr>
                <w:ilvl w:val="0"/>
                <w:numId w:val="7"/>
              </w:numPr>
              <w:spacing w:line="400" w:lineRule="exact"/>
              <w:ind w:right="113"/>
              <w:rPr>
                <w:rFonts w:ascii="標楷體" w:eastAsia="標楷體" w:hAnsi="標楷體"/>
                <w:color w:val="000000" w:themeColor="text1"/>
                <w:sz w:val="28"/>
                <w:szCs w:val="28"/>
              </w:rPr>
            </w:pPr>
          </w:p>
        </w:tc>
        <w:tc>
          <w:tcPr>
            <w:tcW w:w="1801" w:type="pct"/>
          </w:tcPr>
          <w:p w:rsidR="00FD3BEA" w:rsidRPr="00F45DC8" w:rsidRDefault="00641E57" w:rsidP="00FD3BEA">
            <w:pPr>
              <w:spacing w:line="400" w:lineRule="exact"/>
              <w:ind w:leftChars="-12" w:left="-29"/>
              <w:jc w:val="both"/>
              <w:rPr>
                <w:rFonts w:ascii="標楷體" w:eastAsia="標楷體" w:hAnsi="標楷體"/>
                <w:color w:val="000000"/>
                <w:sz w:val="28"/>
              </w:rPr>
            </w:pPr>
            <w:hyperlink r:id="rId51" w:tooltip="四十六、文化部函送財團法人國家文化藝術基金會等11家財團法人111年度預算書案。" w:history="1">
              <w:r w:rsidR="00FD3BEA" w:rsidRPr="00F45DC8">
                <w:rPr>
                  <w:rFonts w:ascii="標楷體" w:eastAsia="標楷體" w:hAnsi="標楷體" w:hint="eastAsia"/>
                  <w:color w:val="000000"/>
                  <w:sz w:val="28"/>
                </w:rPr>
                <w:t>文化部函送財團法人國家文化藝術基金會等11家財團法人111年度預算書案。</w:t>
              </w:r>
            </w:hyperlink>
          </w:p>
        </w:tc>
        <w:tc>
          <w:tcPr>
            <w:tcW w:w="828" w:type="pct"/>
          </w:tcPr>
          <w:p w:rsidR="00FD3BEA" w:rsidRPr="00F45DC8" w:rsidRDefault="00FD3BEA" w:rsidP="00FD3BEA">
            <w:pPr>
              <w:pStyle w:val="0-"/>
            </w:pPr>
            <w:r w:rsidRPr="00F45DC8">
              <w:t>10-4-2</w:t>
            </w:r>
          </w:p>
          <w:p w:rsidR="00FD3BEA" w:rsidRPr="00F45DC8" w:rsidRDefault="00FD3BEA" w:rsidP="00FD3BEA">
            <w:pPr>
              <w:pStyle w:val="0-"/>
            </w:pPr>
            <w:r w:rsidRPr="00F45DC8">
              <w:t>(110.9.24)</w:t>
            </w:r>
          </w:p>
          <w:p w:rsidR="00FD3BEA" w:rsidRPr="00F45DC8" w:rsidRDefault="00FD3BEA" w:rsidP="00FD3BEA">
            <w:pPr>
              <w:pStyle w:val="0-"/>
            </w:pPr>
          </w:p>
        </w:tc>
        <w:tc>
          <w:tcPr>
            <w:tcW w:w="498" w:type="pct"/>
          </w:tcPr>
          <w:p w:rsidR="00FD3BEA" w:rsidRPr="00F45DC8" w:rsidRDefault="00FD3BEA" w:rsidP="00FD3BEA">
            <w:pPr>
              <w:jc w:val="both"/>
              <w:rPr>
                <w:rFonts w:ascii="標楷體" w:eastAsia="標楷體" w:hAnsi="標楷體"/>
                <w:color w:val="000000"/>
                <w:sz w:val="28"/>
                <w:szCs w:val="28"/>
              </w:rPr>
            </w:pPr>
          </w:p>
        </w:tc>
        <w:tc>
          <w:tcPr>
            <w:tcW w:w="1531" w:type="pct"/>
          </w:tcPr>
          <w:p w:rsidR="00FD3BEA" w:rsidRPr="00F45DC8" w:rsidRDefault="00FD3BEA" w:rsidP="005B74D5">
            <w:pPr>
              <w:rPr>
                <w:rFonts w:ascii="標楷體" w:eastAsia="標楷體" w:hAnsi="標楷體"/>
                <w:color w:val="000000"/>
                <w:sz w:val="28"/>
                <w:szCs w:val="28"/>
              </w:rPr>
            </w:pPr>
            <w:r w:rsidRPr="009B52F6">
              <w:rPr>
                <w:rFonts w:ascii="標楷體" w:eastAsia="標楷體" w:hAnsi="標楷體" w:hint="eastAsia"/>
                <w:color w:val="000000"/>
                <w:sz w:val="28"/>
                <w:szCs w:val="28"/>
              </w:rPr>
              <w:t>尚未審查</w:t>
            </w:r>
          </w:p>
        </w:tc>
      </w:tr>
      <w:tr w:rsidR="00FD3BEA" w:rsidRPr="00920597" w:rsidTr="00992F26">
        <w:trPr>
          <w:trHeight w:val="567"/>
        </w:trPr>
        <w:tc>
          <w:tcPr>
            <w:tcW w:w="342" w:type="pct"/>
            <w:vAlign w:val="center"/>
          </w:tcPr>
          <w:p w:rsidR="00FD3BEA" w:rsidRPr="00920597" w:rsidRDefault="00FD3BEA" w:rsidP="00FD3BEA">
            <w:pPr>
              <w:numPr>
                <w:ilvl w:val="0"/>
                <w:numId w:val="7"/>
              </w:numPr>
              <w:spacing w:line="400" w:lineRule="exact"/>
              <w:ind w:right="113"/>
              <w:rPr>
                <w:rFonts w:ascii="標楷體" w:eastAsia="標楷體" w:hAnsi="標楷體"/>
                <w:color w:val="000000" w:themeColor="text1"/>
                <w:sz w:val="28"/>
                <w:szCs w:val="28"/>
              </w:rPr>
            </w:pPr>
          </w:p>
        </w:tc>
        <w:tc>
          <w:tcPr>
            <w:tcW w:w="1801" w:type="pct"/>
          </w:tcPr>
          <w:p w:rsidR="00FD3BEA" w:rsidRPr="00CB566B" w:rsidRDefault="00FD3BEA" w:rsidP="00FD3BEA">
            <w:pPr>
              <w:spacing w:line="400" w:lineRule="exact"/>
              <w:ind w:leftChars="-12" w:left="-29"/>
              <w:jc w:val="both"/>
              <w:rPr>
                <w:rFonts w:ascii="標楷體" w:eastAsia="標楷體" w:hAnsi="標楷體"/>
                <w:color w:val="000000"/>
                <w:sz w:val="28"/>
              </w:rPr>
            </w:pPr>
            <w:r w:rsidRPr="00CB566B">
              <w:rPr>
                <w:rFonts w:ascii="標楷體" w:eastAsia="標楷體" w:hAnsi="標楷體" w:hint="eastAsia"/>
                <w:color w:val="000000"/>
                <w:sz w:val="28"/>
              </w:rPr>
              <w:t>教育部函送財團法人高等教育評鑑中心基金會等10家財團法人110年度決算書案。</w:t>
            </w:r>
          </w:p>
        </w:tc>
        <w:tc>
          <w:tcPr>
            <w:tcW w:w="828" w:type="pct"/>
          </w:tcPr>
          <w:p w:rsidR="00FD3BEA" w:rsidRPr="00CB566B" w:rsidRDefault="00FD3BEA" w:rsidP="00FD3BEA">
            <w:pPr>
              <w:pStyle w:val="0-"/>
            </w:pPr>
            <w:r w:rsidRPr="00CB566B">
              <w:t>10-6-1</w:t>
            </w:r>
          </w:p>
          <w:p w:rsidR="00FD3BEA" w:rsidRPr="00CB566B" w:rsidRDefault="00FD3BEA" w:rsidP="00FD3BEA">
            <w:pPr>
              <w:pStyle w:val="0-"/>
            </w:pPr>
            <w:r w:rsidRPr="00CB566B">
              <w:t>(111.9.23)</w:t>
            </w:r>
          </w:p>
        </w:tc>
        <w:tc>
          <w:tcPr>
            <w:tcW w:w="498" w:type="pct"/>
          </w:tcPr>
          <w:p w:rsidR="00FD3BEA" w:rsidRPr="00CB566B" w:rsidRDefault="00FD3BEA" w:rsidP="00FD3BEA">
            <w:pPr>
              <w:jc w:val="both"/>
              <w:rPr>
                <w:rFonts w:ascii="標楷體" w:eastAsia="標楷體" w:hAnsi="標楷體"/>
                <w:color w:val="000000"/>
                <w:sz w:val="28"/>
                <w:szCs w:val="28"/>
              </w:rPr>
            </w:pPr>
          </w:p>
        </w:tc>
        <w:tc>
          <w:tcPr>
            <w:tcW w:w="1531" w:type="pct"/>
          </w:tcPr>
          <w:p w:rsidR="00FD3BEA" w:rsidRPr="00CB566B" w:rsidRDefault="00FD3BEA" w:rsidP="005B74D5">
            <w:pPr>
              <w:rPr>
                <w:rFonts w:ascii="標楷體" w:eastAsia="標楷體" w:hAnsi="標楷體"/>
                <w:color w:val="000000"/>
                <w:sz w:val="28"/>
                <w:szCs w:val="28"/>
              </w:rPr>
            </w:pPr>
            <w:r w:rsidRPr="00CB566B">
              <w:rPr>
                <w:rFonts w:ascii="標楷體" w:eastAsia="標楷體" w:hAnsi="標楷體" w:hint="eastAsia"/>
                <w:color w:val="000000"/>
                <w:sz w:val="28"/>
                <w:szCs w:val="28"/>
              </w:rPr>
              <w:t>尚未審查</w:t>
            </w:r>
          </w:p>
        </w:tc>
      </w:tr>
      <w:tr w:rsidR="00FD3BEA" w:rsidRPr="00920597" w:rsidTr="00992F26">
        <w:trPr>
          <w:trHeight w:val="567"/>
        </w:trPr>
        <w:tc>
          <w:tcPr>
            <w:tcW w:w="342" w:type="pct"/>
            <w:vAlign w:val="center"/>
          </w:tcPr>
          <w:p w:rsidR="00FD3BEA" w:rsidRPr="00920597" w:rsidRDefault="00FD3BEA" w:rsidP="00FD3BEA">
            <w:pPr>
              <w:numPr>
                <w:ilvl w:val="0"/>
                <w:numId w:val="7"/>
              </w:numPr>
              <w:spacing w:line="400" w:lineRule="exact"/>
              <w:ind w:right="113"/>
              <w:rPr>
                <w:rFonts w:ascii="標楷體" w:eastAsia="標楷體" w:hAnsi="標楷體"/>
                <w:color w:val="000000" w:themeColor="text1"/>
                <w:sz w:val="28"/>
                <w:szCs w:val="28"/>
              </w:rPr>
            </w:pPr>
          </w:p>
        </w:tc>
        <w:tc>
          <w:tcPr>
            <w:tcW w:w="1801" w:type="pct"/>
          </w:tcPr>
          <w:p w:rsidR="00FD3BEA" w:rsidRPr="00CB566B" w:rsidRDefault="00FD3BEA" w:rsidP="00FD3BEA">
            <w:pPr>
              <w:spacing w:line="400" w:lineRule="exact"/>
              <w:ind w:leftChars="-12" w:left="-29"/>
              <w:jc w:val="both"/>
              <w:rPr>
                <w:rFonts w:ascii="標楷體" w:eastAsia="標楷體" w:hAnsi="標楷體"/>
                <w:color w:val="000000"/>
                <w:sz w:val="28"/>
              </w:rPr>
            </w:pPr>
            <w:r w:rsidRPr="00CB566B">
              <w:rPr>
                <w:rFonts w:ascii="標楷體" w:eastAsia="標楷體" w:hAnsi="標楷體" w:hint="eastAsia"/>
                <w:color w:val="000000"/>
                <w:sz w:val="28"/>
              </w:rPr>
              <w:t>文化部函送財團法人國家文化藝術基金會等11家財團法人110年度決算書案。</w:t>
            </w:r>
          </w:p>
        </w:tc>
        <w:tc>
          <w:tcPr>
            <w:tcW w:w="828" w:type="pct"/>
          </w:tcPr>
          <w:p w:rsidR="00FD3BEA" w:rsidRPr="00CB566B" w:rsidRDefault="00FD3BEA" w:rsidP="00FD3BEA">
            <w:pPr>
              <w:pStyle w:val="0-"/>
            </w:pPr>
            <w:r w:rsidRPr="00CB566B">
              <w:t>10-6-1</w:t>
            </w:r>
          </w:p>
          <w:p w:rsidR="00FD3BEA" w:rsidRPr="00CB566B" w:rsidRDefault="00FD3BEA" w:rsidP="00FD3BEA">
            <w:pPr>
              <w:pStyle w:val="0-"/>
            </w:pPr>
            <w:r w:rsidRPr="00CB566B">
              <w:t>(111.9.23)</w:t>
            </w:r>
          </w:p>
        </w:tc>
        <w:tc>
          <w:tcPr>
            <w:tcW w:w="498" w:type="pct"/>
          </w:tcPr>
          <w:p w:rsidR="00FD3BEA" w:rsidRPr="00CB566B" w:rsidRDefault="00FD3BEA" w:rsidP="00FD3BEA">
            <w:pPr>
              <w:jc w:val="both"/>
              <w:rPr>
                <w:rFonts w:ascii="標楷體" w:eastAsia="標楷體" w:hAnsi="標楷體"/>
                <w:color w:val="000000"/>
                <w:sz w:val="28"/>
                <w:szCs w:val="28"/>
              </w:rPr>
            </w:pPr>
          </w:p>
        </w:tc>
        <w:tc>
          <w:tcPr>
            <w:tcW w:w="1531" w:type="pct"/>
          </w:tcPr>
          <w:p w:rsidR="00FD3BEA" w:rsidRPr="00CB566B" w:rsidRDefault="00FD3BEA" w:rsidP="005B74D5">
            <w:pPr>
              <w:rPr>
                <w:rFonts w:ascii="標楷體" w:eastAsia="標楷體" w:hAnsi="標楷體"/>
                <w:color w:val="000000"/>
                <w:sz w:val="28"/>
                <w:szCs w:val="28"/>
              </w:rPr>
            </w:pPr>
            <w:r w:rsidRPr="00CB566B">
              <w:rPr>
                <w:rFonts w:ascii="標楷體" w:eastAsia="標楷體" w:hAnsi="標楷體" w:hint="eastAsia"/>
                <w:color w:val="000000"/>
                <w:sz w:val="28"/>
                <w:szCs w:val="28"/>
              </w:rPr>
              <w:t>尚未審查</w:t>
            </w:r>
          </w:p>
        </w:tc>
      </w:tr>
      <w:tr w:rsidR="00FD3BEA" w:rsidRPr="00920597" w:rsidTr="00992F26">
        <w:trPr>
          <w:trHeight w:val="567"/>
        </w:trPr>
        <w:tc>
          <w:tcPr>
            <w:tcW w:w="342" w:type="pct"/>
            <w:vAlign w:val="center"/>
          </w:tcPr>
          <w:p w:rsidR="00FD3BEA" w:rsidRPr="00920597" w:rsidRDefault="00FD3BEA" w:rsidP="00FD3BEA">
            <w:pPr>
              <w:numPr>
                <w:ilvl w:val="0"/>
                <w:numId w:val="7"/>
              </w:numPr>
              <w:spacing w:line="400" w:lineRule="exact"/>
              <w:ind w:right="113"/>
              <w:rPr>
                <w:rFonts w:ascii="標楷體" w:eastAsia="標楷體" w:hAnsi="標楷體"/>
                <w:color w:val="000000" w:themeColor="text1"/>
                <w:sz w:val="28"/>
                <w:szCs w:val="28"/>
              </w:rPr>
            </w:pPr>
          </w:p>
        </w:tc>
        <w:tc>
          <w:tcPr>
            <w:tcW w:w="1801" w:type="pct"/>
          </w:tcPr>
          <w:p w:rsidR="00FD3BEA" w:rsidRPr="00CB566B" w:rsidRDefault="00FD3BEA" w:rsidP="00FD3BEA">
            <w:pPr>
              <w:spacing w:line="400" w:lineRule="exact"/>
              <w:ind w:leftChars="-12" w:left="-29"/>
              <w:jc w:val="both"/>
              <w:rPr>
                <w:rFonts w:ascii="標楷體" w:eastAsia="標楷體" w:hAnsi="標楷體"/>
                <w:color w:val="000000"/>
                <w:sz w:val="28"/>
              </w:rPr>
            </w:pPr>
            <w:r w:rsidRPr="00CB566B">
              <w:rPr>
                <w:rFonts w:ascii="標楷體" w:eastAsia="標楷體" w:hAnsi="標楷體" w:hint="eastAsia"/>
                <w:color w:val="000000"/>
                <w:sz w:val="28"/>
              </w:rPr>
              <w:t>行政院原子能委員會函送財團法人中華民國輻射防護協會及財團法人核能資訊中心110年度決算書案。</w:t>
            </w:r>
          </w:p>
        </w:tc>
        <w:tc>
          <w:tcPr>
            <w:tcW w:w="828" w:type="pct"/>
          </w:tcPr>
          <w:p w:rsidR="00FD3BEA" w:rsidRPr="00CB566B" w:rsidRDefault="00FD3BEA" w:rsidP="00FD3BEA">
            <w:pPr>
              <w:pStyle w:val="0-"/>
            </w:pPr>
            <w:r w:rsidRPr="00CB566B">
              <w:t>10-6-1</w:t>
            </w:r>
          </w:p>
          <w:p w:rsidR="00FD3BEA" w:rsidRPr="00CB566B" w:rsidRDefault="00FD3BEA" w:rsidP="00FD3BEA">
            <w:pPr>
              <w:pStyle w:val="0-"/>
            </w:pPr>
            <w:r w:rsidRPr="00CB566B">
              <w:t>(111.9.23)</w:t>
            </w:r>
          </w:p>
        </w:tc>
        <w:tc>
          <w:tcPr>
            <w:tcW w:w="498" w:type="pct"/>
          </w:tcPr>
          <w:p w:rsidR="00FD3BEA" w:rsidRPr="00CB566B" w:rsidRDefault="00FD3BEA" w:rsidP="00FD3BEA">
            <w:pPr>
              <w:jc w:val="both"/>
              <w:rPr>
                <w:rFonts w:ascii="標楷體" w:eastAsia="標楷體" w:hAnsi="標楷體"/>
                <w:color w:val="000000"/>
                <w:sz w:val="28"/>
                <w:szCs w:val="28"/>
              </w:rPr>
            </w:pPr>
          </w:p>
        </w:tc>
        <w:tc>
          <w:tcPr>
            <w:tcW w:w="1531" w:type="pct"/>
          </w:tcPr>
          <w:p w:rsidR="00FD3BEA" w:rsidRPr="00CB566B" w:rsidRDefault="00FD3BEA" w:rsidP="005B74D5">
            <w:pPr>
              <w:rPr>
                <w:rFonts w:ascii="標楷體" w:eastAsia="標楷體" w:hAnsi="標楷體"/>
                <w:color w:val="000000"/>
                <w:sz w:val="28"/>
                <w:szCs w:val="28"/>
              </w:rPr>
            </w:pPr>
            <w:r w:rsidRPr="00CB566B">
              <w:rPr>
                <w:rFonts w:ascii="標楷體" w:eastAsia="標楷體" w:hAnsi="標楷體" w:hint="eastAsia"/>
                <w:color w:val="000000"/>
                <w:sz w:val="28"/>
                <w:szCs w:val="28"/>
              </w:rPr>
              <w:t>尚未審查</w:t>
            </w:r>
          </w:p>
        </w:tc>
      </w:tr>
      <w:tr w:rsidR="00FD3BEA" w:rsidRPr="00920597" w:rsidTr="00992F26">
        <w:trPr>
          <w:trHeight w:val="567"/>
        </w:trPr>
        <w:tc>
          <w:tcPr>
            <w:tcW w:w="342" w:type="pct"/>
            <w:vAlign w:val="center"/>
          </w:tcPr>
          <w:p w:rsidR="00FD3BEA" w:rsidRPr="00920597" w:rsidRDefault="00FD3BEA" w:rsidP="00FD3BEA">
            <w:pPr>
              <w:numPr>
                <w:ilvl w:val="0"/>
                <w:numId w:val="7"/>
              </w:numPr>
              <w:spacing w:line="400" w:lineRule="exact"/>
              <w:ind w:right="113"/>
              <w:rPr>
                <w:rFonts w:ascii="標楷體" w:eastAsia="標楷體" w:hAnsi="標楷體"/>
                <w:color w:val="000000" w:themeColor="text1"/>
                <w:sz w:val="28"/>
                <w:szCs w:val="28"/>
              </w:rPr>
            </w:pPr>
          </w:p>
        </w:tc>
        <w:tc>
          <w:tcPr>
            <w:tcW w:w="1801" w:type="pct"/>
          </w:tcPr>
          <w:p w:rsidR="00FD3BEA" w:rsidRPr="00CB566B" w:rsidRDefault="00FD3BEA" w:rsidP="00FD3BEA">
            <w:pPr>
              <w:spacing w:line="400" w:lineRule="exact"/>
              <w:ind w:leftChars="-12" w:left="-29"/>
              <w:jc w:val="both"/>
              <w:rPr>
                <w:rFonts w:ascii="標楷體" w:eastAsia="標楷體" w:hAnsi="標楷體"/>
                <w:color w:val="000000"/>
                <w:sz w:val="28"/>
              </w:rPr>
            </w:pPr>
            <w:r w:rsidRPr="00CB566B">
              <w:rPr>
                <w:rFonts w:ascii="標楷體" w:eastAsia="標楷體" w:hAnsi="標楷體" w:hint="eastAsia"/>
                <w:color w:val="000000"/>
                <w:sz w:val="28"/>
              </w:rPr>
              <w:t>科技部函送財團法人國家實驗研究院及財團法人國家同步輻射研究中心110年度決算書案。</w:t>
            </w:r>
          </w:p>
        </w:tc>
        <w:tc>
          <w:tcPr>
            <w:tcW w:w="828" w:type="pct"/>
          </w:tcPr>
          <w:p w:rsidR="00FD3BEA" w:rsidRPr="00CB566B" w:rsidRDefault="00FD3BEA" w:rsidP="00FD3BEA">
            <w:pPr>
              <w:pStyle w:val="0-"/>
            </w:pPr>
            <w:r w:rsidRPr="00CB566B">
              <w:t>10-6-1</w:t>
            </w:r>
          </w:p>
          <w:p w:rsidR="00FD3BEA" w:rsidRPr="00CB566B" w:rsidRDefault="00FD3BEA" w:rsidP="00FD3BEA">
            <w:pPr>
              <w:pStyle w:val="0-"/>
            </w:pPr>
            <w:r w:rsidRPr="00CB566B">
              <w:t>(111.9.23)</w:t>
            </w:r>
          </w:p>
        </w:tc>
        <w:tc>
          <w:tcPr>
            <w:tcW w:w="498" w:type="pct"/>
          </w:tcPr>
          <w:p w:rsidR="00FD3BEA" w:rsidRPr="00CB566B" w:rsidRDefault="00FD3BEA" w:rsidP="00FD3BEA">
            <w:pPr>
              <w:jc w:val="both"/>
              <w:rPr>
                <w:rFonts w:ascii="標楷體" w:eastAsia="標楷體" w:hAnsi="標楷體"/>
                <w:color w:val="000000"/>
                <w:sz w:val="28"/>
                <w:szCs w:val="28"/>
              </w:rPr>
            </w:pPr>
          </w:p>
        </w:tc>
        <w:tc>
          <w:tcPr>
            <w:tcW w:w="1531" w:type="pct"/>
          </w:tcPr>
          <w:p w:rsidR="00FD3BEA" w:rsidRPr="00CB566B" w:rsidRDefault="00FD3BEA" w:rsidP="005B74D5">
            <w:pPr>
              <w:rPr>
                <w:rFonts w:ascii="標楷體" w:eastAsia="標楷體" w:hAnsi="標楷體"/>
                <w:color w:val="000000"/>
                <w:sz w:val="28"/>
                <w:szCs w:val="28"/>
              </w:rPr>
            </w:pPr>
            <w:r w:rsidRPr="00CB566B">
              <w:rPr>
                <w:rFonts w:ascii="標楷體" w:eastAsia="標楷體" w:hAnsi="標楷體" w:hint="eastAsia"/>
                <w:color w:val="000000"/>
                <w:sz w:val="28"/>
                <w:szCs w:val="28"/>
              </w:rPr>
              <w:t>尚未審查</w:t>
            </w:r>
          </w:p>
        </w:tc>
      </w:tr>
      <w:tr w:rsidR="00FD3BEA" w:rsidRPr="00920597" w:rsidTr="00992F26">
        <w:trPr>
          <w:trHeight w:val="567"/>
        </w:trPr>
        <w:tc>
          <w:tcPr>
            <w:tcW w:w="342" w:type="pct"/>
            <w:vAlign w:val="center"/>
          </w:tcPr>
          <w:p w:rsidR="00FD3BEA" w:rsidRPr="00920597" w:rsidRDefault="00FD3BEA" w:rsidP="00FD3BEA">
            <w:pPr>
              <w:numPr>
                <w:ilvl w:val="0"/>
                <w:numId w:val="7"/>
              </w:numPr>
              <w:spacing w:line="400" w:lineRule="exact"/>
              <w:ind w:right="113"/>
              <w:rPr>
                <w:rFonts w:ascii="標楷體" w:eastAsia="標楷體" w:hAnsi="標楷體"/>
                <w:color w:val="000000" w:themeColor="text1"/>
                <w:sz w:val="28"/>
                <w:szCs w:val="28"/>
              </w:rPr>
            </w:pPr>
          </w:p>
        </w:tc>
        <w:tc>
          <w:tcPr>
            <w:tcW w:w="1801" w:type="pct"/>
          </w:tcPr>
          <w:p w:rsidR="00FD3BEA" w:rsidRPr="000202D8" w:rsidRDefault="00641E57" w:rsidP="00FD3BEA">
            <w:pPr>
              <w:spacing w:line="400" w:lineRule="exact"/>
              <w:ind w:leftChars="-12" w:left="-29"/>
              <w:jc w:val="both"/>
              <w:rPr>
                <w:rFonts w:ascii="標楷體" w:eastAsia="標楷體" w:hAnsi="標楷體"/>
                <w:color w:val="000000"/>
                <w:sz w:val="28"/>
              </w:rPr>
            </w:pPr>
            <w:hyperlink r:id="rId52" w:tooltip="一百二十七、文化部函送財團法人國家文化藝術基金會等11家財團法人112年度預算書案。" w:history="1">
              <w:r w:rsidR="00FD3BEA" w:rsidRPr="000202D8">
                <w:rPr>
                  <w:rFonts w:ascii="標楷體" w:eastAsia="標楷體" w:hAnsi="標楷體" w:hint="eastAsia"/>
                  <w:color w:val="000000"/>
                  <w:sz w:val="28"/>
                </w:rPr>
                <w:t>文化部函送財團法人國家文化藝術基金會等11家財團法人112年度預算書案。</w:t>
              </w:r>
            </w:hyperlink>
          </w:p>
        </w:tc>
        <w:tc>
          <w:tcPr>
            <w:tcW w:w="828" w:type="pct"/>
          </w:tcPr>
          <w:p w:rsidR="00FD3BEA" w:rsidRPr="000202D8" w:rsidRDefault="00FD3BEA" w:rsidP="00FD3BEA">
            <w:pPr>
              <w:pStyle w:val="0-"/>
            </w:pPr>
            <w:r w:rsidRPr="000202D8">
              <w:t>10-6-2</w:t>
            </w:r>
          </w:p>
          <w:p w:rsidR="00FD3BEA" w:rsidRPr="000202D8" w:rsidRDefault="00FD3BEA" w:rsidP="00FD3BEA">
            <w:pPr>
              <w:pStyle w:val="0-"/>
            </w:pPr>
            <w:r w:rsidRPr="000202D8">
              <w:t>(111.9.30)</w:t>
            </w:r>
          </w:p>
          <w:p w:rsidR="00FD3BEA" w:rsidRPr="000202D8" w:rsidRDefault="00FD3BEA" w:rsidP="00FD3BEA">
            <w:pPr>
              <w:pStyle w:val="0-"/>
            </w:pPr>
          </w:p>
        </w:tc>
        <w:tc>
          <w:tcPr>
            <w:tcW w:w="498" w:type="pct"/>
          </w:tcPr>
          <w:p w:rsidR="00FD3BEA" w:rsidRPr="000202D8" w:rsidRDefault="00FD3BEA" w:rsidP="00FD3BEA">
            <w:pPr>
              <w:jc w:val="both"/>
              <w:rPr>
                <w:rFonts w:ascii="標楷體" w:eastAsia="標楷體" w:hAnsi="標楷體"/>
                <w:color w:val="000000"/>
                <w:sz w:val="28"/>
                <w:szCs w:val="28"/>
              </w:rPr>
            </w:pPr>
          </w:p>
        </w:tc>
        <w:tc>
          <w:tcPr>
            <w:tcW w:w="1531" w:type="pct"/>
          </w:tcPr>
          <w:p w:rsidR="00FD3BEA" w:rsidRPr="000202D8" w:rsidRDefault="00FD3BEA" w:rsidP="005B74D5">
            <w:pPr>
              <w:rPr>
                <w:rFonts w:ascii="標楷體" w:eastAsia="標楷體" w:hAnsi="標楷體"/>
                <w:color w:val="000000"/>
                <w:sz w:val="28"/>
                <w:szCs w:val="28"/>
              </w:rPr>
            </w:pPr>
            <w:r w:rsidRPr="000202D8">
              <w:rPr>
                <w:rFonts w:ascii="標楷體" w:eastAsia="標楷體" w:hAnsi="標楷體" w:hint="eastAsia"/>
                <w:color w:val="000000"/>
                <w:sz w:val="28"/>
                <w:szCs w:val="28"/>
              </w:rPr>
              <w:t>尚未審查</w:t>
            </w:r>
          </w:p>
        </w:tc>
      </w:tr>
      <w:tr w:rsidR="00FD3BEA" w:rsidRPr="00920597" w:rsidTr="00992F26">
        <w:trPr>
          <w:trHeight w:val="567"/>
        </w:trPr>
        <w:tc>
          <w:tcPr>
            <w:tcW w:w="342" w:type="pct"/>
            <w:vAlign w:val="center"/>
          </w:tcPr>
          <w:p w:rsidR="00FD3BEA" w:rsidRPr="00920597" w:rsidRDefault="00FD3BEA" w:rsidP="00FD3BEA">
            <w:pPr>
              <w:numPr>
                <w:ilvl w:val="0"/>
                <w:numId w:val="7"/>
              </w:numPr>
              <w:spacing w:line="400" w:lineRule="exact"/>
              <w:ind w:right="113"/>
              <w:rPr>
                <w:rFonts w:ascii="標楷體" w:eastAsia="標楷體" w:hAnsi="標楷體"/>
                <w:color w:val="000000" w:themeColor="text1"/>
                <w:sz w:val="28"/>
                <w:szCs w:val="28"/>
              </w:rPr>
            </w:pPr>
          </w:p>
        </w:tc>
        <w:tc>
          <w:tcPr>
            <w:tcW w:w="1801" w:type="pct"/>
          </w:tcPr>
          <w:p w:rsidR="00FD3BEA" w:rsidRPr="000202D8" w:rsidRDefault="00641E57" w:rsidP="00FD3BEA">
            <w:pPr>
              <w:spacing w:line="400" w:lineRule="exact"/>
              <w:ind w:leftChars="-12" w:left="-29"/>
              <w:jc w:val="both"/>
              <w:rPr>
                <w:rFonts w:ascii="標楷體" w:eastAsia="標楷體" w:hAnsi="標楷體"/>
                <w:color w:val="000000"/>
                <w:sz w:val="28"/>
              </w:rPr>
            </w:pPr>
            <w:hyperlink r:id="rId53" w:tooltip="一百二十九、行政院原子能委員會函送財團法人中華民國輻射防護協會及財團法人核能資訊中心112年度預算書案。" w:history="1">
              <w:r w:rsidR="00FD3BEA" w:rsidRPr="000202D8">
                <w:rPr>
                  <w:rFonts w:ascii="標楷體" w:eastAsia="標楷體" w:hAnsi="標楷體" w:hint="eastAsia"/>
                  <w:color w:val="000000"/>
                  <w:sz w:val="28"/>
                </w:rPr>
                <w:t>國家科學及技術委員會函送財團法人國家實驗研究院及財團法人國家同步輻射研究中心112年度預算書案。</w:t>
              </w:r>
            </w:hyperlink>
          </w:p>
        </w:tc>
        <w:tc>
          <w:tcPr>
            <w:tcW w:w="828" w:type="pct"/>
          </w:tcPr>
          <w:p w:rsidR="00FD3BEA" w:rsidRPr="000202D8" w:rsidRDefault="00FD3BEA" w:rsidP="00FD3BEA">
            <w:pPr>
              <w:pStyle w:val="0-"/>
            </w:pPr>
            <w:r w:rsidRPr="000202D8">
              <w:t>10-6-2</w:t>
            </w:r>
          </w:p>
          <w:p w:rsidR="00FD3BEA" w:rsidRPr="000202D8" w:rsidRDefault="00FD3BEA" w:rsidP="00FD3BEA">
            <w:pPr>
              <w:pStyle w:val="0-"/>
            </w:pPr>
            <w:r w:rsidRPr="000202D8">
              <w:t>(111.9.30)</w:t>
            </w:r>
          </w:p>
          <w:p w:rsidR="00FD3BEA" w:rsidRPr="000202D8" w:rsidRDefault="00FD3BEA" w:rsidP="00FD3BEA">
            <w:pPr>
              <w:pStyle w:val="0-"/>
            </w:pPr>
          </w:p>
        </w:tc>
        <w:tc>
          <w:tcPr>
            <w:tcW w:w="498" w:type="pct"/>
          </w:tcPr>
          <w:p w:rsidR="00FD3BEA" w:rsidRPr="000202D8" w:rsidRDefault="00FD3BEA" w:rsidP="00FD3BEA">
            <w:pPr>
              <w:jc w:val="both"/>
              <w:rPr>
                <w:rFonts w:ascii="標楷體" w:eastAsia="標楷體" w:hAnsi="標楷體"/>
                <w:color w:val="000000"/>
                <w:sz w:val="28"/>
                <w:szCs w:val="28"/>
              </w:rPr>
            </w:pPr>
          </w:p>
        </w:tc>
        <w:tc>
          <w:tcPr>
            <w:tcW w:w="1531" w:type="pct"/>
          </w:tcPr>
          <w:p w:rsidR="00FD3BEA" w:rsidRPr="000202D8" w:rsidRDefault="00FD3BEA" w:rsidP="005B74D5">
            <w:pPr>
              <w:rPr>
                <w:rFonts w:ascii="標楷體" w:eastAsia="標楷體" w:hAnsi="標楷體"/>
                <w:color w:val="000000"/>
                <w:sz w:val="28"/>
                <w:szCs w:val="28"/>
              </w:rPr>
            </w:pPr>
            <w:r w:rsidRPr="000202D8">
              <w:rPr>
                <w:rFonts w:ascii="標楷體" w:eastAsia="標楷體" w:hAnsi="標楷體" w:hint="eastAsia"/>
                <w:color w:val="000000"/>
                <w:sz w:val="28"/>
                <w:szCs w:val="28"/>
              </w:rPr>
              <w:t>尚未審查</w:t>
            </w:r>
          </w:p>
        </w:tc>
      </w:tr>
      <w:tr w:rsidR="00FD3BEA" w:rsidRPr="00920597" w:rsidTr="00992F26">
        <w:trPr>
          <w:trHeight w:val="567"/>
        </w:trPr>
        <w:tc>
          <w:tcPr>
            <w:tcW w:w="342" w:type="pct"/>
            <w:vAlign w:val="center"/>
          </w:tcPr>
          <w:p w:rsidR="00FD3BEA" w:rsidRPr="00920597" w:rsidRDefault="00FD3BEA" w:rsidP="00FD3BEA">
            <w:pPr>
              <w:numPr>
                <w:ilvl w:val="0"/>
                <w:numId w:val="7"/>
              </w:numPr>
              <w:spacing w:line="400" w:lineRule="exact"/>
              <w:ind w:right="113"/>
              <w:rPr>
                <w:rFonts w:ascii="標楷體" w:eastAsia="標楷體" w:hAnsi="標楷體"/>
                <w:color w:val="000000" w:themeColor="text1"/>
                <w:sz w:val="28"/>
                <w:szCs w:val="28"/>
              </w:rPr>
            </w:pPr>
          </w:p>
        </w:tc>
        <w:tc>
          <w:tcPr>
            <w:tcW w:w="1801" w:type="pct"/>
          </w:tcPr>
          <w:p w:rsidR="00FD3BEA" w:rsidRPr="000202D8" w:rsidRDefault="00641E57" w:rsidP="00FD3BEA">
            <w:pPr>
              <w:spacing w:line="400" w:lineRule="exact"/>
              <w:ind w:leftChars="-12" w:left="-29"/>
              <w:jc w:val="both"/>
              <w:rPr>
                <w:rFonts w:ascii="標楷體" w:eastAsia="標楷體" w:hAnsi="標楷體"/>
                <w:color w:val="000000"/>
                <w:sz w:val="28"/>
              </w:rPr>
            </w:pPr>
            <w:hyperlink r:id="rId54" w:tooltip="一百二十九、行政院原子能委員會函送財團法人中華民國輻射防護協會及財團法人核能資訊中心112年度預算書案。" w:history="1">
              <w:r w:rsidR="00FD3BEA" w:rsidRPr="000202D8">
                <w:rPr>
                  <w:rFonts w:ascii="標楷體" w:eastAsia="標楷體" w:hAnsi="標楷體" w:hint="eastAsia"/>
                  <w:color w:val="000000"/>
                  <w:sz w:val="28"/>
                </w:rPr>
                <w:t>行政院原子能委員會函送財團法人中華民國輻射防護協會及財團法人核能資訊中心112年度預算書案。</w:t>
              </w:r>
            </w:hyperlink>
          </w:p>
        </w:tc>
        <w:tc>
          <w:tcPr>
            <w:tcW w:w="828" w:type="pct"/>
          </w:tcPr>
          <w:p w:rsidR="00FD3BEA" w:rsidRPr="000202D8" w:rsidRDefault="00FD3BEA" w:rsidP="00FD3BEA">
            <w:pPr>
              <w:pStyle w:val="0-"/>
            </w:pPr>
            <w:r w:rsidRPr="000202D8">
              <w:t>10-6-2</w:t>
            </w:r>
          </w:p>
          <w:p w:rsidR="00FD3BEA" w:rsidRPr="000202D8" w:rsidRDefault="00FD3BEA" w:rsidP="00FD3BEA">
            <w:pPr>
              <w:pStyle w:val="0-"/>
            </w:pPr>
            <w:r w:rsidRPr="000202D8">
              <w:t>(111.9.30)</w:t>
            </w:r>
          </w:p>
          <w:p w:rsidR="00FD3BEA" w:rsidRPr="000202D8" w:rsidRDefault="00FD3BEA" w:rsidP="00FD3BEA">
            <w:pPr>
              <w:pStyle w:val="0-"/>
            </w:pPr>
          </w:p>
        </w:tc>
        <w:tc>
          <w:tcPr>
            <w:tcW w:w="498" w:type="pct"/>
          </w:tcPr>
          <w:p w:rsidR="00FD3BEA" w:rsidRPr="000202D8" w:rsidRDefault="00FD3BEA" w:rsidP="00FD3BEA">
            <w:pPr>
              <w:jc w:val="both"/>
              <w:rPr>
                <w:rFonts w:ascii="標楷體" w:eastAsia="標楷體" w:hAnsi="標楷體"/>
                <w:color w:val="000000"/>
                <w:sz w:val="28"/>
                <w:szCs w:val="28"/>
              </w:rPr>
            </w:pPr>
          </w:p>
        </w:tc>
        <w:tc>
          <w:tcPr>
            <w:tcW w:w="1531" w:type="pct"/>
          </w:tcPr>
          <w:p w:rsidR="00FD3BEA" w:rsidRPr="000202D8" w:rsidRDefault="00FD3BEA" w:rsidP="005B74D5">
            <w:pPr>
              <w:rPr>
                <w:rFonts w:ascii="標楷體" w:eastAsia="標楷體" w:hAnsi="標楷體"/>
                <w:color w:val="000000"/>
                <w:sz w:val="28"/>
                <w:szCs w:val="28"/>
              </w:rPr>
            </w:pPr>
            <w:r w:rsidRPr="000202D8">
              <w:rPr>
                <w:rFonts w:ascii="標楷體" w:eastAsia="標楷體" w:hAnsi="標楷體" w:hint="eastAsia"/>
                <w:color w:val="000000"/>
                <w:sz w:val="28"/>
                <w:szCs w:val="28"/>
              </w:rPr>
              <w:t>尚未審查</w:t>
            </w:r>
          </w:p>
        </w:tc>
      </w:tr>
      <w:tr w:rsidR="00FD3BEA" w:rsidRPr="00920597" w:rsidTr="00992F26">
        <w:trPr>
          <w:trHeight w:val="567"/>
        </w:trPr>
        <w:tc>
          <w:tcPr>
            <w:tcW w:w="342" w:type="pct"/>
            <w:vAlign w:val="center"/>
          </w:tcPr>
          <w:p w:rsidR="00FD3BEA" w:rsidRPr="00920597" w:rsidRDefault="00FD3BEA" w:rsidP="00FD3BEA">
            <w:pPr>
              <w:numPr>
                <w:ilvl w:val="0"/>
                <w:numId w:val="7"/>
              </w:numPr>
              <w:spacing w:line="400" w:lineRule="exact"/>
              <w:ind w:right="113"/>
              <w:rPr>
                <w:rFonts w:ascii="標楷體" w:eastAsia="標楷體" w:hAnsi="標楷體"/>
                <w:color w:val="000000" w:themeColor="text1"/>
                <w:sz w:val="28"/>
                <w:szCs w:val="28"/>
              </w:rPr>
            </w:pPr>
          </w:p>
        </w:tc>
        <w:tc>
          <w:tcPr>
            <w:tcW w:w="1801" w:type="pct"/>
          </w:tcPr>
          <w:p w:rsidR="00FD3BEA" w:rsidRPr="000202D8" w:rsidRDefault="00641E57" w:rsidP="00FD3BEA">
            <w:pPr>
              <w:spacing w:line="400" w:lineRule="exact"/>
              <w:ind w:leftChars="-12" w:left="-29"/>
              <w:jc w:val="both"/>
              <w:rPr>
                <w:rFonts w:ascii="標楷體" w:eastAsia="標楷體" w:hAnsi="標楷體"/>
                <w:color w:val="000000"/>
                <w:sz w:val="28"/>
              </w:rPr>
            </w:pPr>
            <w:hyperlink r:id="rId55" w:tooltip="一百三十、教育部函送財團法人大學入學考試中心基金會等10家財團法人112年度預算書案。" w:history="1">
              <w:r w:rsidR="00FD3BEA" w:rsidRPr="000202D8">
                <w:rPr>
                  <w:rFonts w:ascii="標楷體" w:eastAsia="標楷體" w:hAnsi="標楷體" w:hint="eastAsia"/>
                  <w:color w:val="000000"/>
                  <w:sz w:val="28"/>
                </w:rPr>
                <w:t>教育部函送財團法人大學入學考試中心基金會等10家財團法人112年度預算書案。</w:t>
              </w:r>
            </w:hyperlink>
          </w:p>
        </w:tc>
        <w:tc>
          <w:tcPr>
            <w:tcW w:w="828" w:type="pct"/>
          </w:tcPr>
          <w:p w:rsidR="00FD3BEA" w:rsidRPr="000202D8" w:rsidRDefault="00FD3BEA" w:rsidP="00FD3BEA">
            <w:pPr>
              <w:pStyle w:val="0-"/>
            </w:pPr>
            <w:r w:rsidRPr="000202D8">
              <w:t>10-6-2</w:t>
            </w:r>
          </w:p>
          <w:p w:rsidR="00FD3BEA" w:rsidRPr="000202D8" w:rsidRDefault="00FD3BEA" w:rsidP="00FD3BEA">
            <w:pPr>
              <w:pStyle w:val="0-"/>
            </w:pPr>
            <w:r w:rsidRPr="000202D8">
              <w:t>(111.9.30)</w:t>
            </w:r>
          </w:p>
          <w:p w:rsidR="00FD3BEA" w:rsidRPr="000202D8" w:rsidRDefault="00FD3BEA" w:rsidP="00FD3BEA">
            <w:pPr>
              <w:pStyle w:val="0-"/>
            </w:pPr>
          </w:p>
        </w:tc>
        <w:tc>
          <w:tcPr>
            <w:tcW w:w="498" w:type="pct"/>
          </w:tcPr>
          <w:p w:rsidR="00FD3BEA" w:rsidRPr="000202D8" w:rsidRDefault="00FD3BEA" w:rsidP="00FD3BEA">
            <w:pPr>
              <w:jc w:val="both"/>
              <w:rPr>
                <w:rFonts w:ascii="標楷體" w:eastAsia="標楷體" w:hAnsi="標楷體"/>
                <w:color w:val="000000"/>
                <w:sz w:val="28"/>
                <w:szCs w:val="28"/>
              </w:rPr>
            </w:pPr>
          </w:p>
        </w:tc>
        <w:tc>
          <w:tcPr>
            <w:tcW w:w="1531" w:type="pct"/>
          </w:tcPr>
          <w:p w:rsidR="00FD3BEA" w:rsidRPr="000202D8" w:rsidRDefault="00FD3BEA" w:rsidP="005B74D5">
            <w:pPr>
              <w:rPr>
                <w:rFonts w:ascii="標楷體" w:eastAsia="標楷體" w:hAnsi="標楷體"/>
                <w:color w:val="000000"/>
                <w:sz w:val="28"/>
                <w:szCs w:val="28"/>
              </w:rPr>
            </w:pPr>
            <w:r w:rsidRPr="000202D8">
              <w:rPr>
                <w:rFonts w:ascii="標楷體" w:eastAsia="標楷體" w:hAnsi="標楷體" w:hint="eastAsia"/>
                <w:color w:val="000000"/>
                <w:sz w:val="28"/>
                <w:szCs w:val="28"/>
              </w:rPr>
              <w:t>尚未審查</w:t>
            </w:r>
          </w:p>
        </w:tc>
      </w:tr>
      <w:tr w:rsidR="00FD3BEA" w:rsidRPr="00920597" w:rsidTr="00992F26">
        <w:trPr>
          <w:trHeight w:val="567"/>
        </w:trPr>
        <w:tc>
          <w:tcPr>
            <w:tcW w:w="342" w:type="pct"/>
            <w:vAlign w:val="center"/>
          </w:tcPr>
          <w:p w:rsidR="00FD3BEA" w:rsidRPr="00920597" w:rsidRDefault="00FD3BEA" w:rsidP="00FD3BEA">
            <w:pPr>
              <w:numPr>
                <w:ilvl w:val="0"/>
                <w:numId w:val="7"/>
              </w:numPr>
              <w:spacing w:line="400" w:lineRule="exact"/>
              <w:ind w:right="113"/>
              <w:rPr>
                <w:rFonts w:ascii="標楷體" w:eastAsia="標楷體" w:hAnsi="標楷體"/>
                <w:color w:val="000000" w:themeColor="text1"/>
                <w:sz w:val="28"/>
                <w:szCs w:val="28"/>
              </w:rPr>
            </w:pPr>
          </w:p>
        </w:tc>
        <w:tc>
          <w:tcPr>
            <w:tcW w:w="1801" w:type="pct"/>
          </w:tcPr>
          <w:p w:rsidR="00FD3BEA" w:rsidRPr="00903663" w:rsidRDefault="00FD3BEA" w:rsidP="00FD3BEA">
            <w:pPr>
              <w:spacing w:line="400" w:lineRule="exact"/>
              <w:ind w:leftChars="-12" w:left="-29"/>
              <w:jc w:val="both"/>
              <w:rPr>
                <w:rFonts w:ascii="標楷體" w:eastAsia="標楷體" w:hAnsi="標楷體"/>
                <w:color w:val="000000"/>
                <w:sz w:val="28"/>
              </w:rPr>
            </w:pPr>
            <w:r w:rsidRPr="00903663">
              <w:rPr>
                <w:rFonts w:ascii="標楷體" w:eastAsia="標楷體" w:hAnsi="標楷體" w:hint="eastAsia"/>
                <w:color w:val="000000"/>
                <w:sz w:val="28"/>
              </w:rPr>
              <w:t>文化部函送財團法人公共電視文化事業基金會112年度</w:t>
            </w:r>
            <w:r w:rsidRPr="00903663">
              <w:rPr>
                <w:rFonts w:ascii="標楷體" w:eastAsia="標楷體" w:hAnsi="標楷體" w:hint="eastAsia"/>
                <w:color w:val="000000"/>
                <w:sz w:val="28"/>
              </w:rPr>
              <w:lastRenderedPageBreak/>
              <w:t>預算書，並撤回前送之財團法人公共電視文化事業基金會112年度預算書案。</w:t>
            </w:r>
          </w:p>
        </w:tc>
        <w:tc>
          <w:tcPr>
            <w:tcW w:w="828" w:type="pct"/>
          </w:tcPr>
          <w:p w:rsidR="00FD3BEA" w:rsidRPr="00903663" w:rsidRDefault="00FD3BEA" w:rsidP="00FD3BEA">
            <w:pPr>
              <w:pStyle w:val="0-"/>
            </w:pPr>
            <w:r w:rsidRPr="00903663">
              <w:lastRenderedPageBreak/>
              <w:t>10-6-6</w:t>
            </w:r>
          </w:p>
          <w:p w:rsidR="00FD3BEA" w:rsidRPr="00903663" w:rsidRDefault="00FD3BEA" w:rsidP="00FD3BEA">
            <w:pPr>
              <w:pStyle w:val="0-"/>
            </w:pPr>
            <w:r w:rsidRPr="00903663">
              <w:t>(111.11.4)</w:t>
            </w:r>
          </w:p>
        </w:tc>
        <w:tc>
          <w:tcPr>
            <w:tcW w:w="498" w:type="pct"/>
          </w:tcPr>
          <w:p w:rsidR="00FD3BEA" w:rsidRPr="00903663" w:rsidRDefault="00FD3BEA" w:rsidP="00FD3BEA">
            <w:pPr>
              <w:jc w:val="both"/>
              <w:rPr>
                <w:rFonts w:ascii="標楷體" w:eastAsia="標楷體" w:hAnsi="標楷體"/>
                <w:color w:val="000000"/>
                <w:sz w:val="28"/>
                <w:szCs w:val="28"/>
              </w:rPr>
            </w:pPr>
          </w:p>
        </w:tc>
        <w:tc>
          <w:tcPr>
            <w:tcW w:w="1531" w:type="pct"/>
          </w:tcPr>
          <w:p w:rsidR="00FD3BEA" w:rsidRPr="00903663" w:rsidRDefault="00FD3BEA" w:rsidP="005B74D5">
            <w:pPr>
              <w:rPr>
                <w:rFonts w:ascii="標楷體" w:eastAsia="標楷體" w:hAnsi="標楷體"/>
                <w:color w:val="000000"/>
                <w:sz w:val="28"/>
                <w:szCs w:val="28"/>
              </w:rPr>
            </w:pPr>
            <w:r w:rsidRPr="00903663">
              <w:rPr>
                <w:rFonts w:ascii="標楷體" w:eastAsia="標楷體" w:hAnsi="標楷體" w:hint="eastAsia"/>
                <w:color w:val="000000"/>
                <w:sz w:val="28"/>
                <w:szCs w:val="28"/>
              </w:rPr>
              <w:t>尚未審查</w:t>
            </w:r>
          </w:p>
        </w:tc>
      </w:tr>
    </w:tbl>
    <w:p w:rsidR="00FB0608" w:rsidRPr="00920597" w:rsidRDefault="00FB0608" w:rsidP="008D0A60">
      <w:pPr>
        <w:pStyle w:val="01-3"/>
        <w:rPr>
          <w:color w:val="000000" w:themeColor="text1"/>
        </w:rPr>
      </w:pPr>
      <w:r w:rsidRPr="00920597">
        <w:rPr>
          <w:color w:val="000000" w:themeColor="text1"/>
        </w:rPr>
        <w:br w:type="page"/>
      </w:r>
      <w:bookmarkStart w:id="129" w:name="_Toc126068164"/>
      <w:r w:rsidRPr="00920597">
        <w:rPr>
          <w:rFonts w:hint="eastAsia"/>
          <w:color w:val="000000" w:themeColor="text1"/>
        </w:rPr>
        <w:lastRenderedPageBreak/>
        <w:t>(</w:t>
      </w:r>
      <w:r w:rsidR="003969D6" w:rsidRPr="00920597">
        <w:rPr>
          <w:rFonts w:hint="eastAsia"/>
          <w:color w:val="000000" w:themeColor="text1"/>
        </w:rPr>
        <w:t>二</w:t>
      </w:r>
      <w:r w:rsidRPr="00920597">
        <w:rPr>
          <w:rFonts w:hint="eastAsia"/>
          <w:color w:val="000000" w:themeColor="text1"/>
        </w:rPr>
        <w:t>)</w:t>
      </w:r>
      <w:bookmarkStart w:id="130" w:name="預算凍結案"/>
      <w:r w:rsidRPr="00920597">
        <w:rPr>
          <w:rFonts w:hint="eastAsia"/>
          <w:bCs/>
          <w:color w:val="000000" w:themeColor="text1"/>
        </w:rPr>
        <w:t>預算凍結案</w:t>
      </w:r>
      <w:bookmarkEnd w:id="130"/>
      <w:r w:rsidR="00D37CD4" w:rsidRPr="00920597">
        <w:rPr>
          <w:rFonts w:hint="eastAsia"/>
          <w:bCs/>
          <w:color w:val="000000" w:themeColor="text1"/>
        </w:rPr>
        <w:t xml:space="preserve"> </w:t>
      </w:r>
      <w:r w:rsidRPr="00920597">
        <w:rPr>
          <w:rFonts w:hint="eastAsia"/>
          <w:color w:val="000000" w:themeColor="text1"/>
        </w:rPr>
        <w:t>(</w:t>
      </w:r>
      <w:r w:rsidR="00FD3BEA">
        <w:rPr>
          <w:color w:val="000000" w:themeColor="text1"/>
        </w:rPr>
        <w:t>7</w:t>
      </w:r>
      <w:r w:rsidRPr="00920597">
        <w:rPr>
          <w:rFonts w:hint="eastAsia"/>
          <w:color w:val="000000" w:themeColor="text1"/>
        </w:rPr>
        <w:t>案）</w:t>
      </w:r>
      <w:bookmarkEnd w:id="129"/>
      <w:r w:rsidRPr="00920597">
        <w:rPr>
          <w:rFonts w:hint="eastAsia"/>
          <w:color w:val="000000" w:themeColor="text1"/>
        </w:rPr>
        <w:t xml:space="preserve"> </w:t>
      </w:r>
    </w:p>
    <w:p w:rsidR="00266A49" w:rsidRPr="00920597" w:rsidRDefault="00FD3BEA" w:rsidP="00266A49">
      <w:pPr>
        <w:pStyle w:val="01-4"/>
        <w:rPr>
          <w:color w:val="000000" w:themeColor="text1"/>
        </w:rPr>
      </w:pPr>
      <w:bookmarkStart w:id="131" w:name="科技部"/>
      <w:bookmarkStart w:id="132" w:name="_Toc126068165"/>
      <w:bookmarkEnd w:id="131"/>
      <w:r>
        <w:rPr>
          <w:rFonts w:hint="eastAsia"/>
          <w:color w:val="000000" w:themeColor="text1"/>
        </w:rPr>
        <w:t>1</w:t>
      </w:r>
      <w:r w:rsidRPr="00920597">
        <w:rPr>
          <w:rFonts w:hint="eastAsia"/>
          <w:color w:val="000000" w:themeColor="text1"/>
        </w:rPr>
        <w:t>.文化部 (1案）</w:t>
      </w:r>
      <w:bookmarkEnd w:id="13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78"/>
        <w:gridCol w:w="3240"/>
        <w:gridCol w:w="1780"/>
        <w:gridCol w:w="957"/>
        <w:gridCol w:w="2803"/>
      </w:tblGrid>
      <w:tr w:rsidR="00266A49" w:rsidRPr="00920597" w:rsidTr="0027022F">
        <w:trPr>
          <w:trHeight w:val="700"/>
        </w:trPr>
        <w:tc>
          <w:tcPr>
            <w:tcW w:w="358" w:type="pct"/>
            <w:vAlign w:val="center"/>
          </w:tcPr>
          <w:p w:rsidR="00266A49" w:rsidRPr="00920597" w:rsidRDefault="00266A49" w:rsidP="0027022F">
            <w:pPr>
              <w:spacing w:line="400" w:lineRule="exact"/>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1713" w:type="pct"/>
            <w:vAlign w:val="center"/>
          </w:tcPr>
          <w:p w:rsidR="00266A49" w:rsidRPr="00920597" w:rsidRDefault="00266A49" w:rsidP="0027022F">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941" w:type="pct"/>
            <w:vAlign w:val="center"/>
          </w:tcPr>
          <w:p w:rsidR="00266A49" w:rsidRPr="00920597" w:rsidRDefault="00266A49" w:rsidP="0027022F">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院會交付</w:t>
            </w:r>
          </w:p>
          <w:p w:rsidR="00266A49" w:rsidRPr="00920597" w:rsidRDefault="00266A49" w:rsidP="0027022F">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506" w:type="pct"/>
            <w:vAlign w:val="center"/>
          </w:tcPr>
          <w:p w:rsidR="00266A49" w:rsidRPr="00920597" w:rsidRDefault="00266A49" w:rsidP="0027022F">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聯席</w:t>
            </w:r>
          </w:p>
          <w:p w:rsidR="00266A49" w:rsidRPr="00920597" w:rsidRDefault="00266A49" w:rsidP="0027022F">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w:t>
            </w:r>
          </w:p>
        </w:tc>
        <w:tc>
          <w:tcPr>
            <w:tcW w:w="1482" w:type="pct"/>
            <w:vAlign w:val="center"/>
          </w:tcPr>
          <w:p w:rsidR="00266A49" w:rsidRPr="00920597" w:rsidRDefault="00266A49" w:rsidP="0027022F">
            <w:pPr>
              <w:spacing w:line="400" w:lineRule="exact"/>
              <w:jc w:val="distribute"/>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處理情形</w:t>
            </w:r>
          </w:p>
        </w:tc>
      </w:tr>
      <w:tr w:rsidR="00266A49" w:rsidRPr="00920597" w:rsidTr="0027022F">
        <w:trPr>
          <w:trHeight w:val="567"/>
        </w:trPr>
        <w:tc>
          <w:tcPr>
            <w:tcW w:w="358" w:type="pct"/>
            <w:vAlign w:val="center"/>
          </w:tcPr>
          <w:p w:rsidR="00266A49" w:rsidRPr="00920597" w:rsidRDefault="00266A49" w:rsidP="006934DD">
            <w:pPr>
              <w:numPr>
                <w:ilvl w:val="0"/>
                <w:numId w:val="14"/>
              </w:numPr>
              <w:spacing w:line="400" w:lineRule="exact"/>
              <w:ind w:right="113"/>
              <w:rPr>
                <w:rFonts w:ascii="標楷體" w:eastAsia="標楷體" w:hAnsi="標楷體"/>
                <w:color w:val="000000" w:themeColor="text1"/>
                <w:sz w:val="28"/>
                <w:szCs w:val="28"/>
              </w:rPr>
            </w:pPr>
          </w:p>
        </w:tc>
        <w:tc>
          <w:tcPr>
            <w:tcW w:w="1713" w:type="pct"/>
          </w:tcPr>
          <w:p w:rsidR="00266A49" w:rsidRPr="00920597" w:rsidRDefault="00266A49" w:rsidP="00266A49">
            <w:pPr>
              <w:spacing w:line="400" w:lineRule="exact"/>
              <w:jc w:val="both"/>
              <w:rPr>
                <w:rFonts w:eastAsia="華康楷書體W5"/>
                <w:color w:val="000000" w:themeColor="text1"/>
                <w:sz w:val="28"/>
              </w:rPr>
            </w:pPr>
            <w:r w:rsidRPr="00920597">
              <w:rPr>
                <w:rFonts w:ascii="標楷體" w:eastAsia="標楷體" w:hAnsi="標楷體" w:hint="eastAsia"/>
                <w:color w:val="000000" w:themeColor="text1"/>
                <w:sz w:val="28"/>
              </w:rPr>
              <w:t>文化部函送110年度「影視及流行音樂發展業務」預算繼續凍結5,000萬元報告，請查照案。</w:t>
            </w:r>
          </w:p>
        </w:tc>
        <w:tc>
          <w:tcPr>
            <w:tcW w:w="941" w:type="pct"/>
          </w:tcPr>
          <w:p w:rsidR="00266A49" w:rsidRPr="00920597" w:rsidRDefault="00266A49" w:rsidP="00266A49">
            <w:pPr>
              <w:spacing w:line="400" w:lineRule="exact"/>
              <w:jc w:val="both"/>
              <w:rPr>
                <w:rFonts w:ascii="標楷體" w:eastAsia="標楷體" w:hAnsi="標楷體"/>
                <w:color w:val="000000" w:themeColor="text1"/>
                <w:sz w:val="28"/>
              </w:rPr>
            </w:pPr>
            <w:r w:rsidRPr="00920597">
              <w:rPr>
                <w:rFonts w:ascii="標楷體" w:eastAsia="標楷體" w:hAnsi="標楷體"/>
                <w:color w:val="000000" w:themeColor="text1"/>
                <w:sz w:val="28"/>
              </w:rPr>
              <w:t>10-4-7</w:t>
            </w:r>
          </w:p>
          <w:p w:rsidR="00266A49" w:rsidRPr="00920597" w:rsidRDefault="00266A49" w:rsidP="00266A49">
            <w:pPr>
              <w:spacing w:line="400" w:lineRule="exact"/>
              <w:jc w:val="both"/>
              <w:rPr>
                <w:rFonts w:ascii="標楷體" w:eastAsia="標楷體" w:hAnsi="標楷體"/>
                <w:color w:val="000000" w:themeColor="text1"/>
                <w:sz w:val="28"/>
              </w:rPr>
            </w:pPr>
            <w:r w:rsidRPr="00920597">
              <w:rPr>
                <w:rFonts w:ascii="標楷體" w:eastAsia="標楷體" w:hAnsi="標楷體"/>
                <w:color w:val="000000" w:themeColor="text1"/>
                <w:sz w:val="28"/>
              </w:rPr>
              <w:t>(110</w:t>
            </w:r>
            <w:r w:rsidRPr="00920597">
              <w:rPr>
                <w:rFonts w:ascii="標楷體" w:eastAsia="標楷體" w:hAnsi="標楷體" w:hint="eastAsia"/>
                <w:color w:val="000000" w:themeColor="text1"/>
                <w:sz w:val="28"/>
              </w:rPr>
              <w:t>.</w:t>
            </w:r>
            <w:r w:rsidRPr="00920597">
              <w:rPr>
                <w:rFonts w:ascii="標楷體" w:eastAsia="標楷體" w:hAnsi="標楷體"/>
                <w:color w:val="000000" w:themeColor="text1"/>
                <w:sz w:val="28"/>
              </w:rPr>
              <w:t>10</w:t>
            </w:r>
            <w:r w:rsidRPr="00920597">
              <w:rPr>
                <w:rFonts w:ascii="標楷體" w:eastAsia="標楷體" w:hAnsi="標楷體" w:hint="eastAsia"/>
                <w:color w:val="000000" w:themeColor="text1"/>
                <w:sz w:val="28"/>
              </w:rPr>
              <w:t>.2</w:t>
            </w:r>
            <w:r w:rsidRPr="00920597">
              <w:rPr>
                <w:rFonts w:ascii="標楷體" w:eastAsia="標楷體" w:hAnsi="標楷體"/>
                <w:color w:val="000000" w:themeColor="text1"/>
                <w:sz w:val="28"/>
              </w:rPr>
              <w:t>9)</w:t>
            </w:r>
          </w:p>
          <w:p w:rsidR="00266A49" w:rsidRPr="00920597" w:rsidRDefault="00266A49" w:rsidP="00266A49">
            <w:pPr>
              <w:spacing w:line="400" w:lineRule="exact"/>
              <w:rPr>
                <w:rFonts w:eastAsia="華康楷書體W5"/>
                <w:color w:val="000000" w:themeColor="text1"/>
                <w:sz w:val="28"/>
              </w:rPr>
            </w:pPr>
          </w:p>
        </w:tc>
        <w:tc>
          <w:tcPr>
            <w:tcW w:w="506" w:type="pct"/>
          </w:tcPr>
          <w:p w:rsidR="00266A49" w:rsidRPr="00920597" w:rsidRDefault="00266A49" w:rsidP="00266A49">
            <w:pPr>
              <w:spacing w:line="400" w:lineRule="exact"/>
              <w:rPr>
                <w:rFonts w:eastAsia="華康楷書體W5"/>
                <w:color w:val="000000" w:themeColor="text1"/>
                <w:sz w:val="28"/>
              </w:rPr>
            </w:pPr>
          </w:p>
        </w:tc>
        <w:tc>
          <w:tcPr>
            <w:tcW w:w="1482" w:type="pct"/>
          </w:tcPr>
          <w:p w:rsidR="00266A49" w:rsidRPr="00920597" w:rsidRDefault="00266A49" w:rsidP="00266A49">
            <w:pPr>
              <w:ind w:left="235" w:hangingChars="98" w:hanging="235"/>
              <w:jc w:val="both"/>
              <w:rPr>
                <w:rFonts w:ascii="標楷體" w:eastAsia="標楷體" w:hAnsi="標楷體"/>
                <w:color w:val="000000" w:themeColor="text1"/>
              </w:rPr>
            </w:pPr>
            <w:r w:rsidRPr="00920597">
              <w:rPr>
                <w:rFonts w:ascii="標楷體" w:eastAsia="標楷體" w:hAnsi="標楷體" w:hint="eastAsia"/>
                <w:color w:val="000000" w:themeColor="text1"/>
              </w:rPr>
              <w:t>1.第4會期第12次全體委員會議（110.12.13）決定：另定期繼續處理。</w:t>
            </w:r>
          </w:p>
          <w:p w:rsidR="00266A49" w:rsidRPr="00920597" w:rsidRDefault="00266A49" w:rsidP="00266A49">
            <w:pPr>
              <w:spacing w:line="400" w:lineRule="exact"/>
              <w:rPr>
                <w:rFonts w:eastAsia="華康楷書體W5"/>
                <w:color w:val="000000" w:themeColor="text1"/>
                <w:sz w:val="28"/>
              </w:rPr>
            </w:pPr>
          </w:p>
        </w:tc>
      </w:tr>
    </w:tbl>
    <w:p w:rsidR="00FB0608" w:rsidRPr="00920597" w:rsidRDefault="00AC7083" w:rsidP="00DB3FA5">
      <w:pPr>
        <w:pStyle w:val="01-4"/>
        <w:rPr>
          <w:color w:val="000000" w:themeColor="text1"/>
        </w:rPr>
      </w:pPr>
      <w:bookmarkStart w:id="133" w:name="_Toc126068166"/>
      <w:r>
        <w:rPr>
          <w:rFonts w:hint="eastAsia"/>
          <w:color w:val="000000" w:themeColor="text1"/>
        </w:rPr>
        <w:t>2</w:t>
      </w:r>
      <w:r w:rsidR="002F7DBB" w:rsidRPr="00920597">
        <w:rPr>
          <w:color w:val="000000" w:themeColor="text1"/>
        </w:rPr>
        <w:t>.</w:t>
      </w:r>
      <w:r w:rsidR="00FD3BEA">
        <w:rPr>
          <w:rFonts w:hint="eastAsia"/>
          <w:color w:val="000000" w:themeColor="text1"/>
        </w:rPr>
        <w:t>國家科學及技術委員會</w:t>
      </w:r>
      <w:r w:rsidR="008D0A60" w:rsidRPr="00920597">
        <w:rPr>
          <w:rFonts w:hint="eastAsia"/>
          <w:color w:val="000000" w:themeColor="text1"/>
        </w:rPr>
        <w:t xml:space="preserve"> </w:t>
      </w:r>
      <w:r w:rsidR="00FB0608" w:rsidRPr="00920597">
        <w:rPr>
          <w:rFonts w:hint="eastAsia"/>
          <w:color w:val="000000" w:themeColor="text1"/>
        </w:rPr>
        <w:t>(</w:t>
      </w:r>
      <w:r w:rsidR="00FD3BEA">
        <w:rPr>
          <w:rFonts w:hint="eastAsia"/>
          <w:color w:val="000000" w:themeColor="text1"/>
        </w:rPr>
        <w:t>1</w:t>
      </w:r>
      <w:r w:rsidR="00FB0608" w:rsidRPr="00920597">
        <w:rPr>
          <w:rFonts w:hint="eastAsia"/>
          <w:color w:val="000000" w:themeColor="text1"/>
        </w:rPr>
        <w:t>案）</w:t>
      </w:r>
      <w:bookmarkEnd w:id="13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78"/>
        <w:gridCol w:w="3242"/>
        <w:gridCol w:w="1780"/>
        <w:gridCol w:w="957"/>
        <w:gridCol w:w="2801"/>
      </w:tblGrid>
      <w:tr w:rsidR="00FB0608" w:rsidRPr="00920597" w:rsidTr="00FD3BEA">
        <w:trPr>
          <w:trHeight w:val="700"/>
        </w:trPr>
        <w:tc>
          <w:tcPr>
            <w:tcW w:w="358" w:type="pct"/>
            <w:vAlign w:val="center"/>
          </w:tcPr>
          <w:p w:rsidR="00FB0608" w:rsidRPr="00920597" w:rsidRDefault="00FB0608" w:rsidP="00FB0608">
            <w:pPr>
              <w:spacing w:line="400" w:lineRule="exact"/>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1714" w:type="pct"/>
            <w:vAlign w:val="center"/>
          </w:tcPr>
          <w:p w:rsidR="00FB0608" w:rsidRPr="00920597" w:rsidRDefault="007A4976" w:rsidP="00FB0608">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941" w:type="pct"/>
            <w:vAlign w:val="center"/>
          </w:tcPr>
          <w:p w:rsidR="00FB0608" w:rsidRPr="00920597" w:rsidRDefault="00FB0608" w:rsidP="00FB0608">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院會交付</w:t>
            </w:r>
          </w:p>
          <w:p w:rsidR="00FB0608" w:rsidRPr="00920597" w:rsidRDefault="00FB0608" w:rsidP="00FB0608">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506" w:type="pct"/>
            <w:vAlign w:val="center"/>
          </w:tcPr>
          <w:p w:rsidR="00FB0608" w:rsidRPr="00920597" w:rsidRDefault="00FB0608" w:rsidP="00FB0608">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聯席</w:t>
            </w:r>
          </w:p>
          <w:p w:rsidR="00FB0608" w:rsidRPr="00920597" w:rsidRDefault="00FB0608" w:rsidP="00FB0608">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w:t>
            </w:r>
          </w:p>
        </w:tc>
        <w:tc>
          <w:tcPr>
            <w:tcW w:w="1481" w:type="pct"/>
            <w:vAlign w:val="center"/>
          </w:tcPr>
          <w:p w:rsidR="00FB0608" w:rsidRPr="00920597" w:rsidRDefault="00FB0608" w:rsidP="00FB0608">
            <w:pPr>
              <w:spacing w:line="400" w:lineRule="exact"/>
              <w:jc w:val="distribute"/>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處理情形</w:t>
            </w:r>
          </w:p>
        </w:tc>
      </w:tr>
      <w:tr w:rsidR="00FD3BEA" w:rsidRPr="00920597" w:rsidTr="00FD3BEA">
        <w:trPr>
          <w:trHeight w:val="567"/>
        </w:trPr>
        <w:tc>
          <w:tcPr>
            <w:tcW w:w="358" w:type="pct"/>
            <w:vAlign w:val="center"/>
          </w:tcPr>
          <w:p w:rsidR="00FD3BEA" w:rsidRPr="00920597" w:rsidRDefault="00FD3BEA" w:rsidP="00FD3BEA">
            <w:pPr>
              <w:numPr>
                <w:ilvl w:val="0"/>
                <w:numId w:val="3"/>
              </w:numPr>
              <w:spacing w:line="400" w:lineRule="exact"/>
              <w:ind w:right="113"/>
              <w:rPr>
                <w:rFonts w:ascii="標楷體" w:eastAsia="標楷體" w:hAnsi="標楷體"/>
                <w:color w:val="000000" w:themeColor="text1"/>
                <w:sz w:val="28"/>
                <w:szCs w:val="28"/>
              </w:rPr>
            </w:pPr>
          </w:p>
        </w:tc>
        <w:tc>
          <w:tcPr>
            <w:tcW w:w="1714" w:type="pct"/>
          </w:tcPr>
          <w:p w:rsidR="00FD3BEA" w:rsidRPr="00C77949" w:rsidRDefault="00FD3BEA" w:rsidP="00FD3BEA">
            <w:pPr>
              <w:pStyle w:val="0-"/>
            </w:pPr>
            <w:r w:rsidRPr="00FD3BEA">
              <w:rPr>
                <w:rFonts w:hint="eastAsia"/>
              </w:rPr>
              <w:t>國家科學及技術委員會函，為國家科學及技術委員會（原科技部）第5目項下「基金現金增資」中「跨部會署執行之科技計畫」繼續凍結1億元，檢送書面報告，請查照案。</w:t>
            </w:r>
          </w:p>
        </w:tc>
        <w:tc>
          <w:tcPr>
            <w:tcW w:w="941" w:type="pct"/>
          </w:tcPr>
          <w:p w:rsidR="00FD3BEA" w:rsidRPr="00C77949" w:rsidRDefault="00FD3BEA" w:rsidP="00FD3BEA">
            <w:pPr>
              <w:pStyle w:val="0-"/>
            </w:pPr>
            <w:r w:rsidRPr="00C77949">
              <w:t>10-6-5</w:t>
            </w:r>
          </w:p>
          <w:p w:rsidR="00FD3BEA" w:rsidRPr="00C77949" w:rsidRDefault="00FD3BEA" w:rsidP="00FD3BEA">
            <w:pPr>
              <w:pStyle w:val="0-"/>
            </w:pPr>
            <w:r w:rsidRPr="00C77949">
              <w:t>(111.10.28)</w:t>
            </w:r>
          </w:p>
        </w:tc>
        <w:tc>
          <w:tcPr>
            <w:tcW w:w="506" w:type="pct"/>
          </w:tcPr>
          <w:p w:rsidR="00FD3BEA" w:rsidRPr="00C77949" w:rsidRDefault="00FD3BEA" w:rsidP="00FD3BEA">
            <w:pPr>
              <w:jc w:val="both"/>
              <w:rPr>
                <w:rFonts w:ascii="標楷體" w:eastAsia="標楷體" w:hAnsi="標楷體"/>
                <w:color w:val="000000"/>
                <w:sz w:val="28"/>
                <w:szCs w:val="28"/>
              </w:rPr>
            </w:pPr>
          </w:p>
        </w:tc>
        <w:tc>
          <w:tcPr>
            <w:tcW w:w="1481" w:type="pct"/>
          </w:tcPr>
          <w:p w:rsidR="00FD3BEA" w:rsidRPr="00C77949" w:rsidRDefault="00FD3BEA" w:rsidP="008C2561">
            <w:pPr>
              <w:rPr>
                <w:rFonts w:ascii="標楷體" w:eastAsia="標楷體" w:hAnsi="標楷體"/>
                <w:color w:val="000000"/>
                <w:sz w:val="28"/>
                <w:szCs w:val="28"/>
              </w:rPr>
            </w:pPr>
            <w:r w:rsidRPr="00C77949">
              <w:rPr>
                <w:rFonts w:ascii="標楷體" w:eastAsia="標楷體" w:hAnsi="標楷體" w:hint="eastAsia"/>
                <w:color w:val="000000"/>
                <w:sz w:val="28"/>
                <w:szCs w:val="28"/>
              </w:rPr>
              <w:t>尚未</w:t>
            </w:r>
            <w:r w:rsidRPr="005B74D5">
              <w:rPr>
                <w:rFonts w:ascii="標楷體" w:eastAsia="標楷體" w:hAnsi="標楷體" w:hint="eastAsia"/>
                <w:color w:val="000000"/>
                <w:sz w:val="28"/>
              </w:rPr>
              <w:t>處理</w:t>
            </w:r>
          </w:p>
        </w:tc>
      </w:tr>
    </w:tbl>
    <w:p w:rsidR="00FB0608" w:rsidRPr="00920597" w:rsidRDefault="00AC7083" w:rsidP="00DB3FA5">
      <w:pPr>
        <w:pStyle w:val="01-4"/>
        <w:rPr>
          <w:color w:val="000000" w:themeColor="text1"/>
        </w:rPr>
      </w:pPr>
      <w:bookmarkStart w:id="134" w:name="國立故宮博物院"/>
      <w:bookmarkStart w:id="135" w:name="_Toc126068167"/>
      <w:r>
        <w:rPr>
          <w:rFonts w:hint="eastAsia"/>
          <w:color w:val="000000" w:themeColor="text1"/>
        </w:rPr>
        <w:t>3</w:t>
      </w:r>
      <w:r w:rsidR="002F7DBB" w:rsidRPr="00920597">
        <w:rPr>
          <w:color w:val="000000" w:themeColor="text1"/>
        </w:rPr>
        <w:t>.</w:t>
      </w:r>
      <w:r w:rsidR="00732884" w:rsidRPr="00920597">
        <w:rPr>
          <w:rFonts w:hint="eastAsia"/>
          <w:color w:val="000000" w:themeColor="text1"/>
        </w:rPr>
        <w:t>國立故宮博物院</w:t>
      </w:r>
      <w:bookmarkEnd w:id="134"/>
      <w:r w:rsidR="008D0A60" w:rsidRPr="00920597">
        <w:rPr>
          <w:rFonts w:hint="eastAsia"/>
          <w:color w:val="000000" w:themeColor="text1"/>
        </w:rPr>
        <w:t xml:space="preserve"> </w:t>
      </w:r>
      <w:r w:rsidR="00FB0608" w:rsidRPr="00920597">
        <w:rPr>
          <w:rFonts w:hint="eastAsia"/>
          <w:color w:val="000000" w:themeColor="text1"/>
        </w:rPr>
        <w:t>(</w:t>
      </w:r>
      <w:r w:rsidR="00FD3BEA">
        <w:rPr>
          <w:color w:val="000000" w:themeColor="text1"/>
        </w:rPr>
        <w:t>5</w:t>
      </w:r>
      <w:r w:rsidR="00FB0608" w:rsidRPr="00920597">
        <w:rPr>
          <w:rFonts w:hint="eastAsia"/>
          <w:color w:val="000000" w:themeColor="text1"/>
        </w:rPr>
        <w:t>案）</w:t>
      </w:r>
      <w:bookmarkEnd w:id="13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78"/>
        <w:gridCol w:w="3242"/>
        <w:gridCol w:w="1780"/>
        <w:gridCol w:w="957"/>
        <w:gridCol w:w="2801"/>
      </w:tblGrid>
      <w:tr w:rsidR="00FB0608" w:rsidRPr="00920597" w:rsidTr="00E33A5F">
        <w:trPr>
          <w:trHeight w:val="700"/>
        </w:trPr>
        <w:tc>
          <w:tcPr>
            <w:tcW w:w="358" w:type="pct"/>
            <w:vAlign w:val="center"/>
          </w:tcPr>
          <w:p w:rsidR="00FB0608" w:rsidRPr="00920597" w:rsidRDefault="00FB0608" w:rsidP="00FB0608">
            <w:pPr>
              <w:spacing w:line="400" w:lineRule="exact"/>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1714" w:type="pct"/>
            <w:vAlign w:val="center"/>
          </w:tcPr>
          <w:p w:rsidR="00FB0608" w:rsidRPr="00920597" w:rsidRDefault="007A4976" w:rsidP="00FB0608">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941" w:type="pct"/>
            <w:vAlign w:val="center"/>
          </w:tcPr>
          <w:p w:rsidR="00FB0608" w:rsidRPr="00920597" w:rsidRDefault="00FB0608" w:rsidP="00FB0608">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院會交付</w:t>
            </w:r>
          </w:p>
          <w:p w:rsidR="00FB0608" w:rsidRPr="00920597" w:rsidRDefault="00FB0608" w:rsidP="00FB0608">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506" w:type="pct"/>
            <w:vAlign w:val="center"/>
          </w:tcPr>
          <w:p w:rsidR="00FB0608" w:rsidRPr="00920597" w:rsidRDefault="00FB0608" w:rsidP="00FB0608">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聯席</w:t>
            </w:r>
          </w:p>
          <w:p w:rsidR="00FB0608" w:rsidRPr="00920597" w:rsidRDefault="00FB0608" w:rsidP="00FB0608">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w:t>
            </w:r>
          </w:p>
        </w:tc>
        <w:tc>
          <w:tcPr>
            <w:tcW w:w="1481" w:type="pct"/>
            <w:vAlign w:val="center"/>
          </w:tcPr>
          <w:p w:rsidR="00FB0608" w:rsidRPr="00920597" w:rsidRDefault="00FB0608" w:rsidP="00FB0608">
            <w:pPr>
              <w:spacing w:line="400" w:lineRule="exact"/>
              <w:jc w:val="distribute"/>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處理情形</w:t>
            </w:r>
          </w:p>
        </w:tc>
      </w:tr>
      <w:tr w:rsidR="00E33A5F" w:rsidRPr="00920597" w:rsidTr="00E33A5F">
        <w:trPr>
          <w:trHeight w:val="567"/>
        </w:trPr>
        <w:tc>
          <w:tcPr>
            <w:tcW w:w="358" w:type="pct"/>
            <w:vAlign w:val="center"/>
          </w:tcPr>
          <w:p w:rsidR="00E33A5F" w:rsidRPr="00920597" w:rsidRDefault="00E33A5F" w:rsidP="006934DD">
            <w:pPr>
              <w:numPr>
                <w:ilvl w:val="0"/>
                <w:numId w:val="11"/>
              </w:numPr>
              <w:spacing w:line="400" w:lineRule="exact"/>
              <w:ind w:right="113"/>
              <w:rPr>
                <w:rFonts w:ascii="標楷體" w:eastAsia="標楷體" w:hAnsi="標楷體"/>
                <w:color w:val="000000" w:themeColor="text1"/>
                <w:sz w:val="28"/>
                <w:szCs w:val="28"/>
              </w:rPr>
            </w:pPr>
          </w:p>
        </w:tc>
        <w:tc>
          <w:tcPr>
            <w:tcW w:w="1714" w:type="pct"/>
          </w:tcPr>
          <w:p w:rsidR="00E33A5F" w:rsidRPr="00920597" w:rsidRDefault="00E33A5F" w:rsidP="00E33A5F">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國立故宮博物院函，為110年度中央政府總預算決議，檢送決議（一）第1目項下「人員維持」凍結500萬元書面報告，請查照案。</w:t>
            </w:r>
          </w:p>
        </w:tc>
        <w:tc>
          <w:tcPr>
            <w:tcW w:w="941" w:type="pct"/>
          </w:tcPr>
          <w:p w:rsidR="00E33A5F" w:rsidRPr="00920597" w:rsidRDefault="00E33A5F" w:rsidP="00E33A5F">
            <w:pPr>
              <w:spacing w:line="400" w:lineRule="exact"/>
              <w:jc w:val="both"/>
              <w:rPr>
                <w:color w:val="000000" w:themeColor="text1"/>
              </w:rPr>
            </w:pPr>
            <w:r w:rsidRPr="00920597">
              <w:rPr>
                <w:rFonts w:ascii="標楷體" w:eastAsia="標楷體" w:hAnsi="標楷體"/>
                <w:color w:val="000000" w:themeColor="text1"/>
                <w:sz w:val="28"/>
                <w:szCs w:val="28"/>
              </w:rPr>
              <w:t>10-3-9 (110.4.23)</w:t>
            </w:r>
          </w:p>
          <w:p w:rsidR="00E33A5F" w:rsidRPr="00920597" w:rsidRDefault="00E33A5F" w:rsidP="00E33A5F">
            <w:pPr>
              <w:jc w:val="both"/>
              <w:rPr>
                <w:rFonts w:ascii="標楷體" w:eastAsia="標楷體" w:hAnsi="標楷體"/>
                <w:color w:val="000000" w:themeColor="text1"/>
                <w:sz w:val="28"/>
                <w:szCs w:val="28"/>
              </w:rPr>
            </w:pPr>
          </w:p>
        </w:tc>
        <w:tc>
          <w:tcPr>
            <w:tcW w:w="506" w:type="pct"/>
          </w:tcPr>
          <w:p w:rsidR="00E33A5F" w:rsidRPr="00920597" w:rsidRDefault="00E33A5F" w:rsidP="00E33A5F">
            <w:pPr>
              <w:jc w:val="both"/>
              <w:rPr>
                <w:rFonts w:ascii="標楷體" w:eastAsia="標楷體" w:hAnsi="標楷體"/>
                <w:color w:val="000000" w:themeColor="text1"/>
                <w:sz w:val="28"/>
                <w:szCs w:val="28"/>
              </w:rPr>
            </w:pPr>
          </w:p>
        </w:tc>
        <w:tc>
          <w:tcPr>
            <w:tcW w:w="1481" w:type="pct"/>
          </w:tcPr>
          <w:p w:rsidR="00E33A5F" w:rsidRPr="00920597" w:rsidRDefault="00E33A5F" w:rsidP="005B74D5">
            <w:pPr>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尚未</w:t>
            </w:r>
            <w:r w:rsidRPr="005B74D5">
              <w:rPr>
                <w:rFonts w:ascii="標楷體" w:eastAsia="標楷體" w:hAnsi="標楷體" w:hint="eastAsia"/>
                <w:color w:val="000000"/>
                <w:sz w:val="28"/>
              </w:rPr>
              <w:t>審查</w:t>
            </w:r>
          </w:p>
        </w:tc>
      </w:tr>
      <w:tr w:rsidR="00E33A5F" w:rsidRPr="00920597" w:rsidTr="00E33A5F">
        <w:trPr>
          <w:trHeight w:val="567"/>
        </w:trPr>
        <w:tc>
          <w:tcPr>
            <w:tcW w:w="358" w:type="pct"/>
            <w:vAlign w:val="center"/>
          </w:tcPr>
          <w:p w:rsidR="00E33A5F" w:rsidRPr="00920597" w:rsidRDefault="00E33A5F" w:rsidP="006934DD">
            <w:pPr>
              <w:numPr>
                <w:ilvl w:val="0"/>
                <w:numId w:val="11"/>
              </w:numPr>
              <w:spacing w:line="400" w:lineRule="exact"/>
              <w:ind w:right="113"/>
              <w:rPr>
                <w:rFonts w:ascii="標楷體" w:eastAsia="標楷體" w:hAnsi="標楷體"/>
                <w:color w:val="000000" w:themeColor="text1"/>
                <w:sz w:val="28"/>
                <w:szCs w:val="28"/>
              </w:rPr>
            </w:pPr>
          </w:p>
        </w:tc>
        <w:tc>
          <w:tcPr>
            <w:tcW w:w="1714" w:type="pct"/>
          </w:tcPr>
          <w:p w:rsidR="00E33A5F" w:rsidRPr="00920597" w:rsidRDefault="00E33A5F" w:rsidP="00266A49">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國立故宮博物院函，為110年度中央政府總預算決議，檢送決議（二）第2目「文物研究、展覽與推廣」凍結800萬元書面</w:t>
            </w:r>
            <w:r w:rsidRPr="00920597">
              <w:rPr>
                <w:rFonts w:ascii="標楷體" w:eastAsia="標楷體" w:hAnsi="標楷體" w:hint="eastAsia"/>
                <w:color w:val="000000" w:themeColor="text1"/>
                <w:sz w:val="28"/>
                <w:szCs w:val="28"/>
              </w:rPr>
              <w:lastRenderedPageBreak/>
              <w:t>報告，請查照案。</w:t>
            </w:r>
          </w:p>
        </w:tc>
        <w:tc>
          <w:tcPr>
            <w:tcW w:w="941" w:type="pct"/>
          </w:tcPr>
          <w:p w:rsidR="00E33A5F" w:rsidRPr="00920597" w:rsidRDefault="00E33A5F" w:rsidP="00E33A5F">
            <w:pPr>
              <w:spacing w:line="400" w:lineRule="exact"/>
              <w:jc w:val="both"/>
              <w:rPr>
                <w:color w:val="000000" w:themeColor="text1"/>
              </w:rPr>
            </w:pPr>
            <w:r w:rsidRPr="00920597">
              <w:rPr>
                <w:rFonts w:ascii="標楷體" w:eastAsia="標楷體" w:hAnsi="標楷體"/>
                <w:color w:val="000000" w:themeColor="text1"/>
                <w:sz w:val="28"/>
                <w:szCs w:val="28"/>
              </w:rPr>
              <w:lastRenderedPageBreak/>
              <w:t>10-3-9 (110.4.23)</w:t>
            </w:r>
          </w:p>
          <w:p w:rsidR="00E33A5F" w:rsidRPr="00920597" w:rsidRDefault="00E33A5F" w:rsidP="00E33A5F">
            <w:pPr>
              <w:jc w:val="both"/>
              <w:rPr>
                <w:rFonts w:ascii="標楷體" w:eastAsia="標楷體" w:hAnsi="標楷體"/>
                <w:color w:val="000000" w:themeColor="text1"/>
                <w:sz w:val="28"/>
                <w:szCs w:val="28"/>
              </w:rPr>
            </w:pPr>
          </w:p>
        </w:tc>
        <w:tc>
          <w:tcPr>
            <w:tcW w:w="506" w:type="pct"/>
          </w:tcPr>
          <w:p w:rsidR="00E33A5F" w:rsidRPr="00920597" w:rsidRDefault="00E33A5F" w:rsidP="00E33A5F">
            <w:pPr>
              <w:jc w:val="both"/>
              <w:rPr>
                <w:rFonts w:ascii="標楷體" w:eastAsia="標楷體" w:hAnsi="標楷體"/>
                <w:color w:val="000000" w:themeColor="text1"/>
                <w:sz w:val="28"/>
                <w:szCs w:val="28"/>
              </w:rPr>
            </w:pPr>
          </w:p>
        </w:tc>
        <w:tc>
          <w:tcPr>
            <w:tcW w:w="1481" w:type="pct"/>
          </w:tcPr>
          <w:p w:rsidR="00E33A5F" w:rsidRPr="00920597" w:rsidRDefault="00E33A5F" w:rsidP="005B74D5">
            <w:pPr>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尚未</w:t>
            </w:r>
            <w:r w:rsidRPr="005B74D5">
              <w:rPr>
                <w:rFonts w:ascii="標楷體" w:eastAsia="標楷體" w:hAnsi="標楷體" w:hint="eastAsia"/>
                <w:color w:val="000000"/>
                <w:sz w:val="28"/>
              </w:rPr>
              <w:t>審查</w:t>
            </w:r>
          </w:p>
        </w:tc>
      </w:tr>
      <w:tr w:rsidR="00E33A5F" w:rsidRPr="00920597" w:rsidTr="00E33A5F">
        <w:trPr>
          <w:trHeight w:val="567"/>
        </w:trPr>
        <w:tc>
          <w:tcPr>
            <w:tcW w:w="358" w:type="pct"/>
            <w:vAlign w:val="center"/>
          </w:tcPr>
          <w:p w:rsidR="00E33A5F" w:rsidRPr="00920597" w:rsidRDefault="00E33A5F" w:rsidP="006934DD">
            <w:pPr>
              <w:numPr>
                <w:ilvl w:val="0"/>
                <w:numId w:val="11"/>
              </w:numPr>
              <w:spacing w:line="400" w:lineRule="exact"/>
              <w:ind w:right="113"/>
              <w:rPr>
                <w:rFonts w:ascii="標楷體" w:eastAsia="標楷體" w:hAnsi="標楷體"/>
                <w:color w:val="000000" w:themeColor="text1"/>
                <w:sz w:val="28"/>
                <w:szCs w:val="28"/>
              </w:rPr>
            </w:pPr>
          </w:p>
        </w:tc>
        <w:tc>
          <w:tcPr>
            <w:tcW w:w="1714" w:type="pct"/>
          </w:tcPr>
          <w:p w:rsidR="00E33A5F" w:rsidRPr="00920597" w:rsidRDefault="00E33A5F" w:rsidP="00E33A5F">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國立故宮博物院函，為110年度中央政府總預算決議，檢送決議（三）第3目「文物徵集與管理」凍結200萬元書面報告，請查照案。</w:t>
            </w:r>
          </w:p>
        </w:tc>
        <w:tc>
          <w:tcPr>
            <w:tcW w:w="941" w:type="pct"/>
          </w:tcPr>
          <w:p w:rsidR="00E33A5F" w:rsidRPr="00920597" w:rsidRDefault="00E33A5F" w:rsidP="00E33A5F">
            <w:pPr>
              <w:spacing w:line="400" w:lineRule="exact"/>
              <w:jc w:val="both"/>
              <w:rPr>
                <w:color w:val="000000" w:themeColor="text1"/>
              </w:rPr>
            </w:pPr>
            <w:r w:rsidRPr="00920597">
              <w:rPr>
                <w:rFonts w:ascii="標楷體" w:eastAsia="標楷體" w:hAnsi="標楷體"/>
                <w:color w:val="000000" w:themeColor="text1"/>
                <w:sz w:val="28"/>
                <w:szCs w:val="28"/>
              </w:rPr>
              <w:t>10-3-9 (110.4.23)</w:t>
            </w:r>
          </w:p>
          <w:p w:rsidR="00E33A5F" w:rsidRPr="00920597" w:rsidRDefault="00E33A5F" w:rsidP="00E33A5F">
            <w:pPr>
              <w:jc w:val="both"/>
              <w:rPr>
                <w:rFonts w:ascii="標楷體" w:eastAsia="標楷體" w:hAnsi="標楷體"/>
                <w:color w:val="000000" w:themeColor="text1"/>
                <w:sz w:val="28"/>
                <w:szCs w:val="28"/>
              </w:rPr>
            </w:pPr>
          </w:p>
        </w:tc>
        <w:tc>
          <w:tcPr>
            <w:tcW w:w="506" w:type="pct"/>
          </w:tcPr>
          <w:p w:rsidR="00E33A5F" w:rsidRPr="00920597" w:rsidRDefault="00E33A5F" w:rsidP="00E33A5F">
            <w:pPr>
              <w:jc w:val="both"/>
              <w:rPr>
                <w:rFonts w:ascii="標楷體" w:eastAsia="標楷體" w:hAnsi="標楷體"/>
                <w:color w:val="000000" w:themeColor="text1"/>
                <w:sz w:val="28"/>
                <w:szCs w:val="28"/>
              </w:rPr>
            </w:pPr>
          </w:p>
        </w:tc>
        <w:tc>
          <w:tcPr>
            <w:tcW w:w="1481" w:type="pct"/>
          </w:tcPr>
          <w:p w:rsidR="00E33A5F" w:rsidRPr="00920597" w:rsidRDefault="00E33A5F" w:rsidP="005B74D5">
            <w:pPr>
              <w:rPr>
                <w:rFonts w:ascii="標楷體" w:eastAsia="標楷體" w:hAnsi="標楷體"/>
                <w:color w:val="000000" w:themeColor="text1"/>
                <w:sz w:val="28"/>
                <w:szCs w:val="28"/>
              </w:rPr>
            </w:pPr>
            <w:r w:rsidRPr="005B74D5">
              <w:rPr>
                <w:rFonts w:ascii="標楷體" w:eastAsia="標楷體" w:hAnsi="標楷體" w:hint="eastAsia"/>
                <w:color w:val="000000"/>
                <w:sz w:val="28"/>
              </w:rPr>
              <w:t>尚未審查</w:t>
            </w:r>
          </w:p>
        </w:tc>
      </w:tr>
      <w:tr w:rsidR="00E33A5F" w:rsidRPr="00920597" w:rsidTr="00E33A5F">
        <w:trPr>
          <w:trHeight w:val="567"/>
        </w:trPr>
        <w:tc>
          <w:tcPr>
            <w:tcW w:w="358" w:type="pct"/>
            <w:vAlign w:val="center"/>
          </w:tcPr>
          <w:p w:rsidR="00E33A5F" w:rsidRPr="00920597" w:rsidRDefault="00E33A5F" w:rsidP="006934DD">
            <w:pPr>
              <w:numPr>
                <w:ilvl w:val="0"/>
                <w:numId w:val="11"/>
              </w:numPr>
              <w:spacing w:line="400" w:lineRule="exact"/>
              <w:ind w:right="113"/>
              <w:rPr>
                <w:rFonts w:ascii="標楷體" w:eastAsia="標楷體" w:hAnsi="標楷體"/>
                <w:color w:val="000000" w:themeColor="text1"/>
                <w:sz w:val="28"/>
                <w:szCs w:val="28"/>
              </w:rPr>
            </w:pPr>
          </w:p>
        </w:tc>
        <w:tc>
          <w:tcPr>
            <w:tcW w:w="1714" w:type="pct"/>
          </w:tcPr>
          <w:p w:rsidR="00E33A5F" w:rsidRPr="00920597" w:rsidRDefault="00E33A5F" w:rsidP="00254728">
            <w:pPr>
              <w:spacing w:line="400" w:lineRule="exact"/>
              <w:jc w:val="both"/>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國立故宮博物院函，為110年度中央政府總預算決議，檢送決議（四十三）「業務費」凍結500萬元書面報告，請查照案。</w:t>
            </w:r>
          </w:p>
        </w:tc>
        <w:tc>
          <w:tcPr>
            <w:tcW w:w="941" w:type="pct"/>
          </w:tcPr>
          <w:p w:rsidR="00E33A5F" w:rsidRPr="00920597" w:rsidRDefault="00E33A5F" w:rsidP="00E33A5F">
            <w:pPr>
              <w:spacing w:line="400" w:lineRule="exact"/>
              <w:jc w:val="both"/>
              <w:rPr>
                <w:color w:val="000000" w:themeColor="text1"/>
              </w:rPr>
            </w:pPr>
            <w:r w:rsidRPr="00920597">
              <w:rPr>
                <w:rFonts w:ascii="標楷體" w:eastAsia="標楷體" w:hAnsi="標楷體"/>
                <w:color w:val="000000" w:themeColor="text1"/>
                <w:sz w:val="28"/>
                <w:szCs w:val="28"/>
              </w:rPr>
              <w:t>10-3-9 (110.4.23)</w:t>
            </w:r>
          </w:p>
          <w:p w:rsidR="00E33A5F" w:rsidRPr="00920597" w:rsidRDefault="00E33A5F" w:rsidP="00E33A5F">
            <w:pPr>
              <w:jc w:val="both"/>
              <w:rPr>
                <w:rFonts w:ascii="標楷體" w:eastAsia="標楷體" w:hAnsi="標楷體"/>
                <w:color w:val="000000" w:themeColor="text1"/>
                <w:sz w:val="28"/>
                <w:szCs w:val="28"/>
              </w:rPr>
            </w:pPr>
          </w:p>
        </w:tc>
        <w:tc>
          <w:tcPr>
            <w:tcW w:w="506" w:type="pct"/>
          </w:tcPr>
          <w:p w:rsidR="00E33A5F" w:rsidRPr="00920597" w:rsidRDefault="00E33A5F" w:rsidP="00E33A5F">
            <w:pPr>
              <w:jc w:val="both"/>
              <w:rPr>
                <w:rFonts w:ascii="標楷體" w:eastAsia="標楷體" w:hAnsi="標楷體"/>
                <w:color w:val="000000" w:themeColor="text1"/>
                <w:sz w:val="28"/>
                <w:szCs w:val="28"/>
              </w:rPr>
            </w:pPr>
          </w:p>
        </w:tc>
        <w:tc>
          <w:tcPr>
            <w:tcW w:w="1481" w:type="pct"/>
          </w:tcPr>
          <w:p w:rsidR="00E33A5F" w:rsidRPr="00920597" w:rsidRDefault="00E33A5F" w:rsidP="005B74D5">
            <w:pPr>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尚未審查</w:t>
            </w:r>
          </w:p>
        </w:tc>
      </w:tr>
      <w:tr w:rsidR="00E33A5F" w:rsidRPr="00920597" w:rsidTr="00E33A5F">
        <w:trPr>
          <w:trHeight w:val="567"/>
        </w:trPr>
        <w:tc>
          <w:tcPr>
            <w:tcW w:w="358" w:type="pct"/>
            <w:vAlign w:val="center"/>
          </w:tcPr>
          <w:p w:rsidR="00E33A5F" w:rsidRPr="00920597" w:rsidRDefault="00E33A5F" w:rsidP="006934DD">
            <w:pPr>
              <w:numPr>
                <w:ilvl w:val="0"/>
                <w:numId w:val="11"/>
              </w:numPr>
              <w:spacing w:line="400" w:lineRule="exact"/>
              <w:ind w:right="113"/>
              <w:rPr>
                <w:rFonts w:ascii="標楷體" w:eastAsia="標楷體" w:hAnsi="標楷體"/>
                <w:color w:val="000000" w:themeColor="text1"/>
                <w:sz w:val="28"/>
                <w:szCs w:val="28"/>
              </w:rPr>
            </w:pPr>
          </w:p>
        </w:tc>
        <w:tc>
          <w:tcPr>
            <w:tcW w:w="1714" w:type="pct"/>
          </w:tcPr>
          <w:p w:rsidR="00E33A5F" w:rsidRPr="00920597" w:rsidRDefault="00E33A5F" w:rsidP="00254728">
            <w:pPr>
              <w:spacing w:line="400" w:lineRule="exact"/>
              <w:jc w:val="both"/>
              <w:rPr>
                <w:rFonts w:eastAsia="華康楷書體W5"/>
                <w:color w:val="000000" w:themeColor="text1"/>
                <w:sz w:val="28"/>
              </w:rPr>
            </w:pPr>
            <w:r w:rsidRPr="00920597">
              <w:rPr>
                <w:rFonts w:ascii="標楷體" w:eastAsia="標楷體" w:hAnsi="標楷體" w:hint="eastAsia"/>
                <w:color w:val="000000" w:themeColor="text1"/>
                <w:sz w:val="28"/>
                <w:szCs w:val="28"/>
              </w:rPr>
              <w:t>國立故宮博物院函，為 110年度中央政府總預算決議，檢送決議（四）第 5目「新故宮計畫」凍結 2,000 萬元書面報告，請查照案。</w:t>
            </w:r>
          </w:p>
        </w:tc>
        <w:tc>
          <w:tcPr>
            <w:tcW w:w="941" w:type="pct"/>
          </w:tcPr>
          <w:p w:rsidR="00E33A5F" w:rsidRPr="00920597" w:rsidRDefault="00E33A5F" w:rsidP="00E33A5F">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10-3-1</w:t>
            </w:r>
            <w:r w:rsidRPr="00920597">
              <w:rPr>
                <w:rFonts w:ascii="標楷體" w:eastAsia="標楷體" w:hAnsi="標楷體" w:hint="eastAsia"/>
                <w:color w:val="000000" w:themeColor="text1"/>
                <w:sz w:val="28"/>
                <w:szCs w:val="28"/>
              </w:rPr>
              <w:t>3</w:t>
            </w:r>
          </w:p>
          <w:p w:rsidR="00E33A5F" w:rsidRPr="00920597" w:rsidRDefault="00E33A5F" w:rsidP="00E33A5F">
            <w:pPr>
              <w:spacing w:line="400" w:lineRule="exact"/>
              <w:jc w:val="both"/>
              <w:rPr>
                <w:rFonts w:ascii="標楷體" w:eastAsia="標楷體" w:hAnsi="標楷體"/>
                <w:color w:val="000000" w:themeColor="text1"/>
                <w:sz w:val="28"/>
                <w:szCs w:val="28"/>
              </w:rPr>
            </w:pPr>
            <w:r w:rsidRPr="00920597">
              <w:rPr>
                <w:rFonts w:ascii="標楷體" w:eastAsia="標楷體" w:hAnsi="標楷體"/>
                <w:color w:val="000000" w:themeColor="text1"/>
                <w:sz w:val="28"/>
                <w:szCs w:val="28"/>
              </w:rPr>
              <w:t>(110.5.</w:t>
            </w:r>
            <w:r w:rsidRPr="00920597">
              <w:rPr>
                <w:rFonts w:ascii="標楷體" w:eastAsia="標楷體" w:hAnsi="標楷體" w:hint="eastAsia"/>
                <w:color w:val="000000" w:themeColor="text1"/>
                <w:sz w:val="28"/>
                <w:szCs w:val="28"/>
              </w:rPr>
              <w:t>21</w:t>
            </w:r>
            <w:r w:rsidRPr="00920597">
              <w:rPr>
                <w:rFonts w:ascii="標楷體" w:eastAsia="標楷體" w:hAnsi="標楷體"/>
                <w:color w:val="000000" w:themeColor="text1"/>
                <w:sz w:val="28"/>
                <w:szCs w:val="28"/>
              </w:rPr>
              <w:t>)</w:t>
            </w:r>
          </w:p>
        </w:tc>
        <w:tc>
          <w:tcPr>
            <w:tcW w:w="506" w:type="pct"/>
          </w:tcPr>
          <w:p w:rsidR="00E33A5F" w:rsidRPr="00920597" w:rsidRDefault="00E33A5F" w:rsidP="00E33A5F">
            <w:pPr>
              <w:jc w:val="both"/>
              <w:rPr>
                <w:rFonts w:ascii="標楷體" w:eastAsia="標楷體" w:hAnsi="標楷體"/>
                <w:color w:val="000000" w:themeColor="text1"/>
                <w:sz w:val="28"/>
                <w:szCs w:val="28"/>
              </w:rPr>
            </w:pPr>
          </w:p>
        </w:tc>
        <w:tc>
          <w:tcPr>
            <w:tcW w:w="1481" w:type="pct"/>
          </w:tcPr>
          <w:p w:rsidR="00E33A5F" w:rsidRPr="00920597" w:rsidRDefault="00E33A5F" w:rsidP="005B74D5">
            <w:pPr>
              <w:rPr>
                <w:rFonts w:ascii="標楷體" w:eastAsia="標楷體" w:hAnsi="標楷體"/>
                <w:color w:val="000000" w:themeColor="text1"/>
                <w:sz w:val="28"/>
                <w:szCs w:val="28"/>
              </w:rPr>
            </w:pPr>
            <w:r w:rsidRPr="00920597">
              <w:rPr>
                <w:rFonts w:ascii="標楷體" w:eastAsia="標楷體" w:hAnsi="標楷體" w:hint="eastAsia"/>
                <w:color w:val="000000" w:themeColor="text1"/>
                <w:sz w:val="28"/>
                <w:szCs w:val="28"/>
              </w:rPr>
              <w:t>尚未</w:t>
            </w:r>
            <w:r w:rsidRPr="005B74D5">
              <w:rPr>
                <w:rFonts w:ascii="標楷體" w:eastAsia="標楷體" w:hAnsi="標楷體" w:hint="eastAsia"/>
                <w:color w:val="000000"/>
                <w:sz w:val="28"/>
              </w:rPr>
              <w:t>審查</w:t>
            </w:r>
          </w:p>
        </w:tc>
      </w:tr>
    </w:tbl>
    <w:p w:rsidR="00FB0608" w:rsidRPr="00920597" w:rsidRDefault="00FB0608" w:rsidP="00FE1E19">
      <w:pPr>
        <w:pStyle w:val="01-21"/>
        <w:rPr>
          <w:color w:val="000000" w:themeColor="text1"/>
        </w:rPr>
      </w:pPr>
      <w:r w:rsidRPr="00920597">
        <w:rPr>
          <w:color w:val="000000" w:themeColor="text1"/>
        </w:rPr>
        <w:br w:type="page"/>
      </w:r>
      <w:bookmarkStart w:id="136" w:name="_Toc126068168"/>
      <w:r w:rsidRPr="00920597">
        <w:rPr>
          <w:rFonts w:hint="eastAsia"/>
          <w:color w:val="000000" w:themeColor="text1"/>
        </w:rPr>
        <w:lastRenderedPageBreak/>
        <w:t>三、行政命令案（</w:t>
      </w:r>
      <w:r w:rsidR="00254728" w:rsidRPr="00920597">
        <w:rPr>
          <w:rFonts w:hint="eastAsia"/>
          <w:color w:val="000000" w:themeColor="text1"/>
        </w:rPr>
        <w:t>1</w:t>
      </w:r>
      <w:r w:rsidR="00ED71FE">
        <w:rPr>
          <w:rFonts w:hint="eastAsia"/>
          <w:color w:val="000000" w:themeColor="text1"/>
        </w:rPr>
        <w:t>7</w:t>
      </w:r>
      <w:r w:rsidRPr="00920597">
        <w:rPr>
          <w:rFonts w:hint="eastAsia"/>
          <w:color w:val="000000" w:themeColor="text1"/>
        </w:rPr>
        <w:t>案）</w:t>
      </w:r>
      <w:bookmarkEnd w:id="136"/>
    </w:p>
    <w:tbl>
      <w:tblPr>
        <w:tblW w:w="50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599"/>
        <w:gridCol w:w="3847"/>
        <w:gridCol w:w="1709"/>
        <w:gridCol w:w="997"/>
        <w:gridCol w:w="2376"/>
      </w:tblGrid>
      <w:tr w:rsidR="00C10B96" w:rsidRPr="00920597" w:rsidTr="0071625E">
        <w:trPr>
          <w:trHeight w:val="700"/>
        </w:trPr>
        <w:tc>
          <w:tcPr>
            <w:tcW w:w="314" w:type="pct"/>
            <w:vAlign w:val="center"/>
          </w:tcPr>
          <w:p w:rsidR="003969D6" w:rsidRPr="00920597" w:rsidRDefault="003969D6" w:rsidP="0071625E">
            <w:pPr>
              <w:spacing w:line="400" w:lineRule="exact"/>
              <w:jc w:val="center"/>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2019" w:type="pct"/>
            <w:vAlign w:val="center"/>
          </w:tcPr>
          <w:p w:rsidR="003969D6" w:rsidRPr="00920597" w:rsidRDefault="003969D6" w:rsidP="00254728">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97" w:type="pct"/>
            <w:vAlign w:val="center"/>
          </w:tcPr>
          <w:p w:rsidR="003969D6" w:rsidRPr="00920597" w:rsidRDefault="003969D6" w:rsidP="00254728">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院會交付</w:t>
            </w:r>
          </w:p>
          <w:p w:rsidR="003969D6" w:rsidRPr="00920597" w:rsidRDefault="003969D6" w:rsidP="00254728">
            <w:pPr>
              <w:spacing w:line="400" w:lineRule="exact"/>
              <w:ind w:leftChars="-36" w:left="1" w:hangingChars="31" w:hanging="87"/>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523" w:type="pct"/>
            <w:vAlign w:val="center"/>
          </w:tcPr>
          <w:p w:rsidR="003969D6" w:rsidRPr="00920597" w:rsidRDefault="003969D6" w:rsidP="00C10B96">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聯席</w:t>
            </w:r>
          </w:p>
          <w:p w:rsidR="003969D6" w:rsidRPr="00920597" w:rsidRDefault="003969D6" w:rsidP="00C10B96">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w:t>
            </w:r>
          </w:p>
        </w:tc>
        <w:tc>
          <w:tcPr>
            <w:tcW w:w="1247" w:type="pct"/>
            <w:vAlign w:val="center"/>
          </w:tcPr>
          <w:p w:rsidR="003969D6" w:rsidRPr="00920597" w:rsidRDefault="003969D6" w:rsidP="00254728">
            <w:pPr>
              <w:spacing w:line="400" w:lineRule="exact"/>
              <w:jc w:val="distribute"/>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處理情形</w:t>
            </w:r>
          </w:p>
        </w:tc>
      </w:tr>
      <w:tr w:rsidR="001604C2" w:rsidRPr="00920597" w:rsidTr="0071625E">
        <w:trPr>
          <w:trHeight w:val="700"/>
        </w:trPr>
        <w:tc>
          <w:tcPr>
            <w:tcW w:w="314" w:type="pct"/>
            <w:vAlign w:val="center"/>
          </w:tcPr>
          <w:p w:rsidR="001604C2" w:rsidRPr="00920597" w:rsidRDefault="001604C2" w:rsidP="001604C2">
            <w:pPr>
              <w:numPr>
                <w:ilvl w:val="0"/>
                <w:numId w:val="6"/>
              </w:numPr>
              <w:spacing w:line="400" w:lineRule="exact"/>
              <w:ind w:right="113"/>
              <w:rPr>
                <w:rFonts w:ascii="標楷體" w:eastAsia="標楷體" w:hAnsi="標楷體"/>
                <w:color w:val="000000" w:themeColor="text1"/>
                <w:sz w:val="28"/>
                <w:szCs w:val="28"/>
              </w:rPr>
            </w:pPr>
          </w:p>
        </w:tc>
        <w:tc>
          <w:tcPr>
            <w:tcW w:w="2019" w:type="pct"/>
          </w:tcPr>
          <w:p w:rsidR="001604C2" w:rsidRPr="00AC715F" w:rsidRDefault="001604C2" w:rsidP="001604C2">
            <w:pPr>
              <w:pStyle w:val="0-"/>
            </w:pPr>
            <w:r w:rsidRPr="00AC715F">
              <w:rPr>
                <w:rFonts w:hint="eastAsia"/>
              </w:rPr>
              <w:t>文化部、行政院農業委員會、海洋委員會函，為修正「文化資產保存法施行細則」第十四條、第十七條及第二十七條之一條文，請查照案。</w:t>
            </w:r>
          </w:p>
        </w:tc>
        <w:tc>
          <w:tcPr>
            <w:tcW w:w="897" w:type="pct"/>
          </w:tcPr>
          <w:p w:rsidR="001604C2" w:rsidRPr="00AC715F" w:rsidRDefault="001604C2" w:rsidP="001604C2">
            <w:pPr>
              <w:pStyle w:val="0-"/>
            </w:pPr>
            <w:r w:rsidRPr="00AC715F">
              <w:t>10-5-12</w:t>
            </w:r>
          </w:p>
          <w:p w:rsidR="001604C2" w:rsidRPr="00AC715F" w:rsidRDefault="001604C2" w:rsidP="001604C2">
            <w:pPr>
              <w:pStyle w:val="0-"/>
            </w:pPr>
            <w:r w:rsidRPr="00AC715F">
              <w:t>(111.5.13)</w:t>
            </w:r>
          </w:p>
        </w:tc>
        <w:tc>
          <w:tcPr>
            <w:tcW w:w="523" w:type="pct"/>
          </w:tcPr>
          <w:p w:rsidR="001604C2" w:rsidRPr="00AC715F" w:rsidRDefault="001604C2" w:rsidP="001604C2">
            <w:pPr>
              <w:pStyle w:val="0-"/>
            </w:pPr>
            <w:r w:rsidRPr="00AC715F">
              <w:rPr>
                <w:rFonts w:hint="eastAsia"/>
              </w:rPr>
              <w:t>經濟、內政</w:t>
            </w:r>
          </w:p>
        </w:tc>
        <w:tc>
          <w:tcPr>
            <w:tcW w:w="1247" w:type="pct"/>
          </w:tcPr>
          <w:p w:rsidR="001604C2" w:rsidRPr="00AC715F" w:rsidRDefault="001604C2" w:rsidP="008C2561">
            <w:pPr>
              <w:rPr>
                <w:rFonts w:ascii="標楷體" w:eastAsia="標楷體" w:hAnsi="標楷體"/>
                <w:color w:val="000000"/>
                <w:sz w:val="28"/>
              </w:rPr>
            </w:pPr>
            <w:r w:rsidRPr="00AC715F">
              <w:rPr>
                <w:rFonts w:ascii="標楷體" w:eastAsia="標楷體" w:hAnsi="標楷體" w:hint="eastAsia"/>
                <w:color w:val="000000"/>
                <w:sz w:val="28"/>
              </w:rPr>
              <w:t>尚未審查</w:t>
            </w:r>
          </w:p>
        </w:tc>
      </w:tr>
      <w:tr w:rsidR="001604C2" w:rsidRPr="00920597" w:rsidTr="0071625E">
        <w:trPr>
          <w:trHeight w:val="700"/>
        </w:trPr>
        <w:tc>
          <w:tcPr>
            <w:tcW w:w="314" w:type="pct"/>
            <w:vAlign w:val="center"/>
          </w:tcPr>
          <w:p w:rsidR="001604C2" w:rsidRPr="00920597" w:rsidRDefault="001604C2" w:rsidP="001604C2">
            <w:pPr>
              <w:numPr>
                <w:ilvl w:val="0"/>
                <w:numId w:val="6"/>
              </w:numPr>
              <w:spacing w:line="400" w:lineRule="exact"/>
              <w:ind w:right="113"/>
              <w:rPr>
                <w:rFonts w:ascii="標楷體" w:eastAsia="標楷體" w:hAnsi="標楷體"/>
                <w:color w:val="000000" w:themeColor="text1"/>
                <w:sz w:val="28"/>
                <w:szCs w:val="28"/>
              </w:rPr>
            </w:pPr>
          </w:p>
        </w:tc>
        <w:tc>
          <w:tcPr>
            <w:tcW w:w="2019" w:type="pct"/>
          </w:tcPr>
          <w:p w:rsidR="001604C2" w:rsidRPr="00903663" w:rsidRDefault="001604C2" w:rsidP="001604C2">
            <w:pPr>
              <w:pStyle w:val="0-"/>
            </w:pPr>
            <w:r w:rsidRPr="00903663">
              <w:rPr>
                <w:rFonts w:hint="eastAsia"/>
              </w:rPr>
              <w:t>教育部函送「教育部及所屬機關（構）學校具公務員身分之國家代表隊運動選手商業代言辦法」，請查照案。</w:t>
            </w:r>
          </w:p>
        </w:tc>
        <w:tc>
          <w:tcPr>
            <w:tcW w:w="897" w:type="pct"/>
          </w:tcPr>
          <w:p w:rsidR="001604C2" w:rsidRPr="00903663" w:rsidRDefault="001604C2" w:rsidP="001604C2">
            <w:pPr>
              <w:pStyle w:val="0-"/>
            </w:pPr>
            <w:r w:rsidRPr="00903663">
              <w:t>10-6-6</w:t>
            </w:r>
          </w:p>
          <w:p w:rsidR="001604C2" w:rsidRPr="00903663" w:rsidRDefault="001604C2" w:rsidP="001604C2">
            <w:pPr>
              <w:pStyle w:val="0-"/>
            </w:pPr>
            <w:r w:rsidRPr="00903663">
              <w:t>(111.11.4)</w:t>
            </w:r>
          </w:p>
        </w:tc>
        <w:tc>
          <w:tcPr>
            <w:tcW w:w="523" w:type="pct"/>
          </w:tcPr>
          <w:p w:rsidR="001604C2" w:rsidRPr="00903663" w:rsidRDefault="001604C2" w:rsidP="001604C2">
            <w:pPr>
              <w:rPr>
                <w:rFonts w:ascii="標楷體" w:eastAsia="標楷體" w:hAnsi="標楷體"/>
                <w:color w:val="000000"/>
                <w:sz w:val="28"/>
              </w:rPr>
            </w:pPr>
          </w:p>
        </w:tc>
        <w:tc>
          <w:tcPr>
            <w:tcW w:w="1247" w:type="pct"/>
          </w:tcPr>
          <w:p w:rsidR="001604C2" w:rsidRPr="00903663" w:rsidRDefault="001604C2" w:rsidP="008C2561">
            <w:pPr>
              <w:rPr>
                <w:rFonts w:ascii="標楷體" w:eastAsia="標楷體" w:hAnsi="標楷體"/>
                <w:color w:val="000000"/>
                <w:sz w:val="28"/>
              </w:rPr>
            </w:pPr>
            <w:r w:rsidRPr="00903663">
              <w:rPr>
                <w:rFonts w:ascii="標楷體" w:eastAsia="標楷體" w:hAnsi="標楷體" w:hint="eastAsia"/>
                <w:color w:val="000000"/>
                <w:sz w:val="28"/>
              </w:rPr>
              <w:t>尚未審查</w:t>
            </w:r>
          </w:p>
        </w:tc>
      </w:tr>
      <w:tr w:rsidR="001604C2" w:rsidRPr="00920597" w:rsidTr="0071625E">
        <w:trPr>
          <w:trHeight w:val="700"/>
        </w:trPr>
        <w:tc>
          <w:tcPr>
            <w:tcW w:w="314" w:type="pct"/>
            <w:vAlign w:val="center"/>
          </w:tcPr>
          <w:p w:rsidR="001604C2" w:rsidRPr="00920597" w:rsidRDefault="001604C2" w:rsidP="001604C2">
            <w:pPr>
              <w:numPr>
                <w:ilvl w:val="0"/>
                <w:numId w:val="6"/>
              </w:numPr>
              <w:spacing w:line="400" w:lineRule="exact"/>
              <w:ind w:right="113"/>
              <w:rPr>
                <w:rFonts w:ascii="標楷體" w:eastAsia="標楷體" w:hAnsi="標楷體"/>
                <w:color w:val="000000" w:themeColor="text1"/>
                <w:sz w:val="28"/>
                <w:szCs w:val="28"/>
              </w:rPr>
            </w:pPr>
          </w:p>
        </w:tc>
        <w:tc>
          <w:tcPr>
            <w:tcW w:w="2019" w:type="pct"/>
          </w:tcPr>
          <w:p w:rsidR="001604C2" w:rsidRPr="006A191D" w:rsidRDefault="001604C2" w:rsidP="001604C2">
            <w:pPr>
              <w:pStyle w:val="0-"/>
            </w:pPr>
            <w:r w:rsidRPr="006A191D">
              <w:rPr>
                <w:rFonts w:hint="eastAsia"/>
              </w:rPr>
              <w:t>教育部函，為修正「特殊教育課程教材教法及評量方式實施辦法」，請查照案。</w:t>
            </w:r>
          </w:p>
        </w:tc>
        <w:tc>
          <w:tcPr>
            <w:tcW w:w="897" w:type="pct"/>
          </w:tcPr>
          <w:p w:rsidR="001604C2" w:rsidRPr="006A191D" w:rsidRDefault="001604C2" w:rsidP="001604C2">
            <w:pPr>
              <w:pStyle w:val="0-"/>
            </w:pPr>
            <w:r w:rsidRPr="006A191D">
              <w:t>10-6-8</w:t>
            </w:r>
          </w:p>
          <w:p w:rsidR="001604C2" w:rsidRPr="006A191D" w:rsidRDefault="001604C2" w:rsidP="001604C2">
            <w:pPr>
              <w:pStyle w:val="0-"/>
            </w:pPr>
            <w:r w:rsidRPr="006A191D">
              <w:t>(111.11.18)</w:t>
            </w:r>
          </w:p>
          <w:p w:rsidR="001604C2" w:rsidRPr="006A191D" w:rsidRDefault="001604C2" w:rsidP="001604C2">
            <w:pPr>
              <w:pStyle w:val="0-"/>
            </w:pPr>
          </w:p>
        </w:tc>
        <w:tc>
          <w:tcPr>
            <w:tcW w:w="523" w:type="pct"/>
          </w:tcPr>
          <w:p w:rsidR="001604C2" w:rsidRPr="006A191D" w:rsidRDefault="001604C2" w:rsidP="001604C2">
            <w:pPr>
              <w:rPr>
                <w:rFonts w:ascii="標楷體" w:eastAsia="標楷體" w:hAnsi="標楷體"/>
                <w:color w:val="000000"/>
                <w:sz w:val="28"/>
              </w:rPr>
            </w:pPr>
          </w:p>
        </w:tc>
        <w:tc>
          <w:tcPr>
            <w:tcW w:w="1247" w:type="pct"/>
          </w:tcPr>
          <w:p w:rsidR="001604C2" w:rsidRPr="006A191D" w:rsidRDefault="001604C2" w:rsidP="008C2561">
            <w:pPr>
              <w:rPr>
                <w:rFonts w:ascii="標楷體" w:eastAsia="標楷體" w:hAnsi="標楷體"/>
                <w:color w:val="000000"/>
                <w:sz w:val="28"/>
              </w:rPr>
            </w:pPr>
            <w:r w:rsidRPr="006A191D">
              <w:rPr>
                <w:rFonts w:ascii="標楷體" w:eastAsia="標楷體" w:hAnsi="標楷體" w:hint="eastAsia"/>
                <w:color w:val="000000"/>
                <w:sz w:val="28"/>
              </w:rPr>
              <w:t>尚未審查</w:t>
            </w:r>
          </w:p>
        </w:tc>
      </w:tr>
      <w:tr w:rsidR="001604C2" w:rsidRPr="00920597" w:rsidTr="0071625E">
        <w:trPr>
          <w:trHeight w:val="700"/>
        </w:trPr>
        <w:tc>
          <w:tcPr>
            <w:tcW w:w="314" w:type="pct"/>
            <w:vAlign w:val="center"/>
          </w:tcPr>
          <w:p w:rsidR="001604C2" w:rsidRPr="00920597" w:rsidRDefault="001604C2" w:rsidP="001604C2">
            <w:pPr>
              <w:numPr>
                <w:ilvl w:val="0"/>
                <w:numId w:val="6"/>
              </w:numPr>
              <w:spacing w:line="400" w:lineRule="exact"/>
              <w:ind w:right="113"/>
              <w:rPr>
                <w:rFonts w:ascii="標楷體" w:eastAsia="標楷體" w:hAnsi="標楷體"/>
                <w:color w:val="000000" w:themeColor="text1"/>
                <w:sz w:val="28"/>
                <w:szCs w:val="28"/>
              </w:rPr>
            </w:pPr>
          </w:p>
        </w:tc>
        <w:tc>
          <w:tcPr>
            <w:tcW w:w="2019" w:type="pct"/>
          </w:tcPr>
          <w:p w:rsidR="001604C2" w:rsidRPr="006A191D" w:rsidRDefault="001604C2" w:rsidP="001604C2">
            <w:pPr>
              <w:pStyle w:val="0-"/>
            </w:pPr>
            <w:r w:rsidRPr="006A191D">
              <w:rPr>
                <w:rFonts w:hint="eastAsia"/>
              </w:rPr>
              <w:t>教育部函，為修正「各級學校申請外國教師聘僱許可及管理辦法」部分條文，請查照案。</w:t>
            </w:r>
          </w:p>
        </w:tc>
        <w:tc>
          <w:tcPr>
            <w:tcW w:w="897" w:type="pct"/>
          </w:tcPr>
          <w:p w:rsidR="001604C2" w:rsidRPr="006A191D" w:rsidRDefault="001604C2" w:rsidP="001604C2">
            <w:pPr>
              <w:pStyle w:val="0-"/>
            </w:pPr>
            <w:r w:rsidRPr="006A191D">
              <w:t>10-6-8</w:t>
            </w:r>
          </w:p>
          <w:p w:rsidR="001604C2" w:rsidRPr="006A191D" w:rsidRDefault="001604C2" w:rsidP="001604C2">
            <w:pPr>
              <w:pStyle w:val="0-"/>
            </w:pPr>
            <w:r w:rsidRPr="006A191D">
              <w:t>(111.11.18)</w:t>
            </w:r>
          </w:p>
          <w:p w:rsidR="001604C2" w:rsidRPr="006A191D" w:rsidRDefault="001604C2" w:rsidP="001604C2">
            <w:pPr>
              <w:pStyle w:val="0-"/>
            </w:pPr>
          </w:p>
        </w:tc>
        <w:tc>
          <w:tcPr>
            <w:tcW w:w="523" w:type="pct"/>
          </w:tcPr>
          <w:p w:rsidR="001604C2" w:rsidRPr="006A191D" w:rsidRDefault="001604C2" w:rsidP="001604C2">
            <w:pPr>
              <w:rPr>
                <w:rFonts w:ascii="標楷體" w:eastAsia="標楷體" w:hAnsi="標楷體"/>
                <w:color w:val="000000"/>
                <w:sz w:val="28"/>
              </w:rPr>
            </w:pPr>
          </w:p>
        </w:tc>
        <w:tc>
          <w:tcPr>
            <w:tcW w:w="1247" w:type="pct"/>
          </w:tcPr>
          <w:p w:rsidR="001604C2" w:rsidRPr="006A191D" w:rsidRDefault="001604C2" w:rsidP="008C2561">
            <w:pPr>
              <w:rPr>
                <w:rFonts w:ascii="標楷體" w:eastAsia="標楷體" w:hAnsi="標楷體"/>
                <w:color w:val="000000"/>
                <w:sz w:val="28"/>
              </w:rPr>
            </w:pPr>
            <w:r w:rsidRPr="006A191D">
              <w:rPr>
                <w:rFonts w:ascii="標楷體" w:eastAsia="標楷體" w:hAnsi="標楷體" w:hint="eastAsia"/>
                <w:color w:val="000000"/>
                <w:sz w:val="28"/>
              </w:rPr>
              <w:t>尚未審查</w:t>
            </w:r>
          </w:p>
        </w:tc>
      </w:tr>
      <w:tr w:rsidR="001604C2" w:rsidRPr="00920597" w:rsidTr="0071625E">
        <w:trPr>
          <w:trHeight w:val="700"/>
        </w:trPr>
        <w:tc>
          <w:tcPr>
            <w:tcW w:w="314" w:type="pct"/>
            <w:vAlign w:val="center"/>
          </w:tcPr>
          <w:p w:rsidR="001604C2" w:rsidRPr="00920597" w:rsidRDefault="001604C2" w:rsidP="001604C2">
            <w:pPr>
              <w:numPr>
                <w:ilvl w:val="0"/>
                <w:numId w:val="6"/>
              </w:numPr>
              <w:spacing w:line="400" w:lineRule="exact"/>
              <w:ind w:right="113"/>
              <w:rPr>
                <w:rFonts w:ascii="標楷體" w:eastAsia="標楷體" w:hAnsi="標楷體"/>
                <w:color w:val="000000" w:themeColor="text1"/>
                <w:sz w:val="28"/>
                <w:szCs w:val="28"/>
              </w:rPr>
            </w:pPr>
          </w:p>
        </w:tc>
        <w:tc>
          <w:tcPr>
            <w:tcW w:w="2019" w:type="pct"/>
          </w:tcPr>
          <w:p w:rsidR="001604C2" w:rsidRPr="006A191D" w:rsidRDefault="001604C2" w:rsidP="001604C2">
            <w:pPr>
              <w:pStyle w:val="0-"/>
            </w:pPr>
            <w:r w:rsidRPr="006A191D">
              <w:rPr>
                <w:rFonts w:hint="eastAsia"/>
              </w:rPr>
              <w:t>教育部函，為修正「偏遠地區學校專案聘任教師甄選聘任辦法」第八條、第十三條及第十七條條文，請查照案。</w:t>
            </w:r>
          </w:p>
        </w:tc>
        <w:tc>
          <w:tcPr>
            <w:tcW w:w="897" w:type="pct"/>
          </w:tcPr>
          <w:p w:rsidR="001604C2" w:rsidRPr="006A191D" w:rsidRDefault="001604C2" w:rsidP="001604C2">
            <w:pPr>
              <w:pStyle w:val="0-"/>
            </w:pPr>
            <w:r w:rsidRPr="006A191D">
              <w:t>10-6-8</w:t>
            </w:r>
          </w:p>
          <w:p w:rsidR="001604C2" w:rsidRPr="006A191D" w:rsidRDefault="001604C2" w:rsidP="001604C2">
            <w:pPr>
              <w:pStyle w:val="0-"/>
            </w:pPr>
            <w:r w:rsidRPr="006A191D">
              <w:t>(111.11.18)</w:t>
            </w:r>
          </w:p>
          <w:p w:rsidR="001604C2" w:rsidRPr="006A191D" w:rsidRDefault="001604C2" w:rsidP="001604C2">
            <w:pPr>
              <w:pStyle w:val="0-"/>
            </w:pPr>
          </w:p>
        </w:tc>
        <w:tc>
          <w:tcPr>
            <w:tcW w:w="523" w:type="pct"/>
          </w:tcPr>
          <w:p w:rsidR="001604C2" w:rsidRPr="006A191D" w:rsidRDefault="001604C2" w:rsidP="001604C2">
            <w:pPr>
              <w:rPr>
                <w:rFonts w:ascii="標楷體" w:eastAsia="標楷體" w:hAnsi="標楷體"/>
                <w:color w:val="000000"/>
                <w:sz w:val="28"/>
              </w:rPr>
            </w:pPr>
          </w:p>
        </w:tc>
        <w:tc>
          <w:tcPr>
            <w:tcW w:w="1247" w:type="pct"/>
          </w:tcPr>
          <w:p w:rsidR="001604C2" w:rsidRPr="006A191D" w:rsidRDefault="001604C2" w:rsidP="008C2561">
            <w:pPr>
              <w:rPr>
                <w:rFonts w:ascii="標楷體" w:eastAsia="標楷體" w:hAnsi="標楷體"/>
                <w:color w:val="000000"/>
                <w:sz w:val="28"/>
              </w:rPr>
            </w:pPr>
            <w:r w:rsidRPr="006A191D">
              <w:rPr>
                <w:rFonts w:ascii="標楷體" w:eastAsia="標楷體" w:hAnsi="標楷體" w:hint="eastAsia"/>
                <w:color w:val="000000"/>
                <w:sz w:val="28"/>
              </w:rPr>
              <w:t>尚未審查</w:t>
            </w:r>
          </w:p>
        </w:tc>
      </w:tr>
      <w:tr w:rsidR="001604C2" w:rsidRPr="00920597" w:rsidTr="0071625E">
        <w:trPr>
          <w:trHeight w:val="700"/>
        </w:trPr>
        <w:tc>
          <w:tcPr>
            <w:tcW w:w="314" w:type="pct"/>
            <w:vAlign w:val="center"/>
          </w:tcPr>
          <w:p w:rsidR="001604C2" w:rsidRPr="00920597" w:rsidRDefault="001604C2" w:rsidP="001604C2">
            <w:pPr>
              <w:numPr>
                <w:ilvl w:val="0"/>
                <w:numId w:val="6"/>
              </w:numPr>
              <w:spacing w:line="400" w:lineRule="exact"/>
              <w:ind w:right="113"/>
              <w:rPr>
                <w:rFonts w:ascii="標楷體" w:eastAsia="標楷體" w:hAnsi="標楷體"/>
                <w:color w:val="000000" w:themeColor="text1"/>
                <w:sz w:val="28"/>
                <w:szCs w:val="28"/>
              </w:rPr>
            </w:pPr>
          </w:p>
        </w:tc>
        <w:tc>
          <w:tcPr>
            <w:tcW w:w="2019" w:type="pct"/>
          </w:tcPr>
          <w:p w:rsidR="001604C2" w:rsidRPr="006A191D" w:rsidRDefault="001604C2" w:rsidP="001604C2">
            <w:pPr>
              <w:pStyle w:val="0-"/>
            </w:pPr>
            <w:r w:rsidRPr="006A191D">
              <w:rPr>
                <w:rFonts w:hint="eastAsia"/>
              </w:rPr>
              <w:t>教育部函，為修正「高級中等以下學校兼任代課及代理教師聘任辦法」第四條、第十四條及第十六條之一條文，請查照案。</w:t>
            </w:r>
          </w:p>
        </w:tc>
        <w:tc>
          <w:tcPr>
            <w:tcW w:w="897" w:type="pct"/>
          </w:tcPr>
          <w:p w:rsidR="001604C2" w:rsidRPr="006A191D" w:rsidRDefault="001604C2" w:rsidP="001604C2">
            <w:pPr>
              <w:pStyle w:val="0-"/>
            </w:pPr>
            <w:r w:rsidRPr="006A191D">
              <w:t>10-6-8</w:t>
            </w:r>
          </w:p>
          <w:p w:rsidR="001604C2" w:rsidRPr="006A191D" w:rsidRDefault="001604C2" w:rsidP="001604C2">
            <w:pPr>
              <w:pStyle w:val="0-"/>
            </w:pPr>
            <w:r w:rsidRPr="006A191D">
              <w:t>(111.11.18)</w:t>
            </w:r>
          </w:p>
          <w:p w:rsidR="001604C2" w:rsidRPr="006A191D" w:rsidRDefault="001604C2" w:rsidP="001604C2">
            <w:pPr>
              <w:pStyle w:val="0-"/>
            </w:pPr>
          </w:p>
        </w:tc>
        <w:tc>
          <w:tcPr>
            <w:tcW w:w="523" w:type="pct"/>
          </w:tcPr>
          <w:p w:rsidR="001604C2" w:rsidRPr="006A191D" w:rsidRDefault="001604C2" w:rsidP="001604C2">
            <w:pPr>
              <w:rPr>
                <w:rFonts w:ascii="標楷體" w:eastAsia="標楷體" w:hAnsi="標楷體"/>
                <w:color w:val="000000"/>
                <w:sz w:val="28"/>
              </w:rPr>
            </w:pPr>
          </w:p>
        </w:tc>
        <w:tc>
          <w:tcPr>
            <w:tcW w:w="1247" w:type="pct"/>
          </w:tcPr>
          <w:p w:rsidR="001604C2" w:rsidRPr="006A191D" w:rsidRDefault="001604C2" w:rsidP="008C2561">
            <w:pPr>
              <w:rPr>
                <w:rFonts w:ascii="標楷體" w:eastAsia="標楷體" w:hAnsi="標楷體"/>
                <w:color w:val="000000"/>
                <w:sz w:val="28"/>
              </w:rPr>
            </w:pPr>
            <w:r w:rsidRPr="006A191D">
              <w:rPr>
                <w:rFonts w:ascii="標楷體" w:eastAsia="標楷體" w:hAnsi="標楷體" w:hint="eastAsia"/>
                <w:color w:val="000000"/>
                <w:sz w:val="28"/>
              </w:rPr>
              <w:t>尚未審查</w:t>
            </w:r>
          </w:p>
        </w:tc>
      </w:tr>
      <w:tr w:rsidR="001604C2" w:rsidRPr="00920597" w:rsidTr="0071625E">
        <w:trPr>
          <w:trHeight w:val="700"/>
        </w:trPr>
        <w:tc>
          <w:tcPr>
            <w:tcW w:w="314" w:type="pct"/>
            <w:vAlign w:val="center"/>
          </w:tcPr>
          <w:p w:rsidR="001604C2" w:rsidRPr="00920597" w:rsidRDefault="001604C2" w:rsidP="001604C2">
            <w:pPr>
              <w:numPr>
                <w:ilvl w:val="0"/>
                <w:numId w:val="6"/>
              </w:numPr>
              <w:spacing w:line="400" w:lineRule="exact"/>
              <w:ind w:right="113"/>
              <w:rPr>
                <w:rFonts w:ascii="標楷體" w:eastAsia="標楷體" w:hAnsi="標楷體"/>
                <w:color w:val="000000" w:themeColor="text1"/>
                <w:sz w:val="28"/>
                <w:szCs w:val="28"/>
              </w:rPr>
            </w:pPr>
          </w:p>
        </w:tc>
        <w:tc>
          <w:tcPr>
            <w:tcW w:w="2019" w:type="pct"/>
          </w:tcPr>
          <w:p w:rsidR="001604C2" w:rsidRPr="006A191D" w:rsidRDefault="001604C2" w:rsidP="001604C2">
            <w:pPr>
              <w:pStyle w:val="0-"/>
            </w:pPr>
            <w:r w:rsidRPr="006A191D">
              <w:rPr>
                <w:rFonts w:hint="eastAsia"/>
              </w:rPr>
              <w:t>教育部函，為修正「國家代表隊教練與選手選拔培訓及參賽處理辦法」部分條文，請查照案。</w:t>
            </w:r>
          </w:p>
        </w:tc>
        <w:tc>
          <w:tcPr>
            <w:tcW w:w="897" w:type="pct"/>
          </w:tcPr>
          <w:p w:rsidR="001604C2" w:rsidRPr="006A191D" w:rsidRDefault="001604C2" w:rsidP="001604C2">
            <w:pPr>
              <w:pStyle w:val="0-"/>
            </w:pPr>
            <w:r w:rsidRPr="006A191D">
              <w:t>10-6-8</w:t>
            </w:r>
          </w:p>
          <w:p w:rsidR="001604C2" w:rsidRPr="006A191D" w:rsidRDefault="001604C2" w:rsidP="001604C2">
            <w:pPr>
              <w:pStyle w:val="0-"/>
            </w:pPr>
            <w:r w:rsidRPr="006A191D">
              <w:t>(111.11.18)</w:t>
            </w:r>
          </w:p>
          <w:p w:rsidR="001604C2" w:rsidRPr="006A191D" w:rsidRDefault="001604C2" w:rsidP="001604C2">
            <w:pPr>
              <w:pStyle w:val="0-"/>
            </w:pPr>
          </w:p>
        </w:tc>
        <w:tc>
          <w:tcPr>
            <w:tcW w:w="523" w:type="pct"/>
          </w:tcPr>
          <w:p w:rsidR="001604C2" w:rsidRPr="006A191D" w:rsidRDefault="001604C2" w:rsidP="001604C2">
            <w:pPr>
              <w:rPr>
                <w:rFonts w:ascii="標楷體" w:eastAsia="標楷體" w:hAnsi="標楷體"/>
                <w:color w:val="000000"/>
                <w:sz w:val="28"/>
              </w:rPr>
            </w:pPr>
          </w:p>
        </w:tc>
        <w:tc>
          <w:tcPr>
            <w:tcW w:w="1247" w:type="pct"/>
          </w:tcPr>
          <w:p w:rsidR="001604C2" w:rsidRPr="006A191D" w:rsidRDefault="001604C2" w:rsidP="008C2561">
            <w:pPr>
              <w:rPr>
                <w:rFonts w:ascii="標楷體" w:eastAsia="標楷體" w:hAnsi="標楷體"/>
                <w:color w:val="000000"/>
                <w:sz w:val="28"/>
              </w:rPr>
            </w:pPr>
            <w:r w:rsidRPr="006A191D">
              <w:rPr>
                <w:rFonts w:ascii="標楷體" w:eastAsia="標楷體" w:hAnsi="標楷體" w:hint="eastAsia"/>
                <w:color w:val="000000"/>
                <w:sz w:val="28"/>
              </w:rPr>
              <w:t>尚未審查</w:t>
            </w:r>
          </w:p>
        </w:tc>
      </w:tr>
      <w:tr w:rsidR="001604C2" w:rsidRPr="00920597" w:rsidTr="00CF7814">
        <w:trPr>
          <w:trHeight w:val="558"/>
        </w:trPr>
        <w:tc>
          <w:tcPr>
            <w:tcW w:w="314" w:type="pct"/>
            <w:vAlign w:val="center"/>
          </w:tcPr>
          <w:p w:rsidR="001604C2" w:rsidRPr="00920597" w:rsidRDefault="001604C2" w:rsidP="001604C2">
            <w:pPr>
              <w:numPr>
                <w:ilvl w:val="0"/>
                <w:numId w:val="6"/>
              </w:numPr>
              <w:spacing w:line="400" w:lineRule="exact"/>
              <w:ind w:right="113"/>
              <w:rPr>
                <w:rFonts w:ascii="標楷體" w:eastAsia="標楷體" w:hAnsi="標楷體"/>
                <w:color w:val="000000" w:themeColor="text1"/>
                <w:sz w:val="28"/>
                <w:szCs w:val="28"/>
              </w:rPr>
            </w:pPr>
          </w:p>
        </w:tc>
        <w:tc>
          <w:tcPr>
            <w:tcW w:w="2019" w:type="pct"/>
          </w:tcPr>
          <w:p w:rsidR="001604C2" w:rsidRPr="006A191D" w:rsidRDefault="001604C2" w:rsidP="001604C2">
            <w:pPr>
              <w:pStyle w:val="0-"/>
            </w:pPr>
            <w:r w:rsidRPr="006A191D">
              <w:rPr>
                <w:rFonts w:hint="eastAsia"/>
              </w:rPr>
              <w:t>教育部函，為修正「教育部幼兒教保服務諮詢會設置辦法」第三條及第五條條文，請查照</w:t>
            </w:r>
            <w:r w:rsidRPr="006A191D">
              <w:rPr>
                <w:rFonts w:hint="eastAsia"/>
              </w:rPr>
              <w:lastRenderedPageBreak/>
              <w:t>案。</w:t>
            </w:r>
          </w:p>
        </w:tc>
        <w:tc>
          <w:tcPr>
            <w:tcW w:w="897" w:type="pct"/>
          </w:tcPr>
          <w:p w:rsidR="001604C2" w:rsidRPr="006A191D" w:rsidRDefault="001604C2" w:rsidP="001604C2">
            <w:pPr>
              <w:pStyle w:val="0-"/>
            </w:pPr>
            <w:r w:rsidRPr="006A191D">
              <w:lastRenderedPageBreak/>
              <w:t>10-6-8</w:t>
            </w:r>
          </w:p>
          <w:p w:rsidR="001604C2" w:rsidRPr="006A191D" w:rsidRDefault="001604C2" w:rsidP="001604C2">
            <w:pPr>
              <w:pStyle w:val="0-"/>
            </w:pPr>
            <w:r w:rsidRPr="006A191D">
              <w:t>(111.11.18)</w:t>
            </w:r>
          </w:p>
          <w:p w:rsidR="001604C2" w:rsidRPr="006A191D" w:rsidRDefault="001604C2" w:rsidP="001604C2">
            <w:pPr>
              <w:pStyle w:val="0-"/>
            </w:pPr>
          </w:p>
        </w:tc>
        <w:tc>
          <w:tcPr>
            <w:tcW w:w="523" w:type="pct"/>
          </w:tcPr>
          <w:p w:rsidR="001604C2" w:rsidRPr="006A191D" w:rsidRDefault="001604C2" w:rsidP="001604C2">
            <w:pPr>
              <w:rPr>
                <w:rFonts w:ascii="標楷體" w:eastAsia="標楷體" w:hAnsi="標楷體"/>
                <w:color w:val="000000"/>
                <w:sz w:val="28"/>
              </w:rPr>
            </w:pPr>
          </w:p>
        </w:tc>
        <w:tc>
          <w:tcPr>
            <w:tcW w:w="1247" w:type="pct"/>
          </w:tcPr>
          <w:p w:rsidR="001604C2" w:rsidRPr="006A191D" w:rsidRDefault="001604C2" w:rsidP="008C2561">
            <w:pPr>
              <w:rPr>
                <w:rFonts w:ascii="標楷體" w:eastAsia="標楷體" w:hAnsi="標楷體"/>
                <w:color w:val="000000"/>
                <w:sz w:val="28"/>
              </w:rPr>
            </w:pPr>
            <w:r w:rsidRPr="006A191D">
              <w:rPr>
                <w:rFonts w:ascii="標楷體" w:eastAsia="標楷體" w:hAnsi="標楷體" w:hint="eastAsia"/>
                <w:color w:val="000000"/>
                <w:sz w:val="28"/>
              </w:rPr>
              <w:t>尚未審查</w:t>
            </w:r>
          </w:p>
        </w:tc>
      </w:tr>
      <w:tr w:rsidR="001604C2" w:rsidRPr="00920597" w:rsidTr="0071625E">
        <w:trPr>
          <w:trHeight w:val="700"/>
        </w:trPr>
        <w:tc>
          <w:tcPr>
            <w:tcW w:w="314" w:type="pct"/>
            <w:vAlign w:val="center"/>
          </w:tcPr>
          <w:p w:rsidR="001604C2" w:rsidRPr="00920597" w:rsidRDefault="001604C2" w:rsidP="001604C2">
            <w:pPr>
              <w:numPr>
                <w:ilvl w:val="0"/>
                <w:numId w:val="6"/>
              </w:numPr>
              <w:spacing w:line="400" w:lineRule="exact"/>
              <w:ind w:right="113"/>
              <w:rPr>
                <w:rFonts w:ascii="標楷體" w:eastAsia="標楷體" w:hAnsi="標楷體"/>
                <w:color w:val="000000" w:themeColor="text1"/>
                <w:sz w:val="28"/>
                <w:szCs w:val="28"/>
              </w:rPr>
            </w:pPr>
          </w:p>
        </w:tc>
        <w:tc>
          <w:tcPr>
            <w:tcW w:w="2019" w:type="pct"/>
          </w:tcPr>
          <w:p w:rsidR="001604C2" w:rsidRPr="006A191D" w:rsidRDefault="001604C2" w:rsidP="001604C2">
            <w:pPr>
              <w:pStyle w:val="0-"/>
            </w:pPr>
            <w:r w:rsidRPr="006A191D">
              <w:rPr>
                <w:rFonts w:hint="eastAsia"/>
              </w:rPr>
              <w:t>文化部函，為修正「電影法施行細則」第十一條條文，請查照案。</w:t>
            </w:r>
          </w:p>
        </w:tc>
        <w:tc>
          <w:tcPr>
            <w:tcW w:w="897" w:type="pct"/>
          </w:tcPr>
          <w:p w:rsidR="001604C2" w:rsidRPr="006A191D" w:rsidRDefault="001604C2" w:rsidP="001604C2">
            <w:pPr>
              <w:pStyle w:val="0-"/>
            </w:pPr>
            <w:r w:rsidRPr="006A191D">
              <w:t>10-6-8</w:t>
            </w:r>
          </w:p>
          <w:p w:rsidR="001604C2" w:rsidRPr="006A191D" w:rsidRDefault="001604C2" w:rsidP="001604C2">
            <w:pPr>
              <w:pStyle w:val="0-"/>
            </w:pPr>
            <w:r w:rsidRPr="006A191D">
              <w:t>(111.11.18)</w:t>
            </w:r>
          </w:p>
          <w:p w:rsidR="001604C2" w:rsidRPr="006A191D" w:rsidRDefault="001604C2" w:rsidP="001604C2">
            <w:pPr>
              <w:pStyle w:val="0-"/>
            </w:pPr>
          </w:p>
        </w:tc>
        <w:tc>
          <w:tcPr>
            <w:tcW w:w="523" w:type="pct"/>
          </w:tcPr>
          <w:p w:rsidR="001604C2" w:rsidRPr="006A191D" w:rsidRDefault="001604C2" w:rsidP="001604C2">
            <w:pPr>
              <w:rPr>
                <w:rFonts w:ascii="標楷體" w:eastAsia="標楷體" w:hAnsi="標楷體"/>
                <w:color w:val="000000"/>
                <w:sz w:val="28"/>
              </w:rPr>
            </w:pPr>
          </w:p>
        </w:tc>
        <w:tc>
          <w:tcPr>
            <w:tcW w:w="1247" w:type="pct"/>
          </w:tcPr>
          <w:p w:rsidR="001604C2" w:rsidRPr="006A191D" w:rsidRDefault="001604C2" w:rsidP="008C2561">
            <w:pPr>
              <w:rPr>
                <w:rFonts w:ascii="標楷體" w:eastAsia="標楷體" w:hAnsi="標楷體"/>
                <w:color w:val="000000"/>
                <w:sz w:val="28"/>
              </w:rPr>
            </w:pPr>
            <w:r w:rsidRPr="006A191D">
              <w:rPr>
                <w:rFonts w:ascii="標楷體" w:eastAsia="標楷體" w:hAnsi="標楷體" w:hint="eastAsia"/>
                <w:color w:val="000000"/>
                <w:sz w:val="28"/>
              </w:rPr>
              <w:t>尚未審查</w:t>
            </w:r>
          </w:p>
        </w:tc>
      </w:tr>
      <w:tr w:rsidR="001604C2" w:rsidRPr="00920597" w:rsidTr="0071625E">
        <w:trPr>
          <w:trHeight w:val="700"/>
        </w:trPr>
        <w:tc>
          <w:tcPr>
            <w:tcW w:w="314" w:type="pct"/>
            <w:vAlign w:val="center"/>
          </w:tcPr>
          <w:p w:rsidR="001604C2" w:rsidRPr="00920597" w:rsidRDefault="001604C2" w:rsidP="001604C2">
            <w:pPr>
              <w:numPr>
                <w:ilvl w:val="0"/>
                <w:numId w:val="6"/>
              </w:numPr>
              <w:spacing w:line="400" w:lineRule="exact"/>
              <w:ind w:right="113"/>
              <w:rPr>
                <w:rFonts w:ascii="標楷體" w:eastAsia="標楷體" w:hAnsi="標楷體"/>
                <w:color w:val="000000" w:themeColor="text1"/>
                <w:sz w:val="28"/>
                <w:szCs w:val="28"/>
              </w:rPr>
            </w:pPr>
          </w:p>
        </w:tc>
        <w:tc>
          <w:tcPr>
            <w:tcW w:w="2019" w:type="pct"/>
          </w:tcPr>
          <w:p w:rsidR="001604C2" w:rsidRPr="006A191D" w:rsidRDefault="001604C2" w:rsidP="001604C2">
            <w:pPr>
              <w:pStyle w:val="0-"/>
            </w:pPr>
            <w:r w:rsidRPr="006A191D">
              <w:rPr>
                <w:rFonts w:hint="eastAsia"/>
              </w:rPr>
              <w:t>教育部函，為修正「專科以上學校教師資格審定辦法」，請查照案。</w:t>
            </w:r>
          </w:p>
        </w:tc>
        <w:tc>
          <w:tcPr>
            <w:tcW w:w="897" w:type="pct"/>
          </w:tcPr>
          <w:p w:rsidR="001604C2" w:rsidRPr="006A191D" w:rsidRDefault="001604C2" w:rsidP="001604C2">
            <w:pPr>
              <w:pStyle w:val="0-"/>
            </w:pPr>
            <w:r w:rsidRPr="006A191D">
              <w:t>10-6-8</w:t>
            </w:r>
          </w:p>
          <w:p w:rsidR="001604C2" w:rsidRPr="006A191D" w:rsidRDefault="001604C2" w:rsidP="001604C2">
            <w:pPr>
              <w:pStyle w:val="0-"/>
            </w:pPr>
            <w:r w:rsidRPr="006A191D">
              <w:t>(111.11.18)</w:t>
            </w:r>
          </w:p>
          <w:p w:rsidR="001604C2" w:rsidRPr="006A191D" w:rsidRDefault="001604C2" w:rsidP="001604C2">
            <w:pPr>
              <w:pStyle w:val="0-"/>
            </w:pPr>
          </w:p>
        </w:tc>
        <w:tc>
          <w:tcPr>
            <w:tcW w:w="523" w:type="pct"/>
          </w:tcPr>
          <w:p w:rsidR="001604C2" w:rsidRPr="006A191D" w:rsidRDefault="001604C2" w:rsidP="001604C2">
            <w:pPr>
              <w:rPr>
                <w:rFonts w:ascii="標楷體" w:eastAsia="標楷體" w:hAnsi="標楷體"/>
                <w:color w:val="000000"/>
                <w:sz w:val="28"/>
              </w:rPr>
            </w:pPr>
          </w:p>
        </w:tc>
        <w:tc>
          <w:tcPr>
            <w:tcW w:w="1247" w:type="pct"/>
          </w:tcPr>
          <w:p w:rsidR="001604C2" w:rsidRPr="006A191D" w:rsidRDefault="001604C2" w:rsidP="008C2561">
            <w:pPr>
              <w:rPr>
                <w:rFonts w:ascii="標楷體" w:eastAsia="標楷體" w:hAnsi="標楷體"/>
                <w:color w:val="000000"/>
                <w:sz w:val="28"/>
              </w:rPr>
            </w:pPr>
            <w:r w:rsidRPr="006A191D">
              <w:rPr>
                <w:rFonts w:ascii="標楷體" w:eastAsia="標楷體" w:hAnsi="標楷體" w:hint="eastAsia"/>
                <w:color w:val="000000"/>
                <w:sz w:val="28"/>
              </w:rPr>
              <w:t>尚未審查</w:t>
            </w:r>
          </w:p>
        </w:tc>
      </w:tr>
      <w:tr w:rsidR="001604C2" w:rsidRPr="00920597" w:rsidTr="0071625E">
        <w:trPr>
          <w:trHeight w:val="700"/>
        </w:trPr>
        <w:tc>
          <w:tcPr>
            <w:tcW w:w="314" w:type="pct"/>
            <w:vAlign w:val="center"/>
          </w:tcPr>
          <w:p w:rsidR="001604C2" w:rsidRPr="00920597" w:rsidRDefault="001604C2" w:rsidP="001604C2">
            <w:pPr>
              <w:numPr>
                <w:ilvl w:val="0"/>
                <w:numId w:val="6"/>
              </w:numPr>
              <w:spacing w:line="400" w:lineRule="exact"/>
              <w:ind w:right="113"/>
              <w:rPr>
                <w:rFonts w:ascii="標楷體" w:eastAsia="標楷體" w:hAnsi="標楷體"/>
                <w:color w:val="000000" w:themeColor="text1"/>
                <w:sz w:val="28"/>
                <w:szCs w:val="28"/>
              </w:rPr>
            </w:pPr>
          </w:p>
        </w:tc>
        <w:tc>
          <w:tcPr>
            <w:tcW w:w="2019" w:type="pct"/>
          </w:tcPr>
          <w:p w:rsidR="001604C2" w:rsidRPr="006A191D" w:rsidRDefault="001604C2" w:rsidP="001604C2">
            <w:pPr>
              <w:pStyle w:val="0-"/>
            </w:pPr>
            <w:r w:rsidRPr="006A191D">
              <w:rPr>
                <w:rFonts w:hint="eastAsia"/>
              </w:rPr>
              <w:t>教育部函送「預警學校與專案輔導學校認定輔導及監督辦法」，請查照案。</w:t>
            </w:r>
          </w:p>
        </w:tc>
        <w:tc>
          <w:tcPr>
            <w:tcW w:w="897" w:type="pct"/>
          </w:tcPr>
          <w:p w:rsidR="001604C2" w:rsidRPr="006A191D" w:rsidRDefault="001604C2" w:rsidP="001604C2">
            <w:pPr>
              <w:pStyle w:val="0-"/>
            </w:pPr>
            <w:r w:rsidRPr="006A191D">
              <w:t>10-6-8</w:t>
            </w:r>
          </w:p>
          <w:p w:rsidR="001604C2" w:rsidRPr="006A191D" w:rsidRDefault="001604C2" w:rsidP="001604C2">
            <w:pPr>
              <w:pStyle w:val="0-"/>
            </w:pPr>
            <w:r w:rsidRPr="006A191D">
              <w:t>(111.11.18)</w:t>
            </w:r>
          </w:p>
          <w:p w:rsidR="001604C2" w:rsidRPr="006A191D" w:rsidRDefault="001604C2" w:rsidP="001604C2">
            <w:pPr>
              <w:pStyle w:val="0-"/>
            </w:pPr>
          </w:p>
        </w:tc>
        <w:tc>
          <w:tcPr>
            <w:tcW w:w="523" w:type="pct"/>
          </w:tcPr>
          <w:p w:rsidR="001604C2" w:rsidRPr="006A191D" w:rsidRDefault="001604C2" w:rsidP="001604C2">
            <w:pPr>
              <w:rPr>
                <w:rFonts w:ascii="標楷體" w:eastAsia="標楷體" w:hAnsi="標楷體"/>
                <w:color w:val="000000"/>
                <w:sz w:val="28"/>
              </w:rPr>
            </w:pPr>
          </w:p>
        </w:tc>
        <w:tc>
          <w:tcPr>
            <w:tcW w:w="1247" w:type="pct"/>
          </w:tcPr>
          <w:p w:rsidR="001604C2" w:rsidRPr="006A191D" w:rsidRDefault="001604C2" w:rsidP="008C2561">
            <w:pPr>
              <w:rPr>
                <w:rFonts w:ascii="標楷體" w:eastAsia="標楷體" w:hAnsi="標楷體"/>
                <w:color w:val="000000"/>
                <w:sz w:val="28"/>
              </w:rPr>
            </w:pPr>
            <w:r w:rsidRPr="006A191D">
              <w:rPr>
                <w:rFonts w:ascii="標楷體" w:eastAsia="標楷體" w:hAnsi="標楷體" w:hint="eastAsia"/>
                <w:color w:val="000000"/>
                <w:sz w:val="28"/>
              </w:rPr>
              <w:t>尚未審查</w:t>
            </w:r>
          </w:p>
        </w:tc>
      </w:tr>
      <w:tr w:rsidR="001604C2" w:rsidRPr="00920597" w:rsidTr="0071625E">
        <w:trPr>
          <w:trHeight w:val="700"/>
        </w:trPr>
        <w:tc>
          <w:tcPr>
            <w:tcW w:w="314" w:type="pct"/>
            <w:vAlign w:val="center"/>
          </w:tcPr>
          <w:p w:rsidR="001604C2" w:rsidRPr="00920597" w:rsidRDefault="001604C2" w:rsidP="001604C2">
            <w:pPr>
              <w:numPr>
                <w:ilvl w:val="0"/>
                <w:numId w:val="6"/>
              </w:numPr>
              <w:spacing w:line="400" w:lineRule="exact"/>
              <w:ind w:right="113"/>
              <w:rPr>
                <w:rFonts w:ascii="標楷體" w:eastAsia="標楷體" w:hAnsi="標楷體"/>
                <w:color w:val="000000" w:themeColor="text1"/>
                <w:sz w:val="28"/>
                <w:szCs w:val="28"/>
              </w:rPr>
            </w:pPr>
          </w:p>
        </w:tc>
        <w:tc>
          <w:tcPr>
            <w:tcW w:w="2019" w:type="pct"/>
          </w:tcPr>
          <w:p w:rsidR="001604C2" w:rsidRPr="006A191D" w:rsidRDefault="001604C2" w:rsidP="001604C2">
            <w:pPr>
              <w:pStyle w:val="0-"/>
            </w:pPr>
            <w:r w:rsidRPr="006A191D">
              <w:rPr>
                <w:rFonts w:hint="eastAsia"/>
              </w:rPr>
              <w:t>教育部函送「教育部私立高級中等以上學校退場審議會組織及運作辦法」，請查照案。</w:t>
            </w:r>
          </w:p>
        </w:tc>
        <w:tc>
          <w:tcPr>
            <w:tcW w:w="897" w:type="pct"/>
          </w:tcPr>
          <w:p w:rsidR="001604C2" w:rsidRPr="006A191D" w:rsidRDefault="001604C2" w:rsidP="001604C2">
            <w:pPr>
              <w:pStyle w:val="0-"/>
            </w:pPr>
            <w:r w:rsidRPr="006A191D">
              <w:t>10-6-8</w:t>
            </w:r>
          </w:p>
          <w:p w:rsidR="001604C2" w:rsidRPr="006A191D" w:rsidRDefault="001604C2" w:rsidP="001604C2">
            <w:pPr>
              <w:pStyle w:val="0-"/>
            </w:pPr>
            <w:r w:rsidRPr="006A191D">
              <w:t>(111.11.18)</w:t>
            </w:r>
          </w:p>
          <w:p w:rsidR="001604C2" w:rsidRPr="006A191D" w:rsidRDefault="001604C2" w:rsidP="001604C2">
            <w:pPr>
              <w:pStyle w:val="0-"/>
            </w:pPr>
          </w:p>
        </w:tc>
        <w:tc>
          <w:tcPr>
            <w:tcW w:w="523" w:type="pct"/>
          </w:tcPr>
          <w:p w:rsidR="001604C2" w:rsidRPr="006A191D" w:rsidRDefault="001604C2" w:rsidP="001604C2">
            <w:pPr>
              <w:rPr>
                <w:rFonts w:ascii="標楷體" w:eastAsia="標楷體" w:hAnsi="標楷體"/>
                <w:color w:val="000000"/>
                <w:sz w:val="28"/>
              </w:rPr>
            </w:pPr>
          </w:p>
        </w:tc>
        <w:tc>
          <w:tcPr>
            <w:tcW w:w="1247" w:type="pct"/>
          </w:tcPr>
          <w:p w:rsidR="001604C2" w:rsidRPr="006A191D" w:rsidRDefault="001604C2" w:rsidP="008C2561">
            <w:pPr>
              <w:rPr>
                <w:rFonts w:ascii="標楷體" w:eastAsia="標楷體" w:hAnsi="標楷體"/>
                <w:color w:val="000000"/>
                <w:sz w:val="28"/>
              </w:rPr>
            </w:pPr>
            <w:r w:rsidRPr="006A191D">
              <w:rPr>
                <w:rFonts w:ascii="標楷體" w:eastAsia="標楷體" w:hAnsi="標楷體" w:hint="eastAsia"/>
                <w:color w:val="000000"/>
                <w:sz w:val="28"/>
              </w:rPr>
              <w:t>尚未審查</w:t>
            </w:r>
          </w:p>
        </w:tc>
      </w:tr>
      <w:tr w:rsidR="001604C2" w:rsidRPr="00920597" w:rsidTr="0071625E">
        <w:trPr>
          <w:trHeight w:val="700"/>
        </w:trPr>
        <w:tc>
          <w:tcPr>
            <w:tcW w:w="314" w:type="pct"/>
            <w:vAlign w:val="center"/>
          </w:tcPr>
          <w:p w:rsidR="001604C2" w:rsidRPr="00920597" w:rsidRDefault="001604C2" w:rsidP="001604C2">
            <w:pPr>
              <w:numPr>
                <w:ilvl w:val="0"/>
                <w:numId w:val="6"/>
              </w:numPr>
              <w:spacing w:line="400" w:lineRule="exact"/>
              <w:ind w:right="113"/>
              <w:rPr>
                <w:rFonts w:ascii="標楷體" w:eastAsia="標楷體" w:hAnsi="標楷體"/>
                <w:color w:val="000000" w:themeColor="text1"/>
                <w:sz w:val="28"/>
                <w:szCs w:val="28"/>
              </w:rPr>
            </w:pPr>
          </w:p>
        </w:tc>
        <w:tc>
          <w:tcPr>
            <w:tcW w:w="2019" w:type="pct"/>
          </w:tcPr>
          <w:p w:rsidR="001604C2" w:rsidRPr="006A191D" w:rsidRDefault="001604C2" w:rsidP="001604C2">
            <w:pPr>
              <w:pStyle w:val="0-"/>
            </w:pPr>
            <w:r w:rsidRPr="006A191D">
              <w:rPr>
                <w:rFonts w:hint="eastAsia"/>
              </w:rPr>
              <w:t>教育部函送「教育部加派專案輔導學校所屬學校財團法人董事監察人及重新組織董事會管理辦法」，請查照案。</w:t>
            </w:r>
          </w:p>
        </w:tc>
        <w:tc>
          <w:tcPr>
            <w:tcW w:w="897" w:type="pct"/>
          </w:tcPr>
          <w:p w:rsidR="001604C2" w:rsidRPr="006A191D" w:rsidRDefault="001604C2" w:rsidP="001604C2">
            <w:pPr>
              <w:pStyle w:val="0-"/>
            </w:pPr>
            <w:r w:rsidRPr="006A191D">
              <w:t>10-6-8</w:t>
            </w:r>
          </w:p>
          <w:p w:rsidR="001604C2" w:rsidRPr="006A191D" w:rsidRDefault="001604C2" w:rsidP="001604C2">
            <w:pPr>
              <w:pStyle w:val="0-"/>
            </w:pPr>
            <w:r w:rsidRPr="006A191D">
              <w:t>(111.11.18)</w:t>
            </w:r>
          </w:p>
          <w:p w:rsidR="001604C2" w:rsidRPr="006A191D" w:rsidRDefault="001604C2" w:rsidP="001604C2">
            <w:pPr>
              <w:pStyle w:val="0-"/>
            </w:pPr>
          </w:p>
        </w:tc>
        <w:tc>
          <w:tcPr>
            <w:tcW w:w="523" w:type="pct"/>
          </w:tcPr>
          <w:p w:rsidR="001604C2" w:rsidRPr="006A191D" w:rsidRDefault="001604C2" w:rsidP="001604C2">
            <w:pPr>
              <w:rPr>
                <w:rFonts w:ascii="標楷體" w:eastAsia="標楷體" w:hAnsi="標楷體"/>
                <w:color w:val="000000"/>
                <w:sz w:val="28"/>
              </w:rPr>
            </w:pPr>
          </w:p>
        </w:tc>
        <w:tc>
          <w:tcPr>
            <w:tcW w:w="1247" w:type="pct"/>
          </w:tcPr>
          <w:p w:rsidR="001604C2" w:rsidRPr="006A191D" w:rsidRDefault="001604C2" w:rsidP="008C2561">
            <w:pPr>
              <w:rPr>
                <w:rFonts w:ascii="標楷體" w:eastAsia="標楷體" w:hAnsi="標楷體"/>
                <w:color w:val="000000"/>
                <w:sz w:val="28"/>
              </w:rPr>
            </w:pPr>
            <w:r w:rsidRPr="006A191D">
              <w:rPr>
                <w:rFonts w:ascii="標楷體" w:eastAsia="標楷體" w:hAnsi="標楷體" w:hint="eastAsia"/>
                <w:color w:val="000000"/>
                <w:sz w:val="28"/>
              </w:rPr>
              <w:t>尚未審查</w:t>
            </w:r>
          </w:p>
        </w:tc>
      </w:tr>
      <w:tr w:rsidR="001604C2" w:rsidRPr="00920597" w:rsidTr="0071625E">
        <w:trPr>
          <w:trHeight w:val="700"/>
        </w:trPr>
        <w:tc>
          <w:tcPr>
            <w:tcW w:w="314" w:type="pct"/>
            <w:vAlign w:val="center"/>
          </w:tcPr>
          <w:p w:rsidR="001604C2" w:rsidRPr="00920597" w:rsidRDefault="001604C2" w:rsidP="001604C2">
            <w:pPr>
              <w:numPr>
                <w:ilvl w:val="0"/>
                <w:numId w:val="6"/>
              </w:numPr>
              <w:spacing w:line="400" w:lineRule="exact"/>
              <w:ind w:right="113"/>
              <w:rPr>
                <w:rFonts w:ascii="標楷體" w:eastAsia="標楷體" w:hAnsi="標楷體"/>
                <w:color w:val="000000" w:themeColor="text1"/>
                <w:sz w:val="28"/>
                <w:szCs w:val="28"/>
              </w:rPr>
            </w:pPr>
          </w:p>
        </w:tc>
        <w:tc>
          <w:tcPr>
            <w:tcW w:w="2019" w:type="pct"/>
          </w:tcPr>
          <w:p w:rsidR="001604C2" w:rsidRPr="006A191D" w:rsidRDefault="001604C2" w:rsidP="001604C2">
            <w:pPr>
              <w:pStyle w:val="0-"/>
            </w:pPr>
            <w:r w:rsidRPr="006A191D">
              <w:rPr>
                <w:rFonts w:hint="eastAsia"/>
              </w:rPr>
              <w:t>教育部函送「私立高級中等以上學校退場基金補助墊付辦法」，請查照案。</w:t>
            </w:r>
          </w:p>
        </w:tc>
        <w:tc>
          <w:tcPr>
            <w:tcW w:w="897" w:type="pct"/>
          </w:tcPr>
          <w:p w:rsidR="001604C2" w:rsidRPr="006A191D" w:rsidRDefault="001604C2" w:rsidP="001604C2">
            <w:pPr>
              <w:pStyle w:val="0-"/>
            </w:pPr>
            <w:r w:rsidRPr="006A191D">
              <w:t>10-6-8</w:t>
            </w:r>
          </w:p>
          <w:p w:rsidR="001604C2" w:rsidRPr="006A191D" w:rsidRDefault="001604C2" w:rsidP="001604C2">
            <w:pPr>
              <w:pStyle w:val="0-"/>
            </w:pPr>
            <w:r w:rsidRPr="006A191D">
              <w:t>(111.11.18)</w:t>
            </w:r>
          </w:p>
          <w:p w:rsidR="001604C2" w:rsidRPr="006A191D" w:rsidRDefault="001604C2" w:rsidP="001604C2">
            <w:pPr>
              <w:pStyle w:val="0-"/>
            </w:pPr>
          </w:p>
        </w:tc>
        <w:tc>
          <w:tcPr>
            <w:tcW w:w="523" w:type="pct"/>
          </w:tcPr>
          <w:p w:rsidR="001604C2" w:rsidRPr="006A191D" w:rsidRDefault="001604C2" w:rsidP="001604C2">
            <w:pPr>
              <w:rPr>
                <w:rFonts w:ascii="標楷體" w:eastAsia="標楷體" w:hAnsi="標楷體"/>
                <w:color w:val="000000"/>
                <w:sz w:val="28"/>
              </w:rPr>
            </w:pPr>
          </w:p>
        </w:tc>
        <w:tc>
          <w:tcPr>
            <w:tcW w:w="1247" w:type="pct"/>
          </w:tcPr>
          <w:p w:rsidR="001604C2" w:rsidRPr="006A191D" w:rsidRDefault="001604C2" w:rsidP="008C2561">
            <w:pPr>
              <w:rPr>
                <w:rFonts w:ascii="標楷體" w:eastAsia="標楷體" w:hAnsi="標楷體"/>
                <w:color w:val="000000"/>
                <w:sz w:val="28"/>
              </w:rPr>
            </w:pPr>
            <w:r w:rsidRPr="006A191D">
              <w:rPr>
                <w:rFonts w:ascii="標楷體" w:eastAsia="標楷體" w:hAnsi="標楷體" w:hint="eastAsia"/>
                <w:color w:val="000000"/>
                <w:sz w:val="28"/>
              </w:rPr>
              <w:t>尚未審查</w:t>
            </w:r>
          </w:p>
        </w:tc>
      </w:tr>
      <w:tr w:rsidR="001604C2" w:rsidRPr="00920597" w:rsidTr="0071625E">
        <w:trPr>
          <w:trHeight w:val="700"/>
        </w:trPr>
        <w:tc>
          <w:tcPr>
            <w:tcW w:w="314" w:type="pct"/>
            <w:vAlign w:val="center"/>
          </w:tcPr>
          <w:p w:rsidR="001604C2" w:rsidRPr="00920597" w:rsidRDefault="001604C2" w:rsidP="001604C2">
            <w:pPr>
              <w:numPr>
                <w:ilvl w:val="0"/>
                <w:numId w:val="6"/>
              </w:numPr>
              <w:spacing w:line="400" w:lineRule="exact"/>
              <w:ind w:right="113"/>
              <w:rPr>
                <w:rFonts w:ascii="標楷體" w:eastAsia="標楷體" w:hAnsi="標楷體"/>
                <w:color w:val="000000" w:themeColor="text1"/>
                <w:sz w:val="28"/>
                <w:szCs w:val="28"/>
              </w:rPr>
            </w:pPr>
          </w:p>
        </w:tc>
        <w:tc>
          <w:tcPr>
            <w:tcW w:w="2019" w:type="pct"/>
          </w:tcPr>
          <w:p w:rsidR="001604C2" w:rsidRPr="006A191D" w:rsidRDefault="001604C2" w:rsidP="001604C2">
            <w:pPr>
              <w:pStyle w:val="0-"/>
            </w:pPr>
            <w:r w:rsidRPr="006A191D">
              <w:rPr>
                <w:rFonts w:hint="eastAsia"/>
              </w:rPr>
              <w:t>教育部函送「專案輔導學校停止全部招生後停辦時仍在校學生分發辦法」，請查照案。</w:t>
            </w:r>
          </w:p>
        </w:tc>
        <w:tc>
          <w:tcPr>
            <w:tcW w:w="897" w:type="pct"/>
          </w:tcPr>
          <w:p w:rsidR="001604C2" w:rsidRPr="006A191D" w:rsidRDefault="001604C2" w:rsidP="001604C2">
            <w:pPr>
              <w:pStyle w:val="0-"/>
            </w:pPr>
            <w:r w:rsidRPr="006A191D">
              <w:t>10-6-8</w:t>
            </w:r>
          </w:p>
          <w:p w:rsidR="001604C2" w:rsidRPr="006A191D" w:rsidRDefault="001604C2" w:rsidP="001604C2">
            <w:pPr>
              <w:pStyle w:val="0-"/>
            </w:pPr>
            <w:r w:rsidRPr="006A191D">
              <w:t>(111.11.18)</w:t>
            </w:r>
          </w:p>
          <w:p w:rsidR="001604C2" w:rsidRPr="006A191D" w:rsidRDefault="001604C2" w:rsidP="001604C2">
            <w:pPr>
              <w:pStyle w:val="0-"/>
            </w:pPr>
          </w:p>
        </w:tc>
        <w:tc>
          <w:tcPr>
            <w:tcW w:w="523" w:type="pct"/>
          </w:tcPr>
          <w:p w:rsidR="001604C2" w:rsidRPr="006A191D" w:rsidRDefault="001604C2" w:rsidP="001604C2">
            <w:pPr>
              <w:rPr>
                <w:rFonts w:ascii="標楷體" w:eastAsia="標楷體" w:hAnsi="標楷體"/>
                <w:color w:val="000000"/>
                <w:sz w:val="28"/>
              </w:rPr>
            </w:pPr>
          </w:p>
        </w:tc>
        <w:tc>
          <w:tcPr>
            <w:tcW w:w="1247" w:type="pct"/>
          </w:tcPr>
          <w:p w:rsidR="001604C2" w:rsidRPr="006A191D" w:rsidRDefault="001604C2" w:rsidP="008C2561">
            <w:pPr>
              <w:rPr>
                <w:rFonts w:ascii="標楷體" w:eastAsia="標楷體" w:hAnsi="標楷體"/>
                <w:color w:val="000000"/>
                <w:sz w:val="28"/>
              </w:rPr>
            </w:pPr>
            <w:r w:rsidRPr="006A191D">
              <w:rPr>
                <w:rFonts w:ascii="標楷體" w:eastAsia="標楷體" w:hAnsi="標楷體" w:hint="eastAsia"/>
                <w:color w:val="000000"/>
                <w:sz w:val="28"/>
              </w:rPr>
              <w:t>尚未審查</w:t>
            </w:r>
          </w:p>
        </w:tc>
      </w:tr>
      <w:tr w:rsidR="001604C2" w:rsidRPr="00920597" w:rsidTr="0071625E">
        <w:trPr>
          <w:trHeight w:val="700"/>
        </w:trPr>
        <w:tc>
          <w:tcPr>
            <w:tcW w:w="314" w:type="pct"/>
            <w:vAlign w:val="center"/>
          </w:tcPr>
          <w:p w:rsidR="001604C2" w:rsidRPr="00920597" w:rsidRDefault="001604C2" w:rsidP="001604C2">
            <w:pPr>
              <w:numPr>
                <w:ilvl w:val="0"/>
                <w:numId w:val="6"/>
              </w:numPr>
              <w:spacing w:line="400" w:lineRule="exact"/>
              <w:ind w:right="113"/>
              <w:rPr>
                <w:rFonts w:ascii="標楷體" w:eastAsia="標楷體" w:hAnsi="標楷體"/>
                <w:color w:val="000000" w:themeColor="text1"/>
                <w:sz w:val="28"/>
                <w:szCs w:val="28"/>
              </w:rPr>
            </w:pPr>
          </w:p>
        </w:tc>
        <w:tc>
          <w:tcPr>
            <w:tcW w:w="2019" w:type="pct"/>
          </w:tcPr>
          <w:p w:rsidR="001604C2" w:rsidRPr="00683EE3" w:rsidRDefault="001604C2" w:rsidP="001604C2">
            <w:pPr>
              <w:pStyle w:val="0-"/>
            </w:pPr>
            <w:r w:rsidRPr="00683EE3">
              <w:rPr>
                <w:rFonts w:hint="eastAsia"/>
              </w:rPr>
              <w:t>行政院函，為修正「行政院國家科學技術發展基金收支保管及運用辦法」部分條文，請查照案。</w:t>
            </w:r>
          </w:p>
        </w:tc>
        <w:tc>
          <w:tcPr>
            <w:tcW w:w="897" w:type="pct"/>
          </w:tcPr>
          <w:p w:rsidR="001604C2" w:rsidRPr="00683EE3" w:rsidRDefault="001604C2" w:rsidP="001604C2">
            <w:pPr>
              <w:pStyle w:val="0-"/>
            </w:pPr>
            <w:r w:rsidRPr="00683EE3">
              <w:t>10-6-9</w:t>
            </w:r>
          </w:p>
          <w:p w:rsidR="001604C2" w:rsidRPr="00683EE3" w:rsidRDefault="001604C2" w:rsidP="001604C2">
            <w:pPr>
              <w:pStyle w:val="0-"/>
            </w:pPr>
            <w:r w:rsidRPr="00683EE3">
              <w:t>(111.11.25)</w:t>
            </w:r>
          </w:p>
        </w:tc>
        <w:tc>
          <w:tcPr>
            <w:tcW w:w="523" w:type="pct"/>
          </w:tcPr>
          <w:p w:rsidR="001604C2" w:rsidRPr="00683EE3" w:rsidRDefault="001604C2" w:rsidP="001604C2">
            <w:pPr>
              <w:rPr>
                <w:rFonts w:ascii="標楷體" w:eastAsia="標楷體" w:hAnsi="標楷體"/>
                <w:color w:val="000000"/>
                <w:sz w:val="28"/>
              </w:rPr>
            </w:pPr>
          </w:p>
        </w:tc>
        <w:tc>
          <w:tcPr>
            <w:tcW w:w="1247" w:type="pct"/>
          </w:tcPr>
          <w:p w:rsidR="001604C2" w:rsidRPr="00683EE3" w:rsidRDefault="001604C2" w:rsidP="008C2561">
            <w:pPr>
              <w:rPr>
                <w:rFonts w:ascii="標楷體" w:eastAsia="標楷體" w:hAnsi="標楷體"/>
                <w:color w:val="000000"/>
                <w:sz w:val="28"/>
              </w:rPr>
            </w:pPr>
            <w:r w:rsidRPr="00683EE3">
              <w:rPr>
                <w:rFonts w:ascii="標楷體" w:eastAsia="標楷體" w:hAnsi="標楷體" w:hint="eastAsia"/>
                <w:color w:val="000000"/>
                <w:sz w:val="28"/>
              </w:rPr>
              <w:t>尚未審查</w:t>
            </w:r>
          </w:p>
        </w:tc>
      </w:tr>
      <w:tr w:rsidR="00ED71FE" w:rsidRPr="00C51442" w:rsidTr="0071625E">
        <w:trPr>
          <w:trHeight w:val="700"/>
        </w:trPr>
        <w:tc>
          <w:tcPr>
            <w:tcW w:w="314" w:type="pct"/>
            <w:vAlign w:val="center"/>
          </w:tcPr>
          <w:p w:rsidR="00ED71FE" w:rsidRPr="00C51442" w:rsidRDefault="00ED71FE" w:rsidP="00ED71FE">
            <w:pPr>
              <w:numPr>
                <w:ilvl w:val="0"/>
                <w:numId w:val="6"/>
              </w:numPr>
              <w:spacing w:line="400" w:lineRule="exact"/>
              <w:ind w:right="113"/>
              <w:rPr>
                <w:rFonts w:ascii="標楷體" w:eastAsia="標楷體" w:hAnsi="標楷體"/>
                <w:sz w:val="28"/>
                <w:szCs w:val="28"/>
              </w:rPr>
            </w:pPr>
          </w:p>
        </w:tc>
        <w:tc>
          <w:tcPr>
            <w:tcW w:w="2019" w:type="pct"/>
          </w:tcPr>
          <w:p w:rsidR="00ED71FE" w:rsidRPr="00C51442" w:rsidRDefault="00ED71FE" w:rsidP="00ED71FE">
            <w:pPr>
              <w:pStyle w:val="0-"/>
              <w:rPr>
                <w:color w:val="auto"/>
              </w:rPr>
            </w:pPr>
            <w:r w:rsidRPr="00C51442">
              <w:rPr>
                <w:rFonts w:hint="eastAsia"/>
                <w:color w:val="auto"/>
              </w:rPr>
              <w:t>行政院函送「文化發展基金收支保管及運用辦法」，請查照案。</w:t>
            </w:r>
          </w:p>
        </w:tc>
        <w:tc>
          <w:tcPr>
            <w:tcW w:w="897" w:type="pct"/>
          </w:tcPr>
          <w:p w:rsidR="00ED71FE" w:rsidRPr="00C51442" w:rsidRDefault="00ED71FE" w:rsidP="00ED71FE">
            <w:pPr>
              <w:pStyle w:val="0-"/>
              <w:rPr>
                <w:color w:val="auto"/>
              </w:rPr>
            </w:pPr>
            <w:r w:rsidRPr="00C51442">
              <w:rPr>
                <w:color w:val="auto"/>
              </w:rPr>
              <w:t>10-6-</w:t>
            </w:r>
            <w:r w:rsidRPr="00C51442">
              <w:rPr>
                <w:rFonts w:hint="eastAsia"/>
                <w:color w:val="auto"/>
              </w:rPr>
              <w:t>15</w:t>
            </w:r>
          </w:p>
          <w:p w:rsidR="00ED71FE" w:rsidRPr="00C51442" w:rsidRDefault="00ED71FE" w:rsidP="00ED71FE">
            <w:pPr>
              <w:pStyle w:val="0-"/>
              <w:rPr>
                <w:color w:val="auto"/>
              </w:rPr>
            </w:pPr>
            <w:r w:rsidRPr="00C51442">
              <w:rPr>
                <w:color w:val="auto"/>
              </w:rPr>
              <w:t>(11</w:t>
            </w:r>
            <w:r w:rsidRPr="00C51442">
              <w:rPr>
                <w:rFonts w:hint="eastAsia"/>
                <w:color w:val="auto"/>
              </w:rPr>
              <w:t>2</w:t>
            </w:r>
            <w:r w:rsidRPr="00C51442">
              <w:rPr>
                <w:color w:val="auto"/>
              </w:rPr>
              <w:t>.1.</w:t>
            </w:r>
            <w:r w:rsidRPr="00C51442">
              <w:rPr>
                <w:rFonts w:hint="eastAsia"/>
                <w:color w:val="auto"/>
              </w:rPr>
              <w:t>9</w:t>
            </w:r>
            <w:r w:rsidRPr="00C51442">
              <w:rPr>
                <w:color w:val="auto"/>
              </w:rPr>
              <w:t>)</w:t>
            </w:r>
          </w:p>
        </w:tc>
        <w:tc>
          <w:tcPr>
            <w:tcW w:w="523" w:type="pct"/>
          </w:tcPr>
          <w:p w:rsidR="00ED71FE" w:rsidRPr="00C51442" w:rsidRDefault="00ED71FE" w:rsidP="00ED71FE">
            <w:pPr>
              <w:rPr>
                <w:rFonts w:ascii="標楷體" w:eastAsia="標楷體" w:hAnsi="標楷體"/>
                <w:sz w:val="28"/>
              </w:rPr>
            </w:pPr>
          </w:p>
        </w:tc>
        <w:tc>
          <w:tcPr>
            <w:tcW w:w="1247" w:type="pct"/>
          </w:tcPr>
          <w:p w:rsidR="00ED71FE" w:rsidRPr="00C51442" w:rsidRDefault="00ED71FE" w:rsidP="00ED71FE">
            <w:pPr>
              <w:rPr>
                <w:rFonts w:ascii="標楷體" w:eastAsia="標楷體" w:hAnsi="標楷體"/>
                <w:sz w:val="28"/>
              </w:rPr>
            </w:pPr>
            <w:r w:rsidRPr="00C51442">
              <w:rPr>
                <w:rFonts w:ascii="標楷體" w:eastAsia="標楷體" w:hAnsi="標楷體" w:hint="eastAsia"/>
                <w:sz w:val="28"/>
              </w:rPr>
              <w:t>尚未審查</w:t>
            </w:r>
          </w:p>
        </w:tc>
      </w:tr>
    </w:tbl>
    <w:p w:rsidR="00FB0608" w:rsidRPr="00920597" w:rsidRDefault="00FB0608" w:rsidP="00FB0608">
      <w:pPr>
        <w:snapToGrid w:val="0"/>
        <w:spacing w:before="120" w:afterLines="50" w:after="180" w:line="240" w:lineRule="atLeast"/>
        <w:rPr>
          <w:rFonts w:ascii="標楷體" w:eastAsia="標楷體" w:hAnsi="標楷體"/>
          <w:color w:val="000000" w:themeColor="text1"/>
        </w:rPr>
      </w:pPr>
    </w:p>
    <w:p w:rsidR="00FB0608" w:rsidRPr="00920597" w:rsidRDefault="00FB0608" w:rsidP="00A00101">
      <w:pPr>
        <w:pStyle w:val="01-21"/>
        <w:rPr>
          <w:color w:val="000000" w:themeColor="text1"/>
        </w:rPr>
      </w:pPr>
      <w:r w:rsidRPr="00920597">
        <w:rPr>
          <w:color w:val="000000" w:themeColor="text1"/>
        </w:rPr>
        <w:br w:type="page"/>
      </w:r>
      <w:bookmarkStart w:id="137" w:name="_Toc126068169"/>
      <w:r w:rsidRPr="00920597">
        <w:rPr>
          <w:rFonts w:hint="eastAsia"/>
          <w:color w:val="000000" w:themeColor="text1"/>
        </w:rPr>
        <w:lastRenderedPageBreak/>
        <w:t>四、</w:t>
      </w:r>
      <w:bookmarkStart w:id="138" w:name="其他議案"/>
      <w:bookmarkEnd w:id="138"/>
      <w:r w:rsidRPr="00920597">
        <w:rPr>
          <w:rFonts w:hint="eastAsia"/>
          <w:color w:val="000000" w:themeColor="text1"/>
        </w:rPr>
        <w:t>其他議案（</w:t>
      </w:r>
      <w:r w:rsidR="00287897">
        <w:rPr>
          <w:color w:val="000000" w:themeColor="text1"/>
        </w:rPr>
        <w:t>55</w:t>
      </w:r>
      <w:r w:rsidR="00ED71FE">
        <w:rPr>
          <w:rFonts w:hint="eastAsia"/>
          <w:color w:val="000000" w:themeColor="text1"/>
        </w:rPr>
        <w:t>9</w:t>
      </w:r>
      <w:r w:rsidRPr="00920597">
        <w:rPr>
          <w:rFonts w:hint="eastAsia"/>
          <w:color w:val="000000" w:themeColor="text1"/>
        </w:rPr>
        <w:t>案）</w:t>
      </w:r>
      <w:bookmarkEnd w:id="137"/>
    </w:p>
    <w:tbl>
      <w:tblPr>
        <w:tblW w:w="50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599"/>
        <w:gridCol w:w="3847"/>
        <w:gridCol w:w="1709"/>
        <w:gridCol w:w="997"/>
        <w:gridCol w:w="2376"/>
      </w:tblGrid>
      <w:tr w:rsidR="00FB0608" w:rsidRPr="00920597" w:rsidTr="00FB0608">
        <w:trPr>
          <w:trHeight w:val="700"/>
        </w:trPr>
        <w:tc>
          <w:tcPr>
            <w:tcW w:w="314" w:type="pct"/>
            <w:vAlign w:val="center"/>
          </w:tcPr>
          <w:p w:rsidR="00FB0608" w:rsidRPr="00920597" w:rsidRDefault="00FB0608" w:rsidP="00DF4FDE">
            <w:pPr>
              <w:spacing w:line="400" w:lineRule="exact"/>
              <w:jc w:val="center"/>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2019" w:type="pct"/>
            <w:vAlign w:val="center"/>
          </w:tcPr>
          <w:p w:rsidR="00FB0608" w:rsidRPr="00920597" w:rsidRDefault="00FB0608" w:rsidP="00096156">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97" w:type="pct"/>
            <w:vAlign w:val="center"/>
          </w:tcPr>
          <w:p w:rsidR="00FB0608" w:rsidRPr="00920597" w:rsidRDefault="00FB0608" w:rsidP="00096156">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院會交付</w:t>
            </w:r>
          </w:p>
          <w:p w:rsidR="00FB0608" w:rsidRPr="00920597" w:rsidRDefault="00FB0608" w:rsidP="00096156">
            <w:pPr>
              <w:spacing w:line="400" w:lineRule="exact"/>
              <w:ind w:leftChars="-36" w:left="1" w:hangingChars="31" w:hanging="87"/>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523" w:type="pct"/>
            <w:vAlign w:val="center"/>
          </w:tcPr>
          <w:p w:rsidR="00FB0608" w:rsidRPr="00920597" w:rsidRDefault="00FB0608" w:rsidP="00096156">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聯席</w:t>
            </w:r>
          </w:p>
          <w:p w:rsidR="00FB0608" w:rsidRPr="00920597" w:rsidRDefault="00FB0608" w:rsidP="00096156">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w:t>
            </w:r>
          </w:p>
        </w:tc>
        <w:tc>
          <w:tcPr>
            <w:tcW w:w="1247" w:type="pct"/>
            <w:vAlign w:val="center"/>
          </w:tcPr>
          <w:p w:rsidR="00FB0608" w:rsidRPr="00920597" w:rsidRDefault="00FB0608" w:rsidP="00096156">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處理情形</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科技部函，為110年度中央政府總預算決議，檢送該部決議（二十八）如何吸引培育科技人才專案報告，請安排報告，請查照案。</w:t>
            </w:r>
          </w:p>
        </w:tc>
        <w:tc>
          <w:tcPr>
            <w:tcW w:w="897" w:type="pct"/>
          </w:tcPr>
          <w:p w:rsidR="00287897" w:rsidRPr="00965205" w:rsidRDefault="00287897" w:rsidP="00287897">
            <w:pPr>
              <w:pStyle w:val="0-"/>
            </w:pPr>
            <w:r w:rsidRPr="00965205">
              <w:t>10-3-7</w:t>
            </w:r>
          </w:p>
          <w:p w:rsidR="00287897" w:rsidRPr="00965205" w:rsidRDefault="00287897" w:rsidP="00287897">
            <w:pPr>
              <w:pStyle w:val="0-"/>
            </w:pPr>
            <w:r w:rsidRPr="00965205">
              <w:t>(110.4.9)</w:t>
            </w:r>
          </w:p>
          <w:p w:rsidR="00287897" w:rsidRPr="00965205" w:rsidRDefault="00287897" w:rsidP="00287897">
            <w:pPr>
              <w:pStyle w:val="0-"/>
            </w:pPr>
          </w:p>
        </w:tc>
        <w:tc>
          <w:tcPr>
            <w:tcW w:w="523" w:type="pct"/>
          </w:tcPr>
          <w:p w:rsidR="00287897" w:rsidRPr="00965205" w:rsidRDefault="00287897" w:rsidP="00287897">
            <w:pPr>
              <w:rPr>
                <w:rFonts w:ascii="標楷體" w:eastAsia="標楷體" w:hAnsi="標楷體"/>
                <w:color w:val="000000"/>
                <w:sz w:val="28"/>
              </w:rPr>
            </w:pPr>
          </w:p>
        </w:tc>
        <w:tc>
          <w:tcPr>
            <w:tcW w:w="1247" w:type="pct"/>
          </w:tcPr>
          <w:p w:rsidR="00287897" w:rsidRPr="00965205" w:rsidRDefault="00287897" w:rsidP="008C2561">
            <w:pPr>
              <w:rPr>
                <w:rFonts w:ascii="標楷體" w:eastAsia="標楷體" w:hAnsi="標楷體"/>
                <w:color w:val="000000"/>
                <w:sz w:val="28"/>
              </w:rPr>
            </w:pPr>
            <w:r w:rsidRPr="00965205">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964FE">
            <w:pPr>
              <w:pStyle w:val="0-"/>
            </w:pPr>
            <w:r w:rsidRPr="002964FE">
              <w:rPr>
                <w:rFonts w:hint="eastAsia"/>
              </w:rPr>
              <w:t>國立故宮博物院函，為110年度中央政府總預算決議，檢送決議（四十七）提升南部院區購票人數專案報告，請查照案。</w:t>
            </w:r>
          </w:p>
        </w:tc>
        <w:tc>
          <w:tcPr>
            <w:tcW w:w="897" w:type="pct"/>
          </w:tcPr>
          <w:p w:rsidR="00287897" w:rsidRPr="00A26548" w:rsidRDefault="00287897" w:rsidP="00287897">
            <w:pPr>
              <w:pStyle w:val="0-"/>
            </w:pPr>
            <w:r w:rsidRPr="00A26548">
              <w:t>10-3-9 (110.4.23)</w:t>
            </w:r>
          </w:p>
          <w:p w:rsidR="00287897" w:rsidRPr="00A26548" w:rsidRDefault="00287897" w:rsidP="00287897">
            <w:pPr>
              <w:pStyle w:val="0-"/>
            </w:pPr>
          </w:p>
        </w:tc>
        <w:tc>
          <w:tcPr>
            <w:tcW w:w="523" w:type="pct"/>
          </w:tcPr>
          <w:p w:rsidR="00287897" w:rsidRPr="00A26548" w:rsidRDefault="00287897" w:rsidP="00287897">
            <w:pPr>
              <w:rPr>
                <w:rFonts w:ascii="標楷體" w:eastAsia="標楷體" w:hAnsi="標楷體"/>
                <w:color w:val="000000"/>
                <w:sz w:val="28"/>
              </w:rPr>
            </w:pPr>
          </w:p>
        </w:tc>
        <w:tc>
          <w:tcPr>
            <w:tcW w:w="1247" w:type="pct"/>
          </w:tcPr>
          <w:p w:rsidR="00287897" w:rsidRPr="00A26548" w:rsidRDefault="00287897" w:rsidP="008C2561">
            <w:pPr>
              <w:rPr>
                <w:rFonts w:ascii="標楷體" w:eastAsia="標楷體" w:hAnsi="標楷體"/>
                <w:color w:val="000000"/>
                <w:sz w:val="28"/>
              </w:rPr>
            </w:pPr>
            <w:r w:rsidRPr="00A26548">
              <w:rPr>
                <w:rFonts w:ascii="標楷體" w:eastAsia="標楷體" w:hAnsi="標楷體" w:hint="eastAsia"/>
                <w:color w:val="000000"/>
                <w:sz w:val="28"/>
              </w:rPr>
              <w:t>尚未處理</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文化部函送110年1月該部接受外界捐贈款明細表，請查照案。</w:t>
            </w:r>
          </w:p>
        </w:tc>
        <w:tc>
          <w:tcPr>
            <w:tcW w:w="897" w:type="pct"/>
          </w:tcPr>
          <w:p w:rsidR="00287897" w:rsidRPr="0095091D" w:rsidRDefault="00287897" w:rsidP="00287897">
            <w:pPr>
              <w:pStyle w:val="0-"/>
            </w:pPr>
            <w:r w:rsidRPr="00000C7D">
              <w:t>10-3-</w:t>
            </w:r>
            <w:r w:rsidRPr="00000C7D">
              <w:rPr>
                <w:rFonts w:hint="eastAsia"/>
              </w:rPr>
              <w:t>1</w:t>
            </w:r>
            <w:r w:rsidRPr="00000C7D">
              <w:t>0 (110.4.30)</w:t>
            </w:r>
          </w:p>
        </w:tc>
        <w:tc>
          <w:tcPr>
            <w:tcW w:w="523" w:type="pct"/>
          </w:tcPr>
          <w:p w:rsidR="00287897" w:rsidRPr="00000C7D" w:rsidRDefault="00287897" w:rsidP="00287897">
            <w:pPr>
              <w:rPr>
                <w:rFonts w:ascii="標楷體" w:eastAsia="標楷體" w:hAnsi="標楷體"/>
                <w:color w:val="000000"/>
                <w:sz w:val="28"/>
              </w:rPr>
            </w:pPr>
          </w:p>
        </w:tc>
        <w:tc>
          <w:tcPr>
            <w:tcW w:w="1247" w:type="pct"/>
          </w:tcPr>
          <w:p w:rsidR="00287897" w:rsidRPr="00000C7D" w:rsidRDefault="00287897" w:rsidP="008C2561">
            <w:pPr>
              <w:rPr>
                <w:rFonts w:ascii="標楷體" w:eastAsia="標楷體" w:hAnsi="標楷體"/>
                <w:color w:val="000000"/>
                <w:sz w:val="28"/>
              </w:rPr>
            </w:pPr>
            <w:r w:rsidRPr="00000C7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科技部函，為110年度中央政府總預算決議，檢送擴大合作共組新國家隊書面報告，請查照案。</w:t>
            </w:r>
          </w:p>
        </w:tc>
        <w:tc>
          <w:tcPr>
            <w:tcW w:w="897" w:type="pct"/>
          </w:tcPr>
          <w:p w:rsidR="00287897" w:rsidRPr="00000C7D" w:rsidRDefault="00287897" w:rsidP="00287897">
            <w:pPr>
              <w:pStyle w:val="0-"/>
            </w:pPr>
            <w:r w:rsidRPr="00000C7D">
              <w:t>10-3-</w:t>
            </w:r>
            <w:r w:rsidRPr="00000C7D">
              <w:rPr>
                <w:rFonts w:hint="eastAsia"/>
              </w:rPr>
              <w:t>1</w:t>
            </w:r>
            <w:r w:rsidRPr="00000C7D">
              <w:t>0 (110.4.30)</w:t>
            </w:r>
          </w:p>
          <w:p w:rsidR="00287897" w:rsidRPr="00000C7D" w:rsidRDefault="00287897" w:rsidP="00287897">
            <w:pPr>
              <w:pStyle w:val="0-"/>
            </w:pPr>
          </w:p>
        </w:tc>
        <w:tc>
          <w:tcPr>
            <w:tcW w:w="523" w:type="pct"/>
          </w:tcPr>
          <w:p w:rsidR="00287897" w:rsidRPr="00000C7D" w:rsidRDefault="00287897" w:rsidP="00287897">
            <w:pPr>
              <w:rPr>
                <w:rFonts w:ascii="標楷體" w:eastAsia="標楷體" w:hAnsi="標楷體"/>
                <w:color w:val="000000"/>
                <w:sz w:val="28"/>
              </w:rPr>
            </w:pPr>
          </w:p>
        </w:tc>
        <w:tc>
          <w:tcPr>
            <w:tcW w:w="1247" w:type="pct"/>
          </w:tcPr>
          <w:p w:rsidR="00287897" w:rsidRPr="00000C7D" w:rsidRDefault="00287897" w:rsidP="008C2561">
            <w:pPr>
              <w:rPr>
                <w:rFonts w:ascii="標楷體" w:eastAsia="標楷體" w:hAnsi="標楷體"/>
                <w:color w:val="000000"/>
                <w:sz w:val="28"/>
              </w:rPr>
            </w:pPr>
            <w:r w:rsidRPr="00000C7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中央研究院函，為110年度中央政府總預算決議，檢送啟動院區建築發展學術研究書面報告，請查照案。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中央研究院函，為110年度中央政府總預算決議，檢送增進院內研究人員誠信涵養書面報告，請查照案。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中央研究院函，為110年度中央政府總預算決議，檢送研議加入科技部「臺灣科普環島列車」書面報告，請查照案。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中央研究院函，為110年度中央政府總預算決議，檢送國內</w:t>
            </w:r>
            <w:r w:rsidRPr="002964FE">
              <w:rPr>
                <w:rFonts w:hint="eastAsia"/>
              </w:rPr>
              <w:lastRenderedPageBreak/>
              <w:t>旅費執行情況未盡理想書面報告，請查照案。</w:t>
            </w:r>
          </w:p>
        </w:tc>
        <w:tc>
          <w:tcPr>
            <w:tcW w:w="897" w:type="pct"/>
          </w:tcPr>
          <w:p w:rsidR="00287897" w:rsidRPr="00E62CD3" w:rsidRDefault="00287897" w:rsidP="00287897">
            <w:pPr>
              <w:pStyle w:val="0-"/>
            </w:pPr>
            <w:r w:rsidRPr="00E62CD3">
              <w:lastRenderedPageBreak/>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中央研究院函，為110年度中央政府總預算決議，檢送啟動院區再生評估規劃書面報告，請查照案。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中央研究院函，為110年度中央政府總預算決議，檢送「COVID-19合作平台」以長期觀點與核能研究所展開合作書面報告，請查照案。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中央研究院函，為110年度中央政府總預算決議，檢送超前部署第四屆台灣研究世界大會書面報告，請查照案。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中央研究院函，為110年度中央政府總預算決議，檢送國家生技研究園區興建工程逾期違約書面報告，請查照案。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中央研究院函，為110年度中央政府總預算決議，檢送強化量子科技人才培育與留才攬才書面報告，請查照案。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中央研究院函，為110年度中央政府總預算決議，檢送南部院區工程執行進度書面報告，請查照案。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中央研究院函，為110年度中央政府總預算決議，檢送量子科技領域定期檢討相關方案書面報告，請查照案。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中央研究院函，為110年度中央政府總預算決議，檢送國內旅費執行率偏低書面報告，請查照案。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中央研究院函，為110年度中央政府總預算決議，檢送優先採購國產設備書面報告，請查照案。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中央研究院函，為110年度中央政府總預算決議，檢送「數理科學研究－物理研究－雜項設備費」預算增加書面報告，請查照案。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中央研究院函，為110年度中央政府總預算決議，檢送院區道路取消減速帶書面報告，請查照案。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中央研究院函，為110年度中央政府總預算決議，檢送積極改善獨居退休學者照護書面報告，請查照案。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中央研究院函，為110年度中央政府總預算決議，檢送生醫轉譯研究中心經費使用狀況書面報告，請查照案。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中央研究院函，為110年度中央政府總預算決議，檢送「人文社會科學研究－民族學研究」業務費書面報告，請查照案。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中央研究院函，為110年度中央政府總預算決議，檢送「人文社會科學研究－民族學研究－雜項設備費」預算編列書面報告，請查照案。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中央研究院函，為110年度中央政府總預算決議，檢送法律學研究之雜項設備費預算編列書面報告，請查照案。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中央研究院函，為110年度中央政府總預算決議，檢送國家生技研究園區核心設施經費編列書面報告，請查照案。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中央研究院函，為110年度中央政府總預算決議，檢送國家生技研究園區管理架構及規範不清書面報告，請查照案。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教育部函，為110年度中央政府總預算決議，檢送「高級中等教育階段學生學習歷程檔案上傳資料及相關系統規劃」書面報告，請查照案。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D617A6">
        <w:trPr>
          <w:trHeight w:val="428"/>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教育部函，為110年度中央政府總預算決議，檢送「辦理青年公共參與業務」書面報告，請查照案。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教育部函，為110年度中央政府總預算決議，檢送大專校院因疫情衝擊影響財務減損因應政策書面報告，請查照案。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教育部函，為110年度中央政府總預算決議，檢送「招收境外學生來臺策略及新南向人才培育計畫執行成果」書面報告，請查照案。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教育部函，為110年度中央政府總預算決議，檢送「足球6年計畫執行改善」書面報告，請查照案。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教育部函，為110年度中央政府總預算決議，檢送「校園毒品防制現況與策進作為」書面報告，請查照案。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教育部函，為110年度中央政府總預算決議，檢送「高爾夫球場娛樂稅收專款專用於高爾夫六年振興計畫」書面報告，請查照案。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教育部函，為110年度中央政府總預算決議，檢送特定體育團體決算及財務報表未於規定期限內備查書面報告，請查照案。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教育部函，為110年度中央政府總預算決議，檢送「體育運動文化數位典藏網站、體育運動贊助資料庫媒合平台之網站修復及平台整合」書面報告，請查照案。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教育部函，為110年度中央政府總預算決議，檢送「高級中等學校專任教師員額配置基準檢討」書面報告，請查照案。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文化部函，為110年度中央政府總預算決議，檢送推動臺灣文化路徑書面報告，請查照案。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科技部函，為110年度中央政府總預算決議，檢送「健康大數據永續平台優先採用本土企業之技術與服務之可行性規劃」書面報告，請查照案。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科技部函，為110年度中央政府總預算決議，檢送5G/B5G無線通訊網路技術研發計畫人才培育情形書面報告，請查照案。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科技部函，為110年度中央政府總預算決議，檢送「二林園區改善計畫」書面報告，請查照案。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科技部函，為110年度中央政府總預算決議，檢送「宜蘭園區招商檢討改善計畫」書面報告，請查照案。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行政院原子能委員會函，為110年度中央政府總預算決議，檢送該會決議（六）書面報告，請查照案。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行政院原子能委員會函，為110年度中央政府總預算決議，檢送該會決議（七）書面報告，請查照案。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行政院原子能委員會函，為110年度中央政府總預算決議，檢送該會決議（十二）書面報告，請查照案。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行政院原子能委員會函，為110年度中央政府總預算決議，檢送該會決議（十六）書面報告，請查照案。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行政院原子能委員會函，為110年度中央政府總預算決議，檢送該會決議（十七）書面報告，請查照案。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行政院原子能委員會函，為110年度中央政府總預算決議，檢送該會決議（十八）書面報告，請查照案。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行政院原子能委員會函，為110年度中央政府總預算決議，檢送該會決議（十九）書</w:t>
            </w:r>
            <w:r w:rsidRPr="002964FE">
              <w:rPr>
                <w:rFonts w:hint="eastAsia"/>
              </w:rPr>
              <w:lastRenderedPageBreak/>
              <w:t>面報告，請查照案。</w:t>
            </w:r>
          </w:p>
        </w:tc>
        <w:tc>
          <w:tcPr>
            <w:tcW w:w="897" w:type="pct"/>
          </w:tcPr>
          <w:p w:rsidR="00287897" w:rsidRPr="00E62CD3" w:rsidRDefault="00287897" w:rsidP="00287897">
            <w:pPr>
              <w:pStyle w:val="0-"/>
            </w:pPr>
            <w:r w:rsidRPr="00E62CD3">
              <w:lastRenderedPageBreak/>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行政院原子能委員會函，為110年度中央政府總預算決議，檢送該會決議（二十二）書面報告，請查照案。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行政院原子能委員會函，為110年度中央政府總預算決議，檢送該會決議（二十三）書面報告，請查照案。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行政院原子能委員會函，為110年度中央政府總預算決議，檢送該會決議（二十五）書面報告，請查照案。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行政院原子能委員會函，為110年度中央政府總預算決議，檢送該會決議（二十九）書面報告，請查照案。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行政院原子能委員會函，為110年度中央政府總預算決議，檢送該會決議（三十一）書面報告，請查照案。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國立故宮博物院函，為110年度中央政府總預算決議，檢送決議（十）如何增加權利金收入書面報告，請查照案。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教育部函，為110年度中央政府總預算決議，檢送「雙語教育師資培育（含偏鄉地區）及相關配套」報告，請查照案。</w:t>
            </w:r>
          </w:p>
        </w:tc>
        <w:tc>
          <w:tcPr>
            <w:tcW w:w="897" w:type="pct"/>
          </w:tcPr>
          <w:p w:rsidR="00287897" w:rsidRPr="00E62CD3" w:rsidRDefault="00287897" w:rsidP="00287897">
            <w:pPr>
              <w:pStyle w:val="0-"/>
            </w:pPr>
            <w:r w:rsidRPr="00E62CD3">
              <w:t>10-3-11</w:t>
            </w:r>
          </w:p>
          <w:p w:rsidR="00287897" w:rsidRPr="00E62CD3" w:rsidRDefault="00287897" w:rsidP="00287897">
            <w:pPr>
              <w:pStyle w:val="0-"/>
            </w:pPr>
            <w:r w:rsidRPr="00E62CD3">
              <w:t>(110.5.7)</w:t>
            </w:r>
          </w:p>
        </w:tc>
        <w:tc>
          <w:tcPr>
            <w:tcW w:w="523" w:type="pct"/>
          </w:tcPr>
          <w:p w:rsidR="00287897" w:rsidRPr="00E62CD3" w:rsidRDefault="00287897" w:rsidP="00287897">
            <w:pPr>
              <w:rPr>
                <w:rFonts w:ascii="標楷體" w:eastAsia="標楷體" w:hAnsi="標楷體"/>
                <w:color w:val="000000"/>
                <w:sz w:val="28"/>
              </w:rPr>
            </w:pPr>
          </w:p>
        </w:tc>
        <w:tc>
          <w:tcPr>
            <w:tcW w:w="1247" w:type="pct"/>
          </w:tcPr>
          <w:p w:rsidR="00287897" w:rsidRPr="00E62CD3" w:rsidRDefault="00287897" w:rsidP="008C2561">
            <w:pPr>
              <w:rPr>
                <w:rFonts w:ascii="標楷體" w:eastAsia="標楷體" w:hAnsi="標楷體"/>
                <w:color w:val="000000"/>
                <w:sz w:val="28"/>
              </w:rPr>
            </w:pPr>
            <w:r w:rsidRPr="00E62CD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文化部函送110年1─2月接受外界捐贈款明細表，請查照案。</w:t>
            </w:r>
          </w:p>
        </w:tc>
        <w:tc>
          <w:tcPr>
            <w:tcW w:w="897" w:type="pct"/>
          </w:tcPr>
          <w:p w:rsidR="00287897" w:rsidRPr="001B7EC0" w:rsidRDefault="00287897" w:rsidP="00287897">
            <w:pPr>
              <w:pStyle w:val="0-"/>
            </w:pPr>
            <w:r w:rsidRPr="001B7EC0">
              <w:t>10-3-12</w:t>
            </w:r>
          </w:p>
          <w:p w:rsidR="00287897" w:rsidRPr="001B7EC0" w:rsidRDefault="00287897" w:rsidP="00287897">
            <w:pPr>
              <w:pStyle w:val="0-"/>
            </w:pPr>
            <w:r w:rsidRPr="001B7EC0">
              <w:t>(110.5.14)</w:t>
            </w:r>
          </w:p>
        </w:tc>
        <w:tc>
          <w:tcPr>
            <w:tcW w:w="523" w:type="pct"/>
          </w:tcPr>
          <w:p w:rsidR="00287897" w:rsidRPr="001B7EC0" w:rsidRDefault="00287897" w:rsidP="00287897">
            <w:pPr>
              <w:rPr>
                <w:rFonts w:ascii="標楷體" w:eastAsia="標楷體" w:hAnsi="標楷體"/>
                <w:color w:val="000000"/>
                <w:sz w:val="28"/>
              </w:rPr>
            </w:pPr>
          </w:p>
        </w:tc>
        <w:tc>
          <w:tcPr>
            <w:tcW w:w="1247" w:type="pct"/>
          </w:tcPr>
          <w:p w:rsidR="00287897" w:rsidRPr="001B7EC0" w:rsidRDefault="00287897" w:rsidP="008C2561">
            <w:pPr>
              <w:rPr>
                <w:rFonts w:ascii="標楷體" w:eastAsia="標楷體" w:hAnsi="標楷體"/>
                <w:color w:val="000000"/>
                <w:sz w:val="28"/>
              </w:rPr>
            </w:pPr>
            <w:r w:rsidRPr="001B7EC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國立故宮博物院函送110年第1季補（捐）助明細表，請查照</w:t>
            </w:r>
            <w:r w:rsidRPr="002964FE">
              <w:rPr>
                <w:rFonts w:hint="eastAsia"/>
              </w:rPr>
              <w:lastRenderedPageBreak/>
              <w:t>案。</w:t>
            </w:r>
          </w:p>
        </w:tc>
        <w:tc>
          <w:tcPr>
            <w:tcW w:w="897" w:type="pct"/>
          </w:tcPr>
          <w:p w:rsidR="00287897" w:rsidRPr="001B7EC0" w:rsidRDefault="00287897" w:rsidP="00287897">
            <w:pPr>
              <w:pStyle w:val="0-"/>
            </w:pPr>
            <w:r w:rsidRPr="001B7EC0">
              <w:lastRenderedPageBreak/>
              <w:t>10-3-12</w:t>
            </w:r>
          </w:p>
          <w:p w:rsidR="00287897" w:rsidRPr="001B7EC0" w:rsidRDefault="00287897" w:rsidP="00287897">
            <w:pPr>
              <w:pStyle w:val="0-"/>
            </w:pPr>
            <w:r w:rsidRPr="001B7EC0">
              <w:t>(110.5.14)</w:t>
            </w:r>
          </w:p>
        </w:tc>
        <w:tc>
          <w:tcPr>
            <w:tcW w:w="523" w:type="pct"/>
          </w:tcPr>
          <w:p w:rsidR="00287897" w:rsidRPr="001B7EC0" w:rsidRDefault="00287897" w:rsidP="00287897">
            <w:pPr>
              <w:rPr>
                <w:rFonts w:ascii="標楷體" w:eastAsia="標楷體" w:hAnsi="標楷體"/>
                <w:color w:val="000000"/>
                <w:sz w:val="28"/>
              </w:rPr>
            </w:pPr>
          </w:p>
        </w:tc>
        <w:tc>
          <w:tcPr>
            <w:tcW w:w="1247" w:type="pct"/>
          </w:tcPr>
          <w:p w:rsidR="00287897" w:rsidRPr="001B7EC0" w:rsidRDefault="00287897" w:rsidP="008C2561">
            <w:pPr>
              <w:rPr>
                <w:rFonts w:ascii="標楷體" w:eastAsia="標楷體" w:hAnsi="標楷體"/>
                <w:color w:val="000000"/>
                <w:sz w:val="28"/>
              </w:rPr>
            </w:pPr>
            <w:r w:rsidRPr="001B7EC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教育部函，為110年度中央政府總預算決議，檢送「私立高級中等以上學校退場機制之具體方案」書面報告，請查照案。</w:t>
            </w:r>
          </w:p>
        </w:tc>
        <w:tc>
          <w:tcPr>
            <w:tcW w:w="897" w:type="pct"/>
          </w:tcPr>
          <w:p w:rsidR="00287897" w:rsidRPr="001B7EC0" w:rsidRDefault="00287897" w:rsidP="00287897">
            <w:pPr>
              <w:pStyle w:val="0-"/>
            </w:pPr>
            <w:r w:rsidRPr="001B7EC0">
              <w:t>10-3-12</w:t>
            </w:r>
          </w:p>
          <w:p w:rsidR="00287897" w:rsidRPr="001B7EC0" w:rsidRDefault="00287897" w:rsidP="00287897">
            <w:pPr>
              <w:pStyle w:val="0-"/>
            </w:pPr>
            <w:r w:rsidRPr="001B7EC0">
              <w:t>(110.5.14)</w:t>
            </w:r>
          </w:p>
        </w:tc>
        <w:tc>
          <w:tcPr>
            <w:tcW w:w="523" w:type="pct"/>
          </w:tcPr>
          <w:p w:rsidR="00287897" w:rsidRPr="001B7EC0" w:rsidRDefault="00287897" w:rsidP="00287897">
            <w:pPr>
              <w:rPr>
                <w:rFonts w:ascii="標楷體" w:eastAsia="標楷體" w:hAnsi="標楷體"/>
                <w:color w:val="000000"/>
                <w:sz w:val="28"/>
              </w:rPr>
            </w:pPr>
          </w:p>
        </w:tc>
        <w:tc>
          <w:tcPr>
            <w:tcW w:w="1247" w:type="pct"/>
          </w:tcPr>
          <w:p w:rsidR="00287897" w:rsidRPr="001B7EC0" w:rsidRDefault="00287897" w:rsidP="008C2561">
            <w:pPr>
              <w:rPr>
                <w:rFonts w:ascii="標楷體" w:eastAsia="標楷體" w:hAnsi="標楷體"/>
                <w:color w:val="000000"/>
                <w:sz w:val="28"/>
              </w:rPr>
            </w:pPr>
            <w:r w:rsidRPr="001B7EC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教育部函，為110年度中央政府總預算決議，檢送「建置完善校園安全及防制藥物濫用維護作為」書面報告，請查照案。</w:t>
            </w:r>
          </w:p>
        </w:tc>
        <w:tc>
          <w:tcPr>
            <w:tcW w:w="897" w:type="pct"/>
          </w:tcPr>
          <w:p w:rsidR="00287897" w:rsidRPr="001B7EC0" w:rsidRDefault="00287897" w:rsidP="00287897">
            <w:pPr>
              <w:pStyle w:val="0-"/>
            </w:pPr>
            <w:r w:rsidRPr="001B7EC0">
              <w:t>10-3-12</w:t>
            </w:r>
          </w:p>
          <w:p w:rsidR="00287897" w:rsidRPr="001B7EC0" w:rsidRDefault="00287897" w:rsidP="00287897">
            <w:pPr>
              <w:pStyle w:val="0-"/>
            </w:pPr>
            <w:r w:rsidRPr="001B7EC0">
              <w:t>(110.5.14)</w:t>
            </w:r>
          </w:p>
        </w:tc>
        <w:tc>
          <w:tcPr>
            <w:tcW w:w="523" w:type="pct"/>
          </w:tcPr>
          <w:p w:rsidR="00287897" w:rsidRPr="001B7EC0" w:rsidRDefault="00287897" w:rsidP="00287897">
            <w:pPr>
              <w:rPr>
                <w:rFonts w:ascii="標楷體" w:eastAsia="標楷體" w:hAnsi="標楷體"/>
                <w:color w:val="000000"/>
                <w:sz w:val="28"/>
              </w:rPr>
            </w:pPr>
          </w:p>
        </w:tc>
        <w:tc>
          <w:tcPr>
            <w:tcW w:w="1247" w:type="pct"/>
          </w:tcPr>
          <w:p w:rsidR="00287897" w:rsidRPr="001B7EC0" w:rsidRDefault="00287897" w:rsidP="008C2561">
            <w:pPr>
              <w:rPr>
                <w:rFonts w:ascii="標楷體" w:eastAsia="標楷體" w:hAnsi="標楷體"/>
                <w:color w:val="000000"/>
                <w:sz w:val="28"/>
              </w:rPr>
            </w:pPr>
            <w:r w:rsidRPr="001B7EC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教育部函，為110年度中央政府總預算決議，檢送「強化校園安全防護機制」書面報告，請查照案。</w:t>
            </w:r>
          </w:p>
        </w:tc>
        <w:tc>
          <w:tcPr>
            <w:tcW w:w="897" w:type="pct"/>
          </w:tcPr>
          <w:p w:rsidR="00287897" w:rsidRPr="001B7EC0" w:rsidRDefault="00287897" w:rsidP="00287897">
            <w:pPr>
              <w:pStyle w:val="0-"/>
            </w:pPr>
            <w:r w:rsidRPr="001B7EC0">
              <w:t>10-3-12</w:t>
            </w:r>
          </w:p>
          <w:p w:rsidR="00287897" w:rsidRPr="001B7EC0" w:rsidRDefault="00287897" w:rsidP="00287897">
            <w:pPr>
              <w:pStyle w:val="0-"/>
            </w:pPr>
            <w:r w:rsidRPr="001B7EC0">
              <w:t>(110.5.14)</w:t>
            </w:r>
          </w:p>
        </w:tc>
        <w:tc>
          <w:tcPr>
            <w:tcW w:w="523" w:type="pct"/>
          </w:tcPr>
          <w:p w:rsidR="00287897" w:rsidRPr="001B7EC0" w:rsidRDefault="00287897" w:rsidP="00287897">
            <w:pPr>
              <w:rPr>
                <w:rFonts w:ascii="標楷體" w:eastAsia="標楷體" w:hAnsi="標楷體"/>
                <w:color w:val="000000"/>
                <w:sz w:val="28"/>
              </w:rPr>
            </w:pPr>
          </w:p>
        </w:tc>
        <w:tc>
          <w:tcPr>
            <w:tcW w:w="1247" w:type="pct"/>
          </w:tcPr>
          <w:p w:rsidR="00287897" w:rsidRPr="001B7EC0" w:rsidRDefault="00287897" w:rsidP="008C2561">
            <w:pPr>
              <w:rPr>
                <w:rFonts w:ascii="標楷體" w:eastAsia="標楷體" w:hAnsi="標楷體"/>
                <w:color w:val="000000"/>
                <w:sz w:val="28"/>
              </w:rPr>
            </w:pPr>
            <w:r w:rsidRPr="001B7EC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教育部函，為110年度中央政府總預算決議，檢送青年發展署決議(五)「加強青年志工參與計畫改善檢討」書面報告，請查照案。</w:t>
            </w:r>
          </w:p>
        </w:tc>
        <w:tc>
          <w:tcPr>
            <w:tcW w:w="897" w:type="pct"/>
          </w:tcPr>
          <w:p w:rsidR="00287897" w:rsidRPr="001B7EC0" w:rsidRDefault="00287897" w:rsidP="00287897">
            <w:pPr>
              <w:pStyle w:val="0-"/>
            </w:pPr>
            <w:r w:rsidRPr="001B7EC0">
              <w:t>10-3-12</w:t>
            </w:r>
          </w:p>
          <w:p w:rsidR="00287897" w:rsidRPr="001B7EC0" w:rsidRDefault="00287897" w:rsidP="00287897">
            <w:pPr>
              <w:pStyle w:val="0-"/>
            </w:pPr>
            <w:r w:rsidRPr="001B7EC0">
              <w:t>(110.5.14)</w:t>
            </w:r>
          </w:p>
        </w:tc>
        <w:tc>
          <w:tcPr>
            <w:tcW w:w="523" w:type="pct"/>
          </w:tcPr>
          <w:p w:rsidR="00287897" w:rsidRPr="001B7EC0" w:rsidRDefault="00287897" w:rsidP="00287897">
            <w:pPr>
              <w:rPr>
                <w:rFonts w:ascii="標楷體" w:eastAsia="標楷體" w:hAnsi="標楷體"/>
                <w:color w:val="000000"/>
                <w:sz w:val="28"/>
              </w:rPr>
            </w:pPr>
          </w:p>
        </w:tc>
        <w:tc>
          <w:tcPr>
            <w:tcW w:w="1247" w:type="pct"/>
          </w:tcPr>
          <w:p w:rsidR="00287897" w:rsidRPr="001B7EC0" w:rsidRDefault="00287897" w:rsidP="008C2561">
            <w:pPr>
              <w:rPr>
                <w:rFonts w:ascii="標楷體" w:eastAsia="標楷體" w:hAnsi="標楷體"/>
                <w:color w:val="000000"/>
                <w:sz w:val="28"/>
              </w:rPr>
            </w:pPr>
            <w:r w:rsidRPr="001B7EC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教育部函，為110年度中央政府總預算決議，檢送青年發展署決議(九)「加強青年志工參與計畫改善檢討」書面報告，請查照案。</w:t>
            </w:r>
          </w:p>
        </w:tc>
        <w:tc>
          <w:tcPr>
            <w:tcW w:w="897" w:type="pct"/>
          </w:tcPr>
          <w:p w:rsidR="00287897" w:rsidRPr="001B7EC0" w:rsidRDefault="00287897" w:rsidP="00287897">
            <w:pPr>
              <w:pStyle w:val="0-"/>
            </w:pPr>
            <w:r w:rsidRPr="001B7EC0">
              <w:t>10-3-12</w:t>
            </w:r>
          </w:p>
          <w:p w:rsidR="00287897" w:rsidRPr="001B7EC0" w:rsidRDefault="00287897" w:rsidP="00287897">
            <w:pPr>
              <w:pStyle w:val="0-"/>
            </w:pPr>
            <w:r w:rsidRPr="001B7EC0">
              <w:t>(110.5.14)</w:t>
            </w:r>
          </w:p>
        </w:tc>
        <w:tc>
          <w:tcPr>
            <w:tcW w:w="523" w:type="pct"/>
          </w:tcPr>
          <w:p w:rsidR="00287897" w:rsidRPr="001B7EC0" w:rsidRDefault="00287897" w:rsidP="00287897">
            <w:pPr>
              <w:rPr>
                <w:rFonts w:ascii="標楷體" w:eastAsia="標楷體" w:hAnsi="標楷體"/>
                <w:color w:val="000000"/>
                <w:sz w:val="28"/>
              </w:rPr>
            </w:pPr>
          </w:p>
        </w:tc>
        <w:tc>
          <w:tcPr>
            <w:tcW w:w="1247" w:type="pct"/>
          </w:tcPr>
          <w:p w:rsidR="00287897" w:rsidRPr="001B7EC0" w:rsidRDefault="00287897" w:rsidP="008C2561">
            <w:pPr>
              <w:rPr>
                <w:rFonts w:ascii="標楷體" w:eastAsia="標楷體" w:hAnsi="標楷體"/>
                <w:color w:val="000000"/>
                <w:sz w:val="28"/>
              </w:rPr>
            </w:pPr>
            <w:r w:rsidRPr="001B7EC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教育部函，為110年度中央政府總預算決議，檢送青年發展署決議(十)「加強青年志工參與計畫改善檢討」書面報告，請查照案。</w:t>
            </w:r>
          </w:p>
        </w:tc>
        <w:tc>
          <w:tcPr>
            <w:tcW w:w="897" w:type="pct"/>
          </w:tcPr>
          <w:p w:rsidR="00287897" w:rsidRPr="001B7EC0" w:rsidRDefault="00287897" w:rsidP="00287897">
            <w:pPr>
              <w:pStyle w:val="0-"/>
            </w:pPr>
            <w:r w:rsidRPr="001B7EC0">
              <w:t>10-3-12</w:t>
            </w:r>
          </w:p>
          <w:p w:rsidR="00287897" w:rsidRPr="001B7EC0" w:rsidRDefault="00287897" w:rsidP="00287897">
            <w:pPr>
              <w:pStyle w:val="0-"/>
            </w:pPr>
            <w:r w:rsidRPr="001B7EC0">
              <w:t>(110.5.14)</w:t>
            </w:r>
          </w:p>
        </w:tc>
        <w:tc>
          <w:tcPr>
            <w:tcW w:w="523" w:type="pct"/>
          </w:tcPr>
          <w:p w:rsidR="00287897" w:rsidRPr="001B7EC0" w:rsidRDefault="00287897" w:rsidP="00287897">
            <w:pPr>
              <w:rPr>
                <w:rFonts w:ascii="標楷體" w:eastAsia="標楷體" w:hAnsi="標楷體"/>
                <w:color w:val="000000"/>
                <w:sz w:val="28"/>
              </w:rPr>
            </w:pPr>
          </w:p>
        </w:tc>
        <w:tc>
          <w:tcPr>
            <w:tcW w:w="1247" w:type="pct"/>
          </w:tcPr>
          <w:p w:rsidR="00287897" w:rsidRPr="001B7EC0" w:rsidRDefault="00287897" w:rsidP="008C2561">
            <w:pPr>
              <w:rPr>
                <w:rFonts w:ascii="標楷體" w:eastAsia="標楷體" w:hAnsi="標楷體"/>
                <w:color w:val="000000"/>
                <w:sz w:val="28"/>
              </w:rPr>
            </w:pPr>
            <w:r w:rsidRPr="001B7EC0">
              <w:rPr>
                <w:rFonts w:ascii="標楷體" w:eastAsia="標楷體" w:hAnsi="標楷體" w:hint="eastAsia"/>
                <w:color w:val="000000"/>
                <w:sz w:val="28"/>
              </w:rPr>
              <w:t>尚未審查</w:t>
            </w:r>
          </w:p>
        </w:tc>
      </w:tr>
      <w:tr w:rsidR="00287897" w:rsidRPr="00920597" w:rsidTr="002964FE">
        <w:trPr>
          <w:trHeight w:val="428"/>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教育部函，為110年度中央政府總預算決議，檢送青年發展署決議(十四)「加強青年志工參與計畫改善檢討」書面報</w:t>
            </w:r>
            <w:r w:rsidRPr="002964FE">
              <w:rPr>
                <w:rFonts w:hint="eastAsia"/>
              </w:rPr>
              <w:lastRenderedPageBreak/>
              <w:t>告，請查照案。</w:t>
            </w:r>
          </w:p>
        </w:tc>
        <w:tc>
          <w:tcPr>
            <w:tcW w:w="897" w:type="pct"/>
          </w:tcPr>
          <w:p w:rsidR="00287897" w:rsidRPr="001B7EC0" w:rsidRDefault="00287897" w:rsidP="00287897">
            <w:pPr>
              <w:pStyle w:val="0-"/>
            </w:pPr>
            <w:r w:rsidRPr="001B7EC0">
              <w:lastRenderedPageBreak/>
              <w:t>10-3-12</w:t>
            </w:r>
          </w:p>
          <w:p w:rsidR="00287897" w:rsidRPr="001B7EC0" w:rsidRDefault="00287897" w:rsidP="00287897">
            <w:pPr>
              <w:pStyle w:val="0-"/>
            </w:pPr>
            <w:r w:rsidRPr="001B7EC0">
              <w:t>(110.5.14)</w:t>
            </w:r>
          </w:p>
        </w:tc>
        <w:tc>
          <w:tcPr>
            <w:tcW w:w="523" w:type="pct"/>
          </w:tcPr>
          <w:p w:rsidR="00287897" w:rsidRPr="001B7EC0" w:rsidRDefault="00287897" w:rsidP="00287897">
            <w:pPr>
              <w:rPr>
                <w:rFonts w:ascii="標楷體" w:eastAsia="標楷體" w:hAnsi="標楷體"/>
                <w:color w:val="000000"/>
                <w:sz w:val="28"/>
              </w:rPr>
            </w:pPr>
          </w:p>
        </w:tc>
        <w:tc>
          <w:tcPr>
            <w:tcW w:w="1247" w:type="pct"/>
          </w:tcPr>
          <w:p w:rsidR="00287897" w:rsidRPr="001B7EC0" w:rsidRDefault="00287897" w:rsidP="008C2561">
            <w:pPr>
              <w:rPr>
                <w:rFonts w:ascii="標楷體" w:eastAsia="標楷體" w:hAnsi="標楷體"/>
                <w:color w:val="000000"/>
                <w:sz w:val="28"/>
              </w:rPr>
            </w:pPr>
            <w:r w:rsidRPr="001B7EC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教育部函，為110年度中央政府總預算決議，檢送青年發展署決議(十五)「加強青年志工參與計畫改善檢討」書面報告，請查照案。</w:t>
            </w:r>
          </w:p>
        </w:tc>
        <w:tc>
          <w:tcPr>
            <w:tcW w:w="897" w:type="pct"/>
          </w:tcPr>
          <w:p w:rsidR="00287897" w:rsidRPr="001B7EC0" w:rsidRDefault="00287897" w:rsidP="00287897">
            <w:pPr>
              <w:pStyle w:val="0-"/>
            </w:pPr>
            <w:r w:rsidRPr="001B7EC0">
              <w:t>10-3-12</w:t>
            </w:r>
          </w:p>
          <w:p w:rsidR="00287897" w:rsidRPr="001B7EC0" w:rsidRDefault="00287897" w:rsidP="00287897">
            <w:pPr>
              <w:pStyle w:val="0-"/>
            </w:pPr>
            <w:r w:rsidRPr="001B7EC0">
              <w:t>(110.5.14)</w:t>
            </w:r>
          </w:p>
        </w:tc>
        <w:tc>
          <w:tcPr>
            <w:tcW w:w="523" w:type="pct"/>
          </w:tcPr>
          <w:p w:rsidR="00287897" w:rsidRPr="001B7EC0" w:rsidRDefault="00287897" w:rsidP="00287897">
            <w:pPr>
              <w:rPr>
                <w:rFonts w:ascii="標楷體" w:eastAsia="標楷體" w:hAnsi="標楷體"/>
                <w:color w:val="000000"/>
                <w:sz w:val="28"/>
              </w:rPr>
            </w:pPr>
          </w:p>
        </w:tc>
        <w:tc>
          <w:tcPr>
            <w:tcW w:w="1247" w:type="pct"/>
          </w:tcPr>
          <w:p w:rsidR="00287897" w:rsidRPr="001B7EC0" w:rsidRDefault="00287897" w:rsidP="008C2561">
            <w:pPr>
              <w:rPr>
                <w:rFonts w:ascii="標楷體" w:eastAsia="標楷體" w:hAnsi="標楷體"/>
                <w:color w:val="000000"/>
                <w:sz w:val="28"/>
              </w:rPr>
            </w:pPr>
            <w:r w:rsidRPr="001B7EC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教育部函，為110年度中央政府總預算決議，檢送青年發展署決議(十六)「加強青年志工參與計畫改善檢討」書面報告，請查照案。</w:t>
            </w:r>
          </w:p>
        </w:tc>
        <w:tc>
          <w:tcPr>
            <w:tcW w:w="897" w:type="pct"/>
          </w:tcPr>
          <w:p w:rsidR="00287897" w:rsidRPr="001B7EC0" w:rsidRDefault="00287897" w:rsidP="00287897">
            <w:pPr>
              <w:pStyle w:val="0-"/>
            </w:pPr>
            <w:r w:rsidRPr="001B7EC0">
              <w:t>10-3-12</w:t>
            </w:r>
          </w:p>
          <w:p w:rsidR="00287897" w:rsidRPr="001B7EC0" w:rsidRDefault="00287897" w:rsidP="00287897">
            <w:pPr>
              <w:pStyle w:val="0-"/>
            </w:pPr>
            <w:r w:rsidRPr="001B7EC0">
              <w:t>(110.5.14)</w:t>
            </w:r>
          </w:p>
        </w:tc>
        <w:tc>
          <w:tcPr>
            <w:tcW w:w="523" w:type="pct"/>
          </w:tcPr>
          <w:p w:rsidR="00287897" w:rsidRPr="001B7EC0" w:rsidRDefault="00287897" w:rsidP="00287897">
            <w:pPr>
              <w:rPr>
                <w:rFonts w:ascii="標楷體" w:eastAsia="標楷體" w:hAnsi="標楷體"/>
                <w:color w:val="000000"/>
                <w:sz w:val="28"/>
              </w:rPr>
            </w:pPr>
          </w:p>
        </w:tc>
        <w:tc>
          <w:tcPr>
            <w:tcW w:w="1247" w:type="pct"/>
          </w:tcPr>
          <w:p w:rsidR="00287897" w:rsidRPr="001B7EC0" w:rsidRDefault="00287897" w:rsidP="008C2561">
            <w:pPr>
              <w:rPr>
                <w:rFonts w:ascii="標楷體" w:eastAsia="標楷體" w:hAnsi="標楷體"/>
                <w:color w:val="000000"/>
                <w:sz w:val="28"/>
              </w:rPr>
            </w:pPr>
            <w:r w:rsidRPr="001B7EC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行政院原子能委員會函，為110年度中央政府總預算決議，檢送該會決議(五)書面報告，請查照案。</w:t>
            </w:r>
          </w:p>
        </w:tc>
        <w:tc>
          <w:tcPr>
            <w:tcW w:w="897" w:type="pct"/>
          </w:tcPr>
          <w:p w:rsidR="00287897" w:rsidRPr="001B7EC0" w:rsidRDefault="00287897" w:rsidP="00287897">
            <w:pPr>
              <w:pStyle w:val="0-"/>
            </w:pPr>
            <w:r w:rsidRPr="001B7EC0">
              <w:t>10-3-12</w:t>
            </w:r>
          </w:p>
          <w:p w:rsidR="00287897" w:rsidRPr="001B7EC0" w:rsidRDefault="00287897" w:rsidP="00287897">
            <w:pPr>
              <w:pStyle w:val="0-"/>
            </w:pPr>
            <w:r w:rsidRPr="001B7EC0">
              <w:t>(110.5.14)</w:t>
            </w:r>
          </w:p>
        </w:tc>
        <w:tc>
          <w:tcPr>
            <w:tcW w:w="523" w:type="pct"/>
          </w:tcPr>
          <w:p w:rsidR="00287897" w:rsidRPr="001B7EC0" w:rsidRDefault="00287897" w:rsidP="00287897">
            <w:pPr>
              <w:rPr>
                <w:rFonts w:ascii="標楷體" w:eastAsia="標楷體" w:hAnsi="標楷體"/>
                <w:color w:val="000000"/>
                <w:sz w:val="28"/>
              </w:rPr>
            </w:pPr>
          </w:p>
        </w:tc>
        <w:tc>
          <w:tcPr>
            <w:tcW w:w="1247" w:type="pct"/>
          </w:tcPr>
          <w:p w:rsidR="00287897" w:rsidRPr="001B7EC0" w:rsidRDefault="00287897" w:rsidP="008C2561">
            <w:pPr>
              <w:rPr>
                <w:rFonts w:ascii="標楷體" w:eastAsia="標楷體" w:hAnsi="標楷體"/>
                <w:color w:val="000000"/>
                <w:sz w:val="28"/>
              </w:rPr>
            </w:pPr>
            <w:r w:rsidRPr="001B7EC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行政院原子能委員會函，為110年度中央政府總預算決議，檢送該會決議(十)書面報告，請查照案。</w:t>
            </w:r>
          </w:p>
        </w:tc>
        <w:tc>
          <w:tcPr>
            <w:tcW w:w="897" w:type="pct"/>
          </w:tcPr>
          <w:p w:rsidR="00287897" w:rsidRPr="001B7EC0" w:rsidRDefault="00287897" w:rsidP="00287897">
            <w:pPr>
              <w:pStyle w:val="0-"/>
            </w:pPr>
            <w:r w:rsidRPr="001B7EC0">
              <w:t>10-3-12</w:t>
            </w:r>
          </w:p>
          <w:p w:rsidR="00287897" w:rsidRPr="001B7EC0" w:rsidRDefault="00287897" w:rsidP="00287897">
            <w:pPr>
              <w:pStyle w:val="0-"/>
            </w:pPr>
            <w:r w:rsidRPr="001B7EC0">
              <w:t>(110.5.14)</w:t>
            </w:r>
          </w:p>
        </w:tc>
        <w:tc>
          <w:tcPr>
            <w:tcW w:w="523" w:type="pct"/>
          </w:tcPr>
          <w:p w:rsidR="00287897" w:rsidRPr="001B7EC0" w:rsidRDefault="00287897" w:rsidP="00287897">
            <w:pPr>
              <w:rPr>
                <w:rFonts w:ascii="標楷體" w:eastAsia="標楷體" w:hAnsi="標楷體"/>
                <w:color w:val="000000"/>
                <w:sz w:val="28"/>
              </w:rPr>
            </w:pPr>
          </w:p>
        </w:tc>
        <w:tc>
          <w:tcPr>
            <w:tcW w:w="1247" w:type="pct"/>
          </w:tcPr>
          <w:p w:rsidR="00287897" w:rsidRPr="001B7EC0" w:rsidRDefault="00287897" w:rsidP="008C2561">
            <w:pPr>
              <w:rPr>
                <w:rFonts w:ascii="標楷體" w:eastAsia="標楷體" w:hAnsi="標楷體"/>
                <w:color w:val="000000"/>
                <w:sz w:val="28"/>
              </w:rPr>
            </w:pPr>
            <w:r w:rsidRPr="001B7EC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行政院原子能委員會函，為110年度中央政府總預算決議，檢送該會決議(二十八)書面報告，請查照案。</w:t>
            </w:r>
          </w:p>
        </w:tc>
        <w:tc>
          <w:tcPr>
            <w:tcW w:w="897" w:type="pct"/>
          </w:tcPr>
          <w:p w:rsidR="00287897" w:rsidRPr="001B7EC0" w:rsidRDefault="00287897" w:rsidP="00287897">
            <w:pPr>
              <w:pStyle w:val="0-"/>
            </w:pPr>
            <w:r w:rsidRPr="001B7EC0">
              <w:t>10-3-12</w:t>
            </w:r>
          </w:p>
          <w:p w:rsidR="00287897" w:rsidRPr="001B7EC0" w:rsidRDefault="00287897" w:rsidP="00287897">
            <w:pPr>
              <w:pStyle w:val="0-"/>
            </w:pPr>
            <w:r w:rsidRPr="001B7EC0">
              <w:t>(110.5.14)</w:t>
            </w:r>
          </w:p>
        </w:tc>
        <w:tc>
          <w:tcPr>
            <w:tcW w:w="523" w:type="pct"/>
          </w:tcPr>
          <w:p w:rsidR="00287897" w:rsidRPr="001B7EC0" w:rsidRDefault="00287897" w:rsidP="00287897">
            <w:pPr>
              <w:rPr>
                <w:rFonts w:ascii="標楷體" w:eastAsia="標楷體" w:hAnsi="標楷體"/>
                <w:color w:val="000000"/>
                <w:sz w:val="28"/>
              </w:rPr>
            </w:pPr>
          </w:p>
        </w:tc>
        <w:tc>
          <w:tcPr>
            <w:tcW w:w="1247" w:type="pct"/>
          </w:tcPr>
          <w:p w:rsidR="00287897" w:rsidRPr="001B7EC0" w:rsidRDefault="00287897" w:rsidP="008C2561">
            <w:pPr>
              <w:rPr>
                <w:rFonts w:ascii="標楷體" w:eastAsia="標楷體" w:hAnsi="標楷體"/>
                <w:color w:val="000000"/>
                <w:sz w:val="28"/>
              </w:rPr>
            </w:pPr>
            <w:r w:rsidRPr="001B7EC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中央研究院函，為110年度中央政府總預算決議，檢送決議(三十四)友善女性學術工作者生涯、婚生規劃書面報告，請查照案。</w:t>
            </w:r>
          </w:p>
        </w:tc>
        <w:tc>
          <w:tcPr>
            <w:tcW w:w="897" w:type="pct"/>
          </w:tcPr>
          <w:p w:rsidR="00287897" w:rsidRPr="001B7EC0" w:rsidRDefault="00287897" w:rsidP="00287897">
            <w:pPr>
              <w:pStyle w:val="0-"/>
            </w:pPr>
            <w:r w:rsidRPr="001B7EC0">
              <w:t>10-3-12</w:t>
            </w:r>
          </w:p>
          <w:p w:rsidR="00287897" w:rsidRPr="001B7EC0" w:rsidRDefault="00287897" w:rsidP="00287897">
            <w:pPr>
              <w:pStyle w:val="0-"/>
            </w:pPr>
            <w:r w:rsidRPr="001B7EC0">
              <w:t>(110.5.14)</w:t>
            </w:r>
          </w:p>
        </w:tc>
        <w:tc>
          <w:tcPr>
            <w:tcW w:w="523" w:type="pct"/>
          </w:tcPr>
          <w:p w:rsidR="00287897" w:rsidRPr="001B7EC0" w:rsidRDefault="00287897" w:rsidP="00287897">
            <w:pPr>
              <w:rPr>
                <w:rFonts w:ascii="標楷體" w:eastAsia="標楷體" w:hAnsi="標楷體"/>
                <w:color w:val="000000"/>
                <w:sz w:val="28"/>
              </w:rPr>
            </w:pPr>
          </w:p>
        </w:tc>
        <w:tc>
          <w:tcPr>
            <w:tcW w:w="1247" w:type="pct"/>
          </w:tcPr>
          <w:p w:rsidR="00287897" w:rsidRPr="001B7EC0" w:rsidRDefault="00287897" w:rsidP="008C2561">
            <w:pPr>
              <w:rPr>
                <w:rFonts w:ascii="標楷體" w:eastAsia="標楷體" w:hAnsi="標楷體"/>
                <w:color w:val="000000"/>
                <w:sz w:val="28"/>
              </w:rPr>
            </w:pPr>
            <w:r w:rsidRPr="001B7EC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文化部函，為110年度中央政府總預算決議，檢送該部決議(十)書面報告，請查照案。</w:t>
            </w:r>
          </w:p>
        </w:tc>
        <w:tc>
          <w:tcPr>
            <w:tcW w:w="897" w:type="pct"/>
          </w:tcPr>
          <w:p w:rsidR="00287897" w:rsidRPr="001B7EC0" w:rsidRDefault="00287897" w:rsidP="00287897">
            <w:pPr>
              <w:pStyle w:val="0-"/>
            </w:pPr>
            <w:r w:rsidRPr="001B7EC0">
              <w:t>10-3-12</w:t>
            </w:r>
          </w:p>
          <w:p w:rsidR="00287897" w:rsidRPr="001B7EC0" w:rsidRDefault="00287897" w:rsidP="00287897">
            <w:pPr>
              <w:pStyle w:val="0-"/>
            </w:pPr>
            <w:r w:rsidRPr="001B7EC0">
              <w:t>(110.5.14)</w:t>
            </w:r>
          </w:p>
        </w:tc>
        <w:tc>
          <w:tcPr>
            <w:tcW w:w="523" w:type="pct"/>
          </w:tcPr>
          <w:p w:rsidR="00287897" w:rsidRPr="001B7EC0" w:rsidRDefault="00287897" w:rsidP="00287897">
            <w:pPr>
              <w:rPr>
                <w:rFonts w:ascii="標楷體" w:eastAsia="標楷體" w:hAnsi="標楷體"/>
                <w:color w:val="000000"/>
                <w:sz w:val="28"/>
              </w:rPr>
            </w:pPr>
          </w:p>
        </w:tc>
        <w:tc>
          <w:tcPr>
            <w:tcW w:w="1247" w:type="pct"/>
          </w:tcPr>
          <w:p w:rsidR="00287897" w:rsidRPr="001B7EC0" w:rsidRDefault="00287897" w:rsidP="008C2561">
            <w:pPr>
              <w:rPr>
                <w:rFonts w:ascii="標楷體" w:eastAsia="標楷體" w:hAnsi="標楷體"/>
                <w:color w:val="000000"/>
                <w:sz w:val="28"/>
              </w:rPr>
            </w:pPr>
            <w:r w:rsidRPr="001B7EC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文化部函，為110年度中央政府總預算決議，檢送該部決議(五十五)書面報告，請查照案。</w:t>
            </w:r>
          </w:p>
        </w:tc>
        <w:tc>
          <w:tcPr>
            <w:tcW w:w="897" w:type="pct"/>
          </w:tcPr>
          <w:p w:rsidR="00287897" w:rsidRPr="001B7EC0" w:rsidRDefault="00287897" w:rsidP="00287897">
            <w:pPr>
              <w:pStyle w:val="0-"/>
            </w:pPr>
            <w:r w:rsidRPr="001B7EC0">
              <w:t>10-3-12</w:t>
            </w:r>
          </w:p>
          <w:p w:rsidR="00287897" w:rsidRPr="001B7EC0" w:rsidRDefault="00287897" w:rsidP="00287897">
            <w:pPr>
              <w:pStyle w:val="0-"/>
            </w:pPr>
            <w:r w:rsidRPr="001B7EC0">
              <w:t>(110.5.14)</w:t>
            </w:r>
          </w:p>
        </w:tc>
        <w:tc>
          <w:tcPr>
            <w:tcW w:w="523" w:type="pct"/>
          </w:tcPr>
          <w:p w:rsidR="00287897" w:rsidRPr="001B7EC0" w:rsidRDefault="00287897" w:rsidP="00287897">
            <w:pPr>
              <w:rPr>
                <w:rFonts w:ascii="標楷體" w:eastAsia="標楷體" w:hAnsi="標楷體"/>
                <w:color w:val="000000"/>
                <w:sz w:val="28"/>
              </w:rPr>
            </w:pPr>
          </w:p>
        </w:tc>
        <w:tc>
          <w:tcPr>
            <w:tcW w:w="1247" w:type="pct"/>
          </w:tcPr>
          <w:p w:rsidR="00287897" w:rsidRPr="001B7EC0" w:rsidRDefault="00287897" w:rsidP="008C2561">
            <w:pPr>
              <w:rPr>
                <w:rFonts w:ascii="標楷體" w:eastAsia="標楷體" w:hAnsi="標楷體"/>
                <w:color w:val="000000"/>
                <w:sz w:val="28"/>
              </w:rPr>
            </w:pPr>
            <w:r w:rsidRPr="001B7EC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964FE">
            <w:pPr>
              <w:pStyle w:val="0-"/>
            </w:pPr>
            <w:r w:rsidRPr="002964FE">
              <w:rPr>
                <w:rFonts w:hint="eastAsia"/>
              </w:rPr>
              <w:t>文化部函，為110年度中央政府總預算決議，檢送該部決議（四十五）書面報告，請查照案。</w:t>
            </w:r>
          </w:p>
        </w:tc>
        <w:tc>
          <w:tcPr>
            <w:tcW w:w="897" w:type="pct"/>
          </w:tcPr>
          <w:p w:rsidR="00287897" w:rsidRPr="001B7EC0" w:rsidRDefault="00287897" w:rsidP="00287897">
            <w:pPr>
              <w:pStyle w:val="0-"/>
            </w:pPr>
            <w:r w:rsidRPr="001B7EC0">
              <w:t>10-3-1</w:t>
            </w:r>
            <w:r w:rsidRPr="001B7EC0">
              <w:rPr>
                <w:rFonts w:hint="eastAsia"/>
              </w:rPr>
              <w:t>3</w:t>
            </w:r>
          </w:p>
          <w:p w:rsidR="00287897" w:rsidRPr="001B7EC0" w:rsidRDefault="00287897" w:rsidP="00287897">
            <w:pPr>
              <w:pStyle w:val="0-"/>
            </w:pPr>
            <w:r w:rsidRPr="001B7EC0">
              <w:t>(110.5.</w:t>
            </w:r>
            <w:r w:rsidRPr="001B7EC0">
              <w:rPr>
                <w:rFonts w:hint="eastAsia"/>
              </w:rPr>
              <w:t>21</w:t>
            </w:r>
            <w:r w:rsidRPr="001B7EC0">
              <w:t>)</w:t>
            </w:r>
          </w:p>
        </w:tc>
        <w:tc>
          <w:tcPr>
            <w:tcW w:w="523" w:type="pct"/>
          </w:tcPr>
          <w:p w:rsidR="00287897" w:rsidRPr="001B7EC0" w:rsidRDefault="00287897" w:rsidP="00287897">
            <w:pPr>
              <w:rPr>
                <w:rFonts w:ascii="標楷體" w:eastAsia="標楷體" w:hAnsi="標楷體"/>
                <w:color w:val="000000"/>
                <w:sz w:val="28"/>
              </w:rPr>
            </w:pPr>
          </w:p>
        </w:tc>
        <w:tc>
          <w:tcPr>
            <w:tcW w:w="1247" w:type="pct"/>
          </w:tcPr>
          <w:p w:rsidR="00287897" w:rsidRPr="001B7EC0" w:rsidRDefault="00287897" w:rsidP="008C2561">
            <w:pPr>
              <w:rPr>
                <w:rFonts w:ascii="標楷體" w:eastAsia="標楷體" w:hAnsi="標楷體"/>
                <w:color w:val="000000"/>
                <w:sz w:val="28"/>
              </w:rPr>
            </w:pPr>
            <w:r w:rsidRPr="001B7EC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964FE">
            <w:pPr>
              <w:pStyle w:val="0-"/>
            </w:pPr>
            <w:r w:rsidRPr="002964FE">
              <w:rPr>
                <w:rFonts w:hint="eastAsia"/>
              </w:rPr>
              <w:t>文化部函，為110年度中央政府總預算決議，檢送該部決議（六十三）書面報告，請查照案。</w:t>
            </w:r>
          </w:p>
        </w:tc>
        <w:tc>
          <w:tcPr>
            <w:tcW w:w="897" w:type="pct"/>
          </w:tcPr>
          <w:p w:rsidR="00287897" w:rsidRPr="001B7EC0" w:rsidRDefault="00287897" w:rsidP="00287897">
            <w:pPr>
              <w:pStyle w:val="0-"/>
            </w:pPr>
            <w:r w:rsidRPr="001B7EC0">
              <w:t>10-3-1</w:t>
            </w:r>
            <w:r w:rsidRPr="001B7EC0">
              <w:rPr>
                <w:rFonts w:hint="eastAsia"/>
              </w:rPr>
              <w:t>3</w:t>
            </w:r>
          </w:p>
          <w:p w:rsidR="00287897" w:rsidRPr="001B7EC0" w:rsidRDefault="00287897" w:rsidP="00287897">
            <w:pPr>
              <w:pStyle w:val="0-"/>
            </w:pPr>
            <w:r w:rsidRPr="001B7EC0">
              <w:t>(110.5.</w:t>
            </w:r>
            <w:r w:rsidRPr="001B7EC0">
              <w:rPr>
                <w:rFonts w:hint="eastAsia"/>
              </w:rPr>
              <w:t>21</w:t>
            </w:r>
            <w:r w:rsidRPr="001B7EC0">
              <w:t>)</w:t>
            </w:r>
          </w:p>
        </w:tc>
        <w:tc>
          <w:tcPr>
            <w:tcW w:w="523" w:type="pct"/>
          </w:tcPr>
          <w:p w:rsidR="00287897" w:rsidRPr="001B7EC0" w:rsidRDefault="00287897" w:rsidP="00287897">
            <w:pPr>
              <w:rPr>
                <w:rFonts w:ascii="標楷體" w:eastAsia="標楷體" w:hAnsi="標楷體"/>
                <w:color w:val="000000"/>
                <w:sz w:val="28"/>
              </w:rPr>
            </w:pPr>
          </w:p>
        </w:tc>
        <w:tc>
          <w:tcPr>
            <w:tcW w:w="1247" w:type="pct"/>
          </w:tcPr>
          <w:p w:rsidR="00287897" w:rsidRPr="001B7EC0" w:rsidRDefault="00287897" w:rsidP="008C2561">
            <w:pPr>
              <w:rPr>
                <w:rFonts w:ascii="標楷體" w:eastAsia="標楷體" w:hAnsi="標楷體"/>
                <w:color w:val="000000"/>
                <w:sz w:val="28"/>
              </w:rPr>
            </w:pPr>
            <w:r w:rsidRPr="001B7EC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964FE">
            <w:pPr>
              <w:pStyle w:val="0-"/>
            </w:pPr>
            <w:r w:rsidRPr="002964FE">
              <w:rPr>
                <w:rFonts w:hint="eastAsia"/>
              </w:rPr>
              <w:t>教育部函，為110年度中央政府總預算決議，檢送辦理國中畢業未升學未就業青少年生涯探索輔導業務檢討書面報告，請查照案。</w:t>
            </w:r>
          </w:p>
        </w:tc>
        <w:tc>
          <w:tcPr>
            <w:tcW w:w="897" w:type="pct"/>
          </w:tcPr>
          <w:p w:rsidR="00287897" w:rsidRPr="001B7EC0" w:rsidRDefault="00287897" w:rsidP="00287897">
            <w:pPr>
              <w:pStyle w:val="0-"/>
            </w:pPr>
            <w:r w:rsidRPr="001B7EC0">
              <w:t>10-3-1</w:t>
            </w:r>
            <w:r w:rsidRPr="001B7EC0">
              <w:rPr>
                <w:rFonts w:hint="eastAsia"/>
              </w:rPr>
              <w:t>3</w:t>
            </w:r>
          </w:p>
          <w:p w:rsidR="00287897" w:rsidRPr="001B7EC0" w:rsidRDefault="00287897" w:rsidP="00287897">
            <w:pPr>
              <w:pStyle w:val="0-"/>
            </w:pPr>
            <w:r w:rsidRPr="001B7EC0">
              <w:t>(110.5.</w:t>
            </w:r>
            <w:r w:rsidRPr="001B7EC0">
              <w:rPr>
                <w:rFonts w:hint="eastAsia"/>
              </w:rPr>
              <w:t>21</w:t>
            </w:r>
            <w:r w:rsidRPr="001B7EC0">
              <w:t>)</w:t>
            </w:r>
          </w:p>
        </w:tc>
        <w:tc>
          <w:tcPr>
            <w:tcW w:w="523" w:type="pct"/>
          </w:tcPr>
          <w:p w:rsidR="00287897" w:rsidRPr="001B7EC0" w:rsidRDefault="00287897" w:rsidP="00287897">
            <w:pPr>
              <w:rPr>
                <w:rFonts w:ascii="標楷體" w:eastAsia="標楷體" w:hAnsi="標楷體"/>
                <w:color w:val="000000"/>
                <w:sz w:val="28"/>
              </w:rPr>
            </w:pPr>
          </w:p>
        </w:tc>
        <w:tc>
          <w:tcPr>
            <w:tcW w:w="1247" w:type="pct"/>
          </w:tcPr>
          <w:p w:rsidR="00287897" w:rsidRPr="001B7EC0" w:rsidRDefault="00287897" w:rsidP="008C2561">
            <w:pPr>
              <w:rPr>
                <w:rFonts w:ascii="標楷體" w:eastAsia="標楷體" w:hAnsi="標楷體"/>
                <w:color w:val="000000"/>
                <w:sz w:val="28"/>
              </w:rPr>
            </w:pPr>
            <w:r w:rsidRPr="001B7EC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991902">
            <w:pPr>
              <w:pStyle w:val="0-"/>
            </w:pPr>
            <w:r w:rsidRPr="002964FE">
              <w:rPr>
                <w:rFonts w:hint="eastAsia"/>
              </w:rPr>
              <w:t>行政院原子能委員會函，為 110年度中央政府總預算決議，檢送該會決議（三十二）書面報告，請查照案。</w:t>
            </w:r>
          </w:p>
        </w:tc>
        <w:tc>
          <w:tcPr>
            <w:tcW w:w="897" w:type="pct"/>
          </w:tcPr>
          <w:p w:rsidR="00287897" w:rsidRPr="001B7EC0" w:rsidRDefault="00287897" w:rsidP="00287897">
            <w:pPr>
              <w:pStyle w:val="0-"/>
            </w:pPr>
            <w:r w:rsidRPr="001B7EC0">
              <w:t>10-3-1</w:t>
            </w:r>
            <w:r w:rsidRPr="001B7EC0">
              <w:rPr>
                <w:rFonts w:hint="eastAsia"/>
              </w:rPr>
              <w:t>3</w:t>
            </w:r>
          </w:p>
          <w:p w:rsidR="00287897" w:rsidRPr="001B7EC0" w:rsidRDefault="00287897" w:rsidP="00287897">
            <w:pPr>
              <w:pStyle w:val="0-"/>
            </w:pPr>
            <w:r w:rsidRPr="001B7EC0">
              <w:t>(110.5.</w:t>
            </w:r>
            <w:r w:rsidRPr="001B7EC0">
              <w:rPr>
                <w:rFonts w:hint="eastAsia"/>
              </w:rPr>
              <w:t>21</w:t>
            </w:r>
            <w:r w:rsidRPr="001B7EC0">
              <w:t>)</w:t>
            </w:r>
          </w:p>
        </w:tc>
        <w:tc>
          <w:tcPr>
            <w:tcW w:w="523" w:type="pct"/>
          </w:tcPr>
          <w:p w:rsidR="00287897" w:rsidRPr="001B7EC0" w:rsidRDefault="00287897" w:rsidP="00287897">
            <w:pPr>
              <w:rPr>
                <w:rFonts w:ascii="標楷體" w:eastAsia="標楷體" w:hAnsi="標楷體"/>
                <w:color w:val="000000"/>
                <w:sz w:val="28"/>
              </w:rPr>
            </w:pPr>
          </w:p>
        </w:tc>
        <w:tc>
          <w:tcPr>
            <w:tcW w:w="1247" w:type="pct"/>
          </w:tcPr>
          <w:p w:rsidR="00287897" w:rsidRPr="001B7EC0" w:rsidRDefault="00287897" w:rsidP="008C2561">
            <w:pPr>
              <w:rPr>
                <w:rFonts w:ascii="標楷體" w:eastAsia="標楷體" w:hAnsi="標楷體"/>
                <w:color w:val="000000"/>
                <w:sz w:val="28"/>
              </w:rPr>
            </w:pPr>
            <w:r w:rsidRPr="001B7EC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1C4955">
            <w:pPr>
              <w:pStyle w:val="0-"/>
            </w:pPr>
            <w:r w:rsidRPr="002964FE">
              <w:rPr>
                <w:rFonts w:hint="eastAsia"/>
              </w:rPr>
              <w:t>行政院原子能委員會函，為 110年度中央政府總預算決議，檢送該會決議（三十四）書面報告，請查照案。</w:t>
            </w:r>
          </w:p>
        </w:tc>
        <w:tc>
          <w:tcPr>
            <w:tcW w:w="897" w:type="pct"/>
          </w:tcPr>
          <w:p w:rsidR="00287897" w:rsidRPr="001B7EC0" w:rsidRDefault="00287897" w:rsidP="00287897">
            <w:pPr>
              <w:pStyle w:val="0-"/>
            </w:pPr>
            <w:r w:rsidRPr="001B7EC0">
              <w:t>10-3-1</w:t>
            </w:r>
            <w:r w:rsidRPr="001B7EC0">
              <w:rPr>
                <w:rFonts w:hint="eastAsia"/>
              </w:rPr>
              <w:t>3</w:t>
            </w:r>
          </w:p>
          <w:p w:rsidR="00287897" w:rsidRPr="001B7EC0" w:rsidRDefault="00287897" w:rsidP="00287897">
            <w:pPr>
              <w:pStyle w:val="0-"/>
            </w:pPr>
            <w:r w:rsidRPr="001B7EC0">
              <w:t>(110.5.</w:t>
            </w:r>
            <w:r w:rsidRPr="001B7EC0">
              <w:rPr>
                <w:rFonts w:hint="eastAsia"/>
              </w:rPr>
              <w:t>21</w:t>
            </w:r>
            <w:r w:rsidRPr="001B7EC0">
              <w:t>)</w:t>
            </w:r>
          </w:p>
        </w:tc>
        <w:tc>
          <w:tcPr>
            <w:tcW w:w="523" w:type="pct"/>
          </w:tcPr>
          <w:p w:rsidR="00287897" w:rsidRPr="001B7EC0" w:rsidRDefault="00287897" w:rsidP="00287897">
            <w:pPr>
              <w:rPr>
                <w:rFonts w:ascii="標楷體" w:eastAsia="標楷體" w:hAnsi="標楷體"/>
                <w:color w:val="000000"/>
                <w:sz w:val="28"/>
              </w:rPr>
            </w:pPr>
          </w:p>
        </w:tc>
        <w:tc>
          <w:tcPr>
            <w:tcW w:w="1247" w:type="pct"/>
          </w:tcPr>
          <w:p w:rsidR="00287897" w:rsidRPr="001B7EC0" w:rsidRDefault="00287897" w:rsidP="008C2561">
            <w:pPr>
              <w:rPr>
                <w:rFonts w:ascii="標楷體" w:eastAsia="標楷體" w:hAnsi="標楷體"/>
                <w:color w:val="000000"/>
                <w:sz w:val="28"/>
              </w:rPr>
            </w:pPr>
            <w:r w:rsidRPr="001B7EC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教育部函，為110年度中央政府總預算決議，檢送雙語教學師資培育專案報告，請查照案。</w:t>
            </w:r>
          </w:p>
        </w:tc>
        <w:tc>
          <w:tcPr>
            <w:tcW w:w="897" w:type="pct"/>
          </w:tcPr>
          <w:p w:rsidR="00287897" w:rsidRPr="009B52F6" w:rsidRDefault="00287897" w:rsidP="00287897">
            <w:pPr>
              <w:pStyle w:val="0-"/>
            </w:pPr>
            <w:r w:rsidRPr="009B52F6">
              <w:t>10-4-2</w:t>
            </w:r>
          </w:p>
          <w:p w:rsidR="00287897" w:rsidRPr="009B52F6" w:rsidRDefault="00287897" w:rsidP="00287897">
            <w:pPr>
              <w:pStyle w:val="0-"/>
            </w:pPr>
            <w:r w:rsidRPr="009B52F6">
              <w:t>(110.9.24)</w:t>
            </w:r>
          </w:p>
        </w:tc>
        <w:tc>
          <w:tcPr>
            <w:tcW w:w="523" w:type="pct"/>
          </w:tcPr>
          <w:p w:rsidR="00287897" w:rsidRPr="009B52F6" w:rsidRDefault="00287897" w:rsidP="00287897">
            <w:pPr>
              <w:rPr>
                <w:rFonts w:ascii="標楷體" w:eastAsia="標楷體" w:hAnsi="標楷體"/>
                <w:color w:val="000000"/>
                <w:sz w:val="28"/>
              </w:rPr>
            </w:pPr>
          </w:p>
        </w:tc>
        <w:tc>
          <w:tcPr>
            <w:tcW w:w="1247" w:type="pct"/>
          </w:tcPr>
          <w:p w:rsidR="00287897" w:rsidRPr="009B52F6" w:rsidRDefault="00287897" w:rsidP="008C2561">
            <w:pPr>
              <w:rPr>
                <w:rFonts w:ascii="標楷體" w:eastAsia="標楷體" w:hAnsi="標楷體"/>
                <w:color w:val="000000"/>
                <w:sz w:val="28"/>
              </w:rPr>
            </w:pPr>
            <w:r w:rsidRPr="009B52F6">
              <w:rPr>
                <w:rFonts w:ascii="標楷體" w:eastAsia="標楷體" w:hAnsi="標楷體" w:hint="eastAsia"/>
                <w:color w:val="000000"/>
                <w:sz w:val="28"/>
              </w:rPr>
              <w:t>尚未</w:t>
            </w:r>
            <w:r>
              <w:rPr>
                <w:rFonts w:ascii="標楷體" w:eastAsia="標楷體" w:hAnsi="標楷體" w:hint="eastAsia"/>
                <w:color w:val="000000"/>
                <w:sz w:val="28"/>
              </w:rPr>
              <w:t>處理</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科技部函送110年第1季於各類媒體辦理政策宣導相關廣告之執行情形資料，請查照案。</w:t>
            </w:r>
          </w:p>
        </w:tc>
        <w:tc>
          <w:tcPr>
            <w:tcW w:w="897" w:type="pct"/>
          </w:tcPr>
          <w:p w:rsidR="00287897" w:rsidRPr="005705D2" w:rsidRDefault="00287897" w:rsidP="00287897">
            <w:pPr>
              <w:pStyle w:val="0-"/>
            </w:pPr>
            <w:r w:rsidRPr="005705D2">
              <w:t>10-4-6</w:t>
            </w:r>
          </w:p>
          <w:p w:rsidR="00287897" w:rsidRPr="005705D2" w:rsidRDefault="00287897" w:rsidP="00287897">
            <w:pPr>
              <w:pStyle w:val="0-"/>
            </w:pPr>
            <w:r w:rsidRPr="005705D2">
              <w:t>(110.10.22)</w:t>
            </w:r>
          </w:p>
        </w:tc>
        <w:tc>
          <w:tcPr>
            <w:tcW w:w="523" w:type="pct"/>
          </w:tcPr>
          <w:p w:rsidR="00287897" w:rsidRPr="005705D2" w:rsidRDefault="00287897" w:rsidP="00287897">
            <w:pPr>
              <w:rPr>
                <w:rFonts w:ascii="標楷體" w:eastAsia="標楷體" w:hAnsi="標楷體"/>
                <w:color w:val="000000"/>
                <w:sz w:val="28"/>
              </w:rPr>
            </w:pPr>
          </w:p>
        </w:tc>
        <w:tc>
          <w:tcPr>
            <w:tcW w:w="1247" w:type="pct"/>
          </w:tcPr>
          <w:p w:rsidR="00287897" w:rsidRPr="005705D2" w:rsidRDefault="00287897" w:rsidP="008C2561">
            <w:pPr>
              <w:rPr>
                <w:rFonts w:ascii="標楷體" w:eastAsia="標楷體" w:hAnsi="標楷體"/>
                <w:color w:val="000000"/>
                <w:sz w:val="28"/>
              </w:rPr>
            </w:pPr>
            <w:r w:rsidRPr="005705D2">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科技部函送該部暨所屬機關110年度第1季補（捐）助民間團體及個人經費資料一覽表，請查照案。</w:t>
            </w:r>
          </w:p>
        </w:tc>
        <w:tc>
          <w:tcPr>
            <w:tcW w:w="897" w:type="pct"/>
          </w:tcPr>
          <w:p w:rsidR="00287897" w:rsidRPr="005705D2" w:rsidRDefault="00287897" w:rsidP="00287897">
            <w:pPr>
              <w:pStyle w:val="0-"/>
            </w:pPr>
            <w:r w:rsidRPr="005705D2">
              <w:t>10-4-6</w:t>
            </w:r>
          </w:p>
          <w:p w:rsidR="00287897" w:rsidRPr="005705D2" w:rsidRDefault="00287897" w:rsidP="00287897">
            <w:pPr>
              <w:pStyle w:val="0-"/>
            </w:pPr>
            <w:r w:rsidRPr="005705D2">
              <w:t>(110.10.22)</w:t>
            </w:r>
          </w:p>
        </w:tc>
        <w:tc>
          <w:tcPr>
            <w:tcW w:w="523" w:type="pct"/>
          </w:tcPr>
          <w:p w:rsidR="00287897" w:rsidRPr="005705D2" w:rsidRDefault="00287897" w:rsidP="00287897">
            <w:pPr>
              <w:rPr>
                <w:rFonts w:ascii="標楷體" w:eastAsia="標楷體" w:hAnsi="標楷體"/>
                <w:color w:val="000000"/>
                <w:sz w:val="28"/>
              </w:rPr>
            </w:pPr>
          </w:p>
        </w:tc>
        <w:tc>
          <w:tcPr>
            <w:tcW w:w="1247" w:type="pct"/>
          </w:tcPr>
          <w:p w:rsidR="00287897" w:rsidRPr="005705D2" w:rsidRDefault="00287897" w:rsidP="008C2561">
            <w:pPr>
              <w:rPr>
                <w:rFonts w:ascii="標楷體" w:eastAsia="標楷體" w:hAnsi="標楷體"/>
                <w:color w:val="000000"/>
                <w:sz w:val="28"/>
              </w:rPr>
            </w:pPr>
            <w:r w:rsidRPr="005705D2">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964FE">
            <w:pPr>
              <w:pStyle w:val="0-"/>
            </w:pPr>
            <w:r w:rsidRPr="002964FE">
              <w:rPr>
                <w:rFonts w:hint="eastAsia"/>
              </w:rPr>
              <w:t>行政院原子能委員會函送110年4月於媒體辦理政策宣導相關之廣告資料，請查照案。</w:t>
            </w:r>
          </w:p>
        </w:tc>
        <w:tc>
          <w:tcPr>
            <w:tcW w:w="897" w:type="pct"/>
          </w:tcPr>
          <w:p w:rsidR="00287897" w:rsidRPr="005705D2" w:rsidRDefault="00287897" w:rsidP="00287897">
            <w:pPr>
              <w:pStyle w:val="0-"/>
            </w:pPr>
            <w:r w:rsidRPr="005705D2">
              <w:t>10-4-6</w:t>
            </w:r>
          </w:p>
          <w:p w:rsidR="00287897" w:rsidRPr="005705D2" w:rsidRDefault="00287897" w:rsidP="00287897">
            <w:pPr>
              <w:pStyle w:val="0-"/>
            </w:pPr>
            <w:r w:rsidRPr="005705D2">
              <w:t>(110.10.22)</w:t>
            </w:r>
          </w:p>
        </w:tc>
        <w:tc>
          <w:tcPr>
            <w:tcW w:w="523" w:type="pct"/>
          </w:tcPr>
          <w:p w:rsidR="00287897" w:rsidRPr="005705D2" w:rsidRDefault="00287897" w:rsidP="00287897">
            <w:pPr>
              <w:rPr>
                <w:rFonts w:ascii="標楷體" w:eastAsia="標楷體" w:hAnsi="標楷體"/>
                <w:color w:val="000000"/>
                <w:sz w:val="28"/>
              </w:rPr>
            </w:pPr>
          </w:p>
        </w:tc>
        <w:tc>
          <w:tcPr>
            <w:tcW w:w="1247" w:type="pct"/>
          </w:tcPr>
          <w:p w:rsidR="00287897" w:rsidRPr="005705D2" w:rsidRDefault="00287897" w:rsidP="008C2561">
            <w:pPr>
              <w:rPr>
                <w:rFonts w:ascii="標楷體" w:eastAsia="標楷體" w:hAnsi="標楷體"/>
                <w:color w:val="000000"/>
                <w:sz w:val="28"/>
              </w:rPr>
            </w:pPr>
            <w:r w:rsidRPr="005705D2">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文化部函送110年1－4月該部接受外界捐贈款明細表，請查照案。</w:t>
            </w:r>
          </w:p>
        </w:tc>
        <w:tc>
          <w:tcPr>
            <w:tcW w:w="897" w:type="pct"/>
          </w:tcPr>
          <w:p w:rsidR="00287897" w:rsidRPr="005705D2" w:rsidRDefault="00287897" w:rsidP="00287897">
            <w:pPr>
              <w:pStyle w:val="0-"/>
            </w:pPr>
            <w:r w:rsidRPr="005705D2">
              <w:t>10-4-6</w:t>
            </w:r>
          </w:p>
          <w:p w:rsidR="00287897" w:rsidRPr="005705D2" w:rsidRDefault="00287897" w:rsidP="00287897">
            <w:pPr>
              <w:pStyle w:val="0-"/>
            </w:pPr>
            <w:r w:rsidRPr="005705D2">
              <w:t>(110.10.22)</w:t>
            </w:r>
          </w:p>
        </w:tc>
        <w:tc>
          <w:tcPr>
            <w:tcW w:w="523" w:type="pct"/>
          </w:tcPr>
          <w:p w:rsidR="00287897" w:rsidRPr="005705D2" w:rsidRDefault="00287897" w:rsidP="00287897">
            <w:pPr>
              <w:rPr>
                <w:rFonts w:ascii="標楷體" w:eastAsia="標楷體" w:hAnsi="標楷體"/>
                <w:color w:val="000000"/>
                <w:sz w:val="28"/>
              </w:rPr>
            </w:pPr>
          </w:p>
        </w:tc>
        <w:tc>
          <w:tcPr>
            <w:tcW w:w="1247" w:type="pct"/>
          </w:tcPr>
          <w:p w:rsidR="00287897" w:rsidRPr="005705D2" w:rsidRDefault="00287897" w:rsidP="008C2561">
            <w:pPr>
              <w:rPr>
                <w:rFonts w:ascii="標楷體" w:eastAsia="標楷體" w:hAnsi="標楷體"/>
                <w:color w:val="000000"/>
                <w:sz w:val="28"/>
              </w:rPr>
            </w:pPr>
            <w:r w:rsidRPr="005705D2">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文化部函送110年1－5月該部接受外界捐贈款明細表，請查照案。</w:t>
            </w:r>
          </w:p>
        </w:tc>
        <w:tc>
          <w:tcPr>
            <w:tcW w:w="897" w:type="pct"/>
          </w:tcPr>
          <w:p w:rsidR="00287897" w:rsidRPr="005705D2" w:rsidRDefault="00287897" w:rsidP="00287897">
            <w:pPr>
              <w:pStyle w:val="0-"/>
            </w:pPr>
            <w:r w:rsidRPr="005705D2">
              <w:t>10-4-6</w:t>
            </w:r>
          </w:p>
          <w:p w:rsidR="00287897" w:rsidRPr="005705D2" w:rsidRDefault="00287897" w:rsidP="00287897">
            <w:pPr>
              <w:pStyle w:val="0-"/>
            </w:pPr>
            <w:r w:rsidRPr="005705D2">
              <w:t>(110.10.22)</w:t>
            </w:r>
          </w:p>
        </w:tc>
        <w:tc>
          <w:tcPr>
            <w:tcW w:w="523" w:type="pct"/>
          </w:tcPr>
          <w:p w:rsidR="00287897" w:rsidRPr="005705D2" w:rsidRDefault="00287897" w:rsidP="00287897">
            <w:pPr>
              <w:rPr>
                <w:rFonts w:ascii="標楷體" w:eastAsia="標楷體" w:hAnsi="標楷體"/>
                <w:color w:val="000000"/>
                <w:sz w:val="28"/>
              </w:rPr>
            </w:pPr>
          </w:p>
        </w:tc>
        <w:tc>
          <w:tcPr>
            <w:tcW w:w="1247" w:type="pct"/>
          </w:tcPr>
          <w:p w:rsidR="00287897" w:rsidRPr="005705D2" w:rsidRDefault="00287897" w:rsidP="008C2561">
            <w:pPr>
              <w:rPr>
                <w:rFonts w:ascii="標楷體" w:eastAsia="標楷體" w:hAnsi="標楷體"/>
                <w:color w:val="000000"/>
                <w:sz w:val="28"/>
              </w:rPr>
            </w:pPr>
            <w:r w:rsidRPr="005705D2">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行政院原子能委員會函送財團法人核能科技協進會110年度營運及資金運用計畫，請查照案。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教育部函送學產基金投資華南金融控股股份有限公司110年度營運及資金運用計畫，請查照案。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國立故宮博物院函，為110年度中央政府總預算決議，檢送決議（六）資訊職系人力配置書面報告，請查照案。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國立故宮博物院函，為110年度中央政府總預算決議，檢送決議（二十二）創用CC之資料分級分類完整政策書面報告，請查照案。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國立故宮博物院函，為110年度中央政府總預算決議，檢送決議（二十四）對曾領取消費合作社盈餘之員工進行盈餘返還意願徵詢相關報告，請查照案。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國立故宮博物院函，為110年度中央政府總預算決議，檢送決議（二十五）積極辦理策展及建置線上影像資料庫書面報告，請查照案。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國立故宮博物院函，為110年度中央政府總預算決議，檢送決議（二十七）南北院區清潔與園藝等勞務承攬書面報告，請查照案。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國立故宮博物院函，為110年度中央政府總預算決議，檢送決議（三十一）「數位教推與服務維運」執行成果書面報告，請查照案。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國立故宮博物院函，為110年度中央政府總預算決議，檢送決議（三十四）提升各個教育型數位影音之線上使用量書面報告，請查照案。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國立故宮博物院函，為110年度中央政府總預算決議，檢送決議（三十六）「博物館開放資料深度應用」書面報告，請查照案。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國立故宮博物院函，為110年度中央政府總預算決議，檢送決議（三十八）博物館開放資料深度應用執行目標與預期成果書面報告，請查照案。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國立故宮博物院函，為110年度中央政府總預算決議，檢送決議（四十二）院內安全維護管理與防災計畫書面報告，請查照案。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教育部函，為110年度中央政府總預算決議，檢送「全國性考試試題疑義公布機制」書面報告，請查照案。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教育部函，為110年度中央政府總預算決議，檢送「普及中高齡學習者之參與學位授予評估」書面報告，請查照案。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教育部函，為110年度中央政府總預算決議，檢送「公立高級中等以下學校冷氣裝設之規劃」書面報告，請查照案。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教育部函，為110年度中央政府總預算決議，檢送性別平等及人權教育議題納入師資職前教育課程書面報告，請查照案。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56" w:tooltip="一百九十九、教育部函，為110年度中央政府總預算決議，檢送「辦理資深優良教師獎勵金預算編列說明」書面報告，請查照案。" w:history="1">
              <w:r w:rsidR="00287897" w:rsidRPr="002964FE">
                <w:rPr>
                  <w:rFonts w:hint="eastAsia"/>
                </w:rPr>
                <w:t>教育部函，為110年度中央政府總預算決議，檢送「辦理資深優良教師獎勵金預算編列說明」書面報告，請查照案。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57" w:tooltip="二百、教育部函，為110年度中央政府總預算決議，檢送人口成長重劃區興建國中小之校舍需求書面報告，請查照案。" w:history="1">
              <w:r w:rsidR="00287897" w:rsidRPr="002964FE">
                <w:rPr>
                  <w:rFonts w:hint="eastAsia"/>
                </w:rPr>
                <w:t>教育部函，為110年度中央政府總預算決議，檢送人口成長重劃區興建國中小之校舍需求書面報告，請查照案。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58" w:tooltip="二百零一、教育部函，為110年度中央政府總預算決議，檢送「山域觀光旅遊活動品質提升」書面報告，請查照案。" w:history="1">
              <w:r w:rsidR="00287897" w:rsidRPr="002964FE">
                <w:rPr>
                  <w:rFonts w:hint="eastAsia"/>
                </w:rPr>
                <w:t>教育部函，為110年度中央政府總預算決議，檢送「山域觀光旅遊活動品質提升」書面報告，請查照案。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59" w:tooltip="二百零二、教育部函，為110年度中央政府總預算決議，檢送「提升技專校院發展多元特色與接軌國際」書面報告，請查照案。" w:history="1">
              <w:r w:rsidR="00287897" w:rsidRPr="002964FE">
                <w:rPr>
                  <w:rFonts w:hint="eastAsia"/>
                </w:rPr>
                <w:t>教育部函，為110年度中央政府總預算決議，檢送「提升技專校院發展多元特色與接軌國際」書面報告，請查照案。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60" w:tooltip="二百零三、教育部函，為110年度中央政府總預算決議，檢送「國立技專校院合併政策及教學設備汰換規劃」書面報告，請查照案。" w:history="1">
              <w:r w:rsidR="00287897" w:rsidRPr="002964FE">
                <w:rPr>
                  <w:rFonts w:hint="eastAsia"/>
                </w:rPr>
                <w:t>教育部函，為110年度中央政府總預算決議，檢送「國立技專校院合併政策及教學設備汰換規劃」書面報告，請查照案。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61" w:tooltip="二百零四、教育部函，為110年度中央政府總預算決議，檢送「國際疫情影響下之國際體育交流因應措施」書面報告，請查照案。" w:history="1">
              <w:r w:rsidR="00287897" w:rsidRPr="002964FE">
                <w:rPr>
                  <w:rFonts w:hint="eastAsia"/>
                </w:rPr>
                <w:t>教育部函，為110年度中央政府總預算決議，檢送「國際疫情影響下之國際體育交流因應措施」書面報告，請查照案。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62" w:tooltip="二百零五、教育部函，為110年度中央政府總預算決議，檢送「完善校園內編制外運動教練之爭議事件處理機制」書面報告，請查照案。" w:history="1">
              <w:r w:rsidR="00287897" w:rsidRPr="002964FE">
                <w:rPr>
                  <w:rFonts w:hint="eastAsia"/>
                </w:rPr>
                <w:t>教育部函，為110年度中央政府總預算決議，檢送「完善校園內編制外運動教練之爭議事件處理機制」書面報告，請查照案。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63" w:tooltip="二百零六、教育部函，為110年度中央政府總預算決議，檢送推動學前教育業務書面報告，請查照案。" w:history="1">
              <w:r w:rsidR="00287897" w:rsidRPr="002964FE">
                <w:rPr>
                  <w:rFonts w:hint="eastAsia"/>
                </w:rPr>
                <w:t>教育部函，為110年度中央政府總預算決議，檢送推動學前教育業務書面報告，請查照案。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64" w:tooltip="二百零七、教育部函，為110年度中央政府總預算決議，檢送疫情影響選手基礎訓練書面報告，請查照案。" w:history="1">
              <w:r w:rsidR="00287897" w:rsidRPr="002964FE">
                <w:rPr>
                  <w:rFonts w:hint="eastAsia"/>
                </w:rPr>
                <w:t>教育部函，為110年度中央政府總預算決議，檢送疫情影響選手基礎訓練書面報告，請查照案。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教育部函，為110年度中央政府總預算決議，檢送研議調整考試時間或題目數書面報告，請查照案。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教育部函，為110年度中央政府總預算決議，檢送「一般教育與原住民族教育之學習成效與成果之評估機制」書面報告，請查照案。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教育部函，為110年度中央政府總預算決議，檢送大學社會責任實踐計畫執行成效書面報告，請查照案。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65" w:tooltip="二百一十一、教育部函，為110年度中央政府總預算決議，檢送協助大學建立選才流程書面報告，請查照案。" w:history="1">
              <w:r w:rsidR="00287897" w:rsidRPr="002964FE">
                <w:rPr>
                  <w:rFonts w:hint="eastAsia"/>
                </w:rPr>
                <w:t>教育部函，為110年度中央政府總預算決議，檢送協助大學建立選才流程書面報告，請查照案。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66" w:tooltip="二百一十二、教育部函，為110年度中央政府總預算決議，檢送「國立大學校院校務基金設置條例加入學生代表之制度」書面報告，請查照案。" w:history="1">
              <w:r w:rsidR="00287897" w:rsidRPr="002964FE">
                <w:rPr>
                  <w:rFonts w:hint="eastAsia"/>
                </w:rPr>
                <w:t>教育部函，為110年度中央政府總預算決議，檢送「國立大學校院校務基金設置條例加入學生代表之制度」書面報告，請查照案。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教育部函，為110年度中央政府總預算決議，檢送「校園藥物濫用防制辦理情形」書面報告，請查照案。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67" w:tooltip="二百一十四、教育部函，為110年度中央政府總預算決議，檢送開發多元招生策略書面報告，請查照案。" w:history="1">
              <w:r w:rsidR="00287897" w:rsidRPr="002964FE">
                <w:rPr>
                  <w:rFonts w:hint="eastAsia"/>
                </w:rPr>
                <w:t>教育部函，為110年度中央政府總預算決議，檢送開發多元招生策略書面報告，請查照案。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68" w:tooltip="二百一十五、教育部函，為110年度中央政府總預算決議，檢送「放寬學生學習成果上傳檔案容量」之說明，請查照案。" w:history="1">
              <w:r w:rsidR="00287897" w:rsidRPr="002964FE">
                <w:rPr>
                  <w:rFonts w:hint="eastAsia"/>
                </w:rPr>
                <w:t>教育部函，為110年度中央政府總預算決議，檢送「放寬學生學習成果上傳檔案容量」之說明，請查照案。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69" w:tooltip="二百一十六、教育部函，為110年度中央政府總預算決議，檢送「補習及進修教育法修正草案」書面報告，請查照案。" w:history="1">
              <w:r w:rsidR="00287897" w:rsidRPr="002964FE">
                <w:rPr>
                  <w:rFonts w:hint="eastAsia"/>
                </w:rPr>
                <w:t>教育部函，為110年度中央政府總預算決議，檢送「補習及進修教育法修正草案」書面報告，請查照案。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教育部函，為110年度中央政府總預算決議，檢送大專校院兼任教師權益現況書面報告，請查照案。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教育部函，為110年度中央政府總預算決議，檢送「STEM領域高階科研人才培育精進措施」書面報告，請查照案。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70" w:tooltip="二百一十九、教育部函，為110年度中央政府總預算決議，檢送「STEM領域人才培育與產業創新結合」書面報告，請查照案。" w:history="1">
              <w:r w:rsidR="00287897" w:rsidRPr="002964FE">
                <w:rPr>
                  <w:rFonts w:hint="eastAsia"/>
                </w:rPr>
                <w:t>教育部函，為110年度中央政府總預算決議，檢送「STEM領域人才培育與產業創新結合」書面報告，請查照案。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教育部函，為110年度中央政府總預算決議，檢送「提升</w:t>
            </w:r>
            <w:r w:rsidRPr="002964FE">
              <w:rPr>
                <w:rFonts w:hint="eastAsia"/>
              </w:rPr>
              <w:lastRenderedPageBreak/>
              <w:t>STEM領域產業研發能量」書面報告，請查照案。</w:t>
            </w:r>
          </w:p>
        </w:tc>
        <w:tc>
          <w:tcPr>
            <w:tcW w:w="897" w:type="pct"/>
          </w:tcPr>
          <w:p w:rsidR="00287897" w:rsidRPr="00521170" w:rsidRDefault="00287897" w:rsidP="00287897">
            <w:pPr>
              <w:pStyle w:val="0-"/>
            </w:pPr>
            <w:r w:rsidRPr="00521170">
              <w:lastRenderedPageBreak/>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71" w:tooltip="二百二十一、教育部函，為110年度中央政府總預算決議，檢送「加強培育STEM領域及女性研發人才」書面報告，請查照案。" w:history="1">
              <w:r w:rsidR="00287897" w:rsidRPr="002964FE">
                <w:rPr>
                  <w:rFonts w:hint="eastAsia"/>
                </w:rPr>
                <w:t>教育部函，為110年度中央政府總預算決議，檢送「加強培育STEM領域及女性研發人才」書面報告，請查照案。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72" w:tooltip="二百二十二、教育部函，為110年度中央政府總預算決議，檢送大學社會責任實踐計畫書面報告，請查照案。" w:history="1">
              <w:r w:rsidR="00287897" w:rsidRPr="002964FE">
                <w:rPr>
                  <w:rFonts w:hint="eastAsia"/>
                </w:rPr>
                <w:t>教育部函，為110年度中央政府總預算決議，檢送大學社會責任實踐計畫書面報告，請查照案。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73" w:tooltip="二百二十三、教育部函，為110年度中央政府總預算決議，檢送「大學合併執行成效」書面報告，請查照案。" w:history="1">
              <w:r w:rsidR="00287897" w:rsidRPr="002964FE">
                <w:rPr>
                  <w:rFonts w:hint="eastAsia"/>
                </w:rPr>
                <w:t>教育部函，為110年度中央政府總預算決議，檢送「大學合併執行成效」書面報告，請查照案。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74" w:tooltip="二百二十四、教育部函，為110年度中央政府總預算決議，檢送「加強宣導108課綱、學習歷程檔案」書面報告，請查照案。" w:history="1">
              <w:r w:rsidR="00287897" w:rsidRPr="002964FE">
                <w:rPr>
                  <w:rFonts w:hint="eastAsia"/>
                </w:rPr>
                <w:t>教育部函，為110年度中央政府總預算決議，檢送「加強宣導108課綱、學習歷程檔案」書面報告，請查照案。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75" w:tooltip="二百二十五、教育部函，為110年度中央政府總預算決議，檢送「私校學輔校安人力經費編列情形」書面報告，請查照案。" w:history="1">
              <w:r w:rsidR="00287897" w:rsidRPr="002964FE">
                <w:rPr>
                  <w:rFonts w:hint="eastAsia"/>
                </w:rPr>
                <w:t>教育部函，為110年度中央政府總預算決議，檢送「私校學輔校安人力經費編列情形」書面報告，請查照案。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教育部函，為110年度中央政府總預算決議，檢送「青年教育與就業儲蓄帳戶方案」書面報告，請查照案。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76" w:tooltip="二百二十七、教育部函，為110年度中央政府總預算決議，檢送「大學社會責任實踐計畫（USR）推動成效」書面報告，請查照案。" w:history="1">
              <w:r w:rsidR="00287897" w:rsidRPr="002964FE">
                <w:rPr>
                  <w:rFonts w:hint="eastAsia"/>
                </w:rPr>
                <w:t>教育部函，為110年度中央政府總預算決議，檢送「大學社會責任實踐計畫（USR）推動成效」書面報告，請查照案。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教育部函，為110年度中央政府總預算決議，檢送培育產業高階人力書面報告，請查照案。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教育部函，為110年度中央政府總預算決議，檢送協助各校增加開設選修課程科目書面報告，請查照案。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教育部函，為110年度中央政府總預算決議，檢送提升碩士教育學用合一改善計畫書面報告，請查照案。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77" w:tooltip="二百三十一、教育部函，為110年度中央政府總預算決議，檢送協助學校開設多元選修及指導自主學習能力書面報告，請查照案。" w:history="1">
              <w:r w:rsidR="00287897" w:rsidRPr="002964FE">
                <w:rPr>
                  <w:rFonts w:hint="eastAsia"/>
                </w:rPr>
                <w:t>教育部函，為110年度中央政府總預算決議，檢送協助學校開設多元選修及指導自主學習能力書面報告，請查照案。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教育部函，為110年度中央政府總預算決議，檢送「雙語教學人才培育」書面報告，請查照案。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教育部函，為110年度中央政府總預算決議，檢送降低青少年學生吸菸人口書面報告，請查照案。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78" w:tooltip="二百三十四、教育部函，為110年度中央政府總預算決議，檢送「加強校園安全維護，杜絕性侵案件肇生」書面報告，請查照案。" w:history="1">
              <w:r w:rsidR="00287897" w:rsidRPr="002964FE">
                <w:rPr>
                  <w:rFonts w:hint="eastAsia"/>
                </w:rPr>
                <w:t>教育部函，為110年度中央政府總預算決議，檢送「加強校園安全維護，杜絕性侵案件肇生」書面報告，請查照案。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教育部函，為110年度中央政府總預算決議，檢送「提升教師數位素養」書面報告，請查照案。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795964">
        <w:trPr>
          <w:trHeight w:val="416"/>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教育部函，為110年度中央政府總預算決議，檢送「111學年度學測命題原則」書面報告，請查照案。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2964FE">
        <w:trPr>
          <w:trHeight w:val="428"/>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79" w:tooltip="二百三十七、教育部函，為110年度中央政府總預算決議，檢送「足球6年計畫推動成果及改善措施」書面報告，請查照案。" w:history="1">
              <w:r w:rsidR="00287897" w:rsidRPr="002964FE">
                <w:rPr>
                  <w:rFonts w:hint="eastAsia"/>
                </w:rPr>
                <w:t>教育部函，為110年度中央政府總預算決議，檢送「足球6年計畫推動成果及改善措施」</w:t>
              </w:r>
              <w:r w:rsidR="00287897" w:rsidRPr="002964FE">
                <w:rPr>
                  <w:rFonts w:hint="eastAsia"/>
                </w:rPr>
                <w:lastRenderedPageBreak/>
                <w:t>書面報告，請查照案。</w:t>
              </w:r>
            </w:hyperlink>
          </w:p>
        </w:tc>
        <w:tc>
          <w:tcPr>
            <w:tcW w:w="897" w:type="pct"/>
          </w:tcPr>
          <w:p w:rsidR="00287897" w:rsidRPr="00521170" w:rsidRDefault="00287897" w:rsidP="00287897">
            <w:pPr>
              <w:pStyle w:val="0-"/>
            </w:pPr>
            <w:r w:rsidRPr="00521170">
              <w:lastRenderedPageBreak/>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教育部函，為110年度中央政府總預算決議，檢送「國立空中大學使用者介面與開課需求調查及改善計畫」書面報告，請查照案。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80" w:tooltip="二百三十九、教育部函，為110年度中央政府總預算決議，檢送「大專校院落實三級輔導及專業合作與分工機制」書面報告，請查照案。" w:history="1">
              <w:r w:rsidR="00287897" w:rsidRPr="002964FE">
                <w:rPr>
                  <w:rFonts w:hint="eastAsia"/>
                </w:rPr>
                <w:t>教育部函，為110年度中央政府總預算決議，檢送「大專校院落實三級輔導及專業合作與分工機制」書面報告，請查照案。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81" w:tooltip="二百四十、教育部函，為110年度中央政府總預算決議，檢送「高教深耕計畫提升國際競爭力」書面報告，請查照案。" w:history="1">
              <w:r w:rsidR="00287897" w:rsidRPr="002964FE">
                <w:rPr>
                  <w:rFonts w:hint="eastAsia"/>
                </w:rPr>
                <w:t>教育部函，為110年度中央政府總預算決議，檢送「高教深耕計畫提升國際競爭力」書面報告，請查照案。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教育部函，為110年度中央政府總預算決議，檢送「高教深耕計畫強化高教人才培育」書面報告，請查照案。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82" w:tooltip="二百四十二、教育部函，為110年度中央政府總預算決議，檢送「優化學習歷程檔案平臺並加強社會溝通」書面報告，請查照案。" w:history="1">
              <w:r w:rsidR="00287897" w:rsidRPr="002964FE">
                <w:rPr>
                  <w:rFonts w:hint="eastAsia"/>
                </w:rPr>
                <w:t>教育部函，為110年度中央政府總預算決議，檢送「優化學習歷程檔案平臺並加強社會溝通」書面報告，請查照案。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83" w:tooltip="二百四十三、教育部函，為110年度中央政府總預算決議，檢送「提升學測鑑別度之檢討與改善措施」書面報告，請查照案。" w:history="1">
              <w:r w:rsidR="00287897" w:rsidRPr="002964FE">
                <w:rPr>
                  <w:rFonts w:hint="eastAsia"/>
                </w:rPr>
                <w:t>教育部函，為110年度中央政府總預算決議，檢送「提升學測鑑別度之檢討與改善措施」書面報告，請查照案。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84" w:tooltip="二百四十四、教育部函，為110年度中央政府總預算決議，檢送「推動高中學習歷程檔案之檢討與改善」書面報告，請查照案。" w:history="1">
              <w:r w:rsidR="00287897" w:rsidRPr="002964FE">
                <w:rPr>
                  <w:rFonts w:hint="eastAsia"/>
                </w:rPr>
                <w:t>教育部函，為110年度中央政府總預算決議，檢送「推動高中學習歷程檔案之檢討與改善」書面報告，請查照案。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教育部函，為110年度中央政府總預算決議，檢送精進家庭教育規劃及推動作為書面報告，請查照案。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教育部函，為110年度中央政府總預算決議，檢送「青年教育與就業儲蓄帳戶方案」執行成果書面報告，請查照案。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教育部函，為110年度中央政府總預算決議，檢送高中學習歷程檔案之檢討書面報告，請查照案。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85" w:tooltip="二百四十八、教育部函，為110年度中央政府總預算決議，檢送代理教師未參加勞保期間發生保險事故權益保障書面報告，請查照案。" w:history="1">
              <w:r w:rsidR="00287897" w:rsidRPr="002964FE">
                <w:rPr>
                  <w:rFonts w:hint="eastAsia"/>
                </w:rPr>
                <w:t>教育部函，為110年度中央政府總預算決議，檢送代理教師未參加勞保期間發生保險事故權益保障書面報告，請查照案。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86" w:tooltip="二百四十九、教育部函，為110年度中央政府總預算決議，檢送大專校院積極開設性別議題課程書面報告，請查照案。" w:history="1">
              <w:r w:rsidR="00287897" w:rsidRPr="002964FE">
                <w:rPr>
                  <w:rFonts w:hint="eastAsia"/>
                </w:rPr>
                <w:t>教育部函，為110年度中央政府總預算決議，檢送大專校院積極開設性別議題課程書面報告，請查照案。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87" w:tooltip="二百五十、教育部函，為110年度中央政府總預算決議，檢送情感教育教材之盤點情形書面報告，請查照案。" w:history="1">
              <w:r w:rsidR="00287897" w:rsidRPr="002964FE">
                <w:rPr>
                  <w:rFonts w:hint="eastAsia"/>
                </w:rPr>
                <w:t>教育部函，為110年度中央政府總預算決議，檢送情感教育教材之盤點情形書面報告，請查照案。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教育部函，為110年度中央政府總預算決議，檢送落實原住民族教育法第34條之規劃書面報告，請查照案。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88" w:tooltip="二百五十二、教育部函，為110年度中央政府總預算決議，檢送「檢討開放山林政策及配套政策」書面報告，請查照案。" w:history="1">
              <w:r w:rsidR="00287897" w:rsidRPr="002964FE">
                <w:rPr>
                  <w:rFonts w:hint="eastAsia"/>
                </w:rPr>
                <w:t>教育部函，為110年度中央政府總預算決議，檢送「檢討開放山林政策及配套政策」書面報告，請查照案。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1C4955">
            <w:pPr>
              <w:pStyle w:val="0-"/>
            </w:pPr>
            <w:r w:rsidRPr="00521170">
              <w:rPr>
                <w:rFonts w:hint="eastAsia"/>
              </w:rPr>
              <w:t>內政、經濟、交通、社會福利及衛生環境、財政</w:t>
            </w: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89" w:tooltip="二百五十三、教育部函，為110年度中央政府總預算決議，檢送「研議幼兒園在職人員修習幼兒園師資職前教育課程資格規定」書面報告，請查照案。" w:history="1">
              <w:r w:rsidR="00287897" w:rsidRPr="002964FE">
                <w:rPr>
                  <w:rFonts w:hint="eastAsia"/>
                </w:rPr>
                <w:t>教育部函，為110年度中央政府總預算決議，檢送「研議幼</w:t>
              </w:r>
              <w:r w:rsidR="00287897" w:rsidRPr="002964FE">
                <w:rPr>
                  <w:rFonts w:hint="eastAsia"/>
                </w:rPr>
                <w:lastRenderedPageBreak/>
                <w:t>兒園在職人員修習幼兒園師資職前教育課程資格規定」書面報告，請查照案。</w:t>
              </w:r>
            </w:hyperlink>
          </w:p>
        </w:tc>
        <w:tc>
          <w:tcPr>
            <w:tcW w:w="897" w:type="pct"/>
          </w:tcPr>
          <w:p w:rsidR="00287897" w:rsidRPr="00521170" w:rsidRDefault="00287897" w:rsidP="00287897">
            <w:pPr>
              <w:pStyle w:val="0-"/>
            </w:pPr>
            <w:r w:rsidRPr="00521170">
              <w:lastRenderedPageBreak/>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90" w:tooltip="二百五十四、教育部函，為110年度中央政府總預算決議，檢送「促進產業合作與培育創新人才」書面報告，請查照案。" w:history="1">
              <w:r w:rsidR="00287897" w:rsidRPr="002964FE">
                <w:rPr>
                  <w:rFonts w:hint="eastAsia"/>
                </w:rPr>
                <w:t>教育部函，為110年度中央政府總預算決議，檢送「促進產業合作與培育創新人才」書面報告，請查照案。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91" w:tooltip="二百五十五、教育部函，為110年度中央政府總預算決議，檢送產學攜手合作計畫推動成果書面報告，請查照案。" w:history="1">
              <w:r w:rsidR="00287897" w:rsidRPr="002964FE">
                <w:rPr>
                  <w:rFonts w:hint="eastAsia"/>
                </w:rPr>
                <w:t>教育部函，為110年度中央政府總預算決議，檢送產學攜手合作計畫推動成果書面報告，請查照案。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92" w:tooltip="二百五十六、教育部函，為110年度中央政府總預算決議，檢送「加強培訓食品安全人才」書面報告，請查照案。" w:history="1">
              <w:r w:rsidR="00287897" w:rsidRPr="002964FE">
                <w:rPr>
                  <w:rFonts w:hint="eastAsia"/>
                </w:rPr>
                <w:t>教育部函，為110年度中央政府總預算決議，檢送「加強培訓食品安全人才」書面報告，請查照案。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93" w:tooltip="二百五十七、教育部函，為110年度中央政府總預算決議，檢送精進大學考招制度書面報告，請查照案。" w:history="1">
              <w:r w:rsidR="00287897" w:rsidRPr="002964FE">
                <w:rPr>
                  <w:rFonts w:hint="eastAsia"/>
                </w:rPr>
                <w:t>教育部函，為110年度中央政府總預算決議，檢送精進大學考招制度書面報告，請查照案。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94" w:tooltip="二百五十八、教育部函，為110年度中央政府總預算決議，檢送「大學合併及私校轉型退場執行成效」書面報告，請查照案。" w:history="1">
              <w:r w:rsidR="00287897" w:rsidRPr="002964FE">
                <w:rPr>
                  <w:rFonts w:hint="eastAsia"/>
                </w:rPr>
                <w:t>教育部函，為110年度中央政府總預算決議，檢送「大學合併及私校轉型退場執行成效」書面報告，請查照案。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95" w:tooltip="二百五十九、教育部函，為110年度中央政府總預算決議，檢送「輔導及補助體育團體、學校合作推展體育運動文化」書面報告，請查照案。" w:history="1">
              <w:r w:rsidR="00287897" w:rsidRPr="002964FE">
                <w:rPr>
                  <w:rFonts w:hint="eastAsia"/>
                </w:rPr>
                <w:t>教育部函，為110年度中央政府總預算決議，檢送「輔導及補助體育團體、學校合作推展體育運動文化」書面報告，請查照案。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96" w:tooltip="二百六十、教育部函，為110年度中央政府總預算決議，檢送「推展體育運動文化及設置體育名人堂」書面報告，請查照案。" w:history="1">
              <w:r w:rsidR="00287897" w:rsidRPr="002964FE">
                <w:rPr>
                  <w:rFonts w:hint="eastAsia"/>
                </w:rPr>
                <w:t>教育部函，為110年度中央政府總預算決議，檢送「推展體育運動文化及設置體育名人堂」書面報告，請查照案。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97" w:tooltip="二百六十一、教育部函，為110年度中央政府總預算決議，檢送「真理大學台灣文學資料館館藏及使用之後續處理」書面報告，請查照案。" w:history="1">
              <w:r w:rsidR="00287897" w:rsidRPr="002964FE">
                <w:rPr>
                  <w:rFonts w:hint="eastAsia"/>
                </w:rPr>
                <w:t>教育部函，為110年度中央政府總預算決議，檢送「真理大學台灣文學資料館館藏及使用</w:t>
              </w:r>
              <w:r w:rsidR="00287897" w:rsidRPr="002964FE">
                <w:rPr>
                  <w:rFonts w:hint="eastAsia"/>
                </w:rPr>
                <w:lastRenderedPageBreak/>
                <w:t>之後續處理」書面報告，請查照案。</w:t>
              </w:r>
            </w:hyperlink>
          </w:p>
        </w:tc>
        <w:tc>
          <w:tcPr>
            <w:tcW w:w="897" w:type="pct"/>
          </w:tcPr>
          <w:p w:rsidR="00287897" w:rsidRPr="00521170" w:rsidRDefault="00287897" w:rsidP="00287897">
            <w:pPr>
              <w:pStyle w:val="0-"/>
            </w:pPr>
            <w:r w:rsidRPr="00521170">
              <w:lastRenderedPageBreak/>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98" w:tooltip="二百六十二、教育部函，為110年度中央政府總預算決議，檢送「強化大專校院校外實習生權益保障精進作為」書面報告，請查照案。" w:history="1">
              <w:r w:rsidR="00287897" w:rsidRPr="002964FE">
                <w:rPr>
                  <w:rFonts w:hint="eastAsia"/>
                </w:rPr>
                <w:t>教育部函，為110年度中央政府總預算決議，檢送「強化大專校院校外實習生權益保障精進作為」書面報告，請查照案。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99" w:tooltip="二百六十三、教育部函，為110年度中央政府總預算決議，檢送「校園藥物濫用防制辦理情形」書面報告，請查照案。" w:history="1">
              <w:r w:rsidR="00287897" w:rsidRPr="002964FE">
                <w:rPr>
                  <w:rFonts w:hint="eastAsia"/>
                </w:rPr>
                <w:t>教育部函，為110年度中央政府總預算決議，檢送「校園藥物濫用防制辦理情形」書面報告，請查照案。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00" w:tooltip="二百六十四、教育部函，為110年度中央政府總預算決議，檢送體育署110年度大陸地區旅費書面報告，請查照案。" w:history="1">
              <w:r w:rsidR="00287897" w:rsidRPr="002964FE">
                <w:rPr>
                  <w:rFonts w:hint="eastAsia"/>
                </w:rPr>
                <w:t>教育部函，為110年度中央政府總預算決議，檢送體育署110年度大陸地區旅費書面報告，請查照案。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教育部函，為110年度中央政府總預算決議，檢送「體育署派員赴大陸地區之必要性」書面報告，請查照案。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01" w:tooltip="二百六十六、教育部函，為110年度中央政府總預算決議，檢送體育署推動原住民族棒、壘球輔導計畫書面報告，請查照案。" w:history="1">
              <w:r w:rsidR="00287897" w:rsidRPr="002964FE">
                <w:rPr>
                  <w:rFonts w:hint="eastAsia"/>
                </w:rPr>
                <w:t>教育部函，為110年度中央政府總預算決議，檢送體育署推動原住民族棒、壘球輔導計畫書面報告，請查照案。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02" w:tooltip="二百六十七、教育部函，為110年度中央政府總預算決議，檢送體育署設立運動產業組書面報告，請查照案。" w:history="1">
              <w:r w:rsidR="00287897" w:rsidRPr="002964FE">
                <w:rPr>
                  <w:rFonts w:hint="eastAsia"/>
                </w:rPr>
                <w:t>教育部函，為110年度中央政府總預算決議，檢送體育署設立運動產業組書面報告，請查照案。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03" w:tooltip="二百六十八、教育部函，為110年度中央政府總預算決議，檢送「國立教育廣播電臺建立節目製播品管機制及提升收聽率」書面報告，請查照案。" w:history="1">
              <w:r w:rsidR="00287897" w:rsidRPr="002964FE">
                <w:rPr>
                  <w:rFonts w:hint="eastAsia"/>
                </w:rPr>
                <w:t>教育部函，為110年度中央政府總預算決議，檢送「國立教育廣播電臺建立節目製播品管機制及提升收聽率」書面報告，請查照案。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991902">
        <w:trPr>
          <w:trHeight w:val="416"/>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文化部函，為110年度中央政府總預算決議，檢送該部決議（四十四）書面報告，請查照</w:t>
            </w:r>
            <w:r w:rsidRPr="002964FE">
              <w:rPr>
                <w:rFonts w:hint="eastAsia"/>
              </w:rPr>
              <w:lastRenderedPageBreak/>
              <w:t>案。</w:t>
            </w:r>
          </w:p>
        </w:tc>
        <w:tc>
          <w:tcPr>
            <w:tcW w:w="897" w:type="pct"/>
          </w:tcPr>
          <w:p w:rsidR="00287897" w:rsidRPr="00521170" w:rsidRDefault="00287897" w:rsidP="00287897">
            <w:pPr>
              <w:pStyle w:val="0-"/>
            </w:pPr>
            <w:r w:rsidRPr="00521170">
              <w:lastRenderedPageBreak/>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文化部函，為110年度中央政府總預算決議，檢送該部決議（五十一）書面報告，請查照案。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04" w:tooltip="二百七十一、文化部函，為110年度中央政府總預算決議，檢送該部決議（五十二）書面報告，請查照案。" w:history="1">
              <w:r w:rsidR="00287897" w:rsidRPr="002964FE">
                <w:rPr>
                  <w:rFonts w:hint="eastAsia"/>
                </w:rPr>
                <w:t>文化部函，為110年度中央政府總預算決議，檢送該部決議（五十二）書面報告，請查照案。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05" w:tooltip="二百七十二、文化部函，為110年度中央政府總預算決議，檢送該部決議（五十四）書面報告，請查照案。" w:history="1">
              <w:r w:rsidR="00287897" w:rsidRPr="002964FE">
                <w:rPr>
                  <w:rFonts w:hint="eastAsia"/>
                </w:rPr>
                <w:t>文化部函，為110年度中央政府總預算決議，檢送該部決議（五十四）書面報告，請查照案。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06" w:tooltip="二百七十三、文化部函，為110年度中央政府總預算決議，檢送該部決議（五十六）書面報告，請查照案。" w:history="1">
              <w:r w:rsidR="00287897" w:rsidRPr="002964FE">
                <w:rPr>
                  <w:rFonts w:hint="eastAsia"/>
                </w:rPr>
                <w:t>文化部函，為110年度中央政府總預算決議，檢送該部決議（五十六）書面報告，請查照案。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07" w:tooltip="二百七十四、文化部函，為110年度中央政府總預算決議，檢送該部決議（六十六）書面報告，請查照案。" w:history="1">
              <w:r w:rsidR="00287897" w:rsidRPr="002964FE">
                <w:rPr>
                  <w:rFonts w:hint="eastAsia"/>
                </w:rPr>
                <w:t>文化部函，為110年度中央政府總預算決議，檢送該部決議（六十六）書面報告，請查照案。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文化部函，為110年度中央政府總預算決議，檢送該部決議（七十九）書面報告，請查照案。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08" w:tooltip="二百七十六、文化部函，為110年度中央政府總預算決議，檢送該部決議（八十）書面報告，請查照案。" w:history="1">
              <w:r w:rsidR="00287897" w:rsidRPr="002964FE">
                <w:rPr>
                  <w:rFonts w:hint="eastAsia"/>
                </w:rPr>
                <w:t>文化部函，為110年度中央政府總預算決議，檢送該部決議（八十）書面報告，請查照案。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09" w:tooltip="二百七十七、文化部函，為110年度中央政府總預算決議，檢送該部決議（八十一）書面報告，請查照案。" w:history="1">
              <w:r w:rsidR="00287897" w:rsidRPr="002964FE">
                <w:rPr>
                  <w:rFonts w:hint="eastAsia"/>
                </w:rPr>
                <w:t>文化部函，為110年度中央政府總預算決議，檢送該部決議（八十一）書面報告，請查照案。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文化部函，為110年度中央政府總預算決議，檢送該部主管</w:t>
            </w:r>
            <w:r w:rsidRPr="002964FE">
              <w:rPr>
                <w:rFonts w:hint="eastAsia"/>
              </w:rPr>
              <w:lastRenderedPageBreak/>
              <w:t>第5項決議（二）及（五）書面報告，請查照案。</w:t>
            </w:r>
          </w:p>
        </w:tc>
        <w:tc>
          <w:tcPr>
            <w:tcW w:w="897" w:type="pct"/>
          </w:tcPr>
          <w:p w:rsidR="00287897" w:rsidRPr="00521170" w:rsidRDefault="00287897" w:rsidP="00287897">
            <w:pPr>
              <w:pStyle w:val="0-"/>
            </w:pPr>
            <w:r w:rsidRPr="00521170">
              <w:lastRenderedPageBreak/>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10" w:tooltip="二百七十九、文化部函，為110年度中央政府總預算決議，檢送該部主管第5項決議（三）書面報告，請查照案。" w:history="1">
              <w:r w:rsidR="00287897" w:rsidRPr="002964FE">
                <w:rPr>
                  <w:rFonts w:hint="eastAsia"/>
                </w:rPr>
                <w:t>文化部函，為110年度中央政府總預算決議，檢送該部主管第5項決議（三）書面報告，請查照案。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文化部函，為110年度中央政府總預算決議，檢送109年影視及流行音樂產業勞動情形調查研究結案報告，請查照案。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11" w:tooltip="二百八十一、文化部函，為110年度中央政府總預算決議，檢送國立臺灣博物館「研議適度調高票價之可能性」書面報告，請查照案。" w:history="1">
              <w:r w:rsidR="00287897" w:rsidRPr="002964FE">
                <w:rPr>
                  <w:rFonts w:hint="eastAsia"/>
                </w:rPr>
                <w:t>文化部函，為110年度中央政府總預算決議，檢送國立臺灣博物館「研議適度調高票價之可能性」書面報告，請查照案。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12" w:tooltip="二百八十二、文化部函，為110年度中央政府總預算決議，檢送國立臺灣文學館張良澤文物規劃書面報告，請查照案。" w:history="1">
              <w:r w:rsidR="00287897" w:rsidRPr="002964FE">
                <w:rPr>
                  <w:rFonts w:hint="eastAsia"/>
                </w:rPr>
                <w:t>文化部函，為110年度中央政府總預算決議，檢送國立臺灣文學館張良澤文物規劃書面報告，請查照案。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文化部函，為110年度中央政府總預算決議，檢送國立臺灣美術館近年行政運作缺失書面報告，請查照案。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13" w:tooltip="二百八十四、科技部函，為110年度中央政府總預算決議，檢送「太空活動法規研擬成果」書面報告，請查照案。" w:history="1">
              <w:r w:rsidR="00287897" w:rsidRPr="002964FE">
                <w:rPr>
                  <w:rFonts w:hint="eastAsia"/>
                </w:rPr>
                <w:t>科技部函，為110年度中央政府總預算決議，檢送「太空活動法規研擬成果」書面報告，請查照案。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14" w:tooltip="二百八十五、科技部函，為110年度中央政府總預算決議，檢送「持續強化我國技術自主性」書面報告，請查照案。" w:history="1">
              <w:r w:rsidR="00287897" w:rsidRPr="002964FE">
                <w:rPr>
                  <w:rFonts w:hint="eastAsia"/>
                </w:rPr>
                <w:t>科技部函，為110年度中央政府總預算決議，檢送「持續強化我國技術自主性」書面報告，請查照案。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991902">
        <w:trPr>
          <w:trHeight w:val="428"/>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科技部函，為110年度中央政府總預算決議，檢送新竹科學園區管理局科技研發獎助預算減列說明書面報告，請查照</w:t>
            </w:r>
            <w:r w:rsidRPr="002964FE">
              <w:rPr>
                <w:rFonts w:hint="eastAsia"/>
              </w:rPr>
              <w:lastRenderedPageBreak/>
              <w:t>案。</w:t>
            </w:r>
          </w:p>
        </w:tc>
        <w:tc>
          <w:tcPr>
            <w:tcW w:w="897" w:type="pct"/>
          </w:tcPr>
          <w:p w:rsidR="00287897" w:rsidRPr="00521170" w:rsidRDefault="00287897" w:rsidP="00287897">
            <w:pPr>
              <w:pStyle w:val="0-"/>
            </w:pPr>
            <w:r w:rsidRPr="00521170">
              <w:lastRenderedPageBreak/>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科技部函，為110年度中央政府總預算決議，檢送「跨領域人才培育與單晶片系統技術整合計畫」與「重點產業高階人才培訓計畫」之差異書面報告，請查照案。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科技部函，為110年度中央政府總預算決議，檢送「積極培育我國半導體人才之規劃」書面報告，請查照案。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15" w:tooltip="二百八十九、科技部函，為110年度中央政府總預算決議，檢送「加強太空發展相關法制作業」書面報告，請查照案。" w:history="1">
              <w:r w:rsidR="00287897" w:rsidRPr="002964FE">
                <w:rPr>
                  <w:rFonts w:hint="eastAsia"/>
                </w:rPr>
                <w:t>科技部函，為110年度中央政府總預算決議，檢送「加強太空發展相關法制作業」書面報告，請查照案。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16" w:tooltip="二百九十、科技部函，為110年度中央政府總預算決議，檢送「辦理勞務採購委託專業服務案之情形」書面報告，請查照案。" w:history="1">
              <w:r w:rsidR="00287897" w:rsidRPr="002964FE">
                <w:rPr>
                  <w:rFonts w:hint="eastAsia"/>
                </w:rPr>
                <w:t>科技部函，為110年度中央政府總預算決議，檢送「辦理勞務採購委託專業服務案之情形」書面報告，請查照案。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科技部函，為110年度中央政府總預算決議，檢送「持續厚植基礎研究，促進科技發展競爭力」書面報告，請查照案。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17" w:tooltip="二百九十二、科技部函，為110年度中央政府總預算決議，檢送「新竹科學園區管理局勞動檢查強化方案」書面報告，請查照案。" w:history="1">
              <w:r w:rsidR="00287897" w:rsidRPr="002964FE">
                <w:rPr>
                  <w:rFonts w:hint="eastAsia"/>
                </w:rPr>
                <w:t>科技部函，為110年度中央政府總預算決議，檢送「新竹科學園區管理局勞動檢查強化方案」書面報告，請查照案。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科技部函，為110年度中央政府總預算決議，檢送「園區用地與建築規劃」書面報告，請查照案。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18" w:tooltip="二百九十四、科技部函，為110年度中央政府總預算決議，檢送有效運用科學園區事業自建廠房書面報告，請查照案。" w:history="1">
              <w:r w:rsidR="00287897" w:rsidRPr="002964FE">
                <w:rPr>
                  <w:rFonts w:hint="eastAsia"/>
                </w:rPr>
                <w:t>科技部函，為110年度中央政府總預算決議，檢送有效運用科學園區事業自建廠房書面報告，請查照案。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19" w:tooltip="二百九十五、科技部函，為110年度中央政府總預算決議，檢送「科學園區事業自建廠房有效運用及強化轉租管理機制方案」書面報告，請查照案。" w:history="1">
              <w:r w:rsidR="00287897" w:rsidRPr="002964FE">
                <w:rPr>
                  <w:rFonts w:hint="eastAsia"/>
                </w:rPr>
                <w:t>科技部函，為110年度中央政府總預算決議，檢送「科學園區事業自建廠房有效運用及強化轉租管理機制方案」書面報告，請查照案。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20" w:tooltip="二百九十六、科技部函，為110年度中央政府總預算決議，檢送「生醫研發加值計畫執行效益」書面報告，請查照案。" w:history="1">
              <w:r w:rsidR="00287897" w:rsidRPr="002964FE">
                <w:rPr>
                  <w:rFonts w:hint="eastAsia"/>
                </w:rPr>
                <w:t>科技部函，為110年度中央政府總預算決議，檢送「生醫研發加值計畫執行效益」書面報告，請查照案。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21" w:tooltip="二百九十七、科技部函，為110年度中央政府總預算決議，檢送「台灣光子源周邊實驗設施興建計畫」書面報告，請查照案。" w:history="1">
              <w:r w:rsidR="00287897" w:rsidRPr="002964FE">
                <w:rPr>
                  <w:rFonts w:hint="eastAsia"/>
                </w:rPr>
                <w:t>科技部函，為110年度中央政府總預算決議，檢送「台灣光子源周邊實驗設施興建計畫」書面報告，請查照案。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科技部函，為110年度中央政府總預算決議，檢送「女性科研人才具體配套協助措施」書面報告，請查照案。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22" w:tooltip="二百九十九、科技部函，為110年度中央政府總預算決議，檢送「對國內團體之捐助案於專區網站公布情形」書面報告，請查照案。" w:history="1">
              <w:r w:rsidR="00287897" w:rsidRPr="002964FE">
                <w:rPr>
                  <w:rFonts w:hint="eastAsia"/>
                </w:rPr>
                <w:t>科技部函，為110年度中央政府總預算決議，檢送「對國內團體之捐助案於專區網站公布情形」書面報告，請查照案。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23" w:tooltip="三百、科技部函，為110年度中央政府總預算決議，檢送「國家同步輻射研究中心研究人力延攬傳承及長期培育」書面報告，請查照案。" w:history="1">
              <w:r w:rsidR="00287897" w:rsidRPr="002964FE">
                <w:rPr>
                  <w:rFonts w:hint="eastAsia"/>
                </w:rPr>
                <w:t>科技部函，為110年度中央政府總預算決議，檢送「國家同步輻射研究中心研究人力延攬傳承及長期培育」書面報告，請查照案。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科技部函，為110年度中央政府總預算決議，檢送「跨部會協調培育財團法人高科技科研人力」書面報告，請查照案。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2964FE">
        <w:trPr>
          <w:trHeight w:val="428"/>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科技部函，為110年度中央政府總預算決議，檢送「完備我國太空發展相關法制及管理機制」書面報告，請查照案。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科技部函，為110年度中央政府總預算決議，檢送「太空科技發展相關法律、子法與配套措施之規劃」書面報告，請查照案。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科技部函，為110年度中央政府總預算決議，檢送太空發展法相關配套措施書面報告，請查照案。</w:t>
            </w:r>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24" w:tooltip="三百零五、科技部函，為110年度中央政府總預算決議，檢送「財團法人強化研究人力並預為經驗傳承」書面報告，請查照案。" w:history="1">
              <w:r w:rsidR="00287897" w:rsidRPr="002964FE">
                <w:rPr>
                  <w:rFonts w:hint="eastAsia"/>
                </w:rPr>
                <w:t>科技部函，為110年度中央政府總預算決議，檢送「財團法人強化研究人力並預為經驗傳承」書面報告，請查照案。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25" w:tooltip="三百零六、科技部函，為110年度中央政府總預算決議，檢送「推動人文創新與社會實踐等計畫」書面報告，請查照案。" w:history="1">
              <w:r w:rsidR="00287897" w:rsidRPr="002964FE">
                <w:rPr>
                  <w:rFonts w:hint="eastAsia"/>
                </w:rPr>
                <w:t>科技部函，為110年度中央政府總預算決議，檢送「推動人文創新與社會實踐等計畫」書面報告，請查照案。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26" w:tooltip="三百零七、科技部函，為110年度中央政府總預算決議，檢送籌組科普國家隊書面報告，請查照案。" w:history="1">
              <w:r w:rsidR="00287897" w:rsidRPr="002964FE">
                <w:rPr>
                  <w:rFonts w:hint="eastAsia"/>
                </w:rPr>
                <w:t>科技部函，為110年度中央政府總預算決議，檢送籌組科普國家隊書面報告，請查照案。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27" w:tooltip="三百零八、中央研究院函，為110年度中央政府總預算決議，檢送推動數位典藏及國際行銷書面報告，請查照案。" w:history="1">
              <w:r w:rsidR="00287897" w:rsidRPr="002964FE">
                <w:rPr>
                  <w:rFonts w:hint="eastAsia"/>
                </w:rPr>
                <w:t>中央研究院函，為110年度中央政府總預算決議，檢送推動數位典藏及國際行銷書面報告，請查照案。</w:t>
              </w:r>
            </w:hyperlink>
          </w:p>
        </w:tc>
        <w:tc>
          <w:tcPr>
            <w:tcW w:w="897" w:type="pct"/>
          </w:tcPr>
          <w:p w:rsidR="00287897" w:rsidRPr="00521170" w:rsidRDefault="00287897" w:rsidP="00287897">
            <w:pPr>
              <w:pStyle w:val="0-"/>
            </w:pPr>
            <w:r w:rsidRPr="00521170">
              <w:t>10-4-10</w:t>
            </w:r>
          </w:p>
          <w:p w:rsidR="00287897" w:rsidRPr="00521170" w:rsidRDefault="00287897" w:rsidP="00287897">
            <w:pPr>
              <w:pStyle w:val="0-"/>
            </w:pPr>
            <w:r w:rsidRPr="00521170">
              <w:t>(110.11.19)</w:t>
            </w:r>
          </w:p>
        </w:tc>
        <w:tc>
          <w:tcPr>
            <w:tcW w:w="523" w:type="pct"/>
          </w:tcPr>
          <w:p w:rsidR="00287897" w:rsidRPr="00521170" w:rsidRDefault="00287897" w:rsidP="00287897">
            <w:pPr>
              <w:rPr>
                <w:rFonts w:ascii="標楷體" w:eastAsia="標楷體" w:hAnsi="標楷體"/>
                <w:color w:val="000000"/>
                <w:sz w:val="28"/>
              </w:rPr>
            </w:pPr>
          </w:p>
        </w:tc>
        <w:tc>
          <w:tcPr>
            <w:tcW w:w="1247" w:type="pct"/>
          </w:tcPr>
          <w:p w:rsidR="00287897" w:rsidRPr="00521170" w:rsidRDefault="00287897" w:rsidP="008C2561">
            <w:pPr>
              <w:rPr>
                <w:rFonts w:ascii="標楷體" w:eastAsia="標楷體" w:hAnsi="標楷體"/>
                <w:color w:val="000000"/>
                <w:sz w:val="28"/>
              </w:rPr>
            </w:pPr>
            <w:r w:rsidRPr="0052117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28" w:tooltip="三百九十二、國立故宮博物院函送110年第2季政策宣導廣告預算執行情形，請查照案。" w:history="1">
              <w:r w:rsidR="00287897" w:rsidRPr="002964FE">
                <w:rPr>
                  <w:rFonts w:hint="eastAsia"/>
                </w:rPr>
                <w:t>國立故宮博物院函送110年第2季政策宣導廣告預算執行情形，請查照案。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29" w:tooltip="三百九十三、國立故宮博物院函送110年第2季補（捐）助明細表，請查照案。" w:history="1">
              <w:r w:rsidR="00287897" w:rsidRPr="002964FE">
                <w:rPr>
                  <w:rFonts w:hint="eastAsia"/>
                </w:rPr>
                <w:t>國立故宮博物院函送110年第2季補（捐）助明細表，請查照案。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30" w:tooltip="三百九十四、國立故宮博物院函送110年第3季補（捐）助明細表，請查照案。" w:history="1">
              <w:r w:rsidR="00287897" w:rsidRPr="002964FE">
                <w:rPr>
                  <w:rFonts w:hint="eastAsia"/>
                </w:rPr>
                <w:t>國立故宮博物院函送110年第3季補（捐）助明細表，請查照案。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31" w:tooltip="三百九十五、國立故宮博物院函送「新故宮－故宮公共化帶動觀光產業發展中程計畫」110年第2季辦理進度書面報告，請查照案。" w:history="1">
              <w:r w:rsidR="00287897" w:rsidRPr="002964FE">
                <w:rPr>
                  <w:rFonts w:hint="eastAsia"/>
                </w:rPr>
                <w:t>國立故宮博物院函送「新故宮－故宮公共化帶動觀光產業發</w:t>
              </w:r>
              <w:r w:rsidR="00287897" w:rsidRPr="002964FE">
                <w:rPr>
                  <w:rFonts w:hint="eastAsia"/>
                </w:rPr>
                <w:lastRenderedPageBreak/>
                <w:t>展中程計畫」110年第2季辦理進度書面報告，請查照案。</w:t>
              </w:r>
            </w:hyperlink>
          </w:p>
        </w:tc>
        <w:tc>
          <w:tcPr>
            <w:tcW w:w="897" w:type="pct"/>
          </w:tcPr>
          <w:p w:rsidR="00287897" w:rsidRPr="0089164F" w:rsidRDefault="00287897" w:rsidP="00287897">
            <w:pPr>
              <w:pStyle w:val="0-"/>
            </w:pPr>
            <w:r w:rsidRPr="0089164F">
              <w:lastRenderedPageBreak/>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32" w:tooltip="三百九十六、教育部函送110年度第2季辦理政策及業務宣導之執行情形表，請查照案。" w:history="1">
              <w:r w:rsidR="00287897" w:rsidRPr="002964FE">
                <w:rPr>
                  <w:rFonts w:hint="eastAsia"/>
                </w:rPr>
                <w:t>教育部函送110年度第2季辦理政策及業務宣導之執行情形表，請查照案。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33" w:tooltip="三百九十七、教育部函送110年度第2季補捐助經費執行情形總表及明細表，請查照案。" w:history="1">
              <w:r w:rsidR="00287897" w:rsidRPr="002964FE">
                <w:rPr>
                  <w:rFonts w:hint="eastAsia"/>
                </w:rPr>
                <w:t>教育部函送110年度第2季補捐助經費執行情形總表及明細表，請查照案。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34" w:tooltip="三百九十八、科技部函送「科學園區管理局作業基金各項財務改善措施之執行成效」110年第2季書面報告，請查照案。" w:history="1">
              <w:r w:rsidR="00287897" w:rsidRPr="002964FE">
                <w:rPr>
                  <w:rFonts w:hint="eastAsia"/>
                </w:rPr>
                <w:t>科技部函送「科學園區管理局作業基金各項財務改善措施之執行成效」110年第2季書面報告，請查照案。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35" w:tooltip="三百九十九、科技部函送110年第2季於各類媒體辦理政策及業務宣導相關廣告之執行情形資料，請查照案。" w:history="1">
              <w:r w:rsidR="00287897" w:rsidRPr="002964FE">
                <w:rPr>
                  <w:rFonts w:hint="eastAsia"/>
                </w:rPr>
                <w:t>科技部函送110年第2季於各類媒體辦理政策及業務宣導相關廣告之執行情形資料，請查照案。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36" w:tooltip="四百、科技部函送該部暨所屬機關110年度截至第2季補（捐）助民間團體及個人經費資料一覽表，請查照案。" w:history="1">
              <w:r w:rsidR="00287897" w:rsidRPr="002964FE">
                <w:rPr>
                  <w:rFonts w:hint="eastAsia"/>
                </w:rPr>
                <w:t>科技部函送該部暨所屬機關110年度截至第2季補（捐）助民間團體及個人經費資料一覽表，請查照案。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37" w:tooltip="四百零一、文化部函送110年1－6月該部接受外界捐贈款明細表，請查照案。" w:history="1">
              <w:r w:rsidR="00287897" w:rsidRPr="002964FE">
                <w:rPr>
                  <w:rFonts w:hint="eastAsia"/>
                </w:rPr>
                <w:t>文化部函送110年1－6月該部接受外界捐贈款明細表，請查照案。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38" w:tooltip="四百零二、文化部函送110年1－7月該部接受外界捐贈款明細表，請查照案。" w:history="1">
              <w:r w:rsidR="00287897" w:rsidRPr="002964FE">
                <w:rPr>
                  <w:rFonts w:hint="eastAsia"/>
                </w:rPr>
                <w:t>文化部函送110年1－7月該部接受外界捐贈款明細表，請查照案。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39" w:tooltip="四百零三、文化部函送110年1－8月該部接受外界捐贈款明細表，請查照案。" w:history="1">
              <w:r w:rsidR="00287897" w:rsidRPr="002964FE">
                <w:rPr>
                  <w:rFonts w:hint="eastAsia"/>
                </w:rPr>
                <w:t>文化部函送110年1－8月該部接受外界捐贈款明細表，請查照案。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40" w:tooltip="四百零四、文化部函送110年度截至第2季止對縣市政府、民間團體及個人補（捐）助經費彙總表，請查照案。" w:history="1">
              <w:r w:rsidR="00287897" w:rsidRPr="002964FE">
                <w:rPr>
                  <w:rFonts w:hint="eastAsia"/>
                </w:rPr>
                <w:t>文化部函送110年度截至第2季止對縣市政府、民間團體及個人補（捐）助經費彙總表，請查照案。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991902">
        <w:trPr>
          <w:trHeight w:val="428"/>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41" w:tooltip="四百零五、文化部函送110年第2季辦理政策及業務宣導之執行情形表，請查照案。" w:history="1">
              <w:r w:rsidR="00287897" w:rsidRPr="002964FE">
                <w:rPr>
                  <w:rFonts w:hint="eastAsia"/>
                </w:rPr>
                <w:t>文化部函送110年第2季辦理政策及業務宣導之執行情形</w:t>
              </w:r>
              <w:r w:rsidR="00287897" w:rsidRPr="002964FE">
                <w:rPr>
                  <w:rFonts w:hint="eastAsia"/>
                </w:rPr>
                <w:lastRenderedPageBreak/>
                <w:t>表，請查照案。</w:t>
              </w:r>
            </w:hyperlink>
          </w:p>
        </w:tc>
        <w:tc>
          <w:tcPr>
            <w:tcW w:w="897" w:type="pct"/>
          </w:tcPr>
          <w:p w:rsidR="00287897" w:rsidRPr="0089164F" w:rsidRDefault="00287897" w:rsidP="00287897">
            <w:pPr>
              <w:pStyle w:val="0-"/>
            </w:pPr>
            <w:r w:rsidRPr="0089164F">
              <w:lastRenderedPageBreak/>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行政院原子能委員會函送110年第2季辦理政策及業務宣導之執行情形表，請查照案。</w:t>
            </w:r>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42" w:tooltip="四百九十一、國立故宮博物院函送110年第3季政策宣導廣告預算執行情形，請查照案。" w:history="1">
              <w:r w:rsidR="00287897" w:rsidRPr="002964FE">
                <w:rPr>
                  <w:rFonts w:hint="eastAsia"/>
                </w:rPr>
                <w:t>國立故宮博物院函送110年第3季政策宣導廣告預算執行情形，請查照案。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43" w:tooltip="四百九十二、國立故宮博物院函送「新故宮－故宮公共化帶動觀光產業發展中程計畫」110年第3季辦理進度書面報告，請查照案。" w:history="1">
              <w:r w:rsidR="00287897" w:rsidRPr="002964FE">
                <w:rPr>
                  <w:rFonts w:hint="eastAsia"/>
                </w:rPr>
                <w:t>國立故宮博物院函送「新故宮－故宮公共化帶動觀光產業發展中程計畫」110年第3季辦理進度書面報告，請查照案。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44" w:tooltip="四百九十三、行政院原子能委員會函，為該會110年第3季並無辦理政策及業務宣導相關之廣告，請查照案。" w:history="1">
              <w:r w:rsidR="00287897" w:rsidRPr="002964FE">
                <w:rPr>
                  <w:rFonts w:hint="eastAsia"/>
                </w:rPr>
                <w:t>行政院原子能委員會函，為該會110年第3季並無辦理政策及業務宣導相關之廣告，請查照案。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45" w:tooltip="四百九十四、行政院原子能委員會函送110年10月辦理政策及業務宣導之執行情形表，請查照案。" w:history="1">
              <w:r w:rsidR="00287897" w:rsidRPr="002964FE">
                <w:rPr>
                  <w:rFonts w:hint="eastAsia"/>
                </w:rPr>
                <w:t>行政院原子能委員會函送110年10月辦理政策及業務宣導之執行情形表，請查照案。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46" w:tooltip="四百九十五、教育部函送110年度第3季辦理政策及業務宣導之執行情形表，請查照案。" w:history="1">
              <w:r w:rsidR="00287897" w:rsidRPr="002964FE">
                <w:rPr>
                  <w:rFonts w:hint="eastAsia"/>
                </w:rPr>
                <w:t>教育部函送110年度第3季辦理政策及業務宣導之執行情形表，請查照案。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47" w:tooltip="四百九十六、教育部函送110年度第3季補捐助經費執行情形總表及明細表，請查照案。" w:history="1">
              <w:r w:rsidR="00287897" w:rsidRPr="002964FE">
                <w:rPr>
                  <w:rFonts w:hint="eastAsia"/>
                </w:rPr>
                <w:t>教育部函送110年度第3季補捐助經費執行情形總表及明細表，請查照案。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48" w:tooltip="四百九十七、文化部函送110年1－9月該部接受外界捐贈款明細表，請查照案。" w:history="1">
              <w:r w:rsidR="00287897" w:rsidRPr="002964FE">
                <w:rPr>
                  <w:rFonts w:hint="eastAsia"/>
                </w:rPr>
                <w:t>文化部函送110年1－9月該部接受外界捐贈款明細表，請查照案。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49" w:tooltip="四百九十八、文化部函送110年第3季辦理政策及業務宣導之執行情形表，請查照案。" w:history="1">
              <w:r w:rsidR="00287897" w:rsidRPr="002964FE">
                <w:rPr>
                  <w:rFonts w:hint="eastAsia"/>
                </w:rPr>
                <w:t>文化部函送110年第3季辦理政策及業務宣導之執行情形表，請查照案。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2964FE">
        <w:trPr>
          <w:trHeight w:val="428"/>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50" w:tooltip="四百九十九、文化部函送110年度截至第3季止對縣市政府、民間團體及個人補（捐）助經費彙總表，請查照案。" w:history="1">
              <w:r w:rsidR="00287897" w:rsidRPr="002964FE">
                <w:rPr>
                  <w:rFonts w:hint="eastAsia"/>
                </w:rPr>
                <w:t>文化部函送110年度截至第3季止對縣市政府、民間團體及個人補（捐）助經費彙總表，請查照案。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科技部函送「科學園區管理局作業基金各項財務改善措施之執行成效」110年第3季書面報告，請查照案。</w:t>
            </w:r>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51" w:tooltip="七百四十九、教育部函，為110年度中央政府總預算決議，檢送「公立高級中等以下學校冷氣裝設之規劃」書面報告，請查照案。" w:history="1">
              <w:r w:rsidR="00287897" w:rsidRPr="002964FE">
                <w:rPr>
                  <w:rFonts w:hint="eastAsia"/>
                </w:rPr>
                <w:t>教育部函，為110年度中央政府總預算決議，檢送「公立高級中等以下學校冷氣裝設之規劃」書面報告，請查照案。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52" w:tooltip="七百五十六、教育部函，為110年度中央政府總預算決議，檢送「精進推動高級中等教育階段學生學習歷程檔案」書面報告，請查照案。" w:history="1">
              <w:r w:rsidR="00287897" w:rsidRPr="002964FE">
                <w:rPr>
                  <w:rFonts w:hint="eastAsia"/>
                </w:rPr>
                <w:t>教育部函，為110年度中央政府總預算決議，檢送「精進推動高級中等教育階段學生學習歷程檔案」書面報告，請查照案。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53" w:tooltip="七百五十七、教育部函，為110年度中央政府總預算決議，檢送訂定校園使用國產豬肉、牛肉相關規範書面報告，請查照案。" w:history="1">
              <w:r w:rsidR="00287897" w:rsidRPr="002964FE">
                <w:rPr>
                  <w:rFonts w:hint="eastAsia"/>
                </w:rPr>
                <w:t>教育部函，為110年度中央政府總預算決議，檢送訂定校園使用國產豬肉、牛肉相關規範書面報告，請查照案。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教育部函，為110年度中央政府總預算決議，檢送校園使用國產豬肉、牛肉把關機制書面報告，請查照案。</w:t>
            </w:r>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54" w:tooltip="七百五十九、教育部函，為110年度中央政府總預算決議，檢送「有效降低學生吸菸（含電子煙）率」書面報告，請查照案。" w:history="1">
              <w:r w:rsidR="00287897" w:rsidRPr="002964FE">
                <w:rPr>
                  <w:rFonts w:hint="eastAsia"/>
                </w:rPr>
                <w:t>教育部函，為110年度中央政府總預算決議，檢送「有效降低學生吸菸（含電子煙）率」書面報告，請查照案。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55" w:tooltip="七百六十二、教育部函，為110年度中央政府總預算決議，檢送「高中職納入三章一Q食材補助對象」書面報告，請查照案。" w:history="1">
              <w:r w:rsidR="00287897" w:rsidRPr="002964FE">
                <w:rPr>
                  <w:rFonts w:hint="eastAsia"/>
                </w:rPr>
                <w:t>教育部函，為110年度中央政府總預算決議，檢送「高中職納入三章一Q食材補助對象」書面報告，請查照案。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56" w:tooltip="七百六十三、教育部函，為110年度中央政府總預算決議，檢送「補助高中階段三章一Q食材經費」書面報告，請查照案。" w:history="1">
              <w:r w:rsidR="00287897" w:rsidRPr="002964FE">
                <w:rPr>
                  <w:rFonts w:hint="eastAsia"/>
                </w:rPr>
                <w:t>教育部函，為110年度中央政府總預算決議，檢送「補助高中階段三章一Q食材經費」書面報告，請查照案。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57" w:tooltip="七百六十七、教育部函，為110年度中央政府總預算決議，檢送「各大學校務基金投資產業對氣候變遷之影響」書面報告，請查照案。" w:history="1">
              <w:r w:rsidR="00287897" w:rsidRPr="002964FE">
                <w:rPr>
                  <w:rFonts w:hint="eastAsia"/>
                </w:rPr>
                <w:t>教育部函，為110年度中央政府總預算決議，檢送「各大學</w:t>
              </w:r>
              <w:r w:rsidR="00287897" w:rsidRPr="002964FE">
                <w:rPr>
                  <w:rFonts w:hint="eastAsia"/>
                </w:rPr>
                <w:lastRenderedPageBreak/>
                <w:t>校務基金投資產業對氣候變遷之影響」書面報告，請查照案。</w:t>
              </w:r>
            </w:hyperlink>
          </w:p>
        </w:tc>
        <w:tc>
          <w:tcPr>
            <w:tcW w:w="897" w:type="pct"/>
          </w:tcPr>
          <w:p w:rsidR="00287897" w:rsidRPr="0089164F" w:rsidRDefault="00287897" w:rsidP="00287897">
            <w:pPr>
              <w:pStyle w:val="0-"/>
            </w:pPr>
            <w:r w:rsidRPr="0089164F">
              <w:lastRenderedPageBreak/>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58" w:tooltip="七百六十九、教育部函，為110年度中央政府總預算決議，檢送「0到6歲國家一起養之規劃做法」書面報告，請查照案。" w:history="1">
              <w:r w:rsidR="00287897" w:rsidRPr="002964FE">
                <w:rPr>
                  <w:rFonts w:hint="eastAsia"/>
                </w:rPr>
                <w:t>教育部函，為110年度中央政府總預算決議，檢送「0到6歲國家一起養之規劃做法」書面報告，請查照案。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59" w:tooltip="七百七十、教育部函，為110年度中央政府總預算決議，檢送「準公共幼兒園管理機制之檢討策進做法」書面報告，請查照案。" w:history="1">
              <w:r w:rsidR="00287897" w:rsidRPr="002964FE">
                <w:rPr>
                  <w:rFonts w:hint="eastAsia"/>
                </w:rPr>
                <w:t>教育部函，為110年度中央政府總預算決議，檢送「準公共幼兒園管理機制之檢討策進做法」書面報告，請查照案。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60" w:tooltip="七百七十一、教育部函，為110年度中央政府總預算決議，檢送「公共化、準公共及私立幼兒園供應情形」書面報告，請查照案。" w:history="1">
              <w:r w:rsidR="00287897" w:rsidRPr="002964FE">
                <w:rPr>
                  <w:rFonts w:hint="eastAsia"/>
                </w:rPr>
                <w:t>教育部函，為110年度中央政府總預算決議，檢送「公共化、準公共及私立幼兒園供應情形」書面報告，請查照案。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61" w:tooltip="七百七十二、教育部函，為110年度中央政府總預算決議，檢送2到6歲教保服務規劃書面報告，請查照案。" w:history="1">
              <w:r w:rsidR="00287897" w:rsidRPr="002964FE">
                <w:rPr>
                  <w:rFonts w:hint="eastAsia"/>
                </w:rPr>
                <w:t>教育部函，為110年度中央政府總預算決議，檢送2到6歲教保服務規劃書面報告，請查照案。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62" w:tooltip="七百七十五、教育部函，為110年度中央政府總預算決議，檢送「2到6歲教保服務之規劃做法」書面報告，請查照案。" w:history="1">
              <w:r w:rsidR="00287897" w:rsidRPr="002964FE">
                <w:rPr>
                  <w:rFonts w:hint="eastAsia"/>
                </w:rPr>
                <w:t>教育部函，為110年度中央政府總預算決議，檢送「2到6歲教保服務之規劃做法」書面報告，請查照案。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63" w:tooltip="七百七十六、教育部函，為110年度中央政府總預算決議，檢送「準公共幼兒園教保服務人員之薪資查核情形及管理機制」書面報告，請查照案。" w:history="1">
              <w:r w:rsidR="00287897" w:rsidRPr="002964FE">
                <w:rPr>
                  <w:rFonts w:hint="eastAsia"/>
                </w:rPr>
                <w:t>教育部函，為110年度中央政府總預算決議，檢送「準公共幼兒園教保服務人員之薪資查核情形及管理機制」書面報告，請查照案。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64" w:tooltip="七百七十七、教育部函，為110年度中央政府總預算決議，檢送「持續擴大公共化教保服務供應量之精進作為」書面報告，請查照案。" w:history="1">
              <w:r w:rsidR="00287897" w:rsidRPr="002964FE">
                <w:rPr>
                  <w:rFonts w:hint="eastAsia"/>
                </w:rPr>
                <w:t>教育部函，為110年度中央政府總預算決議，檢送「持續擴大公共化教保服務供應量之精進作為」書面報告，請查照案。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65" w:tooltip="七百七十八、教育部函，為110年度中央政府總預算決議，檢送「公立幼兒園代理教師占比過高改善措施」書面報告，請查照案。" w:history="1">
              <w:r w:rsidR="00287897" w:rsidRPr="002964FE">
                <w:rPr>
                  <w:rFonts w:hint="eastAsia"/>
                </w:rPr>
                <w:t>教育部函，為110年度中央政府總預算決議，檢送「公立幼</w:t>
              </w:r>
              <w:r w:rsidR="00287897" w:rsidRPr="002964FE">
                <w:rPr>
                  <w:rFonts w:hint="eastAsia"/>
                </w:rPr>
                <w:lastRenderedPageBreak/>
                <w:t>兒園代理教師占比過高改善措施」書面報告，請查照案。</w:t>
              </w:r>
            </w:hyperlink>
          </w:p>
        </w:tc>
        <w:tc>
          <w:tcPr>
            <w:tcW w:w="897" w:type="pct"/>
          </w:tcPr>
          <w:p w:rsidR="00287897" w:rsidRPr="0089164F" w:rsidRDefault="00287897" w:rsidP="00287897">
            <w:pPr>
              <w:pStyle w:val="0-"/>
            </w:pPr>
            <w:r w:rsidRPr="0089164F">
              <w:lastRenderedPageBreak/>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66" w:tooltip="七百七十九、教育部函，為110年度中央政府總預算決議，檢送「我國少子女化對策計畫－2至6歲（未滿）幼兒教育與照顧政策精進作為」書面報告，請查照案。" w:history="1">
              <w:r w:rsidR="00287897" w:rsidRPr="002964FE">
                <w:rPr>
                  <w:rFonts w:hint="eastAsia"/>
                </w:rPr>
                <w:t>教育部函，為110年度中央政府總預算決議，檢送「我國少子女化對策計畫－2至6歲（未滿）幼兒教育與照顧政策精進作為」書面報告，請查照案。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67" w:tooltip="七百八十、教育部函，為110年度中央政府總預算決議，檢送2至6歲（未滿）幼兒教育與照顧政策精進作為書面報告，請查照案。" w:history="1">
              <w:r w:rsidR="00287897" w:rsidRPr="002964FE">
                <w:rPr>
                  <w:rFonts w:hint="eastAsia"/>
                </w:rPr>
                <w:t>教育部函，為110年度中央政府總預算決議，檢送2至6歲（未滿）幼兒教育與照顧政策精進作為書面報告，請查照案。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教育部函，為110年度中央政府總預算決議，檢送持續擴大公共化教保服務供應量書面報告，請查照案。</w:t>
            </w:r>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68" w:tooltip="七百八十九、教育部函，為110年度中央政府總預算決議，檢送「有效降低學生吸菸（含電子煙）之人數及成癮率」書面報告，請查照案。" w:history="1">
              <w:r w:rsidR="00287897" w:rsidRPr="002964FE">
                <w:rPr>
                  <w:rFonts w:hint="eastAsia"/>
                </w:rPr>
                <w:t>教育部函，為110年度中央政府總預算決議，檢送「有效降低學生吸菸（含電子煙）之人數及成癮率」書面報告，請查照案。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D617A6">
        <w:trPr>
          <w:trHeight w:val="428"/>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69" w:tooltip="七百九十、教育部函，為110年度中央政府總預算決議，檢送「中小學數位學習整體推動方案」書面報告，請查照案。" w:history="1">
              <w:r w:rsidR="00287897" w:rsidRPr="002964FE">
                <w:rPr>
                  <w:rFonts w:hint="eastAsia"/>
                </w:rPr>
                <w:t>教育部函，為110年度中央政府總預算決議，檢送「中小學數位學習整體推動方案」書面報告，請查照案。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70" w:tooltip="八百零一、教育部函，為110年度中央政府總預算決議，檢送新南向產學合作國際專班推動情形書面報告，請查照案。" w:history="1">
              <w:r w:rsidR="00287897" w:rsidRPr="002964FE">
                <w:rPr>
                  <w:rFonts w:hint="eastAsia"/>
                </w:rPr>
                <w:t>教育部函，為110年度中央政府總預算決議，檢送新南向產學合作國際專班推動情形書面報告，請查照案。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2964FE">
        <w:trPr>
          <w:trHeight w:val="428"/>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71" w:tooltip="八百零四、教育部函，為110年度中央政府總預算決議，檢送「新南向政策－學校體育交流及山野教育辦理情形」書面報告，請查照案。" w:history="1">
              <w:r w:rsidR="00287897" w:rsidRPr="002964FE">
                <w:rPr>
                  <w:rFonts w:hint="eastAsia"/>
                </w:rPr>
                <w:t>教育部函，為110年度中央政府總預算決議，檢送「新南向政策－學校體育交流及山野教育辦理情形」書面報告，請查照案。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教育部函，為110年度中央政府總預算決議，檢送「運用學校空餘空間規劃辦理0至6歲公共托育及公共化教保服務」書面報告，請查照案。</w:t>
            </w:r>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72" w:tooltip="八百一十八、教育部函，為110年度中央政府總預算決議，檢送「中小學數位學習精進方案」書面報告，請查照案。" w:history="1">
              <w:r w:rsidR="00287897" w:rsidRPr="002964FE">
                <w:rPr>
                  <w:rFonts w:hint="eastAsia"/>
                </w:rPr>
                <w:t>教育部函，為110年度中央政府總預算決議，檢送「中小學數位學習精進方案」書面報告，請查照案。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教育部函，為110年度中央政府總預算決議，檢送標案決標資訊上網公布於網站之說明，請查照案。</w:t>
            </w:r>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73" w:tooltip="八百二十、教育部函，為110年度中央政府總預算決議，檢送國立陽明交通大學預算及業務推展概況書面報告，請查照案。" w:history="1">
              <w:r w:rsidR="00287897" w:rsidRPr="002964FE">
                <w:rPr>
                  <w:rFonts w:hint="eastAsia"/>
                </w:rPr>
                <w:t>教育部函，為110年度中央政府總預算決議，檢送國立陽明交通大學預算及業務推展概況書面報告，請查照案。</w:t>
              </w:r>
            </w:hyperlink>
          </w:p>
        </w:tc>
        <w:tc>
          <w:tcPr>
            <w:tcW w:w="897" w:type="pct"/>
          </w:tcPr>
          <w:p w:rsidR="00287897" w:rsidRPr="0089164F" w:rsidRDefault="00287897" w:rsidP="00287897">
            <w:pPr>
              <w:pStyle w:val="0-"/>
            </w:pPr>
            <w:r w:rsidRPr="0089164F">
              <w:t>10-4-14</w:t>
            </w:r>
          </w:p>
          <w:p w:rsidR="00287897" w:rsidRPr="0089164F" w:rsidRDefault="00287897" w:rsidP="00287897">
            <w:pPr>
              <w:pStyle w:val="0-"/>
            </w:pPr>
            <w:r w:rsidRPr="0089164F">
              <w:t>(110.12.17)</w:t>
            </w:r>
          </w:p>
        </w:tc>
        <w:tc>
          <w:tcPr>
            <w:tcW w:w="523" w:type="pct"/>
          </w:tcPr>
          <w:p w:rsidR="00287897" w:rsidRPr="0089164F" w:rsidRDefault="00287897" w:rsidP="00287897">
            <w:pPr>
              <w:rPr>
                <w:rFonts w:ascii="標楷體" w:eastAsia="標楷體" w:hAnsi="標楷體"/>
                <w:color w:val="000000"/>
                <w:sz w:val="28"/>
              </w:rPr>
            </w:pPr>
          </w:p>
        </w:tc>
        <w:tc>
          <w:tcPr>
            <w:tcW w:w="1247" w:type="pct"/>
          </w:tcPr>
          <w:p w:rsidR="00287897" w:rsidRPr="0089164F" w:rsidRDefault="00287897" w:rsidP="008C2561">
            <w:pPr>
              <w:rPr>
                <w:rFonts w:ascii="標楷體" w:eastAsia="標楷體" w:hAnsi="標楷體"/>
                <w:color w:val="000000"/>
                <w:sz w:val="28"/>
              </w:rPr>
            </w:pPr>
            <w:r w:rsidRPr="0089164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74" w:tooltip="六十五、教育部函，為110年度中央政府總預算決議，檢送「營養師人力規劃」書面報告，請查照案。" w:history="1">
              <w:r w:rsidR="00287897" w:rsidRPr="002964FE">
                <w:rPr>
                  <w:rFonts w:hint="eastAsia"/>
                </w:rPr>
                <w:t>教育部函，為110年度中央政府總預算決議，檢送「營養師人力規劃」書面報告，請查照案。</w:t>
              </w:r>
            </w:hyperlink>
          </w:p>
        </w:tc>
        <w:tc>
          <w:tcPr>
            <w:tcW w:w="897" w:type="pct"/>
          </w:tcPr>
          <w:p w:rsidR="00287897" w:rsidRPr="00F840C9" w:rsidRDefault="00287897" w:rsidP="00287897">
            <w:pPr>
              <w:pStyle w:val="0-"/>
            </w:pPr>
            <w:r w:rsidRPr="00F840C9">
              <w:t>10-5-2</w:t>
            </w:r>
          </w:p>
          <w:p w:rsidR="00287897" w:rsidRPr="00F840C9" w:rsidRDefault="00287897" w:rsidP="00287897">
            <w:pPr>
              <w:pStyle w:val="0-"/>
            </w:pPr>
            <w:r w:rsidRPr="00F840C9">
              <w:t>(111.3.4)</w:t>
            </w:r>
          </w:p>
        </w:tc>
        <w:tc>
          <w:tcPr>
            <w:tcW w:w="523" w:type="pct"/>
          </w:tcPr>
          <w:p w:rsidR="00287897" w:rsidRPr="00F840C9" w:rsidRDefault="00287897" w:rsidP="00287897">
            <w:pPr>
              <w:rPr>
                <w:rFonts w:ascii="標楷體" w:eastAsia="標楷體" w:hAnsi="標楷體"/>
                <w:sz w:val="28"/>
              </w:rPr>
            </w:pPr>
          </w:p>
        </w:tc>
        <w:tc>
          <w:tcPr>
            <w:tcW w:w="1247" w:type="pct"/>
          </w:tcPr>
          <w:p w:rsidR="00287897" w:rsidRPr="00F840C9" w:rsidRDefault="00287897" w:rsidP="008C2561">
            <w:pPr>
              <w:rPr>
                <w:rFonts w:ascii="標楷體" w:eastAsia="標楷體" w:hAnsi="標楷體"/>
                <w:sz w:val="28"/>
              </w:rPr>
            </w:pPr>
            <w:r w:rsidRPr="00F840C9">
              <w:rPr>
                <w:rFonts w:ascii="標楷體" w:eastAsia="標楷體" w:hAnsi="標楷體" w:hint="eastAsia"/>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75" w:tooltip="六十六、教育部函，為110年度中央政府總預算決議，檢送勞動教育推動計畫現況書面報告，請查照案。" w:history="1">
              <w:r w:rsidR="00287897" w:rsidRPr="002964FE">
                <w:rPr>
                  <w:rFonts w:hint="eastAsia"/>
                </w:rPr>
                <w:t>教育部函，為110年度中央政府總預算決議，檢送勞動教育推動計畫現況書面報告，請查照案。</w:t>
              </w:r>
            </w:hyperlink>
          </w:p>
        </w:tc>
        <w:tc>
          <w:tcPr>
            <w:tcW w:w="897" w:type="pct"/>
          </w:tcPr>
          <w:p w:rsidR="00287897" w:rsidRPr="00F840C9" w:rsidRDefault="00287897" w:rsidP="00287897">
            <w:pPr>
              <w:pStyle w:val="0-"/>
            </w:pPr>
            <w:r w:rsidRPr="00F840C9">
              <w:t>10-5-2</w:t>
            </w:r>
          </w:p>
          <w:p w:rsidR="00287897" w:rsidRPr="00F840C9" w:rsidRDefault="00287897" w:rsidP="00287897">
            <w:pPr>
              <w:pStyle w:val="0-"/>
            </w:pPr>
            <w:r w:rsidRPr="00F840C9">
              <w:t>(111.3.4)</w:t>
            </w:r>
          </w:p>
        </w:tc>
        <w:tc>
          <w:tcPr>
            <w:tcW w:w="523" w:type="pct"/>
          </w:tcPr>
          <w:p w:rsidR="00287897" w:rsidRPr="00F840C9" w:rsidRDefault="00287897" w:rsidP="00287897">
            <w:pPr>
              <w:rPr>
                <w:rFonts w:ascii="標楷體" w:eastAsia="標楷體" w:hAnsi="標楷體"/>
                <w:sz w:val="28"/>
              </w:rPr>
            </w:pPr>
          </w:p>
        </w:tc>
        <w:tc>
          <w:tcPr>
            <w:tcW w:w="1247" w:type="pct"/>
          </w:tcPr>
          <w:p w:rsidR="00287897" w:rsidRPr="00F840C9" w:rsidRDefault="00287897" w:rsidP="008C2561">
            <w:pPr>
              <w:rPr>
                <w:rFonts w:ascii="標楷體" w:eastAsia="標楷體" w:hAnsi="標楷體"/>
                <w:sz w:val="28"/>
              </w:rPr>
            </w:pPr>
            <w:r w:rsidRPr="00F840C9">
              <w:rPr>
                <w:rFonts w:ascii="標楷體" w:eastAsia="標楷體" w:hAnsi="標楷體" w:hint="eastAsia"/>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76" w:tooltip="六十七、教育部函，為110年度中央政府總預算決議，檢送「公立高級中等以下學校校舍耐震能力改善執行情形」書面報告，請查照案。" w:history="1">
              <w:r w:rsidR="00287897" w:rsidRPr="002964FE">
                <w:rPr>
                  <w:rFonts w:hint="eastAsia"/>
                </w:rPr>
                <w:t>教育部函，為110年度中央政府總預算決議，檢送「公立高級中等以下學校校舍耐震能力改善執行情形」書面報告，請查照案。</w:t>
              </w:r>
            </w:hyperlink>
          </w:p>
        </w:tc>
        <w:tc>
          <w:tcPr>
            <w:tcW w:w="897" w:type="pct"/>
          </w:tcPr>
          <w:p w:rsidR="00287897" w:rsidRPr="00F840C9" w:rsidRDefault="00287897" w:rsidP="00287897">
            <w:pPr>
              <w:pStyle w:val="0-"/>
            </w:pPr>
            <w:r w:rsidRPr="00F840C9">
              <w:t>10-5-2</w:t>
            </w:r>
          </w:p>
          <w:p w:rsidR="00287897" w:rsidRPr="00F840C9" w:rsidRDefault="00287897" w:rsidP="00287897">
            <w:pPr>
              <w:pStyle w:val="0-"/>
            </w:pPr>
            <w:r w:rsidRPr="00F840C9">
              <w:t>(111.3.4)</w:t>
            </w:r>
          </w:p>
        </w:tc>
        <w:tc>
          <w:tcPr>
            <w:tcW w:w="523" w:type="pct"/>
          </w:tcPr>
          <w:p w:rsidR="00287897" w:rsidRPr="00F840C9" w:rsidRDefault="00287897" w:rsidP="00287897">
            <w:pPr>
              <w:rPr>
                <w:rFonts w:ascii="標楷體" w:eastAsia="標楷體" w:hAnsi="標楷體"/>
                <w:sz w:val="28"/>
              </w:rPr>
            </w:pPr>
          </w:p>
        </w:tc>
        <w:tc>
          <w:tcPr>
            <w:tcW w:w="1247" w:type="pct"/>
          </w:tcPr>
          <w:p w:rsidR="00287897" w:rsidRPr="00F840C9" w:rsidRDefault="00287897" w:rsidP="008C2561">
            <w:pPr>
              <w:rPr>
                <w:rFonts w:ascii="標楷體" w:eastAsia="標楷體" w:hAnsi="標楷體"/>
                <w:sz w:val="28"/>
              </w:rPr>
            </w:pPr>
            <w:r w:rsidRPr="00F840C9">
              <w:rPr>
                <w:rFonts w:ascii="標楷體" w:eastAsia="標楷體" w:hAnsi="標楷體" w:hint="eastAsia"/>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77" w:tooltip="六十九、教育部函，為110年度中央政府總預算決議，檢送檢討修正性平教育「散布私密影像防治」宣導教材書面報告，請查照案。" w:history="1">
              <w:r w:rsidR="00287897" w:rsidRPr="002964FE">
                <w:rPr>
                  <w:rFonts w:hint="eastAsia"/>
                </w:rPr>
                <w:t>教育部函，為110年度中央政府總預算決議，檢送檢討修正性平教育「散布私密影像防治」宣導教材書面報告，請查照案。</w:t>
              </w:r>
            </w:hyperlink>
          </w:p>
        </w:tc>
        <w:tc>
          <w:tcPr>
            <w:tcW w:w="897" w:type="pct"/>
          </w:tcPr>
          <w:p w:rsidR="00287897" w:rsidRPr="00F840C9" w:rsidRDefault="00287897" w:rsidP="00287897">
            <w:pPr>
              <w:pStyle w:val="0-"/>
            </w:pPr>
            <w:r w:rsidRPr="00F840C9">
              <w:t>10-5-2</w:t>
            </w:r>
          </w:p>
          <w:p w:rsidR="00287897" w:rsidRPr="00F840C9" w:rsidRDefault="00287897" w:rsidP="00287897">
            <w:pPr>
              <w:pStyle w:val="0-"/>
            </w:pPr>
            <w:r w:rsidRPr="00F840C9">
              <w:t>(111.3.4)</w:t>
            </w:r>
          </w:p>
        </w:tc>
        <w:tc>
          <w:tcPr>
            <w:tcW w:w="523" w:type="pct"/>
          </w:tcPr>
          <w:p w:rsidR="00287897" w:rsidRPr="00F840C9" w:rsidRDefault="00287897" w:rsidP="00287897">
            <w:pPr>
              <w:rPr>
                <w:rFonts w:ascii="標楷體" w:eastAsia="標楷體" w:hAnsi="標楷體"/>
                <w:sz w:val="28"/>
              </w:rPr>
            </w:pPr>
          </w:p>
        </w:tc>
        <w:tc>
          <w:tcPr>
            <w:tcW w:w="1247" w:type="pct"/>
          </w:tcPr>
          <w:p w:rsidR="00287897" w:rsidRPr="00F840C9" w:rsidRDefault="00287897" w:rsidP="008C2561">
            <w:pPr>
              <w:rPr>
                <w:rFonts w:ascii="標楷體" w:eastAsia="標楷體" w:hAnsi="標楷體"/>
                <w:sz w:val="28"/>
              </w:rPr>
            </w:pPr>
            <w:r w:rsidRPr="00F840C9">
              <w:rPr>
                <w:rFonts w:ascii="標楷體" w:eastAsia="標楷體" w:hAnsi="標楷體" w:hint="eastAsia"/>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w:t>
            </w:r>
            <w:hyperlink r:id="rId178" w:tooltip="七十一、教育部函，為110年度中央政府總預算決議，檢送「國立大專校院推動轉型正義議題」書面報告，請查照案。" w:history="1">
              <w:r w:rsidRPr="002964FE">
                <w:rPr>
                  <w:rFonts w:hint="eastAsia"/>
                </w:rPr>
                <w:t>部函，為110年度中央政府總預算決議，檢送「國立大專校院推動轉型正義議題」書面報告，請查照案。</w:t>
              </w:r>
            </w:hyperlink>
          </w:p>
        </w:tc>
        <w:tc>
          <w:tcPr>
            <w:tcW w:w="897" w:type="pct"/>
          </w:tcPr>
          <w:p w:rsidR="00287897" w:rsidRPr="00F840C9" w:rsidRDefault="00287897" w:rsidP="00287897">
            <w:pPr>
              <w:pStyle w:val="0-"/>
            </w:pPr>
            <w:r w:rsidRPr="00F840C9">
              <w:t>10-5-2</w:t>
            </w:r>
          </w:p>
          <w:p w:rsidR="00287897" w:rsidRPr="00F840C9" w:rsidRDefault="00287897" w:rsidP="00287897">
            <w:pPr>
              <w:pStyle w:val="0-"/>
            </w:pPr>
            <w:r w:rsidRPr="00F840C9">
              <w:t>(111.3.4)</w:t>
            </w:r>
          </w:p>
        </w:tc>
        <w:tc>
          <w:tcPr>
            <w:tcW w:w="523" w:type="pct"/>
          </w:tcPr>
          <w:p w:rsidR="00287897" w:rsidRPr="00F840C9" w:rsidRDefault="00287897" w:rsidP="00287897">
            <w:pPr>
              <w:rPr>
                <w:rFonts w:ascii="標楷體" w:eastAsia="標楷體" w:hAnsi="標楷體"/>
                <w:sz w:val="28"/>
              </w:rPr>
            </w:pPr>
          </w:p>
        </w:tc>
        <w:tc>
          <w:tcPr>
            <w:tcW w:w="1247" w:type="pct"/>
          </w:tcPr>
          <w:p w:rsidR="00287897" w:rsidRPr="00F840C9" w:rsidRDefault="00287897" w:rsidP="008C2561">
            <w:pPr>
              <w:rPr>
                <w:rFonts w:ascii="標楷體" w:eastAsia="標楷體" w:hAnsi="標楷體"/>
                <w:sz w:val="28"/>
              </w:rPr>
            </w:pPr>
            <w:r w:rsidRPr="00F840C9">
              <w:rPr>
                <w:rFonts w:ascii="標楷體" w:eastAsia="標楷體" w:hAnsi="標楷體" w:hint="eastAsia"/>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79" w:tooltip="七十四、教育部函，為110年度中央政府總預算決議，檢送輔導團膳廠商提升章Q使用率相關作為書面報告，請查照案。" w:history="1">
              <w:r w:rsidR="00287897" w:rsidRPr="002964FE">
                <w:rPr>
                  <w:rFonts w:hint="eastAsia"/>
                </w:rPr>
                <w:t>教育部函，為110年度中央政府總預算決議，檢送輔導團膳廠商提升章Q使用率相關作為書面報告，請查照案。</w:t>
              </w:r>
            </w:hyperlink>
          </w:p>
        </w:tc>
        <w:tc>
          <w:tcPr>
            <w:tcW w:w="897" w:type="pct"/>
          </w:tcPr>
          <w:p w:rsidR="00287897" w:rsidRPr="00F840C9" w:rsidRDefault="00287897" w:rsidP="00287897">
            <w:pPr>
              <w:pStyle w:val="0-"/>
            </w:pPr>
            <w:r w:rsidRPr="00F840C9">
              <w:t>10-5-2</w:t>
            </w:r>
          </w:p>
          <w:p w:rsidR="00287897" w:rsidRPr="00F840C9" w:rsidRDefault="00287897" w:rsidP="00287897">
            <w:pPr>
              <w:pStyle w:val="0-"/>
            </w:pPr>
            <w:r w:rsidRPr="00F840C9">
              <w:t>(111.3.4)</w:t>
            </w:r>
          </w:p>
        </w:tc>
        <w:tc>
          <w:tcPr>
            <w:tcW w:w="523" w:type="pct"/>
          </w:tcPr>
          <w:p w:rsidR="00287897" w:rsidRPr="00F840C9" w:rsidRDefault="00287897" w:rsidP="00287897">
            <w:pPr>
              <w:rPr>
                <w:rFonts w:ascii="標楷體" w:eastAsia="標楷體" w:hAnsi="標楷體"/>
                <w:sz w:val="28"/>
              </w:rPr>
            </w:pPr>
          </w:p>
        </w:tc>
        <w:tc>
          <w:tcPr>
            <w:tcW w:w="1247" w:type="pct"/>
          </w:tcPr>
          <w:p w:rsidR="00287897" w:rsidRPr="00F840C9" w:rsidRDefault="00287897" w:rsidP="008C2561">
            <w:pPr>
              <w:rPr>
                <w:rFonts w:ascii="標楷體" w:eastAsia="標楷體" w:hAnsi="標楷體"/>
                <w:sz w:val="28"/>
              </w:rPr>
            </w:pPr>
            <w:r w:rsidRPr="00F840C9">
              <w:rPr>
                <w:rFonts w:ascii="標楷體" w:eastAsia="標楷體" w:hAnsi="標楷體" w:hint="eastAsia"/>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80" w:tooltip="七十七、教育部函，為110年度中央政府總預算決議，檢送高級中等以下學校運動操場及周邊設施整建專案書面報告，請查照案。" w:history="1">
              <w:r w:rsidR="00287897" w:rsidRPr="002964FE">
                <w:rPr>
                  <w:rFonts w:hint="eastAsia"/>
                </w:rPr>
                <w:t>教育部函，為110年度中央政府總預算決議，檢送高級中等以下學校運動操場及周邊設施整建專案書面報告，請查照案。</w:t>
              </w:r>
            </w:hyperlink>
          </w:p>
        </w:tc>
        <w:tc>
          <w:tcPr>
            <w:tcW w:w="897" w:type="pct"/>
          </w:tcPr>
          <w:p w:rsidR="00287897" w:rsidRPr="00F840C9" w:rsidRDefault="00287897" w:rsidP="00287897">
            <w:pPr>
              <w:pStyle w:val="0-"/>
            </w:pPr>
            <w:r w:rsidRPr="00F840C9">
              <w:t>10-5-2</w:t>
            </w:r>
          </w:p>
          <w:p w:rsidR="00287897" w:rsidRPr="00F840C9" w:rsidRDefault="00287897" w:rsidP="00287897">
            <w:pPr>
              <w:pStyle w:val="0-"/>
            </w:pPr>
            <w:r w:rsidRPr="00F840C9">
              <w:t>(111.3.4)</w:t>
            </w:r>
          </w:p>
        </w:tc>
        <w:tc>
          <w:tcPr>
            <w:tcW w:w="523" w:type="pct"/>
          </w:tcPr>
          <w:p w:rsidR="00287897" w:rsidRPr="00F840C9" w:rsidRDefault="00287897" w:rsidP="00287897">
            <w:pPr>
              <w:rPr>
                <w:rFonts w:ascii="標楷體" w:eastAsia="標楷體" w:hAnsi="標楷體"/>
                <w:sz w:val="28"/>
              </w:rPr>
            </w:pPr>
          </w:p>
        </w:tc>
        <w:tc>
          <w:tcPr>
            <w:tcW w:w="1247" w:type="pct"/>
          </w:tcPr>
          <w:p w:rsidR="00287897" w:rsidRPr="00F840C9" w:rsidRDefault="00287897" w:rsidP="008C2561">
            <w:pPr>
              <w:rPr>
                <w:rFonts w:ascii="標楷體" w:eastAsia="標楷體" w:hAnsi="標楷體"/>
                <w:sz w:val="28"/>
              </w:rPr>
            </w:pPr>
            <w:r w:rsidRPr="00F840C9">
              <w:rPr>
                <w:rFonts w:ascii="標楷體" w:eastAsia="標楷體" w:hAnsi="標楷體" w:hint="eastAsia"/>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81" w:tooltip="八十、教育部函，為110年度中央政府總預算決議，檢送國民及學前教育署委外業務執行資訊書面報告，請查照案。" w:history="1">
              <w:r w:rsidR="00287897" w:rsidRPr="002964FE">
                <w:rPr>
                  <w:rFonts w:hint="eastAsia"/>
                </w:rPr>
                <w:t>教育部函，為110年度中央政府總預算決議，檢送國民及學前教育署委外業務執行資訊書面報告，請查照案。</w:t>
              </w:r>
            </w:hyperlink>
          </w:p>
        </w:tc>
        <w:tc>
          <w:tcPr>
            <w:tcW w:w="897" w:type="pct"/>
          </w:tcPr>
          <w:p w:rsidR="00287897" w:rsidRPr="00F840C9" w:rsidRDefault="00287897" w:rsidP="00287897">
            <w:pPr>
              <w:pStyle w:val="0-"/>
            </w:pPr>
            <w:r w:rsidRPr="00F840C9">
              <w:t>10-5-2</w:t>
            </w:r>
          </w:p>
          <w:p w:rsidR="00287897" w:rsidRPr="00F840C9" w:rsidRDefault="00287897" w:rsidP="00287897">
            <w:pPr>
              <w:pStyle w:val="0-"/>
            </w:pPr>
            <w:r w:rsidRPr="00F840C9">
              <w:t>(111.3.4)</w:t>
            </w:r>
          </w:p>
        </w:tc>
        <w:tc>
          <w:tcPr>
            <w:tcW w:w="523" w:type="pct"/>
          </w:tcPr>
          <w:p w:rsidR="00287897" w:rsidRPr="00F840C9" w:rsidRDefault="00287897" w:rsidP="00287897">
            <w:pPr>
              <w:rPr>
                <w:rFonts w:ascii="標楷體" w:eastAsia="標楷體" w:hAnsi="標楷體"/>
                <w:sz w:val="28"/>
              </w:rPr>
            </w:pPr>
          </w:p>
        </w:tc>
        <w:tc>
          <w:tcPr>
            <w:tcW w:w="1247" w:type="pct"/>
          </w:tcPr>
          <w:p w:rsidR="00287897" w:rsidRPr="00F840C9" w:rsidRDefault="00287897" w:rsidP="008C2561">
            <w:pPr>
              <w:rPr>
                <w:rFonts w:ascii="標楷體" w:eastAsia="標楷體" w:hAnsi="標楷體"/>
                <w:sz w:val="28"/>
              </w:rPr>
            </w:pPr>
            <w:r w:rsidRPr="00F840C9">
              <w:rPr>
                <w:rFonts w:ascii="標楷體" w:eastAsia="標楷體" w:hAnsi="標楷體" w:hint="eastAsia"/>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82" w:tooltip="八十一、科技部函，為110年度中央政府總預算決議，檢送特定非公務機關評估辦理變更原資通安全責任等級書面報告，請查照案。" w:history="1">
              <w:r w:rsidR="00287897" w:rsidRPr="002964FE">
                <w:rPr>
                  <w:rFonts w:hint="eastAsia"/>
                </w:rPr>
                <w:t>科技部函，為110年度中央政府總預算決議，檢送特定非公務機關評估辦理變更原資通安全責任等級書面報告，請查照案。</w:t>
              </w:r>
            </w:hyperlink>
          </w:p>
        </w:tc>
        <w:tc>
          <w:tcPr>
            <w:tcW w:w="897" w:type="pct"/>
          </w:tcPr>
          <w:p w:rsidR="00287897" w:rsidRPr="00F840C9" w:rsidRDefault="00287897" w:rsidP="00287897">
            <w:pPr>
              <w:pStyle w:val="0-"/>
            </w:pPr>
            <w:r w:rsidRPr="00F840C9">
              <w:t>10-5-2</w:t>
            </w:r>
          </w:p>
          <w:p w:rsidR="00287897" w:rsidRPr="00F840C9" w:rsidRDefault="00287897" w:rsidP="00287897">
            <w:pPr>
              <w:pStyle w:val="0-"/>
            </w:pPr>
            <w:r w:rsidRPr="00F840C9">
              <w:t>(111.3.4)</w:t>
            </w:r>
          </w:p>
        </w:tc>
        <w:tc>
          <w:tcPr>
            <w:tcW w:w="523" w:type="pct"/>
          </w:tcPr>
          <w:p w:rsidR="00287897" w:rsidRPr="00F840C9" w:rsidRDefault="00287897" w:rsidP="00287897">
            <w:pPr>
              <w:rPr>
                <w:rFonts w:ascii="標楷體" w:eastAsia="標楷體" w:hAnsi="標楷體"/>
                <w:sz w:val="28"/>
              </w:rPr>
            </w:pPr>
          </w:p>
        </w:tc>
        <w:tc>
          <w:tcPr>
            <w:tcW w:w="1247" w:type="pct"/>
          </w:tcPr>
          <w:p w:rsidR="00287897" w:rsidRPr="00F840C9" w:rsidRDefault="00287897" w:rsidP="008C2561">
            <w:pPr>
              <w:rPr>
                <w:rFonts w:ascii="標楷體" w:eastAsia="標楷體" w:hAnsi="標楷體"/>
                <w:sz w:val="28"/>
              </w:rPr>
            </w:pPr>
            <w:r w:rsidRPr="00F840C9">
              <w:rPr>
                <w:rFonts w:ascii="標楷體" w:eastAsia="標楷體" w:hAnsi="標楷體" w:hint="eastAsia"/>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83" w:tooltip="八十六、科技部函，為110年度中央政府總預算決議，檢送「數位發展部之具體規劃及對科技部業務與同仁權益之影響」書面報告，請查照案。" w:history="1">
              <w:r w:rsidR="00287897" w:rsidRPr="002964FE">
                <w:rPr>
                  <w:rFonts w:hint="eastAsia"/>
                </w:rPr>
                <w:t>科技部函，為110年度中央政府總預算決議，檢送「數位發展部之具體規劃及對科技部業務與同仁權益之影響」書面報告，請查照案。</w:t>
              </w:r>
            </w:hyperlink>
          </w:p>
        </w:tc>
        <w:tc>
          <w:tcPr>
            <w:tcW w:w="897" w:type="pct"/>
          </w:tcPr>
          <w:p w:rsidR="00287897" w:rsidRPr="00F840C9" w:rsidRDefault="00287897" w:rsidP="00287897">
            <w:pPr>
              <w:pStyle w:val="0-"/>
            </w:pPr>
            <w:r w:rsidRPr="00F840C9">
              <w:t>10-5-2</w:t>
            </w:r>
          </w:p>
          <w:p w:rsidR="00287897" w:rsidRPr="00F840C9" w:rsidRDefault="00287897" w:rsidP="00287897">
            <w:pPr>
              <w:pStyle w:val="0-"/>
            </w:pPr>
            <w:r w:rsidRPr="00F840C9">
              <w:t>(111.3.4)</w:t>
            </w:r>
          </w:p>
        </w:tc>
        <w:tc>
          <w:tcPr>
            <w:tcW w:w="523" w:type="pct"/>
          </w:tcPr>
          <w:p w:rsidR="00287897" w:rsidRPr="00F840C9" w:rsidRDefault="00287897" w:rsidP="00287897">
            <w:pPr>
              <w:rPr>
                <w:rFonts w:ascii="標楷體" w:eastAsia="標楷體" w:hAnsi="標楷體"/>
                <w:sz w:val="28"/>
              </w:rPr>
            </w:pPr>
          </w:p>
        </w:tc>
        <w:tc>
          <w:tcPr>
            <w:tcW w:w="1247" w:type="pct"/>
          </w:tcPr>
          <w:p w:rsidR="00287897" w:rsidRPr="00F840C9" w:rsidRDefault="00287897" w:rsidP="008C2561">
            <w:pPr>
              <w:rPr>
                <w:rFonts w:ascii="標楷體" w:eastAsia="標楷體" w:hAnsi="標楷體"/>
                <w:sz w:val="28"/>
              </w:rPr>
            </w:pPr>
            <w:r w:rsidRPr="00F840C9">
              <w:rPr>
                <w:rFonts w:ascii="標楷體" w:eastAsia="標楷體" w:hAnsi="標楷體" w:hint="eastAsia"/>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84" w:tooltip="八十八、科技部函，為110年度中央政府總預算決議，檢送成立數位發展部後保障現有同仁權益書面報告，請查照案。" w:history="1">
              <w:r w:rsidR="00287897" w:rsidRPr="002964FE">
                <w:rPr>
                  <w:rFonts w:hint="eastAsia"/>
                </w:rPr>
                <w:t>科技部函，為110年度中央政府總預算決議，檢送成立數位發展部後保障現有同仁權益書面報告，請查照案。</w:t>
              </w:r>
            </w:hyperlink>
          </w:p>
        </w:tc>
        <w:tc>
          <w:tcPr>
            <w:tcW w:w="897" w:type="pct"/>
          </w:tcPr>
          <w:p w:rsidR="00287897" w:rsidRPr="00F840C9" w:rsidRDefault="00287897" w:rsidP="00287897">
            <w:pPr>
              <w:pStyle w:val="0-"/>
            </w:pPr>
            <w:r w:rsidRPr="00F840C9">
              <w:t>10-5-2</w:t>
            </w:r>
          </w:p>
          <w:p w:rsidR="00287897" w:rsidRPr="00F840C9" w:rsidRDefault="00287897" w:rsidP="00287897">
            <w:pPr>
              <w:pStyle w:val="0-"/>
            </w:pPr>
            <w:r w:rsidRPr="00F840C9">
              <w:t>(111.3.4)</w:t>
            </w:r>
          </w:p>
        </w:tc>
        <w:tc>
          <w:tcPr>
            <w:tcW w:w="523" w:type="pct"/>
          </w:tcPr>
          <w:p w:rsidR="00287897" w:rsidRPr="00F840C9" w:rsidRDefault="00287897" w:rsidP="00287897">
            <w:pPr>
              <w:rPr>
                <w:rFonts w:ascii="標楷體" w:eastAsia="標楷體" w:hAnsi="標楷體"/>
                <w:sz w:val="28"/>
              </w:rPr>
            </w:pPr>
          </w:p>
        </w:tc>
        <w:tc>
          <w:tcPr>
            <w:tcW w:w="1247" w:type="pct"/>
          </w:tcPr>
          <w:p w:rsidR="00287897" w:rsidRPr="00F840C9" w:rsidRDefault="00287897" w:rsidP="008C2561">
            <w:pPr>
              <w:rPr>
                <w:rFonts w:ascii="標楷體" w:eastAsia="標楷體" w:hAnsi="標楷體"/>
                <w:sz w:val="28"/>
              </w:rPr>
            </w:pPr>
            <w:r w:rsidRPr="00F840C9">
              <w:rPr>
                <w:rFonts w:ascii="標楷體" w:eastAsia="標楷體" w:hAnsi="標楷體" w:hint="eastAsia"/>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85" w:tooltip="九十四、文化部函，為110年度中央政府總預算決議，檢送國家語言發展報告及後續相關推動工作書面報告，請查照案。" w:history="1">
              <w:r w:rsidR="00287897" w:rsidRPr="002964FE">
                <w:rPr>
                  <w:rFonts w:hint="eastAsia"/>
                </w:rPr>
                <w:t>文化部函，為110年度中央政府總預算決議，檢送國家語言發展報告及後續相關推動工作書面報告，請查照案。</w:t>
              </w:r>
            </w:hyperlink>
          </w:p>
        </w:tc>
        <w:tc>
          <w:tcPr>
            <w:tcW w:w="897" w:type="pct"/>
          </w:tcPr>
          <w:p w:rsidR="00287897" w:rsidRPr="00F840C9" w:rsidRDefault="00287897" w:rsidP="00287897">
            <w:pPr>
              <w:pStyle w:val="0-"/>
            </w:pPr>
            <w:r w:rsidRPr="00F840C9">
              <w:t>10-5-2</w:t>
            </w:r>
          </w:p>
          <w:p w:rsidR="00287897" w:rsidRPr="00F840C9" w:rsidRDefault="00287897" w:rsidP="00287897">
            <w:pPr>
              <w:pStyle w:val="0-"/>
            </w:pPr>
            <w:r w:rsidRPr="00F840C9">
              <w:t>(111.3.4)</w:t>
            </w:r>
          </w:p>
        </w:tc>
        <w:tc>
          <w:tcPr>
            <w:tcW w:w="523" w:type="pct"/>
          </w:tcPr>
          <w:p w:rsidR="00287897" w:rsidRPr="00F840C9" w:rsidRDefault="00287897" w:rsidP="00287897">
            <w:pPr>
              <w:rPr>
                <w:rFonts w:ascii="標楷體" w:eastAsia="標楷體" w:hAnsi="標楷體"/>
                <w:sz w:val="28"/>
              </w:rPr>
            </w:pPr>
          </w:p>
        </w:tc>
        <w:tc>
          <w:tcPr>
            <w:tcW w:w="1247" w:type="pct"/>
          </w:tcPr>
          <w:p w:rsidR="00287897" w:rsidRPr="00F840C9" w:rsidRDefault="00287897" w:rsidP="008C2561">
            <w:pPr>
              <w:rPr>
                <w:rFonts w:ascii="標楷體" w:eastAsia="標楷體" w:hAnsi="標楷體"/>
                <w:sz w:val="28"/>
              </w:rPr>
            </w:pPr>
            <w:r w:rsidRPr="00F840C9">
              <w:rPr>
                <w:rFonts w:ascii="標楷體" w:eastAsia="標楷體" w:hAnsi="標楷體" w:hint="eastAsia"/>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經濟部函送太空產業相關輔導措施書面報告，請查照案。</w:t>
            </w:r>
          </w:p>
        </w:tc>
        <w:tc>
          <w:tcPr>
            <w:tcW w:w="897" w:type="pct"/>
          </w:tcPr>
          <w:p w:rsidR="00287897" w:rsidRPr="00360861" w:rsidRDefault="00287897" w:rsidP="00287897">
            <w:pPr>
              <w:pStyle w:val="0-"/>
            </w:pPr>
            <w:r w:rsidRPr="00360861">
              <w:t>10-5-3</w:t>
            </w:r>
          </w:p>
          <w:p w:rsidR="00287897" w:rsidRPr="00360861" w:rsidRDefault="00287897" w:rsidP="00287897">
            <w:pPr>
              <w:pStyle w:val="0-"/>
            </w:pPr>
            <w:r w:rsidRPr="00360861">
              <w:t>(111.3.11)</w:t>
            </w:r>
          </w:p>
        </w:tc>
        <w:tc>
          <w:tcPr>
            <w:tcW w:w="523" w:type="pct"/>
          </w:tcPr>
          <w:p w:rsidR="00287897" w:rsidRPr="00360861" w:rsidRDefault="00287897" w:rsidP="00287897">
            <w:pPr>
              <w:rPr>
                <w:rFonts w:ascii="標楷體" w:eastAsia="標楷體" w:hAnsi="標楷體"/>
                <w:color w:val="000000"/>
                <w:sz w:val="28"/>
              </w:rPr>
            </w:pPr>
          </w:p>
        </w:tc>
        <w:tc>
          <w:tcPr>
            <w:tcW w:w="1247" w:type="pct"/>
          </w:tcPr>
          <w:p w:rsidR="00287897" w:rsidRPr="00360861" w:rsidRDefault="00287897" w:rsidP="008C2561">
            <w:pPr>
              <w:rPr>
                <w:rFonts w:ascii="標楷體" w:eastAsia="標楷體" w:hAnsi="標楷體"/>
                <w:color w:val="000000"/>
                <w:sz w:val="28"/>
              </w:rPr>
            </w:pPr>
            <w:r w:rsidRPr="00360861">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教育部函，為該部110年度「資訊與科技教育行政及督導」項下資本門設備及投資經費不足，動支第一預備金新臺幣4億6,629萬2,000元，請查照案。</w:t>
            </w:r>
          </w:p>
        </w:tc>
        <w:tc>
          <w:tcPr>
            <w:tcW w:w="897" w:type="pct"/>
          </w:tcPr>
          <w:p w:rsidR="00287897" w:rsidRPr="00EC299C" w:rsidRDefault="00287897" w:rsidP="00287897">
            <w:pPr>
              <w:pStyle w:val="0-"/>
            </w:pPr>
            <w:r w:rsidRPr="00EC299C">
              <w:t>10-5-5</w:t>
            </w:r>
          </w:p>
          <w:p w:rsidR="00287897" w:rsidRPr="00EC299C" w:rsidRDefault="00287897" w:rsidP="00287897">
            <w:pPr>
              <w:pStyle w:val="0-"/>
            </w:pPr>
            <w:r w:rsidRPr="00EC299C">
              <w:t>(111.3.25)</w:t>
            </w:r>
          </w:p>
        </w:tc>
        <w:tc>
          <w:tcPr>
            <w:tcW w:w="523" w:type="pct"/>
          </w:tcPr>
          <w:p w:rsidR="00287897" w:rsidRPr="00EC299C" w:rsidRDefault="00287897" w:rsidP="00287897">
            <w:pPr>
              <w:rPr>
                <w:rFonts w:ascii="標楷體" w:eastAsia="標楷體" w:hAnsi="標楷體"/>
                <w:color w:val="000000"/>
                <w:sz w:val="28"/>
              </w:rPr>
            </w:pPr>
          </w:p>
        </w:tc>
        <w:tc>
          <w:tcPr>
            <w:tcW w:w="1247" w:type="pct"/>
          </w:tcPr>
          <w:p w:rsidR="00287897" w:rsidRPr="00EC299C" w:rsidRDefault="00287897" w:rsidP="008C2561">
            <w:pPr>
              <w:rPr>
                <w:rFonts w:ascii="標楷體" w:eastAsia="標楷體" w:hAnsi="標楷體"/>
                <w:color w:val="000000"/>
                <w:sz w:val="28"/>
              </w:rPr>
            </w:pPr>
            <w:r w:rsidRPr="00EC299C">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教育部函，為110年度中央政府總預算決議，檢送「豐富高中選修課程、學習歷程檔案溝通宣導」書面報告，請查照案。</w:t>
            </w:r>
          </w:p>
        </w:tc>
        <w:tc>
          <w:tcPr>
            <w:tcW w:w="897" w:type="pct"/>
          </w:tcPr>
          <w:p w:rsidR="00287897" w:rsidRPr="00EF3F30" w:rsidRDefault="00287897" w:rsidP="00287897">
            <w:pPr>
              <w:pStyle w:val="0-"/>
            </w:pPr>
            <w:r w:rsidRPr="00EF3F30">
              <w:t>10-5-6</w:t>
            </w:r>
          </w:p>
          <w:p w:rsidR="00287897" w:rsidRPr="00EF3F30" w:rsidRDefault="00287897" w:rsidP="00287897">
            <w:pPr>
              <w:pStyle w:val="0-"/>
            </w:pPr>
            <w:r w:rsidRPr="00EF3F30">
              <w:t>(111.4.1)</w:t>
            </w:r>
          </w:p>
        </w:tc>
        <w:tc>
          <w:tcPr>
            <w:tcW w:w="523" w:type="pct"/>
          </w:tcPr>
          <w:p w:rsidR="00287897" w:rsidRPr="00EF3F30" w:rsidRDefault="00287897" w:rsidP="00287897">
            <w:pPr>
              <w:rPr>
                <w:rFonts w:ascii="標楷體" w:eastAsia="標楷體" w:hAnsi="標楷體"/>
                <w:color w:val="000000"/>
                <w:sz w:val="28"/>
              </w:rPr>
            </w:pPr>
          </w:p>
        </w:tc>
        <w:tc>
          <w:tcPr>
            <w:tcW w:w="1247" w:type="pct"/>
          </w:tcPr>
          <w:p w:rsidR="00287897" w:rsidRPr="00EF3F30" w:rsidRDefault="00287897" w:rsidP="008C2561">
            <w:pPr>
              <w:rPr>
                <w:rFonts w:ascii="標楷體" w:eastAsia="標楷體" w:hAnsi="標楷體"/>
                <w:color w:val="000000"/>
                <w:sz w:val="28"/>
              </w:rPr>
            </w:pPr>
            <w:r w:rsidRPr="00EF3F30">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86" w:tooltip="二百二十九、文化部函，為110年度中央政府總預算決議，檢送「文化藝術工作者勞動統計調查」書面報告，請查照案。" w:history="1">
              <w:r w:rsidR="00287897" w:rsidRPr="002964FE">
                <w:rPr>
                  <w:rFonts w:hint="eastAsia"/>
                </w:rPr>
                <w:t>文化部函，為110年度中央政府總預算決議，檢送「文化藝術工作者勞動統計調查」書面報告，請查照案。</w:t>
              </w:r>
            </w:hyperlink>
          </w:p>
        </w:tc>
        <w:tc>
          <w:tcPr>
            <w:tcW w:w="897" w:type="pct"/>
          </w:tcPr>
          <w:p w:rsidR="00287897" w:rsidRPr="00F4185D" w:rsidRDefault="00287897" w:rsidP="00287897">
            <w:pPr>
              <w:pStyle w:val="0-"/>
            </w:pPr>
            <w:r w:rsidRPr="00F4185D">
              <w:rPr>
                <w:rFonts w:hint="eastAsia"/>
              </w:rPr>
              <w:t>10-5-7</w:t>
            </w:r>
          </w:p>
          <w:p w:rsidR="00287897" w:rsidRPr="00F4185D" w:rsidRDefault="00287897" w:rsidP="00287897">
            <w:pPr>
              <w:pStyle w:val="0-"/>
            </w:pPr>
            <w:r w:rsidRPr="00F4185D">
              <w:rPr>
                <w:rFonts w:hint="eastAsia"/>
              </w:rPr>
              <w:t>(111.4.8)</w:t>
            </w:r>
          </w:p>
          <w:p w:rsidR="00287897" w:rsidRPr="00F4185D" w:rsidRDefault="00287897" w:rsidP="00287897">
            <w:pPr>
              <w:pStyle w:val="0-"/>
              <w:rPr>
                <w:rFonts w:eastAsia="華康楷書體W5"/>
              </w:rPr>
            </w:pPr>
          </w:p>
        </w:tc>
        <w:tc>
          <w:tcPr>
            <w:tcW w:w="523" w:type="pct"/>
          </w:tcPr>
          <w:p w:rsidR="00287897" w:rsidRPr="00F4185D" w:rsidRDefault="00287897" w:rsidP="00287897">
            <w:pPr>
              <w:rPr>
                <w:rFonts w:ascii="標楷體" w:eastAsia="標楷體" w:hAnsi="標楷體"/>
                <w:color w:val="000000"/>
                <w:sz w:val="28"/>
              </w:rPr>
            </w:pPr>
          </w:p>
        </w:tc>
        <w:tc>
          <w:tcPr>
            <w:tcW w:w="1247" w:type="pct"/>
          </w:tcPr>
          <w:p w:rsidR="00287897" w:rsidRPr="00F4185D" w:rsidRDefault="00287897" w:rsidP="008C2561">
            <w:pPr>
              <w:ind w:left="274" w:hangingChars="98" w:hanging="274"/>
              <w:rPr>
                <w:rFonts w:ascii="標楷體" w:eastAsia="標楷體" w:hAnsi="標楷體"/>
                <w:color w:val="000000"/>
                <w:sz w:val="28"/>
              </w:rPr>
            </w:pPr>
            <w:r w:rsidRPr="00F4185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87" w:tooltip="三百三十六、教育部函，為國家運動訓練中心111年度預算決議，檢送「國家運動訓練中心檢討運科人力及運科人員待遇調整」專案報告，請查照案。" w:history="1">
              <w:r w:rsidR="00287897" w:rsidRPr="002964FE">
                <w:rPr>
                  <w:rFonts w:hint="eastAsia"/>
                </w:rPr>
                <w:t>教育部函，為國家運動訓練中心111年度預算決議，檢送「國家運動訓練中心檢討運科人力及運科人員待遇調整」專案報告，請查照案。</w:t>
              </w:r>
            </w:hyperlink>
          </w:p>
        </w:tc>
        <w:tc>
          <w:tcPr>
            <w:tcW w:w="897" w:type="pct"/>
          </w:tcPr>
          <w:p w:rsidR="00287897" w:rsidRPr="00C420E8" w:rsidRDefault="00287897" w:rsidP="00287897">
            <w:pPr>
              <w:pStyle w:val="0-"/>
            </w:pPr>
            <w:r w:rsidRPr="00C420E8">
              <w:t>10-5-8</w:t>
            </w:r>
          </w:p>
          <w:p w:rsidR="00287897" w:rsidRPr="00C420E8" w:rsidRDefault="00287897" w:rsidP="00287897">
            <w:pPr>
              <w:pStyle w:val="0-"/>
            </w:pPr>
            <w:r w:rsidRPr="00C420E8">
              <w:t>(111.4.15)</w:t>
            </w:r>
          </w:p>
          <w:p w:rsidR="00287897" w:rsidRPr="00C420E8" w:rsidRDefault="00287897" w:rsidP="00287897">
            <w:pPr>
              <w:pStyle w:val="0-"/>
            </w:pPr>
          </w:p>
        </w:tc>
        <w:tc>
          <w:tcPr>
            <w:tcW w:w="523" w:type="pct"/>
          </w:tcPr>
          <w:p w:rsidR="00287897" w:rsidRPr="00C420E8" w:rsidRDefault="00287897" w:rsidP="00287897">
            <w:pPr>
              <w:rPr>
                <w:rFonts w:ascii="標楷體" w:eastAsia="標楷體" w:hAnsi="標楷體"/>
                <w:color w:val="000000"/>
                <w:sz w:val="28"/>
              </w:rPr>
            </w:pPr>
          </w:p>
        </w:tc>
        <w:tc>
          <w:tcPr>
            <w:tcW w:w="1247" w:type="pct"/>
          </w:tcPr>
          <w:p w:rsidR="00287897" w:rsidRPr="00C420E8" w:rsidRDefault="00287897" w:rsidP="008C2561">
            <w:pPr>
              <w:rPr>
                <w:rFonts w:ascii="標楷體" w:eastAsia="標楷體" w:hAnsi="標楷體"/>
                <w:color w:val="000000"/>
                <w:sz w:val="28"/>
              </w:rPr>
            </w:pPr>
            <w:r w:rsidRPr="00C420E8">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88" w:tooltip="二百一十二、文化部函送110年1－10月該部接受外界捐贈款明細表，請查照案。" w:history="1">
              <w:r w:rsidR="00287897" w:rsidRPr="002964FE">
                <w:rPr>
                  <w:rFonts w:hint="eastAsia"/>
                </w:rPr>
                <w:t>文化部函送110年1－10月該部接受外界捐贈款明細表，請查照案。</w:t>
              </w:r>
            </w:hyperlink>
          </w:p>
        </w:tc>
        <w:tc>
          <w:tcPr>
            <w:tcW w:w="897" w:type="pct"/>
          </w:tcPr>
          <w:p w:rsidR="00287897" w:rsidRPr="00BC2A9B" w:rsidRDefault="00287897" w:rsidP="00287897">
            <w:pPr>
              <w:pStyle w:val="0-"/>
            </w:pPr>
            <w:r w:rsidRPr="00BC2A9B">
              <w:t>10-5-9</w:t>
            </w:r>
          </w:p>
          <w:p w:rsidR="00287897" w:rsidRPr="00BC2A9B" w:rsidRDefault="00287897" w:rsidP="00287897">
            <w:pPr>
              <w:pStyle w:val="0-"/>
            </w:pPr>
            <w:r w:rsidRPr="00BC2A9B">
              <w:t>(111.4.22)</w:t>
            </w:r>
          </w:p>
        </w:tc>
        <w:tc>
          <w:tcPr>
            <w:tcW w:w="523" w:type="pct"/>
          </w:tcPr>
          <w:p w:rsidR="00287897" w:rsidRPr="00BC2A9B" w:rsidRDefault="00287897" w:rsidP="00287897">
            <w:pPr>
              <w:rPr>
                <w:rFonts w:ascii="標楷體" w:eastAsia="標楷體" w:hAnsi="標楷體"/>
                <w:color w:val="000000"/>
                <w:sz w:val="28"/>
              </w:rPr>
            </w:pPr>
          </w:p>
        </w:tc>
        <w:tc>
          <w:tcPr>
            <w:tcW w:w="1247" w:type="pct"/>
          </w:tcPr>
          <w:p w:rsidR="00287897" w:rsidRPr="00BC2A9B" w:rsidRDefault="00287897" w:rsidP="008C2561">
            <w:pPr>
              <w:rPr>
                <w:rFonts w:ascii="標楷體" w:eastAsia="標楷體" w:hAnsi="標楷體"/>
                <w:color w:val="000000"/>
                <w:sz w:val="28"/>
              </w:rPr>
            </w:pPr>
            <w:r w:rsidRPr="00BC2A9B">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89" w:tooltip="二百一十三、文化部函送110年1－11月該部接受外界捐贈款明細表，請查照案。" w:history="1">
              <w:r w:rsidR="00287897" w:rsidRPr="002964FE">
                <w:rPr>
                  <w:rFonts w:hint="eastAsia"/>
                </w:rPr>
                <w:t>文化部函送110年1－11月該部接受外界捐贈款明細表，請查照案。</w:t>
              </w:r>
            </w:hyperlink>
          </w:p>
        </w:tc>
        <w:tc>
          <w:tcPr>
            <w:tcW w:w="897" w:type="pct"/>
          </w:tcPr>
          <w:p w:rsidR="00287897" w:rsidRPr="00BC2A9B" w:rsidRDefault="00287897" w:rsidP="00287897">
            <w:pPr>
              <w:pStyle w:val="0-"/>
            </w:pPr>
            <w:r w:rsidRPr="00BC2A9B">
              <w:t>10-5-9</w:t>
            </w:r>
          </w:p>
          <w:p w:rsidR="00287897" w:rsidRPr="00BC2A9B" w:rsidRDefault="00287897" w:rsidP="00287897">
            <w:pPr>
              <w:pStyle w:val="0-"/>
            </w:pPr>
            <w:r w:rsidRPr="00BC2A9B">
              <w:t>(111.4.22)</w:t>
            </w:r>
          </w:p>
        </w:tc>
        <w:tc>
          <w:tcPr>
            <w:tcW w:w="523" w:type="pct"/>
          </w:tcPr>
          <w:p w:rsidR="00287897" w:rsidRPr="00BC2A9B" w:rsidRDefault="00287897" w:rsidP="00287897">
            <w:pPr>
              <w:rPr>
                <w:rFonts w:ascii="標楷體" w:eastAsia="標楷體" w:hAnsi="標楷體"/>
                <w:color w:val="000000"/>
                <w:sz w:val="28"/>
              </w:rPr>
            </w:pPr>
          </w:p>
        </w:tc>
        <w:tc>
          <w:tcPr>
            <w:tcW w:w="1247" w:type="pct"/>
          </w:tcPr>
          <w:p w:rsidR="00287897" w:rsidRPr="00BC2A9B" w:rsidRDefault="00287897" w:rsidP="008C2561">
            <w:pPr>
              <w:rPr>
                <w:rFonts w:ascii="標楷體" w:eastAsia="標楷體" w:hAnsi="標楷體"/>
                <w:color w:val="000000"/>
                <w:sz w:val="28"/>
              </w:rPr>
            </w:pPr>
            <w:r w:rsidRPr="00BC2A9B">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90" w:tooltip="二百一十四、文化部函送110年1-12月該部接受外界捐贈款明細表，請查照案。" w:history="1">
              <w:r w:rsidR="00287897" w:rsidRPr="002964FE">
                <w:rPr>
                  <w:rFonts w:hint="eastAsia"/>
                </w:rPr>
                <w:t>文化部函送110年1-12月該部接受外界捐贈款明細表，請查照案。</w:t>
              </w:r>
            </w:hyperlink>
          </w:p>
        </w:tc>
        <w:tc>
          <w:tcPr>
            <w:tcW w:w="897" w:type="pct"/>
          </w:tcPr>
          <w:p w:rsidR="00287897" w:rsidRPr="00BC2A9B" w:rsidRDefault="00287897" w:rsidP="00287897">
            <w:pPr>
              <w:pStyle w:val="0-"/>
            </w:pPr>
            <w:r w:rsidRPr="00BC2A9B">
              <w:t>10-5-9</w:t>
            </w:r>
          </w:p>
          <w:p w:rsidR="00287897" w:rsidRPr="00BC2A9B" w:rsidRDefault="00287897" w:rsidP="00287897">
            <w:pPr>
              <w:pStyle w:val="0-"/>
            </w:pPr>
            <w:r w:rsidRPr="00BC2A9B">
              <w:t>(111.4.22)</w:t>
            </w:r>
          </w:p>
        </w:tc>
        <w:tc>
          <w:tcPr>
            <w:tcW w:w="523" w:type="pct"/>
          </w:tcPr>
          <w:p w:rsidR="00287897" w:rsidRPr="00BC2A9B" w:rsidRDefault="00287897" w:rsidP="00287897">
            <w:pPr>
              <w:rPr>
                <w:rFonts w:ascii="標楷體" w:eastAsia="標楷體" w:hAnsi="標楷體"/>
                <w:color w:val="000000"/>
                <w:sz w:val="28"/>
              </w:rPr>
            </w:pPr>
          </w:p>
        </w:tc>
        <w:tc>
          <w:tcPr>
            <w:tcW w:w="1247" w:type="pct"/>
          </w:tcPr>
          <w:p w:rsidR="00287897" w:rsidRPr="00BC2A9B" w:rsidRDefault="00287897" w:rsidP="008C2561">
            <w:pPr>
              <w:rPr>
                <w:rFonts w:ascii="標楷體" w:eastAsia="標楷體" w:hAnsi="標楷體"/>
                <w:color w:val="000000"/>
                <w:sz w:val="28"/>
              </w:rPr>
            </w:pPr>
            <w:r w:rsidRPr="00BC2A9B">
              <w:rPr>
                <w:rFonts w:ascii="標楷體" w:eastAsia="標楷體" w:hAnsi="標楷體" w:hint="eastAsia"/>
                <w:color w:val="000000"/>
                <w:sz w:val="28"/>
              </w:rPr>
              <w:t>尚未審查</w:t>
            </w:r>
          </w:p>
        </w:tc>
      </w:tr>
      <w:tr w:rsidR="00287897" w:rsidRPr="00920597" w:rsidTr="002964FE">
        <w:trPr>
          <w:trHeight w:val="428"/>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91" w:tooltip="二百一十五、文化部函送110年第4季辦理政策及業務宣導執行情形表，請查照案。" w:history="1">
              <w:r w:rsidR="00287897" w:rsidRPr="002964FE">
                <w:rPr>
                  <w:rFonts w:hint="eastAsia"/>
                </w:rPr>
                <w:t>文化部函送110年第4季辦理政策及業務宣導執行情形表，請查照案。</w:t>
              </w:r>
            </w:hyperlink>
          </w:p>
        </w:tc>
        <w:tc>
          <w:tcPr>
            <w:tcW w:w="897" w:type="pct"/>
          </w:tcPr>
          <w:p w:rsidR="00287897" w:rsidRPr="00BC2A9B" w:rsidRDefault="00287897" w:rsidP="00287897">
            <w:pPr>
              <w:pStyle w:val="0-"/>
            </w:pPr>
            <w:r w:rsidRPr="00BC2A9B">
              <w:t>10-5-9</w:t>
            </w:r>
          </w:p>
          <w:p w:rsidR="00287897" w:rsidRPr="00BC2A9B" w:rsidRDefault="00287897" w:rsidP="00287897">
            <w:pPr>
              <w:pStyle w:val="0-"/>
            </w:pPr>
            <w:r w:rsidRPr="00BC2A9B">
              <w:t>(111.4.22)</w:t>
            </w:r>
          </w:p>
        </w:tc>
        <w:tc>
          <w:tcPr>
            <w:tcW w:w="523" w:type="pct"/>
          </w:tcPr>
          <w:p w:rsidR="00287897" w:rsidRPr="00BC2A9B" w:rsidRDefault="00287897" w:rsidP="00287897">
            <w:pPr>
              <w:rPr>
                <w:rFonts w:ascii="標楷體" w:eastAsia="標楷體" w:hAnsi="標楷體"/>
                <w:color w:val="000000"/>
                <w:sz w:val="28"/>
              </w:rPr>
            </w:pPr>
          </w:p>
        </w:tc>
        <w:tc>
          <w:tcPr>
            <w:tcW w:w="1247" w:type="pct"/>
          </w:tcPr>
          <w:p w:rsidR="00287897" w:rsidRPr="00BC2A9B" w:rsidRDefault="00287897" w:rsidP="008C2561">
            <w:pPr>
              <w:rPr>
                <w:rFonts w:ascii="標楷體" w:eastAsia="標楷體" w:hAnsi="標楷體"/>
                <w:color w:val="000000"/>
                <w:sz w:val="28"/>
              </w:rPr>
            </w:pPr>
            <w:r w:rsidRPr="00BC2A9B">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文化部函送110年度截至第4季止對縣市政府、民間團體及個人補(捐)助經費彙總表，請查照案。</w:t>
            </w:r>
          </w:p>
        </w:tc>
        <w:tc>
          <w:tcPr>
            <w:tcW w:w="897" w:type="pct"/>
          </w:tcPr>
          <w:p w:rsidR="00287897" w:rsidRPr="00BC2A9B" w:rsidRDefault="00287897" w:rsidP="00287897">
            <w:pPr>
              <w:pStyle w:val="0-"/>
            </w:pPr>
            <w:r w:rsidRPr="00BC2A9B">
              <w:t>10-5-9</w:t>
            </w:r>
          </w:p>
          <w:p w:rsidR="00287897" w:rsidRPr="00BC2A9B" w:rsidRDefault="00287897" w:rsidP="00287897">
            <w:pPr>
              <w:pStyle w:val="0-"/>
            </w:pPr>
            <w:r w:rsidRPr="00BC2A9B">
              <w:t>(111.4.22)</w:t>
            </w:r>
          </w:p>
        </w:tc>
        <w:tc>
          <w:tcPr>
            <w:tcW w:w="523" w:type="pct"/>
          </w:tcPr>
          <w:p w:rsidR="00287897" w:rsidRPr="00BC2A9B" w:rsidRDefault="00287897" w:rsidP="00287897">
            <w:pPr>
              <w:rPr>
                <w:rFonts w:ascii="標楷體" w:eastAsia="標楷體" w:hAnsi="標楷體"/>
                <w:color w:val="000000"/>
                <w:sz w:val="28"/>
              </w:rPr>
            </w:pPr>
          </w:p>
        </w:tc>
        <w:tc>
          <w:tcPr>
            <w:tcW w:w="1247" w:type="pct"/>
          </w:tcPr>
          <w:p w:rsidR="00287897" w:rsidRPr="00BC2A9B" w:rsidRDefault="00287897" w:rsidP="008C2561">
            <w:pPr>
              <w:rPr>
                <w:rFonts w:ascii="標楷體" w:eastAsia="標楷體" w:hAnsi="標楷體"/>
                <w:color w:val="000000"/>
                <w:sz w:val="28"/>
              </w:rPr>
            </w:pPr>
            <w:r w:rsidRPr="00BC2A9B">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92" w:tooltip="二百一十七、科技部函送110年第3季補（捐）助民間團體及個人經費資料一覽表，請查照案。" w:history="1">
              <w:r w:rsidR="00287897" w:rsidRPr="002964FE">
                <w:rPr>
                  <w:rFonts w:hint="eastAsia"/>
                </w:rPr>
                <w:t>科技部函送110年第3季補（捐）助民間團體及個人經費資料一覽表，請查照案。</w:t>
              </w:r>
            </w:hyperlink>
          </w:p>
        </w:tc>
        <w:tc>
          <w:tcPr>
            <w:tcW w:w="897" w:type="pct"/>
          </w:tcPr>
          <w:p w:rsidR="00287897" w:rsidRPr="00BC2A9B" w:rsidRDefault="00287897" w:rsidP="00287897">
            <w:pPr>
              <w:pStyle w:val="0-"/>
            </w:pPr>
            <w:r w:rsidRPr="00BC2A9B">
              <w:t>10-5-9</w:t>
            </w:r>
          </w:p>
          <w:p w:rsidR="00287897" w:rsidRPr="00BC2A9B" w:rsidRDefault="00287897" w:rsidP="00287897">
            <w:pPr>
              <w:pStyle w:val="0-"/>
            </w:pPr>
            <w:r w:rsidRPr="00BC2A9B">
              <w:t>(111.4.22)</w:t>
            </w:r>
          </w:p>
        </w:tc>
        <w:tc>
          <w:tcPr>
            <w:tcW w:w="523" w:type="pct"/>
          </w:tcPr>
          <w:p w:rsidR="00287897" w:rsidRPr="00BC2A9B" w:rsidRDefault="00287897" w:rsidP="00287897">
            <w:pPr>
              <w:rPr>
                <w:rFonts w:ascii="標楷體" w:eastAsia="標楷體" w:hAnsi="標楷體"/>
                <w:color w:val="000000"/>
                <w:sz w:val="28"/>
              </w:rPr>
            </w:pPr>
          </w:p>
        </w:tc>
        <w:tc>
          <w:tcPr>
            <w:tcW w:w="1247" w:type="pct"/>
          </w:tcPr>
          <w:p w:rsidR="00287897" w:rsidRPr="00BC2A9B" w:rsidRDefault="00287897" w:rsidP="008C2561">
            <w:pPr>
              <w:rPr>
                <w:rFonts w:ascii="標楷體" w:eastAsia="標楷體" w:hAnsi="標楷體"/>
                <w:color w:val="000000"/>
                <w:sz w:val="28"/>
              </w:rPr>
            </w:pPr>
            <w:r w:rsidRPr="00BC2A9B">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93" w:tooltip="二百一十八、科技部函送110年第3季於各類媒體辦理政策及業務宣導相關廣告之執行情形資料，請查照案。" w:history="1">
              <w:r w:rsidR="00287897" w:rsidRPr="002964FE">
                <w:rPr>
                  <w:rFonts w:hint="eastAsia"/>
                </w:rPr>
                <w:t>科技部函送110年第3季於各類媒體辦理政策及業務宣導相關廣告之執行情形資料，請查照案。</w:t>
              </w:r>
            </w:hyperlink>
          </w:p>
        </w:tc>
        <w:tc>
          <w:tcPr>
            <w:tcW w:w="897" w:type="pct"/>
          </w:tcPr>
          <w:p w:rsidR="00287897" w:rsidRPr="00BC2A9B" w:rsidRDefault="00287897" w:rsidP="00287897">
            <w:pPr>
              <w:pStyle w:val="0-"/>
            </w:pPr>
            <w:r w:rsidRPr="00BC2A9B">
              <w:t>10-5-9</w:t>
            </w:r>
          </w:p>
          <w:p w:rsidR="00287897" w:rsidRPr="00BC2A9B" w:rsidRDefault="00287897" w:rsidP="00287897">
            <w:pPr>
              <w:pStyle w:val="0-"/>
            </w:pPr>
            <w:r w:rsidRPr="00BC2A9B">
              <w:t>(111.4.22)</w:t>
            </w:r>
          </w:p>
        </w:tc>
        <w:tc>
          <w:tcPr>
            <w:tcW w:w="523" w:type="pct"/>
          </w:tcPr>
          <w:p w:rsidR="00287897" w:rsidRPr="00BC2A9B" w:rsidRDefault="00287897" w:rsidP="00287897">
            <w:pPr>
              <w:rPr>
                <w:rFonts w:ascii="標楷體" w:eastAsia="標楷體" w:hAnsi="標楷體"/>
                <w:color w:val="000000"/>
                <w:sz w:val="28"/>
              </w:rPr>
            </w:pPr>
          </w:p>
        </w:tc>
        <w:tc>
          <w:tcPr>
            <w:tcW w:w="1247" w:type="pct"/>
          </w:tcPr>
          <w:p w:rsidR="00287897" w:rsidRPr="00BC2A9B" w:rsidRDefault="00287897" w:rsidP="008C2561">
            <w:pPr>
              <w:rPr>
                <w:rFonts w:ascii="標楷體" w:eastAsia="標楷體" w:hAnsi="標楷體"/>
                <w:color w:val="000000"/>
                <w:sz w:val="28"/>
              </w:rPr>
            </w:pPr>
            <w:r w:rsidRPr="00BC2A9B">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94" w:tooltip="二百一十九、科技部函送「科學園區管理局作業基金各項財務改善措施之執行成效」110年第4季書面報告，請查照案。" w:history="1">
              <w:r w:rsidR="00287897" w:rsidRPr="002964FE">
                <w:rPr>
                  <w:rFonts w:hint="eastAsia"/>
                </w:rPr>
                <w:t>科技部函送「科學園區管理局作業基金各項財務改善措施之執行成效」110年第4季書面報告，請查照案。</w:t>
              </w:r>
            </w:hyperlink>
          </w:p>
        </w:tc>
        <w:tc>
          <w:tcPr>
            <w:tcW w:w="897" w:type="pct"/>
          </w:tcPr>
          <w:p w:rsidR="00287897" w:rsidRPr="00BC2A9B" w:rsidRDefault="00287897" w:rsidP="00287897">
            <w:pPr>
              <w:pStyle w:val="0-"/>
            </w:pPr>
            <w:r w:rsidRPr="00BC2A9B">
              <w:t>10-5-9</w:t>
            </w:r>
          </w:p>
          <w:p w:rsidR="00287897" w:rsidRPr="00BC2A9B" w:rsidRDefault="00287897" w:rsidP="00287897">
            <w:pPr>
              <w:pStyle w:val="0-"/>
            </w:pPr>
            <w:r w:rsidRPr="00BC2A9B">
              <w:t>(111.4.22)</w:t>
            </w:r>
          </w:p>
        </w:tc>
        <w:tc>
          <w:tcPr>
            <w:tcW w:w="523" w:type="pct"/>
          </w:tcPr>
          <w:p w:rsidR="00287897" w:rsidRPr="00BC2A9B" w:rsidRDefault="00287897" w:rsidP="00287897">
            <w:pPr>
              <w:rPr>
                <w:rFonts w:ascii="標楷體" w:eastAsia="標楷體" w:hAnsi="標楷體"/>
                <w:color w:val="000000"/>
                <w:sz w:val="28"/>
              </w:rPr>
            </w:pPr>
          </w:p>
        </w:tc>
        <w:tc>
          <w:tcPr>
            <w:tcW w:w="1247" w:type="pct"/>
          </w:tcPr>
          <w:p w:rsidR="00287897" w:rsidRPr="00BC2A9B" w:rsidRDefault="00287897" w:rsidP="008C2561">
            <w:pPr>
              <w:rPr>
                <w:rFonts w:ascii="標楷體" w:eastAsia="標楷體" w:hAnsi="標楷體"/>
                <w:color w:val="000000"/>
                <w:sz w:val="28"/>
              </w:rPr>
            </w:pPr>
            <w:r w:rsidRPr="00BC2A9B">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95" w:tooltip="二百二十、科技部函送110年第4季於各類媒體辦理政策及業務宣導相關廣告之執行情形資料，請查照案。" w:history="1">
              <w:r w:rsidR="00287897" w:rsidRPr="002964FE">
                <w:rPr>
                  <w:rFonts w:hint="eastAsia"/>
                </w:rPr>
                <w:t>科技部函送110年第4季於各類媒體辦理政策及業務宣導相關廣告之執行情形資料，請查照案。</w:t>
              </w:r>
            </w:hyperlink>
          </w:p>
        </w:tc>
        <w:tc>
          <w:tcPr>
            <w:tcW w:w="897" w:type="pct"/>
          </w:tcPr>
          <w:p w:rsidR="00287897" w:rsidRPr="00BC2A9B" w:rsidRDefault="00287897" w:rsidP="00287897">
            <w:pPr>
              <w:pStyle w:val="0-"/>
            </w:pPr>
            <w:r w:rsidRPr="00BC2A9B">
              <w:t>10-5-9</w:t>
            </w:r>
          </w:p>
          <w:p w:rsidR="00287897" w:rsidRPr="00BC2A9B" w:rsidRDefault="00287897" w:rsidP="00287897">
            <w:pPr>
              <w:pStyle w:val="0-"/>
            </w:pPr>
            <w:r w:rsidRPr="00BC2A9B">
              <w:t>(111.4.22)</w:t>
            </w:r>
          </w:p>
        </w:tc>
        <w:tc>
          <w:tcPr>
            <w:tcW w:w="523" w:type="pct"/>
          </w:tcPr>
          <w:p w:rsidR="00287897" w:rsidRPr="00BC2A9B" w:rsidRDefault="00287897" w:rsidP="00287897">
            <w:pPr>
              <w:rPr>
                <w:rFonts w:ascii="標楷體" w:eastAsia="標楷體" w:hAnsi="標楷體"/>
                <w:color w:val="000000"/>
                <w:sz w:val="28"/>
              </w:rPr>
            </w:pPr>
          </w:p>
        </w:tc>
        <w:tc>
          <w:tcPr>
            <w:tcW w:w="1247" w:type="pct"/>
          </w:tcPr>
          <w:p w:rsidR="00287897" w:rsidRPr="00BC2A9B" w:rsidRDefault="00287897" w:rsidP="008C2561">
            <w:pPr>
              <w:rPr>
                <w:rFonts w:ascii="標楷體" w:eastAsia="標楷體" w:hAnsi="標楷體"/>
                <w:color w:val="000000"/>
                <w:sz w:val="28"/>
              </w:rPr>
            </w:pPr>
            <w:r w:rsidRPr="00BC2A9B">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96" w:tooltip="二百二十一、行政院原子能委員會函送110年第4季辦理政策及業務宣導之執行情形表，請查照案。" w:history="1">
              <w:r w:rsidR="00287897" w:rsidRPr="002964FE">
                <w:rPr>
                  <w:rFonts w:hint="eastAsia"/>
                </w:rPr>
                <w:t>行政院原子能委員會函送110年第4季辦理政策及業務宣導之執行情形表，請查照案。</w:t>
              </w:r>
            </w:hyperlink>
          </w:p>
        </w:tc>
        <w:tc>
          <w:tcPr>
            <w:tcW w:w="897" w:type="pct"/>
          </w:tcPr>
          <w:p w:rsidR="00287897" w:rsidRPr="00BC2A9B" w:rsidRDefault="00287897" w:rsidP="00287897">
            <w:pPr>
              <w:pStyle w:val="0-"/>
            </w:pPr>
            <w:r w:rsidRPr="00BC2A9B">
              <w:t>10-5-9</w:t>
            </w:r>
          </w:p>
          <w:p w:rsidR="00287897" w:rsidRPr="00BC2A9B" w:rsidRDefault="00287897" w:rsidP="00287897">
            <w:pPr>
              <w:pStyle w:val="0-"/>
            </w:pPr>
            <w:r w:rsidRPr="00BC2A9B">
              <w:t>(111.4.22)</w:t>
            </w:r>
          </w:p>
        </w:tc>
        <w:tc>
          <w:tcPr>
            <w:tcW w:w="523" w:type="pct"/>
          </w:tcPr>
          <w:p w:rsidR="00287897" w:rsidRPr="00BC2A9B" w:rsidRDefault="00287897" w:rsidP="00287897">
            <w:pPr>
              <w:rPr>
                <w:rFonts w:ascii="標楷體" w:eastAsia="標楷體" w:hAnsi="標楷體"/>
                <w:color w:val="000000"/>
                <w:sz w:val="28"/>
              </w:rPr>
            </w:pPr>
          </w:p>
        </w:tc>
        <w:tc>
          <w:tcPr>
            <w:tcW w:w="1247" w:type="pct"/>
          </w:tcPr>
          <w:p w:rsidR="00287897" w:rsidRPr="00BC2A9B" w:rsidRDefault="00287897" w:rsidP="008C2561">
            <w:pPr>
              <w:rPr>
                <w:rFonts w:ascii="標楷體" w:eastAsia="標楷體" w:hAnsi="標楷體"/>
                <w:color w:val="000000"/>
                <w:sz w:val="28"/>
              </w:rPr>
            </w:pPr>
            <w:r w:rsidRPr="00BC2A9B">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97" w:tooltip="二百二十二、國立故宮博物院函送110年第4季補（捐）助明細表，請查照案。" w:history="1">
              <w:r w:rsidR="00287897" w:rsidRPr="002964FE">
                <w:rPr>
                  <w:rFonts w:hint="eastAsia"/>
                </w:rPr>
                <w:t>國立故宮博物院函送110年第4季補（捐）助明細表，請查照案。</w:t>
              </w:r>
            </w:hyperlink>
          </w:p>
        </w:tc>
        <w:tc>
          <w:tcPr>
            <w:tcW w:w="897" w:type="pct"/>
          </w:tcPr>
          <w:p w:rsidR="00287897" w:rsidRPr="00BC2A9B" w:rsidRDefault="00287897" w:rsidP="00287897">
            <w:pPr>
              <w:pStyle w:val="0-"/>
            </w:pPr>
            <w:r w:rsidRPr="00BC2A9B">
              <w:t>10-5-9</w:t>
            </w:r>
          </w:p>
          <w:p w:rsidR="00287897" w:rsidRPr="00BC2A9B" w:rsidRDefault="00287897" w:rsidP="00287897">
            <w:pPr>
              <w:pStyle w:val="0-"/>
            </w:pPr>
            <w:r w:rsidRPr="00BC2A9B">
              <w:t>(111.4.22)</w:t>
            </w:r>
          </w:p>
        </w:tc>
        <w:tc>
          <w:tcPr>
            <w:tcW w:w="523" w:type="pct"/>
          </w:tcPr>
          <w:p w:rsidR="00287897" w:rsidRPr="00BC2A9B" w:rsidRDefault="00287897" w:rsidP="00287897">
            <w:pPr>
              <w:rPr>
                <w:rFonts w:ascii="標楷體" w:eastAsia="標楷體" w:hAnsi="標楷體"/>
                <w:color w:val="000000"/>
                <w:sz w:val="28"/>
              </w:rPr>
            </w:pPr>
          </w:p>
        </w:tc>
        <w:tc>
          <w:tcPr>
            <w:tcW w:w="1247" w:type="pct"/>
          </w:tcPr>
          <w:p w:rsidR="00287897" w:rsidRPr="00BC2A9B" w:rsidRDefault="00287897" w:rsidP="008C2561">
            <w:pPr>
              <w:rPr>
                <w:rFonts w:ascii="標楷體" w:eastAsia="標楷體" w:hAnsi="標楷體"/>
                <w:color w:val="000000"/>
                <w:sz w:val="28"/>
              </w:rPr>
            </w:pPr>
            <w:r w:rsidRPr="00BC2A9B">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98" w:tooltip="二百二十三、國立故宮博物院函送110年第4季政策宣導廣告預算執行情形，請查照案。" w:history="1">
              <w:r w:rsidR="00287897" w:rsidRPr="002964FE">
                <w:rPr>
                  <w:rFonts w:hint="eastAsia"/>
                </w:rPr>
                <w:t>國立故宮博物院函送110年第4季政策宣導廣告預算執行情形，請查照案。</w:t>
              </w:r>
            </w:hyperlink>
          </w:p>
        </w:tc>
        <w:tc>
          <w:tcPr>
            <w:tcW w:w="897" w:type="pct"/>
          </w:tcPr>
          <w:p w:rsidR="00287897" w:rsidRPr="00BC2A9B" w:rsidRDefault="00287897" w:rsidP="00287897">
            <w:pPr>
              <w:pStyle w:val="0-"/>
            </w:pPr>
            <w:r w:rsidRPr="00BC2A9B">
              <w:t>10-5-9</w:t>
            </w:r>
          </w:p>
          <w:p w:rsidR="00287897" w:rsidRPr="00BC2A9B" w:rsidRDefault="00287897" w:rsidP="00287897">
            <w:pPr>
              <w:pStyle w:val="0-"/>
            </w:pPr>
            <w:r w:rsidRPr="00BC2A9B">
              <w:t>(111.4.22)</w:t>
            </w:r>
          </w:p>
        </w:tc>
        <w:tc>
          <w:tcPr>
            <w:tcW w:w="523" w:type="pct"/>
          </w:tcPr>
          <w:p w:rsidR="00287897" w:rsidRPr="00BC2A9B" w:rsidRDefault="00287897" w:rsidP="00287897">
            <w:pPr>
              <w:rPr>
                <w:rFonts w:ascii="標楷體" w:eastAsia="標楷體" w:hAnsi="標楷體"/>
                <w:color w:val="000000"/>
                <w:sz w:val="28"/>
              </w:rPr>
            </w:pPr>
          </w:p>
        </w:tc>
        <w:tc>
          <w:tcPr>
            <w:tcW w:w="1247" w:type="pct"/>
          </w:tcPr>
          <w:p w:rsidR="00287897" w:rsidRPr="00BC2A9B" w:rsidRDefault="00287897" w:rsidP="008C2561">
            <w:pPr>
              <w:rPr>
                <w:rFonts w:ascii="標楷體" w:eastAsia="標楷體" w:hAnsi="標楷體"/>
                <w:color w:val="000000"/>
                <w:sz w:val="28"/>
              </w:rPr>
            </w:pPr>
            <w:r w:rsidRPr="00BC2A9B">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199" w:tooltip="二百二十四、國立故宮博物院函送「新故宮─故宮公共化帶動觀光產業發展中程計畫」110年第4季辦理進度書面報告，請查照案。" w:history="1">
              <w:r w:rsidR="00287897" w:rsidRPr="002964FE">
                <w:rPr>
                  <w:rFonts w:hint="eastAsia"/>
                </w:rPr>
                <w:t>國立故宮博物院 函送「新故宮─故宮公共化帶動觀光產業發展中程計畫」110年第4季辦理進度書面報告，請查照案。</w:t>
              </w:r>
            </w:hyperlink>
          </w:p>
        </w:tc>
        <w:tc>
          <w:tcPr>
            <w:tcW w:w="897" w:type="pct"/>
          </w:tcPr>
          <w:p w:rsidR="00287897" w:rsidRPr="00BC2A9B" w:rsidRDefault="00287897" w:rsidP="00287897">
            <w:pPr>
              <w:pStyle w:val="0-"/>
            </w:pPr>
            <w:r w:rsidRPr="00BC2A9B">
              <w:t>10-5-9</w:t>
            </w:r>
          </w:p>
          <w:p w:rsidR="00287897" w:rsidRPr="00BC2A9B" w:rsidRDefault="00287897" w:rsidP="00287897">
            <w:pPr>
              <w:pStyle w:val="0-"/>
            </w:pPr>
            <w:r w:rsidRPr="00BC2A9B">
              <w:t>(111.4.22)</w:t>
            </w:r>
          </w:p>
        </w:tc>
        <w:tc>
          <w:tcPr>
            <w:tcW w:w="523" w:type="pct"/>
          </w:tcPr>
          <w:p w:rsidR="00287897" w:rsidRPr="00BC2A9B" w:rsidRDefault="00287897" w:rsidP="00287897">
            <w:pPr>
              <w:rPr>
                <w:rFonts w:ascii="標楷體" w:eastAsia="標楷體" w:hAnsi="標楷體"/>
                <w:color w:val="000000"/>
                <w:sz w:val="28"/>
              </w:rPr>
            </w:pPr>
          </w:p>
        </w:tc>
        <w:tc>
          <w:tcPr>
            <w:tcW w:w="1247" w:type="pct"/>
          </w:tcPr>
          <w:p w:rsidR="00287897" w:rsidRPr="00BC2A9B" w:rsidRDefault="00287897" w:rsidP="008C2561">
            <w:pPr>
              <w:rPr>
                <w:rFonts w:ascii="標楷體" w:eastAsia="標楷體" w:hAnsi="標楷體"/>
                <w:color w:val="000000"/>
                <w:sz w:val="28"/>
              </w:rPr>
            </w:pPr>
            <w:r w:rsidRPr="00BC2A9B">
              <w:rPr>
                <w:rFonts w:ascii="標楷體" w:eastAsia="標楷體" w:hAnsi="標楷體" w:hint="eastAsia"/>
                <w:color w:val="000000"/>
                <w:sz w:val="28"/>
              </w:rPr>
              <w:t>尚未審查</w:t>
            </w:r>
          </w:p>
        </w:tc>
      </w:tr>
      <w:tr w:rsidR="00287897" w:rsidRPr="00920597" w:rsidTr="002964FE">
        <w:trPr>
          <w:trHeight w:val="428"/>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00" w:tooltip="二百二十五、教育部函送110年度第4季辦理政策及業務宣導執行情形表，請查照案。" w:history="1">
              <w:r w:rsidR="00287897" w:rsidRPr="002964FE">
                <w:rPr>
                  <w:rFonts w:hint="eastAsia"/>
                </w:rPr>
                <w:t>教育部函送110年度第4季辦理政策及業務宣導執行情形表，請查照案。</w:t>
              </w:r>
            </w:hyperlink>
          </w:p>
        </w:tc>
        <w:tc>
          <w:tcPr>
            <w:tcW w:w="897" w:type="pct"/>
          </w:tcPr>
          <w:p w:rsidR="00287897" w:rsidRPr="00BC2A9B" w:rsidRDefault="00287897" w:rsidP="00287897">
            <w:pPr>
              <w:pStyle w:val="0-"/>
            </w:pPr>
            <w:r w:rsidRPr="00BC2A9B">
              <w:t>10-5-9</w:t>
            </w:r>
          </w:p>
          <w:p w:rsidR="00287897" w:rsidRPr="00BC2A9B" w:rsidRDefault="00287897" w:rsidP="00287897">
            <w:pPr>
              <w:pStyle w:val="0-"/>
            </w:pPr>
            <w:r w:rsidRPr="00BC2A9B">
              <w:t>(111.4.22)</w:t>
            </w:r>
          </w:p>
        </w:tc>
        <w:tc>
          <w:tcPr>
            <w:tcW w:w="523" w:type="pct"/>
          </w:tcPr>
          <w:p w:rsidR="00287897" w:rsidRPr="00BC2A9B" w:rsidRDefault="00287897" w:rsidP="00287897">
            <w:pPr>
              <w:rPr>
                <w:rFonts w:ascii="標楷體" w:eastAsia="標楷體" w:hAnsi="標楷體"/>
                <w:color w:val="000000"/>
                <w:sz w:val="28"/>
              </w:rPr>
            </w:pPr>
          </w:p>
        </w:tc>
        <w:tc>
          <w:tcPr>
            <w:tcW w:w="1247" w:type="pct"/>
          </w:tcPr>
          <w:p w:rsidR="00287897" w:rsidRPr="00BC2A9B" w:rsidRDefault="00287897" w:rsidP="008C2561">
            <w:pPr>
              <w:rPr>
                <w:rFonts w:ascii="標楷體" w:eastAsia="標楷體" w:hAnsi="標楷體"/>
                <w:color w:val="000000"/>
                <w:sz w:val="28"/>
              </w:rPr>
            </w:pPr>
            <w:r w:rsidRPr="00BC2A9B">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教育部函送110年度第4季補捐助經費執行情形總表及明細表，請查照案。</w:t>
            </w:r>
          </w:p>
        </w:tc>
        <w:tc>
          <w:tcPr>
            <w:tcW w:w="897" w:type="pct"/>
          </w:tcPr>
          <w:p w:rsidR="00287897" w:rsidRPr="00BC2A9B" w:rsidRDefault="00287897" w:rsidP="00287897">
            <w:pPr>
              <w:pStyle w:val="0-"/>
            </w:pPr>
            <w:r w:rsidRPr="00BC2A9B">
              <w:t>10-5-9</w:t>
            </w:r>
          </w:p>
          <w:p w:rsidR="00287897" w:rsidRPr="00BC2A9B" w:rsidRDefault="00287897" w:rsidP="00287897">
            <w:pPr>
              <w:pStyle w:val="0-"/>
            </w:pPr>
            <w:r w:rsidRPr="00BC2A9B">
              <w:t>(111.4.22)</w:t>
            </w:r>
          </w:p>
        </w:tc>
        <w:tc>
          <w:tcPr>
            <w:tcW w:w="523" w:type="pct"/>
          </w:tcPr>
          <w:p w:rsidR="00287897" w:rsidRPr="00BC2A9B" w:rsidRDefault="00287897" w:rsidP="00287897">
            <w:pPr>
              <w:rPr>
                <w:rFonts w:ascii="標楷體" w:eastAsia="標楷體" w:hAnsi="標楷體"/>
                <w:color w:val="000000"/>
                <w:sz w:val="28"/>
              </w:rPr>
            </w:pPr>
          </w:p>
        </w:tc>
        <w:tc>
          <w:tcPr>
            <w:tcW w:w="1247" w:type="pct"/>
          </w:tcPr>
          <w:p w:rsidR="00287897" w:rsidRPr="00BC2A9B" w:rsidRDefault="00287897" w:rsidP="008C2561">
            <w:pPr>
              <w:rPr>
                <w:rFonts w:ascii="標楷體" w:eastAsia="標楷體" w:hAnsi="標楷體"/>
                <w:color w:val="000000"/>
                <w:sz w:val="28"/>
              </w:rPr>
            </w:pPr>
            <w:r w:rsidRPr="00BC2A9B">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01" w:tooltip="一百三十八、教育部函，為國家運動訓練中心111年度預算案決議，檢送「國家運動訓練中心強化運動科學儀器採購規劃及預算執行」書面報告，請查照案。" w:history="1">
              <w:r w:rsidR="00287897" w:rsidRPr="002964FE">
                <w:rPr>
                  <w:rFonts w:hint="eastAsia"/>
                </w:rPr>
                <w:t>教育部函，為國家運動訓練中心111年度預算案決議，檢送「國家運動訓練中心強化運動科學儀器採購規劃及預算執行」書面報告，請查照案。</w:t>
              </w:r>
            </w:hyperlink>
          </w:p>
        </w:tc>
        <w:tc>
          <w:tcPr>
            <w:tcW w:w="897" w:type="pct"/>
          </w:tcPr>
          <w:p w:rsidR="00287897" w:rsidRPr="00AA4AAA" w:rsidRDefault="00287897" w:rsidP="00287897">
            <w:pPr>
              <w:pStyle w:val="0-"/>
            </w:pPr>
            <w:r w:rsidRPr="00AA4AAA">
              <w:t>10-5-10</w:t>
            </w:r>
          </w:p>
          <w:p w:rsidR="00287897" w:rsidRPr="00AA4AAA" w:rsidRDefault="00287897" w:rsidP="00287897">
            <w:pPr>
              <w:pStyle w:val="0-"/>
            </w:pPr>
            <w:r w:rsidRPr="00AA4AAA">
              <w:t>(111.4.29)</w:t>
            </w:r>
          </w:p>
        </w:tc>
        <w:tc>
          <w:tcPr>
            <w:tcW w:w="523" w:type="pct"/>
          </w:tcPr>
          <w:p w:rsidR="00287897" w:rsidRPr="00AA4AAA" w:rsidRDefault="00287897" w:rsidP="00287897">
            <w:pPr>
              <w:rPr>
                <w:rFonts w:ascii="標楷體" w:eastAsia="標楷體" w:hAnsi="標楷體"/>
                <w:color w:val="000000"/>
                <w:sz w:val="28"/>
              </w:rPr>
            </w:pPr>
          </w:p>
        </w:tc>
        <w:tc>
          <w:tcPr>
            <w:tcW w:w="1247" w:type="pct"/>
          </w:tcPr>
          <w:p w:rsidR="00287897" w:rsidRPr="00AA4AAA" w:rsidRDefault="00287897" w:rsidP="008C2561">
            <w:pPr>
              <w:rPr>
                <w:rFonts w:ascii="標楷體" w:eastAsia="標楷體" w:hAnsi="標楷體"/>
                <w:color w:val="000000"/>
                <w:sz w:val="28"/>
              </w:rPr>
            </w:pPr>
            <w:r w:rsidRPr="00AA4AA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02" w:tooltip="一百三十九、教育部函，為國家運動訓練中心111年度預算案決議，檢送「國家運動訓練中心經費自籌精進策略」書面報告，請查照案。" w:history="1">
              <w:r w:rsidR="00287897" w:rsidRPr="002964FE">
                <w:rPr>
                  <w:rFonts w:hint="eastAsia"/>
                </w:rPr>
                <w:t>教育部函，為國家運動訓練中心111年度預算案決議，檢送「國家運動訓練中心經費自籌精進策略」書面報告，請查照案。</w:t>
              </w:r>
            </w:hyperlink>
          </w:p>
        </w:tc>
        <w:tc>
          <w:tcPr>
            <w:tcW w:w="897" w:type="pct"/>
          </w:tcPr>
          <w:p w:rsidR="00287897" w:rsidRPr="00AA4AAA" w:rsidRDefault="00287897" w:rsidP="00287897">
            <w:pPr>
              <w:pStyle w:val="0-"/>
            </w:pPr>
            <w:r w:rsidRPr="00AA4AAA">
              <w:t>10-5-10</w:t>
            </w:r>
          </w:p>
          <w:p w:rsidR="00287897" w:rsidRPr="00AA4AAA" w:rsidRDefault="00287897" w:rsidP="00287897">
            <w:pPr>
              <w:pStyle w:val="0-"/>
            </w:pPr>
            <w:r w:rsidRPr="00AA4AAA">
              <w:t>(111.4.29)</w:t>
            </w:r>
          </w:p>
        </w:tc>
        <w:tc>
          <w:tcPr>
            <w:tcW w:w="523" w:type="pct"/>
          </w:tcPr>
          <w:p w:rsidR="00287897" w:rsidRPr="00AA4AAA" w:rsidRDefault="00287897" w:rsidP="00287897">
            <w:pPr>
              <w:rPr>
                <w:rFonts w:ascii="標楷體" w:eastAsia="標楷體" w:hAnsi="標楷體"/>
                <w:color w:val="000000"/>
                <w:sz w:val="28"/>
              </w:rPr>
            </w:pPr>
          </w:p>
        </w:tc>
        <w:tc>
          <w:tcPr>
            <w:tcW w:w="1247" w:type="pct"/>
          </w:tcPr>
          <w:p w:rsidR="00287897" w:rsidRPr="00AA4AAA" w:rsidRDefault="00287897" w:rsidP="008C2561">
            <w:pPr>
              <w:rPr>
                <w:rFonts w:ascii="標楷體" w:eastAsia="標楷體" w:hAnsi="標楷體"/>
                <w:color w:val="000000"/>
                <w:sz w:val="28"/>
              </w:rPr>
            </w:pPr>
            <w:r w:rsidRPr="00AA4AA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03" w:tooltip="一百四十、教育部函，為國家運動訓練中心111年度預算案決議，檢送「2028年洛杉磯奧運黃金計畫及選手課業輔導辦理方式」書面報告，請查照案。" w:history="1">
              <w:r w:rsidR="00287897" w:rsidRPr="002964FE">
                <w:rPr>
                  <w:rFonts w:hint="eastAsia"/>
                </w:rPr>
                <w:t>教育部函，為國家運動訓練中心111年度預算案決議，檢送「2028年洛杉磯奧運黃金計畫及選手課業輔導辦理方式」書面報告，請查照案。</w:t>
              </w:r>
            </w:hyperlink>
          </w:p>
        </w:tc>
        <w:tc>
          <w:tcPr>
            <w:tcW w:w="897" w:type="pct"/>
          </w:tcPr>
          <w:p w:rsidR="00287897" w:rsidRPr="00AA4AAA" w:rsidRDefault="00287897" w:rsidP="00287897">
            <w:pPr>
              <w:pStyle w:val="0-"/>
            </w:pPr>
            <w:r w:rsidRPr="00AA4AAA">
              <w:t>10-5-10</w:t>
            </w:r>
          </w:p>
          <w:p w:rsidR="00287897" w:rsidRPr="00AA4AAA" w:rsidRDefault="00287897" w:rsidP="00287897">
            <w:pPr>
              <w:pStyle w:val="0-"/>
            </w:pPr>
            <w:r w:rsidRPr="00AA4AAA">
              <w:t>(111.4.29)</w:t>
            </w:r>
          </w:p>
        </w:tc>
        <w:tc>
          <w:tcPr>
            <w:tcW w:w="523" w:type="pct"/>
          </w:tcPr>
          <w:p w:rsidR="00287897" w:rsidRPr="00AA4AAA" w:rsidRDefault="00287897" w:rsidP="00287897">
            <w:pPr>
              <w:rPr>
                <w:rFonts w:ascii="標楷體" w:eastAsia="標楷體" w:hAnsi="標楷體"/>
                <w:color w:val="000000"/>
                <w:sz w:val="28"/>
              </w:rPr>
            </w:pPr>
          </w:p>
        </w:tc>
        <w:tc>
          <w:tcPr>
            <w:tcW w:w="1247" w:type="pct"/>
          </w:tcPr>
          <w:p w:rsidR="00287897" w:rsidRPr="00AA4AAA" w:rsidRDefault="00287897" w:rsidP="008C2561">
            <w:pPr>
              <w:rPr>
                <w:rFonts w:ascii="標楷體" w:eastAsia="標楷體" w:hAnsi="標楷體"/>
                <w:color w:val="000000"/>
                <w:sz w:val="28"/>
              </w:rPr>
            </w:pPr>
            <w:r w:rsidRPr="00AA4AA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04" w:tooltip="一百四十一、教育部函，為國家運動訓練中心111年度預算案決議，檢送「國家運動訓練中心改善運動科學儀器設備採購執行率」書面報告，請查照案。" w:history="1">
              <w:r w:rsidR="00287897" w:rsidRPr="002964FE">
                <w:rPr>
                  <w:rFonts w:hint="eastAsia"/>
                </w:rPr>
                <w:t>教育部函，為國家運動訓練中心111年度預算案決議，檢送「國家運動訓練中心改善運動科學儀器設備採購執行率」書面報告，請查照案。</w:t>
              </w:r>
            </w:hyperlink>
          </w:p>
        </w:tc>
        <w:tc>
          <w:tcPr>
            <w:tcW w:w="897" w:type="pct"/>
          </w:tcPr>
          <w:p w:rsidR="00287897" w:rsidRPr="00AA4AAA" w:rsidRDefault="00287897" w:rsidP="00287897">
            <w:pPr>
              <w:pStyle w:val="0-"/>
            </w:pPr>
            <w:r w:rsidRPr="00AA4AAA">
              <w:t>10-5-10</w:t>
            </w:r>
          </w:p>
          <w:p w:rsidR="00287897" w:rsidRPr="00AA4AAA" w:rsidRDefault="00287897" w:rsidP="00287897">
            <w:pPr>
              <w:pStyle w:val="0-"/>
            </w:pPr>
            <w:r w:rsidRPr="00AA4AAA">
              <w:t>(111.4.29)</w:t>
            </w:r>
          </w:p>
        </w:tc>
        <w:tc>
          <w:tcPr>
            <w:tcW w:w="523" w:type="pct"/>
          </w:tcPr>
          <w:p w:rsidR="00287897" w:rsidRPr="00AA4AAA" w:rsidRDefault="00287897" w:rsidP="00287897">
            <w:pPr>
              <w:rPr>
                <w:rFonts w:ascii="標楷體" w:eastAsia="標楷體" w:hAnsi="標楷體"/>
                <w:color w:val="000000"/>
                <w:sz w:val="28"/>
              </w:rPr>
            </w:pPr>
          </w:p>
        </w:tc>
        <w:tc>
          <w:tcPr>
            <w:tcW w:w="1247" w:type="pct"/>
          </w:tcPr>
          <w:p w:rsidR="00287897" w:rsidRPr="00AA4AAA" w:rsidRDefault="00287897" w:rsidP="008C2561">
            <w:pPr>
              <w:rPr>
                <w:rFonts w:ascii="標楷體" w:eastAsia="標楷體" w:hAnsi="標楷體"/>
                <w:color w:val="000000"/>
                <w:sz w:val="28"/>
              </w:rPr>
            </w:pPr>
            <w:r w:rsidRPr="00AA4AA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05" w:tooltip="一百四十二、教育部函，為國家運動訓練中心111年度預算案決議，檢送「國家運動訓練中心辦理黃金計畫2.0預算」書面報告，請查照案。" w:history="1">
              <w:r w:rsidR="00287897" w:rsidRPr="002964FE">
                <w:rPr>
                  <w:rFonts w:hint="eastAsia"/>
                </w:rPr>
                <w:t>教育部函，為國家運動訓練中心111年度預算案決議，檢送「國家運動訓練中心辦理黃金計畫2.0預算」書面報告，請查照案。</w:t>
              </w:r>
            </w:hyperlink>
          </w:p>
        </w:tc>
        <w:tc>
          <w:tcPr>
            <w:tcW w:w="897" w:type="pct"/>
          </w:tcPr>
          <w:p w:rsidR="00287897" w:rsidRPr="00AA4AAA" w:rsidRDefault="00287897" w:rsidP="00287897">
            <w:pPr>
              <w:pStyle w:val="0-"/>
            </w:pPr>
            <w:r w:rsidRPr="00AA4AAA">
              <w:t>10-5-10</w:t>
            </w:r>
          </w:p>
          <w:p w:rsidR="00287897" w:rsidRPr="00AA4AAA" w:rsidRDefault="00287897" w:rsidP="00287897">
            <w:pPr>
              <w:pStyle w:val="0-"/>
            </w:pPr>
            <w:r w:rsidRPr="00AA4AAA">
              <w:t>(111.4.29)</w:t>
            </w:r>
          </w:p>
        </w:tc>
        <w:tc>
          <w:tcPr>
            <w:tcW w:w="523" w:type="pct"/>
          </w:tcPr>
          <w:p w:rsidR="00287897" w:rsidRPr="00AA4AAA" w:rsidRDefault="00287897" w:rsidP="00287897">
            <w:pPr>
              <w:rPr>
                <w:rFonts w:ascii="標楷體" w:eastAsia="標楷體" w:hAnsi="標楷體"/>
                <w:color w:val="000000"/>
                <w:sz w:val="28"/>
              </w:rPr>
            </w:pPr>
          </w:p>
        </w:tc>
        <w:tc>
          <w:tcPr>
            <w:tcW w:w="1247" w:type="pct"/>
          </w:tcPr>
          <w:p w:rsidR="00287897" w:rsidRPr="00AA4AAA" w:rsidRDefault="00287897" w:rsidP="008C2561">
            <w:pPr>
              <w:rPr>
                <w:rFonts w:ascii="標楷體" w:eastAsia="標楷體" w:hAnsi="標楷體"/>
                <w:color w:val="000000"/>
                <w:sz w:val="28"/>
              </w:rPr>
            </w:pPr>
            <w:r w:rsidRPr="00AA4AA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06" w:tooltip="一百四十三、教育部函，為國家運動訓練中心111年度預算案決議，檢送「國家運動訓練中心執行公共關係費」書面報告，請查照案。" w:history="1">
              <w:r w:rsidR="00287897" w:rsidRPr="002964FE">
                <w:rPr>
                  <w:rFonts w:hint="eastAsia"/>
                </w:rPr>
                <w:t>教育部函，為國家運動訓練中心111年度預算案決議，檢送「國家運動訓練中心執行公共關係費」書面報告，請查照案。</w:t>
              </w:r>
            </w:hyperlink>
          </w:p>
        </w:tc>
        <w:tc>
          <w:tcPr>
            <w:tcW w:w="897" w:type="pct"/>
          </w:tcPr>
          <w:p w:rsidR="00287897" w:rsidRPr="00AA4AAA" w:rsidRDefault="00287897" w:rsidP="00287897">
            <w:pPr>
              <w:pStyle w:val="0-"/>
            </w:pPr>
            <w:r w:rsidRPr="00AA4AAA">
              <w:t>10-5-10</w:t>
            </w:r>
          </w:p>
          <w:p w:rsidR="00287897" w:rsidRPr="00AA4AAA" w:rsidRDefault="00287897" w:rsidP="00287897">
            <w:pPr>
              <w:pStyle w:val="0-"/>
            </w:pPr>
            <w:r w:rsidRPr="00AA4AAA">
              <w:t>(111.4.29)</w:t>
            </w:r>
          </w:p>
        </w:tc>
        <w:tc>
          <w:tcPr>
            <w:tcW w:w="523" w:type="pct"/>
          </w:tcPr>
          <w:p w:rsidR="00287897" w:rsidRPr="00AA4AAA" w:rsidRDefault="00287897" w:rsidP="00287897">
            <w:pPr>
              <w:rPr>
                <w:rFonts w:ascii="標楷體" w:eastAsia="標楷體" w:hAnsi="標楷體"/>
                <w:color w:val="000000"/>
                <w:sz w:val="28"/>
              </w:rPr>
            </w:pPr>
          </w:p>
        </w:tc>
        <w:tc>
          <w:tcPr>
            <w:tcW w:w="1247" w:type="pct"/>
          </w:tcPr>
          <w:p w:rsidR="00287897" w:rsidRPr="00AA4AAA" w:rsidRDefault="00287897" w:rsidP="008C2561">
            <w:pPr>
              <w:rPr>
                <w:rFonts w:ascii="標楷體" w:eastAsia="標楷體" w:hAnsi="標楷體"/>
                <w:color w:val="000000"/>
                <w:sz w:val="28"/>
              </w:rPr>
            </w:pPr>
            <w:r w:rsidRPr="00AA4AA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行政院原子能委員會函送110年度前瞻基礎建設計畫「綠能</w:t>
            </w:r>
            <w:r w:rsidRPr="002964FE">
              <w:rPr>
                <w:rFonts w:hint="eastAsia"/>
              </w:rPr>
              <w:lastRenderedPageBreak/>
              <w:t>發配電智慧管理與效能提升技術發展計畫」執行進度及績效報告，請查照案。</w:t>
            </w:r>
          </w:p>
        </w:tc>
        <w:tc>
          <w:tcPr>
            <w:tcW w:w="897" w:type="pct"/>
          </w:tcPr>
          <w:p w:rsidR="00287897" w:rsidRPr="00AA4AAA" w:rsidRDefault="00287897" w:rsidP="00287897">
            <w:pPr>
              <w:pStyle w:val="0-"/>
            </w:pPr>
            <w:r w:rsidRPr="00AA4AAA">
              <w:lastRenderedPageBreak/>
              <w:t>10-5-10</w:t>
            </w:r>
          </w:p>
          <w:p w:rsidR="00287897" w:rsidRPr="00AA4AAA" w:rsidRDefault="00287897" w:rsidP="00287897">
            <w:pPr>
              <w:pStyle w:val="0-"/>
            </w:pPr>
            <w:r w:rsidRPr="00AA4AAA">
              <w:t>(111.4.29)</w:t>
            </w:r>
          </w:p>
        </w:tc>
        <w:tc>
          <w:tcPr>
            <w:tcW w:w="523" w:type="pct"/>
          </w:tcPr>
          <w:p w:rsidR="00287897" w:rsidRPr="00AA4AAA" w:rsidRDefault="00287897" w:rsidP="00287897">
            <w:pPr>
              <w:rPr>
                <w:rFonts w:ascii="標楷體" w:eastAsia="標楷體" w:hAnsi="標楷體"/>
                <w:color w:val="000000"/>
                <w:sz w:val="28"/>
              </w:rPr>
            </w:pPr>
          </w:p>
        </w:tc>
        <w:tc>
          <w:tcPr>
            <w:tcW w:w="1247" w:type="pct"/>
          </w:tcPr>
          <w:p w:rsidR="00287897" w:rsidRPr="00AA4AAA" w:rsidRDefault="00287897" w:rsidP="008C2561">
            <w:pPr>
              <w:rPr>
                <w:rFonts w:ascii="標楷體" w:eastAsia="標楷體" w:hAnsi="標楷體"/>
                <w:color w:val="000000"/>
                <w:sz w:val="28"/>
              </w:rPr>
            </w:pPr>
            <w:r w:rsidRPr="00AA4AA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文化部函送「前瞻基礎建設計畫（城鄉建設類）－文化生活圈建設計畫」110年度執行進度及績效報告，請查照案。</w:t>
            </w:r>
          </w:p>
        </w:tc>
        <w:tc>
          <w:tcPr>
            <w:tcW w:w="897" w:type="pct"/>
          </w:tcPr>
          <w:p w:rsidR="00287897" w:rsidRPr="00AA4AAA" w:rsidRDefault="00287897" w:rsidP="00287897">
            <w:pPr>
              <w:pStyle w:val="0-"/>
            </w:pPr>
            <w:r w:rsidRPr="00AA4AAA">
              <w:t>10-5-10</w:t>
            </w:r>
          </w:p>
          <w:p w:rsidR="00287897" w:rsidRPr="00AA4AAA" w:rsidRDefault="00287897" w:rsidP="00287897">
            <w:pPr>
              <w:pStyle w:val="0-"/>
            </w:pPr>
            <w:r w:rsidRPr="00AA4AAA">
              <w:t>(111.4.29)</w:t>
            </w:r>
          </w:p>
        </w:tc>
        <w:tc>
          <w:tcPr>
            <w:tcW w:w="523" w:type="pct"/>
          </w:tcPr>
          <w:p w:rsidR="00287897" w:rsidRPr="00AA4AAA" w:rsidRDefault="00287897" w:rsidP="00287897">
            <w:pPr>
              <w:rPr>
                <w:rFonts w:ascii="標楷體" w:eastAsia="標楷體" w:hAnsi="標楷體"/>
                <w:color w:val="000000"/>
                <w:sz w:val="28"/>
              </w:rPr>
            </w:pPr>
          </w:p>
        </w:tc>
        <w:tc>
          <w:tcPr>
            <w:tcW w:w="1247" w:type="pct"/>
          </w:tcPr>
          <w:p w:rsidR="00287897" w:rsidRPr="00AA4AAA" w:rsidRDefault="00287897" w:rsidP="008C2561">
            <w:pPr>
              <w:rPr>
                <w:rFonts w:ascii="標楷體" w:eastAsia="標楷體" w:hAnsi="標楷體"/>
                <w:color w:val="000000"/>
                <w:sz w:val="28"/>
              </w:rPr>
            </w:pPr>
            <w:r w:rsidRPr="00AA4AA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07" w:tooltip="一百六十四、文化部函送前瞻基礎建設計畫（科技發展類）「110年度執行進度及績效報告」，請查照案。" w:history="1">
              <w:r w:rsidR="00287897" w:rsidRPr="002964FE">
                <w:rPr>
                  <w:rFonts w:hint="eastAsia"/>
                </w:rPr>
                <w:t>文化部函送前瞻基礎建設計畫（科技發展類）「110年度執行進度及績效報告」，請查照案。</w:t>
              </w:r>
            </w:hyperlink>
          </w:p>
        </w:tc>
        <w:tc>
          <w:tcPr>
            <w:tcW w:w="897" w:type="pct"/>
          </w:tcPr>
          <w:p w:rsidR="00287897" w:rsidRPr="00AA4AAA" w:rsidRDefault="00287897" w:rsidP="00287897">
            <w:pPr>
              <w:pStyle w:val="0-"/>
            </w:pPr>
            <w:r w:rsidRPr="00AA4AAA">
              <w:t>10-5-10</w:t>
            </w:r>
          </w:p>
          <w:p w:rsidR="00287897" w:rsidRPr="00AA4AAA" w:rsidRDefault="00287897" w:rsidP="00287897">
            <w:pPr>
              <w:pStyle w:val="0-"/>
            </w:pPr>
            <w:r w:rsidRPr="00AA4AAA">
              <w:t>(111.4.29)</w:t>
            </w:r>
          </w:p>
        </w:tc>
        <w:tc>
          <w:tcPr>
            <w:tcW w:w="523" w:type="pct"/>
          </w:tcPr>
          <w:p w:rsidR="00287897" w:rsidRPr="00AA4AAA" w:rsidRDefault="00287897" w:rsidP="00287897">
            <w:pPr>
              <w:rPr>
                <w:rFonts w:ascii="標楷體" w:eastAsia="標楷體" w:hAnsi="標楷體"/>
                <w:color w:val="000000"/>
                <w:sz w:val="28"/>
              </w:rPr>
            </w:pPr>
          </w:p>
        </w:tc>
        <w:tc>
          <w:tcPr>
            <w:tcW w:w="1247" w:type="pct"/>
          </w:tcPr>
          <w:p w:rsidR="00287897" w:rsidRPr="00AA4AAA" w:rsidRDefault="00287897" w:rsidP="008C2561">
            <w:pPr>
              <w:rPr>
                <w:rFonts w:ascii="標楷體" w:eastAsia="標楷體" w:hAnsi="標楷體"/>
                <w:color w:val="000000"/>
                <w:sz w:val="28"/>
              </w:rPr>
            </w:pPr>
            <w:r w:rsidRPr="00AA4AA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08" w:tooltip="一百六十五、科技部函送110年辦理前瞻基礎建設「科學城公共建設計畫－科技部」等14項計畫執行進度及績效報告，請查照案。" w:history="1">
              <w:r w:rsidR="00287897" w:rsidRPr="002964FE">
                <w:rPr>
                  <w:rFonts w:hint="eastAsia"/>
                </w:rPr>
                <w:t>科技部函送110年辦理前瞻基礎建設「科學城公共建設計畫－科技部」等14項計畫執行進度及績效報告，請查照案。</w:t>
              </w:r>
            </w:hyperlink>
          </w:p>
        </w:tc>
        <w:tc>
          <w:tcPr>
            <w:tcW w:w="897" w:type="pct"/>
          </w:tcPr>
          <w:p w:rsidR="00287897" w:rsidRPr="00AA4AAA" w:rsidRDefault="00287897" w:rsidP="00287897">
            <w:pPr>
              <w:pStyle w:val="0-"/>
            </w:pPr>
            <w:r w:rsidRPr="00AA4AAA">
              <w:t>10-5-10</w:t>
            </w:r>
          </w:p>
          <w:p w:rsidR="00287897" w:rsidRPr="00AA4AAA" w:rsidRDefault="00287897" w:rsidP="00287897">
            <w:pPr>
              <w:pStyle w:val="0-"/>
            </w:pPr>
            <w:r w:rsidRPr="00AA4AAA">
              <w:t>(111.4.29)</w:t>
            </w:r>
          </w:p>
        </w:tc>
        <w:tc>
          <w:tcPr>
            <w:tcW w:w="523" w:type="pct"/>
          </w:tcPr>
          <w:p w:rsidR="00287897" w:rsidRPr="00AA4AAA" w:rsidRDefault="00287897" w:rsidP="00287897">
            <w:pPr>
              <w:rPr>
                <w:rFonts w:ascii="標楷體" w:eastAsia="標楷體" w:hAnsi="標楷體"/>
                <w:color w:val="000000"/>
                <w:sz w:val="28"/>
              </w:rPr>
            </w:pPr>
          </w:p>
        </w:tc>
        <w:tc>
          <w:tcPr>
            <w:tcW w:w="1247" w:type="pct"/>
          </w:tcPr>
          <w:p w:rsidR="00287897" w:rsidRPr="00AA4AAA" w:rsidRDefault="00287897" w:rsidP="008C2561">
            <w:pPr>
              <w:rPr>
                <w:rFonts w:ascii="標楷體" w:eastAsia="標楷體" w:hAnsi="標楷體"/>
                <w:color w:val="000000"/>
                <w:sz w:val="28"/>
              </w:rPr>
            </w:pPr>
            <w:r w:rsidRPr="00AA4AA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09" w:tooltip="一百六十六、教育部函送前瞻基礎建設計畫110年度執行進度及績效報告，請查照案。" w:history="1">
              <w:r w:rsidR="00287897" w:rsidRPr="002964FE">
                <w:rPr>
                  <w:rFonts w:hint="eastAsia"/>
                </w:rPr>
                <w:t>教育部函送前瞻基礎建設計畫110年度執行進度及績效報告，請查照案。</w:t>
              </w:r>
            </w:hyperlink>
          </w:p>
        </w:tc>
        <w:tc>
          <w:tcPr>
            <w:tcW w:w="897" w:type="pct"/>
          </w:tcPr>
          <w:p w:rsidR="00287897" w:rsidRPr="00AA4AAA" w:rsidRDefault="00287897" w:rsidP="00287897">
            <w:pPr>
              <w:pStyle w:val="0-"/>
            </w:pPr>
            <w:r w:rsidRPr="00AA4AAA">
              <w:t>10-5-10</w:t>
            </w:r>
          </w:p>
          <w:p w:rsidR="00287897" w:rsidRPr="00AA4AAA" w:rsidRDefault="00287897" w:rsidP="00287897">
            <w:pPr>
              <w:pStyle w:val="0-"/>
            </w:pPr>
            <w:r w:rsidRPr="00AA4AAA">
              <w:t>(111.4.29)</w:t>
            </w:r>
          </w:p>
        </w:tc>
        <w:tc>
          <w:tcPr>
            <w:tcW w:w="523" w:type="pct"/>
          </w:tcPr>
          <w:p w:rsidR="00287897" w:rsidRPr="00AA4AAA" w:rsidRDefault="00287897" w:rsidP="00287897">
            <w:pPr>
              <w:rPr>
                <w:rFonts w:ascii="標楷體" w:eastAsia="標楷體" w:hAnsi="標楷體"/>
                <w:color w:val="000000"/>
                <w:sz w:val="28"/>
              </w:rPr>
            </w:pPr>
          </w:p>
        </w:tc>
        <w:tc>
          <w:tcPr>
            <w:tcW w:w="1247" w:type="pct"/>
          </w:tcPr>
          <w:p w:rsidR="00287897" w:rsidRPr="00AA4AAA" w:rsidRDefault="00287897" w:rsidP="008C2561">
            <w:pPr>
              <w:rPr>
                <w:rFonts w:ascii="標楷體" w:eastAsia="標楷體" w:hAnsi="標楷體"/>
                <w:color w:val="000000"/>
                <w:sz w:val="28"/>
              </w:rPr>
            </w:pPr>
            <w:r w:rsidRPr="00AA4AA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10" w:tooltip="一百六十七、中央研究院函送前瞻基礎建設計畫「建置分散式區域規模之大型儲能系統，推動綠能產業發展計畫」110年度執行進度及績效報告，請查照案。" w:history="1">
              <w:r w:rsidR="00287897" w:rsidRPr="002964FE">
                <w:rPr>
                  <w:rFonts w:hint="eastAsia"/>
                </w:rPr>
                <w:t>中央研究院函送前瞻基礎建設計畫「建置分散式區域規模之大型儲能系統，推動綠能產業發展計畫」110年度執行進度及績效報告，請查照案。</w:t>
              </w:r>
            </w:hyperlink>
          </w:p>
        </w:tc>
        <w:tc>
          <w:tcPr>
            <w:tcW w:w="897" w:type="pct"/>
          </w:tcPr>
          <w:p w:rsidR="00287897" w:rsidRPr="00AA4AAA" w:rsidRDefault="00287897" w:rsidP="00287897">
            <w:pPr>
              <w:pStyle w:val="0-"/>
            </w:pPr>
            <w:r w:rsidRPr="00AA4AAA">
              <w:t>10-5-10</w:t>
            </w:r>
          </w:p>
          <w:p w:rsidR="00287897" w:rsidRPr="00AA4AAA" w:rsidRDefault="00287897" w:rsidP="00287897">
            <w:pPr>
              <w:pStyle w:val="0-"/>
            </w:pPr>
            <w:r w:rsidRPr="00AA4AAA">
              <w:t>(111.4.29)</w:t>
            </w:r>
          </w:p>
        </w:tc>
        <w:tc>
          <w:tcPr>
            <w:tcW w:w="523" w:type="pct"/>
          </w:tcPr>
          <w:p w:rsidR="00287897" w:rsidRPr="00AA4AAA" w:rsidRDefault="00287897" w:rsidP="00287897">
            <w:pPr>
              <w:rPr>
                <w:rFonts w:ascii="標楷體" w:eastAsia="標楷體" w:hAnsi="標楷體"/>
                <w:color w:val="000000"/>
                <w:sz w:val="28"/>
              </w:rPr>
            </w:pPr>
          </w:p>
        </w:tc>
        <w:tc>
          <w:tcPr>
            <w:tcW w:w="1247" w:type="pct"/>
          </w:tcPr>
          <w:p w:rsidR="00287897" w:rsidRPr="00AA4AAA" w:rsidRDefault="00287897" w:rsidP="008C2561">
            <w:pPr>
              <w:rPr>
                <w:rFonts w:ascii="標楷體" w:eastAsia="標楷體" w:hAnsi="標楷體"/>
                <w:color w:val="000000"/>
                <w:sz w:val="28"/>
              </w:rPr>
            </w:pPr>
            <w:r w:rsidRPr="00AA4AA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11" w:tooltip="一百六十八、國立故宮博物院函送前瞻基礎建設計畫「故宮5G博物館計畫」110年度執行進度及績效報告，請查照案。" w:history="1">
              <w:r w:rsidR="00287897" w:rsidRPr="002964FE">
                <w:rPr>
                  <w:rFonts w:hint="eastAsia"/>
                </w:rPr>
                <w:t>國立故宮博物院函送前瞻基礎建設計畫「故宮5G博物館計畫」110年度執行進度及績效報告，請查照案。</w:t>
              </w:r>
            </w:hyperlink>
          </w:p>
        </w:tc>
        <w:tc>
          <w:tcPr>
            <w:tcW w:w="897" w:type="pct"/>
          </w:tcPr>
          <w:p w:rsidR="00287897" w:rsidRPr="00AA4AAA" w:rsidRDefault="00287897" w:rsidP="00287897">
            <w:pPr>
              <w:pStyle w:val="0-"/>
            </w:pPr>
            <w:r w:rsidRPr="00AA4AAA">
              <w:t>10-5-10</w:t>
            </w:r>
          </w:p>
          <w:p w:rsidR="00287897" w:rsidRPr="00AA4AAA" w:rsidRDefault="00287897" w:rsidP="00287897">
            <w:pPr>
              <w:pStyle w:val="0-"/>
            </w:pPr>
            <w:r w:rsidRPr="00AA4AAA">
              <w:t>(111.4.29)</w:t>
            </w:r>
          </w:p>
        </w:tc>
        <w:tc>
          <w:tcPr>
            <w:tcW w:w="523" w:type="pct"/>
          </w:tcPr>
          <w:p w:rsidR="00287897" w:rsidRPr="00AA4AAA" w:rsidRDefault="00287897" w:rsidP="00287897">
            <w:pPr>
              <w:rPr>
                <w:rFonts w:ascii="標楷體" w:eastAsia="標楷體" w:hAnsi="標楷體"/>
                <w:color w:val="000000"/>
                <w:sz w:val="28"/>
              </w:rPr>
            </w:pPr>
          </w:p>
        </w:tc>
        <w:tc>
          <w:tcPr>
            <w:tcW w:w="1247" w:type="pct"/>
          </w:tcPr>
          <w:p w:rsidR="00287897" w:rsidRPr="00AA4AAA" w:rsidRDefault="00287897" w:rsidP="008C2561">
            <w:pPr>
              <w:rPr>
                <w:rFonts w:ascii="標楷體" w:eastAsia="標楷體" w:hAnsi="標楷體"/>
                <w:color w:val="000000"/>
                <w:sz w:val="28"/>
              </w:rPr>
            </w:pPr>
            <w:r w:rsidRPr="00AA4AA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12" w:tooltip="二百三十二、科技部函，為110年度中央政府總預算附屬單位預算決議，檢送「協助新創產業發展與投資預算編列說明及科研創業計畫執行內容」書面報告，請查照案。" w:history="1">
              <w:r w:rsidR="00287897" w:rsidRPr="002964FE">
                <w:rPr>
                  <w:rFonts w:hint="eastAsia"/>
                </w:rPr>
                <w:t>科技部函，為110年度中央政府總預算附屬單位預算決議，檢送「協助新創產業發展與投資預算編列說明及科研創業計畫執行內容」書面報告，請查照案。</w:t>
              </w:r>
            </w:hyperlink>
          </w:p>
        </w:tc>
        <w:tc>
          <w:tcPr>
            <w:tcW w:w="897" w:type="pct"/>
          </w:tcPr>
          <w:p w:rsidR="00287897" w:rsidRPr="00AA4AAA" w:rsidRDefault="00287897" w:rsidP="00287897">
            <w:pPr>
              <w:pStyle w:val="0-"/>
            </w:pPr>
            <w:r w:rsidRPr="00AA4AAA">
              <w:t>10-5-10</w:t>
            </w:r>
          </w:p>
          <w:p w:rsidR="00287897" w:rsidRPr="00AA4AAA" w:rsidRDefault="00287897" w:rsidP="00287897">
            <w:pPr>
              <w:pStyle w:val="0-"/>
            </w:pPr>
            <w:r w:rsidRPr="00AA4AAA">
              <w:t>(111.4.29)</w:t>
            </w:r>
          </w:p>
        </w:tc>
        <w:tc>
          <w:tcPr>
            <w:tcW w:w="523" w:type="pct"/>
          </w:tcPr>
          <w:p w:rsidR="00287897" w:rsidRPr="00AA4AAA" w:rsidRDefault="00287897" w:rsidP="00287897">
            <w:pPr>
              <w:rPr>
                <w:rFonts w:ascii="標楷體" w:eastAsia="標楷體" w:hAnsi="標楷體"/>
                <w:color w:val="000000"/>
                <w:sz w:val="28"/>
              </w:rPr>
            </w:pPr>
          </w:p>
        </w:tc>
        <w:tc>
          <w:tcPr>
            <w:tcW w:w="1247" w:type="pct"/>
          </w:tcPr>
          <w:p w:rsidR="00287897" w:rsidRPr="00AA4AAA" w:rsidRDefault="00287897" w:rsidP="008C2561">
            <w:pPr>
              <w:rPr>
                <w:rFonts w:ascii="標楷體" w:eastAsia="標楷體" w:hAnsi="標楷體"/>
                <w:color w:val="000000"/>
                <w:sz w:val="28"/>
              </w:rPr>
            </w:pPr>
            <w:r w:rsidRPr="00AA4AA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13" w:tooltip="二百三十三、科技部函，為110年度中央政府總預算附屬單位預算決議，檢送「臺灣實證資料庫建置（加值應用）計畫及心智科學大型研究設備共同使用服務計畫」書面報告，請查照案。" w:history="1">
              <w:r w:rsidR="00287897" w:rsidRPr="002964FE">
                <w:rPr>
                  <w:rFonts w:hint="eastAsia"/>
                </w:rPr>
                <w:t>科技部函，為110年度中央政府總預算附屬單位預算決議，</w:t>
              </w:r>
              <w:r w:rsidR="00287897" w:rsidRPr="002964FE">
                <w:rPr>
                  <w:rFonts w:hint="eastAsia"/>
                </w:rPr>
                <w:lastRenderedPageBreak/>
                <w:t>檢送「臺灣實證資料庫建置（加值應用）計畫及心智科學大型研究設備共同使用服務計畫」書面報告，請查照案。</w:t>
              </w:r>
            </w:hyperlink>
          </w:p>
        </w:tc>
        <w:tc>
          <w:tcPr>
            <w:tcW w:w="897" w:type="pct"/>
          </w:tcPr>
          <w:p w:rsidR="00287897" w:rsidRPr="00AA4AAA" w:rsidRDefault="00287897" w:rsidP="00287897">
            <w:pPr>
              <w:pStyle w:val="0-"/>
            </w:pPr>
            <w:r w:rsidRPr="00AA4AAA">
              <w:lastRenderedPageBreak/>
              <w:t>10-5-10</w:t>
            </w:r>
          </w:p>
          <w:p w:rsidR="00287897" w:rsidRPr="00AA4AAA" w:rsidRDefault="00287897" w:rsidP="00287897">
            <w:pPr>
              <w:pStyle w:val="0-"/>
            </w:pPr>
            <w:r w:rsidRPr="00AA4AAA">
              <w:t>(111.4.29)</w:t>
            </w:r>
          </w:p>
        </w:tc>
        <w:tc>
          <w:tcPr>
            <w:tcW w:w="523" w:type="pct"/>
          </w:tcPr>
          <w:p w:rsidR="00287897" w:rsidRPr="00AA4AAA" w:rsidRDefault="00287897" w:rsidP="00287897">
            <w:pPr>
              <w:rPr>
                <w:rFonts w:ascii="標楷體" w:eastAsia="標楷體" w:hAnsi="標楷體"/>
                <w:color w:val="000000"/>
                <w:sz w:val="28"/>
              </w:rPr>
            </w:pPr>
          </w:p>
        </w:tc>
        <w:tc>
          <w:tcPr>
            <w:tcW w:w="1247" w:type="pct"/>
          </w:tcPr>
          <w:p w:rsidR="00287897" w:rsidRPr="00AA4AAA" w:rsidRDefault="00287897" w:rsidP="008C2561">
            <w:pPr>
              <w:rPr>
                <w:rFonts w:ascii="標楷體" w:eastAsia="標楷體" w:hAnsi="標楷體"/>
                <w:color w:val="000000"/>
                <w:sz w:val="28"/>
              </w:rPr>
            </w:pPr>
            <w:r w:rsidRPr="00AA4AA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14" w:tooltip="二百三十四、科技部函，為110年度中央政府總預算附屬單位預算決議，檢送「數位平台服務與科技應用推動計畫之定位及必要性」書面報告，請查照案。" w:history="1">
              <w:r w:rsidR="00287897" w:rsidRPr="002964FE">
                <w:rPr>
                  <w:rFonts w:hint="eastAsia"/>
                </w:rPr>
                <w:t>科技部函，為110年度中央政府總預算附屬單位預算決議，檢送「數位平台服務與科技應用推動計畫之定位及必要性」書面報告，請查照案。</w:t>
              </w:r>
            </w:hyperlink>
          </w:p>
        </w:tc>
        <w:tc>
          <w:tcPr>
            <w:tcW w:w="897" w:type="pct"/>
          </w:tcPr>
          <w:p w:rsidR="00287897" w:rsidRPr="00AA4AAA" w:rsidRDefault="00287897" w:rsidP="00287897">
            <w:pPr>
              <w:pStyle w:val="0-"/>
            </w:pPr>
            <w:r w:rsidRPr="00AA4AAA">
              <w:t>10-5-10</w:t>
            </w:r>
          </w:p>
          <w:p w:rsidR="00287897" w:rsidRPr="00AA4AAA" w:rsidRDefault="00287897" w:rsidP="00287897">
            <w:pPr>
              <w:pStyle w:val="0-"/>
            </w:pPr>
            <w:r w:rsidRPr="00AA4AAA">
              <w:t>(111.4.29)</w:t>
            </w:r>
          </w:p>
        </w:tc>
        <w:tc>
          <w:tcPr>
            <w:tcW w:w="523" w:type="pct"/>
          </w:tcPr>
          <w:p w:rsidR="00287897" w:rsidRPr="00AA4AAA" w:rsidRDefault="00287897" w:rsidP="00287897">
            <w:pPr>
              <w:rPr>
                <w:rFonts w:ascii="標楷體" w:eastAsia="標楷體" w:hAnsi="標楷體"/>
                <w:color w:val="000000"/>
                <w:sz w:val="28"/>
              </w:rPr>
            </w:pPr>
          </w:p>
        </w:tc>
        <w:tc>
          <w:tcPr>
            <w:tcW w:w="1247" w:type="pct"/>
          </w:tcPr>
          <w:p w:rsidR="00287897" w:rsidRPr="00AA4AAA" w:rsidRDefault="00287897" w:rsidP="008C2561">
            <w:pPr>
              <w:rPr>
                <w:rFonts w:ascii="標楷體" w:eastAsia="標楷體" w:hAnsi="標楷體"/>
                <w:color w:val="000000"/>
                <w:sz w:val="28"/>
              </w:rPr>
            </w:pPr>
            <w:r w:rsidRPr="00AA4AA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15" w:tooltip="二百三十五、科技部函，為110年度中央政府總預算附屬單位預算決議，檢送「科學園區招商策略及成果」書面報告，請查照案。" w:history="1">
              <w:r w:rsidR="00287897" w:rsidRPr="002964FE">
                <w:rPr>
                  <w:rFonts w:hint="eastAsia"/>
                </w:rPr>
                <w:t>科技部函，為110年度中央政府總預算附屬單位預算決議，檢送「科學園區招商策略及成果」書面報告，請查照案。</w:t>
              </w:r>
            </w:hyperlink>
          </w:p>
        </w:tc>
        <w:tc>
          <w:tcPr>
            <w:tcW w:w="897" w:type="pct"/>
          </w:tcPr>
          <w:p w:rsidR="00287897" w:rsidRPr="00AA4AAA" w:rsidRDefault="00287897" w:rsidP="00287897">
            <w:pPr>
              <w:pStyle w:val="0-"/>
            </w:pPr>
            <w:r w:rsidRPr="00AA4AAA">
              <w:t>10-5-10</w:t>
            </w:r>
          </w:p>
          <w:p w:rsidR="00287897" w:rsidRPr="00AA4AAA" w:rsidRDefault="00287897" w:rsidP="00287897">
            <w:pPr>
              <w:pStyle w:val="0-"/>
            </w:pPr>
            <w:r w:rsidRPr="00AA4AAA">
              <w:t>(111.4.29)</w:t>
            </w:r>
          </w:p>
        </w:tc>
        <w:tc>
          <w:tcPr>
            <w:tcW w:w="523" w:type="pct"/>
          </w:tcPr>
          <w:p w:rsidR="00287897" w:rsidRPr="00AA4AAA" w:rsidRDefault="00287897" w:rsidP="00287897">
            <w:pPr>
              <w:rPr>
                <w:rFonts w:ascii="標楷體" w:eastAsia="標楷體" w:hAnsi="標楷體"/>
                <w:color w:val="000000"/>
                <w:sz w:val="28"/>
              </w:rPr>
            </w:pPr>
          </w:p>
        </w:tc>
        <w:tc>
          <w:tcPr>
            <w:tcW w:w="1247" w:type="pct"/>
          </w:tcPr>
          <w:p w:rsidR="00287897" w:rsidRPr="00AA4AAA" w:rsidRDefault="00287897" w:rsidP="008C2561">
            <w:pPr>
              <w:rPr>
                <w:rFonts w:ascii="標楷體" w:eastAsia="標楷體" w:hAnsi="標楷體"/>
                <w:color w:val="000000"/>
                <w:sz w:val="28"/>
              </w:rPr>
            </w:pPr>
            <w:r w:rsidRPr="00AA4AA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16" w:tooltip="二百三十六、科技部函，為110年度中央政府總預算附屬單位預算決議，檢送「完善生醫生態體系創新發展計畫之產出效益」書面報告，請查照案。" w:history="1">
              <w:r w:rsidR="00287897" w:rsidRPr="002964FE">
                <w:rPr>
                  <w:rFonts w:hint="eastAsia"/>
                </w:rPr>
                <w:t>科技部函，為110年度中央政府總預算附屬單位預算決議，檢送「完善生醫生態體系創新發展計畫之產出效益」書面報告，請查照案。</w:t>
              </w:r>
            </w:hyperlink>
          </w:p>
        </w:tc>
        <w:tc>
          <w:tcPr>
            <w:tcW w:w="897" w:type="pct"/>
          </w:tcPr>
          <w:p w:rsidR="00287897" w:rsidRPr="00AA4AAA" w:rsidRDefault="00287897" w:rsidP="00287897">
            <w:pPr>
              <w:pStyle w:val="0-"/>
            </w:pPr>
            <w:r w:rsidRPr="00AA4AAA">
              <w:t>10-5-10</w:t>
            </w:r>
          </w:p>
          <w:p w:rsidR="00287897" w:rsidRPr="00AA4AAA" w:rsidRDefault="00287897" w:rsidP="00287897">
            <w:pPr>
              <w:pStyle w:val="0-"/>
            </w:pPr>
            <w:r w:rsidRPr="00AA4AAA">
              <w:t>(111.4.29)</w:t>
            </w:r>
          </w:p>
        </w:tc>
        <w:tc>
          <w:tcPr>
            <w:tcW w:w="523" w:type="pct"/>
          </w:tcPr>
          <w:p w:rsidR="00287897" w:rsidRPr="00AA4AAA" w:rsidRDefault="00287897" w:rsidP="00287897">
            <w:pPr>
              <w:rPr>
                <w:rFonts w:ascii="標楷體" w:eastAsia="標楷體" w:hAnsi="標楷體"/>
                <w:color w:val="000000"/>
                <w:sz w:val="28"/>
              </w:rPr>
            </w:pPr>
          </w:p>
        </w:tc>
        <w:tc>
          <w:tcPr>
            <w:tcW w:w="1247" w:type="pct"/>
          </w:tcPr>
          <w:p w:rsidR="00287897" w:rsidRPr="00AA4AAA" w:rsidRDefault="00287897" w:rsidP="008C2561">
            <w:pPr>
              <w:rPr>
                <w:rFonts w:ascii="標楷體" w:eastAsia="標楷體" w:hAnsi="標楷體"/>
                <w:color w:val="000000"/>
                <w:sz w:val="28"/>
              </w:rPr>
            </w:pPr>
            <w:r w:rsidRPr="00AA4AA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17" w:tooltip="二百三十七、科技部函，為110年度中央政府總預算附屬單位預算決議，檢送「110年度行政院國家科學技術發展基金預算之調整配置原則與策略」書面報告，請查照案。" w:history="1">
              <w:r w:rsidR="00287897" w:rsidRPr="002964FE">
                <w:rPr>
                  <w:rFonts w:hint="eastAsia"/>
                </w:rPr>
                <w:t>科技部函，為110年度中央政府總預算附屬單位預算決議，檢送「110年度行政院國家科學技術發展基金預算之調整配置原則與策略」書面報告，請查照案。</w:t>
              </w:r>
            </w:hyperlink>
          </w:p>
        </w:tc>
        <w:tc>
          <w:tcPr>
            <w:tcW w:w="897" w:type="pct"/>
          </w:tcPr>
          <w:p w:rsidR="00287897" w:rsidRPr="00AA4AAA" w:rsidRDefault="00287897" w:rsidP="00287897">
            <w:pPr>
              <w:pStyle w:val="0-"/>
            </w:pPr>
            <w:r w:rsidRPr="00AA4AAA">
              <w:t>10-5-10</w:t>
            </w:r>
          </w:p>
          <w:p w:rsidR="00287897" w:rsidRPr="00AA4AAA" w:rsidRDefault="00287897" w:rsidP="00287897">
            <w:pPr>
              <w:pStyle w:val="0-"/>
            </w:pPr>
            <w:r w:rsidRPr="00AA4AAA">
              <w:t>(111.4.29)</w:t>
            </w:r>
          </w:p>
        </w:tc>
        <w:tc>
          <w:tcPr>
            <w:tcW w:w="523" w:type="pct"/>
          </w:tcPr>
          <w:p w:rsidR="00287897" w:rsidRPr="00AA4AAA" w:rsidRDefault="00287897" w:rsidP="00287897">
            <w:pPr>
              <w:rPr>
                <w:rFonts w:ascii="標楷體" w:eastAsia="標楷體" w:hAnsi="標楷體"/>
                <w:color w:val="000000"/>
                <w:sz w:val="28"/>
              </w:rPr>
            </w:pPr>
          </w:p>
        </w:tc>
        <w:tc>
          <w:tcPr>
            <w:tcW w:w="1247" w:type="pct"/>
          </w:tcPr>
          <w:p w:rsidR="00287897" w:rsidRPr="00AA4AAA" w:rsidRDefault="00287897" w:rsidP="008C2561">
            <w:pPr>
              <w:rPr>
                <w:rFonts w:ascii="標楷體" w:eastAsia="標楷體" w:hAnsi="標楷體"/>
                <w:color w:val="000000"/>
                <w:sz w:val="28"/>
              </w:rPr>
            </w:pPr>
            <w:r w:rsidRPr="00AA4AAA">
              <w:rPr>
                <w:rFonts w:ascii="標楷體" w:eastAsia="標楷體" w:hAnsi="標楷體" w:hint="eastAsia"/>
                <w:color w:val="000000"/>
                <w:sz w:val="28"/>
              </w:rPr>
              <w:t>尚未審查</w:t>
            </w:r>
          </w:p>
        </w:tc>
      </w:tr>
      <w:tr w:rsidR="00287897" w:rsidRPr="00920597" w:rsidTr="00D617A6">
        <w:trPr>
          <w:trHeight w:val="428"/>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18" w:tooltip="二百三十八、科技部函，為110年度中央政府總預算附屬單位預算決議，檢送「科學園區管理費債權催繳措施」書面報告，請查照案。" w:history="1">
              <w:r w:rsidR="00287897" w:rsidRPr="002964FE">
                <w:rPr>
                  <w:rFonts w:hint="eastAsia"/>
                </w:rPr>
                <w:t>科技部函，為110年度中央政府總預算附屬單位預算決議，檢送「科學園區管理費債權催繳措施」書面報告，請查照案。</w:t>
              </w:r>
            </w:hyperlink>
          </w:p>
        </w:tc>
        <w:tc>
          <w:tcPr>
            <w:tcW w:w="897" w:type="pct"/>
          </w:tcPr>
          <w:p w:rsidR="00287897" w:rsidRPr="00AA4AAA" w:rsidRDefault="00287897" w:rsidP="00287897">
            <w:pPr>
              <w:pStyle w:val="0-"/>
            </w:pPr>
            <w:r w:rsidRPr="00AA4AAA">
              <w:t>10-5-10</w:t>
            </w:r>
          </w:p>
          <w:p w:rsidR="00287897" w:rsidRPr="00AA4AAA" w:rsidRDefault="00287897" w:rsidP="00287897">
            <w:pPr>
              <w:pStyle w:val="0-"/>
            </w:pPr>
            <w:r w:rsidRPr="00AA4AAA">
              <w:t>(111.4.29)</w:t>
            </w:r>
          </w:p>
        </w:tc>
        <w:tc>
          <w:tcPr>
            <w:tcW w:w="523" w:type="pct"/>
          </w:tcPr>
          <w:p w:rsidR="00287897" w:rsidRPr="00AA4AAA" w:rsidRDefault="00287897" w:rsidP="00287897">
            <w:pPr>
              <w:rPr>
                <w:rFonts w:ascii="標楷體" w:eastAsia="標楷體" w:hAnsi="標楷體"/>
                <w:color w:val="000000"/>
                <w:sz w:val="28"/>
              </w:rPr>
            </w:pPr>
          </w:p>
        </w:tc>
        <w:tc>
          <w:tcPr>
            <w:tcW w:w="1247" w:type="pct"/>
          </w:tcPr>
          <w:p w:rsidR="00287897" w:rsidRPr="00AA4AAA" w:rsidRDefault="00287897" w:rsidP="008C2561">
            <w:pPr>
              <w:rPr>
                <w:rFonts w:ascii="標楷體" w:eastAsia="標楷體" w:hAnsi="標楷體"/>
                <w:color w:val="000000"/>
                <w:sz w:val="28"/>
              </w:rPr>
            </w:pPr>
            <w:r w:rsidRPr="00AA4AAA">
              <w:rPr>
                <w:rFonts w:ascii="標楷體" w:eastAsia="標楷體" w:hAnsi="標楷體" w:hint="eastAsia"/>
                <w:color w:val="000000"/>
                <w:sz w:val="28"/>
              </w:rPr>
              <w:t>尚未審查</w:t>
            </w:r>
          </w:p>
        </w:tc>
      </w:tr>
      <w:tr w:rsidR="00287897" w:rsidRPr="00920597" w:rsidTr="00991902">
        <w:trPr>
          <w:trHeight w:val="428"/>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19" w:tooltip="二百三十九、教育部函，為110年度中央政府總預算附屬單位預算決議，檢送「中華職業棒球大聯盟更改英文名稱及其他增加臺灣意象做法之可行性評估及具體時程計畫」書面報告，請查照案。" w:history="1">
              <w:r w:rsidR="00287897" w:rsidRPr="002964FE">
                <w:rPr>
                  <w:rFonts w:hint="eastAsia"/>
                </w:rPr>
                <w:t>教育部函，為110年度中央政府總預算附屬單位預算決議，檢送「中華職業棒球大聯盟更改英文名稱及其他增加臺灣意象做法之可行性評估及具體時程計畫」書面報告，請查照</w:t>
              </w:r>
              <w:r w:rsidR="00287897" w:rsidRPr="002964FE">
                <w:rPr>
                  <w:rFonts w:hint="eastAsia"/>
                </w:rPr>
                <w:lastRenderedPageBreak/>
                <w:t>案。</w:t>
              </w:r>
            </w:hyperlink>
          </w:p>
        </w:tc>
        <w:tc>
          <w:tcPr>
            <w:tcW w:w="897" w:type="pct"/>
          </w:tcPr>
          <w:p w:rsidR="00287897" w:rsidRPr="00AA4AAA" w:rsidRDefault="00287897" w:rsidP="00287897">
            <w:pPr>
              <w:pStyle w:val="0-"/>
            </w:pPr>
            <w:r w:rsidRPr="00AA4AAA">
              <w:lastRenderedPageBreak/>
              <w:t>10-5-10</w:t>
            </w:r>
          </w:p>
          <w:p w:rsidR="00287897" w:rsidRPr="00AA4AAA" w:rsidRDefault="00287897" w:rsidP="00287897">
            <w:pPr>
              <w:pStyle w:val="0-"/>
            </w:pPr>
            <w:r w:rsidRPr="00AA4AAA">
              <w:t>(111.4.29)</w:t>
            </w:r>
          </w:p>
        </w:tc>
        <w:tc>
          <w:tcPr>
            <w:tcW w:w="523" w:type="pct"/>
          </w:tcPr>
          <w:p w:rsidR="00287897" w:rsidRPr="00AA4AAA" w:rsidRDefault="00287897" w:rsidP="00287897">
            <w:pPr>
              <w:rPr>
                <w:rFonts w:ascii="標楷體" w:eastAsia="標楷體" w:hAnsi="標楷體"/>
                <w:color w:val="000000"/>
                <w:sz w:val="28"/>
              </w:rPr>
            </w:pPr>
          </w:p>
        </w:tc>
        <w:tc>
          <w:tcPr>
            <w:tcW w:w="1247" w:type="pct"/>
          </w:tcPr>
          <w:p w:rsidR="00287897" w:rsidRPr="00AA4AAA" w:rsidRDefault="00287897" w:rsidP="008C2561">
            <w:pPr>
              <w:rPr>
                <w:rFonts w:ascii="標楷體" w:eastAsia="標楷體" w:hAnsi="標楷體"/>
                <w:color w:val="000000"/>
                <w:sz w:val="28"/>
              </w:rPr>
            </w:pPr>
            <w:r w:rsidRPr="00AA4AA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教育部函，為110年度中央政府總預算附屬單位預算決議，檢送陽明山中山樓修繕工程書面報告，請查照案。</w:t>
            </w:r>
          </w:p>
        </w:tc>
        <w:tc>
          <w:tcPr>
            <w:tcW w:w="897" w:type="pct"/>
          </w:tcPr>
          <w:p w:rsidR="00287897" w:rsidRPr="00AA4AAA" w:rsidRDefault="00287897" w:rsidP="00287897">
            <w:pPr>
              <w:pStyle w:val="0-"/>
            </w:pPr>
            <w:r w:rsidRPr="00AA4AAA">
              <w:t>10-5-10</w:t>
            </w:r>
          </w:p>
          <w:p w:rsidR="00287897" w:rsidRPr="00AA4AAA" w:rsidRDefault="00287897" w:rsidP="00287897">
            <w:pPr>
              <w:pStyle w:val="0-"/>
            </w:pPr>
            <w:r w:rsidRPr="00AA4AAA">
              <w:t>(111.4.29)</w:t>
            </w:r>
          </w:p>
        </w:tc>
        <w:tc>
          <w:tcPr>
            <w:tcW w:w="523" w:type="pct"/>
          </w:tcPr>
          <w:p w:rsidR="00287897" w:rsidRPr="00AA4AAA" w:rsidRDefault="00287897" w:rsidP="00287897">
            <w:pPr>
              <w:rPr>
                <w:rFonts w:ascii="標楷體" w:eastAsia="標楷體" w:hAnsi="標楷體"/>
                <w:color w:val="000000"/>
                <w:sz w:val="28"/>
              </w:rPr>
            </w:pPr>
          </w:p>
        </w:tc>
        <w:tc>
          <w:tcPr>
            <w:tcW w:w="1247" w:type="pct"/>
          </w:tcPr>
          <w:p w:rsidR="00287897" w:rsidRPr="00AA4AAA" w:rsidRDefault="00287897" w:rsidP="008C2561">
            <w:pPr>
              <w:rPr>
                <w:rFonts w:ascii="標楷體" w:eastAsia="標楷體" w:hAnsi="標楷體"/>
                <w:color w:val="000000"/>
                <w:sz w:val="28"/>
              </w:rPr>
            </w:pPr>
            <w:r w:rsidRPr="00AA4AA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20" w:tooltip="二百四十一、教育部函，為110年度中央政府總預算附屬單位預算決議，檢送「大專校院轉型退場機制及基金運用規劃」書面報告，請查照案。" w:history="1">
              <w:r w:rsidR="00287897" w:rsidRPr="002964FE">
                <w:rPr>
                  <w:rFonts w:hint="eastAsia"/>
                </w:rPr>
                <w:t>教育部函，為110年度中央政府總預算附屬單位預算決議，檢送「大專校院轉型退場機制及基金運用規劃」書面報告，請查照案。</w:t>
              </w:r>
            </w:hyperlink>
          </w:p>
        </w:tc>
        <w:tc>
          <w:tcPr>
            <w:tcW w:w="897" w:type="pct"/>
          </w:tcPr>
          <w:p w:rsidR="00287897" w:rsidRPr="00AA4AAA" w:rsidRDefault="00287897" w:rsidP="00287897">
            <w:pPr>
              <w:pStyle w:val="0-"/>
            </w:pPr>
            <w:r w:rsidRPr="00AA4AAA">
              <w:t>10-5-10</w:t>
            </w:r>
          </w:p>
          <w:p w:rsidR="00287897" w:rsidRPr="00AA4AAA" w:rsidRDefault="00287897" w:rsidP="00287897">
            <w:pPr>
              <w:pStyle w:val="0-"/>
            </w:pPr>
            <w:r w:rsidRPr="00AA4AAA">
              <w:t>(111.4.29)</w:t>
            </w:r>
          </w:p>
        </w:tc>
        <w:tc>
          <w:tcPr>
            <w:tcW w:w="523" w:type="pct"/>
          </w:tcPr>
          <w:p w:rsidR="00287897" w:rsidRPr="00AA4AAA" w:rsidRDefault="00287897" w:rsidP="00287897">
            <w:pPr>
              <w:rPr>
                <w:rFonts w:ascii="標楷體" w:eastAsia="標楷體" w:hAnsi="標楷體"/>
                <w:color w:val="000000"/>
                <w:sz w:val="28"/>
              </w:rPr>
            </w:pPr>
          </w:p>
        </w:tc>
        <w:tc>
          <w:tcPr>
            <w:tcW w:w="1247" w:type="pct"/>
          </w:tcPr>
          <w:p w:rsidR="00287897" w:rsidRPr="00AA4AAA" w:rsidRDefault="00287897" w:rsidP="008C2561">
            <w:pPr>
              <w:rPr>
                <w:rFonts w:ascii="標楷體" w:eastAsia="標楷體" w:hAnsi="標楷體"/>
                <w:color w:val="000000"/>
                <w:sz w:val="28"/>
              </w:rPr>
            </w:pPr>
            <w:r w:rsidRPr="00AA4AA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21" w:tooltip="二百四十二、教育部函，為110年度中央政府總預算附屬單位預算決議，檢送「大專校院轉型退場機制及法制作業規劃」書面報告，請查照案。" w:history="1">
              <w:r w:rsidR="00287897" w:rsidRPr="002964FE">
                <w:rPr>
                  <w:rFonts w:hint="eastAsia"/>
                </w:rPr>
                <w:t>教育部函，為110年度中央政府總預算附屬單位預算決議，檢送「大專校院轉型退場機制及法制作業規劃」書面報告，請查照案。</w:t>
              </w:r>
            </w:hyperlink>
          </w:p>
        </w:tc>
        <w:tc>
          <w:tcPr>
            <w:tcW w:w="897" w:type="pct"/>
          </w:tcPr>
          <w:p w:rsidR="00287897" w:rsidRPr="00AA4AAA" w:rsidRDefault="00287897" w:rsidP="00287897">
            <w:pPr>
              <w:pStyle w:val="0-"/>
            </w:pPr>
            <w:r w:rsidRPr="00AA4AAA">
              <w:t>10-5-10</w:t>
            </w:r>
          </w:p>
          <w:p w:rsidR="00287897" w:rsidRPr="00AA4AAA" w:rsidRDefault="00287897" w:rsidP="00287897">
            <w:pPr>
              <w:pStyle w:val="0-"/>
            </w:pPr>
            <w:r w:rsidRPr="00AA4AAA">
              <w:t>(111.4.29)</w:t>
            </w:r>
          </w:p>
        </w:tc>
        <w:tc>
          <w:tcPr>
            <w:tcW w:w="523" w:type="pct"/>
          </w:tcPr>
          <w:p w:rsidR="00287897" w:rsidRPr="00AA4AAA" w:rsidRDefault="00287897" w:rsidP="00287897">
            <w:pPr>
              <w:rPr>
                <w:rFonts w:ascii="標楷體" w:eastAsia="標楷體" w:hAnsi="標楷體"/>
                <w:color w:val="000000"/>
                <w:sz w:val="28"/>
              </w:rPr>
            </w:pPr>
          </w:p>
        </w:tc>
        <w:tc>
          <w:tcPr>
            <w:tcW w:w="1247" w:type="pct"/>
          </w:tcPr>
          <w:p w:rsidR="00287897" w:rsidRPr="00AA4AAA" w:rsidRDefault="00287897" w:rsidP="008C2561">
            <w:pPr>
              <w:rPr>
                <w:rFonts w:ascii="標楷體" w:eastAsia="標楷體" w:hAnsi="標楷體"/>
                <w:color w:val="000000"/>
                <w:sz w:val="28"/>
              </w:rPr>
            </w:pPr>
            <w:r w:rsidRPr="00AA4AA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22" w:tooltip="二百四十七、國立故宮博物院函，為110年度中央政府總預算附屬單位預算決議，檢送文物仿製品採購策略及行銷推廣書面報告，請查照案。" w:history="1">
              <w:r w:rsidR="00287897" w:rsidRPr="002964FE">
                <w:rPr>
                  <w:rFonts w:hint="eastAsia"/>
                </w:rPr>
                <w:t>國立故宮博物院函，為110年度中央政府總預算附屬單位預算決議，檢送文物仿製品採購策略及行銷推廣書面報告，請查照案。</w:t>
              </w:r>
            </w:hyperlink>
          </w:p>
        </w:tc>
        <w:tc>
          <w:tcPr>
            <w:tcW w:w="897" w:type="pct"/>
          </w:tcPr>
          <w:p w:rsidR="00287897" w:rsidRPr="00AA4AAA" w:rsidRDefault="00287897" w:rsidP="00287897">
            <w:pPr>
              <w:pStyle w:val="0-"/>
            </w:pPr>
            <w:r w:rsidRPr="00AA4AAA">
              <w:t>10-5-10</w:t>
            </w:r>
          </w:p>
          <w:p w:rsidR="00287897" w:rsidRPr="00AA4AAA" w:rsidRDefault="00287897" w:rsidP="00287897">
            <w:pPr>
              <w:pStyle w:val="0-"/>
            </w:pPr>
            <w:r w:rsidRPr="00AA4AAA">
              <w:t>(111.4.29)</w:t>
            </w:r>
          </w:p>
        </w:tc>
        <w:tc>
          <w:tcPr>
            <w:tcW w:w="523" w:type="pct"/>
          </w:tcPr>
          <w:p w:rsidR="00287897" w:rsidRPr="00AA4AAA" w:rsidRDefault="00287897" w:rsidP="00287897">
            <w:pPr>
              <w:rPr>
                <w:rFonts w:ascii="標楷體" w:eastAsia="標楷體" w:hAnsi="標楷體"/>
                <w:color w:val="000000"/>
                <w:sz w:val="28"/>
              </w:rPr>
            </w:pPr>
          </w:p>
        </w:tc>
        <w:tc>
          <w:tcPr>
            <w:tcW w:w="1247" w:type="pct"/>
          </w:tcPr>
          <w:p w:rsidR="00287897" w:rsidRPr="00AA4AAA" w:rsidRDefault="00287897" w:rsidP="008C2561">
            <w:pPr>
              <w:rPr>
                <w:rFonts w:ascii="標楷體" w:eastAsia="標楷體" w:hAnsi="標楷體"/>
                <w:color w:val="000000"/>
                <w:sz w:val="28"/>
              </w:rPr>
            </w:pPr>
            <w:r w:rsidRPr="00AA4AA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23" w:tooltip="二百四十八、國立故宮博物院函，為110年度中央政府總預算附屬單位預算決議，檢送加強故宮基金各項成本及費用之管控書面報告，請查照案。" w:history="1">
              <w:r w:rsidR="00287897" w:rsidRPr="002964FE">
                <w:rPr>
                  <w:rFonts w:hint="eastAsia"/>
                </w:rPr>
                <w:t>國立故宮博物院函，為110年度中央政府總預算附屬單位預算決議，檢送加強故宮基金各項成本及費用之管控書面報告，請查照案。</w:t>
              </w:r>
            </w:hyperlink>
          </w:p>
        </w:tc>
        <w:tc>
          <w:tcPr>
            <w:tcW w:w="897" w:type="pct"/>
          </w:tcPr>
          <w:p w:rsidR="00287897" w:rsidRPr="00AA4AAA" w:rsidRDefault="00287897" w:rsidP="00287897">
            <w:pPr>
              <w:pStyle w:val="0-"/>
            </w:pPr>
            <w:r w:rsidRPr="00AA4AAA">
              <w:t>10-5-10</w:t>
            </w:r>
          </w:p>
          <w:p w:rsidR="00287897" w:rsidRPr="00AA4AAA" w:rsidRDefault="00287897" w:rsidP="00287897">
            <w:pPr>
              <w:pStyle w:val="0-"/>
            </w:pPr>
            <w:r w:rsidRPr="00AA4AAA">
              <w:t>(111.4.29)</w:t>
            </w:r>
          </w:p>
        </w:tc>
        <w:tc>
          <w:tcPr>
            <w:tcW w:w="523" w:type="pct"/>
          </w:tcPr>
          <w:p w:rsidR="00287897" w:rsidRPr="00AA4AAA" w:rsidRDefault="00287897" w:rsidP="00287897">
            <w:pPr>
              <w:rPr>
                <w:rFonts w:ascii="標楷體" w:eastAsia="標楷體" w:hAnsi="標楷體"/>
                <w:color w:val="000000"/>
                <w:sz w:val="28"/>
              </w:rPr>
            </w:pPr>
          </w:p>
        </w:tc>
        <w:tc>
          <w:tcPr>
            <w:tcW w:w="1247" w:type="pct"/>
          </w:tcPr>
          <w:p w:rsidR="00287897" w:rsidRPr="00AA4AAA" w:rsidRDefault="00287897" w:rsidP="008C2561">
            <w:pPr>
              <w:rPr>
                <w:rFonts w:ascii="標楷體" w:eastAsia="標楷體" w:hAnsi="標楷體"/>
                <w:color w:val="000000"/>
                <w:sz w:val="28"/>
              </w:rPr>
            </w:pPr>
            <w:r w:rsidRPr="00AA4AA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24" w:tooltip="二百四十九、國立故宮博物院函，為110年度中央政府總預算附屬單位預算決議，檢送檢討文物仿製品採購策略及行銷推廣書面報告，請查照案。" w:history="1">
              <w:r w:rsidR="00287897" w:rsidRPr="002964FE">
                <w:rPr>
                  <w:rFonts w:hint="eastAsia"/>
                </w:rPr>
                <w:t>國立故宮博物院函，為110年度中央政府總預算附屬單位預算決議，檢送檢討文物仿製品採購策略及行銷推廣書面報告，請查照案。</w:t>
              </w:r>
            </w:hyperlink>
          </w:p>
        </w:tc>
        <w:tc>
          <w:tcPr>
            <w:tcW w:w="897" w:type="pct"/>
          </w:tcPr>
          <w:p w:rsidR="00287897" w:rsidRPr="00AA4AAA" w:rsidRDefault="00287897" w:rsidP="00287897">
            <w:pPr>
              <w:pStyle w:val="0-"/>
            </w:pPr>
            <w:r w:rsidRPr="00AA4AAA">
              <w:t>10-5-10</w:t>
            </w:r>
          </w:p>
          <w:p w:rsidR="00287897" w:rsidRPr="00AA4AAA" w:rsidRDefault="00287897" w:rsidP="00287897">
            <w:pPr>
              <w:pStyle w:val="0-"/>
            </w:pPr>
            <w:r w:rsidRPr="00AA4AAA">
              <w:t>(111.4.29)</w:t>
            </w:r>
          </w:p>
        </w:tc>
        <w:tc>
          <w:tcPr>
            <w:tcW w:w="523" w:type="pct"/>
          </w:tcPr>
          <w:p w:rsidR="00287897" w:rsidRPr="00AA4AAA" w:rsidRDefault="00287897" w:rsidP="00287897">
            <w:pPr>
              <w:rPr>
                <w:rFonts w:ascii="標楷體" w:eastAsia="標楷體" w:hAnsi="標楷體"/>
                <w:color w:val="000000"/>
                <w:sz w:val="28"/>
              </w:rPr>
            </w:pPr>
          </w:p>
        </w:tc>
        <w:tc>
          <w:tcPr>
            <w:tcW w:w="1247" w:type="pct"/>
          </w:tcPr>
          <w:p w:rsidR="00287897" w:rsidRPr="00AA4AAA" w:rsidRDefault="00287897" w:rsidP="008C2561">
            <w:pPr>
              <w:rPr>
                <w:rFonts w:ascii="標楷體" w:eastAsia="標楷體" w:hAnsi="標楷體"/>
                <w:color w:val="000000"/>
                <w:sz w:val="28"/>
              </w:rPr>
            </w:pPr>
            <w:r w:rsidRPr="00AA4AAA">
              <w:rPr>
                <w:rFonts w:ascii="標楷體" w:eastAsia="標楷體" w:hAnsi="標楷體" w:hint="eastAsia"/>
                <w:color w:val="000000"/>
                <w:sz w:val="28"/>
              </w:rPr>
              <w:t>尚未審查</w:t>
            </w:r>
          </w:p>
        </w:tc>
      </w:tr>
      <w:tr w:rsidR="00287897" w:rsidRPr="00920597" w:rsidTr="002964FE">
        <w:trPr>
          <w:trHeight w:val="428"/>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25" w:tooltip="二百五十、國立故宮博物院函，為110年度中央政府總預算附屬單位預算決議，檢送提升文物仿製品銷售量書面報告，請查照案。" w:history="1">
              <w:r w:rsidR="00287897" w:rsidRPr="002964FE">
                <w:rPr>
                  <w:rFonts w:hint="eastAsia"/>
                </w:rPr>
                <w:t>國立故宮博物院函，為110年度中央政府總預算附屬單位預算決議，檢送提升文物仿製品銷售量書面報告，請查照案。</w:t>
              </w:r>
            </w:hyperlink>
          </w:p>
        </w:tc>
        <w:tc>
          <w:tcPr>
            <w:tcW w:w="897" w:type="pct"/>
          </w:tcPr>
          <w:p w:rsidR="00287897" w:rsidRPr="00AA4AAA" w:rsidRDefault="00287897" w:rsidP="00287897">
            <w:pPr>
              <w:pStyle w:val="0-"/>
            </w:pPr>
            <w:r w:rsidRPr="00AA4AAA">
              <w:t>10-5-10</w:t>
            </w:r>
          </w:p>
          <w:p w:rsidR="00287897" w:rsidRPr="00AA4AAA" w:rsidRDefault="00287897" w:rsidP="00287897">
            <w:pPr>
              <w:pStyle w:val="0-"/>
            </w:pPr>
            <w:r w:rsidRPr="00AA4AAA">
              <w:t>(111.4.29)</w:t>
            </w:r>
          </w:p>
        </w:tc>
        <w:tc>
          <w:tcPr>
            <w:tcW w:w="523" w:type="pct"/>
          </w:tcPr>
          <w:p w:rsidR="00287897" w:rsidRPr="00AA4AAA" w:rsidRDefault="00287897" w:rsidP="00287897">
            <w:pPr>
              <w:rPr>
                <w:rFonts w:ascii="標楷體" w:eastAsia="標楷體" w:hAnsi="標楷體"/>
                <w:color w:val="000000"/>
                <w:sz w:val="28"/>
              </w:rPr>
            </w:pPr>
          </w:p>
        </w:tc>
        <w:tc>
          <w:tcPr>
            <w:tcW w:w="1247" w:type="pct"/>
          </w:tcPr>
          <w:p w:rsidR="00287897" w:rsidRPr="00AA4AAA" w:rsidRDefault="00287897" w:rsidP="008C2561">
            <w:pPr>
              <w:rPr>
                <w:rFonts w:ascii="標楷體" w:eastAsia="標楷體" w:hAnsi="標楷體"/>
                <w:color w:val="000000"/>
                <w:sz w:val="28"/>
              </w:rPr>
            </w:pPr>
            <w:r w:rsidRPr="00AA4AA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國立故宮博物院函，為111年度中央政府總預算決議，檢送決議（十七）新故宮計畫相關執行問題專案報告，請查照案。</w:t>
            </w:r>
          </w:p>
        </w:tc>
        <w:tc>
          <w:tcPr>
            <w:tcW w:w="897" w:type="pct"/>
          </w:tcPr>
          <w:p w:rsidR="00287897" w:rsidRPr="00AA4AAA" w:rsidRDefault="00287897" w:rsidP="00287897">
            <w:pPr>
              <w:pStyle w:val="0-"/>
            </w:pPr>
            <w:r w:rsidRPr="00AA4AAA">
              <w:t>10-5-10</w:t>
            </w:r>
          </w:p>
          <w:p w:rsidR="00287897" w:rsidRPr="00AA4AAA" w:rsidRDefault="00287897" w:rsidP="00287897">
            <w:pPr>
              <w:pStyle w:val="0-"/>
            </w:pPr>
            <w:r w:rsidRPr="00AA4AAA">
              <w:t>(111.4.29)</w:t>
            </w:r>
          </w:p>
        </w:tc>
        <w:tc>
          <w:tcPr>
            <w:tcW w:w="523" w:type="pct"/>
          </w:tcPr>
          <w:p w:rsidR="00287897" w:rsidRPr="00AA4AAA" w:rsidRDefault="00287897" w:rsidP="00287897">
            <w:pPr>
              <w:rPr>
                <w:rFonts w:ascii="標楷體" w:eastAsia="標楷體" w:hAnsi="標楷體"/>
                <w:color w:val="000000"/>
                <w:sz w:val="28"/>
              </w:rPr>
            </w:pPr>
          </w:p>
        </w:tc>
        <w:tc>
          <w:tcPr>
            <w:tcW w:w="1247" w:type="pct"/>
          </w:tcPr>
          <w:p w:rsidR="00287897" w:rsidRPr="00AA4AAA" w:rsidRDefault="00287897" w:rsidP="008C2561">
            <w:pPr>
              <w:rPr>
                <w:rFonts w:ascii="標楷體" w:eastAsia="標楷體" w:hAnsi="標楷體"/>
                <w:color w:val="000000"/>
                <w:sz w:val="28"/>
              </w:rPr>
            </w:pPr>
            <w:r w:rsidRPr="00AA4AAA">
              <w:rPr>
                <w:rFonts w:ascii="標楷體" w:eastAsia="標楷體" w:hAnsi="標楷體" w:hint="eastAsia"/>
                <w:color w:val="000000"/>
                <w:sz w:val="28"/>
              </w:rPr>
              <w:t>尚未處理</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26" w:tooltip="三百五十四、國立故宮博物院函，為111年度中央政府總預算決議，檢送決議（二十）新故宮計畫相關執行問題專案報告，請查照案。" w:history="1">
              <w:r w:rsidR="00287897" w:rsidRPr="002964FE">
                <w:rPr>
                  <w:rFonts w:hint="eastAsia"/>
                </w:rPr>
                <w:t>國立故宮博物院函，為111年度中央政府總預算決議，檢送決議（二十）新故宮計畫相關執行問題專案報告，請查照案。</w:t>
              </w:r>
            </w:hyperlink>
          </w:p>
        </w:tc>
        <w:tc>
          <w:tcPr>
            <w:tcW w:w="897" w:type="pct"/>
          </w:tcPr>
          <w:p w:rsidR="00287897" w:rsidRPr="00AA4AAA" w:rsidRDefault="00287897" w:rsidP="00287897">
            <w:pPr>
              <w:pStyle w:val="0-"/>
            </w:pPr>
            <w:r w:rsidRPr="00AA4AAA">
              <w:t>10-5-10</w:t>
            </w:r>
          </w:p>
          <w:p w:rsidR="00287897" w:rsidRPr="00AA4AAA" w:rsidRDefault="00287897" w:rsidP="00287897">
            <w:pPr>
              <w:pStyle w:val="0-"/>
            </w:pPr>
            <w:r w:rsidRPr="00AA4AAA">
              <w:t>(111.4.29)</w:t>
            </w:r>
          </w:p>
        </w:tc>
        <w:tc>
          <w:tcPr>
            <w:tcW w:w="523" w:type="pct"/>
          </w:tcPr>
          <w:p w:rsidR="00287897" w:rsidRPr="00AA4AAA" w:rsidRDefault="00287897" w:rsidP="00287897">
            <w:pPr>
              <w:rPr>
                <w:rFonts w:ascii="標楷體" w:eastAsia="標楷體" w:hAnsi="標楷體"/>
                <w:color w:val="000000"/>
                <w:sz w:val="28"/>
              </w:rPr>
            </w:pPr>
          </w:p>
        </w:tc>
        <w:tc>
          <w:tcPr>
            <w:tcW w:w="1247" w:type="pct"/>
          </w:tcPr>
          <w:p w:rsidR="00287897" w:rsidRPr="00AA4AAA" w:rsidRDefault="00287897" w:rsidP="008C2561">
            <w:pPr>
              <w:rPr>
                <w:rFonts w:ascii="標楷體" w:eastAsia="標楷體" w:hAnsi="標楷體"/>
                <w:color w:val="000000"/>
                <w:sz w:val="28"/>
              </w:rPr>
            </w:pPr>
            <w:r w:rsidRPr="00AA4AAA">
              <w:rPr>
                <w:rFonts w:ascii="標楷體" w:eastAsia="標楷體" w:hAnsi="標楷體" w:hint="eastAsia"/>
                <w:color w:val="000000"/>
                <w:sz w:val="28"/>
              </w:rPr>
              <w:t>尚未處理</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文化部函，為111年度中央政府總預算決議，檢送歲出第21款第1項決議（三十四）專案報告，請查照案。</w:t>
            </w:r>
          </w:p>
        </w:tc>
        <w:tc>
          <w:tcPr>
            <w:tcW w:w="897" w:type="pct"/>
          </w:tcPr>
          <w:p w:rsidR="00287897" w:rsidRPr="00B8664A" w:rsidRDefault="00287897" w:rsidP="00287897">
            <w:pPr>
              <w:pStyle w:val="0-"/>
            </w:pPr>
            <w:r w:rsidRPr="00B8664A">
              <w:t>10-5-11</w:t>
            </w:r>
          </w:p>
          <w:p w:rsidR="00287897" w:rsidRPr="00B8664A" w:rsidRDefault="00287897" w:rsidP="00287897">
            <w:pPr>
              <w:pStyle w:val="0-"/>
            </w:pPr>
            <w:r w:rsidRPr="00B8664A">
              <w:t>(111.5.6)</w:t>
            </w: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尚未審理</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科技部函，為110年度中央政府總預算附屬單位預算決議，檢送「補助地方政府建設經費之運用」書面報告，請查照案。</w:t>
            </w:r>
          </w:p>
        </w:tc>
        <w:tc>
          <w:tcPr>
            <w:tcW w:w="897" w:type="pct"/>
          </w:tcPr>
          <w:p w:rsidR="00287897" w:rsidRPr="00B8664A" w:rsidRDefault="00287897" w:rsidP="00287897">
            <w:pPr>
              <w:pStyle w:val="0-"/>
            </w:pPr>
            <w:r w:rsidRPr="00B8664A">
              <w:t>10-5-13</w:t>
            </w:r>
          </w:p>
          <w:p w:rsidR="00287897" w:rsidRPr="00B8664A" w:rsidRDefault="00287897" w:rsidP="00287897">
            <w:pPr>
              <w:pStyle w:val="0-"/>
            </w:pPr>
            <w:r w:rsidRPr="00B8664A">
              <w:t>(111.5.20)</w:t>
            </w: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科技部函，為110年度中央政府總預算附屬單位預算決議，檢送「健康大數據永續平台計畫之跨部會溝通協調及資安機制」書面報告，請查照案。</w:t>
            </w:r>
          </w:p>
        </w:tc>
        <w:tc>
          <w:tcPr>
            <w:tcW w:w="897" w:type="pct"/>
          </w:tcPr>
          <w:p w:rsidR="00287897" w:rsidRPr="00B8664A" w:rsidRDefault="00287897" w:rsidP="00287897">
            <w:pPr>
              <w:pStyle w:val="0-"/>
            </w:pPr>
            <w:r w:rsidRPr="00B8664A">
              <w:t>10-5-13</w:t>
            </w:r>
          </w:p>
          <w:p w:rsidR="00287897" w:rsidRPr="00B8664A" w:rsidRDefault="00287897" w:rsidP="00287897">
            <w:pPr>
              <w:pStyle w:val="0-"/>
            </w:pPr>
            <w:r w:rsidRPr="00B8664A">
              <w:t>(111.5.20)</w:t>
            </w: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科技部函，為110年度中央政府總預算附屬單位預算決議，檢送「健康大數據永續平台計畫推動內容」書面報告，請查照案。</w:t>
            </w:r>
          </w:p>
        </w:tc>
        <w:tc>
          <w:tcPr>
            <w:tcW w:w="897" w:type="pct"/>
          </w:tcPr>
          <w:p w:rsidR="00287897" w:rsidRPr="00B8664A" w:rsidRDefault="00287897" w:rsidP="00287897">
            <w:pPr>
              <w:pStyle w:val="0-"/>
            </w:pPr>
            <w:r w:rsidRPr="00B8664A">
              <w:t>10-5-13</w:t>
            </w:r>
          </w:p>
          <w:p w:rsidR="00287897" w:rsidRPr="00B8664A" w:rsidRDefault="00287897" w:rsidP="00287897">
            <w:pPr>
              <w:pStyle w:val="0-"/>
            </w:pPr>
            <w:r w:rsidRPr="00B8664A">
              <w:t>(111.5.20)</w:t>
            </w: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科技部函送「科學園區管理局作業基金各項財務改善措施之執行成效」111年第1季書面報告，請查照案。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991902">
        <w:trPr>
          <w:trHeight w:val="428"/>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27" w:tooltip="四百零五、文化部函送110年第2季辦理政策及業務宣導之執行情形表，請查照案。" w:history="1">
              <w:r w:rsidR="00287897" w:rsidRPr="002964FE">
                <w:rPr>
                  <w:rFonts w:hint="eastAsia"/>
                </w:rPr>
                <w:t>文化部函送111年第1季辦理政策及業務宣導之執行情形</w:t>
              </w:r>
              <w:r w:rsidR="00287897" w:rsidRPr="002964FE">
                <w:rPr>
                  <w:rFonts w:hint="eastAsia"/>
                </w:rPr>
                <w:lastRenderedPageBreak/>
                <w:t>表，請查照案。</w:t>
              </w:r>
            </w:hyperlink>
          </w:p>
        </w:tc>
        <w:tc>
          <w:tcPr>
            <w:tcW w:w="897" w:type="pct"/>
          </w:tcPr>
          <w:p w:rsidR="00287897" w:rsidRPr="00B8664A" w:rsidRDefault="00287897" w:rsidP="00287897">
            <w:pPr>
              <w:pStyle w:val="0-"/>
            </w:pPr>
            <w:r w:rsidRPr="00B8664A">
              <w:lastRenderedPageBreak/>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文化部函送111年度截至第1季止對縣市政府、民間團體及個人補(捐)助經費彙總表，請查照案。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文化部函送前瞻基礎建設計畫(科技發展類)「110年度執行進度及績效報告」，請查照案。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中央研究院函，為111年度中央政府總預算決議，檢送決議（二十三）管控南部院區工程進度書面報告，請查照案。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rPr>
                <w:rFonts w:eastAsia="華康楷書體W5"/>
              </w:rPr>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中央研究院函，為111年度中央政府總預算決議，檢送決議（二十四）無紙化成果書面報告，請查照案。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 函，為111年度中央政府總預算決議，檢送決議（二十八）「人才培育及延攬計畫」書面報告，請查照案。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中央研究院函，為111年度中央政府總預算決議，檢送決議（三十）南部院區工程施作進度及預算編列書面報告，請查照案。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中央研究院函，為111年度中央政府總預算決議，檢送決議（二十七）國家生技研究園區針對生技相關法制變動之因應書面報告，請查照案。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中央研究院函，為111年度中央政府總預算決議，檢送決議（三十一）對學生獎助執行率書面報告，請查照案。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中央研究院函，為111年度中央政府總預算決議，檢送決議（三十二）「學術研究與人才培育」項下獎補助費書面報告，請查照案。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中央研究院函，為111年度中央政府總預算決議，檢送決議（三十三）「因應流行病研究計畫」具體執行書面報告，請查照案。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中央研究院函，為111年度中央政府總預算決議，檢送決議（三十五）增加中研院為台灣科學研究機構辨識度作法書面報告，請查照案。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中央研究院函，為111年度中央政府總預算決議，檢送決議（三十六）院區再生評估規劃書面報告，請查照案。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中央研究院函，為111年度中央政府總預算決議，檢送決議（三十七）加速「台灣鄉村總體營造政策建議書」出版書面報告，請查照案。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D617A6">
        <w:trPr>
          <w:trHeight w:val="428"/>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 函，為111年度中央政府總預算決議，檢送決議（三十九）獎補助費具體績效指標與商業化評估書面報告，請查照案。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2964FE">
        <w:trPr>
          <w:trHeight w:val="428"/>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中央研究院函，為111年度中央政府總預算決議，檢送決議（四十一）加強國家生技研究園區研發成果產業化書面報告，請查照案。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中央研究院函，為111年度中央政府總預算決議，檢送決議（三十八）加強宣傳與招攬學術人才書面報告，請查照案。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中央研究院函，為111年度中央政府總預算決議，檢送決議（五十二）確實評估經資門預算需求妥編預算書面報告，請查照案。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中央研究院函，為111年度中央政府總預算決議，檢送決議（五十三）對學生獎助之執行率衰退書面報告，請查照案。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科技部函，為111年度中央政府總預算決議，檢送「科學園區之設計與使用」書面報告，請查照案。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科技部函，為111年度中央政府總預算決議，檢送「乾旱及用水需求增加之因應措施」書面報告，請查照案。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科技部函，為111年度中央政府總預算決議，檢送「台中規劃都市型科學園區的可行性」書面報告，請查照案。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科技部函，為111年度中央政府總預算決議，檢送「科學園區開發兼顧科技發展、環境保護與民眾生活圈」書面報告，請查照案。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科技部函，為111年度中央政府總預算決議，檢送「新竹科學園區水表電子化」書面報告，請查照案。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科技部函，為111年度中央政府總預算決議，檢送積極發展對友好之民主國家科研交流合作書面報告，請查照案。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科技部函，為111年度中央政府總預算決議，檢送「行政院資通安全處執行之跨部會署計畫」書面報告，請查照案。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科技部函，為111年度中央政府總預算決議，檢送與中東歐國家建立實質穩固夥伴關係書面報告，請查照案。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科技部函，為111年度中央政府總預算決議，檢送「中科實驗中學競爭優勢」書面報告，請查照案。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行政院原子能委員會函，為111年度中央政府總預算決議，檢送歲出部分第17款第1項決議（十六）書面報告，請查照案。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行政院原子能委員會函，為111年度中央政府總預算決議，檢送歲出部分第17款第1項決議（十七）書面報告，請查照案。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行政院原子能委員會函，為111年度中央政府總預算決議，檢送歲出部分第17款第4項決議（一）書面報告，請查照案。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2964FE">
        <w:trPr>
          <w:trHeight w:val="428"/>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國立故宮博物院函，為111年度中央政府總預算決議，檢送決議（五十六）南院應積極提升參觀人次書面報告，請查照</w:t>
            </w:r>
            <w:r w:rsidRPr="002964FE">
              <w:rPr>
                <w:rFonts w:hint="eastAsia"/>
              </w:rPr>
              <w:lastRenderedPageBreak/>
              <w:t>案。</w:t>
            </w:r>
          </w:p>
        </w:tc>
        <w:tc>
          <w:tcPr>
            <w:tcW w:w="897" w:type="pct"/>
          </w:tcPr>
          <w:p w:rsidR="00287897" w:rsidRPr="00B8664A" w:rsidRDefault="00287897" w:rsidP="00287897">
            <w:pPr>
              <w:pStyle w:val="0-"/>
            </w:pPr>
            <w:r w:rsidRPr="00B8664A">
              <w:lastRenderedPageBreak/>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國立故宮博物院函，為111年度中央政府總預算決議，檢送決議（十）文物運輸安全及改善書面報告，請查照案。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國立故宮博物院函，為111年度中央政府總預算決議，檢送決議（四十五）「南部院區典藏與庫房管理」預算編列書面報告，請查照案。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國立故宮博物院函，為111年度中央政府總預算決議，檢送決議（十八）提升參觀人次以增加收入書面報告，請查照案。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國立故宮博物院函，為111年度中央政府總預算決議，檢送決議（四十）行銷費用與評估規劃費書面報告，請查照案。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國立故宮博物院函，為111年度中央政府總預算決議，檢送決議（五十七）研謀提升參觀人次書面報告，請查照案。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國立故宮博物院函，為111年度中央政府總預算決議，檢送決議（三十四）內部是否設置法務單位書面報告，請查照案。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國立故宮博物院函，為111年度中央政府總預算決議，檢送決議（五十）防疫改善檢討書面報告，請查照案。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D617A6">
        <w:trPr>
          <w:trHeight w:val="428"/>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國立故宮博物院函，為111年度中央政府總預算決議，檢送決議（十六）提升權利金收入</w:t>
            </w:r>
            <w:r w:rsidRPr="002964FE">
              <w:rPr>
                <w:rFonts w:hint="eastAsia"/>
              </w:rPr>
              <w:lastRenderedPageBreak/>
              <w:t>書面報告，請查照案。</w:t>
            </w:r>
          </w:p>
        </w:tc>
        <w:tc>
          <w:tcPr>
            <w:tcW w:w="897" w:type="pct"/>
          </w:tcPr>
          <w:p w:rsidR="00287897" w:rsidRPr="00B8664A" w:rsidRDefault="00287897" w:rsidP="00287897">
            <w:pPr>
              <w:pStyle w:val="0-"/>
            </w:pPr>
            <w:r w:rsidRPr="00B8664A">
              <w:lastRenderedPageBreak/>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國立故宮博物院函，為111年度中央政府總預算決議，檢送決議（四十二）「博物館開放資料深度運用計畫」書面報告，請查照案。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國立故宮博物院函，為111年度中央政府總預算決議，檢送決議（五）多元教育推廣書面報告，請查照案。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教育部函，為111年度中央政府總預算決議，檢送「國家運動訓練中心運動心理諮詢師人力增補規劃」專案報告，請查照案。</w:t>
            </w:r>
          </w:p>
        </w:tc>
        <w:tc>
          <w:tcPr>
            <w:tcW w:w="897" w:type="pct"/>
          </w:tcPr>
          <w:p w:rsidR="00287897" w:rsidRPr="00B8664A" w:rsidRDefault="00287897" w:rsidP="00287897">
            <w:pPr>
              <w:pStyle w:val="0-"/>
            </w:pPr>
            <w:r w:rsidRPr="00B8664A">
              <w:t>10-5-1</w:t>
            </w:r>
            <w:r w:rsidRPr="00B8664A">
              <w:rPr>
                <w:rFonts w:hint="eastAsia"/>
              </w:rPr>
              <w:t>4</w:t>
            </w:r>
          </w:p>
          <w:p w:rsidR="00287897" w:rsidRPr="00B8664A" w:rsidRDefault="00287897" w:rsidP="00287897">
            <w:pPr>
              <w:pStyle w:val="0-"/>
            </w:pPr>
            <w:r w:rsidRPr="00B8664A">
              <w:t>(111.5.</w:t>
            </w:r>
            <w:r w:rsidRPr="00B8664A">
              <w:rPr>
                <w:rFonts w:hint="eastAsia"/>
              </w:rPr>
              <w:t>27</w:t>
            </w:r>
            <w:r w:rsidRPr="00B8664A">
              <w:t>)</w:t>
            </w:r>
          </w:p>
          <w:p w:rsidR="00287897" w:rsidRPr="00B8664A" w:rsidRDefault="00287897" w:rsidP="00287897">
            <w:pPr>
              <w:pStyle w:val="0-"/>
            </w:pPr>
          </w:p>
        </w:tc>
        <w:tc>
          <w:tcPr>
            <w:tcW w:w="523" w:type="pct"/>
          </w:tcPr>
          <w:p w:rsidR="00287897" w:rsidRPr="00B8664A" w:rsidRDefault="00287897" w:rsidP="00287897">
            <w:pPr>
              <w:rPr>
                <w:rFonts w:ascii="標楷體" w:eastAsia="標楷體" w:hAnsi="標楷體"/>
                <w:color w:val="000000"/>
                <w:sz w:val="28"/>
              </w:rPr>
            </w:pPr>
          </w:p>
        </w:tc>
        <w:tc>
          <w:tcPr>
            <w:tcW w:w="1247" w:type="pct"/>
          </w:tcPr>
          <w:p w:rsidR="00287897" w:rsidRPr="00B8664A" w:rsidRDefault="00287897" w:rsidP="008C2561">
            <w:pPr>
              <w:rPr>
                <w:rFonts w:ascii="標楷體" w:eastAsia="標楷體" w:hAnsi="標楷體"/>
                <w:color w:val="000000"/>
                <w:sz w:val="28"/>
              </w:rPr>
            </w:pPr>
            <w:r w:rsidRPr="00B8664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28" w:tooltip="一百九十八、國立故宮博物院函送故宮文物藝術發展基金110年度接受外界捐贈支用明細表，請查照案。" w:history="1">
              <w:r w:rsidR="00287897" w:rsidRPr="002964FE">
                <w:rPr>
                  <w:rFonts w:hint="eastAsia"/>
                </w:rPr>
                <w:t>國立故宮博物院函送故宮文物藝術發展基金110年度接受外界捐贈支用明細表，請查照案。</w:t>
              </w:r>
            </w:hyperlink>
          </w:p>
        </w:tc>
        <w:tc>
          <w:tcPr>
            <w:tcW w:w="897" w:type="pct"/>
          </w:tcPr>
          <w:p w:rsidR="00287897" w:rsidRPr="000202D8" w:rsidRDefault="00287897" w:rsidP="00287897">
            <w:pPr>
              <w:pStyle w:val="0-"/>
            </w:pPr>
            <w:r w:rsidRPr="000202D8">
              <w:t>10-6-2</w:t>
            </w:r>
          </w:p>
          <w:p w:rsidR="00287897" w:rsidRPr="000202D8" w:rsidRDefault="00287897" w:rsidP="00287897">
            <w:pPr>
              <w:pStyle w:val="0-"/>
            </w:pPr>
            <w:r w:rsidRPr="000202D8">
              <w:t>(111.9.30)</w:t>
            </w:r>
          </w:p>
        </w:tc>
        <w:tc>
          <w:tcPr>
            <w:tcW w:w="523" w:type="pct"/>
          </w:tcPr>
          <w:p w:rsidR="00287897" w:rsidRPr="000202D8" w:rsidRDefault="00287897" w:rsidP="00287897">
            <w:pPr>
              <w:rPr>
                <w:rFonts w:ascii="標楷體" w:eastAsia="標楷體" w:hAnsi="標楷體"/>
                <w:color w:val="000000"/>
                <w:sz w:val="28"/>
              </w:rPr>
            </w:pPr>
          </w:p>
        </w:tc>
        <w:tc>
          <w:tcPr>
            <w:tcW w:w="1247" w:type="pct"/>
          </w:tcPr>
          <w:p w:rsidR="00287897" w:rsidRPr="000202D8" w:rsidRDefault="00287897" w:rsidP="008C2561">
            <w:pPr>
              <w:rPr>
                <w:rFonts w:ascii="標楷體" w:eastAsia="標楷體" w:hAnsi="標楷體"/>
                <w:color w:val="000000"/>
                <w:sz w:val="28"/>
              </w:rPr>
            </w:pPr>
            <w:r w:rsidRPr="000202D8">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29" w:tooltip="二百二十七、文化部函送111年1－2月該部接受外界捐贈款明細表，請查照案。" w:history="1">
              <w:r w:rsidR="00287897" w:rsidRPr="002964FE">
                <w:rPr>
                  <w:rFonts w:hint="eastAsia"/>
                </w:rPr>
                <w:t>文化部函送111年1－2月該部接受外界捐贈款明細表，請查照案。</w:t>
              </w:r>
            </w:hyperlink>
          </w:p>
        </w:tc>
        <w:tc>
          <w:tcPr>
            <w:tcW w:w="897" w:type="pct"/>
          </w:tcPr>
          <w:p w:rsidR="00287897" w:rsidRPr="000202D8" w:rsidRDefault="00287897" w:rsidP="00287897">
            <w:pPr>
              <w:pStyle w:val="0-"/>
            </w:pPr>
            <w:r w:rsidRPr="000202D8">
              <w:t>10-6-2</w:t>
            </w:r>
          </w:p>
          <w:p w:rsidR="00287897" w:rsidRPr="000202D8" w:rsidRDefault="00287897" w:rsidP="00287897">
            <w:pPr>
              <w:pStyle w:val="0-"/>
            </w:pPr>
            <w:r w:rsidRPr="000202D8">
              <w:t>(111.9.30)</w:t>
            </w:r>
          </w:p>
        </w:tc>
        <w:tc>
          <w:tcPr>
            <w:tcW w:w="523" w:type="pct"/>
          </w:tcPr>
          <w:p w:rsidR="00287897" w:rsidRPr="000202D8" w:rsidRDefault="00287897" w:rsidP="00287897">
            <w:pPr>
              <w:rPr>
                <w:rFonts w:ascii="標楷體" w:eastAsia="標楷體" w:hAnsi="標楷體"/>
                <w:color w:val="000000"/>
                <w:sz w:val="28"/>
              </w:rPr>
            </w:pPr>
          </w:p>
        </w:tc>
        <w:tc>
          <w:tcPr>
            <w:tcW w:w="1247" w:type="pct"/>
          </w:tcPr>
          <w:p w:rsidR="00287897" w:rsidRPr="000202D8" w:rsidRDefault="00287897" w:rsidP="008C2561">
            <w:pPr>
              <w:rPr>
                <w:rFonts w:ascii="標楷體" w:eastAsia="標楷體" w:hAnsi="標楷體"/>
                <w:color w:val="000000"/>
                <w:sz w:val="28"/>
              </w:rPr>
            </w:pPr>
            <w:r w:rsidRPr="000202D8">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30" w:tooltip="二百二十九、教育部函送111年度第1季補捐助經費執行情形總表及明細表，請查照案。" w:history="1">
              <w:r w:rsidR="00287897" w:rsidRPr="002964FE">
                <w:rPr>
                  <w:rFonts w:hint="eastAsia"/>
                </w:rPr>
                <w:t>教育部函送111年度第1季補捐助經費執行情形總表及明細表，請查照案。</w:t>
              </w:r>
            </w:hyperlink>
          </w:p>
        </w:tc>
        <w:tc>
          <w:tcPr>
            <w:tcW w:w="897" w:type="pct"/>
          </w:tcPr>
          <w:p w:rsidR="00287897" w:rsidRPr="000202D8" w:rsidRDefault="00287897" w:rsidP="00287897">
            <w:pPr>
              <w:pStyle w:val="0-"/>
            </w:pPr>
            <w:r w:rsidRPr="000202D8">
              <w:t>10-6-2</w:t>
            </w:r>
          </w:p>
          <w:p w:rsidR="00287897" w:rsidRPr="000202D8" w:rsidRDefault="00287897" w:rsidP="00287897">
            <w:pPr>
              <w:pStyle w:val="0-"/>
            </w:pPr>
            <w:r w:rsidRPr="000202D8">
              <w:t>(111.9.30)</w:t>
            </w:r>
          </w:p>
        </w:tc>
        <w:tc>
          <w:tcPr>
            <w:tcW w:w="523" w:type="pct"/>
          </w:tcPr>
          <w:p w:rsidR="00287897" w:rsidRPr="000202D8" w:rsidRDefault="00287897" w:rsidP="00287897">
            <w:pPr>
              <w:rPr>
                <w:rFonts w:ascii="標楷體" w:eastAsia="標楷體" w:hAnsi="標楷體"/>
                <w:color w:val="000000"/>
                <w:sz w:val="28"/>
              </w:rPr>
            </w:pPr>
          </w:p>
        </w:tc>
        <w:tc>
          <w:tcPr>
            <w:tcW w:w="1247" w:type="pct"/>
          </w:tcPr>
          <w:p w:rsidR="00287897" w:rsidRPr="000202D8" w:rsidRDefault="00287897" w:rsidP="008C2561">
            <w:pPr>
              <w:rPr>
                <w:rFonts w:ascii="標楷體" w:eastAsia="標楷體" w:hAnsi="標楷體"/>
                <w:color w:val="000000"/>
                <w:sz w:val="28"/>
              </w:rPr>
            </w:pPr>
            <w:r w:rsidRPr="000202D8">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31" w:tooltip="二百三十、行政院原子能委員會函送111年第1季辦理政策及業務宣導之執行情形表，請查照案。" w:history="1">
              <w:r w:rsidR="00287897" w:rsidRPr="002964FE">
                <w:rPr>
                  <w:rFonts w:hint="eastAsia"/>
                </w:rPr>
                <w:t>行政院原子能委員會函送111年第1季辦理政策及業務宣導之執行情形表，請查照案。</w:t>
              </w:r>
            </w:hyperlink>
          </w:p>
        </w:tc>
        <w:tc>
          <w:tcPr>
            <w:tcW w:w="897" w:type="pct"/>
          </w:tcPr>
          <w:p w:rsidR="00287897" w:rsidRPr="000202D8" w:rsidRDefault="00287897" w:rsidP="00287897">
            <w:pPr>
              <w:pStyle w:val="0-"/>
            </w:pPr>
            <w:r w:rsidRPr="000202D8">
              <w:t>10-6-2</w:t>
            </w:r>
          </w:p>
          <w:p w:rsidR="00287897" w:rsidRPr="000202D8" w:rsidRDefault="00287897" w:rsidP="00287897">
            <w:pPr>
              <w:pStyle w:val="0-"/>
            </w:pPr>
            <w:r w:rsidRPr="000202D8">
              <w:t>(111.9.30)</w:t>
            </w:r>
          </w:p>
        </w:tc>
        <w:tc>
          <w:tcPr>
            <w:tcW w:w="523" w:type="pct"/>
          </w:tcPr>
          <w:p w:rsidR="00287897" w:rsidRPr="000202D8" w:rsidRDefault="00287897" w:rsidP="00287897">
            <w:pPr>
              <w:rPr>
                <w:rFonts w:ascii="標楷體" w:eastAsia="標楷體" w:hAnsi="標楷體"/>
                <w:color w:val="000000"/>
                <w:sz w:val="28"/>
              </w:rPr>
            </w:pPr>
          </w:p>
        </w:tc>
        <w:tc>
          <w:tcPr>
            <w:tcW w:w="1247" w:type="pct"/>
          </w:tcPr>
          <w:p w:rsidR="00287897" w:rsidRPr="000202D8" w:rsidRDefault="00287897" w:rsidP="008C2561">
            <w:pPr>
              <w:rPr>
                <w:rFonts w:ascii="標楷體" w:eastAsia="標楷體" w:hAnsi="標楷體"/>
                <w:color w:val="000000"/>
                <w:sz w:val="28"/>
              </w:rPr>
            </w:pPr>
            <w:r w:rsidRPr="000202D8">
              <w:rPr>
                <w:rFonts w:ascii="標楷體" w:eastAsia="標楷體" w:hAnsi="標楷體" w:hint="eastAsia"/>
                <w:color w:val="000000"/>
                <w:sz w:val="28"/>
              </w:rPr>
              <w:t>尚未審查</w:t>
            </w:r>
          </w:p>
        </w:tc>
      </w:tr>
      <w:tr w:rsidR="00287897" w:rsidRPr="00920597" w:rsidTr="00D617A6">
        <w:trPr>
          <w:trHeight w:val="428"/>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32" w:tooltip="二百三十一、科技部函送111年第1季補（捐）助民間團體及個人經費資料一覽表，請查照案。" w:history="1">
              <w:r w:rsidR="00287897" w:rsidRPr="002964FE">
                <w:rPr>
                  <w:rFonts w:hint="eastAsia"/>
                </w:rPr>
                <w:t>科技部函送111年第1季補（捐）助民間團體及個人經費資料一覽表，請查照案。</w:t>
              </w:r>
            </w:hyperlink>
          </w:p>
        </w:tc>
        <w:tc>
          <w:tcPr>
            <w:tcW w:w="897" w:type="pct"/>
          </w:tcPr>
          <w:p w:rsidR="00287897" w:rsidRPr="000202D8" w:rsidRDefault="00287897" w:rsidP="00287897">
            <w:pPr>
              <w:pStyle w:val="0-"/>
            </w:pPr>
            <w:r w:rsidRPr="000202D8">
              <w:t>10-6-2</w:t>
            </w:r>
          </w:p>
          <w:p w:rsidR="00287897" w:rsidRPr="000202D8" w:rsidRDefault="00287897" w:rsidP="00287897">
            <w:pPr>
              <w:pStyle w:val="0-"/>
            </w:pPr>
            <w:r w:rsidRPr="000202D8">
              <w:t>(111.9.30)</w:t>
            </w:r>
          </w:p>
        </w:tc>
        <w:tc>
          <w:tcPr>
            <w:tcW w:w="523" w:type="pct"/>
          </w:tcPr>
          <w:p w:rsidR="00287897" w:rsidRPr="000202D8" w:rsidRDefault="00287897" w:rsidP="00287897">
            <w:pPr>
              <w:rPr>
                <w:rFonts w:ascii="標楷體" w:eastAsia="標楷體" w:hAnsi="標楷體"/>
                <w:color w:val="000000"/>
                <w:sz w:val="28"/>
              </w:rPr>
            </w:pPr>
          </w:p>
        </w:tc>
        <w:tc>
          <w:tcPr>
            <w:tcW w:w="1247" w:type="pct"/>
          </w:tcPr>
          <w:p w:rsidR="00287897" w:rsidRPr="000202D8" w:rsidRDefault="00287897" w:rsidP="008C2561">
            <w:pPr>
              <w:rPr>
                <w:rFonts w:ascii="標楷體" w:eastAsia="標楷體" w:hAnsi="標楷體"/>
                <w:color w:val="000000"/>
                <w:sz w:val="28"/>
              </w:rPr>
            </w:pPr>
            <w:r w:rsidRPr="000202D8">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33" w:tooltip="一百二十四、教育部函，為111年度中央政府總預算決議，檢送「國立東華大學交通安全改善」專案報告，請查照案。" w:history="1">
              <w:r w:rsidR="00287897" w:rsidRPr="002964FE">
                <w:rPr>
                  <w:rFonts w:hint="eastAsia"/>
                </w:rPr>
                <w:t>教育部函，為111年度中央政府總預算決議，檢送「國立東華大學交通安全改善」專案報告，請查照案。</w:t>
              </w:r>
            </w:hyperlink>
          </w:p>
        </w:tc>
        <w:tc>
          <w:tcPr>
            <w:tcW w:w="897" w:type="pct"/>
          </w:tcPr>
          <w:p w:rsidR="00287897" w:rsidRPr="007B5B67" w:rsidRDefault="00287897" w:rsidP="00287897">
            <w:pPr>
              <w:pStyle w:val="0-"/>
            </w:pPr>
            <w:r w:rsidRPr="007B5B67">
              <w:t>10-6-3</w:t>
            </w:r>
          </w:p>
          <w:p w:rsidR="00287897" w:rsidRPr="007B5B67" w:rsidRDefault="00287897" w:rsidP="00287897">
            <w:pPr>
              <w:pStyle w:val="0-"/>
            </w:pPr>
            <w:r w:rsidRPr="007B5B67">
              <w:t>(111.10.7)</w:t>
            </w:r>
          </w:p>
          <w:p w:rsidR="00287897" w:rsidRPr="007B5B67" w:rsidRDefault="00287897" w:rsidP="00287897">
            <w:pPr>
              <w:pStyle w:val="0-"/>
            </w:pPr>
          </w:p>
        </w:tc>
        <w:tc>
          <w:tcPr>
            <w:tcW w:w="523" w:type="pct"/>
          </w:tcPr>
          <w:p w:rsidR="00287897" w:rsidRPr="007B5B67" w:rsidRDefault="00287897" w:rsidP="00287897">
            <w:pPr>
              <w:rPr>
                <w:rFonts w:ascii="標楷體" w:eastAsia="標楷體" w:hAnsi="標楷體"/>
                <w:color w:val="000000"/>
                <w:sz w:val="28"/>
              </w:rPr>
            </w:pPr>
          </w:p>
        </w:tc>
        <w:tc>
          <w:tcPr>
            <w:tcW w:w="1247" w:type="pct"/>
          </w:tcPr>
          <w:p w:rsidR="00287897" w:rsidRPr="007B5B67" w:rsidRDefault="00287897" w:rsidP="008C2561">
            <w:pPr>
              <w:rPr>
                <w:rFonts w:ascii="標楷體" w:eastAsia="標楷體" w:hAnsi="標楷體"/>
                <w:color w:val="000000"/>
                <w:sz w:val="28"/>
              </w:rPr>
            </w:pPr>
            <w:r w:rsidRPr="007B5B67">
              <w:rPr>
                <w:rFonts w:ascii="標楷體" w:eastAsia="標楷體" w:hAnsi="標楷體" w:hint="eastAsia"/>
                <w:color w:val="000000"/>
                <w:sz w:val="28"/>
              </w:rPr>
              <w:t>尚未處理</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34" w:tooltip="一百二十五、教育部函，為111年度中央政府總預算決議，檢送「考招新制加強宣導」報告，請查照案。" w:history="1">
              <w:r w:rsidR="00287897" w:rsidRPr="002964FE">
                <w:rPr>
                  <w:rFonts w:hint="eastAsia"/>
                </w:rPr>
                <w:t>教育部函，為111年度中央政府總預算決議，檢送「考招新制加強宣導」報告，請查照案。</w:t>
              </w:r>
            </w:hyperlink>
          </w:p>
        </w:tc>
        <w:tc>
          <w:tcPr>
            <w:tcW w:w="897" w:type="pct"/>
          </w:tcPr>
          <w:p w:rsidR="00287897" w:rsidRPr="007B5B67" w:rsidRDefault="00287897" w:rsidP="00287897">
            <w:pPr>
              <w:pStyle w:val="0-"/>
            </w:pPr>
            <w:r w:rsidRPr="007B5B67">
              <w:t>10-6-3</w:t>
            </w:r>
          </w:p>
          <w:p w:rsidR="00287897" w:rsidRPr="007B5B67" w:rsidRDefault="00287897" w:rsidP="00287897">
            <w:pPr>
              <w:pStyle w:val="0-"/>
            </w:pPr>
            <w:r w:rsidRPr="007B5B67">
              <w:t>(111.10.7)</w:t>
            </w:r>
          </w:p>
          <w:p w:rsidR="00287897" w:rsidRPr="007B5B67" w:rsidRDefault="00287897" w:rsidP="00287897">
            <w:pPr>
              <w:pStyle w:val="0-"/>
            </w:pPr>
          </w:p>
        </w:tc>
        <w:tc>
          <w:tcPr>
            <w:tcW w:w="523" w:type="pct"/>
          </w:tcPr>
          <w:p w:rsidR="00287897" w:rsidRPr="007B5B67" w:rsidRDefault="00287897" w:rsidP="00287897">
            <w:pPr>
              <w:rPr>
                <w:rFonts w:ascii="標楷體" w:eastAsia="標楷體" w:hAnsi="標楷體"/>
                <w:color w:val="000000"/>
                <w:sz w:val="28"/>
              </w:rPr>
            </w:pPr>
          </w:p>
        </w:tc>
        <w:tc>
          <w:tcPr>
            <w:tcW w:w="1247" w:type="pct"/>
          </w:tcPr>
          <w:p w:rsidR="00287897" w:rsidRPr="007B5B67" w:rsidRDefault="00287897" w:rsidP="008C2561">
            <w:pPr>
              <w:rPr>
                <w:rFonts w:ascii="標楷體" w:eastAsia="標楷體" w:hAnsi="標楷體"/>
                <w:color w:val="000000"/>
                <w:sz w:val="28"/>
              </w:rPr>
            </w:pPr>
            <w:r w:rsidRPr="007B5B67">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35" w:tooltip="一百二十六、教育部函，為111年度中央政府總預算決議，檢送「冷氣政策議題」專案報告，請查照案。" w:history="1">
              <w:r w:rsidR="00287897" w:rsidRPr="002964FE">
                <w:rPr>
                  <w:rFonts w:hint="eastAsia"/>
                </w:rPr>
                <w:t>教育部函，為111年度中央政府總預算決議，檢送「冷氣政策議題」專案報告，請查照案。</w:t>
              </w:r>
            </w:hyperlink>
          </w:p>
        </w:tc>
        <w:tc>
          <w:tcPr>
            <w:tcW w:w="897" w:type="pct"/>
          </w:tcPr>
          <w:p w:rsidR="00287897" w:rsidRPr="007B5B67" w:rsidRDefault="00287897" w:rsidP="00287897">
            <w:pPr>
              <w:pStyle w:val="0-"/>
            </w:pPr>
            <w:r w:rsidRPr="007B5B67">
              <w:t>10-6-3</w:t>
            </w:r>
          </w:p>
          <w:p w:rsidR="00287897" w:rsidRPr="007B5B67" w:rsidRDefault="00287897" w:rsidP="00287897">
            <w:pPr>
              <w:pStyle w:val="0-"/>
            </w:pPr>
            <w:r w:rsidRPr="007B5B67">
              <w:t>(111.10.7)</w:t>
            </w:r>
          </w:p>
          <w:p w:rsidR="00287897" w:rsidRPr="007B5B67" w:rsidRDefault="00287897" w:rsidP="00287897">
            <w:pPr>
              <w:pStyle w:val="0-"/>
            </w:pPr>
          </w:p>
        </w:tc>
        <w:tc>
          <w:tcPr>
            <w:tcW w:w="523" w:type="pct"/>
          </w:tcPr>
          <w:p w:rsidR="00287897" w:rsidRPr="007B5B67" w:rsidRDefault="00287897" w:rsidP="00287897">
            <w:pPr>
              <w:rPr>
                <w:rFonts w:ascii="標楷體" w:eastAsia="標楷體" w:hAnsi="標楷體"/>
                <w:color w:val="000000"/>
                <w:sz w:val="28"/>
              </w:rPr>
            </w:pPr>
          </w:p>
        </w:tc>
        <w:tc>
          <w:tcPr>
            <w:tcW w:w="1247" w:type="pct"/>
          </w:tcPr>
          <w:p w:rsidR="00287897" w:rsidRPr="007B5B67" w:rsidRDefault="00287897" w:rsidP="008C2561">
            <w:pPr>
              <w:rPr>
                <w:rFonts w:ascii="標楷體" w:eastAsia="標楷體" w:hAnsi="標楷體"/>
                <w:color w:val="000000"/>
                <w:sz w:val="28"/>
              </w:rPr>
            </w:pPr>
            <w:r w:rsidRPr="007B5B67">
              <w:rPr>
                <w:rFonts w:ascii="標楷體" w:eastAsia="標楷體" w:hAnsi="標楷體" w:hint="eastAsia"/>
                <w:color w:val="000000"/>
                <w:sz w:val="28"/>
              </w:rPr>
              <w:t>尚未處理</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36" w:tooltip="一百二十八、教育部函，為111年度中央政府總預算決議，檢送「新南向人才培育推動計畫執行成效」專案報告，請查照案。" w:history="1">
              <w:r w:rsidR="00287897" w:rsidRPr="002964FE">
                <w:rPr>
                  <w:rFonts w:hint="eastAsia"/>
                </w:rPr>
                <w:t>教育部函，為111年度中央政府總預算決議，檢送「新南向人才培育推動計畫執行成效」專案報告，請查照案。</w:t>
              </w:r>
            </w:hyperlink>
          </w:p>
        </w:tc>
        <w:tc>
          <w:tcPr>
            <w:tcW w:w="897" w:type="pct"/>
          </w:tcPr>
          <w:p w:rsidR="00287897" w:rsidRPr="007B5B67" w:rsidRDefault="00287897" w:rsidP="00287897">
            <w:pPr>
              <w:pStyle w:val="0-"/>
            </w:pPr>
            <w:r w:rsidRPr="007B5B67">
              <w:t>10-6-3</w:t>
            </w:r>
          </w:p>
          <w:p w:rsidR="00287897" w:rsidRPr="007B5B67" w:rsidRDefault="00287897" w:rsidP="00287897">
            <w:pPr>
              <w:pStyle w:val="0-"/>
            </w:pPr>
            <w:r w:rsidRPr="007B5B67">
              <w:t>(111.10.7)</w:t>
            </w:r>
          </w:p>
          <w:p w:rsidR="00287897" w:rsidRPr="007B5B67" w:rsidRDefault="00287897" w:rsidP="00287897">
            <w:pPr>
              <w:pStyle w:val="0-"/>
            </w:pPr>
          </w:p>
        </w:tc>
        <w:tc>
          <w:tcPr>
            <w:tcW w:w="523" w:type="pct"/>
          </w:tcPr>
          <w:p w:rsidR="00287897" w:rsidRPr="007B5B67" w:rsidRDefault="00287897" w:rsidP="00287897">
            <w:pPr>
              <w:rPr>
                <w:rFonts w:ascii="標楷體" w:eastAsia="標楷體" w:hAnsi="標楷體"/>
                <w:color w:val="000000"/>
                <w:sz w:val="28"/>
              </w:rPr>
            </w:pPr>
          </w:p>
        </w:tc>
        <w:tc>
          <w:tcPr>
            <w:tcW w:w="1247" w:type="pct"/>
          </w:tcPr>
          <w:p w:rsidR="00287897" w:rsidRPr="007B5B67" w:rsidRDefault="00287897" w:rsidP="008C2561">
            <w:pPr>
              <w:rPr>
                <w:rFonts w:ascii="標楷體" w:eastAsia="標楷體" w:hAnsi="標楷體"/>
                <w:color w:val="000000"/>
                <w:sz w:val="28"/>
              </w:rPr>
            </w:pPr>
            <w:r w:rsidRPr="007B5B67">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37" w:tooltip="一百二十九、教育部函，為111年度中央政府總預算決議，檢送「公立高級中等以下學校電力系統改善工程執行績效獎勵計畫暨後續冷氣汰換維修經費來源」專案報告，請查照案。" w:history="1">
              <w:r w:rsidR="00287897" w:rsidRPr="002964FE">
                <w:rPr>
                  <w:rFonts w:hint="eastAsia"/>
                </w:rPr>
                <w:t>教育部函，為111年度中央政府總預算決議，檢送「公立高級中等以下學校電力系統改善工程執行績效獎勵計畫暨後續冷氣汰換維修經費來源」專案報告，請查照案。</w:t>
              </w:r>
            </w:hyperlink>
          </w:p>
        </w:tc>
        <w:tc>
          <w:tcPr>
            <w:tcW w:w="897" w:type="pct"/>
          </w:tcPr>
          <w:p w:rsidR="00287897" w:rsidRPr="007B5B67" w:rsidRDefault="00287897" w:rsidP="00287897">
            <w:pPr>
              <w:pStyle w:val="0-"/>
            </w:pPr>
            <w:r w:rsidRPr="007B5B67">
              <w:t>10-6-3</w:t>
            </w:r>
          </w:p>
          <w:p w:rsidR="00287897" w:rsidRPr="007B5B67" w:rsidRDefault="00287897" w:rsidP="00287897">
            <w:pPr>
              <w:pStyle w:val="0-"/>
            </w:pPr>
            <w:r w:rsidRPr="007B5B67">
              <w:t>(111.10.7)</w:t>
            </w:r>
          </w:p>
          <w:p w:rsidR="00287897" w:rsidRPr="007B5B67" w:rsidRDefault="00287897" w:rsidP="00287897">
            <w:pPr>
              <w:pStyle w:val="0-"/>
            </w:pPr>
          </w:p>
        </w:tc>
        <w:tc>
          <w:tcPr>
            <w:tcW w:w="523" w:type="pct"/>
          </w:tcPr>
          <w:p w:rsidR="00287897" w:rsidRPr="007B5B67" w:rsidRDefault="00287897" w:rsidP="00287897">
            <w:pPr>
              <w:rPr>
                <w:rFonts w:ascii="標楷體" w:eastAsia="標楷體" w:hAnsi="標楷體"/>
                <w:color w:val="000000"/>
                <w:sz w:val="28"/>
              </w:rPr>
            </w:pPr>
          </w:p>
        </w:tc>
        <w:tc>
          <w:tcPr>
            <w:tcW w:w="1247" w:type="pct"/>
          </w:tcPr>
          <w:p w:rsidR="00287897" w:rsidRPr="007B5B67" w:rsidRDefault="00287897" w:rsidP="008C2561">
            <w:pPr>
              <w:rPr>
                <w:rFonts w:ascii="標楷體" w:eastAsia="標楷體" w:hAnsi="標楷體"/>
                <w:color w:val="000000"/>
                <w:sz w:val="28"/>
              </w:rPr>
            </w:pPr>
            <w:r w:rsidRPr="007B5B67">
              <w:rPr>
                <w:rFonts w:ascii="標楷體" w:eastAsia="標楷體" w:hAnsi="標楷體" w:hint="eastAsia"/>
                <w:color w:val="000000"/>
                <w:sz w:val="28"/>
              </w:rPr>
              <w:t>尚未處理</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38" w:tooltip="一百零二、文化部函送111年1－3月該部接受外界捐贈款明細表，請查照案。" w:history="1">
              <w:r w:rsidR="00287897" w:rsidRPr="002964FE">
                <w:rPr>
                  <w:rFonts w:hint="eastAsia"/>
                </w:rPr>
                <w:t>文化部函送111年1－3月該部接受外界捐贈款明細表，請查照案。</w:t>
              </w:r>
            </w:hyperlink>
          </w:p>
        </w:tc>
        <w:tc>
          <w:tcPr>
            <w:tcW w:w="897" w:type="pct"/>
          </w:tcPr>
          <w:p w:rsidR="00287897" w:rsidRPr="00C77949" w:rsidRDefault="00287897" w:rsidP="00287897">
            <w:pPr>
              <w:pStyle w:val="0-"/>
            </w:pPr>
            <w:r w:rsidRPr="00C77949">
              <w:t>10-6-5</w:t>
            </w:r>
          </w:p>
          <w:p w:rsidR="00287897" w:rsidRPr="00C77949" w:rsidRDefault="00287897" w:rsidP="00287897">
            <w:pPr>
              <w:pStyle w:val="0-"/>
            </w:pPr>
            <w:r w:rsidRPr="00C77949">
              <w:t>(111.10.28)</w:t>
            </w:r>
          </w:p>
        </w:tc>
        <w:tc>
          <w:tcPr>
            <w:tcW w:w="523" w:type="pct"/>
          </w:tcPr>
          <w:p w:rsidR="00287897" w:rsidRPr="00C77949" w:rsidRDefault="00287897" w:rsidP="00287897">
            <w:pPr>
              <w:rPr>
                <w:rFonts w:ascii="標楷體" w:eastAsia="標楷體" w:hAnsi="標楷體"/>
                <w:color w:val="000000"/>
                <w:sz w:val="28"/>
              </w:rPr>
            </w:pPr>
          </w:p>
        </w:tc>
        <w:tc>
          <w:tcPr>
            <w:tcW w:w="1247" w:type="pct"/>
          </w:tcPr>
          <w:p w:rsidR="00287897" w:rsidRPr="00C77949" w:rsidRDefault="00287897" w:rsidP="008C2561">
            <w:pPr>
              <w:rPr>
                <w:rFonts w:ascii="標楷體" w:eastAsia="標楷體" w:hAnsi="標楷體"/>
                <w:color w:val="000000"/>
                <w:sz w:val="28"/>
              </w:rPr>
            </w:pPr>
            <w:r w:rsidRPr="00C77949">
              <w:rPr>
                <w:rFonts w:ascii="標楷體" w:eastAsia="標楷體" w:hAnsi="標楷體" w:hint="eastAsia"/>
                <w:color w:val="000000"/>
                <w:sz w:val="28"/>
              </w:rPr>
              <w:t>尚未處理</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39" w:tooltip="一百零三、文化部函送111年1－4月該部接受外界捐贈款明細表，請查照案。" w:history="1">
              <w:r w:rsidR="00287897" w:rsidRPr="002964FE">
                <w:rPr>
                  <w:rFonts w:hint="eastAsia"/>
                </w:rPr>
                <w:t>文化部函送111年1－4月該部接受外界捐贈款明細表，請查照案。</w:t>
              </w:r>
            </w:hyperlink>
          </w:p>
        </w:tc>
        <w:tc>
          <w:tcPr>
            <w:tcW w:w="897" w:type="pct"/>
          </w:tcPr>
          <w:p w:rsidR="00287897" w:rsidRPr="00C77949" w:rsidRDefault="00287897" w:rsidP="00287897">
            <w:pPr>
              <w:pStyle w:val="0-"/>
            </w:pPr>
            <w:r w:rsidRPr="00C77949">
              <w:t>10-6-5</w:t>
            </w:r>
          </w:p>
          <w:p w:rsidR="00287897" w:rsidRPr="00C77949" w:rsidRDefault="00287897" w:rsidP="00287897">
            <w:pPr>
              <w:pStyle w:val="0-"/>
            </w:pPr>
            <w:r w:rsidRPr="00C77949">
              <w:t>(111.10.28)</w:t>
            </w:r>
          </w:p>
        </w:tc>
        <w:tc>
          <w:tcPr>
            <w:tcW w:w="523" w:type="pct"/>
          </w:tcPr>
          <w:p w:rsidR="00287897" w:rsidRPr="00C77949" w:rsidRDefault="00287897" w:rsidP="00287897">
            <w:pPr>
              <w:rPr>
                <w:rFonts w:ascii="標楷體" w:eastAsia="標楷體" w:hAnsi="標楷體"/>
                <w:color w:val="000000"/>
                <w:sz w:val="28"/>
              </w:rPr>
            </w:pPr>
          </w:p>
        </w:tc>
        <w:tc>
          <w:tcPr>
            <w:tcW w:w="1247" w:type="pct"/>
          </w:tcPr>
          <w:p w:rsidR="00287897" w:rsidRPr="00C77949" w:rsidRDefault="00287897" w:rsidP="008C2561">
            <w:pPr>
              <w:rPr>
                <w:rFonts w:ascii="標楷體" w:eastAsia="標楷體" w:hAnsi="標楷體"/>
                <w:color w:val="000000"/>
                <w:sz w:val="28"/>
              </w:rPr>
            </w:pPr>
            <w:r w:rsidRPr="00C77949">
              <w:rPr>
                <w:rFonts w:ascii="標楷體" w:eastAsia="標楷體" w:hAnsi="標楷體" w:hint="eastAsia"/>
                <w:color w:val="000000"/>
                <w:sz w:val="28"/>
              </w:rPr>
              <w:t>尚未處理</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40" w:tooltip="一百零五、科技部函送111年第1季於各類媒體辦理政策及業務宣導相關廣告之執行情形資料，請查照案。" w:history="1">
              <w:r w:rsidR="00287897" w:rsidRPr="002964FE">
                <w:rPr>
                  <w:rFonts w:hint="eastAsia"/>
                </w:rPr>
                <w:t>科技部函送111年第1季於各類媒體辦理政策及業務宣導相關廣告之執行情形資料，請查照</w:t>
              </w:r>
            </w:hyperlink>
          </w:p>
        </w:tc>
        <w:tc>
          <w:tcPr>
            <w:tcW w:w="897" w:type="pct"/>
          </w:tcPr>
          <w:p w:rsidR="00287897" w:rsidRPr="00C77949" w:rsidRDefault="00287897" w:rsidP="00287897">
            <w:pPr>
              <w:pStyle w:val="0-"/>
            </w:pPr>
            <w:r w:rsidRPr="00C77949">
              <w:t>10-6-5</w:t>
            </w:r>
          </w:p>
          <w:p w:rsidR="00287897" w:rsidRPr="00C77949" w:rsidRDefault="00287897" w:rsidP="00287897">
            <w:pPr>
              <w:pStyle w:val="0-"/>
            </w:pPr>
            <w:r w:rsidRPr="00C77949">
              <w:t>(111.10.28)</w:t>
            </w:r>
          </w:p>
        </w:tc>
        <w:tc>
          <w:tcPr>
            <w:tcW w:w="523" w:type="pct"/>
          </w:tcPr>
          <w:p w:rsidR="00287897" w:rsidRPr="00C77949" w:rsidRDefault="00287897" w:rsidP="00287897">
            <w:pPr>
              <w:rPr>
                <w:rFonts w:ascii="標楷體" w:eastAsia="標楷體" w:hAnsi="標楷體"/>
                <w:color w:val="000000"/>
                <w:sz w:val="28"/>
              </w:rPr>
            </w:pPr>
          </w:p>
        </w:tc>
        <w:tc>
          <w:tcPr>
            <w:tcW w:w="1247" w:type="pct"/>
          </w:tcPr>
          <w:p w:rsidR="00287897" w:rsidRPr="00C77949" w:rsidRDefault="00287897" w:rsidP="008C2561">
            <w:pPr>
              <w:rPr>
                <w:rFonts w:ascii="標楷體" w:eastAsia="標楷體" w:hAnsi="標楷體"/>
                <w:color w:val="000000"/>
                <w:sz w:val="28"/>
              </w:rPr>
            </w:pPr>
            <w:r w:rsidRPr="00C77949">
              <w:rPr>
                <w:rFonts w:ascii="標楷體" w:eastAsia="標楷體" w:hAnsi="標楷體" w:hint="eastAsia"/>
                <w:color w:val="000000"/>
                <w:sz w:val="28"/>
              </w:rPr>
              <w:t>尚未處理</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41" w:tooltip="一百零六、科技部函送110年第4季補（捐）助民間團體及個人經費資料一覽表，請查照案。" w:history="1">
              <w:r w:rsidR="00287897" w:rsidRPr="002964FE">
                <w:rPr>
                  <w:rFonts w:hint="eastAsia"/>
                </w:rPr>
                <w:t>科技部函送110年第4季補（捐）助民間團體及個人經費資料一覽表，請查照案。</w:t>
              </w:r>
            </w:hyperlink>
          </w:p>
        </w:tc>
        <w:tc>
          <w:tcPr>
            <w:tcW w:w="897" w:type="pct"/>
          </w:tcPr>
          <w:p w:rsidR="00287897" w:rsidRPr="00C77949" w:rsidRDefault="00287897" w:rsidP="00287897">
            <w:pPr>
              <w:pStyle w:val="0-"/>
            </w:pPr>
            <w:r w:rsidRPr="00C77949">
              <w:t>10-6-5</w:t>
            </w:r>
          </w:p>
          <w:p w:rsidR="00287897" w:rsidRPr="00C77949" w:rsidRDefault="00287897" w:rsidP="00287897">
            <w:pPr>
              <w:pStyle w:val="0-"/>
            </w:pPr>
            <w:r w:rsidRPr="00C77949">
              <w:t>(111.10.28)</w:t>
            </w:r>
          </w:p>
        </w:tc>
        <w:tc>
          <w:tcPr>
            <w:tcW w:w="523" w:type="pct"/>
          </w:tcPr>
          <w:p w:rsidR="00287897" w:rsidRPr="00C77949" w:rsidRDefault="00287897" w:rsidP="00287897">
            <w:pPr>
              <w:rPr>
                <w:rFonts w:ascii="標楷體" w:eastAsia="標楷體" w:hAnsi="標楷體"/>
                <w:color w:val="000000"/>
                <w:sz w:val="28"/>
              </w:rPr>
            </w:pPr>
          </w:p>
        </w:tc>
        <w:tc>
          <w:tcPr>
            <w:tcW w:w="1247" w:type="pct"/>
          </w:tcPr>
          <w:p w:rsidR="00287897" w:rsidRPr="00C77949" w:rsidRDefault="00287897" w:rsidP="008C2561">
            <w:pPr>
              <w:rPr>
                <w:rFonts w:ascii="標楷體" w:eastAsia="標楷體" w:hAnsi="標楷體"/>
                <w:color w:val="000000"/>
                <w:sz w:val="28"/>
              </w:rPr>
            </w:pPr>
            <w:r w:rsidRPr="00C77949">
              <w:rPr>
                <w:rFonts w:ascii="標楷體" w:eastAsia="標楷體" w:hAnsi="標楷體" w:hint="eastAsia"/>
                <w:color w:val="000000"/>
                <w:sz w:val="28"/>
              </w:rPr>
              <w:t>尚未處理</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42" w:tooltip="一百零七、國立故宮博物院函送「新故宮－故宮公共化帶動觀光產業發展中程計畫」111年第1季辦理進度書面報告，請查照案。" w:history="1">
              <w:r w:rsidR="00287897" w:rsidRPr="002964FE">
                <w:rPr>
                  <w:rFonts w:hint="eastAsia"/>
                </w:rPr>
                <w:t>國立故宮博物院函送「新故宮－故宮公共化帶動觀光產業發展中程計畫」111年第1季辦理進度書面報告，請查照案。</w:t>
              </w:r>
            </w:hyperlink>
          </w:p>
        </w:tc>
        <w:tc>
          <w:tcPr>
            <w:tcW w:w="897" w:type="pct"/>
          </w:tcPr>
          <w:p w:rsidR="00287897" w:rsidRPr="00C77949" w:rsidRDefault="00287897" w:rsidP="00287897">
            <w:pPr>
              <w:pStyle w:val="0-"/>
            </w:pPr>
            <w:r w:rsidRPr="00C77949">
              <w:t>10-6-5</w:t>
            </w:r>
          </w:p>
          <w:p w:rsidR="00287897" w:rsidRPr="00C77949" w:rsidRDefault="00287897" w:rsidP="00287897">
            <w:pPr>
              <w:pStyle w:val="0-"/>
            </w:pPr>
            <w:r w:rsidRPr="00C77949">
              <w:t>(111.10.28)</w:t>
            </w:r>
          </w:p>
        </w:tc>
        <w:tc>
          <w:tcPr>
            <w:tcW w:w="523" w:type="pct"/>
          </w:tcPr>
          <w:p w:rsidR="00287897" w:rsidRPr="00C77949" w:rsidRDefault="00287897" w:rsidP="00287897">
            <w:pPr>
              <w:rPr>
                <w:rFonts w:ascii="標楷體" w:eastAsia="標楷體" w:hAnsi="標楷體"/>
                <w:color w:val="000000"/>
                <w:sz w:val="28"/>
              </w:rPr>
            </w:pPr>
          </w:p>
        </w:tc>
        <w:tc>
          <w:tcPr>
            <w:tcW w:w="1247" w:type="pct"/>
          </w:tcPr>
          <w:p w:rsidR="00287897" w:rsidRPr="00C77949" w:rsidRDefault="00287897" w:rsidP="008C2561">
            <w:pPr>
              <w:rPr>
                <w:rFonts w:ascii="標楷體" w:eastAsia="標楷體" w:hAnsi="標楷體"/>
                <w:color w:val="000000"/>
                <w:sz w:val="28"/>
              </w:rPr>
            </w:pPr>
            <w:r w:rsidRPr="00C77949">
              <w:rPr>
                <w:rFonts w:ascii="標楷體" w:eastAsia="標楷體" w:hAnsi="標楷體" w:hint="eastAsia"/>
                <w:color w:val="000000"/>
                <w:sz w:val="28"/>
              </w:rPr>
              <w:t>尚未處理</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43" w:tooltip="一百零八、國立故宮博物院函送111年第1季政策宣導廣告預算執行情形，請查照案。" w:history="1">
              <w:r w:rsidR="00287897" w:rsidRPr="002964FE">
                <w:rPr>
                  <w:rFonts w:hint="eastAsia"/>
                </w:rPr>
                <w:t>國立故宮博物院函送111年第1季政策宣導廣告預算執行情形，請查照案。</w:t>
              </w:r>
            </w:hyperlink>
          </w:p>
        </w:tc>
        <w:tc>
          <w:tcPr>
            <w:tcW w:w="897" w:type="pct"/>
          </w:tcPr>
          <w:p w:rsidR="00287897" w:rsidRPr="00C77949" w:rsidRDefault="00287897" w:rsidP="00287897">
            <w:pPr>
              <w:pStyle w:val="0-"/>
            </w:pPr>
            <w:r w:rsidRPr="00C77949">
              <w:t>10-6-5</w:t>
            </w:r>
          </w:p>
          <w:p w:rsidR="00287897" w:rsidRPr="00C77949" w:rsidRDefault="00287897" w:rsidP="00287897">
            <w:pPr>
              <w:pStyle w:val="0-"/>
            </w:pPr>
            <w:r w:rsidRPr="00C77949">
              <w:t>(111.10.28)</w:t>
            </w:r>
          </w:p>
        </w:tc>
        <w:tc>
          <w:tcPr>
            <w:tcW w:w="523" w:type="pct"/>
          </w:tcPr>
          <w:p w:rsidR="00287897" w:rsidRPr="00C77949" w:rsidRDefault="00287897" w:rsidP="00287897">
            <w:pPr>
              <w:rPr>
                <w:rFonts w:ascii="標楷體" w:eastAsia="標楷體" w:hAnsi="標楷體"/>
                <w:color w:val="000000"/>
                <w:sz w:val="28"/>
              </w:rPr>
            </w:pPr>
          </w:p>
        </w:tc>
        <w:tc>
          <w:tcPr>
            <w:tcW w:w="1247" w:type="pct"/>
          </w:tcPr>
          <w:p w:rsidR="00287897" w:rsidRPr="00C77949" w:rsidRDefault="00287897" w:rsidP="008C2561">
            <w:pPr>
              <w:rPr>
                <w:rFonts w:ascii="標楷體" w:eastAsia="標楷體" w:hAnsi="標楷體"/>
                <w:color w:val="000000"/>
                <w:sz w:val="28"/>
              </w:rPr>
            </w:pPr>
            <w:r w:rsidRPr="00C77949">
              <w:rPr>
                <w:rFonts w:ascii="標楷體" w:eastAsia="標楷體" w:hAnsi="標楷體" w:hint="eastAsia"/>
                <w:color w:val="000000"/>
                <w:sz w:val="28"/>
              </w:rPr>
              <w:t>尚未處理</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44" w:tooltip="一百零九、教育部函送111年度第1季辦理政策及業務宣導之執行情形表，請查照案。" w:history="1">
              <w:r w:rsidR="00287897" w:rsidRPr="002964FE">
                <w:rPr>
                  <w:rFonts w:hint="eastAsia"/>
                </w:rPr>
                <w:t>教育部函送111年度第1季辦理政策及業務宣導之執行情形表，請查照案。</w:t>
              </w:r>
            </w:hyperlink>
          </w:p>
        </w:tc>
        <w:tc>
          <w:tcPr>
            <w:tcW w:w="897" w:type="pct"/>
          </w:tcPr>
          <w:p w:rsidR="00287897" w:rsidRPr="00C77949" w:rsidRDefault="00287897" w:rsidP="00287897">
            <w:pPr>
              <w:pStyle w:val="0-"/>
            </w:pPr>
            <w:r w:rsidRPr="00C77949">
              <w:t>10-6-5</w:t>
            </w:r>
          </w:p>
          <w:p w:rsidR="00287897" w:rsidRPr="00C77949" w:rsidRDefault="00287897" w:rsidP="00287897">
            <w:pPr>
              <w:pStyle w:val="0-"/>
            </w:pPr>
            <w:r w:rsidRPr="00C77949">
              <w:t>(111.10.28)</w:t>
            </w:r>
          </w:p>
        </w:tc>
        <w:tc>
          <w:tcPr>
            <w:tcW w:w="523" w:type="pct"/>
          </w:tcPr>
          <w:p w:rsidR="00287897" w:rsidRPr="00C77949" w:rsidRDefault="00287897" w:rsidP="00287897">
            <w:pPr>
              <w:rPr>
                <w:rFonts w:ascii="標楷體" w:eastAsia="標楷體" w:hAnsi="標楷體"/>
                <w:color w:val="000000"/>
                <w:sz w:val="28"/>
              </w:rPr>
            </w:pPr>
          </w:p>
        </w:tc>
        <w:tc>
          <w:tcPr>
            <w:tcW w:w="1247" w:type="pct"/>
          </w:tcPr>
          <w:p w:rsidR="00287897" w:rsidRPr="00C77949" w:rsidRDefault="00287897" w:rsidP="008C2561">
            <w:pPr>
              <w:rPr>
                <w:rFonts w:ascii="標楷體" w:eastAsia="標楷體" w:hAnsi="標楷體"/>
                <w:color w:val="000000"/>
                <w:sz w:val="28"/>
              </w:rPr>
            </w:pPr>
            <w:r w:rsidRPr="00C77949">
              <w:rPr>
                <w:rFonts w:ascii="標楷體" w:eastAsia="標楷體" w:hAnsi="標楷體" w:hint="eastAsia"/>
                <w:color w:val="000000"/>
                <w:sz w:val="28"/>
              </w:rPr>
              <w:t>尚未處理</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45" w:tooltip="四百三十二、教育部函，為111年度中央政府總預算決議，檢送「公有運動場館耐震補強進度及111年耐震補強預算辦理項目」書面報告，請查照案。" w:history="1">
              <w:r w:rsidR="00287897" w:rsidRPr="002964FE">
                <w:rPr>
                  <w:rFonts w:hint="eastAsia"/>
                </w:rPr>
                <w:t>教育部函，為111年度中央政府總預算決議，檢送「公有運動場館耐震補強進度及111年耐震補強預算辦理項目」書面報告，請查照案。</w:t>
              </w:r>
            </w:hyperlink>
          </w:p>
        </w:tc>
        <w:tc>
          <w:tcPr>
            <w:tcW w:w="897" w:type="pct"/>
          </w:tcPr>
          <w:p w:rsidR="00287897" w:rsidRPr="00C77949" w:rsidRDefault="00287897" w:rsidP="00287897">
            <w:pPr>
              <w:pStyle w:val="0-"/>
            </w:pPr>
            <w:r w:rsidRPr="00C77949">
              <w:t>10-6-5</w:t>
            </w:r>
          </w:p>
          <w:p w:rsidR="00287897" w:rsidRPr="00C77949" w:rsidRDefault="00287897" w:rsidP="00287897">
            <w:pPr>
              <w:pStyle w:val="0-"/>
            </w:pPr>
            <w:r w:rsidRPr="00C77949">
              <w:t>(111.10.28)</w:t>
            </w:r>
          </w:p>
        </w:tc>
        <w:tc>
          <w:tcPr>
            <w:tcW w:w="523" w:type="pct"/>
          </w:tcPr>
          <w:p w:rsidR="00287897" w:rsidRPr="00C77949" w:rsidRDefault="00287897" w:rsidP="00287897">
            <w:pPr>
              <w:rPr>
                <w:rFonts w:ascii="標楷體" w:eastAsia="標楷體" w:hAnsi="標楷體"/>
                <w:color w:val="000000"/>
                <w:sz w:val="28"/>
              </w:rPr>
            </w:pPr>
          </w:p>
        </w:tc>
        <w:tc>
          <w:tcPr>
            <w:tcW w:w="1247" w:type="pct"/>
          </w:tcPr>
          <w:p w:rsidR="00287897" w:rsidRPr="00C77949" w:rsidRDefault="00287897" w:rsidP="008C2561">
            <w:pPr>
              <w:rPr>
                <w:rFonts w:ascii="標楷體" w:eastAsia="標楷體" w:hAnsi="標楷體"/>
                <w:color w:val="000000"/>
                <w:sz w:val="28"/>
              </w:rPr>
            </w:pPr>
            <w:r w:rsidRPr="00C77949">
              <w:rPr>
                <w:rFonts w:ascii="標楷體" w:eastAsia="標楷體" w:hAnsi="標楷體" w:hint="eastAsia"/>
                <w:color w:val="000000"/>
                <w:sz w:val="28"/>
              </w:rPr>
              <w:t>尚未處理</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46" w:tooltip="四百三十四、教育部函，為111年度中央政府總預算決議，檢送「高級中等學校本土語文/臺灣手語課程師資配套措施」書面報告，請查照案。" w:history="1">
              <w:r w:rsidR="00287897" w:rsidRPr="002964FE">
                <w:rPr>
                  <w:rFonts w:hint="eastAsia"/>
                </w:rPr>
                <w:t>教育部函，為111年度中央政府總預算決議，檢送「高級中等學校本土語文/臺灣手語課程師資配套措施」書面報告，請查照案。</w:t>
              </w:r>
            </w:hyperlink>
          </w:p>
        </w:tc>
        <w:tc>
          <w:tcPr>
            <w:tcW w:w="897" w:type="pct"/>
          </w:tcPr>
          <w:p w:rsidR="00287897" w:rsidRPr="00C77949" w:rsidRDefault="00287897" w:rsidP="00287897">
            <w:pPr>
              <w:pStyle w:val="0-"/>
            </w:pPr>
            <w:r w:rsidRPr="00C77949">
              <w:t>10-6-5</w:t>
            </w:r>
          </w:p>
          <w:p w:rsidR="00287897" w:rsidRPr="00C77949" w:rsidRDefault="00287897" w:rsidP="00287897">
            <w:pPr>
              <w:pStyle w:val="0-"/>
            </w:pPr>
            <w:r w:rsidRPr="00C77949">
              <w:t>(111.10.28)</w:t>
            </w:r>
          </w:p>
        </w:tc>
        <w:tc>
          <w:tcPr>
            <w:tcW w:w="523" w:type="pct"/>
          </w:tcPr>
          <w:p w:rsidR="00287897" w:rsidRPr="00C77949" w:rsidRDefault="00287897" w:rsidP="00287897">
            <w:pPr>
              <w:rPr>
                <w:rFonts w:ascii="標楷體" w:eastAsia="標楷體" w:hAnsi="標楷體"/>
                <w:color w:val="000000"/>
                <w:sz w:val="28"/>
              </w:rPr>
            </w:pPr>
          </w:p>
        </w:tc>
        <w:tc>
          <w:tcPr>
            <w:tcW w:w="1247" w:type="pct"/>
          </w:tcPr>
          <w:p w:rsidR="00287897" w:rsidRPr="00C77949" w:rsidRDefault="00287897" w:rsidP="008C2561">
            <w:pPr>
              <w:rPr>
                <w:rFonts w:ascii="標楷體" w:eastAsia="標楷體" w:hAnsi="標楷體"/>
                <w:color w:val="000000"/>
                <w:sz w:val="28"/>
              </w:rPr>
            </w:pPr>
            <w:r w:rsidRPr="00C77949">
              <w:rPr>
                <w:rFonts w:ascii="標楷體" w:eastAsia="標楷體" w:hAnsi="標楷體" w:hint="eastAsia"/>
                <w:color w:val="000000"/>
                <w:sz w:val="28"/>
              </w:rPr>
              <w:t>尚未處理</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47" w:tooltip="四百三十八、教育部函，為111年度中央政府總預算決議，檢送「國立大學校院校務基金財務監督機制」書面報告，請查照案。" w:history="1">
              <w:r w:rsidR="00287897" w:rsidRPr="002964FE">
                <w:rPr>
                  <w:rFonts w:hint="eastAsia"/>
                </w:rPr>
                <w:t>教育部函，為111年度中央政府總預算決議，檢送「國立大學校院校務基金財務監督機制」書面報告，請查照案。</w:t>
              </w:r>
            </w:hyperlink>
          </w:p>
        </w:tc>
        <w:tc>
          <w:tcPr>
            <w:tcW w:w="897" w:type="pct"/>
          </w:tcPr>
          <w:p w:rsidR="00287897" w:rsidRPr="00C77949" w:rsidRDefault="00287897" w:rsidP="00287897">
            <w:pPr>
              <w:pStyle w:val="0-"/>
            </w:pPr>
            <w:r w:rsidRPr="00C77949">
              <w:t>10-6-5</w:t>
            </w:r>
          </w:p>
          <w:p w:rsidR="00287897" w:rsidRPr="00C77949" w:rsidRDefault="00287897" w:rsidP="00287897">
            <w:pPr>
              <w:pStyle w:val="0-"/>
            </w:pPr>
            <w:r w:rsidRPr="00C77949">
              <w:t>(111.10.28)</w:t>
            </w:r>
          </w:p>
        </w:tc>
        <w:tc>
          <w:tcPr>
            <w:tcW w:w="523" w:type="pct"/>
          </w:tcPr>
          <w:p w:rsidR="00287897" w:rsidRPr="00C77949" w:rsidRDefault="00287897" w:rsidP="00287897">
            <w:pPr>
              <w:rPr>
                <w:rFonts w:ascii="標楷體" w:eastAsia="標楷體" w:hAnsi="標楷體"/>
                <w:color w:val="000000"/>
                <w:sz w:val="28"/>
              </w:rPr>
            </w:pPr>
          </w:p>
        </w:tc>
        <w:tc>
          <w:tcPr>
            <w:tcW w:w="1247" w:type="pct"/>
          </w:tcPr>
          <w:p w:rsidR="00287897" w:rsidRPr="00C77949" w:rsidRDefault="00287897" w:rsidP="008C2561">
            <w:pPr>
              <w:rPr>
                <w:rFonts w:ascii="標楷體" w:eastAsia="標楷體" w:hAnsi="標楷體"/>
                <w:color w:val="000000"/>
                <w:sz w:val="28"/>
              </w:rPr>
            </w:pPr>
            <w:r w:rsidRPr="00C77949">
              <w:rPr>
                <w:rFonts w:ascii="標楷體" w:eastAsia="標楷體" w:hAnsi="標楷體" w:hint="eastAsia"/>
                <w:color w:val="000000"/>
                <w:sz w:val="28"/>
              </w:rPr>
              <w:t>尚未處理</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964FE">
            <w:pPr>
              <w:pStyle w:val="0-"/>
            </w:pPr>
            <w:r w:rsidRPr="002964FE">
              <w:rPr>
                <w:rFonts w:hint="eastAsia"/>
              </w:rPr>
              <w:t>教育部函，為111年度中央政府總預算決議，檢送「各教育場域不適任人員通報及查詢系統檢測驗證」書面報告，請查照案。</w:t>
            </w:r>
          </w:p>
        </w:tc>
        <w:tc>
          <w:tcPr>
            <w:tcW w:w="897" w:type="pct"/>
          </w:tcPr>
          <w:p w:rsidR="00287897" w:rsidRPr="00C77949" w:rsidRDefault="00287897" w:rsidP="00287897">
            <w:pPr>
              <w:pStyle w:val="0-"/>
            </w:pPr>
            <w:r w:rsidRPr="00C77949">
              <w:t>10-6-5</w:t>
            </w:r>
          </w:p>
          <w:p w:rsidR="00287897" w:rsidRPr="00C77949" w:rsidRDefault="00287897" w:rsidP="00287897">
            <w:pPr>
              <w:pStyle w:val="0-"/>
            </w:pPr>
            <w:r w:rsidRPr="00C77949">
              <w:t>(111.10.28)</w:t>
            </w:r>
          </w:p>
        </w:tc>
        <w:tc>
          <w:tcPr>
            <w:tcW w:w="523" w:type="pct"/>
          </w:tcPr>
          <w:p w:rsidR="00287897" w:rsidRPr="00C77949" w:rsidRDefault="00287897" w:rsidP="00287897">
            <w:pPr>
              <w:rPr>
                <w:rFonts w:ascii="標楷體" w:eastAsia="標楷體" w:hAnsi="標楷體"/>
                <w:color w:val="000000"/>
                <w:sz w:val="28"/>
              </w:rPr>
            </w:pPr>
          </w:p>
        </w:tc>
        <w:tc>
          <w:tcPr>
            <w:tcW w:w="1247" w:type="pct"/>
          </w:tcPr>
          <w:p w:rsidR="00287897" w:rsidRPr="00C77949" w:rsidRDefault="00287897" w:rsidP="008C2561">
            <w:pPr>
              <w:rPr>
                <w:rFonts w:ascii="標楷體" w:eastAsia="標楷體" w:hAnsi="標楷體"/>
                <w:color w:val="000000"/>
                <w:sz w:val="28"/>
              </w:rPr>
            </w:pPr>
            <w:r w:rsidRPr="00C77949">
              <w:rPr>
                <w:rFonts w:ascii="標楷體" w:eastAsia="標楷體" w:hAnsi="標楷體" w:hint="eastAsia"/>
                <w:color w:val="000000"/>
                <w:sz w:val="28"/>
              </w:rPr>
              <w:t>尚未處理</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48" w:tooltip="四百五十二、文化部函，為111年度中央政府總預算決議，檢送歲出第21款第1項決議（三十五）「空總臺灣當代文化實驗場計畫」辦理情形檢討書面報告，請查照案。" w:history="1">
              <w:r w:rsidR="00287897" w:rsidRPr="002964FE">
                <w:rPr>
                  <w:rFonts w:hint="eastAsia"/>
                </w:rPr>
                <w:t>文化部函，為111年度中央政府總預算決議，檢送歲出第21款第1項決議（三十五）「空總臺灣當代文化實驗場計畫」辦理情形檢討書面報告，請查照案。</w:t>
              </w:r>
            </w:hyperlink>
          </w:p>
        </w:tc>
        <w:tc>
          <w:tcPr>
            <w:tcW w:w="897" w:type="pct"/>
          </w:tcPr>
          <w:p w:rsidR="00287897" w:rsidRPr="00C77949" w:rsidRDefault="00287897" w:rsidP="00287897">
            <w:pPr>
              <w:pStyle w:val="0-"/>
            </w:pPr>
            <w:r w:rsidRPr="00C77949">
              <w:t>10-6-5</w:t>
            </w:r>
          </w:p>
          <w:p w:rsidR="00287897" w:rsidRPr="00C77949" w:rsidRDefault="00287897" w:rsidP="00287897">
            <w:pPr>
              <w:pStyle w:val="0-"/>
            </w:pPr>
            <w:r w:rsidRPr="00C77949">
              <w:t>(111.10.28)</w:t>
            </w:r>
          </w:p>
        </w:tc>
        <w:tc>
          <w:tcPr>
            <w:tcW w:w="523" w:type="pct"/>
          </w:tcPr>
          <w:p w:rsidR="00287897" w:rsidRPr="00C77949" w:rsidRDefault="00287897" w:rsidP="00287897">
            <w:pPr>
              <w:rPr>
                <w:rFonts w:ascii="標楷體" w:eastAsia="標楷體" w:hAnsi="標楷體"/>
                <w:color w:val="000000"/>
                <w:sz w:val="28"/>
              </w:rPr>
            </w:pPr>
          </w:p>
        </w:tc>
        <w:tc>
          <w:tcPr>
            <w:tcW w:w="1247" w:type="pct"/>
          </w:tcPr>
          <w:p w:rsidR="00287897" w:rsidRPr="00C77949" w:rsidRDefault="00287897" w:rsidP="008C2561">
            <w:pPr>
              <w:rPr>
                <w:rFonts w:ascii="標楷體" w:eastAsia="標楷體" w:hAnsi="標楷體"/>
                <w:color w:val="000000"/>
                <w:sz w:val="28"/>
              </w:rPr>
            </w:pPr>
            <w:r w:rsidRPr="00C77949">
              <w:rPr>
                <w:rFonts w:ascii="標楷體" w:eastAsia="標楷體" w:hAnsi="標楷體" w:hint="eastAsia"/>
                <w:color w:val="000000"/>
                <w:sz w:val="28"/>
              </w:rPr>
              <w:t>尚未處理</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教育部函，為該部111年度「資訊與科技教育行政及督導」項下資本門設備及投資及業務費經費不足，動支第一預</w:t>
            </w:r>
            <w:r w:rsidRPr="002964FE">
              <w:rPr>
                <w:rFonts w:hint="eastAsia"/>
              </w:rPr>
              <w:lastRenderedPageBreak/>
              <w:t>備金新臺幣1億7,936萬7,000元，請查照案。</w:t>
            </w:r>
          </w:p>
        </w:tc>
        <w:tc>
          <w:tcPr>
            <w:tcW w:w="897" w:type="pct"/>
          </w:tcPr>
          <w:p w:rsidR="00287897" w:rsidRPr="00903663" w:rsidRDefault="00287897" w:rsidP="00287897">
            <w:pPr>
              <w:pStyle w:val="0-"/>
            </w:pPr>
            <w:r w:rsidRPr="00903663">
              <w:lastRenderedPageBreak/>
              <w:t>10-6-6</w:t>
            </w:r>
          </w:p>
          <w:p w:rsidR="00287897" w:rsidRPr="00903663" w:rsidRDefault="00287897" w:rsidP="00287897">
            <w:pPr>
              <w:pStyle w:val="0-"/>
            </w:pPr>
            <w:r w:rsidRPr="00903663">
              <w:t>(111.11.4)</w:t>
            </w:r>
          </w:p>
        </w:tc>
        <w:tc>
          <w:tcPr>
            <w:tcW w:w="523" w:type="pct"/>
          </w:tcPr>
          <w:p w:rsidR="00287897" w:rsidRPr="00903663" w:rsidRDefault="00287897" w:rsidP="00287897">
            <w:pPr>
              <w:rPr>
                <w:rFonts w:ascii="標楷體" w:eastAsia="標楷體" w:hAnsi="標楷體"/>
                <w:color w:val="000000"/>
                <w:sz w:val="28"/>
              </w:rPr>
            </w:pPr>
          </w:p>
        </w:tc>
        <w:tc>
          <w:tcPr>
            <w:tcW w:w="1247" w:type="pct"/>
          </w:tcPr>
          <w:p w:rsidR="00287897" w:rsidRPr="00903663" w:rsidRDefault="00287897" w:rsidP="008C2561">
            <w:pPr>
              <w:rPr>
                <w:rFonts w:ascii="標楷體" w:eastAsia="標楷體" w:hAnsi="標楷體"/>
                <w:color w:val="000000"/>
                <w:sz w:val="28"/>
              </w:rPr>
            </w:pPr>
            <w:r w:rsidRPr="0090366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文化部函，為111年度中央政府總預算決議，檢送「文化藝術工作者身分認定」書面報告，請查照案。</w:t>
            </w:r>
          </w:p>
        </w:tc>
        <w:tc>
          <w:tcPr>
            <w:tcW w:w="897" w:type="pct"/>
          </w:tcPr>
          <w:p w:rsidR="00287897" w:rsidRPr="00903663" w:rsidRDefault="00287897" w:rsidP="00287897">
            <w:pPr>
              <w:pStyle w:val="0-"/>
            </w:pPr>
            <w:r w:rsidRPr="00903663">
              <w:t>10-6-6</w:t>
            </w:r>
          </w:p>
          <w:p w:rsidR="00287897" w:rsidRPr="00903663" w:rsidRDefault="00287897" w:rsidP="00287897">
            <w:pPr>
              <w:pStyle w:val="0-"/>
            </w:pPr>
            <w:r w:rsidRPr="00903663">
              <w:t>(111.11.4)</w:t>
            </w:r>
          </w:p>
        </w:tc>
        <w:tc>
          <w:tcPr>
            <w:tcW w:w="523" w:type="pct"/>
          </w:tcPr>
          <w:p w:rsidR="00287897" w:rsidRPr="00903663" w:rsidRDefault="00287897" w:rsidP="00287897">
            <w:pPr>
              <w:rPr>
                <w:rFonts w:ascii="標楷體" w:eastAsia="標楷體" w:hAnsi="標楷體"/>
                <w:color w:val="000000"/>
                <w:sz w:val="28"/>
              </w:rPr>
            </w:pPr>
          </w:p>
        </w:tc>
        <w:tc>
          <w:tcPr>
            <w:tcW w:w="1247" w:type="pct"/>
          </w:tcPr>
          <w:p w:rsidR="00287897" w:rsidRPr="00903663" w:rsidRDefault="00287897" w:rsidP="008C2561">
            <w:pPr>
              <w:rPr>
                <w:rFonts w:ascii="標楷體" w:eastAsia="標楷體" w:hAnsi="標楷體"/>
                <w:color w:val="000000"/>
                <w:sz w:val="28"/>
              </w:rPr>
            </w:pPr>
            <w:r w:rsidRPr="0090366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49" w:tooltip="二百五十五、教育部函，為111年度中央政府總預算決議，檢送「推動產學合作人才培育改善規劃」報告，請查照案。" w:history="1">
              <w:r w:rsidR="00287897" w:rsidRPr="002964FE">
                <w:rPr>
                  <w:rFonts w:hint="eastAsia"/>
                </w:rPr>
                <w:t>教育部函，為111年度中央政府總預算決議，檢送「推動產學合作人才培育改善規劃」報告，請查照案。</w:t>
              </w:r>
            </w:hyperlink>
          </w:p>
        </w:tc>
        <w:tc>
          <w:tcPr>
            <w:tcW w:w="897" w:type="pct"/>
          </w:tcPr>
          <w:p w:rsidR="00287897" w:rsidRPr="00903663" w:rsidRDefault="00287897" w:rsidP="00287897">
            <w:pPr>
              <w:pStyle w:val="0-"/>
            </w:pPr>
            <w:r w:rsidRPr="00903663">
              <w:t>10-6-6</w:t>
            </w:r>
          </w:p>
          <w:p w:rsidR="00287897" w:rsidRPr="00903663" w:rsidRDefault="00287897" w:rsidP="00287897">
            <w:pPr>
              <w:pStyle w:val="0-"/>
            </w:pPr>
            <w:r w:rsidRPr="00903663">
              <w:t>(111.11.4)</w:t>
            </w:r>
          </w:p>
        </w:tc>
        <w:tc>
          <w:tcPr>
            <w:tcW w:w="523" w:type="pct"/>
          </w:tcPr>
          <w:p w:rsidR="00287897" w:rsidRPr="00903663" w:rsidRDefault="00287897" w:rsidP="00287897">
            <w:pPr>
              <w:rPr>
                <w:rFonts w:ascii="標楷體" w:eastAsia="標楷體" w:hAnsi="標楷體"/>
                <w:color w:val="000000"/>
                <w:sz w:val="28"/>
              </w:rPr>
            </w:pPr>
          </w:p>
        </w:tc>
        <w:tc>
          <w:tcPr>
            <w:tcW w:w="1247" w:type="pct"/>
          </w:tcPr>
          <w:p w:rsidR="00287897" w:rsidRPr="00903663" w:rsidRDefault="00287897" w:rsidP="008C2561">
            <w:pPr>
              <w:rPr>
                <w:rFonts w:ascii="標楷體" w:eastAsia="標楷體" w:hAnsi="標楷體"/>
                <w:color w:val="000000"/>
                <w:sz w:val="28"/>
              </w:rPr>
            </w:pPr>
            <w:r w:rsidRPr="0090366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教育部函，為111年度中央政府總預算決議，檢送「強化大專校院校外實習生權益保障」書面報告，請查照案。</w:t>
            </w:r>
          </w:p>
        </w:tc>
        <w:tc>
          <w:tcPr>
            <w:tcW w:w="897" w:type="pct"/>
          </w:tcPr>
          <w:p w:rsidR="00287897" w:rsidRPr="00903663" w:rsidRDefault="00287897" w:rsidP="00287897">
            <w:pPr>
              <w:pStyle w:val="0-"/>
            </w:pPr>
            <w:r w:rsidRPr="00903663">
              <w:t>10-6-6</w:t>
            </w:r>
          </w:p>
          <w:p w:rsidR="00287897" w:rsidRPr="00903663" w:rsidRDefault="00287897" w:rsidP="00287897">
            <w:pPr>
              <w:pStyle w:val="0-"/>
            </w:pPr>
            <w:r w:rsidRPr="00903663">
              <w:t>(111.11.4)</w:t>
            </w:r>
          </w:p>
        </w:tc>
        <w:tc>
          <w:tcPr>
            <w:tcW w:w="523" w:type="pct"/>
          </w:tcPr>
          <w:p w:rsidR="00287897" w:rsidRPr="00903663" w:rsidRDefault="00287897" w:rsidP="00287897">
            <w:pPr>
              <w:rPr>
                <w:rFonts w:ascii="標楷體" w:eastAsia="標楷體" w:hAnsi="標楷體"/>
                <w:color w:val="000000"/>
                <w:sz w:val="28"/>
              </w:rPr>
            </w:pPr>
          </w:p>
        </w:tc>
        <w:tc>
          <w:tcPr>
            <w:tcW w:w="1247" w:type="pct"/>
          </w:tcPr>
          <w:p w:rsidR="00287897" w:rsidRPr="00903663" w:rsidRDefault="00287897" w:rsidP="008C2561">
            <w:pPr>
              <w:rPr>
                <w:rFonts w:ascii="標楷體" w:eastAsia="標楷體" w:hAnsi="標楷體"/>
                <w:color w:val="000000"/>
                <w:sz w:val="28"/>
              </w:rPr>
            </w:pPr>
            <w:r w:rsidRPr="0090366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教育部函，為111年度中央政府總預算決議，檢送「評估建立私立大專校院兼任教師鐘點費統一基準及研商隨物價漲幅合理調整基準方式之可行性」報告，請查照案。</w:t>
            </w:r>
          </w:p>
        </w:tc>
        <w:tc>
          <w:tcPr>
            <w:tcW w:w="897" w:type="pct"/>
          </w:tcPr>
          <w:p w:rsidR="00287897" w:rsidRPr="00903663" w:rsidRDefault="00287897" w:rsidP="00287897">
            <w:pPr>
              <w:pStyle w:val="0-"/>
            </w:pPr>
            <w:r w:rsidRPr="00903663">
              <w:t>10-6-6</w:t>
            </w:r>
          </w:p>
          <w:p w:rsidR="00287897" w:rsidRPr="00903663" w:rsidRDefault="00287897" w:rsidP="00287897">
            <w:pPr>
              <w:pStyle w:val="0-"/>
            </w:pPr>
            <w:r w:rsidRPr="00903663">
              <w:t>(111.11.4)</w:t>
            </w:r>
          </w:p>
        </w:tc>
        <w:tc>
          <w:tcPr>
            <w:tcW w:w="523" w:type="pct"/>
          </w:tcPr>
          <w:p w:rsidR="00287897" w:rsidRPr="00903663" w:rsidRDefault="00287897" w:rsidP="00287897">
            <w:pPr>
              <w:rPr>
                <w:rFonts w:ascii="標楷體" w:eastAsia="標楷體" w:hAnsi="標楷體"/>
                <w:color w:val="000000"/>
                <w:sz w:val="28"/>
              </w:rPr>
            </w:pPr>
          </w:p>
        </w:tc>
        <w:tc>
          <w:tcPr>
            <w:tcW w:w="1247" w:type="pct"/>
          </w:tcPr>
          <w:p w:rsidR="00287897" w:rsidRPr="00903663" w:rsidRDefault="00287897" w:rsidP="008C2561">
            <w:pPr>
              <w:rPr>
                <w:rFonts w:ascii="標楷體" w:eastAsia="標楷體" w:hAnsi="標楷體"/>
                <w:color w:val="000000"/>
                <w:sz w:val="28"/>
              </w:rPr>
            </w:pPr>
            <w:r w:rsidRPr="0090366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50" w:tooltip="二百八十、教育部函，為111年度中央政府總預算決議，檢送私立大專校院兼任教師鐘點費基準報告，請查照案。" w:history="1">
              <w:r w:rsidR="00287897" w:rsidRPr="002964FE">
                <w:rPr>
                  <w:rFonts w:hint="eastAsia"/>
                </w:rPr>
                <w:t>教育部函，為111年度中央政府總預算決議，檢送私立大專校院兼任教師鐘點費基準報告，請查照案。</w:t>
              </w:r>
            </w:hyperlink>
          </w:p>
        </w:tc>
        <w:tc>
          <w:tcPr>
            <w:tcW w:w="897" w:type="pct"/>
          </w:tcPr>
          <w:p w:rsidR="00287897" w:rsidRPr="00903663" w:rsidRDefault="00287897" w:rsidP="00287897">
            <w:pPr>
              <w:pStyle w:val="0-"/>
            </w:pPr>
            <w:r w:rsidRPr="00903663">
              <w:t>10-6-6</w:t>
            </w:r>
          </w:p>
          <w:p w:rsidR="00287897" w:rsidRPr="00903663" w:rsidRDefault="00287897" w:rsidP="00287897">
            <w:pPr>
              <w:pStyle w:val="0-"/>
            </w:pPr>
            <w:r w:rsidRPr="00903663">
              <w:t>(111.11.4)</w:t>
            </w:r>
          </w:p>
        </w:tc>
        <w:tc>
          <w:tcPr>
            <w:tcW w:w="523" w:type="pct"/>
          </w:tcPr>
          <w:p w:rsidR="00287897" w:rsidRPr="00903663" w:rsidRDefault="00287897" w:rsidP="00287897">
            <w:pPr>
              <w:rPr>
                <w:rFonts w:ascii="標楷體" w:eastAsia="標楷體" w:hAnsi="標楷體"/>
                <w:color w:val="000000"/>
                <w:sz w:val="28"/>
              </w:rPr>
            </w:pPr>
          </w:p>
        </w:tc>
        <w:tc>
          <w:tcPr>
            <w:tcW w:w="1247" w:type="pct"/>
          </w:tcPr>
          <w:p w:rsidR="00287897" w:rsidRPr="00903663" w:rsidRDefault="00287897" w:rsidP="008C2561">
            <w:pPr>
              <w:rPr>
                <w:rFonts w:ascii="標楷體" w:eastAsia="標楷體" w:hAnsi="標楷體"/>
                <w:color w:val="000000"/>
                <w:sz w:val="28"/>
              </w:rPr>
            </w:pPr>
            <w:r w:rsidRPr="0090366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51" w:tooltip="三百五十八、國立故宮博物院函，為111年度中央政府總預算決議，檢送該院決議（十四）書面報告，請查照案。" w:history="1">
              <w:r w:rsidR="00287897" w:rsidRPr="002964FE">
                <w:rPr>
                  <w:rFonts w:hint="eastAsia"/>
                </w:rPr>
                <w:t>國立故宮博物院函，為111年度中央政府總預算決議，檢送該院決議（十四）書面報告，請查照案。</w:t>
              </w:r>
            </w:hyperlink>
          </w:p>
        </w:tc>
        <w:tc>
          <w:tcPr>
            <w:tcW w:w="897" w:type="pct"/>
          </w:tcPr>
          <w:p w:rsidR="00287897" w:rsidRPr="00903663" w:rsidRDefault="00287897" w:rsidP="00287897">
            <w:pPr>
              <w:pStyle w:val="0-"/>
            </w:pPr>
            <w:r w:rsidRPr="00903663">
              <w:t>10-6-6</w:t>
            </w:r>
          </w:p>
          <w:p w:rsidR="00287897" w:rsidRPr="00903663" w:rsidRDefault="00287897" w:rsidP="00287897">
            <w:pPr>
              <w:pStyle w:val="0-"/>
            </w:pPr>
            <w:r w:rsidRPr="00903663">
              <w:t>(111.11.4)</w:t>
            </w:r>
          </w:p>
        </w:tc>
        <w:tc>
          <w:tcPr>
            <w:tcW w:w="523" w:type="pct"/>
          </w:tcPr>
          <w:p w:rsidR="00287897" w:rsidRPr="00903663" w:rsidRDefault="00287897" w:rsidP="00287897">
            <w:pPr>
              <w:rPr>
                <w:rFonts w:ascii="標楷體" w:eastAsia="標楷體" w:hAnsi="標楷體"/>
                <w:color w:val="000000"/>
                <w:sz w:val="28"/>
              </w:rPr>
            </w:pPr>
          </w:p>
        </w:tc>
        <w:tc>
          <w:tcPr>
            <w:tcW w:w="1247" w:type="pct"/>
          </w:tcPr>
          <w:p w:rsidR="00287897" w:rsidRPr="00903663" w:rsidRDefault="00287897" w:rsidP="008C2561">
            <w:pPr>
              <w:rPr>
                <w:rFonts w:ascii="標楷體" w:eastAsia="標楷體" w:hAnsi="標楷體"/>
                <w:color w:val="000000"/>
                <w:sz w:val="28"/>
              </w:rPr>
            </w:pPr>
            <w:r w:rsidRPr="0090366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52" w:tooltip="三百六十、國立故宮博物院函，為111年度中央政府總預算決議，檢送該院決議（四十一）書面報告，請查照案。" w:history="1">
              <w:r w:rsidR="00287897" w:rsidRPr="002964FE">
                <w:rPr>
                  <w:rFonts w:hint="eastAsia"/>
                </w:rPr>
                <w:t>國立故宮博物院函，為111年度中央政府總預算決議，檢送該院決議（四十一）書面報告，請查照案。</w:t>
              </w:r>
            </w:hyperlink>
          </w:p>
        </w:tc>
        <w:tc>
          <w:tcPr>
            <w:tcW w:w="897" w:type="pct"/>
          </w:tcPr>
          <w:p w:rsidR="00287897" w:rsidRPr="00903663" w:rsidRDefault="00287897" w:rsidP="00287897">
            <w:pPr>
              <w:pStyle w:val="0-"/>
            </w:pPr>
            <w:r w:rsidRPr="00903663">
              <w:t>10-6-6</w:t>
            </w:r>
          </w:p>
          <w:p w:rsidR="00287897" w:rsidRPr="00903663" w:rsidRDefault="00287897" w:rsidP="00287897">
            <w:pPr>
              <w:pStyle w:val="0-"/>
            </w:pPr>
            <w:r w:rsidRPr="00903663">
              <w:t>(111.11.4)</w:t>
            </w:r>
          </w:p>
        </w:tc>
        <w:tc>
          <w:tcPr>
            <w:tcW w:w="523" w:type="pct"/>
          </w:tcPr>
          <w:p w:rsidR="00287897" w:rsidRPr="00903663" w:rsidRDefault="00287897" w:rsidP="00287897">
            <w:pPr>
              <w:rPr>
                <w:rFonts w:ascii="標楷體" w:eastAsia="標楷體" w:hAnsi="標楷體"/>
                <w:color w:val="000000"/>
                <w:sz w:val="28"/>
              </w:rPr>
            </w:pPr>
          </w:p>
        </w:tc>
        <w:tc>
          <w:tcPr>
            <w:tcW w:w="1247" w:type="pct"/>
          </w:tcPr>
          <w:p w:rsidR="00287897" w:rsidRPr="00903663" w:rsidRDefault="00287897" w:rsidP="008C2561">
            <w:pPr>
              <w:rPr>
                <w:rFonts w:ascii="標楷體" w:eastAsia="標楷體" w:hAnsi="標楷體"/>
                <w:color w:val="000000"/>
                <w:sz w:val="28"/>
              </w:rPr>
            </w:pPr>
            <w:r w:rsidRPr="00903663">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行政院原子能委員會函送「綠能發配電智慧管理與效能提升技術發展計畫」及「淨零排放</w:t>
            </w:r>
            <w:r w:rsidRPr="002964FE">
              <w:rPr>
                <w:rFonts w:hint="eastAsia"/>
              </w:rPr>
              <w:lastRenderedPageBreak/>
              <w:t>－電網韌性分析計畫」選擇方案及替代方案之成本效益分析報告，請查照案。</w:t>
            </w:r>
          </w:p>
        </w:tc>
        <w:tc>
          <w:tcPr>
            <w:tcW w:w="897" w:type="pct"/>
          </w:tcPr>
          <w:p w:rsidR="00287897" w:rsidRPr="00E47B5F" w:rsidRDefault="00287897" w:rsidP="00287897">
            <w:pPr>
              <w:pStyle w:val="0-"/>
            </w:pPr>
            <w:r w:rsidRPr="00E47B5F">
              <w:lastRenderedPageBreak/>
              <w:t>10-6-7</w:t>
            </w:r>
          </w:p>
          <w:p w:rsidR="00287897" w:rsidRPr="00E47B5F" w:rsidRDefault="00287897" w:rsidP="00287897">
            <w:pPr>
              <w:pStyle w:val="0-"/>
            </w:pPr>
            <w:r w:rsidRPr="00E47B5F">
              <w:t>(111.11.11)</w:t>
            </w:r>
          </w:p>
          <w:p w:rsidR="00287897" w:rsidRPr="00E47B5F" w:rsidRDefault="00287897" w:rsidP="00287897">
            <w:pPr>
              <w:pStyle w:val="0-"/>
            </w:pPr>
          </w:p>
        </w:tc>
        <w:tc>
          <w:tcPr>
            <w:tcW w:w="523" w:type="pct"/>
          </w:tcPr>
          <w:p w:rsidR="00287897" w:rsidRPr="00E47B5F" w:rsidRDefault="00287897" w:rsidP="00287897">
            <w:pPr>
              <w:rPr>
                <w:rFonts w:ascii="標楷體" w:eastAsia="標楷體" w:hAnsi="標楷體"/>
                <w:color w:val="000000"/>
                <w:sz w:val="28"/>
              </w:rPr>
            </w:pPr>
          </w:p>
        </w:tc>
        <w:tc>
          <w:tcPr>
            <w:tcW w:w="1247" w:type="pct"/>
          </w:tcPr>
          <w:p w:rsidR="00287897" w:rsidRPr="00E47B5F" w:rsidRDefault="00287897" w:rsidP="008C2561">
            <w:pPr>
              <w:rPr>
                <w:rFonts w:ascii="標楷體" w:eastAsia="標楷體" w:hAnsi="標楷體"/>
                <w:color w:val="000000"/>
                <w:sz w:val="28"/>
              </w:rPr>
            </w:pPr>
            <w:r w:rsidRPr="00E47B5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53" w:tooltip="二百八十六、文化部函，為111年度中央政府總預算決議，檢送歲出第21款第1項決議（一三二）書面報告，請查照案。" w:history="1">
              <w:r w:rsidR="00287897" w:rsidRPr="002964FE">
                <w:rPr>
                  <w:rFonts w:hint="eastAsia"/>
                </w:rPr>
                <w:t>文化部函，為111年度中央政府總預算決議，檢送歲出第21款第1項決議（一三二）書面報告，請查照案。</w:t>
              </w:r>
            </w:hyperlink>
          </w:p>
        </w:tc>
        <w:tc>
          <w:tcPr>
            <w:tcW w:w="897" w:type="pct"/>
          </w:tcPr>
          <w:p w:rsidR="00287897" w:rsidRPr="00E47B5F" w:rsidRDefault="00287897" w:rsidP="00287897">
            <w:pPr>
              <w:pStyle w:val="0-"/>
            </w:pPr>
            <w:r w:rsidRPr="00E47B5F">
              <w:t>10-6-7</w:t>
            </w:r>
          </w:p>
          <w:p w:rsidR="00287897" w:rsidRPr="00E47B5F" w:rsidRDefault="00287897" w:rsidP="00287897">
            <w:pPr>
              <w:pStyle w:val="0-"/>
            </w:pPr>
            <w:r w:rsidRPr="00E47B5F">
              <w:t>(111.11.11)</w:t>
            </w:r>
          </w:p>
          <w:p w:rsidR="00287897" w:rsidRPr="00E47B5F" w:rsidRDefault="00287897" w:rsidP="00287897">
            <w:pPr>
              <w:pStyle w:val="0-"/>
            </w:pPr>
          </w:p>
        </w:tc>
        <w:tc>
          <w:tcPr>
            <w:tcW w:w="523" w:type="pct"/>
          </w:tcPr>
          <w:p w:rsidR="00287897" w:rsidRPr="00E47B5F" w:rsidRDefault="00287897" w:rsidP="00287897">
            <w:pPr>
              <w:rPr>
                <w:rFonts w:ascii="標楷體" w:eastAsia="標楷體" w:hAnsi="標楷體"/>
                <w:color w:val="000000"/>
                <w:sz w:val="28"/>
              </w:rPr>
            </w:pPr>
          </w:p>
        </w:tc>
        <w:tc>
          <w:tcPr>
            <w:tcW w:w="1247" w:type="pct"/>
          </w:tcPr>
          <w:p w:rsidR="00287897" w:rsidRPr="00E47B5F" w:rsidRDefault="00287897" w:rsidP="008C2561">
            <w:pPr>
              <w:rPr>
                <w:rFonts w:ascii="標楷體" w:eastAsia="標楷體" w:hAnsi="標楷體"/>
                <w:color w:val="000000"/>
                <w:sz w:val="28"/>
              </w:rPr>
            </w:pPr>
            <w:r w:rsidRPr="00E47B5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54" w:tooltip="二百九十九、文化部函，為111年度中央政府總預算決議，檢送歲出第21款第1項決議（三十九）書面報告，請查照案。" w:history="1">
              <w:r w:rsidR="00287897" w:rsidRPr="002964FE">
                <w:rPr>
                  <w:rFonts w:hint="eastAsia"/>
                </w:rPr>
                <w:t>文化部函，為111年度中央政府總預算決議，檢送歲出第21款第1項決議（三十九）書面報告，請查照案。</w:t>
              </w:r>
            </w:hyperlink>
          </w:p>
        </w:tc>
        <w:tc>
          <w:tcPr>
            <w:tcW w:w="897" w:type="pct"/>
          </w:tcPr>
          <w:p w:rsidR="00287897" w:rsidRPr="00E47B5F" w:rsidRDefault="00287897" w:rsidP="00287897">
            <w:pPr>
              <w:pStyle w:val="0-"/>
            </w:pPr>
            <w:r w:rsidRPr="00E47B5F">
              <w:t>10-6-7</w:t>
            </w:r>
          </w:p>
          <w:p w:rsidR="00287897" w:rsidRPr="00E47B5F" w:rsidRDefault="00287897" w:rsidP="00287897">
            <w:pPr>
              <w:pStyle w:val="0-"/>
            </w:pPr>
            <w:r w:rsidRPr="00E47B5F">
              <w:t>(111.11.11)</w:t>
            </w:r>
          </w:p>
          <w:p w:rsidR="00287897" w:rsidRPr="00E47B5F" w:rsidRDefault="00287897" w:rsidP="00287897">
            <w:pPr>
              <w:pStyle w:val="0-"/>
            </w:pPr>
          </w:p>
        </w:tc>
        <w:tc>
          <w:tcPr>
            <w:tcW w:w="523" w:type="pct"/>
          </w:tcPr>
          <w:p w:rsidR="00287897" w:rsidRPr="00E47B5F" w:rsidRDefault="00287897" w:rsidP="00287897">
            <w:pPr>
              <w:rPr>
                <w:rFonts w:ascii="標楷體" w:eastAsia="標楷體" w:hAnsi="標楷體"/>
                <w:color w:val="000000"/>
                <w:sz w:val="28"/>
              </w:rPr>
            </w:pPr>
          </w:p>
        </w:tc>
        <w:tc>
          <w:tcPr>
            <w:tcW w:w="1247" w:type="pct"/>
          </w:tcPr>
          <w:p w:rsidR="00287897" w:rsidRPr="00E47B5F" w:rsidRDefault="00287897" w:rsidP="008C2561">
            <w:pPr>
              <w:rPr>
                <w:rFonts w:ascii="標楷體" w:eastAsia="標楷體" w:hAnsi="標楷體"/>
                <w:color w:val="000000"/>
                <w:sz w:val="28"/>
              </w:rPr>
            </w:pPr>
            <w:r w:rsidRPr="00E47B5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55" w:tooltip="三百零九、文化部函，為111年度中央政府總預算決議，檢送歲出第21款第1項決議（一九八）書面報告，請查照案。" w:history="1">
              <w:r w:rsidR="00287897" w:rsidRPr="002964FE">
                <w:rPr>
                  <w:rFonts w:hint="eastAsia"/>
                </w:rPr>
                <w:t>文化部函，為111年度中央政府總預算決議，檢送歲出第21款第1項決議（一九八）書面報告，請查照案。</w:t>
              </w:r>
            </w:hyperlink>
          </w:p>
        </w:tc>
        <w:tc>
          <w:tcPr>
            <w:tcW w:w="897" w:type="pct"/>
          </w:tcPr>
          <w:p w:rsidR="00287897" w:rsidRPr="00E47B5F" w:rsidRDefault="00287897" w:rsidP="00287897">
            <w:pPr>
              <w:pStyle w:val="0-"/>
            </w:pPr>
            <w:r w:rsidRPr="00E47B5F">
              <w:t>10-6-7</w:t>
            </w:r>
          </w:p>
          <w:p w:rsidR="00287897" w:rsidRPr="00E47B5F" w:rsidRDefault="00287897" w:rsidP="00287897">
            <w:pPr>
              <w:pStyle w:val="0-"/>
            </w:pPr>
            <w:r w:rsidRPr="00E47B5F">
              <w:t>(111.11.11)</w:t>
            </w:r>
          </w:p>
          <w:p w:rsidR="00287897" w:rsidRPr="00E47B5F" w:rsidRDefault="00287897" w:rsidP="00287897">
            <w:pPr>
              <w:pStyle w:val="0-"/>
            </w:pPr>
          </w:p>
        </w:tc>
        <w:tc>
          <w:tcPr>
            <w:tcW w:w="523" w:type="pct"/>
          </w:tcPr>
          <w:p w:rsidR="00287897" w:rsidRPr="00E47B5F" w:rsidRDefault="00287897" w:rsidP="00287897">
            <w:pPr>
              <w:rPr>
                <w:rFonts w:ascii="標楷體" w:eastAsia="標楷體" w:hAnsi="標楷體"/>
                <w:color w:val="000000"/>
                <w:sz w:val="28"/>
              </w:rPr>
            </w:pPr>
          </w:p>
        </w:tc>
        <w:tc>
          <w:tcPr>
            <w:tcW w:w="1247" w:type="pct"/>
          </w:tcPr>
          <w:p w:rsidR="00287897" w:rsidRPr="00E47B5F" w:rsidRDefault="00287897" w:rsidP="008C2561">
            <w:pPr>
              <w:rPr>
                <w:rFonts w:ascii="標楷體" w:eastAsia="標楷體" w:hAnsi="標楷體"/>
                <w:color w:val="000000"/>
                <w:sz w:val="28"/>
              </w:rPr>
            </w:pPr>
            <w:r w:rsidRPr="00E47B5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56" w:tooltip="三百一十、文化部函，為111年度中央政府總預算決議，檢送歲出第21款第1項決議（一四一）書面報告，請查照案。" w:history="1">
              <w:r w:rsidR="00287897" w:rsidRPr="002964FE">
                <w:rPr>
                  <w:rFonts w:hint="eastAsia"/>
                </w:rPr>
                <w:t>文化部函，為111年度中央政府總預算決議，檢送歲出第21款第1項決議（一四一）書面報告，請查照案。</w:t>
              </w:r>
            </w:hyperlink>
          </w:p>
        </w:tc>
        <w:tc>
          <w:tcPr>
            <w:tcW w:w="897" w:type="pct"/>
          </w:tcPr>
          <w:p w:rsidR="00287897" w:rsidRPr="00E47B5F" w:rsidRDefault="00287897" w:rsidP="00287897">
            <w:pPr>
              <w:pStyle w:val="0-"/>
            </w:pPr>
            <w:r w:rsidRPr="00E47B5F">
              <w:t>10-6-7</w:t>
            </w:r>
          </w:p>
          <w:p w:rsidR="00287897" w:rsidRPr="00E47B5F" w:rsidRDefault="00287897" w:rsidP="00287897">
            <w:pPr>
              <w:pStyle w:val="0-"/>
            </w:pPr>
            <w:r w:rsidRPr="00E47B5F">
              <w:t>(111.11.11)</w:t>
            </w:r>
          </w:p>
          <w:p w:rsidR="00287897" w:rsidRPr="00E47B5F" w:rsidRDefault="00287897" w:rsidP="00287897">
            <w:pPr>
              <w:pStyle w:val="0-"/>
            </w:pPr>
          </w:p>
        </w:tc>
        <w:tc>
          <w:tcPr>
            <w:tcW w:w="523" w:type="pct"/>
          </w:tcPr>
          <w:p w:rsidR="00287897" w:rsidRPr="00E47B5F" w:rsidRDefault="00287897" w:rsidP="00287897">
            <w:pPr>
              <w:rPr>
                <w:rFonts w:ascii="標楷體" w:eastAsia="標楷體" w:hAnsi="標楷體"/>
                <w:color w:val="000000"/>
                <w:sz w:val="28"/>
              </w:rPr>
            </w:pPr>
          </w:p>
        </w:tc>
        <w:tc>
          <w:tcPr>
            <w:tcW w:w="1247" w:type="pct"/>
          </w:tcPr>
          <w:p w:rsidR="00287897" w:rsidRPr="00E47B5F" w:rsidRDefault="00287897" w:rsidP="008C2561">
            <w:pPr>
              <w:rPr>
                <w:rFonts w:ascii="標楷體" w:eastAsia="標楷體" w:hAnsi="標楷體"/>
                <w:color w:val="000000"/>
                <w:sz w:val="28"/>
              </w:rPr>
            </w:pPr>
            <w:r w:rsidRPr="00E47B5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57" w:tooltip="三百一十一、文化部函，為111年度中央政府總預算決議，檢送歲出第21款第1項決議（一九六）書面報告，請查照案。" w:history="1">
              <w:r w:rsidR="00287897" w:rsidRPr="002964FE">
                <w:rPr>
                  <w:rFonts w:hint="eastAsia"/>
                </w:rPr>
                <w:t>文化部函，為111年度中央政府總預算決議，檢送歲出第21款第1項決議（一九六）書面報告，請查照案。</w:t>
              </w:r>
            </w:hyperlink>
          </w:p>
        </w:tc>
        <w:tc>
          <w:tcPr>
            <w:tcW w:w="897" w:type="pct"/>
          </w:tcPr>
          <w:p w:rsidR="00287897" w:rsidRPr="00E47B5F" w:rsidRDefault="00287897" w:rsidP="00287897">
            <w:pPr>
              <w:pStyle w:val="0-"/>
            </w:pPr>
            <w:r w:rsidRPr="00E47B5F">
              <w:t>10-6-7</w:t>
            </w:r>
          </w:p>
          <w:p w:rsidR="00287897" w:rsidRPr="00E47B5F" w:rsidRDefault="00287897" w:rsidP="00287897">
            <w:pPr>
              <w:pStyle w:val="0-"/>
            </w:pPr>
            <w:r w:rsidRPr="00E47B5F">
              <w:t>(111.11.11)</w:t>
            </w:r>
          </w:p>
          <w:p w:rsidR="00287897" w:rsidRPr="00E47B5F" w:rsidRDefault="00287897" w:rsidP="00287897">
            <w:pPr>
              <w:pStyle w:val="0-"/>
            </w:pPr>
          </w:p>
        </w:tc>
        <w:tc>
          <w:tcPr>
            <w:tcW w:w="523" w:type="pct"/>
          </w:tcPr>
          <w:p w:rsidR="00287897" w:rsidRPr="00E47B5F" w:rsidRDefault="00287897" w:rsidP="00287897">
            <w:pPr>
              <w:rPr>
                <w:rFonts w:ascii="標楷體" w:eastAsia="標楷體" w:hAnsi="標楷體"/>
                <w:color w:val="000000"/>
                <w:sz w:val="28"/>
              </w:rPr>
            </w:pPr>
          </w:p>
        </w:tc>
        <w:tc>
          <w:tcPr>
            <w:tcW w:w="1247" w:type="pct"/>
          </w:tcPr>
          <w:p w:rsidR="00287897" w:rsidRPr="00E47B5F" w:rsidRDefault="00287897" w:rsidP="008C2561">
            <w:pPr>
              <w:rPr>
                <w:rFonts w:ascii="標楷體" w:eastAsia="標楷體" w:hAnsi="標楷體"/>
                <w:color w:val="000000"/>
                <w:sz w:val="28"/>
              </w:rPr>
            </w:pPr>
            <w:r w:rsidRPr="00E47B5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58" w:tooltip="三百一十二、文化部函，為111年度中央政府總預算決議，檢送歲出第21款第1項決議（一九七）書面報告，請查照案。" w:history="1">
              <w:r w:rsidR="00287897" w:rsidRPr="002964FE">
                <w:rPr>
                  <w:rFonts w:hint="eastAsia"/>
                </w:rPr>
                <w:t>文化部函，為111年度中央政府總預算決議，檢送歲出第21款第1項決議（一九七）書面報告，請查照案。</w:t>
              </w:r>
            </w:hyperlink>
          </w:p>
        </w:tc>
        <w:tc>
          <w:tcPr>
            <w:tcW w:w="897" w:type="pct"/>
          </w:tcPr>
          <w:p w:rsidR="00287897" w:rsidRPr="00E47B5F" w:rsidRDefault="00287897" w:rsidP="00287897">
            <w:pPr>
              <w:pStyle w:val="0-"/>
            </w:pPr>
            <w:r w:rsidRPr="00E47B5F">
              <w:t>10-6-7</w:t>
            </w:r>
          </w:p>
          <w:p w:rsidR="00287897" w:rsidRPr="00E47B5F" w:rsidRDefault="00287897" w:rsidP="00287897">
            <w:pPr>
              <w:pStyle w:val="0-"/>
            </w:pPr>
            <w:r w:rsidRPr="00E47B5F">
              <w:t>(111.11.11)</w:t>
            </w:r>
          </w:p>
          <w:p w:rsidR="00287897" w:rsidRPr="00E47B5F" w:rsidRDefault="00287897" w:rsidP="00287897">
            <w:pPr>
              <w:pStyle w:val="0-"/>
            </w:pPr>
          </w:p>
        </w:tc>
        <w:tc>
          <w:tcPr>
            <w:tcW w:w="523" w:type="pct"/>
          </w:tcPr>
          <w:p w:rsidR="00287897" w:rsidRPr="00E47B5F" w:rsidRDefault="00287897" w:rsidP="00287897">
            <w:pPr>
              <w:rPr>
                <w:rFonts w:ascii="標楷體" w:eastAsia="標楷體" w:hAnsi="標楷體"/>
                <w:color w:val="000000"/>
                <w:sz w:val="28"/>
              </w:rPr>
            </w:pPr>
          </w:p>
        </w:tc>
        <w:tc>
          <w:tcPr>
            <w:tcW w:w="1247" w:type="pct"/>
          </w:tcPr>
          <w:p w:rsidR="00287897" w:rsidRPr="00E47B5F" w:rsidRDefault="00287897" w:rsidP="008C2561">
            <w:pPr>
              <w:rPr>
                <w:rFonts w:ascii="標楷體" w:eastAsia="標楷體" w:hAnsi="標楷體"/>
                <w:color w:val="000000"/>
                <w:sz w:val="28"/>
              </w:rPr>
            </w:pPr>
            <w:r w:rsidRPr="00E47B5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59" w:tooltip="三百一十七、文化部函，為111年度中央政府總預算決議，檢送歲出第21款第1項決議（一四四）書面報告，請查照案。" w:history="1">
              <w:r w:rsidR="00287897" w:rsidRPr="002964FE">
                <w:rPr>
                  <w:rFonts w:hint="eastAsia"/>
                </w:rPr>
                <w:t>文化部函，為111年度中央政府總預算決議，檢送歲出第21款第1項決議（一四四）書面報告，請查照案。</w:t>
              </w:r>
            </w:hyperlink>
          </w:p>
        </w:tc>
        <w:tc>
          <w:tcPr>
            <w:tcW w:w="897" w:type="pct"/>
          </w:tcPr>
          <w:p w:rsidR="00287897" w:rsidRPr="00E47B5F" w:rsidRDefault="00287897" w:rsidP="00287897">
            <w:pPr>
              <w:pStyle w:val="0-"/>
            </w:pPr>
            <w:r w:rsidRPr="00E47B5F">
              <w:t>10-6-7</w:t>
            </w:r>
          </w:p>
          <w:p w:rsidR="00287897" w:rsidRPr="00E47B5F" w:rsidRDefault="00287897" w:rsidP="00287897">
            <w:pPr>
              <w:pStyle w:val="0-"/>
            </w:pPr>
            <w:r w:rsidRPr="00E47B5F">
              <w:t>(111.11.11)</w:t>
            </w:r>
          </w:p>
          <w:p w:rsidR="00287897" w:rsidRPr="00E47B5F" w:rsidRDefault="00287897" w:rsidP="00287897">
            <w:pPr>
              <w:pStyle w:val="0-"/>
            </w:pPr>
          </w:p>
        </w:tc>
        <w:tc>
          <w:tcPr>
            <w:tcW w:w="523" w:type="pct"/>
          </w:tcPr>
          <w:p w:rsidR="00287897" w:rsidRPr="00E47B5F" w:rsidRDefault="00287897" w:rsidP="00287897">
            <w:pPr>
              <w:rPr>
                <w:rFonts w:ascii="標楷體" w:eastAsia="標楷體" w:hAnsi="標楷體"/>
                <w:color w:val="000000"/>
                <w:sz w:val="28"/>
              </w:rPr>
            </w:pPr>
          </w:p>
        </w:tc>
        <w:tc>
          <w:tcPr>
            <w:tcW w:w="1247" w:type="pct"/>
          </w:tcPr>
          <w:p w:rsidR="00287897" w:rsidRPr="00E47B5F" w:rsidRDefault="00287897" w:rsidP="008C2561">
            <w:pPr>
              <w:rPr>
                <w:rFonts w:ascii="標楷體" w:eastAsia="標楷體" w:hAnsi="標楷體"/>
                <w:color w:val="000000"/>
                <w:sz w:val="28"/>
              </w:rPr>
            </w:pPr>
            <w:r w:rsidRPr="00E47B5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60" w:tooltip="三百一十八、文化部函，為111年度中央政府總預算決議，檢送歲出第21款第1項決議（一四五）書面報告，請查照案。" w:history="1">
              <w:r w:rsidR="00287897" w:rsidRPr="002964FE">
                <w:rPr>
                  <w:rFonts w:hint="eastAsia"/>
                </w:rPr>
                <w:t>文化部函，為111年度中央政府總預算決議，檢送歲出第21款第1項決議（一四五）書面報告，請查照案。</w:t>
              </w:r>
            </w:hyperlink>
          </w:p>
        </w:tc>
        <w:tc>
          <w:tcPr>
            <w:tcW w:w="897" w:type="pct"/>
          </w:tcPr>
          <w:p w:rsidR="00287897" w:rsidRPr="00E47B5F" w:rsidRDefault="00287897" w:rsidP="00287897">
            <w:pPr>
              <w:pStyle w:val="0-"/>
            </w:pPr>
            <w:r w:rsidRPr="00E47B5F">
              <w:t>10-6-7</w:t>
            </w:r>
          </w:p>
          <w:p w:rsidR="00287897" w:rsidRPr="00E47B5F" w:rsidRDefault="00287897" w:rsidP="00287897">
            <w:pPr>
              <w:pStyle w:val="0-"/>
            </w:pPr>
            <w:r w:rsidRPr="00E47B5F">
              <w:t>(111.11.11)</w:t>
            </w:r>
          </w:p>
          <w:p w:rsidR="00287897" w:rsidRPr="00E47B5F" w:rsidRDefault="00287897" w:rsidP="00287897">
            <w:pPr>
              <w:pStyle w:val="0-"/>
            </w:pPr>
          </w:p>
        </w:tc>
        <w:tc>
          <w:tcPr>
            <w:tcW w:w="523" w:type="pct"/>
          </w:tcPr>
          <w:p w:rsidR="00287897" w:rsidRPr="00E47B5F" w:rsidRDefault="00287897" w:rsidP="00287897">
            <w:pPr>
              <w:rPr>
                <w:rFonts w:ascii="標楷體" w:eastAsia="標楷體" w:hAnsi="標楷體"/>
                <w:color w:val="000000"/>
                <w:sz w:val="28"/>
              </w:rPr>
            </w:pPr>
          </w:p>
        </w:tc>
        <w:tc>
          <w:tcPr>
            <w:tcW w:w="1247" w:type="pct"/>
          </w:tcPr>
          <w:p w:rsidR="00287897" w:rsidRPr="00E47B5F" w:rsidRDefault="00287897" w:rsidP="008C2561">
            <w:pPr>
              <w:rPr>
                <w:rFonts w:ascii="標楷體" w:eastAsia="標楷體" w:hAnsi="標楷體"/>
                <w:color w:val="000000"/>
                <w:sz w:val="28"/>
              </w:rPr>
            </w:pPr>
            <w:r w:rsidRPr="00E47B5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61" w:tooltip="三百二十二、文化部函，為111年度中央政府總預算決議，檢送歲出第21款第1項決議（一○二）書面報告，請查照案。" w:history="1">
              <w:r w:rsidR="00287897" w:rsidRPr="002964FE">
                <w:rPr>
                  <w:rFonts w:hint="eastAsia"/>
                </w:rPr>
                <w:t>文化部函，為111年度中央政府總預算決議，檢送歲出第21款第1項決議（一○二）書面報告，請查照案。</w:t>
              </w:r>
            </w:hyperlink>
          </w:p>
        </w:tc>
        <w:tc>
          <w:tcPr>
            <w:tcW w:w="897" w:type="pct"/>
          </w:tcPr>
          <w:p w:rsidR="00287897" w:rsidRPr="00E47B5F" w:rsidRDefault="00287897" w:rsidP="00287897">
            <w:pPr>
              <w:pStyle w:val="0-"/>
            </w:pPr>
            <w:r w:rsidRPr="00E47B5F">
              <w:t>10-6-7</w:t>
            </w:r>
          </w:p>
          <w:p w:rsidR="00287897" w:rsidRPr="00E47B5F" w:rsidRDefault="00287897" w:rsidP="00287897">
            <w:pPr>
              <w:pStyle w:val="0-"/>
            </w:pPr>
            <w:r w:rsidRPr="00E47B5F">
              <w:t>(111.11.11)</w:t>
            </w:r>
          </w:p>
          <w:p w:rsidR="00287897" w:rsidRPr="00E47B5F" w:rsidRDefault="00287897" w:rsidP="00287897">
            <w:pPr>
              <w:pStyle w:val="0-"/>
            </w:pPr>
          </w:p>
        </w:tc>
        <w:tc>
          <w:tcPr>
            <w:tcW w:w="523" w:type="pct"/>
          </w:tcPr>
          <w:p w:rsidR="00287897" w:rsidRPr="00E47B5F" w:rsidRDefault="00287897" w:rsidP="00287897">
            <w:pPr>
              <w:rPr>
                <w:rFonts w:ascii="標楷體" w:eastAsia="標楷體" w:hAnsi="標楷體"/>
                <w:color w:val="000000"/>
                <w:sz w:val="28"/>
              </w:rPr>
            </w:pPr>
          </w:p>
        </w:tc>
        <w:tc>
          <w:tcPr>
            <w:tcW w:w="1247" w:type="pct"/>
          </w:tcPr>
          <w:p w:rsidR="00287897" w:rsidRPr="00E47B5F" w:rsidRDefault="00287897" w:rsidP="008C2561">
            <w:pPr>
              <w:rPr>
                <w:rFonts w:ascii="標楷體" w:eastAsia="標楷體" w:hAnsi="標楷體"/>
                <w:color w:val="000000"/>
                <w:sz w:val="28"/>
              </w:rPr>
            </w:pPr>
            <w:r w:rsidRPr="00E47B5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62" w:tooltip="三百二十三、文化部函，為111年度中央政府總預算決議，檢送歲出第21款第1項決議（一七一）書面報告，請查照案。" w:history="1">
              <w:r w:rsidR="00287897" w:rsidRPr="002964FE">
                <w:rPr>
                  <w:rFonts w:hint="eastAsia"/>
                </w:rPr>
                <w:t>文化部函，為111年度中央政府總預算決議，檢送歲出第21款第1項決議（一七一）書面報告，請查照案。</w:t>
              </w:r>
            </w:hyperlink>
          </w:p>
        </w:tc>
        <w:tc>
          <w:tcPr>
            <w:tcW w:w="897" w:type="pct"/>
          </w:tcPr>
          <w:p w:rsidR="00287897" w:rsidRPr="00E47B5F" w:rsidRDefault="00287897" w:rsidP="00287897">
            <w:pPr>
              <w:pStyle w:val="0-"/>
            </w:pPr>
            <w:r w:rsidRPr="00E47B5F">
              <w:t>10-6-7</w:t>
            </w:r>
          </w:p>
          <w:p w:rsidR="00287897" w:rsidRPr="00E47B5F" w:rsidRDefault="00287897" w:rsidP="00287897">
            <w:pPr>
              <w:pStyle w:val="0-"/>
            </w:pPr>
            <w:r w:rsidRPr="00E47B5F">
              <w:t>(111.11.11)</w:t>
            </w:r>
          </w:p>
          <w:p w:rsidR="00287897" w:rsidRPr="00E47B5F" w:rsidRDefault="00287897" w:rsidP="00287897">
            <w:pPr>
              <w:pStyle w:val="0-"/>
            </w:pPr>
          </w:p>
        </w:tc>
        <w:tc>
          <w:tcPr>
            <w:tcW w:w="523" w:type="pct"/>
          </w:tcPr>
          <w:p w:rsidR="00287897" w:rsidRPr="00E47B5F" w:rsidRDefault="00287897" w:rsidP="00287897">
            <w:pPr>
              <w:rPr>
                <w:rFonts w:ascii="標楷體" w:eastAsia="標楷體" w:hAnsi="標楷體"/>
                <w:color w:val="000000"/>
                <w:sz w:val="28"/>
              </w:rPr>
            </w:pPr>
          </w:p>
        </w:tc>
        <w:tc>
          <w:tcPr>
            <w:tcW w:w="1247" w:type="pct"/>
          </w:tcPr>
          <w:p w:rsidR="00287897" w:rsidRPr="00E47B5F" w:rsidRDefault="00287897" w:rsidP="008C2561">
            <w:pPr>
              <w:rPr>
                <w:rFonts w:ascii="標楷體" w:eastAsia="標楷體" w:hAnsi="標楷體"/>
                <w:color w:val="000000"/>
                <w:sz w:val="28"/>
              </w:rPr>
            </w:pPr>
            <w:r w:rsidRPr="00E47B5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63" w:tooltip="三百二十四、文化部函，為111年度中央政府總預算決議，檢送歲出第21款第2項決議（四）書面報告，請查照案。" w:history="1">
              <w:r w:rsidR="00287897" w:rsidRPr="002964FE">
                <w:rPr>
                  <w:rFonts w:hint="eastAsia"/>
                </w:rPr>
                <w:t>文化部 函，為111年度中央政府總預算決議，檢送歲出第21款第2項決議（四）書面報告，請查照案。</w:t>
              </w:r>
            </w:hyperlink>
          </w:p>
        </w:tc>
        <w:tc>
          <w:tcPr>
            <w:tcW w:w="897" w:type="pct"/>
          </w:tcPr>
          <w:p w:rsidR="00287897" w:rsidRPr="00E47B5F" w:rsidRDefault="00287897" w:rsidP="00287897">
            <w:pPr>
              <w:pStyle w:val="0-"/>
            </w:pPr>
            <w:r w:rsidRPr="00E47B5F">
              <w:t>10-6-7</w:t>
            </w:r>
          </w:p>
          <w:p w:rsidR="00287897" w:rsidRPr="00E47B5F" w:rsidRDefault="00287897" w:rsidP="00287897">
            <w:pPr>
              <w:pStyle w:val="0-"/>
            </w:pPr>
            <w:r w:rsidRPr="00E47B5F">
              <w:t>(111.11.11)</w:t>
            </w:r>
          </w:p>
          <w:p w:rsidR="00287897" w:rsidRPr="00E47B5F" w:rsidRDefault="00287897" w:rsidP="00287897">
            <w:pPr>
              <w:pStyle w:val="0-"/>
            </w:pPr>
          </w:p>
        </w:tc>
        <w:tc>
          <w:tcPr>
            <w:tcW w:w="523" w:type="pct"/>
          </w:tcPr>
          <w:p w:rsidR="00287897" w:rsidRPr="00E47B5F" w:rsidRDefault="00287897" w:rsidP="00287897">
            <w:pPr>
              <w:rPr>
                <w:rFonts w:ascii="標楷體" w:eastAsia="標楷體" w:hAnsi="標楷體"/>
                <w:color w:val="000000"/>
                <w:sz w:val="28"/>
              </w:rPr>
            </w:pPr>
          </w:p>
        </w:tc>
        <w:tc>
          <w:tcPr>
            <w:tcW w:w="1247" w:type="pct"/>
          </w:tcPr>
          <w:p w:rsidR="00287897" w:rsidRPr="00E47B5F" w:rsidRDefault="00287897" w:rsidP="008C2561">
            <w:pPr>
              <w:rPr>
                <w:rFonts w:ascii="標楷體" w:eastAsia="標楷體" w:hAnsi="標楷體"/>
                <w:color w:val="000000"/>
                <w:sz w:val="28"/>
              </w:rPr>
            </w:pPr>
            <w:r w:rsidRPr="00E47B5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64" w:tooltip="三百二十六、文化部函，為111年度中央政府總預算決議，檢送歲出第21款第2項決議（三）書面報告，請查照案。" w:history="1">
              <w:r w:rsidR="00287897" w:rsidRPr="002964FE">
                <w:rPr>
                  <w:rFonts w:hint="eastAsia"/>
                </w:rPr>
                <w:t>文化部函，為111年度中央政府總預算決議，檢送歲出第21款第2項決議（三）書面報告，請查照案。</w:t>
              </w:r>
            </w:hyperlink>
          </w:p>
        </w:tc>
        <w:tc>
          <w:tcPr>
            <w:tcW w:w="897" w:type="pct"/>
          </w:tcPr>
          <w:p w:rsidR="00287897" w:rsidRPr="00E47B5F" w:rsidRDefault="00287897" w:rsidP="00287897">
            <w:pPr>
              <w:pStyle w:val="0-"/>
            </w:pPr>
            <w:r w:rsidRPr="00E47B5F">
              <w:t>10-6-7</w:t>
            </w:r>
          </w:p>
          <w:p w:rsidR="00287897" w:rsidRPr="00E47B5F" w:rsidRDefault="00287897" w:rsidP="00287897">
            <w:pPr>
              <w:pStyle w:val="0-"/>
            </w:pPr>
            <w:r w:rsidRPr="00E47B5F">
              <w:t>(111.11.11)</w:t>
            </w:r>
          </w:p>
          <w:p w:rsidR="00287897" w:rsidRPr="00E47B5F" w:rsidRDefault="00287897" w:rsidP="00287897">
            <w:pPr>
              <w:pStyle w:val="0-"/>
            </w:pPr>
          </w:p>
        </w:tc>
        <w:tc>
          <w:tcPr>
            <w:tcW w:w="523" w:type="pct"/>
          </w:tcPr>
          <w:p w:rsidR="00287897" w:rsidRPr="00E47B5F" w:rsidRDefault="00287897" w:rsidP="00287897">
            <w:pPr>
              <w:rPr>
                <w:rFonts w:ascii="標楷體" w:eastAsia="標楷體" w:hAnsi="標楷體"/>
                <w:color w:val="000000"/>
                <w:sz w:val="28"/>
              </w:rPr>
            </w:pPr>
          </w:p>
        </w:tc>
        <w:tc>
          <w:tcPr>
            <w:tcW w:w="1247" w:type="pct"/>
          </w:tcPr>
          <w:p w:rsidR="00287897" w:rsidRPr="00E47B5F" w:rsidRDefault="00287897" w:rsidP="008C2561">
            <w:pPr>
              <w:rPr>
                <w:rFonts w:ascii="標楷體" w:eastAsia="標楷體" w:hAnsi="標楷體"/>
                <w:color w:val="000000"/>
                <w:sz w:val="28"/>
              </w:rPr>
            </w:pPr>
            <w:r w:rsidRPr="00E47B5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65" w:tooltip="三百三十、文化部函，為111年度中央政府總預算決議，檢送歲出第21款第1項決議（一六九）書面報告，請查照案。" w:history="1">
              <w:r w:rsidR="00287897" w:rsidRPr="002964FE">
                <w:rPr>
                  <w:rFonts w:hint="eastAsia"/>
                </w:rPr>
                <w:t>文化部函，為111年度中央政府總預算決議，檢送歲出第21款第1項決議（一六九）書面報告，請查照案。</w:t>
              </w:r>
            </w:hyperlink>
          </w:p>
        </w:tc>
        <w:tc>
          <w:tcPr>
            <w:tcW w:w="897" w:type="pct"/>
          </w:tcPr>
          <w:p w:rsidR="00287897" w:rsidRPr="00E47B5F" w:rsidRDefault="00287897" w:rsidP="00287897">
            <w:pPr>
              <w:pStyle w:val="0-"/>
            </w:pPr>
            <w:r w:rsidRPr="00E47B5F">
              <w:t>10-6-7</w:t>
            </w:r>
          </w:p>
          <w:p w:rsidR="00287897" w:rsidRPr="00E47B5F" w:rsidRDefault="00287897" w:rsidP="00287897">
            <w:pPr>
              <w:pStyle w:val="0-"/>
            </w:pPr>
            <w:r w:rsidRPr="00E47B5F">
              <w:t>(111.11.11)</w:t>
            </w:r>
          </w:p>
          <w:p w:rsidR="00287897" w:rsidRPr="00E47B5F" w:rsidRDefault="00287897" w:rsidP="00287897">
            <w:pPr>
              <w:pStyle w:val="0-"/>
            </w:pPr>
          </w:p>
        </w:tc>
        <w:tc>
          <w:tcPr>
            <w:tcW w:w="523" w:type="pct"/>
          </w:tcPr>
          <w:p w:rsidR="00287897" w:rsidRPr="00E47B5F" w:rsidRDefault="00287897" w:rsidP="00287897">
            <w:pPr>
              <w:rPr>
                <w:rFonts w:ascii="標楷體" w:eastAsia="標楷體" w:hAnsi="標楷體"/>
                <w:color w:val="000000"/>
                <w:sz w:val="28"/>
              </w:rPr>
            </w:pPr>
          </w:p>
        </w:tc>
        <w:tc>
          <w:tcPr>
            <w:tcW w:w="1247" w:type="pct"/>
          </w:tcPr>
          <w:p w:rsidR="00287897" w:rsidRPr="00E47B5F" w:rsidRDefault="00287897" w:rsidP="008C2561">
            <w:pPr>
              <w:rPr>
                <w:rFonts w:ascii="標楷體" w:eastAsia="標楷體" w:hAnsi="標楷體"/>
                <w:color w:val="000000"/>
                <w:sz w:val="28"/>
              </w:rPr>
            </w:pPr>
            <w:r w:rsidRPr="00E47B5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66" w:tooltip="三百三十四、文化部函，為111年度中央政府總預算決議，檢送歲出第21款第1項決議（一八一）書面報告，請查照案。" w:history="1">
              <w:r w:rsidR="00287897" w:rsidRPr="002964FE">
                <w:rPr>
                  <w:rFonts w:hint="eastAsia"/>
                </w:rPr>
                <w:t>文化部函，為111年度中央政府總預算決議，檢送歲出第21款第1項決議（一八一）書面報告，請查照案。</w:t>
              </w:r>
            </w:hyperlink>
          </w:p>
        </w:tc>
        <w:tc>
          <w:tcPr>
            <w:tcW w:w="897" w:type="pct"/>
          </w:tcPr>
          <w:p w:rsidR="00287897" w:rsidRPr="00E47B5F" w:rsidRDefault="00287897" w:rsidP="00287897">
            <w:pPr>
              <w:pStyle w:val="0-"/>
            </w:pPr>
            <w:r w:rsidRPr="00E47B5F">
              <w:t>10-6-7</w:t>
            </w:r>
          </w:p>
          <w:p w:rsidR="00287897" w:rsidRPr="00E47B5F" w:rsidRDefault="00287897" w:rsidP="00287897">
            <w:pPr>
              <w:pStyle w:val="0-"/>
            </w:pPr>
            <w:r w:rsidRPr="00E47B5F">
              <w:t>(111.11.11)</w:t>
            </w:r>
          </w:p>
          <w:p w:rsidR="00287897" w:rsidRPr="00E47B5F" w:rsidRDefault="00287897" w:rsidP="00287897">
            <w:pPr>
              <w:pStyle w:val="0-"/>
            </w:pPr>
          </w:p>
        </w:tc>
        <w:tc>
          <w:tcPr>
            <w:tcW w:w="523" w:type="pct"/>
          </w:tcPr>
          <w:p w:rsidR="00287897" w:rsidRPr="00E47B5F" w:rsidRDefault="00287897" w:rsidP="00287897">
            <w:pPr>
              <w:rPr>
                <w:rFonts w:ascii="標楷體" w:eastAsia="標楷體" w:hAnsi="標楷體"/>
                <w:color w:val="000000"/>
                <w:sz w:val="28"/>
              </w:rPr>
            </w:pPr>
          </w:p>
        </w:tc>
        <w:tc>
          <w:tcPr>
            <w:tcW w:w="1247" w:type="pct"/>
          </w:tcPr>
          <w:p w:rsidR="00287897" w:rsidRPr="00E47B5F" w:rsidRDefault="00287897" w:rsidP="008C2561">
            <w:pPr>
              <w:rPr>
                <w:rFonts w:ascii="標楷體" w:eastAsia="標楷體" w:hAnsi="標楷體"/>
                <w:color w:val="000000"/>
                <w:sz w:val="28"/>
              </w:rPr>
            </w:pPr>
            <w:r w:rsidRPr="00E47B5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67" w:tooltip="三百四十一、文化部函，為111年度中央政府總預算決議，檢送歲出第21款第1項決議（一四三）書面報告，請查照案。" w:history="1">
              <w:r w:rsidR="00287897" w:rsidRPr="002964FE">
                <w:rPr>
                  <w:rFonts w:hint="eastAsia"/>
                </w:rPr>
                <w:t>文化部函，為111年度中央政府總預算決議，檢送歲出第21款第1項決議（一四三）書面報告，請查照案。</w:t>
              </w:r>
            </w:hyperlink>
          </w:p>
        </w:tc>
        <w:tc>
          <w:tcPr>
            <w:tcW w:w="897" w:type="pct"/>
          </w:tcPr>
          <w:p w:rsidR="00287897" w:rsidRPr="00E47B5F" w:rsidRDefault="00287897" w:rsidP="00287897">
            <w:pPr>
              <w:pStyle w:val="0-"/>
            </w:pPr>
            <w:r w:rsidRPr="00E47B5F">
              <w:t>10-6-7</w:t>
            </w:r>
          </w:p>
          <w:p w:rsidR="00287897" w:rsidRPr="00E47B5F" w:rsidRDefault="00287897" w:rsidP="00287897">
            <w:pPr>
              <w:pStyle w:val="0-"/>
            </w:pPr>
            <w:r w:rsidRPr="00E47B5F">
              <w:t>(111.11.11)</w:t>
            </w:r>
          </w:p>
          <w:p w:rsidR="00287897" w:rsidRPr="00E47B5F" w:rsidRDefault="00287897" w:rsidP="00287897">
            <w:pPr>
              <w:pStyle w:val="0-"/>
            </w:pPr>
          </w:p>
        </w:tc>
        <w:tc>
          <w:tcPr>
            <w:tcW w:w="523" w:type="pct"/>
          </w:tcPr>
          <w:p w:rsidR="00287897" w:rsidRPr="00E47B5F" w:rsidRDefault="00287897" w:rsidP="00287897">
            <w:pPr>
              <w:rPr>
                <w:rFonts w:ascii="標楷體" w:eastAsia="標楷體" w:hAnsi="標楷體"/>
                <w:color w:val="000000"/>
                <w:sz w:val="28"/>
              </w:rPr>
            </w:pPr>
          </w:p>
        </w:tc>
        <w:tc>
          <w:tcPr>
            <w:tcW w:w="1247" w:type="pct"/>
          </w:tcPr>
          <w:p w:rsidR="00287897" w:rsidRPr="00E47B5F" w:rsidRDefault="00287897" w:rsidP="008C2561">
            <w:pPr>
              <w:rPr>
                <w:rFonts w:ascii="標楷體" w:eastAsia="標楷體" w:hAnsi="標楷體"/>
                <w:color w:val="000000"/>
                <w:sz w:val="28"/>
              </w:rPr>
            </w:pPr>
            <w:r w:rsidRPr="00E47B5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68" w:tooltip="三百四十二、文化部函，為111年度中央政府總預算決議，檢送歲出第21款第1項決議（一四八）書面報告，請查照案。" w:history="1">
              <w:r w:rsidR="00287897" w:rsidRPr="002964FE">
                <w:rPr>
                  <w:rFonts w:hint="eastAsia"/>
                </w:rPr>
                <w:t>文化部函，為111年度中央政府總預算決議，檢送歲出第21款第1項決議（一四八）書面報告，請查照案。</w:t>
              </w:r>
            </w:hyperlink>
          </w:p>
        </w:tc>
        <w:tc>
          <w:tcPr>
            <w:tcW w:w="897" w:type="pct"/>
          </w:tcPr>
          <w:p w:rsidR="00287897" w:rsidRPr="00E47B5F" w:rsidRDefault="00287897" w:rsidP="00287897">
            <w:pPr>
              <w:pStyle w:val="0-"/>
            </w:pPr>
            <w:r w:rsidRPr="00E47B5F">
              <w:t>10-6-7</w:t>
            </w:r>
          </w:p>
          <w:p w:rsidR="00287897" w:rsidRPr="00E47B5F" w:rsidRDefault="00287897" w:rsidP="00287897">
            <w:pPr>
              <w:pStyle w:val="0-"/>
            </w:pPr>
            <w:r w:rsidRPr="00E47B5F">
              <w:t>(111.11.11)</w:t>
            </w:r>
          </w:p>
          <w:p w:rsidR="00287897" w:rsidRPr="00E47B5F" w:rsidRDefault="00287897" w:rsidP="00287897">
            <w:pPr>
              <w:pStyle w:val="0-"/>
            </w:pPr>
          </w:p>
        </w:tc>
        <w:tc>
          <w:tcPr>
            <w:tcW w:w="523" w:type="pct"/>
          </w:tcPr>
          <w:p w:rsidR="00287897" w:rsidRPr="00E47B5F" w:rsidRDefault="00287897" w:rsidP="00287897">
            <w:pPr>
              <w:rPr>
                <w:rFonts w:ascii="標楷體" w:eastAsia="標楷體" w:hAnsi="標楷體"/>
                <w:color w:val="000000"/>
                <w:sz w:val="28"/>
              </w:rPr>
            </w:pPr>
          </w:p>
        </w:tc>
        <w:tc>
          <w:tcPr>
            <w:tcW w:w="1247" w:type="pct"/>
          </w:tcPr>
          <w:p w:rsidR="00287897" w:rsidRPr="00E47B5F" w:rsidRDefault="00287897" w:rsidP="008C2561">
            <w:pPr>
              <w:rPr>
                <w:rFonts w:ascii="標楷體" w:eastAsia="標楷體" w:hAnsi="標楷體"/>
                <w:color w:val="000000"/>
                <w:sz w:val="28"/>
              </w:rPr>
            </w:pPr>
            <w:r w:rsidRPr="00E47B5F">
              <w:rPr>
                <w:rFonts w:ascii="標楷體" w:eastAsia="標楷體" w:hAnsi="標楷體" w:hint="eastAsia"/>
                <w:color w:val="000000"/>
                <w:sz w:val="28"/>
              </w:rPr>
              <w:t>尚未審查</w:t>
            </w:r>
          </w:p>
        </w:tc>
      </w:tr>
      <w:tr w:rsidR="00287897" w:rsidRPr="00920597" w:rsidTr="002964FE">
        <w:trPr>
          <w:trHeight w:val="428"/>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69" w:tooltip="三百四十三、文化部函，為111年度中央政府總預算決議，檢送歲出第21款第1項決議（一八四）書面報告，請查照案。" w:history="1">
              <w:r w:rsidR="00287897" w:rsidRPr="002964FE">
                <w:rPr>
                  <w:rFonts w:hint="eastAsia"/>
                </w:rPr>
                <w:t>文化部函，為111年度中央政府總預算決議，檢送歲出第21款第1項決議（一八四）書面</w:t>
              </w:r>
              <w:r w:rsidR="00287897" w:rsidRPr="002964FE">
                <w:rPr>
                  <w:rFonts w:hint="eastAsia"/>
                </w:rPr>
                <w:lastRenderedPageBreak/>
                <w:t>報告，請查照案。</w:t>
              </w:r>
            </w:hyperlink>
          </w:p>
        </w:tc>
        <w:tc>
          <w:tcPr>
            <w:tcW w:w="897" w:type="pct"/>
          </w:tcPr>
          <w:p w:rsidR="00287897" w:rsidRPr="00E47B5F" w:rsidRDefault="00287897" w:rsidP="00287897">
            <w:pPr>
              <w:pStyle w:val="0-"/>
            </w:pPr>
            <w:r w:rsidRPr="00E47B5F">
              <w:lastRenderedPageBreak/>
              <w:t>10-6-7</w:t>
            </w:r>
          </w:p>
          <w:p w:rsidR="00287897" w:rsidRPr="00E47B5F" w:rsidRDefault="00287897" w:rsidP="00287897">
            <w:pPr>
              <w:pStyle w:val="0-"/>
            </w:pPr>
            <w:r w:rsidRPr="00E47B5F">
              <w:t>(111.11.11)</w:t>
            </w:r>
          </w:p>
          <w:p w:rsidR="00287897" w:rsidRPr="00E47B5F" w:rsidRDefault="00287897" w:rsidP="00287897">
            <w:pPr>
              <w:pStyle w:val="0-"/>
            </w:pPr>
          </w:p>
        </w:tc>
        <w:tc>
          <w:tcPr>
            <w:tcW w:w="523" w:type="pct"/>
          </w:tcPr>
          <w:p w:rsidR="00287897" w:rsidRPr="00E47B5F" w:rsidRDefault="00287897" w:rsidP="00287897">
            <w:pPr>
              <w:rPr>
                <w:rFonts w:ascii="標楷體" w:eastAsia="標楷體" w:hAnsi="標楷體"/>
                <w:color w:val="000000"/>
                <w:sz w:val="28"/>
              </w:rPr>
            </w:pPr>
          </w:p>
        </w:tc>
        <w:tc>
          <w:tcPr>
            <w:tcW w:w="1247" w:type="pct"/>
          </w:tcPr>
          <w:p w:rsidR="00287897" w:rsidRPr="00E47B5F" w:rsidRDefault="00287897" w:rsidP="008C2561">
            <w:pPr>
              <w:rPr>
                <w:rFonts w:ascii="標楷體" w:eastAsia="標楷體" w:hAnsi="標楷體"/>
                <w:color w:val="000000"/>
                <w:sz w:val="28"/>
              </w:rPr>
            </w:pPr>
            <w:r w:rsidRPr="00E47B5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文化部函，為111年度中央政府總預算決議，檢送歲出第21款第1項決議（一八五）書面報告，請查照案。</w:t>
            </w:r>
          </w:p>
        </w:tc>
        <w:tc>
          <w:tcPr>
            <w:tcW w:w="897" w:type="pct"/>
          </w:tcPr>
          <w:p w:rsidR="00287897" w:rsidRPr="00E47B5F" w:rsidRDefault="00287897" w:rsidP="00287897">
            <w:pPr>
              <w:pStyle w:val="0-"/>
            </w:pPr>
            <w:r w:rsidRPr="00E47B5F">
              <w:t>10-6-7</w:t>
            </w:r>
          </w:p>
          <w:p w:rsidR="00287897" w:rsidRPr="00E47B5F" w:rsidRDefault="00287897" w:rsidP="00287897">
            <w:pPr>
              <w:pStyle w:val="0-"/>
            </w:pPr>
            <w:r w:rsidRPr="00E47B5F">
              <w:t>(111.11.11)</w:t>
            </w:r>
          </w:p>
          <w:p w:rsidR="00287897" w:rsidRPr="00E47B5F" w:rsidRDefault="00287897" w:rsidP="00287897">
            <w:pPr>
              <w:pStyle w:val="0-"/>
            </w:pPr>
          </w:p>
        </w:tc>
        <w:tc>
          <w:tcPr>
            <w:tcW w:w="523" w:type="pct"/>
          </w:tcPr>
          <w:p w:rsidR="00287897" w:rsidRPr="00E47B5F" w:rsidRDefault="00287897" w:rsidP="00287897">
            <w:pPr>
              <w:rPr>
                <w:rFonts w:ascii="標楷體" w:eastAsia="標楷體" w:hAnsi="標楷體"/>
                <w:color w:val="000000"/>
                <w:sz w:val="28"/>
              </w:rPr>
            </w:pPr>
          </w:p>
        </w:tc>
        <w:tc>
          <w:tcPr>
            <w:tcW w:w="1247" w:type="pct"/>
          </w:tcPr>
          <w:p w:rsidR="00287897" w:rsidRPr="00E47B5F" w:rsidRDefault="00287897" w:rsidP="008C2561">
            <w:pPr>
              <w:rPr>
                <w:rFonts w:ascii="標楷體" w:eastAsia="標楷體" w:hAnsi="標楷體"/>
                <w:color w:val="000000"/>
                <w:sz w:val="28"/>
              </w:rPr>
            </w:pPr>
            <w:r w:rsidRPr="00E47B5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70" w:tooltip="三百四十七、文化部函，為111年度中央政府總預算決議，檢送歲出第21款第1項決議（三十八）書面報告，請查照案。" w:history="1">
              <w:r w:rsidR="00287897" w:rsidRPr="002964FE">
                <w:rPr>
                  <w:rFonts w:hint="eastAsia"/>
                </w:rPr>
                <w:t>文化部函，為111年度中央政府總預算決議，檢送歲出第21款第1項決議（三十八）書面報告，請查照案。</w:t>
              </w:r>
            </w:hyperlink>
          </w:p>
        </w:tc>
        <w:tc>
          <w:tcPr>
            <w:tcW w:w="897" w:type="pct"/>
          </w:tcPr>
          <w:p w:rsidR="00287897" w:rsidRPr="00E47B5F" w:rsidRDefault="00287897" w:rsidP="00287897">
            <w:pPr>
              <w:pStyle w:val="0-"/>
            </w:pPr>
            <w:r w:rsidRPr="00E47B5F">
              <w:t>10-6-7</w:t>
            </w:r>
          </w:p>
          <w:p w:rsidR="00287897" w:rsidRPr="00E47B5F" w:rsidRDefault="00287897" w:rsidP="00287897">
            <w:pPr>
              <w:pStyle w:val="0-"/>
            </w:pPr>
            <w:r w:rsidRPr="00E47B5F">
              <w:t>(111.11.11)</w:t>
            </w:r>
          </w:p>
          <w:p w:rsidR="00287897" w:rsidRPr="00E47B5F" w:rsidRDefault="00287897" w:rsidP="00287897">
            <w:pPr>
              <w:pStyle w:val="0-"/>
            </w:pPr>
          </w:p>
        </w:tc>
        <w:tc>
          <w:tcPr>
            <w:tcW w:w="523" w:type="pct"/>
          </w:tcPr>
          <w:p w:rsidR="00287897" w:rsidRPr="00E47B5F" w:rsidRDefault="00287897" w:rsidP="00287897">
            <w:pPr>
              <w:rPr>
                <w:rFonts w:ascii="標楷體" w:eastAsia="標楷體" w:hAnsi="標楷體"/>
                <w:color w:val="000000"/>
                <w:sz w:val="28"/>
              </w:rPr>
            </w:pPr>
          </w:p>
        </w:tc>
        <w:tc>
          <w:tcPr>
            <w:tcW w:w="1247" w:type="pct"/>
          </w:tcPr>
          <w:p w:rsidR="00287897" w:rsidRPr="00E47B5F" w:rsidRDefault="00287897" w:rsidP="008C2561">
            <w:pPr>
              <w:rPr>
                <w:rFonts w:ascii="標楷體" w:eastAsia="標楷體" w:hAnsi="標楷體"/>
                <w:color w:val="000000"/>
                <w:sz w:val="28"/>
              </w:rPr>
            </w:pPr>
            <w:r w:rsidRPr="00E47B5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71" w:tooltip="三百五十三、文化部函，為111年度中央政府總預算決議，檢送歲出第21款第1項決議（五十八）書面報告，請查照案。" w:history="1">
              <w:r w:rsidR="00287897" w:rsidRPr="002964FE">
                <w:rPr>
                  <w:rFonts w:hint="eastAsia"/>
                </w:rPr>
                <w:t>文化部函，為111年度中央政府總預算決議，檢送歲出第21款第1項決議（五十八）書面報告，請查照案。</w:t>
              </w:r>
            </w:hyperlink>
          </w:p>
        </w:tc>
        <w:tc>
          <w:tcPr>
            <w:tcW w:w="897" w:type="pct"/>
          </w:tcPr>
          <w:p w:rsidR="00287897" w:rsidRPr="00E47B5F" w:rsidRDefault="00287897" w:rsidP="00287897">
            <w:pPr>
              <w:pStyle w:val="0-"/>
            </w:pPr>
            <w:r w:rsidRPr="00E47B5F">
              <w:t>10-6-7</w:t>
            </w:r>
          </w:p>
          <w:p w:rsidR="00287897" w:rsidRPr="00E47B5F" w:rsidRDefault="00287897" w:rsidP="00287897">
            <w:pPr>
              <w:pStyle w:val="0-"/>
            </w:pPr>
            <w:r w:rsidRPr="00E47B5F">
              <w:t>(111.11.11)</w:t>
            </w:r>
          </w:p>
          <w:p w:rsidR="00287897" w:rsidRPr="00E47B5F" w:rsidRDefault="00287897" w:rsidP="00287897">
            <w:pPr>
              <w:pStyle w:val="0-"/>
            </w:pPr>
          </w:p>
        </w:tc>
        <w:tc>
          <w:tcPr>
            <w:tcW w:w="523" w:type="pct"/>
          </w:tcPr>
          <w:p w:rsidR="00287897" w:rsidRPr="00E47B5F" w:rsidRDefault="00287897" w:rsidP="00287897">
            <w:pPr>
              <w:rPr>
                <w:rFonts w:ascii="標楷體" w:eastAsia="標楷體" w:hAnsi="標楷體"/>
                <w:color w:val="000000"/>
                <w:sz w:val="28"/>
              </w:rPr>
            </w:pPr>
          </w:p>
        </w:tc>
        <w:tc>
          <w:tcPr>
            <w:tcW w:w="1247" w:type="pct"/>
          </w:tcPr>
          <w:p w:rsidR="00287897" w:rsidRPr="00E47B5F" w:rsidRDefault="00287897" w:rsidP="008C2561">
            <w:pPr>
              <w:rPr>
                <w:rFonts w:ascii="標楷體" w:eastAsia="標楷體" w:hAnsi="標楷體"/>
                <w:color w:val="000000"/>
                <w:sz w:val="28"/>
              </w:rPr>
            </w:pPr>
            <w:r w:rsidRPr="00E47B5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72" w:tooltip="三百七十二、行政院原子能委員會函，為111年度中央政府總預算決議，檢送歲出部分第17款第1項決議（八）書面報告，請查照案。" w:history="1">
              <w:r w:rsidR="00287897" w:rsidRPr="002964FE">
                <w:rPr>
                  <w:rFonts w:hint="eastAsia"/>
                </w:rPr>
                <w:t>行政院原子能委員會函，為111年度中央政府總預算決議，檢送歲出部分第17款第1項決議（八）書面報告，請查照案。</w:t>
              </w:r>
            </w:hyperlink>
          </w:p>
        </w:tc>
        <w:tc>
          <w:tcPr>
            <w:tcW w:w="897" w:type="pct"/>
          </w:tcPr>
          <w:p w:rsidR="00287897" w:rsidRPr="00E47B5F" w:rsidRDefault="00287897" w:rsidP="00287897">
            <w:pPr>
              <w:pStyle w:val="0-"/>
            </w:pPr>
            <w:r w:rsidRPr="00E47B5F">
              <w:t>10-6-7</w:t>
            </w:r>
          </w:p>
          <w:p w:rsidR="00287897" w:rsidRPr="00E47B5F" w:rsidRDefault="00287897" w:rsidP="00287897">
            <w:pPr>
              <w:pStyle w:val="0-"/>
            </w:pPr>
            <w:r w:rsidRPr="00E47B5F">
              <w:t>(111.11.11)</w:t>
            </w:r>
          </w:p>
          <w:p w:rsidR="00287897" w:rsidRPr="00E47B5F" w:rsidRDefault="00287897" w:rsidP="00287897">
            <w:pPr>
              <w:pStyle w:val="0-"/>
            </w:pPr>
          </w:p>
        </w:tc>
        <w:tc>
          <w:tcPr>
            <w:tcW w:w="523" w:type="pct"/>
          </w:tcPr>
          <w:p w:rsidR="00287897" w:rsidRPr="00E47B5F" w:rsidRDefault="00287897" w:rsidP="00287897">
            <w:pPr>
              <w:rPr>
                <w:rFonts w:ascii="標楷體" w:eastAsia="標楷體" w:hAnsi="標楷體"/>
                <w:color w:val="000000"/>
                <w:sz w:val="28"/>
              </w:rPr>
            </w:pPr>
          </w:p>
        </w:tc>
        <w:tc>
          <w:tcPr>
            <w:tcW w:w="1247" w:type="pct"/>
          </w:tcPr>
          <w:p w:rsidR="00287897" w:rsidRPr="00E47B5F" w:rsidRDefault="00287897" w:rsidP="008C2561">
            <w:pPr>
              <w:rPr>
                <w:rFonts w:ascii="標楷體" w:eastAsia="標楷體" w:hAnsi="標楷體"/>
                <w:color w:val="000000"/>
                <w:sz w:val="28"/>
              </w:rPr>
            </w:pPr>
            <w:r w:rsidRPr="00E47B5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73" w:tooltip="三百七十四、行政院原子能委員會函，為111年度中央政府總預算決議，檢送歲出部分第17款第1項決議（十四）書面報告，請查照案。" w:history="1">
              <w:r w:rsidR="00287897" w:rsidRPr="002964FE">
                <w:rPr>
                  <w:rFonts w:hint="eastAsia"/>
                </w:rPr>
                <w:t>行政院原子能委員會函，為111年度中央政府總預算決議，檢送歲出部分第17款第1項決議（十四）書面報告，請查照案。</w:t>
              </w:r>
            </w:hyperlink>
          </w:p>
        </w:tc>
        <w:tc>
          <w:tcPr>
            <w:tcW w:w="897" w:type="pct"/>
          </w:tcPr>
          <w:p w:rsidR="00287897" w:rsidRPr="00E47B5F" w:rsidRDefault="00287897" w:rsidP="00287897">
            <w:pPr>
              <w:pStyle w:val="0-"/>
            </w:pPr>
            <w:r w:rsidRPr="00E47B5F">
              <w:t>10-6-7</w:t>
            </w:r>
          </w:p>
          <w:p w:rsidR="00287897" w:rsidRPr="00E47B5F" w:rsidRDefault="00287897" w:rsidP="00287897">
            <w:pPr>
              <w:pStyle w:val="0-"/>
            </w:pPr>
            <w:r w:rsidRPr="00E47B5F">
              <w:t>(111.11.11)</w:t>
            </w:r>
          </w:p>
          <w:p w:rsidR="00287897" w:rsidRPr="00E47B5F" w:rsidRDefault="00287897" w:rsidP="00287897">
            <w:pPr>
              <w:pStyle w:val="0-"/>
            </w:pPr>
          </w:p>
        </w:tc>
        <w:tc>
          <w:tcPr>
            <w:tcW w:w="523" w:type="pct"/>
          </w:tcPr>
          <w:p w:rsidR="00287897" w:rsidRPr="00E47B5F" w:rsidRDefault="00287897" w:rsidP="00287897">
            <w:pPr>
              <w:rPr>
                <w:rFonts w:ascii="標楷體" w:eastAsia="標楷體" w:hAnsi="標楷體"/>
                <w:color w:val="000000"/>
                <w:sz w:val="28"/>
              </w:rPr>
            </w:pPr>
          </w:p>
        </w:tc>
        <w:tc>
          <w:tcPr>
            <w:tcW w:w="1247" w:type="pct"/>
          </w:tcPr>
          <w:p w:rsidR="00287897" w:rsidRPr="00E47B5F" w:rsidRDefault="00287897" w:rsidP="008C2561">
            <w:pPr>
              <w:rPr>
                <w:rFonts w:ascii="標楷體" w:eastAsia="標楷體" w:hAnsi="標楷體"/>
                <w:color w:val="000000"/>
                <w:sz w:val="28"/>
              </w:rPr>
            </w:pPr>
            <w:r w:rsidRPr="00E47B5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74" w:tooltip="三百七十六、行政院原子能委員會函，為111年度中央政府總預算決議，檢送歲出部分第17款第1項決議（二十四）書面報告，請查照案。" w:history="1">
              <w:r w:rsidR="00287897" w:rsidRPr="002964FE">
                <w:rPr>
                  <w:rFonts w:hint="eastAsia"/>
                </w:rPr>
                <w:t>行政院原子能委員會函，為111年度中央政府總預算決議，檢送歲出部分第17款第1項決議（二十四）書面報告，請查照案。</w:t>
              </w:r>
            </w:hyperlink>
          </w:p>
        </w:tc>
        <w:tc>
          <w:tcPr>
            <w:tcW w:w="897" w:type="pct"/>
          </w:tcPr>
          <w:p w:rsidR="00287897" w:rsidRPr="00E47B5F" w:rsidRDefault="00287897" w:rsidP="00287897">
            <w:pPr>
              <w:pStyle w:val="0-"/>
            </w:pPr>
            <w:r w:rsidRPr="00E47B5F">
              <w:t>10-6-7</w:t>
            </w:r>
          </w:p>
          <w:p w:rsidR="00287897" w:rsidRPr="00E47B5F" w:rsidRDefault="00287897" w:rsidP="00287897">
            <w:pPr>
              <w:pStyle w:val="0-"/>
            </w:pPr>
            <w:r w:rsidRPr="00E47B5F">
              <w:t>(111.11.11)</w:t>
            </w:r>
          </w:p>
          <w:p w:rsidR="00287897" w:rsidRPr="00E47B5F" w:rsidRDefault="00287897" w:rsidP="00287897">
            <w:pPr>
              <w:pStyle w:val="0-"/>
            </w:pPr>
          </w:p>
        </w:tc>
        <w:tc>
          <w:tcPr>
            <w:tcW w:w="523" w:type="pct"/>
          </w:tcPr>
          <w:p w:rsidR="00287897" w:rsidRPr="00E47B5F" w:rsidRDefault="00287897" w:rsidP="00287897">
            <w:pPr>
              <w:rPr>
                <w:rFonts w:ascii="標楷體" w:eastAsia="標楷體" w:hAnsi="標楷體"/>
                <w:color w:val="000000"/>
                <w:sz w:val="28"/>
              </w:rPr>
            </w:pPr>
          </w:p>
        </w:tc>
        <w:tc>
          <w:tcPr>
            <w:tcW w:w="1247" w:type="pct"/>
          </w:tcPr>
          <w:p w:rsidR="00287897" w:rsidRPr="00E47B5F" w:rsidRDefault="00287897" w:rsidP="008C2561">
            <w:pPr>
              <w:rPr>
                <w:rFonts w:ascii="標楷體" w:eastAsia="標楷體" w:hAnsi="標楷體"/>
                <w:color w:val="000000"/>
                <w:sz w:val="28"/>
              </w:rPr>
            </w:pPr>
            <w:r w:rsidRPr="00E47B5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75" w:tooltip="四百一十、科技部函，為111年度中央政府總預算決議，檢送「科學園區用水、用電及再生能源之規劃」書面報告，請查照案。" w:history="1">
              <w:r w:rsidR="00287897" w:rsidRPr="002964FE">
                <w:rPr>
                  <w:rFonts w:hint="eastAsia"/>
                </w:rPr>
                <w:t>科技部函，為111年度中央政府總預算決議，檢送「科學園區用水、用電及再生能源之規劃」書面報告，請查照案。</w:t>
              </w:r>
            </w:hyperlink>
          </w:p>
        </w:tc>
        <w:tc>
          <w:tcPr>
            <w:tcW w:w="897" w:type="pct"/>
          </w:tcPr>
          <w:p w:rsidR="00287897" w:rsidRPr="00E47B5F" w:rsidRDefault="00287897" w:rsidP="00287897">
            <w:pPr>
              <w:pStyle w:val="0-"/>
            </w:pPr>
            <w:r w:rsidRPr="00E47B5F">
              <w:t>10-6-7</w:t>
            </w:r>
          </w:p>
          <w:p w:rsidR="00287897" w:rsidRPr="00E47B5F" w:rsidRDefault="00287897" w:rsidP="00287897">
            <w:pPr>
              <w:pStyle w:val="0-"/>
            </w:pPr>
            <w:r w:rsidRPr="00E47B5F">
              <w:t>(111.11.11)</w:t>
            </w:r>
          </w:p>
          <w:p w:rsidR="00287897" w:rsidRPr="00E47B5F" w:rsidRDefault="00287897" w:rsidP="00287897">
            <w:pPr>
              <w:pStyle w:val="0-"/>
            </w:pPr>
          </w:p>
        </w:tc>
        <w:tc>
          <w:tcPr>
            <w:tcW w:w="523" w:type="pct"/>
          </w:tcPr>
          <w:p w:rsidR="00287897" w:rsidRPr="00E47B5F" w:rsidRDefault="00287897" w:rsidP="00287897">
            <w:pPr>
              <w:rPr>
                <w:rFonts w:ascii="標楷體" w:eastAsia="標楷體" w:hAnsi="標楷體"/>
                <w:color w:val="000000"/>
                <w:sz w:val="28"/>
              </w:rPr>
            </w:pPr>
          </w:p>
        </w:tc>
        <w:tc>
          <w:tcPr>
            <w:tcW w:w="1247" w:type="pct"/>
          </w:tcPr>
          <w:p w:rsidR="00287897" w:rsidRPr="00E47B5F" w:rsidRDefault="00287897" w:rsidP="008C2561">
            <w:pPr>
              <w:rPr>
                <w:rFonts w:ascii="標楷體" w:eastAsia="標楷體" w:hAnsi="標楷體"/>
                <w:color w:val="000000"/>
                <w:sz w:val="28"/>
              </w:rPr>
            </w:pPr>
            <w:r w:rsidRPr="00E47B5F">
              <w:rPr>
                <w:rFonts w:ascii="標楷體" w:eastAsia="標楷體" w:hAnsi="標楷體" w:hint="eastAsia"/>
                <w:color w:val="000000"/>
                <w:sz w:val="28"/>
              </w:rPr>
              <w:t>尚未審查</w:t>
            </w:r>
          </w:p>
        </w:tc>
      </w:tr>
      <w:tr w:rsidR="00287897" w:rsidRPr="00920597" w:rsidTr="002964FE">
        <w:trPr>
          <w:trHeight w:val="428"/>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76" w:tooltip="四百八十七、國立故宮博物院函，為111年度中央政府總預算決議，檢送歲出部分決議（四）書面報告，請查照案。" w:history="1">
              <w:r w:rsidR="00287897" w:rsidRPr="002964FE">
                <w:rPr>
                  <w:rFonts w:hint="eastAsia"/>
                </w:rPr>
                <w:t>國立故宮博物院函，為111年度中央政府總預算決議，檢送歲出部分決議（四）書面報</w:t>
              </w:r>
              <w:r w:rsidR="00287897" w:rsidRPr="002964FE">
                <w:rPr>
                  <w:rFonts w:hint="eastAsia"/>
                </w:rPr>
                <w:lastRenderedPageBreak/>
                <w:t>告，請查照案。</w:t>
              </w:r>
            </w:hyperlink>
          </w:p>
        </w:tc>
        <w:tc>
          <w:tcPr>
            <w:tcW w:w="897" w:type="pct"/>
          </w:tcPr>
          <w:p w:rsidR="00287897" w:rsidRPr="00E47B5F" w:rsidRDefault="00287897" w:rsidP="00287897">
            <w:pPr>
              <w:pStyle w:val="0-"/>
            </w:pPr>
            <w:r w:rsidRPr="00E47B5F">
              <w:lastRenderedPageBreak/>
              <w:t>10-6-7</w:t>
            </w:r>
          </w:p>
          <w:p w:rsidR="00287897" w:rsidRPr="00E47B5F" w:rsidRDefault="00287897" w:rsidP="00287897">
            <w:pPr>
              <w:pStyle w:val="0-"/>
            </w:pPr>
            <w:r w:rsidRPr="00E47B5F">
              <w:t>(111.11.11)</w:t>
            </w:r>
          </w:p>
          <w:p w:rsidR="00287897" w:rsidRPr="00E47B5F" w:rsidRDefault="00287897" w:rsidP="00287897">
            <w:pPr>
              <w:pStyle w:val="0-"/>
            </w:pPr>
          </w:p>
        </w:tc>
        <w:tc>
          <w:tcPr>
            <w:tcW w:w="523" w:type="pct"/>
          </w:tcPr>
          <w:p w:rsidR="00287897" w:rsidRPr="00E47B5F" w:rsidRDefault="00287897" w:rsidP="00287897">
            <w:pPr>
              <w:rPr>
                <w:rFonts w:ascii="標楷體" w:eastAsia="標楷體" w:hAnsi="標楷體"/>
                <w:color w:val="000000"/>
                <w:sz w:val="28"/>
              </w:rPr>
            </w:pPr>
          </w:p>
        </w:tc>
        <w:tc>
          <w:tcPr>
            <w:tcW w:w="1247" w:type="pct"/>
          </w:tcPr>
          <w:p w:rsidR="00287897" w:rsidRPr="00E47B5F" w:rsidRDefault="00287897" w:rsidP="008C2561">
            <w:pPr>
              <w:rPr>
                <w:rFonts w:ascii="標楷體" w:eastAsia="標楷體" w:hAnsi="標楷體"/>
                <w:color w:val="000000"/>
                <w:sz w:val="28"/>
              </w:rPr>
            </w:pPr>
            <w:r w:rsidRPr="00E47B5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國立故宮博物院函，為111年度中央政府總預算決議，檢送歲出部分決議（十九）書面報告，請查照案。</w:t>
            </w:r>
          </w:p>
        </w:tc>
        <w:tc>
          <w:tcPr>
            <w:tcW w:w="897" w:type="pct"/>
          </w:tcPr>
          <w:p w:rsidR="00287897" w:rsidRPr="00E47B5F" w:rsidRDefault="00287897" w:rsidP="00287897">
            <w:pPr>
              <w:pStyle w:val="0-"/>
            </w:pPr>
            <w:r w:rsidRPr="00E47B5F">
              <w:t>10-6-7</w:t>
            </w:r>
          </w:p>
          <w:p w:rsidR="00287897" w:rsidRPr="00E47B5F" w:rsidRDefault="00287897" w:rsidP="00287897">
            <w:pPr>
              <w:pStyle w:val="0-"/>
            </w:pPr>
            <w:r w:rsidRPr="00E47B5F">
              <w:t>(111.11.11)</w:t>
            </w:r>
          </w:p>
          <w:p w:rsidR="00287897" w:rsidRPr="00E47B5F" w:rsidRDefault="00287897" w:rsidP="00287897">
            <w:pPr>
              <w:pStyle w:val="0-"/>
            </w:pPr>
          </w:p>
        </w:tc>
        <w:tc>
          <w:tcPr>
            <w:tcW w:w="523" w:type="pct"/>
          </w:tcPr>
          <w:p w:rsidR="00287897" w:rsidRPr="00E47B5F" w:rsidRDefault="00287897" w:rsidP="00287897">
            <w:pPr>
              <w:rPr>
                <w:rFonts w:ascii="標楷體" w:eastAsia="標楷體" w:hAnsi="標楷體"/>
                <w:color w:val="000000"/>
                <w:sz w:val="28"/>
              </w:rPr>
            </w:pPr>
          </w:p>
        </w:tc>
        <w:tc>
          <w:tcPr>
            <w:tcW w:w="1247" w:type="pct"/>
          </w:tcPr>
          <w:p w:rsidR="00287897" w:rsidRPr="00E47B5F" w:rsidRDefault="00287897" w:rsidP="008C2561">
            <w:pPr>
              <w:rPr>
                <w:rFonts w:ascii="標楷體" w:eastAsia="標楷體" w:hAnsi="標楷體"/>
                <w:color w:val="000000"/>
                <w:sz w:val="28"/>
              </w:rPr>
            </w:pPr>
            <w:r w:rsidRPr="00E47B5F">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77" w:tooltip="四百九十七、教育部函送「私立高級中等以上學校退場條例有關維護校產公共性相關機制」書面報告，請查照案。" w:history="1">
              <w:r w:rsidR="00287897" w:rsidRPr="002964FE">
                <w:rPr>
                  <w:rFonts w:hint="eastAsia"/>
                </w:rPr>
                <w:t>教育部函送「私立高級中等以上學校退場條例有關維護校產公共性相關機制」書面報告，請查照案。</w:t>
              </w:r>
            </w:hyperlink>
          </w:p>
        </w:tc>
        <w:tc>
          <w:tcPr>
            <w:tcW w:w="897" w:type="pct"/>
          </w:tcPr>
          <w:p w:rsidR="00287897" w:rsidRPr="006A191D" w:rsidRDefault="00287897" w:rsidP="00287897">
            <w:pPr>
              <w:pStyle w:val="0-"/>
            </w:pPr>
            <w:r w:rsidRPr="006A191D">
              <w:t>10-6-8</w:t>
            </w:r>
          </w:p>
          <w:p w:rsidR="00287897" w:rsidRPr="006A191D" w:rsidRDefault="00287897" w:rsidP="00287897">
            <w:pPr>
              <w:pStyle w:val="0-"/>
            </w:pPr>
            <w:r w:rsidRPr="006A191D">
              <w:t>(111.11.18)</w:t>
            </w:r>
          </w:p>
        </w:tc>
        <w:tc>
          <w:tcPr>
            <w:tcW w:w="523" w:type="pct"/>
          </w:tcPr>
          <w:p w:rsidR="00287897" w:rsidRPr="006A191D" w:rsidRDefault="00287897" w:rsidP="00287897">
            <w:pPr>
              <w:rPr>
                <w:rFonts w:ascii="標楷體" w:eastAsia="標楷體" w:hAnsi="標楷體"/>
                <w:color w:val="000000"/>
                <w:sz w:val="28"/>
              </w:rPr>
            </w:pPr>
          </w:p>
        </w:tc>
        <w:tc>
          <w:tcPr>
            <w:tcW w:w="1247" w:type="pct"/>
          </w:tcPr>
          <w:p w:rsidR="00287897" w:rsidRPr="006A191D" w:rsidRDefault="00287897" w:rsidP="008C2561">
            <w:pPr>
              <w:rPr>
                <w:rFonts w:ascii="標楷體" w:eastAsia="標楷體" w:hAnsi="標楷體"/>
                <w:color w:val="000000"/>
                <w:sz w:val="28"/>
              </w:rPr>
            </w:pPr>
            <w:r w:rsidRPr="006A1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78" w:tooltip="三百七十八、教育部函，為111年度中央政府總預算決議，檢送「私立高級中等以上學校退場機制之具體方案」書面報告，請查照案。" w:history="1">
              <w:r w:rsidR="00287897" w:rsidRPr="002964FE">
                <w:rPr>
                  <w:rFonts w:hint="eastAsia"/>
                </w:rPr>
                <w:t>教育部函，為111年度中央政府總預算決議，檢送「私立高級中等以上學校退場機制之具體方案」書面報告，請查照案。</w:t>
              </w:r>
            </w:hyperlink>
          </w:p>
        </w:tc>
        <w:tc>
          <w:tcPr>
            <w:tcW w:w="897" w:type="pct"/>
          </w:tcPr>
          <w:p w:rsidR="00287897" w:rsidRPr="0068291D" w:rsidRDefault="00287897" w:rsidP="00287897">
            <w:pPr>
              <w:pStyle w:val="0-"/>
            </w:pPr>
            <w:r w:rsidRPr="0068291D">
              <w:rPr>
                <w:rFonts w:hint="eastAsia"/>
              </w:rPr>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79" w:tooltip="三百九十五、教育部函，為111年度中央政府總預算決議，檢送「清華海峽研究院進駐我校園調查報告及處理結果」書面報告，請查照案。" w:history="1">
              <w:r w:rsidR="00287897" w:rsidRPr="002964FE">
                <w:rPr>
                  <w:rFonts w:hint="eastAsia"/>
                </w:rPr>
                <w:t>教育部函，為111年度中央政府總預算決議，檢送「清華海峽研究院進駐我校園調查報告及處理結果」書面報告，請查照案。</w:t>
              </w:r>
            </w:hyperlink>
          </w:p>
        </w:tc>
        <w:tc>
          <w:tcPr>
            <w:tcW w:w="897" w:type="pct"/>
          </w:tcPr>
          <w:p w:rsidR="00287897" w:rsidRPr="0068291D" w:rsidRDefault="00287897" w:rsidP="00287897">
            <w:pPr>
              <w:pStyle w:val="0-"/>
            </w:pPr>
            <w:r w:rsidRPr="0068291D">
              <w:rPr>
                <w:rFonts w:hint="eastAsia"/>
              </w:rPr>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80" w:tooltip="三百九十六、教育部函，為111年度中央政府總預算決議，檢送「強化大專校院輔導人力及輔導機制與資源」書面報告，請查照案。" w:history="1">
              <w:r w:rsidR="00287897" w:rsidRPr="002964FE">
                <w:rPr>
                  <w:rFonts w:hint="eastAsia"/>
                </w:rPr>
                <w:t>教育部函，為111年度中央政府總預算決議，檢送「強化大專校院輔導人力及輔導機制與資源」書面報告，請查照案。</w:t>
              </w:r>
            </w:hyperlink>
          </w:p>
        </w:tc>
        <w:tc>
          <w:tcPr>
            <w:tcW w:w="897" w:type="pct"/>
          </w:tcPr>
          <w:p w:rsidR="00287897" w:rsidRPr="0068291D" w:rsidRDefault="00287897" w:rsidP="00287897">
            <w:pPr>
              <w:pStyle w:val="0-"/>
            </w:pPr>
            <w:r w:rsidRPr="0068291D">
              <w:rPr>
                <w:rFonts w:hint="eastAsia"/>
              </w:rPr>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81" w:tooltip="四百一十四、教育部函，為111年度中央政府總預算決議，檢送該部決議（三十五）「高級中等學校學生學習歷程檔案學校平臺資料遺失事件檢討及精進作為」書面報告，請查照案。" w:history="1">
              <w:r w:rsidR="00287897" w:rsidRPr="002964FE">
                <w:rPr>
                  <w:rFonts w:hint="eastAsia"/>
                </w:rPr>
                <w:t>教育部函，為111年度中央政府總預算決議，檢送該部決議（三十五）「高級中等學校學生學習歷程檔案學校平臺資料遺失事件檢討及精進作為」書面報告，請查照案。</w:t>
              </w:r>
            </w:hyperlink>
          </w:p>
        </w:tc>
        <w:tc>
          <w:tcPr>
            <w:tcW w:w="897" w:type="pct"/>
          </w:tcPr>
          <w:p w:rsidR="00287897" w:rsidRPr="0068291D" w:rsidRDefault="00287897" w:rsidP="00287897">
            <w:pPr>
              <w:pStyle w:val="0-"/>
            </w:pPr>
            <w:r w:rsidRPr="0068291D">
              <w:rPr>
                <w:rFonts w:hint="eastAsia"/>
              </w:rPr>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82" w:tooltip="四百一十七、教育部函，為111年度中央政府總預算決議，檢送「國家教育研究院教科書審定機制說明」書面報告，請查照案。" w:history="1">
              <w:r w:rsidR="00287897" w:rsidRPr="002964FE">
                <w:rPr>
                  <w:rFonts w:hint="eastAsia"/>
                </w:rPr>
                <w:t>教育部函，為111年度中央政府總預算決議，檢送「國家教育研究院教科書審定機制說明」書面報告，請查照案。</w:t>
              </w:r>
            </w:hyperlink>
          </w:p>
        </w:tc>
        <w:tc>
          <w:tcPr>
            <w:tcW w:w="897" w:type="pct"/>
          </w:tcPr>
          <w:p w:rsidR="00287897" w:rsidRPr="0068291D" w:rsidRDefault="00287897" w:rsidP="00287897">
            <w:pPr>
              <w:pStyle w:val="0-"/>
            </w:pPr>
            <w:r w:rsidRPr="0068291D">
              <w:rPr>
                <w:rFonts w:hint="eastAsia"/>
              </w:rPr>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83" w:tooltip="四百一十八、教育部函，為111年度中央政府總預算決議，檢送「國家教育研究院教科書疑義處理機制」書面報告，請查照案。" w:history="1">
              <w:r w:rsidR="00287897" w:rsidRPr="002964FE">
                <w:rPr>
                  <w:rFonts w:hint="eastAsia"/>
                </w:rPr>
                <w:t>教育部函，為111年度中央政府總預算決議，檢送「國家教</w:t>
              </w:r>
              <w:r w:rsidR="00287897" w:rsidRPr="002964FE">
                <w:rPr>
                  <w:rFonts w:hint="eastAsia"/>
                </w:rPr>
                <w:lastRenderedPageBreak/>
                <w:t>育研究院教科書疑義處理機制」書面報告，請查照案。</w:t>
              </w:r>
            </w:hyperlink>
          </w:p>
        </w:tc>
        <w:tc>
          <w:tcPr>
            <w:tcW w:w="897" w:type="pct"/>
          </w:tcPr>
          <w:p w:rsidR="00287897" w:rsidRPr="0068291D" w:rsidRDefault="00287897" w:rsidP="00287897">
            <w:pPr>
              <w:pStyle w:val="0-"/>
            </w:pPr>
            <w:r w:rsidRPr="0068291D">
              <w:rPr>
                <w:rFonts w:hint="eastAsia"/>
              </w:rPr>
              <w:lastRenderedPageBreak/>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84" w:tooltip="四百二十三、教育部函，為111年度中央政府總預算決議，檢送「國家教育研究院教科書性平疑義澄清機制」書面報告，請查照案。" w:history="1">
              <w:r w:rsidR="00287897" w:rsidRPr="002964FE">
                <w:rPr>
                  <w:rFonts w:hint="eastAsia"/>
                </w:rPr>
                <w:t>教育部函，為111年度中央政府總預算決議，檢送「國家教育研究院教科書性平疑義澄清機制」書面報告，請查照案。</w:t>
              </w:r>
            </w:hyperlink>
          </w:p>
        </w:tc>
        <w:tc>
          <w:tcPr>
            <w:tcW w:w="897" w:type="pct"/>
          </w:tcPr>
          <w:p w:rsidR="00287897" w:rsidRPr="0068291D" w:rsidRDefault="00287897" w:rsidP="00287897">
            <w:pPr>
              <w:pStyle w:val="0-"/>
            </w:pPr>
            <w:r w:rsidRPr="0068291D">
              <w:rPr>
                <w:rFonts w:hint="eastAsia"/>
              </w:rPr>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85" w:tooltip="四百二十四、教育部函，為111年度中央政府總預算決議，檢送「師資培育供需評估」書面報告，請查照案。" w:history="1">
              <w:r w:rsidR="00287897" w:rsidRPr="002964FE">
                <w:rPr>
                  <w:rFonts w:hint="eastAsia"/>
                </w:rPr>
                <w:t>教育部函，為111年度中央政府總預算決議，檢送「師資培育供需評估」書面報告，請查照案。</w:t>
              </w:r>
            </w:hyperlink>
          </w:p>
        </w:tc>
        <w:tc>
          <w:tcPr>
            <w:tcW w:w="897" w:type="pct"/>
          </w:tcPr>
          <w:p w:rsidR="00287897" w:rsidRPr="0068291D" w:rsidRDefault="00287897" w:rsidP="00287897">
            <w:pPr>
              <w:pStyle w:val="0-"/>
            </w:pPr>
            <w:r w:rsidRPr="0068291D">
              <w:rPr>
                <w:rFonts w:hint="eastAsia"/>
              </w:rPr>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86" w:tooltip="四百二十六、教育部函，為111年度中央政府總預算決議，檢送高級中等學校學生學習歷程檔案學校平臺資料遺失事件檢討及精進作為書面報告，請查照案。" w:history="1">
              <w:r w:rsidR="00287897" w:rsidRPr="002964FE">
                <w:rPr>
                  <w:rFonts w:hint="eastAsia"/>
                </w:rPr>
                <w:t>教育部函，為111年度中央政府總預算決議，檢送高級中等學校學生學習歷程檔案學校平臺資料遺失事件檢討及精進作為書面報告，請查照案。</w:t>
              </w:r>
            </w:hyperlink>
          </w:p>
        </w:tc>
        <w:tc>
          <w:tcPr>
            <w:tcW w:w="897" w:type="pct"/>
          </w:tcPr>
          <w:p w:rsidR="00287897" w:rsidRPr="0068291D" w:rsidRDefault="00287897" w:rsidP="00287897">
            <w:pPr>
              <w:pStyle w:val="0-"/>
            </w:pPr>
            <w:r w:rsidRPr="0068291D">
              <w:rPr>
                <w:rFonts w:hint="eastAsia"/>
              </w:rPr>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87" w:tooltip="四百二十七、教育部函，為111年度中央政府總預算決議，檢送該部決議（一六八）「高級中等學校學生學習歷程檔案學校平臺資料遺失事件檢討及精進作為」書面報告，請查照案。" w:history="1">
              <w:r w:rsidR="00287897" w:rsidRPr="002964FE">
                <w:rPr>
                  <w:rFonts w:hint="eastAsia"/>
                </w:rPr>
                <w:t>教育部函，為111年度中央政府總預算決議，檢送該部決議（一六八）「高級中等學校學生學習歷程檔案學校平臺資料遺失事件檢討及精進作為」書面報告，請查照案。</w:t>
              </w:r>
            </w:hyperlink>
          </w:p>
        </w:tc>
        <w:tc>
          <w:tcPr>
            <w:tcW w:w="897" w:type="pct"/>
          </w:tcPr>
          <w:p w:rsidR="00287897" w:rsidRPr="0068291D" w:rsidRDefault="00287897" w:rsidP="00287897">
            <w:pPr>
              <w:pStyle w:val="0-"/>
            </w:pPr>
            <w:r w:rsidRPr="0068291D">
              <w:rPr>
                <w:rFonts w:hint="eastAsia"/>
              </w:rPr>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88" w:tooltip="四百二十八、教育部函，為111年度中央政府總預算決議，檢送該部決議（二○三）「高級中等學校學生學習歷程檔案學校平臺資料遺失事件檢討及精進作為」書面報告，請查照案。" w:history="1">
              <w:r w:rsidR="00287897" w:rsidRPr="002964FE">
                <w:rPr>
                  <w:rFonts w:hint="eastAsia"/>
                </w:rPr>
                <w:t>教育部函，為111年度中央政府總預算決議，檢送該部決議（二○三）「高級中等學校學生學習歷程檔案學校平臺資料遺失事件檢討及精進作為」書面報告，請查照案。</w:t>
              </w:r>
            </w:hyperlink>
          </w:p>
        </w:tc>
        <w:tc>
          <w:tcPr>
            <w:tcW w:w="897" w:type="pct"/>
          </w:tcPr>
          <w:p w:rsidR="00287897" w:rsidRPr="0068291D" w:rsidRDefault="00287897" w:rsidP="00287897">
            <w:pPr>
              <w:pStyle w:val="0-"/>
            </w:pPr>
            <w:r w:rsidRPr="0068291D">
              <w:rPr>
                <w:rFonts w:hint="eastAsia"/>
              </w:rPr>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89" w:tooltip="四百二十九、教育部函，為111年度中央政府總預算決議，檢送高級中等學校學生學習歷程檔案學校平臺資料遺失事件檢討書面報告，請查照案。" w:history="1">
              <w:r w:rsidR="00287897" w:rsidRPr="002964FE">
                <w:rPr>
                  <w:rFonts w:hint="eastAsia"/>
                </w:rPr>
                <w:t>教育部函，為111年度中央政府總預算決議，檢送高級中等學校學生學習歷程檔案學校平臺資料遺失事件檢討書面報告，請查照案。</w:t>
              </w:r>
            </w:hyperlink>
          </w:p>
        </w:tc>
        <w:tc>
          <w:tcPr>
            <w:tcW w:w="897" w:type="pct"/>
          </w:tcPr>
          <w:p w:rsidR="00287897" w:rsidRPr="0068291D" w:rsidRDefault="00287897" w:rsidP="00287897">
            <w:pPr>
              <w:pStyle w:val="0-"/>
            </w:pPr>
            <w:r w:rsidRPr="0068291D">
              <w:rPr>
                <w:rFonts w:hint="eastAsia"/>
              </w:rPr>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2964FE">
        <w:trPr>
          <w:trHeight w:val="428"/>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90" w:tooltip="四百三十二、教育部函，為111年度中央政府總預算決議，檢送「校園電子煙防制宣導精進方案」報告，請查照案。" w:history="1">
              <w:r w:rsidR="00287897" w:rsidRPr="002964FE">
                <w:rPr>
                  <w:rFonts w:hint="eastAsia"/>
                </w:rPr>
                <w:t>教育部函，為111年度中央政府總預算決議，檢送「校園電子煙防制宣導精進方案」報</w:t>
              </w:r>
              <w:r w:rsidR="00287897" w:rsidRPr="002964FE">
                <w:rPr>
                  <w:rFonts w:hint="eastAsia"/>
                </w:rPr>
                <w:lastRenderedPageBreak/>
                <w:t>告，請查照案。</w:t>
              </w:r>
            </w:hyperlink>
          </w:p>
        </w:tc>
        <w:tc>
          <w:tcPr>
            <w:tcW w:w="897" w:type="pct"/>
          </w:tcPr>
          <w:p w:rsidR="00287897" w:rsidRPr="0068291D" w:rsidRDefault="00287897" w:rsidP="00287897">
            <w:pPr>
              <w:pStyle w:val="0-"/>
            </w:pPr>
            <w:r w:rsidRPr="0068291D">
              <w:rPr>
                <w:rFonts w:hint="eastAsia"/>
              </w:rPr>
              <w:lastRenderedPageBreak/>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教育部函，為111年度中央政府總預算決議，檢送「防止電子煙、加熱式菸品等新興菸品入侵校園」報告，請查照案。</w:t>
            </w:r>
          </w:p>
        </w:tc>
        <w:tc>
          <w:tcPr>
            <w:tcW w:w="897" w:type="pct"/>
          </w:tcPr>
          <w:p w:rsidR="00287897" w:rsidRPr="0068291D" w:rsidRDefault="00287897" w:rsidP="00287897">
            <w:pPr>
              <w:pStyle w:val="0-"/>
            </w:pPr>
            <w:r w:rsidRPr="0068291D">
              <w:rPr>
                <w:rFonts w:hint="eastAsia"/>
              </w:rPr>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91" w:tooltip="四百三十五、教育部函，為111年度中央政府總預算決議，檢送該部決議（二○二）「高級中等學校學生學習歷程檔案學校平臺資料遺失事件檢討及精進作為」書面報告，請查照案。" w:history="1">
              <w:r w:rsidR="00287897" w:rsidRPr="002964FE">
                <w:rPr>
                  <w:rFonts w:hint="eastAsia"/>
                </w:rPr>
                <w:t>教育部函，為111年度中央政府總預算決議，檢送該部決議（二○二）「高級中等學校學生學習歷程檔案學校平臺資料遺失事件檢討及精進作為」書面報告，請查照案。</w:t>
              </w:r>
            </w:hyperlink>
          </w:p>
        </w:tc>
        <w:tc>
          <w:tcPr>
            <w:tcW w:w="897" w:type="pct"/>
          </w:tcPr>
          <w:p w:rsidR="00287897" w:rsidRPr="0068291D" w:rsidRDefault="00287897" w:rsidP="00287897">
            <w:pPr>
              <w:pStyle w:val="0-"/>
            </w:pPr>
            <w:r w:rsidRPr="0068291D">
              <w:rPr>
                <w:rFonts w:hint="eastAsia"/>
              </w:rPr>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92" w:tooltip="四百四十一、教育部函，為111年度中央政府總預算決議，檢送新興人口成長區公立高級中等以下學校校舍新（增）建工程計畫報告，請查照案。" w:history="1">
              <w:r w:rsidR="00287897" w:rsidRPr="002964FE">
                <w:rPr>
                  <w:rFonts w:hint="eastAsia"/>
                </w:rPr>
                <w:t>教育部函，為111年度中央政府總預算決議，檢送新興人口成長區公立高級中等以下學校校舍新（增）建工程計畫報告，請查照案。</w:t>
              </w:r>
            </w:hyperlink>
          </w:p>
        </w:tc>
        <w:tc>
          <w:tcPr>
            <w:tcW w:w="897" w:type="pct"/>
          </w:tcPr>
          <w:p w:rsidR="00287897" w:rsidRPr="0068291D" w:rsidRDefault="00287897" w:rsidP="00287897">
            <w:pPr>
              <w:pStyle w:val="0-"/>
            </w:pPr>
            <w:r w:rsidRPr="0068291D">
              <w:rPr>
                <w:rFonts w:hint="eastAsia"/>
              </w:rPr>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93" w:tooltip="四百四十五、教育部函，為111年度中央政府總預算決議，檢送「提升學測鑑別度及命題穩定度」報告，請查照案。" w:history="1">
              <w:r w:rsidR="00287897" w:rsidRPr="002964FE">
                <w:rPr>
                  <w:rFonts w:hint="eastAsia"/>
                </w:rPr>
                <w:t>教育部函，為111年度中央政府總預算決議，檢送「提升學測鑑別度及命題穩定度」報告，請查照案。</w:t>
              </w:r>
            </w:hyperlink>
          </w:p>
        </w:tc>
        <w:tc>
          <w:tcPr>
            <w:tcW w:w="897" w:type="pct"/>
          </w:tcPr>
          <w:p w:rsidR="00287897" w:rsidRPr="0068291D" w:rsidRDefault="00287897" w:rsidP="00287897">
            <w:pPr>
              <w:pStyle w:val="0-"/>
            </w:pPr>
            <w:r w:rsidRPr="0068291D">
              <w:rPr>
                <w:rFonts w:hint="eastAsia"/>
              </w:rPr>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94" w:tooltip="四百五十七、教育部函，為111年度中央政府總預算決議，檢送「學習歷程檔案資安保護及改進措施」報告，請查照案。" w:history="1">
              <w:r w:rsidR="00287897" w:rsidRPr="002964FE">
                <w:rPr>
                  <w:rFonts w:hint="eastAsia"/>
                </w:rPr>
                <w:t>教育部函，為111年度中央政府總預算決議，檢送「學習歷程檔案資安保護及改進措施」報告，請查照案。</w:t>
              </w:r>
            </w:hyperlink>
          </w:p>
        </w:tc>
        <w:tc>
          <w:tcPr>
            <w:tcW w:w="897" w:type="pct"/>
          </w:tcPr>
          <w:p w:rsidR="00287897" w:rsidRPr="0068291D" w:rsidRDefault="00287897" w:rsidP="00287897">
            <w:pPr>
              <w:pStyle w:val="0-"/>
            </w:pPr>
            <w:r w:rsidRPr="0068291D">
              <w:rPr>
                <w:rFonts w:hint="eastAsia"/>
              </w:rPr>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95" w:tooltip="四百五十八、教育部函，為111年度中央政府總預算決議，檢送「命題精進及考招制度強化宣導」報告，請查照案。" w:history="1">
              <w:r w:rsidR="00287897" w:rsidRPr="002964FE">
                <w:rPr>
                  <w:rFonts w:hint="eastAsia"/>
                </w:rPr>
                <w:t>教育部函，為111年度中央政府總預算決議，檢送「命題精進及考招制度強化宣導」報告，請查照案。</w:t>
              </w:r>
            </w:hyperlink>
          </w:p>
        </w:tc>
        <w:tc>
          <w:tcPr>
            <w:tcW w:w="897" w:type="pct"/>
          </w:tcPr>
          <w:p w:rsidR="00287897" w:rsidRPr="0068291D" w:rsidRDefault="00287897" w:rsidP="00287897">
            <w:pPr>
              <w:pStyle w:val="0-"/>
            </w:pPr>
            <w:r w:rsidRPr="0068291D">
              <w:rPr>
                <w:rFonts w:hint="eastAsia"/>
              </w:rPr>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96" w:tooltip="四百六十、教育部函，為111年度中央政府總預算決議，檢送「高級中等學校學生學習歷程檔案學校平臺資料遺失事件檢討及精進作為」書面報告，請查照案。" w:history="1">
              <w:r w:rsidR="00287897" w:rsidRPr="002964FE">
                <w:rPr>
                  <w:rFonts w:hint="eastAsia"/>
                </w:rPr>
                <w:t>教育部函，為111年度中央政府總預算決議，檢送「高級中等學校學生學習歷程檔案學校平臺資料遺失事件檢討及精進作為」書面報告，請查照案。</w:t>
              </w:r>
            </w:hyperlink>
          </w:p>
        </w:tc>
        <w:tc>
          <w:tcPr>
            <w:tcW w:w="897" w:type="pct"/>
          </w:tcPr>
          <w:p w:rsidR="00287897" w:rsidRPr="0068291D" w:rsidRDefault="00287897" w:rsidP="00287897">
            <w:pPr>
              <w:pStyle w:val="0-"/>
            </w:pPr>
            <w:r w:rsidRPr="0068291D">
              <w:rPr>
                <w:rFonts w:hint="eastAsia"/>
              </w:rPr>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97" w:tooltip="四百六十六、教育部函，為111年度中央政府總預算決議，檢送高級中等學校學生學習歷程檔案資料遺失書面報告，請查照案。" w:history="1">
              <w:r w:rsidR="00287897" w:rsidRPr="002964FE">
                <w:rPr>
                  <w:rFonts w:hint="eastAsia"/>
                </w:rPr>
                <w:t>教育部函，為111年度中央政府總預算決議，檢送高級中等</w:t>
              </w:r>
              <w:r w:rsidR="00287897" w:rsidRPr="002964FE">
                <w:rPr>
                  <w:rFonts w:hint="eastAsia"/>
                </w:rPr>
                <w:lastRenderedPageBreak/>
                <w:t>學校學生學習歷程檔案資料遺失書面報告，請查照案。</w:t>
              </w:r>
            </w:hyperlink>
          </w:p>
        </w:tc>
        <w:tc>
          <w:tcPr>
            <w:tcW w:w="897" w:type="pct"/>
          </w:tcPr>
          <w:p w:rsidR="00287897" w:rsidRPr="0068291D" w:rsidRDefault="00287897" w:rsidP="00287897">
            <w:pPr>
              <w:pStyle w:val="0-"/>
            </w:pPr>
            <w:r w:rsidRPr="0068291D">
              <w:rPr>
                <w:rFonts w:hint="eastAsia"/>
              </w:rPr>
              <w:lastRenderedPageBreak/>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98" w:tooltip="四百六十七、教育部函，為111年度中央政府總預算決議，檢送高級中等學校學生學習歷程檔案資料遺失檢討書面報告，請查照案。" w:history="1">
              <w:r w:rsidR="00287897" w:rsidRPr="002964FE">
                <w:rPr>
                  <w:rFonts w:hint="eastAsia"/>
                </w:rPr>
                <w:t>教育部函，為111年度中央政府總預算決議，檢送高級中等學校學生學習歷程檔案資料遺失檢討書面報告，請查照案。</w:t>
              </w:r>
            </w:hyperlink>
          </w:p>
        </w:tc>
        <w:tc>
          <w:tcPr>
            <w:tcW w:w="897" w:type="pct"/>
          </w:tcPr>
          <w:p w:rsidR="00287897" w:rsidRPr="0068291D" w:rsidRDefault="00287897" w:rsidP="00287897">
            <w:pPr>
              <w:pStyle w:val="0-"/>
            </w:pPr>
            <w:r w:rsidRPr="0068291D">
              <w:rPr>
                <w:rFonts w:hint="eastAsia"/>
              </w:rPr>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299" w:tooltip="四百六十八、教育部函，為111年度中央政府總預算決議，檢送高級中等學校學生學習歷程檔案資料遺失精進作為書面報告，請查照案。" w:history="1">
              <w:r w:rsidR="00287897" w:rsidRPr="002964FE">
                <w:rPr>
                  <w:rFonts w:hint="eastAsia"/>
                </w:rPr>
                <w:t>教育部函，為111年度中央政府總預算決議，檢送高級中等學校學生學習歷程檔案資料遺失精進作為書面報告，請查照案。</w:t>
              </w:r>
            </w:hyperlink>
          </w:p>
        </w:tc>
        <w:tc>
          <w:tcPr>
            <w:tcW w:w="897" w:type="pct"/>
          </w:tcPr>
          <w:p w:rsidR="00287897" w:rsidRPr="0068291D" w:rsidRDefault="00287897" w:rsidP="00287897">
            <w:pPr>
              <w:pStyle w:val="0-"/>
            </w:pPr>
            <w:r w:rsidRPr="0068291D">
              <w:rPr>
                <w:rFonts w:hint="eastAsia"/>
              </w:rPr>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300" w:tooltip="四百六十九、教育部函，為111年度中央政府總預算決議，檢送高級中等學校學生學習歷程檔案資料遺失檢討及精進作為書面報告，請查照案。" w:history="1">
              <w:r w:rsidR="00287897" w:rsidRPr="002964FE">
                <w:rPr>
                  <w:rFonts w:hint="eastAsia"/>
                </w:rPr>
                <w:t>教育部函，為111年度中央政府總預算決議，檢送高級中等學校學生學習歷程檔案資料遺失檢討及精進作為書面報告，請查照案。</w:t>
              </w:r>
            </w:hyperlink>
          </w:p>
        </w:tc>
        <w:tc>
          <w:tcPr>
            <w:tcW w:w="897" w:type="pct"/>
          </w:tcPr>
          <w:p w:rsidR="00287897" w:rsidRPr="0068291D" w:rsidRDefault="00287897" w:rsidP="00287897">
            <w:pPr>
              <w:pStyle w:val="0-"/>
            </w:pPr>
            <w:r w:rsidRPr="0068291D">
              <w:rPr>
                <w:rFonts w:hint="eastAsia"/>
              </w:rPr>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301" w:tooltip="四百七十四、教育部函，為111年度中央政府總預算決議，檢送「全國雙語師資招聘制度」書面報告，請查照案。" w:history="1">
              <w:r w:rsidR="00287897" w:rsidRPr="002964FE">
                <w:rPr>
                  <w:rFonts w:hint="eastAsia"/>
                </w:rPr>
                <w:t>教育部函，為111年度中央政府總預算決議，檢送「全國雙語師資招聘制度」書面報告，請查照案。</w:t>
              </w:r>
            </w:hyperlink>
          </w:p>
        </w:tc>
        <w:tc>
          <w:tcPr>
            <w:tcW w:w="897" w:type="pct"/>
          </w:tcPr>
          <w:p w:rsidR="00287897" w:rsidRPr="0068291D" w:rsidRDefault="00287897" w:rsidP="00287897">
            <w:pPr>
              <w:pStyle w:val="0-"/>
            </w:pPr>
            <w:r w:rsidRPr="0068291D">
              <w:rPr>
                <w:rFonts w:hint="eastAsia"/>
              </w:rPr>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302" w:tooltip="四百八十六、教育部函，為111年度中央政府總預算決議，檢送「我國雙語教育師資培育執行現況及成效」書面報告，請查照案。" w:history="1">
              <w:r w:rsidR="00287897" w:rsidRPr="002964FE">
                <w:rPr>
                  <w:rFonts w:hint="eastAsia"/>
                </w:rPr>
                <w:t>教育部函，為111年度中央政府總預算決議，檢送「我國雙語教育師資培育執行現況及成效」書面報告，請查照案。</w:t>
              </w:r>
            </w:hyperlink>
          </w:p>
        </w:tc>
        <w:tc>
          <w:tcPr>
            <w:tcW w:w="897" w:type="pct"/>
          </w:tcPr>
          <w:p w:rsidR="00287897" w:rsidRPr="0068291D" w:rsidRDefault="00287897" w:rsidP="00287897">
            <w:pPr>
              <w:pStyle w:val="0-"/>
            </w:pPr>
            <w:r w:rsidRPr="0068291D">
              <w:rPr>
                <w:rFonts w:hint="eastAsia"/>
              </w:rPr>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303" w:tooltip="四百九十六、教育部函，為111年度中央政府總預算決議，檢送「大專校院編制外專任教師聘任比率限制與引導措施及權利義務法制化」報告，請查照案。" w:history="1">
              <w:r w:rsidR="00287897" w:rsidRPr="002964FE">
                <w:rPr>
                  <w:rFonts w:hint="eastAsia"/>
                </w:rPr>
                <w:t>教育部函，為111年度中央政府總預算決議，檢送「大專校院編制外專任教師聘任比率限制與引導措施及權利義務法制化」報告，請查照案。</w:t>
              </w:r>
            </w:hyperlink>
          </w:p>
        </w:tc>
        <w:tc>
          <w:tcPr>
            <w:tcW w:w="897" w:type="pct"/>
          </w:tcPr>
          <w:p w:rsidR="00287897" w:rsidRPr="0068291D" w:rsidRDefault="00287897" w:rsidP="00287897">
            <w:pPr>
              <w:pStyle w:val="0-"/>
            </w:pPr>
            <w:r w:rsidRPr="0068291D">
              <w:rPr>
                <w:rFonts w:hint="eastAsia"/>
              </w:rPr>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304" w:tooltip="五百零三、教育部函，為111年度中央政府總預算決議，檢送學生學習歷程檔案學校平臺資料遺失事件檢討書面報告，請查照案。" w:history="1">
              <w:r w:rsidR="00287897" w:rsidRPr="002964FE">
                <w:rPr>
                  <w:rFonts w:hint="eastAsia"/>
                </w:rPr>
                <w:t>教育部函，為111年度中央政府總預算決議，檢送學生學習歷程檔案學校平臺資料遺失事件檢討書面報告，請查照案。</w:t>
              </w:r>
            </w:hyperlink>
          </w:p>
        </w:tc>
        <w:tc>
          <w:tcPr>
            <w:tcW w:w="897" w:type="pct"/>
          </w:tcPr>
          <w:p w:rsidR="00287897" w:rsidRPr="0068291D" w:rsidRDefault="00287897" w:rsidP="00287897">
            <w:pPr>
              <w:pStyle w:val="0-"/>
            </w:pPr>
            <w:r w:rsidRPr="0068291D">
              <w:rPr>
                <w:rFonts w:hint="eastAsia"/>
              </w:rPr>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305" w:tooltip="五百零四、教育部函，為111年度中央政府總預算決議，檢送學生學習歷程檔案資料遺失事件檢討書面報告，請查照案。" w:history="1">
              <w:r w:rsidR="00287897" w:rsidRPr="002964FE">
                <w:rPr>
                  <w:rFonts w:hint="eastAsia"/>
                </w:rPr>
                <w:t>教育部函，為111年度中央政府總預算決議，檢送學生學習</w:t>
              </w:r>
              <w:r w:rsidR="00287897" w:rsidRPr="002964FE">
                <w:rPr>
                  <w:rFonts w:hint="eastAsia"/>
                </w:rPr>
                <w:lastRenderedPageBreak/>
                <w:t>歷程檔案資料遺失事件檢討書面報告，請查照案。</w:t>
              </w:r>
            </w:hyperlink>
          </w:p>
        </w:tc>
        <w:tc>
          <w:tcPr>
            <w:tcW w:w="897" w:type="pct"/>
          </w:tcPr>
          <w:p w:rsidR="00287897" w:rsidRPr="0068291D" w:rsidRDefault="00287897" w:rsidP="00287897">
            <w:pPr>
              <w:pStyle w:val="0-"/>
            </w:pPr>
            <w:r w:rsidRPr="0068291D">
              <w:rPr>
                <w:rFonts w:hint="eastAsia"/>
              </w:rPr>
              <w:lastRenderedPageBreak/>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306" w:tooltip="五百零五、教育部函，為111年度中央政府總預算決議，檢送高級中等學校學生學習歷程檔案學校平臺資料遺失事件書面報告，請查照案。" w:history="1">
              <w:r w:rsidR="00287897" w:rsidRPr="002964FE">
                <w:rPr>
                  <w:rFonts w:hint="eastAsia"/>
                </w:rPr>
                <w:t>教育部函，為111年度中央政府總預算決議，檢送高級中等學校學生學習歷程檔案學校平臺資料遺失事件書面報告，請查照案。</w:t>
              </w:r>
            </w:hyperlink>
          </w:p>
        </w:tc>
        <w:tc>
          <w:tcPr>
            <w:tcW w:w="897" w:type="pct"/>
          </w:tcPr>
          <w:p w:rsidR="00287897" w:rsidRPr="0068291D" w:rsidRDefault="00287897" w:rsidP="00287897">
            <w:pPr>
              <w:pStyle w:val="0-"/>
            </w:pPr>
            <w:r w:rsidRPr="0068291D">
              <w:rPr>
                <w:rFonts w:hint="eastAsia"/>
              </w:rPr>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307" w:tooltip="五百零四、教育部函，為111年度中央政府總預算決議，檢送學生學習歷程檔案資料遺失事件檢討書面報告，請查照案。" w:history="1">
              <w:r w:rsidR="00287897" w:rsidRPr="002964FE">
                <w:rPr>
                  <w:rFonts w:hint="eastAsia"/>
                </w:rPr>
                <w:t>教育部函，為111年度中央政府總預算決議，檢送學生學習歷程檔案資料遺失事件檢討書面報告，請查照案。</w:t>
              </w:r>
            </w:hyperlink>
          </w:p>
        </w:tc>
        <w:tc>
          <w:tcPr>
            <w:tcW w:w="897" w:type="pct"/>
          </w:tcPr>
          <w:p w:rsidR="00287897" w:rsidRPr="0068291D" w:rsidRDefault="00287897" w:rsidP="00287897">
            <w:pPr>
              <w:pStyle w:val="0-"/>
            </w:pPr>
            <w:r w:rsidRPr="0068291D">
              <w:rPr>
                <w:rFonts w:hint="eastAsia"/>
              </w:rPr>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308" w:tooltip="五百一十六、教育部函，為111年度中央政府總預算決議，檢送「大學合併及私校轉型退場執行成效」書面報告，請查照案。" w:history="1">
              <w:r w:rsidR="00287897" w:rsidRPr="002964FE">
                <w:rPr>
                  <w:rFonts w:hint="eastAsia"/>
                </w:rPr>
                <w:t>教育部函，為111年度中央政府總預算決議，檢送「大學合併及私校轉型退場執行成效」書面報告，請查照案。</w:t>
              </w:r>
            </w:hyperlink>
          </w:p>
        </w:tc>
        <w:tc>
          <w:tcPr>
            <w:tcW w:w="897" w:type="pct"/>
          </w:tcPr>
          <w:p w:rsidR="00287897" w:rsidRPr="0068291D" w:rsidRDefault="00287897" w:rsidP="00287897">
            <w:pPr>
              <w:pStyle w:val="0-"/>
            </w:pPr>
            <w:r w:rsidRPr="0068291D">
              <w:rPr>
                <w:rFonts w:hint="eastAsia"/>
              </w:rPr>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309" w:tooltip="五百一十七、教育部函，為111年度中央政府總預算決議，檢送「大學公私立整併規劃方案」書面報告，請查照案。" w:history="1">
              <w:r w:rsidR="00287897" w:rsidRPr="002964FE">
                <w:rPr>
                  <w:rFonts w:hint="eastAsia"/>
                </w:rPr>
                <w:t>教育部函，為111年度中央政府總預算決議，檢送「大學公私立整併規劃方案」書面報告，請查照案。</w:t>
              </w:r>
            </w:hyperlink>
          </w:p>
        </w:tc>
        <w:tc>
          <w:tcPr>
            <w:tcW w:w="897" w:type="pct"/>
          </w:tcPr>
          <w:p w:rsidR="00287897" w:rsidRPr="0068291D" w:rsidRDefault="00287897" w:rsidP="00287897">
            <w:pPr>
              <w:pStyle w:val="0-"/>
            </w:pPr>
            <w:r w:rsidRPr="0068291D">
              <w:rPr>
                <w:rFonts w:hint="eastAsia"/>
              </w:rPr>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310" w:tooltip="五百一十八、教育部函，為111年度中央政府總預算決議，檢送「學校各類研習納入多元性别議題之規劃及檢核」報告，請查照案。" w:history="1">
              <w:r w:rsidR="00287897" w:rsidRPr="002964FE">
                <w:rPr>
                  <w:rFonts w:hint="eastAsia"/>
                </w:rPr>
                <w:t>教育部函，為111年度中央政府總預算決議，檢送「學校各類研習納入多元性别議題之規劃及檢核」報告，請查照案。</w:t>
              </w:r>
            </w:hyperlink>
          </w:p>
        </w:tc>
        <w:tc>
          <w:tcPr>
            <w:tcW w:w="897" w:type="pct"/>
          </w:tcPr>
          <w:p w:rsidR="00287897" w:rsidRPr="0068291D" w:rsidRDefault="00287897" w:rsidP="00287897">
            <w:pPr>
              <w:pStyle w:val="0-"/>
            </w:pPr>
            <w:r w:rsidRPr="0068291D">
              <w:rPr>
                <w:rFonts w:hint="eastAsia"/>
              </w:rPr>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311" w:tooltip="五百二十三、教育部函，為111年度中央政府總預算決議，檢送「大學合併執行成效」書面報告，請查照案。" w:history="1">
              <w:r w:rsidR="00287897" w:rsidRPr="002964FE">
                <w:rPr>
                  <w:rFonts w:hint="eastAsia"/>
                </w:rPr>
                <w:t>教育部函，為111年度中央政府總預算決議，檢送「大學合併執行成效」書面報告，請查照案。</w:t>
              </w:r>
            </w:hyperlink>
          </w:p>
        </w:tc>
        <w:tc>
          <w:tcPr>
            <w:tcW w:w="897" w:type="pct"/>
          </w:tcPr>
          <w:p w:rsidR="00287897" w:rsidRPr="0068291D" w:rsidRDefault="00287897" w:rsidP="00287897">
            <w:pPr>
              <w:pStyle w:val="0-"/>
            </w:pPr>
            <w:r w:rsidRPr="0068291D">
              <w:rPr>
                <w:rFonts w:hint="eastAsia"/>
              </w:rPr>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312" w:tooltip="五百二十八、教育部函，為111年度中央政府總預算決議，檢送「雙語教學師資培育及大專校院教學雙語化」書面報告，請查照案。" w:history="1">
              <w:r w:rsidR="00287897" w:rsidRPr="002964FE">
                <w:rPr>
                  <w:rFonts w:hint="eastAsia"/>
                </w:rPr>
                <w:t>教育部函，為111年度中央政府總預算決議，檢送「雙語教學師資培育及大專校院教學雙語化」書面報告，請查照案。</w:t>
              </w:r>
            </w:hyperlink>
          </w:p>
        </w:tc>
        <w:tc>
          <w:tcPr>
            <w:tcW w:w="897" w:type="pct"/>
          </w:tcPr>
          <w:p w:rsidR="00287897" w:rsidRPr="0068291D" w:rsidRDefault="00287897" w:rsidP="00287897">
            <w:pPr>
              <w:pStyle w:val="0-"/>
            </w:pPr>
            <w:r w:rsidRPr="0068291D">
              <w:rPr>
                <w:rFonts w:hint="eastAsia"/>
              </w:rPr>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2964FE">
        <w:trPr>
          <w:trHeight w:val="428"/>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641E57" w:rsidP="00287897">
            <w:pPr>
              <w:pStyle w:val="0-"/>
            </w:pPr>
            <w:hyperlink r:id="rId313" w:tooltip="五百三十、教育部函，為111年度中央政府總預算決議，檢送「財團法人私立學校興學基金會精進募款方式」書面報告，請查照案。" w:history="1">
              <w:r w:rsidR="00287897" w:rsidRPr="002964FE">
                <w:rPr>
                  <w:rFonts w:hint="eastAsia"/>
                </w:rPr>
                <w:t>教育部函，為111年度中央政府總預算決議，檢送「財團法人私立學校興學基金會精進募款方式」書面報告，請查照</w:t>
              </w:r>
              <w:r w:rsidR="00287897" w:rsidRPr="002964FE">
                <w:rPr>
                  <w:rFonts w:hint="eastAsia"/>
                </w:rPr>
                <w:lastRenderedPageBreak/>
                <w:t>案。</w:t>
              </w:r>
            </w:hyperlink>
          </w:p>
        </w:tc>
        <w:tc>
          <w:tcPr>
            <w:tcW w:w="897" w:type="pct"/>
          </w:tcPr>
          <w:p w:rsidR="00287897" w:rsidRPr="0068291D" w:rsidRDefault="00287897" w:rsidP="00287897">
            <w:pPr>
              <w:pStyle w:val="0-"/>
            </w:pPr>
            <w:r w:rsidRPr="0068291D">
              <w:rPr>
                <w:rFonts w:hint="eastAsia"/>
              </w:rPr>
              <w:lastRenderedPageBreak/>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教育部函，為111年度中央政府總預算決議，檢送輔助學校師生學習國家語言資源改善計畫書面報告，請查照案。</w:t>
            </w:r>
          </w:p>
        </w:tc>
        <w:tc>
          <w:tcPr>
            <w:tcW w:w="897" w:type="pct"/>
          </w:tcPr>
          <w:p w:rsidR="00287897" w:rsidRPr="0068291D" w:rsidRDefault="00287897" w:rsidP="00287897">
            <w:pPr>
              <w:pStyle w:val="0-"/>
            </w:pPr>
            <w:r w:rsidRPr="0068291D">
              <w:rPr>
                <w:rFonts w:hint="eastAsia"/>
              </w:rPr>
              <w:t>10-6-9</w:t>
            </w:r>
          </w:p>
          <w:p w:rsidR="00287897" w:rsidRPr="0068291D" w:rsidRDefault="00287897" w:rsidP="00287897">
            <w:pPr>
              <w:pStyle w:val="0-"/>
            </w:pPr>
            <w:r w:rsidRPr="0068291D">
              <w:rPr>
                <w:rFonts w:hint="eastAsia"/>
              </w:rPr>
              <w:t>(111.11.25)</w:t>
            </w:r>
          </w:p>
          <w:p w:rsidR="00287897" w:rsidRPr="0068291D" w:rsidRDefault="00287897" w:rsidP="00287897">
            <w:pPr>
              <w:pStyle w:val="0-"/>
            </w:pPr>
          </w:p>
        </w:tc>
        <w:tc>
          <w:tcPr>
            <w:tcW w:w="523" w:type="pct"/>
          </w:tcPr>
          <w:p w:rsidR="00287897" w:rsidRPr="0068291D" w:rsidRDefault="00287897" w:rsidP="00287897">
            <w:pPr>
              <w:rPr>
                <w:rFonts w:ascii="標楷體" w:eastAsia="標楷體" w:hAnsi="標楷體"/>
                <w:color w:val="000000"/>
                <w:sz w:val="28"/>
              </w:rPr>
            </w:pPr>
          </w:p>
        </w:tc>
        <w:tc>
          <w:tcPr>
            <w:tcW w:w="1247" w:type="pct"/>
          </w:tcPr>
          <w:p w:rsidR="00287897" w:rsidRPr="0068291D" w:rsidRDefault="00287897" w:rsidP="008C2561">
            <w:pPr>
              <w:rPr>
                <w:rFonts w:ascii="標楷體" w:eastAsia="標楷體" w:hAnsi="標楷體"/>
                <w:color w:val="000000"/>
                <w:sz w:val="28"/>
              </w:rPr>
            </w:pPr>
            <w:r w:rsidRPr="0068291D">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文化部函送111年1月該部接受外界捐贈款明細表，請查照案。</w:t>
            </w:r>
          </w:p>
        </w:tc>
        <w:tc>
          <w:tcPr>
            <w:tcW w:w="897" w:type="pct"/>
          </w:tcPr>
          <w:p w:rsidR="00287897" w:rsidRPr="00990ACA" w:rsidRDefault="00287897" w:rsidP="00287897">
            <w:pPr>
              <w:pStyle w:val="0-"/>
            </w:pPr>
            <w:r w:rsidRPr="00990ACA">
              <w:t>10-6-1</w:t>
            </w:r>
            <w:r w:rsidRPr="00990ACA">
              <w:rPr>
                <w:rFonts w:hint="eastAsia"/>
              </w:rPr>
              <w:t>3</w:t>
            </w:r>
          </w:p>
          <w:p w:rsidR="00287897" w:rsidRPr="00990ACA" w:rsidRDefault="00287897" w:rsidP="00287897">
            <w:pPr>
              <w:pStyle w:val="0-"/>
            </w:pPr>
            <w:r w:rsidRPr="00990ACA">
              <w:t>(111.12.</w:t>
            </w:r>
            <w:r w:rsidRPr="00990ACA">
              <w:rPr>
                <w:rFonts w:hint="eastAsia"/>
              </w:rPr>
              <w:t>23</w:t>
            </w:r>
            <w:r w:rsidRPr="00990ACA">
              <w:t>)</w:t>
            </w:r>
          </w:p>
        </w:tc>
        <w:tc>
          <w:tcPr>
            <w:tcW w:w="523" w:type="pct"/>
          </w:tcPr>
          <w:p w:rsidR="00287897" w:rsidRPr="00990ACA" w:rsidRDefault="00287897" w:rsidP="00287897">
            <w:pPr>
              <w:rPr>
                <w:rFonts w:ascii="標楷體" w:eastAsia="標楷體" w:hAnsi="標楷體"/>
                <w:color w:val="000000"/>
                <w:sz w:val="28"/>
              </w:rPr>
            </w:pPr>
          </w:p>
        </w:tc>
        <w:tc>
          <w:tcPr>
            <w:tcW w:w="1247" w:type="pct"/>
          </w:tcPr>
          <w:p w:rsidR="00287897" w:rsidRPr="00990ACA" w:rsidRDefault="00287897" w:rsidP="008C2561">
            <w:pPr>
              <w:rPr>
                <w:rFonts w:ascii="標楷體" w:eastAsia="標楷體" w:hAnsi="標楷體"/>
                <w:color w:val="000000"/>
                <w:sz w:val="28"/>
              </w:rPr>
            </w:pPr>
            <w:r w:rsidRPr="00990AC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文化部函送111年1月至5月該部接受外界捐贈款明細表，請查照案。</w:t>
            </w:r>
          </w:p>
        </w:tc>
        <w:tc>
          <w:tcPr>
            <w:tcW w:w="897" w:type="pct"/>
          </w:tcPr>
          <w:p w:rsidR="00287897" w:rsidRPr="00990ACA" w:rsidRDefault="00287897" w:rsidP="00287897">
            <w:pPr>
              <w:pStyle w:val="0-"/>
            </w:pPr>
            <w:r w:rsidRPr="00990ACA">
              <w:t>10-6-1</w:t>
            </w:r>
            <w:r w:rsidRPr="00990ACA">
              <w:rPr>
                <w:rFonts w:hint="eastAsia"/>
              </w:rPr>
              <w:t>3</w:t>
            </w:r>
          </w:p>
          <w:p w:rsidR="00287897" w:rsidRPr="00990ACA" w:rsidRDefault="00287897" w:rsidP="00287897">
            <w:pPr>
              <w:pStyle w:val="0-"/>
            </w:pPr>
            <w:r w:rsidRPr="00990ACA">
              <w:t>(111.12.</w:t>
            </w:r>
            <w:r w:rsidRPr="00990ACA">
              <w:rPr>
                <w:rFonts w:hint="eastAsia"/>
              </w:rPr>
              <w:t>23</w:t>
            </w:r>
            <w:r w:rsidRPr="00990ACA">
              <w:t>)</w:t>
            </w:r>
          </w:p>
        </w:tc>
        <w:tc>
          <w:tcPr>
            <w:tcW w:w="523" w:type="pct"/>
          </w:tcPr>
          <w:p w:rsidR="00287897" w:rsidRPr="00990ACA" w:rsidRDefault="00287897" w:rsidP="00287897">
            <w:pPr>
              <w:rPr>
                <w:rFonts w:ascii="標楷體" w:eastAsia="標楷體" w:hAnsi="標楷體"/>
                <w:color w:val="000000"/>
                <w:sz w:val="28"/>
              </w:rPr>
            </w:pPr>
          </w:p>
        </w:tc>
        <w:tc>
          <w:tcPr>
            <w:tcW w:w="1247" w:type="pct"/>
          </w:tcPr>
          <w:p w:rsidR="00287897" w:rsidRPr="00990ACA" w:rsidRDefault="00287897" w:rsidP="008C2561">
            <w:pPr>
              <w:rPr>
                <w:rFonts w:ascii="標楷體" w:eastAsia="標楷體" w:hAnsi="標楷體"/>
                <w:color w:val="000000"/>
                <w:sz w:val="28"/>
              </w:rPr>
            </w:pPr>
            <w:r w:rsidRPr="00990AC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文化部函送111年1月至6月該部接受外界捐贈款明細表，請查照案。</w:t>
            </w:r>
          </w:p>
        </w:tc>
        <w:tc>
          <w:tcPr>
            <w:tcW w:w="897" w:type="pct"/>
          </w:tcPr>
          <w:p w:rsidR="00287897" w:rsidRPr="00990ACA" w:rsidRDefault="00287897" w:rsidP="00287897">
            <w:pPr>
              <w:pStyle w:val="0-"/>
            </w:pPr>
            <w:r w:rsidRPr="00990ACA">
              <w:t>10-6-1</w:t>
            </w:r>
            <w:r w:rsidRPr="00990ACA">
              <w:rPr>
                <w:rFonts w:hint="eastAsia"/>
              </w:rPr>
              <w:t>3</w:t>
            </w:r>
          </w:p>
          <w:p w:rsidR="00287897" w:rsidRPr="00990ACA" w:rsidRDefault="00287897" w:rsidP="00287897">
            <w:pPr>
              <w:pStyle w:val="0-"/>
            </w:pPr>
            <w:r w:rsidRPr="00990ACA">
              <w:t>(111.12.</w:t>
            </w:r>
            <w:r w:rsidRPr="00990ACA">
              <w:rPr>
                <w:rFonts w:hint="eastAsia"/>
              </w:rPr>
              <w:t>23</w:t>
            </w:r>
            <w:r w:rsidRPr="00990ACA">
              <w:t>)</w:t>
            </w:r>
          </w:p>
        </w:tc>
        <w:tc>
          <w:tcPr>
            <w:tcW w:w="523" w:type="pct"/>
          </w:tcPr>
          <w:p w:rsidR="00287897" w:rsidRPr="00990ACA" w:rsidRDefault="00287897" w:rsidP="00287897">
            <w:pPr>
              <w:rPr>
                <w:rFonts w:ascii="標楷體" w:eastAsia="標楷體" w:hAnsi="標楷體"/>
                <w:color w:val="000000"/>
                <w:sz w:val="28"/>
              </w:rPr>
            </w:pPr>
          </w:p>
        </w:tc>
        <w:tc>
          <w:tcPr>
            <w:tcW w:w="1247" w:type="pct"/>
          </w:tcPr>
          <w:p w:rsidR="00287897" w:rsidRPr="00990ACA" w:rsidRDefault="00287897" w:rsidP="008C2561">
            <w:pPr>
              <w:rPr>
                <w:rFonts w:ascii="標楷體" w:eastAsia="標楷體" w:hAnsi="標楷體"/>
                <w:color w:val="000000"/>
                <w:sz w:val="28"/>
              </w:rPr>
            </w:pPr>
            <w:r w:rsidRPr="00990AC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文化部函送111年1月至7月該部接受外界捐贈款明細表，請查照案。</w:t>
            </w:r>
          </w:p>
        </w:tc>
        <w:tc>
          <w:tcPr>
            <w:tcW w:w="897" w:type="pct"/>
          </w:tcPr>
          <w:p w:rsidR="00287897" w:rsidRPr="00990ACA" w:rsidRDefault="00287897" w:rsidP="00287897">
            <w:pPr>
              <w:pStyle w:val="0-"/>
            </w:pPr>
            <w:r w:rsidRPr="00990ACA">
              <w:t>10-6-1</w:t>
            </w:r>
            <w:r w:rsidRPr="00990ACA">
              <w:rPr>
                <w:rFonts w:hint="eastAsia"/>
              </w:rPr>
              <w:t>3</w:t>
            </w:r>
          </w:p>
          <w:p w:rsidR="00287897" w:rsidRPr="00990ACA" w:rsidRDefault="00287897" w:rsidP="00287897">
            <w:pPr>
              <w:pStyle w:val="0-"/>
            </w:pPr>
            <w:r w:rsidRPr="00990ACA">
              <w:t>(111.12.</w:t>
            </w:r>
            <w:r w:rsidRPr="00990ACA">
              <w:rPr>
                <w:rFonts w:hint="eastAsia"/>
              </w:rPr>
              <w:t>23</w:t>
            </w:r>
            <w:r w:rsidRPr="00990ACA">
              <w:t>)</w:t>
            </w:r>
          </w:p>
        </w:tc>
        <w:tc>
          <w:tcPr>
            <w:tcW w:w="523" w:type="pct"/>
          </w:tcPr>
          <w:p w:rsidR="00287897" w:rsidRPr="00990ACA" w:rsidRDefault="00287897" w:rsidP="00287897">
            <w:pPr>
              <w:rPr>
                <w:rFonts w:ascii="標楷體" w:eastAsia="標楷體" w:hAnsi="標楷體"/>
                <w:color w:val="000000"/>
                <w:sz w:val="28"/>
              </w:rPr>
            </w:pPr>
          </w:p>
        </w:tc>
        <w:tc>
          <w:tcPr>
            <w:tcW w:w="1247" w:type="pct"/>
          </w:tcPr>
          <w:p w:rsidR="00287897" w:rsidRPr="00990ACA" w:rsidRDefault="00287897" w:rsidP="008C2561">
            <w:pPr>
              <w:rPr>
                <w:rFonts w:ascii="標楷體" w:eastAsia="標楷體" w:hAnsi="標楷體"/>
                <w:color w:val="000000"/>
                <w:sz w:val="28"/>
              </w:rPr>
            </w:pPr>
            <w:r w:rsidRPr="00990AC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文化部函送111年1月至8月該部接受外界捐贈款明細表，請查照案。</w:t>
            </w:r>
          </w:p>
        </w:tc>
        <w:tc>
          <w:tcPr>
            <w:tcW w:w="897" w:type="pct"/>
          </w:tcPr>
          <w:p w:rsidR="00287897" w:rsidRPr="00990ACA" w:rsidRDefault="00287897" w:rsidP="00287897">
            <w:pPr>
              <w:pStyle w:val="0-"/>
            </w:pPr>
            <w:r w:rsidRPr="00990ACA">
              <w:t>10-6-1</w:t>
            </w:r>
            <w:r w:rsidRPr="00990ACA">
              <w:rPr>
                <w:rFonts w:hint="eastAsia"/>
              </w:rPr>
              <w:t>3</w:t>
            </w:r>
          </w:p>
          <w:p w:rsidR="00287897" w:rsidRPr="00990ACA" w:rsidRDefault="00287897" w:rsidP="00287897">
            <w:pPr>
              <w:pStyle w:val="0-"/>
            </w:pPr>
            <w:r w:rsidRPr="00990ACA">
              <w:t>(111.12.</w:t>
            </w:r>
            <w:r w:rsidRPr="00990ACA">
              <w:rPr>
                <w:rFonts w:hint="eastAsia"/>
              </w:rPr>
              <w:t>23</w:t>
            </w:r>
            <w:r w:rsidRPr="00990ACA">
              <w:t>)</w:t>
            </w:r>
          </w:p>
        </w:tc>
        <w:tc>
          <w:tcPr>
            <w:tcW w:w="523" w:type="pct"/>
          </w:tcPr>
          <w:p w:rsidR="00287897" w:rsidRPr="00990ACA" w:rsidRDefault="00287897" w:rsidP="00287897">
            <w:pPr>
              <w:rPr>
                <w:rFonts w:ascii="標楷體" w:eastAsia="標楷體" w:hAnsi="標楷體"/>
                <w:color w:val="000000"/>
                <w:sz w:val="28"/>
              </w:rPr>
            </w:pPr>
          </w:p>
        </w:tc>
        <w:tc>
          <w:tcPr>
            <w:tcW w:w="1247" w:type="pct"/>
          </w:tcPr>
          <w:p w:rsidR="00287897" w:rsidRPr="00990ACA" w:rsidRDefault="00287897" w:rsidP="008C2561">
            <w:pPr>
              <w:rPr>
                <w:rFonts w:ascii="標楷體" w:eastAsia="標楷體" w:hAnsi="標楷體"/>
                <w:color w:val="000000"/>
                <w:sz w:val="28"/>
              </w:rPr>
            </w:pPr>
            <w:r w:rsidRPr="00990AC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文化部函送111年1月至9月該部接受外界捐贈款明細表，請查照案。</w:t>
            </w:r>
          </w:p>
        </w:tc>
        <w:tc>
          <w:tcPr>
            <w:tcW w:w="897" w:type="pct"/>
          </w:tcPr>
          <w:p w:rsidR="00287897" w:rsidRPr="00990ACA" w:rsidRDefault="00287897" w:rsidP="00287897">
            <w:pPr>
              <w:pStyle w:val="0-"/>
            </w:pPr>
            <w:r w:rsidRPr="00990ACA">
              <w:t>10-6-1</w:t>
            </w:r>
            <w:r w:rsidRPr="00990ACA">
              <w:rPr>
                <w:rFonts w:hint="eastAsia"/>
              </w:rPr>
              <w:t>3</w:t>
            </w:r>
          </w:p>
          <w:p w:rsidR="00287897" w:rsidRPr="00990ACA" w:rsidRDefault="00287897" w:rsidP="00287897">
            <w:pPr>
              <w:pStyle w:val="0-"/>
            </w:pPr>
            <w:r w:rsidRPr="00990ACA">
              <w:t>(111.12.</w:t>
            </w:r>
            <w:r w:rsidRPr="00990ACA">
              <w:rPr>
                <w:rFonts w:hint="eastAsia"/>
              </w:rPr>
              <w:t>23</w:t>
            </w:r>
            <w:r w:rsidRPr="00990ACA">
              <w:t>)</w:t>
            </w:r>
          </w:p>
        </w:tc>
        <w:tc>
          <w:tcPr>
            <w:tcW w:w="523" w:type="pct"/>
          </w:tcPr>
          <w:p w:rsidR="00287897" w:rsidRPr="00990ACA" w:rsidRDefault="00287897" w:rsidP="00287897">
            <w:pPr>
              <w:rPr>
                <w:rFonts w:ascii="標楷體" w:eastAsia="標楷體" w:hAnsi="標楷體"/>
                <w:color w:val="000000"/>
                <w:sz w:val="28"/>
              </w:rPr>
            </w:pPr>
          </w:p>
        </w:tc>
        <w:tc>
          <w:tcPr>
            <w:tcW w:w="1247" w:type="pct"/>
          </w:tcPr>
          <w:p w:rsidR="00287897" w:rsidRPr="00990ACA" w:rsidRDefault="00287897" w:rsidP="008C2561">
            <w:pPr>
              <w:rPr>
                <w:rFonts w:ascii="標楷體" w:eastAsia="標楷體" w:hAnsi="標楷體"/>
                <w:color w:val="000000"/>
                <w:sz w:val="28"/>
              </w:rPr>
            </w:pPr>
            <w:r w:rsidRPr="00990AC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文化部函送111年1月至10月該部接受外界捐贈款明細表，請查照案。</w:t>
            </w:r>
          </w:p>
        </w:tc>
        <w:tc>
          <w:tcPr>
            <w:tcW w:w="897" w:type="pct"/>
          </w:tcPr>
          <w:p w:rsidR="00287897" w:rsidRPr="00990ACA" w:rsidRDefault="00287897" w:rsidP="00287897">
            <w:pPr>
              <w:pStyle w:val="0-"/>
            </w:pPr>
            <w:r w:rsidRPr="00990ACA">
              <w:t>10-6-1</w:t>
            </w:r>
            <w:r w:rsidRPr="00990ACA">
              <w:rPr>
                <w:rFonts w:hint="eastAsia"/>
              </w:rPr>
              <w:t>3</w:t>
            </w:r>
          </w:p>
          <w:p w:rsidR="00287897" w:rsidRPr="00990ACA" w:rsidRDefault="00287897" w:rsidP="00287897">
            <w:pPr>
              <w:pStyle w:val="0-"/>
            </w:pPr>
            <w:r w:rsidRPr="00990ACA">
              <w:t>(111.12.</w:t>
            </w:r>
            <w:r w:rsidRPr="00990ACA">
              <w:rPr>
                <w:rFonts w:hint="eastAsia"/>
              </w:rPr>
              <w:t>23</w:t>
            </w:r>
            <w:r w:rsidRPr="00990ACA">
              <w:t>)</w:t>
            </w:r>
          </w:p>
        </w:tc>
        <w:tc>
          <w:tcPr>
            <w:tcW w:w="523" w:type="pct"/>
          </w:tcPr>
          <w:p w:rsidR="00287897" w:rsidRPr="00990ACA" w:rsidRDefault="00287897" w:rsidP="00287897">
            <w:pPr>
              <w:rPr>
                <w:rFonts w:ascii="標楷體" w:eastAsia="標楷體" w:hAnsi="標楷體"/>
                <w:color w:val="000000"/>
                <w:sz w:val="28"/>
              </w:rPr>
            </w:pPr>
          </w:p>
        </w:tc>
        <w:tc>
          <w:tcPr>
            <w:tcW w:w="1247" w:type="pct"/>
          </w:tcPr>
          <w:p w:rsidR="00287897" w:rsidRPr="00990ACA" w:rsidRDefault="00287897" w:rsidP="008C2561">
            <w:pPr>
              <w:rPr>
                <w:rFonts w:ascii="標楷體" w:eastAsia="標楷體" w:hAnsi="標楷體"/>
                <w:color w:val="000000"/>
                <w:sz w:val="28"/>
              </w:rPr>
            </w:pPr>
            <w:r w:rsidRPr="00990AC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文化部函送111年第2季辦理政策及業務宣導之執行情形表，請查照案。</w:t>
            </w:r>
          </w:p>
        </w:tc>
        <w:tc>
          <w:tcPr>
            <w:tcW w:w="897" w:type="pct"/>
          </w:tcPr>
          <w:p w:rsidR="00287897" w:rsidRPr="00990ACA" w:rsidRDefault="00287897" w:rsidP="00287897">
            <w:pPr>
              <w:pStyle w:val="0-"/>
            </w:pPr>
            <w:r w:rsidRPr="00990ACA">
              <w:t>10-6-1</w:t>
            </w:r>
            <w:r w:rsidRPr="00990ACA">
              <w:rPr>
                <w:rFonts w:hint="eastAsia"/>
              </w:rPr>
              <w:t>3</w:t>
            </w:r>
          </w:p>
          <w:p w:rsidR="00287897" w:rsidRPr="00990ACA" w:rsidRDefault="00287897" w:rsidP="00287897">
            <w:pPr>
              <w:pStyle w:val="0-"/>
            </w:pPr>
            <w:r w:rsidRPr="00990ACA">
              <w:t>(111.12.</w:t>
            </w:r>
            <w:r w:rsidRPr="00990ACA">
              <w:rPr>
                <w:rFonts w:hint="eastAsia"/>
              </w:rPr>
              <w:t>23</w:t>
            </w:r>
            <w:r w:rsidRPr="00990ACA">
              <w:t>)</w:t>
            </w:r>
          </w:p>
        </w:tc>
        <w:tc>
          <w:tcPr>
            <w:tcW w:w="523" w:type="pct"/>
          </w:tcPr>
          <w:p w:rsidR="00287897" w:rsidRPr="00990ACA" w:rsidRDefault="00287897" w:rsidP="00287897">
            <w:pPr>
              <w:rPr>
                <w:rFonts w:ascii="標楷體" w:eastAsia="標楷體" w:hAnsi="標楷體"/>
                <w:color w:val="000000"/>
                <w:sz w:val="28"/>
              </w:rPr>
            </w:pPr>
          </w:p>
        </w:tc>
        <w:tc>
          <w:tcPr>
            <w:tcW w:w="1247" w:type="pct"/>
          </w:tcPr>
          <w:p w:rsidR="00287897" w:rsidRPr="00990ACA" w:rsidRDefault="00287897" w:rsidP="008C2561">
            <w:pPr>
              <w:rPr>
                <w:rFonts w:ascii="標楷體" w:eastAsia="標楷體" w:hAnsi="標楷體"/>
                <w:color w:val="000000"/>
                <w:sz w:val="28"/>
              </w:rPr>
            </w:pPr>
            <w:r w:rsidRPr="00990AC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文化部函送111年度截至第2季止對縣市政府、民間團體及個人補（捐）助經費彙總表，請查照案。</w:t>
            </w:r>
          </w:p>
        </w:tc>
        <w:tc>
          <w:tcPr>
            <w:tcW w:w="897" w:type="pct"/>
          </w:tcPr>
          <w:p w:rsidR="00287897" w:rsidRPr="00990ACA" w:rsidRDefault="00287897" w:rsidP="00287897">
            <w:pPr>
              <w:pStyle w:val="0-"/>
            </w:pPr>
            <w:r w:rsidRPr="00990ACA">
              <w:t>10-6-1</w:t>
            </w:r>
            <w:r w:rsidRPr="00990ACA">
              <w:rPr>
                <w:rFonts w:hint="eastAsia"/>
              </w:rPr>
              <w:t>3</w:t>
            </w:r>
          </w:p>
          <w:p w:rsidR="00287897" w:rsidRPr="00990ACA" w:rsidRDefault="00287897" w:rsidP="00287897">
            <w:pPr>
              <w:pStyle w:val="0-"/>
            </w:pPr>
            <w:r w:rsidRPr="00990ACA">
              <w:t>(111.12.</w:t>
            </w:r>
            <w:r w:rsidRPr="00990ACA">
              <w:rPr>
                <w:rFonts w:hint="eastAsia"/>
              </w:rPr>
              <w:t>23</w:t>
            </w:r>
            <w:r w:rsidRPr="00990ACA">
              <w:t>)</w:t>
            </w:r>
          </w:p>
        </w:tc>
        <w:tc>
          <w:tcPr>
            <w:tcW w:w="523" w:type="pct"/>
          </w:tcPr>
          <w:p w:rsidR="00287897" w:rsidRPr="00990ACA" w:rsidRDefault="00287897" w:rsidP="00287897">
            <w:pPr>
              <w:rPr>
                <w:rFonts w:ascii="標楷體" w:eastAsia="標楷體" w:hAnsi="標楷體"/>
                <w:color w:val="000000"/>
                <w:sz w:val="28"/>
              </w:rPr>
            </w:pPr>
          </w:p>
        </w:tc>
        <w:tc>
          <w:tcPr>
            <w:tcW w:w="1247" w:type="pct"/>
          </w:tcPr>
          <w:p w:rsidR="00287897" w:rsidRPr="00990ACA" w:rsidRDefault="00287897" w:rsidP="008C2561">
            <w:pPr>
              <w:rPr>
                <w:rFonts w:ascii="標楷體" w:eastAsia="標楷體" w:hAnsi="標楷體"/>
                <w:color w:val="000000"/>
                <w:sz w:val="28"/>
              </w:rPr>
            </w:pPr>
            <w:r w:rsidRPr="00990AC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文化部函送文化內容策進院「5G內容力技術力跨域創新生</w:t>
            </w:r>
            <w:r w:rsidRPr="002964FE">
              <w:rPr>
                <w:rFonts w:hint="eastAsia"/>
              </w:rPr>
              <w:lastRenderedPageBreak/>
              <w:t>態系計畫」111年第3季執行情形書面報告，請查照案。</w:t>
            </w:r>
          </w:p>
        </w:tc>
        <w:tc>
          <w:tcPr>
            <w:tcW w:w="897" w:type="pct"/>
          </w:tcPr>
          <w:p w:rsidR="00287897" w:rsidRPr="00990ACA" w:rsidRDefault="00287897" w:rsidP="00287897">
            <w:pPr>
              <w:pStyle w:val="0-"/>
            </w:pPr>
            <w:r w:rsidRPr="00990ACA">
              <w:lastRenderedPageBreak/>
              <w:t>10-6-1</w:t>
            </w:r>
            <w:r w:rsidRPr="00990ACA">
              <w:rPr>
                <w:rFonts w:hint="eastAsia"/>
              </w:rPr>
              <w:t>3</w:t>
            </w:r>
          </w:p>
          <w:p w:rsidR="00287897" w:rsidRPr="00990ACA" w:rsidRDefault="00287897" w:rsidP="00287897">
            <w:pPr>
              <w:pStyle w:val="0-"/>
            </w:pPr>
            <w:r w:rsidRPr="00990ACA">
              <w:t>(111.12.</w:t>
            </w:r>
            <w:r w:rsidRPr="00990ACA">
              <w:rPr>
                <w:rFonts w:hint="eastAsia"/>
              </w:rPr>
              <w:t>23</w:t>
            </w:r>
            <w:r w:rsidRPr="00990ACA">
              <w:t>)</w:t>
            </w:r>
          </w:p>
        </w:tc>
        <w:tc>
          <w:tcPr>
            <w:tcW w:w="523" w:type="pct"/>
          </w:tcPr>
          <w:p w:rsidR="00287897" w:rsidRPr="00990ACA" w:rsidRDefault="00287897" w:rsidP="00287897">
            <w:pPr>
              <w:rPr>
                <w:rFonts w:ascii="標楷體" w:eastAsia="標楷體" w:hAnsi="標楷體"/>
                <w:color w:val="000000"/>
                <w:sz w:val="28"/>
              </w:rPr>
            </w:pPr>
          </w:p>
        </w:tc>
        <w:tc>
          <w:tcPr>
            <w:tcW w:w="1247" w:type="pct"/>
          </w:tcPr>
          <w:p w:rsidR="00287897" w:rsidRPr="00990ACA" w:rsidRDefault="00287897" w:rsidP="008C2561">
            <w:pPr>
              <w:rPr>
                <w:rFonts w:ascii="標楷體" w:eastAsia="標楷體" w:hAnsi="標楷體"/>
                <w:color w:val="000000"/>
                <w:sz w:val="28"/>
              </w:rPr>
            </w:pPr>
            <w:r w:rsidRPr="00990AC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文化部函送111年第3季辦理政策及業務宣導之執行情形表，請查照案。</w:t>
            </w:r>
          </w:p>
        </w:tc>
        <w:tc>
          <w:tcPr>
            <w:tcW w:w="897" w:type="pct"/>
          </w:tcPr>
          <w:p w:rsidR="00287897" w:rsidRPr="00990ACA" w:rsidRDefault="00287897" w:rsidP="00287897">
            <w:pPr>
              <w:pStyle w:val="0-"/>
            </w:pPr>
            <w:r w:rsidRPr="00990ACA">
              <w:t>10-6-1</w:t>
            </w:r>
            <w:r w:rsidRPr="00990ACA">
              <w:rPr>
                <w:rFonts w:hint="eastAsia"/>
              </w:rPr>
              <w:t>3</w:t>
            </w:r>
          </w:p>
          <w:p w:rsidR="00287897" w:rsidRPr="00990ACA" w:rsidRDefault="00287897" w:rsidP="00287897">
            <w:pPr>
              <w:pStyle w:val="0-"/>
            </w:pPr>
            <w:r w:rsidRPr="00990ACA">
              <w:t>(111.12.</w:t>
            </w:r>
            <w:r w:rsidRPr="00990ACA">
              <w:rPr>
                <w:rFonts w:hint="eastAsia"/>
              </w:rPr>
              <w:t>23</w:t>
            </w:r>
            <w:r w:rsidRPr="00990ACA">
              <w:t>)</w:t>
            </w:r>
          </w:p>
        </w:tc>
        <w:tc>
          <w:tcPr>
            <w:tcW w:w="523" w:type="pct"/>
          </w:tcPr>
          <w:p w:rsidR="00287897" w:rsidRPr="00990ACA" w:rsidRDefault="00287897" w:rsidP="00287897">
            <w:pPr>
              <w:rPr>
                <w:rFonts w:ascii="標楷體" w:eastAsia="標楷體" w:hAnsi="標楷體"/>
                <w:color w:val="000000"/>
                <w:sz w:val="28"/>
              </w:rPr>
            </w:pPr>
          </w:p>
        </w:tc>
        <w:tc>
          <w:tcPr>
            <w:tcW w:w="1247" w:type="pct"/>
          </w:tcPr>
          <w:p w:rsidR="00287897" w:rsidRPr="00990ACA" w:rsidRDefault="00287897" w:rsidP="008C2561">
            <w:pPr>
              <w:rPr>
                <w:rFonts w:ascii="標楷體" w:eastAsia="標楷體" w:hAnsi="標楷體"/>
                <w:color w:val="000000"/>
                <w:sz w:val="28"/>
              </w:rPr>
            </w:pPr>
            <w:r w:rsidRPr="00990AC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文化部函送111年度截至第3季止對縣市政府、民間團體及個人補（捐）助經費彙總表，請查照案。</w:t>
            </w:r>
          </w:p>
        </w:tc>
        <w:tc>
          <w:tcPr>
            <w:tcW w:w="897" w:type="pct"/>
          </w:tcPr>
          <w:p w:rsidR="00287897" w:rsidRPr="00990ACA" w:rsidRDefault="00287897" w:rsidP="00287897">
            <w:pPr>
              <w:pStyle w:val="0-"/>
            </w:pPr>
            <w:r w:rsidRPr="00990ACA">
              <w:t>10-6-1</w:t>
            </w:r>
            <w:r w:rsidRPr="00990ACA">
              <w:rPr>
                <w:rFonts w:hint="eastAsia"/>
              </w:rPr>
              <w:t>3</w:t>
            </w:r>
          </w:p>
          <w:p w:rsidR="00287897" w:rsidRPr="00990ACA" w:rsidRDefault="00287897" w:rsidP="00287897">
            <w:pPr>
              <w:pStyle w:val="0-"/>
            </w:pPr>
            <w:r w:rsidRPr="00990ACA">
              <w:t>(111.12.</w:t>
            </w:r>
            <w:r w:rsidRPr="00990ACA">
              <w:rPr>
                <w:rFonts w:hint="eastAsia"/>
              </w:rPr>
              <w:t>23</w:t>
            </w:r>
            <w:r w:rsidRPr="00990ACA">
              <w:t>)</w:t>
            </w:r>
          </w:p>
        </w:tc>
        <w:tc>
          <w:tcPr>
            <w:tcW w:w="523" w:type="pct"/>
          </w:tcPr>
          <w:p w:rsidR="00287897" w:rsidRPr="00990ACA" w:rsidRDefault="00287897" w:rsidP="00287897">
            <w:pPr>
              <w:rPr>
                <w:rFonts w:ascii="標楷體" w:eastAsia="標楷體" w:hAnsi="標楷體"/>
                <w:color w:val="000000"/>
                <w:sz w:val="28"/>
              </w:rPr>
            </w:pPr>
          </w:p>
        </w:tc>
        <w:tc>
          <w:tcPr>
            <w:tcW w:w="1247" w:type="pct"/>
          </w:tcPr>
          <w:p w:rsidR="00287897" w:rsidRPr="00990ACA" w:rsidRDefault="00287897" w:rsidP="008C2561">
            <w:pPr>
              <w:rPr>
                <w:rFonts w:ascii="標楷體" w:eastAsia="標楷體" w:hAnsi="標楷體"/>
                <w:color w:val="000000"/>
                <w:sz w:val="28"/>
              </w:rPr>
            </w:pPr>
            <w:r w:rsidRPr="00990AC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國立故宮博物院函送「新故宮─故宮公共化帶動觀光產業發展中程計畫」111年第2季辦理進度書面報告，請查照案。</w:t>
            </w:r>
          </w:p>
        </w:tc>
        <w:tc>
          <w:tcPr>
            <w:tcW w:w="897" w:type="pct"/>
          </w:tcPr>
          <w:p w:rsidR="00287897" w:rsidRPr="00990ACA" w:rsidRDefault="00287897" w:rsidP="00287897">
            <w:pPr>
              <w:pStyle w:val="0-"/>
            </w:pPr>
            <w:r w:rsidRPr="00990ACA">
              <w:t>10-6-1</w:t>
            </w:r>
            <w:r w:rsidRPr="00990ACA">
              <w:rPr>
                <w:rFonts w:hint="eastAsia"/>
              </w:rPr>
              <w:t>3</w:t>
            </w:r>
          </w:p>
          <w:p w:rsidR="00287897" w:rsidRPr="00990ACA" w:rsidRDefault="00287897" w:rsidP="00287897">
            <w:pPr>
              <w:pStyle w:val="0-"/>
            </w:pPr>
            <w:r w:rsidRPr="00990ACA">
              <w:t>(111.12.</w:t>
            </w:r>
            <w:r w:rsidRPr="00990ACA">
              <w:rPr>
                <w:rFonts w:hint="eastAsia"/>
              </w:rPr>
              <w:t>23</w:t>
            </w:r>
            <w:r w:rsidRPr="00990ACA">
              <w:t>)</w:t>
            </w:r>
          </w:p>
        </w:tc>
        <w:tc>
          <w:tcPr>
            <w:tcW w:w="523" w:type="pct"/>
          </w:tcPr>
          <w:p w:rsidR="00287897" w:rsidRPr="00990ACA" w:rsidRDefault="00287897" w:rsidP="00287897">
            <w:pPr>
              <w:rPr>
                <w:rFonts w:ascii="標楷體" w:eastAsia="標楷體" w:hAnsi="標楷體"/>
                <w:color w:val="000000"/>
                <w:sz w:val="28"/>
              </w:rPr>
            </w:pPr>
          </w:p>
        </w:tc>
        <w:tc>
          <w:tcPr>
            <w:tcW w:w="1247" w:type="pct"/>
          </w:tcPr>
          <w:p w:rsidR="00287897" w:rsidRPr="00990ACA" w:rsidRDefault="00287897" w:rsidP="008C2561">
            <w:pPr>
              <w:rPr>
                <w:rFonts w:ascii="標楷體" w:eastAsia="標楷體" w:hAnsi="標楷體"/>
                <w:color w:val="000000"/>
                <w:sz w:val="28"/>
              </w:rPr>
            </w:pPr>
            <w:r w:rsidRPr="00990AC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國立故宮博物院函送「新故宮－故宮公共化帶動觀光產業發展中程計畫」111年第3季辦理進度書面報告，請查照案。</w:t>
            </w:r>
          </w:p>
        </w:tc>
        <w:tc>
          <w:tcPr>
            <w:tcW w:w="897" w:type="pct"/>
          </w:tcPr>
          <w:p w:rsidR="00287897" w:rsidRPr="00990ACA" w:rsidRDefault="00287897" w:rsidP="00287897">
            <w:pPr>
              <w:pStyle w:val="0-"/>
            </w:pPr>
            <w:r w:rsidRPr="00990ACA">
              <w:t>10-6-1</w:t>
            </w:r>
            <w:r w:rsidRPr="00990ACA">
              <w:rPr>
                <w:rFonts w:hint="eastAsia"/>
              </w:rPr>
              <w:t>3</w:t>
            </w:r>
          </w:p>
          <w:p w:rsidR="00287897" w:rsidRPr="00990ACA" w:rsidRDefault="00287897" w:rsidP="00287897">
            <w:pPr>
              <w:pStyle w:val="0-"/>
            </w:pPr>
            <w:r w:rsidRPr="00990ACA">
              <w:t>(111.12.</w:t>
            </w:r>
            <w:r w:rsidRPr="00990ACA">
              <w:rPr>
                <w:rFonts w:hint="eastAsia"/>
              </w:rPr>
              <w:t>23</w:t>
            </w:r>
            <w:r w:rsidRPr="00990ACA">
              <w:t>)</w:t>
            </w:r>
          </w:p>
        </w:tc>
        <w:tc>
          <w:tcPr>
            <w:tcW w:w="523" w:type="pct"/>
          </w:tcPr>
          <w:p w:rsidR="00287897" w:rsidRPr="00990ACA" w:rsidRDefault="00287897" w:rsidP="00287897">
            <w:pPr>
              <w:rPr>
                <w:rFonts w:ascii="標楷體" w:eastAsia="標楷體" w:hAnsi="標楷體"/>
                <w:color w:val="000000"/>
                <w:sz w:val="28"/>
              </w:rPr>
            </w:pPr>
          </w:p>
        </w:tc>
        <w:tc>
          <w:tcPr>
            <w:tcW w:w="1247" w:type="pct"/>
          </w:tcPr>
          <w:p w:rsidR="00287897" w:rsidRPr="00990ACA" w:rsidRDefault="00287897" w:rsidP="008C2561">
            <w:pPr>
              <w:rPr>
                <w:rFonts w:ascii="標楷體" w:eastAsia="標楷體" w:hAnsi="標楷體"/>
                <w:color w:val="000000"/>
                <w:sz w:val="28"/>
              </w:rPr>
            </w:pPr>
            <w:r w:rsidRPr="00990AC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科技部函送111年第2季補（捐）助民間團體及個人經費資料一覽表，請查照案。</w:t>
            </w:r>
          </w:p>
        </w:tc>
        <w:tc>
          <w:tcPr>
            <w:tcW w:w="897" w:type="pct"/>
          </w:tcPr>
          <w:p w:rsidR="00287897" w:rsidRPr="00990ACA" w:rsidRDefault="00287897" w:rsidP="00287897">
            <w:pPr>
              <w:pStyle w:val="0-"/>
            </w:pPr>
            <w:r w:rsidRPr="00990ACA">
              <w:t>10-6-1</w:t>
            </w:r>
            <w:r w:rsidRPr="00990ACA">
              <w:rPr>
                <w:rFonts w:hint="eastAsia"/>
              </w:rPr>
              <w:t>3</w:t>
            </w:r>
          </w:p>
          <w:p w:rsidR="00287897" w:rsidRPr="00990ACA" w:rsidRDefault="00287897" w:rsidP="00287897">
            <w:pPr>
              <w:pStyle w:val="0-"/>
            </w:pPr>
            <w:r w:rsidRPr="00990ACA">
              <w:t>(111.12.</w:t>
            </w:r>
            <w:r w:rsidRPr="00990ACA">
              <w:rPr>
                <w:rFonts w:hint="eastAsia"/>
              </w:rPr>
              <w:t>23</w:t>
            </w:r>
            <w:r w:rsidRPr="00990ACA">
              <w:t>)</w:t>
            </w:r>
          </w:p>
        </w:tc>
        <w:tc>
          <w:tcPr>
            <w:tcW w:w="523" w:type="pct"/>
          </w:tcPr>
          <w:p w:rsidR="00287897" w:rsidRPr="00990ACA" w:rsidRDefault="00287897" w:rsidP="00287897">
            <w:pPr>
              <w:rPr>
                <w:rFonts w:ascii="標楷體" w:eastAsia="標楷體" w:hAnsi="標楷體"/>
                <w:color w:val="000000"/>
                <w:sz w:val="28"/>
              </w:rPr>
            </w:pPr>
          </w:p>
        </w:tc>
        <w:tc>
          <w:tcPr>
            <w:tcW w:w="1247" w:type="pct"/>
          </w:tcPr>
          <w:p w:rsidR="00287897" w:rsidRPr="00990ACA" w:rsidRDefault="00287897" w:rsidP="008C2561">
            <w:pPr>
              <w:rPr>
                <w:rFonts w:ascii="標楷體" w:eastAsia="標楷體" w:hAnsi="標楷體"/>
                <w:color w:val="000000"/>
                <w:sz w:val="28"/>
              </w:rPr>
            </w:pPr>
            <w:r w:rsidRPr="00990AC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科技部函送「科學園區管理局作業基金各項財務改善措施之執行成效」111年第2季書面報告，請查照案。</w:t>
            </w:r>
          </w:p>
        </w:tc>
        <w:tc>
          <w:tcPr>
            <w:tcW w:w="897" w:type="pct"/>
          </w:tcPr>
          <w:p w:rsidR="00287897" w:rsidRPr="00990ACA" w:rsidRDefault="00287897" w:rsidP="00287897">
            <w:pPr>
              <w:pStyle w:val="0-"/>
            </w:pPr>
            <w:r w:rsidRPr="00990ACA">
              <w:t>10-6-1</w:t>
            </w:r>
            <w:r w:rsidRPr="00990ACA">
              <w:rPr>
                <w:rFonts w:hint="eastAsia"/>
              </w:rPr>
              <w:t>3</w:t>
            </w:r>
          </w:p>
          <w:p w:rsidR="00287897" w:rsidRPr="00990ACA" w:rsidRDefault="00287897" w:rsidP="00287897">
            <w:pPr>
              <w:pStyle w:val="0-"/>
            </w:pPr>
            <w:r w:rsidRPr="00990ACA">
              <w:t>(111.12.</w:t>
            </w:r>
            <w:r w:rsidRPr="00990ACA">
              <w:rPr>
                <w:rFonts w:hint="eastAsia"/>
              </w:rPr>
              <w:t>23</w:t>
            </w:r>
            <w:r w:rsidRPr="00990ACA">
              <w:t>)</w:t>
            </w:r>
          </w:p>
        </w:tc>
        <w:tc>
          <w:tcPr>
            <w:tcW w:w="523" w:type="pct"/>
          </w:tcPr>
          <w:p w:rsidR="00287897" w:rsidRPr="00990ACA" w:rsidRDefault="00287897" w:rsidP="00287897">
            <w:pPr>
              <w:rPr>
                <w:rFonts w:ascii="標楷體" w:eastAsia="標楷體" w:hAnsi="標楷體"/>
                <w:color w:val="000000"/>
                <w:sz w:val="28"/>
              </w:rPr>
            </w:pPr>
          </w:p>
        </w:tc>
        <w:tc>
          <w:tcPr>
            <w:tcW w:w="1247" w:type="pct"/>
          </w:tcPr>
          <w:p w:rsidR="00287897" w:rsidRPr="00990ACA" w:rsidRDefault="00287897" w:rsidP="008C2561">
            <w:pPr>
              <w:rPr>
                <w:rFonts w:ascii="標楷體" w:eastAsia="標楷體" w:hAnsi="標楷體"/>
                <w:color w:val="000000"/>
                <w:sz w:val="28"/>
              </w:rPr>
            </w:pPr>
            <w:r w:rsidRPr="00990AC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國家科學及技術委員會函送111年第2季於各類媒體辦理政策及業務宣導相關廣告之執行情形資料，請查照案。</w:t>
            </w:r>
          </w:p>
        </w:tc>
        <w:tc>
          <w:tcPr>
            <w:tcW w:w="897" w:type="pct"/>
          </w:tcPr>
          <w:p w:rsidR="00287897" w:rsidRPr="00990ACA" w:rsidRDefault="00287897" w:rsidP="00287897">
            <w:pPr>
              <w:pStyle w:val="0-"/>
            </w:pPr>
            <w:r w:rsidRPr="00990ACA">
              <w:t>10-6-1</w:t>
            </w:r>
            <w:r w:rsidRPr="00990ACA">
              <w:rPr>
                <w:rFonts w:hint="eastAsia"/>
              </w:rPr>
              <w:t>3</w:t>
            </w:r>
          </w:p>
          <w:p w:rsidR="00287897" w:rsidRPr="00990ACA" w:rsidRDefault="00287897" w:rsidP="00287897">
            <w:pPr>
              <w:pStyle w:val="0-"/>
            </w:pPr>
            <w:r w:rsidRPr="00990ACA">
              <w:t>(111.12.</w:t>
            </w:r>
            <w:r w:rsidRPr="00990ACA">
              <w:rPr>
                <w:rFonts w:hint="eastAsia"/>
              </w:rPr>
              <w:t>23</w:t>
            </w:r>
            <w:r w:rsidRPr="00990ACA">
              <w:t>)</w:t>
            </w:r>
          </w:p>
        </w:tc>
        <w:tc>
          <w:tcPr>
            <w:tcW w:w="523" w:type="pct"/>
          </w:tcPr>
          <w:p w:rsidR="00287897" w:rsidRPr="00990ACA" w:rsidRDefault="00287897" w:rsidP="00287897">
            <w:pPr>
              <w:rPr>
                <w:rFonts w:ascii="標楷體" w:eastAsia="標楷體" w:hAnsi="標楷體"/>
                <w:color w:val="000000"/>
                <w:sz w:val="28"/>
              </w:rPr>
            </w:pPr>
          </w:p>
        </w:tc>
        <w:tc>
          <w:tcPr>
            <w:tcW w:w="1247" w:type="pct"/>
          </w:tcPr>
          <w:p w:rsidR="00287897" w:rsidRPr="00990ACA" w:rsidRDefault="00287897" w:rsidP="008C2561">
            <w:pPr>
              <w:rPr>
                <w:rFonts w:ascii="標楷體" w:eastAsia="標楷體" w:hAnsi="標楷體"/>
                <w:color w:val="000000"/>
                <w:sz w:val="28"/>
              </w:rPr>
            </w:pPr>
            <w:r w:rsidRPr="00990AC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國家科學及技術委員會函送111年第3季補（捐）助民間團體及個人經費資料一覽表，請查照案。</w:t>
            </w:r>
          </w:p>
        </w:tc>
        <w:tc>
          <w:tcPr>
            <w:tcW w:w="897" w:type="pct"/>
          </w:tcPr>
          <w:p w:rsidR="00287897" w:rsidRPr="00990ACA" w:rsidRDefault="00287897" w:rsidP="00287897">
            <w:pPr>
              <w:pStyle w:val="0-"/>
            </w:pPr>
            <w:r w:rsidRPr="00990ACA">
              <w:t>10-6-1</w:t>
            </w:r>
            <w:r w:rsidRPr="00990ACA">
              <w:rPr>
                <w:rFonts w:hint="eastAsia"/>
              </w:rPr>
              <w:t>3</w:t>
            </w:r>
          </w:p>
          <w:p w:rsidR="00287897" w:rsidRPr="00990ACA" w:rsidRDefault="00287897" w:rsidP="00287897">
            <w:pPr>
              <w:pStyle w:val="0-"/>
            </w:pPr>
            <w:r w:rsidRPr="00990ACA">
              <w:t>(111.12.</w:t>
            </w:r>
            <w:r w:rsidRPr="00990ACA">
              <w:rPr>
                <w:rFonts w:hint="eastAsia"/>
              </w:rPr>
              <w:t>23</w:t>
            </w:r>
            <w:r w:rsidRPr="00990ACA">
              <w:t>)</w:t>
            </w:r>
          </w:p>
        </w:tc>
        <w:tc>
          <w:tcPr>
            <w:tcW w:w="523" w:type="pct"/>
          </w:tcPr>
          <w:p w:rsidR="00287897" w:rsidRPr="00990ACA" w:rsidRDefault="00287897" w:rsidP="00287897">
            <w:pPr>
              <w:rPr>
                <w:rFonts w:ascii="標楷體" w:eastAsia="標楷體" w:hAnsi="標楷體"/>
                <w:color w:val="000000"/>
                <w:sz w:val="28"/>
              </w:rPr>
            </w:pPr>
          </w:p>
        </w:tc>
        <w:tc>
          <w:tcPr>
            <w:tcW w:w="1247" w:type="pct"/>
          </w:tcPr>
          <w:p w:rsidR="00287897" w:rsidRPr="00990ACA" w:rsidRDefault="00287897" w:rsidP="008C2561">
            <w:pPr>
              <w:rPr>
                <w:rFonts w:ascii="標楷體" w:eastAsia="標楷體" w:hAnsi="標楷體"/>
                <w:color w:val="000000"/>
                <w:sz w:val="28"/>
              </w:rPr>
            </w:pPr>
            <w:r w:rsidRPr="00990AC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國家科學及技術委員會函送「科學園區管理局作業基金各項財務改善措施之執行成效」</w:t>
            </w:r>
            <w:r w:rsidRPr="002964FE">
              <w:rPr>
                <w:rFonts w:hint="eastAsia"/>
              </w:rPr>
              <w:lastRenderedPageBreak/>
              <w:t>111年第3季書面報告，請查照案。</w:t>
            </w:r>
          </w:p>
        </w:tc>
        <w:tc>
          <w:tcPr>
            <w:tcW w:w="897" w:type="pct"/>
          </w:tcPr>
          <w:p w:rsidR="00287897" w:rsidRPr="00990ACA" w:rsidRDefault="00287897" w:rsidP="00287897">
            <w:pPr>
              <w:pStyle w:val="0-"/>
            </w:pPr>
            <w:r w:rsidRPr="00990ACA">
              <w:lastRenderedPageBreak/>
              <w:t>10-6-1</w:t>
            </w:r>
            <w:r w:rsidRPr="00990ACA">
              <w:rPr>
                <w:rFonts w:hint="eastAsia"/>
              </w:rPr>
              <w:t>3</w:t>
            </w:r>
          </w:p>
          <w:p w:rsidR="00287897" w:rsidRPr="00990ACA" w:rsidRDefault="00287897" w:rsidP="00287897">
            <w:pPr>
              <w:pStyle w:val="0-"/>
            </w:pPr>
            <w:r w:rsidRPr="00990ACA">
              <w:t>(111.12.</w:t>
            </w:r>
            <w:r w:rsidRPr="00990ACA">
              <w:rPr>
                <w:rFonts w:hint="eastAsia"/>
              </w:rPr>
              <w:t>23</w:t>
            </w:r>
            <w:r w:rsidRPr="00990ACA">
              <w:t>)</w:t>
            </w:r>
          </w:p>
        </w:tc>
        <w:tc>
          <w:tcPr>
            <w:tcW w:w="523" w:type="pct"/>
          </w:tcPr>
          <w:p w:rsidR="00287897" w:rsidRPr="00990ACA" w:rsidRDefault="00287897" w:rsidP="00287897">
            <w:pPr>
              <w:rPr>
                <w:rFonts w:ascii="標楷體" w:eastAsia="標楷體" w:hAnsi="標楷體"/>
                <w:color w:val="000000"/>
                <w:sz w:val="28"/>
              </w:rPr>
            </w:pPr>
          </w:p>
        </w:tc>
        <w:tc>
          <w:tcPr>
            <w:tcW w:w="1247" w:type="pct"/>
          </w:tcPr>
          <w:p w:rsidR="00287897" w:rsidRPr="00990ACA" w:rsidRDefault="00287897" w:rsidP="008C2561">
            <w:pPr>
              <w:rPr>
                <w:rFonts w:ascii="標楷體" w:eastAsia="標楷體" w:hAnsi="標楷體"/>
                <w:color w:val="000000"/>
                <w:sz w:val="28"/>
              </w:rPr>
            </w:pPr>
            <w:r w:rsidRPr="00990AC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國家科學及技術委員會函送111年第3季於各類媒體辦理政策及業務宣導相關廣告之執行情形資料，請查照案。</w:t>
            </w:r>
          </w:p>
        </w:tc>
        <w:tc>
          <w:tcPr>
            <w:tcW w:w="897" w:type="pct"/>
          </w:tcPr>
          <w:p w:rsidR="00287897" w:rsidRPr="00990ACA" w:rsidRDefault="00287897" w:rsidP="00287897">
            <w:pPr>
              <w:pStyle w:val="0-"/>
            </w:pPr>
            <w:r w:rsidRPr="00990ACA">
              <w:t>10-6-1</w:t>
            </w:r>
            <w:r w:rsidRPr="00990ACA">
              <w:rPr>
                <w:rFonts w:hint="eastAsia"/>
              </w:rPr>
              <w:t>3</w:t>
            </w:r>
          </w:p>
          <w:p w:rsidR="00287897" w:rsidRPr="00990ACA" w:rsidRDefault="00287897" w:rsidP="00287897">
            <w:pPr>
              <w:pStyle w:val="0-"/>
            </w:pPr>
            <w:r w:rsidRPr="00990ACA">
              <w:t>(111.12.</w:t>
            </w:r>
            <w:r w:rsidRPr="00990ACA">
              <w:rPr>
                <w:rFonts w:hint="eastAsia"/>
              </w:rPr>
              <w:t>23</w:t>
            </w:r>
            <w:r w:rsidRPr="00990ACA">
              <w:t>)</w:t>
            </w:r>
          </w:p>
        </w:tc>
        <w:tc>
          <w:tcPr>
            <w:tcW w:w="523" w:type="pct"/>
          </w:tcPr>
          <w:p w:rsidR="00287897" w:rsidRPr="00990ACA" w:rsidRDefault="00287897" w:rsidP="00287897">
            <w:pPr>
              <w:rPr>
                <w:rFonts w:ascii="標楷體" w:eastAsia="標楷體" w:hAnsi="標楷體"/>
                <w:color w:val="000000"/>
                <w:sz w:val="28"/>
              </w:rPr>
            </w:pPr>
          </w:p>
        </w:tc>
        <w:tc>
          <w:tcPr>
            <w:tcW w:w="1247" w:type="pct"/>
          </w:tcPr>
          <w:p w:rsidR="00287897" w:rsidRPr="00990ACA" w:rsidRDefault="00287897" w:rsidP="008C2561">
            <w:pPr>
              <w:rPr>
                <w:rFonts w:ascii="標楷體" w:eastAsia="標楷體" w:hAnsi="標楷體"/>
                <w:color w:val="000000"/>
                <w:sz w:val="28"/>
              </w:rPr>
            </w:pPr>
            <w:r w:rsidRPr="00990AC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教育部函送111年度第2季辦理政策及業務宣導之執行情形表，請查照案。</w:t>
            </w:r>
          </w:p>
        </w:tc>
        <w:tc>
          <w:tcPr>
            <w:tcW w:w="897" w:type="pct"/>
          </w:tcPr>
          <w:p w:rsidR="00287897" w:rsidRPr="00990ACA" w:rsidRDefault="00287897" w:rsidP="00287897">
            <w:pPr>
              <w:pStyle w:val="0-"/>
            </w:pPr>
            <w:r w:rsidRPr="00990ACA">
              <w:t>10-6-1</w:t>
            </w:r>
            <w:r w:rsidRPr="00990ACA">
              <w:rPr>
                <w:rFonts w:hint="eastAsia"/>
              </w:rPr>
              <w:t>3</w:t>
            </w:r>
          </w:p>
          <w:p w:rsidR="00287897" w:rsidRPr="00990ACA" w:rsidRDefault="00287897" w:rsidP="00287897">
            <w:pPr>
              <w:pStyle w:val="0-"/>
            </w:pPr>
            <w:r w:rsidRPr="00990ACA">
              <w:t>(111.12.</w:t>
            </w:r>
            <w:r w:rsidRPr="00990ACA">
              <w:rPr>
                <w:rFonts w:hint="eastAsia"/>
              </w:rPr>
              <w:t>23</w:t>
            </w:r>
            <w:r w:rsidRPr="00990ACA">
              <w:t>)</w:t>
            </w:r>
          </w:p>
        </w:tc>
        <w:tc>
          <w:tcPr>
            <w:tcW w:w="523" w:type="pct"/>
          </w:tcPr>
          <w:p w:rsidR="00287897" w:rsidRPr="00990ACA" w:rsidRDefault="00287897" w:rsidP="00287897">
            <w:pPr>
              <w:rPr>
                <w:rFonts w:ascii="標楷體" w:eastAsia="標楷體" w:hAnsi="標楷體"/>
                <w:color w:val="000000"/>
                <w:sz w:val="28"/>
              </w:rPr>
            </w:pPr>
          </w:p>
        </w:tc>
        <w:tc>
          <w:tcPr>
            <w:tcW w:w="1247" w:type="pct"/>
          </w:tcPr>
          <w:p w:rsidR="00287897" w:rsidRPr="00990ACA" w:rsidRDefault="00287897" w:rsidP="008C2561">
            <w:pPr>
              <w:rPr>
                <w:rFonts w:ascii="標楷體" w:eastAsia="標楷體" w:hAnsi="標楷體"/>
                <w:color w:val="000000"/>
                <w:sz w:val="28"/>
              </w:rPr>
            </w:pPr>
            <w:r w:rsidRPr="00990AC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教育部函送111年度第2季補捐助經費執行情形總表及明細表，請查照案。</w:t>
            </w:r>
          </w:p>
        </w:tc>
        <w:tc>
          <w:tcPr>
            <w:tcW w:w="897" w:type="pct"/>
          </w:tcPr>
          <w:p w:rsidR="00287897" w:rsidRPr="00990ACA" w:rsidRDefault="00287897" w:rsidP="00287897">
            <w:pPr>
              <w:pStyle w:val="0-"/>
            </w:pPr>
            <w:r w:rsidRPr="00990ACA">
              <w:t>10-6-1</w:t>
            </w:r>
            <w:r w:rsidRPr="00990ACA">
              <w:rPr>
                <w:rFonts w:hint="eastAsia"/>
              </w:rPr>
              <w:t>3</w:t>
            </w:r>
          </w:p>
          <w:p w:rsidR="00287897" w:rsidRPr="00990ACA" w:rsidRDefault="00287897" w:rsidP="00287897">
            <w:pPr>
              <w:pStyle w:val="0-"/>
            </w:pPr>
            <w:r w:rsidRPr="00990ACA">
              <w:t>(111.12.</w:t>
            </w:r>
            <w:r w:rsidRPr="00990ACA">
              <w:rPr>
                <w:rFonts w:hint="eastAsia"/>
              </w:rPr>
              <w:t>23</w:t>
            </w:r>
            <w:r w:rsidRPr="00990ACA">
              <w:t>)</w:t>
            </w:r>
          </w:p>
        </w:tc>
        <w:tc>
          <w:tcPr>
            <w:tcW w:w="523" w:type="pct"/>
          </w:tcPr>
          <w:p w:rsidR="00287897" w:rsidRPr="00990ACA" w:rsidRDefault="00287897" w:rsidP="00287897">
            <w:pPr>
              <w:rPr>
                <w:rFonts w:ascii="標楷體" w:eastAsia="標楷體" w:hAnsi="標楷體"/>
                <w:color w:val="000000"/>
                <w:sz w:val="28"/>
              </w:rPr>
            </w:pPr>
          </w:p>
        </w:tc>
        <w:tc>
          <w:tcPr>
            <w:tcW w:w="1247" w:type="pct"/>
          </w:tcPr>
          <w:p w:rsidR="00287897" w:rsidRPr="00990ACA" w:rsidRDefault="00287897" w:rsidP="008C2561">
            <w:pPr>
              <w:rPr>
                <w:rFonts w:ascii="標楷體" w:eastAsia="標楷體" w:hAnsi="標楷體"/>
                <w:color w:val="000000"/>
                <w:sz w:val="28"/>
              </w:rPr>
            </w:pPr>
            <w:r w:rsidRPr="00990AC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教育部函送111年度第3季補捐助經費執行情形總表及明細表，請查照案。</w:t>
            </w:r>
          </w:p>
        </w:tc>
        <w:tc>
          <w:tcPr>
            <w:tcW w:w="897" w:type="pct"/>
          </w:tcPr>
          <w:p w:rsidR="00287897" w:rsidRPr="00990ACA" w:rsidRDefault="00287897" w:rsidP="00287897">
            <w:pPr>
              <w:pStyle w:val="0-"/>
            </w:pPr>
            <w:r w:rsidRPr="00990ACA">
              <w:t>10-6-1</w:t>
            </w:r>
            <w:r w:rsidRPr="00990ACA">
              <w:rPr>
                <w:rFonts w:hint="eastAsia"/>
              </w:rPr>
              <w:t>3</w:t>
            </w:r>
          </w:p>
          <w:p w:rsidR="00287897" w:rsidRPr="00990ACA" w:rsidRDefault="00287897" w:rsidP="00287897">
            <w:pPr>
              <w:pStyle w:val="0-"/>
            </w:pPr>
            <w:r w:rsidRPr="00990ACA">
              <w:t>(111.12.</w:t>
            </w:r>
            <w:r w:rsidRPr="00990ACA">
              <w:rPr>
                <w:rFonts w:hint="eastAsia"/>
              </w:rPr>
              <w:t>23</w:t>
            </w:r>
            <w:r w:rsidRPr="00990ACA">
              <w:t>)</w:t>
            </w:r>
          </w:p>
        </w:tc>
        <w:tc>
          <w:tcPr>
            <w:tcW w:w="523" w:type="pct"/>
          </w:tcPr>
          <w:p w:rsidR="00287897" w:rsidRPr="00990ACA" w:rsidRDefault="00287897" w:rsidP="00287897">
            <w:pPr>
              <w:rPr>
                <w:rFonts w:ascii="標楷體" w:eastAsia="標楷體" w:hAnsi="標楷體"/>
                <w:color w:val="000000"/>
                <w:sz w:val="28"/>
              </w:rPr>
            </w:pPr>
          </w:p>
        </w:tc>
        <w:tc>
          <w:tcPr>
            <w:tcW w:w="1247" w:type="pct"/>
          </w:tcPr>
          <w:p w:rsidR="00287897" w:rsidRPr="00990ACA" w:rsidRDefault="00287897" w:rsidP="008C2561">
            <w:pPr>
              <w:rPr>
                <w:rFonts w:ascii="標楷體" w:eastAsia="標楷體" w:hAnsi="標楷體"/>
                <w:color w:val="000000"/>
                <w:sz w:val="28"/>
              </w:rPr>
            </w:pPr>
            <w:r w:rsidRPr="00990AC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教育部函送111年度第3季辦理政策及業務宣導之執行情形表，請查照案。</w:t>
            </w:r>
          </w:p>
        </w:tc>
        <w:tc>
          <w:tcPr>
            <w:tcW w:w="897" w:type="pct"/>
          </w:tcPr>
          <w:p w:rsidR="00287897" w:rsidRPr="00990ACA" w:rsidRDefault="00287897" w:rsidP="00287897">
            <w:pPr>
              <w:pStyle w:val="0-"/>
            </w:pPr>
            <w:r w:rsidRPr="00990ACA">
              <w:t>10-6-1</w:t>
            </w:r>
            <w:r w:rsidRPr="00990ACA">
              <w:rPr>
                <w:rFonts w:hint="eastAsia"/>
              </w:rPr>
              <w:t>3</w:t>
            </w:r>
          </w:p>
          <w:p w:rsidR="00287897" w:rsidRPr="00990ACA" w:rsidRDefault="00287897" w:rsidP="00287897">
            <w:pPr>
              <w:pStyle w:val="0-"/>
            </w:pPr>
            <w:r w:rsidRPr="00990ACA">
              <w:t>(111.12.</w:t>
            </w:r>
            <w:r w:rsidRPr="00990ACA">
              <w:rPr>
                <w:rFonts w:hint="eastAsia"/>
              </w:rPr>
              <w:t>23</w:t>
            </w:r>
            <w:r w:rsidRPr="00990ACA">
              <w:t>)</w:t>
            </w:r>
          </w:p>
        </w:tc>
        <w:tc>
          <w:tcPr>
            <w:tcW w:w="523" w:type="pct"/>
          </w:tcPr>
          <w:p w:rsidR="00287897" w:rsidRPr="00990ACA" w:rsidRDefault="00287897" w:rsidP="00287897">
            <w:pPr>
              <w:rPr>
                <w:rFonts w:ascii="標楷體" w:eastAsia="標楷體" w:hAnsi="標楷體"/>
                <w:color w:val="000000"/>
                <w:sz w:val="28"/>
              </w:rPr>
            </w:pPr>
          </w:p>
        </w:tc>
        <w:tc>
          <w:tcPr>
            <w:tcW w:w="1247" w:type="pct"/>
          </w:tcPr>
          <w:p w:rsidR="00287897" w:rsidRPr="00990ACA" w:rsidRDefault="00287897" w:rsidP="008C2561">
            <w:pPr>
              <w:rPr>
                <w:rFonts w:ascii="標楷體" w:eastAsia="標楷體" w:hAnsi="標楷體"/>
                <w:color w:val="000000"/>
                <w:sz w:val="28"/>
              </w:rPr>
            </w:pPr>
            <w:r w:rsidRPr="00990AC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行政院原子能委員會函，為該會111年第2季並無辦理政策及業務宣導相關之廣告，請查照案。</w:t>
            </w:r>
          </w:p>
        </w:tc>
        <w:tc>
          <w:tcPr>
            <w:tcW w:w="897" w:type="pct"/>
          </w:tcPr>
          <w:p w:rsidR="00287897" w:rsidRPr="00990ACA" w:rsidRDefault="00287897" w:rsidP="00287897">
            <w:pPr>
              <w:pStyle w:val="0-"/>
            </w:pPr>
            <w:r w:rsidRPr="00990ACA">
              <w:t>10-6-1</w:t>
            </w:r>
            <w:r w:rsidRPr="00990ACA">
              <w:rPr>
                <w:rFonts w:hint="eastAsia"/>
              </w:rPr>
              <w:t>3</w:t>
            </w:r>
          </w:p>
          <w:p w:rsidR="00287897" w:rsidRPr="00990ACA" w:rsidRDefault="00287897" w:rsidP="00287897">
            <w:pPr>
              <w:pStyle w:val="0-"/>
            </w:pPr>
            <w:r w:rsidRPr="00990ACA">
              <w:t>(111.12.</w:t>
            </w:r>
            <w:r w:rsidRPr="00990ACA">
              <w:rPr>
                <w:rFonts w:hint="eastAsia"/>
              </w:rPr>
              <w:t>23</w:t>
            </w:r>
            <w:r w:rsidRPr="00990ACA">
              <w:t>)</w:t>
            </w:r>
          </w:p>
        </w:tc>
        <w:tc>
          <w:tcPr>
            <w:tcW w:w="523" w:type="pct"/>
          </w:tcPr>
          <w:p w:rsidR="00287897" w:rsidRPr="00990ACA" w:rsidRDefault="00287897" w:rsidP="00287897">
            <w:pPr>
              <w:rPr>
                <w:rFonts w:ascii="標楷體" w:eastAsia="標楷體" w:hAnsi="標楷體"/>
                <w:color w:val="000000"/>
                <w:sz w:val="28"/>
              </w:rPr>
            </w:pPr>
          </w:p>
        </w:tc>
        <w:tc>
          <w:tcPr>
            <w:tcW w:w="1247" w:type="pct"/>
          </w:tcPr>
          <w:p w:rsidR="00287897" w:rsidRPr="00990ACA" w:rsidRDefault="00287897" w:rsidP="008C2561">
            <w:pPr>
              <w:rPr>
                <w:rFonts w:ascii="標楷體" w:eastAsia="標楷體" w:hAnsi="標楷體"/>
                <w:color w:val="000000"/>
                <w:sz w:val="28"/>
              </w:rPr>
            </w:pPr>
            <w:r w:rsidRPr="00990ACA">
              <w:rPr>
                <w:rFonts w:ascii="標楷體" w:eastAsia="標楷體" w:hAnsi="標楷體" w:hint="eastAsia"/>
                <w:color w:val="000000"/>
                <w:sz w:val="28"/>
              </w:rPr>
              <w:t>尚未審查</w:t>
            </w:r>
          </w:p>
        </w:tc>
      </w:tr>
      <w:tr w:rsidR="00287897" w:rsidRPr="00920597" w:rsidTr="00FB0608">
        <w:trPr>
          <w:trHeight w:val="700"/>
        </w:trPr>
        <w:tc>
          <w:tcPr>
            <w:tcW w:w="314" w:type="pct"/>
            <w:vAlign w:val="center"/>
          </w:tcPr>
          <w:p w:rsidR="00287897" w:rsidRPr="00920597" w:rsidRDefault="00287897" w:rsidP="006934DD">
            <w:pPr>
              <w:numPr>
                <w:ilvl w:val="0"/>
                <w:numId w:val="67"/>
              </w:numPr>
              <w:spacing w:line="400" w:lineRule="exact"/>
              <w:ind w:right="113"/>
              <w:rPr>
                <w:rFonts w:ascii="標楷體" w:eastAsia="標楷體" w:hAnsi="標楷體"/>
                <w:color w:val="000000" w:themeColor="text1"/>
                <w:sz w:val="28"/>
                <w:szCs w:val="28"/>
              </w:rPr>
            </w:pPr>
          </w:p>
        </w:tc>
        <w:tc>
          <w:tcPr>
            <w:tcW w:w="2019" w:type="pct"/>
          </w:tcPr>
          <w:p w:rsidR="00287897" w:rsidRPr="002964FE" w:rsidRDefault="00287897" w:rsidP="00287897">
            <w:pPr>
              <w:pStyle w:val="0-"/>
            </w:pPr>
            <w:r w:rsidRPr="002964FE">
              <w:rPr>
                <w:rFonts w:hint="eastAsia"/>
              </w:rPr>
              <w:t>行政院原子能委員會函送111年第3季辦理政策及業務宣導之執行情形表，請查照案。</w:t>
            </w:r>
          </w:p>
        </w:tc>
        <w:tc>
          <w:tcPr>
            <w:tcW w:w="897" w:type="pct"/>
          </w:tcPr>
          <w:p w:rsidR="00287897" w:rsidRPr="00990ACA" w:rsidRDefault="00287897" w:rsidP="00287897">
            <w:pPr>
              <w:pStyle w:val="0-"/>
            </w:pPr>
            <w:r w:rsidRPr="00990ACA">
              <w:t>10-6-1</w:t>
            </w:r>
            <w:r w:rsidRPr="00990ACA">
              <w:rPr>
                <w:rFonts w:hint="eastAsia"/>
              </w:rPr>
              <w:t>3</w:t>
            </w:r>
          </w:p>
          <w:p w:rsidR="00287897" w:rsidRPr="00990ACA" w:rsidRDefault="00287897" w:rsidP="00287897">
            <w:pPr>
              <w:pStyle w:val="0-"/>
            </w:pPr>
            <w:r w:rsidRPr="00990ACA">
              <w:t>(111.12.</w:t>
            </w:r>
            <w:r w:rsidRPr="00990ACA">
              <w:rPr>
                <w:rFonts w:hint="eastAsia"/>
              </w:rPr>
              <w:t>23</w:t>
            </w:r>
            <w:r w:rsidRPr="00990ACA">
              <w:t>)</w:t>
            </w:r>
          </w:p>
        </w:tc>
        <w:tc>
          <w:tcPr>
            <w:tcW w:w="523" w:type="pct"/>
          </w:tcPr>
          <w:p w:rsidR="00287897" w:rsidRPr="00990ACA" w:rsidRDefault="00287897" w:rsidP="00287897">
            <w:pPr>
              <w:rPr>
                <w:rFonts w:ascii="標楷體" w:eastAsia="標楷體" w:hAnsi="標楷體"/>
                <w:color w:val="000000"/>
                <w:sz w:val="28"/>
              </w:rPr>
            </w:pPr>
          </w:p>
        </w:tc>
        <w:tc>
          <w:tcPr>
            <w:tcW w:w="1247" w:type="pct"/>
          </w:tcPr>
          <w:p w:rsidR="00287897" w:rsidRPr="00990ACA" w:rsidRDefault="00287897" w:rsidP="008C2561">
            <w:pPr>
              <w:rPr>
                <w:rFonts w:ascii="標楷體" w:eastAsia="標楷體" w:hAnsi="標楷體"/>
                <w:color w:val="000000"/>
                <w:sz w:val="28"/>
              </w:rPr>
            </w:pPr>
            <w:r w:rsidRPr="00990ACA">
              <w:rPr>
                <w:rFonts w:ascii="標楷體" w:eastAsia="標楷體" w:hAnsi="標楷體" w:hint="eastAsia"/>
                <w:color w:val="000000"/>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國立故宮博物院函，為111年度中央政府總預算決議，檢送決議（五十三）故宮不宜降級三級機關及降級產生各項缺點書面報告，請查照案。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行政院原子能委員會函，為111年度中央政府總預算決議，檢送歲出部分第17款第1項決議（二十五）書面報告，請查照案。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行政院原子能委員會函，為111年度中央政府總預算決議，檢送歲出部分第17款第1項決議（三十五）書面報告，請查照案。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行政院原子能委員會函，為111年度中央政府總預算決議，檢送歲出部分第17款第2項決議（一）書面報告，請查照案。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行政院原子能委員會函，為111年度中央政府總預算決議，檢送歲出部分第17款第4項決議（二）書面報告，請查照案。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行政院原子能委員會函，為111年度中央政府總預算決議，檢送歲出部分第17款第4項決議（三）書面報告，請查照案。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行政院原子能委員會函，為111年度中央政府總預算決議，檢送歲出部分第17款第4項決議（四）書面報告，請查照案。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中央研究院函，為111年度中央政府總預算決議，檢送決議（五）轉型正義議題擴大研究書面報告，請查照案。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中央研究院函，為111年度中央政府總預算決議，檢送決議（八）加強mRNA計畫管理與自主技術研發書面報告，請查照案。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中央研究院函，為111年度中央政府總預算決議，檢送決議（十）加強國家生技研究園區研發成果產業化書面報告，請查照案。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中央研究院函，為111年度中央政府總預算決議，檢送決議（十四）推動本土或外國語言發展教育可行性書面報告，請查照案。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中央研究院函，為111年度中央政府總預算決議，檢送決議（十七）海岸藻礁生態相關研究成果書面報告，請查照案。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中央研究院函，為111年度中央政府總預算決議，檢送決議（二十六）關鍵突破研究計畫預算編製書面報告，請查照案。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中央研究院函，為111年度中央政府總預算決議，檢送決議（二十九）確實評估經資門預算需求書面報告，請查照案。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科技部函，為111年度中央政府總預算決議，檢送「科技會報辦公室組改規劃及科技預算分配機制」書面報告，請查照案。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文化部函，為111年度中央政府總預算決議，檢送歲出第21款第1項決議（八十三）國家購藏基金做為文化發展基金之子基金可行性書面報告，請查照案。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文化部函，為111年度中央政府總預算決議，檢送歲出第21款第1項決議（四十八）本土語言補助作品之教學轉換及採購使用可行性書面報告，請查照案。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教育部函，為111年度中央政府總預算決議，檢送調升兼任及代課教師鐘點費書面報告，請查照案。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教育部函，為111年度中央政府總預算決議，檢送社區學習據點舉辦本土語言相關活動辦理情形書面報告，請查照案。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教育部函，為111年度中央政府總預算決議，檢送「提升公共化幼兒園辦理課後留園比率」書面報告，請查照案。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教育部函，為111年度中央政府總預算決議，檢送「中小學數位學習資源整備及學習成效評估因應方案」書面報告，請查照案。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教育部函，為111年度中央政府總預算決議，檢送「輔導文教業者學習光碟數位化措施」書面報告，請查照案。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教育部函，為111年度中央政府總預算決議，檢送「學習載具使用規則及學童視力防治因應措施」書面報告，請查照案。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441E66">
        <w:trPr>
          <w:trHeight w:val="428"/>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教育部函，為111年度中央政府總預算決議，檢送「完善代理教師聘僱制度之可行性評</w:t>
            </w:r>
            <w:r w:rsidRPr="002964FE">
              <w:rPr>
                <w:rFonts w:hint="eastAsia"/>
                <w:color w:val="auto"/>
              </w:rPr>
              <w:lastRenderedPageBreak/>
              <w:t>估」書面報告，請查照案。</w:t>
            </w:r>
          </w:p>
        </w:tc>
        <w:tc>
          <w:tcPr>
            <w:tcW w:w="897" w:type="pct"/>
          </w:tcPr>
          <w:p w:rsidR="00287897" w:rsidRPr="00287897" w:rsidRDefault="00287897" w:rsidP="00287897">
            <w:pPr>
              <w:pStyle w:val="0-"/>
              <w:rPr>
                <w:color w:val="auto"/>
              </w:rPr>
            </w:pPr>
            <w:r w:rsidRPr="00287897">
              <w:rPr>
                <w:color w:val="auto"/>
              </w:rPr>
              <w:lastRenderedPageBreak/>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教育部函，為111年度中央政府總預算決議，檢送「學校膳食採用國產在地優良食材」書面報告，請查照案。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教育部函，為111年度中央政府總預算決議，檢送「我國全英（雙）語教學師資培育實施計畫檢討及精進方案」書面報告，請查照案。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教育部函，為111年度中央政府總預算決議，檢送「學習載具使用規則及數位內容編製管理因應措施」書面報告，請查照案。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教育部函，為111年度中央政府總預算決議，檢送「雙語教學師資培育及營造大專校院校園國際化環境」書面報告，請查照案。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教育部函，為111年度中央政府總預算決議，檢送「雙語教學師資培育現況及大專校院英語授課普及措施」書面報告，請查照案。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教育部函，為111年度中央政府總預算決議，檢送「雙語教學師資培育」書面報告，請查照案。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教育部函，為111年度中央政府總預算決議，檢送提升臺語母語家庭及家庭教學推動成效書面報告，請查照案。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教育部函，為111年度中央政府總預算決議，檢送「國立臺</w:t>
            </w:r>
            <w:r w:rsidRPr="002964FE">
              <w:rPr>
                <w:rFonts w:hint="eastAsia"/>
                <w:color w:val="auto"/>
              </w:rPr>
              <w:lastRenderedPageBreak/>
              <w:t>北大學與政黨黨部合辦2021『公共政策研習班』」書面報告，請查照案。</w:t>
            </w:r>
          </w:p>
        </w:tc>
        <w:tc>
          <w:tcPr>
            <w:tcW w:w="897" w:type="pct"/>
          </w:tcPr>
          <w:p w:rsidR="00287897" w:rsidRPr="00287897" w:rsidRDefault="00287897" w:rsidP="00287897">
            <w:pPr>
              <w:pStyle w:val="0-"/>
              <w:rPr>
                <w:color w:val="auto"/>
              </w:rPr>
            </w:pPr>
            <w:r w:rsidRPr="00287897">
              <w:rPr>
                <w:color w:val="auto"/>
              </w:rPr>
              <w:lastRenderedPageBreak/>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教育部函，為111年度中央政府總預算決議，檢送國民及學前教育署決議（六）書面報告，請查照案。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教育部函，為111年度中央政府總預算決議，檢送國民及學前教育署決議（八十一）書面報告，請查照案。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教育部函，為111年度中央政府總預算決議，檢送國民及學前教育署決議（一○六）書面報告，請查照案。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教育部函，為111年度中央政府總預算決議，檢送國民及學前教育署決議（八十三）書面報告，請查照案。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教育部函，為111年度中央政府總預算決議，檢送國民及學前教育署決議（八十七）書面報告，請查照案。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教育部函，為111年度中央政府總預算決議，檢送國民及學前教育署決議（八十五）書面報告，請查照案。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教育部函，為111年度中央政府總預算決議，檢送該部決議（二二五）書面報告，請查照案。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教育部函，為111年度中央政府總預算決議，檢送該部決議（二七○）書面報告，請查照案。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教育部函，為111年度中央政府總預算決議，檢送該部決議（二五三）書面報告，請查照案。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教育部函，為111年度中央政府總預算決議，檢送該部決議（二二四）書面報告，請查照案。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教育部函，為111年度中央政府總預算決議，檢送「公立國民中小學班級冷氣使用及管理注意事項及冷氣使用相關費用」書面報告，請查照案。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教育部函，為111年度中央政府總預算決議，檢送「提升學校午餐品質之各項補助措施」書面報告，請查照案。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教育部函，為111年度中央政府總預算決議，檢送「中小學數位學習資源整備及學習成效評估因應方案」書面報告，請查照案。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教育部函，為111年度中央政府總預算決議，檢送「加強中小學教師數位學習增能培訓規劃」書面報告，請查照案。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教育部函，為111年度中央政府總預算決議，檢送「研議我國棒球潛力場地現況調查研究續辦計畫執行進度」書面報告，請查照案。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教育部函，為111年度中央政府總預算決議，檢送「國家運動訓練中心選手培訓管理系統納入年度場館使用率統計規劃</w:t>
            </w:r>
            <w:r w:rsidRPr="002964FE">
              <w:rPr>
                <w:rFonts w:hint="eastAsia"/>
                <w:color w:val="auto"/>
              </w:rPr>
              <w:lastRenderedPageBreak/>
              <w:t>及改善」書面報告，請查照案。</w:t>
            </w:r>
          </w:p>
        </w:tc>
        <w:tc>
          <w:tcPr>
            <w:tcW w:w="897" w:type="pct"/>
          </w:tcPr>
          <w:p w:rsidR="00287897" w:rsidRPr="00287897" w:rsidRDefault="00287897" w:rsidP="00287897">
            <w:pPr>
              <w:pStyle w:val="0-"/>
              <w:rPr>
                <w:color w:val="auto"/>
              </w:rPr>
            </w:pPr>
            <w:r w:rsidRPr="00287897">
              <w:rPr>
                <w:color w:val="auto"/>
              </w:rPr>
              <w:lastRenderedPageBreak/>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教育部函，為111年度中央政府總預算決議，檢送「中小學數位學習資源整備及學習成效評估因應方案」書面報告，請查照案。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教育部函，為111年度中央政府總預算決議，檢送「提升公共化幼兒園辦理課後留園比率及強化準公共管理機制之對策」書面報告，請查照案。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教育部函，為111年度中央政府總預算決議，檢送「冷氣對永續校園影響評估」書面報告，請查照案。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教育部函，為111年度中央政府總預算決議，檢送「中小學數位教學改善因應措施」書面報告，請查照案。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教育部函，為111年度中央政府總預算決議，檢送「班班有網路，生生用平板」配套措施書面報告，請查照案。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教育部函，為111年度中央政府總預算決議，檢送檢討學習歷程資料庫問題書面報告，請查照案。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教育部函，為111年度中央政府總預算決議，檢送「教育大數據資料庫資訊安全機制」書面報告，請查照案。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教育部函，為111年度中央政府總預算決議，檢送「國民中小學教育階段少子女化對策計</w:t>
            </w:r>
            <w:r w:rsidRPr="002964FE">
              <w:rPr>
                <w:rFonts w:hint="eastAsia"/>
                <w:color w:val="auto"/>
              </w:rPr>
              <w:lastRenderedPageBreak/>
              <w:t>畫」書面報告，請查照案。</w:t>
            </w:r>
          </w:p>
        </w:tc>
        <w:tc>
          <w:tcPr>
            <w:tcW w:w="897" w:type="pct"/>
          </w:tcPr>
          <w:p w:rsidR="00287897" w:rsidRPr="00287897" w:rsidRDefault="00287897" w:rsidP="00287897">
            <w:pPr>
              <w:pStyle w:val="0-"/>
              <w:rPr>
                <w:color w:val="auto"/>
              </w:rPr>
            </w:pPr>
            <w:r w:rsidRPr="00287897">
              <w:rPr>
                <w:color w:val="auto"/>
              </w:rPr>
              <w:lastRenderedPageBreak/>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教育部函，為111年度中央政府總預算決議，檢送「我國運動員工會組織初步評估」書面報告，請查照案。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教育部函，為111年度中央政府總預算決議，檢送「校外人士協助高級中等以下學校教學或活動執行成效」書面報告，請查照案。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教育部函，為111年度中央政府總預算決議，檢送「精進教科書數位學習資源規劃」書面報告，請查照案。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教育部函，為111年度中央政府總預算決議，檢送「推動本土語文教育組織改造研析」書面報告，請查照案。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教育部函，為111年度中央政府總預算決議，檢送「協助公立國民中小學聘僱外國人從事英語教學助理工作」書面報告，請查照案。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287897" w:rsidRPr="00287897" w:rsidTr="00FB0608">
        <w:trPr>
          <w:trHeight w:val="700"/>
        </w:trPr>
        <w:tc>
          <w:tcPr>
            <w:tcW w:w="314" w:type="pct"/>
            <w:vAlign w:val="center"/>
          </w:tcPr>
          <w:p w:rsidR="00287897" w:rsidRPr="00287897" w:rsidRDefault="00287897" w:rsidP="006934DD">
            <w:pPr>
              <w:numPr>
                <w:ilvl w:val="0"/>
                <w:numId w:val="67"/>
              </w:numPr>
              <w:spacing w:line="400" w:lineRule="exact"/>
              <w:ind w:right="113"/>
              <w:rPr>
                <w:rFonts w:ascii="標楷體" w:eastAsia="標楷體" w:hAnsi="標楷體"/>
                <w:sz w:val="28"/>
                <w:szCs w:val="28"/>
              </w:rPr>
            </w:pPr>
          </w:p>
        </w:tc>
        <w:tc>
          <w:tcPr>
            <w:tcW w:w="2019" w:type="pct"/>
          </w:tcPr>
          <w:p w:rsidR="00287897" w:rsidRPr="002964FE" w:rsidRDefault="00287897" w:rsidP="00287897">
            <w:pPr>
              <w:pStyle w:val="0-"/>
              <w:rPr>
                <w:color w:val="auto"/>
              </w:rPr>
            </w:pPr>
            <w:r w:rsidRPr="002964FE">
              <w:rPr>
                <w:rFonts w:hint="eastAsia"/>
                <w:color w:val="auto"/>
              </w:rPr>
              <w:t>教育部函，為111年度中央政府總預算決議，檢送「檢討足球六年計畫之推動」書面報告，請查照案。</w:t>
            </w:r>
          </w:p>
        </w:tc>
        <w:tc>
          <w:tcPr>
            <w:tcW w:w="897" w:type="pct"/>
          </w:tcPr>
          <w:p w:rsidR="00287897" w:rsidRPr="00287897" w:rsidRDefault="00287897" w:rsidP="00287897">
            <w:pPr>
              <w:pStyle w:val="0-"/>
              <w:rPr>
                <w:color w:val="auto"/>
              </w:rPr>
            </w:pPr>
            <w:r w:rsidRPr="00287897">
              <w:rPr>
                <w:color w:val="auto"/>
              </w:rPr>
              <w:t>10-6-14</w:t>
            </w:r>
          </w:p>
          <w:p w:rsidR="00287897" w:rsidRPr="00287897" w:rsidRDefault="00287897" w:rsidP="00287897">
            <w:pPr>
              <w:pStyle w:val="0-"/>
              <w:rPr>
                <w:color w:val="auto"/>
              </w:rPr>
            </w:pPr>
            <w:r w:rsidRPr="00287897">
              <w:rPr>
                <w:color w:val="auto"/>
              </w:rPr>
              <w:t>(111.12.30)</w:t>
            </w:r>
          </w:p>
          <w:p w:rsidR="00287897" w:rsidRPr="00287897" w:rsidRDefault="00287897" w:rsidP="00287897">
            <w:pPr>
              <w:pStyle w:val="0-"/>
              <w:rPr>
                <w:color w:val="auto"/>
              </w:rPr>
            </w:pPr>
          </w:p>
        </w:tc>
        <w:tc>
          <w:tcPr>
            <w:tcW w:w="523" w:type="pct"/>
          </w:tcPr>
          <w:p w:rsidR="00287897" w:rsidRPr="00287897" w:rsidRDefault="00287897" w:rsidP="00287897">
            <w:pPr>
              <w:rPr>
                <w:rFonts w:ascii="標楷體" w:eastAsia="標楷體" w:hAnsi="標楷體"/>
                <w:sz w:val="28"/>
              </w:rPr>
            </w:pPr>
          </w:p>
        </w:tc>
        <w:tc>
          <w:tcPr>
            <w:tcW w:w="1247" w:type="pct"/>
          </w:tcPr>
          <w:p w:rsidR="00287897" w:rsidRPr="00287897" w:rsidRDefault="00287897" w:rsidP="008C2561">
            <w:pPr>
              <w:rPr>
                <w:rFonts w:ascii="標楷體" w:eastAsia="標楷體" w:hAnsi="標楷體"/>
                <w:sz w:val="28"/>
              </w:rPr>
            </w:pPr>
            <w:r w:rsidRPr="00287897">
              <w:rPr>
                <w:rFonts w:ascii="標楷體" w:eastAsia="標楷體" w:hAnsi="標楷體" w:hint="eastAsia"/>
                <w:sz w:val="28"/>
              </w:rPr>
              <w:t>尚未審查</w:t>
            </w:r>
          </w:p>
        </w:tc>
      </w:tr>
      <w:tr w:rsidR="00ED71FE" w:rsidRPr="00C51442" w:rsidTr="00FB0608">
        <w:trPr>
          <w:trHeight w:val="700"/>
        </w:trPr>
        <w:tc>
          <w:tcPr>
            <w:tcW w:w="314" w:type="pct"/>
            <w:vAlign w:val="center"/>
          </w:tcPr>
          <w:p w:rsidR="00ED71FE" w:rsidRPr="00C51442" w:rsidRDefault="00ED71FE" w:rsidP="00ED71FE">
            <w:pPr>
              <w:numPr>
                <w:ilvl w:val="0"/>
                <w:numId w:val="67"/>
              </w:numPr>
              <w:spacing w:line="400" w:lineRule="exact"/>
              <w:ind w:right="113"/>
              <w:rPr>
                <w:rFonts w:ascii="標楷體" w:eastAsia="標楷體" w:hAnsi="標楷體"/>
                <w:sz w:val="28"/>
                <w:szCs w:val="28"/>
              </w:rPr>
            </w:pPr>
          </w:p>
        </w:tc>
        <w:tc>
          <w:tcPr>
            <w:tcW w:w="2019" w:type="pct"/>
          </w:tcPr>
          <w:p w:rsidR="00ED71FE" w:rsidRPr="00C51442" w:rsidRDefault="00ED71FE" w:rsidP="00ED71FE">
            <w:pPr>
              <w:pStyle w:val="0-"/>
              <w:rPr>
                <w:color w:val="auto"/>
              </w:rPr>
            </w:pPr>
            <w:r w:rsidRPr="00C51442">
              <w:rPr>
                <w:rFonts w:hint="eastAsia"/>
                <w:color w:val="auto"/>
              </w:rPr>
              <w:t>文化部函送「國立國父紀念館跨域加值計畫」111年度下半年執行進度書面報告，請查照案。</w:t>
            </w:r>
          </w:p>
        </w:tc>
        <w:tc>
          <w:tcPr>
            <w:tcW w:w="897" w:type="pct"/>
          </w:tcPr>
          <w:p w:rsidR="00ED71FE" w:rsidRPr="00C51442" w:rsidRDefault="00ED71FE" w:rsidP="00ED71FE">
            <w:pPr>
              <w:pStyle w:val="0-"/>
              <w:rPr>
                <w:color w:val="auto"/>
              </w:rPr>
            </w:pPr>
            <w:r w:rsidRPr="00C51442">
              <w:rPr>
                <w:color w:val="auto"/>
              </w:rPr>
              <w:t>10-6-1</w:t>
            </w:r>
            <w:r w:rsidRPr="00C51442">
              <w:rPr>
                <w:rFonts w:hint="eastAsia"/>
                <w:color w:val="auto"/>
              </w:rPr>
              <w:t>5</w:t>
            </w:r>
          </w:p>
          <w:p w:rsidR="00ED71FE" w:rsidRPr="00C51442" w:rsidRDefault="00ED71FE" w:rsidP="00ED71FE">
            <w:pPr>
              <w:pStyle w:val="0-"/>
              <w:rPr>
                <w:color w:val="auto"/>
              </w:rPr>
            </w:pPr>
            <w:r w:rsidRPr="00C51442">
              <w:rPr>
                <w:color w:val="auto"/>
              </w:rPr>
              <w:t>(11</w:t>
            </w:r>
            <w:r w:rsidRPr="00C51442">
              <w:rPr>
                <w:rFonts w:hint="eastAsia"/>
                <w:color w:val="auto"/>
              </w:rPr>
              <w:t>2</w:t>
            </w:r>
            <w:r w:rsidRPr="00C51442">
              <w:rPr>
                <w:color w:val="auto"/>
              </w:rPr>
              <w:t>.1.</w:t>
            </w:r>
            <w:r w:rsidRPr="00C51442">
              <w:rPr>
                <w:rFonts w:hint="eastAsia"/>
                <w:color w:val="auto"/>
              </w:rPr>
              <w:t>9</w:t>
            </w:r>
            <w:r w:rsidRPr="00C51442">
              <w:rPr>
                <w:color w:val="auto"/>
              </w:rPr>
              <w:t>)</w:t>
            </w:r>
          </w:p>
          <w:p w:rsidR="00ED71FE" w:rsidRPr="00C51442" w:rsidRDefault="00ED71FE" w:rsidP="00ED71FE">
            <w:pPr>
              <w:pStyle w:val="0-"/>
              <w:rPr>
                <w:color w:val="auto"/>
              </w:rPr>
            </w:pPr>
          </w:p>
        </w:tc>
        <w:tc>
          <w:tcPr>
            <w:tcW w:w="523" w:type="pct"/>
          </w:tcPr>
          <w:p w:rsidR="00ED71FE" w:rsidRPr="00C51442" w:rsidRDefault="00ED71FE" w:rsidP="00ED71FE">
            <w:pPr>
              <w:rPr>
                <w:rFonts w:ascii="標楷體" w:eastAsia="標楷體" w:hAnsi="標楷體"/>
                <w:sz w:val="28"/>
              </w:rPr>
            </w:pPr>
          </w:p>
        </w:tc>
        <w:tc>
          <w:tcPr>
            <w:tcW w:w="1247" w:type="pct"/>
          </w:tcPr>
          <w:p w:rsidR="00ED71FE" w:rsidRPr="00C51442" w:rsidRDefault="00ED71FE" w:rsidP="00ED71FE">
            <w:pPr>
              <w:rPr>
                <w:rFonts w:ascii="標楷體" w:eastAsia="標楷體" w:hAnsi="標楷體"/>
                <w:sz w:val="28"/>
              </w:rPr>
            </w:pPr>
            <w:r w:rsidRPr="00C51442">
              <w:rPr>
                <w:rFonts w:ascii="標楷體" w:eastAsia="標楷體" w:hAnsi="標楷體" w:hint="eastAsia"/>
                <w:sz w:val="28"/>
              </w:rPr>
              <w:t>尚未審查</w:t>
            </w:r>
          </w:p>
        </w:tc>
      </w:tr>
      <w:tr w:rsidR="00ED71FE" w:rsidRPr="00C51442" w:rsidTr="00FB0608">
        <w:trPr>
          <w:trHeight w:val="700"/>
        </w:trPr>
        <w:tc>
          <w:tcPr>
            <w:tcW w:w="314" w:type="pct"/>
            <w:vAlign w:val="center"/>
          </w:tcPr>
          <w:p w:rsidR="00ED71FE" w:rsidRPr="00C51442" w:rsidRDefault="00ED71FE" w:rsidP="00ED71FE">
            <w:pPr>
              <w:numPr>
                <w:ilvl w:val="0"/>
                <w:numId w:val="67"/>
              </w:numPr>
              <w:spacing w:line="400" w:lineRule="exact"/>
              <w:ind w:right="113"/>
              <w:rPr>
                <w:rFonts w:ascii="標楷體" w:eastAsia="標楷體" w:hAnsi="標楷體"/>
                <w:sz w:val="28"/>
                <w:szCs w:val="28"/>
              </w:rPr>
            </w:pPr>
          </w:p>
        </w:tc>
        <w:tc>
          <w:tcPr>
            <w:tcW w:w="2019" w:type="pct"/>
          </w:tcPr>
          <w:p w:rsidR="00ED71FE" w:rsidRPr="00C51442" w:rsidRDefault="00ED71FE" w:rsidP="00ED71FE">
            <w:pPr>
              <w:pStyle w:val="0-"/>
              <w:rPr>
                <w:color w:val="auto"/>
              </w:rPr>
            </w:pPr>
            <w:r w:rsidRPr="00C51442">
              <w:rPr>
                <w:rFonts w:hint="eastAsia"/>
                <w:color w:val="auto"/>
              </w:rPr>
              <w:t>文化部函送111年1月至11月該部接受外界捐贈款明細表，請查照案。</w:t>
            </w:r>
          </w:p>
        </w:tc>
        <w:tc>
          <w:tcPr>
            <w:tcW w:w="897" w:type="pct"/>
          </w:tcPr>
          <w:p w:rsidR="00ED71FE" w:rsidRPr="00C51442" w:rsidRDefault="00ED71FE" w:rsidP="00ED71FE">
            <w:pPr>
              <w:pStyle w:val="0-"/>
              <w:rPr>
                <w:color w:val="auto"/>
              </w:rPr>
            </w:pPr>
            <w:r w:rsidRPr="00C51442">
              <w:rPr>
                <w:color w:val="auto"/>
              </w:rPr>
              <w:t>10-6-1</w:t>
            </w:r>
            <w:r w:rsidRPr="00C51442">
              <w:rPr>
                <w:rFonts w:hint="eastAsia"/>
                <w:color w:val="auto"/>
              </w:rPr>
              <w:t>5</w:t>
            </w:r>
          </w:p>
          <w:p w:rsidR="00ED71FE" w:rsidRPr="00C51442" w:rsidRDefault="00ED71FE" w:rsidP="00ED71FE">
            <w:pPr>
              <w:pStyle w:val="0-"/>
              <w:rPr>
                <w:color w:val="auto"/>
              </w:rPr>
            </w:pPr>
            <w:r w:rsidRPr="00C51442">
              <w:rPr>
                <w:color w:val="auto"/>
              </w:rPr>
              <w:t>(11</w:t>
            </w:r>
            <w:r w:rsidRPr="00C51442">
              <w:rPr>
                <w:rFonts w:hint="eastAsia"/>
                <w:color w:val="auto"/>
              </w:rPr>
              <w:t>2</w:t>
            </w:r>
            <w:r w:rsidRPr="00C51442">
              <w:rPr>
                <w:color w:val="auto"/>
              </w:rPr>
              <w:t>.1.</w:t>
            </w:r>
            <w:r w:rsidRPr="00C51442">
              <w:rPr>
                <w:rFonts w:hint="eastAsia"/>
                <w:color w:val="auto"/>
              </w:rPr>
              <w:t>9</w:t>
            </w:r>
            <w:r w:rsidRPr="00C51442">
              <w:rPr>
                <w:color w:val="auto"/>
              </w:rPr>
              <w:t>)</w:t>
            </w:r>
          </w:p>
          <w:p w:rsidR="00ED71FE" w:rsidRPr="00C51442" w:rsidRDefault="00ED71FE" w:rsidP="00ED71FE">
            <w:pPr>
              <w:pStyle w:val="0-"/>
              <w:rPr>
                <w:color w:val="auto"/>
              </w:rPr>
            </w:pPr>
          </w:p>
        </w:tc>
        <w:tc>
          <w:tcPr>
            <w:tcW w:w="523" w:type="pct"/>
          </w:tcPr>
          <w:p w:rsidR="00ED71FE" w:rsidRPr="00C51442" w:rsidRDefault="00ED71FE" w:rsidP="00ED71FE">
            <w:pPr>
              <w:rPr>
                <w:rFonts w:ascii="標楷體" w:eastAsia="標楷體" w:hAnsi="標楷體"/>
                <w:sz w:val="28"/>
              </w:rPr>
            </w:pPr>
          </w:p>
        </w:tc>
        <w:tc>
          <w:tcPr>
            <w:tcW w:w="1247" w:type="pct"/>
          </w:tcPr>
          <w:p w:rsidR="00ED71FE" w:rsidRPr="00C51442" w:rsidRDefault="00ED71FE" w:rsidP="00ED71FE">
            <w:pPr>
              <w:rPr>
                <w:rFonts w:ascii="標楷體" w:eastAsia="標楷體" w:hAnsi="標楷體"/>
                <w:sz w:val="28"/>
              </w:rPr>
            </w:pPr>
            <w:r w:rsidRPr="00C51442">
              <w:rPr>
                <w:rFonts w:ascii="標楷體" w:eastAsia="標楷體" w:hAnsi="標楷體" w:hint="eastAsia"/>
                <w:sz w:val="28"/>
              </w:rPr>
              <w:t>尚未審查</w:t>
            </w:r>
          </w:p>
        </w:tc>
      </w:tr>
      <w:tr w:rsidR="00ED71FE" w:rsidRPr="00C51442" w:rsidTr="00FB0608">
        <w:trPr>
          <w:trHeight w:val="700"/>
        </w:trPr>
        <w:tc>
          <w:tcPr>
            <w:tcW w:w="314" w:type="pct"/>
            <w:vAlign w:val="center"/>
          </w:tcPr>
          <w:p w:rsidR="00ED71FE" w:rsidRPr="00C51442" w:rsidRDefault="00ED71FE" w:rsidP="00ED71FE">
            <w:pPr>
              <w:numPr>
                <w:ilvl w:val="0"/>
                <w:numId w:val="67"/>
              </w:numPr>
              <w:spacing w:line="400" w:lineRule="exact"/>
              <w:ind w:right="113"/>
              <w:rPr>
                <w:rFonts w:ascii="標楷體" w:eastAsia="標楷體" w:hAnsi="標楷體"/>
                <w:sz w:val="28"/>
                <w:szCs w:val="28"/>
              </w:rPr>
            </w:pPr>
          </w:p>
        </w:tc>
        <w:tc>
          <w:tcPr>
            <w:tcW w:w="2019" w:type="pct"/>
          </w:tcPr>
          <w:p w:rsidR="00ED71FE" w:rsidRPr="00C51442" w:rsidRDefault="00ED71FE" w:rsidP="00ED71FE">
            <w:pPr>
              <w:pStyle w:val="0-"/>
              <w:rPr>
                <w:color w:val="auto"/>
              </w:rPr>
            </w:pPr>
            <w:r w:rsidRPr="00C51442">
              <w:rPr>
                <w:rFonts w:hint="eastAsia"/>
                <w:color w:val="auto"/>
              </w:rPr>
              <w:t>國立故宮博物院函送111年第2季政策宣導廣告預算執行情形，請查照案。</w:t>
            </w:r>
          </w:p>
        </w:tc>
        <w:tc>
          <w:tcPr>
            <w:tcW w:w="897" w:type="pct"/>
          </w:tcPr>
          <w:p w:rsidR="00ED71FE" w:rsidRPr="00C51442" w:rsidRDefault="00ED71FE" w:rsidP="00ED71FE">
            <w:pPr>
              <w:pStyle w:val="0-"/>
              <w:rPr>
                <w:color w:val="auto"/>
              </w:rPr>
            </w:pPr>
            <w:r w:rsidRPr="00C51442">
              <w:rPr>
                <w:color w:val="auto"/>
              </w:rPr>
              <w:t>10-6-1</w:t>
            </w:r>
            <w:r w:rsidRPr="00C51442">
              <w:rPr>
                <w:rFonts w:hint="eastAsia"/>
                <w:color w:val="auto"/>
              </w:rPr>
              <w:t>5</w:t>
            </w:r>
          </w:p>
          <w:p w:rsidR="00ED71FE" w:rsidRPr="00C51442" w:rsidRDefault="00ED71FE" w:rsidP="00ED71FE">
            <w:pPr>
              <w:pStyle w:val="0-"/>
              <w:rPr>
                <w:color w:val="auto"/>
              </w:rPr>
            </w:pPr>
            <w:r w:rsidRPr="00C51442">
              <w:rPr>
                <w:color w:val="auto"/>
              </w:rPr>
              <w:t>(11</w:t>
            </w:r>
            <w:r w:rsidRPr="00C51442">
              <w:rPr>
                <w:rFonts w:hint="eastAsia"/>
                <w:color w:val="auto"/>
              </w:rPr>
              <w:t>2</w:t>
            </w:r>
            <w:r w:rsidRPr="00C51442">
              <w:rPr>
                <w:color w:val="auto"/>
              </w:rPr>
              <w:t>.1.</w:t>
            </w:r>
            <w:r w:rsidRPr="00C51442">
              <w:rPr>
                <w:rFonts w:hint="eastAsia"/>
                <w:color w:val="auto"/>
              </w:rPr>
              <w:t>9</w:t>
            </w:r>
            <w:r w:rsidRPr="00C51442">
              <w:rPr>
                <w:color w:val="auto"/>
              </w:rPr>
              <w:t>)</w:t>
            </w:r>
          </w:p>
          <w:p w:rsidR="00ED71FE" w:rsidRPr="00C51442" w:rsidRDefault="00ED71FE" w:rsidP="00ED71FE">
            <w:pPr>
              <w:pStyle w:val="0-"/>
              <w:rPr>
                <w:color w:val="auto"/>
              </w:rPr>
            </w:pPr>
          </w:p>
        </w:tc>
        <w:tc>
          <w:tcPr>
            <w:tcW w:w="523" w:type="pct"/>
          </w:tcPr>
          <w:p w:rsidR="00ED71FE" w:rsidRPr="00C51442" w:rsidRDefault="00ED71FE" w:rsidP="00ED71FE">
            <w:pPr>
              <w:rPr>
                <w:rFonts w:ascii="標楷體" w:eastAsia="標楷體" w:hAnsi="標楷體"/>
                <w:sz w:val="28"/>
              </w:rPr>
            </w:pPr>
          </w:p>
        </w:tc>
        <w:tc>
          <w:tcPr>
            <w:tcW w:w="1247" w:type="pct"/>
          </w:tcPr>
          <w:p w:rsidR="00ED71FE" w:rsidRPr="00C51442" w:rsidRDefault="00ED71FE" w:rsidP="00ED71FE">
            <w:pPr>
              <w:rPr>
                <w:rFonts w:ascii="標楷體" w:eastAsia="標楷體" w:hAnsi="標楷體"/>
                <w:sz w:val="28"/>
              </w:rPr>
            </w:pPr>
            <w:r w:rsidRPr="00C51442">
              <w:rPr>
                <w:rFonts w:ascii="標楷體" w:eastAsia="標楷體" w:hAnsi="標楷體" w:hint="eastAsia"/>
                <w:sz w:val="28"/>
              </w:rPr>
              <w:t>尚未審查</w:t>
            </w:r>
          </w:p>
        </w:tc>
      </w:tr>
      <w:tr w:rsidR="00ED71FE" w:rsidRPr="00C51442" w:rsidTr="00FB0608">
        <w:trPr>
          <w:trHeight w:val="700"/>
        </w:trPr>
        <w:tc>
          <w:tcPr>
            <w:tcW w:w="314" w:type="pct"/>
            <w:vAlign w:val="center"/>
          </w:tcPr>
          <w:p w:rsidR="00ED71FE" w:rsidRPr="00C51442" w:rsidRDefault="00ED71FE" w:rsidP="00ED71FE">
            <w:pPr>
              <w:numPr>
                <w:ilvl w:val="0"/>
                <w:numId w:val="67"/>
              </w:numPr>
              <w:spacing w:line="400" w:lineRule="exact"/>
              <w:ind w:right="113"/>
              <w:rPr>
                <w:rFonts w:ascii="標楷體" w:eastAsia="標楷體" w:hAnsi="標楷體"/>
                <w:sz w:val="28"/>
                <w:szCs w:val="28"/>
              </w:rPr>
            </w:pPr>
          </w:p>
        </w:tc>
        <w:tc>
          <w:tcPr>
            <w:tcW w:w="2019" w:type="pct"/>
          </w:tcPr>
          <w:p w:rsidR="00ED71FE" w:rsidRPr="00C51442" w:rsidRDefault="00ED71FE" w:rsidP="00ED71FE">
            <w:pPr>
              <w:pStyle w:val="0-"/>
              <w:rPr>
                <w:color w:val="auto"/>
              </w:rPr>
            </w:pPr>
            <w:r w:rsidRPr="00C51442">
              <w:rPr>
                <w:rFonts w:hint="eastAsia"/>
                <w:color w:val="auto"/>
              </w:rPr>
              <w:t>國立故宮博物院函送111年第3季政策宣導廣告預算執行情形，請查照案。</w:t>
            </w:r>
          </w:p>
        </w:tc>
        <w:tc>
          <w:tcPr>
            <w:tcW w:w="897" w:type="pct"/>
          </w:tcPr>
          <w:p w:rsidR="00ED71FE" w:rsidRPr="00C51442" w:rsidRDefault="00ED71FE" w:rsidP="00ED71FE">
            <w:pPr>
              <w:pStyle w:val="0-"/>
              <w:rPr>
                <w:color w:val="auto"/>
              </w:rPr>
            </w:pPr>
            <w:r w:rsidRPr="00C51442">
              <w:rPr>
                <w:color w:val="auto"/>
              </w:rPr>
              <w:t>10-6-1</w:t>
            </w:r>
            <w:r w:rsidRPr="00C51442">
              <w:rPr>
                <w:rFonts w:hint="eastAsia"/>
                <w:color w:val="auto"/>
              </w:rPr>
              <w:t>5</w:t>
            </w:r>
          </w:p>
          <w:p w:rsidR="00ED71FE" w:rsidRPr="00C51442" w:rsidRDefault="00ED71FE" w:rsidP="00ED71FE">
            <w:pPr>
              <w:pStyle w:val="0-"/>
              <w:rPr>
                <w:color w:val="auto"/>
              </w:rPr>
            </w:pPr>
            <w:r w:rsidRPr="00C51442">
              <w:rPr>
                <w:color w:val="auto"/>
              </w:rPr>
              <w:t>(11</w:t>
            </w:r>
            <w:r w:rsidRPr="00C51442">
              <w:rPr>
                <w:rFonts w:hint="eastAsia"/>
                <w:color w:val="auto"/>
              </w:rPr>
              <w:t>2</w:t>
            </w:r>
            <w:r w:rsidRPr="00C51442">
              <w:rPr>
                <w:color w:val="auto"/>
              </w:rPr>
              <w:t>.1.</w:t>
            </w:r>
            <w:r w:rsidRPr="00C51442">
              <w:rPr>
                <w:rFonts w:hint="eastAsia"/>
                <w:color w:val="auto"/>
              </w:rPr>
              <w:t>9</w:t>
            </w:r>
            <w:r w:rsidRPr="00C51442">
              <w:rPr>
                <w:color w:val="auto"/>
              </w:rPr>
              <w:t>)</w:t>
            </w:r>
          </w:p>
          <w:p w:rsidR="00ED71FE" w:rsidRPr="00C51442" w:rsidRDefault="00ED71FE" w:rsidP="00ED71FE">
            <w:pPr>
              <w:pStyle w:val="0-"/>
              <w:rPr>
                <w:color w:val="auto"/>
              </w:rPr>
            </w:pPr>
          </w:p>
        </w:tc>
        <w:tc>
          <w:tcPr>
            <w:tcW w:w="523" w:type="pct"/>
          </w:tcPr>
          <w:p w:rsidR="00ED71FE" w:rsidRPr="00C51442" w:rsidRDefault="00ED71FE" w:rsidP="00ED71FE">
            <w:pPr>
              <w:rPr>
                <w:rFonts w:ascii="標楷體" w:eastAsia="標楷體" w:hAnsi="標楷體"/>
                <w:sz w:val="28"/>
              </w:rPr>
            </w:pPr>
          </w:p>
        </w:tc>
        <w:tc>
          <w:tcPr>
            <w:tcW w:w="1247" w:type="pct"/>
          </w:tcPr>
          <w:p w:rsidR="00ED71FE" w:rsidRPr="00C51442" w:rsidRDefault="00ED71FE" w:rsidP="00ED71FE">
            <w:pPr>
              <w:rPr>
                <w:rFonts w:ascii="標楷體" w:eastAsia="標楷體" w:hAnsi="標楷體"/>
                <w:sz w:val="28"/>
              </w:rPr>
            </w:pPr>
            <w:r w:rsidRPr="00C51442">
              <w:rPr>
                <w:rFonts w:ascii="標楷體" w:eastAsia="標楷體" w:hAnsi="標楷體" w:hint="eastAsia"/>
                <w:sz w:val="28"/>
              </w:rPr>
              <w:t>尚未審查</w:t>
            </w:r>
          </w:p>
        </w:tc>
      </w:tr>
    </w:tbl>
    <w:p w:rsidR="002570A4" w:rsidRPr="00920597" w:rsidRDefault="002570A4">
      <w:pPr>
        <w:widowControl/>
        <w:rPr>
          <w:rFonts w:ascii="標楷體" w:eastAsia="標楷體" w:hAnsi="標楷體"/>
          <w:b/>
          <w:bCs/>
          <w:color w:val="000000" w:themeColor="text1"/>
          <w:sz w:val="32"/>
          <w:szCs w:val="32"/>
        </w:rPr>
      </w:pPr>
      <w:bookmarkStart w:id="139" w:name="_Toc79412636"/>
      <w:r w:rsidRPr="00920597">
        <w:rPr>
          <w:rFonts w:ascii="標楷體" w:eastAsia="標楷體" w:hAnsi="標楷體"/>
          <w:b/>
          <w:bCs/>
          <w:color w:val="000000" w:themeColor="text1"/>
          <w:sz w:val="32"/>
          <w:szCs w:val="32"/>
        </w:rPr>
        <w:br w:type="page"/>
      </w:r>
    </w:p>
    <w:p w:rsidR="00C1715F" w:rsidRPr="00920597" w:rsidRDefault="00C1715F" w:rsidP="00C1715F">
      <w:pPr>
        <w:pStyle w:val="01-11"/>
        <w:rPr>
          <w:color w:val="000000" w:themeColor="text1"/>
        </w:rPr>
      </w:pPr>
      <w:bookmarkStart w:id="140" w:name="_Toc61597459"/>
      <w:bookmarkStart w:id="141" w:name="_Toc61597508"/>
      <w:bookmarkStart w:id="142" w:name="_Toc61597841"/>
      <w:bookmarkStart w:id="143" w:name="_Toc126068170"/>
      <w:bookmarkEnd w:id="139"/>
      <w:r w:rsidRPr="00920597">
        <w:rPr>
          <w:rFonts w:hint="eastAsia"/>
          <w:color w:val="000000" w:themeColor="text1"/>
        </w:rPr>
        <w:lastRenderedPageBreak/>
        <w:t>附錄  本會期歷次會議議事錄</w:t>
      </w:r>
      <w:bookmarkEnd w:id="140"/>
      <w:bookmarkEnd w:id="141"/>
      <w:bookmarkEnd w:id="142"/>
      <w:bookmarkEnd w:id="143"/>
    </w:p>
    <w:p w:rsidR="00C1715F" w:rsidRPr="00920597" w:rsidRDefault="00C1715F" w:rsidP="00C1715F">
      <w:pPr>
        <w:pStyle w:val="01-21"/>
        <w:rPr>
          <w:color w:val="000000" w:themeColor="text1"/>
        </w:rPr>
      </w:pPr>
      <w:bookmarkStart w:id="144" w:name="_Toc61597460"/>
      <w:bookmarkStart w:id="145" w:name="_Toc61597509"/>
      <w:bookmarkStart w:id="146" w:name="_Toc61597842"/>
      <w:bookmarkStart w:id="147" w:name="_Toc126068171"/>
      <w:r w:rsidRPr="00920597">
        <w:rPr>
          <w:rFonts w:hint="eastAsia"/>
          <w:color w:val="000000" w:themeColor="text1"/>
          <w:szCs w:val="24"/>
        </w:rPr>
        <w:t>一、</w:t>
      </w:r>
      <w:r w:rsidRPr="00920597">
        <w:rPr>
          <w:rFonts w:hint="eastAsia"/>
          <w:color w:val="000000" w:themeColor="text1"/>
        </w:rPr>
        <w:t>召集委員會議議事錄</w:t>
      </w:r>
      <w:bookmarkEnd w:id="144"/>
      <w:bookmarkEnd w:id="145"/>
      <w:bookmarkEnd w:id="146"/>
      <w:bookmarkEnd w:id="147"/>
    </w:p>
    <w:p w:rsidR="00273897" w:rsidRDefault="00273897" w:rsidP="00273897">
      <w:pPr>
        <w:pStyle w:val="01-45"/>
      </w:pPr>
      <w:bookmarkStart w:id="148" w:name="_Toc126068172"/>
      <w:bookmarkStart w:id="149" w:name="_Toc61597461"/>
      <w:bookmarkStart w:id="150" w:name="_Toc61597511"/>
      <w:bookmarkStart w:id="151" w:name="_Toc61597844"/>
      <w:r>
        <w:rPr>
          <w:rFonts w:hint="eastAsia"/>
        </w:rPr>
        <w:t>立法院第10屆第6會期教育及文化委員會第1次召集委員會議議事錄</w:t>
      </w:r>
      <w:bookmarkEnd w:id="148"/>
    </w:p>
    <w:p w:rsidR="00273897" w:rsidRPr="00D07B0C" w:rsidRDefault="00273897" w:rsidP="00273897">
      <w:pPr>
        <w:pStyle w:val="ac"/>
        <w:spacing w:line="540" w:lineRule="exact"/>
        <w:ind w:left="1600" w:rightChars="29" w:right="70" w:hangingChars="500" w:hanging="1600"/>
        <w:jc w:val="both"/>
        <w:rPr>
          <w:sz w:val="32"/>
        </w:rPr>
      </w:pPr>
      <w:r w:rsidRPr="00D07B0C">
        <w:rPr>
          <w:rFonts w:hint="eastAsia"/>
          <w:sz w:val="32"/>
        </w:rPr>
        <w:t>時    間：</w:t>
      </w:r>
      <w:r w:rsidRPr="00D07B0C">
        <w:rPr>
          <w:rFonts w:hint="eastAsia"/>
          <w:sz w:val="32"/>
          <w:szCs w:val="32"/>
        </w:rPr>
        <w:t>中華民國1</w:t>
      </w:r>
      <w:r>
        <w:rPr>
          <w:rFonts w:hint="eastAsia"/>
          <w:sz w:val="32"/>
          <w:szCs w:val="32"/>
        </w:rPr>
        <w:t>1</w:t>
      </w:r>
      <w:r>
        <w:rPr>
          <w:sz w:val="32"/>
          <w:szCs w:val="32"/>
        </w:rPr>
        <w:t>1</w:t>
      </w:r>
      <w:r w:rsidRPr="00D07B0C">
        <w:rPr>
          <w:rFonts w:hint="eastAsia"/>
          <w:sz w:val="32"/>
          <w:szCs w:val="32"/>
        </w:rPr>
        <w:t>年</w:t>
      </w:r>
      <w:r>
        <w:rPr>
          <w:rFonts w:hint="eastAsia"/>
          <w:sz w:val="32"/>
          <w:szCs w:val="32"/>
        </w:rPr>
        <w:t>9</w:t>
      </w:r>
      <w:r w:rsidRPr="00D07B0C">
        <w:rPr>
          <w:rFonts w:hint="eastAsia"/>
          <w:sz w:val="32"/>
        </w:rPr>
        <w:t>月</w:t>
      </w:r>
      <w:r>
        <w:rPr>
          <w:rFonts w:hint="eastAsia"/>
          <w:sz w:val="32"/>
        </w:rPr>
        <w:t>28</w:t>
      </w:r>
      <w:r w:rsidRPr="00D07B0C">
        <w:rPr>
          <w:rFonts w:hint="eastAsia"/>
          <w:sz w:val="32"/>
        </w:rPr>
        <w:t>日（星期</w:t>
      </w:r>
      <w:r>
        <w:rPr>
          <w:rFonts w:hint="eastAsia"/>
          <w:sz w:val="32"/>
        </w:rPr>
        <w:t>三</w:t>
      </w:r>
      <w:r w:rsidRPr="00D07B0C">
        <w:rPr>
          <w:rFonts w:hint="eastAsia"/>
          <w:sz w:val="32"/>
        </w:rPr>
        <w:t>）</w:t>
      </w:r>
    </w:p>
    <w:p w:rsidR="00273897" w:rsidRDefault="00273897" w:rsidP="00273897">
      <w:pPr>
        <w:pStyle w:val="ac"/>
        <w:spacing w:line="540" w:lineRule="exact"/>
        <w:rPr>
          <w:sz w:val="32"/>
        </w:rPr>
      </w:pPr>
      <w:r w:rsidRPr="00D07B0C">
        <w:rPr>
          <w:rFonts w:hint="eastAsia"/>
          <w:sz w:val="32"/>
        </w:rPr>
        <w:t>地    點：</w:t>
      </w:r>
      <w:r>
        <w:rPr>
          <w:rFonts w:hint="eastAsia"/>
          <w:sz w:val="32"/>
        </w:rPr>
        <w:t>群賢</w:t>
      </w:r>
      <w:r w:rsidRPr="00D07B0C">
        <w:rPr>
          <w:rFonts w:hint="eastAsia"/>
          <w:sz w:val="32"/>
        </w:rPr>
        <w:t>樓</w:t>
      </w:r>
      <w:r>
        <w:rPr>
          <w:rFonts w:hint="eastAsia"/>
          <w:sz w:val="32"/>
        </w:rPr>
        <w:t>101</w:t>
      </w:r>
      <w:r w:rsidRPr="00D07B0C">
        <w:rPr>
          <w:rFonts w:hint="eastAsia"/>
          <w:sz w:val="32"/>
        </w:rPr>
        <w:t>會議室</w:t>
      </w:r>
    </w:p>
    <w:p w:rsidR="00273897" w:rsidRPr="001622D2" w:rsidRDefault="00273897" w:rsidP="00273897">
      <w:pPr>
        <w:snapToGrid w:val="0"/>
        <w:spacing w:line="540" w:lineRule="exact"/>
        <w:ind w:leftChars="2" w:left="5"/>
        <w:jc w:val="both"/>
        <w:rPr>
          <w:rFonts w:ascii="標楷體" w:eastAsia="標楷體" w:hAnsi="標楷體"/>
          <w:sz w:val="32"/>
          <w:szCs w:val="32"/>
        </w:rPr>
      </w:pPr>
      <w:r w:rsidRPr="001622D2">
        <w:rPr>
          <w:rFonts w:ascii="標楷體" w:eastAsia="標楷體" w:hAnsi="標楷體" w:hint="eastAsia"/>
          <w:sz w:val="32"/>
          <w:szCs w:val="32"/>
        </w:rPr>
        <w:t>出席</w:t>
      </w:r>
      <w:r>
        <w:rPr>
          <w:rFonts w:ascii="標楷體" w:eastAsia="標楷體" w:hAnsi="標楷體" w:hint="eastAsia"/>
          <w:sz w:val="32"/>
          <w:szCs w:val="32"/>
        </w:rPr>
        <w:t>召集</w:t>
      </w:r>
      <w:r w:rsidRPr="001622D2">
        <w:rPr>
          <w:rFonts w:ascii="標楷體" w:eastAsia="標楷體" w:hAnsi="標楷體" w:hint="eastAsia"/>
          <w:sz w:val="32"/>
          <w:szCs w:val="32"/>
        </w:rPr>
        <w:t>委員：</w:t>
      </w:r>
      <w:r>
        <w:rPr>
          <w:rFonts w:ascii="標楷體" w:eastAsia="標楷體" w:hAnsi="標楷體" w:hint="eastAsia"/>
          <w:sz w:val="32"/>
          <w:szCs w:val="32"/>
        </w:rPr>
        <w:t xml:space="preserve">陳秀寳 鄭正鈐  </w:t>
      </w:r>
      <w:r w:rsidRPr="001622D2">
        <w:rPr>
          <w:rFonts w:ascii="標楷體" w:eastAsia="標楷體" w:hAnsi="標楷體" w:hint="eastAsia"/>
          <w:sz w:val="32"/>
          <w:szCs w:val="32"/>
        </w:rPr>
        <w:t xml:space="preserve">  </w:t>
      </w:r>
    </w:p>
    <w:p w:rsidR="00273897" w:rsidRPr="001622D2" w:rsidRDefault="00273897" w:rsidP="00273897">
      <w:pPr>
        <w:snapToGrid w:val="0"/>
        <w:spacing w:line="540" w:lineRule="exact"/>
        <w:jc w:val="both"/>
        <w:rPr>
          <w:rFonts w:ascii="標楷體" w:eastAsia="標楷體" w:hAnsi="標楷體"/>
          <w:sz w:val="32"/>
          <w:szCs w:val="32"/>
        </w:rPr>
      </w:pPr>
      <w:r w:rsidRPr="001622D2">
        <w:rPr>
          <w:rFonts w:ascii="標楷體" w:eastAsia="標楷體" w:hAnsi="標楷體" w:hint="eastAsia"/>
          <w:sz w:val="32"/>
          <w:szCs w:val="32"/>
        </w:rPr>
        <w:t>主任秘書：陳錫欽</w:t>
      </w:r>
    </w:p>
    <w:p w:rsidR="00273897" w:rsidRPr="001622D2" w:rsidRDefault="00273897" w:rsidP="00273897">
      <w:pPr>
        <w:snapToGrid w:val="0"/>
        <w:spacing w:line="540" w:lineRule="exact"/>
        <w:jc w:val="both"/>
        <w:rPr>
          <w:rFonts w:ascii="標楷體" w:eastAsia="標楷體" w:hAnsi="標楷體"/>
          <w:sz w:val="32"/>
          <w:szCs w:val="32"/>
        </w:rPr>
      </w:pPr>
      <w:r w:rsidRPr="001622D2">
        <w:rPr>
          <w:rFonts w:ascii="標楷體" w:eastAsia="標楷體" w:hAnsi="標楷體" w:hint="eastAsia"/>
          <w:sz w:val="32"/>
          <w:szCs w:val="32"/>
        </w:rPr>
        <w:t>專門委員：</w:t>
      </w:r>
      <w:r>
        <w:rPr>
          <w:rFonts w:ascii="標楷體" w:eastAsia="標楷體" w:hAnsi="標楷體" w:hint="eastAsia"/>
          <w:sz w:val="32"/>
          <w:szCs w:val="32"/>
        </w:rPr>
        <w:t>朱蔚菁</w:t>
      </w:r>
      <w:r w:rsidRPr="001622D2">
        <w:rPr>
          <w:rFonts w:ascii="標楷體" w:eastAsia="標楷體" w:hAnsi="標楷體" w:hint="eastAsia"/>
          <w:sz w:val="32"/>
          <w:szCs w:val="32"/>
        </w:rPr>
        <w:t xml:space="preserve"> </w:t>
      </w:r>
    </w:p>
    <w:p w:rsidR="00273897" w:rsidRPr="001622D2" w:rsidRDefault="00273897" w:rsidP="00273897">
      <w:pPr>
        <w:snapToGrid w:val="0"/>
        <w:spacing w:line="540" w:lineRule="exact"/>
        <w:ind w:left="714" w:hanging="714"/>
        <w:jc w:val="both"/>
        <w:rPr>
          <w:rFonts w:ascii="標楷體" w:eastAsia="標楷體" w:hAnsi="標楷體"/>
          <w:sz w:val="32"/>
          <w:szCs w:val="32"/>
        </w:rPr>
      </w:pPr>
      <w:r w:rsidRPr="001622D2">
        <w:rPr>
          <w:rFonts w:ascii="標楷體" w:eastAsia="標楷體" w:hAnsi="標楷體" w:hint="eastAsia"/>
          <w:sz w:val="32"/>
          <w:szCs w:val="32"/>
        </w:rPr>
        <w:t xml:space="preserve">紀    錄：簡任秘書  </w:t>
      </w:r>
      <w:r>
        <w:rPr>
          <w:rFonts w:ascii="標楷體" w:eastAsia="標楷體" w:hAnsi="標楷體" w:hint="eastAsia"/>
          <w:sz w:val="32"/>
          <w:szCs w:val="32"/>
        </w:rPr>
        <w:t>林素惠</w:t>
      </w:r>
      <w:r w:rsidRPr="001622D2">
        <w:rPr>
          <w:rFonts w:ascii="標楷體" w:eastAsia="標楷體" w:hAnsi="標楷體" w:hint="eastAsia"/>
          <w:sz w:val="32"/>
          <w:szCs w:val="32"/>
        </w:rPr>
        <w:t xml:space="preserve">  </w:t>
      </w:r>
      <w:r>
        <w:rPr>
          <w:rFonts w:ascii="標楷體" w:eastAsia="標楷體" w:hAnsi="標楷體" w:hint="eastAsia"/>
          <w:sz w:val="32"/>
          <w:szCs w:val="32"/>
        </w:rPr>
        <w:t xml:space="preserve">簡任編審  蔡月秋  </w:t>
      </w:r>
      <w:r w:rsidRPr="001622D2">
        <w:rPr>
          <w:rFonts w:ascii="標楷體" w:eastAsia="標楷體" w:hAnsi="標楷體" w:hint="eastAsia"/>
          <w:sz w:val="32"/>
          <w:szCs w:val="32"/>
        </w:rPr>
        <w:t xml:space="preserve">科長  </w:t>
      </w:r>
      <w:r>
        <w:rPr>
          <w:rFonts w:ascii="標楷體" w:eastAsia="標楷體" w:hAnsi="標楷體" w:hint="eastAsia"/>
          <w:sz w:val="32"/>
          <w:szCs w:val="32"/>
        </w:rPr>
        <w:t>蔡國治</w:t>
      </w:r>
    </w:p>
    <w:p w:rsidR="00273897" w:rsidRDefault="00273897" w:rsidP="00273897">
      <w:pPr>
        <w:pStyle w:val="ac"/>
        <w:spacing w:line="540" w:lineRule="exact"/>
        <w:ind w:leftChars="298" w:left="715" w:firstLineChars="57" w:firstLine="183"/>
        <w:rPr>
          <w:sz w:val="32"/>
        </w:rPr>
      </w:pPr>
      <w:r>
        <w:rPr>
          <w:rFonts w:hint="eastAsia"/>
          <w:b/>
          <w:sz w:val="32"/>
        </w:rPr>
        <w:t>報　告　事　項</w:t>
      </w:r>
    </w:p>
    <w:p w:rsidR="00273897" w:rsidRPr="008D66BC" w:rsidRDefault="00273897" w:rsidP="00273897">
      <w:pPr>
        <w:pStyle w:val="ac"/>
        <w:spacing w:line="540" w:lineRule="exact"/>
        <w:ind w:left="576" w:hangingChars="180" w:hanging="576"/>
        <w:jc w:val="both"/>
        <w:rPr>
          <w:sz w:val="32"/>
          <w:szCs w:val="32"/>
        </w:rPr>
      </w:pPr>
      <w:r w:rsidRPr="00511407">
        <w:rPr>
          <w:rFonts w:hint="eastAsia"/>
          <w:color w:val="000000" w:themeColor="text1"/>
          <w:sz w:val="32"/>
          <w:szCs w:val="32"/>
        </w:rPr>
        <w:t>一、依立法院各委員會組織法第四條之一規定:「各委員會之議程，</w:t>
      </w:r>
      <w:r w:rsidRPr="008D66BC">
        <w:rPr>
          <w:rFonts w:hint="eastAsia"/>
          <w:color w:val="000000" w:themeColor="text1"/>
          <w:sz w:val="32"/>
          <w:szCs w:val="32"/>
        </w:rPr>
        <w:t>應由輪值召集委員決定之。」。本會每週之議程，由輪值召集委員決定之，並擔任該週會議之主席。主席當日如因事不克到場主持會議，應事先商請其他召集委員代理。會議主席因事暫離主席職位，應請在場本會委員代理主席。次週議程請於週四前</w:t>
      </w:r>
      <w:r w:rsidRPr="008D66BC">
        <w:rPr>
          <w:rFonts w:hint="eastAsia"/>
          <w:sz w:val="32"/>
          <w:szCs w:val="32"/>
        </w:rPr>
        <w:t>書面告知本會以利刊載分週預報表。</w:t>
      </w:r>
    </w:p>
    <w:p w:rsidR="00273897" w:rsidRDefault="00273897" w:rsidP="00273897">
      <w:pPr>
        <w:pStyle w:val="ac"/>
        <w:spacing w:line="540" w:lineRule="exact"/>
        <w:ind w:left="640" w:rightChars="29" w:right="70" w:hangingChars="200" w:hanging="640"/>
        <w:jc w:val="both"/>
        <w:rPr>
          <w:sz w:val="32"/>
          <w:szCs w:val="32"/>
        </w:rPr>
      </w:pPr>
      <w:r>
        <w:rPr>
          <w:rFonts w:hint="eastAsia"/>
          <w:sz w:val="32"/>
          <w:szCs w:val="32"/>
        </w:rPr>
        <w:t>二、依立法院各委員會組織法第二十一條規定:「各委員會會議，除本法規定者外，得準用立法院組織法、立法院職權行使法、立法委員行為法及立法院議事規則有關條文之規定。」。</w:t>
      </w:r>
    </w:p>
    <w:p w:rsidR="00273897" w:rsidRPr="008D66BC" w:rsidRDefault="00273897" w:rsidP="00273897">
      <w:pPr>
        <w:pStyle w:val="ac"/>
        <w:spacing w:line="540" w:lineRule="exact"/>
        <w:ind w:left="576" w:rightChars="29" w:right="70" w:hangingChars="180" w:hanging="576"/>
        <w:jc w:val="both"/>
        <w:rPr>
          <w:sz w:val="32"/>
          <w:szCs w:val="32"/>
        </w:rPr>
      </w:pPr>
      <w:r w:rsidRPr="008D66BC">
        <w:rPr>
          <w:rFonts w:hint="eastAsia"/>
          <w:sz w:val="32"/>
          <w:szCs w:val="32"/>
        </w:rPr>
        <w:t>三、本委員會召開之公聽會或設立調閱專案小組須與院會交付審查之議案有關，公聽會受邀出席表達意見人員，由召集委員協調依立法院職權行使法第五十六條規定分別邀請，並請依正反觀點者平衡邀請。</w:t>
      </w:r>
    </w:p>
    <w:p w:rsidR="00273897" w:rsidRDefault="00273897" w:rsidP="00273897">
      <w:pPr>
        <w:pStyle w:val="ac"/>
        <w:spacing w:line="540" w:lineRule="exact"/>
        <w:ind w:left="576" w:hangingChars="180" w:hanging="576"/>
        <w:jc w:val="both"/>
        <w:rPr>
          <w:sz w:val="32"/>
          <w:szCs w:val="32"/>
        </w:rPr>
      </w:pPr>
      <w:r w:rsidRPr="008D66BC">
        <w:rPr>
          <w:rFonts w:hint="eastAsia"/>
          <w:sz w:val="32"/>
          <w:szCs w:val="32"/>
        </w:rPr>
        <w:t>四、本委員會與相關院部會協調聯繫之經費，每會期預算12萬元，每位召集委員6萬元，</w:t>
      </w:r>
      <w:r>
        <w:rPr>
          <w:rFonts w:hint="eastAsia"/>
          <w:sz w:val="32"/>
          <w:szCs w:val="32"/>
        </w:rPr>
        <w:t>由召集委員依立法院各委員會與各相關院</w:t>
      </w:r>
      <w:r>
        <w:rPr>
          <w:rFonts w:hint="eastAsia"/>
          <w:sz w:val="32"/>
          <w:szCs w:val="32"/>
        </w:rPr>
        <w:lastRenderedPageBreak/>
        <w:t>部會協調聯繫經費核銷原則動支，並通知本會依程序辦理核銷。</w:t>
      </w:r>
    </w:p>
    <w:p w:rsidR="00273897" w:rsidRPr="003444FE" w:rsidRDefault="00273897" w:rsidP="00273897">
      <w:pPr>
        <w:pStyle w:val="ac"/>
        <w:spacing w:line="540" w:lineRule="exact"/>
        <w:ind w:left="576" w:hangingChars="180" w:hanging="576"/>
        <w:rPr>
          <w:sz w:val="32"/>
          <w:szCs w:val="32"/>
        </w:rPr>
      </w:pPr>
      <w:r w:rsidRPr="003444FE">
        <w:rPr>
          <w:rFonts w:hint="eastAsia"/>
          <w:sz w:val="32"/>
          <w:szCs w:val="32"/>
        </w:rPr>
        <w:t>五、檢附尚未審查之「人民請願案」，請參考。</w:t>
      </w:r>
    </w:p>
    <w:p w:rsidR="00273897" w:rsidRDefault="00273897" w:rsidP="00273897">
      <w:pPr>
        <w:pStyle w:val="ac"/>
        <w:tabs>
          <w:tab w:val="left" w:pos="1080"/>
        </w:tabs>
        <w:spacing w:beforeLines="50" w:before="180" w:line="540" w:lineRule="exact"/>
        <w:ind w:leftChars="294" w:left="706" w:firstLineChars="50" w:firstLine="160"/>
        <w:rPr>
          <w:b/>
          <w:sz w:val="32"/>
        </w:rPr>
      </w:pPr>
      <w:r>
        <w:rPr>
          <w:rFonts w:hint="eastAsia"/>
          <w:b/>
          <w:sz w:val="32"/>
        </w:rPr>
        <w:t>討　論　事　項</w:t>
      </w:r>
    </w:p>
    <w:p w:rsidR="00273897" w:rsidRPr="008D66BC" w:rsidRDefault="00273897" w:rsidP="006934DD">
      <w:pPr>
        <w:numPr>
          <w:ilvl w:val="0"/>
          <w:numId w:val="23"/>
        </w:numPr>
        <w:snapToGrid w:val="0"/>
        <w:spacing w:line="560" w:lineRule="exact"/>
        <w:jc w:val="both"/>
        <w:rPr>
          <w:rFonts w:ascii="標楷體" w:eastAsia="標楷體" w:hAnsi="標楷體"/>
          <w:sz w:val="32"/>
          <w:szCs w:val="32"/>
        </w:rPr>
      </w:pPr>
      <w:r w:rsidRPr="008D66BC">
        <w:rPr>
          <w:rFonts w:ascii="標楷體" w:eastAsia="標楷體" w:hAnsi="標楷體" w:hint="eastAsia"/>
          <w:sz w:val="32"/>
          <w:szCs w:val="32"/>
        </w:rPr>
        <w:t>請推舉召集委員一人擔任本院紀律委員會召集委員,請議決案。</w:t>
      </w:r>
    </w:p>
    <w:p w:rsidR="00273897" w:rsidRPr="008D66BC" w:rsidRDefault="00273897" w:rsidP="00273897">
      <w:pPr>
        <w:snapToGrid w:val="0"/>
        <w:spacing w:line="560" w:lineRule="exact"/>
        <w:ind w:left="720"/>
        <w:jc w:val="both"/>
        <w:rPr>
          <w:rFonts w:ascii="標楷體" w:eastAsia="標楷體" w:hAnsi="標楷體"/>
          <w:sz w:val="32"/>
          <w:szCs w:val="32"/>
        </w:rPr>
      </w:pPr>
      <w:r w:rsidRPr="008D66BC">
        <w:rPr>
          <w:rFonts w:ascii="標楷體" w:eastAsia="標楷體" w:hAnsi="標楷體" w:hint="eastAsia"/>
          <w:sz w:val="32"/>
          <w:szCs w:val="32"/>
        </w:rPr>
        <w:t>決議</w:t>
      </w:r>
      <w:r w:rsidRPr="00026BFC">
        <w:rPr>
          <w:rFonts w:ascii="標楷體" w:eastAsia="標楷體" w:hAnsi="標楷體" w:hint="eastAsia"/>
          <w:sz w:val="32"/>
          <w:szCs w:val="32"/>
        </w:rPr>
        <w:t>：</w:t>
      </w:r>
      <w:r w:rsidRPr="008D66BC">
        <w:rPr>
          <w:rFonts w:ascii="標楷體" w:eastAsia="標楷體" w:hAnsi="標楷體" w:hint="eastAsia"/>
          <w:sz w:val="32"/>
          <w:szCs w:val="32"/>
        </w:rPr>
        <w:t>由</w:t>
      </w:r>
      <w:r>
        <w:rPr>
          <w:rFonts w:ascii="標楷體" w:eastAsia="標楷體" w:hAnsi="標楷體" w:hint="eastAsia"/>
          <w:sz w:val="32"/>
          <w:szCs w:val="32"/>
        </w:rPr>
        <w:t>鄭召集委員正鈐</w:t>
      </w:r>
      <w:r w:rsidRPr="008D66BC">
        <w:rPr>
          <w:rFonts w:ascii="標楷體" w:eastAsia="標楷體" w:hAnsi="標楷體" w:hint="eastAsia"/>
          <w:sz w:val="32"/>
          <w:szCs w:val="32"/>
        </w:rPr>
        <w:t>擔任。</w:t>
      </w:r>
    </w:p>
    <w:p w:rsidR="00273897" w:rsidRPr="008D66BC" w:rsidRDefault="00273897" w:rsidP="006934DD">
      <w:pPr>
        <w:numPr>
          <w:ilvl w:val="0"/>
          <w:numId w:val="23"/>
        </w:numPr>
        <w:spacing w:line="560" w:lineRule="exact"/>
        <w:jc w:val="both"/>
        <w:rPr>
          <w:rFonts w:ascii="標楷體" w:eastAsia="標楷體" w:hAnsi="標楷體"/>
          <w:sz w:val="32"/>
          <w:szCs w:val="32"/>
        </w:rPr>
      </w:pPr>
      <w:r w:rsidRPr="008D66BC">
        <w:rPr>
          <w:rFonts w:ascii="標楷體" w:eastAsia="標楷體" w:hAnsi="標楷體" w:hint="eastAsia"/>
          <w:sz w:val="32"/>
          <w:szCs w:val="32"/>
        </w:rPr>
        <w:t>本會期召集委員輪值順序及輪值表（詳如附件1），請議決案。</w:t>
      </w:r>
    </w:p>
    <w:p w:rsidR="00273897" w:rsidRPr="008D66BC" w:rsidRDefault="00273897" w:rsidP="00273897">
      <w:pPr>
        <w:spacing w:line="560" w:lineRule="exact"/>
        <w:ind w:left="720"/>
        <w:jc w:val="both"/>
        <w:rPr>
          <w:rFonts w:ascii="標楷體" w:eastAsia="標楷體" w:hAnsi="標楷體"/>
          <w:sz w:val="32"/>
          <w:szCs w:val="32"/>
        </w:rPr>
      </w:pPr>
      <w:r w:rsidRPr="008D66BC">
        <w:rPr>
          <w:rFonts w:ascii="標楷體" w:eastAsia="標楷體" w:hAnsi="標楷體" w:hint="eastAsia"/>
          <w:sz w:val="32"/>
          <w:szCs w:val="32"/>
        </w:rPr>
        <w:t>決議</w:t>
      </w:r>
      <w:r w:rsidRPr="00026BFC">
        <w:rPr>
          <w:rFonts w:ascii="標楷體" w:eastAsia="標楷體" w:hAnsi="標楷體" w:hint="eastAsia"/>
          <w:sz w:val="32"/>
          <w:szCs w:val="32"/>
        </w:rPr>
        <w:t>：</w:t>
      </w:r>
      <w:r>
        <w:rPr>
          <w:rFonts w:ascii="標楷體" w:eastAsia="標楷體" w:hAnsi="標楷體" w:hint="eastAsia"/>
          <w:sz w:val="32"/>
          <w:szCs w:val="32"/>
        </w:rPr>
        <w:t>照案通過。</w:t>
      </w:r>
    </w:p>
    <w:p w:rsidR="00273897" w:rsidRPr="008D66BC" w:rsidRDefault="00273897" w:rsidP="006934DD">
      <w:pPr>
        <w:numPr>
          <w:ilvl w:val="0"/>
          <w:numId w:val="23"/>
        </w:numPr>
        <w:spacing w:line="560" w:lineRule="exact"/>
        <w:jc w:val="both"/>
        <w:rPr>
          <w:rFonts w:ascii="標楷體" w:eastAsia="標楷體" w:hAnsi="標楷體"/>
          <w:sz w:val="32"/>
          <w:szCs w:val="32"/>
        </w:rPr>
      </w:pPr>
      <w:r w:rsidRPr="008D66BC">
        <w:rPr>
          <w:rFonts w:ascii="標楷體" w:eastAsia="標楷體" w:hAnsi="標楷體" w:hint="eastAsia"/>
          <w:sz w:val="32"/>
          <w:szCs w:val="32"/>
        </w:rPr>
        <w:t>本會期召集委員主持分組審查表（詳如附件2），請議決案。</w:t>
      </w:r>
    </w:p>
    <w:p w:rsidR="00273897" w:rsidRPr="008D66BC" w:rsidRDefault="00273897" w:rsidP="00273897">
      <w:pPr>
        <w:spacing w:line="560" w:lineRule="exact"/>
        <w:jc w:val="both"/>
        <w:rPr>
          <w:rFonts w:ascii="標楷體" w:eastAsia="標楷體" w:hAnsi="標楷體"/>
          <w:sz w:val="32"/>
          <w:szCs w:val="32"/>
        </w:rPr>
      </w:pPr>
      <w:r w:rsidRPr="008D66BC">
        <w:rPr>
          <w:rFonts w:ascii="標楷體" w:eastAsia="標楷體" w:hAnsi="標楷體" w:hint="eastAsia"/>
          <w:sz w:val="32"/>
          <w:szCs w:val="32"/>
        </w:rPr>
        <w:t xml:space="preserve">   </w:t>
      </w:r>
      <w:r w:rsidRPr="005B7C16">
        <w:rPr>
          <w:rFonts w:ascii="標楷體" w:eastAsia="標楷體" w:hAnsi="標楷體" w:hint="eastAsia"/>
          <w:spacing w:val="34"/>
          <w:sz w:val="32"/>
          <w:szCs w:val="32"/>
        </w:rPr>
        <w:t xml:space="preserve"> </w:t>
      </w:r>
      <w:r w:rsidRPr="008D66BC">
        <w:rPr>
          <w:rFonts w:ascii="標楷體" w:eastAsia="標楷體" w:hAnsi="標楷體" w:hint="eastAsia"/>
          <w:sz w:val="32"/>
          <w:szCs w:val="32"/>
        </w:rPr>
        <w:t>決議</w:t>
      </w:r>
      <w:r w:rsidRPr="00026BFC">
        <w:rPr>
          <w:rFonts w:ascii="標楷體" w:eastAsia="標楷體" w:hAnsi="標楷體" w:hint="eastAsia"/>
          <w:sz w:val="32"/>
          <w:szCs w:val="32"/>
        </w:rPr>
        <w:t>：</w:t>
      </w:r>
      <w:r>
        <w:rPr>
          <w:rFonts w:ascii="標楷體" w:eastAsia="標楷體" w:hAnsi="標楷體" w:hint="eastAsia"/>
          <w:sz w:val="32"/>
          <w:szCs w:val="32"/>
        </w:rPr>
        <w:t>照案通過。</w:t>
      </w:r>
    </w:p>
    <w:p w:rsidR="00273897" w:rsidRDefault="00273897">
      <w:pPr>
        <w:widowControl/>
        <w:rPr>
          <w:rFonts w:ascii="標楷體" w:eastAsia="標楷體" w:hAnsi="標楷體"/>
          <w:sz w:val="20"/>
        </w:rPr>
      </w:pPr>
      <w:r>
        <w:rPr>
          <w:rFonts w:ascii="標楷體" w:eastAsia="標楷體" w:hAnsi="標楷體"/>
          <w:sz w:val="20"/>
        </w:rPr>
        <w:br w:type="page"/>
      </w:r>
    </w:p>
    <w:p w:rsidR="00273897" w:rsidRDefault="00273897" w:rsidP="00273897">
      <w:pPr>
        <w:spacing w:line="400" w:lineRule="exact"/>
        <w:jc w:val="center"/>
        <w:rPr>
          <w:rFonts w:ascii="標楷體" w:eastAsia="標楷體" w:hAnsi="標楷體"/>
          <w:b/>
          <w:sz w:val="20"/>
        </w:rPr>
      </w:pPr>
      <w:r>
        <w:rPr>
          <w:rFonts w:ascii="標楷體" w:eastAsia="標楷體" w:hAnsi="標楷體" w:hint="eastAsia"/>
          <w:b/>
          <w:sz w:val="20"/>
        </w:rPr>
        <w:lastRenderedPageBreak/>
        <w:t xml:space="preserve">                                                                           </w:t>
      </w:r>
      <w:r w:rsidRPr="00DF3A5B">
        <w:rPr>
          <w:rFonts w:ascii="標楷體" w:eastAsia="標楷體" w:hAnsi="標楷體" w:hint="eastAsia"/>
          <w:b/>
          <w:sz w:val="20"/>
        </w:rPr>
        <w:t xml:space="preserve">(附件1)  </w:t>
      </w:r>
    </w:p>
    <w:p w:rsidR="00273897" w:rsidRPr="00C418C0" w:rsidRDefault="00273897" w:rsidP="00273897">
      <w:pPr>
        <w:spacing w:line="400" w:lineRule="exact"/>
        <w:ind w:firstLineChars="100" w:firstLine="336"/>
        <w:rPr>
          <w:rFonts w:ascii="標楷體" w:eastAsia="標楷體" w:hAnsi="標楷體"/>
          <w:b/>
          <w:spacing w:val="-2"/>
          <w:sz w:val="20"/>
        </w:rPr>
      </w:pPr>
      <w:r w:rsidRPr="00C418C0">
        <w:rPr>
          <w:rFonts w:ascii="標楷體" w:eastAsia="標楷體" w:hAnsi="標楷體" w:hint="eastAsia"/>
          <w:b/>
          <w:spacing w:val="-2"/>
          <w:sz w:val="34"/>
          <w:szCs w:val="34"/>
        </w:rPr>
        <w:t>立法院第</w:t>
      </w:r>
      <w:r>
        <w:rPr>
          <w:rFonts w:ascii="標楷體" w:eastAsia="標楷體" w:hAnsi="標楷體" w:hint="eastAsia"/>
          <w:b/>
          <w:spacing w:val="-2"/>
          <w:sz w:val="34"/>
          <w:szCs w:val="34"/>
        </w:rPr>
        <w:t>10</w:t>
      </w:r>
      <w:r w:rsidRPr="00C418C0">
        <w:rPr>
          <w:rFonts w:ascii="標楷體" w:eastAsia="標楷體" w:hAnsi="標楷體" w:hint="eastAsia"/>
          <w:b/>
          <w:spacing w:val="-2"/>
          <w:sz w:val="34"/>
          <w:szCs w:val="34"/>
        </w:rPr>
        <w:t>屆第</w:t>
      </w:r>
      <w:r>
        <w:rPr>
          <w:rFonts w:ascii="標楷體" w:eastAsia="標楷體" w:hAnsi="標楷體" w:hint="eastAsia"/>
          <w:b/>
          <w:spacing w:val="-2"/>
          <w:sz w:val="34"/>
          <w:szCs w:val="34"/>
        </w:rPr>
        <w:t>6</w:t>
      </w:r>
      <w:r w:rsidRPr="00C418C0">
        <w:rPr>
          <w:rFonts w:ascii="標楷體" w:eastAsia="標楷體" w:hAnsi="標楷體" w:hint="eastAsia"/>
          <w:b/>
          <w:spacing w:val="-2"/>
          <w:sz w:val="34"/>
          <w:szCs w:val="34"/>
        </w:rPr>
        <w:t>會期教育及文化委員會召集委員輪值表</w:t>
      </w:r>
    </w:p>
    <w:p w:rsidR="00273897" w:rsidRPr="0050198E" w:rsidRDefault="00273897" w:rsidP="00273897">
      <w:pPr>
        <w:spacing w:line="400" w:lineRule="exact"/>
        <w:rPr>
          <w:rFonts w:ascii="標楷體" w:eastAsia="標楷體" w:hAnsi="標楷體"/>
        </w:rPr>
      </w:pPr>
      <w:r>
        <w:rPr>
          <w:rFonts w:ascii="標楷體" w:eastAsia="標楷體" w:hAnsi="標楷體" w:hint="eastAsia"/>
          <w:sz w:val="32"/>
          <w:szCs w:val="32"/>
        </w:rPr>
        <w:t xml:space="preserve">                                            </w:t>
      </w:r>
      <w:r w:rsidRPr="0050198E">
        <w:rPr>
          <w:rFonts w:ascii="標楷體" w:eastAsia="標楷體" w:hAnsi="標楷體" w:hint="eastAsia"/>
          <w:b/>
        </w:rPr>
        <w:t>1</w:t>
      </w:r>
      <w:r>
        <w:rPr>
          <w:rFonts w:ascii="標楷體" w:eastAsia="標楷體" w:hAnsi="標楷體" w:hint="eastAsia"/>
          <w:b/>
        </w:rPr>
        <w:t>1</w:t>
      </w:r>
      <w:r>
        <w:rPr>
          <w:rFonts w:ascii="標楷體" w:eastAsia="標楷體" w:hAnsi="標楷體"/>
          <w:b/>
        </w:rPr>
        <w:t>1</w:t>
      </w:r>
      <w:r w:rsidRPr="0050198E">
        <w:rPr>
          <w:rFonts w:ascii="標楷體" w:eastAsia="標楷體" w:hAnsi="標楷體" w:hint="eastAsia"/>
          <w:b/>
        </w:rPr>
        <w:t>年</w:t>
      </w:r>
      <w:r>
        <w:rPr>
          <w:rFonts w:ascii="標楷體" w:eastAsia="標楷體" w:hAnsi="標楷體" w:hint="eastAsia"/>
          <w:b/>
        </w:rPr>
        <w:t>9</w:t>
      </w:r>
      <w:r w:rsidRPr="0050198E">
        <w:rPr>
          <w:rFonts w:ascii="標楷體" w:eastAsia="標楷體" w:hAnsi="標楷體" w:hint="eastAsia"/>
          <w:b/>
        </w:rPr>
        <w:t>月</w:t>
      </w:r>
      <w:r>
        <w:rPr>
          <w:rFonts w:ascii="標楷體" w:eastAsia="標楷體" w:hAnsi="標楷體" w:hint="eastAsia"/>
          <w:b/>
        </w:rPr>
        <w:t>28</w:t>
      </w:r>
      <w:r w:rsidRPr="0050198E">
        <w:rPr>
          <w:rFonts w:ascii="標楷體" w:eastAsia="標楷體" w:hAnsi="標楷體" w:hint="eastAsia"/>
          <w:b/>
        </w:rPr>
        <w:t>日</w:t>
      </w:r>
    </w:p>
    <w:tbl>
      <w:tblPr>
        <w:tblW w:w="9322"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06"/>
        <w:gridCol w:w="4516"/>
      </w:tblGrid>
      <w:tr w:rsidR="00273897" w:rsidTr="00273897">
        <w:trPr>
          <w:trHeight w:val="927"/>
        </w:trPr>
        <w:tc>
          <w:tcPr>
            <w:tcW w:w="4806" w:type="dxa"/>
            <w:tcBorders>
              <w:top w:val="single" w:sz="4" w:space="0" w:color="auto"/>
              <w:left w:val="single" w:sz="4" w:space="0" w:color="auto"/>
              <w:bottom w:val="single" w:sz="4" w:space="0" w:color="auto"/>
              <w:right w:val="single" w:sz="4" w:space="0" w:color="auto"/>
            </w:tcBorders>
            <w:vAlign w:val="center"/>
            <w:hideMark/>
          </w:tcPr>
          <w:p w:rsidR="00273897" w:rsidRPr="00C87522" w:rsidRDefault="00273897" w:rsidP="00273897">
            <w:pPr>
              <w:jc w:val="center"/>
              <w:rPr>
                <w:rFonts w:ascii="標楷體" w:eastAsia="標楷體" w:hAnsi="標楷體"/>
                <w:b/>
                <w:color w:val="FF0000"/>
                <w:sz w:val="40"/>
                <w:szCs w:val="40"/>
              </w:rPr>
            </w:pPr>
            <w:r>
              <w:rPr>
                <w:rFonts w:ascii="標楷體" w:eastAsia="標楷體" w:hAnsi="標楷體" w:hint="eastAsia"/>
                <w:b/>
                <w:color w:val="000000" w:themeColor="text1"/>
                <w:sz w:val="40"/>
                <w:szCs w:val="40"/>
              </w:rPr>
              <w:t>陳秀寳</w:t>
            </w:r>
            <w:r w:rsidRPr="000E07DD">
              <w:rPr>
                <w:rFonts w:ascii="標楷體" w:eastAsia="標楷體" w:hAnsi="標楷體" w:hint="eastAsia"/>
                <w:b/>
                <w:color w:val="000000" w:themeColor="text1"/>
                <w:sz w:val="40"/>
                <w:szCs w:val="40"/>
              </w:rPr>
              <w:t>委員</w:t>
            </w:r>
          </w:p>
        </w:tc>
        <w:tc>
          <w:tcPr>
            <w:tcW w:w="4516" w:type="dxa"/>
            <w:tcBorders>
              <w:top w:val="single" w:sz="4" w:space="0" w:color="auto"/>
              <w:left w:val="single" w:sz="4" w:space="0" w:color="auto"/>
              <w:bottom w:val="single" w:sz="4" w:space="0" w:color="auto"/>
              <w:right w:val="single" w:sz="4" w:space="0" w:color="auto"/>
            </w:tcBorders>
            <w:vAlign w:val="center"/>
            <w:hideMark/>
          </w:tcPr>
          <w:p w:rsidR="00273897" w:rsidRPr="00C87522" w:rsidRDefault="00273897" w:rsidP="00273897">
            <w:pPr>
              <w:jc w:val="center"/>
              <w:rPr>
                <w:rFonts w:ascii="標楷體" w:eastAsia="標楷體" w:hAnsi="標楷體"/>
                <w:b/>
                <w:color w:val="FF0000"/>
                <w:sz w:val="40"/>
                <w:szCs w:val="40"/>
              </w:rPr>
            </w:pPr>
            <w:r>
              <w:rPr>
                <w:rFonts w:ascii="標楷體" w:eastAsia="標楷體" w:hAnsi="標楷體" w:hint="eastAsia"/>
                <w:b/>
                <w:color w:val="000000" w:themeColor="text1"/>
                <w:sz w:val="40"/>
                <w:szCs w:val="40"/>
              </w:rPr>
              <w:t>鄭正鈐</w:t>
            </w:r>
            <w:r w:rsidRPr="00135195">
              <w:rPr>
                <w:rFonts w:ascii="標楷體" w:eastAsia="標楷體" w:hAnsi="標楷體" w:hint="eastAsia"/>
                <w:b/>
                <w:color w:val="000000" w:themeColor="text1"/>
                <w:sz w:val="40"/>
                <w:szCs w:val="40"/>
              </w:rPr>
              <w:t>委員</w:t>
            </w:r>
          </w:p>
        </w:tc>
      </w:tr>
      <w:tr w:rsidR="00273897" w:rsidTr="00273897">
        <w:trPr>
          <w:trHeight w:hRule="exact" w:val="964"/>
        </w:trPr>
        <w:tc>
          <w:tcPr>
            <w:tcW w:w="4806" w:type="dxa"/>
            <w:tcBorders>
              <w:top w:val="single" w:sz="4" w:space="0" w:color="auto"/>
              <w:left w:val="single" w:sz="4" w:space="0" w:color="auto"/>
              <w:bottom w:val="single" w:sz="4" w:space="0" w:color="auto"/>
              <w:right w:val="single" w:sz="4" w:space="0" w:color="auto"/>
            </w:tcBorders>
            <w:vAlign w:val="center"/>
          </w:tcPr>
          <w:p w:rsidR="00273897" w:rsidRPr="00324061" w:rsidRDefault="00273897" w:rsidP="00273897">
            <w:pPr>
              <w:jc w:val="center"/>
              <w:rPr>
                <w:rFonts w:ascii="標楷體" w:eastAsia="標楷體" w:hAnsi="標楷體"/>
                <w:sz w:val="32"/>
                <w:szCs w:val="32"/>
              </w:rPr>
            </w:pPr>
            <w:r w:rsidRPr="00324061">
              <w:rPr>
                <w:rFonts w:ascii="標楷體" w:eastAsia="標楷體" w:hAnsi="標楷體" w:hint="eastAsia"/>
                <w:sz w:val="32"/>
                <w:szCs w:val="32"/>
              </w:rPr>
              <w:t>10月02日至10月08日</w:t>
            </w:r>
          </w:p>
        </w:tc>
        <w:tc>
          <w:tcPr>
            <w:tcW w:w="4516" w:type="dxa"/>
            <w:tcBorders>
              <w:top w:val="single" w:sz="4" w:space="0" w:color="auto"/>
              <w:left w:val="single" w:sz="4" w:space="0" w:color="auto"/>
              <w:bottom w:val="single" w:sz="4" w:space="0" w:color="auto"/>
              <w:right w:val="single" w:sz="4" w:space="0" w:color="auto"/>
            </w:tcBorders>
            <w:vAlign w:val="center"/>
          </w:tcPr>
          <w:p w:rsidR="00273897" w:rsidRPr="00324061" w:rsidRDefault="00273897" w:rsidP="00273897">
            <w:pPr>
              <w:jc w:val="center"/>
              <w:rPr>
                <w:rFonts w:ascii="標楷體" w:eastAsia="標楷體" w:hAnsi="標楷體"/>
                <w:sz w:val="32"/>
                <w:szCs w:val="32"/>
              </w:rPr>
            </w:pPr>
            <w:r w:rsidRPr="00324061">
              <w:rPr>
                <w:rFonts w:ascii="標楷體" w:eastAsia="標楷體" w:hAnsi="標楷體" w:hint="eastAsia"/>
                <w:sz w:val="32"/>
                <w:szCs w:val="32"/>
              </w:rPr>
              <w:t>10月09日至10月15日</w:t>
            </w:r>
          </w:p>
        </w:tc>
      </w:tr>
      <w:tr w:rsidR="00273897" w:rsidTr="00273897">
        <w:trPr>
          <w:trHeight w:hRule="exact" w:val="964"/>
        </w:trPr>
        <w:tc>
          <w:tcPr>
            <w:tcW w:w="4806" w:type="dxa"/>
            <w:tcBorders>
              <w:top w:val="single" w:sz="4" w:space="0" w:color="auto"/>
              <w:left w:val="single" w:sz="4" w:space="0" w:color="auto"/>
              <w:bottom w:val="single" w:sz="4" w:space="0" w:color="auto"/>
              <w:right w:val="single" w:sz="4" w:space="0" w:color="auto"/>
            </w:tcBorders>
            <w:vAlign w:val="center"/>
          </w:tcPr>
          <w:p w:rsidR="00273897" w:rsidRPr="00324061" w:rsidRDefault="00273897" w:rsidP="00273897">
            <w:pPr>
              <w:jc w:val="center"/>
              <w:rPr>
                <w:rFonts w:ascii="標楷體" w:eastAsia="標楷體" w:hAnsi="標楷體"/>
                <w:sz w:val="32"/>
                <w:szCs w:val="32"/>
              </w:rPr>
            </w:pPr>
            <w:r w:rsidRPr="00324061">
              <w:rPr>
                <w:rFonts w:ascii="標楷體" w:eastAsia="標楷體" w:hAnsi="標楷體" w:hint="eastAsia"/>
                <w:sz w:val="32"/>
                <w:szCs w:val="32"/>
              </w:rPr>
              <w:t>10月16日至10月22日</w:t>
            </w:r>
          </w:p>
        </w:tc>
        <w:tc>
          <w:tcPr>
            <w:tcW w:w="4516" w:type="dxa"/>
            <w:tcBorders>
              <w:top w:val="single" w:sz="4" w:space="0" w:color="auto"/>
              <w:left w:val="single" w:sz="4" w:space="0" w:color="auto"/>
              <w:bottom w:val="single" w:sz="4" w:space="0" w:color="auto"/>
              <w:right w:val="single" w:sz="4" w:space="0" w:color="auto"/>
            </w:tcBorders>
            <w:vAlign w:val="center"/>
          </w:tcPr>
          <w:p w:rsidR="00273897" w:rsidRPr="00324061" w:rsidRDefault="00273897" w:rsidP="00273897">
            <w:pPr>
              <w:jc w:val="center"/>
              <w:rPr>
                <w:rFonts w:ascii="標楷體" w:eastAsia="標楷體" w:hAnsi="標楷體"/>
                <w:sz w:val="32"/>
                <w:szCs w:val="32"/>
              </w:rPr>
            </w:pPr>
            <w:r w:rsidRPr="00324061">
              <w:rPr>
                <w:rFonts w:ascii="標楷體" w:eastAsia="標楷體" w:hAnsi="標楷體" w:hint="eastAsia"/>
                <w:sz w:val="32"/>
                <w:szCs w:val="32"/>
              </w:rPr>
              <w:t>10月23日至10月29日</w:t>
            </w:r>
          </w:p>
        </w:tc>
      </w:tr>
      <w:tr w:rsidR="00273897" w:rsidTr="00273897">
        <w:trPr>
          <w:trHeight w:hRule="exact" w:val="964"/>
        </w:trPr>
        <w:tc>
          <w:tcPr>
            <w:tcW w:w="4806" w:type="dxa"/>
            <w:tcBorders>
              <w:top w:val="single" w:sz="4" w:space="0" w:color="auto"/>
              <w:left w:val="single" w:sz="4" w:space="0" w:color="auto"/>
              <w:bottom w:val="single" w:sz="4" w:space="0" w:color="auto"/>
              <w:right w:val="single" w:sz="4" w:space="0" w:color="auto"/>
            </w:tcBorders>
            <w:vAlign w:val="center"/>
          </w:tcPr>
          <w:p w:rsidR="00273897" w:rsidRPr="00324061" w:rsidRDefault="00273897" w:rsidP="00273897">
            <w:pPr>
              <w:jc w:val="center"/>
              <w:rPr>
                <w:rFonts w:ascii="標楷體" w:eastAsia="標楷體" w:hAnsi="標楷體"/>
                <w:sz w:val="32"/>
                <w:szCs w:val="32"/>
              </w:rPr>
            </w:pPr>
            <w:r w:rsidRPr="00324061">
              <w:rPr>
                <w:rFonts w:ascii="標楷體" w:eastAsia="標楷體" w:hAnsi="標楷體" w:hint="eastAsia"/>
                <w:sz w:val="32"/>
                <w:szCs w:val="32"/>
              </w:rPr>
              <w:t>10月30日至11月05日</w:t>
            </w:r>
          </w:p>
        </w:tc>
        <w:tc>
          <w:tcPr>
            <w:tcW w:w="4516" w:type="dxa"/>
            <w:tcBorders>
              <w:top w:val="single" w:sz="4" w:space="0" w:color="auto"/>
              <w:left w:val="single" w:sz="4" w:space="0" w:color="auto"/>
              <w:bottom w:val="single" w:sz="4" w:space="0" w:color="auto"/>
              <w:right w:val="single" w:sz="4" w:space="0" w:color="auto"/>
            </w:tcBorders>
            <w:vAlign w:val="center"/>
          </w:tcPr>
          <w:p w:rsidR="00273897" w:rsidRPr="00324061" w:rsidRDefault="00273897" w:rsidP="00273897">
            <w:pPr>
              <w:jc w:val="center"/>
              <w:rPr>
                <w:rFonts w:ascii="標楷體" w:eastAsia="標楷體" w:hAnsi="標楷體"/>
                <w:sz w:val="32"/>
                <w:szCs w:val="32"/>
              </w:rPr>
            </w:pPr>
            <w:r w:rsidRPr="00324061">
              <w:rPr>
                <w:rFonts w:ascii="標楷體" w:eastAsia="標楷體" w:hAnsi="標楷體" w:hint="eastAsia"/>
                <w:sz w:val="32"/>
                <w:szCs w:val="32"/>
              </w:rPr>
              <w:t>11月06日至11月12日</w:t>
            </w:r>
          </w:p>
        </w:tc>
      </w:tr>
      <w:tr w:rsidR="00273897" w:rsidTr="00273897">
        <w:trPr>
          <w:trHeight w:hRule="exact" w:val="964"/>
        </w:trPr>
        <w:tc>
          <w:tcPr>
            <w:tcW w:w="4806" w:type="dxa"/>
            <w:tcBorders>
              <w:top w:val="single" w:sz="4" w:space="0" w:color="auto"/>
              <w:left w:val="single" w:sz="4" w:space="0" w:color="auto"/>
              <w:bottom w:val="single" w:sz="4" w:space="0" w:color="auto"/>
              <w:right w:val="single" w:sz="4" w:space="0" w:color="auto"/>
            </w:tcBorders>
            <w:vAlign w:val="center"/>
          </w:tcPr>
          <w:p w:rsidR="00273897" w:rsidRPr="00324061" w:rsidRDefault="00273897" w:rsidP="00273897">
            <w:pPr>
              <w:jc w:val="center"/>
              <w:rPr>
                <w:rFonts w:ascii="標楷體" w:eastAsia="標楷體" w:hAnsi="標楷體"/>
                <w:sz w:val="32"/>
                <w:szCs w:val="32"/>
              </w:rPr>
            </w:pPr>
            <w:r w:rsidRPr="00324061">
              <w:rPr>
                <w:rFonts w:ascii="標楷體" w:eastAsia="標楷體" w:hAnsi="標楷體" w:hint="eastAsia"/>
                <w:sz w:val="32"/>
                <w:szCs w:val="32"/>
              </w:rPr>
              <w:t>11月13日至11月19日</w:t>
            </w:r>
          </w:p>
        </w:tc>
        <w:tc>
          <w:tcPr>
            <w:tcW w:w="4516" w:type="dxa"/>
            <w:tcBorders>
              <w:top w:val="single" w:sz="4" w:space="0" w:color="auto"/>
              <w:left w:val="single" w:sz="4" w:space="0" w:color="auto"/>
              <w:bottom w:val="single" w:sz="4" w:space="0" w:color="auto"/>
              <w:right w:val="single" w:sz="4" w:space="0" w:color="auto"/>
            </w:tcBorders>
            <w:vAlign w:val="center"/>
          </w:tcPr>
          <w:p w:rsidR="00273897" w:rsidRPr="00324061" w:rsidRDefault="00273897" w:rsidP="00273897">
            <w:pPr>
              <w:jc w:val="center"/>
              <w:rPr>
                <w:rFonts w:ascii="標楷體" w:eastAsia="標楷體" w:hAnsi="標楷體"/>
                <w:sz w:val="32"/>
                <w:szCs w:val="32"/>
              </w:rPr>
            </w:pPr>
            <w:r w:rsidRPr="00324061">
              <w:rPr>
                <w:rFonts w:ascii="標楷體" w:eastAsia="標楷體" w:hAnsi="標楷體"/>
                <w:sz w:val="32"/>
                <w:szCs w:val="32"/>
              </w:rPr>
              <w:t>11</w:t>
            </w:r>
            <w:r w:rsidRPr="00324061">
              <w:rPr>
                <w:rFonts w:ascii="標楷體" w:eastAsia="標楷體" w:hAnsi="標楷體" w:hint="eastAsia"/>
                <w:sz w:val="32"/>
                <w:szCs w:val="32"/>
              </w:rPr>
              <w:t>月20日至11月26日</w:t>
            </w:r>
          </w:p>
        </w:tc>
      </w:tr>
      <w:tr w:rsidR="00273897" w:rsidTr="00273897">
        <w:trPr>
          <w:trHeight w:hRule="exact" w:val="964"/>
        </w:trPr>
        <w:tc>
          <w:tcPr>
            <w:tcW w:w="4806" w:type="dxa"/>
            <w:tcBorders>
              <w:top w:val="single" w:sz="4" w:space="0" w:color="auto"/>
              <w:left w:val="single" w:sz="4" w:space="0" w:color="auto"/>
              <w:bottom w:val="single" w:sz="4" w:space="0" w:color="auto"/>
              <w:right w:val="single" w:sz="4" w:space="0" w:color="auto"/>
            </w:tcBorders>
            <w:vAlign w:val="center"/>
          </w:tcPr>
          <w:p w:rsidR="00273897" w:rsidRPr="00324061" w:rsidRDefault="00273897" w:rsidP="00273897">
            <w:pPr>
              <w:jc w:val="center"/>
              <w:rPr>
                <w:rFonts w:ascii="標楷體" w:eastAsia="標楷體" w:hAnsi="標楷體"/>
                <w:sz w:val="32"/>
                <w:szCs w:val="32"/>
              </w:rPr>
            </w:pPr>
            <w:r w:rsidRPr="00324061">
              <w:rPr>
                <w:rFonts w:ascii="標楷體" w:eastAsia="標楷體" w:hAnsi="標楷體" w:hint="eastAsia"/>
                <w:sz w:val="32"/>
                <w:szCs w:val="32"/>
              </w:rPr>
              <w:t>11月27日至12月03日</w:t>
            </w:r>
          </w:p>
        </w:tc>
        <w:tc>
          <w:tcPr>
            <w:tcW w:w="4516" w:type="dxa"/>
            <w:tcBorders>
              <w:top w:val="single" w:sz="4" w:space="0" w:color="auto"/>
              <w:left w:val="single" w:sz="4" w:space="0" w:color="auto"/>
              <w:bottom w:val="single" w:sz="4" w:space="0" w:color="auto"/>
              <w:right w:val="single" w:sz="4" w:space="0" w:color="auto"/>
            </w:tcBorders>
            <w:vAlign w:val="center"/>
          </w:tcPr>
          <w:p w:rsidR="00273897" w:rsidRPr="00324061" w:rsidRDefault="00273897" w:rsidP="00273897">
            <w:pPr>
              <w:jc w:val="center"/>
              <w:rPr>
                <w:rFonts w:ascii="標楷體" w:eastAsia="標楷體" w:hAnsi="標楷體"/>
                <w:sz w:val="32"/>
                <w:szCs w:val="32"/>
              </w:rPr>
            </w:pPr>
            <w:r w:rsidRPr="00324061">
              <w:rPr>
                <w:rFonts w:ascii="標楷體" w:eastAsia="標楷體" w:hAnsi="標楷體"/>
                <w:sz w:val="32"/>
                <w:szCs w:val="32"/>
              </w:rPr>
              <w:t>1</w:t>
            </w:r>
            <w:r w:rsidRPr="00324061">
              <w:rPr>
                <w:rFonts w:ascii="標楷體" w:eastAsia="標楷體" w:hAnsi="標楷體" w:hint="eastAsia"/>
                <w:sz w:val="32"/>
                <w:szCs w:val="32"/>
              </w:rPr>
              <w:t>2月04日至12月10日</w:t>
            </w:r>
          </w:p>
        </w:tc>
      </w:tr>
      <w:tr w:rsidR="00273897" w:rsidTr="00273897">
        <w:trPr>
          <w:trHeight w:hRule="exact" w:val="964"/>
        </w:trPr>
        <w:tc>
          <w:tcPr>
            <w:tcW w:w="4806" w:type="dxa"/>
            <w:tcBorders>
              <w:top w:val="single" w:sz="4" w:space="0" w:color="auto"/>
              <w:left w:val="single" w:sz="4" w:space="0" w:color="auto"/>
              <w:bottom w:val="single" w:sz="4" w:space="0" w:color="auto"/>
              <w:right w:val="single" w:sz="4" w:space="0" w:color="auto"/>
            </w:tcBorders>
            <w:vAlign w:val="center"/>
          </w:tcPr>
          <w:p w:rsidR="00273897" w:rsidRPr="00324061" w:rsidRDefault="00273897" w:rsidP="00273897">
            <w:pPr>
              <w:jc w:val="center"/>
              <w:rPr>
                <w:rFonts w:ascii="標楷體" w:eastAsia="標楷體" w:hAnsi="標楷體"/>
                <w:sz w:val="32"/>
                <w:szCs w:val="32"/>
              </w:rPr>
            </w:pPr>
            <w:r w:rsidRPr="00324061">
              <w:rPr>
                <w:rFonts w:ascii="標楷體" w:eastAsia="標楷體" w:hAnsi="標楷體" w:hint="eastAsia"/>
                <w:sz w:val="32"/>
                <w:szCs w:val="32"/>
              </w:rPr>
              <w:t>12月11日至12月17日</w:t>
            </w:r>
          </w:p>
        </w:tc>
        <w:tc>
          <w:tcPr>
            <w:tcW w:w="4516" w:type="dxa"/>
            <w:tcBorders>
              <w:top w:val="single" w:sz="4" w:space="0" w:color="auto"/>
              <w:left w:val="single" w:sz="4" w:space="0" w:color="auto"/>
              <w:bottom w:val="single" w:sz="4" w:space="0" w:color="auto"/>
              <w:right w:val="single" w:sz="4" w:space="0" w:color="auto"/>
            </w:tcBorders>
            <w:vAlign w:val="center"/>
          </w:tcPr>
          <w:p w:rsidR="00273897" w:rsidRPr="00324061" w:rsidRDefault="00273897" w:rsidP="00273897">
            <w:pPr>
              <w:jc w:val="center"/>
              <w:rPr>
                <w:rFonts w:ascii="標楷體" w:eastAsia="標楷體" w:hAnsi="標楷體"/>
                <w:sz w:val="32"/>
                <w:szCs w:val="32"/>
              </w:rPr>
            </w:pPr>
            <w:r w:rsidRPr="00324061">
              <w:rPr>
                <w:rFonts w:ascii="標楷體" w:eastAsia="標楷體" w:hAnsi="標楷體" w:hint="eastAsia"/>
                <w:sz w:val="32"/>
                <w:szCs w:val="32"/>
              </w:rPr>
              <w:t>12月18日至12月24日</w:t>
            </w:r>
          </w:p>
        </w:tc>
      </w:tr>
      <w:tr w:rsidR="00273897" w:rsidTr="00273897">
        <w:trPr>
          <w:trHeight w:hRule="exact" w:val="964"/>
        </w:trPr>
        <w:tc>
          <w:tcPr>
            <w:tcW w:w="4806" w:type="dxa"/>
            <w:tcBorders>
              <w:top w:val="single" w:sz="4" w:space="0" w:color="auto"/>
              <w:left w:val="single" w:sz="4" w:space="0" w:color="auto"/>
              <w:bottom w:val="single" w:sz="4" w:space="0" w:color="auto"/>
              <w:right w:val="single" w:sz="4" w:space="0" w:color="auto"/>
            </w:tcBorders>
            <w:vAlign w:val="center"/>
          </w:tcPr>
          <w:p w:rsidR="00273897" w:rsidRPr="00324061" w:rsidRDefault="00273897" w:rsidP="00273897">
            <w:pPr>
              <w:jc w:val="center"/>
              <w:rPr>
                <w:rFonts w:ascii="標楷體" w:eastAsia="標楷體" w:hAnsi="標楷體"/>
                <w:sz w:val="32"/>
                <w:szCs w:val="32"/>
              </w:rPr>
            </w:pPr>
            <w:r w:rsidRPr="00324061">
              <w:rPr>
                <w:rFonts w:ascii="標楷體" w:eastAsia="標楷體" w:hAnsi="標楷體" w:hint="eastAsia"/>
                <w:sz w:val="32"/>
                <w:szCs w:val="32"/>
              </w:rPr>
              <w:t>12月25日至12月31日</w:t>
            </w:r>
          </w:p>
        </w:tc>
        <w:tc>
          <w:tcPr>
            <w:tcW w:w="4516" w:type="dxa"/>
            <w:tcBorders>
              <w:top w:val="single" w:sz="4" w:space="0" w:color="auto"/>
              <w:left w:val="single" w:sz="4" w:space="0" w:color="auto"/>
              <w:bottom w:val="single" w:sz="4" w:space="0" w:color="auto"/>
              <w:right w:val="single" w:sz="4" w:space="0" w:color="auto"/>
            </w:tcBorders>
            <w:vAlign w:val="center"/>
          </w:tcPr>
          <w:p w:rsidR="00273897" w:rsidRPr="00324061" w:rsidRDefault="00273897" w:rsidP="00273897">
            <w:pPr>
              <w:jc w:val="center"/>
              <w:rPr>
                <w:rFonts w:ascii="標楷體" w:eastAsia="標楷體" w:hAnsi="標楷體"/>
                <w:sz w:val="32"/>
                <w:szCs w:val="32"/>
              </w:rPr>
            </w:pPr>
            <w:r w:rsidRPr="00324061">
              <w:rPr>
                <w:rFonts w:ascii="標楷體" w:eastAsia="標楷體" w:hAnsi="標楷體" w:hint="eastAsia"/>
                <w:sz w:val="32"/>
                <w:szCs w:val="32"/>
              </w:rPr>
              <w:t>01月01日至0</w:t>
            </w:r>
            <w:r w:rsidRPr="00324061">
              <w:rPr>
                <w:rFonts w:ascii="標楷體" w:eastAsia="標楷體" w:hAnsi="標楷體"/>
                <w:sz w:val="32"/>
                <w:szCs w:val="32"/>
              </w:rPr>
              <w:t>1</w:t>
            </w:r>
            <w:r w:rsidRPr="00324061">
              <w:rPr>
                <w:rFonts w:ascii="標楷體" w:eastAsia="標楷體" w:hAnsi="標楷體" w:hint="eastAsia"/>
                <w:sz w:val="32"/>
                <w:szCs w:val="32"/>
              </w:rPr>
              <w:t>月07日</w:t>
            </w:r>
          </w:p>
        </w:tc>
      </w:tr>
      <w:tr w:rsidR="00273897" w:rsidTr="00273897">
        <w:trPr>
          <w:trHeight w:hRule="exact" w:val="964"/>
        </w:trPr>
        <w:tc>
          <w:tcPr>
            <w:tcW w:w="4806" w:type="dxa"/>
            <w:tcBorders>
              <w:top w:val="single" w:sz="4" w:space="0" w:color="auto"/>
              <w:left w:val="single" w:sz="4" w:space="0" w:color="auto"/>
              <w:bottom w:val="single" w:sz="4" w:space="0" w:color="auto"/>
              <w:right w:val="single" w:sz="4" w:space="0" w:color="auto"/>
            </w:tcBorders>
            <w:vAlign w:val="center"/>
          </w:tcPr>
          <w:p w:rsidR="00273897" w:rsidRPr="00324061" w:rsidRDefault="00273897" w:rsidP="00273897">
            <w:pPr>
              <w:jc w:val="center"/>
              <w:rPr>
                <w:rFonts w:ascii="標楷體" w:eastAsia="標楷體" w:hAnsi="標楷體"/>
                <w:sz w:val="32"/>
                <w:szCs w:val="32"/>
              </w:rPr>
            </w:pPr>
            <w:r w:rsidRPr="00324061">
              <w:rPr>
                <w:rFonts w:ascii="標楷體" w:eastAsia="標楷體" w:hAnsi="標楷體" w:hint="eastAsia"/>
                <w:sz w:val="32"/>
                <w:szCs w:val="32"/>
              </w:rPr>
              <w:t>01月08日至0</w:t>
            </w:r>
            <w:r w:rsidRPr="00324061">
              <w:rPr>
                <w:rFonts w:ascii="標楷體" w:eastAsia="標楷體" w:hAnsi="標楷體"/>
                <w:sz w:val="32"/>
                <w:szCs w:val="32"/>
              </w:rPr>
              <w:t>1</w:t>
            </w:r>
            <w:r w:rsidRPr="00324061">
              <w:rPr>
                <w:rFonts w:ascii="標楷體" w:eastAsia="標楷體" w:hAnsi="標楷體" w:hint="eastAsia"/>
                <w:sz w:val="32"/>
                <w:szCs w:val="32"/>
              </w:rPr>
              <w:t>月14日</w:t>
            </w:r>
          </w:p>
        </w:tc>
        <w:tc>
          <w:tcPr>
            <w:tcW w:w="4516" w:type="dxa"/>
            <w:tcBorders>
              <w:top w:val="single" w:sz="4" w:space="0" w:color="auto"/>
              <w:left w:val="single" w:sz="4" w:space="0" w:color="auto"/>
              <w:bottom w:val="single" w:sz="4" w:space="0" w:color="auto"/>
              <w:right w:val="single" w:sz="4" w:space="0" w:color="auto"/>
            </w:tcBorders>
            <w:vAlign w:val="center"/>
          </w:tcPr>
          <w:p w:rsidR="00273897" w:rsidRPr="00324061" w:rsidRDefault="00273897" w:rsidP="00273897">
            <w:pPr>
              <w:jc w:val="center"/>
              <w:rPr>
                <w:rFonts w:ascii="標楷體" w:eastAsia="標楷體" w:hAnsi="標楷體"/>
                <w:sz w:val="32"/>
                <w:szCs w:val="32"/>
              </w:rPr>
            </w:pPr>
            <w:r w:rsidRPr="00324061">
              <w:rPr>
                <w:rFonts w:ascii="標楷體" w:eastAsia="標楷體" w:hAnsi="標楷體"/>
                <w:sz w:val="32"/>
                <w:szCs w:val="32"/>
              </w:rPr>
              <w:t>01</w:t>
            </w:r>
            <w:r w:rsidRPr="00324061">
              <w:rPr>
                <w:rFonts w:ascii="標楷體" w:eastAsia="標楷體" w:hAnsi="標楷體" w:hint="eastAsia"/>
                <w:sz w:val="32"/>
                <w:szCs w:val="32"/>
              </w:rPr>
              <w:t>月15日至0</w:t>
            </w:r>
            <w:r w:rsidRPr="00324061">
              <w:rPr>
                <w:rFonts w:ascii="標楷體" w:eastAsia="標楷體" w:hAnsi="標楷體"/>
                <w:sz w:val="32"/>
                <w:szCs w:val="32"/>
              </w:rPr>
              <w:t>1</w:t>
            </w:r>
            <w:r w:rsidRPr="00324061">
              <w:rPr>
                <w:rFonts w:ascii="標楷體" w:eastAsia="標楷體" w:hAnsi="標楷體" w:hint="eastAsia"/>
                <w:sz w:val="32"/>
                <w:szCs w:val="32"/>
              </w:rPr>
              <w:t>月21日</w:t>
            </w:r>
          </w:p>
        </w:tc>
      </w:tr>
      <w:tr w:rsidR="00273897" w:rsidTr="00273897">
        <w:trPr>
          <w:trHeight w:hRule="exact" w:val="964"/>
        </w:trPr>
        <w:tc>
          <w:tcPr>
            <w:tcW w:w="4806" w:type="dxa"/>
            <w:tcBorders>
              <w:top w:val="single" w:sz="4" w:space="0" w:color="auto"/>
              <w:left w:val="single" w:sz="4" w:space="0" w:color="auto"/>
              <w:bottom w:val="single" w:sz="4" w:space="0" w:color="auto"/>
              <w:right w:val="single" w:sz="4" w:space="0" w:color="auto"/>
            </w:tcBorders>
            <w:vAlign w:val="center"/>
          </w:tcPr>
          <w:p w:rsidR="00273897" w:rsidRPr="00324061" w:rsidRDefault="00273897" w:rsidP="00273897">
            <w:pPr>
              <w:jc w:val="center"/>
              <w:rPr>
                <w:rFonts w:ascii="標楷體" w:eastAsia="標楷體" w:hAnsi="標楷體"/>
                <w:sz w:val="32"/>
                <w:szCs w:val="32"/>
              </w:rPr>
            </w:pPr>
            <w:r w:rsidRPr="00324061">
              <w:rPr>
                <w:rFonts w:ascii="標楷體" w:eastAsia="標楷體" w:hAnsi="標楷體" w:hint="eastAsia"/>
                <w:sz w:val="32"/>
                <w:szCs w:val="32"/>
              </w:rPr>
              <w:t>0</w:t>
            </w:r>
            <w:r w:rsidRPr="00324061">
              <w:rPr>
                <w:rFonts w:ascii="標楷體" w:eastAsia="標楷體" w:hAnsi="標楷體"/>
                <w:sz w:val="32"/>
                <w:szCs w:val="32"/>
              </w:rPr>
              <w:t>1</w:t>
            </w:r>
            <w:r w:rsidRPr="00324061">
              <w:rPr>
                <w:rFonts w:ascii="標楷體" w:eastAsia="標楷體" w:hAnsi="標楷體" w:hint="eastAsia"/>
                <w:sz w:val="32"/>
                <w:szCs w:val="32"/>
              </w:rPr>
              <w:t>月22日至</w:t>
            </w:r>
            <w:r w:rsidRPr="00324061">
              <w:rPr>
                <w:rFonts w:ascii="標楷體" w:eastAsia="標楷體" w:hAnsi="標楷體"/>
                <w:sz w:val="32"/>
                <w:szCs w:val="32"/>
              </w:rPr>
              <w:t>01</w:t>
            </w:r>
            <w:r w:rsidRPr="00324061">
              <w:rPr>
                <w:rFonts w:ascii="標楷體" w:eastAsia="標楷體" w:hAnsi="標楷體" w:hint="eastAsia"/>
                <w:sz w:val="32"/>
                <w:szCs w:val="32"/>
              </w:rPr>
              <w:t>月28日</w:t>
            </w:r>
          </w:p>
        </w:tc>
        <w:tc>
          <w:tcPr>
            <w:tcW w:w="4516" w:type="dxa"/>
            <w:tcBorders>
              <w:top w:val="single" w:sz="4" w:space="0" w:color="auto"/>
              <w:left w:val="single" w:sz="4" w:space="0" w:color="auto"/>
              <w:bottom w:val="single" w:sz="4" w:space="0" w:color="auto"/>
              <w:right w:val="single" w:sz="4" w:space="0" w:color="auto"/>
            </w:tcBorders>
            <w:vAlign w:val="center"/>
          </w:tcPr>
          <w:p w:rsidR="00273897" w:rsidRPr="00324061" w:rsidRDefault="00273897" w:rsidP="00273897">
            <w:pPr>
              <w:jc w:val="center"/>
              <w:rPr>
                <w:rFonts w:ascii="標楷體" w:eastAsia="標楷體" w:hAnsi="標楷體"/>
                <w:sz w:val="32"/>
                <w:szCs w:val="32"/>
              </w:rPr>
            </w:pPr>
            <w:r w:rsidRPr="00324061">
              <w:rPr>
                <w:rFonts w:ascii="標楷體" w:eastAsia="標楷體" w:hAnsi="標楷體" w:hint="eastAsia"/>
                <w:sz w:val="32"/>
                <w:szCs w:val="32"/>
              </w:rPr>
              <w:t>01月29日至0</w:t>
            </w:r>
            <w:r w:rsidRPr="00324061">
              <w:rPr>
                <w:rFonts w:ascii="標楷體" w:eastAsia="標楷體" w:hAnsi="標楷體"/>
                <w:sz w:val="32"/>
                <w:szCs w:val="32"/>
              </w:rPr>
              <w:t>1</w:t>
            </w:r>
            <w:r w:rsidRPr="00324061">
              <w:rPr>
                <w:rFonts w:ascii="標楷體" w:eastAsia="標楷體" w:hAnsi="標楷體" w:hint="eastAsia"/>
                <w:sz w:val="32"/>
                <w:szCs w:val="32"/>
              </w:rPr>
              <w:t>月31日</w:t>
            </w:r>
          </w:p>
        </w:tc>
      </w:tr>
      <w:tr w:rsidR="00273897" w:rsidTr="00273897">
        <w:trPr>
          <w:trHeight w:val="461"/>
        </w:trPr>
        <w:tc>
          <w:tcPr>
            <w:tcW w:w="9322" w:type="dxa"/>
            <w:gridSpan w:val="2"/>
            <w:tcBorders>
              <w:top w:val="single" w:sz="4" w:space="0" w:color="auto"/>
              <w:left w:val="single" w:sz="4" w:space="0" w:color="auto"/>
              <w:bottom w:val="single" w:sz="4" w:space="0" w:color="auto"/>
              <w:right w:val="single" w:sz="4" w:space="0" w:color="auto"/>
            </w:tcBorders>
            <w:vAlign w:val="center"/>
            <w:hideMark/>
          </w:tcPr>
          <w:p w:rsidR="00273897" w:rsidRPr="00391BDE" w:rsidRDefault="00273897" w:rsidP="00273897">
            <w:pPr>
              <w:jc w:val="center"/>
              <w:rPr>
                <w:rFonts w:ascii="標楷體" w:eastAsia="標楷體" w:hAnsi="標楷體"/>
                <w:sz w:val="32"/>
                <w:szCs w:val="32"/>
              </w:rPr>
            </w:pPr>
            <w:r w:rsidRPr="00391BDE">
              <w:rPr>
                <w:rFonts w:ascii="標楷體" w:eastAsia="標楷體" w:hAnsi="標楷體" w:hint="eastAsia"/>
                <w:sz w:val="32"/>
                <w:szCs w:val="32"/>
              </w:rPr>
              <w:t>通   訊   處</w:t>
            </w:r>
          </w:p>
        </w:tc>
      </w:tr>
      <w:tr w:rsidR="00273897" w:rsidTr="00273897">
        <w:trPr>
          <w:trHeight w:val="1546"/>
        </w:trPr>
        <w:tc>
          <w:tcPr>
            <w:tcW w:w="4806" w:type="dxa"/>
            <w:tcBorders>
              <w:top w:val="single" w:sz="4" w:space="0" w:color="auto"/>
              <w:left w:val="single" w:sz="4" w:space="0" w:color="auto"/>
              <w:bottom w:val="single" w:sz="4" w:space="0" w:color="auto"/>
              <w:right w:val="single" w:sz="4" w:space="0" w:color="auto"/>
            </w:tcBorders>
            <w:vAlign w:val="center"/>
          </w:tcPr>
          <w:p w:rsidR="00273897" w:rsidRPr="00230575" w:rsidRDefault="00273897" w:rsidP="00273897">
            <w:pPr>
              <w:spacing w:line="400" w:lineRule="exact"/>
              <w:rPr>
                <w:rFonts w:ascii="標楷體" w:eastAsia="標楷體" w:hAnsi="標楷體"/>
                <w:spacing w:val="-14"/>
                <w:sz w:val="32"/>
                <w:szCs w:val="32"/>
              </w:rPr>
            </w:pPr>
            <w:r>
              <w:rPr>
                <w:rFonts w:ascii="標楷體" w:eastAsia="標楷體" w:hAnsi="標楷體" w:hint="eastAsia"/>
                <w:spacing w:val="-14"/>
                <w:sz w:val="32"/>
                <w:szCs w:val="32"/>
              </w:rPr>
              <w:t>台</w:t>
            </w:r>
            <w:r w:rsidRPr="00230575">
              <w:rPr>
                <w:rFonts w:ascii="標楷體" w:eastAsia="標楷體" w:hAnsi="標楷體"/>
                <w:spacing w:val="-14"/>
                <w:sz w:val="32"/>
                <w:szCs w:val="32"/>
              </w:rPr>
              <w:t>北市</w:t>
            </w:r>
            <w:r w:rsidRPr="00457B8F">
              <w:rPr>
                <w:rFonts w:ascii="標楷體" w:eastAsia="標楷體" w:hAnsi="標楷體"/>
                <w:spacing w:val="-14"/>
                <w:sz w:val="32"/>
                <w:szCs w:val="32"/>
              </w:rPr>
              <w:t>濟南路1段3之1號</w:t>
            </w:r>
            <w:r>
              <w:rPr>
                <w:rFonts w:ascii="標楷體" w:eastAsia="標楷體" w:hAnsi="標楷體" w:hint="eastAsia"/>
                <w:spacing w:val="-14"/>
                <w:sz w:val="32"/>
                <w:szCs w:val="32"/>
              </w:rPr>
              <w:t>0601</w:t>
            </w:r>
            <w:r w:rsidRPr="00457B8F">
              <w:rPr>
                <w:rFonts w:ascii="標楷體" w:eastAsia="標楷體" w:hAnsi="標楷體"/>
                <w:spacing w:val="-14"/>
                <w:sz w:val="32"/>
                <w:szCs w:val="32"/>
              </w:rPr>
              <w:t>室</w:t>
            </w:r>
          </w:p>
          <w:p w:rsidR="00273897" w:rsidRDefault="00273897" w:rsidP="00273897">
            <w:pPr>
              <w:spacing w:line="400" w:lineRule="exact"/>
              <w:rPr>
                <w:rFonts w:ascii="標楷體" w:eastAsia="標楷體" w:hAnsi="標楷體"/>
                <w:sz w:val="32"/>
                <w:szCs w:val="32"/>
              </w:rPr>
            </w:pPr>
            <w:r>
              <w:rPr>
                <w:rFonts w:ascii="標楷體" w:eastAsia="標楷體" w:hAnsi="標楷體" w:hint="eastAsia"/>
                <w:sz w:val="32"/>
                <w:szCs w:val="32"/>
              </w:rPr>
              <w:t>電話：</w:t>
            </w:r>
            <w:r w:rsidRPr="00230575">
              <w:rPr>
                <w:rFonts w:ascii="標楷體" w:eastAsia="標楷體" w:hAnsi="標楷體"/>
                <w:sz w:val="32"/>
                <w:szCs w:val="32"/>
              </w:rPr>
              <w:t>02-2358-</w:t>
            </w:r>
            <w:r>
              <w:rPr>
                <w:rFonts w:ascii="標楷體" w:eastAsia="標楷體" w:hAnsi="標楷體" w:hint="eastAsia"/>
                <w:sz w:val="32"/>
                <w:szCs w:val="32"/>
              </w:rPr>
              <w:t>6881</w:t>
            </w:r>
          </w:p>
          <w:p w:rsidR="00273897" w:rsidRDefault="00273897" w:rsidP="00273897">
            <w:pPr>
              <w:spacing w:line="400" w:lineRule="exact"/>
              <w:rPr>
                <w:rFonts w:ascii="標楷體" w:eastAsia="標楷體" w:hAnsi="標楷體"/>
                <w:sz w:val="32"/>
                <w:szCs w:val="32"/>
              </w:rPr>
            </w:pPr>
            <w:r>
              <w:rPr>
                <w:rFonts w:ascii="標楷體" w:eastAsia="標楷體" w:hAnsi="標楷體" w:hint="eastAsia"/>
                <w:sz w:val="32"/>
                <w:szCs w:val="32"/>
              </w:rPr>
              <w:t>傳真：</w:t>
            </w:r>
            <w:r w:rsidRPr="00230575">
              <w:rPr>
                <w:rFonts w:ascii="標楷體" w:eastAsia="標楷體" w:hAnsi="標楷體"/>
                <w:sz w:val="32"/>
                <w:szCs w:val="32"/>
              </w:rPr>
              <w:t>02-2358-</w:t>
            </w:r>
            <w:r>
              <w:rPr>
                <w:rFonts w:ascii="標楷體" w:eastAsia="標楷體" w:hAnsi="標楷體" w:hint="eastAsia"/>
                <w:sz w:val="32"/>
                <w:szCs w:val="32"/>
              </w:rPr>
              <w:t>6140</w:t>
            </w:r>
          </w:p>
        </w:tc>
        <w:tc>
          <w:tcPr>
            <w:tcW w:w="4516" w:type="dxa"/>
            <w:tcBorders>
              <w:top w:val="single" w:sz="4" w:space="0" w:color="auto"/>
              <w:left w:val="single" w:sz="4" w:space="0" w:color="auto"/>
              <w:bottom w:val="single" w:sz="4" w:space="0" w:color="auto"/>
              <w:right w:val="single" w:sz="4" w:space="0" w:color="auto"/>
            </w:tcBorders>
            <w:vAlign w:val="center"/>
          </w:tcPr>
          <w:p w:rsidR="00273897" w:rsidRPr="00457B8F" w:rsidRDefault="00273897" w:rsidP="00273897">
            <w:pPr>
              <w:spacing w:line="400" w:lineRule="exact"/>
              <w:rPr>
                <w:rFonts w:ascii="標楷體" w:eastAsia="標楷體" w:hAnsi="標楷體"/>
                <w:spacing w:val="-14"/>
                <w:sz w:val="32"/>
                <w:szCs w:val="32"/>
              </w:rPr>
            </w:pPr>
            <w:r w:rsidRPr="00457B8F">
              <w:rPr>
                <w:rFonts w:ascii="標楷體" w:eastAsia="標楷體" w:hAnsi="標楷體"/>
                <w:spacing w:val="-14"/>
                <w:sz w:val="32"/>
                <w:szCs w:val="32"/>
              </w:rPr>
              <w:t>台北市青島東路1號</w:t>
            </w:r>
            <w:r>
              <w:rPr>
                <w:rFonts w:ascii="標楷體" w:eastAsia="標楷體" w:hAnsi="標楷體" w:hint="eastAsia"/>
                <w:spacing w:val="-14"/>
                <w:sz w:val="32"/>
                <w:szCs w:val="32"/>
              </w:rPr>
              <w:t>3106</w:t>
            </w:r>
            <w:r w:rsidRPr="00457B8F">
              <w:rPr>
                <w:rFonts w:ascii="標楷體" w:eastAsia="標楷體" w:hAnsi="標楷體"/>
                <w:spacing w:val="-14"/>
                <w:sz w:val="32"/>
                <w:szCs w:val="32"/>
              </w:rPr>
              <w:t>室</w:t>
            </w:r>
          </w:p>
          <w:p w:rsidR="00273897" w:rsidRDefault="00273897" w:rsidP="00273897">
            <w:pPr>
              <w:spacing w:line="400" w:lineRule="exact"/>
              <w:rPr>
                <w:rFonts w:ascii="標楷體" w:eastAsia="標楷體" w:hAnsi="標楷體"/>
                <w:sz w:val="32"/>
                <w:szCs w:val="32"/>
              </w:rPr>
            </w:pPr>
            <w:r>
              <w:rPr>
                <w:rFonts w:ascii="標楷體" w:eastAsia="標楷體" w:hAnsi="標楷體" w:hint="eastAsia"/>
                <w:sz w:val="32"/>
                <w:szCs w:val="32"/>
              </w:rPr>
              <w:t>電話:</w:t>
            </w:r>
            <w:r w:rsidRPr="00230575">
              <w:rPr>
                <w:rFonts w:ascii="標楷體" w:eastAsia="標楷體" w:hAnsi="標楷體"/>
                <w:sz w:val="32"/>
                <w:szCs w:val="32"/>
              </w:rPr>
              <w:t>02-2358-</w:t>
            </w:r>
            <w:r>
              <w:rPr>
                <w:rFonts w:ascii="標楷體" w:eastAsia="標楷體" w:hAnsi="標楷體" w:hint="eastAsia"/>
                <w:sz w:val="32"/>
                <w:szCs w:val="32"/>
              </w:rPr>
              <w:t>8121</w:t>
            </w:r>
          </w:p>
          <w:p w:rsidR="00273897" w:rsidRDefault="00273897" w:rsidP="00273897">
            <w:pPr>
              <w:spacing w:line="400" w:lineRule="exact"/>
              <w:rPr>
                <w:rFonts w:ascii="標楷體" w:eastAsia="標楷體" w:hAnsi="標楷體"/>
                <w:sz w:val="32"/>
                <w:szCs w:val="32"/>
              </w:rPr>
            </w:pPr>
            <w:r>
              <w:rPr>
                <w:rFonts w:ascii="標楷體" w:eastAsia="標楷體" w:hAnsi="標楷體" w:hint="eastAsia"/>
                <w:sz w:val="32"/>
                <w:szCs w:val="32"/>
              </w:rPr>
              <w:t>傳真:</w:t>
            </w:r>
            <w:r w:rsidRPr="00230575">
              <w:rPr>
                <w:rFonts w:ascii="標楷體" w:eastAsia="標楷體" w:hAnsi="標楷體"/>
                <w:sz w:val="32"/>
                <w:szCs w:val="32"/>
              </w:rPr>
              <w:t>02-2358-</w:t>
            </w:r>
            <w:r>
              <w:rPr>
                <w:rFonts w:ascii="標楷體" w:eastAsia="標楷體" w:hAnsi="標楷體" w:hint="eastAsia"/>
                <w:sz w:val="32"/>
                <w:szCs w:val="32"/>
              </w:rPr>
              <w:t>8125</w:t>
            </w:r>
          </w:p>
        </w:tc>
      </w:tr>
    </w:tbl>
    <w:p w:rsidR="00273897" w:rsidRDefault="00273897" w:rsidP="00273897">
      <w:pPr>
        <w:spacing w:line="520" w:lineRule="exact"/>
        <w:rPr>
          <w:rFonts w:ascii="標楷體" w:eastAsia="標楷體" w:hAnsi="標楷體"/>
          <w:b/>
          <w:sz w:val="20"/>
        </w:rPr>
      </w:pPr>
    </w:p>
    <w:p w:rsidR="00273897" w:rsidRDefault="00273897">
      <w:pPr>
        <w:widowControl/>
        <w:rPr>
          <w:rFonts w:ascii="標楷體" w:eastAsia="標楷體" w:hAnsi="標楷體"/>
          <w:b/>
          <w:sz w:val="20"/>
        </w:rPr>
      </w:pPr>
      <w:r>
        <w:rPr>
          <w:rFonts w:ascii="標楷體" w:eastAsia="標楷體" w:hAnsi="標楷體"/>
          <w:b/>
          <w:sz w:val="20"/>
        </w:rPr>
        <w:br w:type="page"/>
      </w:r>
    </w:p>
    <w:p w:rsidR="00273897" w:rsidRPr="00DF3A5B" w:rsidRDefault="00273897" w:rsidP="00273897">
      <w:pPr>
        <w:spacing w:line="520" w:lineRule="exact"/>
        <w:rPr>
          <w:rFonts w:ascii="標楷體" w:eastAsia="標楷體" w:hAnsi="標楷體"/>
          <w:b/>
          <w:sz w:val="20"/>
        </w:rPr>
      </w:pPr>
      <w:r>
        <w:rPr>
          <w:rFonts w:ascii="標楷體" w:eastAsia="標楷體" w:hAnsi="標楷體" w:hint="eastAsia"/>
          <w:b/>
          <w:sz w:val="20"/>
        </w:rPr>
        <w:lastRenderedPageBreak/>
        <w:t xml:space="preserve">                                                                                   </w:t>
      </w:r>
      <w:r w:rsidRPr="00DF3A5B">
        <w:rPr>
          <w:rFonts w:ascii="標楷體" w:eastAsia="標楷體" w:hAnsi="標楷體" w:hint="eastAsia"/>
          <w:b/>
          <w:sz w:val="20"/>
        </w:rPr>
        <w:t xml:space="preserve">(附件2)   </w:t>
      </w:r>
    </w:p>
    <w:p w:rsidR="00273897" w:rsidRPr="009E4B13" w:rsidRDefault="00273897" w:rsidP="00273897">
      <w:pPr>
        <w:spacing w:line="520" w:lineRule="exact"/>
        <w:jc w:val="both"/>
        <w:rPr>
          <w:rFonts w:ascii="標楷體" w:eastAsia="標楷體" w:hAnsi="標楷體"/>
          <w:b/>
          <w:sz w:val="34"/>
          <w:szCs w:val="34"/>
        </w:rPr>
      </w:pPr>
      <w:r w:rsidRPr="00FA204C">
        <w:rPr>
          <w:rFonts w:ascii="標楷體" w:eastAsia="標楷體" w:hAnsi="標楷體" w:hint="eastAsia"/>
          <w:b/>
          <w:spacing w:val="3"/>
          <w:kern w:val="0"/>
          <w:sz w:val="34"/>
          <w:szCs w:val="34"/>
          <w:fitText w:val="9180" w:id="1657007104"/>
        </w:rPr>
        <w:t>第10屆第6會期教育及文化委員會召集委員主持分組審查表</w:t>
      </w:r>
      <w:r w:rsidRPr="009E4B13">
        <w:rPr>
          <w:rFonts w:ascii="標楷體" w:eastAsia="標楷體" w:hAnsi="標楷體" w:hint="eastAsia"/>
          <w:b/>
          <w:sz w:val="34"/>
          <w:szCs w:val="34"/>
        </w:rPr>
        <w:t xml:space="preserve"> </w:t>
      </w:r>
    </w:p>
    <w:p w:rsidR="00273897" w:rsidRPr="00E806A3" w:rsidRDefault="00273897" w:rsidP="00273897">
      <w:pPr>
        <w:spacing w:afterLines="50" w:after="180" w:line="520" w:lineRule="exact"/>
        <w:rPr>
          <w:rFonts w:ascii="標楷體" w:eastAsia="標楷體" w:hAnsi="標楷體"/>
        </w:rPr>
      </w:pPr>
      <w:r w:rsidRPr="00E806A3">
        <w:rPr>
          <w:rFonts w:ascii="標楷體" w:eastAsia="標楷體" w:hAnsi="標楷體" w:hint="eastAsia"/>
          <w:sz w:val="32"/>
          <w:szCs w:val="32"/>
        </w:rPr>
        <w:t xml:space="preserve">                                     </w:t>
      </w:r>
      <w:r w:rsidRPr="00E806A3">
        <w:rPr>
          <w:rFonts w:ascii="標楷體" w:eastAsia="標楷體" w:hAnsi="標楷體" w:hint="eastAsia"/>
        </w:rPr>
        <w:t>地點：本院群賢樓101會議室</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94"/>
        <w:gridCol w:w="4252"/>
        <w:gridCol w:w="1560"/>
      </w:tblGrid>
      <w:tr w:rsidR="00273897" w:rsidRPr="00E806A3" w:rsidTr="00273897">
        <w:trPr>
          <w:trHeight w:val="941"/>
        </w:trPr>
        <w:tc>
          <w:tcPr>
            <w:tcW w:w="3794" w:type="dxa"/>
            <w:shd w:val="clear" w:color="auto" w:fill="auto"/>
            <w:vAlign w:val="center"/>
          </w:tcPr>
          <w:p w:rsidR="00273897" w:rsidRPr="00E806A3" w:rsidRDefault="00273897" w:rsidP="00273897">
            <w:pPr>
              <w:jc w:val="center"/>
              <w:rPr>
                <w:rFonts w:ascii="標楷體" w:eastAsia="標楷體" w:hAnsi="標楷體"/>
                <w:spacing w:val="-20"/>
                <w:sz w:val="32"/>
                <w:szCs w:val="32"/>
              </w:rPr>
            </w:pPr>
            <w:r w:rsidRPr="00E806A3">
              <w:rPr>
                <w:rFonts w:ascii="標楷體" w:eastAsia="標楷體" w:hAnsi="標楷體" w:hint="eastAsia"/>
                <w:sz w:val="32"/>
                <w:szCs w:val="32"/>
              </w:rPr>
              <w:t xml:space="preserve">審 查 </w:t>
            </w:r>
            <w:r>
              <w:rPr>
                <w:rFonts w:ascii="標楷體" w:eastAsia="標楷體" w:hAnsi="標楷體" w:hint="eastAsia"/>
                <w:sz w:val="32"/>
                <w:szCs w:val="32"/>
              </w:rPr>
              <w:t>機</w:t>
            </w:r>
            <w:r w:rsidRPr="00E806A3">
              <w:rPr>
                <w:rFonts w:ascii="標楷體" w:eastAsia="標楷體" w:hAnsi="標楷體" w:hint="eastAsia"/>
                <w:sz w:val="32"/>
                <w:szCs w:val="32"/>
              </w:rPr>
              <w:t xml:space="preserve"> </w:t>
            </w:r>
            <w:r>
              <w:rPr>
                <w:rFonts w:ascii="標楷體" w:eastAsia="標楷體" w:hAnsi="標楷體" w:hint="eastAsia"/>
                <w:sz w:val="32"/>
                <w:szCs w:val="32"/>
              </w:rPr>
              <w:t>關</w:t>
            </w:r>
          </w:p>
        </w:tc>
        <w:tc>
          <w:tcPr>
            <w:tcW w:w="4252" w:type="dxa"/>
            <w:shd w:val="clear" w:color="auto" w:fill="auto"/>
            <w:vAlign w:val="center"/>
          </w:tcPr>
          <w:p w:rsidR="00273897" w:rsidRPr="00E806A3" w:rsidRDefault="00273897" w:rsidP="00273897">
            <w:pPr>
              <w:ind w:firstLineChars="250" w:firstLine="700"/>
              <w:rPr>
                <w:rFonts w:ascii="標楷體" w:eastAsia="標楷體" w:hAnsi="標楷體"/>
                <w:sz w:val="32"/>
                <w:szCs w:val="32"/>
              </w:rPr>
            </w:pPr>
            <w:r w:rsidRPr="00E806A3">
              <w:rPr>
                <w:rFonts w:ascii="標楷體" w:eastAsia="標楷體" w:hAnsi="標楷體" w:hint="eastAsia"/>
                <w:spacing w:val="-20"/>
                <w:sz w:val="32"/>
                <w:szCs w:val="32"/>
              </w:rPr>
              <w:t xml:space="preserve"> 會  議  主  席</w:t>
            </w:r>
          </w:p>
        </w:tc>
        <w:tc>
          <w:tcPr>
            <w:tcW w:w="1560" w:type="dxa"/>
            <w:vAlign w:val="center"/>
          </w:tcPr>
          <w:p w:rsidR="00273897" w:rsidRPr="00E806A3" w:rsidRDefault="00273897" w:rsidP="00273897">
            <w:pPr>
              <w:jc w:val="center"/>
              <w:rPr>
                <w:rFonts w:ascii="標楷體" w:eastAsia="標楷體" w:hAnsi="標楷體"/>
                <w:spacing w:val="-34"/>
                <w:sz w:val="32"/>
                <w:szCs w:val="32"/>
              </w:rPr>
            </w:pPr>
            <w:r w:rsidRPr="00E806A3">
              <w:rPr>
                <w:rFonts w:ascii="標楷體" w:eastAsia="標楷體" w:hAnsi="標楷體" w:hint="eastAsia"/>
                <w:spacing w:val="-34"/>
                <w:sz w:val="32"/>
                <w:szCs w:val="32"/>
              </w:rPr>
              <w:t>備  註</w:t>
            </w:r>
          </w:p>
        </w:tc>
      </w:tr>
      <w:tr w:rsidR="00273897" w:rsidRPr="00E806A3" w:rsidTr="00273897">
        <w:trPr>
          <w:trHeight w:val="941"/>
        </w:trPr>
        <w:tc>
          <w:tcPr>
            <w:tcW w:w="3794" w:type="dxa"/>
            <w:shd w:val="clear" w:color="auto" w:fill="auto"/>
            <w:vAlign w:val="center"/>
          </w:tcPr>
          <w:p w:rsidR="00273897" w:rsidRPr="00E806A3" w:rsidRDefault="00273897" w:rsidP="00273897">
            <w:pPr>
              <w:spacing w:line="300" w:lineRule="exact"/>
              <w:jc w:val="center"/>
              <w:rPr>
                <w:rFonts w:ascii="標楷體" w:eastAsia="標楷體" w:hAnsi="標楷體"/>
                <w:sz w:val="32"/>
                <w:szCs w:val="32"/>
              </w:rPr>
            </w:pPr>
            <w:r w:rsidRPr="00E806A3">
              <w:rPr>
                <w:rFonts w:ascii="標楷體" w:eastAsia="標楷體" w:hAnsi="標楷體" w:hint="eastAsia"/>
                <w:sz w:val="32"/>
                <w:szCs w:val="32"/>
              </w:rPr>
              <w:t>教育部</w:t>
            </w:r>
          </w:p>
        </w:tc>
        <w:tc>
          <w:tcPr>
            <w:tcW w:w="4252" w:type="dxa"/>
            <w:shd w:val="clear" w:color="auto" w:fill="auto"/>
            <w:vAlign w:val="center"/>
          </w:tcPr>
          <w:p w:rsidR="00273897" w:rsidRPr="00E806A3" w:rsidRDefault="00273897" w:rsidP="00273897">
            <w:pPr>
              <w:spacing w:line="300" w:lineRule="exact"/>
              <w:jc w:val="center"/>
              <w:rPr>
                <w:rFonts w:ascii="標楷體" w:eastAsia="標楷體" w:hAnsi="標楷體"/>
                <w:sz w:val="32"/>
                <w:szCs w:val="32"/>
              </w:rPr>
            </w:pPr>
            <w:r>
              <w:rPr>
                <w:rFonts w:ascii="標楷體" w:eastAsia="標楷體" w:hAnsi="標楷體" w:hint="eastAsia"/>
                <w:sz w:val="32"/>
                <w:szCs w:val="32"/>
              </w:rPr>
              <w:t>陳秀寳</w:t>
            </w:r>
          </w:p>
        </w:tc>
        <w:tc>
          <w:tcPr>
            <w:tcW w:w="1560" w:type="dxa"/>
            <w:vAlign w:val="center"/>
          </w:tcPr>
          <w:p w:rsidR="00273897" w:rsidRPr="00E806A3" w:rsidRDefault="00273897" w:rsidP="00273897">
            <w:pPr>
              <w:jc w:val="center"/>
              <w:rPr>
                <w:rFonts w:ascii="標楷體" w:eastAsia="標楷體" w:hAnsi="標楷體"/>
                <w:sz w:val="32"/>
                <w:szCs w:val="32"/>
              </w:rPr>
            </w:pPr>
          </w:p>
        </w:tc>
      </w:tr>
      <w:tr w:rsidR="00273897" w:rsidRPr="00E806A3" w:rsidTr="00273897">
        <w:trPr>
          <w:trHeight w:val="941"/>
        </w:trPr>
        <w:tc>
          <w:tcPr>
            <w:tcW w:w="3794" w:type="dxa"/>
            <w:shd w:val="clear" w:color="auto" w:fill="auto"/>
            <w:vAlign w:val="center"/>
          </w:tcPr>
          <w:p w:rsidR="00273897" w:rsidRPr="00E806A3" w:rsidRDefault="00273897" w:rsidP="00273897">
            <w:pPr>
              <w:spacing w:line="300" w:lineRule="exact"/>
              <w:jc w:val="center"/>
              <w:rPr>
                <w:rFonts w:ascii="標楷體" w:eastAsia="標楷體" w:hAnsi="標楷體"/>
                <w:spacing w:val="-14"/>
                <w:sz w:val="32"/>
                <w:szCs w:val="32"/>
              </w:rPr>
            </w:pPr>
            <w:r w:rsidRPr="00E806A3">
              <w:rPr>
                <w:rFonts w:ascii="標楷體" w:eastAsia="標楷體" w:hAnsi="標楷體" w:hint="eastAsia"/>
                <w:sz w:val="32"/>
                <w:szCs w:val="32"/>
              </w:rPr>
              <w:t>文化部</w:t>
            </w:r>
          </w:p>
        </w:tc>
        <w:tc>
          <w:tcPr>
            <w:tcW w:w="4252" w:type="dxa"/>
            <w:shd w:val="clear" w:color="auto" w:fill="auto"/>
            <w:vAlign w:val="center"/>
          </w:tcPr>
          <w:p w:rsidR="00273897" w:rsidRPr="00E806A3" w:rsidRDefault="00273897" w:rsidP="00273897">
            <w:pPr>
              <w:spacing w:line="300" w:lineRule="exact"/>
              <w:jc w:val="center"/>
              <w:rPr>
                <w:rFonts w:ascii="標楷體" w:eastAsia="標楷體" w:hAnsi="標楷體"/>
                <w:spacing w:val="-14"/>
                <w:sz w:val="32"/>
                <w:szCs w:val="32"/>
              </w:rPr>
            </w:pPr>
            <w:r>
              <w:rPr>
                <w:rFonts w:ascii="標楷體" w:eastAsia="標楷體" w:hAnsi="標楷體" w:hint="eastAsia"/>
                <w:spacing w:val="-14"/>
                <w:sz w:val="32"/>
                <w:szCs w:val="32"/>
              </w:rPr>
              <w:t>鄭正鈐</w:t>
            </w:r>
          </w:p>
        </w:tc>
        <w:tc>
          <w:tcPr>
            <w:tcW w:w="1560" w:type="dxa"/>
            <w:vAlign w:val="center"/>
          </w:tcPr>
          <w:p w:rsidR="00273897" w:rsidRPr="00E806A3" w:rsidRDefault="00273897" w:rsidP="00273897">
            <w:pPr>
              <w:jc w:val="center"/>
              <w:rPr>
                <w:rFonts w:ascii="標楷體" w:eastAsia="標楷體" w:hAnsi="標楷體"/>
                <w:sz w:val="32"/>
                <w:szCs w:val="32"/>
              </w:rPr>
            </w:pPr>
          </w:p>
        </w:tc>
      </w:tr>
      <w:tr w:rsidR="00273897" w:rsidRPr="00E806A3" w:rsidTr="00273897">
        <w:trPr>
          <w:trHeight w:val="941"/>
        </w:trPr>
        <w:tc>
          <w:tcPr>
            <w:tcW w:w="3794" w:type="dxa"/>
            <w:shd w:val="clear" w:color="auto" w:fill="auto"/>
            <w:vAlign w:val="center"/>
          </w:tcPr>
          <w:p w:rsidR="00273897" w:rsidRPr="008B2079" w:rsidRDefault="00273897" w:rsidP="00273897">
            <w:pPr>
              <w:spacing w:line="300" w:lineRule="exact"/>
              <w:jc w:val="center"/>
              <w:rPr>
                <w:rFonts w:ascii="標楷體" w:eastAsia="標楷體" w:hAnsi="標楷體"/>
                <w:sz w:val="32"/>
                <w:szCs w:val="32"/>
              </w:rPr>
            </w:pPr>
            <w:r>
              <w:rPr>
                <w:rFonts w:ascii="標楷體" w:eastAsia="標楷體" w:hAnsi="標楷體" w:hint="eastAsia"/>
                <w:sz w:val="32"/>
                <w:szCs w:val="32"/>
              </w:rPr>
              <w:t>國家科學及技術委員會</w:t>
            </w:r>
          </w:p>
        </w:tc>
        <w:tc>
          <w:tcPr>
            <w:tcW w:w="4252" w:type="dxa"/>
            <w:shd w:val="clear" w:color="auto" w:fill="auto"/>
            <w:vAlign w:val="center"/>
          </w:tcPr>
          <w:p w:rsidR="00273897" w:rsidRPr="00457B8F" w:rsidRDefault="00273897" w:rsidP="00273897">
            <w:pPr>
              <w:spacing w:line="300" w:lineRule="exact"/>
              <w:jc w:val="center"/>
              <w:rPr>
                <w:rFonts w:ascii="標楷體" w:eastAsia="標楷體" w:hAnsi="標楷體"/>
                <w:sz w:val="32"/>
                <w:szCs w:val="32"/>
              </w:rPr>
            </w:pPr>
            <w:r>
              <w:rPr>
                <w:rFonts w:ascii="標楷體" w:eastAsia="標楷體" w:hAnsi="標楷體" w:hint="eastAsia"/>
                <w:sz w:val="32"/>
                <w:szCs w:val="32"/>
              </w:rPr>
              <w:t>鄭正鈐</w:t>
            </w:r>
          </w:p>
        </w:tc>
        <w:tc>
          <w:tcPr>
            <w:tcW w:w="1560" w:type="dxa"/>
            <w:vAlign w:val="center"/>
          </w:tcPr>
          <w:p w:rsidR="00273897" w:rsidRPr="00E806A3" w:rsidRDefault="00273897" w:rsidP="00273897">
            <w:pPr>
              <w:jc w:val="center"/>
              <w:rPr>
                <w:rFonts w:ascii="標楷體" w:eastAsia="標楷體" w:hAnsi="標楷體"/>
                <w:sz w:val="32"/>
                <w:szCs w:val="32"/>
              </w:rPr>
            </w:pPr>
          </w:p>
        </w:tc>
      </w:tr>
      <w:tr w:rsidR="00273897" w:rsidRPr="00E806A3" w:rsidTr="00273897">
        <w:trPr>
          <w:trHeight w:val="941"/>
        </w:trPr>
        <w:tc>
          <w:tcPr>
            <w:tcW w:w="3794" w:type="dxa"/>
            <w:shd w:val="clear" w:color="auto" w:fill="auto"/>
            <w:vAlign w:val="center"/>
          </w:tcPr>
          <w:p w:rsidR="00273897" w:rsidRPr="00E806A3" w:rsidRDefault="00273897" w:rsidP="00273897">
            <w:pPr>
              <w:spacing w:line="300" w:lineRule="exact"/>
              <w:jc w:val="center"/>
              <w:rPr>
                <w:rFonts w:ascii="標楷體" w:eastAsia="標楷體" w:hAnsi="標楷體"/>
                <w:sz w:val="32"/>
                <w:szCs w:val="32"/>
              </w:rPr>
            </w:pPr>
            <w:r w:rsidRPr="008B2079">
              <w:rPr>
                <w:rFonts w:ascii="標楷體" w:eastAsia="標楷體" w:hAnsi="標楷體" w:hint="eastAsia"/>
                <w:sz w:val="32"/>
                <w:szCs w:val="32"/>
              </w:rPr>
              <w:t>行政院原子能委員會</w:t>
            </w:r>
          </w:p>
        </w:tc>
        <w:tc>
          <w:tcPr>
            <w:tcW w:w="4252" w:type="dxa"/>
            <w:shd w:val="clear" w:color="auto" w:fill="auto"/>
            <w:vAlign w:val="center"/>
          </w:tcPr>
          <w:p w:rsidR="00273897" w:rsidRPr="00E806A3" w:rsidRDefault="00273897" w:rsidP="00273897">
            <w:pPr>
              <w:spacing w:line="300" w:lineRule="exact"/>
              <w:jc w:val="center"/>
              <w:rPr>
                <w:rFonts w:ascii="標楷體" w:eastAsia="標楷體" w:hAnsi="標楷體"/>
                <w:sz w:val="32"/>
                <w:szCs w:val="32"/>
              </w:rPr>
            </w:pPr>
            <w:r w:rsidRPr="00D30CD9">
              <w:rPr>
                <w:rFonts w:ascii="標楷體" w:eastAsia="標楷體" w:hAnsi="標楷體"/>
                <w:sz w:val="32"/>
                <w:szCs w:val="32"/>
              </w:rPr>
              <w:t>陳秀寳</w:t>
            </w:r>
          </w:p>
        </w:tc>
        <w:tc>
          <w:tcPr>
            <w:tcW w:w="1560" w:type="dxa"/>
            <w:vAlign w:val="center"/>
          </w:tcPr>
          <w:p w:rsidR="00273897" w:rsidRPr="00E806A3" w:rsidRDefault="00273897" w:rsidP="00273897">
            <w:pPr>
              <w:jc w:val="center"/>
              <w:rPr>
                <w:rFonts w:ascii="標楷體" w:eastAsia="標楷體" w:hAnsi="標楷體"/>
                <w:sz w:val="32"/>
                <w:szCs w:val="32"/>
              </w:rPr>
            </w:pPr>
          </w:p>
        </w:tc>
      </w:tr>
      <w:tr w:rsidR="00273897" w:rsidRPr="00E806A3" w:rsidTr="00273897">
        <w:trPr>
          <w:trHeight w:val="941"/>
        </w:trPr>
        <w:tc>
          <w:tcPr>
            <w:tcW w:w="3794" w:type="dxa"/>
            <w:shd w:val="clear" w:color="auto" w:fill="auto"/>
            <w:vAlign w:val="center"/>
          </w:tcPr>
          <w:p w:rsidR="00273897" w:rsidRPr="00E806A3" w:rsidRDefault="00273897" w:rsidP="00273897">
            <w:pPr>
              <w:spacing w:line="300" w:lineRule="exact"/>
              <w:jc w:val="center"/>
              <w:rPr>
                <w:rFonts w:ascii="標楷體" w:eastAsia="標楷體" w:hAnsi="標楷體"/>
                <w:sz w:val="32"/>
                <w:szCs w:val="32"/>
              </w:rPr>
            </w:pPr>
            <w:r w:rsidRPr="00E806A3">
              <w:rPr>
                <w:rFonts w:ascii="標楷體" w:eastAsia="標楷體" w:hAnsi="標楷體" w:hint="eastAsia"/>
                <w:sz w:val="32"/>
                <w:szCs w:val="32"/>
              </w:rPr>
              <w:t>中央研究院</w:t>
            </w:r>
          </w:p>
        </w:tc>
        <w:tc>
          <w:tcPr>
            <w:tcW w:w="4252" w:type="dxa"/>
            <w:shd w:val="clear" w:color="auto" w:fill="auto"/>
            <w:vAlign w:val="center"/>
          </w:tcPr>
          <w:p w:rsidR="00273897" w:rsidRPr="00E806A3" w:rsidRDefault="00273897" w:rsidP="00273897">
            <w:pPr>
              <w:spacing w:line="300" w:lineRule="exact"/>
              <w:jc w:val="center"/>
              <w:rPr>
                <w:rFonts w:ascii="標楷體" w:eastAsia="標楷體" w:hAnsi="標楷體"/>
                <w:sz w:val="32"/>
                <w:szCs w:val="32"/>
              </w:rPr>
            </w:pPr>
            <w:r w:rsidRPr="00D30CD9">
              <w:rPr>
                <w:rFonts w:ascii="標楷體" w:eastAsia="標楷體" w:hAnsi="標楷體"/>
                <w:sz w:val="32"/>
                <w:szCs w:val="32"/>
              </w:rPr>
              <w:t>鄭正鈐</w:t>
            </w:r>
          </w:p>
        </w:tc>
        <w:tc>
          <w:tcPr>
            <w:tcW w:w="1560" w:type="dxa"/>
            <w:vAlign w:val="center"/>
          </w:tcPr>
          <w:p w:rsidR="00273897" w:rsidRPr="00E806A3" w:rsidRDefault="00273897" w:rsidP="00273897">
            <w:pPr>
              <w:jc w:val="center"/>
              <w:rPr>
                <w:rFonts w:ascii="標楷體" w:eastAsia="標楷體" w:hAnsi="標楷體"/>
                <w:sz w:val="32"/>
                <w:szCs w:val="32"/>
              </w:rPr>
            </w:pPr>
          </w:p>
        </w:tc>
      </w:tr>
      <w:tr w:rsidR="00273897" w:rsidRPr="00E806A3" w:rsidTr="00273897">
        <w:trPr>
          <w:trHeight w:val="941"/>
        </w:trPr>
        <w:tc>
          <w:tcPr>
            <w:tcW w:w="3794" w:type="dxa"/>
            <w:shd w:val="clear" w:color="auto" w:fill="auto"/>
            <w:vAlign w:val="center"/>
          </w:tcPr>
          <w:p w:rsidR="00273897" w:rsidRPr="00E806A3" w:rsidRDefault="00273897" w:rsidP="00273897">
            <w:pPr>
              <w:spacing w:line="300" w:lineRule="exact"/>
              <w:jc w:val="center"/>
              <w:rPr>
                <w:rFonts w:ascii="標楷體" w:eastAsia="標楷體" w:hAnsi="標楷體"/>
                <w:sz w:val="32"/>
                <w:szCs w:val="32"/>
              </w:rPr>
            </w:pPr>
            <w:r w:rsidRPr="00E806A3">
              <w:rPr>
                <w:rFonts w:ascii="標楷體" w:eastAsia="標楷體" w:hAnsi="標楷體" w:hint="eastAsia"/>
                <w:sz w:val="32"/>
                <w:szCs w:val="32"/>
              </w:rPr>
              <w:t>國立故宮博物院</w:t>
            </w:r>
          </w:p>
        </w:tc>
        <w:tc>
          <w:tcPr>
            <w:tcW w:w="4252" w:type="dxa"/>
            <w:shd w:val="clear" w:color="auto" w:fill="auto"/>
            <w:vAlign w:val="center"/>
          </w:tcPr>
          <w:p w:rsidR="00273897" w:rsidRPr="00E806A3" w:rsidRDefault="00273897" w:rsidP="00273897">
            <w:pPr>
              <w:spacing w:line="300" w:lineRule="exact"/>
              <w:jc w:val="center"/>
              <w:rPr>
                <w:rFonts w:ascii="標楷體" w:eastAsia="標楷體" w:hAnsi="標楷體"/>
                <w:sz w:val="32"/>
                <w:szCs w:val="32"/>
              </w:rPr>
            </w:pPr>
            <w:r w:rsidRPr="00D30CD9">
              <w:rPr>
                <w:rFonts w:ascii="標楷體" w:eastAsia="標楷體" w:hAnsi="標楷體"/>
                <w:sz w:val="32"/>
                <w:szCs w:val="32"/>
              </w:rPr>
              <w:t>陳秀寳</w:t>
            </w:r>
          </w:p>
        </w:tc>
        <w:tc>
          <w:tcPr>
            <w:tcW w:w="1560" w:type="dxa"/>
            <w:vAlign w:val="center"/>
          </w:tcPr>
          <w:p w:rsidR="00273897" w:rsidRPr="00E806A3" w:rsidRDefault="00273897" w:rsidP="00273897">
            <w:pPr>
              <w:jc w:val="center"/>
              <w:rPr>
                <w:rFonts w:ascii="標楷體" w:eastAsia="標楷體" w:hAnsi="標楷體"/>
                <w:sz w:val="32"/>
                <w:szCs w:val="32"/>
              </w:rPr>
            </w:pPr>
          </w:p>
        </w:tc>
      </w:tr>
    </w:tbl>
    <w:p w:rsidR="00273897" w:rsidRDefault="00273897" w:rsidP="00273897">
      <w:pPr>
        <w:spacing w:line="440" w:lineRule="exact"/>
        <w:rPr>
          <w:rFonts w:ascii="標楷體" w:eastAsia="標楷體" w:hAnsi="標楷體"/>
          <w:sz w:val="28"/>
          <w:szCs w:val="28"/>
        </w:rPr>
      </w:pPr>
    </w:p>
    <w:p w:rsidR="00273897" w:rsidRPr="00A755DA" w:rsidRDefault="00273897" w:rsidP="00273897">
      <w:pPr>
        <w:spacing w:line="440" w:lineRule="exact"/>
        <w:rPr>
          <w:rFonts w:ascii="標楷體" w:eastAsia="標楷體" w:hAnsi="標楷體"/>
          <w:b/>
          <w:sz w:val="28"/>
          <w:szCs w:val="28"/>
        </w:rPr>
      </w:pPr>
      <w:r w:rsidRPr="00A755DA">
        <w:rPr>
          <w:rFonts w:ascii="標楷體" w:eastAsia="標楷體" w:hAnsi="標楷體" w:hint="eastAsia"/>
          <w:b/>
          <w:sz w:val="28"/>
          <w:szCs w:val="28"/>
        </w:rPr>
        <w:t>註：1.分組審查含</w:t>
      </w:r>
      <w:r>
        <w:rPr>
          <w:rFonts w:ascii="標楷體" w:eastAsia="標楷體" w:hAnsi="標楷體" w:hint="eastAsia"/>
          <w:b/>
          <w:sz w:val="28"/>
          <w:szCs w:val="28"/>
        </w:rPr>
        <w:t>機關</w:t>
      </w:r>
      <w:r w:rsidRPr="00A755DA">
        <w:rPr>
          <w:rFonts w:ascii="標楷體" w:eastAsia="標楷體" w:hAnsi="標楷體" w:hint="eastAsia"/>
          <w:b/>
          <w:sz w:val="28"/>
          <w:szCs w:val="28"/>
        </w:rPr>
        <w:t>業務報告及預算審查</w:t>
      </w:r>
      <w:r>
        <w:rPr>
          <w:rFonts w:ascii="標楷體" w:eastAsia="標楷體" w:hAnsi="標楷體" w:hint="eastAsia"/>
          <w:b/>
          <w:sz w:val="28"/>
          <w:szCs w:val="28"/>
        </w:rPr>
        <w:t>（預算解凍）</w:t>
      </w:r>
      <w:r w:rsidRPr="00A755DA">
        <w:rPr>
          <w:rFonts w:ascii="標楷體" w:eastAsia="標楷體" w:hAnsi="標楷體" w:hint="eastAsia"/>
          <w:b/>
          <w:sz w:val="28"/>
          <w:szCs w:val="28"/>
        </w:rPr>
        <w:t>。</w:t>
      </w:r>
    </w:p>
    <w:p w:rsidR="00273897" w:rsidRPr="00A755DA" w:rsidRDefault="00273897" w:rsidP="00273897">
      <w:pPr>
        <w:spacing w:line="440" w:lineRule="exact"/>
        <w:ind w:leftChars="-80" w:left="865" w:hangingChars="440" w:hanging="1057"/>
        <w:rPr>
          <w:rFonts w:ascii="標楷體" w:eastAsia="標楷體" w:hAnsi="標楷體"/>
          <w:b/>
          <w:sz w:val="28"/>
          <w:szCs w:val="28"/>
        </w:rPr>
      </w:pPr>
      <w:r w:rsidRPr="00A755DA">
        <w:rPr>
          <w:rFonts w:ascii="標楷體" w:eastAsia="標楷體" w:hAnsi="標楷體" w:hint="eastAsia"/>
          <w:b/>
        </w:rPr>
        <w:t xml:space="preserve">    </w:t>
      </w:r>
      <w:r w:rsidRPr="00A755DA">
        <w:rPr>
          <w:rFonts w:ascii="標楷體" w:eastAsia="標楷體" w:hAnsi="標楷體" w:hint="eastAsia"/>
          <w:b/>
          <w:sz w:val="28"/>
          <w:szCs w:val="28"/>
        </w:rPr>
        <w:t xml:space="preserve"> </w:t>
      </w:r>
      <w:r>
        <w:rPr>
          <w:rFonts w:ascii="標楷體" w:eastAsia="標楷體" w:hAnsi="標楷體" w:hint="eastAsia"/>
          <w:b/>
          <w:sz w:val="28"/>
          <w:szCs w:val="28"/>
        </w:rPr>
        <w:t xml:space="preserve"> </w:t>
      </w:r>
      <w:r w:rsidRPr="00A755DA">
        <w:rPr>
          <w:rFonts w:ascii="標楷體" w:eastAsia="標楷體" w:hAnsi="標楷體" w:hint="eastAsia"/>
          <w:b/>
          <w:sz w:val="28"/>
          <w:szCs w:val="28"/>
        </w:rPr>
        <w:t>2.</w:t>
      </w:r>
      <w:r w:rsidRPr="00A755DA">
        <w:rPr>
          <w:rFonts w:ascii="標楷體" w:eastAsia="標楷體" w:hAnsi="標楷體" w:hint="eastAsia"/>
          <w:b/>
          <w:color w:val="000000" w:themeColor="text1"/>
          <w:sz w:val="28"/>
          <w:szCs w:val="28"/>
        </w:rPr>
        <w:t>未處理之臨時提案、修正動議等書面提案，</w:t>
      </w:r>
      <w:r>
        <w:rPr>
          <w:rFonts w:ascii="標楷體" w:eastAsia="標楷體" w:hAnsi="標楷體" w:hint="eastAsia"/>
          <w:b/>
          <w:color w:val="000000" w:themeColor="text1"/>
          <w:sz w:val="28"/>
          <w:szCs w:val="28"/>
        </w:rPr>
        <w:t>援例</w:t>
      </w:r>
      <w:r w:rsidRPr="00A755DA">
        <w:rPr>
          <w:rFonts w:ascii="標楷體" w:eastAsia="標楷體" w:hAnsi="標楷體" w:hint="eastAsia"/>
          <w:b/>
          <w:sz w:val="28"/>
          <w:szCs w:val="28"/>
        </w:rPr>
        <w:t>退回，請於下次召開相關會議時再行提出。</w:t>
      </w:r>
    </w:p>
    <w:p w:rsidR="00273897" w:rsidRPr="00A755DA" w:rsidRDefault="00273897" w:rsidP="00273897">
      <w:pPr>
        <w:spacing w:line="600" w:lineRule="exact"/>
        <w:rPr>
          <w:rFonts w:ascii="標楷體" w:eastAsia="標楷體" w:hAnsi="標楷體"/>
          <w:b/>
          <w:sz w:val="36"/>
          <w:szCs w:val="36"/>
        </w:rPr>
      </w:pPr>
    </w:p>
    <w:p w:rsidR="00273897" w:rsidRDefault="00273897" w:rsidP="00273897">
      <w:pPr>
        <w:spacing w:line="600" w:lineRule="exact"/>
        <w:rPr>
          <w:rFonts w:ascii="標楷體" w:eastAsia="標楷體" w:hAnsi="標楷體"/>
          <w:b/>
          <w:sz w:val="36"/>
          <w:szCs w:val="36"/>
        </w:rPr>
      </w:pPr>
    </w:p>
    <w:p w:rsidR="00273897" w:rsidRDefault="00273897" w:rsidP="00273897">
      <w:pPr>
        <w:spacing w:line="600" w:lineRule="exact"/>
        <w:rPr>
          <w:rFonts w:ascii="標楷體" w:eastAsia="標楷體" w:hAnsi="標楷體"/>
          <w:b/>
          <w:sz w:val="36"/>
          <w:szCs w:val="36"/>
        </w:rPr>
      </w:pPr>
    </w:p>
    <w:p w:rsidR="00273897" w:rsidRDefault="00273897" w:rsidP="00273897">
      <w:pPr>
        <w:spacing w:line="600" w:lineRule="exact"/>
        <w:rPr>
          <w:rFonts w:ascii="標楷體" w:eastAsia="標楷體" w:hAnsi="標楷體"/>
          <w:b/>
          <w:sz w:val="36"/>
          <w:szCs w:val="36"/>
        </w:rPr>
      </w:pPr>
    </w:p>
    <w:p w:rsidR="00273897" w:rsidRDefault="00273897" w:rsidP="00273897">
      <w:pPr>
        <w:spacing w:line="600" w:lineRule="exact"/>
        <w:rPr>
          <w:rFonts w:ascii="標楷體" w:eastAsia="標楷體" w:hAnsi="標楷體"/>
          <w:b/>
          <w:sz w:val="36"/>
          <w:szCs w:val="36"/>
        </w:rPr>
      </w:pPr>
    </w:p>
    <w:p w:rsidR="00273897" w:rsidRPr="00A334B0" w:rsidRDefault="00273897" w:rsidP="00273897">
      <w:pPr>
        <w:spacing w:line="600" w:lineRule="exact"/>
        <w:rPr>
          <w:rFonts w:ascii="標楷體" w:eastAsia="標楷體" w:hAnsi="標楷體"/>
          <w:b/>
          <w:color w:val="FF0000"/>
          <w:sz w:val="28"/>
          <w:szCs w:val="28"/>
        </w:rPr>
      </w:pPr>
    </w:p>
    <w:p w:rsidR="00EC5B2D" w:rsidRPr="00920597" w:rsidRDefault="00EC5B2D">
      <w:pPr>
        <w:widowControl/>
        <w:rPr>
          <w:rFonts w:ascii="標楷體" w:eastAsia="標楷體" w:hAnsi="標楷體"/>
          <w:color w:val="000000" w:themeColor="text1"/>
          <w:sz w:val="20"/>
        </w:rPr>
      </w:pPr>
      <w:r w:rsidRPr="00920597">
        <w:rPr>
          <w:rFonts w:ascii="標楷體" w:eastAsia="標楷體" w:hAnsi="標楷體"/>
          <w:color w:val="000000" w:themeColor="text1"/>
          <w:sz w:val="20"/>
        </w:rPr>
        <w:br w:type="page"/>
      </w:r>
    </w:p>
    <w:p w:rsidR="00C1715F" w:rsidRPr="00920597" w:rsidRDefault="00C1715F" w:rsidP="00C1715F">
      <w:pPr>
        <w:pStyle w:val="01-21"/>
        <w:rPr>
          <w:color w:val="000000" w:themeColor="text1"/>
        </w:rPr>
      </w:pPr>
      <w:bookmarkStart w:id="152" w:name="_Toc126068173"/>
      <w:r w:rsidRPr="00920597">
        <w:rPr>
          <w:rFonts w:hint="eastAsia"/>
          <w:color w:val="000000" w:themeColor="text1"/>
        </w:rPr>
        <w:lastRenderedPageBreak/>
        <w:t>二、本會全體委員會議議事錄</w:t>
      </w:r>
      <w:bookmarkEnd w:id="149"/>
      <w:bookmarkEnd w:id="150"/>
      <w:bookmarkEnd w:id="151"/>
      <w:bookmarkEnd w:id="152"/>
    </w:p>
    <w:p w:rsidR="00273897" w:rsidRPr="00571DCC" w:rsidRDefault="00273897" w:rsidP="00273897">
      <w:pPr>
        <w:pStyle w:val="01-45"/>
      </w:pPr>
      <w:bookmarkStart w:id="153" w:name="_Toc126068174"/>
      <w:bookmarkStart w:id="154" w:name="_Toc61597462"/>
      <w:bookmarkStart w:id="155" w:name="_Toc61597525"/>
      <w:bookmarkStart w:id="156" w:name="_Toc61597858"/>
      <w:bookmarkStart w:id="157" w:name="_Toc64648188"/>
      <w:r w:rsidRPr="00340174">
        <w:rPr>
          <w:rFonts w:hint="eastAsia"/>
        </w:rPr>
        <w:t>立法院第</w:t>
      </w:r>
      <w:r>
        <w:t>10</w:t>
      </w:r>
      <w:r w:rsidRPr="00340174">
        <w:rPr>
          <w:rFonts w:hint="eastAsia"/>
        </w:rPr>
        <w:t>屆第</w:t>
      </w:r>
      <w:r>
        <w:rPr>
          <w:rFonts w:hint="eastAsia"/>
        </w:rPr>
        <w:t>6</w:t>
      </w:r>
      <w:r w:rsidRPr="00340174">
        <w:rPr>
          <w:rFonts w:hint="eastAsia"/>
        </w:rPr>
        <w:t>會期教育及文化委員會第1次全體委員會議議事錄</w:t>
      </w:r>
      <w:bookmarkEnd w:id="153"/>
    </w:p>
    <w:p w:rsidR="00273897" w:rsidRPr="00571DCC" w:rsidRDefault="00273897" w:rsidP="00273897">
      <w:pPr>
        <w:snapToGrid w:val="0"/>
        <w:spacing w:line="460" w:lineRule="exact"/>
        <w:ind w:left="1619" w:hangingChars="506" w:hanging="1619"/>
        <w:jc w:val="both"/>
        <w:rPr>
          <w:rFonts w:ascii="標楷體" w:eastAsia="標楷體" w:hAnsi="標楷體"/>
          <w:sz w:val="32"/>
          <w:szCs w:val="32"/>
        </w:rPr>
      </w:pPr>
      <w:r w:rsidRPr="00571DCC">
        <w:rPr>
          <w:rFonts w:ascii="標楷體" w:eastAsia="標楷體" w:hAnsi="標楷體" w:hint="eastAsia"/>
          <w:sz w:val="32"/>
          <w:szCs w:val="32"/>
        </w:rPr>
        <w:t>時    間：</w:t>
      </w:r>
      <w:r w:rsidRPr="00571DCC">
        <w:rPr>
          <w:rFonts w:ascii="標楷體" w:eastAsia="標楷體" w:hAnsi="標楷體" w:hint="eastAsia"/>
          <w:spacing w:val="-20"/>
          <w:sz w:val="32"/>
          <w:szCs w:val="32"/>
        </w:rPr>
        <w:t>中華民國</w:t>
      </w:r>
      <w:r>
        <w:rPr>
          <w:rFonts w:ascii="標楷體" w:eastAsia="標楷體" w:hAnsi="標楷體" w:hint="eastAsia"/>
          <w:spacing w:val="-20"/>
          <w:sz w:val="32"/>
          <w:szCs w:val="32"/>
        </w:rPr>
        <w:t>1</w:t>
      </w:r>
      <w:r>
        <w:rPr>
          <w:rFonts w:ascii="標楷體" w:eastAsia="標楷體" w:hAnsi="標楷體"/>
          <w:spacing w:val="-20"/>
          <w:sz w:val="32"/>
          <w:szCs w:val="32"/>
        </w:rPr>
        <w:t>11</w:t>
      </w:r>
      <w:r w:rsidRPr="00571DCC">
        <w:rPr>
          <w:rFonts w:ascii="標楷體" w:eastAsia="標楷體" w:hAnsi="標楷體" w:hint="eastAsia"/>
          <w:spacing w:val="-20"/>
          <w:sz w:val="32"/>
          <w:szCs w:val="32"/>
        </w:rPr>
        <w:t>年</w:t>
      </w:r>
      <w:r>
        <w:rPr>
          <w:rFonts w:ascii="標楷體" w:eastAsia="標楷體" w:hAnsi="標楷體" w:hint="eastAsia"/>
          <w:spacing w:val="-20"/>
          <w:sz w:val="32"/>
          <w:szCs w:val="32"/>
        </w:rPr>
        <w:t>9</w:t>
      </w:r>
      <w:r w:rsidRPr="00614974">
        <w:rPr>
          <w:rFonts w:ascii="標楷體" w:eastAsia="標楷體" w:hAnsi="標楷體" w:hint="eastAsia"/>
          <w:spacing w:val="-20"/>
          <w:sz w:val="32"/>
          <w:szCs w:val="32"/>
        </w:rPr>
        <w:t>月</w:t>
      </w:r>
      <w:r>
        <w:rPr>
          <w:rFonts w:ascii="標楷體" w:eastAsia="標楷體" w:hAnsi="標楷體" w:hint="eastAsia"/>
          <w:spacing w:val="-20"/>
          <w:sz w:val="32"/>
          <w:szCs w:val="32"/>
        </w:rPr>
        <w:t>28</w:t>
      </w:r>
      <w:r w:rsidRPr="00614974">
        <w:rPr>
          <w:rFonts w:ascii="標楷體" w:eastAsia="標楷體" w:hAnsi="標楷體" w:hint="eastAsia"/>
          <w:spacing w:val="-20"/>
          <w:sz w:val="32"/>
          <w:szCs w:val="32"/>
        </w:rPr>
        <w:t>日（星</w:t>
      </w:r>
      <w:r>
        <w:rPr>
          <w:rFonts w:ascii="標楷體" w:eastAsia="標楷體" w:hAnsi="標楷體" w:hint="eastAsia"/>
          <w:spacing w:val="-20"/>
          <w:sz w:val="32"/>
          <w:szCs w:val="32"/>
        </w:rPr>
        <w:t>期三</w:t>
      </w:r>
      <w:r w:rsidRPr="00C239A1">
        <w:rPr>
          <w:rFonts w:ascii="標楷體" w:eastAsia="標楷體" w:hAnsi="標楷體" w:hint="eastAsia"/>
          <w:spacing w:val="-20"/>
          <w:sz w:val="32"/>
          <w:szCs w:val="32"/>
        </w:rPr>
        <w:t>）上午9時</w:t>
      </w:r>
      <w:r>
        <w:rPr>
          <w:rFonts w:ascii="標楷體" w:eastAsia="標楷體" w:hAnsi="標楷體" w:hint="eastAsia"/>
          <w:spacing w:val="-20"/>
          <w:sz w:val="32"/>
          <w:szCs w:val="32"/>
        </w:rPr>
        <w:t>6分</w:t>
      </w:r>
      <w:r w:rsidRPr="00C239A1">
        <w:rPr>
          <w:rFonts w:ascii="標楷體" w:eastAsia="標楷體" w:hAnsi="標楷體" w:hint="eastAsia"/>
          <w:spacing w:val="-20"/>
          <w:sz w:val="32"/>
          <w:szCs w:val="32"/>
        </w:rPr>
        <w:t>至</w:t>
      </w:r>
      <w:r>
        <w:rPr>
          <w:rFonts w:ascii="標楷體" w:eastAsia="標楷體" w:hAnsi="標楷體"/>
          <w:spacing w:val="-20"/>
          <w:sz w:val="32"/>
          <w:szCs w:val="32"/>
        </w:rPr>
        <w:t>9</w:t>
      </w:r>
      <w:r w:rsidRPr="00C239A1">
        <w:rPr>
          <w:rFonts w:ascii="標楷體" w:eastAsia="標楷體" w:hAnsi="標楷體" w:hint="eastAsia"/>
          <w:spacing w:val="-20"/>
          <w:sz w:val="32"/>
          <w:szCs w:val="32"/>
        </w:rPr>
        <w:t>時</w:t>
      </w:r>
      <w:r>
        <w:rPr>
          <w:rFonts w:ascii="標楷體" w:eastAsia="標楷體" w:hAnsi="標楷體" w:hint="eastAsia"/>
          <w:spacing w:val="-20"/>
          <w:sz w:val="32"/>
          <w:szCs w:val="32"/>
        </w:rPr>
        <w:t>8</w:t>
      </w:r>
      <w:r w:rsidRPr="00C239A1">
        <w:rPr>
          <w:rFonts w:ascii="標楷體" w:eastAsia="標楷體" w:hAnsi="標楷體" w:hint="eastAsia"/>
          <w:spacing w:val="-20"/>
          <w:sz w:val="32"/>
          <w:szCs w:val="32"/>
        </w:rPr>
        <w:t>分</w:t>
      </w:r>
    </w:p>
    <w:p w:rsidR="00273897" w:rsidRPr="00571DCC" w:rsidRDefault="00273897" w:rsidP="00273897">
      <w:pPr>
        <w:snapToGrid w:val="0"/>
        <w:spacing w:line="460" w:lineRule="exact"/>
        <w:ind w:left="714" w:hanging="714"/>
        <w:jc w:val="both"/>
        <w:rPr>
          <w:rFonts w:ascii="標楷體" w:eastAsia="標楷體" w:hAnsi="標楷體"/>
          <w:sz w:val="32"/>
          <w:szCs w:val="32"/>
        </w:rPr>
      </w:pPr>
      <w:r w:rsidRPr="00571DCC">
        <w:rPr>
          <w:rFonts w:ascii="標楷體" w:eastAsia="標楷體" w:hAnsi="標楷體" w:hint="eastAsia"/>
          <w:sz w:val="32"/>
          <w:szCs w:val="32"/>
        </w:rPr>
        <w:t>地    點：本院群賢樓101會議室</w:t>
      </w:r>
    </w:p>
    <w:p w:rsidR="00273897" w:rsidRDefault="00273897" w:rsidP="00273897">
      <w:pPr>
        <w:snapToGrid w:val="0"/>
        <w:spacing w:line="460" w:lineRule="exact"/>
        <w:ind w:leftChars="2" w:left="5"/>
        <w:jc w:val="both"/>
        <w:rPr>
          <w:rFonts w:ascii="標楷體" w:eastAsia="標楷體" w:hAnsi="標楷體"/>
          <w:sz w:val="32"/>
          <w:szCs w:val="32"/>
        </w:rPr>
      </w:pPr>
      <w:r w:rsidRPr="00F934FC">
        <w:rPr>
          <w:rFonts w:ascii="標楷體" w:eastAsia="標楷體" w:hAnsi="標楷體" w:hint="eastAsia"/>
          <w:sz w:val="32"/>
          <w:szCs w:val="32"/>
        </w:rPr>
        <w:t>出席委員：</w:t>
      </w:r>
      <w:r>
        <w:rPr>
          <w:rFonts w:ascii="標楷體" w:eastAsia="標楷體" w:hAnsi="標楷體" w:hint="eastAsia"/>
          <w:sz w:val="32"/>
          <w:szCs w:val="32"/>
        </w:rPr>
        <w:t xml:space="preserve">鄭正鈐  吳思瑤  陳秀寳  吳怡玎  林奕華  </w:t>
      </w:r>
      <w:r w:rsidRPr="00271814">
        <w:rPr>
          <w:rFonts w:ascii="標楷體" w:eastAsia="標楷體" w:hAnsi="標楷體" w:hint="eastAsia"/>
          <w:sz w:val="32"/>
          <w:szCs w:val="32"/>
        </w:rPr>
        <w:t>高金素梅</w:t>
      </w:r>
    </w:p>
    <w:p w:rsidR="00273897" w:rsidRDefault="00273897" w:rsidP="00273897">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范  雲  黃國書  王婉諭  賴品妤  何欣純  </w:t>
      </w:r>
      <w:r w:rsidRPr="00772BB4">
        <w:rPr>
          <w:rFonts w:ascii="標楷體" w:eastAsia="標楷體" w:hAnsi="標楷體" w:hint="eastAsia"/>
          <w:sz w:val="32"/>
          <w:szCs w:val="32"/>
        </w:rPr>
        <w:t>張廖萬堅</w:t>
      </w:r>
    </w:p>
    <w:p w:rsidR="00273897" w:rsidRDefault="00273897" w:rsidP="00273897">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萬美玲</w:t>
      </w:r>
    </w:p>
    <w:p w:rsidR="00273897" w:rsidRPr="00F934FC" w:rsidRDefault="00273897" w:rsidP="00273897">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w:t>
      </w:r>
      <w:r w:rsidRPr="00F934FC">
        <w:rPr>
          <w:rFonts w:ascii="標楷體" w:eastAsia="標楷體" w:hAnsi="標楷體" w:hint="eastAsia"/>
          <w:sz w:val="32"/>
          <w:szCs w:val="32"/>
        </w:rPr>
        <w:t>委員出席</w:t>
      </w:r>
      <w:r>
        <w:rPr>
          <w:rFonts w:ascii="標楷體" w:eastAsia="標楷體" w:hAnsi="標楷體" w:hint="eastAsia"/>
          <w:sz w:val="32"/>
          <w:szCs w:val="32"/>
        </w:rPr>
        <w:t>13</w:t>
      </w:r>
      <w:r w:rsidRPr="00F934FC">
        <w:rPr>
          <w:rFonts w:ascii="標楷體" w:eastAsia="標楷體" w:hAnsi="標楷體" w:hint="eastAsia"/>
          <w:sz w:val="32"/>
          <w:szCs w:val="32"/>
        </w:rPr>
        <w:t>人</w:t>
      </w:r>
    </w:p>
    <w:p w:rsidR="00273897" w:rsidRDefault="00273897" w:rsidP="00273897">
      <w:pPr>
        <w:snapToGrid w:val="0"/>
        <w:spacing w:line="460" w:lineRule="exact"/>
        <w:jc w:val="both"/>
        <w:rPr>
          <w:rFonts w:ascii="標楷體" w:eastAsia="標楷體" w:hAnsi="標楷體"/>
          <w:sz w:val="32"/>
          <w:szCs w:val="32"/>
        </w:rPr>
      </w:pPr>
      <w:r>
        <w:rPr>
          <w:rFonts w:ascii="標楷體" w:eastAsia="標楷體" w:hAnsi="標楷體" w:hint="eastAsia"/>
          <w:sz w:val="32"/>
          <w:szCs w:val="32"/>
        </w:rPr>
        <w:t>請假委員：林宜瑾</w:t>
      </w:r>
    </w:p>
    <w:p w:rsidR="00273897" w:rsidRDefault="00273897" w:rsidP="00273897">
      <w:pPr>
        <w:tabs>
          <w:tab w:val="left" w:pos="1624"/>
        </w:tabs>
        <w:snapToGrid w:val="0"/>
        <w:spacing w:line="460" w:lineRule="exact"/>
        <w:jc w:val="both"/>
        <w:rPr>
          <w:rFonts w:ascii="標楷體" w:eastAsia="標楷體" w:hAnsi="標楷體"/>
          <w:sz w:val="32"/>
          <w:szCs w:val="32"/>
        </w:rPr>
      </w:pPr>
      <w:r>
        <w:rPr>
          <w:rFonts w:ascii="標楷體" w:eastAsia="標楷體" w:hAnsi="標楷體" w:hint="eastAsia"/>
          <w:sz w:val="32"/>
          <w:szCs w:val="32"/>
        </w:rPr>
        <w:t xml:space="preserve">          </w:t>
      </w:r>
      <w:r w:rsidRPr="00271814">
        <w:rPr>
          <w:rFonts w:ascii="標楷體" w:eastAsia="標楷體" w:hAnsi="標楷體" w:hint="eastAsia"/>
          <w:sz w:val="32"/>
          <w:szCs w:val="32"/>
        </w:rPr>
        <w:t>委員請假1人</w:t>
      </w:r>
    </w:p>
    <w:p w:rsidR="00273897" w:rsidRDefault="00273897" w:rsidP="00273897">
      <w:pPr>
        <w:snapToGrid w:val="0"/>
        <w:spacing w:line="460" w:lineRule="exact"/>
        <w:jc w:val="both"/>
        <w:rPr>
          <w:rFonts w:ascii="標楷體" w:eastAsia="標楷體" w:hAnsi="標楷體"/>
          <w:sz w:val="32"/>
          <w:szCs w:val="32"/>
        </w:rPr>
      </w:pPr>
      <w:r w:rsidRPr="00C239A1">
        <w:rPr>
          <w:rFonts w:ascii="標楷體" w:eastAsia="標楷體" w:hAnsi="標楷體" w:hint="eastAsia"/>
          <w:sz w:val="32"/>
          <w:szCs w:val="32"/>
        </w:rPr>
        <w:t>主    席</w:t>
      </w:r>
      <w:r w:rsidRPr="001D6794">
        <w:rPr>
          <w:rFonts w:ascii="標楷體" w:eastAsia="標楷體" w:hAnsi="標楷體" w:hint="eastAsia"/>
          <w:sz w:val="32"/>
          <w:szCs w:val="32"/>
        </w:rPr>
        <w:t>：</w:t>
      </w:r>
      <w:r>
        <w:rPr>
          <w:rFonts w:ascii="標楷體" w:eastAsia="標楷體" w:hAnsi="標楷體" w:hint="eastAsia"/>
          <w:sz w:val="32"/>
          <w:szCs w:val="32"/>
        </w:rPr>
        <w:t>范</w:t>
      </w:r>
      <w:r w:rsidRPr="006C52FF">
        <w:rPr>
          <w:rFonts w:ascii="標楷體" w:eastAsia="標楷體" w:hAnsi="標楷體" w:hint="eastAsia"/>
          <w:sz w:val="32"/>
          <w:szCs w:val="32"/>
        </w:rPr>
        <w:t>委員</w:t>
      </w:r>
      <w:r>
        <w:rPr>
          <w:rFonts w:ascii="標楷體" w:eastAsia="標楷體" w:hAnsi="標楷體" w:hint="eastAsia"/>
          <w:sz w:val="32"/>
          <w:szCs w:val="32"/>
        </w:rPr>
        <w:t>雲</w:t>
      </w:r>
    </w:p>
    <w:p w:rsidR="00273897" w:rsidRDefault="00273897" w:rsidP="00273897">
      <w:pPr>
        <w:snapToGrid w:val="0"/>
        <w:spacing w:line="460" w:lineRule="exact"/>
        <w:jc w:val="both"/>
        <w:rPr>
          <w:rFonts w:ascii="標楷體" w:eastAsia="標楷體" w:hAnsi="標楷體"/>
          <w:sz w:val="32"/>
          <w:szCs w:val="32"/>
        </w:rPr>
      </w:pPr>
      <w:r w:rsidRPr="00456735">
        <w:rPr>
          <w:rFonts w:ascii="標楷體" w:eastAsia="標楷體" w:hAnsi="標楷體" w:hint="eastAsia"/>
          <w:sz w:val="32"/>
          <w:szCs w:val="32"/>
        </w:rPr>
        <w:t>主任秘書：陳錫欽</w:t>
      </w:r>
    </w:p>
    <w:p w:rsidR="00273897" w:rsidRPr="00571DCC" w:rsidRDefault="00273897" w:rsidP="00273897">
      <w:pPr>
        <w:snapToGrid w:val="0"/>
        <w:spacing w:line="460" w:lineRule="exact"/>
        <w:jc w:val="both"/>
        <w:rPr>
          <w:rFonts w:ascii="標楷體" w:eastAsia="標楷體" w:hAnsi="標楷體"/>
          <w:sz w:val="32"/>
          <w:szCs w:val="32"/>
        </w:rPr>
      </w:pPr>
      <w:r w:rsidRPr="00571DCC">
        <w:rPr>
          <w:rFonts w:ascii="標楷體" w:eastAsia="標楷體" w:hAnsi="標楷體" w:hint="eastAsia"/>
          <w:sz w:val="32"/>
          <w:szCs w:val="32"/>
        </w:rPr>
        <w:t>專門委員：</w:t>
      </w:r>
      <w:r>
        <w:rPr>
          <w:rFonts w:ascii="標楷體" w:eastAsia="標楷體" w:hAnsi="標楷體" w:hint="eastAsia"/>
          <w:sz w:val="32"/>
          <w:szCs w:val="32"/>
        </w:rPr>
        <w:t>朱蔚菁</w:t>
      </w:r>
    </w:p>
    <w:p w:rsidR="00273897" w:rsidRDefault="00273897" w:rsidP="00273897">
      <w:pPr>
        <w:snapToGrid w:val="0"/>
        <w:spacing w:line="460" w:lineRule="exact"/>
        <w:ind w:left="714" w:hanging="714"/>
        <w:jc w:val="both"/>
        <w:rPr>
          <w:rFonts w:ascii="標楷體" w:eastAsia="標楷體" w:hAnsi="標楷體"/>
          <w:sz w:val="32"/>
          <w:szCs w:val="32"/>
        </w:rPr>
      </w:pPr>
      <w:r w:rsidRPr="00571DCC">
        <w:rPr>
          <w:rFonts w:ascii="標楷體" w:eastAsia="標楷體" w:hAnsi="標楷體" w:hint="eastAsia"/>
          <w:sz w:val="32"/>
          <w:szCs w:val="32"/>
        </w:rPr>
        <w:t xml:space="preserve">紀    錄：簡任秘書  </w:t>
      </w:r>
      <w:r>
        <w:rPr>
          <w:rFonts w:ascii="標楷體" w:eastAsia="標楷體" w:hAnsi="標楷體" w:hint="eastAsia"/>
          <w:sz w:val="32"/>
          <w:szCs w:val="32"/>
        </w:rPr>
        <w:t xml:space="preserve">林素惠  </w:t>
      </w:r>
      <w:r w:rsidRPr="00C637EA">
        <w:rPr>
          <w:rFonts w:ascii="標楷體" w:eastAsia="標楷體" w:hAnsi="標楷體" w:hint="eastAsia"/>
          <w:sz w:val="32"/>
          <w:szCs w:val="32"/>
        </w:rPr>
        <w:t>簡任</w:t>
      </w:r>
      <w:r>
        <w:rPr>
          <w:rFonts w:ascii="標楷體" w:eastAsia="標楷體" w:hAnsi="標楷體" w:hint="eastAsia"/>
          <w:sz w:val="32"/>
          <w:szCs w:val="32"/>
        </w:rPr>
        <w:t>編審</w:t>
      </w:r>
      <w:r w:rsidRPr="00C637EA">
        <w:rPr>
          <w:rFonts w:ascii="標楷體" w:eastAsia="標楷體" w:hAnsi="標楷體" w:hint="eastAsia"/>
          <w:sz w:val="32"/>
          <w:szCs w:val="32"/>
        </w:rPr>
        <w:t xml:space="preserve">  </w:t>
      </w:r>
      <w:r>
        <w:rPr>
          <w:rFonts w:ascii="標楷體" w:eastAsia="標楷體" w:hAnsi="標楷體" w:hint="eastAsia"/>
          <w:sz w:val="32"/>
          <w:szCs w:val="32"/>
        </w:rPr>
        <w:t>蔡月秋</w:t>
      </w:r>
      <w:r w:rsidRPr="00571DCC">
        <w:rPr>
          <w:rFonts w:ascii="標楷體" w:eastAsia="標楷體" w:hAnsi="標楷體" w:hint="eastAsia"/>
          <w:sz w:val="32"/>
          <w:szCs w:val="32"/>
        </w:rPr>
        <w:t xml:space="preserve">  </w:t>
      </w:r>
      <w:r>
        <w:rPr>
          <w:rFonts w:ascii="標楷體" w:eastAsia="標楷體" w:hAnsi="標楷體" w:hint="eastAsia"/>
          <w:sz w:val="32"/>
          <w:szCs w:val="32"/>
        </w:rPr>
        <w:t>科長  蔡國治</w:t>
      </w:r>
    </w:p>
    <w:p w:rsidR="00273897" w:rsidRPr="00571DCC" w:rsidRDefault="00273897" w:rsidP="00273897">
      <w:pPr>
        <w:snapToGrid w:val="0"/>
        <w:spacing w:line="460" w:lineRule="exact"/>
        <w:ind w:left="714" w:hanging="714"/>
        <w:jc w:val="both"/>
        <w:rPr>
          <w:rFonts w:ascii="標楷體" w:eastAsia="標楷體" w:hAnsi="標楷體"/>
          <w:sz w:val="32"/>
          <w:szCs w:val="32"/>
        </w:rPr>
      </w:pPr>
      <w:r>
        <w:rPr>
          <w:rFonts w:ascii="標楷體" w:eastAsia="標楷體" w:hAnsi="標楷體" w:hint="eastAsia"/>
          <w:sz w:val="32"/>
          <w:szCs w:val="32"/>
        </w:rPr>
        <w:t xml:space="preserve">          薦任科員</w:t>
      </w:r>
      <w:r w:rsidRPr="00571DCC">
        <w:rPr>
          <w:rFonts w:ascii="標楷體" w:eastAsia="標楷體" w:hAnsi="標楷體" w:hint="eastAsia"/>
          <w:sz w:val="32"/>
          <w:szCs w:val="32"/>
        </w:rPr>
        <w:t xml:space="preserve">  </w:t>
      </w:r>
      <w:r>
        <w:rPr>
          <w:rFonts w:ascii="標楷體" w:eastAsia="標楷體" w:hAnsi="標楷體" w:hint="eastAsia"/>
          <w:sz w:val="32"/>
          <w:szCs w:val="32"/>
        </w:rPr>
        <w:t>李宗一</w:t>
      </w:r>
    </w:p>
    <w:p w:rsidR="00273897" w:rsidRPr="00571DCC" w:rsidRDefault="00273897" w:rsidP="00273897">
      <w:pPr>
        <w:snapToGrid w:val="0"/>
        <w:spacing w:line="460" w:lineRule="exact"/>
        <w:ind w:left="951" w:hangingChars="297" w:hanging="951"/>
        <w:jc w:val="both"/>
        <w:rPr>
          <w:rFonts w:ascii="標楷體" w:eastAsia="標楷體" w:hAnsi="標楷體"/>
          <w:b/>
          <w:sz w:val="32"/>
          <w:szCs w:val="32"/>
        </w:rPr>
      </w:pPr>
      <w:r w:rsidRPr="00571DCC">
        <w:rPr>
          <w:rFonts w:ascii="標楷體" w:eastAsia="標楷體" w:hAnsi="標楷體" w:hint="eastAsia"/>
          <w:b/>
          <w:sz w:val="32"/>
          <w:szCs w:val="32"/>
        </w:rPr>
        <w:t>報  告  事  項</w:t>
      </w:r>
    </w:p>
    <w:p w:rsidR="00273897" w:rsidRPr="00571DCC" w:rsidRDefault="00273897" w:rsidP="00273897">
      <w:pPr>
        <w:snapToGrid w:val="0"/>
        <w:spacing w:line="500" w:lineRule="exact"/>
        <w:ind w:left="640" w:hangingChars="200" w:hanging="640"/>
        <w:jc w:val="both"/>
        <w:rPr>
          <w:rFonts w:ascii="標楷體" w:eastAsia="標楷體" w:hAnsi="標楷體"/>
          <w:sz w:val="32"/>
          <w:szCs w:val="32"/>
        </w:rPr>
      </w:pPr>
      <w:r w:rsidRPr="00571DCC">
        <w:rPr>
          <w:rFonts w:ascii="標楷體" w:eastAsia="標楷體" w:hAnsi="標楷體" w:hint="eastAsia"/>
          <w:sz w:val="32"/>
          <w:szCs w:val="32"/>
        </w:rPr>
        <w:t>一、本院第</w:t>
      </w:r>
      <w:r>
        <w:rPr>
          <w:rFonts w:ascii="標楷體" w:eastAsia="標楷體" w:hAnsi="標楷體" w:hint="eastAsia"/>
          <w:sz w:val="32"/>
          <w:szCs w:val="32"/>
        </w:rPr>
        <w:t>10</w:t>
      </w:r>
      <w:r w:rsidRPr="00571DCC">
        <w:rPr>
          <w:rFonts w:ascii="標楷體" w:eastAsia="標楷體" w:hAnsi="標楷體" w:hint="eastAsia"/>
          <w:sz w:val="32"/>
          <w:szCs w:val="32"/>
        </w:rPr>
        <w:t>屆第</w:t>
      </w:r>
      <w:r>
        <w:rPr>
          <w:rFonts w:ascii="標楷體" w:eastAsia="標楷體" w:hAnsi="標楷體" w:hint="eastAsia"/>
          <w:sz w:val="32"/>
          <w:szCs w:val="32"/>
        </w:rPr>
        <w:t>6會期各委員會召集委員選舉時間及地點</w:t>
      </w:r>
      <w:r w:rsidRPr="00571DCC">
        <w:rPr>
          <w:rFonts w:ascii="標楷體" w:eastAsia="標楷體" w:hAnsi="標楷體" w:hint="eastAsia"/>
          <w:sz w:val="32"/>
          <w:szCs w:val="32"/>
        </w:rPr>
        <w:t>，業經提報本院第</w:t>
      </w:r>
      <w:r>
        <w:rPr>
          <w:rFonts w:ascii="標楷體" w:eastAsia="標楷體" w:hAnsi="標楷體" w:hint="eastAsia"/>
          <w:sz w:val="32"/>
          <w:szCs w:val="32"/>
        </w:rPr>
        <w:t>10</w:t>
      </w:r>
      <w:r w:rsidRPr="00571DCC">
        <w:rPr>
          <w:rFonts w:ascii="標楷體" w:eastAsia="標楷體" w:hAnsi="標楷體" w:hint="eastAsia"/>
          <w:sz w:val="32"/>
          <w:szCs w:val="32"/>
        </w:rPr>
        <w:t>屆第</w:t>
      </w:r>
      <w:r>
        <w:rPr>
          <w:rFonts w:ascii="標楷體" w:eastAsia="標楷體" w:hAnsi="標楷體" w:hint="eastAsia"/>
          <w:sz w:val="32"/>
          <w:szCs w:val="32"/>
        </w:rPr>
        <w:t>6</w:t>
      </w:r>
      <w:r w:rsidRPr="00571DCC">
        <w:rPr>
          <w:rFonts w:ascii="標楷體" w:eastAsia="標楷體" w:hAnsi="標楷體" w:hint="eastAsia"/>
          <w:sz w:val="32"/>
          <w:szCs w:val="32"/>
        </w:rPr>
        <w:t>會期第</w:t>
      </w:r>
      <w:r>
        <w:rPr>
          <w:rFonts w:ascii="標楷體" w:eastAsia="標楷體" w:hAnsi="標楷體" w:hint="eastAsia"/>
          <w:sz w:val="32"/>
          <w:szCs w:val="32"/>
        </w:rPr>
        <w:t>1</w:t>
      </w:r>
      <w:r w:rsidRPr="00571DCC">
        <w:rPr>
          <w:rFonts w:ascii="標楷體" w:eastAsia="標楷體" w:hAnsi="標楷體" w:hint="eastAsia"/>
          <w:sz w:val="32"/>
          <w:szCs w:val="32"/>
        </w:rPr>
        <w:t>次會議</w:t>
      </w:r>
      <w:r>
        <w:rPr>
          <w:rFonts w:ascii="標楷體" w:eastAsia="標楷體" w:hAnsi="標楷體" w:hint="eastAsia"/>
          <w:sz w:val="32"/>
          <w:szCs w:val="32"/>
        </w:rPr>
        <w:t>報告</w:t>
      </w:r>
      <w:r w:rsidRPr="00571DCC">
        <w:rPr>
          <w:rFonts w:ascii="標楷體" w:eastAsia="標楷體" w:hAnsi="標楷體" w:hint="eastAsia"/>
          <w:sz w:val="32"/>
          <w:szCs w:val="32"/>
        </w:rPr>
        <w:t>決定照案通過在案。</w:t>
      </w:r>
    </w:p>
    <w:p w:rsidR="00273897" w:rsidRDefault="00273897" w:rsidP="00273897">
      <w:pPr>
        <w:snapToGrid w:val="0"/>
        <w:spacing w:line="500" w:lineRule="exact"/>
        <w:ind w:left="640" w:hangingChars="200" w:hanging="640"/>
        <w:jc w:val="both"/>
        <w:rPr>
          <w:rFonts w:ascii="標楷體" w:eastAsia="標楷體" w:hAnsi="標楷體"/>
          <w:sz w:val="32"/>
          <w:szCs w:val="32"/>
        </w:rPr>
      </w:pPr>
      <w:r w:rsidRPr="00571DCC">
        <w:rPr>
          <w:rFonts w:ascii="標楷體" w:eastAsia="標楷體" w:hAnsi="標楷體" w:hint="eastAsia"/>
          <w:sz w:val="32"/>
          <w:szCs w:val="32"/>
        </w:rPr>
        <w:t>二、宣讀第</w:t>
      </w:r>
      <w:r>
        <w:rPr>
          <w:rFonts w:ascii="標楷體" w:eastAsia="標楷體" w:hAnsi="標楷體" w:hint="eastAsia"/>
          <w:sz w:val="32"/>
          <w:szCs w:val="32"/>
        </w:rPr>
        <w:t>10</w:t>
      </w:r>
      <w:r w:rsidRPr="00571DCC">
        <w:rPr>
          <w:rFonts w:ascii="標楷體" w:eastAsia="標楷體" w:hAnsi="標楷體" w:hint="eastAsia"/>
          <w:sz w:val="32"/>
          <w:szCs w:val="32"/>
        </w:rPr>
        <w:t>屆第</w:t>
      </w:r>
      <w:r>
        <w:rPr>
          <w:rFonts w:ascii="標楷體" w:eastAsia="標楷體" w:hAnsi="標楷體" w:hint="eastAsia"/>
          <w:sz w:val="32"/>
          <w:szCs w:val="32"/>
        </w:rPr>
        <w:t>6</w:t>
      </w:r>
      <w:r w:rsidRPr="00571DCC">
        <w:rPr>
          <w:rFonts w:ascii="標楷體" w:eastAsia="標楷體" w:hAnsi="標楷體" w:hint="eastAsia"/>
          <w:sz w:val="32"/>
          <w:szCs w:val="32"/>
        </w:rPr>
        <w:t>會期本會召集委員選舉人名冊。</w:t>
      </w:r>
    </w:p>
    <w:p w:rsidR="00273897" w:rsidRPr="00571DCC" w:rsidRDefault="00273897" w:rsidP="00273897">
      <w:pPr>
        <w:snapToGrid w:val="0"/>
        <w:spacing w:line="460" w:lineRule="exact"/>
        <w:ind w:left="951" w:hangingChars="297" w:hanging="951"/>
        <w:jc w:val="both"/>
        <w:rPr>
          <w:rFonts w:ascii="標楷體" w:eastAsia="標楷體" w:hAnsi="標楷體"/>
          <w:b/>
          <w:bCs/>
          <w:sz w:val="32"/>
          <w:szCs w:val="32"/>
        </w:rPr>
      </w:pPr>
      <w:r w:rsidRPr="00571DCC">
        <w:rPr>
          <w:rFonts w:ascii="標楷體" w:eastAsia="標楷體" w:hAnsi="標楷體" w:hint="eastAsia"/>
          <w:b/>
          <w:bCs/>
          <w:sz w:val="32"/>
          <w:szCs w:val="32"/>
        </w:rPr>
        <w:t>選  舉  事  項</w:t>
      </w:r>
    </w:p>
    <w:p w:rsidR="00273897" w:rsidRPr="006F6447" w:rsidRDefault="00273897" w:rsidP="00273897">
      <w:pPr>
        <w:snapToGrid w:val="0"/>
        <w:spacing w:line="480" w:lineRule="exact"/>
        <w:ind w:left="947" w:hangingChars="296" w:hanging="947"/>
        <w:jc w:val="both"/>
        <w:rPr>
          <w:rFonts w:ascii="標楷體" w:eastAsia="標楷體" w:hAnsi="標楷體"/>
          <w:sz w:val="32"/>
          <w:szCs w:val="32"/>
        </w:rPr>
      </w:pPr>
      <w:r w:rsidRPr="006F6447">
        <w:rPr>
          <w:rFonts w:ascii="標楷體" w:eastAsia="標楷體" w:hAnsi="標楷體" w:hint="eastAsia"/>
          <w:color w:val="000000"/>
          <w:sz w:val="32"/>
          <w:szCs w:val="32"/>
        </w:rPr>
        <w:t>選舉第10屆第</w:t>
      </w:r>
      <w:r>
        <w:rPr>
          <w:rFonts w:ascii="標楷體" w:eastAsia="標楷體" w:hAnsi="標楷體" w:hint="eastAsia"/>
          <w:color w:val="000000"/>
          <w:sz w:val="32"/>
          <w:szCs w:val="32"/>
        </w:rPr>
        <w:t>6</w:t>
      </w:r>
      <w:r w:rsidRPr="006F6447">
        <w:rPr>
          <w:rFonts w:ascii="標楷體" w:eastAsia="標楷體" w:hAnsi="標楷體" w:hint="eastAsia"/>
          <w:color w:val="000000"/>
          <w:sz w:val="32"/>
          <w:szCs w:val="32"/>
        </w:rPr>
        <w:t>會期本會召集委員</w:t>
      </w:r>
      <w:r w:rsidRPr="006F6447">
        <w:rPr>
          <w:rFonts w:ascii="標楷體" w:eastAsia="標楷體" w:hAnsi="標楷體" w:hint="eastAsia"/>
          <w:sz w:val="32"/>
          <w:szCs w:val="32"/>
        </w:rPr>
        <w:t>。</w:t>
      </w:r>
    </w:p>
    <w:p w:rsidR="00273897" w:rsidRPr="006F6447" w:rsidRDefault="00273897" w:rsidP="00273897">
      <w:pPr>
        <w:snapToGrid w:val="0"/>
        <w:spacing w:line="460" w:lineRule="exact"/>
        <w:ind w:left="282" w:hangingChars="88" w:hanging="282"/>
        <w:jc w:val="both"/>
        <w:rPr>
          <w:rFonts w:ascii="標楷體" w:eastAsia="標楷體" w:hAnsi="標楷體"/>
          <w:sz w:val="32"/>
          <w:szCs w:val="32"/>
        </w:rPr>
      </w:pPr>
      <w:r w:rsidRPr="006F6447">
        <w:rPr>
          <w:rFonts w:ascii="標楷體" w:eastAsia="標楷體" w:hAnsi="標楷體" w:hint="eastAsia"/>
          <w:sz w:val="32"/>
          <w:szCs w:val="32"/>
        </w:rPr>
        <w:t>（依本院各委員會組織法第3條之4規定，本會置召集委員2人，由本會委員於每會期互選產生。另按本院各委員會召集委員選舉辦法第5條規定，召集委員之選舉，以無記名單記法票選之。但經各該委員會全體委員，或經各黨團及未參加黨團之該委員會委員之書面同意，亦得以推選方式行之。）</w:t>
      </w:r>
    </w:p>
    <w:p w:rsidR="00273897" w:rsidRPr="006F6447" w:rsidRDefault="00273897" w:rsidP="00273897">
      <w:pPr>
        <w:snapToGrid w:val="0"/>
        <w:spacing w:line="460" w:lineRule="exact"/>
        <w:ind w:left="1558" w:hangingChars="487" w:hanging="1558"/>
        <w:jc w:val="both"/>
        <w:rPr>
          <w:rFonts w:ascii="標楷體" w:eastAsia="標楷體" w:hAnsi="標楷體"/>
          <w:sz w:val="32"/>
          <w:szCs w:val="32"/>
        </w:rPr>
      </w:pPr>
      <w:r w:rsidRPr="006F6447">
        <w:rPr>
          <w:rFonts w:ascii="標楷體" w:eastAsia="標楷體" w:hAnsi="標楷體" w:hint="eastAsia"/>
          <w:sz w:val="32"/>
          <w:szCs w:val="32"/>
        </w:rPr>
        <w:t>主席宣告：推選</w:t>
      </w:r>
      <w:r>
        <w:rPr>
          <w:rFonts w:ascii="標楷體" w:eastAsia="標楷體" w:hAnsi="標楷體" w:hint="eastAsia"/>
          <w:sz w:val="32"/>
          <w:szCs w:val="32"/>
        </w:rPr>
        <w:t>陳</w:t>
      </w:r>
      <w:r w:rsidRPr="006F6447">
        <w:rPr>
          <w:rFonts w:ascii="標楷體" w:eastAsia="標楷體" w:hAnsi="標楷體" w:hint="eastAsia"/>
          <w:sz w:val="32"/>
          <w:szCs w:val="32"/>
        </w:rPr>
        <w:t>委員</w:t>
      </w:r>
      <w:r>
        <w:rPr>
          <w:rFonts w:ascii="標楷體" w:eastAsia="標楷體" w:hAnsi="標楷體" w:hint="eastAsia"/>
          <w:sz w:val="32"/>
          <w:szCs w:val="32"/>
        </w:rPr>
        <w:t>秀寳及鄭委員正鈐</w:t>
      </w:r>
      <w:r w:rsidRPr="006F6447">
        <w:rPr>
          <w:rFonts w:ascii="標楷體" w:eastAsia="標楷體" w:hAnsi="標楷體" w:hint="eastAsia"/>
          <w:sz w:val="32"/>
          <w:szCs w:val="32"/>
        </w:rPr>
        <w:t>為立法院第</w:t>
      </w:r>
      <w:r w:rsidRPr="006F6447">
        <w:rPr>
          <w:rFonts w:ascii="標楷體" w:eastAsia="標楷體" w:hAnsi="標楷體"/>
          <w:sz w:val="32"/>
          <w:szCs w:val="32"/>
        </w:rPr>
        <w:t>10</w:t>
      </w:r>
      <w:r w:rsidRPr="006F6447">
        <w:rPr>
          <w:rFonts w:ascii="標楷體" w:eastAsia="標楷體" w:hAnsi="標楷體" w:hint="eastAsia"/>
          <w:sz w:val="32"/>
          <w:szCs w:val="32"/>
        </w:rPr>
        <w:t>屆第</w:t>
      </w:r>
      <w:r>
        <w:rPr>
          <w:rFonts w:ascii="標楷體" w:eastAsia="標楷體" w:hAnsi="標楷體" w:hint="eastAsia"/>
          <w:sz w:val="32"/>
          <w:szCs w:val="32"/>
        </w:rPr>
        <w:t>6</w:t>
      </w:r>
      <w:r w:rsidRPr="006F6447">
        <w:rPr>
          <w:rFonts w:ascii="標楷體" w:eastAsia="標楷體" w:hAnsi="標楷體" w:hint="eastAsia"/>
          <w:sz w:val="32"/>
          <w:szCs w:val="32"/>
        </w:rPr>
        <w:t>會期教育及文化委員會召集委員。</w:t>
      </w:r>
    </w:p>
    <w:p w:rsidR="00273897" w:rsidRDefault="00273897" w:rsidP="00273897">
      <w:pPr>
        <w:snapToGrid w:val="0"/>
        <w:spacing w:line="460" w:lineRule="exact"/>
        <w:jc w:val="both"/>
        <w:rPr>
          <w:rFonts w:ascii="標楷體" w:eastAsia="標楷體" w:hAnsi="標楷體"/>
          <w:b/>
          <w:bCs/>
          <w:spacing w:val="20"/>
          <w:sz w:val="32"/>
          <w:szCs w:val="32"/>
        </w:rPr>
      </w:pPr>
      <w:r w:rsidRPr="00571DCC">
        <w:rPr>
          <w:rFonts w:ascii="標楷體" w:eastAsia="標楷體" w:hAnsi="標楷體" w:hint="eastAsia"/>
          <w:b/>
          <w:bCs/>
          <w:spacing w:val="20"/>
          <w:sz w:val="32"/>
          <w:szCs w:val="32"/>
        </w:rPr>
        <w:t>散會</w:t>
      </w:r>
    </w:p>
    <w:p w:rsidR="00273897" w:rsidRPr="0034220A" w:rsidRDefault="00273897" w:rsidP="00273897">
      <w:pPr>
        <w:snapToGrid w:val="0"/>
        <w:spacing w:line="460" w:lineRule="exact"/>
        <w:jc w:val="both"/>
        <w:rPr>
          <w:rFonts w:ascii="標楷體" w:eastAsia="標楷體" w:hAnsi="標楷體"/>
          <w:b/>
          <w:bCs/>
          <w:spacing w:val="20"/>
          <w:sz w:val="32"/>
          <w:szCs w:val="32"/>
        </w:rPr>
      </w:pPr>
    </w:p>
    <w:p w:rsidR="00273897" w:rsidRPr="00D92739" w:rsidRDefault="00273897" w:rsidP="00273897">
      <w:pPr>
        <w:pStyle w:val="01-45"/>
        <w:rPr>
          <w:position w:val="2"/>
        </w:rPr>
      </w:pPr>
      <w:bookmarkStart w:id="158" w:name="_Toc126068175"/>
      <w:r w:rsidRPr="00D92739">
        <w:rPr>
          <w:rFonts w:hint="eastAsia"/>
        </w:rPr>
        <w:lastRenderedPageBreak/>
        <w:t>立法院第</w:t>
      </w:r>
      <w:r>
        <w:rPr>
          <w:rFonts w:hint="eastAsia"/>
        </w:rPr>
        <w:t>10</w:t>
      </w:r>
      <w:r w:rsidRPr="00D92739">
        <w:rPr>
          <w:rFonts w:hint="eastAsia"/>
        </w:rPr>
        <w:t>屆第</w:t>
      </w:r>
      <w:r>
        <w:t>6</w:t>
      </w:r>
      <w:r w:rsidRPr="00D92739">
        <w:rPr>
          <w:rFonts w:hint="eastAsia"/>
        </w:rPr>
        <w:t>會期教育及文化委員會第</w:t>
      </w:r>
      <w:r>
        <w:t>2</w:t>
      </w:r>
      <w:r w:rsidRPr="00D92739">
        <w:rPr>
          <w:rFonts w:hint="eastAsia"/>
        </w:rPr>
        <w:t>次全體委員會議議事錄</w:t>
      </w:r>
      <w:bookmarkEnd w:id="158"/>
    </w:p>
    <w:p w:rsidR="00273897" w:rsidRDefault="00273897" w:rsidP="00273897">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611CFD">
        <w:rPr>
          <w:rFonts w:ascii="標楷體" w:eastAsia="標楷體" w:hAnsi="標楷體"/>
          <w:kern w:val="0"/>
          <w:sz w:val="32"/>
          <w:szCs w:val="32"/>
          <w:fitText w:val="1600" w:id="-1323554048"/>
        </w:rPr>
        <w:t>時    間：</w:t>
      </w:r>
      <w:r w:rsidRPr="00214CF8">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11</w:t>
      </w:r>
      <w:r w:rsidRPr="00214CF8">
        <w:rPr>
          <w:rFonts w:ascii="標楷體" w:eastAsia="標楷體" w:hAnsi="標楷體" w:hint="eastAsia"/>
          <w:spacing w:val="-32"/>
          <w:kern w:val="0"/>
          <w:sz w:val="32"/>
          <w:szCs w:val="32"/>
        </w:rPr>
        <w:t>年</w:t>
      </w:r>
      <w:r>
        <w:rPr>
          <w:rFonts w:ascii="標楷體" w:eastAsia="標楷體" w:hAnsi="標楷體"/>
          <w:spacing w:val="-32"/>
          <w:kern w:val="0"/>
          <w:sz w:val="32"/>
          <w:szCs w:val="32"/>
        </w:rPr>
        <w:t>10</w:t>
      </w:r>
      <w:r w:rsidRPr="00214CF8">
        <w:rPr>
          <w:rFonts w:ascii="標楷體" w:eastAsia="標楷體" w:hAnsi="標楷體" w:hint="eastAsia"/>
          <w:spacing w:val="-32"/>
          <w:kern w:val="0"/>
          <w:sz w:val="32"/>
          <w:szCs w:val="32"/>
        </w:rPr>
        <w:t>月</w:t>
      </w:r>
      <w:r>
        <w:rPr>
          <w:rFonts w:ascii="標楷體" w:eastAsia="標楷體" w:hAnsi="標楷體"/>
          <w:spacing w:val="-32"/>
          <w:kern w:val="0"/>
          <w:sz w:val="32"/>
          <w:szCs w:val="32"/>
        </w:rPr>
        <w:t>3</w:t>
      </w:r>
      <w:r>
        <w:rPr>
          <w:rFonts w:ascii="標楷體" w:eastAsia="標楷體" w:hAnsi="標楷體" w:hint="eastAsia"/>
          <w:spacing w:val="-32"/>
          <w:kern w:val="0"/>
          <w:sz w:val="32"/>
          <w:szCs w:val="32"/>
        </w:rPr>
        <w:t>日（星期一</w:t>
      </w:r>
      <w:r w:rsidRPr="00214CF8">
        <w:rPr>
          <w:rFonts w:ascii="標楷體" w:eastAsia="標楷體" w:hAnsi="標楷體" w:hint="eastAsia"/>
          <w:spacing w:val="-32"/>
          <w:kern w:val="0"/>
          <w:sz w:val="32"/>
          <w:szCs w:val="32"/>
        </w:rPr>
        <w:t>）上午9時至</w:t>
      </w:r>
      <w:r>
        <w:rPr>
          <w:rFonts w:ascii="標楷體" w:eastAsia="標楷體" w:hAnsi="標楷體"/>
          <w:spacing w:val="-32"/>
          <w:kern w:val="0"/>
          <w:sz w:val="32"/>
          <w:szCs w:val="32"/>
        </w:rPr>
        <w:t>1</w:t>
      </w:r>
      <w:r>
        <w:rPr>
          <w:rFonts w:ascii="標楷體" w:eastAsia="標楷體" w:hAnsi="標楷體" w:hint="eastAsia"/>
          <w:spacing w:val="-32"/>
          <w:kern w:val="0"/>
          <w:sz w:val="32"/>
          <w:szCs w:val="32"/>
        </w:rPr>
        <w:t>2</w:t>
      </w:r>
      <w:r w:rsidRPr="00214CF8">
        <w:rPr>
          <w:rFonts w:ascii="標楷體" w:eastAsia="標楷體" w:hAnsi="標楷體" w:hint="eastAsia"/>
          <w:spacing w:val="-32"/>
          <w:kern w:val="0"/>
          <w:sz w:val="32"/>
          <w:szCs w:val="32"/>
        </w:rPr>
        <w:t>時</w:t>
      </w:r>
      <w:r>
        <w:rPr>
          <w:rFonts w:ascii="標楷體" w:eastAsia="標楷體" w:hAnsi="標楷體"/>
          <w:spacing w:val="-32"/>
          <w:kern w:val="0"/>
          <w:sz w:val="32"/>
          <w:szCs w:val="32"/>
        </w:rPr>
        <w:t>27</w:t>
      </w:r>
      <w:r w:rsidRPr="00214CF8">
        <w:rPr>
          <w:rFonts w:ascii="標楷體" w:eastAsia="標楷體" w:hAnsi="標楷體" w:hint="eastAsia"/>
          <w:spacing w:val="-32"/>
          <w:kern w:val="0"/>
          <w:sz w:val="32"/>
          <w:szCs w:val="32"/>
        </w:rPr>
        <w:t>分</w:t>
      </w:r>
    </w:p>
    <w:p w:rsidR="00273897" w:rsidRPr="00034B21" w:rsidRDefault="00273897" w:rsidP="00273897">
      <w:pPr>
        <w:snapToGrid w:val="0"/>
        <w:spacing w:line="460" w:lineRule="exact"/>
        <w:ind w:left="1280" w:rightChars="9" w:right="22" w:hangingChars="500" w:hanging="1280"/>
        <w:jc w:val="distribute"/>
        <w:rPr>
          <w:rFonts w:ascii="標楷體" w:eastAsia="標楷體" w:hAnsi="標楷體"/>
          <w:spacing w:val="-32"/>
          <w:kern w:val="0"/>
          <w:sz w:val="32"/>
          <w:szCs w:val="32"/>
        </w:rPr>
      </w:pPr>
      <w:r>
        <w:rPr>
          <w:rFonts w:ascii="標楷體" w:eastAsia="標楷體" w:hAnsi="標楷體" w:hint="eastAsia"/>
          <w:spacing w:val="-32"/>
          <w:kern w:val="0"/>
          <w:sz w:val="32"/>
          <w:szCs w:val="32"/>
        </w:rPr>
        <w:t xml:space="preserve">               </w:t>
      </w:r>
      <w:r w:rsidRPr="0082061E">
        <w:rPr>
          <w:rFonts w:ascii="標楷體" w:eastAsia="標楷體" w:hAnsi="標楷體" w:hint="eastAsia"/>
          <w:spacing w:val="-32"/>
          <w:kern w:val="0"/>
          <w:sz w:val="44"/>
          <w:szCs w:val="32"/>
        </w:rPr>
        <w:t xml:space="preserve"> </w:t>
      </w:r>
      <w:r w:rsidRPr="00712764">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11</w:t>
      </w:r>
      <w:r w:rsidRPr="00712764">
        <w:rPr>
          <w:rFonts w:ascii="標楷體" w:eastAsia="標楷體" w:hAnsi="標楷體" w:hint="eastAsia"/>
          <w:spacing w:val="-32"/>
          <w:kern w:val="0"/>
          <w:sz w:val="32"/>
          <w:szCs w:val="32"/>
        </w:rPr>
        <w:t>年</w:t>
      </w:r>
      <w:r>
        <w:rPr>
          <w:rFonts w:ascii="標楷體" w:eastAsia="標楷體" w:hAnsi="標楷體"/>
          <w:spacing w:val="-32"/>
          <w:kern w:val="0"/>
          <w:sz w:val="32"/>
          <w:szCs w:val="32"/>
        </w:rPr>
        <w:t>10</w:t>
      </w:r>
      <w:r w:rsidRPr="00712764">
        <w:rPr>
          <w:rFonts w:ascii="標楷體" w:eastAsia="標楷體" w:hAnsi="標楷體" w:hint="eastAsia"/>
          <w:spacing w:val="-32"/>
          <w:kern w:val="0"/>
          <w:sz w:val="32"/>
          <w:szCs w:val="32"/>
        </w:rPr>
        <w:t>月</w:t>
      </w:r>
      <w:r>
        <w:rPr>
          <w:rFonts w:ascii="標楷體" w:eastAsia="標楷體" w:hAnsi="標楷體"/>
          <w:spacing w:val="-32"/>
          <w:kern w:val="0"/>
          <w:sz w:val="32"/>
          <w:szCs w:val="32"/>
        </w:rPr>
        <w:t>5</w:t>
      </w:r>
      <w:r w:rsidRPr="00712764">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三</w:t>
      </w:r>
      <w:r w:rsidRPr="00712764">
        <w:rPr>
          <w:rFonts w:ascii="標楷體" w:eastAsia="標楷體" w:hAnsi="標楷體" w:hint="eastAsia"/>
          <w:spacing w:val="-32"/>
          <w:kern w:val="0"/>
          <w:sz w:val="32"/>
          <w:szCs w:val="32"/>
        </w:rPr>
        <w:t>）上午9時至</w:t>
      </w:r>
      <w:r>
        <w:rPr>
          <w:rFonts w:ascii="標楷體" w:eastAsia="標楷體" w:hAnsi="標楷體" w:hint="eastAsia"/>
          <w:spacing w:val="-32"/>
          <w:kern w:val="0"/>
          <w:sz w:val="32"/>
          <w:szCs w:val="32"/>
        </w:rPr>
        <w:t>下午</w:t>
      </w:r>
      <w:r>
        <w:rPr>
          <w:rFonts w:ascii="標楷體" w:eastAsia="標楷體" w:hAnsi="標楷體"/>
          <w:spacing w:val="-32"/>
          <w:kern w:val="0"/>
          <w:sz w:val="32"/>
          <w:szCs w:val="32"/>
        </w:rPr>
        <w:t>1</w:t>
      </w:r>
      <w:r w:rsidRPr="00712764">
        <w:rPr>
          <w:rFonts w:ascii="標楷體" w:eastAsia="標楷體" w:hAnsi="標楷體" w:hint="eastAsia"/>
          <w:spacing w:val="-32"/>
          <w:kern w:val="0"/>
          <w:sz w:val="32"/>
          <w:szCs w:val="32"/>
        </w:rPr>
        <w:t>時</w:t>
      </w:r>
      <w:r>
        <w:rPr>
          <w:rFonts w:ascii="標楷體" w:eastAsia="標楷體" w:hAnsi="標楷體"/>
          <w:spacing w:val="-32"/>
          <w:kern w:val="0"/>
          <w:sz w:val="32"/>
          <w:szCs w:val="32"/>
        </w:rPr>
        <w:t>43</w:t>
      </w:r>
      <w:r w:rsidRPr="00712764">
        <w:rPr>
          <w:rFonts w:ascii="標楷體" w:eastAsia="標楷體" w:hAnsi="標楷體" w:hint="eastAsia"/>
          <w:spacing w:val="-32"/>
          <w:kern w:val="0"/>
          <w:sz w:val="32"/>
          <w:szCs w:val="32"/>
        </w:rPr>
        <w:t>分</w:t>
      </w:r>
    </w:p>
    <w:p w:rsidR="00273897" w:rsidRDefault="00273897" w:rsidP="00273897">
      <w:pPr>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273897" w:rsidRDefault="00273897" w:rsidP="00273897">
      <w:pPr>
        <w:snapToGrid w:val="0"/>
        <w:spacing w:line="48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：范  雲  萬美玲  林奕華  王婉諭  陳秀寳  張廖萬堅</w:t>
      </w:r>
    </w:p>
    <w:p w:rsidR="00273897" w:rsidRDefault="00273897" w:rsidP="00273897">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鄭正鈐  黃國書  何欣純  賴品妤  吳思瑤  高金素梅</w:t>
      </w:r>
    </w:p>
    <w:p w:rsidR="00273897" w:rsidRDefault="00273897" w:rsidP="00273897">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林宜瑾  吳怡玎</w:t>
      </w:r>
    </w:p>
    <w:p w:rsidR="00273897" w:rsidRDefault="00273897" w:rsidP="00273897">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委員出席</w:t>
      </w:r>
      <w:r>
        <w:rPr>
          <w:rFonts w:ascii="標楷體" w:eastAsia="標楷體" w:hAnsi="標楷體"/>
          <w:sz w:val="32"/>
          <w:szCs w:val="32"/>
        </w:rPr>
        <w:t>14</w:t>
      </w:r>
      <w:r w:rsidRPr="008C78CE">
        <w:rPr>
          <w:rFonts w:ascii="標楷體" w:eastAsia="標楷體" w:hAnsi="標楷體" w:hint="eastAsia"/>
          <w:sz w:val="32"/>
          <w:szCs w:val="32"/>
        </w:rPr>
        <w:t>人</w:t>
      </w:r>
    </w:p>
    <w:p w:rsidR="00273897" w:rsidRDefault="00273897" w:rsidP="00273897">
      <w:pPr>
        <w:snapToGrid w:val="0"/>
        <w:spacing w:line="48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游毓蘭  曾銘宗  陳椒華  洪孟楷  李德維  李貴敏</w:t>
      </w:r>
    </w:p>
    <w:p w:rsidR="00273897" w:rsidRDefault="00273897" w:rsidP="00273897">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林德福  孔文吉  張其祿  楊瓊瓔  高嘉瑜  鍾佳濱</w:t>
      </w:r>
    </w:p>
    <w:p w:rsidR="00273897" w:rsidRDefault="00273897" w:rsidP="00273897">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陳亭妃  謝衣鳯  邱顯智  吳秉叡  蘇巧慧  江啟臣</w:t>
      </w:r>
    </w:p>
    <w:p w:rsidR="00273897" w:rsidRDefault="00273897" w:rsidP="00273897">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莊競程  林靜儀  林俊憲  </w:t>
      </w:r>
      <w:r w:rsidRPr="003D1624">
        <w:rPr>
          <w:rFonts w:ascii="標楷體" w:eastAsia="標楷體" w:hAnsi="標楷體" w:hint="eastAsia"/>
          <w:sz w:val="32"/>
          <w:szCs w:val="32"/>
        </w:rPr>
        <w:t>伍麗華Saidhai Tahovecahe</w:t>
      </w:r>
    </w:p>
    <w:p w:rsidR="00273897" w:rsidRDefault="00273897" w:rsidP="00273897">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傅崐萁  廖婉汝  邱志偉  呂玉玲  </w:t>
      </w:r>
      <w:r w:rsidRPr="008808BE">
        <w:rPr>
          <w:rFonts w:ascii="標楷體" w:eastAsia="標楷體" w:hAnsi="標楷體" w:hint="eastAsia"/>
          <w:sz w:val="32"/>
          <w:szCs w:val="32"/>
        </w:rPr>
        <w:t>鄭天財Sra Kacaw</w:t>
      </w:r>
    </w:p>
    <w:p w:rsidR="00273897" w:rsidRPr="008C78CE" w:rsidRDefault="00273897" w:rsidP="00273897">
      <w:pPr>
        <w:snapToGrid w:val="0"/>
        <w:spacing w:line="480" w:lineRule="exact"/>
        <w:ind w:left="1920" w:rightChars="9" w:right="22" w:hangingChars="600" w:hanging="1920"/>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position w:val="2"/>
          <w:sz w:val="32"/>
          <w:szCs w:val="32"/>
        </w:rPr>
        <w:t>27</w:t>
      </w:r>
      <w:r w:rsidRPr="00BD716F">
        <w:rPr>
          <w:rFonts w:ascii="標楷體" w:eastAsia="標楷體" w:hAnsi="標楷體" w:hint="eastAsia"/>
          <w:position w:val="2"/>
          <w:sz w:val="32"/>
          <w:szCs w:val="32"/>
        </w:rPr>
        <w:t>人</w:t>
      </w:r>
    </w:p>
    <w:p w:rsidR="00273897" w:rsidRPr="00ED0FE7" w:rsidRDefault="00273897" w:rsidP="00273897">
      <w:pPr>
        <w:pStyle w:val="ac"/>
        <w:spacing w:line="500" w:lineRule="exact"/>
        <w:ind w:left="975" w:hanging="964"/>
        <w:contextualSpacing/>
        <w:rPr>
          <w:sz w:val="32"/>
          <w:szCs w:val="32"/>
        </w:rPr>
      </w:pPr>
      <w:r w:rsidRPr="00ED0FE7">
        <w:rPr>
          <w:sz w:val="32"/>
          <w:szCs w:val="32"/>
        </w:rPr>
        <w:t>列席人員</w:t>
      </w:r>
      <w:r w:rsidRPr="00ED0FE7">
        <w:rPr>
          <w:rFonts w:hint="eastAsia"/>
          <w:sz w:val="32"/>
          <w:szCs w:val="32"/>
        </w:rPr>
        <w:t>：(</w:t>
      </w:r>
      <w:r>
        <w:rPr>
          <w:sz w:val="32"/>
          <w:szCs w:val="32"/>
        </w:rPr>
        <w:t>10</w:t>
      </w:r>
      <w:r w:rsidRPr="00ED0FE7">
        <w:rPr>
          <w:rFonts w:hint="eastAsia"/>
          <w:sz w:val="32"/>
          <w:szCs w:val="32"/>
        </w:rPr>
        <w:t>月</w:t>
      </w:r>
      <w:r>
        <w:rPr>
          <w:sz w:val="32"/>
          <w:szCs w:val="32"/>
        </w:rPr>
        <w:t>3</w:t>
      </w:r>
      <w:r w:rsidRPr="00ED0FE7">
        <w:rPr>
          <w:rFonts w:hint="eastAsia"/>
          <w:sz w:val="32"/>
          <w:szCs w:val="32"/>
        </w:rPr>
        <w:t>日)</w:t>
      </w:r>
    </w:p>
    <w:p w:rsidR="00273897" w:rsidRDefault="00273897" w:rsidP="00273897">
      <w:pPr>
        <w:pStyle w:val="ac"/>
        <w:tabs>
          <w:tab w:val="left" w:pos="1418"/>
        </w:tabs>
        <w:spacing w:line="500" w:lineRule="exact"/>
        <w:ind w:left="975" w:hanging="964"/>
        <w:contextualSpacing/>
        <w:rPr>
          <w:sz w:val="40"/>
          <w:szCs w:val="32"/>
        </w:rPr>
      </w:pPr>
      <w:r w:rsidRPr="00ED0FE7">
        <w:rPr>
          <w:rFonts w:hint="eastAsia"/>
          <w:sz w:val="32"/>
          <w:szCs w:val="32"/>
        </w:rPr>
        <w:t xml:space="preserve">        </w:t>
      </w:r>
      <w:r w:rsidRPr="001E3A9A">
        <w:rPr>
          <w:rFonts w:hint="eastAsia"/>
          <w:sz w:val="56"/>
          <w:szCs w:val="32"/>
        </w:rPr>
        <w:t xml:space="preserve"> </w:t>
      </w:r>
      <w:r>
        <w:rPr>
          <w:rFonts w:hint="eastAsia"/>
          <w:sz w:val="32"/>
          <w:szCs w:val="32"/>
        </w:rPr>
        <w:t xml:space="preserve">國立故宮博物院院長  </w:t>
      </w:r>
      <w:r w:rsidRPr="00ED0FE7">
        <w:rPr>
          <w:rFonts w:hint="eastAsia"/>
          <w:sz w:val="32"/>
          <w:szCs w:val="32"/>
        </w:rPr>
        <w:t xml:space="preserve">  </w:t>
      </w:r>
      <w:r>
        <w:rPr>
          <w:rFonts w:hint="eastAsia"/>
          <w:sz w:val="32"/>
          <w:szCs w:val="32"/>
        </w:rPr>
        <w:t xml:space="preserve">     </w:t>
      </w:r>
      <w:r w:rsidRPr="001E3A9A">
        <w:rPr>
          <w:rFonts w:hint="eastAsia"/>
          <w:sz w:val="56"/>
          <w:szCs w:val="32"/>
        </w:rPr>
        <w:t xml:space="preserve"> </w:t>
      </w:r>
      <w:r>
        <w:rPr>
          <w:rFonts w:hint="eastAsia"/>
          <w:sz w:val="56"/>
          <w:szCs w:val="32"/>
        </w:rPr>
        <w:t xml:space="preserve"> </w:t>
      </w:r>
      <w:r>
        <w:rPr>
          <w:rFonts w:hint="eastAsia"/>
          <w:sz w:val="32"/>
          <w:szCs w:val="32"/>
        </w:rPr>
        <w:t>吳密察</w:t>
      </w:r>
      <w:r w:rsidRPr="00ED0FE7">
        <w:rPr>
          <w:rFonts w:hint="eastAsia"/>
          <w:spacing w:val="-2"/>
          <w:position w:val="2"/>
          <w:sz w:val="32"/>
          <w:szCs w:val="32"/>
        </w:rPr>
        <w:t>率同有關人員</w:t>
      </w:r>
    </w:p>
    <w:p w:rsidR="00273897" w:rsidRPr="00ED0FE7" w:rsidRDefault="00273897" w:rsidP="00273897">
      <w:pPr>
        <w:pStyle w:val="ac"/>
        <w:spacing w:line="500" w:lineRule="exact"/>
        <w:ind w:left="975" w:hanging="964"/>
        <w:contextualSpacing/>
        <w:rPr>
          <w:spacing w:val="-2"/>
          <w:position w:val="2"/>
          <w:sz w:val="32"/>
          <w:szCs w:val="32"/>
        </w:rPr>
      </w:pPr>
      <w:r w:rsidRPr="00ED0FE7">
        <w:rPr>
          <w:rFonts w:hint="eastAsia"/>
          <w:spacing w:val="-2"/>
          <w:position w:val="2"/>
          <w:sz w:val="32"/>
          <w:szCs w:val="32"/>
        </w:rPr>
        <w:t xml:space="preserve">          (</w:t>
      </w:r>
      <w:r>
        <w:rPr>
          <w:spacing w:val="-2"/>
          <w:position w:val="2"/>
          <w:sz w:val="32"/>
          <w:szCs w:val="32"/>
        </w:rPr>
        <w:t>10</w:t>
      </w:r>
      <w:r w:rsidRPr="00ED0FE7">
        <w:rPr>
          <w:rFonts w:hint="eastAsia"/>
          <w:spacing w:val="-2"/>
          <w:position w:val="2"/>
          <w:sz w:val="32"/>
          <w:szCs w:val="32"/>
        </w:rPr>
        <w:t>月</w:t>
      </w:r>
      <w:r>
        <w:rPr>
          <w:spacing w:val="-2"/>
          <w:position w:val="2"/>
          <w:sz w:val="32"/>
          <w:szCs w:val="32"/>
        </w:rPr>
        <w:t>5</w:t>
      </w:r>
      <w:r w:rsidRPr="00ED0FE7">
        <w:rPr>
          <w:rFonts w:hint="eastAsia"/>
          <w:spacing w:val="-2"/>
          <w:position w:val="2"/>
          <w:sz w:val="32"/>
          <w:szCs w:val="32"/>
        </w:rPr>
        <w:t>日)</w:t>
      </w:r>
    </w:p>
    <w:p w:rsidR="00273897" w:rsidRDefault="00273897" w:rsidP="00273897">
      <w:pPr>
        <w:pStyle w:val="ac"/>
        <w:tabs>
          <w:tab w:val="left" w:pos="1418"/>
        </w:tabs>
        <w:spacing w:line="500" w:lineRule="exact"/>
        <w:ind w:left="975" w:hanging="964"/>
        <w:contextualSpacing/>
        <w:rPr>
          <w:sz w:val="32"/>
          <w:szCs w:val="32"/>
        </w:rPr>
      </w:pPr>
      <w:r w:rsidRPr="00ED0FE7">
        <w:rPr>
          <w:rFonts w:hint="eastAsia"/>
          <w:spacing w:val="-2"/>
          <w:position w:val="2"/>
          <w:sz w:val="32"/>
          <w:szCs w:val="32"/>
        </w:rPr>
        <w:t xml:space="preserve">        </w:t>
      </w:r>
      <w:r w:rsidRPr="001E3A9A">
        <w:rPr>
          <w:rFonts w:hint="eastAsia"/>
          <w:spacing w:val="-2"/>
          <w:position w:val="2"/>
          <w:sz w:val="72"/>
          <w:szCs w:val="32"/>
        </w:rPr>
        <w:t xml:space="preserve"> </w:t>
      </w:r>
      <w:r w:rsidRPr="00073979">
        <w:rPr>
          <w:rFonts w:hint="eastAsia"/>
          <w:spacing w:val="-2"/>
          <w:position w:val="2"/>
          <w:sz w:val="32"/>
          <w:szCs w:val="32"/>
        </w:rPr>
        <w:t>教育</w:t>
      </w:r>
      <w:r>
        <w:rPr>
          <w:rFonts w:hint="eastAsia"/>
          <w:sz w:val="32"/>
          <w:szCs w:val="32"/>
        </w:rPr>
        <w:t>部部長</w:t>
      </w:r>
      <w:r w:rsidRPr="000F343B">
        <w:rPr>
          <w:rFonts w:hint="eastAsia"/>
          <w:sz w:val="32"/>
          <w:szCs w:val="32"/>
        </w:rPr>
        <w:t xml:space="preserve">             </w:t>
      </w:r>
      <w:r w:rsidRPr="001E3A9A">
        <w:rPr>
          <w:rFonts w:hint="eastAsia"/>
          <w:sz w:val="40"/>
          <w:szCs w:val="32"/>
        </w:rPr>
        <w:t xml:space="preserve"> </w:t>
      </w:r>
      <w:r>
        <w:rPr>
          <w:rFonts w:hint="eastAsia"/>
          <w:sz w:val="32"/>
          <w:szCs w:val="32"/>
        </w:rPr>
        <w:t xml:space="preserve">      潘文忠</w:t>
      </w:r>
      <w:r w:rsidRPr="000F343B">
        <w:rPr>
          <w:rFonts w:hint="eastAsia"/>
          <w:sz w:val="32"/>
          <w:szCs w:val="32"/>
        </w:rPr>
        <w:t>率同有關人員</w:t>
      </w:r>
    </w:p>
    <w:p w:rsidR="00273897" w:rsidRPr="00ED0FE7" w:rsidRDefault="00273897" w:rsidP="00273897">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BC0E22">
        <w:rPr>
          <w:rFonts w:hint="eastAsia"/>
          <w:spacing w:val="-2"/>
          <w:position w:val="2"/>
          <w:sz w:val="36"/>
          <w:szCs w:val="32"/>
        </w:rPr>
        <w:t xml:space="preserve"> </w:t>
      </w:r>
      <w:r>
        <w:rPr>
          <w:rFonts w:hint="eastAsia"/>
          <w:spacing w:val="-2"/>
          <w:position w:val="2"/>
          <w:sz w:val="32"/>
          <w:szCs w:val="32"/>
        </w:rPr>
        <w:t xml:space="preserve">  </w:t>
      </w:r>
      <w:r w:rsidRPr="00BC0E22">
        <w:rPr>
          <w:rFonts w:hint="eastAsia"/>
          <w:spacing w:val="-2"/>
          <w:position w:val="2"/>
          <w:sz w:val="32"/>
          <w:szCs w:val="32"/>
        </w:rPr>
        <w:t>原住民族委員會教育文化處處長</w:t>
      </w:r>
      <w:r>
        <w:rPr>
          <w:rFonts w:hint="eastAsia"/>
          <w:spacing w:val="-2"/>
          <w:position w:val="2"/>
          <w:sz w:val="32"/>
          <w:szCs w:val="32"/>
        </w:rPr>
        <w:t xml:space="preserve">               </w:t>
      </w:r>
      <w:r w:rsidRPr="00BC0E22">
        <w:rPr>
          <w:rFonts w:hint="eastAsia"/>
          <w:spacing w:val="-2"/>
          <w:position w:val="2"/>
          <w:sz w:val="32"/>
          <w:szCs w:val="32"/>
        </w:rPr>
        <w:t>楊正斌</w:t>
      </w:r>
    </w:p>
    <w:p w:rsidR="00273897" w:rsidRPr="006C6684" w:rsidRDefault="00273897" w:rsidP="00273897">
      <w:pPr>
        <w:spacing w:line="500" w:lineRule="exact"/>
        <w:ind w:rightChars="14" w:right="34"/>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陳</w:t>
      </w:r>
      <w:r w:rsidRPr="00C2349A">
        <w:rPr>
          <w:rFonts w:ascii="標楷體" w:eastAsia="標楷體" w:hAnsi="標楷體"/>
          <w:sz w:val="32"/>
          <w:szCs w:val="32"/>
        </w:rPr>
        <w:t>召集委員</w:t>
      </w:r>
      <w:r>
        <w:rPr>
          <w:rFonts w:ascii="標楷體" w:eastAsia="標楷體" w:hAnsi="標楷體" w:hint="eastAsia"/>
          <w:sz w:val="32"/>
          <w:szCs w:val="32"/>
        </w:rPr>
        <w:t>秀寳</w:t>
      </w:r>
    </w:p>
    <w:p w:rsidR="00273897" w:rsidRDefault="00273897" w:rsidP="00273897">
      <w:pPr>
        <w:snapToGrid w:val="0"/>
        <w:spacing w:line="500" w:lineRule="exact"/>
        <w:ind w:rightChars="9" w:right="22"/>
        <w:jc w:val="both"/>
        <w:rPr>
          <w:rFonts w:ascii="標楷體" w:eastAsia="標楷體" w:hAnsi="標楷體"/>
          <w:sz w:val="32"/>
          <w:szCs w:val="32"/>
        </w:rPr>
      </w:pPr>
      <w:r w:rsidRPr="00073979">
        <w:rPr>
          <w:rFonts w:ascii="標楷體" w:eastAsia="標楷體" w:hAnsi="標楷體" w:hint="eastAsia"/>
          <w:sz w:val="32"/>
          <w:szCs w:val="32"/>
        </w:rPr>
        <w:t>主任秘書：陳錫欽</w:t>
      </w:r>
    </w:p>
    <w:p w:rsidR="00273897" w:rsidRPr="008C78CE" w:rsidRDefault="00273897" w:rsidP="00273897">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朱蔚菁</w:t>
      </w:r>
    </w:p>
    <w:p w:rsidR="00273897" w:rsidRDefault="00273897" w:rsidP="00273897">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林素惠  簡任編審  蔡月秋  科長  蔡國治</w:t>
      </w:r>
    </w:p>
    <w:p w:rsidR="00273897" w:rsidRPr="00121576" w:rsidRDefault="00273897" w:rsidP="00273897">
      <w:pPr>
        <w:snapToGrid w:val="0"/>
        <w:spacing w:line="50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273897" w:rsidRPr="00121576" w:rsidRDefault="00273897" w:rsidP="00273897">
      <w:pPr>
        <w:snapToGrid w:val="0"/>
        <w:spacing w:line="460" w:lineRule="exact"/>
        <w:ind w:rightChars="9" w:right="22"/>
        <w:jc w:val="both"/>
        <w:rPr>
          <w:rFonts w:ascii="標楷體" w:eastAsia="標楷體" w:hAnsi="標楷體"/>
          <w:sz w:val="32"/>
          <w:szCs w:val="32"/>
        </w:rPr>
      </w:pPr>
      <w:r>
        <w:rPr>
          <w:rFonts w:ascii="標楷體" w:eastAsia="標楷體" w:hAnsi="標楷體" w:hint="eastAsia"/>
          <w:sz w:val="32"/>
          <w:szCs w:val="32"/>
        </w:rPr>
        <w:t>（</w:t>
      </w:r>
      <w:r>
        <w:rPr>
          <w:rFonts w:ascii="標楷體" w:eastAsia="標楷體" w:hAnsi="標楷體"/>
          <w:sz w:val="32"/>
          <w:szCs w:val="32"/>
        </w:rPr>
        <w:t>10</w:t>
      </w:r>
      <w:r w:rsidRPr="00121576">
        <w:rPr>
          <w:rFonts w:ascii="標楷體" w:eastAsia="標楷體" w:hAnsi="標楷體" w:hint="eastAsia"/>
          <w:sz w:val="32"/>
          <w:szCs w:val="32"/>
        </w:rPr>
        <w:t>月</w:t>
      </w:r>
      <w:r>
        <w:rPr>
          <w:rFonts w:ascii="標楷體" w:eastAsia="標楷體" w:hAnsi="標楷體"/>
          <w:sz w:val="32"/>
          <w:szCs w:val="32"/>
        </w:rPr>
        <w:t>3</w:t>
      </w:r>
      <w:r w:rsidRPr="00121576">
        <w:rPr>
          <w:rFonts w:ascii="標楷體" w:eastAsia="標楷體" w:hAnsi="標楷體" w:hint="eastAsia"/>
          <w:sz w:val="32"/>
          <w:szCs w:val="32"/>
        </w:rPr>
        <w:t>日</w:t>
      </w:r>
      <w:r>
        <w:rPr>
          <w:rFonts w:ascii="標楷體" w:eastAsia="標楷體" w:hAnsi="標楷體"/>
          <w:sz w:val="32"/>
          <w:szCs w:val="32"/>
        </w:rPr>
        <w:t>）</w:t>
      </w:r>
    </w:p>
    <w:p w:rsidR="00273897" w:rsidRDefault="00273897" w:rsidP="00273897">
      <w:pPr>
        <w:pStyle w:val="ac"/>
        <w:spacing w:line="460" w:lineRule="exact"/>
        <w:ind w:left="980" w:hanging="966"/>
        <w:rPr>
          <w:b/>
          <w:sz w:val="32"/>
          <w:szCs w:val="32"/>
        </w:rPr>
      </w:pPr>
      <w:r w:rsidRPr="0084281E">
        <w:rPr>
          <w:rFonts w:hint="eastAsia"/>
          <w:b/>
          <w:sz w:val="32"/>
          <w:szCs w:val="32"/>
        </w:rPr>
        <w:t>報  告  事  項</w:t>
      </w:r>
    </w:p>
    <w:p w:rsidR="00273897" w:rsidRPr="009B6966" w:rsidRDefault="00273897" w:rsidP="006934DD">
      <w:pPr>
        <w:pStyle w:val="a4"/>
        <w:numPr>
          <w:ilvl w:val="0"/>
          <w:numId w:val="8"/>
        </w:numPr>
        <w:snapToGrid w:val="0"/>
        <w:spacing w:before="120" w:line="500" w:lineRule="exact"/>
        <w:ind w:leftChars="0"/>
        <w:rPr>
          <w:rFonts w:ascii="標楷體" w:eastAsia="標楷體"/>
          <w:b/>
          <w:sz w:val="32"/>
          <w:szCs w:val="32"/>
        </w:rPr>
      </w:pPr>
      <w:r w:rsidRPr="009B6966">
        <w:rPr>
          <w:rFonts w:ascii="標楷體" w:eastAsia="標楷體" w:hint="eastAsia"/>
          <w:b/>
          <w:sz w:val="32"/>
          <w:szCs w:val="32"/>
        </w:rPr>
        <w:t>宣讀上次會議議事錄。</w:t>
      </w:r>
    </w:p>
    <w:p w:rsidR="00273897" w:rsidRPr="009B6966" w:rsidRDefault="00273897" w:rsidP="00273897">
      <w:pPr>
        <w:snapToGrid w:val="0"/>
        <w:spacing w:line="500" w:lineRule="exact"/>
        <w:rPr>
          <w:rFonts w:ascii="標楷體" w:eastAsia="標楷體" w:hAnsi="標楷體"/>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273897" w:rsidRPr="00656E7E" w:rsidRDefault="00273897" w:rsidP="006934DD">
      <w:pPr>
        <w:pStyle w:val="a4"/>
        <w:numPr>
          <w:ilvl w:val="0"/>
          <w:numId w:val="8"/>
        </w:numPr>
        <w:snapToGrid w:val="0"/>
        <w:spacing w:before="120" w:line="460" w:lineRule="exact"/>
        <w:ind w:leftChars="0"/>
        <w:jc w:val="both"/>
        <w:rPr>
          <w:rFonts w:ascii="標楷體" w:eastAsia="標楷體"/>
          <w:b/>
          <w:sz w:val="32"/>
          <w:szCs w:val="32"/>
        </w:rPr>
      </w:pPr>
      <w:r>
        <w:rPr>
          <w:rFonts w:ascii="標楷體" w:eastAsia="標楷體" w:hint="eastAsia"/>
          <w:b/>
          <w:color w:val="000000"/>
          <w:sz w:val="32"/>
          <w:szCs w:val="32"/>
        </w:rPr>
        <w:lastRenderedPageBreak/>
        <w:t>國立故宮博物院院長吳密察</w:t>
      </w:r>
      <w:r w:rsidRPr="009B6966">
        <w:rPr>
          <w:rFonts w:ascii="標楷體" w:eastAsia="標楷體" w:hint="eastAsia"/>
          <w:b/>
          <w:color w:val="000000"/>
          <w:sz w:val="32"/>
          <w:szCs w:val="32"/>
        </w:rPr>
        <w:t>列席報告業務概況，並備質詢。</w:t>
      </w:r>
    </w:p>
    <w:p w:rsidR="00273897" w:rsidRPr="00AA657F" w:rsidRDefault="00273897" w:rsidP="006934DD">
      <w:pPr>
        <w:pStyle w:val="a4"/>
        <w:numPr>
          <w:ilvl w:val="0"/>
          <w:numId w:val="8"/>
        </w:numPr>
        <w:snapToGrid w:val="0"/>
        <w:spacing w:before="120" w:line="460" w:lineRule="exact"/>
        <w:ind w:leftChars="0"/>
        <w:jc w:val="both"/>
        <w:rPr>
          <w:rFonts w:ascii="標楷體" w:eastAsia="標楷體"/>
          <w:b/>
          <w:sz w:val="32"/>
          <w:szCs w:val="32"/>
        </w:rPr>
      </w:pPr>
      <w:r w:rsidRPr="00656E7E">
        <w:rPr>
          <w:rFonts w:ascii="標楷體" w:eastAsia="標楷體" w:hint="eastAsia"/>
          <w:b/>
          <w:sz w:val="32"/>
          <w:szCs w:val="32"/>
        </w:rPr>
        <w:t>國立故宮博物院院長吳密察列席</w:t>
      </w:r>
      <w:r>
        <w:rPr>
          <w:rFonts w:ascii="標楷體" w:eastAsia="標楷體" w:hint="eastAsia"/>
          <w:b/>
          <w:sz w:val="32"/>
          <w:szCs w:val="32"/>
        </w:rPr>
        <w:t>就</w:t>
      </w:r>
      <w:r>
        <w:rPr>
          <w:rFonts w:ascii="標楷體" w:eastAsia="標楷體" w:hAnsi="標楷體" w:hint="eastAsia"/>
          <w:b/>
          <w:sz w:val="32"/>
          <w:szCs w:val="32"/>
        </w:rPr>
        <w:t>「國境開放後故宮博物院應如何延攬國外觀光客」進行專題報告，並備質詢。</w:t>
      </w:r>
    </w:p>
    <w:p w:rsidR="00273897" w:rsidRDefault="00273897" w:rsidP="00273897">
      <w:pPr>
        <w:pStyle w:val="a4"/>
        <w:snapToGrid w:val="0"/>
        <w:spacing w:before="120" w:line="500" w:lineRule="exact"/>
        <w:ind w:leftChars="0" w:left="0"/>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日</w:t>
      </w:r>
      <w:r w:rsidRPr="008C78CE">
        <w:rPr>
          <w:rFonts w:ascii="標楷體" w:eastAsia="標楷體" w:hAnsi="標楷體"/>
          <w:sz w:val="32"/>
          <w:szCs w:val="32"/>
        </w:rPr>
        <w:t>議程</w:t>
      </w:r>
      <w:r>
        <w:rPr>
          <w:rFonts w:ascii="標楷體" w:eastAsia="標楷體" w:hAnsi="標楷體" w:hint="eastAsia"/>
          <w:sz w:val="32"/>
          <w:szCs w:val="32"/>
        </w:rPr>
        <w:t>採綜合詢答，</w:t>
      </w:r>
      <w:r w:rsidRPr="008C78CE">
        <w:rPr>
          <w:rFonts w:ascii="標楷體" w:eastAsia="標楷體" w:hAnsi="標楷體" w:hint="eastAsia"/>
          <w:sz w:val="32"/>
          <w:szCs w:val="32"/>
        </w:rPr>
        <w:t>有</w:t>
      </w:r>
      <w:r>
        <w:rPr>
          <w:rFonts w:ascii="標楷體" w:eastAsia="標楷體" w:hAnsi="標楷體" w:hint="eastAsia"/>
          <w:sz w:val="32"/>
          <w:szCs w:val="32"/>
        </w:rPr>
        <w:t>委員范雲、</w:t>
      </w:r>
      <w:r w:rsidRPr="000007F8">
        <w:rPr>
          <w:rFonts w:ascii="標楷體" w:eastAsia="標楷體" w:hAnsi="標楷體" w:hint="eastAsia"/>
          <w:sz w:val="32"/>
          <w:szCs w:val="32"/>
        </w:rPr>
        <w:t>萬美玲、</w:t>
      </w:r>
      <w:r w:rsidRPr="00AF7DB4">
        <w:rPr>
          <w:rFonts w:ascii="標楷體" w:eastAsia="標楷體" w:hAnsi="標楷體" w:hint="eastAsia"/>
          <w:sz w:val="32"/>
          <w:szCs w:val="32"/>
        </w:rPr>
        <w:t>林奕華、</w:t>
      </w:r>
      <w:r w:rsidRPr="00DB5C75">
        <w:rPr>
          <w:rFonts w:ascii="標楷體" w:eastAsia="標楷體" w:hAnsi="標楷體" w:hint="eastAsia"/>
          <w:sz w:val="32"/>
          <w:szCs w:val="32"/>
        </w:rPr>
        <w:t>王婉諭、</w:t>
      </w:r>
      <w:r w:rsidRPr="00FA7C2A">
        <w:rPr>
          <w:rFonts w:ascii="標楷體" w:eastAsia="標楷體" w:hAnsi="標楷體" w:hint="eastAsia"/>
          <w:sz w:val="32"/>
          <w:szCs w:val="32"/>
        </w:rPr>
        <w:t>張廖萬堅、</w:t>
      </w:r>
      <w:r w:rsidRPr="00AF7DB4">
        <w:rPr>
          <w:rFonts w:ascii="標楷體" w:eastAsia="標楷體" w:hAnsi="標楷體" w:hint="eastAsia"/>
          <w:sz w:val="32"/>
          <w:szCs w:val="32"/>
        </w:rPr>
        <w:t>陳秀寳、</w:t>
      </w:r>
      <w:r w:rsidRPr="000F5964">
        <w:rPr>
          <w:rFonts w:ascii="標楷體" w:eastAsia="標楷體" w:hAnsi="標楷體" w:hint="eastAsia"/>
          <w:sz w:val="32"/>
          <w:szCs w:val="32"/>
        </w:rPr>
        <w:t>鄭正鈐、</w:t>
      </w:r>
      <w:r w:rsidRPr="00FA7C2A">
        <w:rPr>
          <w:rFonts w:ascii="標楷體" w:eastAsia="標楷體" w:hAnsi="標楷體" w:hint="eastAsia"/>
          <w:sz w:val="32"/>
          <w:szCs w:val="32"/>
        </w:rPr>
        <w:t>黃國書、</w:t>
      </w:r>
      <w:r>
        <w:rPr>
          <w:rFonts w:ascii="標楷體" w:eastAsia="標楷體" w:hAnsi="標楷體" w:hint="eastAsia"/>
          <w:sz w:val="32"/>
          <w:szCs w:val="32"/>
        </w:rPr>
        <w:t>高金素梅、何欣純、</w:t>
      </w:r>
      <w:r w:rsidRPr="00DB5C75">
        <w:rPr>
          <w:rFonts w:ascii="標楷體" w:eastAsia="標楷體" w:hAnsi="標楷體" w:hint="eastAsia"/>
          <w:sz w:val="32"/>
          <w:szCs w:val="32"/>
        </w:rPr>
        <w:t>賴品妤、吳思瑤、</w:t>
      </w:r>
      <w:r w:rsidRPr="00934775">
        <w:rPr>
          <w:rFonts w:ascii="標楷體" w:eastAsia="標楷體" w:hAnsi="標楷體" w:hint="eastAsia"/>
          <w:sz w:val="32"/>
          <w:szCs w:val="32"/>
        </w:rPr>
        <w:t>林宜瑾、</w:t>
      </w:r>
      <w:r>
        <w:rPr>
          <w:rFonts w:ascii="標楷體" w:eastAsia="標楷體" w:hAnsi="標楷體" w:hint="eastAsia"/>
          <w:sz w:val="32"/>
          <w:szCs w:val="32"/>
        </w:rPr>
        <w:t>楊瓊瓔、吳怡玎</w:t>
      </w:r>
      <w:r w:rsidRPr="00FA7C2A">
        <w:rPr>
          <w:rFonts w:ascii="標楷體" w:eastAsia="標楷體" w:hAnsi="標楷體" w:hint="eastAsia"/>
          <w:sz w:val="32"/>
          <w:szCs w:val="32"/>
        </w:rPr>
        <w:t>、</w:t>
      </w:r>
      <w:r>
        <w:rPr>
          <w:rFonts w:ascii="標楷體" w:eastAsia="標楷體" w:hAnsi="標楷體" w:hint="eastAsia"/>
          <w:sz w:val="32"/>
          <w:szCs w:val="32"/>
        </w:rPr>
        <w:t>張其祿、洪孟楷、孔文吉等</w:t>
      </w:r>
      <w:r>
        <w:rPr>
          <w:rFonts w:ascii="標楷體" w:eastAsia="標楷體" w:hAnsi="標楷體"/>
          <w:sz w:val="32"/>
          <w:szCs w:val="32"/>
        </w:rPr>
        <w:t>18</w:t>
      </w:r>
      <w:r w:rsidRPr="008C78CE">
        <w:rPr>
          <w:rFonts w:ascii="標楷體" w:eastAsia="標楷體" w:hAnsi="標楷體"/>
          <w:sz w:val="32"/>
          <w:szCs w:val="32"/>
        </w:rPr>
        <w:t>人提出質詢，均</w:t>
      </w:r>
      <w:r w:rsidRPr="00891366">
        <w:rPr>
          <w:rFonts w:ascii="標楷體" w:eastAsia="標楷體" w:hAnsi="標楷體"/>
          <w:sz w:val="32"/>
          <w:szCs w:val="32"/>
        </w:rPr>
        <w:t>經</w:t>
      </w:r>
      <w:r w:rsidRPr="00656E7E">
        <w:rPr>
          <w:rFonts w:ascii="標楷體" w:eastAsia="標楷體" w:hAnsi="標楷體" w:hint="eastAsia"/>
          <w:sz w:val="32"/>
          <w:szCs w:val="32"/>
        </w:rPr>
        <w:t>國立故宮博物院院長吳密察</w:t>
      </w:r>
      <w:r>
        <w:rPr>
          <w:rFonts w:ascii="標楷體" w:eastAsia="標楷體" w:hAnsi="標楷體"/>
          <w:sz w:val="32"/>
          <w:szCs w:val="32"/>
        </w:rPr>
        <w:t>及相關人員即席答</w:t>
      </w:r>
      <w:r>
        <w:rPr>
          <w:rFonts w:ascii="標楷體" w:eastAsia="標楷體" w:hAnsi="標楷體" w:hint="eastAsia"/>
          <w:sz w:val="32"/>
          <w:szCs w:val="32"/>
        </w:rPr>
        <w:t>復</w:t>
      </w:r>
      <w:r w:rsidRPr="008C78CE">
        <w:rPr>
          <w:rFonts w:ascii="標楷體" w:eastAsia="標楷體" w:hAnsi="標楷體"/>
          <w:sz w:val="32"/>
          <w:szCs w:val="32"/>
        </w:rPr>
        <w:t>說明。</w:t>
      </w:r>
      <w:r w:rsidRPr="003776F6">
        <w:rPr>
          <w:rFonts w:ascii="標楷體" w:eastAsia="標楷體" w:hAnsi="標楷體" w:hint="eastAsia"/>
          <w:sz w:val="32"/>
          <w:szCs w:val="32"/>
        </w:rPr>
        <w:t>另有委員</w:t>
      </w:r>
      <w:r>
        <w:rPr>
          <w:rFonts w:ascii="標楷體" w:eastAsia="標楷體" w:hAnsi="標楷體" w:hint="eastAsia"/>
          <w:sz w:val="32"/>
          <w:szCs w:val="32"/>
        </w:rPr>
        <w:t>陳明文</w:t>
      </w:r>
      <w:r w:rsidRPr="003776F6">
        <w:rPr>
          <w:rFonts w:ascii="標楷體" w:eastAsia="標楷體" w:hAnsi="標楷體" w:hint="eastAsia"/>
          <w:sz w:val="32"/>
          <w:szCs w:val="32"/>
        </w:rPr>
        <w:t>提出書面質詢。</w:t>
      </w:r>
      <w:r w:rsidRPr="008C78CE">
        <w:rPr>
          <w:rFonts w:ascii="標楷體" w:eastAsia="標楷體" w:hAnsi="標楷體"/>
          <w:sz w:val="32"/>
          <w:szCs w:val="32"/>
        </w:rPr>
        <w:t>）</w:t>
      </w:r>
    </w:p>
    <w:p w:rsidR="00273897" w:rsidRPr="0000524E" w:rsidRDefault="00273897" w:rsidP="00273897">
      <w:pPr>
        <w:snapToGrid w:val="0"/>
        <w:spacing w:beforeLines="50" w:before="18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273897" w:rsidRPr="0000524E" w:rsidRDefault="00273897" w:rsidP="00273897">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73897" w:rsidRPr="0000524E" w:rsidRDefault="00273897" w:rsidP="00273897">
      <w:pPr>
        <w:snapToGrid w:val="0"/>
        <w:spacing w:beforeLines="50" w:before="180" w:line="500" w:lineRule="exact"/>
        <w:ind w:left="640" w:hangingChars="200" w:hanging="640"/>
        <w:contextualSpacing/>
        <w:rPr>
          <w:rFonts w:ascii="標楷體" w:eastAsia="標楷體" w:hAnsi="標楷體"/>
          <w:bCs/>
          <w:sz w:val="32"/>
          <w:szCs w:val="32"/>
        </w:rPr>
      </w:pP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273897" w:rsidRDefault="00273897" w:rsidP="00611CFD">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273897" w:rsidRPr="00611CFD" w:rsidRDefault="00273897" w:rsidP="00611CFD">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四、1</w:t>
      </w:r>
      <w:r>
        <w:rPr>
          <w:rFonts w:ascii="標楷體" w:eastAsia="標楷體" w:hAnsi="標楷體"/>
          <w:bCs/>
          <w:sz w:val="32"/>
          <w:szCs w:val="32"/>
        </w:rPr>
        <w:t>12</w:t>
      </w:r>
      <w:r>
        <w:rPr>
          <w:rFonts w:ascii="標楷體" w:eastAsia="標楷體" w:hAnsi="標楷體" w:hint="eastAsia"/>
          <w:bCs/>
          <w:sz w:val="32"/>
          <w:szCs w:val="32"/>
        </w:rPr>
        <w:t>年度</w:t>
      </w:r>
      <w:r w:rsidRPr="00656E7E">
        <w:rPr>
          <w:rFonts w:ascii="標楷體" w:eastAsia="標楷體" w:hAnsi="標楷體" w:hint="eastAsia"/>
          <w:bCs/>
          <w:sz w:val="32"/>
          <w:szCs w:val="32"/>
        </w:rPr>
        <w:t>中央政府總預算案有關國立故宮博物院單位預算案及故宮文物藝術發展基金附屬單位預算案，相關提案請於1</w:t>
      </w:r>
      <w:r>
        <w:rPr>
          <w:rFonts w:ascii="標楷體" w:eastAsia="標楷體" w:hAnsi="標楷體"/>
          <w:bCs/>
          <w:sz w:val="32"/>
          <w:szCs w:val="32"/>
        </w:rPr>
        <w:t>0</w:t>
      </w:r>
      <w:r w:rsidRPr="00656E7E">
        <w:rPr>
          <w:rFonts w:ascii="標楷體" w:eastAsia="標楷體" w:hAnsi="標楷體" w:hint="eastAsia"/>
          <w:bCs/>
          <w:sz w:val="32"/>
          <w:szCs w:val="32"/>
        </w:rPr>
        <w:t>月</w:t>
      </w:r>
      <w:r>
        <w:rPr>
          <w:rFonts w:ascii="標楷體" w:eastAsia="標楷體" w:hAnsi="標楷體"/>
          <w:bCs/>
          <w:sz w:val="32"/>
          <w:szCs w:val="32"/>
        </w:rPr>
        <w:t>19</w:t>
      </w:r>
      <w:r w:rsidRPr="00656E7E">
        <w:rPr>
          <w:rFonts w:ascii="標楷體" w:eastAsia="標楷體" w:hAnsi="標楷體" w:hint="eastAsia"/>
          <w:bCs/>
          <w:sz w:val="32"/>
          <w:szCs w:val="32"/>
        </w:rPr>
        <w:t>日下午</w:t>
      </w:r>
      <w:r>
        <w:rPr>
          <w:rFonts w:ascii="標楷體" w:eastAsia="標楷體" w:hAnsi="標楷體"/>
          <w:bCs/>
          <w:sz w:val="32"/>
          <w:szCs w:val="32"/>
        </w:rPr>
        <w:t>4</w:t>
      </w:r>
      <w:r w:rsidRPr="00656E7E">
        <w:rPr>
          <w:rFonts w:ascii="標楷體" w:eastAsia="標楷體" w:hAnsi="標楷體" w:hint="eastAsia"/>
          <w:bCs/>
          <w:sz w:val="32"/>
          <w:szCs w:val="32"/>
        </w:rPr>
        <w:t>時前提出</w:t>
      </w:r>
      <w:r>
        <w:rPr>
          <w:rFonts w:ascii="標楷體" w:eastAsia="標楷體" w:hAnsi="標楷體" w:hint="eastAsia"/>
          <w:bCs/>
          <w:sz w:val="32"/>
          <w:szCs w:val="32"/>
        </w:rPr>
        <w:t>。</w:t>
      </w:r>
    </w:p>
    <w:p w:rsidR="00273897" w:rsidRPr="00121576" w:rsidRDefault="00273897" w:rsidP="00273897">
      <w:pPr>
        <w:snapToGrid w:val="0"/>
        <w:spacing w:beforeLines="50" w:before="180" w:line="460" w:lineRule="exact"/>
        <w:ind w:rightChars="9" w:right="22"/>
        <w:jc w:val="both"/>
        <w:rPr>
          <w:rFonts w:ascii="標楷體" w:eastAsia="標楷體" w:hAnsi="標楷體"/>
          <w:b/>
          <w:bCs/>
          <w:sz w:val="32"/>
          <w:szCs w:val="32"/>
        </w:rPr>
      </w:pPr>
      <w:r>
        <w:rPr>
          <w:rFonts w:ascii="標楷體" w:eastAsia="標楷體" w:hAnsi="標楷體" w:hint="eastAsia"/>
          <w:spacing w:val="-2"/>
          <w:position w:val="2"/>
          <w:sz w:val="32"/>
          <w:szCs w:val="32"/>
        </w:rPr>
        <w:t>（</w:t>
      </w:r>
      <w:r>
        <w:rPr>
          <w:rFonts w:ascii="標楷體" w:eastAsia="標楷體" w:hAnsi="標楷體"/>
          <w:spacing w:val="-2"/>
          <w:position w:val="2"/>
          <w:sz w:val="32"/>
          <w:szCs w:val="32"/>
        </w:rPr>
        <w:t>10</w:t>
      </w:r>
      <w:r w:rsidRPr="00121576">
        <w:rPr>
          <w:rFonts w:ascii="標楷體" w:eastAsia="標楷體" w:hAnsi="標楷體" w:hint="eastAsia"/>
          <w:spacing w:val="-2"/>
          <w:position w:val="2"/>
          <w:sz w:val="32"/>
          <w:szCs w:val="32"/>
        </w:rPr>
        <w:t>月</w:t>
      </w:r>
      <w:r>
        <w:rPr>
          <w:rFonts w:ascii="標楷體" w:eastAsia="標楷體" w:hAnsi="標楷體" w:hint="eastAsia"/>
          <w:spacing w:val="-2"/>
          <w:position w:val="2"/>
          <w:sz w:val="32"/>
          <w:szCs w:val="32"/>
        </w:rPr>
        <w:t>5</w:t>
      </w:r>
      <w:r w:rsidRPr="00121576">
        <w:rPr>
          <w:rFonts w:ascii="標楷體" w:eastAsia="標楷體" w:hAnsi="標楷體" w:hint="eastAsia"/>
          <w:spacing w:val="-2"/>
          <w:position w:val="2"/>
          <w:sz w:val="32"/>
          <w:szCs w:val="32"/>
        </w:rPr>
        <w:t>日</w:t>
      </w:r>
      <w:r>
        <w:rPr>
          <w:rFonts w:ascii="標楷體" w:eastAsia="標楷體" w:hAnsi="標楷體" w:hint="eastAsia"/>
          <w:spacing w:val="-2"/>
          <w:position w:val="2"/>
          <w:sz w:val="32"/>
          <w:szCs w:val="32"/>
        </w:rPr>
        <w:t>）</w:t>
      </w:r>
    </w:p>
    <w:p w:rsidR="00273897" w:rsidRDefault="00273897" w:rsidP="00273897">
      <w:pPr>
        <w:pStyle w:val="ac"/>
        <w:spacing w:line="460" w:lineRule="exact"/>
        <w:ind w:left="980" w:hanging="966"/>
        <w:rPr>
          <w:b/>
          <w:sz w:val="32"/>
          <w:szCs w:val="32"/>
        </w:rPr>
      </w:pPr>
      <w:r w:rsidRPr="0084281E">
        <w:rPr>
          <w:rFonts w:hint="eastAsia"/>
          <w:b/>
          <w:sz w:val="32"/>
          <w:szCs w:val="32"/>
        </w:rPr>
        <w:t>報  告  事  項</w:t>
      </w:r>
    </w:p>
    <w:p w:rsidR="00273897" w:rsidRPr="00121576" w:rsidRDefault="00273897" w:rsidP="00273897">
      <w:pPr>
        <w:pStyle w:val="ac"/>
        <w:spacing w:line="460" w:lineRule="exact"/>
        <w:ind w:left="0" w:firstLine="14"/>
        <w:rPr>
          <w:b/>
          <w:sz w:val="32"/>
          <w:szCs w:val="32"/>
        </w:rPr>
      </w:pPr>
      <w:r>
        <w:rPr>
          <w:rFonts w:hAnsi="Times New Roman" w:hint="eastAsia"/>
          <w:b/>
          <w:color w:val="000000"/>
          <w:sz w:val="32"/>
          <w:szCs w:val="32"/>
        </w:rPr>
        <w:t>教育部部長潘文忠</w:t>
      </w:r>
      <w:r w:rsidRPr="00126D34">
        <w:rPr>
          <w:rFonts w:hAnsi="Times New Roman" w:hint="eastAsia"/>
          <w:b/>
          <w:color w:val="000000"/>
          <w:sz w:val="32"/>
          <w:szCs w:val="32"/>
        </w:rPr>
        <w:t>列席報告業務概況，並備質詢。</w:t>
      </w:r>
    </w:p>
    <w:p w:rsidR="00273897" w:rsidRDefault="00273897" w:rsidP="00273897">
      <w:pPr>
        <w:pStyle w:val="a4"/>
        <w:snapToGrid w:val="0"/>
        <w:spacing w:before="120" w:line="460" w:lineRule="exact"/>
        <w:ind w:leftChars="0" w:left="0"/>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日</w:t>
      </w:r>
      <w:r w:rsidRPr="008C78CE">
        <w:rPr>
          <w:rFonts w:ascii="標楷體" w:eastAsia="標楷體" w:hAnsi="標楷體"/>
          <w:sz w:val="32"/>
          <w:szCs w:val="32"/>
        </w:rPr>
        <w:t>議程</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97100E">
        <w:rPr>
          <w:rFonts w:ascii="標楷體" w:eastAsia="標楷體" w:hAnsi="標楷體" w:hint="eastAsia"/>
          <w:sz w:val="32"/>
          <w:szCs w:val="32"/>
        </w:rPr>
        <w:t>萬美玲、</w:t>
      </w:r>
      <w:r w:rsidRPr="008808BE">
        <w:rPr>
          <w:rFonts w:ascii="標楷體" w:eastAsia="標楷體" w:hAnsi="標楷體" w:hint="eastAsia"/>
          <w:sz w:val="32"/>
          <w:szCs w:val="32"/>
        </w:rPr>
        <w:t>張廖萬堅、</w:t>
      </w:r>
      <w:r w:rsidRPr="00130CA5">
        <w:rPr>
          <w:rFonts w:ascii="標楷體" w:eastAsia="標楷體" w:hAnsi="標楷體" w:hint="eastAsia"/>
          <w:sz w:val="32"/>
          <w:szCs w:val="32"/>
        </w:rPr>
        <w:t>黃國書、林奕華、</w:t>
      </w:r>
      <w:r w:rsidRPr="00F6758C">
        <w:rPr>
          <w:rFonts w:ascii="標楷體" w:eastAsia="標楷體" w:hAnsi="標楷體" w:hint="eastAsia"/>
          <w:sz w:val="32"/>
          <w:szCs w:val="32"/>
        </w:rPr>
        <w:t>陳秀寳、</w:t>
      </w:r>
      <w:r w:rsidRPr="001A65A0">
        <w:rPr>
          <w:rFonts w:ascii="標楷體" w:eastAsia="標楷體" w:hAnsi="標楷體" w:hint="eastAsia"/>
          <w:sz w:val="32"/>
          <w:szCs w:val="32"/>
        </w:rPr>
        <w:t>林宜瑾、</w:t>
      </w:r>
      <w:r>
        <w:rPr>
          <w:rFonts w:ascii="標楷體" w:eastAsia="標楷體" w:hAnsi="標楷體" w:hint="eastAsia"/>
          <w:sz w:val="32"/>
          <w:szCs w:val="32"/>
        </w:rPr>
        <w:t>呂玉玲、</w:t>
      </w:r>
      <w:r w:rsidRPr="008808BE">
        <w:rPr>
          <w:rFonts w:ascii="標楷體" w:eastAsia="標楷體" w:hAnsi="標楷體" w:hint="eastAsia"/>
          <w:sz w:val="32"/>
          <w:szCs w:val="32"/>
        </w:rPr>
        <w:t>范雲、鄭正鈐、</w:t>
      </w:r>
      <w:r>
        <w:rPr>
          <w:rFonts w:ascii="標楷體" w:eastAsia="標楷體" w:hAnsi="標楷體" w:hint="eastAsia"/>
          <w:sz w:val="32"/>
          <w:szCs w:val="32"/>
        </w:rPr>
        <w:t>高金素梅、何欣純、</w:t>
      </w:r>
      <w:r w:rsidRPr="00130CA5">
        <w:rPr>
          <w:rFonts w:ascii="標楷體" w:eastAsia="標楷體" w:hAnsi="標楷體" w:hint="eastAsia"/>
          <w:sz w:val="32"/>
          <w:szCs w:val="32"/>
        </w:rPr>
        <w:t>吳思瑤、</w:t>
      </w:r>
      <w:r w:rsidRPr="008808BE">
        <w:rPr>
          <w:rFonts w:ascii="標楷體" w:eastAsia="標楷體" w:hAnsi="標楷體" w:hint="eastAsia"/>
          <w:sz w:val="32"/>
          <w:szCs w:val="32"/>
        </w:rPr>
        <w:t>賴品妤、</w:t>
      </w:r>
      <w:r>
        <w:rPr>
          <w:rFonts w:ascii="標楷體" w:eastAsia="標楷體" w:hAnsi="標楷體" w:hint="eastAsia"/>
          <w:sz w:val="32"/>
          <w:szCs w:val="32"/>
        </w:rPr>
        <w:t>吳怡玎、</w:t>
      </w:r>
      <w:r w:rsidRPr="000A32BB">
        <w:rPr>
          <w:rFonts w:ascii="標楷體" w:eastAsia="標楷體" w:hAnsi="標楷體" w:hint="eastAsia"/>
          <w:sz w:val="32"/>
          <w:szCs w:val="32"/>
        </w:rPr>
        <w:t>王婉諭、</w:t>
      </w:r>
      <w:r>
        <w:rPr>
          <w:rFonts w:ascii="標楷體" w:eastAsia="標楷體" w:hAnsi="標楷體" w:hint="eastAsia"/>
          <w:sz w:val="32"/>
          <w:szCs w:val="32"/>
        </w:rPr>
        <w:t>楊瓊瓔、游毓蘭、邱志偉、</w:t>
      </w:r>
      <w:r w:rsidRPr="00D729FA">
        <w:rPr>
          <w:rFonts w:ascii="標楷體" w:eastAsia="標楷體" w:hAnsi="標楷體" w:hint="eastAsia"/>
          <w:sz w:val="32"/>
          <w:szCs w:val="32"/>
        </w:rPr>
        <w:t>伍麗華Saidhai Tahovecahe</w:t>
      </w:r>
      <w:r>
        <w:rPr>
          <w:rFonts w:ascii="標楷體" w:eastAsia="標楷體" w:hAnsi="標楷體" w:hint="eastAsia"/>
          <w:sz w:val="32"/>
          <w:szCs w:val="32"/>
        </w:rPr>
        <w:t>、邱顯智、</w:t>
      </w:r>
      <w:r w:rsidRPr="00542A1F">
        <w:rPr>
          <w:rFonts w:ascii="標楷體" w:eastAsia="標楷體" w:hAnsi="標楷體" w:hint="eastAsia"/>
          <w:sz w:val="32"/>
          <w:szCs w:val="32"/>
        </w:rPr>
        <w:t>洪孟楷、</w:t>
      </w:r>
      <w:r>
        <w:rPr>
          <w:rFonts w:ascii="標楷體" w:eastAsia="標楷體" w:hAnsi="標楷體" w:hint="eastAsia"/>
          <w:sz w:val="32"/>
          <w:szCs w:val="32"/>
        </w:rPr>
        <w:t>張其祿、孔文吉、林靜儀等</w:t>
      </w:r>
      <w:r>
        <w:rPr>
          <w:rFonts w:ascii="標楷體" w:eastAsia="標楷體" w:hAnsi="標楷體"/>
          <w:sz w:val="32"/>
          <w:szCs w:val="32"/>
        </w:rPr>
        <w:t>24</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教育部部長潘文忠</w:t>
      </w:r>
      <w:r w:rsidRPr="008C78CE">
        <w:rPr>
          <w:rFonts w:ascii="標楷體" w:eastAsia="標楷體" w:hAnsi="標楷體"/>
          <w:sz w:val="32"/>
          <w:szCs w:val="32"/>
        </w:rPr>
        <w:t>及相關人員即席答復說明。</w:t>
      </w:r>
      <w:r>
        <w:rPr>
          <w:rFonts w:ascii="標楷體" w:eastAsia="標楷體" w:hAnsi="標楷體" w:hint="eastAsia"/>
          <w:sz w:val="32"/>
          <w:szCs w:val="32"/>
        </w:rPr>
        <w:t>另有委員陳明文提出書面質詢。</w:t>
      </w:r>
      <w:r w:rsidRPr="008C78CE">
        <w:rPr>
          <w:rFonts w:ascii="標楷體" w:eastAsia="標楷體" w:hAnsi="標楷體"/>
          <w:sz w:val="32"/>
          <w:szCs w:val="32"/>
        </w:rPr>
        <w:t>）</w:t>
      </w:r>
    </w:p>
    <w:p w:rsidR="00273897" w:rsidRPr="0000524E" w:rsidRDefault="00273897" w:rsidP="00273897">
      <w:pPr>
        <w:snapToGrid w:val="0"/>
        <w:spacing w:beforeLines="50" w:before="18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273897" w:rsidRPr="0000524E" w:rsidRDefault="00273897" w:rsidP="00273897">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73897" w:rsidRPr="0000524E" w:rsidRDefault="00273897" w:rsidP="00273897">
      <w:pPr>
        <w:snapToGrid w:val="0"/>
        <w:spacing w:beforeLines="50" w:before="180" w:line="500" w:lineRule="exact"/>
        <w:ind w:left="640" w:hangingChars="200" w:hanging="640"/>
        <w:contextualSpacing/>
        <w:rPr>
          <w:rFonts w:ascii="標楷體" w:eastAsia="標楷體" w:hAnsi="標楷體"/>
          <w:bCs/>
          <w:sz w:val="32"/>
          <w:szCs w:val="32"/>
        </w:rPr>
      </w:pPr>
      <w:r w:rsidRPr="0000524E">
        <w:rPr>
          <w:rFonts w:ascii="標楷體" w:eastAsia="標楷體" w:hAnsi="標楷體"/>
          <w:bCs/>
          <w:sz w:val="32"/>
          <w:szCs w:val="32"/>
        </w:rPr>
        <w:lastRenderedPageBreak/>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273897" w:rsidRDefault="00273897" w:rsidP="00611CFD">
      <w:pPr>
        <w:snapToGrid w:val="0"/>
        <w:spacing w:beforeLines="50" w:before="180" w:after="240" w:line="500" w:lineRule="exact"/>
        <w:ind w:leftChars="1" w:left="642" w:hangingChars="200" w:hanging="640"/>
        <w:contextualSpacing/>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273897" w:rsidRPr="00011F80" w:rsidRDefault="00273897" w:rsidP="00611CFD">
      <w:pPr>
        <w:snapToGrid w:val="0"/>
        <w:spacing w:beforeLines="50" w:before="180" w:after="240" w:line="500" w:lineRule="exact"/>
        <w:ind w:leftChars="1" w:left="642"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四、</w:t>
      </w:r>
      <w:r w:rsidRPr="00270AD1">
        <w:rPr>
          <w:rFonts w:ascii="標楷體" w:eastAsia="標楷體" w:hAnsi="標楷體" w:hint="eastAsia"/>
          <w:bCs/>
          <w:sz w:val="32"/>
          <w:szCs w:val="32"/>
        </w:rPr>
        <w:t>11</w:t>
      </w:r>
      <w:r>
        <w:rPr>
          <w:rFonts w:ascii="標楷體" w:eastAsia="標楷體" w:hAnsi="標楷體" w:hint="eastAsia"/>
          <w:bCs/>
          <w:sz w:val="32"/>
          <w:szCs w:val="32"/>
        </w:rPr>
        <w:t>2</w:t>
      </w:r>
      <w:r w:rsidRPr="00270AD1">
        <w:rPr>
          <w:rFonts w:ascii="標楷體" w:eastAsia="標楷體" w:hAnsi="標楷體" w:hint="eastAsia"/>
          <w:bCs/>
          <w:sz w:val="32"/>
          <w:szCs w:val="32"/>
        </w:rPr>
        <w:t>年度中央政府總預算案有關教育部及所屬單位預算案、行政法人國家運動訓練中心預算案、教育部主管47所國立大學校院校務基金、國立臺灣大學附設醫院作業基金、國立成功大學附設醫院作業基金、國立陽明交通大學附設醫院作業基金、教育部所屬機構作業基金、國立高級中等學校校務基金、學產基金、運動發展基金、</w:t>
      </w:r>
      <w:r>
        <w:rPr>
          <w:rFonts w:ascii="標楷體" w:eastAsia="標楷體" w:hAnsi="標楷體" w:hint="eastAsia"/>
          <w:bCs/>
          <w:sz w:val="32"/>
          <w:szCs w:val="32"/>
        </w:rPr>
        <w:t>私立高級中等以上學校</w:t>
      </w:r>
      <w:r w:rsidRPr="00270AD1">
        <w:rPr>
          <w:rFonts w:ascii="標楷體" w:eastAsia="標楷體" w:hAnsi="標楷體" w:hint="eastAsia"/>
          <w:bCs/>
          <w:sz w:val="32"/>
          <w:szCs w:val="32"/>
        </w:rPr>
        <w:t>退場基金預算案，相關提案請於</w:t>
      </w:r>
      <w:r>
        <w:rPr>
          <w:rFonts w:ascii="標楷體" w:eastAsia="標楷體" w:hAnsi="標楷體" w:hint="eastAsia"/>
          <w:bCs/>
          <w:sz w:val="32"/>
          <w:szCs w:val="32"/>
        </w:rPr>
        <w:t>1</w:t>
      </w:r>
      <w:r>
        <w:rPr>
          <w:rFonts w:ascii="標楷體" w:eastAsia="標楷體" w:hAnsi="標楷體"/>
          <w:bCs/>
          <w:sz w:val="32"/>
          <w:szCs w:val="32"/>
        </w:rPr>
        <w:t>0</w:t>
      </w:r>
      <w:r>
        <w:rPr>
          <w:rFonts w:ascii="標楷體" w:eastAsia="標楷體" w:hAnsi="標楷體" w:hint="eastAsia"/>
          <w:bCs/>
          <w:sz w:val="32"/>
          <w:szCs w:val="32"/>
        </w:rPr>
        <w:t>月24日下午3時</w:t>
      </w:r>
      <w:r w:rsidRPr="00270AD1">
        <w:rPr>
          <w:rFonts w:ascii="標楷體" w:eastAsia="標楷體" w:hAnsi="標楷體" w:hint="eastAsia"/>
          <w:bCs/>
          <w:sz w:val="32"/>
          <w:szCs w:val="32"/>
        </w:rPr>
        <w:t>前提出</w:t>
      </w:r>
      <w:r>
        <w:rPr>
          <w:rFonts w:ascii="標楷體" w:eastAsia="標楷體" w:hAnsi="標楷體" w:hint="eastAsia"/>
          <w:bCs/>
          <w:sz w:val="32"/>
          <w:szCs w:val="32"/>
        </w:rPr>
        <w:t>。</w:t>
      </w:r>
    </w:p>
    <w:p w:rsidR="00273897" w:rsidRDefault="00273897" w:rsidP="00273897">
      <w:pPr>
        <w:snapToGrid w:val="0"/>
        <w:spacing w:before="240" w:line="500" w:lineRule="exact"/>
        <w:rPr>
          <w:rFonts w:ascii="標楷體" w:eastAsia="標楷體" w:hAnsi="標楷體"/>
          <w:b/>
          <w:bCs/>
          <w:sz w:val="32"/>
          <w:szCs w:val="32"/>
        </w:rPr>
      </w:pPr>
      <w:r w:rsidRPr="00EB0E52">
        <w:rPr>
          <w:rFonts w:ascii="標楷體" w:eastAsia="標楷體" w:hAnsi="標楷體" w:hint="eastAsia"/>
          <w:b/>
          <w:bCs/>
          <w:sz w:val="32"/>
          <w:szCs w:val="32"/>
        </w:rPr>
        <w:t>通過臨時提案</w:t>
      </w:r>
      <w:r>
        <w:rPr>
          <w:rFonts w:ascii="標楷體" w:eastAsia="標楷體" w:hAnsi="標楷體" w:hint="eastAsia"/>
          <w:b/>
          <w:bCs/>
          <w:sz w:val="32"/>
          <w:szCs w:val="32"/>
        </w:rPr>
        <w:t>1</w:t>
      </w:r>
      <w:r w:rsidRPr="00EB0E52">
        <w:rPr>
          <w:rFonts w:ascii="標楷體" w:eastAsia="標楷體" w:hAnsi="標楷體" w:hint="eastAsia"/>
          <w:b/>
          <w:bCs/>
          <w:sz w:val="32"/>
          <w:szCs w:val="32"/>
        </w:rPr>
        <w:t>項：</w:t>
      </w:r>
    </w:p>
    <w:p w:rsidR="00273897" w:rsidRDefault="00273897" w:rsidP="00273897">
      <w:pPr>
        <w:snapToGrid w:val="0"/>
        <w:spacing w:before="240" w:line="500" w:lineRule="exact"/>
        <w:contextualSpacing/>
        <w:jc w:val="both"/>
        <w:rPr>
          <w:rFonts w:ascii="標楷體" w:eastAsia="標楷體" w:hAnsi="標楷體"/>
          <w:bCs/>
          <w:sz w:val="32"/>
          <w:szCs w:val="32"/>
        </w:rPr>
      </w:pPr>
      <w:r>
        <w:rPr>
          <w:rFonts w:ascii="標楷體" w:eastAsia="標楷體" w:hAnsi="標楷體" w:hint="eastAsia"/>
          <w:bCs/>
          <w:sz w:val="32"/>
          <w:szCs w:val="32"/>
        </w:rPr>
        <w:t xml:space="preserve">    鑑</w:t>
      </w:r>
      <w:r w:rsidRPr="00F601B8">
        <w:rPr>
          <w:rFonts w:ascii="標楷體" w:eastAsia="標楷體" w:hAnsi="標楷體" w:hint="eastAsia"/>
          <w:bCs/>
          <w:sz w:val="32"/>
          <w:szCs w:val="32"/>
        </w:rPr>
        <w:t>於我國少子化問題嚴重，又因年金改革，教師退休年限被迫延後，年輕教師不易進入教育職場，造成整體教師年齡結構失衡，其中40歲以下教師</w:t>
      </w:r>
      <w:r>
        <w:rPr>
          <w:rFonts w:ascii="標楷體" w:eastAsia="標楷體" w:hAnsi="標楷體" w:hint="eastAsia"/>
          <w:bCs/>
          <w:sz w:val="32"/>
          <w:szCs w:val="32"/>
        </w:rPr>
        <w:t>占</w:t>
      </w:r>
      <w:r w:rsidRPr="00F601B8">
        <w:rPr>
          <w:rFonts w:ascii="標楷體" w:eastAsia="標楷體" w:hAnsi="標楷體" w:hint="eastAsia"/>
          <w:bCs/>
          <w:sz w:val="32"/>
          <w:szCs w:val="32"/>
        </w:rPr>
        <w:t>比更由100年之51.3%降至110年之29%，雖教育部於105年將國小教師員額由每班1.5名提高至1.65名，國中教師員額自107年起由每班2名提高至2.2名，然教師年齡結構失衡問題仍未有效改善；另現行「國民小學與國民中學班級編制及教職員員額編制準則」第</w:t>
      </w:r>
      <w:r>
        <w:rPr>
          <w:rFonts w:ascii="標楷體" w:eastAsia="標楷體" w:hAnsi="標楷體" w:hint="eastAsia"/>
          <w:bCs/>
          <w:sz w:val="32"/>
          <w:szCs w:val="32"/>
        </w:rPr>
        <w:t>2</w:t>
      </w:r>
      <w:r w:rsidRPr="00F601B8">
        <w:rPr>
          <w:rFonts w:ascii="標楷體" w:eastAsia="標楷體" w:hAnsi="標楷體" w:hint="eastAsia"/>
          <w:bCs/>
          <w:sz w:val="32"/>
          <w:szCs w:val="32"/>
        </w:rPr>
        <w:t>條規定，國小每班學生人數以29人為原則，國中每班學生人數以30人為原則，然據教育部統計，110學年</w:t>
      </w:r>
      <w:r>
        <w:rPr>
          <w:rFonts w:ascii="標楷體" w:eastAsia="標楷體" w:hAnsi="標楷體" w:hint="eastAsia"/>
          <w:bCs/>
          <w:sz w:val="32"/>
          <w:szCs w:val="32"/>
        </w:rPr>
        <w:t>度</w:t>
      </w:r>
      <w:r w:rsidRPr="00F601B8">
        <w:rPr>
          <w:rFonts w:ascii="標楷體" w:eastAsia="標楷體" w:hAnsi="標楷體" w:hint="eastAsia"/>
          <w:bCs/>
          <w:sz w:val="32"/>
          <w:szCs w:val="32"/>
        </w:rPr>
        <w:t>平均每班學生人數，國小為</w:t>
      </w:r>
      <w:r>
        <w:rPr>
          <w:rFonts w:ascii="標楷體" w:eastAsia="標楷體" w:hAnsi="標楷體" w:hint="eastAsia"/>
          <w:bCs/>
          <w:sz w:val="32"/>
          <w:szCs w:val="32"/>
        </w:rPr>
        <w:t>23.01</w:t>
      </w:r>
      <w:r w:rsidRPr="00F601B8">
        <w:rPr>
          <w:rFonts w:ascii="標楷體" w:eastAsia="標楷體" w:hAnsi="標楷體" w:hint="eastAsia"/>
          <w:bCs/>
          <w:sz w:val="32"/>
          <w:szCs w:val="32"/>
        </w:rPr>
        <w:t>人，國中為26.83</w:t>
      </w:r>
      <w:r>
        <w:rPr>
          <w:rFonts w:ascii="標楷體" w:eastAsia="標楷體" w:hAnsi="標楷體" w:hint="eastAsia"/>
          <w:bCs/>
          <w:sz w:val="32"/>
          <w:szCs w:val="32"/>
        </w:rPr>
        <w:t>人，顯見現行規定與實際教育現場落差極大，爰</w:t>
      </w:r>
      <w:r w:rsidRPr="00F601B8">
        <w:rPr>
          <w:rFonts w:ascii="標楷體" w:eastAsia="標楷體" w:hAnsi="標楷體" w:hint="eastAsia"/>
          <w:bCs/>
          <w:sz w:val="32"/>
          <w:szCs w:val="32"/>
        </w:rPr>
        <w:t>要求教育部研議調降國中小師生比，讓國教走向小班化、精緻化，並於</w:t>
      </w:r>
      <w:r>
        <w:rPr>
          <w:rFonts w:ascii="標楷體" w:eastAsia="標楷體" w:hAnsi="標楷體" w:hint="eastAsia"/>
          <w:bCs/>
          <w:sz w:val="32"/>
          <w:szCs w:val="32"/>
        </w:rPr>
        <w:t>2</w:t>
      </w:r>
      <w:r w:rsidRPr="00F601B8">
        <w:rPr>
          <w:rFonts w:ascii="標楷體" w:eastAsia="標楷體" w:hAnsi="標楷體" w:hint="eastAsia"/>
          <w:bCs/>
          <w:sz w:val="32"/>
          <w:szCs w:val="32"/>
        </w:rPr>
        <w:t>個月內向</w:t>
      </w:r>
      <w:r>
        <w:rPr>
          <w:rFonts w:ascii="標楷體" w:eastAsia="標楷體" w:hAnsi="標楷體" w:hint="eastAsia"/>
          <w:bCs/>
          <w:sz w:val="32"/>
          <w:szCs w:val="32"/>
        </w:rPr>
        <w:t>立法院</w:t>
      </w:r>
      <w:r w:rsidRPr="00F601B8">
        <w:rPr>
          <w:rFonts w:ascii="標楷體" w:eastAsia="標楷體" w:hAnsi="標楷體" w:hint="eastAsia"/>
          <w:bCs/>
          <w:sz w:val="32"/>
          <w:szCs w:val="32"/>
        </w:rPr>
        <w:t>教育及文化委員會提出書面報告。</w:t>
      </w:r>
    </w:p>
    <w:p w:rsidR="00273897" w:rsidRDefault="00273897" w:rsidP="00273897">
      <w:pPr>
        <w:snapToGrid w:val="0"/>
        <w:spacing w:before="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提案人：萬美玲</w:t>
      </w:r>
    </w:p>
    <w:p w:rsidR="00273897" w:rsidRDefault="00273897" w:rsidP="00273897">
      <w:pPr>
        <w:snapToGrid w:val="0"/>
        <w:spacing w:before="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連署人：林奕華  鄭正鈐  吳怡玎</w:t>
      </w:r>
    </w:p>
    <w:p w:rsidR="00273897" w:rsidRDefault="00273897" w:rsidP="00273897">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273897" w:rsidRDefault="00273897" w:rsidP="00273897">
      <w:pPr>
        <w:snapToGrid w:val="0"/>
        <w:spacing w:line="460" w:lineRule="exact"/>
        <w:ind w:rightChars="9" w:right="22"/>
        <w:jc w:val="both"/>
        <w:rPr>
          <w:rFonts w:ascii="標楷體" w:eastAsia="標楷體" w:hAnsi="標楷體"/>
          <w:b/>
          <w:bCs/>
          <w:sz w:val="32"/>
          <w:szCs w:val="32"/>
        </w:rPr>
      </w:pPr>
    </w:p>
    <w:p w:rsidR="00273897" w:rsidRDefault="00273897" w:rsidP="00273897">
      <w:pPr>
        <w:snapToGrid w:val="0"/>
        <w:spacing w:line="460" w:lineRule="exact"/>
        <w:ind w:rightChars="9" w:right="22"/>
        <w:jc w:val="both"/>
        <w:rPr>
          <w:rFonts w:ascii="標楷體" w:eastAsia="標楷體" w:hAnsi="標楷體"/>
          <w:b/>
          <w:bCs/>
          <w:sz w:val="32"/>
          <w:szCs w:val="32"/>
        </w:rPr>
      </w:pPr>
    </w:p>
    <w:p w:rsidR="00273897" w:rsidRPr="00D92739" w:rsidRDefault="00273897" w:rsidP="00273897">
      <w:pPr>
        <w:pStyle w:val="01-45"/>
        <w:rPr>
          <w:position w:val="2"/>
        </w:rPr>
      </w:pPr>
      <w:bookmarkStart w:id="159" w:name="_Toc126068176"/>
      <w:r w:rsidRPr="00D92739">
        <w:rPr>
          <w:rFonts w:hint="eastAsia"/>
        </w:rPr>
        <w:lastRenderedPageBreak/>
        <w:t>立法院第</w:t>
      </w:r>
      <w:r>
        <w:rPr>
          <w:rFonts w:hint="eastAsia"/>
        </w:rPr>
        <w:t>10</w:t>
      </w:r>
      <w:r w:rsidRPr="00D92739">
        <w:rPr>
          <w:rFonts w:hint="eastAsia"/>
        </w:rPr>
        <w:t>屆第</w:t>
      </w:r>
      <w:r>
        <w:rPr>
          <w:rFonts w:hint="eastAsia"/>
        </w:rPr>
        <w:t>6</w:t>
      </w:r>
      <w:r w:rsidRPr="00D92739">
        <w:rPr>
          <w:rFonts w:hint="eastAsia"/>
        </w:rPr>
        <w:t>會期教育及文化委員會第</w:t>
      </w:r>
      <w:r>
        <w:rPr>
          <w:rFonts w:hint="eastAsia"/>
        </w:rPr>
        <w:t>3</w:t>
      </w:r>
      <w:r w:rsidRPr="00D92739">
        <w:rPr>
          <w:rFonts w:hint="eastAsia"/>
        </w:rPr>
        <w:t>次全體委員會議議事錄</w:t>
      </w:r>
      <w:bookmarkEnd w:id="159"/>
    </w:p>
    <w:p w:rsidR="00273897" w:rsidRDefault="00273897" w:rsidP="00273897">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8C78CE">
        <w:rPr>
          <w:rFonts w:ascii="標楷體" w:eastAsia="標楷體" w:hAnsi="標楷體"/>
          <w:sz w:val="32"/>
          <w:szCs w:val="32"/>
        </w:rPr>
        <w:t>時    間：</w:t>
      </w:r>
      <w:r w:rsidRPr="00214CF8">
        <w:rPr>
          <w:rFonts w:ascii="標楷體" w:eastAsia="標楷體" w:hAnsi="標楷體" w:hint="eastAsia"/>
          <w:spacing w:val="-32"/>
          <w:kern w:val="0"/>
          <w:sz w:val="32"/>
          <w:szCs w:val="32"/>
        </w:rPr>
        <w:t>中華民國</w:t>
      </w:r>
      <w:r>
        <w:rPr>
          <w:rFonts w:ascii="標楷體" w:eastAsia="標楷體" w:hAnsi="標楷體"/>
          <w:spacing w:val="-32"/>
          <w:kern w:val="0"/>
          <w:sz w:val="32"/>
          <w:szCs w:val="32"/>
        </w:rPr>
        <w:t>111</w:t>
      </w:r>
      <w:r w:rsidRPr="00214CF8">
        <w:rPr>
          <w:rFonts w:ascii="標楷體" w:eastAsia="標楷體" w:hAnsi="標楷體" w:hint="eastAsia"/>
          <w:spacing w:val="-32"/>
          <w:kern w:val="0"/>
          <w:sz w:val="32"/>
          <w:szCs w:val="32"/>
        </w:rPr>
        <w:t>年</w:t>
      </w:r>
      <w:r>
        <w:rPr>
          <w:rFonts w:ascii="標楷體" w:eastAsia="標楷體" w:hAnsi="標楷體" w:hint="eastAsia"/>
          <w:spacing w:val="-32"/>
          <w:kern w:val="0"/>
          <w:sz w:val="32"/>
          <w:szCs w:val="32"/>
        </w:rPr>
        <w:t>10</w:t>
      </w:r>
      <w:r w:rsidRPr="00214CF8">
        <w:rPr>
          <w:rFonts w:ascii="標楷體" w:eastAsia="標楷體" w:hAnsi="標楷體" w:hint="eastAsia"/>
          <w:spacing w:val="-32"/>
          <w:kern w:val="0"/>
          <w:sz w:val="32"/>
          <w:szCs w:val="32"/>
        </w:rPr>
        <w:t>月</w:t>
      </w:r>
      <w:r>
        <w:rPr>
          <w:rFonts w:ascii="標楷體" w:eastAsia="標楷體" w:hAnsi="標楷體" w:hint="eastAsia"/>
          <w:spacing w:val="-32"/>
          <w:kern w:val="0"/>
          <w:sz w:val="32"/>
          <w:szCs w:val="32"/>
        </w:rPr>
        <w:t>12日（星期三</w:t>
      </w:r>
      <w:r w:rsidRPr="00214CF8">
        <w:rPr>
          <w:rFonts w:ascii="標楷體" w:eastAsia="標楷體" w:hAnsi="標楷體" w:hint="eastAsia"/>
          <w:spacing w:val="-32"/>
          <w:kern w:val="0"/>
          <w:sz w:val="32"/>
          <w:szCs w:val="32"/>
        </w:rPr>
        <w:t>）上午9時</w:t>
      </w:r>
      <w:r>
        <w:rPr>
          <w:rFonts w:ascii="標楷體" w:eastAsia="標楷體" w:hAnsi="標楷體" w:hint="eastAsia"/>
          <w:spacing w:val="-32"/>
          <w:kern w:val="0"/>
          <w:sz w:val="32"/>
          <w:szCs w:val="32"/>
        </w:rPr>
        <w:t>2分</w:t>
      </w:r>
      <w:r w:rsidRPr="00214CF8">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下午1</w:t>
      </w:r>
      <w:r w:rsidRPr="00214CF8">
        <w:rPr>
          <w:rFonts w:ascii="標楷體" w:eastAsia="標楷體" w:hAnsi="標楷體" w:hint="eastAsia"/>
          <w:spacing w:val="-32"/>
          <w:kern w:val="0"/>
          <w:sz w:val="32"/>
          <w:szCs w:val="32"/>
        </w:rPr>
        <w:t>時</w:t>
      </w:r>
      <w:r>
        <w:rPr>
          <w:rFonts w:ascii="標楷體" w:eastAsia="標楷體" w:hAnsi="標楷體" w:hint="eastAsia"/>
          <w:spacing w:val="-32"/>
          <w:kern w:val="0"/>
          <w:sz w:val="32"/>
          <w:szCs w:val="32"/>
        </w:rPr>
        <w:t>1</w:t>
      </w:r>
      <w:r>
        <w:rPr>
          <w:rFonts w:ascii="標楷體" w:eastAsia="標楷體" w:hAnsi="標楷體"/>
          <w:spacing w:val="-32"/>
          <w:kern w:val="0"/>
          <w:sz w:val="32"/>
          <w:szCs w:val="32"/>
        </w:rPr>
        <w:t>9</w:t>
      </w:r>
      <w:r w:rsidRPr="00214CF8">
        <w:rPr>
          <w:rFonts w:ascii="標楷體" w:eastAsia="標楷體" w:hAnsi="標楷體" w:hint="eastAsia"/>
          <w:spacing w:val="-32"/>
          <w:kern w:val="0"/>
          <w:sz w:val="32"/>
          <w:szCs w:val="32"/>
        </w:rPr>
        <w:t>分</w:t>
      </w:r>
    </w:p>
    <w:p w:rsidR="00273897" w:rsidRDefault="00273897" w:rsidP="00273897">
      <w:pPr>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273897" w:rsidRDefault="00273897" w:rsidP="00273897">
      <w:pPr>
        <w:snapToGrid w:val="0"/>
        <w:spacing w:line="48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 xml:space="preserve">：萬美玲  鄭正鈐  林奕華  何欣純  黃國書  </w:t>
      </w:r>
      <w:r w:rsidRPr="00201F2C">
        <w:rPr>
          <w:rFonts w:ascii="標楷體" w:eastAsia="標楷體" w:hAnsi="標楷體" w:hint="eastAsia"/>
          <w:sz w:val="32"/>
          <w:szCs w:val="32"/>
        </w:rPr>
        <w:t>張廖萬堅</w:t>
      </w:r>
    </w:p>
    <w:p w:rsidR="00273897" w:rsidRDefault="00273897" w:rsidP="00273897">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陳秀寳</w:t>
      </w:r>
      <w:r w:rsidRPr="00201F2C">
        <w:rPr>
          <w:rFonts w:ascii="標楷體" w:eastAsia="標楷體" w:hAnsi="標楷體" w:hint="eastAsia"/>
          <w:sz w:val="32"/>
          <w:szCs w:val="32"/>
        </w:rPr>
        <w:t xml:space="preserve">  </w:t>
      </w:r>
      <w:r>
        <w:rPr>
          <w:rFonts w:ascii="標楷體" w:eastAsia="標楷體" w:hAnsi="標楷體" w:hint="eastAsia"/>
          <w:sz w:val="32"/>
          <w:szCs w:val="32"/>
        </w:rPr>
        <w:t>賴品妤  林宜瑾  王婉諭  吳怡玎  吳思瑤</w:t>
      </w:r>
    </w:p>
    <w:p w:rsidR="00273897" w:rsidRDefault="00273897" w:rsidP="00273897">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范  雲  高金素梅</w:t>
      </w:r>
    </w:p>
    <w:p w:rsidR="00273897" w:rsidRDefault="00273897" w:rsidP="00273897">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委員出席14</w:t>
      </w:r>
      <w:r w:rsidRPr="008C78CE">
        <w:rPr>
          <w:rFonts w:ascii="標楷體" w:eastAsia="標楷體" w:hAnsi="標楷體" w:hint="eastAsia"/>
          <w:sz w:val="32"/>
          <w:szCs w:val="32"/>
        </w:rPr>
        <w:t>人</w:t>
      </w:r>
    </w:p>
    <w:p w:rsidR="00273897" w:rsidRDefault="00273897" w:rsidP="00273897">
      <w:pPr>
        <w:snapToGrid w:val="0"/>
        <w:spacing w:line="48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林德福  鍾佳濱  李貴敏  陳椒華  游毓蘭  洪孟楷</w:t>
      </w:r>
    </w:p>
    <w:p w:rsidR="00273897" w:rsidRDefault="00273897" w:rsidP="00273897">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楊瓊瓔  江啟臣  邱顯智  </w:t>
      </w:r>
      <w:r w:rsidRPr="002C6C15">
        <w:rPr>
          <w:rFonts w:ascii="標楷體" w:eastAsia="標楷體" w:hAnsi="標楷體" w:hint="eastAsia"/>
          <w:sz w:val="32"/>
          <w:szCs w:val="32"/>
        </w:rPr>
        <w:t>伍麗華Saidhai Tahovecahe</w:t>
      </w:r>
    </w:p>
    <w:p w:rsidR="00273897" w:rsidRDefault="00273897" w:rsidP="00273897">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李德維  陳亭妃  邱臣遠  謝衣鳯  孔文吉  張育美</w:t>
      </w:r>
    </w:p>
    <w:p w:rsidR="00273897" w:rsidRDefault="00273897" w:rsidP="00273897">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王美惠  莊競程  廖婉汝  張其祿  邱志偉  羅明才</w:t>
      </w:r>
    </w:p>
    <w:p w:rsidR="00273897" w:rsidRPr="002C6C15" w:rsidRDefault="00273897" w:rsidP="00273897">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吳秉叡  蘇巧慧</w:t>
      </w:r>
    </w:p>
    <w:p w:rsidR="00273897" w:rsidRPr="008C78CE" w:rsidRDefault="00273897" w:rsidP="00273897">
      <w:pPr>
        <w:snapToGrid w:val="0"/>
        <w:spacing w:line="480" w:lineRule="exact"/>
        <w:ind w:left="1920" w:rightChars="9" w:right="22" w:hangingChars="600" w:hanging="1920"/>
        <w:jc w:val="both"/>
        <w:rPr>
          <w:rFonts w:ascii="標楷體" w:eastAsia="標楷體" w:hAnsi="標楷體"/>
          <w:position w:val="2"/>
          <w:sz w:val="32"/>
          <w:szCs w:val="32"/>
        </w:rPr>
      </w:pPr>
      <w:r>
        <w:rPr>
          <w:rFonts w:ascii="標楷體" w:eastAsia="標楷體" w:hAnsi="標楷體" w:hint="eastAsia"/>
          <w:sz w:val="32"/>
          <w:szCs w:val="32"/>
        </w:rPr>
        <w:t xml:space="preserve">          </w:t>
      </w:r>
      <w:r>
        <w:rPr>
          <w:rFonts w:ascii="標楷體" w:eastAsia="標楷體" w:hAnsi="標楷體"/>
          <w:position w:val="2"/>
          <w:sz w:val="32"/>
          <w:szCs w:val="32"/>
        </w:rPr>
        <w:t>委員列</w:t>
      </w:r>
      <w:r>
        <w:rPr>
          <w:rFonts w:ascii="標楷體" w:eastAsia="標楷體" w:hAnsi="標楷體" w:hint="eastAsia"/>
          <w:position w:val="2"/>
          <w:sz w:val="32"/>
          <w:szCs w:val="32"/>
        </w:rPr>
        <w:t>席24</w:t>
      </w:r>
      <w:r w:rsidRPr="008C78CE">
        <w:rPr>
          <w:rFonts w:ascii="標楷體" w:eastAsia="標楷體" w:hAnsi="標楷體"/>
          <w:position w:val="2"/>
          <w:sz w:val="32"/>
          <w:szCs w:val="32"/>
        </w:rPr>
        <w:t>人</w:t>
      </w:r>
    </w:p>
    <w:p w:rsidR="00273897" w:rsidRDefault="00273897" w:rsidP="00273897">
      <w:pPr>
        <w:pStyle w:val="ac"/>
        <w:spacing w:line="500" w:lineRule="exact"/>
        <w:ind w:left="975" w:hanging="964"/>
        <w:contextualSpacing/>
        <w:rPr>
          <w:sz w:val="32"/>
          <w:szCs w:val="32"/>
        </w:rPr>
      </w:pPr>
      <w:r w:rsidRPr="00ED0FE7">
        <w:rPr>
          <w:sz w:val="32"/>
          <w:szCs w:val="32"/>
        </w:rPr>
        <w:t>列席人員</w:t>
      </w:r>
      <w:r w:rsidRPr="00ED0FE7">
        <w:rPr>
          <w:rFonts w:hint="eastAsia"/>
          <w:sz w:val="32"/>
          <w:szCs w:val="32"/>
        </w:rPr>
        <w:t>：</w:t>
      </w:r>
      <w:r>
        <w:rPr>
          <w:rFonts w:hint="eastAsia"/>
          <w:sz w:val="32"/>
          <w:szCs w:val="32"/>
        </w:rPr>
        <w:t>文化部部長                    李永得</w:t>
      </w:r>
      <w:r w:rsidRPr="00A279DC">
        <w:rPr>
          <w:rFonts w:hint="eastAsia"/>
          <w:sz w:val="32"/>
          <w:szCs w:val="32"/>
        </w:rPr>
        <w:t>率同有關人員</w:t>
      </w:r>
    </w:p>
    <w:p w:rsidR="00273897" w:rsidRDefault="00273897" w:rsidP="00273897">
      <w:pPr>
        <w:pStyle w:val="ac"/>
        <w:spacing w:line="500" w:lineRule="exact"/>
        <w:ind w:left="975" w:hanging="964"/>
        <w:contextualSpacing/>
        <w:rPr>
          <w:sz w:val="32"/>
          <w:szCs w:val="32"/>
        </w:rPr>
      </w:pPr>
      <w:r>
        <w:rPr>
          <w:rFonts w:hint="eastAsia"/>
          <w:sz w:val="32"/>
          <w:szCs w:val="32"/>
        </w:rPr>
        <w:t xml:space="preserve">          </w:t>
      </w:r>
      <w:r w:rsidRPr="00073B5C">
        <w:rPr>
          <w:rFonts w:hint="eastAsia"/>
          <w:sz w:val="32"/>
          <w:szCs w:val="32"/>
        </w:rPr>
        <w:t>財團法人公共電視文化事業基金會董事長</w:t>
      </w:r>
      <w:r>
        <w:rPr>
          <w:rFonts w:hint="eastAsia"/>
          <w:sz w:val="32"/>
          <w:szCs w:val="32"/>
        </w:rPr>
        <w:t xml:space="preserve">      </w:t>
      </w:r>
      <w:r w:rsidRPr="00073B5C">
        <w:rPr>
          <w:rFonts w:hint="eastAsia"/>
          <w:sz w:val="32"/>
          <w:szCs w:val="32"/>
        </w:rPr>
        <w:t>胡元輝</w:t>
      </w:r>
    </w:p>
    <w:p w:rsidR="00273897" w:rsidRDefault="00273897" w:rsidP="00273897">
      <w:pPr>
        <w:pStyle w:val="ac"/>
        <w:spacing w:line="500" w:lineRule="exact"/>
        <w:ind w:left="975" w:hanging="964"/>
        <w:contextualSpacing/>
        <w:rPr>
          <w:sz w:val="32"/>
          <w:szCs w:val="32"/>
        </w:rPr>
      </w:pPr>
      <w:r>
        <w:rPr>
          <w:rFonts w:hint="eastAsia"/>
          <w:sz w:val="32"/>
          <w:szCs w:val="32"/>
        </w:rPr>
        <w:t xml:space="preserve">          </w:t>
      </w:r>
      <w:r w:rsidRPr="00073B5C">
        <w:rPr>
          <w:rFonts w:hint="eastAsia"/>
          <w:sz w:val="32"/>
          <w:szCs w:val="32"/>
        </w:rPr>
        <w:t>國際影音平台(Taiwan</w:t>
      </w:r>
      <w:r>
        <w:rPr>
          <w:rFonts w:hint="eastAsia"/>
          <w:sz w:val="32"/>
          <w:szCs w:val="32"/>
        </w:rPr>
        <w:t xml:space="preserve"> Pl</w:t>
      </w:r>
      <w:r>
        <w:rPr>
          <w:sz w:val="32"/>
          <w:szCs w:val="32"/>
        </w:rPr>
        <w:t>us</w:t>
      </w:r>
      <w:r w:rsidRPr="00073B5C">
        <w:rPr>
          <w:rFonts w:hint="eastAsia"/>
          <w:sz w:val="32"/>
          <w:szCs w:val="32"/>
        </w:rPr>
        <w:t>)代理執行長</w:t>
      </w:r>
      <w:r>
        <w:rPr>
          <w:rFonts w:hint="eastAsia"/>
          <w:sz w:val="32"/>
          <w:szCs w:val="32"/>
        </w:rPr>
        <w:t xml:space="preserve">       </w:t>
      </w:r>
      <w:r w:rsidRPr="00073B5C">
        <w:rPr>
          <w:rFonts w:hint="eastAsia"/>
          <w:sz w:val="32"/>
          <w:szCs w:val="32"/>
        </w:rPr>
        <w:t>余佳璋</w:t>
      </w:r>
    </w:p>
    <w:p w:rsidR="00273897" w:rsidRDefault="00273897" w:rsidP="00273897">
      <w:pPr>
        <w:pStyle w:val="ac"/>
        <w:spacing w:line="500" w:lineRule="exact"/>
        <w:ind w:left="975" w:hanging="964"/>
        <w:contextualSpacing/>
        <w:rPr>
          <w:sz w:val="32"/>
          <w:szCs w:val="32"/>
        </w:rPr>
      </w:pPr>
      <w:r>
        <w:rPr>
          <w:rFonts w:hint="eastAsia"/>
          <w:sz w:val="32"/>
          <w:szCs w:val="32"/>
        </w:rPr>
        <w:t xml:space="preserve">          </w:t>
      </w:r>
      <w:r w:rsidRPr="00073B5C">
        <w:rPr>
          <w:rFonts w:hint="eastAsia"/>
          <w:sz w:val="32"/>
          <w:szCs w:val="32"/>
        </w:rPr>
        <w:t>中華電視公司總經理</w:t>
      </w:r>
      <w:r>
        <w:rPr>
          <w:rFonts w:hint="eastAsia"/>
          <w:sz w:val="32"/>
          <w:szCs w:val="32"/>
        </w:rPr>
        <w:t xml:space="preserve">                        </w:t>
      </w:r>
      <w:r w:rsidRPr="00073B5C">
        <w:rPr>
          <w:rFonts w:hint="eastAsia"/>
          <w:sz w:val="32"/>
          <w:szCs w:val="32"/>
        </w:rPr>
        <w:t>藍宜楨</w:t>
      </w:r>
      <w:r>
        <w:rPr>
          <w:rFonts w:hint="eastAsia"/>
          <w:sz w:val="32"/>
          <w:szCs w:val="32"/>
        </w:rPr>
        <w:t xml:space="preserve">          </w:t>
      </w:r>
    </w:p>
    <w:p w:rsidR="00273897" w:rsidRDefault="00273897" w:rsidP="00273897">
      <w:pPr>
        <w:pStyle w:val="ac"/>
        <w:spacing w:line="500" w:lineRule="exact"/>
        <w:ind w:left="975" w:hanging="964"/>
        <w:contextualSpacing/>
        <w:rPr>
          <w:sz w:val="32"/>
          <w:szCs w:val="32"/>
        </w:rPr>
      </w:pPr>
      <w:r>
        <w:rPr>
          <w:rFonts w:hint="eastAsia"/>
          <w:sz w:val="32"/>
          <w:szCs w:val="32"/>
        </w:rPr>
        <w:t xml:space="preserve">          </w:t>
      </w:r>
      <w:r w:rsidRPr="00073B5C">
        <w:rPr>
          <w:rFonts w:hint="eastAsia"/>
          <w:sz w:val="32"/>
          <w:szCs w:val="32"/>
        </w:rPr>
        <w:t>國家通訊傳播委員會</w:t>
      </w:r>
      <w:r>
        <w:rPr>
          <w:rFonts w:hint="eastAsia"/>
          <w:sz w:val="32"/>
          <w:szCs w:val="32"/>
        </w:rPr>
        <w:t>(10時30分後)</w:t>
      </w:r>
      <w:r w:rsidRPr="00073B5C">
        <w:rPr>
          <w:rFonts w:hint="eastAsia"/>
          <w:sz w:val="32"/>
          <w:szCs w:val="32"/>
        </w:rPr>
        <w:t>主任委員</w:t>
      </w:r>
      <w:r w:rsidRPr="00B11197">
        <w:rPr>
          <w:rFonts w:hint="eastAsia"/>
          <w:sz w:val="48"/>
          <w:szCs w:val="32"/>
        </w:rPr>
        <w:t xml:space="preserve"> </w:t>
      </w:r>
      <w:r>
        <w:rPr>
          <w:rFonts w:hint="eastAsia"/>
          <w:sz w:val="32"/>
          <w:szCs w:val="32"/>
        </w:rPr>
        <w:t xml:space="preserve"> </w:t>
      </w:r>
      <w:r w:rsidRPr="00073B5C">
        <w:rPr>
          <w:rFonts w:hint="eastAsia"/>
          <w:sz w:val="32"/>
          <w:szCs w:val="32"/>
        </w:rPr>
        <w:t>陳耀祥</w:t>
      </w:r>
    </w:p>
    <w:p w:rsidR="00273897" w:rsidRDefault="00273897" w:rsidP="00273897">
      <w:pPr>
        <w:pStyle w:val="ac"/>
        <w:spacing w:line="500" w:lineRule="exact"/>
        <w:ind w:left="975" w:hanging="964"/>
        <w:contextualSpacing/>
        <w:rPr>
          <w:spacing w:val="-2"/>
          <w:position w:val="2"/>
          <w:sz w:val="32"/>
          <w:szCs w:val="32"/>
        </w:rPr>
      </w:pPr>
      <w:r>
        <w:rPr>
          <w:rFonts w:hint="eastAsia"/>
          <w:sz w:val="32"/>
          <w:szCs w:val="32"/>
        </w:rPr>
        <w:t xml:space="preserve">          </w:t>
      </w:r>
      <w:r w:rsidRPr="0019102F">
        <w:rPr>
          <w:rFonts w:hint="eastAsia"/>
          <w:sz w:val="32"/>
          <w:szCs w:val="32"/>
        </w:rPr>
        <w:t>國家通訊傳播委員會(10時30分前)主任秘書</w:t>
      </w:r>
      <w:r w:rsidRPr="0019102F">
        <w:rPr>
          <w:rFonts w:hint="eastAsia"/>
          <w:sz w:val="44"/>
          <w:szCs w:val="32"/>
        </w:rPr>
        <w:t xml:space="preserve"> </w:t>
      </w:r>
      <w:r w:rsidRPr="0019102F">
        <w:rPr>
          <w:rFonts w:hint="eastAsia"/>
          <w:sz w:val="32"/>
          <w:szCs w:val="32"/>
        </w:rPr>
        <w:t xml:space="preserve"> 黃文哲</w:t>
      </w:r>
    </w:p>
    <w:p w:rsidR="00273897" w:rsidRPr="006C6684" w:rsidRDefault="00273897" w:rsidP="00273897">
      <w:pPr>
        <w:pStyle w:val="ac"/>
        <w:spacing w:line="500" w:lineRule="exact"/>
        <w:ind w:left="975" w:hanging="964"/>
        <w:contextualSpacing/>
        <w:rPr>
          <w:sz w:val="32"/>
          <w:szCs w:val="32"/>
        </w:rPr>
      </w:pPr>
      <w:r w:rsidRPr="00C2349A">
        <w:rPr>
          <w:sz w:val="32"/>
          <w:szCs w:val="32"/>
        </w:rPr>
        <w:t>主    席</w:t>
      </w:r>
      <w:r w:rsidRPr="00C2349A">
        <w:rPr>
          <w:rFonts w:hint="eastAsia"/>
          <w:sz w:val="32"/>
          <w:szCs w:val="32"/>
        </w:rPr>
        <w:t>：</w:t>
      </w:r>
      <w:r>
        <w:rPr>
          <w:rFonts w:hint="eastAsia"/>
          <w:sz w:val="32"/>
          <w:szCs w:val="32"/>
        </w:rPr>
        <w:t>鄭</w:t>
      </w:r>
      <w:r w:rsidRPr="00C2349A">
        <w:rPr>
          <w:sz w:val="32"/>
          <w:szCs w:val="32"/>
        </w:rPr>
        <w:t>召集委員</w:t>
      </w:r>
      <w:r>
        <w:rPr>
          <w:rFonts w:hint="eastAsia"/>
          <w:sz w:val="32"/>
          <w:szCs w:val="32"/>
        </w:rPr>
        <w:t>正鈐</w:t>
      </w:r>
    </w:p>
    <w:p w:rsidR="00273897" w:rsidRDefault="00273897" w:rsidP="00273897">
      <w:pPr>
        <w:snapToGrid w:val="0"/>
        <w:spacing w:line="500" w:lineRule="exact"/>
        <w:ind w:rightChars="9" w:right="22"/>
        <w:jc w:val="both"/>
        <w:rPr>
          <w:rFonts w:ascii="標楷體" w:eastAsia="標楷體" w:hAnsi="標楷體"/>
          <w:sz w:val="32"/>
          <w:szCs w:val="32"/>
        </w:rPr>
      </w:pPr>
      <w:r w:rsidRPr="00A279DC">
        <w:rPr>
          <w:rFonts w:ascii="標楷體" w:eastAsia="標楷體" w:hAnsi="標楷體" w:hint="eastAsia"/>
          <w:sz w:val="32"/>
          <w:szCs w:val="32"/>
        </w:rPr>
        <w:t>主任秘書：陳錫欽</w:t>
      </w:r>
    </w:p>
    <w:p w:rsidR="00273897" w:rsidRPr="008C78CE" w:rsidRDefault="00273897" w:rsidP="00273897">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朱蔚菁</w:t>
      </w:r>
    </w:p>
    <w:p w:rsidR="00273897" w:rsidRDefault="00273897" w:rsidP="00273897">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林素惠  簡任編審  蔡月秋  科長  蔡國治</w:t>
      </w:r>
    </w:p>
    <w:p w:rsidR="00273897" w:rsidRPr="00121576" w:rsidRDefault="00273897" w:rsidP="00273897">
      <w:pPr>
        <w:snapToGrid w:val="0"/>
        <w:spacing w:line="50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273897" w:rsidRDefault="00273897" w:rsidP="00273897">
      <w:pPr>
        <w:pStyle w:val="ac"/>
        <w:spacing w:line="460" w:lineRule="exact"/>
        <w:ind w:left="980" w:hanging="966"/>
        <w:contextualSpacing/>
        <w:rPr>
          <w:b/>
          <w:sz w:val="32"/>
          <w:szCs w:val="32"/>
        </w:rPr>
      </w:pPr>
      <w:r w:rsidRPr="0084281E">
        <w:rPr>
          <w:rFonts w:hint="eastAsia"/>
          <w:b/>
          <w:sz w:val="32"/>
          <w:szCs w:val="32"/>
        </w:rPr>
        <w:t>報  告  事  項</w:t>
      </w:r>
    </w:p>
    <w:p w:rsidR="00273897" w:rsidRPr="009B6966" w:rsidRDefault="00273897" w:rsidP="006934DD">
      <w:pPr>
        <w:pStyle w:val="a4"/>
        <w:numPr>
          <w:ilvl w:val="0"/>
          <w:numId w:val="29"/>
        </w:numPr>
        <w:snapToGrid w:val="0"/>
        <w:spacing w:line="500" w:lineRule="exact"/>
        <w:ind w:leftChars="0"/>
        <w:contextualSpacing/>
        <w:jc w:val="both"/>
        <w:rPr>
          <w:rFonts w:ascii="標楷體" w:eastAsia="標楷體"/>
          <w:b/>
          <w:sz w:val="32"/>
          <w:szCs w:val="32"/>
        </w:rPr>
      </w:pPr>
      <w:r w:rsidRPr="009B6966">
        <w:rPr>
          <w:rFonts w:ascii="標楷體" w:eastAsia="標楷體" w:hint="eastAsia"/>
          <w:b/>
          <w:sz w:val="32"/>
          <w:szCs w:val="32"/>
        </w:rPr>
        <w:t>宣讀上次會議議事錄。</w:t>
      </w:r>
    </w:p>
    <w:p w:rsidR="00273897" w:rsidRPr="009B6966" w:rsidRDefault="00273897" w:rsidP="00273897">
      <w:pPr>
        <w:snapToGrid w:val="0"/>
        <w:spacing w:line="500" w:lineRule="exact"/>
        <w:contextualSpacing/>
        <w:jc w:val="both"/>
        <w:rPr>
          <w:rFonts w:ascii="標楷體" w:eastAsia="標楷體" w:hAnsi="標楷體"/>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273897" w:rsidRPr="00B11197" w:rsidRDefault="00273897" w:rsidP="006934DD">
      <w:pPr>
        <w:numPr>
          <w:ilvl w:val="0"/>
          <w:numId w:val="29"/>
        </w:numPr>
        <w:snapToGrid w:val="0"/>
        <w:spacing w:before="120" w:line="460" w:lineRule="exact"/>
        <w:jc w:val="both"/>
        <w:rPr>
          <w:rFonts w:ascii="標楷體" w:eastAsia="標楷體"/>
          <w:b/>
          <w:sz w:val="32"/>
          <w:szCs w:val="32"/>
        </w:rPr>
      </w:pPr>
      <w:r w:rsidRPr="00B11197">
        <w:rPr>
          <w:rFonts w:ascii="標楷體" w:eastAsia="標楷體" w:hint="eastAsia"/>
          <w:b/>
          <w:sz w:val="32"/>
          <w:szCs w:val="32"/>
        </w:rPr>
        <w:t>本院財政委員會中華民國111年10月5日台立財字第</w:t>
      </w:r>
      <w:r w:rsidRPr="00B11197">
        <w:rPr>
          <w:rFonts w:ascii="標楷體" w:eastAsia="標楷體" w:hint="eastAsia"/>
          <w:b/>
          <w:sz w:val="32"/>
          <w:szCs w:val="32"/>
        </w:rPr>
        <w:lastRenderedPageBreak/>
        <w:t>1112101866號函，有關中華民國112年度中央政府總預算案（含附屬單位預算及綜計表—營業及非營業部分），請依照審查日程及審查分配表進行審查，並依限擬具審查報告函送該會，俾彙整審查總報告提報院會。</w:t>
      </w:r>
    </w:p>
    <w:p w:rsidR="00273897" w:rsidRPr="00B11197" w:rsidRDefault="00273897" w:rsidP="006934DD">
      <w:pPr>
        <w:numPr>
          <w:ilvl w:val="0"/>
          <w:numId w:val="29"/>
        </w:numPr>
        <w:snapToGrid w:val="0"/>
        <w:spacing w:before="120" w:line="460" w:lineRule="exact"/>
        <w:jc w:val="both"/>
        <w:rPr>
          <w:rFonts w:ascii="標楷體" w:eastAsia="標楷體"/>
          <w:b/>
          <w:sz w:val="32"/>
          <w:szCs w:val="32"/>
        </w:rPr>
      </w:pPr>
      <w:r w:rsidRPr="00B11197">
        <w:rPr>
          <w:rFonts w:ascii="標楷體" w:eastAsia="標楷體" w:hint="eastAsia"/>
          <w:b/>
          <w:sz w:val="32"/>
          <w:szCs w:val="32"/>
        </w:rPr>
        <w:t>文化部部長李永得、財團法人公共電視文化事業基金會、中華電視公司列席就「近年委辦台語台節目招標問題和檢討」進行專題報告，並備質詢。</w:t>
      </w:r>
    </w:p>
    <w:p w:rsidR="00273897" w:rsidRDefault="00273897" w:rsidP="006934DD">
      <w:pPr>
        <w:numPr>
          <w:ilvl w:val="0"/>
          <w:numId w:val="29"/>
        </w:numPr>
        <w:snapToGrid w:val="0"/>
        <w:spacing w:before="120" w:line="460" w:lineRule="exact"/>
        <w:jc w:val="both"/>
        <w:rPr>
          <w:rFonts w:ascii="標楷體" w:eastAsia="標楷體"/>
          <w:b/>
          <w:sz w:val="32"/>
          <w:szCs w:val="32"/>
        </w:rPr>
      </w:pPr>
      <w:r w:rsidRPr="00B11197">
        <w:rPr>
          <w:rFonts w:ascii="標楷體" w:eastAsia="標楷體" w:hint="eastAsia"/>
          <w:b/>
          <w:sz w:val="32"/>
          <w:szCs w:val="32"/>
        </w:rPr>
        <w:t>文化部部長李永得、財團法人公共電視文化事業基金會列席就「國際影音串流平台TaiwanPlus 經營績效與未來規劃」進行專題報告，並備質詢。</w:t>
      </w:r>
    </w:p>
    <w:p w:rsidR="00273897" w:rsidRPr="00B11197" w:rsidRDefault="00273897" w:rsidP="006934DD">
      <w:pPr>
        <w:numPr>
          <w:ilvl w:val="0"/>
          <w:numId w:val="29"/>
        </w:numPr>
        <w:snapToGrid w:val="0"/>
        <w:spacing w:before="120" w:line="460" w:lineRule="exact"/>
        <w:jc w:val="both"/>
        <w:rPr>
          <w:rFonts w:ascii="標楷體" w:eastAsia="標楷體"/>
          <w:b/>
          <w:sz w:val="32"/>
          <w:szCs w:val="32"/>
        </w:rPr>
      </w:pPr>
      <w:r w:rsidRPr="00B11197">
        <w:rPr>
          <w:rFonts w:ascii="標楷體" w:eastAsia="標楷體" w:hint="eastAsia"/>
          <w:b/>
          <w:sz w:val="32"/>
          <w:szCs w:val="32"/>
        </w:rPr>
        <w:t>國家通訊傳播委員會主任委員陳耀祥、中華電視公司列席就「中華電視公司入主有線電視52台頻道經營績效」進行專題報告，並備質詢。</w:t>
      </w:r>
    </w:p>
    <w:p w:rsidR="00273897" w:rsidRPr="00B11197" w:rsidRDefault="00273897" w:rsidP="00273897">
      <w:pPr>
        <w:snapToGrid w:val="0"/>
        <w:spacing w:before="120" w:line="460" w:lineRule="exact"/>
        <w:jc w:val="both"/>
        <w:rPr>
          <w:rFonts w:ascii="標楷體" w:eastAsia="標楷體"/>
          <w:b/>
          <w:sz w:val="32"/>
          <w:szCs w:val="32"/>
        </w:rPr>
      </w:pPr>
      <w:r w:rsidRPr="00B11197">
        <w:rPr>
          <w:rFonts w:ascii="標楷體" w:eastAsia="標楷體" w:hAnsi="標楷體"/>
          <w:sz w:val="32"/>
          <w:szCs w:val="32"/>
        </w:rPr>
        <w:t>（本</w:t>
      </w:r>
      <w:r w:rsidRPr="00B11197">
        <w:rPr>
          <w:rFonts w:ascii="標楷體" w:eastAsia="標楷體" w:hAnsi="標楷體" w:hint="eastAsia"/>
          <w:sz w:val="32"/>
          <w:szCs w:val="32"/>
        </w:rPr>
        <w:t>次</w:t>
      </w:r>
      <w:r w:rsidRPr="00B11197">
        <w:rPr>
          <w:rFonts w:ascii="標楷體" w:eastAsia="標楷體" w:hAnsi="標楷體"/>
          <w:sz w:val="32"/>
          <w:szCs w:val="32"/>
        </w:rPr>
        <w:t>議程</w:t>
      </w:r>
      <w:r>
        <w:rPr>
          <w:rFonts w:ascii="標楷體" w:eastAsia="標楷體" w:hAnsi="標楷體" w:hint="eastAsia"/>
          <w:sz w:val="32"/>
          <w:szCs w:val="32"/>
        </w:rPr>
        <w:t>採綜合詢答，</w:t>
      </w:r>
      <w:r w:rsidRPr="00B11197">
        <w:rPr>
          <w:rFonts w:ascii="標楷體" w:eastAsia="標楷體" w:hAnsi="標楷體" w:hint="eastAsia"/>
          <w:sz w:val="32"/>
          <w:szCs w:val="32"/>
        </w:rPr>
        <w:t>有委員萬美玲</w:t>
      </w:r>
      <w:r>
        <w:rPr>
          <w:rFonts w:ascii="標楷體" w:eastAsia="標楷體" w:hAnsi="標楷體" w:hint="eastAsia"/>
          <w:sz w:val="32"/>
          <w:szCs w:val="32"/>
        </w:rPr>
        <w:t>、</w:t>
      </w:r>
      <w:r w:rsidRPr="00B11197">
        <w:rPr>
          <w:rFonts w:ascii="標楷體" w:eastAsia="標楷體" w:hAnsi="標楷體" w:hint="eastAsia"/>
          <w:sz w:val="32"/>
          <w:szCs w:val="32"/>
        </w:rPr>
        <w:t>林奕華</w:t>
      </w:r>
      <w:r>
        <w:rPr>
          <w:rFonts w:ascii="標楷體" w:eastAsia="標楷體" w:hAnsi="標楷體" w:hint="eastAsia"/>
          <w:sz w:val="32"/>
          <w:szCs w:val="32"/>
        </w:rPr>
        <w:t>、</w:t>
      </w:r>
      <w:r w:rsidRPr="00B11197">
        <w:rPr>
          <w:rFonts w:ascii="標楷體" w:eastAsia="標楷體" w:hAnsi="標楷體" w:hint="eastAsia"/>
          <w:sz w:val="32"/>
          <w:szCs w:val="32"/>
        </w:rPr>
        <w:t>鄭正鈐</w:t>
      </w:r>
      <w:r>
        <w:rPr>
          <w:rFonts w:ascii="標楷體" w:eastAsia="標楷體" w:hAnsi="標楷體" w:hint="eastAsia"/>
          <w:sz w:val="32"/>
          <w:szCs w:val="32"/>
        </w:rPr>
        <w:t>、</w:t>
      </w:r>
      <w:r w:rsidRPr="00B11197">
        <w:rPr>
          <w:rFonts w:ascii="標楷體" w:eastAsia="標楷體" w:hAnsi="標楷體" w:hint="eastAsia"/>
          <w:sz w:val="32"/>
          <w:szCs w:val="32"/>
        </w:rPr>
        <w:t>張廖萬堅</w:t>
      </w:r>
      <w:r>
        <w:rPr>
          <w:rFonts w:ascii="標楷體" w:eastAsia="標楷體" w:hAnsi="標楷體" w:hint="eastAsia"/>
          <w:sz w:val="32"/>
          <w:szCs w:val="32"/>
        </w:rPr>
        <w:t>、</w:t>
      </w:r>
      <w:r w:rsidRPr="00B11197">
        <w:rPr>
          <w:rFonts w:ascii="標楷體" w:eastAsia="標楷體" w:hAnsi="標楷體" w:hint="eastAsia"/>
          <w:sz w:val="32"/>
          <w:szCs w:val="32"/>
        </w:rPr>
        <w:t>黃國書</w:t>
      </w:r>
      <w:r>
        <w:rPr>
          <w:rFonts w:ascii="標楷體" w:eastAsia="標楷體" w:hAnsi="標楷體" w:hint="eastAsia"/>
          <w:sz w:val="32"/>
          <w:szCs w:val="32"/>
        </w:rPr>
        <w:t>、</w:t>
      </w:r>
      <w:r w:rsidRPr="00B11197">
        <w:rPr>
          <w:rFonts w:ascii="標楷體" w:eastAsia="標楷體" w:hAnsi="標楷體" w:hint="eastAsia"/>
          <w:sz w:val="32"/>
          <w:szCs w:val="32"/>
        </w:rPr>
        <w:t>賴品妤</w:t>
      </w:r>
      <w:r>
        <w:rPr>
          <w:rFonts w:ascii="標楷體" w:eastAsia="標楷體" w:hAnsi="標楷體" w:hint="eastAsia"/>
          <w:sz w:val="32"/>
          <w:szCs w:val="32"/>
        </w:rPr>
        <w:t>、</w:t>
      </w:r>
      <w:r w:rsidRPr="00B11197">
        <w:rPr>
          <w:rFonts w:ascii="標楷體" w:eastAsia="標楷體" w:hAnsi="標楷體" w:hint="eastAsia"/>
          <w:sz w:val="32"/>
          <w:szCs w:val="32"/>
        </w:rPr>
        <w:t>陳秀寳</w:t>
      </w:r>
      <w:r>
        <w:rPr>
          <w:rFonts w:ascii="標楷體" w:eastAsia="標楷體" w:hAnsi="標楷體" w:hint="eastAsia"/>
          <w:sz w:val="32"/>
          <w:szCs w:val="32"/>
        </w:rPr>
        <w:t>、</w:t>
      </w:r>
      <w:r w:rsidRPr="00B11197">
        <w:rPr>
          <w:rFonts w:ascii="標楷體" w:eastAsia="標楷體" w:hAnsi="標楷體" w:hint="eastAsia"/>
          <w:sz w:val="32"/>
          <w:szCs w:val="32"/>
        </w:rPr>
        <w:t>王婉諭</w:t>
      </w:r>
      <w:r>
        <w:rPr>
          <w:rFonts w:ascii="標楷體" w:eastAsia="標楷體" w:hAnsi="標楷體" w:hint="eastAsia"/>
          <w:sz w:val="32"/>
          <w:szCs w:val="32"/>
        </w:rPr>
        <w:t>、</w:t>
      </w:r>
      <w:r w:rsidRPr="00B11197">
        <w:rPr>
          <w:rFonts w:ascii="標楷體" w:eastAsia="標楷體" w:hAnsi="標楷體" w:hint="eastAsia"/>
          <w:sz w:val="32"/>
          <w:szCs w:val="32"/>
        </w:rPr>
        <w:t>林宜瑾</w:t>
      </w:r>
      <w:r>
        <w:rPr>
          <w:rFonts w:ascii="標楷體" w:eastAsia="標楷體" w:hAnsi="標楷體" w:hint="eastAsia"/>
          <w:sz w:val="32"/>
          <w:szCs w:val="32"/>
        </w:rPr>
        <w:t>、</w:t>
      </w:r>
      <w:r w:rsidRPr="00B11197">
        <w:rPr>
          <w:rFonts w:ascii="標楷體" w:eastAsia="標楷體" w:hAnsi="標楷體" w:hint="eastAsia"/>
          <w:sz w:val="32"/>
          <w:szCs w:val="32"/>
        </w:rPr>
        <w:t>吳怡玎</w:t>
      </w:r>
      <w:r>
        <w:rPr>
          <w:rFonts w:ascii="標楷體" w:eastAsia="標楷體" w:hAnsi="標楷體" w:hint="eastAsia"/>
          <w:sz w:val="32"/>
          <w:szCs w:val="32"/>
        </w:rPr>
        <w:t>、</w:t>
      </w:r>
      <w:r w:rsidRPr="00B11197">
        <w:rPr>
          <w:rFonts w:ascii="標楷體" w:eastAsia="標楷體" w:hAnsi="標楷體" w:hint="eastAsia"/>
          <w:sz w:val="32"/>
          <w:szCs w:val="32"/>
        </w:rPr>
        <w:t>吳思瑤</w:t>
      </w:r>
      <w:r>
        <w:rPr>
          <w:rFonts w:ascii="標楷體" w:eastAsia="標楷體" w:hAnsi="標楷體" w:hint="eastAsia"/>
          <w:sz w:val="32"/>
          <w:szCs w:val="32"/>
        </w:rPr>
        <w:t>、</w:t>
      </w:r>
      <w:r w:rsidRPr="00B11197">
        <w:rPr>
          <w:rFonts w:ascii="標楷體" w:eastAsia="標楷體" w:hAnsi="標楷體" w:hint="eastAsia"/>
          <w:sz w:val="32"/>
          <w:szCs w:val="32"/>
        </w:rPr>
        <w:t>范雲</w:t>
      </w:r>
      <w:r>
        <w:rPr>
          <w:rFonts w:ascii="標楷體" w:eastAsia="標楷體" w:hAnsi="標楷體" w:hint="eastAsia"/>
          <w:sz w:val="32"/>
          <w:szCs w:val="32"/>
        </w:rPr>
        <w:t>、</w:t>
      </w:r>
      <w:r w:rsidRPr="006829A5">
        <w:rPr>
          <w:rFonts w:ascii="標楷體" w:eastAsia="標楷體" w:hAnsi="標楷體" w:hint="eastAsia"/>
          <w:sz w:val="32"/>
          <w:szCs w:val="32"/>
        </w:rPr>
        <w:t>陳椒華</w:t>
      </w:r>
      <w:r>
        <w:rPr>
          <w:rFonts w:ascii="標楷體" w:eastAsia="標楷體" w:hAnsi="標楷體" w:hint="eastAsia"/>
          <w:sz w:val="32"/>
          <w:szCs w:val="32"/>
        </w:rPr>
        <w:t>、</w:t>
      </w:r>
      <w:r w:rsidRPr="006829A5">
        <w:rPr>
          <w:rFonts w:ascii="標楷體" w:eastAsia="標楷體" w:hAnsi="標楷體" w:hint="eastAsia"/>
          <w:sz w:val="32"/>
          <w:szCs w:val="32"/>
        </w:rPr>
        <w:t>江啟臣</w:t>
      </w:r>
      <w:r>
        <w:rPr>
          <w:rFonts w:ascii="標楷體" w:eastAsia="標楷體" w:hAnsi="標楷體" w:hint="eastAsia"/>
          <w:sz w:val="32"/>
          <w:szCs w:val="32"/>
        </w:rPr>
        <w:t>、</w:t>
      </w:r>
      <w:r w:rsidRPr="00D11FCD">
        <w:rPr>
          <w:rFonts w:ascii="標楷體" w:eastAsia="標楷體" w:hAnsi="標楷體" w:hint="eastAsia"/>
          <w:sz w:val="32"/>
          <w:szCs w:val="32"/>
        </w:rPr>
        <w:t>李貴敏</w:t>
      </w:r>
      <w:r>
        <w:rPr>
          <w:rFonts w:ascii="標楷體" w:eastAsia="標楷體" w:hAnsi="標楷體" w:hint="eastAsia"/>
          <w:sz w:val="32"/>
          <w:szCs w:val="32"/>
        </w:rPr>
        <w:t>、</w:t>
      </w:r>
      <w:r w:rsidRPr="00D11FCD">
        <w:rPr>
          <w:rFonts w:ascii="標楷體" w:eastAsia="標楷體" w:hAnsi="標楷體" w:hint="eastAsia"/>
          <w:sz w:val="32"/>
          <w:szCs w:val="32"/>
        </w:rPr>
        <w:t>邱顯智</w:t>
      </w:r>
      <w:r>
        <w:rPr>
          <w:rFonts w:ascii="標楷體" w:eastAsia="標楷體" w:hAnsi="標楷體" w:hint="eastAsia"/>
          <w:sz w:val="32"/>
          <w:szCs w:val="32"/>
        </w:rPr>
        <w:t>、</w:t>
      </w:r>
      <w:r w:rsidRPr="00734A17">
        <w:rPr>
          <w:rFonts w:ascii="標楷體" w:eastAsia="標楷體" w:hAnsi="標楷體" w:hint="eastAsia"/>
          <w:sz w:val="32"/>
          <w:szCs w:val="32"/>
        </w:rPr>
        <w:t>洪孟楷</w:t>
      </w:r>
      <w:r>
        <w:rPr>
          <w:rFonts w:ascii="標楷體" w:eastAsia="標楷體" w:hAnsi="標楷體" w:hint="eastAsia"/>
          <w:sz w:val="32"/>
          <w:szCs w:val="32"/>
        </w:rPr>
        <w:t>、</w:t>
      </w:r>
      <w:r w:rsidRPr="0069553C">
        <w:rPr>
          <w:rFonts w:ascii="標楷體" w:eastAsia="標楷體" w:hAnsi="標楷體" w:hint="eastAsia"/>
          <w:sz w:val="32"/>
          <w:szCs w:val="32"/>
        </w:rPr>
        <w:t>游毓蘭</w:t>
      </w:r>
      <w:r>
        <w:rPr>
          <w:rFonts w:ascii="標楷體" w:eastAsia="標楷體" w:hAnsi="標楷體" w:hint="eastAsia"/>
          <w:sz w:val="32"/>
          <w:szCs w:val="32"/>
        </w:rPr>
        <w:t>、</w:t>
      </w:r>
      <w:r w:rsidRPr="0069553C">
        <w:rPr>
          <w:rFonts w:ascii="標楷體" w:eastAsia="標楷體" w:hAnsi="標楷體" w:hint="eastAsia"/>
          <w:sz w:val="32"/>
          <w:szCs w:val="32"/>
        </w:rPr>
        <w:t>李德維</w:t>
      </w:r>
      <w:r w:rsidRPr="00B11197">
        <w:rPr>
          <w:rFonts w:ascii="標楷體" w:eastAsia="標楷體" w:hAnsi="標楷體" w:hint="eastAsia"/>
          <w:sz w:val="32"/>
          <w:szCs w:val="32"/>
        </w:rPr>
        <w:t>等</w:t>
      </w:r>
      <w:r>
        <w:rPr>
          <w:rFonts w:ascii="標楷體" w:eastAsia="標楷體" w:hAnsi="標楷體" w:hint="eastAsia"/>
          <w:sz w:val="32"/>
          <w:szCs w:val="32"/>
        </w:rPr>
        <w:t>19</w:t>
      </w:r>
      <w:r w:rsidRPr="00B11197">
        <w:rPr>
          <w:rFonts w:ascii="標楷體" w:eastAsia="標楷體" w:hAnsi="標楷體"/>
          <w:sz w:val="32"/>
          <w:szCs w:val="32"/>
        </w:rPr>
        <w:t>人提出質詢，均經</w:t>
      </w:r>
      <w:r w:rsidRPr="00B11197">
        <w:rPr>
          <w:rFonts w:ascii="標楷體" w:eastAsia="標楷體" w:hAnsi="標楷體" w:hint="eastAsia"/>
          <w:sz w:val="32"/>
          <w:szCs w:val="32"/>
        </w:rPr>
        <w:t>文化部</w:t>
      </w:r>
      <w:r>
        <w:rPr>
          <w:rFonts w:ascii="標楷體" w:eastAsia="標楷體" w:hAnsi="標楷體" w:hint="eastAsia"/>
          <w:sz w:val="32"/>
          <w:szCs w:val="32"/>
        </w:rPr>
        <w:t>部</w:t>
      </w:r>
      <w:r w:rsidRPr="00B11197">
        <w:rPr>
          <w:rFonts w:ascii="標楷體" w:eastAsia="標楷體" w:hAnsi="標楷體" w:hint="eastAsia"/>
          <w:sz w:val="32"/>
          <w:szCs w:val="32"/>
        </w:rPr>
        <w:t>長</w:t>
      </w:r>
      <w:r>
        <w:rPr>
          <w:rFonts w:ascii="標楷體" w:eastAsia="標楷體" w:hAnsi="標楷體" w:hint="eastAsia"/>
          <w:sz w:val="32"/>
          <w:szCs w:val="32"/>
        </w:rPr>
        <w:t>李永得</w:t>
      </w:r>
      <w:r w:rsidRPr="00B11197">
        <w:rPr>
          <w:rFonts w:ascii="標楷體" w:eastAsia="標楷體" w:hAnsi="標楷體" w:hint="eastAsia"/>
          <w:sz w:val="32"/>
          <w:szCs w:val="32"/>
        </w:rPr>
        <w:t>、</w:t>
      </w:r>
      <w:r w:rsidRPr="00857091">
        <w:rPr>
          <w:rFonts w:ascii="標楷體" w:eastAsia="標楷體" w:hAnsi="標楷體" w:hint="eastAsia"/>
          <w:sz w:val="32"/>
          <w:szCs w:val="32"/>
        </w:rPr>
        <w:t>財團法人公共電視文化事業基金會董事長胡元輝</w:t>
      </w:r>
      <w:r>
        <w:rPr>
          <w:rFonts w:ascii="標楷體" w:eastAsia="標楷體" w:hAnsi="標楷體" w:hint="eastAsia"/>
          <w:sz w:val="32"/>
          <w:szCs w:val="32"/>
        </w:rPr>
        <w:t>、</w:t>
      </w:r>
      <w:r w:rsidRPr="00857091">
        <w:rPr>
          <w:rFonts w:ascii="標楷體" w:eastAsia="標楷體" w:hAnsi="標楷體" w:hint="eastAsia"/>
          <w:sz w:val="32"/>
          <w:szCs w:val="32"/>
        </w:rPr>
        <w:t>國家通訊傳播委員會主任委員陳耀祥</w:t>
      </w:r>
      <w:r w:rsidRPr="00B11197">
        <w:rPr>
          <w:rFonts w:ascii="標楷體" w:eastAsia="標楷體" w:hAnsi="標楷體"/>
          <w:sz w:val="32"/>
          <w:szCs w:val="32"/>
        </w:rPr>
        <w:t>及相關人員即席答</w:t>
      </w:r>
      <w:r w:rsidRPr="00B11197">
        <w:rPr>
          <w:rFonts w:ascii="標楷體" w:eastAsia="標楷體" w:hAnsi="標楷體" w:hint="eastAsia"/>
          <w:sz w:val="32"/>
          <w:szCs w:val="32"/>
        </w:rPr>
        <w:t>復</w:t>
      </w:r>
      <w:r w:rsidRPr="00B11197">
        <w:rPr>
          <w:rFonts w:ascii="標楷體" w:eastAsia="標楷體" w:hAnsi="標楷體"/>
          <w:sz w:val="32"/>
          <w:szCs w:val="32"/>
        </w:rPr>
        <w:t>說明</w:t>
      </w:r>
      <w:r>
        <w:rPr>
          <w:rFonts w:ascii="標楷體" w:eastAsia="標楷體" w:hAnsi="標楷體" w:hint="eastAsia"/>
          <w:sz w:val="32"/>
          <w:szCs w:val="32"/>
        </w:rPr>
        <w:t>。另有委員王美惠、楊瓊瓔、何欣純、邱臣遠提出書面質詢</w:t>
      </w:r>
      <w:r w:rsidRPr="00B11197">
        <w:rPr>
          <w:rFonts w:ascii="標楷體" w:eastAsia="標楷體" w:hAnsi="標楷體"/>
          <w:sz w:val="32"/>
          <w:szCs w:val="32"/>
        </w:rPr>
        <w:t>。）</w:t>
      </w:r>
    </w:p>
    <w:p w:rsidR="00273897" w:rsidRPr="0000524E" w:rsidRDefault="00273897" w:rsidP="00273897">
      <w:pPr>
        <w:snapToGrid w:val="0"/>
        <w:spacing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273897" w:rsidRPr="0000524E" w:rsidRDefault="00273897" w:rsidP="00273897">
      <w:pPr>
        <w:snapToGrid w:val="0"/>
        <w:spacing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73897" w:rsidRPr="0000524E" w:rsidRDefault="00273897" w:rsidP="00273897">
      <w:pPr>
        <w:snapToGrid w:val="0"/>
        <w:spacing w:line="500" w:lineRule="exact"/>
        <w:ind w:left="640" w:hangingChars="200" w:hanging="640"/>
        <w:contextualSpacing/>
        <w:rPr>
          <w:rFonts w:ascii="標楷體" w:eastAsia="標楷體" w:hAnsi="標楷體"/>
          <w:bCs/>
          <w:sz w:val="32"/>
          <w:szCs w:val="32"/>
        </w:rPr>
      </w:pP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273897" w:rsidRDefault="00273897" w:rsidP="00611CFD">
      <w:pPr>
        <w:snapToGrid w:val="0"/>
        <w:spacing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273897" w:rsidRDefault="00273897" w:rsidP="00273897">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273897" w:rsidRDefault="00273897">
      <w:pPr>
        <w:widowControl/>
        <w:rPr>
          <w:rFonts w:ascii="標楷體" w:eastAsia="標楷體" w:hAnsi="標楷體"/>
          <w:b/>
          <w:bCs/>
          <w:color w:val="000000" w:themeColor="text1"/>
          <w:spacing w:val="-12"/>
          <w:sz w:val="32"/>
          <w:szCs w:val="32"/>
        </w:rPr>
      </w:pPr>
      <w:r>
        <w:rPr>
          <w:color w:val="000000" w:themeColor="text1"/>
        </w:rPr>
        <w:br w:type="page"/>
      </w:r>
    </w:p>
    <w:p w:rsidR="00273897" w:rsidRPr="00D92739" w:rsidRDefault="00273897" w:rsidP="00273897">
      <w:pPr>
        <w:pStyle w:val="01-45"/>
        <w:rPr>
          <w:position w:val="2"/>
        </w:rPr>
      </w:pPr>
      <w:bookmarkStart w:id="160" w:name="_Toc126068177"/>
      <w:r w:rsidRPr="00D92739">
        <w:rPr>
          <w:rFonts w:hint="eastAsia"/>
        </w:rPr>
        <w:lastRenderedPageBreak/>
        <w:t>立法院第</w:t>
      </w:r>
      <w:r>
        <w:rPr>
          <w:rFonts w:hint="eastAsia"/>
        </w:rPr>
        <w:t>10</w:t>
      </w:r>
      <w:r w:rsidRPr="00D92739">
        <w:rPr>
          <w:rFonts w:hint="eastAsia"/>
        </w:rPr>
        <w:t>屆第</w:t>
      </w:r>
      <w:r>
        <w:t>6</w:t>
      </w:r>
      <w:r w:rsidRPr="00D92739">
        <w:rPr>
          <w:rFonts w:hint="eastAsia"/>
        </w:rPr>
        <w:t>會期教育及文化委員會第</w:t>
      </w:r>
      <w:r>
        <w:rPr>
          <w:rFonts w:hint="eastAsia"/>
        </w:rPr>
        <w:t>4</w:t>
      </w:r>
      <w:r w:rsidRPr="00D92739">
        <w:rPr>
          <w:rFonts w:hint="eastAsia"/>
        </w:rPr>
        <w:t>次全體委員會議議事錄</w:t>
      </w:r>
      <w:bookmarkEnd w:id="160"/>
    </w:p>
    <w:p w:rsidR="00273897" w:rsidRDefault="00273897" w:rsidP="00273897">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611CFD">
        <w:rPr>
          <w:rFonts w:ascii="標楷體" w:eastAsia="標楷體" w:hAnsi="標楷體"/>
          <w:kern w:val="0"/>
          <w:sz w:val="32"/>
          <w:szCs w:val="32"/>
          <w:fitText w:val="1600" w:id="-1323553536"/>
        </w:rPr>
        <w:t>時    間：</w:t>
      </w:r>
      <w:r w:rsidRPr="00214CF8">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11</w:t>
      </w:r>
      <w:r w:rsidRPr="00214CF8">
        <w:rPr>
          <w:rFonts w:ascii="標楷體" w:eastAsia="標楷體" w:hAnsi="標楷體" w:hint="eastAsia"/>
          <w:spacing w:val="-32"/>
          <w:kern w:val="0"/>
          <w:sz w:val="32"/>
          <w:szCs w:val="32"/>
        </w:rPr>
        <w:t>年</w:t>
      </w:r>
      <w:r>
        <w:rPr>
          <w:rFonts w:ascii="標楷體" w:eastAsia="標楷體" w:hAnsi="標楷體"/>
          <w:spacing w:val="-32"/>
          <w:kern w:val="0"/>
          <w:sz w:val="32"/>
          <w:szCs w:val="32"/>
        </w:rPr>
        <w:t>10</w:t>
      </w:r>
      <w:r w:rsidRPr="00214CF8">
        <w:rPr>
          <w:rFonts w:ascii="標楷體" w:eastAsia="標楷體" w:hAnsi="標楷體" w:hint="eastAsia"/>
          <w:spacing w:val="-32"/>
          <w:kern w:val="0"/>
          <w:sz w:val="32"/>
          <w:szCs w:val="32"/>
        </w:rPr>
        <w:t>月</w:t>
      </w:r>
      <w:r>
        <w:rPr>
          <w:rFonts w:ascii="標楷體" w:eastAsia="標楷體" w:hAnsi="標楷體"/>
          <w:spacing w:val="-32"/>
          <w:kern w:val="0"/>
          <w:sz w:val="32"/>
          <w:szCs w:val="32"/>
        </w:rPr>
        <w:t>19</w:t>
      </w:r>
      <w:r>
        <w:rPr>
          <w:rFonts w:ascii="標楷體" w:eastAsia="標楷體" w:hAnsi="標楷體" w:hint="eastAsia"/>
          <w:spacing w:val="-32"/>
          <w:kern w:val="0"/>
          <w:sz w:val="32"/>
          <w:szCs w:val="32"/>
        </w:rPr>
        <w:t>日（星期三</w:t>
      </w:r>
      <w:r w:rsidRPr="00214CF8">
        <w:rPr>
          <w:rFonts w:ascii="標楷體" w:eastAsia="標楷體" w:hAnsi="標楷體" w:hint="eastAsia"/>
          <w:spacing w:val="-32"/>
          <w:kern w:val="0"/>
          <w:sz w:val="32"/>
          <w:szCs w:val="32"/>
        </w:rPr>
        <w:t>）上午9時至</w:t>
      </w:r>
      <w:r>
        <w:rPr>
          <w:rFonts w:ascii="標楷體" w:eastAsia="標楷體" w:hAnsi="標楷體"/>
          <w:spacing w:val="-32"/>
          <w:kern w:val="0"/>
          <w:sz w:val="32"/>
          <w:szCs w:val="32"/>
        </w:rPr>
        <w:t>1</w:t>
      </w:r>
      <w:r>
        <w:rPr>
          <w:rFonts w:ascii="標楷體" w:eastAsia="標楷體" w:hAnsi="標楷體" w:hint="eastAsia"/>
          <w:spacing w:val="-32"/>
          <w:kern w:val="0"/>
          <w:sz w:val="32"/>
          <w:szCs w:val="32"/>
        </w:rPr>
        <w:t>2</w:t>
      </w:r>
      <w:r w:rsidRPr="00214CF8">
        <w:rPr>
          <w:rFonts w:ascii="標楷體" w:eastAsia="標楷體" w:hAnsi="標楷體" w:hint="eastAsia"/>
          <w:spacing w:val="-32"/>
          <w:kern w:val="0"/>
          <w:sz w:val="32"/>
          <w:szCs w:val="32"/>
        </w:rPr>
        <w:t>時</w:t>
      </w:r>
      <w:r>
        <w:rPr>
          <w:rFonts w:ascii="標楷體" w:eastAsia="標楷體" w:hAnsi="標楷體"/>
          <w:spacing w:val="-32"/>
          <w:kern w:val="0"/>
          <w:sz w:val="32"/>
          <w:szCs w:val="32"/>
        </w:rPr>
        <w:t>39</w:t>
      </w:r>
      <w:r w:rsidRPr="00214CF8">
        <w:rPr>
          <w:rFonts w:ascii="標楷體" w:eastAsia="標楷體" w:hAnsi="標楷體" w:hint="eastAsia"/>
          <w:spacing w:val="-32"/>
          <w:kern w:val="0"/>
          <w:sz w:val="32"/>
          <w:szCs w:val="32"/>
        </w:rPr>
        <w:t>分</w:t>
      </w:r>
    </w:p>
    <w:p w:rsidR="00273897" w:rsidRPr="00034B21" w:rsidRDefault="00273897" w:rsidP="00273897">
      <w:pPr>
        <w:snapToGrid w:val="0"/>
        <w:spacing w:line="460" w:lineRule="exact"/>
        <w:ind w:left="1280" w:rightChars="9" w:right="22" w:hangingChars="500" w:hanging="1280"/>
        <w:jc w:val="distribute"/>
        <w:rPr>
          <w:rFonts w:ascii="標楷體" w:eastAsia="標楷體" w:hAnsi="標楷體"/>
          <w:spacing w:val="-32"/>
          <w:kern w:val="0"/>
          <w:sz w:val="32"/>
          <w:szCs w:val="32"/>
        </w:rPr>
      </w:pPr>
      <w:r>
        <w:rPr>
          <w:rFonts w:ascii="標楷體" w:eastAsia="標楷體" w:hAnsi="標楷體" w:hint="eastAsia"/>
          <w:spacing w:val="-32"/>
          <w:kern w:val="0"/>
          <w:sz w:val="32"/>
          <w:szCs w:val="32"/>
        </w:rPr>
        <w:t xml:space="preserve">               </w:t>
      </w:r>
      <w:r w:rsidRPr="0082061E">
        <w:rPr>
          <w:rFonts w:ascii="標楷體" w:eastAsia="標楷體" w:hAnsi="標楷體" w:hint="eastAsia"/>
          <w:spacing w:val="-32"/>
          <w:kern w:val="0"/>
          <w:sz w:val="44"/>
          <w:szCs w:val="32"/>
        </w:rPr>
        <w:t xml:space="preserve"> </w:t>
      </w:r>
      <w:r w:rsidRPr="00712764">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11</w:t>
      </w:r>
      <w:r w:rsidRPr="00712764">
        <w:rPr>
          <w:rFonts w:ascii="標楷體" w:eastAsia="標楷體" w:hAnsi="標楷體" w:hint="eastAsia"/>
          <w:spacing w:val="-32"/>
          <w:kern w:val="0"/>
          <w:sz w:val="32"/>
          <w:szCs w:val="32"/>
        </w:rPr>
        <w:t>年</w:t>
      </w:r>
      <w:r>
        <w:rPr>
          <w:rFonts w:ascii="標楷體" w:eastAsia="標楷體" w:hAnsi="標楷體"/>
          <w:spacing w:val="-32"/>
          <w:kern w:val="0"/>
          <w:sz w:val="32"/>
          <w:szCs w:val="32"/>
        </w:rPr>
        <w:t>10</w:t>
      </w:r>
      <w:r w:rsidRPr="00712764">
        <w:rPr>
          <w:rFonts w:ascii="標楷體" w:eastAsia="標楷體" w:hAnsi="標楷體" w:hint="eastAsia"/>
          <w:spacing w:val="-32"/>
          <w:kern w:val="0"/>
          <w:sz w:val="32"/>
          <w:szCs w:val="32"/>
        </w:rPr>
        <w:t>月</w:t>
      </w:r>
      <w:r>
        <w:rPr>
          <w:rFonts w:ascii="標楷體" w:eastAsia="標楷體" w:hAnsi="標楷體"/>
          <w:spacing w:val="-32"/>
          <w:kern w:val="0"/>
          <w:sz w:val="32"/>
          <w:szCs w:val="32"/>
        </w:rPr>
        <w:t>20</w:t>
      </w:r>
      <w:r w:rsidRPr="00712764">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四</w:t>
      </w:r>
      <w:r w:rsidRPr="00712764">
        <w:rPr>
          <w:rFonts w:ascii="標楷體" w:eastAsia="標楷體" w:hAnsi="標楷體" w:hint="eastAsia"/>
          <w:spacing w:val="-32"/>
          <w:kern w:val="0"/>
          <w:sz w:val="32"/>
          <w:szCs w:val="32"/>
        </w:rPr>
        <w:t>）上午9時</w:t>
      </w:r>
      <w:r>
        <w:rPr>
          <w:rFonts w:ascii="標楷體" w:eastAsia="標楷體" w:hAnsi="標楷體" w:hint="eastAsia"/>
          <w:spacing w:val="-32"/>
          <w:kern w:val="0"/>
          <w:sz w:val="32"/>
          <w:szCs w:val="32"/>
        </w:rPr>
        <w:t>1分</w:t>
      </w:r>
      <w:r w:rsidRPr="00712764">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下午2</w:t>
      </w:r>
      <w:r w:rsidRPr="00712764">
        <w:rPr>
          <w:rFonts w:ascii="標楷體" w:eastAsia="標楷體" w:hAnsi="標楷體" w:hint="eastAsia"/>
          <w:spacing w:val="-32"/>
          <w:kern w:val="0"/>
          <w:sz w:val="32"/>
          <w:szCs w:val="32"/>
        </w:rPr>
        <w:t>時</w:t>
      </w:r>
      <w:r>
        <w:rPr>
          <w:rFonts w:ascii="標楷體" w:eastAsia="標楷體" w:hAnsi="標楷體" w:hint="eastAsia"/>
          <w:spacing w:val="-32"/>
          <w:kern w:val="0"/>
          <w:sz w:val="32"/>
          <w:szCs w:val="32"/>
        </w:rPr>
        <w:t>7</w:t>
      </w:r>
      <w:r w:rsidRPr="00712764">
        <w:rPr>
          <w:rFonts w:ascii="標楷體" w:eastAsia="標楷體" w:hAnsi="標楷體" w:hint="eastAsia"/>
          <w:spacing w:val="-32"/>
          <w:kern w:val="0"/>
          <w:sz w:val="32"/>
          <w:szCs w:val="32"/>
        </w:rPr>
        <w:t>分</w:t>
      </w:r>
    </w:p>
    <w:p w:rsidR="00273897" w:rsidRDefault="00273897" w:rsidP="00273897">
      <w:pPr>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r>
        <w:rPr>
          <w:rFonts w:ascii="標楷體" w:eastAsia="標楷體" w:hAnsi="標楷體" w:hint="eastAsia"/>
          <w:sz w:val="32"/>
          <w:szCs w:val="32"/>
        </w:rPr>
        <w:t>(</w:t>
      </w:r>
      <w:r>
        <w:rPr>
          <w:rFonts w:ascii="標楷體" w:eastAsia="標楷體" w:hAnsi="標楷體"/>
          <w:sz w:val="32"/>
          <w:szCs w:val="32"/>
        </w:rPr>
        <w:t>10</w:t>
      </w:r>
      <w:r>
        <w:rPr>
          <w:rFonts w:ascii="標楷體" w:eastAsia="標楷體" w:hAnsi="標楷體" w:hint="eastAsia"/>
          <w:sz w:val="32"/>
          <w:szCs w:val="32"/>
        </w:rPr>
        <w:t>月19日)</w:t>
      </w:r>
    </w:p>
    <w:p w:rsidR="00273897" w:rsidRDefault="00273897" w:rsidP="00273897">
      <w:pPr>
        <w:snapToGrid w:val="0"/>
        <w:spacing w:line="460" w:lineRule="exact"/>
        <w:ind w:left="1706" w:rightChars="9" w:right="22" w:hangingChars="533" w:hanging="1706"/>
        <w:jc w:val="both"/>
        <w:rPr>
          <w:rFonts w:ascii="標楷體" w:eastAsia="標楷體" w:hAnsi="標楷體"/>
          <w:sz w:val="32"/>
          <w:szCs w:val="32"/>
        </w:rPr>
      </w:pPr>
      <w:r>
        <w:rPr>
          <w:rFonts w:ascii="標楷體" w:eastAsia="標楷體" w:hAnsi="標楷體" w:hint="eastAsia"/>
          <w:sz w:val="32"/>
          <w:szCs w:val="32"/>
        </w:rPr>
        <w:t xml:space="preserve">          本院群賢樓九樓大禮堂(</w:t>
      </w:r>
      <w:r>
        <w:rPr>
          <w:rFonts w:ascii="標楷體" w:eastAsia="標楷體" w:hAnsi="標楷體"/>
          <w:sz w:val="32"/>
          <w:szCs w:val="32"/>
        </w:rPr>
        <w:t>10</w:t>
      </w:r>
      <w:r>
        <w:rPr>
          <w:rFonts w:ascii="標楷體" w:eastAsia="標楷體" w:hAnsi="標楷體" w:hint="eastAsia"/>
          <w:sz w:val="32"/>
          <w:szCs w:val="32"/>
        </w:rPr>
        <w:t>月20日)</w:t>
      </w:r>
    </w:p>
    <w:p w:rsidR="00273897" w:rsidRDefault="00273897" w:rsidP="00273897">
      <w:pPr>
        <w:snapToGrid w:val="0"/>
        <w:spacing w:line="46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：林奕華  萬美玲  范  雲  林宜瑾  黃國書  張廖萬堅</w:t>
      </w:r>
    </w:p>
    <w:p w:rsidR="00273897" w:rsidRDefault="00273897" w:rsidP="00273897">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陳秀寳  吳怡玎  王婉諭  何欣純  鄭正鈐  高金素梅</w:t>
      </w:r>
    </w:p>
    <w:p w:rsidR="00273897" w:rsidRDefault="00273897" w:rsidP="00273897">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吳思瑤  賴品妤</w:t>
      </w:r>
    </w:p>
    <w:p w:rsidR="00273897" w:rsidRDefault="00273897" w:rsidP="00273897">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委員出席</w:t>
      </w:r>
      <w:r>
        <w:rPr>
          <w:rFonts w:ascii="標楷體" w:eastAsia="標楷體" w:hAnsi="標楷體"/>
          <w:sz w:val="32"/>
          <w:szCs w:val="32"/>
        </w:rPr>
        <w:t>14</w:t>
      </w:r>
      <w:r w:rsidRPr="008C78CE">
        <w:rPr>
          <w:rFonts w:ascii="標楷體" w:eastAsia="標楷體" w:hAnsi="標楷體" w:hint="eastAsia"/>
          <w:sz w:val="32"/>
          <w:szCs w:val="32"/>
        </w:rPr>
        <w:t>人</w:t>
      </w:r>
    </w:p>
    <w:p w:rsidR="00273897" w:rsidRDefault="00273897" w:rsidP="00273897">
      <w:pPr>
        <w:snapToGrid w:val="0"/>
        <w:spacing w:line="46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林德福  陳椒華  李貴敏  蘇巧慧  張其祿  王美惠</w:t>
      </w:r>
    </w:p>
    <w:p w:rsidR="00273897" w:rsidRDefault="00273897" w:rsidP="00273897">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楊瓊瓔  洪孟楷  廖婉汝  李德維  呂玉玲  陳亭妃</w:t>
      </w:r>
    </w:p>
    <w:p w:rsidR="00273897" w:rsidRDefault="00273897" w:rsidP="00273897">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孔文吉  張育美  林思銘  </w:t>
      </w:r>
      <w:r w:rsidRPr="000E4930">
        <w:rPr>
          <w:rFonts w:ascii="標楷體" w:eastAsia="標楷體" w:hAnsi="標楷體" w:hint="eastAsia"/>
          <w:sz w:val="32"/>
          <w:szCs w:val="32"/>
        </w:rPr>
        <w:t>廖國棟Sufin‧Siluko</w:t>
      </w:r>
    </w:p>
    <w:p w:rsidR="00273897" w:rsidRDefault="00273897" w:rsidP="00273897">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邱志偉  翁重鈞  蔡易餘  曾銘宗  羅明才  謝衣鳯</w:t>
      </w:r>
    </w:p>
    <w:p w:rsidR="00273897" w:rsidRDefault="00273897" w:rsidP="00273897">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江啟臣  何志偉  賴惠員  </w:t>
      </w:r>
      <w:r w:rsidRPr="003D1624">
        <w:rPr>
          <w:rFonts w:ascii="標楷體" w:eastAsia="標楷體" w:hAnsi="標楷體" w:hint="eastAsia"/>
          <w:sz w:val="32"/>
          <w:szCs w:val="32"/>
        </w:rPr>
        <w:t>伍麗華Saidhai Tahovecahe</w:t>
      </w:r>
    </w:p>
    <w:p w:rsidR="00273897" w:rsidRDefault="00273897" w:rsidP="00273897">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高嘉瑜  賴香伶  陳玉珍  </w:t>
      </w:r>
      <w:r w:rsidRPr="008808BE">
        <w:rPr>
          <w:rFonts w:ascii="標楷體" w:eastAsia="標楷體" w:hAnsi="標楷體" w:hint="eastAsia"/>
          <w:sz w:val="32"/>
          <w:szCs w:val="32"/>
        </w:rPr>
        <w:t>鄭天財Sra Kacaw</w:t>
      </w:r>
    </w:p>
    <w:p w:rsidR="00273897" w:rsidRPr="008C78CE" w:rsidRDefault="00273897" w:rsidP="00273897">
      <w:pPr>
        <w:snapToGrid w:val="0"/>
        <w:spacing w:line="460" w:lineRule="exact"/>
        <w:ind w:left="1920" w:rightChars="9" w:right="22" w:hangingChars="600" w:hanging="1920"/>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hint="eastAsia"/>
          <w:position w:val="2"/>
          <w:sz w:val="32"/>
          <w:szCs w:val="32"/>
        </w:rPr>
        <w:t>30</w:t>
      </w:r>
      <w:r w:rsidRPr="00BD716F">
        <w:rPr>
          <w:rFonts w:ascii="標楷體" w:eastAsia="標楷體" w:hAnsi="標楷體" w:hint="eastAsia"/>
          <w:position w:val="2"/>
          <w:sz w:val="32"/>
          <w:szCs w:val="32"/>
        </w:rPr>
        <w:t>人</w:t>
      </w:r>
    </w:p>
    <w:p w:rsidR="00273897" w:rsidRPr="00ED0FE7" w:rsidRDefault="00273897" w:rsidP="00273897">
      <w:pPr>
        <w:pStyle w:val="ac"/>
        <w:spacing w:line="500" w:lineRule="exact"/>
        <w:ind w:left="975" w:hanging="964"/>
        <w:contextualSpacing/>
        <w:rPr>
          <w:sz w:val="32"/>
          <w:szCs w:val="32"/>
        </w:rPr>
      </w:pPr>
      <w:r w:rsidRPr="00ED0FE7">
        <w:rPr>
          <w:sz w:val="32"/>
          <w:szCs w:val="32"/>
        </w:rPr>
        <w:t>列席人員</w:t>
      </w:r>
      <w:r w:rsidRPr="00ED0FE7">
        <w:rPr>
          <w:rFonts w:hint="eastAsia"/>
          <w:sz w:val="32"/>
          <w:szCs w:val="32"/>
        </w:rPr>
        <w:t>：(</w:t>
      </w:r>
      <w:r>
        <w:rPr>
          <w:sz w:val="32"/>
          <w:szCs w:val="32"/>
        </w:rPr>
        <w:t>10</w:t>
      </w:r>
      <w:r w:rsidRPr="00ED0FE7">
        <w:rPr>
          <w:rFonts w:hint="eastAsia"/>
          <w:sz w:val="32"/>
          <w:szCs w:val="32"/>
        </w:rPr>
        <w:t>月</w:t>
      </w:r>
      <w:r>
        <w:rPr>
          <w:sz w:val="32"/>
          <w:szCs w:val="32"/>
        </w:rPr>
        <w:t>19</w:t>
      </w:r>
      <w:r w:rsidRPr="00ED0FE7">
        <w:rPr>
          <w:rFonts w:hint="eastAsia"/>
          <w:sz w:val="32"/>
          <w:szCs w:val="32"/>
        </w:rPr>
        <w:t>日)</w:t>
      </w:r>
    </w:p>
    <w:p w:rsidR="00273897" w:rsidRDefault="00273897" w:rsidP="00273897">
      <w:pPr>
        <w:pStyle w:val="ac"/>
        <w:tabs>
          <w:tab w:val="left" w:pos="1418"/>
        </w:tabs>
        <w:spacing w:line="500" w:lineRule="exact"/>
        <w:ind w:left="975" w:hanging="964"/>
        <w:contextualSpacing/>
        <w:rPr>
          <w:spacing w:val="-2"/>
          <w:position w:val="2"/>
          <w:sz w:val="32"/>
          <w:szCs w:val="32"/>
        </w:rPr>
      </w:pPr>
      <w:r w:rsidRPr="00ED0FE7">
        <w:rPr>
          <w:rFonts w:hint="eastAsia"/>
          <w:sz w:val="32"/>
          <w:szCs w:val="32"/>
        </w:rPr>
        <w:t xml:space="preserve">        </w:t>
      </w:r>
      <w:r w:rsidRPr="001E3A9A">
        <w:rPr>
          <w:rFonts w:hint="eastAsia"/>
          <w:sz w:val="56"/>
          <w:szCs w:val="32"/>
        </w:rPr>
        <w:t xml:space="preserve"> </w:t>
      </w:r>
      <w:r>
        <w:rPr>
          <w:rFonts w:hint="eastAsia"/>
          <w:sz w:val="32"/>
          <w:szCs w:val="32"/>
        </w:rPr>
        <w:t xml:space="preserve">國立故宮博物院院長  </w:t>
      </w:r>
      <w:r w:rsidRPr="00ED0FE7">
        <w:rPr>
          <w:rFonts w:hint="eastAsia"/>
          <w:sz w:val="32"/>
          <w:szCs w:val="32"/>
        </w:rPr>
        <w:t xml:space="preserve">  </w:t>
      </w:r>
      <w:r>
        <w:rPr>
          <w:rFonts w:hint="eastAsia"/>
          <w:sz w:val="32"/>
          <w:szCs w:val="32"/>
        </w:rPr>
        <w:t xml:space="preserve">     </w:t>
      </w:r>
      <w:r w:rsidRPr="001E3A9A">
        <w:rPr>
          <w:rFonts w:hint="eastAsia"/>
          <w:sz w:val="56"/>
          <w:szCs w:val="32"/>
        </w:rPr>
        <w:t xml:space="preserve"> </w:t>
      </w:r>
      <w:r>
        <w:rPr>
          <w:rFonts w:hint="eastAsia"/>
          <w:sz w:val="56"/>
          <w:szCs w:val="32"/>
        </w:rPr>
        <w:t xml:space="preserve"> </w:t>
      </w:r>
      <w:r>
        <w:rPr>
          <w:rFonts w:hint="eastAsia"/>
          <w:sz w:val="32"/>
          <w:szCs w:val="32"/>
        </w:rPr>
        <w:t>吳密察</w:t>
      </w:r>
      <w:r w:rsidRPr="00ED0FE7">
        <w:rPr>
          <w:rFonts w:hint="eastAsia"/>
          <w:spacing w:val="-2"/>
          <w:position w:val="2"/>
          <w:sz w:val="32"/>
          <w:szCs w:val="32"/>
        </w:rPr>
        <w:t>率同有關人員</w:t>
      </w:r>
    </w:p>
    <w:p w:rsidR="00273897" w:rsidRDefault="00273897" w:rsidP="00273897">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行政院主計總處公務預算處</w:t>
      </w:r>
      <w:r w:rsidRPr="0021150E">
        <w:rPr>
          <w:rFonts w:hint="eastAsia"/>
          <w:spacing w:val="-2"/>
          <w:position w:val="2"/>
          <w:sz w:val="32"/>
          <w:szCs w:val="32"/>
        </w:rPr>
        <w:t>專門委員</w:t>
      </w:r>
      <w:r>
        <w:rPr>
          <w:rFonts w:hint="eastAsia"/>
          <w:spacing w:val="-2"/>
          <w:position w:val="2"/>
          <w:sz w:val="32"/>
          <w:szCs w:val="32"/>
        </w:rPr>
        <w:t xml:space="preserve">           </w:t>
      </w:r>
      <w:r w:rsidRPr="000E4930">
        <w:rPr>
          <w:rFonts w:hint="eastAsia"/>
          <w:spacing w:val="-2"/>
          <w:position w:val="2"/>
          <w:sz w:val="32"/>
          <w:szCs w:val="32"/>
        </w:rPr>
        <w:t>李翊柔</w:t>
      </w:r>
    </w:p>
    <w:p w:rsidR="00273897" w:rsidRDefault="00273897" w:rsidP="00273897">
      <w:pPr>
        <w:pStyle w:val="ac"/>
        <w:tabs>
          <w:tab w:val="left" w:pos="1418"/>
        </w:tabs>
        <w:spacing w:line="500" w:lineRule="exact"/>
        <w:ind w:left="975" w:hanging="964"/>
        <w:contextualSpacing/>
        <w:rPr>
          <w:sz w:val="40"/>
          <w:szCs w:val="32"/>
        </w:rPr>
      </w:pPr>
      <w:r>
        <w:rPr>
          <w:rFonts w:hint="eastAsia"/>
          <w:spacing w:val="-2"/>
          <w:position w:val="2"/>
          <w:sz w:val="32"/>
          <w:szCs w:val="32"/>
        </w:rPr>
        <w:t xml:space="preserve">          </w:t>
      </w:r>
      <w:r w:rsidRPr="0021150E">
        <w:rPr>
          <w:rFonts w:hint="eastAsia"/>
          <w:spacing w:val="-2"/>
          <w:position w:val="2"/>
          <w:sz w:val="32"/>
          <w:szCs w:val="32"/>
        </w:rPr>
        <w:t>行政院主計總處基金預算處科長</w:t>
      </w:r>
      <w:r>
        <w:rPr>
          <w:rFonts w:hint="eastAsia"/>
          <w:spacing w:val="-2"/>
          <w:position w:val="2"/>
          <w:sz w:val="32"/>
          <w:szCs w:val="32"/>
        </w:rPr>
        <w:t xml:space="preserve">               </w:t>
      </w:r>
      <w:r w:rsidRPr="0021150E">
        <w:rPr>
          <w:rFonts w:hint="eastAsia"/>
          <w:spacing w:val="-2"/>
          <w:position w:val="2"/>
          <w:sz w:val="32"/>
          <w:szCs w:val="32"/>
        </w:rPr>
        <w:t>謝閔傑</w:t>
      </w:r>
    </w:p>
    <w:p w:rsidR="00273897" w:rsidRPr="00ED0FE7" w:rsidRDefault="00273897" w:rsidP="00273897">
      <w:pPr>
        <w:pStyle w:val="ac"/>
        <w:spacing w:line="500" w:lineRule="exact"/>
        <w:ind w:left="975" w:hanging="964"/>
        <w:contextualSpacing/>
        <w:rPr>
          <w:spacing w:val="-2"/>
          <w:position w:val="2"/>
          <w:sz w:val="32"/>
          <w:szCs w:val="32"/>
        </w:rPr>
      </w:pPr>
      <w:r w:rsidRPr="00ED0FE7">
        <w:rPr>
          <w:rFonts w:hint="eastAsia"/>
          <w:spacing w:val="-2"/>
          <w:position w:val="2"/>
          <w:sz w:val="32"/>
          <w:szCs w:val="32"/>
        </w:rPr>
        <w:t xml:space="preserve">          (</w:t>
      </w:r>
      <w:r>
        <w:rPr>
          <w:spacing w:val="-2"/>
          <w:position w:val="2"/>
          <w:sz w:val="32"/>
          <w:szCs w:val="32"/>
        </w:rPr>
        <w:t>10</w:t>
      </w:r>
      <w:r w:rsidRPr="00ED0FE7">
        <w:rPr>
          <w:rFonts w:hint="eastAsia"/>
          <w:spacing w:val="-2"/>
          <w:position w:val="2"/>
          <w:sz w:val="32"/>
          <w:szCs w:val="32"/>
        </w:rPr>
        <w:t>月</w:t>
      </w:r>
      <w:r>
        <w:rPr>
          <w:spacing w:val="-2"/>
          <w:position w:val="2"/>
          <w:sz w:val="32"/>
          <w:szCs w:val="32"/>
        </w:rPr>
        <w:t>20</w:t>
      </w:r>
      <w:r w:rsidRPr="00ED0FE7">
        <w:rPr>
          <w:rFonts w:hint="eastAsia"/>
          <w:spacing w:val="-2"/>
          <w:position w:val="2"/>
          <w:sz w:val="32"/>
          <w:szCs w:val="32"/>
        </w:rPr>
        <w:t>日)</w:t>
      </w:r>
    </w:p>
    <w:p w:rsidR="00273897" w:rsidRDefault="00273897" w:rsidP="00273897">
      <w:pPr>
        <w:pStyle w:val="ac"/>
        <w:tabs>
          <w:tab w:val="left" w:pos="1418"/>
        </w:tabs>
        <w:spacing w:line="500" w:lineRule="exact"/>
        <w:ind w:left="975" w:hanging="964"/>
        <w:contextualSpacing/>
        <w:rPr>
          <w:sz w:val="32"/>
          <w:szCs w:val="32"/>
        </w:rPr>
      </w:pPr>
      <w:r w:rsidRPr="00ED0FE7">
        <w:rPr>
          <w:rFonts w:hint="eastAsia"/>
          <w:spacing w:val="-2"/>
          <w:position w:val="2"/>
          <w:sz w:val="32"/>
          <w:szCs w:val="32"/>
        </w:rPr>
        <w:t xml:space="preserve">        </w:t>
      </w:r>
      <w:r w:rsidRPr="001E3A9A">
        <w:rPr>
          <w:rFonts w:hint="eastAsia"/>
          <w:spacing w:val="-2"/>
          <w:position w:val="2"/>
          <w:sz w:val="72"/>
          <w:szCs w:val="32"/>
        </w:rPr>
        <w:t xml:space="preserve"> </w:t>
      </w:r>
      <w:r w:rsidRPr="00073979">
        <w:rPr>
          <w:rFonts w:hint="eastAsia"/>
          <w:spacing w:val="-2"/>
          <w:position w:val="2"/>
          <w:sz w:val="32"/>
          <w:szCs w:val="32"/>
        </w:rPr>
        <w:t>教育</w:t>
      </w:r>
      <w:r>
        <w:rPr>
          <w:rFonts w:hint="eastAsia"/>
          <w:sz w:val="32"/>
          <w:szCs w:val="32"/>
        </w:rPr>
        <w:t>部部長</w:t>
      </w:r>
      <w:r w:rsidRPr="000F343B">
        <w:rPr>
          <w:rFonts w:hint="eastAsia"/>
          <w:sz w:val="32"/>
          <w:szCs w:val="32"/>
        </w:rPr>
        <w:t xml:space="preserve">             </w:t>
      </w:r>
      <w:r w:rsidRPr="001E3A9A">
        <w:rPr>
          <w:rFonts w:hint="eastAsia"/>
          <w:sz w:val="40"/>
          <w:szCs w:val="32"/>
        </w:rPr>
        <w:t xml:space="preserve"> </w:t>
      </w:r>
      <w:r>
        <w:rPr>
          <w:rFonts w:hint="eastAsia"/>
          <w:sz w:val="32"/>
          <w:szCs w:val="32"/>
        </w:rPr>
        <w:t xml:space="preserve">      潘文忠</w:t>
      </w:r>
      <w:r w:rsidRPr="000F343B">
        <w:rPr>
          <w:rFonts w:hint="eastAsia"/>
          <w:sz w:val="32"/>
          <w:szCs w:val="32"/>
        </w:rPr>
        <w:t>率同有關人員</w:t>
      </w:r>
    </w:p>
    <w:p w:rsidR="00273897" w:rsidRDefault="00273897" w:rsidP="00273897">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BC0E22">
        <w:rPr>
          <w:rFonts w:hint="eastAsia"/>
          <w:spacing w:val="-2"/>
          <w:position w:val="2"/>
          <w:sz w:val="36"/>
          <w:szCs w:val="32"/>
        </w:rPr>
        <w:t xml:space="preserve"> </w:t>
      </w:r>
      <w:r>
        <w:rPr>
          <w:rFonts w:hint="eastAsia"/>
          <w:spacing w:val="-2"/>
          <w:position w:val="2"/>
          <w:sz w:val="32"/>
          <w:szCs w:val="32"/>
        </w:rPr>
        <w:t xml:space="preserve">  </w:t>
      </w:r>
      <w:r w:rsidRPr="00C42930">
        <w:rPr>
          <w:rFonts w:hint="eastAsia"/>
          <w:spacing w:val="-2"/>
          <w:position w:val="2"/>
          <w:sz w:val="32"/>
          <w:szCs w:val="32"/>
        </w:rPr>
        <w:t>行政法人國家運動訓練中心</w:t>
      </w:r>
      <w:r>
        <w:rPr>
          <w:rFonts w:hint="eastAsia"/>
          <w:spacing w:val="-2"/>
          <w:position w:val="2"/>
          <w:sz w:val="32"/>
          <w:szCs w:val="32"/>
        </w:rPr>
        <w:t>董事長             林騰蛟</w:t>
      </w:r>
    </w:p>
    <w:p w:rsidR="00273897" w:rsidRDefault="00273897" w:rsidP="00273897">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行政院主計總處公務預算處</w:t>
      </w:r>
      <w:r w:rsidRPr="0021150E">
        <w:rPr>
          <w:rFonts w:hint="eastAsia"/>
          <w:spacing w:val="-2"/>
          <w:position w:val="2"/>
          <w:sz w:val="32"/>
          <w:szCs w:val="32"/>
        </w:rPr>
        <w:t>專門委員</w:t>
      </w:r>
      <w:r>
        <w:rPr>
          <w:rFonts w:hint="eastAsia"/>
          <w:spacing w:val="-2"/>
          <w:position w:val="2"/>
          <w:sz w:val="32"/>
          <w:szCs w:val="32"/>
        </w:rPr>
        <w:t xml:space="preserve">           </w:t>
      </w:r>
      <w:r w:rsidRPr="00C42930">
        <w:rPr>
          <w:rFonts w:hint="eastAsia"/>
          <w:spacing w:val="-2"/>
          <w:position w:val="2"/>
          <w:sz w:val="32"/>
          <w:szCs w:val="32"/>
        </w:rPr>
        <w:t>黃淑莉</w:t>
      </w:r>
    </w:p>
    <w:p w:rsidR="00273897" w:rsidRPr="00ED0FE7" w:rsidRDefault="00273897" w:rsidP="00273897">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21150E">
        <w:rPr>
          <w:rFonts w:hint="eastAsia"/>
          <w:spacing w:val="-2"/>
          <w:position w:val="2"/>
          <w:sz w:val="32"/>
          <w:szCs w:val="32"/>
        </w:rPr>
        <w:t>行政院主計總處基金預算處</w:t>
      </w:r>
      <w:r w:rsidRPr="00C42930">
        <w:rPr>
          <w:rFonts w:hint="eastAsia"/>
          <w:spacing w:val="-2"/>
          <w:position w:val="2"/>
          <w:sz w:val="32"/>
          <w:szCs w:val="32"/>
        </w:rPr>
        <w:t>專門委員</w:t>
      </w:r>
      <w:r>
        <w:rPr>
          <w:rFonts w:hint="eastAsia"/>
          <w:spacing w:val="-2"/>
          <w:position w:val="2"/>
          <w:sz w:val="32"/>
          <w:szCs w:val="32"/>
        </w:rPr>
        <w:t xml:space="preserve">           </w:t>
      </w:r>
      <w:r w:rsidRPr="00C42930">
        <w:rPr>
          <w:rFonts w:hint="eastAsia"/>
          <w:spacing w:val="-2"/>
          <w:position w:val="2"/>
          <w:sz w:val="32"/>
          <w:szCs w:val="32"/>
        </w:rPr>
        <w:t>陳雅惠</w:t>
      </w:r>
    </w:p>
    <w:p w:rsidR="00273897" w:rsidRPr="006C6684" w:rsidRDefault="00273897" w:rsidP="00273897">
      <w:pPr>
        <w:spacing w:line="500" w:lineRule="exact"/>
        <w:ind w:rightChars="14" w:right="34"/>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陳</w:t>
      </w:r>
      <w:r w:rsidRPr="00C2349A">
        <w:rPr>
          <w:rFonts w:ascii="標楷體" w:eastAsia="標楷體" w:hAnsi="標楷體"/>
          <w:sz w:val="32"/>
          <w:szCs w:val="32"/>
        </w:rPr>
        <w:t>召集委員</w:t>
      </w:r>
      <w:r>
        <w:rPr>
          <w:rFonts w:ascii="標楷體" w:eastAsia="標楷體" w:hAnsi="標楷體" w:hint="eastAsia"/>
          <w:sz w:val="32"/>
          <w:szCs w:val="32"/>
        </w:rPr>
        <w:t>秀寳</w:t>
      </w:r>
    </w:p>
    <w:p w:rsidR="00273897" w:rsidRDefault="00273897" w:rsidP="00273897">
      <w:pPr>
        <w:snapToGrid w:val="0"/>
        <w:spacing w:line="500" w:lineRule="exact"/>
        <w:ind w:rightChars="9" w:right="22"/>
        <w:jc w:val="both"/>
        <w:rPr>
          <w:rFonts w:ascii="標楷體" w:eastAsia="標楷體" w:hAnsi="標楷體"/>
          <w:sz w:val="32"/>
          <w:szCs w:val="32"/>
        </w:rPr>
      </w:pPr>
      <w:r w:rsidRPr="00073979">
        <w:rPr>
          <w:rFonts w:ascii="標楷體" w:eastAsia="標楷體" w:hAnsi="標楷體" w:hint="eastAsia"/>
          <w:sz w:val="32"/>
          <w:szCs w:val="32"/>
        </w:rPr>
        <w:t>主任秘書：陳錫欽</w:t>
      </w:r>
    </w:p>
    <w:p w:rsidR="00273897" w:rsidRPr="008C78CE" w:rsidRDefault="00273897" w:rsidP="00273897">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朱蔚菁</w:t>
      </w:r>
    </w:p>
    <w:p w:rsidR="00273897" w:rsidRDefault="00273897" w:rsidP="00273897">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林素惠  簡任編審  蔡月秋  科長  蔡國治</w:t>
      </w:r>
    </w:p>
    <w:p w:rsidR="00273897" w:rsidRPr="00121576" w:rsidRDefault="00273897" w:rsidP="00273897">
      <w:pPr>
        <w:snapToGrid w:val="0"/>
        <w:spacing w:line="500" w:lineRule="exact"/>
        <w:ind w:rightChars="9" w:right="22"/>
        <w:jc w:val="both"/>
        <w:rPr>
          <w:rFonts w:ascii="標楷體" w:eastAsia="標楷體" w:hAnsi="標楷體"/>
          <w:sz w:val="32"/>
          <w:szCs w:val="32"/>
        </w:rPr>
      </w:pPr>
      <w:r>
        <w:rPr>
          <w:rFonts w:ascii="標楷體" w:eastAsia="標楷體" w:hAnsi="標楷體" w:hint="eastAsia"/>
          <w:sz w:val="32"/>
          <w:szCs w:val="32"/>
        </w:rPr>
        <w:lastRenderedPageBreak/>
        <w:t xml:space="preserve">          </w:t>
      </w:r>
      <w:r w:rsidRPr="00121576">
        <w:rPr>
          <w:rFonts w:ascii="標楷體" w:eastAsia="標楷體" w:hAnsi="標楷體" w:hint="eastAsia"/>
          <w:sz w:val="32"/>
          <w:szCs w:val="32"/>
        </w:rPr>
        <w:t>薦任科員  李宗一</w:t>
      </w:r>
    </w:p>
    <w:p w:rsidR="00273897" w:rsidRPr="00121576" w:rsidRDefault="00273897" w:rsidP="00273897">
      <w:pPr>
        <w:snapToGrid w:val="0"/>
        <w:spacing w:line="460" w:lineRule="exact"/>
        <w:ind w:rightChars="9" w:right="22"/>
        <w:jc w:val="both"/>
        <w:rPr>
          <w:rFonts w:ascii="標楷體" w:eastAsia="標楷體" w:hAnsi="標楷體"/>
          <w:sz w:val="32"/>
          <w:szCs w:val="32"/>
        </w:rPr>
      </w:pPr>
      <w:r>
        <w:rPr>
          <w:rFonts w:ascii="標楷體" w:eastAsia="標楷體" w:hAnsi="標楷體" w:hint="eastAsia"/>
          <w:sz w:val="32"/>
          <w:szCs w:val="32"/>
        </w:rPr>
        <w:t>（</w:t>
      </w:r>
      <w:r>
        <w:rPr>
          <w:rFonts w:ascii="標楷體" w:eastAsia="標楷體" w:hAnsi="標楷體"/>
          <w:sz w:val="32"/>
          <w:szCs w:val="32"/>
        </w:rPr>
        <w:t>10</w:t>
      </w:r>
      <w:r w:rsidRPr="00121576">
        <w:rPr>
          <w:rFonts w:ascii="標楷體" w:eastAsia="標楷體" w:hAnsi="標楷體" w:hint="eastAsia"/>
          <w:sz w:val="32"/>
          <w:szCs w:val="32"/>
        </w:rPr>
        <w:t>月</w:t>
      </w:r>
      <w:r>
        <w:rPr>
          <w:rFonts w:ascii="標楷體" w:eastAsia="標楷體" w:hAnsi="標楷體"/>
          <w:sz w:val="32"/>
          <w:szCs w:val="32"/>
        </w:rPr>
        <w:t>19</w:t>
      </w:r>
      <w:r w:rsidRPr="00121576">
        <w:rPr>
          <w:rFonts w:ascii="標楷體" w:eastAsia="標楷體" w:hAnsi="標楷體" w:hint="eastAsia"/>
          <w:sz w:val="32"/>
          <w:szCs w:val="32"/>
        </w:rPr>
        <w:t>日</w:t>
      </w:r>
      <w:r>
        <w:rPr>
          <w:rFonts w:ascii="標楷體" w:eastAsia="標楷體" w:hAnsi="標楷體"/>
          <w:sz w:val="32"/>
          <w:szCs w:val="32"/>
        </w:rPr>
        <w:t>）</w:t>
      </w:r>
    </w:p>
    <w:p w:rsidR="00273897" w:rsidRDefault="00273897" w:rsidP="00273897">
      <w:pPr>
        <w:pStyle w:val="ac"/>
        <w:spacing w:line="460" w:lineRule="exact"/>
        <w:ind w:left="980" w:hanging="966"/>
        <w:rPr>
          <w:b/>
          <w:sz w:val="32"/>
          <w:szCs w:val="32"/>
        </w:rPr>
      </w:pPr>
      <w:r w:rsidRPr="0084281E">
        <w:rPr>
          <w:rFonts w:hint="eastAsia"/>
          <w:b/>
          <w:sz w:val="32"/>
          <w:szCs w:val="32"/>
        </w:rPr>
        <w:t>報  告  事  項</w:t>
      </w:r>
    </w:p>
    <w:p w:rsidR="00273897" w:rsidRPr="009B6966" w:rsidRDefault="00273897" w:rsidP="00273897">
      <w:pPr>
        <w:pStyle w:val="a4"/>
        <w:snapToGrid w:val="0"/>
        <w:spacing w:before="120" w:line="500" w:lineRule="exact"/>
        <w:ind w:leftChars="0" w:left="0"/>
        <w:rPr>
          <w:rFonts w:ascii="標楷體" w:eastAsia="標楷體"/>
          <w:b/>
          <w:sz w:val="32"/>
          <w:szCs w:val="32"/>
        </w:rPr>
      </w:pPr>
      <w:r w:rsidRPr="009B6966">
        <w:rPr>
          <w:rFonts w:ascii="標楷體" w:eastAsia="標楷體" w:hint="eastAsia"/>
          <w:b/>
          <w:sz w:val="32"/>
          <w:szCs w:val="32"/>
        </w:rPr>
        <w:t>宣讀上次會議議事錄。</w:t>
      </w:r>
    </w:p>
    <w:p w:rsidR="00273897" w:rsidRPr="009B6966" w:rsidRDefault="00273897" w:rsidP="00273897">
      <w:pPr>
        <w:snapToGrid w:val="0"/>
        <w:spacing w:beforeLines="50" w:before="180" w:line="500" w:lineRule="exact"/>
        <w:rPr>
          <w:rFonts w:ascii="標楷體" w:eastAsia="標楷體" w:hAnsi="標楷體"/>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273897" w:rsidRPr="0021150E" w:rsidRDefault="00273897" w:rsidP="00273897">
      <w:pPr>
        <w:snapToGrid w:val="0"/>
        <w:spacing w:before="120" w:afterLines="50" w:after="180" w:line="460" w:lineRule="exact"/>
        <w:rPr>
          <w:b/>
          <w:sz w:val="32"/>
          <w:szCs w:val="32"/>
        </w:rPr>
      </w:pPr>
      <w:r w:rsidRPr="0021150E">
        <w:rPr>
          <w:rFonts w:ascii="標楷體" w:eastAsia="標楷體" w:hAnsi="標楷體" w:hint="eastAsia"/>
          <w:b/>
          <w:sz w:val="32"/>
          <w:szCs w:val="32"/>
        </w:rPr>
        <w:t>討  論  事  項</w:t>
      </w:r>
    </w:p>
    <w:p w:rsidR="00273897" w:rsidRPr="0021150E" w:rsidRDefault="00273897" w:rsidP="006934DD">
      <w:pPr>
        <w:numPr>
          <w:ilvl w:val="0"/>
          <w:numId w:val="24"/>
        </w:numPr>
        <w:snapToGrid w:val="0"/>
        <w:spacing w:line="460" w:lineRule="exact"/>
        <w:rPr>
          <w:rFonts w:ascii="標楷體" w:eastAsia="標楷體"/>
          <w:b/>
          <w:sz w:val="32"/>
          <w:szCs w:val="32"/>
        </w:rPr>
      </w:pPr>
      <w:r w:rsidRPr="0021150E">
        <w:rPr>
          <w:rFonts w:ascii="標楷體" w:eastAsia="標楷體" w:hint="eastAsia"/>
          <w:b/>
          <w:sz w:val="32"/>
          <w:szCs w:val="32"/>
        </w:rPr>
        <w:t>審查112年度中央政府總預算案有關國立故宮博物院單位預算案。</w:t>
      </w:r>
    </w:p>
    <w:p w:rsidR="00273897" w:rsidRPr="0021150E" w:rsidRDefault="00273897" w:rsidP="006934DD">
      <w:pPr>
        <w:numPr>
          <w:ilvl w:val="0"/>
          <w:numId w:val="24"/>
        </w:numPr>
        <w:snapToGrid w:val="0"/>
        <w:spacing w:line="460" w:lineRule="exact"/>
        <w:rPr>
          <w:rFonts w:ascii="標楷體" w:eastAsia="標楷體"/>
          <w:b/>
          <w:sz w:val="32"/>
          <w:szCs w:val="32"/>
        </w:rPr>
      </w:pPr>
      <w:r w:rsidRPr="0021150E">
        <w:rPr>
          <w:rFonts w:ascii="標楷體" w:eastAsia="標楷體" w:hint="eastAsia"/>
          <w:b/>
          <w:sz w:val="32"/>
          <w:szCs w:val="32"/>
        </w:rPr>
        <w:t>審查112年度中央政府總預算案有關國立故宮博物院主管故宮文物藝術發展基金附屬單位預算案。</w:t>
      </w:r>
    </w:p>
    <w:p w:rsidR="00273897" w:rsidRPr="0021150E" w:rsidRDefault="00273897" w:rsidP="00273897">
      <w:pPr>
        <w:snapToGrid w:val="0"/>
        <w:spacing w:line="460" w:lineRule="exact"/>
        <w:ind w:left="720"/>
        <w:rPr>
          <w:rFonts w:ascii="標楷體" w:eastAsia="標楷體"/>
          <w:b/>
          <w:sz w:val="32"/>
          <w:szCs w:val="32"/>
        </w:rPr>
      </w:pPr>
      <w:r w:rsidRPr="0021150E">
        <w:rPr>
          <w:rFonts w:ascii="標楷體" w:eastAsia="標楷體" w:hint="eastAsia"/>
          <w:b/>
          <w:sz w:val="32"/>
          <w:szCs w:val="32"/>
        </w:rPr>
        <w:t>(僅進行詢答</w:t>
      </w:r>
      <w:r w:rsidRPr="0021150E">
        <w:rPr>
          <w:rFonts w:ascii="標楷體" w:eastAsia="標楷體"/>
          <w:b/>
          <w:sz w:val="32"/>
          <w:szCs w:val="32"/>
        </w:rPr>
        <w:t>)</w:t>
      </w:r>
    </w:p>
    <w:p w:rsidR="00273897" w:rsidRDefault="00273897" w:rsidP="00273897">
      <w:pPr>
        <w:pStyle w:val="a4"/>
        <w:snapToGrid w:val="0"/>
        <w:spacing w:before="120" w:line="520" w:lineRule="exact"/>
        <w:ind w:leftChars="0" w:left="0"/>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日</w:t>
      </w:r>
      <w:r w:rsidRPr="008C78CE">
        <w:rPr>
          <w:rFonts w:ascii="標楷體" w:eastAsia="標楷體" w:hAnsi="標楷體"/>
          <w:sz w:val="32"/>
          <w:szCs w:val="32"/>
        </w:rPr>
        <w:t>議程</w:t>
      </w:r>
      <w:r>
        <w:rPr>
          <w:rFonts w:ascii="標楷體" w:eastAsia="標楷體" w:hAnsi="標楷體" w:hint="eastAsia"/>
          <w:sz w:val="32"/>
          <w:szCs w:val="32"/>
        </w:rPr>
        <w:t>採綜合詢答，</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AF7DB4">
        <w:rPr>
          <w:rFonts w:ascii="標楷體" w:eastAsia="標楷體" w:hAnsi="標楷體" w:hint="eastAsia"/>
          <w:sz w:val="32"/>
          <w:szCs w:val="32"/>
        </w:rPr>
        <w:t>林奕華、</w:t>
      </w:r>
      <w:r w:rsidRPr="000007F8">
        <w:rPr>
          <w:rFonts w:ascii="標楷體" w:eastAsia="標楷體" w:hAnsi="標楷體" w:hint="eastAsia"/>
          <w:sz w:val="32"/>
          <w:szCs w:val="32"/>
        </w:rPr>
        <w:t>萬美玲、</w:t>
      </w:r>
      <w:r w:rsidRPr="00FA7C2A">
        <w:rPr>
          <w:rFonts w:ascii="標楷體" w:eastAsia="標楷體" w:hAnsi="標楷體" w:hint="eastAsia"/>
          <w:sz w:val="32"/>
          <w:szCs w:val="32"/>
        </w:rPr>
        <w:t>張廖萬堅、</w:t>
      </w:r>
      <w:r>
        <w:rPr>
          <w:rFonts w:ascii="標楷體" w:eastAsia="標楷體" w:hAnsi="標楷體" w:hint="eastAsia"/>
          <w:sz w:val="32"/>
          <w:szCs w:val="32"/>
        </w:rPr>
        <w:t>范雲、</w:t>
      </w:r>
      <w:r w:rsidRPr="00DB5C75">
        <w:rPr>
          <w:rFonts w:ascii="標楷體" w:eastAsia="標楷體" w:hAnsi="標楷體" w:hint="eastAsia"/>
          <w:sz w:val="32"/>
          <w:szCs w:val="32"/>
        </w:rPr>
        <w:t>王婉諭、</w:t>
      </w:r>
      <w:r w:rsidRPr="00934775">
        <w:rPr>
          <w:rFonts w:ascii="標楷體" w:eastAsia="標楷體" w:hAnsi="標楷體" w:hint="eastAsia"/>
          <w:sz w:val="32"/>
          <w:szCs w:val="32"/>
        </w:rPr>
        <w:t>林宜瑾、</w:t>
      </w:r>
      <w:r w:rsidRPr="00FA7C2A">
        <w:rPr>
          <w:rFonts w:ascii="標楷體" w:eastAsia="標楷體" w:hAnsi="標楷體" w:hint="eastAsia"/>
          <w:sz w:val="32"/>
          <w:szCs w:val="32"/>
        </w:rPr>
        <w:t>黃國書、</w:t>
      </w:r>
      <w:r>
        <w:rPr>
          <w:rFonts w:ascii="標楷體" w:eastAsia="標楷體" w:hAnsi="標楷體" w:hint="eastAsia"/>
          <w:sz w:val="32"/>
          <w:szCs w:val="32"/>
        </w:rPr>
        <w:t>楊瓊瓔、</w:t>
      </w:r>
      <w:r w:rsidRPr="00AF7DB4">
        <w:rPr>
          <w:rFonts w:ascii="標楷體" w:eastAsia="標楷體" w:hAnsi="標楷體" w:hint="eastAsia"/>
          <w:sz w:val="32"/>
          <w:szCs w:val="32"/>
        </w:rPr>
        <w:t>陳秀寳、</w:t>
      </w:r>
      <w:r>
        <w:rPr>
          <w:rFonts w:ascii="標楷體" w:eastAsia="標楷體" w:hAnsi="標楷體" w:hint="eastAsia"/>
          <w:sz w:val="32"/>
          <w:szCs w:val="32"/>
        </w:rPr>
        <w:t>何欣純、高金素梅、</w:t>
      </w:r>
      <w:r w:rsidRPr="00DB5C75">
        <w:rPr>
          <w:rFonts w:ascii="標楷體" w:eastAsia="標楷體" w:hAnsi="標楷體" w:hint="eastAsia"/>
          <w:sz w:val="32"/>
          <w:szCs w:val="32"/>
        </w:rPr>
        <w:t>吳思瑤、賴品妤、</w:t>
      </w:r>
      <w:r w:rsidRPr="000F5964">
        <w:rPr>
          <w:rFonts w:ascii="標楷體" w:eastAsia="標楷體" w:hAnsi="標楷體" w:hint="eastAsia"/>
          <w:sz w:val="32"/>
          <w:szCs w:val="32"/>
        </w:rPr>
        <w:t>鄭正鈐、</w:t>
      </w:r>
      <w:r>
        <w:rPr>
          <w:rFonts w:ascii="標楷體" w:eastAsia="標楷體" w:hAnsi="標楷體" w:hint="eastAsia"/>
          <w:sz w:val="32"/>
          <w:szCs w:val="32"/>
        </w:rPr>
        <w:t>洪孟楷、張其祿、吳怡玎</w:t>
      </w:r>
      <w:r w:rsidRPr="00FA7C2A">
        <w:rPr>
          <w:rFonts w:ascii="標楷體" w:eastAsia="標楷體" w:hAnsi="標楷體" w:hint="eastAsia"/>
          <w:sz w:val="32"/>
          <w:szCs w:val="32"/>
        </w:rPr>
        <w:t>、</w:t>
      </w:r>
      <w:r>
        <w:rPr>
          <w:rFonts w:ascii="標楷體" w:eastAsia="標楷體" w:hAnsi="標楷體" w:hint="eastAsia"/>
          <w:sz w:val="32"/>
          <w:szCs w:val="32"/>
        </w:rPr>
        <w:t>陳椒華等</w:t>
      </w:r>
      <w:r>
        <w:rPr>
          <w:rFonts w:ascii="標楷體" w:eastAsia="標楷體" w:hAnsi="標楷體"/>
          <w:sz w:val="32"/>
          <w:szCs w:val="32"/>
        </w:rPr>
        <w:t>18</w:t>
      </w:r>
      <w:r w:rsidRPr="008C78CE">
        <w:rPr>
          <w:rFonts w:ascii="標楷體" w:eastAsia="標楷體" w:hAnsi="標楷體"/>
          <w:sz w:val="32"/>
          <w:szCs w:val="32"/>
        </w:rPr>
        <w:t>人提出質詢，均</w:t>
      </w:r>
      <w:r w:rsidRPr="00891366">
        <w:rPr>
          <w:rFonts w:ascii="標楷體" w:eastAsia="標楷體" w:hAnsi="標楷體"/>
          <w:sz w:val="32"/>
          <w:szCs w:val="32"/>
        </w:rPr>
        <w:t>經</w:t>
      </w:r>
      <w:r w:rsidRPr="00656E7E">
        <w:rPr>
          <w:rFonts w:ascii="標楷體" w:eastAsia="標楷體" w:hAnsi="標楷體" w:hint="eastAsia"/>
          <w:sz w:val="32"/>
          <w:szCs w:val="32"/>
        </w:rPr>
        <w:t>國立故宮博物院院長吳密察</w:t>
      </w:r>
      <w:r>
        <w:rPr>
          <w:rFonts w:ascii="標楷體" w:eastAsia="標楷體" w:hAnsi="標楷體"/>
          <w:sz w:val="32"/>
          <w:szCs w:val="32"/>
        </w:rPr>
        <w:t>及相關人員即席答</w:t>
      </w:r>
      <w:r>
        <w:rPr>
          <w:rFonts w:ascii="標楷體" w:eastAsia="標楷體" w:hAnsi="標楷體" w:hint="eastAsia"/>
          <w:sz w:val="32"/>
          <w:szCs w:val="32"/>
        </w:rPr>
        <w:t>復</w:t>
      </w:r>
      <w:r w:rsidRPr="008C78CE">
        <w:rPr>
          <w:rFonts w:ascii="標楷體" w:eastAsia="標楷體" w:hAnsi="標楷體"/>
          <w:sz w:val="32"/>
          <w:szCs w:val="32"/>
        </w:rPr>
        <w:t>說明。</w:t>
      </w:r>
      <w:r w:rsidRPr="003776F6">
        <w:rPr>
          <w:rFonts w:ascii="標楷體" w:eastAsia="標楷體" w:hAnsi="標楷體" w:hint="eastAsia"/>
          <w:sz w:val="32"/>
          <w:szCs w:val="32"/>
        </w:rPr>
        <w:t>另有委員</w:t>
      </w:r>
      <w:r>
        <w:rPr>
          <w:rFonts w:ascii="標楷體" w:eastAsia="標楷體" w:hAnsi="標楷體" w:hint="eastAsia"/>
          <w:sz w:val="32"/>
          <w:szCs w:val="32"/>
        </w:rPr>
        <w:t>廖婉汝</w:t>
      </w:r>
      <w:r w:rsidRPr="003776F6">
        <w:rPr>
          <w:rFonts w:ascii="標楷體" w:eastAsia="標楷體" w:hAnsi="標楷體" w:hint="eastAsia"/>
          <w:sz w:val="32"/>
          <w:szCs w:val="32"/>
        </w:rPr>
        <w:t>提出書面質詢。</w:t>
      </w:r>
      <w:r w:rsidRPr="008C78CE">
        <w:rPr>
          <w:rFonts w:ascii="標楷體" w:eastAsia="標楷體" w:hAnsi="標楷體"/>
          <w:sz w:val="32"/>
          <w:szCs w:val="32"/>
        </w:rPr>
        <w:t>）</w:t>
      </w:r>
    </w:p>
    <w:p w:rsidR="00273897" w:rsidRPr="0000524E" w:rsidRDefault="00273897" w:rsidP="00273897">
      <w:pPr>
        <w:snapToGrid w:val="0"/>
        <w:spacing w:beforeLines="50" w:before="180" w:line="52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273897" w:rsidRPr="0000524E" w:rsidRDefault="00273897" w:rsidP="00273897">
      <w:pPr>
        <w:snapToGrid w:val="0"/>
        <w:spacing w:beforeLines="50" w:before="180" w:line="52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73897" w:rsidRPr="0000524E" w:rsidRDefault="00273897" w:rsidP="00273897">
      <w:pPr>
        <w:snapToGrid w:val="0"/>
        <w:spacing w:beforeLines="50" w:before="180" w:line="520" w:lineRule="exact"/>
        <w:ind w:left="640" w:hangingChars="200" w:hanging="640"/>
        <w:contextualSpacing/>
        <w:rPr>
          <w:rFonts w:ascii="標楷體" w:eastAsia="標楷體" w:hAnsi="標楷體"/>
          <w:bCs/>
          <w:sz w:val="32"/>
          <w:szCs w:val="32"/>
        </w:rPr>
      </w:pP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273897" w:rsidRDefault="00273897" w:rsidP="00611CFD">
      <w:pPr>
        <w:snapToGrid w:val="0"/>
        <w:spacing w:beforeLines="50" w:before="180" w:line="52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273897" w:rsidRPr="00611CFD" w:rsidRDefault="00273897" w:rsidP="00611CFD">
      <w:pPr>
        <w:snapToGrid w:val="0"/>
        <w:spacing w:beforeLines="50" w:before="180" w:line="52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四、1</w:t>
      </w:r>
      <w:r>
        <w:rPr>
          <w:rFonts w:ascii="標楷體" w:eastAsia="標楷體" w:hAnsi="標楷體"/>
          <w:bCs/>
          <w:sz w:val="32"/>
          <w:szCs w:val="32"/>
        </w:rPr>
        <w:t>12</w:t>
      </w:r>
      <w:r>
        <w:rPr>
          <w:rFonts w:ascii="標楷體" w:eastAsia="標楷體" w:hAnsi="標楷體" w:hint="eastAsia"/>
          <w:bCs/>
          <w:sz w:val="32"/>
          <w:szCs w:val="32"/>
        </w:rPr>
        <w:t>年度</w:t>
      </w:r>
      <w:r w:rsidRPr="00656E7E">
        <w:rPr>
          <w:rFonts w:ascii="標楷體" w:eastAsia="標楷體" w:hAnsi="標楷體" w:hint="eastAsia"/>
          <w:bCs/>
          <w:sz w:val="32"/>
          <w:szCs w:val="32"/>
        </w:rPr>
        <w:t>中央政府總預算案有關國立故宮博物院單位預算案及故宮文物藝術發展基金附屬單位預算案，</w:t>
      </w:r>
      <w:r>
        <w:rPr>
          <w:rFonts w:ascii="標楷體" w:eastAsia="標楷體" w:hAnsi="標楷體" w:hint="eastAsia"/>
          <w:bCs/>
          <w:sz w:val="32"/>
          <w:szCs w:val="32"/>
        </w:rPr>
        <w:t>另定期繼續審查。</w:t>
      </w:r>
    </w:p>
    <w:p w:rsidR="00273897" w:rsidRPr="00121576" w:rsidRDefault="00273897" w:rsidP="00273897">
      <w:pPr>
        <w:snapToGrid w:val="0"/>
        <w:spacing w:beforeLines="50" w:before="180" w:line="460" w:lineRule="exact"/>
        <w:ind w:rightChars="9" w:right="22"/>
        <w:jc w:val="both"/>
        <w:rPr>
          <w:rFonts w:ascii="標楷體" w:eastAsia="標楷體" w:hAnsi="標楷體"/>
          <w:b/>
          <w:bCs/>
          <w:sz w:val="32"/>
          <w:szCs w:val="32"/>
        </w:rPr>
      </w:pPr>
      <w:r>
        <w:rPr>
          <w:rFonts w:ascii="標楷體" w:eastAsia="標楷體" w:hAnsi="標楷體" w:hint="eastAsia"/>
          <w:spacing w:val="-2"/>
          <w:position w:val="2"/>
          <w:sz w:val="32"/>
          <w:szCs w:val="32"/>
        </w:rPr>
        <w:t>（</w:t>
      </w:r>
      <w:r>
        <w:rPr>
          <w:rFonts w:ascii="標楷體" w:eastAsia="標楷體" w:hAnsi="標楷體"/>
          <w:spacing w:val="-2"/>
          <w:position w:val="2"/>
          <w:sz w:val="32"/>
          <w:szCs w:val="32"/>
        </w:rPr>
        <w:t>10</w:t>
      </w:r>
      <w:r w:rsidRPr="00121576">
        <w:rPr>
          <w:rFonts w:ascii="標楷體" w:eastAsia="標楷體" w:hAnsi="標楷體" w:hint="eastAsia"/>
          <w:spacing w:val="-2"/>
          <w:position w:val="2"/>
          <w:sz w:val="32"/>
          <w:szCs w:val="32"/>
        </w:rPr>
        <w:t>月</w:t>
      </w:r>
      <w:r>
        <w:rPr>
          <w:rFonts w:ascii="標楷體" w:eastAsia="標楷體" w:hAnsi="標楷體"/>
          <w:spacing w:val="-2"/>
          <w:position w:val="2"/>
          <w:sz w:val="32"/>
          <w:szCs w:val="32"/>
        </w:rPr>
        <w:t>20</w:t>
      </w:r>
      <w:r w:rsidRPr="00121576">
        <w:rPr>
          <w:rFonts w:ascii="標楷體" w:eastAsia="標楷體" w:hAnsi="標楷體" w:hint="eastAsia"/>
          <w:spacing w:val="-2"/>
          <w:position w:val="2"/>
          <w:sz w:val="32"/>
          <w:szCs w:val="32"/>
        </w:rPr>
        <w:t>日</w:t>
      </w:r>
      <w:r>
        <w:rPr>
          <w:rFonts w:ascii="標楷體" w:eastAsia="標楷體" w:hAnsi="標楷體" w:hint="eastAsia"/>
          <w:spacing w:val="-2"/>
          <w:position w:val="2"/>
          <w:sz w:val="32"/>
          <w:szCs w:val="32"/>
        </w:rPr>
        <w:t>）</w:t>
      </w:r>
    </w:p>
    <w:p w:rsidR="00273897" w:rsidRDefault="00273897" w:rsidP="00273897">
      <w:pPr>
        <w:pStyle w:val="ac"/>
        <w:spacing w:line="460" w:lineRule="exact"/>
        <w:ind w:left="980" w:hanging="966"/>
        <w:rPr>
          <w:b/>
          <w:sz w:val="32"/>
          <w:szCs w:val="32"/>
        </w:rPr>
      </w:pPr>
      <w:r w:rsidRPr="0084281E">
        <w:rPr>
          <w:rFonts w:hint="eastAsia"/>
          <w:b/>
          <w:sz w:val="32"/>
          <w:szCs w:val="32"/>
        </w:rPr>
        <w:t>報  告  事  項</w:t>
      </w:r>
    </w:p>
    <w:p w:rsidR="00273897" w:rsidRDefault="00273897" w:rsidP="00450A50">
      <w:pPr>
        <w:pStyle w:val="ac"/>
        <w:spacing w:line="460" w:lineRule="exact"/>
        <w:ind w:left="0" w:firstLine="11"/>
        <w:rPr>
          <w:rFonts w:hAnsi="Times New Roman"/>
          <w:b/>
          <w:color w:val="000000"/>
          <w:sz w:val="32"/>
          <w:szCs w:val="32"/>
        </w:rPr>
      </w:pPr>
      <w:r w:rsidRPr="00C42930">
        <w:rPr>
          <w:rFonts w:hAnsi="Times New Roman" w:hint="eastAsia"/>
          <w:b/>
          <w:color w:val="000000"/>
          <w:sz w:val="32"/>
          <w:szCs w:val="32"/>
        </w:rPr>
        <w:t>教育部部長潘文忠列席就「如何有效防止校園霸凌並提升友善校園</w:t>
      </w:r>
      <w:r w:rsidRPr="00C42930">
        <w:rPr>
          <w:rFonts w:hAnsi="Times New Roman" w:hint="eastAsia"/>
          <w:b/>
          <w:color w:val="000000"/>
          <w:sz w:val="32"/>
          <w:szCs w:val="32"/>
        </w:rPr>
        <w:lastRenderedPageBreak/>
        <w:t>意識」進行專題報告，並備質詢。</w:t>
      </w:r>
    </w:p>
    <w:p w:rsidR="00273897" w:rsidRPr="0021150E" w:rsidRDefault="00273897" w:rsidP="00273897">
      <w:pPr>
        <w:snapToGrid w:val="0"/>
        <w:spacing w:before="120" w:afterLines="50" w:after="180" w:line="460" w:lineRule="exact"/>
        <w:rPr>
          <w:rFonts w:ascii="標楷體" w:eastAsia="標楷體" w:hAnsi="標楷體"/>
          <w:b/>
          <w:sz w:val="32"/>
          <w:szCs w:val="32"/>
        </w:rPr>
      </w:pPr>
      <w:r w:rsidRPr="0021150E">
        <w:rPr>
          <w:rFonts w:ascii="標楷體" w:eastAsia="標楷體" w:hAnsi="標楷體" w:hint="eastAsia"/>
          <w:b/>
          <w:sz w:val="32"/>
          <w:szCs w:val="32"/>
        </w:rPr>
        <w:t>討  論  事  項</w:t>
      </w:r>
    </w:p>
    <w:p w:rsidR="00273897" w:rsidRPr="0021150E" w:rsidRDefault="00273897" w:rsidP="006934DD">
      <w:pPr>
        <w:widowControl/>
        <w:numPr>
          <w:ilvl w:val="0"/>
          <w:numId w:val="25"/>
        </w:numPr>
        <w:snapToGrid w:val="0"/>
        <w:spacing w:before="120"/>
        <w:jc w:val="both"/>
        <w:rPr>
          <w:rFonts w:ascii="標楷體" w:eastAsia="標楷體" w:hAnsi="標楷體" w:cs="新細明體"/>
          <w:b/>
          <w:bCs/>
          <w:kern w:val="0"/>
          <w:sz w:val="32"/>
          <w:szCs w:val="32"/>
        </w:rPr>
      </w:pPr>
      <w:r w:rsidRPr="0021150E">
        <w:rPr>
          <w:rFonts w:ascii="標楷體" w:eastAsia="標楷體" w:hAnsi="標楷體" w:cs="新細明體" w:hint="eastAsia"/>
          <w:b/>
          <w:bCs/>
          <w:kern w:val="0"/>
          <w:sz w:val="32"/>
          <w:szCs w:val="32"/>
        </w:rPr>
        <w:t>審查112年度中央政府總預算案有關教育部及所屬單位預算案。</w:t>
      </w:r>
    </w:p>
    <w:p w:rsidR="00273897" w:rsidRPr="0021150E" w:rsidRDefault="00273897" w:rsidP="006934DD">
      <w:pPr>
        <w:widowControl/>
        <w:numPr>
          <w:ilvl w:val="0"/>
          <w:numId w:val="25"/>
        </w:numPr>
        <w:snapToGrid w:val="0"/>
        <w:spacing w:before="120"/>
        <w:jc w:val="both"/>
        <w:rPr>
          <w:rFonts w:ascii="標楷體" w:eastAsia="標楷體" w:hAnsi="標楷體" w:cs="新細明體"/>
          <w:b/>
          <w:bCs/>
          <w:kern w:val="0"/>
          <w:sz w:val="32"/>
          <w:szCs w:val="32"/>
        </w:rPr>
      </w:pPr>
      <w:r w:rsidRPr="0021150E">
        <w:rPr>
          <w:rFonts w:ascii="標楷體" w:eastAsia="標楷體" w:hAnsi="標楷體" w:cs="新細明體" w:hint="eastAsia"/>
          <w:b/>
          <w:bCs/>
          <w:kern w:val="0"/>
          <w:sz w:val="32"/>
          <w:szCs w:val="32"/>
        </w:rPr>
        <w:t>審查112年度教育部主管47所國立大學校院校務基金、國立臺灣大學附設醫院作業基金、國立成功大學附設醫院作業基金、國立陽明交通大學附設醫院作業基金、教育部所屬機構作業基金、國立高級中等學校校務基金、學產基金、運動發展基金、私立高級中等以上學校退場基金預算案。</w:t>
      </w:r>
    </w:p>
    <w:p w:rsidR="00273897" w:rsidRPr="0021150E" w:rsidRDefault="00273897" w:rsidP="006934DD">
      <w:pPr>
        <w:widowControl/>
        <w:numPr>
          <w:ilvl w:val="0"/>
          <w:numId w:val="25"/>
        </w:numPr>
        <w:snapToGrid w:val="0"/>
        <w:spacing w:before="120"/>
        <w:jc w:val="both"/>
        <w:rPr>
          <w:rFonts w:ascii="標楷體" w:eastAsia="標楷體" w:hAnsi="標楷體" w:cs="新細明體"/>
          <w:b/>
          <w:bCs/>
          <w:kern w:val="0"/>
          <w:sz w:val="32"/>
          <w:szCs w:val="32"/>
        </w:rPr>
      </w:pPr>
      <w:r w:rsidRPr="0021150E">
        <w:rPr>
          <w:rFonts w:ascii="標楷體" w:eastAsia="標楷體" w:hAnsi="標楷體" w:cs="新細明體" w:hint="eastAsia"/>
          <w:b/>
          <w:bCs/>
          <w:kern w:val="0"/>
          <w:sz w:val="32"/>
          <w:szCs w:val="32"/>
        </w:rPr>
        <w:t>審查112年度行政法人國家運動訓練中心預算案。</w:t>
      </w:r>
    </w:p>
    <w:p w:rsidR="00273897" w:rsidRPr="00121576" w:rsidRDefault="00273897" w:rsidP="00273897">
      <w:pPr>
        <w:widowControl/>
        <w:snapToGrid w:val="0"/>
        <w:spacing w:before="120"/>
        <w:ind w:left="720"/>
        <w:jc w:val="both"/>
        <w:rPr>
          <w:b/>
          <w:sz w:val="32"/>
          <w:szCs w:val="32"/>
        </w:rPr>
      </w:pPr>
      <w:r w:rsidRPr="0021150E">
        <w:rPr>
          <w:rFonts w:ascii="標楷體" w:eastAsia="標楷體" w:hAnsi="標楷體" w:cs="新細明體" w:hint="eastAsia"/>
          <w:b/>
          <w:bCs/>
          <w:kern w:val="0"/>
          <w:sz w:val="32"/>
          <w:szCs w:val="32"/>
        </w:rPr>
        <w:t>(</w:t>
      </w:r>
      <w:r>
        <w:rPr>
          <w:rFonts w:ascii="標楷體" w:eastAsia="標楷體" w:hAnsi="標楷體" w:cs="新細明體" w:hint="eastAsia"/>
          <w:b/>
          <w:bCs/>
          <w:kern w:val="0"/>
          <w:sz w:val="32"/>
          <w:szCs w:val="32"/>
        </w:rPr>
        <w:t>僅進行詢答</w:t>
      </w:r>
      <w:r w:rsidRPr="0021150E">
        <w:rPr>
          <w:rFonts w:ascii="標楷體" w:eastAsia="標楷體" w:hAnsi="標楷體" w:cs="新細明體"/>
          <w:b/>
          <w:bCs/>
          <w:kern w:val="0"/>
          <w:sz w:val="32"/>
          <w:szCs w:val="32"/>
        </w:rPr>
        <w:t>)</w:t>
      </w:r>
    </w:p>
    <w:p w:rsidR="00273897" w:rsidRDefault="00273897" w:rsidP="00273897">
      <w:pPr>
        <w:pStyle w:val="a4"/>
        <w:snapToGrid w:val="0"/>
        <w:spacing w:before="120" w:line="500" w:lineRule="exact"/>
        <w:ind w:leftChars="0" w:left="0"/>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日</w:t>
      </w:r>
      <w:r w:rsidRPr="008C78CE">
        <w:rPr>
          <w:rFonts w:ascii="標楷體" w:eastAsia="標楷體" w:hAnsi="標楷體"/>
          <w:sz w:val="32"/>
          <w:szCs w:val="32"/>
        </w:rPr>
        <w:t>議程</w:t>
      </w:r>
      <w:r>
        <w:rPr>
          <w:rFonts w:ascii="標楷體" w:eastAsia="標楷體" w:hAnsi="標楷體" w:hint="eastAsia"/>
          <w:sz w:val="32"/>
          <w:szCs w:val="32"/>
        </w:rPr>
        <w:t>採綜合詢答，</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8808BE">
        <w:rPr>
          <w:rFonts w:ascii="標楷體" w:eastAsia="標楷體" w:hAnsi="標楷體" w:hint="eastAsia"/>
          <w:sz w:val="32"/>
          <w:szCs w:val="32"/>
        </w:rPr>
        <w:t>張廖萬堅、</w:t>
      </w:r>
      <w:r w:rsidRPr="00130CA5">
        <w:rPr>
          <w:rFonts w:ascii="標楷體" w:eastAsia="標楷體" w:hAnsi="標楷體" w:hint="eastAsia"/>
          <w:sz w:val="32"/>
          <w:szCs w:val="32"/>
        </w:rPr>
        <w:t>林奕華、黃國書、</w:t>
      </w:r>
      <w:r w:rsidRPr="00F6758C">
        <w:rPr>
          <w:rFonts w:ascii="標楷體" w:eastAsia="標楷體" w:hAnsi="標楷體" w:hint="eastAsia"/>
          <w:sz w:val="32"/>
          <w:szCs w:val="32"/>
        </w:rPr>
        <w:t>陳秀寳、</w:t>
      </w:r>
      <w:r w:rsidRPr="000A32BB">
        <w:rPr>
          <w:rFonts w:ascii="標楷體" w:eastAsia="標楷體" w:hAnsi="標楷體" w:hint="eastAsia"/>
          <w:sz w:val="32"/>
          <w:szCs w:val="32"/>
        </w:rPr>
        <w:t>王婉諭、</w:t>
      </w:r>
      <w:r w:rsidRPr="008808BE">
        <w:rPr>
          <w:rFonts w:ascii="標楷體" w:eastAsia="標楷體" w:hAnsi="標楷體" w:hint="eastAsia"/>
          <w:sz w:val="32"/>
          <w:szCs w:val="32"/>
        </w:rPr>
        <w:t>鄭正鈐、</w:t>
      </w:r>
      <w:r w:rsidRPr="00130CA5">
        <w:rPr>
          <w:rFonts w:ascii="標楷體" w:eastAsia="標楷體" w:hAnsi="標楷體" w:hint="eastAsia"/>
          <w:sz w:val="32"/>
          <w:szCs w:val="32"/>
        </w:rPr>
        <w:t>吳思瑤、</w:t>
      </w:r>
      <w:r>
        <w:rPr>
          <w:rFonts w:ascii="標楷體" w:eastAsia="標楷體" w:hAnsi="標楷體" w:hint="eastAsia"/>
          <w:sz w:val="32"/>
          <w:szCs w:val="32"/>
        </w:rPr>
        <w:t>何欣純、高金素梅、</w:t>
      </w:r>
      <w:r w:rsidRPr="001A65A0">
        <w:rPr>
          <w:rFonts w:ascii="標楷體" w:eastAsia="標楷體" w:hAnsi="標楷體" w:hint="eastAsia"/>
          <w:sz w:val="32"/>
          <w:szCs w:val="32"/>
        </w:rPr>
        <w:t>林宜瑾、</w:t>
      </w:r>
      <w:r w:rsidRPr="008808BE">
        <w:rPr>
          <w:rFonts w:ascii="標楷體" w:eastAsia="標楷體" w:hAnsi="標楷體" w:hint="eastAsia"/>
          <w:sz w:val="32"/>
          <w:szCs w:val="32"/>
        </w:rPr>
        <w:t>范雲、</w:t>
      </w:r>
      <w:r w:rsidRPr="0097100E">
        <w:rPr>
          <w:rFonts w:ascii="標楷體" w:eastAsia="標楷體" w:hAnsi="標楷體" w:hint="eastAsia"/>
          <w:sz w:val="32"/>
          <w:szCs w:val="32"/>
        </w:rPr>
        <w:t>萬美玲、</w:t>
      </w:r>
      <w:r w:rsidRPr="008808BE">
        <w:rPr>
          <w:rFonts w:ascii="標楷體" w:eastAsia="標楷體" w:hAnsi="標楷體" w:hint="eastAsia"/>
          <w:sz w:val="32"/>
          <w:szCs w:val="32"/>
        </w:rPr>
        <w:t>賴品妤、</w:t>
      </w:r>
      <w:r w:rsidRPr="00D729FA">
        <w:rPr>
          <w:rFonts w:ascii="標楷體" w:eastAsia="標楷體" w:hAnsi="標楷體" w:hint="eastAsia"/>
          <w:sz w:val="32"/>
          <w:szCs w:val="32"/>
        </w:rPr>
        <w:t>伍麗華Saidhai Tahovecahe</w:t>
      </w:r>
      <w:r>
        <w:rPr>
          <w:rFonts w:ascii="標楷體" w:eastAsia="標楷體" w:hAnsi="標楷體" w:hint="eastAsia"/>
          <w:sz w:val="32"/>
          <w:szCs w:val="32"/>
        </w:rPr>
        <w:t>、洪孟楷、</w:t>
      </w:r>
      <w:r w:rsidRPr="00C20C14">
        <w:rPr>
          <w:rFonts w:ascii="標楷體" w:eastAsia="標楷體" w:hAnsi="標楷體" w:hint="eastAsia"/>
          <w:sz w:val="32"/>
          <w:szCs w:val="32"/>
        </w:rPr>
        <w:t>鄭天財Sra Kacaw</w:t>
      </w:r>
      <w:r>
        <w:rPr>
          <w:rFonts w:ascii="標楷體" w:eastAsia="標楷體" w:hAnsi="標楷體" w:hint="eastAsia"/>
          <w:sz w:val="32"/>
          <w:szCs w:val="32"/>
        </w:rPr>
        <w:t>、陳椒華、楊瓊瓔、吳怡玎、張其祿、賴惠員、孔文吉、李德維等</w:t>
      </w:r>
      <w:r>
        <w:rPr>
          <w:rFonts w:ascii="標楷體" w:eastAsia="標楷體" w:hAnsi="標楷體"/>
          <w:sz w:val="32"/>
          <w:szCs w:val="32"/>
        </w:rPr>
        <w:t>23</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教育部部長潘文忠</w:t>
      </w:r>
      <w:r w:rsidRPr="008C78CE">
        <w:rPr>
          <w:rFonts w:ascii="標楷體" w:eastAsia="標楷體" w:hAnsi="標楷體"/>
          <w:sz w:val="32"/>
          <w:szCs w:val="32"/>
        </w:rPr>
        <w:t>及相關人員即席答復說明。）</w:t>
      </w:r>
    </w:p>
    <w:p w:rsidR="00273897" w:rsidRPr="0000524E" w:rsidRDefault="00273897" w:rsidP="00273897">
      <w:pPr>
        <w:snapToGrid w:val="0"/>
        <w:spacing w:beforeLines="50" w:before="18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273897" w:rsidRPr="0000524E" w:rsidRDefault="00273897" w:rsidP="00273897">
      <w:pPr>
        <w:snapToGrid w:val="0"/>
        <w:spacing w:beforeLines="50" w:before="180" w:line="52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73897" w:rsidRPr="0000524E" w:rsidRDefault="00273897" w:rsidP="00273897">
      <w:pPr>
        <w:snapToGrid w:val="0"/>
        <w:spacing w:beforeLines="50" w:before="180" w:line="520" w:lineRule="exact"/>
        <w:ind w:left="640" w:hangingChars="200" w:hanging="640"/>
        <w:contextualSpacing/>
        <w:rPr>
          <w:rFonts w:ascii="標楷體" w:eastAsia="標楷體" w:hAnsi="標楷體"/>
          <w:bCs/>
          <w:sz w:val="32"/>
          <w:szCs w:val="32"/>
        </w:rPr>
      </w:pP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273897" w:rsidRDefault="00273897" w:rsidP="00450A50">
      <w:pPr>
        <w:snapToGrid w:val="0"/>
        <w:spacing w:beforeLines="50" w:before="180" w:after="240" w:line="520" w:lineRule="exact"/>
        <w:ind w:leftChars="1" w:left="642"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273897" w:rsidRPr="00011F80" w:rsidRDefault="00273897" w:rsidP="00450A50">
      <w:pPr>
        <w:snapToGrid w:val="0"/>
        <w:spacing w:beforeLines="50" w:before="180" w:after="240" w:line="520" w:lineRule="exact"/>
        <w:ind w:leftChars="1" w:left="642"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四、</w:t>
      </w:r>
      <w:r w:rsidRPr="00270AD1">
        <w:rPr>
          <w:rFonts w:ascii="標楷體" w:eastAsia="標楷體" w:hAnsi="標楷體" w:hint="eastAsia"/>
          <w:bCs/>
          <w:sz w:val="32"/>
          <w:szCs w:val="32"/>
        </w:rPr>
        <w:t>11</w:t>
      </w:r>
      <w:r>
        <w:rPr>
          <w:rFonts w:ascii="標楷體" w:eastAsia="標楷體" w:hAnsi="標楷體" w:hint="eastAsia"/>
          <w:bCs/>
          <w:sz w:val="32"/>
          <w:szCs w:val="32"/>
        </w:rPr>
        <w:t>2</w:t>
      </w:r>
      <w:r w:rsidRPr="00270AD1">
        <w:rPr>
          <w:rFonts w:ascii="標楷體" w:eastAsia="標楷體" w:hAnsi="標楷體" w:hint="eastAsia"/>
          <w:bCs/>
          <w:sz w:val="32"/>
          <w:szCs w:val="32"/>
        </w:rPr>
        <w:t>年度中央政府總預算案有關教育部及所屬單位預算案、教育部主管47所國立大學校院校務基金、國立臺灣大學附設醫院作業基金、國立成功大學附設醫院作業基金、國立陽明交通大學附設醫院作業基金、教育部所屬機構作業基金、國立高級中等學校校務基金、學產基金、運動發展基金、</w:t>
      </w:r>
      <w:r>
        <w:rPr>
          <w:rFonts w:ascii="標楷體" w:eastAsia="標楷體" w:hAnsi="標楷體" w:hint="eastAsia"/>
          <w:bCs/>
          <w:sz w:val="32"/>
          <w:szCs w:val="32"/>
        </w:rPr>
        <w:t>私立高級中等以上學校</w:t>
      </w:r>
      <w:r w:rsidRPr="00270AD1">
        <w:rPr>
          <w:rFonts w:ascii="標楷體" w:eastAsia="標楷體" w:hAnsi="標楷體" w:hint="eastAsia"/>
          <w:bCs/>
          <w:sz w:val="32"/>
          <w:szCs w:val="32"/>
        </w:rPr>
        <w:t>退場基金預算案</w:t>
      </w:r>
      <w:r>
        <w:rPr>
          <w:rFonts w:ascii="標楷體" w:eastAsia="標楷體" w:hAnsi="標楷體" w:hint="eastAsia"/>
          <w:bCs/>
          <w:sz w:val="32"/>
          <w:szCs w:val="32"/>
        </w:rPr>
        <w:t>、行政法人國家運動訓練中心預算案</w:t>
      </w:r>
      <w:r w:rsidRPr="00270AD1">
        <w:rPr>
          <w:rFonts w:ascii="標楷體" w:eastAsia="標楷體" w:hAnsi="標楷體" w:hint="eastAsia"/>
          <w:bCs/>
          <w:sz w:val="32"/>
          <w:szCs w:val="32"/>
        </w:rPr>
        <w:t>，</w:t>
      </w:r>
      <w:r>
        <w:rPr>
          <w:rFonts w:ascii="標楷體" w:eastAsia="標楷體" w:hAnsi="標楷體" w:hint="eastAsia"/>
          <w:bCs/>
          <w:sz w:val="32"/>
          <w:szCs w:val="32"/>
        </w:rPr>
        <w:lastRenderedPageBreak/>
        <w:t>另定期繼續審查。</w:t>
      </w:r>
    </w:p>
    <w:p w:rsidR="00273897" w:rsidRDefault="00273897" w:rsidP="00273897">
      <w:pPr>
        <w:snapToGrid w:val="0"/>
        <w:spacing w:before="240" w:line="500" w:lineRule="exact"/>
        <w:rPr>
          <w:rFonts w:ascii="標楷體" w:eastAsia="標楷體" w:hAnsi="標楷體"/>
          <w:b/>
          <w:bCs/>
          <w:sz w:val="32"/>
          <w:szCs w:val="32"/>
        </w:rPr>
      </w:pPr>
      <w:r w:rsidRPr="00EB0E52">
        <w:rPr>
          <w:rFonts w:ascii="標楷體" w:eastAsia="標楷體" w:hAnsi="標楷體" w:hint="eastAsia"/>
          <w:b/>
          <w:bCs/>
          <w:sz w:val="32"/>
          <w:szCs w:val="32"/>
        </w:rPr>
        <w:t>通過臨時提案</w:t>
      </w:r>
      <w:r>
        <w:rPr>
          <w:rFonts w:ascii="標楷體" w:eastAsia="標楷體" w:hAnsi="標楷體" w:hint="eastAsia"/>
          <w:b/>
          <w:bCs/>
          <w:sz w:val="32"/>
          <w:szCs w:val="32"/>
        </w:rPr>
        <w:t>3</w:t>
      </w:r>
      <w:r w:rsidRPr="00EB0E52">
        <w:rPr>
          <w:rFonts w:ascii="標楷體" w:eastAsia="標楷體" w:hAnsi="標楷體" w:hint="eastAsia"/>
          <w:b/>
          <w:bCs/>
          <w:sz w:val="32"/>
          <w:szCs w:val="32"/>
        </w:rPr>
        <w:t>項：</w:t>
      </w:r>
    </w:p>
    <w:p w:rsidR="00273897" w:rsidRDefault="00273897" w:rsidP="00273897">
      <w:pPr>
        <w:snapToGrid w:val="0"/>
        <w:spacing w:before="240" w:line="52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一、鑑</w:t>
      </w:r>
      <w:r w:rsidRPr="00466AE6">
        <w:rPr>
          <w:rFonts w:ascii="標楷體" w:eastAsia="標楷體" w:hAnsi="標楷體" w:hint="eastAsia"/>
          <w:bCs/>
          <w:sz w:val="32"/>
          <w:szCs w:val="32"/>
        </w:rPr>
        <w:t>於近期發生退役滑輪溜冰選手指控，曾遭現任國家培訓隊教練性騷長達</w:t>
      </w:r>
      <w:r>
        <w:rPr>
          <w:rFonts w:ascii="標楷體" w:eastAsia="標楷體" w:hAnsi="標楷體" w:hint="eastAsia"/>
          <w:bCs/>
          <w:sz w:val="32"/>
          <w:szCs w:val="32"/>
        </w:rPr>
        <w:t>6</w:t>
      </w:r>
      <w:r w:rsidRPr="00466AE6">
        <w:rPr>
          <w:rFonts w:ascii="標楷體" w:eastAsia="標楷體" w:hAnsi="標楷體" w:hint="eastAsia"/>
          <w:bCs/>
          <w:sz w:val="32"/>
          <w:szCs w:val="32"/>
        </w:rPr>
        <w:t>年，目前</w:t>
      </w:r>
      <w:r w:rsidRPr="00964C30">
        <w:rPr>
          <w:rFonts w:ascii="標楷體" w:eastAsia="標楷體" w:hAnsi="標楷體" w:hint="eastAsia"/>
          <w:bCs/>
          <w:sz w:val="32"/>
          <w:szCs w:val="32"/>
        </w:rPr>
        <w:t>中華民國滑輪溜冰協會</w:t>
      </w:r>
      <w:r w:rsidRPr="00466AE6">
        <w:rPr>
          <w:rFonts w:ascii="標楷體" w:eastAsia="標楷體" w:hAnsi="標楷體" w:hint="eastAsia"/>
          <w:bCs/>
          <w:sz w:val="32"/>
          <w:szCs w:val="32"/>
        </w:rPr>
        <w:t>已介入調查。然依現行「特定體育團體建立運動教練資格檢定及管理辦法」規定，若性騷擾屬實，僅能撤銷其教練證，且3年後即可重新申請教練資格，顯難有效嚇阻；再者現行「各級學校專任運動教練聘任管理辦法」已規定，學校專任教練經調查確認有性騷擾或性霸凌行為，即應予解聘，且終身不得聘任，顯見現行</w:t>
      </w:r>
      <w:r>
        <w:rPr>
          <w:rFonts w:ascii="標楷體" w:eastAsia="標楷體" w:hAnsi="標楷體" w:hint="eastAsia"/>
          <w:bCs/>
          <w:sz w:val="32"/>
          <w:szCs w:val="32"/>
        </w:rPr>
        <w:t>「特定體育團體建立運動教練資格檢定及管理辦法」之罰則過輕，爰</w:t>
      </w:r>
      <w:r w:rsidRPr="00466AE6">
        <w:rPr>
          <w:rFonts w:ascii="標楷體" w:eastAsia="標楷體" w:hAnsi="標楷體" w:hint="eastAsia"/>
          <w:bCs/>
          <w:sz w:val="32"/>
          <w:szCs w:val="32"/>
        </w:rPr>
        <w:t>要求</w:t>
      </w:r>
      <w:r>
        <w:rPr>
          <w:rFonts w:ascii="標楷體" w:eastAsia="標楷體" w:hAnsi="標楷體" w:hint="eastAsia"/>
          <w:bCs/>
          <w:sz w:val="32"/>
          <w:szCs w:val="32"/>
        </w:rPr>
        <w:t>教育部</w:t>
      </w:r>
      <w:r w:rsidRPr="00466AE6">
        <w:rPr>
          <w:rFonts w:ascii="標楷體" w:eastAsia="標楷體" w:hAnsi="標楷體" w:hint="eastAsia"/>
          <w:bCs/>
          <w:sz w:val="32"/>
          <w:szCs w:val="32"/>
        </w:rPr>
        <w:t>體育署應於</w:t>
      </w:r>
      <w:r>
        <w:rPr>
          <w:rFonts w:ascii="標楷體" w:eastAsia="標楷體" w:hAnsi="標楷體" w:hint="eastAsia"/>
          <w:bCs/>
          <w:sz w:val="32"/>
          <w:szCs w:val="32"/>
        </w:rPr>
        <w:t>6</w:t>
      </w:r>
      <w:r w:rsidRPr="00466AE6">
        <w:rPr>
          <w:rFonts w:ascii="標楷體" w:eastAsia="標楷體" w:hAnsi="標楷體" w:hint="eastAsia"/>
          <w:bCs/>
          <w:sz w:val="32"/>
          <w:szCs w:val="32"/>
        </w:rPr>
        <w:t>個月內修正「特定體育團體建立運動教練資格檢定及管理辦法」，明定教練有性騷擾或性霸凌行為，經查證屬實，即</w:t>
      </w:r>
      <w:r>
        <w:rPr>
          <w:rFonts w:ascii="標楷體" w:eastAsia="標楷體" w:hAnsi="標楷體" w:hint="eastAsia"/>
          <w:bCs/>
          <w:sz w:val="32"/>
          <w:szCs w:val="32"/>
        </w:rPr>
        <w:t>註銷教練證，並經依法通報為不適任教育人員，於通報管制期間不受理其教練證之申請檢定</w:t>
      </w:r>
      <w:r w:rsidRPr="00466AE6">
        <w:rPr>
          <w:rFonts w:ascii="標楷體" w:eastAsia="標楷體" w:hAnsi="標楷體" w:hint="eastAsia"/>
          <w:bCs/>
          <w:sz w:val="32"/>
          <w:szCs w:val="32"/>
        </w:rPr>
        <w:t>。</w:t>
      </w:r>
    </w:p>
    <w:p w:rsidR="00273897" w:rsidRDefault="00273897" w:rsidP="00273897">
      <w:pPr>
        <w:snapToGrid w:val="0"/>
        <w:spacing w:before="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提案人：萬美玲  范  雲</w:t>
      </w:r>
    </w:p>
    <w:p w:rsidR="00273897" w:rsidRDefault="00273897" w:rsidP="00273897">
      <w:pPr>
        <w:snapToGrid w:val="0"/>
        <w:spacing w:before="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連署人：林奕華  高金素梅</w:t>
      </w:r>
    </w:p>
    <w:p w:rsidR="00273897" w:rsidRDefault="00273897" w:rsidP="00273897">
      <w:pPr>
        <w:snapToGrid w:val="0"/>
        <w:spacing w:before="240" w:line="52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二、</w:t>
      </w:r>
      <w:r w:rsidRPr="008732EE">
        <w:rPr>
          <w:rFonts w:ascii="標楷體" w:eastAsia="標楷體" w:hAnsi="標楷體" w:hint="eastAsia"/>
          <w:bCs/>
          <w:sz w:val="32"/>
          <w:szCs w:val="32"/>
        </w:rPr>
        <w:t>近年來政府推動「0至6歲國家一起養」政策，就學費用再降低及育兒津貼再提高，對於減輕家庭負擔助益良多，但育兒津貼申領條件設有綜合</w:t>
      </w:r>
      <w:r>
        <w:rPr>
          <w:rFonts w:ascii="標楷體" w:eastAsia="標楷體" w:hAnsi="標楷體" w:hint="eastAsia"/>
          <w:bCs/>
          <w:sz w:val="32"/>
          <w:szCs w:val="32"/>
        </w:rPr>
        <w:t>所</w:t>
      </w:r>
      <w:r w:rsidRPr="008732EE">
        <w:rPr>
          <w:rFonts w:ascii="標楷體" w:eastAsia="標楷體" w:hAnsi="標楷體" w:hint="eastAsia"/>
          <w:bCs/>
          <w:sz w:val="32"/>
          <w:szCs w:val="32"/>
        </w:rPr>
        <w:t>得稅率不可超過20%的排富規定，綜所稅20%以上之家庭，雖然所得較一般家庭高，但家庭育兒負擔一樣沈重。因此，為使所有0歲至入國小前幼兒都能受到政府的照顧，並鼓勵所得較高家庭能生育</w:t>
      </w:r>
      <w:r>
        <w:rPr>
          <w:rFonts w:ascii="標楷體" w:eastAsia="標楷體" w:hAnsi="標楷體" w:hint="eastAsia"/>
          <w:bCs/>
          <w:sz w:val="32"/>
          <w:szCs w:val="32"/>
        </w:rPr>
        <w:t>2</w:t>
      </w:r>
      <w:r w:rsidRPr="008732EE">
        <w:rPr>
          <w:rFonts w:ascii="標楷體" w:eastAsia="標楷體" w:hAnsi="標楷體" w:hint="eastAsia"/>
          <w:bCs/>
          <w:sz w:val="32"/>
          <w:szCs w:val="32"/>
        </w:rPr>
        <w:t>個以上的幼兒，建請</w:t>
      </w:r>
      <w:r>
        <w:rPr>
          <w:rFonts w:ascii="標楷體" w:eastAsia="標楷體" w:hAnsi="標楷體" w:hint="eastAsia"/>
          <w:bCs/>
          <w:sz w:val="32"/>
          <w:szCs w:val="32"/>
        </w:rPr>
        <w:t>教育部會同衛生福利部</w:t>
      </w:r>
      <w:r w:rsidRPr="008732EE">
        <w:rPr>
          <w:rFonts w:ascii="標楷體" w:eastAsia="標楷體" w:hAnsi="標楷體" w:hint="eastAsia"/>
          <w:bCs/>
          <w:sz w:val="32"/>
          <w:szCs w:val="32"/>
        </w:rPr>
        <w:t>研議取消津貼排富規定</w:t>
      </w:r>
      <w:r>
        <w:rPr>
          <w:rFonts w:ascii="標楷體" w:eastAsia="標楷體" w:hAnsi="標楷體" w:hint="eastAsia"/>
          <w:bCs/>
          <w:sz w:val="32"/>
          <w:szCs w:val="32"/>
        </w:rPr>
        <w:t>，並於112年元月起實施</w:t>
      </w:r>
      <w:r w:rsidRPr="00F601B8">
        <w:rPr>
          <w:rFonts w:ascii="標楷體" w:eastAsia="標楷體" w:hAnsi="標楷體" w:hint="eastAsia"/>
          <w:bCs/>
          <w:sz w:val="32"/>
          <w:szCs w:val="32"/>
        </w:rPr>
        <w:t>。</w:t>
      </w:r>
    </w:p>
    <w:p w:rsidR="00273897" w:rsidRDefault="00273897" w:rsidP="00273897">
      <w:pPr>
        <w:snapToGrid w:val="0"/>
        <w:spacing w:before="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提案人：張廖萬堅</w:t>
      </w:r>
      <w:r w:rsidRPr="0042162A">
        <w:rPr>
          <w:rFonts w:ascii="標楷體" w:eastAsia="標楷體" w:hAnsi="標楷體" w:hint="eastAsia"/>
          <w:bCs/>
          <w:sz w:val="32"/>
          <w:szCs w:val="32"/>
        </w:rPr>
        <w:t xml:space="preserve">  范  雲</w:t>
      </w:r>
    </w:p>
    <w:p w:rsidR="00273897" w:rsidRDefault="00273897" w:rsidP="00273897">
      <w:pPr>
        <w:snapToGrid w:val="0"/>
        <w:spacing w:before="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連署人：黃國書  陳秀寳  林宜瑾</w:t>
      </w:r>
    </w:p>
    <w:p w:rsidR="00273897" w:rsidRDefault="00273897" w:rsidP="00273897">
      <w:pPr>
        <w:snapToGrid w:val="0"/>
        <w:spacing w:before="240" w:line="52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三、</w:t>
      </w:r>
      <w:r w:rsidRPr="008732EE">
        <w:rPr>
          <w:rFonts w:ascii="標楷體" w:eastAsia="標楷體" w:hAnsi="標楷體" w:hint="eastAsia"/>
          <w:bCs/>
          <w:sz w:val="32"/>
          <w:szCs w:val="32"/>
        </w:rPr>
        <w:t>因應軍教課稅配套措施，幼兒園教保員依照課稅配套的核算結</w:t>
      </w:r>
      <w:r w:rsidRPr="008732EE">
        <w:rPr>
          <w:rFonts w:ascii="標楷體" w:eastAsia="標楷體" w:hAnsi="標楷體" w:hint="eastAsia"/>
          <w:bCs/>
          <w:sz w:val="32"/>
          <w:szCs w:val="32"/>
        </w:rPr>
        <w:lastRenderedPageBreak/>
        <w:t>果，每月支給900元之教保費，此額度與導師費間有落差。考量教師及教保員培育歷程雖有不同，但有鑑於二者工作性質相同，二者均為提供幼兒教保服務品質的重要關鍵，因此，建請教育部研議調高每月之教保費額度</w:t>
      </w:r>
      <w:r>
        <w:rPr>
          <w:rFonts w:ascii="標楷體" w:eastAsia="標楷體" w:hAnsi="標楷體" w:hint="eastAsia"/>
          <w:bCs/>
          <w:sz w:val="32"/>
          <w:szCs w:val="32"/>
        </w:rPr>
        <w:t>，並於112年元月起實施</w:t>
      </w:r>
      <w:r w:rsidRPr="00F601B8">
        <w:rPr>
          <w:rFonts w:ascii="標楷體" w:eastAsia="標楷體" w:hAnsi="標楷體" w:hint="eastAsia"/>
          <w:bCs/>
          <w:sz w:val="32"/>
          <w:szCs w:val="32"/>
        </w:rPr>
        <w:t>。</w:t>
      </w:r>
    </w:p>
    <w:p w:rsidR="00273897" w:rsidRDefault="00273897" w:rsidP="00273897">
      <w:pPr>
        <w:snapToGrid w:val="0"/>
        <w:spacing w:before="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提案人：張廖萬堅</w:t>
      </w:r>
      <w:r w:rsidRPr="0042162A">
        <w:rPr>
          <w:rFonts w:ascii="標楷體" w:eastAsia="標楷體" w:hAnsi="標楷體" w:hint="eastAsia"/>
          <w:bCs/>
          <w:sz w:val="32"/>
          <w:szCs w:val="32"/>
        </w:rPr>
        <w:t xml:space="preserve">  范  雲</w:t>
      </w:r>
    </w:p>
    <w:p w:rsidR="00273897" w:rsidRDefault="00273897" w:rsidP="00273897">
      <w:pPr>
        <w:snapToGrid w:val="0"/>
        <w:spacing w:before="240"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連署人：黃國書  陳秀寳  林宜瑾</w:t>
      </w:r>
    </w:p>
    <w:p w:rsidR="00273897" w:rsidRDefault="00273897" w:rsidP="00273897">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273897" w:rsidRDefault="00273897" w:rsidP="00273897">
      <w:pPr>
        <w:snapToGrid w:val="0"/>
        <w:spacing w:line="460" w:lineRule="exact"/>
        <w:ind w:rightChars="9" w:right="22"/>
        <w:jc w:val="both"/>
        <w:rPr>
          <w:rFonts w:ascii="標楷體" w:eastAsia="標楷體" w:hAnsi="標楷體"/>
          <w:b/>
          <w:bCs/>
          <w:sz w:val="32"/>
          <w:szCs w:val="32"/>
        </w:rPr>
      </w:pPr>
    </w:p>
    <w:p w:rsidR="00273897" w:rsidRDefault="00273897" w:rsidP="00273897">
      <w:pPr>
        <w:snapToGrid w:val="0"/>
        <w:spacing w:line="460" w:lineRule="exact"/>
        <w:ind w:rightChars="9" w:right="22"/>
        <w:jc w:val="both"/>
        <w:rPr>
          <w:rFonts w:ascii="標楷體" w:eastAsia="標楷體" w:hAnsi="標楷體"/>
          <w:b/>
          <w:bCs/>
          <w:sz w:val="32"/>
          <w:szCs w:val="32"/>
        </w:rPr>
      </w:pPr>
    </w:p>
    <w:p w:rsidR="00273897" w:rsidRDefault="00273897" w:rsidP="00273897">
      <w:pPr>
        <w:snapToGrid w:val="0"/>
        <w:spacing w:line="460" w:lineRule="exact"/>
        <w:ind w:rightChars="9" w:right="22"/>
        <w:jc w:val="both"/>
        <w:rPr>
          <w:rFonts w:ascii="標楷體" w:eastAsia="標楷體" w:hAnsi="標楷體"/>
          <w:b/>
          <w:bCs/>
          <w:sz w:val="32"/>
          <w:szCs w:val="32"/>
        </w:rPr>
      </w:pPr>
    </w:p>
    <w:p w:rsidR="00273897" w:rsidRDefault="00273897" w:rsidP="00273897">
      <w:pPr>
        <w:snapToGrid w:val="0"/>
        <w:spacing w:line="460" w:lineRule="exact"/>
        <w:ind w:rightChars="9" w:right="22"/>
        <w:jc w:val="both"/>
        <w:rPr>
          <w:rFonts w:ascii="標楷體" w:eastAsia="標楷體" w:hAnsi="標楷體"/>
          <w:b/>
          <w:bCs/>
          <w:sz w:val="32"/>
          <w:szCs w:val="32"/>
        </w:rPr>
      </w:pPr>
    </w:p>
    <w:p w:rsidR="00273897" w:rsidRDefault="00273897" w:rsidP="00273897">
      <w:pPr>
        <w:snapToGrid w:val="0"/>
        <w:spacing w:line="460" w:lineRule="exact"/>
        <w:ind w:rightChars="9" w:right="22"/>
        <w:jc w:val="both"/>
        <w:rPr>
          <w:rFonts w:ascii="標楷體" w:eastAsia="標楷體" w:hAnsi="標楷體"/>
          <w:b/>
          <w:bCs/>
          <w:sz w:val="32"/>
          <w:szCs w:val="32"/>
        </w:rPr>
      </w:pPr>
    </w:p>
    <w:p w:rsidR="00273897" w:rsidRDefault="00273897" w:rsidP="00273897">
      <w:pPr>
        <w:snapToGrid w:val="0"/>
        <w:spacing w:line="460" w:lineRule="exact"/>
        <w:ind w:rightChars="9" w:right="22"/>
        <w:jc w:val="both"/>
        <w:rPr>
          <w:rFonts w:ascii="標楷體" w:eastAsia="標楷體" w:hAnsi="標楷體"/>
          <w:b/>
          <w:bCs/>
          <w:sz w:val="32"/>
          <w:szCs w:val="32"/>
        </w:rPr>
      </w:pPr>
    </w:p>
    <w:p w:rsidR="00273897" w:rsidRDefault="00273897" w:rsidP="00273897">
      <w:pPr>
        <w:snapToGrid w:val="0"/>
        <w:spacing w:line="460" w:lineRule="exact"/>
        <w:ind w:rightChars="9" w:right="22"/>
        <w:jc w:val="both"/>
        <w:rPr>
          <w:rFonts w:ascii="標楷體" w:eastAsia="標楷體" w:hAnsi="標楷體"/>
          <w:b/>
          <w:bCs/>
          <w:sz w:val="32"/>
          <w:szCs w:val="32"/>
        </w:rPr>
      </w:pPr>
    </w:p>
    <w:p w:rsidR="00273897" w:rsidRDefault="00273897" w:rsidP="00273897">
      <w:pPr>
        <w:snapToGrid w:val="0"/>
        <w:spacing w:line="460" w:lineRule="exact"/>
        <w:ind w:rightChars="9" w:right="22"/>
        <w:jc w:val="both"/>
        <w:rPr>
          <w:rFonts w:ascii="標楷體" w:eastAsia="標楷體" w:hAnsi="標楷體"/>
          <w:b/>
          <w:bCs/>
          <w:sz w:val="32"/>
          <w:szCs w:val="32"/>
        </w:rPr>
      </w:pPr>
    </w:p>
    <w:p w:rsidR="00273897" w:rsidRDefault="00273897" w:rsidP="00273897">
      <w:pPr>
        <w:snapToGrid w:val="0"/>
        <w:spacing w:line="460" w:lineRule="exact"/>
        <w:ind w:rightChars="9" w:right="22"/>
        <w:jc w:val="both"/>
        <w:rPr>
          <w:rFonts w:ascii="標楷體" w:eastAsia="標楷體" w:hAnsi="標楷體"/>
          <w:b/>
          <w:bCs/>
          <w:sz w:val="32"/>
          <w:szCs w:val="32"/>
        </w:rPr>
      </w:pPr>
    </w:p>
    <w:p w:rsidR="00273897" w:rsidRDefault="00273897">
      <w:pPr>
        <w:widowControl/>
        <w:rPr>
          <w:rFonts w:ascii="標楷體" w:eastAsia="標楷體" w:hAnsi="標楷體"/>
          <w:b/>
          <w:bCs/>
          <w:color w:val="000000" w:themeColor="text1"/>
          <w:spacing w:val="-12"/>
          <w:sz w:val="32"/>
          <w:szCs w:val="32"/>
        </w:rPr>
      </w:pPr>
      <w:r>
        <w:rPr>
          <w:color w:val="000000" w:themeColor="text1"/>
        </w:rPr>
        <w:br w:type="page"/>
      </w:r>
    </w:p>
    <w:p w:rsidR="00273897" w:rsidRPr="00D92739" w:rsidRDefault="00273897" w:rsidP="00273897">
      <w:pPr>
        <w:pStyle w:val="01-45"/>
        <w:rPr>
          <w:position w:val="2"/>
        </w:rPr>
      </w:pPr>
      <w:bookmarkStart w:id="161" w:name="_Toc126068178"/>
      <w:r w:rsidRPr="00D92739">
        <w:rPr>
          <w:rFonts w:hint="eastAsia"/>
        </w:rPr>
        <w:lastRenderedPageBreak/>
        <w:t>立法院第</w:t>
      </w:r>
      <w:r>
        <w:rPr>
          <w:rFonts w:hint="eastAsia"/>
        </w:rPr>
        <w:t>10</w:t>
      </w:r>
      <w:r w:rsidRPr="00D92739">
        <w:rPr>
          <w:rFonts w:hint="eastAsia"/>
        </w:rPr>
        <w:t>屆第</w:t>
      </w:r>
      <w:r>
        <w:t>6</w:t>
      </w:r>
      <w:r w:rsidRPr="00D92739">
        <w:rPr>
          <w:rFonts w:hint="eastAsia"/>
        </w:rPr>
        <w:t>會期教育及文化委員會第</w:t>
      </w:r>
      <w:r>
        <w:rPr>
          <w:rFonts w:hint="eastAsia"/>
        </w:rPr>
        <w:t>5</w:t>
      </w:r>
      <w:r w:rsidRPr="00D92739">
        <w:rPr>
          <w:rFonts w:hint="eastAsia"/>
        </w:rPr>
        <w:t>次全體委員會議議事錄</w:t>
      </w:r>
      <w:bookmarkEnd w:id="161"/>
    </w:p>
    <w:p w:rsidR="00273897" w:rsidRDefault="00273897" w:rsidP="00273897">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450A50">
        <w:rPr>
          <w:rFonts w:ascii="標楷體" w:eastAsia="標楷體" w:hAnsi="標楷體"/>
          <w:kern w:val="0"/>
          <w:sz w:val="32"/>
          <w:szCs w:val="32"/>
          <w:fitText w:val="1600" w:id="-1323553024"/>
        </w:rPr>
        <w:t>時    間：</w:t>
      </w:r>
      <w:r w:rsidRPr="00214CF8">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11</w:t>
      </w:r>
      <w:r w:rsidRPr="00214CF8">
        <w:rPr>
          <w:rFonts w:ascii="標楷體" w:eastAsia="標楷體" w:hAnsi="標楷體" w:hint="eastAsia"/>
          <w:spacing w:val="-32"/>
          <w:kern w:val="0"/>
          <w:sz w:val="32"/>
          <w:szCs w:val="32"/>
        </w:rPr>
        <w:t>年</w:t>
      </w:r>
      <w:r>
        <w:rPr>
          <w:rFonts w:ascii="標楷體" w:eastAsia="標楷體" w:hAnsi="標楷體"/>
          <w:spacing w:val="-32"/>
          <w:kern w:val="0"/>
          <w:sz w:val="32"/>
          <w:szCs w:val="32"/>
        </w:rPr>
        <w:t>10</w:t>
      </w:r>
      <w:r w:rsidRPr="00214CF8">
        <w:rPr>
          <w:rFonts w:ascii="標楷體" w:eastAsia="標楷體" w:hAnsi="標楷體" w:hint="eastAsia"/>
          <w:spacing w:val="-32"/>
          <w:kern w:val="0"/>
          <w:sz w:val="32"/>
          <w:szCs w:val="32"/>
        </w:rPr>
        <w:t>月</w:t>
      </w:r>
      <w:r>
        <w:rPr>
          <w:rFonts w:ascii="標楷體" w:eastAsia="標楷體" w:hAnsi="標楷體"/>
          <w:spacing w:val="-32"/>
          <w:kern w:val="0"/>
          <w:sz w:val="32"/>
          <w:szCs w:val="32"/>
        </w:rPr>
        <w:t>24</w:t>
      </w:r>
      <w:r>
        <w:rPr>
          <w:rFonts w:ascii="標楷體" w:eastAsia="標楷體" w:hAnsi="標楷體" w:hint="eastAsia"/>
          <w:spacing w:val="-32"/>
          <w:kern w:val="0"/>
          <w:sz w:val="32"/>
          <w:szCs w:val="32"/>
        </w:rPr>
        <w:t>日（星期一</w:t>
      </w:r>
      <w:r w:rsidRPr="00214CF8">
        <w:rPr>
          <w:rFonts w:ascii="標楷體" w:eastAsia="標楷體" w:hAnsi="標楷體" w:hint="eastAsia"/>
          <w:spacing w:val="-32"/>
          <w:kern w:val="0"/>
          <w:sz w:val="32"/>
          <w:szCs w:val="32"/>
        </w:rPr>
        <w:t>）上午9時</w:t>
      </w:r>
      <w:r>
        <w:rPr>
          <w:rFonts w:ascii="標楷體" w:eastAsia="標楷體" w:hAnsi="標楷體" w:hint="eastAsia"/>
          <w:spacing w:val="-32"/>
          <w:kern w:val="0"/>
          <w:sz w:val="32"/>
          <w:szCs w:val="32"/>
        </w:rPr>
        <w:t>2分</w:t>
      </w:r>
      <w:r w:rsidRPr="00214CF8">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下午1</w:t>
      </w:r>
      <w:r w:rsidRPr="00214CF8">
        <w:rPr>
          <w:rFonts w:ascii="標楷體" w:eastAsia="標楷體" w:hAnsi="標楷體" w:hint="eastAsia"/>
          <w:spacing w:val="-32"/>
          <w:kern w:val="0"/>
          <w:sz w:val="32"/>
          <w:szCs w:val="32"/>
        </w:rPr>
        <w:t>時</w:t>
      </w:r>
      <w:r>
        <w:rPr>
          <w:rFonts w:ascii="標楷體" w:eastAsia="標楷體" w:hAnsi="標楷體"/>
          <w:spacing w:val="-32"/>
          <w:kern w:val="0"/>
          <w:sz w:val="32"/>
          <w:szCs w:val="32"/>
        </w:rPr>
        <w:t>14</w:t>
      </w:r>
      <w:r w:rsidRPr="00214CF8">
        <w:rPr>
          <w:rFonts w:ascii="標楷體" w:eastAsia="標楷體" w:hAnsi="標楷體" w:hint="eastAsia"/>
          <w:spacing w:val="-32"/>
          <w:kern w:val="0"/>
          <w:sz w:val="32"/>
          <w:szCs w:val="32"/>
        </w:rPr>
        <w:t>分</w:t>
      </w:r>
    </w:p>
    <w:p w:rsidR="00273897" w:rsidRPr="00034B21" w:rsidRDefault="00273897" w:rsidP="00273897">
      <w:pPr>
        <w:snapToGrid w:val="0"/>
        <w:spacing w:line="460" w:lineRule="exact"/>
        <w:ind w:left="1280" w:rightChars="9" w:right="22" w:hangingChars="500" w:hanging="1280"/>
        <w:jc w:val="distribute"/>
        <w:rPr>
          <w:rFonts w:ascii="標楷體" w:eastAsia="標楷體" w:hAnsi="標楷體"/>
          <w:spacing w:val="-32"/>
          <w:kern w:val="0"/>
          <w:sz w:val="32"/>
          <w:szCs w:val="32"/>
        </w:rPr>
      </w:pPr>
      <w:r>
        <w:rPr>
          <w:rFonts w:ascii="標楷體" w:eastAsia="標楷體" w:hAnsi="標楷體" w:hint="eastAsia"/>
          <w:spacing w:val="-32"/>
          <w:kern w:val="0"/>
          <w:sz w:val="32"/>
          <w:szCs w:val="32"/>
        </w:rPr>
        <w:t xml:space="preserve">               </w:t>
      </w:r>
      <w:r w:rsidRPr="0082061E">
        <w:rPr>
          <w:rFonts w:ascii="標楷體" w:eastAsia="標楷體" w:hAnsi="標楷體" w:hint="eastAsia"/>
          <w:spacing w:val="-32"/>
          <w:kern w:val="0"/>
          <w:sz w:val="44"/>
          <w:szCs w:val="32"/>
        </w:rPr>
        <w:t xml:space="preserve"> </w:t>
      </w:r>
      <w:r w:rsidRPr="00712764">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11</w:t>
      </w:r>
      <w:r w:rsidRPr="00712764">
        <w:rPr>
          <w:rFonts w:ascii="標楷體" w:eastAsia="標楷體" w:hAnsi="標楷體" w:hint="eastAsia"/>
          <w:spacing w:val="-32"/>
          <w:kern w:val="0"/>
          <w:sz w:val="32"/>
          <w:szCs w:val="32"/>
        </w:rPr>
        <w:t>年</w:t>
      </w:r>
      <w:r>
        <w:rPr>
          <w:rFonts w:ascii="標楷體" w:eastAsia="標楷體" w:hAnsi="標楷體"/>
          <w:spacing w:val="-32"/>
          <w:kern w:val="0"/>
          <w:sz w:val="32"/>
          <w:szCs w:val="32"/>
        </w:rPr>
        <w:t>10</w:t>
      </w:r>
      <w:r w:rsidRPr="00712764">
        <w:rPr>
          <w:rFonts w:ascii="標楷體" w:eastAsia="標楷體" w:hAnsi="標楷體" w:hint="eastAsia"/>
          <w:spacing w:val="-32"/>
          <w:kern w:val="0"/>
          <w:sz w:val="32"/>
          <w:szCs w:val="32"/>
        </w:rPr>
        <w:t>月</w:t>
      </w:r>
      <w:r>
        <w:rPr>
          <w:rFonts w:ascii="標楷體" w:eastAsia="標楷體" w:hAnsi="標楷體"/>
          <w:spacing w:val="-32"/>
          <w:kern w:val="0"/>
          <w:sz w:val="32"/>
          <w:szCs w:val="32"/>
        </w:rPr>
        <w:t>26</w:t>
      </w:r>
      <w:r w:rsidRPr="00712764">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三</w:t>
      </w:r>
      <w:r w:rsidRPr="00712764">
        <w:rPr>
          <w:rFonts w:ascii="標楷體" w:eastAsia="標楷體" w:hAnsi="標楷體" w:hint="eastAsia"/>
          <w:spacing w:val="-32"/>
          <w:kern w:val="0"/>
          <w:sz w:val="32"/>
          <w:szCs w:val="32"/>
        </w:rPr>
        <w:t>）上午9時</w:t>
      </w:r>
      <w:r>
        <w:rPr>
          <w:rFonts w:ascii="標楷體" w:eastAsia="標楷體" w:hAnsi="標楷體" w:hint="eastAsia"/>
          <w:spacing w:val="-32"/>
          <w:kern w:val="0"/>
          <w:sz w:val="32"/>
          <w:szCs w:val="32"/>
        </w:rPr>
        <w:t>1分</w:t>
      </w:r>
      <w:r w:rsidRPr="00712764">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w:t>
      </w:r>
      <w:r w:rsidRPr="00712764">
        <w:rPr>
          <w:rFonts w:ascii="標楷體" w:eastAsia="標楷體" w:hAnsi="標楷體" w:hint="eastAsia"/>
          <w:spacing w:val="-32"/>
          <w:kern w:val="0"/>
          <w:sz w:val="32"/>
          <w:szCs w:val="32"/>
        </w:rPr>
        <w:t>時</w:t>
      </w:r>
      <w:r>
        <w:rPr>
          <w:rFonts w:ascii="標楷體" w:eastAsia="標楷體" w:hAnsi="標楷體"/>
          <w:spacing w:val="-32"/>
          <w:kern w:val="0"/>
          <w:sz w:val="32"/>
          <w:szCs w:val="32"/>
        </w:rPr>
        <w:t>56</w:t>
      </w:r>
      <w:r w:rsidRPr="00712764">
        <w:rPr>
          <w:rFonts w:ascii="標楷體" w:eastAsia="標楷體" w:hAnsi="標楷體" w:hint="eastAsia"/>
          <w:spacing w:val="-32"/>
          <w:kern w:val="0"/>
          <w:sz w:val="32"/>
          <w:szCs w:val="32"/>
        </w:rPr>
        <w:t>分</w:t>
      </w:r>
    </w:p>
    <w:p w:rsidR="00273897" w:rsidRDefault="00273897" w:rsidP="00273897">
      <w:pPr>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273897" w:rsidRDefault="00273897" w:rsidP="00273897">
      <w:pPr>
        <w:snapToGrid w:val="0"/>
        <w:spacing w:line="52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：萬美玲  范  雲  林奕華  陳秀寳  黃國書  張廖萬堅</w:t>
      </w:r>
    </w:p>
    <w:p w:rsidR="00273897" w:rsidRDefault="00273897" w:rsidP="00273897">
      <w:pPr>
        <w:snapToGrid w:val="0"/>
        <w:spacing w:line="52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鄭正鈐  王婉諭  吳怡玎  吳思瑤  何欣純  高金素梅</w:t>
      </w:r>
    </w:p>
    <w:p w:rsidR="00273897" w:rsidRDefault="00273897" w:rsidP="00273897">
      <w:pPr>
        <w:snapToGrid w:val="0"/>
        <w:spacing w:line="52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林宜瑾</w:t>
      </w:r>
    </w:p>
    <w:p w:rsidR="00273897" w:rsidRDefault="00273897" w:rsidP="00273897">
      <w:pPr>
        <w:snapToGrid w:val="0"/>
        <w:spacing w:line="52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委員出席</w:t>
      </w:r>
      <w:r>
        <w:rPr>
          <w:rFonts w:ascii="標楷體" w:eastAsia="標楷體" w:hAnsi="標楷體"/>
          <w:sz w:val="32"/>
          <w:szCs w:val="32"/>
        </w:rPr>
        <w:t>13</w:t>
      </w:r>
      <w:r w:rsidRPr="008C78CE">
        <w:rPr>
          <w:rFonts w:ascii="標楷體" w:eastAsia="標楷體" w:hAnsi="標楷體" w:hint="eastAsia"/>
          <w:sz w:val="32"/>
          <w:szCs w:val="32"/>
        </w:rPr>
        <w:t>人</w:t>
      </w:r>
    </w:p>
    <w:p w:rsidR="00273897" w:rsidRDefault="00273897" w:rsidP="00273897">
      <w:pPr>
        <w:snapToGrid w:val="0"/>
        <w:spacing w:line="520" w:lineRule="exact"/>
        <w:ind w:leftChars="2" w:left="5"/>
        <w:jc w:val="both"/>
        <w:rPr>
          <w:rFonts w:ascii="標楷體" w:eastAsia="標楷體" w:hAnsi="標楷體"/>
          <w:sz w:val="32"/>
          <w:szCs w:val="32"/>
        </w:rPr>
      </w:pPr>
      <w:r>
        <w:rPr>
          <w:rFonts w:ascii="標楷體" w:eastAsia="標楷體" w:hAnsi="標楷體" w:hint="eastAsia"/>
          <w:sz w:val="32"/>
          <w:szCs w:val="32"/>
        </w:rPr>
        <w:t>視訊委員：賴品妤</w:t>
      </w:r>
    </w:p>
    <w:p w:rsidR="00273897" w:rsidRDefault="00273897" w:rsidP="00273897">
      <w:pPr>
        <w:snapToGrid w:val="0"/>
        <w:spacing w:line="52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游毓蘭  謝衣鳯  李德維  陳椒華  洪孟楷  張育美</w:t>
      </w:r>
    </w:p>
    <w:p w:rsidR="00273897" w:rsidRDefault="00273897" w:rsidP="00273897">
      <w:pPr>
        <w:snapToGrid w:val="0"/>
        <w:spacing w:line="52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江啟臣  廖婉汝  莊競程  </w:t>
      </w:r>
      <w:r w:rsidRPr="003D1624">
        <w:rPr>
          <w:rFonts w:ascii="標楷體" w:eastAsia="標楷體" w:hAnsi="標楷體" w:hint="eastAsia"/>
          <w:sz w:val="32"/>
          <w:szCs w:val="32"/>
        </w:rPr>
        <w:t>伍麗華Saidhai Tahovecahe</w:t>
      </w:r>
    </w:p>
    <w:p w:rsidR="00273897" w:rsidRDefault="00273897" w:rsidP="00273897">
      <w:pPr>
        <w:snapToGrid w:val="0"/>
        <w:spacing w:line="52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劉世芳  李貴敏  邱志偉  羅明才  林德福  楊瓊瓔</w:t>
      </w:r>
    </w:p>
    <w:p w:rsidR="00273897" w:rsidRDefault="00273897" w:rsidP="00273897">
      <w:pPr>
        <w:snapToGrid w:val="0"/>
        <w:spacing w:line="52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蘇巧慧  孔文吉  王美惠  陳亭妃  </w:t>
      </w:r>
      <w:r w:rsidRPr="008808BE">
        <w:rPr>
          <w:rFonts w:ascii="標楷體" w:eastAsia="標楷體" w:hAnsi="標楷體" w:hint="eastAsia"/>
          <w:sz w:val="32"/>
          <w:szCs w:val="32"/>
        </w:rPr>
        <w:t>鄭天財Sra Kacaw</w:t>
      </w:r>
    </w:p>
    <w:p w:rsidR="00273897" w:rsidRDefault="00273897" w:rsidP="00273897">
      <w:pPr>
        <w:snapToGrid w:val="0"/>
        <w:spacing w:line="52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張其祿  高嘉瑜  </w:t>
      </w:r>
      <w:r w:rsidRPr="006F20C1">
        <w:rPr>
          <w:rFonts w:ascii="標楷體" w:eastAsia="標楷體" w:hAnsi="標楷體" w:hint="eastAsia"/>
          <w:sz w:val="32"/>
          <w:szCs w:val="32"/>
        </w:rPr>
        <w:t>廖國棟Sufin‧Siluko</w:t>
      </w:r>
    </w:p>
    <w:p w:rsidR="00273897" w:rsidRPr="008C78CE" w:rsidRDefault="00273897" w:rsidP="00273897">
      <w:pPr>
        <w:snapToGrid w:val="0"/>
        <w:spacing w:line="520" w:lineRule="exact"/>
        <w:ind w:left="1920" w:rightChars="9" w:right="22" w:hangingChars="600" w:hanging="1920"/>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hint="eastAsia"/>
          <w:position w:val="2"/>
          <w:sz w:val="32"/>
          <w:szCs w:val="32"/>
        </w:rPr>
        <w:t>24</w:t>
      </w:r>
      <w:r w:rsidRPr="00BD716F">
        <w:rPr>
          <w:rFonts w:ascii="標楷體" w:eastAsia="標楷體" w:hAnsi="標楷體" w:hint="eastAsia"/>
          <w:position w:val="2"/>
          <w:sz w:val="32"/>
          <w:szCs w:val="32"/>
        </w:rPr>
        <w:t>人</w:t>
      </w:r>
    </w:p>
    <w:p w:rsidR="00273897" w:rsidRPr="00ED0FE7" w:rsidRDefault="00273897" w:rsidP="00273897">
      <w:pPr>
        <w:pStyle w:val="ac"/>
        <w:spacing w:line="500" w:lineRule="exact"/>
        <w:ind w:left="975" w:hanging="964"/>
        <w:contextualSpacing/>
        <w:rPr>
          <w:sz w:val="32"/>
          <w:szCs w:val="32"/>
        </w:rPr>
      </w:pPr>
      <w:r w:rsidRPr="00ED0FE7">
        <w:rPr>
          <w:sz w:val="32"/>
          <w:szCs w:val="32"/>
        </w:rPr>
        <w:t>列席人員</w:t>
      </w:r>
      <w:r w:rsidRPr="00ED0FE7">
        <w:rPr>
          <w:rFonts w:hint="eastAsia"/>
          <w:sz w:val="32"/>
          <w:szCs w:val="32"/>
        </w:rPr>
        <w:t>：(</w:t>
      </w:r>
      <w:r>
        <w:rPr>
          <w:sz w:val="32"/>
          <w:szCs w:val="32"/>
        </w:rPr>
        <w:t>10</w:t>
      </w:r>
      <w:r>
        <w:rPr>
          <w:rFonts w:hint="eastAsia"/>
          <w:sz w:val="32"/>
          <w:szCs w:val="32"/>
        </w:rPr>
        <w:t>月2</w:t>
      </w:r>
      <w:r>
        <w:rPr>
          <w:sz w:val="32"/>
          <w:szCs w:val="32"/>
        </w:rPr>
        <w:t>4</w:t>
      </w:r>
      <w:r w:rsidRPr="00ED0FE7">
        <w:rPr>
          <w:rFonts w:hint="eastAsia"/>
          <w:sz w:val="32"/>
          <w:szCs w:val="32"/>
        </w:rPr>
        <w:t>日)</w:t>
      </w:r>
    </w:p>
    <w:p w:rsidR="00273897" w:rsidRDefault="00273897" w:rsidP="00273897">
      <w:pPr>
        <w:pStyle w:val="ac"/>
        <w:tabs>
          <w:tab w:val="left" w:pos="1418"/>
        </w:tabs>
        <w:spacing w:line="500" w:lineRule="exact"/>
        <w:ind w:left="975" w:hanging="964"/>
        <w:contextualSpacing/>
        <w:rPr>
          <w:spacing w:val="-2"/>
          <w:position w:val="2"/>
          <w:sz w:val="32"/>
          <w:szCs w:val="32"/>
        </w:rPr>
      </w:pPr>
      <w:r w:rsidRPr="00ED0FE7">
        <w:rPr>
          <w:rFonts w:hint="eastAsia"/>
          <w:sz w:val="32"/>
          <w:szCs w:val="32"/>
        </w:rPr>
        <w:t xml:space="preserve">        </w:t>
      </w:r>
      <w:r w:rsidRPr="001E3A9A">
        <w:rPr>
          <w:rFonts w:hint="eastAsia"/>
          <w:sz w:val="56"/>
          <w:szCs w:val="32"/>
        </w:rPr>
        <w:t xml:space="preserve"> </w:t>
      </w:r>
      <w:r>
        <w:rPr>
          <w:rFonts w:hint="eastAsia"/>
          <w:sz w:val="32"/>
          <w:szCs w:val="32"/>
        </w:rPr>
        <w:t xml:space="preserve">文化部部長  </w:t>
      </w:r>
      <w:r w:rsidRPr="00ED0FE7">
        <w:rPr>
          <w:rFonts w:hint="eastAsia"/>
          <w:sz w:val="32"/>
          <w:szCs w:val="32"/>
        </w:rPr>
        <w:t xml:space="preserve"> </w:t>
      </w:r>
      <w:r>
        <w:rPr>
          <w:rFonts w:hint="eastAsia"/>
          <w:sz w:val="32"/>
          <w:szCs w:val="32"/>
        </w:rPr>
        <w:t xml:space="preserve"> </w:t>
      </w:r>
      <w:r w:rsidRPr="00ED0FE7">
        <w:rPr>
          <w:rFonts w:hint="eastAsia"/>
          <w:sz w:val="32"/>
          <w:szCs w:val="32"/>
        </w:rPr>
        <w:t xml:space="preserve"> </w:t>
      </w:r>
      <w:r>
        <w:rPr>
          <w:rFonts w:hint="eastAsia"/>
          <w:sz w:val="32"/>
          <w:szCs w:val="32"/>
        </w:rPr>
        <w:t xml:space="preserve">     </w:t>
      </w:r>
      <w:r w:rsidRPr="001E3A9A">
        <w:rPr>
          <w:rFonts w:hint="eastAsia"/>
          <w:sz w:val="56"/>
          <w:szCs w:val="32"/>
        </w:rPr>
        <w:t xml:space="preserve"> </w:t>
      </w:r>
      <w:r>
        <w:rPr>
          <w:rFonts w:hint="eastAsia"/>
          <w:sz w:val="56"/>
          <w:szCs w:val="32"/>
        </w:rPr>
        <w:t xml:space="preserve">     </w:t>
      </w:r>
      <w:r>
        <w:rPr>
          <w:rFonts w:hint="eastAsia"/>
          <w:sz w:val="32"/>
          <w:szCs w:val="32"/>
        </w:rPr>
        <w:t>李永得</w:t>
      </w:r>
      <w:r w:rsidRPr="00ED0FE7">
        <w:rPr>
          <w:rFonts w:hint="eastAsia"/>
          <w:spacing w:val="-2"/>
          <w:position w:val="2"/>
          <w:sz w:val="32"/>
          <w:szCs w:val="32"/>
        </w:rPr>
        <w:t>率同有關人員</w:t>
      </w:r>
    </w:p>
    <w:p w:rsidR="00273897" w:rsidRDefault="00273897" w:rsidP="00273897">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0C7D1E">
        <w:rPr>
          <w:rFonts w:hint="eastAsia"/>
          <w:spacing w:val="-2"/>
          <w:position w:val="2"/>
          <w:sz w:val="32"/>
          <w:szCs w:val="32"/>
        </w:rPr>
        <w:t>行政法人文化內容策進院董事長</w:t>
      </w:r>
      <w:r>
        <w:rPr>
          <w:rFonts w:hint="eastAsia"/>
          <w:spacing w:val="-2"/>
          <w:position w:val="2"/>
          <w:sz w:val="32"/>
          <w:szCs w:val="32"/>
        </w:rPr>
        <w:t xml:space="preserve">               </w:t>
      </w:r>
      <w:r w:rsidRPr="000C7D1E">
        <w:rPr>
          <w:rFonts w:hint="eastAsia"/>
          <w:spacing w:val="-2"/>
          <w:position w:val="2"/>
          <w:sz w:val="32"/>
          <w:szCs w:val="32"/>
        </w:rPr>
        <w:t>彭俊亨</w:t>
      </w:r>
    </w:p>
    <w:p w:rsidR="00273897" w:rsidRDefault="00273897" w:rsidP="00273897">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0C7D1E">
        <w:rPr>
          <w:rFonts w:hint="eastAsia"/>
          <w:spacing w:val="-2"/>
          <w:position w:val="2"/>
          <w:sz w:val="32"/>
          <w:szCs w:val="32"/>
        </w:rPr>
        <w:t>行政院主計總處基金預算處專門委員</w:t>
      </w:r>
      <w:r>
        <w:rPr>
          <w:rFonts w:hint="eastAsia"/>
          <w:spacing w:val="-2"/>
          <w:position w:val="2"/>
          <w:sz w:val="32"/>
          <w:szCs w:val="32"/>
        </w:rPr>
        <w:t xml:space="preserve">           </w:t>
      </w:r>
      <w:r w:rsidRPr="000C7D1E">
        <w:rPr>
          <w:rFonts w:hint="eastAsia"/>
          <w:spacing w:val="-2"/>
          <w:position w:val="2"/>
          <w:sz w:val="32"/>
          <w:szCs w:val="32"/>
        </w:rPr>
        <w:t>吳婉玉</w:t>
      </w:r>
    </w:p>
    <w:p w:rsidR="00273897" w:rsidRPr="00BA511F" w:rsidRDefault="00273897" w:rsidP="00273897">
      <w:pPr>
        <w:pStyle w:val="ac"/>
        <w:tabs>
          <w:tab w:val="left" w:pos="1418"/>
        </w:tabs>
        <w:spacing w:line="500" w:lineRule="exact"/>
        <w:ind w:left="975" w:hanging="964"/>
        <w:contextualSpacing/>
        <w:rPr>
          <w:sz w:val="40"/>
          <w:szCs w:val="32"/>
        </w:rPr>
      </w:pPr>
      <w:r>
        <w:rPr>
          <w:rFonts w:hint="eastAsia"/>
          <w:spacing w:val="-2"/>
          <w:position w:val="2"/>
          <w:sz w:val="32"/>
          <w:szCs w:val="32"/>
        </w:rPr>
        <w:t xml:space="preserve">          </w:t>
      </w:r>
      <w:r w:rsidRPr="000C7D1E">
        <w:rPr>
          <w:rFonts w:hint="eastAsia"/>
          <w:spacing w:val="-2"/>
          <w:position w:val="2"/>
          <w:sz w:val="32"/>
          <w:szCs w:val="32"/>
        </w:rPr>
        <w:t>原住民族委員會教育文化處處長</w:t>
      </w:r>
      <w:r>
        <w:rPr>
          <w:rFonts w:hint="eastAsia"/>
          <w:spacing w:val="-2"/>
          <w:position w:val="2"/>
          <w:sz w:val="32"/>
          <w:szCs w:val="32"/>
        </w:rPr>
        <w:t xml:space="preserve">               </w:t>
      </w:r>
      <w:r w:rsidRPr="000C7D1E">
        <w:rPr>
          <w:rFonts w:hint="eastAsia"/>
          <w:spacing w:val="-2"/>
          <w:position w:val="2"/>
          <w:sz w:val="32"/>
          <w:szCs w:val="32"/>
        </w:rPr>
        <w:t>楊正斌</w:t>
      </w:r>
    </w:p>
    <w:p w:rsidR="00273897" w:rsidRPr="00ED0FE7" w:rsidRDefault="00273897" w:rsidP="00273897">
      <w:pPr>
        <w:pStyle w:val="ac"/>
        <w:spacing w:line="500" w:lineRule="exact"/>
        <w:ind w:left="975" w:hanging="964"/>
        <w:contextualSpacing/>
        <w:rPr>
          <w:spacing w:val="-2"/>
          <w:position w:val="2"/>
          <w:sz w:val="32"/>
          <w:szCs w:val="32"/>
        </w:rPr>
      </w:pPr>
      <w:r w:rsidRPr="00ED0FE7">
        <w:rPr>
          <w:rFonts w:hint="eastAsia"/>
          <w:spacing w:val="-2"/>
          <w:position w:val="2"/>
          <w:sz w:val="32"/>
          <w:szCs w:val="32"/>
        </w:rPr>
        <w:t xml:space="preserve">          (</w:t>
      </w:r>
      <w:r>
        <w:rPr>
          <w:spacing w:val="-2"/>
          <w:position w:val="2"/>
          <w:sz w:val="32"/>
          <w:szCs w:val="32"/>
        </w:rPr>
        <w:t>10</w:t>
      </w:r>
      <w:r w:rsidRPr="00ED0FE7">
        <w:rPr>
          <w:rFonts w:hint="eastAsia"/>
          <w:spacing w:val="-2"/>
          <w:position w:val="2"/>
          <w:sz w:val="32"/>
          <w:szCs w:val="32"/>
        </w:rPr>
        <w:t>月</w:t>
      </w:r>
      <w:r>
        <w:rPr>
          <w:spacing w:val="-2"/>
          <w:position w:val="2"/>
          <w:sz w:val="32"/>
          <w:szCs w:val="32"/>
        </w:rPr>
        <w:t>26</w:t>
      </w:r>
      <w:r w:rsidRPr="00ED0FE7">
        <w:rPr>
          <w:rFonts w:hint="eastAsia"/>
          <w:spacing w:val="-2"/>
          <w:position w:val="2"/>
          <w:sz w:val="32"/>
          <w:szCs w:val="32"/>
        </w:rPr>
        <w:t>日)</w:t>
      </w:r>
    </w:p>
    <w:p w:rsidR="00273897" w:rsidRDefault="00273897" w:rsidP="00273897">
      <w:pPr>
        <w:pStyle w:val="ac"/>
        <w:tabs>
          <w:tab w:val="left" w:pos="1418"/>
        </w:tabs>
        <w:spacing w:line="500" w:lineRule="exact"/>
        <w:ind w:left="975" w:hanging="964"/>
        <w:contextualSpacing/>
        <w:rPr>
          <w:sz w:val="32"/>
          <w:szCs w:val="32"/>
        </w:rPr>
      </w:pPr>
      <w:r w:rsidRPr="00ED0FE7">
        <w:rPr>
          <w:rFonts w:hint="eastAsia"/>
          <w:spacing w:val="-2"/>
          <w:position w:val="2"/>
          <w:sz w:val="32"/>
          <w:szCs w:val="32"/>
        </w:rPr>
        <w:t xml:space="preserve">        </w:t>
      </w:r>
      <w:r w:rsidRPr="001E3A9A">
        <w:rPr>
          <w:rFonts w:hint="eastAsia"/>
          <w:spacing w:val="-2"/>
          <w:position w:val="2"/>
          <w:sz w:val="72"/>
          <w:szCs w:val="32"/>
        </w:rPr>
        <w:t xml:space="preserve"> </w:t>
      </w:r>
      <w:r>
        <w:rPr>
          <w:rFonts w:hint="eastAsia"/>
          <w:sz w:val="32"/>
          <w:szCs w:val="32"/>
        </w:rPr>
        <w:t>國家科學及技術委員會主任委員  吳政忠</w:t>
      </w:r>
      <w:r w:rsidRPr="000F343B">
        <w:rPr>
          <w:rFonts w:hint="eastAsia"/>
          <w:sz w:val="32"/>
          <w:szCs w:val="32"/>
        </w:rPr>
        <w:t>率同有關人員</w:t>
      </w:r>
    </w:p>
    <w:p w:rsidR="00273897" w:rsidRPr="00ED0FE7" w:rsidRDefault="00273897" w:rsidP="00273897">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BC0E22">
        <w:rPr>
          <w:rFonts w:hint="eastAsia"/>
          <w:spacing w:val="-2"/>
          <w:position w:val="2"/>
          <w:sz w:val="36"/>
          <w:szCs w:val="32"/>
        </w:rPr>
        <w:t xml:space="preserve"> </w:t>
      </w:r>
      <w:r>
        <w:rPr>
          <w:rFonts w:hint="eastAsia"/>
          <w:spacing w:val="-2"/>
          <w:position w:val="2"/>
          <w:sz w:val="32"/>
          <w:szCs w:val="32"/>
        </w:rPr>
        <w:t xml:space="preserve">  </w:t>
      </w:r>
      <w:r w:rsidRPr="00BC0E22">
        <w:rPr>
          <w:rFonts w:hint="eastAsia"/>
          <w:spacing w:val="-2"/>
          <w:position w:val="2"/>
          <w:sz w:val="32"/>
          <w:szCs w:val="32"/>
        </w:rPr>
        <w:t>原住民族委員會教育文化處處長</w:t>
      </w:r>
      <w:r>
        <w:rPr>
          <w:rFonts w:hint="eastAsia"/>
          <w:spacing w:val="-2"/>
          <w:position w:val="2"/>
          <w:sz w:val="32"/>
          <w:szCs w:val="32"/>
        </w:rPr>
        <w:t xml:space="preserve">               </w:t>
      </w:r>
      <w:r w:rsidRPr="00BC0E22">
        <w:rPr>
          <w:rFonts w:hint="eastAsia"/>
          <w:spacing w:val="-2"/>
          <w:position w:val="2"/>
          <w:sz w:val="32"/>
          <w:szCs w:val="32"/>
        </w:rPr>
        <w:t>楊正斌</w:t>
      </w:r>
    </w:p>
    <w:p w:rsidR="00273897" w:rsidRPr="006C6684" w:rsidRDefault="00273897" w:rsidP="00273897">
      <w:pPr>
        <w:spacing w:line="500" w:lineRule="exact"/>
        <w:ind w:rightChars="14" w:right="34"/>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鄭</w:t>
      </w:r>
      <w:r w:rsidRPr="00C2349A">
        <w:rPr>
          <w:rFonts w:ascii="標楷體" w:eastAsia="標楷體" w:hAnsi="標楷體"/>
          <w:sz w:val="32"/>
          <w:szCs w:val="32"/>
        </w:rPr>
        <w:t>召集委員</w:t>
      </w:r>
      <w:r>
        <w:rPr>
          <w:rFonts w:ascii="標楷體" w:eastAsia="標楷體" w:hAnsi="標楷體" w:hint="eastAsia"/>
          <w:sz w:val="32"/>
          <w:szCs w:val="32"/>
        </w:rPr>
        <w:t>正鈐</w:t>
      </w:r>
    </w:p>
    <w:p w:rsidR="00273897" w:rsidRDefault="00273897" w:rsidP="00273897">
      <w:pPr>
        <w:snapToGrid w:val="0"/>
        <w:spacing w:line="500" w:lineRule="exact"/>
        <w:ind w:rightChars="9" w:right="22"/>
        <w:jc w:val="both"/>
        <w:rPr>
          <w:rFonts w:ascii="標楷體" w:eastAsia="標楷體" w:hAnsi="標楷體"/>
          <w:sz w:val="32"/>
          <w:szCs w:val="32"/>
        </w:rPr>
      </w:pPr>
      <w:r w:rsidRPr="00073979">
        <w:rPr>
          <w:rFonts w:ascii="標楷體" w:eastAsia="標楷體" w:hAnsi="標楷體" w:hint="eastAsia"/>
          <w:sz w:val="32"/>
          <w:szCs w:val="32"/>
        </w:rPr>
        <w:t>主任秘書：陳錫欽</w:t>
      </w:r>
    </w:p>
    <w:p w:rsidR="00273897" w:rsidRPr="008C78CE" w:rsidRDefault="00273897" w:rsidP="00273897">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朱蔚菁</w:t>
      </w:r>
    </w:p>
    <w:p w:rsidR="00273897" w:rsidRDefault="00273897" w:rsidP="00273897">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林素惠  簡任編審  蔡月秋  科長  蔡國治</w:t>
      </w:r>
    </w:p>
    <w:p w:rsidR="00273897" w:rsidRPr="00121576" w:rsidRDefault="00273897" w:rsidP="00273897">
      <w:pPr>
        <w:snapToGrid w:val="0"/>
        <w:spacing w:line="50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273897" w:rsidRPr="00121576" w:rsidRDefault="00273897" w:rsidP="00273897">
      <w:pPr>
        <w:snapToGrid w:val="0"/>
        <w:spacing w:line="460" w:lineRule="exact"/>
        <w:ind w:rightChars="9" w:right="22"/>
        <w:jc w:val="both"/>
        <w:rPr>
          <w:rFonts w:ascii="標楷體" w:eastAsia="標楷體" w:hAnsi="標楷體"/>
          <w:sz w:val="32"/>
          <w:szCs w:val="32"/>
        </w:rPr>
      </w:pPr>
      <w:r>
        <w:rPr>
          <w:rFonts w:ascii="標楷體" w:eastAsia="標楷體" w:hAnsi="標楷體" w:hint="eastAsia"/>
          <w:sz w:val="32"/>
          <w:szCs w:val="32"/>
        </w:rPr>
        <w:lastRenderedPageBreak/>
        <w:t>（</w:t>
      </w:r>
      <w:r>
        <w:rPr>
          <w:rFonts w:ascii="標楷體" w:eastAsia="標楷體" w:hAnsi="標楷體"/>
          <w:sz w:val="32"/>
          <w:szCs w:val="32"/>
        </w:rPr>
        <w:t>10</w:t>
      </w:r>
      <w:r w:rsidRPr="00121576">
        <w:rPr>
          <w:rFonts w:ascii="標楷體" w:eastAsia="標楷體" w:hAnsi="標楷體" w:hint="eastAsia"/>
          <w:sz w:val="32"/>
          <w:szCs w:val="32"/>
        </w:rPr>
        <w:t>月</w:t>
      </w:r>
      <w:r>
        <w:rPr>
          <w:rFonts w:ascii="標楷體" w:eastAsia="標楷體" w:hAnsi="標楷體" w:hint="eastAsia"/>
          <w:sz w:val="32"/>
          <w:szCs w:val="32"/>
        </w:rPr>
        <w:t>2</w:t>
      </w:r>
      <w:r>
        <w:rPr>
          <w:rFonts w:ascii="標楷體" w:eastAsia="標楷體" w:hAnsi="標楷體"/>
          <w:sz w:val="32"/>
          <w:szCs w:val="32"/>
        </w:rPr>
        <w:t>4</w:t>
      </w:r>
      <w:r w:rsidRPr="00121576">
        <w:rPr>
          <w:rFonts w:ascii="標楷體" w:eastAsia="標楷體" w:hAnsi="標楷體" w:hint="eastAsia"/>
          <w:sz w:val="32"/>
          <w:szCs w:val="32"/>
        </w:rPr>
        <w:t>日</w:t>
      </w:r>
      <w:r>
        <w:rPr>
          <w:rFonts w:ascii="標楷體" w:eastAsia="標楷體" w:hAnsi="標楷體"/>
          <w:sz w:val="32"/>
          <w:szCs w:val="32"/>
        </w:rPr>
        <w:t>）</w:t>
      </w:r>
    </w:p>
    <w:p w:rsidR="00273897" w:rsidRDefault="00273897" w:rsidP="00273897">
      <w:pPr>
        <w:pStyle w:val="ac"/>
        <w:spacing w:line="460" w:lineRule="exact"/>
        <w:ind w:left="980" w:hanging="966"/>
        <w:rPr>
          <w:b/>
          <w:sz w:val="32"/>
          <w:szCs w:val="32"/>
        </w:rPr>
      </w:pPr>
      <w:r w:rsidRPr="0084281E">
        <w:rPr>
          <w:rFonts w:hint="eastAsia"/>
          <w:b/>
          <w:sz w:val="32"/>
          <w:szCs w:val="32"/>
        </w:rPr>
        <w:t>報  告  事  項</w:t>
      </w:r>
    </w:p>
    <w:p w:rsidR="00273897" w:rsidRPr="009B6966" w:rsidRDefault="00273897" w:rsidP="006934DD">
      <w:pPr>
        <w:pStyle w:val="a4"/>
        <w:numPr>
          <w:ilvl w:val="0"/>
          <w:numId w:val="30"/>
        </w:numPr>
        <w:snapToGrid w:val="0"/>
        <w:spacing w:before="120" w:line="500" w:lineRule="exact"/>
        <w:ind w:leftChars="0"/>
        <w:rPr>
          <w:rFonts w:ascii="標楷體" w:eastAsia="標楷體"/>
          <w:b/>
          <w:sz w:val="32"/>
          <w:szCs w:val="32"/>
        </w:rPr>
      </w:pPr>
      <w:r w:rsidRPr="009B6966">
        <w:rPr>
          <w:rFonts w:ascii="標楷體" w:eastAsia="標楷體" w:hint="eastAsia"/>
          <w:b/>
          <w:sz w:val="32"/>
          <w:szCs w:val="32"/>
        </w:rPr>
        <w:t>宣讀上次會議議事錄。</w:t>
      </w:r>
    </w:p>
    <w:p w:rsidR="00273897" w:rsidRPr="009B6966" w:rsidRDefault="00273897" w:rsidP="00273897">
      <w:pPr>
        <w:snapToGrid w:val="0"/>
        <w:spacing w:line="500" w:lineRule="exact"/>
        <w:rPr>
          <w:rFonts w:ascii="標楷體" w:eastAsia="標楷體" w:hAnsi="標楷體"/>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273897" w:rsidRPr="00656E7E" w:rsidRDefault="00273897" w:rsidP="006934DD">
      <w:pPr>
        <w:pStyle w:val="a4"/>
        <w:numPr>
          <w:ilvl w:val="0"/>
          <w:numId w:val="30"/>
        </w:numPr>
        <w:snapToGrid w:val="0"/>
        <w:spacing w:before="120" w:line="460" w:lineRule="exact"/>
        <w:ind w:leftChars="0"/>
        <w:jc w:val="both"/>
        <w:rPr>
          <w:rFonts w:ascii="標楷體" w:eastAsia="標楷體"/>
          <w:b/>
          <w:sz w:val="32"/>
          <w:szCs w:val="32"/>
        </w:rPr>
      </w:pPr>
      <w:r w:rsidRPr="00A24FDC">
        <w:rPr>
          <w:rFonts w:ascii="標楷體" w:eastAsia="標楷體" w:hint="eastAsia"/>
          <w:b/>
          <w:color w:val="000000"/>
          <w:sz w:val="32"/>
          <w:szCs w:val="32"/>
        </w:rPr>
        <w:t>文化部部長李永得</w:t>
      </w:r>
      <w:r w:rsidRPr="009B6966">
        <w:rPr>
          <w:rFonts w:ascii="標楷體" w:eastAsia="標楷體" w:hint="eastAsia"/>
          <w:b/>
          <w:color w:val="000000"/>
          <w:sz w:val="32"/>
          <w:szCs w:val="32"/>
        </w:rPr>
        <w:t>列席報告業務概況，並備質詢。</w:t>
      </w:r>
    </w:p>
    <w:p w:rsidR="00273897" w:rsidRDefault="00273897" w:rsidP="00273897">
      <w:pPr>
        <w:pStyle w:val="a4"/>
        <w:snapToGrid w:val="0"/>
        <w:spacing w:before="120" w:afterLines="50" w:after="180" w:line="460" w:lineRule="exact"/>
        <w:ind w:leftChars="0" w:left="0"/>
        <w:rPr>
          <w:b/>
          <w:sz w:val="32"/>
          <w:szCs w:val="32"/>
        </w:rPr>
      </w:pPr>
      <w:r w:rsidRPr="00AE0707">
        <w:rPr>
          <w:rFonts w:ascii="標楷體" w:eastAsia="標楷體" w:hAnsi="標楷體" w:hint="eastAsia"/>
          <w:b/>
          <w:sz w:val="32"/>
          <w:szCs w:val="32"/>
        </w:rPr>
        <w:t>討  論  事  項</w:t>
      </w:r>
    </w:p>
    <w:p w:rsidR="00273897" w:rsidRPr="00BA511F" w:rsidRDefault="00273897" w:rsidP="00273897">
      <w:pPr>
        <w:pStyle w:val="ac"/>
        <w:spacing w:line="460" w:lineRule="exact"/>
        <w:ind w:left="0" w:firstLine="0"/>
        <w:rPr>
          <w:rFonts w:hAnsi="Times New Roman"/>
          <w:b/>
          <w:sz w:val="32"/>
          <w:szCs w:val="32"/>
        </w:rPr>
      </w:pPr>
      <w:r w:rsidRPr="00BA511F">
        <w:rPr>
          <w:rFonts w:hAnsi="Times New Roman" w:hint="eastAsia"/>
          <w:b/>
          <w:sz w:val="32"/>
          <w:szCs w:val="32"/>
        </w:rPr>
        <w:t>處理文化部函送文化內容策進院111年度預算凍結專案報告案。</w:t>
      </w:r>
    </w:p>
    <w:p w:rsidR="00273897" w:rsidRDefault="00273897" w:rsidP="00273897">
      <w:pPr>
        <w:pStyle w:val="a4"/>
        <w:snapToGrid w:val="0"/>
        <w:spacing w:before="120" w:line="500" w:lineRule="exact"/>
        <w:ind w:leftChars="0" w:left="0"/>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日</w:t>
      </w:r>
      <w:r w:rsidRPr="008C78CE">
        <w:rPr>
          <w:rFonts w:ascii="標楷體" w:eastAsia="標楷體" w:hAnsi="標楷體"/>
          <w:sz w:val="32"/>
          <w:szCs w:val="32"/>
        </w:rPr>
        <w:t>議程</w:t>
      </w:r>
      <w:r>
        <w:rPr>
          <w:rFonts w:ascii="標楷體" w:eastAsia="標楷體" w:hAnsi="標楷體" w:hint="eastAsia"/>
          <w:sz w:val="32"/>
          <w:szCs w:val="32"/>
        </w:rPr>
        <w:t>採綜合詢答，</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0007F8">
        <w:rPr>
          <w:rFonts w:ascii="標楷體" w:eastAsia="標楷體" w:hAnsi="標楷體" w:hint="eastAsia"/>
          <w:sz w:val="32"/>
          <w:szCs w:val="32"/>
        </w:rPr>
        <w:t>萬美玲、</w:t>
      </w:r>
      <w:r>
        <w:rPr>
          <w:rFonts w:ascii="標楷體" w:eastAsia="標楷體" w:hAnsi="標楷體" w:hint="eastAsia"/>
          <w:sz w:val="32"/>
          <w:szCs w:val="32"/>
        </w:rPr>
        <w:t>范雲、</w:t>
      </w:r>
      <w:r w:rsidRPr="00AF7DB4">
        <w:rPr>
          <w:rFonts w:ascii="標楷體" w:eastAsia="標楷體" w:hAnsi="標楷體" w:hint="eastAsia"/>
          <w:sz w:val="32"/>
          <w:szCs w:val="32"/>
        </w:rPr>
        <w:t>林奕華、</w:t>
      </w:r>
      <w:r w:rsidRPr="00FA7C2A">
        <w:rPr>
          <w:rFonts w:ascii="標楷體" w:eastAsia="標楷體" w:hAnsi="標楷體" w:hint="eastAsia"/>
          <w:sz w:val="32"/>
          <w:szCs w:val="32"/>
        </w:rPr>
        <w:t>黃國書、</w:t>
      </w:r>
      <w:r w:rsidRPr="00AF7DB4">
        <w:rPr>
          <w:rFonts w:ascii="標楷體" w:eastAsia="標楷體" w:hAnsi="標楷體" w:hint="eastAsia"/>
          <w:sz w:val="32"/>
          <w:szCs w:val="32"/>
        </w:rPr>
        <w:t>陳秀寳、</w:t>
      </w:r>
      <w:r w:rsidRPr="00FA7C2A">
        <w:rPr>
          <w:rFonts w:ascii="標楷體" w:eastAsia="標楷體" w:hAnsi="標楷體" w:hint="eastAsia"/>
          <w:sz w:val="32"/>
          <w:szCs w:val="32"/>
        </w:rPr>
        <w:t>張廖萬堅、</w:t>
      </w:r>
      <w:r w:rsidRPr="00DB5C75">
        <w:rPr>
          <w:rFonts w:ascii="標楷體" w:eastAsia="標楷體" w:hAnsi="標楷體" w:hint="eastAsia"/>
          <w:sz w:val="32"/>
          <w:szCs w:val="32"/>
        </w:rPr>
        <w:t>王婉諭、</w:t>
      </w:r>
      <w:r w:rsidRPr="000F5964">
        <w:rPr>
          <w:rFonts w:ascii="標楷體" w:eastAsia="標楷體" w:hAnsi="標楷體" w:hint="eastAsia"/>
          <w:sz w:val="32"/>
          <w:szCs w:val="32"/>
        </w:rPr>
        <w:t>鄭正鈐、</w:t>
      </w:r>
      <w:r>
        <w:rPr>
          <w:rFonts w:ascii="標楷體" w:eastAsia="標楷體" w:hAnsi="標楷體" w:hint="eastAsia"/>
          <w:sz w:val="32"/>
          <w:szCs w:val="32"/>
        </w:rPr>
        <w:t>吳怡玎</w:t>
      </w:r>
      <w:r w:rsidRPr="00FA7C2A">
        <w:rPr>
          <w:rFonts w:ascii="標楷體" w:eastAsia="標楷體" w:hAnsi="標楷體" w:hint="eastAsia"/>
          <w:sz w:val="32"/>
          <w:szCs w:val="32"/>
        </w:rPr>
        <w:t>、</w:t>
      </w:r>
      <w:r w:rsidRPr="00DB5C75">
        <w:rPr>
          <w:rFonts w:ascii="標楷體" w:eastAsia="標楷體" w:hAnsi="標楷體" w:hint="eastAsia"/>
          <w:sz w:val="32"/>
          <w:szCs w:val="32"/>
        </w:rPr>
        <w:t>吳思瑤、</w:t>
      </w:r>
      <w:r>
        <w:rPr>
          <w:rFonts w:ascii="標楷體" w:eastAsia="標楷體" w:hAnsi="標楷體" w:hint="eastAsia"/>
          <w:sz w:val="32"/>
          <w:szCs w:val="32"/>
        </w:rPr>
        <w:t>何欣純、高金素梅、</w:t>
      </w:r>
      <w:r w:rsidRPr="00934775">
        <w:rPr>
          <w:rFonts w:ascii="標楷體" w:eastAsia="標楷體" w:hAnsi="標楷體" w:hint="eastAsia"/>
          <w:sz w:val="32"/>
          <w:szCs w:val="32"/>
        </w:rPr>
        <w:t>林宜瑾、</w:t>
      </w:r>
      <w:r w:rsidRPr="00DB5C75">
        <w:rPr>
          <w:rFonts w:ascii="標楷體" w:eastAsia="標楷體" w:hAnsi="標楷體" w:hint="eastAsia"/>
          <w:sz w:val="32"/>
          <w:szCs w:val="32"/>
        </w:rPr>
        <w:t>賴品妤</w:t>
      </w:r>
      <w:r>
        <w:rPr>
          <w:rFonts w:ascii="標楷體" w:eastAsia="標楷體" w:hAnsi="標楷體" w:hint="eastAsia"/>
          <w:sz w:val="32"/>
          <w:szCs w:val="32"/>
        </w:rPr>
        <w:t>(視訊)</w:t>
      </w:r>
      <w:r w:rsidRPr="00DB5C75">
        <w:rPr>
          <w:rFonts w:ascii="標楷體" w:eastAsia="標楷體" w:hAnsi="標楷體" w:hint="eastAsia"/>
          <w:sz w:val="32"/>
          <w:szCs w:val="32"/>
        </w:rPr>
        <w:t>、</w:t>
      </w:r>
      <w:r w:rsidRPr="00015F59">
        <w:rPr>
          <w:rFonts w:ascii="標楷體" w:eastAsia="標楷體" w:hAnsi="標楷體" w:hint="eastAsia"/>
          <w:sz w:val="32"/>
          <w:szCs w:val="32"/>
        </w:rPr>
        <w:t>伍麗華Saidhai Tahovecahe</w:t>
      </w:r>
      <w:r>
        <w:rPr>
          <w:rFonts w:ascii="標楷體" w:eastAsia="標楷體" w:hAnsi="標楷體" w:hint="eastAsia"/>
          <w:sz w:val="32"/>
          <w:szCs w:val="32"/>
        </w:rPr>
        <w:t>、洪孟楷、陳椒華、李德維、邱志偉等</w:t>
      </w:r>
      <w:r>
        <w:rPr>
          <w:rFonts w:ascii="標楷體" w:eastAsia="標楷體" w:hAnsi="標楷體"/>
          <w:sz w:val="32"/>
          <w:szCs w:val="32"/>
        </w:rPr>
        <w:t>19</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文化部部長李永得</w:t>
      </w:r>
      <w:r>
        <w:rPr>
          <w:rFonts w:ascii="標楷體" w:eastAsia="標楷體" w:hAnsi="標楷體"/>
          <w:sz w:val="32"/>
          <w:szCs w:val="32"/>
        </w:rPr>
        <w:t>及相關人員即席答</w:t>
      </w:r>
      <w:r>
        <w:rPr>
          <w:rFonts w:ascii="標楷體" w:eastAsia="標楷體" w:hAnsi="標楷體" w:hint="eastAsia"/>
          <w:sz w:val="32"/>
          <w:szCs w:val="32"/>
        </w:rPr>
        <w:t>復</w:t>
      </w:r>
      <w:r w:rsidRPr="008C78CE">
        <w:rPr>
          <w:rFonts w:ascii="標楷體" w:eastAsia="標楷體" w:hAnsi="標楷體"/>
          <w:sz w:val="32"/>
          <w:szCs w:val="32"/>
        </w:rPr>
        <w:t>說明。）</w:t>
      </w:r>
    </w:p>
    <w:p w:rsidR="00273897" w:rsidRPr="0000524E" w:rsidRDefault="00273897" w:rsidP="00273897">
      <w:pPr>
        <w:snapToGrid w:val="0"/>
        <w:spacing w:beforeLines="50" w:before="18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273897" w:rsidRPr="0000524E" w:rsidRDefault="00273897" w:rsidP="00273897">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73897" w:rsidRPr="0000524E" w:rsidRDefault="00273897" w:rsidP="00273897">
      <w:pPr>
        <w:snapToGrid w:val="0"/>
        <w:spacing w:beforeLines="50" w:before="180" w:line="500" w:lineRule="exact"/>
        <w:ind w:left="640" w:hangingChars="200" w:hanging="640"/>
        <w:contextualSpacing/>
        <w:rPr>
          <w:rFonts w:ascii="標楷體" w:eastAsia="標楷體" w:hAnsi="標楷體"/>
          <w:bCs/>
          <w:sz w:val="32"/>
          <w:szCs w:val="32"/>
        </w:rPr>
      </w:pP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273897" w:rsidRDefault="00273897" w:rsidP="00450A50">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273897" w:rsidRDefault="00273897" w:rsidP="00450A50">
      <w:pPr>
        <w:snapToGrid w:val="0"/>
        <w:spacing w:beforeLines="50" w:before="180" w:line="500" w:lineRule="exact"/>
        <w:ind w:left="640" w:hangingChars="200" w:hanging="640"/>
        <w:contextualSpacing/>
        <w:jc w:val="both"/>
        <w:rPr>
          <w:rFonts w:ascii="標楷體" w:eastAsia="標楷體" w:hAnsi="標楷體"/>
          <w:spacing w:val="-2"/>
          <w:position w:val="2"/>
          <w:sz w:val="32"/>
          <w:szCs w:val="32"/>
        </w:rPr>
      </w:pPr>
      <w:r>
        <w:rPr>
          <w:rFonts w:ascii="標楷體" w:eastAsia="標楷體" w:hAnsi="標楷體" w:hint="eastAsia"/>
          <w:bCs/>
          <w:sz w:val="32"/>
          <w:szCs w:val="32"/>
        </w:rPr>
        <w:t>四、</w:t>
      </w:r>
      <w:r w:rsidRPr="000C7D1E">
        <w:rPr>
          <w:rFonts w:ascii="標楷體" w:eastAsia="標楷體" w:hAnsi="標楷體" w:hint="eastAsia"/>
          <w:bCs/>
          <w:sz w:val="32"/>
          <w:szCs w:val="32"/>
        </w:rPr>
        <w:t>111年度</w:t>
      </w:r>
      <w:r>
        <w:rPr>
          <w:rFonts w:ascii="標楷體" w:eastAsia="標楷體" w:hAnsi="標楷體" w:hint="eastAsia"/>
          <w:bCs/>
          <w:sz w:val="32"/>
          <w:szCs w:val="32"/>
        </w:rPr>
        <w:t>中央政府總預算有關文化內容策進院預算解凍案1案，</w:t>
      </w:r>
      <w:r w:rsidRPr="000C7D1E">
        <w:rPr>
          <w:rFonts w:ascii="標楷體" w:eastAsia="標楷體" w:hAnsi="標楷體" w:hint="eastAsia"/>
          <w:bCs/>
          <w:sz w:val="32"/>
          <w:szCs w:val="32"/>
        </w:rPr>
        <w:t>審查完竣，准予動支</w:t>
      </w:r>
      <w:r>
        <w:rPr>
          <w:rFonts w:ascii="標楷體" w:eastAsia="標楷體" w:hAnsi="標楷體" w:hint="eastAsia"/>
          <w:bCs/>
          <w:sz w:val="32"/>
          <w:szCs w:val="32"/>
        </w:rPr>
        <w:t>，提報院會</w:t>
      </w:r>
      <w:r w:rsidRPr="000C7D1E">
        <w:rPr>
          <w:rFonts w:ascii="標楷體" w:eastAsia="標楷體" w:hAnsi="標楷體" w:hint="eastAsia"/>
          <w:bCs/>
          <w:sz w:val="32"/>
          <w:szCs w:val="32"/>
        </w:rPr>
        <w:t>。</w:t>
      </w:r>
    </w:p>
    <w:p w:rsidR="00273897" w:rsidRPr="00121576" w:rsidRDefault="00273897" w:rsidP="00273897">
      <w:pPr>
        <w:snapToGrid w:val="0"/>
        <w:spacing w:beforeLines="50" w:before="180" w:line="460" w:lineRule="exact"/>
        <w:ind w:rightChars="9" w:right="22"/>
        <w:jc w:val="both"/>
        <w:rPr>
          <w:rFonts w:ascii="標楷體" w:eastAsia="標楷體" w:hAnsi="標楷體"/>
          <w:b/>
          <w:bCs/>
          <w:sz w:val="32"/>
          <w:szCs w:val="32"/>
        </w:rPr>
      </w:pPr>
      <w:r>
        <w:rPr>
          <w:rFonts w:ascii="標楷體" w:eastAsia="標楷體" w:hAnsi="標楷體" w:hint="eastAsia"/>
          <w:spacing w:val="-2"/>
          <w:position w:val="2"/>
          <w:sz w:val="32"/>
          <w:szCs w:val="32"/>
        </w:rPr>
        <w:t>（</w:t>
      </w:r>
      <w:r>
        <w:rPr>
          <w:rFonts w:ascii="標楷體" w:eastAsia="標楷體" w:hAnsi="標楷體"/>
          <w:spacing w:val="-2"/>
          <w:position w:val="2"/>
          <w:sz w:val="32"/>
          <w:szCs w:val="32"/>
        </w:rPr>
        <w:t>10</w:t>
      </w:r>
      <w:r w:rsidRPr="00121576">
        <w:rPr>
          <w:rFonts w:ascii="標楷體" w:eastAsia="標楷體" w:hAnsi="標楷體" w:hint="eastAsia"/>
          <w:spacing w:val="-2"/>
          <w:position w:val="2"/>
          <w:sz w:val="32"/>
          <w:szCs w:val="32"/>
        </w:rPr>
        <w:t>月</w:t>
      </w:r>
      <w:r>
        <w:rPr>
          <w:rFonts w:ascii="標楷體" w:eastAsia="標楷體" w:hAnsi="標楷體"/>
          <w:spacing w:val="-2"/>
          <w:position w:val="2"/>
          <w:sz w:val="32"/>
          <w:szCs w:val="32"/>
        </w:rPr>
        <w:t>26</w:t>
      </w:r>
      <w:r w:rsidRPr="00121576">
        <w:rPr>
          <w:rFonts w:ascii="標楷體" w:eastAsia="標楷體" w:hAnsi="標楷體" w:hint="eastAsia"/>
          <w:spacing w:val="-2"/>
          <w:position w:val="2"/>
          <w:sz w:val="32"/>
          <w:szCs w:val="32"/>
        </w:rPr>
        <w:t>日</w:t>
      </w:r>
      <w:r>
        <w:rPr>
          <w:rFonts w:ascii="標楷體" w:eastAsia="標楷體" w:hAnsi="標楷體" w:hint="eastAsia"/>
          <w:spacing w:val="-2"/>
          <w:position w:val="2"/>
          <w:sz w:val="32"/>
          <w:szCs w:val="32"/>
        </w:rPr>
        <w:t>）</w:t>
      </w:r>
    </w:p>
    <w:p w:rsidR="00273897" w:rsidRDefault="00273897" w:rsidP="00273897">
      <w:pPr>
        <w:pStyle w:val="ac"/>
        <w:spacing w:line="460" w:lineRule="exact"/>
        <w:ind w:left="980" w:hanging="966"/>
        <w:rPr>
          <w:b/>
          <w:sz w:val="32"/>
          <w:szCs w:val="32"/>
        </w:rPr>
      </w:pPr>
      <w:r w:rsidRPr="0084281E">
        <w:rPr>
          <w:rFonts w:hint="eastAsia"/>
          <w:b/>
          <w:sz w:val="32"/>
          <w:szCs w:val="32"/>
        </w:rPr>
        <w:t>報  告  事  項</w:t>
      </w:r>
    </w:p>
    <w:p w:rsidR="00273897" w:rsidRPr="00121576" w:rsidRDefault="00273897" w:rsidP="00273897">
      <w:pPr>
        <w:pStyle w:val="ac"/>
        <w:spacing w:line="460" w:lineRule="exact"/>
        <w:ind w:left="0" w:firstLine="14"/>
        <w:rPr>
          <w:b/>
          <w:sz w:val="32"/>
          <w:szCs w:val="32"/>
        </w:rPr>
      </w:pPr>
      <w:r w:rsidRPr="00BA511F">
        <w:rPr>
          <w:rFonts w:hAnsi="Times New Roman" w:hint="eastAsia"/>
          <w:b/>
          <w:color w:val="000000"/>
          <w:sz w:val="32"/>
          <w:szCs w:val="32"/>
        </w:rPr>
        <w:t>國家科學及技術委員會主任委員吳政忠列席報告業務概況，並備質詢。</w:t>
      </w:r>
    </w:p>
    <w:p w:rsidR="00273897" w:rsidRDefault="00273897" w:rsidP="00273897">
      <w:pPr>
        <w:pStyle w:val="a4"/>
        <w:snapToGrid w:val="0"/>
        <w:spacing w:before="120" w:line="460" w:lineRule="exact"/>
        <w:ind w:leftChars="0" w:left="0"/>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日</w:t>
      </w:r>
      <w:r w:rsidRPr="008C78CE">
        <w:rPr>
          <w:rFonts w:ascii="標楷體" w:eastAsia="標楷體" w:hAnsi="標楷體"/>
          <w:sz w:val="32"/>
          <w:szCs w:val="32"/>
        </w:rPr>
        <w:t>議程</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97100E">
        <w:rPr>
          <w:rFonts w:ascii="標楷體" w:eastAsia="標楷體" w:hAnsi="標楷體" w:hint="eastAsia"/>
          <w:sz w:val="32"/>
          <w:szCs w:val="32"/>
        </w:rPr>
        <w:t>萬美玲、</w:t>
      </w:r>
      <w:r w:rsidRPr="00130CA5">
        <w:rPr>
          <w:rFonts w:ascii="標楷體" w:eastAsia="標楷體" w:hAnsi="標楷體" w:hint="eastAsia"/>
          <w:sz w:val="32"/>
          <w:szCs w:val="32"/>
        </w:rPr>
        <w:t>林奕華、</w:t>
      </w:r>
      <w:r>
        <w:rPr>
          <w:rFonts w:ascii="標楷體" w:eastAsia="標楷體" w:hAnsi="標楷體" w:hint="eastAsia"/>
          <w:sz w:val="32"/>
          <w:szCs w:val="32"/>
        </w:rPr>
        <w:t>吳怡玎、</w:t>
      </w:r>
      <w:r w:rsidRPr="00F6758C">
        <w:rPr>
          <w:rFonts w:ascii="標楷體" w:eastAsia="標楷體" w:hAnsi="標楷體" w:hint="eastAsia"/>
          <w:sz w:val="32"/>
          <w:szCs w:val="32"/>
        </w:rPr>
        <w:t>陳秀寳、</w:t>
      </w:r>
      <w:r w:rsidRPr="00130CA5">
        <w:rPr>
          <w:rFonts w:ascii="標楷體" w:eastAsia="標楷體" w:hAnsi="標楷體" w:hint="eastAsia"/>
          <w:sz w:val="32"/>
          <w:szCs w:val="32"/>
        </w:rPr>
        <w:t>黃國書、</w:t>
      </w:r>
      <w:r w:rsidRPr="000A32BB">
        <w:rPr>
          <w:rFonts w:ascii="標楷體" w:eastAsia="標楷體" w:hAnsi="標楷體" w:hint="eastAsia"/>
          <w:sz w:val="32"/>
          <w:szCs w:val="32"/>
        </w:rPr>
        <w:t>王婉諭、</w:t>
      </w:r>
      <w:r>
        <w:rPr>
          <w:rFonts w:ascii="標楷體" w:eastAsia="標楷體" w:hAnsi="標楷體" w:hint="eastAsia"/>
          <w:sz w:val="32"/>
          <w:szCs w:val="32"/>
        </w:rPr>
        <w:t>高金素梅、</w:t>
      </w:r>
      <w:r w:rsidRPr="001A65A0">
        <w:rPr>
          <w:rFonts w:ascii="標楷體" w:eastAsia="標楷體" w:hAnsi="標楷體" w:hint="eastAsia"/>
          <w:sz w:val="32"/>
          <w:szCs w:val="32"/>
        </w:rPr>
        <w:t>林宜瑾、</w:t>
      </w:r>
      <w:r>
        <w:rPr>
          <w:rFonts w:ascii="標楷體" w:eastAsia="標楷體" w:hAnsi="標楷體" w:hint="eastAsia"/>
          <w:sz w:val="32"/>
          <w:szCs w:val="32"/>
        </w:rPr>
        <w:t>何欣純、</w:t>
      </w:r>
      <w:r w:rsidRPr="008808BE">
        <w:rPr>
          <w:rFonts w:ascii="標楷體" w:eastAsia="標楷體" w:hAnsi="標楷體" w:hint="eastAsia"/>
          <w:sz w:val="32"/>
          <w:szCs w:val="32"/>
        </w:rPr>
        <w:t>鄭正鈐、</w:t>
      </w:r>
      <w:r w:rsidRPr="00130CA5">
        <w:rPr>
          <w:rFonts w:ascii="標楷體" w:eastAsia="標楷體" w:hAnsi="標楷體" w:hint="eastAsia"/>
          <w:sz w:val="32"/>
          <w:szCs w:val="32"/>
        </w:rPr>
        <w:t>吳思瑤、</w:t>
      </w:r>
      <w:r w:rsidRPr="008808BE">
        <w:rPr>
          <w:rFonts w:ascii="標楷體" w:eastAsia="標楷體" w:hAnsi="標楷體" w:hint="eastAsia"/>
          <w:sz w:val="32"/>
          <w:szCs w:val="32"/>
        </w:rPr>
        <w:t>張廖萬堅、范雲、賴品妤</w:t>
      </w:r>
      <w:r>
        <w:rPr>
          <w:rFonts w:ascii="標楷體" w:eastAsia="標楷體" w:hAnsi="標楷體" w:hint="eastAsia"/>
          <w:sz w:val="32"/>
          <w:szCs w:val="32"/>
        </w:rPr>
        <w:t>(視訊)</w:t>
      </w:r>
      <w:r w:rsidRPr="008808BE">
        <w:rPr>
          <w:rFonts w:ascii="標楷體" w:eastAsia="標楷體" w:hAnsi="標楷體" w:hint="eastAsia"/>
          <w:sz w:val="32"/>
          <w:szCs w:val="32"/>
        </w:rPr>
        <w:t>、</w:t>
      </w:r>
      <w:r>
        <w:rPr>
          <w:rFonts w:ascii="標楷體" w:eastAsia="標楷體" w:hAnsi="標楷體" w:hint="eastAsia"/>
          <w:sz w:val="32"/>
          <w:szCs w:val="32"/>
        </w:rPr>
        <w:t>陳椒華、張其祿等</w:t>
      </w:r>
      <w:r>
        <w:rPr>
          <w:rFonts w:ascii="標楷體" w:eastAsia="標楷體" w:hAnsi="標楷體"/>
          <w:sz w:val="32"/>
          <w:szCs w:val="32"/>
        </w:rPr>
        <w:t>16</w:t>
      </w:r>
      <w:r w:rsidRPr="008C78CE">
        <w:rPr>
          <w:rFonts w:ascii="標楷體" w:eastAsia="標楷體" w:hAnsi="標楷體"/>
          <w:sz w:val="32"/>
          <w:szCs w:val="32"/>
        </w:rPr>
        <w:t>人提出質詢，均</w:t>
      </w:r>
      <w:r w:rsidRPr="00891366">
        <w:rPr>
          <w:rFonts w:ascii="標楷體" w:eastAsia="標楷體" w:hAnsi="標楷體"/>
          <w:sz w:val="32"/>
          <w:szCs w:val="32"/>
        </w:rPr>
        <w:t>經</w:t>
      </w:r>
      <w:r w:rsidRPr="00B437CD">
        <w:rPr>
          <w:rFonts w:ascii="標楷體" w:eastAsia="標楷體" w:hAnsi="標楷體" w:hint="eastAsia"/>
          <w:sz w:val="32"/>
          <w:szCs w:val="32"/>
        </w:rPr>
        <w:t>國家科學及技術委員會主任委員吳政忠</w:t>
      </w:r>
      <w:r w:rsidRPr="008C78CE">
        <w:rPr>
          <w:rFonts w:ascii="標楷體" w:eastAsia="標楷體" w:hAnsi="標楷體"/>
          <w:sz w:val="32"/>
          <w:szCs w:val="32"/>
        </w:rPr>
        <w:t>及相關人員即席答復說明。）</w:t>
      </w:r>
    </w:p>
    <w:p w:rsidR="00273897" w:rsidRPr="0000524E" w:rsidRDefault="00273897" w:rsidP="00273897">
      <w:pPr>
        <w:snapToGrid w:val="0"/>
        <w:spacing w:beforeLines="50" w:before="18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lastRenderedPageBreak/>
        <w:t>決定</w:t>
      </w:r>
      <w:r w:rsidRPr="0000524E">
        <w:rPr>
          <w:rFonts w:ascii="標楷體" w:eastAsia="標楷體" w:hAnsi="標楷體"/>
          <w:b/>
          <w:bCs/>
          <w:sz w:val="32"/>
          <w:szCs w:val="32"/>
        </w:rPr>
        <w:t>：</w:t>
      </w:r>
    </w:p>
    <w:p w:rsidR="00273897" w:rsidRPr="0000524E" w:rsidRDefault="00273897" w:rsidP="00273897">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273897" w:rsidRPr="0000524E" w:rsidRDefault="00273897" w:rsidP="00273897">
      <w:pPr>
        <w:snapToGrid w:val="0"/>
        <w:spacing w:beforeLines="50" w:before="180" w:line="500" w:lineRule="exact"/>
        <w:ind w:left="640" w:hangingChars="200" w:hanging="640"/>
        <w:contextualSpacing/>
        <w:rPr>
          <w:rFonts w:ascii="標楷體" w:eastAsia="標楷體" w:hAnsi="標楷體"/>
          <w:bCs/>
          <w:sz w:val="32"/>
          <w:szCs w:val="32"/>
        </w:rPr>
      </w:pP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273897" w:rsidRDefault="00273897" w:rsidP="00450A50">
      <w:pPr>
        <w:snapToGrid w:val="0"/>
        <w:spacing w:beforeLines="50" w:before="180" w:after="240" w:line="500" w:lineRule="exact"/>
        <w:ind w:leftChars="1" w:left="642" w:hangingChars="200" w:hanging="640"/>
        <w:contextualSpacing/>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273897" w:rsidRDefault="00273897" w:rsidP="00273897">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273897" w:rsidRDefault="00273897">
      <w:pPr>
        <w:widowControl/>
        <w:rPr>
          <w:rFonts w:ascii="標楷體" w:eastAsia="標楷體" w:hAnsi="標楷體"/>
          <w:b/>
          <w:bCs/>
          <w:sz w:val="32"/>
          <w:szCs w:val="32"/>
        </w:rPr>
      </w:pPr>
      <w:r>
        <w:rPr>
          <w:rFonts w:ascii="標楷體" w:eastAsia="標楷體" w:hAnsi="標楷體"/>
          <w:b/>
          <w:bCs/>
          <w:sz w:val="32"/>
          <w:szCs w:val="32"/>
        </w:rPr>
        <w:br w:type="page"/>
      </w:r>
    </w:p>
    <w:p w:rsidR="00273897" w:rsidRPr="008F7885" w:rsidRDefault="00273897" w:rsidP="00B6184F">
      <w:pPr>
        <w:pStyle w:val="01-45"/>
        <w:rPr>
          <w:position w:val="2"/>
        </w:rPr>
      </w:pPr>
      <w:bookmarkStart w:id="162" w:name="_Toc126068179"/>
      <w:r w:rsidRPr="008F7885">
        <w:rPr>
          <w:rFonts w:hint="eastAsia"/>
        </w:rPr>
        <w:lastRenderedPageBreak/>
        <w:t>立法院第10屆第6會期教育及文化委員會第6次全體委員會議議事錄</w:t>
      </w:r>
      <w:bookmarkEnd w:id="162"/>
    </w:p>
    <w:p w:rsidR="00273897" w:rsidRPr="008F7885" w:rsidRDefault="00273897" w:rsidP="00273897">
      <w:pPr>
        <w:snapToGrid w:val="0"/>
        <w:spacing w:line="520" w:lineRule="exact"/>
        <w:ind w:left="1600" w:rightChars="9" w:right="22" w:hangingChars="500" w:hanging="1600"/>
        <w:jc w:val="distribute"/>
        <w:rPr>
          <w:rFonts w:ascii="標楷體" w:eastAsia="標楷體" w:hAnsi="標楷體"/>
          <w:spacing w:val="-32"/>
          <w:kern w:val="0"/>
          <w:sz w:val="32"/>
          <w:szCs w:val="32"/>
        </w:rPr>
      </w:pPr>
      <w:r w:rsidRPr="00AC1E42">
        <w:rPr>
          <w:rFonts w:ascii="標楷體" w:eastAsia="標楷體" w:hAnsi="標楷體"/>
          <w:kern w:val="0"/>
          <w:sz w:val="32"/>
          <w:szCs w:val="32"/>
          <w:fitText w:val="1600" w:id="-1323552512"/>
        </w:rPr>
        <w:t>時    間：</w:t>
      </w:r>
      <w:r w:rsidRPr="008F7885">
        <w:rPr>
          <w:rFonts w:ascii="標楷體" w:eastAsia="標楷體" w:hAnsi="標楷體" w:hint="eastAsia"/>
          <w:spacing w:val="-32"/>
          <w:kern w:val="0"/>
          <w:sz w:val="32"/>
          <w:szCs w:val="32"/>
        </w:rPr>
        <w:t>中華民國1</w:t>
      </w:r>
      <w:r w:rsidRPr="008F7885">
        <w:rPr>
          <w:rFonts w:ascii="標楷體" w:eastAsia="標楷體" w:hAnsi="標楷體"/>
          <w:spacing w:val="-32"/>
          <w:kern w:val="0"/>
          <w:sz w:val="32"/>
          <w:szCs w:val="32"/>
        </w:rPr>
        <w:t>11</w:t>
      </w:r>
      <w:r w:rsidRPr="008F7885">
        <w:rPr>
          <w:rFonts w:ascii="標楷體" w:eastAsia="標楷體" w:hAnsi="標楷體" w:hint="eastAsia"/>
          <w:spacing w:val="-32"/>
          <w:kern w:val="0"/>
          <w:sz w:val="32"/>
          <w:szCs w:val="32"/>
        </w:rPr>
        <w:t>年</w:t>
      </w:r>
      <w:r w:rsidRPr="008F7885">
        <w:rPr>
          <w:rFonts w:ascii="標楷體" w:eastAsia="標楷體" w:hAnsi="標楷體"/>
          <w:spacing w:val="-32"/>
          <w:kern w:val="0"/>
          <w:sz w:val="32"/>
          <w:szCs w:val="32"/>
        </w:rPr>
        <w:t>11</w:t>
      </w:r>
      <w:r w:rsidRPr="008F7885">
        <w:rPr>
          <w:rFonts w:ascii="標楷體" w:eastAsia="標楷體" w:hAnsi="標楷體" w:hint="eastAsia"/>
          <w:spacing w:val="-32"/>
          <w:kern w:val="0"/>
          <w:sz w:val="32"/>
          <w:szCs w:val="32"/>
        </w:rPr>
        <w:t>月</w:t>
      </w:r>
      <w:r w:rsidRPr="008F7885">
        <w:rPr>
          <w:rFonts w:ascii="標楷體" w:eastAsia="標楷體" w:hAnsi="標楷體"/>
          <w:spacing w:val="-32"/>
          <w:kern w:val="0"/>
          <w:sz w:val="32"/>
          <w:szCs w:val="32"/>
        </w:rPr>
        <w:t>2</w:t>
      </w:r>
      <w:r w:rsidRPr="008F7885">
        <w:rPr>
          <w:rFonts w:ascii="標楷體" w:eastAsia="標楷體" w:hAnsi="標楷體" w:hint="eastAsia"/>
          <w:spacing w:val="-32"/>
          <w:kern w:val="0"/>
          <w:sz w:val="32"/>
          <w:szCs w:val="32"/>
        </w:rPr>
        <w:t>日（星期三）上午9時</w:t>
      </w:r>
      <w:r w:rsidRPr="008F7885">
        <w:rPr>
          <w:rFonts w:ascii="標楷體" w:eastAsia="標楷體" w:hAnsi="標楷體"/>
          <w:spacing w:val="-32"/>
          <w:kern w:val="0"/>
          <w:sz w:val="32"/>
          <w:szCs w:val="32"/>
        </w:rPr>
        <w:t>2</w:t>
      </w:r>
      <w:r w:rsidRPr="008F7885">
        <w:rPr>
          <w:rFonts w:ascii="標楷體" w:eastAsia="標楷體" w:hAnsi="標楷體" w:hint="eastAsia"/>
          <w:spacing w:val="-32"/>
          <w:kern w:val="0"/>
          <w:sz w:val="32"/>
          <w:szCs w:val="32"/>
        </w:rPr>
        <w:t>分至下午</w:t>
      </w:r>
      <w:r w:rsidRPr="008F7885">
        <w:rPr>
          <w:rFonts w:ascii="標楷體" w:eastAsia="標楷體" w:hAnsi="標楷體"/>
          <w:spacing w:val="-32"/>
          <w:kern w:val="0"/>
          <w:sz w:val="32"/>
          <w:szCs w:val="32"/>
        </w:rPr>
        <w:t>5</w:t>
      </w:r>
      <w:r w:rsidRPr="008F7885">
        <w:rPr>
          <w:rFonts w:ascii="標楷體" w:eastAsia="標楷體" w:hAnsi="標楷體" w:hint="eastAsia"/>
          <w:spacing w:val="-32"/>
          <w:kern w:val="0"/>
          <w:sz w:val="32"/>
          <w:szCs w:val="32"/>
        </w:rPr>
        <w:t>時</w:t>
      </w:r>
      <w:r w:rsidRPr="008F7885">
        <w:rPr>
          <w:rFonts w:ascii="標楷體" w:eastAsia="標楷體" w:hAnsi="標楷體"/>
          <w:spacing w:val="-32"/>
          <w:kern w:val="0"/>
          <w:sz w:val="32"/>
          <w:szCs w:val="32"/>
        </w:rPr>
        <w:t>15</w:t>
      </w:r>
      <w:r w:rsidRPr="008F7885">
        <w:rPr>
          <w:rFonts w:ascii="標楷體" w:eastAsia="標楷體" w:hAnsi="標楷體" w:hint="eastAsia"/>
          <w:spacing w:val="-32"/>
          <w:kern w:val="0"/>
          <w:sz w:val="32"/>
          <w:szCs w:val="32"/>
        </w:rPr>
        <w:t>分</w:t>
      </w:r>
    </w:p>
    <w:p w:rsidR="00273897" w:rsidRPr="008F7885" w:rsidRDefault="00273897" w:rsidP="00273897">
      <w:pPr>
        <w:snapToGrid w:val="0"/>
        <w:spacing w:line="520" w:lineRule="exact"/>
        <w:ind w:left="1280" w:rightChars="9" w:right="22" w:hangingChars="500" w:hanging="1280"/>
        <w:jc w:val="distribute"/>
        <w:rPr>
          <w:rFonts w:ascii="標楷體" w:eastAsia="標楷體" w:hAnsi="標楷體"/>
          <w:spacing w:val="-32"/>
          <w:kern w:val="0"/>
          <w:sz w:val="32"/>
          <w:szCs w:val="32"/>
        </w:rPr>
      </w:pPr>
      <w:r w:rsidRPr="008F7885">
        <w:rPr>
          <w:rFonts w:ascii="標楷體" w:eastAsia="標楷體" w:hAnsi="標楷體" w:hint="eastAsia"/>
          <w:spacing w:val="-32"/>
          <w:kern w:val="0"/>
          <w:sz w:val="32"/>
          <w:szCs w:val="32"/>
        </w:rPr>
        <w:t xml:space="preserve">               </w:t>
      </w:r>
      <w:r w:rsidRPr="008F7885">
        <w:rPr>
          <w:rFonts w:ascii="標楷體" w:eastAsia="標楷體" w:hAnsi="標楷體" w:hint="eastAsia"/>
          <w:spacing w:val="-32"/>
          <w:kern w:val="0"/>
          <w:sz w:val="44"/>
          <w:szCs w:val="32"/>
        </w:rPr>
        <w:t xml:space="preserve"> </w:t>
      </w:r>
      <w:r w:rsidRPr="008F7885">
        <w:rPr>
          <w:rFonts w:ascii="標楷體" w:eastAsia="標楷體" w:hAnsi="標楷體" w:hint="eastAsia"/>
          <w:spacing w:val="-32"/>
          <w:kern w:val="0"/>
          <w:sz w:val="32"/>
          <w:szCs w:val="32"/>
        </w:rPr>
        <w:t>中華民國1</w:t>
      </w:r>
      <w:r w:rsidRPr="008F7885">
        <w:rPr>
          <w:rFonts w:ascii="標楷體" w:eastAsia="標楷體" w:hAnsi="標楷體"/>
          <w:spacing w:val="-32"/>
          <w:kern w:val="0"/>
          <w:sz w:val="32"/>
          <w:szCs w:val="32"/>
        </w:rPr>
        <w:t>11</w:t>
      </w:r>
      <w:r w:rsidRPr="008F7885">
        <w:rPr>
          <w:rFonts w:ascii="標楷體" w:eastAsia="標楷體" w:hAnsi="標楷體" w:hint="eastAsia"/>
          <w:spacing w:val="-32"/>
          <w:kern w:val="0"/>
          <w:sz w:val="32"/>
          <w:szCs w:val="32"/>
        </w:rPr>
        <w:t>年</w:t>
      </w:r>
      <w:r w:rsidRPr="008F7885">
        <w:rPr>
          <w:rFonts w:ascii="標楷體" w:eastAsia="標楷體" w:hAnsi="標楷體"/>
          <w:spacing w:val="-32"/>
          <w:kern w:val="0"/>
          <w:sz w:val="32"/>
          <w:szCs w:val="32"/>
        </w:rPr>
        <w:t>11</w:t>
      </w:r>
      <w:r w:rsidRPr="008F7885">
        <w:rPr>
          <w:rFonts w:ascii="標楷體" w:eastAsia="標楷體" w:hAnsi="標楷體" w:hint="eastAsia"/>
          <w:spacing w:val="-32"/>
          <w:kern w:val="0"/>
          <w:sz w:val="32"/>
          <w:szCs w:val="32"/>
        </w:rPr>
        <w:t>月</w:t>
      </w:r>
      <w:r w:rsidRPr="008F7885">
        <w:rPr>
          <w:rFonts w:ascii="標楷體" w:eastAsia="標楷體" w:hAnsi="標楷體"/>
          <w:spacing w:val="-32"/>
          <w:kern w:val="0"/>
          <w:sz w:val="32"/>
          <w:szCs w:val="32"/>
        </w:rPr>
        <w:t>3</w:t>
      </w:r>
      <w:r w:rsidRPr="008F7885">
        <w:rPr>
          <w:rFonts w:ascii="標楷體" w:eastAsia="標楷體" w:hAnsi="標楷體" w:hint="eastAsia"/>
          <w:spacing w:val="-32"/>
          <w:kern w:val="0"/>
          <w:sz w:val="32"/>
          <w:szCs w:val="32"/>
        </w:rPr>
        <w:t>日（星期四）上午9時3分至下午</w:t>
      </w:r>
      <w:r w:rsidRPr="008F7885">
        <w:rPr>
          <w:rFonts w:ascii="標楷體" w:eastAsia="標楷體" w:hAnsi="標楷體"/>
          <w:spacing w:val="-32"/>
          <w:kern w:val="0"/>
          <w:sz w:val="32"/>
          <w:szCs w:val="32"/>
        </w:rPr>
        <w:t>4</w:t>
      </w:r>
      <w:r w:rsidRPr="008F7885">
        <w:rPr>
          <w:rFonts w:ascii="標楷體" w:eastAsia="標楷體" w:hAnsi="標楷體" w:hint="eastAsia"/>
          <w:spacing w:val="-32"/>
          <w:kern w:val="0"/>
          <w:sz w:val="32"/>
          <w:szCs w:val="32"/>
        </w:rPr>
        <w:t>時</w:t>
      </w:r>
      <w:r w:rsidRPr="008F7885">
        <w:rPr>
          <w:rFonts w:ascii="標楷體" w:eastAsia="標楷體" w:hAnsi="標楷體"/>
          <w:spacing w:val="-32"/>
          <w:kern w:val="0"/>
          <w:sz w:val="32"/>
          <w:szCs w:val="32"/>
        </w:rPr>
        <w:t>15</w:t>
      </w:r>
      <w:r w:rsidRPr="008F7885">
        <w:rPr>
          <w:rFonts w:ascii="標楷體" w:eastAsia="標楷體" w:hAnsi="標楷體" w:hint="eastAsia"/>
          <w:spacing w:val="-32"/>
          <w:kern w:val="0"/>
          <w:sz w:val="32"/>
          <w:szCs w:val="32"/>
        </w:rPr>
        <w:t xml:space="preserve">分               </w:t>
      </w:r>
      <w:r w:rsidRPr="008F7885">
        <w:rPr>
          <w:rFonts w:ascii="標楷體" w:eastAsia="標楷體" w:hAnsi="標楷體" w:hint="eastAsia"/>
          <w:spacing w:val="-32"/>
          <w:kern w:val="0"/>
          <w:sz w:val="44"/>
          <w:szCs w:val="32"/>
        </w:rPr>
        <w:t xml:space="preserve"> </w:t>
      </w:r>
    </w:p>
    <w:p w:rsidR="00273897" w:rsidRPr="008F7885" w:rsidRDefault="00273897" w:rsidP="00273897">
      <w:pPr>
        <w:snapToGrid w:val="0"/>
        <w:spacing w:line="520" w:lineRule="exact"/>
        <w:ind w:left="1706" w:rightChars="9" w:right="22" w:hangingChars="533" w:hanging="1706"/>
        <w:jc w:val="both"/>
        <w:rPr>
          <w:rFonts w:ascii="標楷體" w:eastAsia="標楷體" w:hAnsi="標楷體"/>
          <w:sz w:val="32"/>
          <w:szCs w:val="32"/>
        </w:rPr>
      </w:pPr>
      <w:r w:rsidRPr="008F7885">
        <w:rPr>
          <w:rFonts w:ascii="標楷體" w:eastAsia="標楷體" w:hAnsi="標楷體"/>
          <w:sz w:val="32"/>
          <w:szCs w:val="32"/>
        </w:rPr>
        <w:t>地    點：</w:t>
      </w:r>
      <w:r w:rsidRPr="008F7885">
        <w:rPr>
          <w:rFonts w:ascii="標楷體" w:eastAsia="標楷體" w:hAnsi="標楷體" w:hint="eastAsia"/>
          <w:sz w:val="32"/>
          <w:szCs w:val="32"/>
        </w:rPr>
        <w:t>本院群賢樓101會議室</w:t>
      </w:r>
    </w:p>
    <w:p w:rsidR="00273897" w:rsidRPr="008F7885" w:rsidRDefault="00273897" w:rsidP="00273897">
      <w:pPr>
        <w:snapToGrid w:val="0"/>
        <w:spacing w:line="520" w:lineRule="exact"/>
        <w:ind w:leftChars="2" w:left="5"/>
        <w:jc w:val="both"/>
        <w:rPr>
          <w:rFonts w:ascii="標楷體" w:eastAsia="標楷體" w:hAnsi="標楷體"/>
          <w:sz w:val="32"/>
          <w:szCs w:val="32"/>
        </w:rPr>
      </w:pPr>
      <w:r w:rsidRPr="008F7885">
        <w:rPr>
          <w:rFonts w:ascii="標楷體" w:eastAsia="標楷體" w:hAnsi="標楷體"/>
          <w:sz w:val="32"/>
          <w:szCs w:val="32"/>
        </w:rPr>
        <w:t>出席委員</w:t>
      </w:r>
      <w:r w:rsidRPr="008F7885">
        <w:rPr>
          <w:rFonts w:ascii="標楷體" w:eastAsia="標楷體" w:hAnsi="標楷體" w:hint="eastAsia"/>
          <w:sz w:val="32"/>
          <w:szCs w:val="32"/>
        </w:rPr>
        <w:t>：王婉諭  林奕華  鄭正鈐  何欣純  陳秀寳  高金素梅</w:t>
      </w:r>
    </w:p>
    <w:p w:rsidR="00273897" w:rsidRPr="008F7885" w:rsidRDefault="00273897" w:rsidP="00273897">
      <w:pPr>
        <w:snapToGrid w:val="0"/>
        <w:spacing w:line="520" w:lineRule="exact"/>
        <w:ind w:leftChars="2" w:left="5"/>
        <w:jc w:val="both"/>
        <w:rPr>
          <w:rFonts w:ascii="標楷體" w:eastAsia="標楷體" w:hAnsi="標楷體"/>
          <w:sz w:val="32"/>
          <w:szCs w:val="32"/>
        </w:rPr>
      </w:pPr>
      <w:r w:rsidRPr="008F7885">
        <w:rPr>
          <w:rFonts w:ascii="標楷體" w:eastAsia="標楷體" w:hAnsi="標楷體" w:hint="eastAsia"/>
          <w:sz w:val="32"/>
          <w:szCs w:val="32"/>
        </w:rPr>
        <w:t xml:space="preserve">          萬美玲  吳怡玎  黃國書  林宜瑾  賴品妤  張廖萬堅</w:t>
      </w:r>
    </w:p>
    <w:p w:rsidR="00273897" w:rsidRPr="008F7885" w:rsidRDefault="00273897" w:rsidP="00273897">
      <w:pPr>
        <w:snapToGrid w:val="0"/>
        <w:spacing w:line="520" w:lineRule="exact"/>
        <w:ind w:leftChars="2" w:left="5"/>
        <w:jc w:val="both"/>
        <w:rPr>
          <w:rFonts w:ascii="標楷體" w:eastAsia="標楷體" w:hAnsi="標楷體"/>
          <w:sz w:val="32"/>
          <w:szCs w:val="32"/>
        </w:rPr>
      </w:pPr>
      <w:r w:rsidRPr="008F7885">
        <w:rPr>
          <w:rFonts w:ascii="標楷體" w:eastAsia="標楷體" w:hAnsi="標楷體" w:hint="eastAsia"/>
          <w:sz w:val="32"/>
          <w:szCs w:val="32"/>
        </w:rPr>
        <w:t xml:space="preserve">          范  雲  吳思瑤</w:t>
      </w:r>
    </w:p>
    <w:p w:rsidR="00273897" w:rsidRPr="008F7885" w:rsidRDefault="00273897" w:rsidP="00273897">
      <w:pPr>
        <w:snapToGrid w:val="0"/>
        <w:spacing w:line="520" w:lineRule="exact"/>
        <w:ind w:leftChars="2" w:left="5"/>
        <w:jc w:val="both"/>
        <w:rPr>
          <w:rFonts w:ascii="標楷體" w:eastAsia="標楷體" w:hAnsi="標楷體"/>
          <w:sz w:val="32"/>
          <w:szCs w:val="32"/>
        </w:rPr>
      </w:pPr>
      <w:r w:rsidRPr="008F7885">
        <w:rPr>
          <w:rFonts w:ascii="標楷體" w:eastAsia="標楷體" w:hAnsi="標楷體" w:hint="eastAsia"/>
          <w:sz w:val="32"/>
          <w:szCs w:val="32"/>
        </w:rPr>
        <w:t xml:space="preserve">          委員出席</w:t>
      </w:r>
      <w:r w:rsidRPr="008F7885">
        <w:rPr>
          <w:rFonts w:ascii="標楷體" w:eastAsia="標楷體" w:hAnsi="標楷體"/>
          <w:sz w:val="32"/>
          <w:szCs w:val="32"/>
        </w:rPr>
        <w:t>14</w:t>
      </w:r>
      <w:r w:rsidRPr="008F7885">
        <w:rPr>
          <w:rFonts w:ascii="標楷體" w:eastAsia="標楷體" w:hAnsi="標楷體" w:hint="eastAsia"/>
          <w:sz w:val="32"/>
          <w:szCs w:val="32"/>
        </w:rPr>
        <w:t>人</w:t>
      </w:r>
    </w:p>
    <w:p w:rsidR="00273897" w:rsidRPr="008F7885" w:rsidRDefault="00273897" w:rsidP="00273897">
      <w:pPr>
        <w:snapToGrid w:val="0"/>
        <w:spacing w:line="520" w:lineRule="exact"/>
        <w:ind w:left="1920" w:rightChars="9" w:right="22" w:hangingChars="600" w:hanging="1920"/>
        <w:jc w:val="both"/>
        <w:rPr>
          <w:rFonts w:ascii="標楷體" w:eastAsia="標楷體" w:hAnsi="標楷體"/>
          <w:sz w:val="32"/>
          <w:szCs w:val="32"/>
        </w:rPr>
      </w:pPr>
      <w:r w:rsidRPr="008F7885">
        <w:rPr>
          <w:rFonts w:ascii="標楷體" w:eastAsia="標楷體" w:hAnsi="標楷體"/>
          <w:sz w:val="32"/>
          <w:szCs w:val="32"/>
        </w:rPr>
        <w:t>列席委員：</w:t>
      </w:r>
      <w:r w:rsidRPr="008F7885">
        <w:rPr>
          <w:rFonts w:ascii="標楷體" w:eastAsia="標楷體" w:hAnsi="標楷體" w:hint="eastAsia"/>
          <w:sz w:val="32"/>
          <w:szCs w:val="32"/>
        </w:rPr>
        <w:t>林德福  李貴敏  陳椒華  劉世芳  李德維  謝衣鳯</w:t>
      </w:r>
    </w:p>
    <w:p w:rsidR="00273897" w:rsidRPr="008F7885" w:rsidRDefault="00273897" w:rsidP="00273897">
      <w:pPr>
        <w:snapToGrid w:val="0"/>
        <w:spacing w:line="520" w:lineRule="exact"/>
        <w:ind w:left="1920" w:rightChars="9" w:right="22" w:hangingChars="600" w:hanging="1920"/>
        <w:jc w:val="both"/>
        <w:rPr>
          <w:rFonts w:ascii="標楷體" w:eastAsia="標楷體" w:hAnsi="標楷體"/>
          <w:sz w:val="32"/>
          <w:szCs w:val="32"/>
        </w:rPr>
      </w:pPr>
      <w:r w:rsidRPr="008F7885">
        <w:rPr>
          <w:rFonts w:ascii="標楷體" w:eastAsia="標楷體" w:hAnsi="標楷體" w:hint="eastAsia"/>
          <w:sz w:val="32"/>
          <w:szCs w:val="32"/>
        </w:rPr>
        <w:t xml:space="preserve">          曾銘宗  林思銘  游毓蘭  莊競程  羅明才  張其祿</w:t>
      </w:r>
    </w:p>
    <w:p w:rsidR="00273897" w:rsidRPr="008F7885" w:rsidRDefault="00273897" w:rsidP="00273897">
      <w:pPr>
        <w:snapToGrid w:val="0"/>
        <w:spacing w:line="520" w:lineRule="exact"/>
        <w:ind w:left="1920" w:rightChars="9" w:right="22" w:hangingChars="600" w:hanging="1920"/>
        <w:jc w:val="both"/>
        <w:rPr>
          <w:rFonts w:ascii="標楷體" w:eastAsia="標楷體" w:hAnsi="標楷體"/>
          <w:sz w:val="32"/>
          <w:szCs w:val="32"/>
        </w:rPr>
      </w:pPr>
      <w:r w:rsidRPr="008F7885">
        <w:rPr>
          <w:rFonts w:ascii="標楷體" w:eastAsia="標楷體" w:hAnsi="標楷體" w:hint="eastAsia"/>
          <w:sz w:val="32"/>
          <w:szCs w:val="32"/>
        </w:rPr>
        <w:t xml:space="preserve">          高嘉瑜  溫玉霞  廖婉汝  翁重鈞  陳以信  吳斯懷</w:t>
      </w:r>
    </w:p>
    <w:p w:rsidR="00273897" w:rsidRPr="008F7885" w:rsidRDefault="00273897" w:rsidP="00273897">
      <w:pPr>
        <w:snapToGrid w:val="0"/>
        <w:spacing w:line="520" w:lineRule="exact"/>
        <w:ind w:left="1920" w:rightChars="9" w:right="22" w:hangingChars="600" w:hanging="1920"/>
        <w:jc w:val="both"/>
        <w:rPr>
          <w:rFonts w:ascii="標楷體" w:eastAsia="標楷體" w:hAnsi="標楷體"/>
          <w:sz w:val="32"/>
          <w:szCs w:val="32"/>
        </w:rPr>
      </w:pPr>
      <w:r w:rsidRPr="008F7885">
        <w:rPr>
          <w:rFonts w:ascii="標楷體" w:eastAsia="標楷體" w:hAnsi="標楷體" w:hint="eastAsia"/>
          <w:sz w:val="32"/>
          <w:szCs w:val="32"/>
        </w:rPr>
        <w:t xml:space="preserve">          陳玉珍  張育美  許智傑  廖國棟Sufin‧Siluko</w:t>
      </w:r>
    </w:p>
    <w:p w:rsidR="00273897" w:rsidRPr="008F7885" w:rsidRDefault="00273897" w:rsidP="00273897">
      <w:pPr>
        <w:snapToGrid w:val="0"/>
        <w:spacing w:line="520" w:lineRule="exact"/>
        <w:ind w:left="1920" w:rightChars="9" w:right="22" w:hangingChars="600" w:hanging="1920"/>
        <w:jc w:val="both"/>
        <w:rPr>
          <w:rFonts w:ascii="標楷體" w:eastAsia="標楷體" w:hAnsi="標楷體"/>
          <w:position w:val="2"/>
          <w:sz w:val="32"/>
          <w:szCs w:val="32"/>
        </w:rPr>
      </w:pPr>
      <w:r w:rsidRPr="008F7885">
        <w:rPr>
          <w:rFonts w:ascii="標楷體" w:eastAsia="標楷體" w:hAnsi="標楷體" w:hint="eastAsia"/>
          <w:sz w:val="32"/>
          <w:szCs w:val="32"/>
        </w:rPr>
        <w:t xml:space="preserve">          </w:t>
      </w:r>
      <w:r w:rsidRPr="008F7885">
        <w:rPr>
          <w:rFonts w:ascii="標楷體" w:eastAsia="標楷體" w:hAnsi="標楷體"/>
          <w:position w:val="2"/>
          <w:sz w:val="32"/>
          <w:szCs w:val="32"/>
        </w:rPr>
        <w:t>委員列席</w:t>
      </w:r>
      <w:r w:rsidRPr="008F7885">
        <w:rPr>
          <w:rFonts w:ascii="標楷體" w:eastAsia="標楷體" w:hAnsi="標楷體" w:hint="eastAsia"/>
          <w:position w:val="2"/>
          <w:sz w:val="32"/>
          <w:szCs w:val="32"/>
        </w:rPr>
        <w:t>22</w:t>
      </w:r>
      <w:r w:rsidRPr="008F7885">
        <w:rPr>
          <w:rFonts w:ascii="標楷體" w:eastAsia="標楷體" w:hAnsi="標楷體"/>
          <w:position w:val="2"/>
          <w:sz w:val="32"/>
          <w:szCs w:val="32"/>
        </w:rPr>
        <w:t>人</w:t>
      </w:r>
    </w:p>
    <w:p w:rsidR="00273897" w:rsidRPr="008F7885" w:rsidRDefault="00273897" w:rsidP="00273897">
      <w:pPr>
        <w:pStyle w:val="ac"/>
        <w:spacing w:line="520" w:lineRule="exact"/>
        <w:ind w:left="975" w:hanging="964"/>
        <w:contextualSpacing/>
        <w:rPr>
          <w:spacing w:val="-2"/>
          <w:position w:val="2"/>
          <w:sz w:val="32"/>
          <w:szCs w:val="32"/>
        </w:rPr>
      </w:pPr>
      <w:r w:rsidRPr="008F7885">
        <w:rPr>
          <w:sz w:val="32"/>
          <w:szCs w:val="32"/>
        </w:rPr>
        <w:t>列席人員</w:t>
      </w:r>
      <w:r w:rsidRPr="008F7885">
        <w:rPr>
          <w:rFonts w:hint="eastAsia"/>
          <w:sz w:val="32"/>
          <w:szCs w:val="32"/>
        </w:rPr>
        <w:t>：</w:t>
      </w:r>
      <w:r w:rsidRPr="008F7885">
        <w:rPr>
          <w:rFonts w:hint="eastAsia"/>
          <w:spacing w:val="-2"/>
          <w:position w:val="2"/>
          <w:sz w:val="32"/>
          <w:szCs w:val="32"/>
        </w:rPr>
        <w:t>(</w:t>
      </w:r>
      <w:r w:rsidRPr="008F7885">
        <w:rPr>
          <w:spacing w:val="-2"/>
          <w:position w:val="2"/>
          <w:sz w:val="32"/>
          <w:szCs w:val="32"/>
        </w:rPr>
        <w:t>11</w:t>
      </w:r>
      <w:r w:rsidRPr="008F7885">
        <w:rPr>
          <w:rFonts w:hint="eastAsia"/>
          <w:spacing w:val="-2"/>
          <w:position w:val="2"/>
          <w:sz w:val="32"/>
          <w:szCs w:val="32"/>
        </w:rPr>
        <w:t>月</w:t>
      </w:r>
      <w:r w:rsidRPr="008F7885">
        <w:rPr>
          <w:spacing w:val="-2"/>
          <w:position w:val="2"/>
          <w:sz w:val="32"/>
          <w:szCs w:val="32"/>
        </w:rPr>
        <w:t>2</w:t>
      </w:r>
      <w:r w:rsidRPr="008F7885">
        <w:rPr>
          <w:rFonts w:hint="eastAsia"/>
          <w:spacing w:val="-2"/>
          <w:position w:val="2"/>
          <w:sz w:val="32"/>
          <w:szCs w:val="32"/>
        </w:rPr>
        <w:t>日)</w:t>
      </w:r>
    </w:p>
    <w:p w:rsidR="00273897" w:rsidRPr="008F7885" w:rsidRDefault="00273897" w:rsidP="00273897">
      <w:pPr>
        <w:pStyle w:val="ac"/>
        <w:tabs>
          <w:tab w:val="left" w:pos="1418"/>
        </w:tabs>
        <w:spacing w:line="520" w:lineRule="exact"/>
        <w:ind w:left="975" w:hanging="964"/>
        <w:contextualSpacing/>
        <w:rPr>
          <w:sz w:val="32"/>
          <w:szCs w:val="32"/>
        </w:rPr>
      </w:pPr>
      <w:r w:rsidRPr="008F7885">
        <w:rPr>
          <w:rFonts w:hint="eastAsia"/>
          <w:spacing w:val="-2"/>
          <w:position w:val="2"/>
          <w:sz w:val="32"/>
          <w:szCs w:val="32"/>
        </w:rPr>
        <w:t xml:space="preserve">        </w:t>
      </w:r>
      <w:r w:rsidRPr="008F7885">
        <w:rPr>
          <w:rFonts w:hint="eastAsia"/>
          <w:spacing w:val="-2"/>
          <w:position w:val="2"/>
          <w:sz w:val="72"/>
          <w:szCs w:val="32"/>
        </w:rPr>
        <w:t xml:space="preserve"> </w:t>
      </w:r>
      <w:r w:rsidRPr="008F7885">
        <w:rPr>
          <w:rFonts w:hint="eastAsia"/>
          <w:sz w:val="32"/>
          <w:szCs w:val="32"/>
        </w:rPr>
        <w:t xml:space="preserve">教育部部長                   </w:t>
      </w:r>
      <w:r w:rsidRPr="008F7885">
        <w:rPr>
          <w:rFonts w:hint="eastAsia"/>
          <w:sz w:val="40"/>
          <w:szCs w:val="32"/>
        </w:rPr>
        <w:t xml:space="preserve"> </w:t>
      </w:r>
      <w:r w:rsidRPr="008F7885">
        <w:rPr>
          <w:rFonts w:hint="eastAsia"/>
          <w:sz w:val="32"/>
          <w:szCs w:val="32"/>
        </w:rPr>
        <w:t>潘文忠率同有關人員</w:t>
      </w:r>
    </w:p>
    <w:p w:rsidR="00273897" w:rsidRPr="008F7885" w:rsidRDefault="00273897" w:rsidP="00273897">
      <w:pPr>
        <w:pStyle w:val="ac"/>
        <w:tabs>
          <w:tab w:val="left" w:pos="1418"/>
        </w:tabs>
        <w:spacing w:line="520" w:lineRule="exact"/>
        <w:ind w:left="975" w:hanging="964"/>
        <w:contextualSpacing/>
        <w:rPr>
          <w:spacing w:val="-2"/>
          <w:position w:val="2"/>
          <w:sz w:val="32"/>
          <w:szCs w:val="32"/>
        </w:rPr>
      </w:pPr>
      <w:r w:rsidRPr="008F7885">
        <w:rPr>
          <w:rFonts w:hint="eastAsia"/>
          <w:sz w:val="32"/>
          <w:szCs w:val="32"/>
        </w:rPr>
        <w:t xml:space="preserve">          行政院主計總處公務預算處專門委員     </w:t>
      </w:r>
      <w:r w:rsidRPr="008F7885">
        <w:rPr>
          <w:rFonts w:hint="eastAsia"/>
          <w:sz w:val="44"/>
          <w:szCs w:val="32"/>
        </w:rPr>
        <w:t xml:space="preserve"> </w:t>
      </w:r>
      <w:r w:rsidRPr="008F7885">
        <w:rPr>
          <w:rFonts w:hint="eastAsia"/>
          <w:sz w:val="32"/>
          <w:szCs w:val="32"/>
        </w:rPr>
        <w:t xml:space="preserve">    黃淑莉</w:t>
      </w:r>
    </w:p>
    <w:p w:rsidR="00273897" w:rsidRPr="008F7885" w:rsidRDefault="00273897" w:rsidP="00273897">
      <w:pPr>
        <w:pStyle w:val="ac"/>
        <w:tabs>
          <w:tab w:val="left" w:pos="1418"/>
        </w:tabs>
        <w:spacing w:line="520" w:lineRule="exact"/>
        <w:ind w:left="975" w:hanging="964"/>
        <w:contextualSpacing/>
        <w:rPr>
          <w:spacing w:val="-2"/>
          <w:position w:val="2"/>
          <w:sz w:val="32"/>
          <w:szCs w:val="32"/>
        </w:rPr>
      </w:pPr>
      <w:r w:rsidRPr="008F7885">
        <w:rPr>
          <w:rFonts w:hint="eastAsia"/>
          <w:spacing w:val="-2"/>
          <w:position w:val="2"/>
          <w:sz w:val="32"/>
          <w:szCs w:val="32"/>
        </w:rPr>
        <w:t xml:space="preserve">        </w:t>
      </w:r>
      <w:r w:rsidRPr="008F7885">
        <w:rPr>
          <w:rFonts w:hint="eastAsia"/>
          <w:spacing w:val="-2"/>
          <w:position w:val="2"/>
          <w:sz w:val="40"/>
          <w:szCs w:val="32"/>
        </w:rPr>
        <w:t xml:space="preserve"> </w:t>
      </w:r>
      <w:r w:rsidRPr="008F7885">
        <w:rPr>
          <w:rFonts w:hint="eastAsia"/>
          <w:spacing w:val="-2"/>
          <w:position w:val="2"/>
          <w:sz w:val="32"/>
          <w:szCs w:val="32"/>
        </w:rPr>
        <w:t xml:space="preserve"> 行政院主計總處基金預算處科長           </w:t>
      </w:r>
      <w:r w:rsidRPr="008F7885">
        <w:rPr>
          <w:rFonts w:hint="eastAsia"/>
          <w:spacing w:val="-2"/>
          <w:position w:val="2"/>
          <w:sz w:val="36"/>
          <w:szCs w:val="32"/>
        </w:rPr>
        <w:t xml:space="preserve"> </w:t>
      </w:r>
      <w:r w:rsidRPr="008F7885">
        <w:rPr>
          <w:rFonts w:hint="eastAsia"/>
          <w:spacing w:val="-2"/>
          <w:position w:val="2"/>
          <w:sz w:val="32"/>
          <w:szCs w:val="32"/>
        </w:rPr>
        <w:t xml:space="preserve">   黃厚輯</w:t>
      </w:r>
    </w:p>
    <w:p w:rsidR="00273897" w:rsidRPr="008F7885" w:rsidRDefault="00273897" w:rsidP="00273897">
      <w:pPr>
        <w:pStyle w:val="ac"/>
        <w:tabs>
          <w:tab w:val="left" w:pos="1418"/>
        </w:tabs>
        <w:spacing w:line="520" w:lineRule="exact"/>
        <w:ind w:leftChars="100" w:left="240" w:firstLineChars="417" w:firstLine="1318"/>
        <w:contextualSpacing/>
        <w:rPr>
          <w:spacing w:val="-2"/>
          <w:position w:val="2"/>
          <w:sz w:val="32"/>
          <w:szCs w:val="32"/>
        </w:rPr>
      </w:pPr>
      <w:r w:rsidRPr="008F7885">
        <w:rPr>
          <w:rFonts w:hint="eastAsia"/>
          <w:spacing w:val="-2"/>
          <w:position w:val="2"/>
          <w:sz w:val="32"/>
          <w:szCs w:val="32"/>
        </w:rPr>
        <w:t>(</w:t>
      </w:r>
      <w:r w:rsidRPr="008F7885">
        <w:rPr>
          <w:spacing w:val="-2"/>
          <w:position w:val="2"/>
          <w:sz w:val="32"/>
          <w:szCs w:val="32"/>
        </w:rPr>
        <w:t>11</w:t>
      </w:r>
      <w:r w:rsidRPr="008F7885">
        <w:rPr>
          <w:rFonts w:hint="eastAsia"/>
          <w:spacing w:val="-2"/>
          <w:position w:val="2"/>
          <w:sz w:val="32"/>
          <w:szCs w:val="32"/>
        </w:rPr>
        <w:t>月</w:t>
      </w:r>
      <w:r w:rsidRPr="008F7885">
        <w:rPr>
          <w:spacing w:val="-2"/>
          <w:position w:val="2"/>
          <w:sz w:val="32"/>
          <w:szCs w:val="32"/>
        </w:rPr>
        <w:t>3</w:t>
      </w:r>
      <w:r w:rsidRPr="008F7885">
        <w:rPr>
          <w:rFonts w:hint="eastAsia"/>
          <w:spacing w:val="-2"/>
          <w:position w:val="2"/>
          <w:sz w:val="32"/>
          <w:szCs w:val="32"/>
        </w:rPr>
        <w:t>日)</w:t>
      </w:r>
    </w:p>
    <w:p w:rsidR="00273897" w:rsidRPr="008F7885" w:rsidRDefault="00273897" w:rsidP="00273897">
      <w:pPr>
        <w:pStyle w:val="ac"/>
        <w:tabs>
          <w:tab w:val="left" w:pos="1418"/>
        </w:tabs>
        <w:spacing w:line="520" w:lineRule="exact"/>
        <w:ind w:leftChars="100" w:left="240" w:firstLineChars="417" w:firstLine="1334"/>
        <w:contextualSpacing/>
        <w:rPr>
          <w:sz w:val="32"/>
          <w:szCs w:val="32"/>
        </w:rPr>
      </w:pPr>
      <w:r w:rsidRPr="008F7885">
        <w:rPr>
          <w:rFonts w:hint="eastAsia"/>
          <w:sz w:val="32"/>
          <w:szCs w:val="32"/>
        </w:rPr>
        <w:t xml:space="preserve">教育部部長                   </w:t>
      </w:r>
      <w:r w:rsidRPr="008F7885">
        <w:rPr>
          <w:rFonts w:hint="eastAsia"/>
          <w:sz w:val="40"/>
          <w:szCs w:val="32"/>
        </w:rPr>
        <w:t xml:space="preserve"> </w:t>
      </w:r>
      <w:r w:rsidRPr="008F7885">
        <w:rPr>
          <w:rFonts w:hint="eastAsia"/>
          <w:sz w:val="32"/>
          <w:szCs w:val="32"/>
        </w:rPr>
        <w:t>潘文忠率同有關人員</w:t>
      </w:r>
    </w:p>
    <w:p w:rsidR="00273897" w:rsidRPr="008F7885" w:rsidRDefault="00273897" w:rsidP="00273897">
      <w:pPr>
        <w:pStyle w:val="ac"/>
        <w:tabs>
          <w:tab w:val="left" w:pos="1418"/>
        </w:tabs>
        <w:spacing w:line="520" w:lineRule="exact"/>
        <w:ind w:leftChars="100" w:left="240" w:firstLineChars="417" w:firstLine="1334"/>
        <w:contextualSpacing/>
        <w:rPr>
          <w:sz w:val="32"/>
          <w:szCs w:val="32"/>
        </w:rPr>
      </w:pPr>
      <w:r w:rsidRPr="008F7885">
        <w:rPr>
          <w:rFonts w:hint="eastAsia"/>
          <w:sz w:val="32"/>
          <w:szCs w:val="32"/>
        </w:rPr>
        <w:t>行政法人國家運動訓練中心董事長            林騰蛟</w:t>
      </w:r>
    </w:p>
    <w:p w:rsidR="00273897" w:rsidRPr="008F7885" w:rsidRDefault="00273897" w:rsidP="00273897">
      <w:pPr>
        <w:pStyle w:val="ac"/>
        <w:tabs>
          <w:tab w:val="left" w:pos="1418"/>
        </w:tabs>
        <w:spacing w:line="520" w:lineRule="exact"/>
        <w:ind w:left="975" w:hanging="964"/>
        <w:contextualSpacing/>
        <w:rPr>
          <w:spacing w:val="-2"/>
          <w:position w:val="2"/>
          <w:sz w:val="32"/>
          <w:szCs w:val="32"/>
        </w:rPr>
      </w:pPr>
      <w:r w:rsidRPr="008F7885">
        <w:rPr>
          <w:rFonts w:hint="eastAsia"/>
          <w:sz w:val="32"/>
          <w:szCs w:val="32"/>
        </w:rPr>
        <w:t xml:space="preserve">         </w:t>
      </w:r>
      <w:r w:rsidRPr="008F7885">
        <w:rPr>
          <w:rFonts w:hint="eastAsia"/>
          <w:sz w:val="21"/>
          <w:szCs w:val="32"/>
        </w:rPr>
        <w:t xml:space="preserve"> </w:t>
      </w:r>
      <w:r w:rsidRPr="008F7885">
        <w:rPr>
          <w:rFonts w:hint="eastAsia"/>
          <w:sz w:val="32"/>
          <w:szCs w:val="32"/>
        </w:rPr>
        <w:t xml:space="preserve">行政院主計總處公務預算處專門委員     </w:t>
      </w:r>
      <w:r w:rsidRPr="008F7885">
        <w:rPr>
          <w:rFonts w:hint="eastAsia"/>
          <w:sz w:val="44"/>
          <w:szCs w:val="32"/>
        </w:rPr>
        <w:t xml:space="preserve"> </w:t>
      </w:r>
      <w:r w:rsidRPr="008F7885">
        <w:rPr>
          <w:rFonts w:hint="eastAsia"/>
          <w:sz w:val="32"/>
          <w:szCs w:val="32"/>
        </w:rPr>
        <w:t xml:space="preserve">    黃淑莉</w:t>
      </w:r>
    </w:p>
    <w:p w:rsidR="00273897" w:rsidRPr="008F7885" w:rsidRDefault="00273897" w:rsidP="00273897">
      <w:pPr>
        <w:pStyle w:val="ac"/>
        <w:tabs>
          <w:tab w:val="left" w:pos="1418"/>
        </w:tabs>
        <w:spacing w:line="520" w:lineRule="exact"/>
        <w:ind w:leftChars="100" w:left="240" w:firstLineChars="417" w:firstLine="1151"/>
        <w:contextualSpacing/>
        <w:rPr>
          <w:spacing w:val="-2"/>
          <w:position w:val="2"/>
          <w:sz w:val="32"/>
          <w:szCs w:val="32"/>
        </w:rPr>
      </w:pPr>
      <w:r w:rsidRPr="008F7885">
        <w:rPr>
          <w:rFonts w:hint="eastAsia"/>
          <w:spacing w:val="-2"/>
          <w:position w:val="2"/>
          <w:sz w:val="28"/>
          <w:szCs w:val="32"/>
        </w:rPr>
        <w:t xml:space="preserve"> </w:t>
      </w:r>
      <w:r w:rsidRPr="008F7885">
        <w:rPr>
          <w:rFonts w:hint="eastAsia"/>
          <w:spacing w:val="-2"/>
          <w:position w:val="2"/>
          <w:sz w:val="32"/>
          <w:szCs w:val="32"/>
        </w:rPr>
        <w:t xml:space="preserve">行政院主計總處基金預算處科長           </w:t>
      </w:r>
      <w:r w:rsidRPr="008F7885">
        <w:rPr>
          <w:rFonts w:hint="eastAsia"/>
          <w:spacing w:val="-2"/>
          <w:position w:val="2"/>
          <w:sz w:val="36"/>
          <w:szCs w:val="32"/>
        </w:rPr>
        <w:t xml:space="preserve"> </w:t>
      </w:r>
      <w:r w:rsidRPr="008F7885">
        <w:rPr>
          <w:rFonts w:hint="eastAsia"/>
          <w:spacing w:val="-2"/>
          <w:position w:val="2"/>
          <w:sz w:val="32"/>
          <w:szCs w:val="32"/>
        </w:rPr>
        <w:t xml:space="preserve">   黃厚輯</w:t>
      </w:r>
    </w:p>
    <w:p w:rsidR="00273897" w:rsidRPr="008F7885" w:rsidRDefault="00273897" w:rsidP="00273897">
      <w:pPr>
        <w:spacing w:line="520" w:lineRule="exact"/>
        <w:ind w:rightChars="14" w:right="34"/>
        <w:rPr>
          <w:rFonts w:ascii="標楷體" w:eastAsia="標楷體" w:hAnsi="標楷體"/>
          <w:sz w:val="32"/>
          <w:szCs w:val="32"/>
        </w:rPr>
      </w:pPr>
      <w:r w:rsidRPr="008F7885">
        <w:rPr>
          <w:rFonts w:ascii="標楷體" w:eastAsia="標楷體" w:hAnsi="標楷體"/>
          <w:sz w:val="32"/>
          <w:szCs w:val="32"/>
        </w:rPr>
        <w:t>主    席</w:t>
      </w:r>
      <w:r w:rsidRPr="008F7885">
        <w:rPr>
          <w:rFonts w:ascii="標楷體" w:eastAsia="標楷體" w:hAnsi="標楷體" w:hint="eastAsia"/>
          <w:sz w:val="32"/>
          <w:szCs w:val="32"/>
        </w:rPr>
        <w:t>：陳</w:t>
      </w:r>
      <w:r w:rsidRPr="008F7885">
        <w:rPr>
          <w:rFonts w:ascii="標楷體" w:eastAsia="標楷體" w:hAnsi="標楷體"/>
          <w:sz w:val="32"/>
          <w:szCs w:val="32"/>
        </w:rPr>
        <w:t>召集委員</w:t>
      </w:r>
      <w:r w:rsidRPr="008F7885">
        <w:rPr>
          <w:rFonts w:ascii="標楷體" w:eastAsia="標楷體" w:hAnsi="標楷體" w:hint="eastAsia"/>
          <w:sz w:val="32"/>
          <w:szCs w:val="32"/>
        </w:rPr>
        <w:t>秀寳</w:t>
      </w:r>
    </w:p>
    <w:p w:rsidR="00273897" w:rsidRPr="008F7885" w:rsidRDefault="00273897" w:rsidP="00273897">
      <w:pPr>
        <w:snapToGrid w:val="0"/>
        <w:spacing w:line="520" w:lineRule="exact"/>
        <w:ind w:rightChars="9" w:right="22"/>
        <w:jc w:val="both"/>
        <w:rPr>
          <w:rFonts w:ascii="標楷體" w:eastAsia="標楷體" w:hAnsi="標楷體"/>
          <w:sz w:val="32"/>
          <w:szCs w:val="32"/>
        </w:rPr>
      </w:pPr>
      <w:r w:rsidRPr="008F7885">
        <w:rPr>
          <w:rFonts w:ascii="標楷體" w:eastAsia="標楷體" w:hAnsi="標楷體"/>
          <w:sz w:val="32"/>
          <w:szCs w:val="32"/>
        </w:rPr>
        <w:t>主任秘書：</w:t>
      </w:r>
      <w:r w:rsidRPr="008F7885">
        <w:rPr>
          <w:rFonts w:ascii="標楷體" w:eastAsia="標楷體" w:hAnsi="標楷體" w:hint="eastAsia"/>
          <w:sz w:val="32"/>
          <w:szCs w:val="32"/>
        </w:rPr>
        <w:t>陳錫欽</w:t>
      </w:r>
    </w:p>
    <w:p w:rsidR="00273897" w:rsidRPr="008F7885" w:rsidRDefault="00273897" w:rsidP="00273897">
      <w:pPr>
        <w:snapToGrid w:val="0"/>
        <w:spacing w:line="520" w:lineRule="exact"/>
        <w:ind w:rightChars="9" w:right="22"/>
        <w:jc w:val="both"/>
        <w:rPr>
          <w:rFonts w:ascii="標楷體" w:eastAsia="標楷體" w:hAnsi="標楷體"/>
          <w:sz w:val="32"/>
          <w:szCs w:val="32"/>
        </w:rPr>
      </w:pPr>
      <w:r w:rsidRPr="008F7885">
        <w:rPr>
          <w:rFonts w:ascii="標楷體" w:eastAsia="標楷體" w:hAnsi="標楷體"/>
          <w:sz w:val="32"/>
          <w:szCs w:val="32"/>
        </w:rPr>
        <w:t>專門委員：</w:t>
      </w:r>
      <w:r w:rsidRPr="008F7885">
        <w:rPr>
          <w:rFonts w:ascii="標楷體" w:eastAsia="標楷體" w:hAnsi="標楷體" w:hint="eastAsia"/>
          <w:sz w:val="32"/>
          <w:szCs w:val="32"/>
        </w:rPr>
        <w:t>朱蔚菁</w:t>
      </w:r>
    </w:p>
    <w:p w:rsidR="00273897" w:rsidRPr="008F7885" w:rsidRDefault="00273897" w:rsidP="00273897">
      <w:pPr>
        <w:snapToGrid w:val="0"/>
        <w:spacing w:line="520" w:lineRule="exact"/>
        <w:ind w:rightChars="9" w:right="22"/>
        <w:jc w:val="both"/>
        <w:rPr>
          <w:rFonts w:ascii="標楷體" w:eastAsia="標楷體" w:hAnsi="標楷體"/>
          <w:sz w:val="32"/>
          <w:szCs w:val="32"/>
        </w:rPr>
      </w:pPr>
      <w:r w:rsidRPr="008F7885">
        <w:rPr>
          <w:rFonts w:ascii="標楷體" w:eastAsia="標楷體" w:hAnsi="標楷體"/>
          <w:sz w:val="32"/>
          <w:szCs w:val="32"/>
        </w:rPr>
        <w:t>紀    錄：</w:t>
      </w:r>
      <w:r w:rsidRPr="008F7885">
        <w:rPr>
          <w:rFonts w:ascii="標楷體" w:eastAsia="標楷體" w:hAnsi="標楷體" w:hint="eastAsia"/>
          <w:sz w:val="32"/>
          <w:szCs w:val="32"/>
        </w:rPr>
        <w:t>簡任秘書  林素惠  簡任編審  蔡月秋  科長  蔡國治</w:t>
      </w:r>
    </w:p>
    <w:p w:rsidR="00273897" w:rsidRPr="008F7885" w:rsidRDefault="00273897" w:rsidP="00273897">
      <w:pPr>
        <w:snapToGrid w:val="0"/>
        <w:spacing w:line="520" w:lineRule="exact"/>
        <w:ind w:rightChars="9" w:right="22"/>
        <w:jc w:val="both"/>
        <w:rPr>
          <w:rFonts w:ascii="標楷體" w:eastAsia="標楷體" w:hAnsi="標楷體"/>
          <w:sz w:val="32"/>
          <w:szCs w:val="32"/>
        </w:rPr>
      </w:pPr>
      <w:r w:rsidRPr="008F7885">
        <w:rPr>
          <w:rFonts w:ascii="標楷體" w:eastAsia="標楷體" w:hAnsi="標楷體" w:hint="eastAsia"/>
          <w:sz w:val="32"/>
          <w:szCs w:val="32"/>
        </w:rPr>
        <w:t xml:space="preserve">          薦任科員  李宗一</w:t>
      </w:r>
    </w:p>
    <w:p w:rsidR="00273897" w:rsidRPr="008F7885" w:rsidRDefault="00273897" w:rsidP="00273897">
      <w:pPr>
        <w:pStyle w:val="ac"/>
        <w:spacing w:line="460" w:lineRule="exact"/>
        <w:ind w:left="980" w:hanging="966"/>
        <w:rPr>
          <w:b/>
          <w:sz w:val="32"/>
          <w:szCs w:val="32"/>
        </w:rPr>
      </w:pPr>
      <w:r w:rsidRPr="008F7885">
        <w:rPr>
          <w:rFonts w:hint="eastAsia"/>
          <w:b/>
          <w:sz w:val="32"/>
          <w:szCs w:val="32"/>
        </w:rPr>
        <w:lastRenderedPageBreak/>
        <w:t>報  告  事  項</w:t>
      </w:r>
    </w:p>
    <w:p w:rsidR="00273897" w:rsidRPr="008F7885" w:rsidRDefault="00273897" w:rsidP="00273897">
      <w:pPr>
        <w:pStyle w:val="a4"/>
        <w:snapToGrid w:val="0"/>
        <w:spacing w:before="120" w:line="500" w:lineRule="exact"/>
        <w:ind w:leftChars="0" w:left="0"/>
        <w:rPr>
          <w:rFonts w:ascii="標楷體" w:eastAsia="標楷體"/>
          <w:b/>
          <w:sz w:val="32"/>
          <w:szCs w:val="32"/>
        </w:rPr>
      </w:pPr>
      <w:r w:rsidRPr="008F7885">
        <w:rPr>
          <w:rFonts w:ascii="標楷體" w:eastAsia="標楷體" w:hint="eastAsia"/>
          <w:b/>
          <w:sz w:val="32"/>
          <w:szCs w:val="32"/>
        </w:rPr>
        <w:t>宣讀上次會議議事錄。</w:t>
      </w:r>
    </w:p>
    <w:p w:rsidR="00273897" w:rsidRPr="008F7885" w:rsidRDefault="00273897" w:rsidP="00273897">
      <w:pPr>
        <w:snapToGrid w:val="0"/>
        <w:spacing w:beforeLines="50" w:before="180" w:afterLines="50" w:after="180" w:line="500" w:lineRule="exact"/>
        <w:rPr>
          <w:rFonts w:ascii="標楷體" w:eastAsia="標楷體" w:hAnsi="標楷體"/>
          <w:sz w:val="32"/>
          <w:szCs w:val="32"/>
        </w:rPr>
      </w:pPr>
      <w:r w:rsidRPr="008F7885">
        <w:rPr>
          <w:rFonts w:ascii="標楷體" w:eastAsia="標楷體" w:hAnsi="標楷體"/>
          <w:b/>
          <w:sz w:val="32"/>
          <w:szCs w:val="32"/>
        </w:rPr>
        <w:t>決定：</w:t>
      </w:r>
      <w:r w:rsidRPr="008F7885">
        <w:rPr>
          <w:rFonts w:ascii="標楷體" w:eastAsia="標楷體" w:hAnsi="標楷體"/>
          <w:sz w:val="32"/>
          <w:szCs w:val="32"/>
        </w:rPr>
        <w:t>議事錄確定。</w:t>
      </w:r>
    </w:p>
    <w:p w:rsidR="00273897" w:rsidRPr="008F7885" w:rsidRDefault="00273897" w:rsidP="00273897">
      <w:pPr>
        <w:snapToGrid w:val="0"/>
        <w:spacing w:before="120" w:line="460" w:lineRule="exact"/>
        <w:rPr>
          <w:rFonts w:ascii="標楷體" w:eastAsia="標楷體" w:hAnsi="標楷體"/>
          <w:b/>
          <w:sz w:val="32"/>
          <w:szCs w:val="32"/>
        </w:rPr>
      </w:pPr>
      <w:r w:rsidRPr="008F7885">
        <w:rPr>
          <w:rFonts w:ascii="標楷體" w:eastAsia="標楷體" w:hAnsi="標楷體" w:hint="eastAsia"/>
          <w:b/>
          <w:sz w:val="32"/>
          <w:szCs w:val="32"/>
        </w:rPr>
        <w:t>討  論  事  項</w:t>
      </w:r>
    </w:p>
    <w:p w:rsidR="00273897" w:rsidRPr="008F7885" w:rsidRDefault="00273897" w:rsidP="006934DD">
      <w:pPr>
        <w:pStyle w:val="ac"/>
        <w:numPr>
          <w:ilvl w:val="0"/>
          <w:numId w:val="26"/>
        </w:numPr>
        <w:spacing w:before="120" w:line="460" w:lineRule="exact"/>
        <w:jc w:val="both"/>
        <w:rPr>
          <w:rFonts w:hAnsi="Times New Roman"/>
          <w:b/>
          <w:sz w:val="32"/>
          <w:szCs w:val="32"/>
        </w:rPr>
      </w:pPr>
      <w:r w:rsidRPr="008F7885">
        <w:rPr>
          <w:rFonts w:hAnsi="Times New Roman" w:hint="eastAsia"/>
          <w:b/>
          <w:sz w:val="32"/>
          <w:szCs w:val="32"/>
        </w:rPr>
        <w:t>繼續審查112年度中央政府總預算案有關教育部及所屬單位預算案。</w:t>
      </w:r>
    </w:p>
    <w:p w:rsidR="00273897" w:rsidRPr="008F7885" w:rsidRDefault="00273897" w:rsidP="006934DD">
      <w:pPr>
        <w:pStyle w:val="ac"/>
        <w:numPr>
          <w:ilvl w:val="0"/>
          <w:numId w:val="26"/>
        </w:numPr>
        <w:spacing w:before="120" w:line="460" w:lineRule="exact"/>
        <w:jc w:val="both"/>
        <w:rPr>
          <w:rFonts w:hAnsi="Times New Roman"/>
          <w:b/>
          <w:sz w:val="32"/>
          <w:szCs w:val="32"/>
        </w:rPr>
      </w:pPr>
      <w:r w:rsidRPr="008F7885">
        <w:rPr>
          <w:rFonts w:hAnsi="Times New Roman" w:hint="eastAsia"/>
          <w:b/>
          <w:sz w:val="32"/>
          <w:szCs w:val="32"/>
        </w:rPr>
        <w:t>繼續審查112年度教育部主管47所國立大學校院校務基金、國立臺灣大學附設醫院作業基金、國立成功大學附設醫院作業基金、國立陽明交通大學附設醫院作業基金、教育部所屬機構作業基金、國立高級中等學校校務基金、學產基金、運動發展基金、私立高級中等以上學校退場基金預算案。</w:t>
      </w:r>
    </w:p>
    <w:p w:rsidR="00273897" w:rsidRPr="008F7885" w:rsidRDefault="00273897" w:rsidP="006934DD">
      <w:pPr>
        <w:pStyle w:val="ac"/>
        <w:numPr>
          <w:ilvl w:val="0"/>
          <w:numId w:val="26"/>
        </w:numPr>
        <w:spacing w:before="120" w:line="460" w:lineRule="exact"/>
        <w:jc w:val="both"/>
        <w:rPr>
          <w:b/>
          <w:sz w:val="32"/>
          <w:szCs w:val="32"/>
        </w:rPr>
      </w:pPr>
      <w:r w:rsidRPr="008F7885">
        <w:rPr>
          <w:rFonts w:hAnsi="Times New Roman" w:hint="eastAsia"/>
          <w:b/>
          <w:sz w:val="32"/>
          <w:szCs w:val="32"/>
        </w:rPr>
        <w:t>繼續審查112年度行政法人國家運動訓練中心預算案。</w:t>
      </w:r>
    </w:p>
    <w:p w:rsidR="00273897" w:rsidRPr="008F7885" w:rsidRDefault="00273897" w:rsidP="00273897">
      <w:pPr>
        <w:pStyle w:val="a4"/>
        <w:snapToGrid w:val="0"/>
        <w:spacing w:beforeLines="50" w:before="180" w:line="460" w:lineRule="exact"/>
        <w:ind w:leftChars="0" w:left="0" w:rightChars="-60" w:right="-144"/>
        <w:rPr>
          <w:rFonts w:ascii="標楷體" w:eastAsia="標楷體"/>
          <w:sz w:val="32"/>
          <w:szCs w:val="32"/>
        </w:rPr>
      </w:pPr>
      <w:r w:rsidRPr="008F7885">
        <w:rPr>
          <w:rFonts w:ascii="標楷體" w:eastAsia="標楷體" w:hAnsi="標楷體"/>
          <w:sz w:val="32"/>
          <w:szCs w:val="32"/>
        </w:rPr>
        <w:t>（</w:t>
      </w:r>
      <w:r w:rsidRPr="008F7885">
        <w:rPr>
          <w:rFonts w:ascii="標楷體" w:eastAsia="標楷體" w:hint="eastAsia"/>
          <w:sz w:val="32"/>
          <w:szCs w:val="32"/>
        </w:rPr>
        <w:t>進行審查</w:t>
      </w:r>
      <w:r w:rsidRPr="008F7885">
        <w:rPr>
          <w:rFonts w:ascii="標楷體" w:eastAsia="標楷體" w:hAnsi="標楷體"/>
          <w:sz w:val="32"/>
          <w:szCs w:val="32"/>
        </w:rPr>
        <w:t>）</w:t>
      </w:r>
    </w:p>
    <w:p w:rsidR="00273897" w:rsidRPr="008F7885" w:rsidRDefault="00273897" w:rsidP="00273897">
      <w:pPr>
        <w:snapToGrid w:val="0"/>
        <w:spacing w:beforeLines="50" w:before="180" w:line="500" w:lineRule="exact"/>
        <w:ind w:left="641" w:hangingChars="200" w:hanging="641"/>
        <w:contextualSpacing/>
        <w:rPr>
          <w:rFonts w:ascii="標楷體" w:eastAsia="標楷體" w:hAnsi="標楷體"/>
          <w:b/>
          <w:bCs/>
          <w:sz w:val="32"/>
          <w:szCs w:val="32"/>
        </w:rPr>
      </w:pPr>
      <w:r w:rsidRPr="008F7885">
        <w:rPr>
          <w:rFonts w:ascii="標楷體" w:eastAsia="標楷體" w:hAnsi="標楷體" w:hint="eastAsia"/>
          <w:b/>
          <w:sz w:val="32"/>
          <w:szCs w:val="32"/>
        </w:rPr>
        <w:t>決議</w:t>
      </w:r>
      <w:r w:rsidRPr="008F7885">
        <w:rPr>
          <w:rFonts w:ascii="標楷體" w:eastAsia="標楷體" w:hAnsi="標楷體"/>
          <w:b/>
          <w:bCs/>
          <w:sz w:val="32"/>
          <w:szCs w:val="32"/>
        </w:rPr>
        <w:t>：</w:t>
      </w:r>
    </w:p>
    <w:p w:rsidR="00273897" w:rsidRPr="008F7885" w:rsidRDefault="00273897" w:rsidP="00273897">
      <w:pPr>
        <w:snapToGrid w:val="0"/>
        <w:spacing w:beforeLines="50" w:before="180" w:line="500" w:lineRule="exact"/>
        <w:ind w:left="640" w:hangingChars="200" w:hanging="640"/>
        <w:contextualSpacing/>
        <w:rPr>
          <w:rFonts w:ascii="標楷體" w:eastAsia="標楷體" w:hAnsi="標楷體"/>
          <w:bCs/>
          <w:sz w:val="32"/>
          <w:szCs w:val="32"/>
        </w:rPr>
      </w:pPr>
      <w:r w:rsidRPr="008F7885">
        <w:rPr>
          <w:rFonts w:ascii="標楷體" w:eastAsia="標楷體" w:hAnsi="標楷體" w:hint="eastAsia"/>
          <w:bCs/>
          <w:sz w:val="32"/>
          <w:szCs w:val="32"/>
        </w:rPr>
        <w:t>壹、</w:t>
      </w:r>
      <w:r w:rsidRPr="008F7885">
        <w:rPr>
          <w:rFonts w:ascii="標楷體" w:eastAsia="標楷體" w:hAnsi="標楷體"/>
          <w:bCs/>
          <w:sz w:val="32"/>
          <w:szCs w:val="32"/>
        </w:rPr>
        <w:t>報告及詢答</w:t>
      </w:r>
      <w:r w:rsidRPr="008F7885">
        <w:rPr>
          <w:rFonts w:ascii="標楷體" w:eastAsia="標楷體" w:hAnsi="標楷體" w:hint="eastAsia"/>
          <w:bCs/>
          <w:sz w:val="32"/>
          <w:szCs w:val="32"/>
        </w:rPr>
        <w:t>完畢</w:t>
      </w:r>
      <w:r w:rsidRPr="008F7885">
        <w:rPr>
          <w:rFonts w:ascii="標楷體" w:eastAsia="標楷體" w:hAnsi="標楷體"/>
          <w:bCs/>
          <w:sz w:val="32"/>
          <w:szCs w:val="32"/>
        </w:rPr>
        <w:t>。</w:t>
      </w:r>
    </w:p>
    <w:p w:rsidR="00273897" w:rsidRPr="008F7885" w:rsidRDefault="00273897" w:rsidP="00273897">
      <w:pPr>
        <w:snapToGrid w:val="0"/>
        <w:spacing w:beforeLines="50" w:before="180" w:line="500" w:lineRule="exact"/>
        <w:ind w:left="640" w:hangingChars="200" w:hanging="640"/>
        <w:contextualSpacing/>
        <w:rPr>
          <w:rFonts w:ascii="標楷體" w:eastAsia="標楷體" w:hAnsi="標楷體"/>
          <w:bCs/>
          <w:sz w:val="32"/>
          <w:szCs w:val="32"/>
        </w:rPr>
      </w:pPr>
      <w:r w:rsidRPr="008F7885">
        <w:rPr>
          <w:rFonts w:ascii="標楷體" w:eastAsia="標楷體" w:hAnsi="標楷體" w:hint="eastAsia"/>
          <w:bCs/>
          <w:sz w:val="32"/>
          <w:szCs w:val="32"/>
        </w:rPr>
        <w:t>貳、</w:t>
      </w:r>
      <w:r w:rsidRPr="008F7885">
        <w:rPr>
          <w:rFonts w:ascii="標楷體" w:eastAsia="標楷體" w:hAnsi="標楷體"/>
          <w:bCs/>
          <w:sz w:val="32"/>
          <w:szCs w:val="32"/>
        </w:rPr>
        <w:t>委員</w:t>
      </w:r>
      <w:r w:rsidRPr="008F7885">
        <w:rPr>
          <w:rFonts w:ascii="標楷體" w:eastAsia="標楷體" w:hAnsi="標楷體" w:hint="eastAsia"/>
          <w:bCs/>
          <w:sz w:val="32"/>
          <w:szCs w:val="32"/>
        </w:rPr>
        <w:t>所提</w:t>
      </w:r>
      <w:r w:rsidRPr="008F7885">
        <w:rPr>
          <w:rFonts w:ascii="標楷體" w:eastAsia="標楷體" w:hAnsi="標楷體"/>
          <w:bCs/>
          <w:sz w:val="32"/>
          <w:szCs w:val="32"/>
        </w:rPr>
        <w:t>書面質詢</w:t>
      </w:r>
      <w:r w:rsidRPr="008F7885">
        <w:rPr>
          <w:rFonts w:ascii="標楷體" w:eastAsia="標楷體" w:hAnsi="標楷體" w:hint="eastAsia"/>
          <w:bCs/>
          <w:sz w:val="32"/>
          <w:szCs w:val="32"/>
        </w:rPr>
        <w:t>或相關資料，</w:t>
      </w:r>
      <w:r w:rsidRPr="008F7885">
        <w:rPr>
          <w:rFonts w:ascii="標楷體" w:eastAsia="標楷體" w:hAnsi="標楷體"/>
          <w:bCs/>
          <w:sz w:val="32"/>
          <w:szCs w:val="32"/>
        </w:rPr>
        <w:t>列入紀錄</w:t>
      </w:r>
      <w:r w:rsidRPr="008F7885">
        <w:rPr>
          <w:rFonts w:ascii="標楷體" w:eastAsia="標楷體" w:hAnsi="標楷體" w:hint="eastAsia"/>
          <w:bCs/>
          <w:sz w:val="32"/>
          <w:szCs w:val="32"/>
        </w:rPr>
        <w:t>並</w:t>
      </w:r>
      <w:r w:rsidRPr="008F7885">
        <w:rPr>
          <w:rFonts w:ascii="標楷體" w:eastAsia="標楷體" w:hAnsi="標楷體"/>
          <w:bCs/>
          <w:sz w:val="32"/>
          <w:szCs w:val="32"/>
        </w:rPr>
        <w:t>刊登公報。</w:t>
      </w:r>
    </w:p>
    <w:p w:rsidR="00273897" w:rsidRPr="008F7885" w:rsidRDefault="00273897" w:rsidP="00273897">
      <w:pPr>
        <w:snapToGrid w:val="0"/>
        <w:spacing w:beforeLines="50" w:before="180" w:line="500" w:lineRule="exact"/>
        <w:ind w:left="640" w:hangingChars="200" w:hanging="640"/>
        <w:contextualSpacing/>
        <w:rPr>
          <w:rFonts w:ascii="標楷體" w:eastAsia="標楷體" w:hAnsi="標楷體"/>
          <w:bCs/>
          <w:sz w:val="32"/>
          <w:szCs w:val="32"/>
        </w:rPr>
      </w:pPr>
      <w:r w:rsidRPr="008F7885">
        <w:rPr>
          <w:rFonts w:ascii="標楷體" w:eastAsia="標楷體" w:hAnsi="標楷體" w:hint="eastAsia"/>
          <w:bCs/>
          <w:sz w:val="32"/>
          <w:szCs w:val="32"/>
        </w:rPr>
        <w:t>參、對於</w:t>
      </w:r>
      <w:r w:rsidRPr="008F7885">
        <w:rPr>
          <w:rFonts w:ascii="標楷體" w:eastAsia="標楷體" w:hAnsi="標楷體"/>
          <w:bCs/>
          <w:sz w:val="32"/>
          <w:szCs w:val="32"/>
        </w:rPr>
        <w:t>委員質詢要求提供相關資料或</w:t>
      </w:r>
      <w:r w:rsidRPr="008F7885">
        <w:rPr>
          <w:rFonts w:ascii="標楷體" w:eastAsia="標楷體" w:hAnsi="標楷體" w:hint="eastAsia"/>
          <w:bCs/>
          <w:sz w:val="32"/>
          <w:szCs w:val="32"/>
        </w:rPr>
        <w:t>未及</w:t>
      </w:r>
      <w:r w:rsidRPr="008F7885">
        <w:rPr>
          <w:rFonts w:ascii="標楷體" w:eastAsia="標楷體" w:hAnsi="標楷體"/>
          <w:bCs/>
          <w:sz w:val="32"/>
          <w:szCs w:val="32"/>
        </w:rPr>
        <w:t>答</w:t>
      </w:r>
      <w:r w:rsidRPr="008F7885">
        <w:rPr>
          <w:rFonts w:ascii="標楷體" w:eastAsia="標楷體" w:hAnsi="標楷體" w:hint="eastAsia"/>
          <w:bCs/>
          <w:sz w:val="32"/>
          <w:szCs w:val="32"/>
        </w:rPr>
        <w:t>復部分</w:t>
      </w:r>
      <w:r w:rsidRPr="008F7885">
        <w:rPr>
          <w:rFonts w:ascii="標楷體" w:eastAsia="標楷體" w:hAnsi="標楷體"/>
          <w:bCs/>
          <w:sz w:val="32"/>
          <w:szCs w:val="32"/>
        </w:rPr>
        <w:t>，請相關機關</w:t>
      </w:r>
      <w:r w:rsidRPr="008F7885">
        <w:rPr>
          <w:rFonts w:ascii="標楷體" w:eastAsia="標楷體" w:hAnsi="標楷體" w:hint="eastAsia"/>
          <w:bCs/>
          <w:sz w:val="32"/>
          <w:szCs w:val="32"/>
        </w:rPr>
        <w:t>儘速以書面答復</w:t>
      </w:r>
      <w:r w:rsidRPr="008F7885">
        <w:rPr>
          <w:rFonts w:ascii="標楷體" w:eastAsia="標楷體" w:hAnsi="標楷體"/>
          <w:bCs/>
          <w:sz w:val="32"/>
          <w:szCs w:val="32"/>
        </w:rPr>
        <w:t>。</w:t>
      </w:r>
    </w:p>
    <w:p w:rsidR="00273897" w:rsidRPr="008F7885" w:rsidRDefault="00273897" w:rsidP="00273897">
      <w:pPr>
        <w:snapToGrid w:val="0"/>
        <w:spacing w:beforeLines="50" w:before="180" w:line="500" w:lineRule="exact"/>
        <w:ind w:left="640" w:hangingChars="200" w:hanging="640"/>
        <w:contextualSpacing/>
        <w:rPr>
          <w:rFonts w:ascii="標楷體" w:eastAsia="標楷體" w:hAnsi="標楷體"/>
          <w:bCs/>
          <w:sz w:val="32"/>
          <w:szCs w:val="32"/>
        </w:rPr>
      </w:pPr>
      <w:r w:rsidRPr="008F7885">
        <w:rPr>
          <w:rFonts w:ascii="標楷體" w:eastAsia="標楷體" w:hAnsi="標楷體" w:hint="eastAsia"/>
          <w:bCs/>
          <w:sz w:val="32"/>
          <w:szCs w:val="32"/>
        </w:rPr>
        <w:t>肆、112年度中央政府總預算有關教育部及所屬單位預算案，審查完竣。審查結果如下：</w:t>
      </w:r>
    </w:p>
    <w:p w:rsidR="00273897" w:rsidRPr="008F7885" w:rsidRDefault="00273897" w:rsidP="00273897">
      <w:pPr>
        <w:snapToGrid w:val="0"/>
        <w:spacing w:before="120" w:line="440" w:lineRule="exact"/>
        <w:ind w:leftChars="11" w:left="666" w:hangingChars="200" w:hanging="640"/>
        <w:jc w:val="both"/>
        <w:rPr>
          <w:rFonts w:ascii="標楷體" w:eastAsia="標楷體" w:hAnsi="標楷體"/>
          <w:bCs/>
          <w:snapToGrid w:val="0"/>
          <w:sz w:val="32"/>
          <w:szCs w:val="32"/>
        </w:rPr>
      </w:pPr>
      <w:r w:rsidRPr="008F7885">
        <w:rPr>
          <w:rFonts w:ascii="標楷體" w:eastAsia="標楷體" w:hAnsi="標楷體"/>
          <w:bCs/>
          <w:snapToGrid w:val="0"/>
          <w:sz w:val="32"/>
          <w:szCs w:val="32"/>
        </w:rPr>
        <w:t>一、歲入部分</w:t>
      </w:r>
    </w:p>
    <w:p w:rsidR="00273897" w:rsidRPr="008F7885" w:rsidRDefault="00273897" w:rsidP="00273897">
      <w:pPr>
        <w:kinsoku w:val="0"/>
        <w:overflowPunct w:val="0"/>
        <w:spacing w:beforeLines="50" w:before="180" w:line="500" w:lineRule="exact"/>
        <w:ind w:left="1488" w:hangingChars="465" w:hanging="1488"/>
        <w:jc w:val="both"/>
        <w:textAlignment w:val="center"/>
        <w:rPr>
          <w:rFonts w:ascii="標楷體" w:eastAsia="標楷體" w:hAnsi="標楷體"/>
          <w:bCs/>
          <w:snapToGrid w:val="0"/>
          <w:sz w:val="32"/>
          <w:szCs w:val="32"/>
        </w:rPr>
      </w:pPr>
      <w:r w:rsidRPr="008F7885">
        <w:rPr>
          <w:rFonts w:ascii="標楷體" w:eastAsia="標楷體" w:hAnsi="標楷體"/>
          <w:bCs/>
          <w:snapToGrid w:val="0"/>
          <w:sz w:val="32"/>
          <w:szCs w:val="32"/>
        </w:rPr>
        <w:t>第2款　罰款及賠償收入</w:t>
      </w:r>
    </w:p>
    <w:p w:rsidR="00273897" w:rsidRPr="008F7885" w:rsidRDefault="00273897" w:rsidP="00273897">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第</w:t>
      </w:r>
      <w:r w:rsidRPr="008F7885">
        <w:rPr>
          <w:rFonts w:ascii="標楷體" w:eastAsia="標楷體" w:hAnsi="標楷體"/>
          <w:snapToGrid w:val="0"/>
          <w:sz w:val="32"/>
          <w:szCs w:val="32"/>
        </w:rPr>
        <w:t>92</w:t>
      </w:r>
      <w:r w:rsidRPr="008F7885">
        <w:rPr>
          <w:rFonts w:ascii="標楷體" w:eastAsia="標楷體" w:hAnsi="標楷體" w:hint="eastAsia"/>
          <w:snapToGrid w:val="0"/>
          <w:sz w:val="32"/>
          <w:szCs w:val="32"/>
        </w:rPr>
        <w:t>項　教育部1,</w:t>
      </w:r>
      <w:r w:rsidRPr="008F7885">
        <w:rPr>
          <w:rFonts w:ascii="標楷體" w:eastAsia="標楷體" w:hAnsi="標楷體"/>
          <w:snapToGrid w:val="0"/>
          <w:sz w:val="32"/>
          <w:szCs w:val="32"/>
        </w:rPr>
        <w:t>9</w:t>
      </w:r>
      <w:r w:rsidRPr="008F7885">
        <w:rPr>
          <w:rFonts w:ascii="標楷體" w:eastAsia="標楷體" w:hAnsi="標楷體" w:hint="eastAsia"/>
          <w:snapToGrid w:val="0"/>
          <w:sz w:val="32"/>
          <w:szCs w:val="32"/>
        </w:rPr>
        <w:t>60萬元，照列</w:t>
      </w:r>
      <w:r w:rsidRPr="008F7885">
        <w:rPr>
          <w:rFonts w:ascii="標楷體" w:eastAsia="標楷體" w:hAnsi="標楷體"/>
          <w:snapToGrid w:val="0"/>
          <w:sz w:val="32"/>
          <w:szCs w:val="32"/>
        </w:rPr>
        <w:t>。</w:t>
      </w:r>
    </w:p>
    <w:p w:rsidR="00273897" w:rsidRPr="008F7885" w:rsidRDefault="00273897" w:rsidP="00273897">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第93項　國民及學前教育署45萬元，照列。</w:t>
      </w:r>
    </w:p>
    <w:p w:rsidR="00273897" w:rsidRPr="008F7885" w:rsidRDefault="00273897" w:rsidP="00273897">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第94項　體育署，無列數。</w:t>
      </w:r>
    </w:p>
    <w:p w:rsidR="00273897" w:rsidRPr="008F7885" w:rsidRDefault="00273897" w:rsidP="00273897">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第95項　青年發展署32萬2千元，照列。</w:t>
      </w:r>
    </w:p>
    <w:p w:rsidR="00273897" w:rsidRPr="008F7885" w:rsidRDefault="00273897" w:rsidP="00273897">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lastRenderedPageBreak/>
        <w:t>第96項　國家圖書館，無列數。</w:t>
      </w:r>
    </w:p>
    <w:p w:rsidR="00273897" w:rsidRPr="008F7885" w:rsidRDefault="00273897" w:rsidP="00273897">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第97項　國立公共資訊圖書館23萬4千元，照列。</w:t>
      </w:r>
    </w:p>
    <w:p w:rsidR="00273897" w:rsidRPr="008F7885" w:rsidRDefault="00273897" w:rsidP="00273897">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第98項  國立教育廣播電臺，無列數。</w:t>
      </w:r>
    </w:p>
    <w:p w:rsidR="00273897" w:rsidRPr="008F7885" w:rsidRDefault="00273897" w:rsidP="00273897">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8F7885">
        <w:rPr>
          <w:rFonts w:ascii="標楷體" w:eastAsia="標楷體" w:hAnsi="標楷體" w:hint="eastAsia"/>
          <w:snapToGrid w:val="0"/>
          <w:sz w:val="32"/>
          <w:szCs w:val="32"/>
        </w:rPr>
        <w:t>第99項　國家教育研究院，無列數</w:t>
      </w:r>
      <w:r w:rsidRPr="008F7885">
        <w:rPr>
          <w:rFonts w:ascii="標楷體" w:eastAsia="標楷體" w:hAnsi="標楷體"/>
          <w:snapToGrid w:val="0"/>
          <w:sz w:val="32"/>
          <w:szCs w:val="32"/>
        </w:rPr>
        <w:t>。</w:t>
      </w:r>
    </w:p>
    <w:p w:rsidR="00273897" w:rsidRPr="008F7885" w:rsidRDefault="00273897" w:rsidP="00273897">
      <w:pPr>
        <w:kinsoku w:val="0"/>
        <w:overflowPunct w:val="0"/>
        <w:spacing w:beforeLines="50" w:before="180" w:line="500" w:lineRule="exact"/>
        <w:ind w:left="1488" w:hangingChars="465" w:hanging="1488"/>
        <w:jc w:val="both"/>
        <w:textAlignment w:val="center"/>
        <w:rPr>
          <w:rFonts w:ascii="標楷體" w:eastAsia="標楷體" w:hAnsi="標楷體"/>
          <w:bCs/>
          <w:snapToGrid w:val="0"/>
          <w:sz w:val="32"/>
          <w:szCs w:val="32"/>
        </w:rPr>
      </w:pPr>
      <w:r w:rsidRPr="008F7885">
        <w:rPr>
          <w:rFonts w:ascii="標楷體" w:eastAsia="標楷體" w:hAnsi="標楷體"/>
          <w:bCs/>
          <w:snapToGrid w:val="0"/>
          <w:sz w:val="32"/>
          <w:szCs w:val="32"/>
        </w:rPr>
        <w:t>第3款　規費收入</w:t>
      </w:r>
    </w:p>
    <w:p w:rsidR="00273897" w:rsidRPr="008F7885" w:rsidRDefault="00273897" w:rsidP="00273897">
      <w:pPr>
        <w:kinsoku w:val="0"/>
        <w:overflowPunct w:val="0"/>
        <w:snapToGrid w:val="0"/>
        <w:spacing w:beforeLines="50" w:before="180" w:line="460" w:lineRule="exact"/>
        <w:ind w:leftChars="150" w:left="1800" w:hangingChars="450" w:hanging="1440"/>
        <w:jc w:val="both"/>
        <w:textAlignment w:val="center"/>
        <w:rPr>
          <w:rFonts w:ascii="標楷體" w:eastAsia="標楷體" w:hAnsi="標楷體"/>
          <w:bCs/>
          <w:snapToGrid w:val="0"/>
          <w:sz w:val="32"/>
          <w:szCs w:val="32"/>
        </w:rPr>
      </w:pPr>
      <w:r w:rsidRPr="008F7885">
        <w:rPr>
          <w:rFonts w:ascii="標楷體" w:eastAsia="標楷體" w:hAnsi="標楷體" w:hint="eastAsia"/>
          <w:bCs/>
          <w:snapToGrid w:val="0"/>
          <w:sz w:val="32"/>
          <w:szCs w:val="32"/>
        </w:rPr>
        <w:t>第</w:t>
      </w:r>
      <w:r w:rsidRPr="008F7885">
        <w:rPr>
          <w:rFonts w:ascii="標楷體" w:eastAsia="標楷體" w:hAnsi="標楷體"/>
          <w:bCs/>
          <w:snapToGrid w:val="0"/>
          <w:sz w:val="32"/>
          <w:szCs w:val="32"/>
        </w:rPr>
        <w:t>75</w:t>
      </w:r>
      <w:r w:rsidRPr="008F7885">
        <w:rPr>
          <w:rFonts w:ascii="標楷體" w:eastAsia="標楷體" w:hAnsi="標楷體" w:hint="eastAsia"/>
          <w:bCs/>
          <w:snapToGrid w:val="0"/>
          <w:sz w:val="32"/>
          <w:szCs w:val="32"/>
        </w:rPr>
        <w:t xml:space="preserve">項　</w:t>
      </w:r>
      <w:r w:rsidRPr="008F7885">
        <w:rPr>
          <w:rFonts w:ascii="標楷體" w:eastAsia="標楷體" w:hAnsi="標楷體" w:hint="eastAsia"/>
          <w:snapToGrid w:val="0"/>
          <w:sz w:val="32"/>
          <w:szCs w:val="32"/>
        </w:rPr>
        <w:t>教育部</w:t>
      </w:r>
      <w:r w:rsidRPr="008F7885">
        <w:rPr>
          <w:rFonts w:ascii="標楷體" w:eastAsia="標楷體" w:hAnsi="標楷體"/>
          <w:bCs/>
          <w:snapToGrid w:val="0"/>
          <w:sz w:val="32"/>
          <w:szCs w:val="32"/>
        </w:rPr>
        <w:t>5,239</w:t>
      </w:r>
      <w:r w:rsidRPr="008F7885">
        <w:rPr>
          <w:rFonts w:ascii="標楷體" w:eastAsia="標楷體" w:hAnsi="標楷體" w:hint="eastAsia"/>
          <w:bCs/>
          <w:snapToGrid w:val="0"/>
          <w:sz w:val="32"/>
          <w:szCs w:val="32"/>
        </w:rPr>
        <w:t>萬2千元，照列。</w:t>
      </w:r>
    </w:p>
    <w:p w:rsidR="00273897" w:rsidRPr="008F7885" w:rsidRDefault="00273897" w:rsidP="00273897">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8F7885">
        <w:rPr>
          <w:rFonts w:ascii="標楷體" w:eastAsia="標楷體" w:hAnsi="標楷體" w:hint="eastAsia"/>
          <w:bCs/>
          <w:snapToGrid w:val="0"/>
          <w:sz w:val="32"/>
          <w:szCs w:val="32"/>
        </w:rPr>
        <w:t>第76項　國民及學前教育署407萬元，照列。</w:t>
      </w:r>
    </w:p>
    <w:p w:rsidR="00273897" w:rsidRPr="008F7885" w:rsidRDefault="00273897" w:rsidP="00273897">
      <w:pPr>
        <w:kinsoku w:val="0"/>
        <w:overflowPunct w:val="0"/>
        <w:snapToGrid w:val="0"/>
        <w:spacing w:beforeLines="50" w:before="180" w:line="500" w:lineRule="exact"/>
        <w:ind w:leftChars="150" w:left="1800" w:hangingChars="450" w:hanging="1440"/>
        <w:jc w:val="both"/>
        <w:textAlignment w:val="center"/>
        <w:rPr>
          <w:rFonts w:ascii="標楷體" w:eastAsia="標楷體" w:hAnsi="標楷體"/>
          <w:bCs/>
          <w:snapToGrid w:val="0"/>
          <w:sz w:val="32"/>
          <w:szCs w:val="32"/>
        </w:rPr>
      </w:pPr>
      <w:r w:rsidRPr="008F7885">
        <w:rPr>
          <w:rFonts w:ascii="標楷體" w:eastAsia="標楷體" w:hAnsi="標楷體" w:hint="eastAsia"/>
          <w:bCs/>
          <w:snapToGrid w:val="0"/>
          <w:sz w:val="32"/>
          <w:szCs w:val="32"/>
        </w:rPr>
        <w:t>第77項　體育署原列351</w:t>
      </w:r>
      <w:r w:rsidRPr="008F7885">
        <w:rPr>
          <w:rFonts w:ascii="標楷體" w:eastAsia="標楷體" w:hAnsi="標楷體" w:hint="eastAsia"/>
          <w:sz w:val="32"/>
        </w:rPr>
        <w:t>萬元</w:t>
      </w:r>
      <w:r w:rsidRPr="008F7885">
        <w:rPr>
          <w:rFonts w:ascii="標楷體" w:eastAsia="標楷體" w:hAnsi="標楷體" w:hint="eastAsia"/>
          <w:bCs/>
          <w:snapToGrid w:val="0"/>
          <w:sz w:val="32"/>
          <w:szCs w:val="32"/>
        </w:rPr>
        <w:t>，增列第1目「行政規費收入」100萬元，改列為451萬元。</w:t>
      </w:r>
    </w:p>
    <w:p w:rsidR="00273897" w:rsidRPr="008F7885" w:rsidRDefault="00273897" w:rsidP="00273897">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8F7885">
        <w:rPr>
          <w:rFonts w:ascii="標楷體" w:eastAsia="標楷體" w:hAnsi="標楷體" w:hint="eastAsia"/>
          <w:bCs/>
          <w:snapToGrid w:val="0"/>
          <w:sz w:val="32"/>
          <w:szCs w:val="32"/>
        </w:rPr>
        <w:t>第78項　國家圖書館203萬元，照列。</w:t>
      </w:r>
    </w:p>
    <w:p w:rsidR="00273897" w:rsidRPr="008F7885" w:rsidRDefault="00273897" w:rsidP="00273897">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8F7885">
        <w:rPr>
          <w:rFonts w:ascii="標楷體" w:eastAsia="標楷體" w:hAnsi="標楷體" w:hint="eastAsia"/>
          <w:bCs/>
          <w:snapToGrid w:val="0"/>
          <w:sz w:val="32"/>
          <w:szCs w:val="32"/>
        </w:rPr>
        <w:t>第79項　國立公共資訊圖書館96萬元，照列。</w:t>
      </w:r>
    </w:p>
    <w:p w:rsidR="00273897" w:rsidRPr="008F7885" w:rsidRDefault="00273897" w:rsidP="00273897">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8F7885">
        <w:rPr>
          <w:rFonts w:ascii="標楷體" w:eastAsia="標楷體" w:hAnsi="標楷體" w:hint="eastAsia"/>
          <w:bCs/>
          <w:snapToGrid w:val="0"/>
          <w:sz w:val="32"/>
          <w:szCs w:val="32"/>
        </w:rPr>
        <w:t>第80項  國立教育廣播電臺，無列數。</w:t>
      </w:r>
    </w:p>
    <w:p w:rsidR="00273897" w:rsidRPr="008F7885" w:rsidRDefault="00273897" w:rsidP="00273897">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8F7885">
        <w:rPr>
          <w:rFonts w:ascii="標楷體" w:eastAsia="標楷體" w:hAnsi="標楷體" w:hint="eastAsia"/>
          <w:bCs/>
          <w:snapToGrid w:val="0"/>
          <w:sz w:val="32"/>
          <w:szCs w:val="32"/>
        </w:rPr>
        <w:t>第81項　國家教育研究院621萬2千元，照列。</w:t>
      </w:r>
    </w:p>
    <w:p w:rsidR="00273897" w:rsidRPr="008F7885" w:rsidRDefault="00273897" w:rsidP="00273897">
      <w:pPr>
        <w:kinsoku w:val="0"/>
        <w:overflowPunct w:val="0"/>
        <w:spacing w:beforeLines="50" w:before="180" w:line="500" w:lineRule="exact"/>
        <w:ind w:left="1488" w:hangingChars="465" w:hanging="1488"/>
        <w:jc w:val="both"/>
        <w:textAlignment w:val="center"/>
        <w:rPr>
          <w:rFonts w:ascii="標楷體" w:eastAsia="標楷體" w:hAnsi="標楷體"/>
          <w:bCs/>
          <w:snapToGrid w:val="0"/>
          <w:sz w:val="32"/>
          <w:szCs w:val="32"/>
        </w:rPr>
      </w:pPr>
      <w:r w:rsidRPr="008F7885">
        <w:rPr>
          <w:rFonts w:ascii="標楷體" w:eastAsia="標楷體" w:hAnsi="標楷體"/>
          <w:bCs/>
          <w:snapToGrid w:val="0"/>
          <w:sz w:val="32"/>
          <w:szCs w:val="32"/>
        </w:rPr>
        <w:t>第4款　財產收入</w:t>
      </w:r>
    </w:p>
    <w:p w:rsidR="00273897" w:rsidRPr="008F7885" w:rsidRDefault="00273897" w:rsidP="00273897">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8F7885">
        <w:rPr>
          <w:rFonts w:ascii="標楷體" w:eastAsia="標楷體" w:hAnsi="標楷體" w:hint="eastAsia"/>
          <w:bCs/>
          <w:snapToGrid w:val="0"/>
          <w:sz w:val="32"/>
          <w:szCs w:val="32"/>
        </w:rPr>
        <w:t>第101項　教育部</w:t>
      </w:r>
      <w:r w:rsidRPr="008F7885">
        <w:rPr>
          <w:rFonts w:ascii="標楷體" w:eastAsia="標楷體" w:hAnsi="標楷體" w:hint="eastAsia"/>
          <w:sz w:val="32"/>
        </w:rPr>
        <w:t>2,771萬</w:t>
      </w:r>
      <w:r w:rsidRPr="008F7885">
        <w:rPr>
          <w:rFonts w:ascii="標楷體" w:eastAsia="標楷體" w:hAnsi="標楷體"/>
          <w:sz w:val="32"/>
        </w:rPr>
        <w:t>9</w:t>
      </w:r>
      <w:r w:rsidRPr="008F7885">
        <w:rPr>
          <w:rFonts w:ascii="標楷體" w:eastAsia="標楷體" w:hAnsi="標楷體" w:hint="eastAsia"/>
          <w:sz w:val="32"/>
        </w:rPr>
        <w:t>千元</w:t>
      </w:r>
      <w:r w:rsidRPr="008F7885">
        <w:rPr>
          <w:rFonts w:ascii="標楷體" w:eastAsia="標楷體" w:hAnsi="標楷體" w:hint="eastAsia"/>
          <w:bCs/>
          <w:snapToGrid w:val="0"/>
          <w:sz w:val="32"/>
          <w:szCs w:val="32"/>
        </w:rPr>
        <w:t>，照列。</w:t>
      </w:r>
    </w:p>
    <w:p w:rsidR="00273897" w:rsidRPr="008F7885" w:rsidRDefault="00273897" w:rsidP="00273897">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8F7885">
        <w:rPr>
          <w:rFonts w:ascii="標楷體" w:eastAsia="標楷體" w:hAnsi="標楷體" w:hint="eastAsia"/>
          <w:bCs/>
          <w:snapToGrid w:val="0"/>
          <w:sz w:val="32"/>
          <w:szCs w:val="32"/>
        </w:rPr>
        <w:t>第102項　國民及學前教育署</w:t>
      </w:r>
      <w:r w:rsidRPr="008F7885">
        <w:rPr>
          <w:rFonts w:ascii="標楷體" w:eastAsia="標楷體" w:hAnsi="標楷體"/>
          <w:sz w:val="32"/>
        </w:rPr>
        <w:t>286</w:t>
      </w:r>
      <w:r w:rsidRPr="008F7885">
        <w:rPr>
          <w:rFonts w:ascii="標楷體" w:eastAsia="標楷體" w:hAnsi="標楷體" w:hint="eastAsia"/>
          <w:sz w:val="32"/>
        </w:rPr>
        <w:t>萬2千元</w:t>
      </w:r>
      <w:r w:rsidRPr="008F7885">
        <w:rPr>
          <w:rFonts w:ascii="標楷體" w:eastAsia="標楷體" w:hAnsi="標楷體" w:hint="eastAsia"/>
          <w:bCs/>
          <w:snapToGrid w:val="0"/>
          <w:sz w:val="32"/>
          <w:szCs w:val="32"/>
        </w:rPr>
        <w:t>，照列。</w:t>
      </w:r>
    </w:p>
    <w:p w:rsidR="00273897" w:rsidRPr="008F7885" w:rsidRDefault="00273897" w:rsidP="00273897">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8F7885">
        <w:rPr>
          <w:rFonts w:ascii="標楷體" w:eastAsia="標楷體" w:hAnsi="標楷體" w:hint="eastAsia"/>
          <w:bCs/>
          <w:snapToGrid w:val="0"/>
          <w:sz w:val="32"/>
          <w:szCs w:val="32"/>
        </w:rPr>
        <w:t>第103項　體育署1,700萬元，照列。</w:t>
      </w:r>
    </w:p>
    <w:p w:rsidR="00273897" w:rsidRPr="008F7885" w:rsidRDefault="00273897" w:rsidP="00273897">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8F7885">
        <w:rPr>
          <w:rFonts w:ascii="標楷體" w:eastAsia="標楷體" w:hAnsi="標楷體" w:hint="eastAsia"/>
          <w:bCs/>
          <w:snapToGrid w:val="0"/>
          <w:sz w:val="32"/>
          <w:szCs w:val="32"/>
        </w:rPr>
        <w:t>第104項　青年發展署7萬7千元，照列。</w:t>
      </w:r>
    </w:p>
    <w:p w:rsidR="00273897" w:rsidRPr="008F7885" w:rsidRDefault="00273897" w:rsidP="00273897">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8F7885">
        <w:rPr>
          <w:rFonts w:ascii="標楷體" w:eastAsia="標楷體" w:hAnsi="標楷體" w:hint="eastAsia"/>
          <w:bCs/>
          <w:snapToGrid w:val="0"/>
          <w:sz w:val="32"/>
          <w:szCs w:val="32"/>
        </w:rPr>
        <w:t>第105項　國家圖書館</w:t>
      </w:r>
      <w:r w:rsidRPr="008F7885">
        <w:rPr>
          <w:rFonts w:ascii="標楷體" w:eastAsia="標楷體" w:hAnsi="標楷體"/>
          <w:sz w:val="32"/>
        </w:rPr>
        <w:t>15</w:t>
      </w:r>
      <w:r w:rsidRPr="008F7885">
        <w:rPr>
          <w:rFonts w:ascii="標楷體" w:eastAsia="標楷體" w:hAnsi="標楷體" w:hint="eastAsia"/>
          <w:sz w:val="32"/>
        </w:rPr>
        <w:t>9萬5千元</w:t>
      </w:r>
      <w:r w:rsidRPr="008F7885">
        <w:rPr>
          <w:rFonts w:ascii="標楷體" w:eastAsia="標楷體" w:hAnsi="標楷體" w:hint="eastAsia"/>
          <w:bCs/>
          <w:snapToGrid w:val="0"/>
          <w:sz w:val="32"/>
          <w:szCs w:val="32"/>
        </w:rPr>
        <w:t>，照列。</w:t>
      </w:r>
    </w:p>
    <w:p w:rsidR="00273897" w:rsidRPr="008F7885" w:rsidRDefault="00273897" w:rsidP="00273897">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8F7885">
        <w:rPr>
          <w:rFonts w:ascii="標楷體" w:eastAsia="標楷體" w:hAnsi="標楷體" w:hint="eastAsia"/>
          <w:bCs/>
          <w:snapToGrid w:val="0"/>
          <w:sz w:val="32"/>
          <w:szCs w:val="32"/>
        </w:rPr>
        <w:t>第106項　國立公共資訊圖書館</w:t>
      </w:r>
      <w:r w:rsidRPr="008F7885">
        <w:rPr>
          <w:rFonts w:ascii="標楷體" w:eastAsia="標楷體" w:hAnsi="標楷體" w:hint="eastAsia"/>
          <w:sz w:val="32"/>
        </w:rPr>
        <w:t>264萬5千元</w:t>
      </w:r>
      <w:r w:rsidRPr="008F7885">
        <w:rPr>
          <w:rFonts w:ascii="標楷體" w:eastAsia="標楷體" w:hAnsi="標楷體" w:hint="eastAsia"/>
          <w:bCs/>
          <w:snapToGrid w:val="0"/>
          <w:sz w:val="32"/>
          <w:szCs w:val="32"/>
        </w:rPr>
        <w:t>，照列。</w:t>
      </w:r>
    </w:p>
    <w:p w:rsidR="00273897" w:rsidRPr="008F7885" w:rsidRDefault="00273897" w:rsidP="00273897">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8F7885">
        <w:rPr>
          <w:rFonts w:ascii="標楷體" w:eastAsia="標楷體" w:hAnsi="標楷體" w:hint="eastAsia"/>
          <w:bCs/>
          <w:snapToGrid w:val="0"/>
          <w:sz w:val="32"/>
          <w:szCs w:val="32"/>
        </w:rPr>
        <w:t>第107項　國立教育廣播電臺8千元，照列。</w:t>
      </w:r>
    </w:p>
    <w:p w:rsidR="00273897" w:rsidRPr="008F7885" w:rsidRDefault="00273897" w:rsidP="00273897">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8F7885">
        <w:rPr>
          <w:rFonts w:ascii="標楷體" w:eastAsia="標楷體" w:hAnsi="標楷體" w:hint="eastAsia"/>
          <w:bCs/>
          <w:snapToGrid w:val="0"/>
          <w:sz w:val="32"/>
          <w:szCs w:val="32"/>
        </w:rPr>
        <w:t>第108項　國家教育研究院267萬3千元，照列。</w:t>
      </w:r>
    </w:p>
    <w:p w:rsidR="00273897" w:rsidRPr="008F7885" w:rsidRDefault="00273897" w:rsidP="00273897">
      <w:pPr>
        <w:kinsoku w:val="0"/>
        <w:overflowPunct w:val="0"/>
        <w:spacing w:beforeLines="50" w:before="180" w:line="500" w:lineRule="exact"/>
        <w:ind w:left="1488" w:hangingChars="465" w:hanging="1488"/>
        <w:jc w:val="both"/>
        <w:textAlignment w:val="center"/>
        <w:rPr>
          <w:rFonts w:ascii="標楷體" w:eastAsia="標楷體" w:hAnsi="標楷體"/>
          <w:bCs/>
          <w:snapToGrid w:val="0"/>
          <w:sz w:val="32"/>
          <w:szCs w:val="32"/>
        </w:rPr>
      </w:pPr>
      <w:r w:rsidRPr="008F7885">
        <w:rPr>
          <w:rFonts w:ascii="標楷體" w:eastAsia="標楷體" w:hAnsi="標楷體"/>
          <w:bCs/>
          <w:snapToGrid w:val="0"/>
          <w:sz w:val="32"/>
          <w:szCs w:val="32"/>
        </w:rPr>
        <w:t>第7款　其他收入</w:t>
      </w:r>
    </w:p>
    <w:p w:rsidR="00273897" w:rsidRPr="008F7885" w:rsidRDefault="00273897" w:rsidP="00273897">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第100項　教育部4</w:t>
      </w:r>
      <w:r w:rsidRPr="008F7885">
        <w:rPr>
          <w:rFonts w:ascii="標楷體" w:eastAsia="標楷體" w:hAnsi="標楷體" w:hint="eastAsia"/>
          <w:sz w:val="32"/>
        </w:rPr>
        <w:t>億9</w:t>
      </w:r>
      <w:r w:rsidRPr="008F7885">
        <w:rPr>
          <w:rFonts w:ascii="標楷體" w:eastAsia="標楷體" w:hAnsi="標楷體"/>
          <w:sz w:val="32"/>
        </w:rPr>
        <w:t>,</w:t>
      </w:r>
      <w:r w:rsidRPr="008F7885">
        <w:rPr>
          <w:rFonts w:ascii="標楷體" w:eastAsia="標楷體" w:hAnsi="標楷體" w:hint="eastAsia"/>
          <w:sz w:val="32"/>
        </w:rPr>
        <w:t>182萬1千元</w:t>
      </w:r>
      <w:r w:rsidRPr="008F7885">
        <w:rPr>
          <w:rFonts w:ascii="標楷體" w:eastAsia="標楷體" w:hAnsi="標楷體" w:hint="eastAsia"/>
          <w:bCs/>
          <w:snapToGrid w:val="0"/>
          <w:sz w:val="32"/>
          <w:szCs w:val="32"/>
        </w:rPr>
        <w:t>，照列。</w:t>
      </w:r>
    </w:p>
    <w:p w:rsidR="00273897" w:rsidRPr="008F7885" w:rsidRDefault="00273897" w:rsidP="00273897">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第101項　國民及學前教育署</w:t>
      </w:r>
      <w:r w:rsidRPr="008F7885">
        <w:rPr>
          <w:rFonts w:ascii="標楷體" w:eastAsia="標楷體" w:hAnsi="標楷體" w:hint="eastAsia"/>
          <w:sz w:val="32"/>
        </w:rPr>
        <w:t>4億</w:t>
      </w:r>
      <w:r w:rsidRPr="008F7885">
        <w:rPr>
          <w:rFonts w:ascii="標楷體" w:eastAsia="標楷體" w:hAnsi="標楷體"/>
          <w:sz w:val="32"/>
        </w:rPr>
        <w:t>5,41</w:t>
      </w:r>
      <w:r w:rsidRPr="008F7885">
        <w:rPr>
          <w:rFonts w:ascii="標楷體" w:eastAsia="標楷體" w:hAnsi="標楷體" w:hint="eastAsia"/>
          <w:sz w:val="32"/>
        </w:rPr>
        <w:t>5萬5千元</w:t>
      </w:r>
      <w:r w:rsidRPr="008F7885">
        <w:rPr>
          <w:rFonts w:ascii="標楷體" w:eastAsia="標楷體" w:hAnsi="標楷體" w:hint="eastAsia"/>
          <w:bCs/>
          <w:snapToGrid w:val="0"/>
          <w:sz w:val="32"/>
          <w:szCs w:val="32"/>
        </w:rPr>
        <w:t>，照列。</w:t>
      </w:r>
    </w:p>
    <w:p w:rsidR="00273897" w:rsidRPr="008F7885" w:rsidRDefault="00273897" w:rsidP="00273897">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第102項　體育署，無列數</w:t>
      </w:r>
      <w:r w:rsidRPr="008F7885">
        <w:rPr>
          <w:rFonts w:ascii="標楷體" w:eastAsia="標楷體" w:hAnsi="標楷體" w:hint="eastAsia"/>
          <w:bCs/>
          <w:snapToGrid w:val="0"/>
          <w:sz w:val="32"/>
          <w:szCs w:val="32"/>
        </w:rPr>
        <w:t>。</w:t>
      </w:r>
    </w:p>
    <w:p w:rsidR="00273897" w:rsidRPr="008F7885" w:rsidRDefault="00273897" w:rsidP="00273897">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第103項　青年發展署1</w:t>
      </w:r>
      <w:r w:rsidRPr="008F7885">
        <w:rPr>
          <w:rFonts w:ascii="標楷體" w:eastAsia="標楷體" w:hAnsi="標楷體"/>
          <w:snapToGrid w:val="0"/>
          <w:sz w:val="32"/>
          <w:szCs w:val="32"/>
        </w:rPr>
        <w:t>7</w:t>
      </w:r>
      <w:r w:rsidRPr="008F7885">
        <w:rPr>
          <w:rFonts w:ascii="標楷體" w:eastAsia="標楷體" w:hAnsi="標楷體" w:hint="eastAsia"/>
          <w:snapToGrid w:val="0"/>
          <w:sz w:val="32"/>
          <w:szCs w:val="32"/>
        </w:rPr>
        <w:t>萬4千元</w:t>
      </w:r>
      <w:r w:rsidRPr="008F7885">
        <w:rPr>
          <w:rFonts w:ascii="標楷體" w:eastAsia="標楷體" w:hAnsi="標楷體" w:hint="eastAsia"/>
          <w:bCs/>
          <w:snapToGrid w:val="0"/>
          <w:sz w:val="32"/>
          <w:szCs w:val="32"/>
        </w:rPr>
        <w:t>，照列。</w:t>
      </w:r>
    </w:p>
    <w:p w:rsidR="00273897" w:rsidRPr="008F7885" w:rsidRDefault="00273897" w:rsidP="00273897">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第104項　國家圖書館</w:t>
      </w:r>
      <w:r w:rsidRPr="008F7885">
        <w:rPr>
          <w:rFonts w:ascii="標楷體" w:eastAsia="標楷體" w:hAnsi="標楷體"/>
          <w:snapToGrid w:val="0"/>
          <w:sz w:val="32"/>
          <w:szCs w:val="32"/>
        </w:rPr>
        <w:t>7</w:t>
      </w:r>
      <w:r w:rsidRPr="008F7885">
        <w:rPr>
          <w:rFonts w:ascii="標楷體" w:eastAsia="標楷體" w:hAnsi="標楷體" w:hint="eastAsia"/>
          <w:snapToGrid w:val="0"/>
          <w:sz w:val="32"/>
          <w:szCs w:val="32"/>
        </w:rPr>
        <w:t>7萬2千元</w:t>
      </w:r>
      <w:r w:rsidRPr="008F7885">
        <w:rPr>
          <w:rFonts w:ascii="標楷體" w:eastAsia="標楷體" w:hAnsi="標楷體" w:hint="eastAsia"/>
          <w:bCs/>
          <w:snapToGrid w:val="0"/>
          <w:sz w:val="32"/>
          <w:szCs w:val="32"/>
        </w:rPr>
        <w:t>，照列。</w:t>
      </w:r>
    </w:p>
    <w:p w:rsidR="00273897" w:rsidRPr="008F7885" w:rsidRDefault="00273897" w:rsidP="00273897">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lastRenderedPageBreak/>
        <w:t>第105項　國立公共資訊圖書館9萬元</w:t>
      </w:r>
      <w:r w:rsidRPr="008F7885">
        <w:rPr>
          <w:rFonts w:ascii="標楷體" w:eastAsia="標楷體" w:hAnsi="標楷體" w:hint="eastAsia"/>
          <w:bCs/>
          <w:snapToGrid w:val="0"/>
          <w:sz w:val="32"/>
          <w:szCs w:val="32"/>
        </w:rPr>
        <w:t>，照列。</w:t>
      </w:r>
    </w:p>
    <w:p w:rsidR="00273897" w:rsidRPr="008F7885" w:rsidRDefault="00273897" w:rsidP="00273897">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8F7885">
        <w:rPr>
          <w:rFonts w:ascii="標楷體" w:eastAsia="標楷體" w:hAnsi="標楷體" w:hint="eastAsia"/>
          <w:snapToGrid w:val="0"/>
          <w:sz w:val="32"/>
          <w:szCs w:val="32"/>
        </w:rPr>
        <w:t>第106項　國立教育廣播電臺98萬8千元</w:t>
      </w:r>
      <w:r w:rsidRPr="008F7885">
        <w:rPr>
          <w:rFonts w:ascii="標楷體" w:eastAsia="標楷體" w:hAnsi="標楷體" w:hint="eastAsia"/>
          <w:bCs/>
          <w:snapToGrid w:val="0"/>
          <w:sz w:val="32"/>
          <w:szCs w:val="32"/>
        </w:rPr>
        <w:t>，照列。</w:t>
      </w:r>
    </w:p>
    <w:p w:rsidR="00273897" w:rsidRPr="008F7885" w:rsidRDefault="00273897" w:rsidP="00273897">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z w:val="32"/>
          <w:szCs w:val="32"/>
        </w:rPr>
      </w:pPr>
      <w:r w:rsidRPr="008F7885">
        <w:rPr>
          <w:rFonts w:ascii="標楷體" w:eastAsia="標楷體" w:hAnsi="標楷體" w:hint="eastAsia"/>
          <w:snapToGrid w:val="0"/>
          <w:sz w:val="32"/>
          <w:szCs w:val="32"/>
        </w:rPr>
        <w:t>第107項　國家教育研究院</w:t>
      </w:r>
      <w:r w:rsidRPr="008F7885">
        <w:rPr>
          <w:rFonts w:ascii="標楷體" w:eastAsia="標楷體" w:hAnsi="標楷體" w:hint="eastAsia"/>
          <w:sz w:val="32"/>
        </w:rPr>
        <w:t>56萬元</w:t>
      </w:r>
      <w:r w:rsidRPr="008F7885">
        <w:rPr>
          <w:rFonts w:ascii="標楷體" w:eastAsia="標楷體" w:hAnsi="標楷體" w:hint="eastAsia"/>
          <w:bCs/>
          <w:snapToGrid w:val="0"/>
          <w:sz w:val="32"/>
          <w:szCs w:val="32"/>
        </w:rPr>
        <w:t>，照列。</w:t>
      </w:r>
    </w:p>
    <w:p w:rsidR="00273897" w:rsidRPr="008F7885" w:rsidRDefault="00273897" w:rsidP="00273897">
      <w:pPr>
        <w:snapToGrid w:val="0"/>
        <w:spacing w:before="120" w:line="440" w:lineRule="exact"/>
        <w:ind w:leftChars="11" w:left="666" w:hangingChars="200" w:hanging="640"/>
        <w:jc w:val="both"/>
        <w:rPr>
          <w:rFonts w:ascii="標楷體" w:eastAsia="標楷體" w:hAnsi="標楷體"/>
          <w:sz w:val="32"/>
          <w:szCs w:val="32"/>
        </w:rPr>
      </w:pPr>
      <w:r w:rsidRPr="008F7885">
        <w:rPr>
          <w:rFonts w:ascii="標楷體" w:eastAsia="標楷體" w:hAnsi="標楷體" w:hint="eastAsia"/>
          <w:sz w:val="32"/>
          <w:szCs w:val="32"/>
        </w:rPr>
        <w:t>二、歲出部分</w:t>
      </w:r>
    </w:p>
    <w:p w:rsidR="00273897" w:rsidRPr="008F7885" w:rsidRDefault="00273897" w:rsidP="00273897">
      <w:pPr>
        <w:snapToGrid w:val="0"/>
        <w:spacing w:before="120" w:line="440" w:lineRule="exact"/>
        <w:ind w:leftChars="11" w:left="666" w:hangingChars="200" w:hanging="640"/>
        <w:jc w:val="both"/>
        <w:rPr>
          <w:rFonts w:ascii="標楷體" w:eastAsia="標楷體" w:hAnsi="標楷體"/>
          <w:sz w:val="32"/>
          <w:szCs w:val="32"/>
        </w:rPr>
      </w:pPr>
      <w:r w:rsidRPr="008F7885">
        <w:rPr>
          <w:rFonts w:ascii="標楷體" w:eastAsia="標楷體" w:hAnsi="標楷體"/>
          <w:sz w:val="32"/>
          <w:szCs w:val="32"/>
        </w:rPr>
        <w:t>第11款　教育部主管</w:t>
      </w:r>
    </w:p>
    <w:p w:rsidR="00273897" w:rsidRPr="008F7885" w:rsidRDefault="00273897" w:rsidP="00273897">
      <w:pPr>
        <w:kinsoku w:val="0"/>
        <w:overflowPunct w:val="0"/>
        <w:spacing w:beforeLines="50" w:before="180" w:line="500" w:lineRule="exact"/>
        <w:ind w:leftChars="700" w:left="2320" w:hangingChars="200" w:hanging="640"/>
        <w:jc w:val="both"/>
        <w:textAlignment w:val="center"/>
        <w:rPr>
          <w:rFonts w:ascii="標楷體" w:eastAsia="標楷體" w:hAnsi="標楷體"/>
          <w:snapToGrid w:val="0"/>
          <w:sz w:val="32"/>
          <w:szCs w:val="32"/>
        </w:rPr>
      </w:pPr>
      <w:r w:rsidRPr="008F7885">
        <w:rPr>
          <w:rFonts w:ascii="標楷體" w:eastAsia="標楷體" w:hAnsi="標楷體"/>
          <w:snapToGrid w:val="0"/>
          <w:sz w:val="32"/>
          <w:szCs w:val="32"/>
        </w:rPr>
        <w:t>第1項　教育部原列</w:t>
      </w:r>
      <w:r w:rsidRPr="008F7885">
        <w:rPr>
          <w:rFonts w:ascii="標楷體" w:eastAsia="標楷體" w:hAnsi="標楷體"/>
          <w:sz w:val="32"/>
        </w:rPr>
        <w:t>1,403</w:t>
      </w:r>
      <w:r w:rsidRPr="008F7885">
        <w:rPr>
          <w:rFonts w:ascii="標楷體" w:eastAsia="標楷體" w:hAnsi="標楷體" w:hint="eastAsia"/>
          <w:sz w:val="32"/>
        </w:rPr>
        <w:t>億6,</w:t>
      </w:r>
      <w:r w:rsidRPr="008F7885">
        <w:rPr>
          <w:rFonts w:ascii="標楷體" w:eastAsia="標楷體" w:hAnsi="標楷體"/>
          <w:sz w:val="32"/>
        </w:rPr>
        <w:t>389</w:t>
      </w:r>
      <w:r w:rsidRPr="008F7885">
        <w:rPr>
          <w:rFonts w:ascii="標楷體" w:eastAsia="標楷體" w:hAnsi="標楷體" w:hint="eastAsia"/>
          <w:sz w:val="32"/>
        </w:rPr>
        <w:t>萬8千元</w:t>
      </w:r>
      <w:r w:rsidRPr="008F7885">
        <w:rPr>
          <w:rFonts w:ascii="標楷體" w:eastAsia="標楷體" w:hAnsi="標楷體" w:hint="eastAsia"/>
          <w:snapToGrid w:val="0"/>
          <w:sz w:val="32"/>
          <w:szCs w:val="32"/>
        </w:rPr>
        <w:t>，除第2目「高等教育」第3節「國立大學校院教學與研究輔助」</w:t>
      </w:r>
      <w:r w:rsidRPr="008F7885">
        <w:rPr>
          <w:rFonts w:ascii="標楷體" w:eastAsia="標楷體" w:hAnsi="標楷體"/>
          <w:snapToGrid w:val="0"/>
          <w:sz w:val="32"/>
          <w:szCs w:val="32"/>
        </w:rPr>
        <w:t>475</w:t>
      </w:r>
      <w:r w:rsidRPr="008F7885">
        <w:rPr>
          <w:rFonts w:ascii="標楷體" w:eastAsia="標楷體" w:hAnsi="標楷體" w:hint="eastAsia"/>
          <w:snapToGrid w:val="0"/>
          <w:sz w:val="32"/>
          <w:szCs w:val="32"/>
        </w:rPr>
        <w:t>億8,</w:t>
      </w:r>
      <w:r w:rsidRPr="008F7885">
        <w:rPr>
          <w:rFonts w:ascii="標楷體" w:eastAsia="標楷體" w:hAnsi="標楷體"/>
          <w:snapToGrid w:val="0"/>
          <w:sz w:val="32"/>
          <w:szCs w:val="32"/>
        </w:rPr>
        <w:t>980</w:t>
      </w:r>
      <w:r w:rsidRPr="008F7885">
        <w:rPr>
          <w:rFonts w:ascii="標楷體" w:eastAsia="標楷體" w:hAnsi="標楷體" w:hint="eastAsia"/>
          <w:snapToGrid w:val="0"/>
          <w:sz w:val="32"/>
          <w:szCs w:val="32"/>
        </w:rPr>
        <w:t>萬5千元、第7目「非營業特種基金」第1節「國立大學校院校務及附設醫院基金」4</w:t>
      </w:r>
      <w:r w:rsidRPr="008F7885">
        <w:rPr>
          <w:rFonts w:ascii="標楷體" w:eastAsia="標楷體" w:hAnsi="標楷體"/>
          <w:snapToGrid w:val="0"/>
          <w:sz w:val="32"/>
          <w:szCs w:val="32"/>
        </w:rPr>
        <w:t>3</w:t>
      </w:r>
      <w:r w:rsidRPr="008F7885">
        <w:rPr>
          <w:rFonts w:ascii="標楷體" w:eastAsia="標楷體" w:hAnsi="標楷體" w:hint="eastAsia"/>
          <w:snapToGrid w:val="0"/>
          <w:sz w:val="32"/>
          <w:szCs w:val="32"/>
        </w:rPr>
        <w:t>億2,</w:t>
      </w:r>
      <w:r w:rsidRPr="008F7885">
        <w:rPr>
          <w:rFonts w:ascii="標楷體" w:eastAsia="標楷體" w:hAnsi="標楷體"/>
          <w:snapToGrid w:val="0"/>
          <w:sz w:val="32"/>
          <w:szCs w:val="32"/>
        </w:rPr>
        <w:t>482</w:t>
      </w:r>
      <w:r w:rsidRPr="008F7885">
        <w:rPr>
          <w:rFonts w:ascii="標楷體" w:eastAsia="標楷體" w:hAnsi="標楷體" w:hint="eastAsia"/>
          <w:snapToGrid w:val="0"/>
          <w:sz w:val="32"/>
          <w:szCs w:val="32"/>
        </w:rPr>
        <w:t>萬7千元、第</w:t>
      </w:r>
      <w:r w:rsidRPr="008F7885">
        <w:rPr>
          <w:rFonts w:ascii="標楷體" w:eastAsia="標楷體" w:hAnsi="標楷體"/>
          <w:snapToGrid w:val="0"/>
          <w:sz w:val="32"/>
          <w:szCs w:val="32"/>
        </w:rPr>
        <w:t>10</w:t>
      </w:r>
      <w:r w:rsidRPr="008F7885">
        <w:rPr>
          <w:rFonts w:ascii="標楷體" w:eastAsia="標楷體" w:hAnsi="標楷體" w:hint="eastAsia"/>
          <w:snapToGrid w:val="0"/>
          <w:sz w:val="32"/>
          <w:szCs w:val="32"/>
        </w:rPr>
        <w:t>目「加強文化與育樂活動」第2節「教育部所屬機構維持及發展輔助」1</w:t>
      </w:r>
      <w:r w:rsidRPr="008F7885">
        <w:rPr>
          <w:rFonts w:ascii="標楷體" w:eastAsia="標楷體" w:hAnsi="標楷體"/>
          <w:snapToGrid w:val="0"/>
          <w:sz w:val="32"/>
          <w:szCs w:val="32"/>
        </w:rPr>
        <w:t>0</w:t>
      </w:r>
      <w:r w:rsidRPr="008F7885">
        <w:rPr>
          <w:rFonts w:ascii="標楷體" w:eastAsia="標楷體" w:hAnsi="標楷體" w:hint="eastAsia"/>
          <w:snapToGrid w:val="0"/>
          <w:sz w:val="32"/>
          <w:szCs w:val="32"/>
        </w:rPr>
        <w:t>億8,</w:t>
      </w:r>
      <w:r w:rsidRPr="008F7885">
        <w:rPr>
          <w:rFonts w:ascii="標楷體" w:eastAsia="標楷體" w:hAnsi="標楷體"/>
          <w:snapToGrid w:val="0"/>
          <w:sz w:val="32"/>
          <w:szCs w:val="32"/>
        </w:rPr>
        <w:t>595</w:t>
      </w:r>
      <w:r w:rsidRPr="008F7885">
        <w:rPr>
          <w:rFonts w:ascii="標楷體" w:eastAsia="標楷體" w:hAnsi="標楷體" w:hint="eastAsia"/>
          <w:snapToGrid w:val="0"/>
          <w:sz w:val="32"/>
          <w:szCs w:val="32"/>
        </w:rPr>
        <w:t>萬1千元，均暫照列，俟所屬非營業特種基金審議確定，再行調整外，其餘均照列。</w:t>
      </w:r>
    </w:p>
    <w:p w:rsidR="00273897" w:rsidRPr="008F7885" w:rsidRDefault="00273897" w:rsidP="00273897">
      <w:pPr>
        <w:kinsoku w:val="0"/>
        <w:overflowPunct w:val="0"/>
        <w:spacing w:line="500" w:lineRule="exact"/>
        <w:ind w:leftChars="150" w:left="1848" w:hangingChars="465" w:hanging="1488"/>
        <w:jc w:val="both"/>
        <w:textAlignment w:val="center"/>
        <w:rPr>
          <w:rFonts w:ascii="標楷體" w:eastAsia="標楷體" w:hAnsi="標楷體"/>
          <w:bCs/>
          <w:snapToGrid w:val="0"/>
          <w:sz w:val="32"/>
          <w:szCs w:val="32"/>
        </w:rPr>
      </w:pPr>
      <w:r w:rsidRPr="008F7885">
        <w:rPr>
          <w:rFonts w:ascii="標楷體" w:eastAsia="標楷體" w:hAnsi="標楷體"/>
          <w:bCs/>
          <w:snapToGrid w:val="0"/>
          <w:sz w:val="32"/>
          <w:szCs w:val="32"/>
        </w:rPr>
        <w:t>本項通過決議</w:t>
      </w:r>
      <w:r w:rsidRPr="008F7885">
        <w:rPr>
          <w:rFonts w:ascii="標楷體" w:eastAsia="標楷體" w:hAnsi="標楷體" w:hint="eastAsia"/>
          <w:bCs/>
          <w:snapToGrid w:val="0"/>
          <w:sz w:val="32"/>
          <w:szCs w:val="32"/>
        </w:rPr>
        <w:t>79</w:t>
      </w:r>
      <w:r w:rsidRPr="008F7885">
        <w:rPr>
          <w:rFonts w:ascii="標楷體" w:eastAsia="標楷體" w:hAnsi="標楷體"/>
          <w:bCs/>
          <w:snapToGrid w:val="0"/>
          <w:sz w:val="32"/>
          <w:szCs w:val="32"/>
        </w:rPr>
        <w:t>項：</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F7885">
        <w:rPr>
          <w:rFonts w:ascii="標楷體" w:eastAsia="標楷體" w:hAnsi="標楷體"/>
          <w:snapToGrid w:val="0"/>
          <w:sz w:val="32"/>
          <w:szCs w:val="32"/>
        </w:rPr>
        <w:t>(</w:t>
      </w:r>
      <w:r w:rsidRPr="008F7885">
        <w:rPr>
          <w:rFonts w:ascii="標楷體" w:eastAsia="標楷體" w:hAnsi="標楷體" w:hint="eastAsia"/>
          <w:snapToGrid w:val="0"/>
          <w:sz w:val="32"/>
          <w:szCs w:val="32"/>
        </w:rPr>
        <w:t>一</w:t>
      </w:r>
      <w:r w:rsidRPr="008F7885">
        <w:rPr>
          <w:rFonts w:ascii="標楷體" w:eastAsia="標楷體" w:hAnsi="標楷體"/>
          <w:snapToGrid w:val="0"/>
          <w:sz w:val="32"/>
          <w:szCs w:val="32"/>
        </w:rPr>
        <w:t>)112</w:t>
      </w:r>
      <w:r w:rsidRPr="008F7885">
        <w:rPr>
          <w:rFonts w:ascii="標楷體" w:eastAsia="標楷體" w:hAnsi="標楷體" w:hint="eastAsia"/>
          <w:snapToGrid w:val="0"/>
          <w:sz w:val="32"/>
          <w:szCs w:val="32"/>
        </w:rPr>
        <w:t>年度教育部「委辦費」預算編列</w:t>
      </w:r>
      <w:r w:rsidRPr="008F7885">
        <w:rPr>
          <w:rFonts w:ascii="標楷體" w:eastAsia="標楷體" w:hAnsi="標楷體"/>
          <w:snapToGrid w:val="0"/>
          <w:sz w:val="32"/>
          <w:szCs w:val="32"/>
        </w:rPr>
        <w:t>30</w:t>
      </w:r>
      <w:r w:rsidRPr="008F7885">
        <w:rPr>
          <w:rFonts w:ascii="標楷體" w:eastAsia="標楷體" w:hAnsi="標楷體" w:hint="eastAsia"/>
          <w:snapToGrid w:val="0"/>
          <w:sz w:val="32"/>
          <w:szCs w:val="32"/>
        </w:rPr>
        <w:t>億</w:t>
      </w:r>
      <w:r w:rsidRPr="008F7885">
        <w:rPr>
          <w:rFonts w:ascii="標楷體" w:eastAsia="標楷體" w:hAnsi="標楷體"/>
          <w:snapToGrid w:val="0"/>
          <w:sz w:val="32"/>
          <w:szCs w:val="32"/>
        </w:rPr>
        <w:t>9</w:t>
      </w:r>
      <w:r w:rsidRPr="008F7885">
        <w:rPr>
          <w:rFonts w:ascii="標楷體" w:eastAsia="標楷體" w:hAnsi="標楷體" w:hint="eastAsia"/>
          <w:snapToGrid w:val="0"/>
          <w:sz w:val="32"/>
          <w:szCs w:val="32"/>
        </w:rPr>
        <w:t>,</w:t>
      </w:r>
      <w:r w:rsidRPr="008F7885">
        <w:rPr>
          <w:rFonts w:ascii="標楷體" w:eastAsia="標楷體" w:hAnsi="標楷體"/>
          <w:snapToGrid w:val="0"/>
          <w:sz w:val="32"/>
          <w:szCs w:val="32"/>
        </w:rPr>
        <w:t>904</w:t>
      </w:r>
      <w:r w:rsidRPr="008F7885">
        <w:rPr>
          <w:rFonts w:ascii="標楷體" w:eastAsia="標楷體" w:hAnsi="標楷體" w:hint="eastAsia"/>
          <w:snapToGrid w:val="0"/>
          <w:sz w:val="32"/>
          <w:szCs w:val="32"/>
        </w:rPr>
        <w:t>萬</w:t>
      </w:r>
      <w:r w:rsidRPr="008F7885">
        <w:rPr>
          <w:rFonts w:ascii="標楷體" w:eastAsia="標楷體" w:hAnsi="標楷體"/>
          <w:snapToGrid w:val="0"/>
          <w:sz w:val="32"/>
          <w:szCs w:val="32"/>
        </w:rPr>
        <w:t>6</w:t>
      </w:r>
      <w:r w:rsidRPr="008F7885">
        <w:rPr>
          <w:rFonts w:ascii="標楷體" w:eastAsia="標楷體" w:hAnsi="標楷體" w:hint="eastAsia"/>
          <w:snapToGrid w:val="0"/>
          <w:sz w:val="32"/>
          <w:szCs w:val="32"/>
        </w:rPr>
        <w:t>千元，凍結</w:t>
      </w:r>
      <w:r w:rsidRPr="008F7885">
        <w:rPr>
          <w:rFonts w:ascii="標楷體" w:eastAsia="標楷體" w:hAnsi="標楷體"/>
          <w:snapToGrid w:val="0"/>
          <w:sz w:val="32"/>
          <w:szCs w:val="32"/>
        </w:rPr>
        <w:t>1</w:t>
      </w:r>
      <w:r w:rsidRPr="008F7885">
        <w:rPr>
          <w:rFonts w:ascii="標楷體" w:eastAsia="標楷體" w:hAnsi="標楷體" w:hint="eastAsia"/>
          <w:snapToGrid w:val="0"/>
          <w:sz w:val="32"/>
          <w:szCs w:val="32"/>
        </w:rPr>
        <w:t>億元，俟教育部向立法院教育及文化委員會提出書面報告後，始得動支。1</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提案人：萬美玲</w:t>
      </w:r>
    </w:p>
    <w:p w:rsidR="00273897" w:rsidRPr="008F7885" w:rsidRDefault="00273897" w:rsidP="00273897">
      <w:pPr>
        <w:snapToGrid w:val="0"/>
        <w:spacing w:line="460" w:lineRule="exact"/>
        <w:ind w:leftChars="1250" w:left="4280" w:hangingChars="400" w:hanging="1280"/>
        <w:jc w:val="both"/>
        <w:rPr>
          <w:rFonts w:ascii="標楷體" w:eastAsia="標楷體" w:hAnsi="標楷體"/>
          <w:snapToGrid w:val="0"/>
          <w:sz w:val="32"/>
          <w:szCs w:val="32"/>
        </w:rPr>
      </w:pPr>
      <w:r w:rsidRPr="008F7885">
        <w:rPr>
          <w:rFonts w:ascii="標楷體" w:eastAsia="標楷體" w:hAnsi="標楷體" w:hint="eastAsia"/>
          <w:sz w:val="32"/>
          <w:szCs w:val="32"/>
        </w:rPr>
        <w:t>連署人：鄭正鈐  林奕華</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(二)112年度教育部第1目「一般行政」預算編列12億</w:t>
      </w:r>
      <w:r w:rsidRPr="008F7885">
        <w:rPr>
          <w:rFonts w:ascii="標楷體" w:eastAsia="標楷體" w:hAnsi="標楷體"/>
          <w:snapToGrid w:val="0"/>
          <w:sz w:val="32"/>
          <w:szCs w:val="32"/>
        </w:rPr>
        <w:t>4</w:t>
      </w:r>
      <w:r w:rsidRPr="008F7885">
        <w:rPr>
          <w:rFonts w:ascii="標楷體" w:eastAsia="標楷體" w:hAnsi="標楷體" w:hint="eastAsia"/>
          <w:snapToGrid w:val="0"/>
          <w:sz w:val="32"/>
          <w:szCs w:val="32"/>
        </w:rPr>
        <w:t>,</w:t>
      </w:r>
      <w:r w:rsidRPr="008F7885">
        <w:rPr>
          <w:rFonts w:ascii="標楷體" w:eastAsia="標楷體" w:hAnsi="標楷體"/>
          <w:snapToGrid w:val="0"/>
          <w:sz w:val="32"/>
          <w:szCs w:val="32"/>
        </w:rPr>
        <w:t>129</w:t>
      </w:r>
      <w:r w:rsidRPr="008F7885">
        <w:rPr>
          <w:rFonts w:ascii="標楷體" w:eastAsia="標楷體" w:hAnsi="標楷體" w:hint="eastAsia"/>
          <w:snapToGrid w:val="0"/>
          <w:sz w:val="32"/>
          <w:szCs w:val="32"/>
        </w:rPr>
        <w:t>萬元，凍結</w:t>
      </w:r>
      <w:r w:rsidRPr="008F7885">
        <w:rPr>
          <w:rFonts w:ascii="標楷體" w:eastAsia="標楷體" w:hAnsi="標楷體"/>
          <w:snapToGrid w:val="0"/>
          <w:sz w:val="32"/>
          <w:szCs w:val="32"/>
        </w:rPr>
        <w:t>1</w:t>
      </w:r>
      <w:r w:rsidRPr="008F7885">
        <w:rPr>
          <w:rFonts w:ascii="標楷體" w:eastAsia="標楷體" w:hAnsi="標楷體" w:hint="eastAsia"/>
          <w:snapToGrid w:val="0"/>
          <w:sz w:val="32"/>
          <w:szCs w:val="32"/>
        </w:rPr>
        <w:t>00萬元</w:t>
      </w:r>
      <w:r w:rsidRPr="008F7885">
        <w:rPr>
          <w:rFonts w:ascii="標楷體" w:eastAsia="標楷體" w:hAnsi="標楷體"/>
          <w:snapToGrid w:val="0"/>
          <w:sz w:val="32"/>
          <w:szCs w:val="32"/>
        </w:rPr>
        <w:t>，俟</w:t>
      </w:r>
      <w:r w:rsidRPr="008F7885">
        <w:rPr>
          <w:rFonts w:ascii="標楷體" w:eastAsia="標楷體" w:hAnsi="標楷體" w:hint="eastAsia"/>
          <w:snapToGrid w:val="0"/>
          <w:sz w:val="32"/>
          <w:szCs w:val="32"/>
        </w:rPr>
        <w:t>教育</w:t>
      </w:r>
      <w:r w:rsidRPr="008F7885">
        <w:rPr>
          <w:rFonts w:ascii="標楷體" w:eastAsia="標楷體" w:hAnsi="標楷體"/>
          <w:snapToGrid w:val="0"/>
          <w:sz w:val="32"/>
          <w:szCs w:val="32"/>
        </w:rPr>
        <w:t>部向立法院教育及文化委員會提出</w:t>
      </w:r>
      <w:r w:rsidRPr="008F7885">
        <w:rPr>
          <w:rFonts w:ascii="標楷體" w:eastAsia="標楷體" w:hAnsi="標楷體" w:hint="eastAsia"/>
          <w:snapToGrid w:val="0"/>
          <w:sz w:val="32"/>
          <w:szCs w:val="32"/>
        </w:rPr>
        <w:t>書面</w:t>
      </w:r>
      <w:r w:rsidRPr="008F7885">
        <w:rPr>
          <w:rFonts w:ascii="標楷體" w:eastAsia="標楷體" w:hAnsi="標楷體"/>
          <w:snapToGrid w:val="0"/>
          <w:sz w:val="32"/>
          <w:szCs w:val="32"/>
        </w:rPr>
        <w:t>報告後，始得動支。2-5</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提案人：林奕華  王婉諭  張廖萬堅</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連署人：鄭正鈐  吳怡玎  黃國書  陳秀寳</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 xml:space="preserve">        林宜瑾</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F7885">
        <w:rPr>
          <w:rFonts w:ascii="標楷體" w:eastAsia="標楷體" w:hAnsi="標楷體"/>
          <w:snapToGrid w:val="0"/>
          <w:sz w:val="32"/>
          <w:szCs w:val="32"/>
        </w:rPr>
        <w:t>(</w:t>
      </w:r>
      <w:r w:rsidRPr="008F7885">
        <w:rPr>
          <w:rFonts w:ascii="標楷體" w:eastAsia="標楷體" w:hAnsi="標楷體" w:hint="eastAsia"/>
          <w:snapToGrid w:val="0"/>
          <w:sz w:val="32"/>
          <w:szCs w:val="32"/>
        </w:rPr>
        <w:t>三</w:t>
      </w:r>
      <w:r w:rsidRPr="008F7885">
        <w:rPr>
          <w:rFonts w:ascii="標楷體" w:eastAsia="標楷體" w:hAnsi="標楷體"/>
          <w:snapToGrid w:val="0"/>
          <w:sz w:val="32"/>
          <w:szCs w:val="32"/>
        </w:rPr>
        <w:t>)</w:t>
      </w:r>
      <w:r w:rsidRPr="008F7885">
        <w:rPr>
          <w:rFonts w:ascii="標楷體" w:eastAsia="標楷體" w:hAnsi="標楷體" w:hint="eastAsia"/>
          <w:snapToGrid w:val="0"/>
          <w:sz w:val="32"/>
          <w:szCs w:val="32"/>
        </w:rPr>
        <w:t>11</w:t>
      </w:r>
      <w:r w:rsidRPr="008F7885">
        <w:rPr>
          <w:rFonts w:ascii="標楷體" w:eastAsia="標楷體" w:hAnsi="標楷體"/>
          <w:snapToGrid w:val="0"/>
          <w:sz w:val="32"/>
          <w:szCs w:val="32"/>
        </w:rPr>
        <w:t>2</w:t>
      </w:r>
      <w:r w:rsidRPr="008F7885">
        <w:rPr>
          <w:rFonts w:ascii="標楷體" w:eastAsia="標楷體" w:hAnsi="標楷體" w:hint="eastAsia"/>
          <w:snapToGrid w:val="0"/>
          <w:sz w:val="32"/>
          <w:szCs w:val="32"/>
        </w:rPr>
        <w:t>年度教育部第2目「高等教育」第1節「高等教育行政及督導」預算編列16</w:t>
      </w:r>
      <w:r w:rsidRPr="008F7885">
        <w:rPr>
          <w:rFonts w:ascii="標楷體" w:eastAsia="標楷體" w:hAnsi="標楷體"/>
          <w:snapToGrid w:val="0"/>
          <w:sz w:val="32"/>
          <w:szCs w:val="32"/>
        </w:rPr>
        <w:t>3</w:t>
      </w:r>
      <w:r w:rsidRPr="008F7885">
        <w:rPr>
          <w:rFonts w:ascii="標楷體" w:eastAsia="標楷體" w:hAnsi="標楷體" w:hint="eastAsia"/>
          <w:snapToGrid w:val="0"/>
          <w:sz w:val="32"/>
          <w:szCs w:val="32"/>
        </w:rPr>
        <w:t>億</w:t>
      </w:r>
      <w:r w:rsidRPr="008F7885">
        <w:rPr>
          <w:rFonts w:ascii="標楷體" w:eastAsia="標楷體" w:hAnsi="標楷體"/>
          <w:snapToGrid w:val="0"/>
          <w:sz w:val="32"/>
          <w:szCs w:val="32"/>
        </w:rPr>
        <w:t>4</w:t>
      </w:r>
      <w:r w:rsidRPr="008F7885">
        <w:rPr>
          <w:rFonts w:ascii="標楷體" w:eastAsia="標楷體" w:hAnsi="標楷體" w:hint="eastAsia"/>
          <w:snapToGrid w:val="0"/>
          <w:sz w:val="32"/>
          <w:szCs w:val="32"/>
        </w:rPr>
        <w:t>,</w:t>
      </w:r>
      <w:r w:rsidRPr="008F7885">
        <w:rPr>
          <w:rFonts w:ascii="標楷體" w:eastAsia="標楷體" w:hAnsi="標楷體"/>
          <w:snapToGrid w:val="0"/>
          <w:sz w:val="32"/>
          <w:szCs w:val="32"/>
        </w:rPr>
        <w:t>634</w:t>
      </w:r>
      <w:r w:rsidRPr="008F7885">
        <w:rPr>
          <w:rFonts w:ascii="標楷體" w:eastAsia="標楷體" w:hAnsi="標楷體" w:hint="eastAsia"/>
          <w:snapToGrid w:val="0"/>
          <w:sz w:val="32"/>
          <w:szCs w:val="32"/>
        </w:rPr>
        <w:t>萬</w:t>
      </w:r>
      <w:r w:rsidRPr="008F7885">
        <w:rPr>
          <w:rFonts w:ascii="標楷體" w:eastAsia="標楷體" w:hAnsi="標楷體"/>
          <w:snapToGrid w:val="0"/>
          <w:sz w:val="32"/>
          <w:szCs w:val="32"/>
        </w:rPr>
        <w:t>7</w:t>
      </w:r>
      <w:r w:rsidRPr="008F7885">
        <w:rPr>
          <w:rFonts w:ascii="標楷體" w:eastAsia="標楷體" w:hAnsi="標楷體" w:hint="eastAsia"/>
          <w:snapToGrid w:val="0"/>
          <w:sz w:val="32"/>
          <w:szCs w:val="32"/>
        </w:rPr>
        <w:t>千元，凍結</w:t>
      </w:r>
      <w:r w:rsidRPr="008F7885">
        <w:rPr>
          <w:rFonts w:ascii="標楷體" w:eastAsia="標楷體" w:hAnsi="標楷體"/>
          <w:snapToGrid w:val="0"/>
          <w:sz w:val="32"/>
          <w:szCs w:val="32"/>
        </w:rPr>
        <w:t>6,</w:t>
      </w:r>
      <w:r w:rsidRPr="008F7885">
        <w:rPr>
          <w:rFonts w:ascii="標楷體" w:eastAsia="標楷體" w:hAnsi="標楷體" w:hint="eastAsia"/>
          <w:snapToGrid w:val="0"/>
          <w:sz w:val="32"/>
          <w:szCs w:val="32"/>
        </w:rPr>
        <w:t>00</w:t>
      </w:r>
      <w:r w:rsidRPr="008F7885">
        <w:rPr>
          <w:rFonts w:ascii="標楷體" w:eastAsia="標楷體" w:hAnsi="標楷體"/>
          <w:snapToGrid w:val="0"/>
          <w:sz w:val="32"/>
          <w:szCs w:val="32"/>
        </w:rPr>
        <w:t>0</w:t>
      </w:r>
      <w:r w:rsidRPr="008F7885">
        <w:rPr>
          <w:rFonts w:ascii="標楷體" w:eastAsia="標楷體" w:hAnsi="標楷體" w:hint="eastAsia"/>
          <w:snapToGrid w:val="0"/>
          <w:sz w:val="32"/>
          <w:szCs w:val="32"/>
        </w:rPr>
        <w:t>萬元，俟教育部向立法院教育及文化委員會提出書面報告後，始</w:t>
      </w:r>
      <w:r w:rsidRPr="008F7885">
        <w:rPr>
          <w:rFonts w:ascii="標楷體" w:eastAsia="標楷體" w:hAnsi="標楷體" w:hint="eastAsia"/>
          <w:snapToGrid w:val="0"/>
          <w:sz w:val="32"/>
          <w:szCs w:val="32"/>
        </w:rPr>
        <w:lastRenderedPageBreak/>
        <w:t>得動支</w:t>
      </w:r>
      <w:r w:rsidRPr="008F7885">
        <w:rPr>
          <w:rFonts w:ascii="標楷體" w:eastAsia="標楷體" w:hAnsi="標楷體"/>
          <w:snapToGrid w:val="0"/>
          <w:sz w:val="32"/>
          <w:szCs w:val="32"/>
        </w:rPr>
        <w:t>。</w:t>
      </w:r>
      <w:r w:rsidRPr="008F7885">
        <w:rPr>
          <w:rFonts w:ascii="標楷體" w:eastAsia="標楷體" w:hAnsi="標楷體" w:hint="eastAsia"/>
          <w:snapToGrid w:val="0"/>
          <w:sz w:val="32"/>
          <w:szCs w:val="32"/>
        </w:rPr>
        <w:t>6-5</w:t>
      </w:r>
      <w:r w:rsidRPr="008F7885">
        <w:rPr>
          <w:rFonts w:ascii="標楷體" w:eastAsia="標楷體" w:hAnsi="標楷體"/>
          <w:snapToGrid w:val="0"/>
          <w:sz w:val="32"/>
          <w:szCs w:val="32"/>
        </w:rPr>
        <w:t>7</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提案人：鄭正鈐  王婉諭  陳秀寳  黃國書</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 xml:space="preserve">        萬美玲  何欣純  林奕華  賴品妤</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 xml:space="preserve">        林宜瑾  范  雲  吳怡玎 張廖萬堅</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highlight w:val="yellow"/>
        </w:rPr>
      </w:pPr>
      <w:r w:rsidRPr="008F7885">
        <w:rPr>
          <w:rFonts w:ascii="標楷體" w:eastAsia="標楷體" w:hAnsi="標楷體" w:hint="eastAsia"/>
          <w:sz w:val="32"/>
          <w:szCs w:val="32"/>
        </w:rPr>
        <w:t xml:space="preserve">        吳思瑤 伍麗華</w:t>
      </w:r>
      <w:r w:rsidRPr="008F7885">
        <w:rPr>
          <w:rFonts w:ascii="標楷體" w:eastAsia="標楷體" w:hAnsi="標楷體"/>
          <w:sz w:val="32"/>
          <w:szCs w:val="32"/>
        </w:rPr>
        <w:t>Saidhai Tahovecahe</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F7885">
        <w:rPr>
          <w:rFonts w:ascii="標楷體" w:eastAsia="標楷體" w:hAnsi="標楷體"/>
          <w:snapToGrid w:val="0"/>
          <w:sz w:val="32"/>
          <w:szCs w:val="32"/>
        </w:rPr>
        <w:t>(</w:t>
      </w:r>
      <w:r w:rsidRPr="008F7885">
        <w:rPr>
          <w:rFonts w:ascii="標楷體" w:eastAsia="標楷體" w:hAnsi="標楷體" w:hint="eastAsia"/>
          <w:snapToGrid w:val="0"/>
          <w:sz w:val="32"/>
          <w:szCs w:val="32"/>
        </w:rPr>
        <w:t>四</w:t>
      </w:r>
      <w:r w:rsidRPr="008F7885">
        <w:rPr>
          <w:rFonts w:ascii="標楷體" w:eastAsia="標楷體" w:hAnsi="標楷體"/>
          <w:snapToGrid w:val="0"/>
          <w:sz w:val="32"/>
          <w:szCs w:val="32"/>
        </w:rPr>
        <w:t>)</w:t>
      </w:r>
      <w:r w:rsidRPr="008F7885">
        <w:rPr>
          <w:rFonts w:ascii="標楷體" w:eastAsia="標楷體" w:hAnsi="標楷體" w:hint="eastAsia"/>
          <w:snapToGrid w:val="0"/>
          <w:sz w:val="32"/>
          <w:szCs w:val="32"/>
        </w:rPr>
        <w:t>11</w:t>
      </w:r>
      <w:r w:rsidRPr="008F7885">
        <w:rPr>
          <w:rFonts w:ascii="標楷體" w:eastAsia="標楷體" w:hAnsi="標楷體"/>
          <w:snapToGrid w:val="0"/>
          <w:sz w:val="32"/>
          <w:szCs w:val="32"/>
        </w:rPr>
        <w:t>2</w:t>
      </w:r>
      <w:r w:rsidRPr="008F7885">
        <w:rPr>
          <w:rFonts w:ascii="標楷體" w:eastAsia="標楷體" w:hAnsi="標楷體" w:hint="eastAsia"/>
          <w:snapToGrid w:val="0"/>
          <w:sz w:val="32"/>
          <w:szCs w:val="32"/>
        </w:rPr>
        <w:t>年度教育部第2目「高等教育」第2節「技術職業教育行政及督導」預算編列93億6,</w:t>
      </w:r>
      <w:r w:rsidRPr="008F7885">
        <w:rPr>
          <w:rFonts w:ascii="標楷體" w:eastAsia="標楷體" w:hAnsi="標楷體"/>
          <w:snapToGrid w:val="0"/>
          <w:sz w:val="32"/>
          <w:szCs w:val="32"/>
        </w:rPr>
        <w:t>698</w:t>
      </w:r>
      <w:r w:rsidRPr="008F7885">
        <w:rPr>
          <w:rFonts w:ascii="標楷體" w:eastAsia="標楷體" w:hAnsi="標楷體" w:hint="eastAsia"/>
          <w:snapToGrid w:val="0"/>
          <w:sz w:val="32"/>
          <w:szCs w:val="32"/>
        </w:rPr>
        <w:t>萬元，凍結2</w:t>
      </w:r>
      <w:r w:rsidRPr="008F7885">
        <w:rPr>
          <w:rFonts w:ascii="標楷體" w:eastAsia="標楷體" w:hAnsi="標楷體"/>
          <w:snapToGrid w:val="0"/>
          <w:sz w:val="32"/>
          <w:szCs w:val="32"/>
        </w:rPr>
        <w:t>,0</w:t>
      </w:r>
      <w:r w:rsidRPr="008F7885">
        <w:rPr>
          <w:rFonts w:ascii="標楷體" w:eastAsia="標楷體" w:hAnsi="標楷體" w:hint="eastAsia"/>
          <w:snapToGrid w:val="0"/>
          <w:sz w:val="32"/>
          <w:szCs w:val="32"/>
        </w:rPr>
        <w:t>00萬元</w:t>
      </w:r>
      <w:r w:rsidRPr="008F7885">
        <w:rPr>
          <w:rFonts w:ascii="標楷體" w:eastAsia="標楷體" w:hAnsi="標楷體"/>
          <w:snapToGrid w:val="0"/>
          <w:sz w:val="32"/>
          <w:szCs w:val="32"/>
        </w:rPr>
        <w:t>，俟</w:t>
      </w:r>
      <w:r w:rsidRPr="008F7885">
        <w:rPr>
          <w:rFonts w:ascii="標楷體" w:eastAsia="標楷體" w:hAnsi="標楷體" w:hint="eastAsia"/>
          <w:snapToGrid w:val="0"/>
          <w:sz w:val="32"/>
          <w:szCs w:val="32"/>
        </w:rPr>
        <w:t>教育</w:t>
      </w:r>
      <w:r w:rsidRPr="008F7885">
        <w:rPr>
          <w:rFonts w:ascii="標楷體" w:eastAsia="標楷體" w:hAnsi="標楷體"/>
          <w:snapToGrid w:val="0"/>
          <w:sz w:val="32"/>
          <w:szCs w:val="32"/>
        </w:rPr>
        <w:t>部向立法院教育及文化委員會提出</w:t>
      </w:r>
      <w:r w:rsidRPr="008F7885">
        <w:rPr>
          <w:rFonts w:ascii="標楷體" w:eastAsia="標楷體" w:hAnsi="標楷體" w:hint="eastAsia"/>
          <w:snapToGrid w:val="0"/>
          <w:sz w:val="32"/>
          <w:szCs w:val="32"/>
        </w:rPr>
        <w:t>書面</w:t>
      </w:r>
      <w:r w:rsidRPr="008F7885">
        <w:rPr>
          <w:rFonts w:ascii="標楷體" w:eastAsia="標楷體" w:hAnsi="標楷體"/>
          <w:snapToGrid w:val="0"/>
          <w:sz w:val="32"/>
          <w:szCs w:val="32"/>
        </w:rPr>
        <w:t>報告後，始得動支。</w:t>
      </w:r>
      <w:r w:rsidRPr="008F7885">
        <w:rPr>
          <w:rFonts w:ascii="標楷體" w:eastAsia="標楷體" w:hAnsi="標楷體" w:hint="eastAsia"/>
          <w:snapToGrid w:val="0"/>
          <w:sz w:val="32"/>
          <w:szCs w:val="32"/>
        </w:rPr>
        <w:t>59-86</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提案人：鄭正鈐  萬美玲  陳秀寳  林奕華</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 xml:space="preserve">        賴品妤  吳思瑤  黃國書  林宜瑾</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 xml:space="preserve">        范  雲  何欣純  吳怡玎 張廖萬堅</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 xml:space="preserve">        王婉諭 伍麗華Saidhai Tahovecahe        </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連署人：高金素梅</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F7885">
        <w:rPr>
          <w:rFonts w:ascii="標楷體" w:eastAsia="標楷體" w:hAnsi="標楷體"/>
          <w:snapToGrid w:val="0"/>
          <w:sz w:val="32"/>
          <w:szCs w:val="32"/>
        </w:rPr>
        <w:t>(</w:t>
      </w:r>
      <w:r w:rsidRPr="008F7885">
        <w:rPr>
          <w:rFonts w:ascii="標楷體" w:eastAsia="標楷體" w:hAnsi="標楷體" w:hint="eastAsia"/>
          <w:snapToGrid w:val="0"/>
          <w:sz w:val="32"/>
          <w:szCs w:val="32"/>
        </w:rPr>
        <w:t>五</w:t>
      </w:r>
      <w:r w:rsidRPr="008F7885">
        <w:rPr>
          <w:rFonts w:ascii="標楷體" w:eastAsia="標楷體" w:hAnsi="標楷體"/>
          <w:snapToGrid w:val="0"/>
          <w:sz w:val="32"/>
          <w:szCs w:val="32"/>
        </w:rPr>
        <w:t>)</w:t>
      </w:r>
      <w:r w:rsidRPr="008F7885">
        <w:rPr>
          <w:rFonts w:ascii="標楷體" w:eastAsia="標楷體" w:hAnsi="標楷體" w:hint="eastAsia"/>
          <w:snapToGrid w:val="0"/>
          <w:sz w:val="32"/>
          <w:szCs w:val="32"/>
        </w:rPr>
        <w:t>11</w:t>
      </w:r>
      <w:r w:rsidRPr="008F7885">
        <w:rPr>
          <w:rFonts w:ascii="標楷體" w:eastAsia="標楷體" w:hAnsi="標楷體"/>
          <w:snapToGrid w:val="0"/>
          <w:sz w:val="32"/>
          <w:szCs w:val="32"/>
        </w:rPr>
        <w:t>2</w:t>
      </w:r>
      <w:r w:rsidRPr="008F7885">
        <w:rPr>
          <w:rFonts w:ascii="標楷體" w:eastAsia="標楷體" w:hAnsi="標楷體" w:hint="eastAsia"/>
          <w:snapToGrid w:val="0"/>
          <w:sz w:val="32"/>
          <w:szCs w:val="32"/>
        </w:rPr>
        <w:t>年度教育部第</w:t>
      </w:r>
      <w:r w:rsidRPr="008F7885">
        <w:rPr>
          <w:rFonts w:ascii="標楷體" w:eastAsia="標楷體" w:hAnsi="標楷體"/>
          <w:snapToGrid w:val="0"/>
          <w:sz w:val="32"/>
          <w:szCs w:val="32"/>
        </w:rPr>
        <w:t>3</w:t>
      </w:r>
      <w:r w:rsidRPr="008F7885">
        <w:rPr>
          <w:rFonts w:ascii="標楷體" w:eastAsia="標楷體" w:hAnsi="標楷體" w:hint="eastAsia"/>
          <w:snapToGrid w:val="0"/>
          <w:sz w:val="32"/>
          <w:szCs w:val="32"/>
        </w:rPr>
        <w:t>目「中等教育」預算編列1</w:t>
      </w:r>
      <w:r w:rsidRPr="008F7885">
        <w:rPr>
          <w:rFonts w:ascii="標楷體" w:eastAsia="標楷體" w:hAnsi="標楷體"/>
          <w:snapToGrid w:val="0"/>
          <w:sz w:val="32"/>
          <w:szCs w:val="32"/>
        </w:rPr>
        <w:t>6</w:t>
      </w:r>
      <w:r w:rsidRPr="008F7885">
        <w:rPr>
          <w:rFonts w:ascii="標楷體" w:eastAsia="標楷體" w:hAnsi="標楷體" w:hint="eastAsia"/>
          <w:snapToGrid w:val="0"/>
          <w:sz w:val="32"/>
          <w:szCs w:val="32"/>
        </w:rPr>
        <w:t>億</w:t>
      </w:r>
      <w:r w:rsidRPr="008F7885">
        <w:rPr>
          <w:rFonts w:ascii="標楷體" w:eastAsia="標楷體" w:hAnsi="標楷體"/>
          <w:snapToGrid w:val="0"/>
          <w:sz w:val="32"/>
          <w:szCs w:val="32"/>
        </w:rPr>
        <w:t>2</w:t>
      </w:r>
      <w:r w:rsidRPr="008F7885">
        <w:rPr>
          <w:rFonts w:ascii="標楷體" w:eastAsia="標楷體" w:hAnsi="標楷體" w:hint="eastAsia"/>
          <w:snapToGrid w:val="0"/>
          <w:sz w:val="32"/>
          <w:szCs w:val="32"/>
        </w:rPr>
        <w:t>,</w:t>
      </w:r>
      <w:r w:rsidRPr="008F7885">
        <w:rPr>
          <w:rFonts w:ascii="標楷體" w:eastAsia="標楷體" w:hAnsi="標楷體"/>
          <w:snapToGrid w:val="0"/>
          <w:sz w:val="32"/>
          <w:szCs w:val="32"/>
        </w:rPr>
        <w:t>320</w:t>
      </w:r>
      <w:r w:rsidRPr="008F7885">
        <w:rPr>
          <w:rFonts w:ascii="標楷體" w:eastAsia="標楷體" w:hAnsi="標楷體" w:hint="eastAsia"/>
          <w:snapToGrid w:val="0"/>
          <w:sz w:val="32"/>
          <w:szCs w:val="32"/>
        </w:rPr>
        <w:t>萬元，凍結</w:t>
      </w:r>
      <w:r w:rsidRPr="008F7885">
        <w:rPr>
          <w:rFonts w:ascii="標楷體" w:eastAsia="標楷體" w:hAnsi="標楷體"/>
          <w:snapToGrid w:val="0"/>
          <w:sz w:val="32"/>
          <w:szCs w:val="32"/>
        </w:rPr>
        <w:t>200</w:t>
      </w:r>
      <w:r w:rsidRPr="008F7885">
        <w:rPr>
          <w:rFonts w:ascii="標楷體" w:eastAsia="標楷體" w:hAnsi="標楷體" w:hint="eastAsia"/>
          <w:snapToGrid w:val="0"/>
          <w:sz w:val="32"/>
          <w:szCs w:val="32"/>
        </w:rPr>
        <w:t>萬元</w:t>
      </w:r>
      <w:r w:rsidRPr="008F7885">
        <w:rPr>
          <w:rFonts w:ascii="標楷體" w:eastAsia="標楷體" w:hAnsi="標楷體"/>
          <w:snapToGrid w:val="0"/>
          <w:sz w:val="32"/>
          <w:szCs w:val="32"/>
        </w:rPr>
        <w:t>，俟</w:t>
      </w:r>
      <w:r w:rsidRPr="008F7885">
        <w:rPr>
          <w:rFonts w:ascii="標楷體" w:eastAsia="標楷體" w:hAnsi="標楷體" w:hint="eastAsia"/>
          <w:snapToGrid w:val="0"/>
          <w:sz w:val="32"/>
          <w:szCs w:val="32"/>
        </w:rPr>
        <w:t>教育</w:t>
      </w:r>
      <w:r w:rsidRPr="008F7885">
        <w:rPr>
          <w:rFonts w:ascii="標楷體" w:eastAsia="標楷體" w:hAnsi="標楷體"/>
          <w:snapToGrid w:val="0"/>
          <w:sz w:val="32"/>
          <w:szCs w:val="32"/>
        </w:rPr>
        <w:t>部向立法院教育及文化委員會提出</w:t>
      </w:r>
      <w:r w:rsidRPr="008F7885">
        <w:rPr>
          <w:rFonts w:ascii="標楷體" w:eastAsia="標楷體" w:hAnsi="標楷體" w:hint="eastAsia"/>
          <w:snapToGrid w:val="0"/>
          <w:sz w:val="32"/>
          <w:szCs w:val="32"/>
        </w:rPr>
        <w:t>書面</w:t>
      </w:r>
      <w:r w:rsidRPr="008F7885">
        <w:rPr>
          <w:rFonts w:ascii="標楷體" w:eastAsia="標楷體" w:hAnsi="標楷體"/>
          <w:snapToGrid w:val="0"/>
          <w:sz w:val="32"/>
          <w:szCs w:val="32"/>
        </w:rPr>
        <w:t>報告後，始得動支。</w:t>
      </w:r>
      <w:r w:rsidRPr="008F7885">
        <w:rPr>
          <w:rFonts w:ascii="標楷體" w:eastAsia="標楷體" w:hAnsi="標楷體" w:hint="eastAsia"/>
          <w:snapToGrid w:val="0"/>
          <w:sz w:val="32"/>
          <w:szCs w:val="32"/>
        </w:rPr>
        <w:t>8</w:t>
      </w:r>
      <w:r w:rsidRPr="008F7885">
        <w:rPr>
          <w:rFonts w:ascii="標楷體" w:eastAsia="標楷體" w:hAnsi="標楷體"/>
          <w:snapToGrid w:val="0"/>
          <w:sz w:val="32"/>
          <w:szCs w:val="32"/>
        </w:rPr>
        <w:t>7-101</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提案人：鄭正鈐  范  雲  陳秀寳  林宜瑾</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 xml:space="preserve">        林奕華  萬美玲  賴品妤  黃國書</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 xml:space="preserve">        吳思瑤  王婉諭</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 xml:space="preserve">        伍麗華Saidhai Tahovecahe</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連署人：吳怡玎  張廖萬堅</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F7885">
        <w:rPr>
          <w:rFonts w:ascii="標楷體" w:eastAsia="標楷體" w:hAnsi="標楷體"/>
          <w:snapToGrid w:val="0"/>
          <w:sz w:val="32"/>
          <w:szCs w:val="32"/>
        </w:rPr>
        <w:t>(</w:t>
      </w:r>
      <w:r w:rsidRPr="008F7885">
        <w:rPr>
          <w:rFonts w:ascii="標楷體" w:eastAsia="標楷體" w:hAnsi="標楷體" w:hint="eastAsia"/>
          <w:snapToGrid w:val="0"/>
          <w:sz w:val="32"/>
          <w:szCs w:val="32"/>
        </w:rPr>
        <w:t>六</w:t>
      </w:r>
      <w:r w:rsidRPr="008F7885">
        <w:rPr>
          <w:rFonts w:ascii="標楷體" w:eastAsia="標楷體" w:hAnsi="標楷體"/>
          <w:snapToGrid w:val="0"/>
          <w:sz w:val="32"/>
          <w:szCs w:val="32"/>
        </w:rPr>
        <w:t>)</w:t>
      </w:r>
      <w:r w:rsidRPr="008F7885">
        <w:rPr>
          <w:rFonts w:ascii="標楷體" w:eastAsia="標楷體" w:hAnsi="標楷體" w:hint="eastAsia"/>
          <w:snapToGrid w:val="0"/>
          <w:sz w:val="32"/>
          <w:szCs w:val="32"/>
        </w:rPr>
        <w:t>112年度教育部第</w:t>
      </w:r>
      <w:r w:rsidRPr="008F7885">
        <w:rPr>
          <w:rFonts w:ascii="標楷體" w:eastAsia="標楷體" w:hAnsi="標楷體"/>
          <w:snapToGrid w:val="0"/>
          <w:sz w:val="32"/>
          <w:szCs w:val="32"/>
        </w:rPr>
        <w:t>4</w:t>
      </w:r>
      <w:r w:rsidRPr="008F7885">
        <w:rPr>
          <w:rFonts w:ascii="標楷體" w:eastAsia="標楷體" w:hAnsi="標楷體" w:hint="eastAsia"/>
          <w:snapToGrid w:val="0"/>
          <w:sz w:val="32"/>
          <w:szCs w:val="32"/>
        </w:rPr>
        <w:t>目「終身教育」預算編列2</w:t>
      </w:r>
      <w:r w:rsidRPr="008F7885">
        <w:rPr>
          <w:rFonts w:ascii="標楷體" w:eastAsia="標楷體" w:hAnsi="標楷體"/>
          <w:snapToGrid w:val="0"/>
          <w:sz w:val="32"/>
          <w:szCs w:val="32"/>
        </w:rPr>
        <w:t>7</w:t>
      </w:r>
      <w:r w:rsidRPr="008F7885">
        <w:rPr>
          <w:rFonts w:ascii="標楷體" w:eastAsia="標楷體" w:hAnsi="標楷體" w:hint="eastAsia"/>
          <w:snapToGrid w:val="0"/>
          <w:sz w:val="32"/>
          <w:szCs w:val="32"/>
        </w:rPr>
        <w:t>億</w:t>
      </w:r>
      <w:r w:rsidRPr="008F7885">
        <w:rPr>
          <w:rFonts w:ascii="標楷體" w:eastAsia="標楷體" w:hAnsi="標楷體"/>
          <w:snapToGrid w:val="0"/>
          <w:sz w:val="32"/>
          <w:szCs w:val="32"/>
        </w:rPr>
        <w:t>2</w:t>
      </w:r>
      <w:r w:rsidRPr="008F7885">
        <w:rPr>
          <w:rFonts w:ascii="標楷體" w:eastAsia="標楷體" w:hAnsi="標楷體" w:hint="eastAsia"/>
          <w:snapToGrid w:val="0"/>
          <w:sz w:val="32"/>
          <w:szCs w:val="32"/>
        </w:rPr>
        <w:t>,</w:t>
      </w:r>
      <w:r w:rsidRPr="008F7885">
        <w:rPr>
          <w:rFonts w:ascii="標楷體" w:eastAsia="標楷體" w:hAnsi="標楷體"/>
          <w:snapToGrid w:val="0"/>
          <w:sz w:val="32"/>
          <w:szCs w:val="32"/>
        </w:rPr>
        <w:t>933</w:t>
      </w:r>
      <w:r w:rsidRPr="008F7885">
        <w:rPr>
          <w:rFonts w:ascii="標楷體" w:eastAsia="標楷體" w:hAnsi="標楷體" w:hint="eastAsia"/>
          <w:snapToGrid w:val="0"/>
          <w:sz w:val="32"/>
          <w:szCs w:val="32"/>
        </w:rPr>
        <w:t>萬7千元，凍結100萬元，俟教育部向立法院教育及文化委員會提出書面報告後，始得動支。1</w:t>
      </w:r>
      <w:r w:rsidRPr="008F7885">
        <w:rPr>
          <w:rFonts w:ascii="標楷體" w:eastAsia="標楷體" w:hAnsi="標楷體"/>
          <w:snapToGrid w:val="0"/>
          <w:sz w:val="32"/>
          <w:szCs w:val="32"/>
        </w:rPr>
        <w:t>02-114</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提案人：黃國書  林宜瑾  鄭正鈐  陳秀寳</w:t>
      </w:r>
    </w:p>
    <w:p w:rsidR="00273897" w:rsidRPr="008F7885" w:rsidRDefault="00273897" w:rsidP="00273897">
      <w:pPr>
        <w:snapToGrid w:val="0"/>
        <w:spacing w:line="460" w:lineRule="exact"/>
        <w:ind w:leftChars="1650" w:left="3960" w:firstLineChars="100" w:firstLine="320"/>
        <w:jc w:val="both"/>
        <w:rPr>
          <w:rFonts w:ascii="標楷體" w:eastAsia="標楷體" w:hAnsi="標楷體"/>
          <w:sz w:val="32"/>
          <w:szCs w:val="32"/>
        </w:rPr>
      </w:pPr>
      <w:r w:rsidRPr="008F7885">
        <w:rPr>
          <w:rFonts w:ascii="標楷體" w:eastAsia="標楷體" w:hAnsi="標楷體" w:hint="eastAsia"/>
          <w:sz w:val="32"/>
          <w:szCs w:val="32"/>
        </w:rPr>
        <w:t>林奕華  萬美玲  何欣純 張廖萬堅</w:t>
      </w:r>
    </w:p>
    <w:p w:rsidR="00273897" w:rsidRPr="008F7885" w:rsidRDefault="00273897" w:rsidP="00273897">
      <w:pPr>
        <w:snapToGrid w:val="0"/>
        <w:spacing w:line="460" w:lineRule="exact"/>
        <w:ind w:leftChars="1650" w:left="3960" w:firstLineChars="100" w:firstLine="320"/>
        <w:jc w:val="both"/>
        <w:rPr>
          <w:rFonts w:ascii="標楷體" w:eastAsia="標楷體" w:hAnsi="標楷體"/>
          <w:sz w:val="32"/>
          <w:szCs w:val="32"/>
        </w:rPr>
      </w:pPr>
      <w:r w:rsidRPr="008F7885">
        <w:rPr>
          <w:rFonts w:ascii="標楷體" w:eastAsia="標楷體" w:hAnsi="標楷體" w:hint="eastAsia"/>
          <w:sz w:val="32"/>
          <w:szCs w:val="32"/>
        </w:rPr>
        <w:t>范  雲</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連署人：吳怡玎  吳思瑤</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lastRenderedPageBreak/>
        <w:t>(七)11</w:t>
      </w:r>
      <w:r w:rsidRPr="008F7885">
        <w:rPr>
          <w:rFonts w:ascii="標楷體" w:eastAsia="標楷體" w:hAnsi="標楷體"/>
          <w:snapToGrid w:val="0"/>
          <w:sz w:val="32"/>
          <w:szCs w:val="32"/>
        </w:rPr>
        <w:t>2</w:t>
      </w:r>
      <w:r w:rsidRPr="008F7885">
        <w:rPr>
          <w:rFonts w:ascii="標楷體" w:eastAsia="標楷體" w:hAnsi="標楷體" w:hint="eastAsia"/>
          <w:snapToGrid w:val="0"/>
          <w:sz w:val="32"/>
          <w:szCs w:val="32"/>
        </w:rPr>
        <w:t>年度教育部第</w:t>
      </w:r>
      <w:r w:rsidRPr="008F7885">
        <w:rPr>
          <w:rFonts w:ascii="標楷體" w:eastAsia="標楷體" w:hAnsi="標楷體"/>
          <w:snapToGrid w:val="0"/>
          <w:sz w:val="32"/>
          <w:szCs w:val="32"/>
        </w:rPr>
        <w:t>5</w:t>
      </w:r>
      <w:r w:rsidRPr="008F7885">
        <w:rPr>
          <w:rFonts w:ascii="標楷體" w:eastAsia="標楷體" w:hAnsi="標楷體" w:hint="eastAsia"/>
          <w:snapToGrid w:val="0"/>
          <w:sz w:val="32"/>
          <w:szCs w:val="32"/>
        </w:rPr>
        <w:t>目「學務與輔導」預算編列</w:t>
      </w:r>
      <w:r w:rsidRPr="008F7885">
        <w:rPr>
          <w:rFonts w:ascii="標楷體" w:eastAsia="標楷體" w:hAnsi="標楷體"/>
          <w:snapToGrid w:val="0"/>
          <w:sz w:val="32"/>
          <w:szCs w:val="32"/>
        </w:rPr>
        <w:t>22</w:t>
      </w:r>
      <w:r w:rsidRPr="008F7885">
        <w:rPr>
          <w:rFonts w:ascii="標楷體" w:eastAsia="標楷體" w:hAnsi="標楷體" w:hint="eastAsia"/>
          <w:snapToGrid w:val="0"/>
          <w:sz w:val="32"/>
          <w:szCs w:val="32"/>
        </w:rPr>
        <w:t>億</w:t>
      </w:r>
      <w:r w:rsidRPr="008F7885">
        <w:rPr>
          <w:rFonts w:ascii="標楷體" w:eastAsia="標楷體" w:hAnsi="標楷體"/>
          <w:snapToGrid w:val="0"/>
          <w:sz w:val="32"/>
          <w:szCs w:val="32"/>
        </w:rPr>
        <w:t>1</w:t>
      </w:r>
      <w:r w:rsidRPr="008F7885">
        <w:rPr>
          <w:rFonts w:ascii="標楷體" w:eastAsia="標楷體" w:hAnsi="標楷體" w:hint="eastAsia"/>
          <w:snapToGrid w:val="0"/>
          <w:sz w:val="32"/>
          <w:szCs w:val="32"/>
        </w:rPr>
        <w:t>,</w:t>
      </w:r>
      <w:r w:rsidRPr="008F7885">
        <w:rPr>
          <w:rFonts w:ascii="標楷體" w:eastAsia="標楷體" w:hAnsi="標楷體"/>
          <w:snapToGrid w:val="0"/>
          <w:sz w:val="32"/>
          <w:szCs w:val="32"/>
        </w:rPr>
        <w:t>612</w:t>
      </w:r>
      <w:r w:rsidRPr="008F7885">
        <w:rPr>
          <w:rFonts w:ascii="標楷體" w:eastAsia="標楷體" w:hAnsi="標楷體" w:hint="eastAsia"/>
          <w:snapToGrid w:val="0"/>
          <w:sz w:val="32"/>
          <w:szCs w:val="32"/>
        </w:rPr>
        <w:t>萬</w:t>
      </w:r>
      <w:r w:rsidRPr="008F7885">
        <w:rPr>
          <w:rFonts w:ascii="標楷體" w:eastAsia="標楷體" w:hAnsi="標楷體"/>
          <w:snapToGrid w:val="0"/>
          <w:sz w:val="32"/>
          <w:szCs w:val="32"/>
        </w:rPr>
        <w:t>3</w:t>
      </w:r>
      <w:r w:rsidRPr="008F7885">
        <w:rPr>
          <w:rFonts w:ascii="標楷體" w:eastAsia="標楷體" w:hAnsi="標楷體" w:hint="eastAsia"/>
          <w:snapToGrid w:val="0"/>
          <w:sz w:val="32"/>
          <w:szCs w:val="32"/>
        </w:rPr>
        <w:t>千元，凍結</w:t>
      </w:r>
      <w:r w:rsidRPr="008F7885">
        <w:rPr>
          <w:rFonts w:ascii="標楷體" w:eastAsia="標楷體" w:hAnsi="標楷體"/>
          <w:snapToGrid w:val="0"/>
          <w:sz w:val="32"/>
          <w:szCs w:val="32"/>
        </w:rPr>
        <w:t>200</w:t>
      </w:r>
      <w:r w:rsidRPr="008F7885">
        <w:rPr>
          <w:rFonts w:ascii="標楷體" w:eastAsia="標楷體" w:hAnsi="標楷體" w:hint="eastAsia"/>
          <w:snapToGrid w:val="0"/>
          <w:sz w:val="32"/>
          <w:szCs w:val="32"/>
        </w:rPr>
        <w:t>萬元</w:t>
      </w:r>
      <w:r w:rsidRPr="008F7885">
        <w:rPr>
          <w:rFonts w:ascii="標楷體" w:eastAsia="標楷體" w:hAnsi="標楷體"/>
          <w:snapToGrid w:val="0"/>
          <w:sz w:val="32"/>
          <w:szCs w:val="32"/>
        </w:rPr>
        <w:t>，俟</w:t>
      </w:r>
      <w:r w:rsidRPr="008F7885">
        <w:rPr>
          <w:rFonts w:ascii="標楷體" w:eastAsia="標楷體" w:hAnsi="標楷體" w:hint="eastAsia"/>
          <w:snapToGrid w:val="0"/>
          <w:sz w:val="32"/>
          <w:szCs w:val="32"/>
        </w:rPr>
        <w:t>教育</w:t>
      </w:r>
      <w:r w:rsidRPr="008F7885">
        <w:rPr>
          <w:rFonts w:ascii="標楷體" w:eastAsia="標楷體" w:hAnsi="標楷體"/>
          <w:snapToGrid w:val="0"/>
          <w:sz w:val="32"/>
          <w:szCs w:val="32"/>
        </w:rPr>
        <w:t>部向立法院教育及文化委員會提出</w:t>
      </w:r>
      <w:r w:rsidRPr="008F7885">
        <w:rPr>
          <w:rFonts w:ascii="標楷體" w:eastAsia="標楷體" w:hAnsi="標楷體" w:hint="eastAsia"/>
          <w:snapToGrid w:val="0"/>
          <w:sz w:val="32"/>
          <w:szCs w:val="32"/>
        </w:rPr>
        <w:t>書面</w:t>
      </w:r>
      <w:r w:rsidRPr="008F7885">
        <w:rPr>
          <w:rFonts w:ascii="標楷體" w:eastAsia="標楷體" w:hAnsi="標楷體"/>
          <w:snapToGrid w:val="0"/>
          <w:sz w:val="32"/>
          <w:szCs w:val="32"/>
        </w:rPr>
        <w:t>報告後，始得動支。</w:t>
      </w:r>
      <w:r w:rsidRPr="008F7885">
        <w:rPr>
          <w:rFonts w:ascii="標楷體" w:eastAsia="標楷體" w:hAnsi="標楷體" w:hint="eastAsia"/>
          <w:snapToGrid w:val="0"/>
          <w:sz w:val="32"/>
          <w:szCs w:val="32"/>
        </w:rPr>
        <w:t>1</w:t>
      </w:r>
      <w:r w:rsidRPr="008F7885">
        <w:rPr>
          <w:rFonts w:ascii="標楷體" w:eastAsia="標楷體" w:hAnsi="標楷體"/>
          <w:snapToGrid w:val="0"/>
          <w:sz w:val="32"/>
          <w:szCs w:val="32"/>
        </w:rPr>
        <w:t>15-140</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提案人：鄭正鈐  范  雲  陳秀寳  林奕華</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 xml:space="preserve">        黃國書  賴品妤  何欣純  林宜瑾</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 xml:space="preserve">        王婉諭  萬美玲  吳思瑤 張廖萬堅        </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連署人：吳怡玎</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(八)11</w:t>
      </w:r>
      <w:r w:rsidRPr="008F7885">
        <w:rPr>
          <w:rFonts w:ascii="標楷體" w:eastAsia="標楷體" w:hAnsi="標楷體"/>
          <w:snapToGrid w:val="0"/>
          <w:sz w:val="32"/>
          <w:szCs w:val="32"/>
        </w:rPr>
        <w:t>2</w:t>
      </w:r>
      <w:r w:rsidRPr="008F7885">
        <w:rPr>
          <w:rFonts w:ascii="標楷體" w:eastAsia="標楷體" w:hAnsi="標楷體" w:hint="eastAsia"/>
          <w:snapToGrid w:val="0"/>
          <w:sz w:val="32"/>
          <w:szCs w:val="32"/>
        </w:rPr>
        <w:t>年度教育部第</w:t>
      </w:r>
      <w:r w:rsidRPr="008F7885">
        <w:rPr>
          <w:rFonts w:ascii="標楷體" w:eastAsia="標楷體" w:hAnsi="標楷體"/>
          <w:snapToGrid w:val="0"/>
          <w:sz w:val="32"/>
          <w:szCs w:val="32"/>
        </w:rPr>
        <w:t>6</w:t>
      </w:r>
      <w:r w:rsidRPr="008F7885">
        <w:rPr>
          <w:rFonts w:ascii="標楷體" w:eastAsia="標楷體" w:hAnsi="標楷體" w:hint="eastAsia"/>
          <w:snapToGrid w:val="0"/>
          <w:sz w:val="32"/>
          <w:szCs w:val="32"/>
        </w:rPr>
        <w:t>目「各項教育推展」預算編列</w:t>
      </w:r>
      <w:r w:rsidRPr="008F7885">
        <w:rPr>
          <w:rFonts w:ascii="標楷體" w:eastAsia="標楷體" w:hAnsi="標楷體"/>
          <w:snapToGrid w:val="0"/>
          <w:sz w:val="32"/>
          <w:szCs w:val="32"/>
        </w:rPr>
        <w:t>77</w:t>
      </w:r>
      <w:r w:rsidRPr="008F7885">
        <w:rPr>
          <w:rFonts w:ascii="標楷體" w:eastAsia="標楷體" w:hAnsi="標楷體" w:hint="eastAsia"/>
          <w:snapToGrid w:val="0"/>
          <w:sz w:val="32"/>
          <w:szCs w:val="32"/>
        </w:rPr>
        <w:t>億</w:t>
      </w:r>
      <w:r w:rsidRPr="008F7885">
        <w:rPr>
          <w:rFonts w:ascii="標楷體" w:eastAsia="標楷體" w:hAnsi="標楷體"/>
          <w:snapToGrid w:val="0"/>
          <w:sz w:val="32"/>
          <w:szCs w:val="32"/>
        </w:rPr>
        <w:t>0</w:t>
      </w:r>
      <w:r w:rsidRPr="008F7885">
        <w:rPr>
          <w:rFonts w:ascii="標楷體" w:eastAsia="標楷體" w:hAnsi="標楷體" w:hint="eastAsia"/>
          <w:snapToGrid w:val="0"/>
          <w:sz w:val="32"/>
          <w:szCs w:val="32"/>
        </w:rPr>
        <w:t>,</w:t>
      </w:r>
      <w:r w:rsidRPr="008F7885">
        <w:rPr>
          <w:rFonts w:ascii="標楷體" w:eastAsia="標楷體" w:hAnsi="標楷體"/>
          <w:snapToGrid w:val="0"/>
          <w:sz w:val="32"/>
          <w:szCs w:val="32"/>
        </w:rPr>
        <w:t>658</w:t>
      </w:r>
      <w:r w:rsidRPr="008F7885">
        <w:rPr>
          <w:rFonts w:ascii="標楷體" w:eastAsia="標楷體" w:hAnsi="標楷體" w:hint="eastAsia"/>
          <w:snapToGrid w:val="0"/>
          <w:sz w:val="32"/>
          <w:szCs w:val="32"/>
        </w:rPr>
        <w:t>萬</w:t>
      </w:r>
      <w:r w:rsidRPr="008F7885">
        <w:rPr>
          <w:rFonts w:ascii="標楷體" w:eastAsia="標楷體" w:hAnsi="標楷體"/>
          <w:snapToGrid w:val="0"/>
          <w:sz w:val="32"/>
          <w:szCs w:val="32"/>
        </w:rPr>
        <w:t>2</w:t>
      </w:r>
      <w:r w:rsidRPr="008F7885">
        <w:rPr>
          <w:rFonts w:ascii="標楷體" w:eastAsia="標楷體" w:hAnsi="標楷體" w:hint="eastAsia"/>
          <w:snapToGrid w:val="0"/>
          <w:sz w:val="32"/>
          <w:szCs w:val="32"/>
        </w:rPr>
        <w:t>千元，凍結6</w:t>
      </w:r>
      <w:r w:rsidRPr="008F7885">
        <w:rPr>
          <w:rFonts w:ascii="標楷體" w:eastAsia="標楷體" w:hAnsi="標楷體"/>
          <w:snapToGrid w:val="0"/>
          <w:sz w:val="32"/>
          <w:szCs w:val="32"/>
        </w:rPr>
        <w:t>00</w:t>
      </w:r>
      <w:r w:rsidRPr="008F7885">
        <w:rPr>
          <w:rFonts w:ascii="標楷體" w:eastAsia="標楷體" w:hAnsi="標楷體" w:hint="eastAsia"/>
          <w:snapToGrid w:val="0"/>
          <w:sz w:val="32"/>
          <w:szCs w:val="32"/>
        </w:rPr>
        <w:t>萬元</w:t>
      </w:r>
      <w:r w:rsidRPr="008F7885">
        <w:rPr>
          <w:rFonts w:ascii="標楷體" w:eastAsia="標楷體" w:hAnsi="標楷體"/>
          <w:snapToGrid w:val="0"/>
          <w:sz w:val="32"/>
          <w:szCs w:val="32"/>
        </w:rPr>
        <w:t>，俟</w:t>
      </w:r>
      <w:r w:rsidRPr="008F7885">
        <w:rPr>
          <w:rFonts w:ascii="標楷體" w:eastAsia="標楷體" w:hAnsi="標楷體" w:hint="eastAsia"/>
          <w:snapToGrid w:val="0"/>
          <w:sz w:val="32"/>
          <w:szCs w:val="32"/>
        </w:rPr>
        <w:t>教育</w:t>
      </w:r>
      <w:r w:rsidRPr="008F7885">
        <w:rPr>
          <w:rFonts w:ascii="標楷體" w:eastAsia="標楷體" w:hAnsi="標楷體"/>
          <w:snapToGrid w:val="0"/>
          <w:sz w:val="32"/>
          <w:szCs w:val="32"/>
        </w:rPr>
        <w:t>部向立法院教育及文化委員會提出</w:t>
      </w:r>
      <w:r w:rsidRPr="008F7885">
        <w:rPr>
          <w:rFonts w:ascii="標楷體" w:eastAsia="標楷體" w:hAnsi="標楷體" w:hint="eastAsia"/>
          <w:snapToGrid w:val="0"/>
          <w:sz w:val="32"/>
          <w:szCs w:val="32"/>
        </w:rPr>
        <w:t>書面</w:t>
      </w:r>
      <w:r w:rsidRPr="008F7885">
        <w:rPr>
          <w:rFonts w:ascii="標楷體" w:eastAsia="標楷體" w:hAnsi="標楷體"/>
          <w:snapToGrid w:val="0"/>
          <w:sz w:val="32"/>
          <w:szCs w:val="32"/>
        </w:rPr>
        <w:t>報告後，始得動支。</w:t>
      </w:r>
      <w:r w:rsidRPr="008F7885">
        <w:rPr>
          <w:rFonts w:ascii="標楷體" w:eastAsia="標楷體" w:hAnsi="標楷體" w:hint="eastAsia"/>
          <w:snapToGrid w:val="0"/>
          <w:sz w:val="32"/>
          <w:szCs w:val="32"/>
        </w:rPr>
        <w:t>141-167</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提案人：鄭正鈐  萬美玲  林奕華  范  雲</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 xml:space="preserve">        陳秀寳  林宜瑾  黃國書  賴品妤</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 xml:space="preserve">        吳思瑤  吳怡玎  何欣純 張廖萬堅</w:t>
      </w:r>
    </w:p>
    <w:p w:rsidR="00273897" w:rsidRPr="008F7885" w:rsidRDefault="00273897" w:rsidP="00273897">
      <w:pPr>
        <w:snapToGrid w:val="0"/>
        <w:spacing w:line="460" w:lineRule="exact"/>
        <w:ind w:leftChars="1650" w:left="3960" w:firstLineChars="100" w:firstLine="320"/>
        <w:jc w:val="both"/>
        <w:rPr>
          <w:rFonts w:ascii="標楷體" w:eastAsia="標楷體" w:hAnsi="標楷體"/>
          <w:sz w:val="32"/>
          <w:szCs w:val="32"/>
        </w:rPr>
      </w:pPr>
      <w:r w:rsidRPr="008F7885">
        <w:rPr>
          <w:rFonts w:ascii="標楷體" w:eastAsia="標楷體" w:hAnsi="標楷體" w:hint="eastAsia"/>
          <w:sz w:val="32"/>
          <w:szCs w:val="32"/>
        </w:rPr>
        <w:t>鄭天財Sra Kacaw</w:t>
      </w:r>
    </w:p>
    <w:p w:rsidR="00273897" w:rsidRPr="008F7885" w:rsidRDefault="00273897" w:rsidP="00273897">
      <w:pPr>
        <w:snapToGrid w:val="0"/>
        <w:spacing w:line="460" w:lineRule="exact"/>
        <w:ind w:leftChars="1650" w:left="3960" w:firstLineChars="100" w:firstLine="320"/>
        <w:jc w:val="both"/>
        <w:rPr>
          <w:rFonts w:ascii="標楷體" w:eastAsia="標楷體" w:hAnsi="標楷體"/>
          <w:sz w:val="32"/>
          <w:szCs w:val="32"/>
        </w:rPr>
      </w:pPr>
      <w:r w:rsidRPr="008F7885">
        <w:rPr>
          <w:rFonts w:ascii="標楷體" w:eastAsia="標楷體" w:hAnsi="標楷體" w:hint="eastAsia"/>
          <w:sz w:val="32"/>
          <w:szCs w:val="32"/>
        </w:rPr>
        <w:t>伍麗華Saidhai Tahovecahe</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連署人：高金素梅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九)根據yes123求職網調查發現，我國39歲以下僅25.9%青年收入大於支出，收入小於支出則高達36.3%；青年零存款比例亦從108年15.4%，升高至112年20.3%，零存款比例年年攀升，顯示大環境對年輕人並不友善。此外，蔡總統英文曾承諾，要解決年輕人低薪問題，然問題至今仍存在，再加上近年國內受到嚴重特殊傳染性肺炎疫情及烏俄戰爭等影響，原物料高漲、物價跟著飛漲，通膨問題嚴重，種種因素皆加重年輕人經濟負擔。再依據司法院判決書查詢系統顯示，自就學貸款開辦以降，已有5萬多筆因積欠就學貸款而遭銀行聲請強制執行的案件數，顯示目前已超過5萬名畢業生因無法繳還就學貸款遭到強制執行。綜上所述，為減輕年輕畢業生經濟負擔，爰要求教育部研議就學貸款全額免息方案，並於</w:t>
      </w:r>
      <w:r w:rsidRPr="008F7885">
        <w:rPr>
          <w:rFonts w:ascii="標楷體" w:eastAsia="標楷體" w:hAnsi="標楷體"/>
          <w:sz w:val="32"/>
          <w:szCs w:val="32"/>
        </w:rPr>
        <w:t>3</w:t>
      </w:r>
      <w:r w:rsidRPr="008F7885">
        <w:rPr>
          <w:rFonts w:ascii="標楷體" w:eastAsia="標楷體" w:hAnsi="標楷體" w:hint="eastAsia"/>
          <w:sz w:val="32"/>
          <w:szCs w:val="32"/>
        </w:rPr>
        <w:t>個月內向立法院教育及文化委員會提出書面報告。169</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lastRenderedPageBreak/>
        <w:t>提案人：萬美玲</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連署人：鄭正鈐  林奕華</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十)110年1名導護老師值勤時遭闖紅燈駕駛撞成重傷，然因學校為師生投保之公共意外責任險僅限於校內才能理賠；又因「公務人員執行職務意外傷亡慰問金發給辦法」規定，公務人員值勤受傷發給慰問金，基於不重複給予原則，不得以公務預算再投保額外保險，諸多限制下，致使導護老師於校外值勤發生意外時，幾乎沒有保障。為保障導護老師值勤權益，爰要求教育部應儘速研議導護老師於校外值勤投保之可行方案，並於</w:t>
      </w:r>
      <w:r w:rsidRPr="008F7885">
        <w:rPr>
          <w:rFonts w:ascii="標楷體" w:eastAsia="標楷體" w:hAnsi="標楷體"/>
          <w:sz w:val="32"/>
          <w:szCs w:val="32"/>
        </w:rPr>
        <w:t>3</w:t>
      </w:r>
      <w:r w:rsidRPr="008F7885">
        <w:rPr>
          <w:rFonts w:ascii="標楷體" w:eastAsia="標楷體" w:hAnsi="標楷體" w:hint="eastAsia"/>
          <w:sz w:val="32"/>
          <w:szCs w:val="32"/>
        </w:rPr>
        <w:t>個月內向立法院教育及文化委員會提出書面報告。170</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提案人：萬美玲</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連署人：鄭正鈐  林奕華</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十一)為減輕學生學貸負擔，教育部多次修正「高級中等以上學校學生就學貸款辦法」，除放寬申請資格、只繳息不還本期間及緩繳本金申請次數外，並得加貸生活費貸款；據教育部統計，截至111年6月底止，申請緩繳本金之借款人達4萬4,499人，申請只繳息不還本之借款人則為9,438人。中央銀行為緩解國內通膨壓力，111年3、6及9月陸續升息；其對就學貸款之影響據教育部表示，在學學生因升息而增加之利息將全額負擔，而已在還款之畢業生則建議透過申請緩繳降低利息負擔。故升息雖對在學學生未有立即影響，惟對已在還款之畢業生仍有利息增加情形。另據審計部調查略以，106至108學年度弱勢學生高中畢業後約七成就讀私立大專校院，較一般學生就讀私立大專校院比率高出約6%；復據教育部統計，歷年辦理就學貸款學生以私校學生占多數，尤其私立大專校院占比更逾75%。顯示弱勢學生辦理就學貸款恐較一般學生普遍，且升息對已在還款之畢業生亦有影響，允</w:t>
      </w:r>
      <w:r w:rsidRPr="008F7885">
        <w:rPr>
          <w:rFonts w:ascii="標楷體" w:eastAsia="標楷體" w:hAnsi="標楷體" w:hint="eastAsia"/>
          <w:sz w:val="32"/>
          <w:szCs w:val="32"/>
        </w:rPr>
        <w:lastRenderedPageBreak/>
        <w:t>宜賡續研謀相關措施減輕貸款負擔，以落實對弱勢學生之扶助。爰此請教育部研議「面對升息連連，該如何減輕就學貸款相關負擔，以落實對弱勢學生之扶助」，並於1個月內向立法院教育及文化委員會提出書面報告。171</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提案人：賴品妤</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連署人：范  雲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十二)依教育部國民及學前教育署提供資料，111學年度已簽約之準公共幼兒園計1,859園，占私幼總園數4,121園之45.1%，超過四成五私幼已加入準公共機制。全國簽約園數占符合合作要件園數2,408園之77.2%，其中新竹市及新竹縣部分現行收費標準高於準公共機制合作要件所定之收費數額之私幼，更同意於履約期間依合作費用範圍申請加入準公共機制，致各該縣市簽約比率超過100%，顯示準公共機制已影響教保服務市場供需條件。準公共機制係由符合「收費數額」、「教保服務人員薪資」、「基礎評鑑」、「建築物公共安全檢查」、「教保人力比」及「教保服務品質」等6項要件之私幼，與市、縣政府簽訂合作契約成為準公幼。依少子女化對策計畫，教育部將透過強化例常稽查及輔導機制，以維護準公幼教保品質。據教育部國民及學前教育署表示，輔導機制係透過輔導人員入園輔導、進班教學觀察、評估課程設計與教學方式等，提升準公幼教學品質，108至110學年度輔導園數分別為95園、139園及189園。例常稽查部分據審計部110年度中央政府總決算審核報告(乙第96頁)指出：近二成準公幼曾因教保服務人員未具資格、超收幼童或費用等事由遭裁罰，並有因同一違規事由遭裁罰3次以上，為確保準公幼教保服務品質，教育部允宜督促市縣政府落實審查及監督機制。爰此請教育部研議「加強督促縣市政府落實審查監督機制，以確保準公共幼兒園之幼教品質」。172</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lastRenderedPageBreak/>
        <w:t>提案人：賴品妤</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連署人：范  雲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(十三)隨著電腦科技普及，民間補教業者紛紛導入「線上教學」系統，供民眾選購線上補習課程。近年線上補習課程之退費爭議亦層出不窮。據「聯合報」採訪報導（篇名：補習班網路授課 未按比例退款糾紛），有民眾花費14萬4千元購買課程點數180點，僅使用25點（約13%）便要求退費，竟只拿回一半的退款。據行政院消費者保護會統計，近年來每月都有百餘件補習消費申訴案件，全年補習申訴案件數可達2千件以上，顯示補習消費爭議並不罕見。教育部應積極審視檢討當前補習班退費機制，並因應線上教學或影片授課模式，檢討傳統退費計算方式之合宜性。173</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提案人：林宜瑾</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十四)近年學測命題屢次傳出鑑別度與穩定度爭議，每年的難易度落差極大。109學年度數學科有高達11.22%的考生滿級分，較108學年度增加5.4%，遭高中教師批評欠缺鑑別度。而110學年度學測數學，則又大幅提升難易度，導致頂標及均標皆較109學年度下降3級分，顯示試題穩定度不足。除造成考生備考困擾，甚至可能影響考生升學。教育部歷年均有編列大學入學考試相關經費，亦有補助「大學入學考試中心」之營運費用，「大學入學考試中心」為大學入學考試之專責單位，工作內容單純明確。相關人員本應負起維持命題穩定度與鑑別度之責，以維護考生權益。請教育部積極會同考試命題相關人員，擬定策略改善大學入學考試命題鑑別度與穩定度。174</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提案人：林宜瑾</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lastRenderedPageBreak/>
        <w:t>(十五)隨著性別平等教育的落實，學生性別意識提升，勇於揭露與檢舉性騷擾事件，校園疑似性騷擾通報案件數連年增加。據教育部學生事務與特殊教育司統計，全國各級學校之全年疑似性騷擾通報件數總和，從2006年的45件，大幅增加至2020年1萬0,381件。學生勇於揭露與通報性騷擾案件值得鼓勵，但全年破萬的通報件數，顯示校園中性騷擾問題嚴重，亟須正視。且大幅增加的案件數亦加重第一線處理人員的工作負擔，需要教育部提供相關人力或資源來支持。請教育部應積極進行校園性別平等教育與性騷擾/性侵害防治工作。175</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提案人：林宜瑾</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(十六)國家圖書館南部分館之興建工程，據教育部預算書第</w:t>
      </w:r>
      <w:r w:rsidRPr="008F7885">
        <w:rPr>
          <w:rFonts w:ascii="標楷體" w:eastAsia="標楷體" w:hAnsi="標楷體"/>
          <w:sz w:val="32"/>
          <w:szCs w:val="32"/>
        </w:rPr>
        <w:t>29</w:t>
      </w:r>
      <w:r w:rsidRPr="008F7885">
        <w:rPr>
          <w:rFonts w:ascii="標楷體" w:eastAsia="標楷體" w:hAnsi="標楷體" w:hint="eastAsia"/>
          <w:sz w:val="32"/>
          <w:szCs w:val="32"/>
        </w:rPr>
        <w:t>頁說明之年度重要計畫，國圖南館112年度主要工作包含：「辦理主體工程施工等相關事宜、辦理其他周邊設施設備採購建置（包含數位資源保存中心所需系統及設備、電腦及資訊相關設備費、倉儲系統設備、傢俱設備、圖書博物館設施設備等）、分館資源添購」等等。國家圖書館南部分館為台南居民引領期盼之重大建設，且具有平衡南北資源、擴充國家圖書館收藏空間之功能，教育部應積極落實工程規劃，使國家圖書館南部分館能按時完工。176</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提案人：林宜瑾</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十七)教育部技術及職業教育司推動「五專展翅計畫」，鼓勵與補助企業聘用五專實習生，以利學生之職場銜接，降低學用落差。政策立意良善。惟據部分配合業者陳情反映，教育部並未與財政部擬定頒布「五專展翅計畫」經費申請之會計報帳流程，致使企業內部之會計作業難以核銷報稅，徒增困</w:t>
      </w:r>
      <w:r w:rsidRPr="008F7885">
        <w:rPr>
          <w:rFonts w:ascii="標楷體" w:eastAsia="標楷體" w:hAnsi="標楷體" w:hint="eastAsia"/>
          <w:sz w:val="32"/>
          <w:szCs w:val="32"/>
        </w:rPr>
        <w:lastRenderedPageBreak/>
        <w:t>擾。為使「五專展翅計畫」之相關政策得以落實，請教育部積極釐清企業申請「五專展翅計畫」之會計報帳流程相關問題，以利吸引企業參與，使學生獲得更多實習機會。177</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提案人：林宜瑾</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(十八)因應少子化衝擊，近年私立大專院校退場案例頻傳，衍生出教師遭欠薪、學生學習權益受損等爭議。對此，112年度教育部「技術職業教育行政及督導」項下「輔導改進技專校院之管理發展」預算編列8億6</w:t>
      </w:r>
      <w:r w:rsidRPr="008F7885">
        <w:rPr>
          <w:rFonts w:ascii="標楷體" w:eastAsia="標楷體" w:hAnsi="標楷體"/>
          <w:sz w:val="32"/>
          <w:szCs w:val="32"/>
        </w:rPr>
        <w:t>,</w:t>
      </w:r>
      <w:r w:rsidRPr="008F7885">
        <w:rPr>
          <w:rFonts w:ascii="標楷體" w:eastAsia="標楷體" w:hAnsi="標楷體" w:hint="eastAsia"/>
          <w:sz w:val="32"/>
          <w:szCs w:val="32"/>
        </w:rPr>
        <w:t>329萬9千元，工作內容包含「董事會運作輔導、內部控制督導、技專校院改制、大專校院專案輔導及轉型退場」等經費4</w:t>
      </w:r>
      <w:r w:rsidRPr="008F7885">
        <w:rPr>
          <w:rFonts w:ascii="標楷體" w:eastAsia="標楷體" w:hAnsi="標楷體"/>
          <w:sz w:val="32"/>
          <w:szCs w:val="32"/>
        </w:rPr>
        <w:t>,</w:t>
      </w:r>
      <w:r w:rsidRPr="008F7885">
        <w:rPr>
          <w:rFonts w:ascii="標楷體" w:eastAsia="標楷體" w:hAnsi="標楷體" w:hint="eastAsia"/>
          <w:sz w:val="32"/>
          <w:szCs w:val="32"/>
        </w:rPr>
        <w:t>444萬5千元。儘管教育部有意協助大專院校轉型輔導，111年仍發生台灣首府大學突發性宣告「全面停招」的事件。台灣首府大學校方先於4月份向學生與媒體透露「大學部部分科系停招、研究所續辦」的規劃，接著於5月緊急宣布即將全面停招，7月份再因為董事會無法籌措足夠資金，而由教育部宣告停招。學生被迫於短短3個月內尋求轉學機會，還須面對租屋處搬遷、新學校學分折抵認定等問題，對學生權益侵害嚴重。少子化危機為長久趨勢，大專院校退場的案例極可能持續增加。教育部應積極輔導與協助大專院校之退場程序或相關轉型規劃。178</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提案人：林宜瑾</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(十九)112年度教育部「中等教育」項下「師資培育與藝術教育行政及督導」中「推行藝術教育」預算編列4億7</w:t>
      </w:r>
      <w:r w:rsidRPr="008F7885">
        <w:rPr>
          <w:rFonts w:ascii="標楷體" w:eastAsia="標楷體" w:hAnsi="標楷體"/>
          <w:sz w:val="32"/>
          <w:szCs w:val="32"/>
        </w:rPr>
        <w:t>,</w:t>
      </w:r>
      <w:r w:rsidRPr="008F7885">
        <w:rPr>
          <w:rFonts w:ascii="標楷體" w:eastAsia="標楷體" w:hAnsi="標楷體" w:hint="eastAsia"/>
          <w:sz w:val="32"/>
          <w:szCs w:val="32"/>
        </w:rPr>
        <w:t>360萬元，計畫內容包括「辦理美感教育第二期五年計畫及藝術教育；獎勵優良教師活動；推動中小學教師素質提升方案；教師資格檢定、課程審認；推動教師專業發展及進修事宜」</w:t>
      </w:r>
      <w:r w:rsidRPr="008F7885">
        <w:rPr>
          <w:rFonts w:ascii="標楷體" w:eastAsia="標楷體" w:hAnsi="標楷體" w:hint="eastAsia"/>
          <w:sz w:val="32"/>
          <w:szCs w:val="32"/>
        </w:rPr>
        <w:lastRenderedPageBreak/>
        <w:t>等，欲達成活化美感與藝術教育活動及提升教師素質等目標。藝術發展是國家軟實力，推行藝術教育著實為當務之急。惟美感教育上路以來，配合校數</w:t>
      </w:r>
      <w:r w:rsidRPr="008F7885">
        <w:rPr>
          <w:rFonts w:ascii="標楷體" w:eastAsia="標楷體" w:hAnsi="標楷體"/>
          <w:sz w:val="32"/>
          <w:szCs w:val="32"/>
        </w:rPr>
        <w:t>/</w:t>
      </w:r>
      <w:r w:rsidRPr="008F7885">
        <w:rPr>
          <w:rFonts w:ascii="標楷體" w:eastAsia="標楷體" w:hAnsi="標楷體" w:hint="eastAsia"/>
          <w:sz w:val="32"/>
          <w:szCs w:val="32"/>
        </w:rPr>
        <w:t>班級數仍偏低，據教育部預算書第</w:t>
      </w:r>
      <w:r w:rsidRPr="008F7885">
        <w:rPr>
          <w:rFonts w:ascii="標楷體" w:eastAsia="標楷體" w:hAnsi="標楷體"/>
          <w:sz w:val="32"/>
          <w:szCs w:val="32"/>
        </w:rPr>
        <w:t>48</w:t>
      </w:r>
      <w:r w:rsidRPr="008F7885">
        <w:rPr>
          <w:rFonts w:ascii="標楷體" w:eastAsia="標楷體" w:hAnsi="標楷體" w:hint="eastAsia"/>
          <w:sz w:val="32"/>
          <w:szCs w:val="32"/>
        </w:rPr>
        <w:t>頁之成果概述，110學年度課程實踐階段計</w:t>
      </w:r>
      <w:r w:rsidRPr="008F7885">
        <w:rPr>
          <w:rFonts w:ascii="標楷體" w:eastAsia="標楷體" w:hAnsi="標楷體"/>
          <w:sz w:val="32"/>
          <w:szCs w:val="32"/>
        </w:rPr>
        <w:t>123</w:t>
      </w:r>
      <w:r w:rsidRPr="008F7885">
        <w:rPr>
          <w:rFonts w:ascii="標楷體" w:eastAsia="標楷體" w:hAnsi="標楷體" w:hint="eastAsia"/>
          <w:sz w:val="32"/>
          <w:szCs w:val="32"/>
        </w:rPr>
        <w:t>校申請參與，遴選美感與設計課程創新計畫</w:t>
      </w:r>
      <w:r w:rsidRPr="008F7885">
        <w:rPr>
          <w:rFonts w:ascii="標楷體" w:eastAsia="標楷體" w:hAnsi="標楷體"/>
          <w:sz w:val="32"/>
          <w:szCs w:val="32"/>
        </w:rPr>
        <w:t>162</w:t>
      </w:r>
      <w:r w:rsidRPr="008F7885">
        <w:rPr>
          <w:rFonts w:ascii="標楷體" w:eastAsia="標楷體" w:hAnsi="標楷體" w:hint="eastAsia"/>
          <w:sz w:val="32"/>
          <w:szCs w:val="32"/>
        </w:rPr>
        <w:t>位種子教師、</w:t>
      </w:r>
      <w:r w:rsidRPr="008F7885">
        <w:rPr>
          <w:rFonts w:ascii="標楷體" w:eastAsia="標楷體" w:hAnsi="標楷體"/>
          <w:sz w:val="32"/>
          <w:szCs w:val="32"/>
        </w:rPr>
        <w:t>21</w:t>
      </w:r>
      <w:r w:rsidRPr="008F7885">
        <w:rPr>
          <w:rFonts w:ascii="標楷體" w:eastAsia="標楷體" w:hAnsi="標楷體" w:hint="eastAsia"/>
          <w:sz w:val="32"/>
          <w:szCs w:val="32"/>
        </w:rPr>
        <w:t>位社群教師……等，以全國共有</w:t>
      </w:r>
      <w:r w:rsidRPr="008F7885">
        <w:rPr>
          <w:rFonts w:ascii="標楷體" w:eastAsia="標楷體" w:hAnsi="標楷體"/>
          <w:sz w:val="32"/>
          <w:szCs w:val="32"/>
        </w:rPr>
        <w:t>3</w:t>
      </w:r>
      <w:r w:rsidRPr="008F7885">
        <w:rPr>
          <w:rFonts w:ascii="標楷體" w:eastAsia="標楷體" w:hAnsi="標楷體" w:hint="eastAsia"/>
          <w:sz w:val="32"/>
          <w:szCs w:val="32"/>
        </w:rPr>
        <w:t>千多間中小學而言，實施美感教育的校數比例並不高。請教育部積極鼓勵與輔導學校進行美感教育，提升美感教育配合校數與教師人數，使更多學生受惠。179</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提案人：林宜瑾</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二十)學生心理健康為當代社會重要議題。據衛生福利部統計，我國25歲以上成年人之自殺死亡率逐年下降，但24歲以下自殺死亡率卻逐年上升。且鄰近亞洲國家如日本、韓國亦出現「青少年自殺死亡率提升」之現象，亟須關注與預防。我國已於103年修正公布「學生輔導法」，並於該法第22條明定，自106年起，須每5年檢討專任輔導教師及專任專業輔導人員之配置。至111年已達法定期限，教育部應依法檢討專任輔導教師及專任專業輔導人員之配置。請教育部積極面對我國青少年心理健康議題，並依「學生輔導法」檢討校園輔導人員配置。180</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提案人：林宜瑾</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(二十一)112年度教育部「各項教育推展」項下「國際及兩岸教育交流」中「吸引國際學生來臺就學」預算編列4億8</w:t>
      </w:r>
      <w:r w:rsidRPr="008F7885">
        <w:rPr>
          <w:rFonts w:ascii="標楷體" w:eastAsia="標楷體" w:hAnsi="標楷體"/>
          <w:sz w:val="32"/>
          <w:szCs w:val="32"/>
        </w:rPr>
        <w:t>,</w:t>
      </w:r>
      <w:r w:rsidRPr="008F7885">
        <w:rPr>
          <w:rFonts w:ascii="標楷體" w:eastAsia="標楷體" w:hAnsi="標楷體" w:hint="eastAsia"/>
          <w:sz w:val="32"/>
          <w:szCs w:val="32"/>
        </w:rPr>
        <w:t>952萬1千元，計畫內容包括「擴大招收國際學生，舉辦臺灣高等教育展及招生工作說明會，精進國際學生學習環境及行銷留學臺灣之優勢，吸引僑生、外國學生來臺就學」等相關經</w:t>
      </w:r>
      <w:r w:rsidRPr="008F7885">
        <w:rPr>
          <w:rFonts w:ascii="標楷體" w:eastAsia="標楷體" w:hAnsi="標楷體" w:hint="eastAsia"/>
          <w:sz w:val="32"/>
          <w:szCs w:val="32"/>
        </w:rPr>
        <w:lastRenderedPageBreak/>
        <w:t>費8</w:t>
      </w:r>
      <w:r w:rsidRPr="008F7885">
        <w:rPr>
          <w:rFonts w:ascii="標楷體" w:eastAsia="標楷體" w:hAnsi="標楷體"/>
          <w:sz w:val="32"/>
          <w:szCs w:val="32"/>
        </w:rPr>
        <w:t>,</w:t>
      </w:r>
      <w:r w:rsidRPr="008F7885">
        <w:rPr>
          <w:rFonts w:ascii="標楷體" w:eastAsia="標楷體" w:hAnsi="標楷體" w:hint="eastAsia"/>
          <w:sz w:val="32"/>
          <w:szCs w:val="32"/>
        </w:rPr>
        <w:t>973萬3千元，以及「配合新南向政策，加強人才雙向流動，提供臺灣獎學金，加強吸引東南亞及南亞優秀境外生來臺就讀，提供外國來臺留學生獎學金」</w:t>
      </w:r>
      <w:r>
        <w:rPr>
          <w:rFonts w:ascii="標楷體" w:eastAsia="標楷體" w:hAnsi="標楷體" w:hint="eastAsia"/>
          <w:sz w:val="32"/>
          <w:szCs w:val="32"/>
        </w:rPr>
        <w:t>預算編列</w:t>
      </w:r>
      <w:r w:rsidRPr="008F7885">
        <w:rPr>
          <w:rFonts w:ascii="標楷體" w:eastAsia="標楷體" w:hAnsi="標楷體" w:hint="eastAsia"/>
          <w:sz w:val="32"/>
          <w:szCs w:val="32"/>
        </w:rPr>
        <w:t>3億9</w:t>
      </w:r>
      <w:r w:rsidRPr="008F7885">
        <w:rPr>
          <w:rFonts w:ascii="標楷體" w:eastAsia="標楷體" w:hAnsi="標楷體"/>
          <w:sz w:val="32"/>
          <w:szCs w:val="32"/>
        </w:rPr>
        <w:t>,</w:t>
      </w:r>
      <w:r w:rsidRPr="008F7885">
        <w:rPr>
          <w:rFonts w:ascii="標楷體" w:eastAsia="標楷體" w:hAnsi="標楷體" w:hint="eastAsia"/>
          <w:sz w:val="32"/>
          <w:szCs w:val="32"/>
        </w:rPr>
        <w:t>978萬8千元等。吸引國際優秀人才來臺，有助促進我國高階人才培養與知識交流，立意良善。惟近年屢次傳出部分大學以招募境外生名義，誘騙外籍學生來臺打工，不只侵害學生權益，亦有損我國國際形象。請教育部積極審核輔導招收國際學生之相關事務。181</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提案人：林宜瑾</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二十二)鑑於幼兒園老師的低薪問題存在已久，其中又以私幼更為明顯，根據全國教保產業工會資料，工作經驗超過10年的教保員，平均薪資連3萬元都不到，另外有政府補助的準公共幼兒園，起薪也僅有2萬9千元，比起公立幼兒園，少了4千元。然比起公立幼兒園，私幼或是準公共幼兒園老師的薪水，大多在3萬元上下打轉。為使公幼、準公幼及私幼這3種型態幼兒園教保員薪資差距拉近，要求教育部應就如何縮短公私幼教保員薪資於3個月內向立法院教育及文化委員會提出分析評估書面報告(包含各縣市教保服務人員平均薪資、補助機制研議及衍生補助額度之可行性評估等規劃)或修法建議。182</w:t>
      </w:r>
    </w:p>
    <w:p w:rsidR="00273897" w:rsidRPr="008F7885" w:rsidRDefault="00273897" w:rsidP="00273897">
      <w:pPr>
        <w:overflowPunct w:val="0"/>
        <w:spacing w:line="500" w:lineRule="exact"/>
        <w:ind w:leftChars="1250" w:left="3003" w:hanging="3"/>
        <w:jc w:val="both"/>
        <w:rPr>
          <w:rFonts w:ascii="標楷體" w:eastAsia="標楷體" w:hAnsi="標楷體"/>
          <w:sz w:val="32"/>
          <w:szCs w:val="32"/>
        </w:rPr>
      </w:pPr>
      <w:r w:rsidRPr="008F7885">
        <w:rPr>
          <w:rFonts w:ascii="標楷體" w:eastAsia="標楷體" w:hAnsi="標楷體" w:hint="eastAsia"/>
          <w:sz w:val="32"/>
          <w:szCs w:val="32"/>
        </w:rPr>
        <w:t>提案人：吳怡玎  林奕華  鄭正鈐</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二十三)全國中小學雖已於111年8月下旬開學，但仍有許多學校找不足代理老師、代課老師；其中代理老師的困境存在多年，除了許多縣市未給滿1年12個月薪水之外，讓代理教師們最受不了的是「協行」壓榨。經查，許多代理教師被「凹」兼任協行，協助組長等行政人員做事，可是卻沒有行政加給、沒有減課、沒有積分、沒有特休；更誇張的是，有</w:t>
      </w:r>
      <w:r w:rsidRPr="008F7885">
        <w:rPr>
          <w:rFonts w:ascii="標楷體" w:eastAsia="標楷體" w:hAnsi="標楷體" w:hint="eastAsia"/>
          <w:sz w:val="32"/>
          <w:szCs w:val="32"/>
        </w:rPr>
        <w:lastRenderedPageBreak/>
        <w:t>代理教師代理6年，當了5年協行，1年組長，除上很多課外，晚上還要處理行政事宜。然教育部沒有制度規定協行工作，就是讓學校為所欲為。唯有訂定相關規定，學校才會害怕，這些擔任行政的教師才會有所警覺。為正視這些擔任協行的代理教師的權益，爰要求教育部於112年開始，建議縣市政府應明定協行的工作範圍及時間，教育部針對擔任協行工作的代理教師們做匿名的問卷調查，以保障其工作權益。183</w:t>
      </w:r>
    </w:p>
    <w:p w:rsidR="00273897" w:rsidRPr="008F7885" w:rsidRDefault="00273897" w:rsidP="00273897">
      <w:pPr>
        <w:overflowPunct w:val="0"/>
        <w:spacing w:line="500" w:lineRule="exact"/>
        <w:ind w:leftChars="1250" w:left="3003" w:hanging="3"/>
        <w:jc w:val="both"/>
        <w:rPr>
          <w:rFonts w:ascii="標楷體" w:eastAsia="標楷體" w:hAnsi="標楷體"/>
          <w:sz w:val="32"/>
          <w:szCs w:val="32"/>
        </w:rPr>
      </w:pPr>
      <w:r w:rsidRPr="008F7885">
        <w:rPr>
          <w:rFonts w:ascii="標楷體" w:eastAsia="標楷體" w:hAnsi="標楷體" w:hint="eastAsia"/>
          <w:sz w:val="32"/>
          <w:szCs w:val="32"/>
        </w:rPr>
        <w:t>提案人：吳怡玎  林奕華  鄭正鈐</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二十四)111年國慶日受邀來台國慶演出的「橘色惡魔」日本京都橘高校吹奏樂部，表現獲得國人讚賞，但同時台日學生上課時數亦在網路上引起討論；根據各國學生上課時間調查資料，德國、墨西哥上課時間為早上8點至下午2點，平均上課6小時；日本、加拿大上課時間為早上9點至下午3點，上課6小時；美國、英國與澳洲，平均上課6.5小時；而台灣學生，7點半就要到校早自習，許多學生參與第8節課，放學時間為下午5點，平均上課9.5小時，居全球之冠。然如何在學生健康與學習時間取得均衡，孰輕孰重仍有其討論調整空間。為完善「教育基本法」及「國民教育法」立法宗旨，爰要求教育部應就「晚到校」、「減少學科上課時數」2項進行可行性評估及研擬推動時程規劃，並於3個月內向立法院教育及文化委員會提出完整可行性評估及規劃書面報告。184</w:t>
      </w:r>
    </w:p>
    <w:p w:rsidR="00273897" w:rsidRPr="008F7885" w:rsidRDefault="00273897" w:rsidP="00273897">
      <w:pPr>
        <w:overflowPunct w:val="0"/>
        <w:spacing w:line="500" w:lineRule="exact"/>
        <w:ind w:leftChars="1250" w:left="3003" w:hanging="3"/>
        <w:jc w:val="both"/>
        <w:rPr>
          <w:rFonts w:ascii="標楷體" w:eastAsia="標楷體" w:hAnsi="標楷體"/>
          <w:sz w:val="32"/>
          <w:szCs w:val="32"/>
        </w:rPr>
      </w:pPr>
      <w:r w:rsidRPr="008F7885">
        <w:rPr>
          <w:rFonts w:ascii="標楷體" w:eastAsia="標楷體" w:hAnsi="標楷體" w:hint="eastAsia"/>
          <w:sz w:val="32"/>
          <w:szCs w:val="32"/>
        </w:rPr>
        <w:t>提案人：吳怡玎  林奕華  鄭正鈐</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二十五)為減輕學生校內外住宿負擔、改善學生宿舍基本設施及公共空間、營造學生宿舍成為新世代學生學習空間，教育部自108年起推動5年50億「新世代學生住宿環境提升計畫」；然最近傳出部分大學宿舍完工啟用後，雖然設備新</w:t>
      </w:r>
      <w:r w:rsidRPr="008F7885">
        <w:rPr>
          <w:rFonts w:ascii="標楷體" w:eastAsia="標楷體" w:hAnsi="標楷體" w:hint="eastAsia"/>
          <w:sz w:val="32"/>
          <w:szCs w:val="32"/>
        </w:rPr>
        <w:lastRenderedPageBreak/>
        <w:t>穎、環境優美，但也因此住宿費用偏高，造成學生超額負擔；惟以國立臺灣師範大學為例，新宿舍落成啟用後，學校2人房宿舍每學期每人收費2萬</w:t>
      </w:r>
      <w:r>
        <w:rPr>
          <w:rFonts w:ascii="標楷體" w:eastAsia="標楷體" w:hAnsi="標楷體" w:hint="eastAsia"/>
          <w:sz w:val="32"/>
          <w:szCs w:val="32"/>
        </w:rPr>
        <w:t>5千</w:t>
      </w:r>
      <w:r w:rsidRPr="008F7885">
        <w:rPr>
          <w:rFonts w:ascii="標楷體" w:eastAsia="標楷體" w:hAnsi="標楷體" w:hint="eastAsia"/>
          <w:sz w:val="32"/>
          <w:szCs w:val="32"/>
        </w:rPr>
        <w:t>元，被學生批評定位錯誤。為落實政府減輕學生租屋負擔，爰要求教育部應邀集各受補助學校，研擬學生宿舍住宿費用收費上限，以減輕學生租屋負擔。185</w:t>
      </w:r>
    </w:p>
    <w:p w:rsidR="00273897" w:rsidRPr="008F7885" w:rsidRDefault="00273897" w:rsidP="00273897">
      <w:pPr>
        <w:overflowPunct w:val="0"/>
        <w:spacing w:line="500" w:lineRule="exact"/>
        <w:ind w:leftChars="1250" w:left="3003" w:hanging="3"/>
        <w:jc w:val="both"/>
        <w:rPr>
          <w:rFonts w:ascii="標楷體" w:eastAsia="標楷體" w:hAnsi="標楷體"/>
          <w:sz w:val="32"/>
          <w:szCs w:val="32"/>
        </w:rPr>
      </w:pPr>
      <w:r w:rsidRPr="008F7885">
        <w:rPr>
          <w:rFonts w:ascii="標楷體" w:eastAsia="標楷體" w:hAnsi="標楷體" w:hint="eastAsia"/>
          <w:sz w:val="32"/>
          <w:szCs w:val="32"/>
        </w:rPr>
        <w:t>提案人：吳怡玎  林奕華  鄭正鈐</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二十六)因應學科能力測驗試題題型改變，111學年度答題卷改版採「卷卡合一」，將以往答案卡及答案卷合併為A3紙張之新式答題卷；而為避免打擾考生作答，簽名機制則由監試人員請考生於考生名冊上簽名，改為考生自行於答題卷上方簽名欄簽名。大學入學考試中心雖自109學年度起即辦理新制宣導，然111學年度學測未簽名卷次仍達5,766卷次，依考試簡章規定須扣減成績。考量考生申請入學及分發入學相關權益可能受此違規事項影響，爰要求教育部日後應持續強化相關宣導措施，以維護考生權益。186</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提案人：林奕華</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連署人：鄭正鈐  吳怡玎</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二十七)有鑑於111學年度學習歷程檔案提交時間與四技二專統一入學測驗舉辦時間過近，引發各界質疑恐損及技高考生升學權益。後續經教育部調整，統測辦理時間訂於112年4月29、30日，學習歷程檔案提交截止時間採分軌辦理，分別為112年4月25日及5月27日，而為避免影響學習歷程檔案及招生系統之穩定，技高學生跨考大學申請入學得採PDF檔案作為備審資料。爰要求教育部應針對112學年度起技高學生分軌提交學習歷程檔案時間加強宣導，並與學校密切溝通；跨考學生採PDF檔案為備審資料乃權宜作法，教育部應於6個月內研議可行方案，俾輔導學生順利上傳及維持校務順利</w:t>
      </w:r>
      <w:r w:rsidRPr="008F7885">
        <w:rPr>
          <w:rFonts w:ascii="標楷體" w:eastAsia="標楷體" w:hAnsi="標楷體" w:hint="eastAsia"/>
          <w:sz w:val="32"/>
          <w:szCs w:val="32"/>
        </w:rPr>
        <w:lastRenderedPageBreak/>
        <w:t>運作，並強化學習歷程檔案之運用。187</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提案人：林奕華</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連署人：鄭正鈐  吳怡玎</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二十八)有鑑於近年度我國大學於QS及THE等排名系統入榜校數逐年增加，大學競爭力逐漸提升，惟各國亦投入龐大經費提升高等教育品質，國際競爭益趨激烈。考量高教經費配置對大學未來發展影響甚大，且因少子女化緣故，大學面臨生源持續減少，爰要求教育部應協助大專校院落實教學創新及發展多元特色，並於6個月內完備第2期高教深耕計畫及補助規範，俾引導大學發展多元特色及增進競爭力，使大學得以永續辦學。188</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提案人：林奕華</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連署人：鄭正鈐  吳怡玎</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二十九)有鑑於教育部「弱勢學生助學計畫精進措施(校外租金補貼)暨新世代學生住宿環境提升計畫」將於112年度屆期，然校外弱勢學生租金補貼、校外興辦學生社會住宅空床補助、校內學生宿舍建築貸款利息補助等策略執行成效未如預期，爰要求教育部應積極辦理並檢討各項策略執行效益，並督導學校訂定合理住宿費用，提高校內住宿意願。189</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提案人：林奕華</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連署人：鄭正鈐  吳怡玎</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三十)有鑑於近年性騷擾及性霸凌事件受害人數均呈增加趨勢，其中性騷擾及性侵害事件受害人多為女性，然性侵害事件男性受害人比率仍逾20%，且逐年遞增；另性霸凌事件更以男性受害人占多數。爰要求教育部應督導各校落實通報及儘速處理校園性平事件，並加強推動各性別學生身體保護及尊重身體自主意識等性平教育，以維護學生之身體自主權。190</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提案人：林奕華</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lastRenderedPageBreak/>
        <w:t>連署人：鄭正鈐  吳怡玎</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三十一)近年來教育部國民及學前教育署，持續推動教科圖書品質的提升，讓課本能更具專業設計邏輯與美感，培育其美學素養及感受力。同時，教育部也與財團法人台灣設計研究院合作，於110年首度舉辦「2021教科圖書設計獎」，總獎金更高達700萬元。然而，自設計獎活動結束後，除舉辦特展外，尚未見教育部媒合得主及獲獎作品與出版商交流，亦未見教育部挹注更多資源予教育設計發展，使得教育與設計能於本設計獎舉辦後產生更緊密的連結。爰要求教育部針對「教科圖書設計獎」研擬舉辦後之後續規劃，使教科圖書產業能更重視設計美感及使用體驗，並於1個月內向立法院教育及文化委員會提出書面報告。191</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提案人：王婉諭</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連署人：林宜瑾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三十二)「原住民族教育法」第34條規範略以：「原住民重點學校及原住民教育班之專任教師甄選，應於當年度教師缺額一定比率聘任原住民各族教師。…於本法中華民國一百零八年五月二十四日修正之條文施行後十年內，國民小學階段之原住民重點學校聘任具原住民身分之教師比率，應不得低於學校教師員額三分之一或不得低於原住民學生占該校學生數之比率…」。惟以花蓮縣為例，境內高中職、國中小校數至少75%以上為原住民重點學校，但其原住民教師或候用教師並不足以充分滿足前開規範，致眾多教師實缺改為以代理代課教師甄選聘用，影響教育現場師資穩定及學生受教權。爰請教育部彙整近年原住民重點學校教師甄選、公費生分發及現職原住民族教師介聘分發之各項數據，並召集專家學者、校方、教師組織等代表檢視相關政策近年施行成效及狀況，並研商對策，在保障原住民教育權益之前提下，兼顧教育現場</w:t>
      </w:r>
      <w:r w:rsidRPr="008F7885">
        <w:rPr>
          <w:rFonts w:ascii="標楷體" w:eastAsia="標楷體" w:hAnsi="標楷體" w:hint="eastAsia"/>
          <w:sz w:val="32"/>
          <w:szCs w:val="32"/>
        </w:rPr>
        <w:lastRenderedPageBreak/>
        <w:t>穩定師資及其勞動權益以及學生受教權。請教育部於</w:t>
      </w:r>
      <w:r w:rsidRPr="008F7885">
        <w:rPr>
          <w:rFonts w:ascii="標楷體" w:eastAsia="標楷體" w:hAnsi="標楷體"/>
          <w:sz w:val="32"/>
          <w:szCs w:val="32"/>
        </w:rPr>
        <w:t>6</w:t>
      </w:r>
      <w:r w:rsidRPr="008F7885">
        <w:rPr>
          <w:rFonts w:ascii="標楷體" w:eastAsia="標楷體" w:hAnsi="標楷體" w:hint="eastAsia"/>
          <w:sz w:val="32"/>
          <w:szCs w:val="32"/>
        </w:rPr>
        <w:t>個月內，就前開數據資訊及執行成果，向立法院教育及文化委員會提出書面報告。192</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提案人：范  雲</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連署人：吳思瑤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三十三)教育部曾以111年9月8日臺教學(三)字第1112805030號函說明，為查明校園師對生性別事件真相，並提供可能被害人必要協助，應併案組成調查小組進行調查，以利程序經濟，並避免不同之調查小組對同一行為人之行為產生不同之調查結果；以及通知其曾服務之學校配合進行事件普查，以鼓勵校園性別事件之可能被害人或其法定代理人儘早申請調查或參與調查程序。前開函文基於保護被害人之原則，立意良善，惟僅以通函說明尚不明確、效力亦不足夠。爰請教育部評估研議將前開事項明定於「性別平等教育法」及「校園性侵害性騷擾或性霸凌防治準則」，並於112年</w:t>
      </w:r>
      <w:r w:rsidRPr="008F7885">
        <w:rPr>
          <w:rFonts w:ascii="標楷體" w:eastAsia="標楷體" w:hAnsi="標楷體"/>
          <w:sz w:val="32"/>
          <w:szCs w:val="32"/>
        </w:rPr>
        <w:t>2</w:t>
      </w:r>
      <w:r w:rsidRPr="008F7885">
        <w:rPr>
          <w:rFonts w:ascii="標楷體" w:eastAsia="標楷體" w:hAnsi="標楷體" w:hint="eastAsia"/>
          <w:sz w:val="32"/>
          <w:szCs w:val="32"/>
        </w:rPr>
        <w:t>月底前向立法院教育及文化委員會提出書面報告，說明評估研議結果以及修正相關法規之規劃期程及執行情形。193</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提案人：范  雲</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連署人：吳思瑤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(三十四)112年度教育部「高等教育」項下「國立大學校院教學與研究輔助」預算編列475億8</w:t>
      </w:r>
      <w:r w:rsidRPr="008F7885">
        <w:rPr>
          <w:rFonts w:ascii="標楷體" w:eastAsia="標楷體" w:hAnsi="標楷體"/>
          <w:sz w:val="32"/>
          <w:szCs w:val="32"/>
        </w:rPr>
        <w:t>,</w:t>
      </w:r>
      <w:r w:rsidRPr="008F7885">
        <w:rPr>
          <w:rFonts w:ascii="標楷體" w:eastAsia="標楷體" w:hAnsi="標楷體" w:hint="eastAsia"/>
          <w:sz w:val="32"/>
          <w:szCs w:val="32"/>
        </w:rPr>
        <w:t>980萬5千元。茲按，國內兒少醫療資源的缺乏除表現在兒科醫師不足外，也發生在兒童專責醫院的設置上。相對於美國在華盛頓特區設有國立兒童醫院，日本設立國立成育醫療研究中心，集兒童醫學中心和研究所於一體，兼負國家兒童醫療及負責國家第4級兒童醫療及研究；臺灣目前唯一一所公立醫院—國立臺灣大學醫學院附設醫院兒童醫院，在創始之初係以「國立臺灣大學醫學院附設醫院兒童醫院」，內含設立「兒童健康研究所」，</w:t>
      </w:r>
      <w:r w:rsidRPr="008F7885">
        <w:rPr>
          <w:rFonts w:ascii="標楷體" w:eastAsia="標楷體" w:hAnsi="標楷體" w:hint="eastAsia"/>
          <w:sz w:val="32"/>
          <w:szCs w:val="32"/>
        </w:rPr>
        <w:lastRenderedPageBreak/>
        <w:t>集醫療與研究於一體為目標，只是後來因經費關係而區分兩個階段進行，目前係由國立臺灣大學醫學院協助籌建與營運，爰要求教育部儘速展開第2階段工作評估，儘速將國立臺灣大學醫學院附設醫院之兒童醫院升格發展成為自立性之國立兒童醫院及健康研究所。</w:t>
      </w:r>
      <w:r w:rsidRPr="008F7885">
        <w:rPr>
          <w:rFonts w:ascii="標楷體" w:eastAsia="標楷體" w:hAnsi="標楷體"/>
          <w:sz w:val="32"/>
          <w:szCs w:val="32"/>
        </w:rPr>
        <w:t>194</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提案人：范  雲  林宜瑾  陳秀寳</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 xml:space="preserve">        伍麗華Saidhai Tahovecahe</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三十五)為因應氣候變遷、經濟成長、社會平權、貧富差距等難題，聯合國2015年宣布2030永續發展目標(SDGs)，全球共193個國家同意盡力於2030年前達成此目標。英國泰晤士高等教育特刊更依據SDGs17項目標訂定世界大學影響力排名，評鑑世界大學是否與永續發展目標接軌，2022年我國共45所大學入榜，國立成功大學及國立臺灣大學更列入全球前100名。然面對國內外日益重視永續發展目標，大學作為培育未來人才之搖籃，仍有部分學校未將永續發展視為重要校務，根據教育部資料指出，全國大專校院，有65校出版永續報告書，比例約43%，尚有85校未出版。為提升大學接軌國際永續發展目標，教育部應責成司長以上層級督導大學永續校園業務。爰要求教育部針對上述建議進行研議提出具體方案，並於</w:t>
      </w:r>
      <w:r w:rsidRPr="008F7885">
        <w:rPr>
          <w:rFonts w:ascii="標楷體" w:eastAsia="標楷體" w:hAnsi="標楷體"/>
          <w:sz w:val="32"/>
          <w:szCs w:val="32"/>
        </w:rPr>
        <w:t>3</w:t>
      </w:r>
      <w:r w:rsidRPr="008F7885">
        <w:rPr>
          <w:rFonts w:ascii="標楷體" w:eastAsia="標楷體" w:hAnsi="標楷體" w:hint="eastAsia"/>
          <w:sz w:val="32"/>
          <w:szCs w:val="32"/>
        </w:rPr>
        <w:t>個月內向立法院教育及文化委員會提出書面報告。19</w:t>
      </w:r>
      <w:r w:rsidRPr="008F7885">
        <w:rPr>
          <w:rFonts w:ascii="標楷體" w:eastAsia="標楷體" w:hAnsi="標楷體"/>
          <w:sz w:val="32"/>
          <w:szCs w:val="32"/>
        </w:rPr>
        <w:t>5</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提案人：吳思瑤</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連署人：林宜瑾  張廖萬堅</w:t>
      </w:r>
    </w:p>
    <w:p w:rsidR="00273897"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(三十六)教育部於111年年初修訂公立「大專校院兼任教師鐘點費支給標準」如下表：</w:t>
      </w:r>
    </w:p>
    <w:tbl>
      <w:tblPr>
        <w:tblW w:w="9600" w:type="dxa"/>
        <w:tblInd w:w="33" w:type="dxa"/>
        <w:tblCellMar>
          <w:left w:w="28" w:type="dxa"/>
          <w:right w:w="28" w:type="dxa"/>
        </w:tblCellMar>
        <w:tblLook w:val="04A0" w:firstRow="1" w:lastRow="0" w:firstColumn="1" w:lastColumn="0" w:noHBand="0" w:noVBand="1"/>
      </w:tblPr>
      <w:tblGrid>
        <w:gridCol w:w="960"/>
        <w:gridCol w:w="960"/>
        <w:gridCol w:w="960"/>
        <w:gridCol w:w="960"/>
        <w:gridCol w:w="960"/>
        <w:gridCol w:w="960"/>
        <w:gridCol w:w="960"/>
        <w:gridCol w:w="960"/>
        <w:gridCol w:w="960"/>
        <w:gridCol w:w="960"/>
      </w:tblGrid>
      <w:tr w:rsidR="00273897" w:rsidRPr="00383542" w:rsidTr="00273897">
        <w:trPr>
          <w:trHeight w:val="315"/>
        </w:trPr>
        <w:tc>
          <w:tcPr>
            <w:tcW w:w="1920"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3897" w:rsidRPr="00383542" w:rsidRDefault="00273897" w:rsidP="00273897">
            <w:pPr>
              <w:widowControl/>
              <w:jc w:val="center"/>
              <w:rPr>
                <w:rFonts w:ascii="標楷體" w:eastAsia="標楷體" w:hAnsi="標楷體" w:cs="新細明體"/>
                <w:color w:val="000000"/>
                <w:kern w:val="0"/>
                <w:sz w:val="22"/>
              </w:rPr>
            </w:pPr>
            <w:r w:rsidRPr="00383542">
              <w:rPr>
                <w:rFonts w:ascii="標楷體" w:eastAsia="標楷體" w:hAnsi="標楷體" w:cs="新細明體" w:hint="eastAsia"/>
                <w:color w:val="000000"/>
                <w:kern w:val="0"/>
                <w:sz w:val="22"/>
              </w:rPr>
              <w:t>類別</w:t>
            </w:r>
          </w:p>
        </w:tc>
        <w:tc>
          <w:tcPr>
            <w:tcW w:w="1920" w:type="dxa"/>
            <w:gridSpan w:val="2"/>
            <w:tcBorders>
              <w:top w:val="single" w:sz="4" w:space="0" w:color="auto"/>
              <w:left w:val="nil"/>
              <w:bottom w:val="single" w:sz="4" w:space="0" w:color="auto"/>
              <w:right w:val="single" w:sz="4" w:space="0" w:color="auto"/>
            </w:tcBorders>
            <w:shd w:val="clear" w:color="auto" w:fill="auto"/>
            <w:noWrap/>
            <w:vAlign w:val="center"/>
            <w:hideMark/>
          </w:tcPr>
          <w:p w:rsidR="00273897" w:rsidRPr="00383542" w:rsidRDefault="00273897" w:rsidP="00273897">
            <w:pPr>
              <w:widowControl/>
              <w:jc w:val="center"/>
              <w:rPr>
                <w:rFonts w:ascii="標楷體" w:eastAsia="標楷體" w:hAnsi="標楷體" w:cs="新細明體"/>
                <w:color w:val="000000"/>
                <w:kern w:val="0"/>
                <w:sz w:val="22"/>
              </w:rPr>
            </w:pPr>
            <w:r w:rsidRPr="00383542">
              <w:rPr>
                <w:rFonts w:ascii="標楷體" w:eastAsia="標楷體" w:hAnsi="標楷體" w:cs="新細明體" w:hint="eastAsia"/>
                <w:color w:val="000000"/>
                <w:kern w:val="0"/>
                <w:sz w:val="22"/>
              </w:rPr>
              <w:t>教授</w:t>
            </w:r>
          </w:p>
        </w:tc>
        <w:tc>
          <w:tcPr>
            <w:tcW w:w="1920" w:type="dxa"/>
            <w:gridSpan w:val="2"/>
            <w:tcBorders>
              <w:top w:val="single" w:sz="4" w:space="0" w:color="auto"/>
              <w:left w:val="nil"/>
              <w:bottom w:val="single" w:sz="4" w:space="0" w:color="auto"/>
              <w:right w:val="single" w:sz="4" w:space="0" w:color="auto"/>
            </w:tcBorders>
            <w:shd w:val="clear" w:color="auto" w:fill="auto"/>
            <w:noWrap/>
            <w:vAlign w:val="center"/>
            <w:hideMark/>
          </w:tcPr>
          <w:p w:rsidR="00273897" w:rsidRPr="00383542" w:rsidRDefault="00273897" w:rsidP="00273897">
            <w:pPr>
              <w:widowControl/>
              <w:jc w:val="center"/>
              <w:rPr>
                <w:rFonts w:ascii="標楷體" w:eastAsia="標楷體" w:hAnsi="標楷體" w:cs="新細明體"/>
                <w:color w:val="000000"/>
                <w:kern w:val="0"/>
                <w:sz w:val="22"/>
              </w:rPr>
            </w:pPr>
            <w:r w:rsidRPr="00383542">
              <w:rPr>
                <w:rFonts w:ascii="標楷體" w:eastAsia="標楷體" w:hAnsi="標楷體" w:cs="新細明體" w:hint="eastAsia"/>
                <w:color w:val="000000"/>
                <w:kern w:val="0"/>
                <w:sz w:val="22"/>
              </w:rPr>
              <w:t>副教授</w:t>
            </w:r>
          </w:p>
        </w:tc>
        <w:tc>
          <w:tcPr>
            <w:tcW w:w="1920" w:type="dxa"/>
            <w:gridSpan w:val="2"/>
            <w:tcBorders>
              <w:top w:val="single" w:sz="4" w:space="0" w:color="auto"/>
              <w:left w:val="nil"/>
              <w:bottom w:val="single" w:sz="4" w:space="0" w:color="auto"/>
              <w:right w:val="single" w:sz="4" w:space="0" w:color="auto"/>
            </w:tcBorders>
            <w:shd w:val="clear" w:color="auto" w:fill="auto"/>
            <w:noWrap/>
            <w:vAlign w:val="center"/>
            <w:hideMark/>
          </w:tcPr>
          <w:p w:rsidR="00273897" w:rsidRPr="00383542" w:rsidRDefault="00273897" w:rsidP="00273897">
            <w:pPr>
              <w:widowControl/>
              <w:jc w:val="center"/>
              <w:rPr>
                <w:rFonts w:ascii="標楷體" w:eastAsia="標楷體" w:hAnsi="標楷體" w:cs="新細明體"/>
                <w:color w:val="000000"/>
                <w:kern w:val="0"/>
                <w:sz w:val="22"/>
              </w:rPr>
            </w:pPr>
            <w:r w:rsidRPr="00383542">
              <w:rPr>
                <w:rFonts w:ascii="標楷體" w:eastAsia="標楷體" w:hAnsi="標楷體" w:cs="新細明體" w:hint="eastAsia"/>
                <w:color w:val="000000"/>
                <w:kern w:val="0"/>
                <w:sz w:val="22"/>
              </w:rPr>
              <w:t>助理教授</w:t>
            </w:r>
          </w:p>
        </w:tc>
        <w:tc>
          <w:tcPr>
            <w:tcW w:w="1920" w:type="dxa"/>
            <w:gridSpan w:val="2"/>
            <w:tcBorders>
              <w:top w:val="single" w:sz="4" w:space="0" w:color="auto"/>
              <w:left w:val="nil"/>
              <w:bottom w:val="single" w:sz="4" w:space="0" w:color="auto"/>
              <w:right w:val="single" w:sz="4" w:space="0" w:color="auto"/>
            </w:tcBorders>
            <w:shd w:val="clear" w:color="auto" w:fill="auto"/>
            <w:noWrap/>
            <w:vAlign w:val="center"/>
            <w:hideMark/>
          </w:tcPr>
          <w:p w:rsidR="00273897" w:rsidRPr="00383542" w:rsidRDefault="00273897" w:rsidP="00273897">
            <w:pPr>
              <w:widowControl/>
              <w:jc w:val="center"/>
              <w:rPr>
                <w:rFonts w:ascii="標楷體" w:eastAsia="標楷體" w:hAnsi="標楷體" w:cs="新細明體"/>
                <w:color w:val="000000"/>
                <w:kern w:val="0"/>
                <w:sz w:val="22"/>
              </w:rPr>
            </w:pPr>
            <w:r w:rsidRPr="00383542">
              <w:rPr>
                <w:rFonts w:ascii="標楷體" w:eastAsia="標楷體" w:hAnsi="標楷體" w:cs="新細明體" w:hint="eastAsia"/>
                <w:color w:val="000000"/>
                <w:kern w:val="0"/>
                <w:sz w:val="22"/>
              </w:rPr>
              <w:t>講師</w:t>
            </w:r>
          </w:p>
        </w:tc>
      </w:tr>
      <w:tr w:rsidR="00273897" w:rsidRPr="00383542" w:rsidTr="00273897">
        <w:trPr>
          <w:trHeight w:val="315"/>
        </w:trPr>
        <w:tc>
          <w:tcPr>
            <w:tcW w:w="1920" w:type="dxa"/>
            <w:gridSpan w:val="2"/>
            <w:vMerge/>
            <w:tcBorders>
              <w:top w:val="single" w:sz="4" w:space="0" w:color="auto"/>
              <w:left w:val="single" w:sz="4" w:space="0" w:color="auto"/>
              <w:bottom w:val="single" w:sz="4" w:space="0" w:color="auto"/>
              <w:right w:val="single" w:sz="4" w:space="0" w:color="auto"/>
            </w:tcBorders>
            <w:vAlign w:val="center"/>
            <w:hideMark/>
          </w:tcPr>
          <w:p w:rsidR="00273897" w:rsidRPr="00383542" w:rsidRDefault="00273897" w:rsidP="00273897">
            <w:pPr>
              <w:widowControl/>
              <w:jc w:val="center"/>
              <w:rPr>
                <w:rFonts w:ascii="標楷體" w:eastAsia="標楷體" w:hAnsi="標楷體" w:cs="新細明體"/>
                <w:color w:val="000000"/>
                <w:kern w:val="0"/>
                <w:sz w:val="22"/>
              </w:rPr>
            </w:pPr>
          </w:p>
        </w:tc>
        <w:tc>
          <w:tcPr>
            <w:tcW w:w="960" w:type="dxa"/>
            <w:tcBorders>
              <w:top w:val="nil"/>
              <w:left w:val="nil"/>
              <w:bottom w:val="single" w:sz="4" w:space="0" w:color="auto"/>
              <w:right w:val="single" w:sz="4" w:space="0" w:color="auto"/>
            </w:tcBorders>
            <w:shd w:val="clear" w:color="auto" w:fill="auto"/>
            <w:noWrap/>
            <w:vAlign w:val="center"/>
            <w:hideMark/>
          </w:tcPr>
          <w:p w:rsidR="00273897" w:rsidRPr="00383542" w:rsidRDefault="00273897" w:rsidP="00273897">
            <w:pPr>
              <w:widowControl/>
              <w:jc w:val="center"/>
              <w:rPr>
                <w:rFonts w:ascii="標楷體" w:eastAsia="標楷體" w:hAnsi="標楷體" w:cs="新細明體"/>
                <w:color w:val="000000"/>
                <w:kern w:val="0"/>
                <w:sz w:val="22"/>
              </w:rPr>
            </w:pPr>
            <w:r w:rsidRPr="00383542">
              <w:rPr>
                <w:rFonts w:ascii="標楷體" w:eastAsia="標楷體" w:hAnsi="標楷體" w:cs="新細明體" w:hint="eastAsia"/>
                <w:color w:val="000000"/>
                <w:kern w:val="0"/>
                <w:sz w:val="22"/>
              </w:rPr>
              <w:t>修正前</w:t>
            </w:r>
          </w:p>
        </w:tc>
        <w:tc>
          <w:tcPr>
            <w:tcW w:w="960" w:type="dxa"/>
            <w:tcBorders>
              <w:top w:val="nil"/>
              <w:left w:val="nil"/>
              <w:bottom w:val="single" w:sz="4" w:space="0" w:color="auto"/>
              <w:right w:val="single" w:sz="4" w:space="0" w:color="auto"/>
            </w:tcBorders>
            <w:shd w:val="clear" w:color="auto" w:fill="auto"/>
            <w:noWrap/>
            <w:vAlign w:val="center"/>
            <w:hideMark/>
          </w:tcPr>
          <w:p w:rsidR="00273897" w:rsidRPr="00383542" w:rsidRDefault="00273897" w:rsidP="00273897">
            <w:pPr>
              <w:widowControl/>
              <w:jc w:val="center"/>
              <w:rPr>
                <w:rFonts w:ascii="標楷體" w:eastAsia="標楷體" w:hAnsi="標楷體" w:cs="新細明體"/>
                <w:color w:val="000000"/>
                <w:kern w:val="0"/>
                <w:sz w:val="22"/>
              </w:rPr>
            </w:pPr>
            <w:r w:rsidRPr="00383542">
              <w:rPr>
                <w:rFonts w:ascii="標楷體" w:eastAsia="標楷體" w:hAnsi="標楷體" w:cs="新細明體" w:hint="eastAsia"/>
                <w:color w:val="000000"/>
                <w:kern w:val="0"/>
                <w:sz w:val="22"/>
              </w:rPr>
              <w:t>修正後</w:t>
            </w:r>
          </w:p>
        </w:tc>
        <w:tc>
          <w:tcPr>
            <w:tcW w:w="960" w:type="dxa"/>
            <w:tcBorders>
              <w:top w:val="nil"/>
              <w:left w:val="nil"/>
              <w:bottom w:val="single" w:sz="4" w:space="0" w:color="auto"/>
              <w:right w:val="single" w:sz="4" w:space="0" w:color="auto"/>
            </w:tcBorders>
            <w:shd w:val="clear" w:color="auto" w:fill="auto"/>
            <w:noWrap/>
            <w:vAlign w:val="center"/>
            <w:hideMark/>
          </w:tcPr>
          <w:p w:rsidR="00273897" w:rsidRPr="00383542" w:rsidRDefault="00273897" w:rsidP="00273897">
            <w:pPr>
              <w:widowControl/>
              <w:jc w:val="center"/>
              <w:rPr>
                <w:rFonts w:ascii="標楷體" w:eastAsia="標楷體" w:hAnsi="標楷體" w:cs="新細明體"/>
                <w:color w:val="000000"/>
                <w:kern w:val="0"/>
                <w:sz w:val="22"/>
              </w:rPr>
            </w:pPr>
            <w:r w:rsidRPr="00383542">
              <w:rPr>
                <w:rFonts w:ascii="標楷體" w:eastAsia="標楷體" w:hAnsi="標楷體" w:cs="新細明體" w:hint="eastAsia"/>
                <w:color w:val="000000"/>
                <w:kern w:val="0"/>
                <w:sz w:val="22"/>
              </w:rPr>
              <w:t>修正前</w:t>
            </w:r>
          </w:p>
        </w:tc>
        <w:tc>
          <w:tcPr>
            <w:tcW w:w="960" w:type="dxa"/>
            <w:tcBorders>
              <w:top w:val="nil"/>
              <w:left w:val="nil"/>
              <w:bottom w:val="single" w:sz="4" w:space="0" w:color="auto"/>
              <w:right w:val="single" w:sz="4" w:space="0" w:color="auto"/>
            </w:tcBorders>
            <w:shd w:val="clear" w:color="auto" w:fill="auto"/>
            <w:noWrap/>
            <w:vAlign w:val="center"/>
            <w:hideMark/>
          </w:tcPr>
          <w:p w:rsidR="00273897" w:rsidRPr="00383542" w:rsidRDefault="00273897" w:rsidP="00273897">
            <w:pPr>
              <w:widowControl/>
              <w:jc w:val="center"/>
              <w:rPr>
                <w:rFonts w:ascii="標楷體" w:eastAsia="標楷體" w:hAnsi="標楷體" w:cs="新細明體"/>
                <w:color w:val="000000"/>
                <w:kern w:val="0"/>
                <w:sz w:val="22"/>
              </w:rPr>
            </w:pPr>
            <w:r w:rsidRPr="00383542">
              <w:rPr>
                <w:rFonts w:ascii="標楷體" w:eastAsia="標楷體" w:hAnsi="標楷體" w:cs="新細明體" w:hint="eastAsia"/>
                <w:color w:val="000000"/>
                <w:kern w:val="0"/>
                <w:sz w:val="22"/>
              </w:rPr>
              <w:t>修正後</w:t>
            </w:r>
          </w:p>
        </w:tc>
        <w:tc>
          <w:tcPr>
            <w:tcW w:w="960" w:type="dxa"/>
            <w:tcBorders>
              <w:top w:val="nil"/>
              <w:left w:val="nil"/>
              <w:bottom w:val="single" w:sz="4" w:space="0" w:color="auto"/>
              <w:right w:val="single" w:sz="4" w:space="0" w:color="auto"/>
            </w:tcBorders>
            <w:shd w:val="clear" w:color="auto" w:fill="auto"/>
            <w:noWrap/>
            <w:vAlign w:val="center"/>
            <w:hideMark/>
          </w:tcPr>
          <w:p w:rsidR="00273897" w:rsidRPr="00383542" w:rsidRDefault="00273897" w:rsidP="00273897">
            <w:pPr>
              <w:widowControl/>
              <w:jc w:val="center"/>
              <w:rPr>
                <w:rFonts w:ascii="標楷體" w:eastAsia="標楷體" w:hAnsi="標楷體" w:cs="新細明體"/>
                <w:color w:val="000000"/>
                <w:kern w:val="0"/>
                <w:sz w:val="22"/>
              </w:rPr>
            </w:pPr>
            <w:r w:rsidRPr="00383542">
              <w:rPr>
                <w:rFonts w:ascii="標楷體" w:eastAsia="標楷體" w:hAnsi="標楷體" w:cs="新細明體" w:hint="eastAsia"/>
                <w:color w:val="000000"/>
                <w:kern w:val="0"/>
                <w:sz w:val="22"/>
              </w:rPr>
              <w:t>修正前</w:t>
            </w:r>
          </w:p>
        </w:tc>
        <w:tc>
          <w:tcPr>
            <w:tcW w:w="960" w:type="dxa"/>
            <w:tcBorders>
              <w:top w:val="nil"/>
              <w:left w:val="nil"/>
              <w:bottom w:val="single" w:sz="4" w:space="0" w:color="auto"/>
              <w:right w:val="single" w:sz="4" w:space="0" w:color="auto"/>
            </w:tcBorders>
            <w:shd w:val="clear" w:color="auto" w:fill="auto"/>
            <w:noWrap/>
            <w:vAlign w:val="center"/>
            <w:hideMark/>
          </w:tcPr>
          <w:p w:rsidR="00273897" w:rsidRPr="00383542" w:rsidRDefault="00273897" w:rsidP="00273897">
            <w:pPr>
              <w:widowControl/>
              <w:jc w:val="center"/>
              <w:rPr>
                <w:rFonts w:ascii="標楷體" w:eastAsia="標楷體" w:hAnsi="標楷體" w:cs="新細明體"/>
                <w:color w:val="000000"/>
                <w:kern w:val="0"/>
                <w:sz w:val="22"/>
              </w:rPr>
            </w:pPr>
            <w:r w:rsidRPr="00383542">
              <w:rPr>
                <w:rFonts w:ascii="標楷體" w:eastAsia="標楷體" w:hAnsi="標楷體" w:cs="新細明體" w:hint="eastAsia"/>
                <w:color w:val="000000"/>
                <w:kern w:val="0"/>
                <w:sz w:val="22"/>
              </w:rPr>
              <w:t>修正後</w:t>
            </w:r>
          </w:p>
        </w:tc>
        <w:tc>
          <w:tcPr>
            <w:tcW w:w="960" w:type="dxa"/>
            <w:tcBorders>
              <w:top w:val="nil"/>
              <w:left w:val="nil"/>
              <w:bottom w:val="single" w:sz="4" w:space="0" w:color="auto"/>
              <w:right w:val="single" w:sz="4" w:space="0" w:color="auto"/>
            </w:tcBorders>
            <w:shd w:val="clear" w:color="auto" w:fill="auto"/>
            <w:noWrap/>
            <w:vAlign w:val="center"/>
            <w:hideMark/>
          </w:tcPr>
          <w:p w:rsidR="00273897" w:rsidRPr="00383542" w:rsidRDefault="00273897" w:rsidP="00273897">
            <w:pPr>
              <w:widowControl/>
              <w:jc w:val="center"/>
              <w:rPr>
                <w:rFonts w:ascii="標楷體" w:eastAsia="標楷體" w:hAnsi="標楷體" w:cs="新細明體"/>
                <w:color w:val="000000"/>
                <w:kern w:val="0"/>
                <w:sz w:val="22"/>
              </w:rPr>
            </w:pPr>
            <w:r w:rsidRPr="00383542">
              <w:rPr>
                <w:rFonts w:ascii="標楷體" w:eastAsia="標楷體" w:hAnsi="標楷體" w:cs="新細明體" w:hint="eastAsia"/>
                <w:color w:val="000000"/>
                <w:kern w:val="0"/>
                <w:sz w:val="22"/>
              </w:rPr>
              <w:t>修正前</w:t>
            </w:r>
          </w:p>
        </w:tc>
        <w:tc>
          <w:tcPr>
            <w:tcW w:w="960" w:type="dxa"/>
            <w:tcBorders>
              <w:top w:val="nil"/>
              <w:left w:val="nil"/>
              <w:bottom w:val="single" w:sz="4" w:space="0" w:color="auto"/>
              <w:right w:val="single" w:sz="4" w:space="0" w:color="auto"/>
            </w:tcBorders>
            <w:shd w:val="clear" w:color="auto" w:fill="auto"/>
            <w:noWrap/>
            <w:vAlign w:val="center"/>
            <w:hideMark/>
          </w:tcPr>
          <w:p w:rsidR="00273897" w:rsidRPr="00383542" w:rsidRDefault="00273897" w:rsidP="00273897">
            <w:pPr>
              <w:widowControl/>
              <w:jc w:val="center"/>
              <w:rPr>
                <w:rFonts w:ascii="標楷體" w:eastAsia="標楷體" w:hAnsi="標楷體" w:cs="新細明體"/>
                <w:color w:val="000000"/>
                <w:kern w:val="0"/>
                <w:sz w:val="22"/>
              </w:rPr>
            </w:pPr>
            <w:r w:rsidRPr="00383542">
              <w:rPr>
                <w:rFonts w:ascii="標楷體" w:eastAsia="標楷體" w:hAnsi="標楷體" w:cs="新細明體" w:hint="eastAsia"/>
                <w:color w:val="000000"/>
                <w:kern w:val="0"/>
                <w:sz w:val="22"/>
              </w:rPr>
              <w:t>修正後</w:t>
            </w:r>
          </w:p>
        </w:tc>
      </w:tr>
      <w:tr w:rsidR="00273897" w:rsidRPr="00383542" w:rsidTr="00273897">
        <w:trPr>
          <w:trHeight w:val="315"/>
        </w:trPr>
        <w:tc>
          <w:tcPr>
            <w:tcW w:w="9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273897" w:rsidRPr="00383542" w:rsidRDefault="00273897" w:rsidP="00273897">
            <w:pPr>
              <w:widowControl/>
              <w:jc w:val="center"/>
              <w:rPr>
                <w:rFonts w:ascii="標楷體" w:eastAsia="標楷體" w:hAnsi="標楷體" w:cs="新細明體"/>
                <w:color w:val="000000"/>
                <w:kern w:val="0"/>
                <w:sz w:val="22"/>
              </w:rPr>
            </w:pPr>
            <w:r w:rsidRPr="00383542">
              <w:rPr>
                <w:rFonts w:ascii="標楷體" w:eastAsia="標楷體" w:hAnsi="標楷體" w:cs="新細明體" w:hint="eastAsia"/>
                <w:color w:val="000000"/>
                <w:kern w:val="0"/>
                <w:sz w:val="22"/>
              </w:rPr>
              <w:t>支給標準</w:t>
            </w:r>
          </w:p>
        </w:tc>
        <w:tc>
          <w:tcPr>
            <w:tcW w:w="960" w:type="dxa"/>
            <w:tcBorders>
              <w:top w:val="nil"/>
              <w:left w:val="nil"/>
              <w:bottom w:val="single" w:sz="4" w:space="0" w:color="auto"/>
              <w:right w:val="single" w:sz="4" w:space="0" w:color="auto"/>
            </w:tcBorders>
            <w:shd w:val="clear" w:color="auto" w:fill="auto"/>
            <w:noWrap/>
            <w:vAlign w:val="center"/>
            <w:hideMark/>
          </w:tcPr>
          <w:p w:rsidR="00273897" w:rsidRPr="00383542" w:rsidRDefault="00273897" w:rsidP="00273897">
            <w:pPr>
              <w:widowControl/>
              <w:jc w:val="center"/>
              <w:rPr>
                <w:rFonts w:ascii="標楷體" w:eastAsia="標楷體" w:hAnsi="標楷體" w:cs="新細明體"/>
                <w:color w:val="000000"/>
                <w:kern w:val="0"/>
                <w:sz w:val="22"/>
              </w:rPr>
            </w:pPr>
            <w:r w:rsidRPr="00383542">
              <w:rPr>
                <w:rFonts w:ascii="標楷體" w:eastAsia="標楷體" w:hAnsi="標楷體" w:cs="新細明體" w:hint="eastAsia"/>
                <w:color w:val="000000"/>
                <w:kern w:val="0"/>
                <w:sz w:val="22"/>
              </w:rPr>
              <w:t>日間授課</w:t>
            </w:r>
          </w:p>
        </w:tc>
        <w:tc>
          <w:tcPr>
            <w:tcW w:w="960" w:type="dxa"/>
            <w:tcBorders>
              <w:top w:val="nil"/>
              <w:left w:val="nil"/>
              <w:bottom w:val="single" w:sz="4" w:space="0" w:color="auto"/>
              <w:right w:val="single" w:sz="4" w:space="0" w:color="auto"/>
            </w:tcBorders>
            <w:shd w:val="clear" w:color="auto" w:fill="auto"/>
            <w:noWrap/>
            <w:vAlign w:val="center"/>
            <w:hideMark/>
          </w:tcPr>
          <w:p w:rsidR="00273897" w:rsidRPr="00383542" w:rsidRDefault="00273897" w:rsidP="00273897">
            <w:pPr>
              <w:widowControl/>
              <w:jc w:val="center"/>
              <w:rPr>
                <w:rFonts w:ascii="標楷體" w:eastAsia="標楷體" w:hAnsi="標楷體" w:cs="新細明體"/>
                <w:color w:val="000000"/>
                <w:kern w:val="0"/>
                <w:sz w:val="22"/>
              </w:rPr>
            </w:pPr>
            <w:r w:rsidRPr="00383542">
              <w:rPr>
                <w:rFonts w:ascii="標楷體" w:eastAsia="標楷體" w:hAnsi="標楷體" w:cs="新細明體" w:hint="eastAsia"/>
                <w:color w:val="000000"/>
                <w:kern w:val="0"/>
                <w:sz w:val="22"/>
              </w:rPr>
              <w:t>955</w:t>
            </w:r>
          </w:p>
        </w:tc>
        <w:tc>
          <w:tcPr>
            <w:tcW w:w="960" w:type="dxa"/>
            <w:tcBorders>
              <w:top w:val="nil"/>
              <w:left w:val="nil"/>
              <w:bottom w:val="single" w:sz="4" w:space="0" w:color="auto"/>
              <w:right w:val="single" w:sz="4" w:space="0" w:color="auto"/>
            </w:tcBorders>
            <w:shd w:val="clear" w:color="auto" w:fill="auto"/>
            <w:noWrap/>
            <w:vAlign w:val="center"/>
            <w:hideMark/>
          </w:tcPr>
          <w:p w:rsidR="00273897" w:rsidRPr="00383542" w:rsidRDefault="00273897" w:rsidP="00273897">
            <w:pPr>
              <w:widowControl/>
              <w:jc w:val="center"/>
              <w:rPr>
                <w:rFonts w:ascii="標楷體" w:eastAsia="標楷體" w:hAnsi="標楷體" w:cs="新細明體"/>
                <w:color w:val="000000"/>
                <w:kern w:val="0"/>
                <w:sz w:val="22"/>
              </w:rPr>
            </w:pPr>
            <w:r w:rsidRPr="00383542">
              <w:rPr>
                <w:rFonts w:ascii="標楷體" w:eastAsia="標楷體" w:hAnsi="標楷體" w:cs="新細明體" w:hint="eastAsia"/>
                <w:color w:val="000000"/>
                <w:kern w:val="0"/>
                <w:sz w:val="22"/>
              </w:rPr>
              <w:t>995</w:t>
            </w:r>
          </w:p>
        </w:tc>
        <w:tc>
          <w:tcPr>
            <w:tcW w:w="960" w:type="dxa"/>
            <w:tcBorders>
              <w:top w:val="nil"/>
              <w:left w:val="nil"/>
              <w:bottom w:val="single" w:sz="4" w:space="0" w:color="auto"/>
              <w:right w:val="single" w:sz="4" w:space="0" w:color="auto"/>
            </w:tcBorders>
            <w:shd w:val="clear" w:color="auto" w:fill="auto"/>
            <w:noWrap/>
            <w:vAlign w:val="center"/>
            <w:hideMark/>
          </w:tcPr>
          <w:p w:rsidR="00273897" w:rsidRPr="00383542" w:rsidRDefault="00273897" w:rsidP="00273897">
            <w:pPr>
              <w:widowControl/>
              <w:jc w:val="center"/>
              <w:rPr>
                <w:rFonts w:ascii="標楷體" w:eastAsia="標楷體" w:hAnsi="標楷體" w:cs="新細明體"/>
                <w:color w:val="000000"/>
                <w:kern w:val="0"/>
                <w:sz w:val="22"/>
              </w:rPr>
            </w:pPr>
            <w:r w:rsidRPr="00383542">
              <w:rPr>
                <w:rFonts w:ascii="標楷體" w:eastAsia="標楷體" w:hAnsi="標楷體" w:cs="新細明體" w:hint="eastAsia"/>
                <w:color w:val="000000"/>
                <w:kern w:val="0"/>
                <w:sz w:val="22"/>
              </w:rPr>
              <w:t>820</w:t>
            </w:r>
          </w:p>
        </w:tc>
        <w:tc>
          <w:tcPr>
            <w:tcW w:w="960" w:type="dxa"/>
            <w:tcBorders>
              <w:top w:val="nil"/>
              <w:left w:val="nil"/>
              <w:bottom w:val="single" w:sz="4" w:space="0" w:color="auto"/>
              <w:right w:val="single" w:sz="4" w:space="0" w:color="auto"/>
            </w:tcBorders>
            <w:shd w:val="clear" w:color="auto" w:fill="auto"/>
            <w:noWrap/>
            <w:vAlign w:val="center"/>
            <w:hideMark/>
          </w:tcPr>
          <w:p w:rsidR="00273897" w:rsidRPr="00383542" w:rsidRDefault="00273897" w:rsidP="00273897">
            <w:pPr>
              <w:widowControl/>
              <w:jc w:val="center"/>
              <w:rPr>
                <w:rFonts w:ascii="標楷體" w:eastAsia="標楷體" w:hAnsi="標楷體" w:cs="新細明體"/>
                <w:color w:val="000000"/>
                <w:kern w:val="0"/>
                <w:sz w:val="22"/>
              </w:rPr>
            </w:pPr>
            <w:r w:rsidRPr="00383542">
              <w:rPr>
                <w:rFonts w:ascii="標楷體" w:eastAsia="標楷體" w:hAnsi="標楷體" w:cs="新細明體" w:hint="eastAsia"/>
                <w:color w:val="000000"/>
                <w:kern w:val="0"/>
                <w:sz w:val="22"/>
              </w:rPr>
              <w:t>855</w:t>
            </w:r>
          </w:p>
        </w:tc>
        <w:tc>
          <w:tcPr>
            <w:tcW w:w="960" w:type="dxa"/>
            <w:tcBorders>
              <w:top w:val="nil"/>
              <w:left w:val="nil"/>
              <w:bottom w:val="single" w:sz="4" w:space="0" w:color="auto"/>
              <w:right w:val="single" w:sz="4" w:space="0" w:color="auto"/>
            </w:tcBorders>
            <w:shd w:val="clear" w:color="auto" w:fill="auto"/>
            <w:noWrap/>
            <w:vAlign w:val="center"/>
            <w:hideMark/>
          </w:tcPr>
          <w:p w:rsidR="00273897" w:rsidRPr="00383542" w:rsidRDefault="00273897" w:rsidP="00273897">
            <w:pPr>
              <w:widowControl/>
              <w:jc w:val="center"/>
              <w:rPr>
                <w:rFonts w:ascii="標楷體" w:eastAsia="標楷體" w:hAnsi="標楷體" w:cs="新細明體"/>
                <w:color w:val="000000"/>
                <w:kern w:val="0"/>
                <w:sz w:val="22"/>
              </w:rPr>
            </w:pPr>
            <w:r w:rsidRPr="00383542">
              <w:rPr>
                <w:rFonts w:ascii="標楷體" w:eastAsia="標楷體" w:hAnsi="標楷體" w:cs="新細明體" w:hint="eastAsia"/>
                <w:color w:val="000000"/>
                <w:kern w:val="0"/>
                <w:sz w:val="22"/>
              </w:rPr>
              <w:t>760</w:t>
            </w:r>
          </w:p>
        </w:tc>
        <w:tc>
          <w:tcPr>
            <w:tcW w:w="960" w:type="dxa"/>
            <w:tcBorders>
              <w:top w:val="nil"/>
              <w:left w:val="nil"/>
              <w:bottom w:val="single" w:sz="4" w:space="0" w:color="auto"/>
              <w:right w:val="single" w:sz="4" w:space="0" w:color="auto"/>
            </w:tcBorders>
            <w:shd w:val="clear" w:color="auto" w:fill="auto"/>
            <w:noWrap/>
            <w:vAlign w:val="center"/>
            <w:hideMark/>
          </w:tcPr>
          <w:p w:rsidR="00273897" w:rsidRPr="00383542" w:rsidRDefault="00273897" w:rsidP="00273897">
            <w:pPr>
              <w:widowControl/>
              <w:jc w:val="center"/>
              <w:rPr>
                <w:rFonts w:ascii="標楷體" w:eastAsia="標楷體" w:hAnsi="標楷體" w:cs="新細明體"/>
                <w:color w:val="000000"/>
                <w:kern w:val="0"/>
                <w:sz w:val="22"/>
              </w:rPr>
            </w:pPr>
            <w:r w:rsidRPr="00383542">
              <w:rPr>
                <w:rFonts w:ascii="標楷體" w:eastAsia="標楷體" w:hAnsi="標楷體" w:cs="新細明體" w:hint="eastAsia"/>
                <w:color w:val="000000"/>
                <w:kern w:val="0"/>
                <w:sz w:val="22"/>
              </w:rPr>
              <w:t>795</w:t>
            </w:r>
          </w:p>
        </w:tc>
        <w:tc>
          <w:tcPr>
            <w:tcW w:w="960" w:type="dxa"/>
            <w:tcBorders>
              <w:top w:val="nil"/>
              <w:left w:val="nil"/>
              <w:bottom w:val="single" w:sz="4" w:space="0" w:color="auto"/>
              <w:right w:val="single" w:sz="4" w:space="0" w:color="auto"/>
            </w:tcBorders>
            <w:shd w:val="clear" w:color="auto" w:fill="auto"/>
            <w:noWrap/>
            <w:vAlign w:val="center"/>
            <w:hideMark/>
          </w:tcPr>
          <w:p w:rsidR="00273897" w:rsidRPr="00383542" w:rsidRDefault="00273897" w:rsidP="00273897">
            <w:pPr>
              <w:widowControl/>
              <w:jc w:val="center"/>
              <w:rPr>
                <w:rFonts w:ascii="標楷體" w:eastAsia="標楷體" w:hAnsi="標楷體" w:cs="新細明體"/>
                <w:color w:val="000000"/>
                <w:kern w:val="0"/>
                <w:sz w:val="22"/>
              </w:rPr>
            </w:pPr>
            <w:r w:rsidRPr="00383542">
              <w:rPr>
                <w:rFonts w:ascii="標楷體" w:eastAsia="標楷體" w:hAnsi="標楷體" w:cs="新細明體" w:hint="eastAsia"/>
                <w:color w:val="000000"/>
                <w:kern w:val="0"/>
                <w:sz w:val="22"/>
              </w:rPr>
              <w:t>695</w:t>
            </w:r>
          </w:p>
        </w:tc>
        <w:tc>
          <w:tcPr>
            <w:tcW w:w="960" w:type="dxa"/>
            <w:tcBorders>
              <w:top w:val="nil"/>
              <w:left w:val="nil"/>
              <w:bottom w:val="single" w:sz="4" w:space="0" w:color="auto"/>
              <w:right w:val="single" w:sz="4" w:space="0" w:color="auto"/>
            </w:tcBorders>
            <w:shd w:val="clear" w:color="auto" w:fill="auto"/>
            <w:noWrap/>
            <w:vAlign w:val="center"/>
            <w:hideMark/>
          </w:tcPr>
          <w:p w:rsidR="00273897" w:rsidRPr="00383542" w:rsidRDefault="00273897" w:rsidP="00273897">
            <w:pPr>
              <w:widowControl/>
              <w:jc w:val="center"/>
              <w:rPr>
                <w:rFonts w:ascii="標楷體" w:eastAsia="標楷體" w:hAnsi="標楷體" w:cs="新細明體"/>
                <w:color w:val="000000"/>
                <w:kern w:val="0"/>
                <w:sz w:val="22"/>
              </w:rPr>
            </w:pPr>
            <w:r w:rsidRPr="00383542">
              <w:rPr>
                <w:rFonts w:ascii="標楷體" w:eastAsia="標楷體" w:hAnsi="標楷體" w:cs="新細明體" w:hint="eastAsia"/>
                <w:color w:val="000000"/>
                <w:kern w:val="0"/>
                <w:sz w:val="22"/>
              </w:rPr>
              <w:t>725</w:t>
            </w:r>
          </w:p>
        </w:tc>
      </w:tr>
      <w:tr w:rsidR="00273897" w:rsidRPr="00383542" w:rsidTr="00273897">
        <w:trPr>
          <w:trHeight w:val="315"/>
        </w:trPr>
        <w:tc>
          <w:tcPr>
            <w:tcW w:w="960" w:type="dxa"/>
            <w:vMerge/>
            <w:tcBorders>
              <w:top w:val="nil"/>
              <w:left w:val="single" w:sz="4" w:space="0" w:color="auto"/>
              <w:bottom w:val="single" w:sz="4" w:space="0" w:color="auto"/>
              <w:right w:val="single" w:sz="4" w:space="0" w:color="auto"/>
            </w:tcBorders>
            <w:vAlign w:val="center"/>
            <w:hideMark/>
          </w:tcPr>
          <w:p w:rsidR="00273897" w:rsidRPr="00383542" w:rsidRDefault="00273897" w:rsidP="00273897">
            <w:pPr>
              <w:widowControl/>
              <w:jc w:val="center"/>
              <w:rPr>
                <w:rFonts w:ascii="標楷體" w:eastAsia="標楷體" w:hAnsi="標楷體" w:cs="新細明體"/>
                <w:color w:val="000000"/>
                <w:kern w:val="0"/>
                <w:sz w:val="22"/>
              </w:rPr>
            </w:pPr>
          </w:p>
        </w:tc>
        <w:tc>
          <w:tcPr>
            <w:tcW w:w="960" w:type="dxa"/>
            <w:tcBorders>
              <w:top w:val="nil"/>
              <w:left w:val="nil"/>
              <w:bottom w:val="single" w:sz="4" w:space="0" w:color="auto"/>
              <w:right w:val="single" w:sz="4" w:space="0" w:color="auto"/>
            </w:tcBorders>
            <w:shd w:val="clear" w:color="auto" w:fill="auto"/>
            <w:noWrap/>
            <w:vAlign w:val="center"/>
            <w:hideMark/>
          </w:tcPr>
          <w:p w:rsidR="00273897" w:rsidRPr="00383542" w:rsidRDefault="00273897" w:rsidP="00273897">
            <w:pPr>
              <w:widowControl/>
              <w:jc w:val="center"/>
              <w:rPr>
                <w:rFonts w:ascii="標楷體" w:eastAsia="標楷體" w:hAnsi="標楷體" w:cs="新細明體"/>
                <w:color w:val="000000"/>
                <w:kern w:val="0"/>
                <w:sz w:val="22"/>
              </w:rPr>
            </w:pPr>
            <w:r w:rsidRPr="00383542">
              <w:rPr>
                <w:rFonts w:ascii="標楷體" w:eastAsia="標楷體" w:hAnsi="標楷體" w:cs="新細明體" w:hint="eastAsia"/>
                <w:color w:val="000000"/>
                <w:kern w:val="0"/>
                <w:sz w:val="22"/>
              </w:rPr>
              <w:t>夜間授課</w:t>
            </w:r>
          </w:p>
        </w:tc>
        <w:tc>
          <w:tcPr>
            <w:tcW w:w="960" w:type="dxa"/>
            <w:tcBorders>
              <w:top w:val="nil"/>
              <w:left w:val="nil"/>
              <w:bottom w:val="single" w:sz="4" w:space="0" w:color="auto"/>
              <w:right w:val="single" w:sz="4" w:space="0" w:color="auto"/>
            </w:tcBorders>
            <w:shd w:val="clear" w:color="auto" w:fill="auto"/>
            <w:noWrap/>
            <w:vAlign w:val="center"/>
            <w:hideMark/>
          </w:tcPr>
          <w:p w:rsidR="00273897" w:rsidRPr="00383542" w:rsidRDefault="00273897" w:rsidP="00273897">
            <w:pPr>
              <w:widowControl/>
              <w:jc w:val="center"/>
              <w:rPr>
                <w:rFonts w:ascii="標楷體" w:eastAsia="標楷體" w:hAnsi="標楷體" w:cs="新細明體"/>
                <w:color w:val="000000"/>
                <w:kern w:val="0"/>
                <w:sz w:val="22"/>
              </w:rPr>
            </w:pPr>
            <w:r w:rsidRPr="00383542">
              <w:rPr>
                <w:rFonts w:ascii="標楷體" w:eastAsia="標楷體" w:hAnsi="標楷體" w:cs="新細明體" w:hint="eastAsia"/>
                <w:color w:val="000000"/>
                <w:kern w:val="0"/>
                <w:sz w:val="22"/>
              </w:rPr>
              <w:t>995</w:t>
            </w:r>
          </w:p>
        </w:tc>
        <w:tc>
          <w:tcPr>
            <w:tcW w:w="960" w:type="dxa"/>
            <w:tcBorders>
              <w:top w:val="nil"/>
              <w:left w:val="nil"/>
              <w:bottom w:val="single" w:sz="4" w:space="0" w:color="auto"/>
              <w:right w:val="single" w:sz="4" w:space="0" w:color="auto"/>
            </w:tcBorders>
            <w:shd w:val="clear" w:color="auto" w:fill="auto"/>
            <w:noWrap/>
            <w:vAlign w:val="center"/>
            <w:hideMark/>
          </w:tcPr>
          <w:p w:rsidR="00273897" w:rsidRPr="00383542" w:rsidRDefault="00273897" w:rsidP="00273897">
            <w:pPr>
              <w:widowControl/>
              <w:jc w:val="center"/>
              <w:rPr>
                <w:rFonts w:ascii="標楷體" w:eastAsia="標楷體" w:hAnsi="標楷體" w:cs="新細明體"/>
                <w:color w:val="000000"/>
                <w:kern w:val="0"/>
                <w:sz w:val="22"/>
              </w:rPr>
            </w:pPr>
            <w:r w:rsidRPr="00383542">
              <w:rPr>
                <w:rFonts w:ascii="標楷體" w:eastAsia="標楷體" w:hAnsi="標楷體" w:cs="新細明體" w:hint="eastAsia"/>
                <w:color w:val="000000"/>
                <w:kern w:val="0"/>
                <w:sz w:val="22"/>
              </w:rPr>
              <w:t>1,035</w:t>
            </w:r>
          </w:p>
        </w:tc>
        <w:tc>
          <w:tcPr>
            <w:tcW w:w="960" w:type="dxa"/>
            <w:tcBorders>
              <w:top w:val="nil"/>
              <w:left w:val="nil"/>
              <w:bottom w:val="single" w:sz="4" w:space="0" w:color="auto"/>
              <w:right w:val="single" w:sz="4" w:space="0" w:color="auto"/>
            </w:tcBorders>
            <w:shd w:val="clear" w:color="auto" w:fill="auto"/>
            <w:noWrap/>
            <w:vAlign w:val="center"/>
            <w:hideMark/>
          </w:tcPr>
          <w:p w:rsidR="00273897" w:rsidRPr="00383542" w:rsidRDefault="00273897" w:rsidP="00273897">
            <w:pPr>
              <w:widowControl/>
              <w:jc w:val="center"/>
              <w:rPr>
                <w:rFonts w:ascii="標楷體" w:eastAsia="標楷體" w:hAnsi="標楷體" w:cs="新細明體"/>
                <w:color w:val="000000"/>
                <w:kern w:val="0"/>
                <w:sz w:val="22"/>
              </w:rPr>
            </w:pPr>
            <w:r w:rsidRPr="00383542">
              <w:rPr>
                <w:rFonts w:ascii="標楷體" w:eastAsia="標楷體" w:hAnsi="標楷體" w:cs="新細明體" w:hint="eastAsia"/>
                <w:color w:val="000000"/>
                <w:kern w:val="0"/>
                <w:sz w:val="22"/>
              </w:rPr>
              <w:t>850</w:t>
            </w:r>
          </w:p>
        </w:tc>
        <w:tc>
          <w:tcPr>
            <w:tcW w:w="960" w:type="dxa"/>
            <w:tcBorders>
              <w:top w:val="nil"/>
              <w:left w:val="nil"/>
              <w:bottom w:val="single" w:sz="4" w:space="0" w:color="auto"/>
              <w:right w:val="single" w:sz="4" w:space="0" w:color="auto"/>
            </w:tcBorders>
            <w:shd w:val="clear" w:color="auto" w:fill="auto"/>
            <w:noWrap/>
            <w:vAlign w:val="center"/>
            <w:hideMark/>
          </w:tcPr>
          <w:p w:rsidR="00273897" w:rsidRPr="00383542" w:rsidRDefault="00273897" w:rsidP="00273897">
            <w:pPr>
              <w:widowControl/>
              <w:jc w:val="center"/>
              <w:rPr>
                <w:rFonts w:ascii="標楷體" w:eastAsia="標楷體" w:hAnsi="標楷體" w:cs="新細明體"/>
                <w:color w:val="000000"/>
                <w:kern w:val="0"/>
                <w:sz w:val="22"/>
              </w:rPr>
            </w:pPr>
            <w:r w:rsidRPr="00383542">
              <w:rPr>
                <w:rFonts w:ascii="標楷體" w:eastAsia="標楷體" w:hAnsi="標楷體" w:cs="新細明體" w:hint="eastAsia"/>
                <w:color w:val="000000"/>
                <w:kern w:val="0"/>
                <w:sz w:val="22"/>
              </w:rPr>
              <w:t>885</w:t>
            </w:r>
          </w:p>
        </w:tc>
        <w:tc>
          <w:tcPr>
            <w:tcW w:w="960" w:type="dxa"/>
            <w:tcBorders>
              <w:top w:val="nil"/>
              <w:left w:val="nil"/>
              <w:bottom w:val="single" w:sz="4" w:space="0" w:color="auto"/>
              <w:right w:val="single" w:sz="4" w:space="0" w:color="auto"/>
            </w:tcBorders>
            <w:shd w:val="clear" w:color="auto" w:fill="auto"/>
            <w:noWrap/>
            <w:vAlign w:val="center"/>
            <w:hideMark/>
          </w:tcPr>
          <w:p w:rsidR="00273897" w:rsidRPr="00383542" w:rsidRDefault="00273897" w:rsidP="00273897">
            <w:pPr>
              <w:widowControl/>
              <w:jc w:val="center"/>
              <w:rPr>
                <w:rFonts w:ascii="標楷體" w:eastAsia="標楷體" w:hAnsi="標楷體" w:cs="新細明體"/>
                <w:color w:val="000000"/>
                <w:kern w:val="0"/>
                <w:sz w:val="22"/>
              </w:rPr>
            </w:pPr>
            <w:r w:rsidRPr="00383542">
              <w:rPr>
                <w:rFonts w:ascii="標楷體" w:eastAsia="標楷體" w:hAnsi="標楷體" w:cs="新細明體" w:hint="eastAsia"/>
                <w:color w:val="000000"/>
                <w:kern w:val="0"/>
                <w:sz w:val="22"/>
              </w:rPr>
              <w:t>800</w:t>
            </w:r>
          </w:p>
        </w:tc>
        <w:tc>
          <w:tcPr>
            <w:tcW w:w="960" w:type="dxa"/>
            <w:tcBorders>
              <w:top w:val="nil"/>
              <w:left w:val="nil"/>
              <w:bottom w:val="single" w:sz="4" w:space="0" w:color="auto"/>
              <w:right w:val="single" w:sz="4" w:space="0" w:color="auto"/>
            </w:tcBorders>
            <w:shd w:val="clear" w:color="auto" w:fill="auto"/>
            <w:noWrap/>
            <w:vAlign w:val="center"/>
            <w:hideMark/>
          </w:tcPr>
          <w:p w:rsidR="00273897" w:rsidRPr="00383542" w:rsidRDefault="00273897" w:rsidP="00273897">
            <w:pPr>
              <w:widowControl/>
              <w:jc w:val="center"/>
              <w:rPr>
                <w:rFonts w:ascii="標楷體" w:eastAsia="標楷體" w:hAnsi="標楷體" w:cs="新細明體"/>
                <w:color w:val="000000"/>
                <w:kern w:val="0"/>
                <w:sz w:val="22"/>
              </w:rPr>
            </w:pPr>
            <w:r w:rsidRPr="00383542">
              <w:rPr>
                <w:rFonts w:ascii="標楷體" w:eastAsia="標楷體" w:hAnsi="標楷體" w:cs="新細明體" w:hint="eastAsia"/>
                <w:color w:val="000000"/>
                <w:kern w:val="0"/>
                <w:sz w:val="22"/>
              </w:rPr>
              <w:t>835</w:t>
            </w:r>
          </w:p>
        </w:tc>
        <w:tc>
          <w:tcPr>
            <w:tcW w:w="960" w:type="dxa"/>
            <w:tcBorders>
              <w:top w:val="nil"/>
              <w:left w:val="nil"/>
              <w:bottom w:val="single" w:sz="4" w:space="0" w:color="auto"/>
              <w:right w:val="single" w:sz="4" w:space="0" w:color="auto"/>
            </w:tcBorders>
            <w:shd w:val="clear" w:color="auto" w:fill="auto"/>
            <w:noWrap/>
            <w:vAlign w:val="center"/>
            <w:hideMark/>
          </w:tcPr>
          <w:p w:rsidR="00273897" w:rsidRPr="00383542" w:rsidRDefault="00273897" w:rsidP="00273897">
            <w:pPr>
              <w:widowControl/>
              <w:jc w:val="center"/>
              <w:rPr>
                <w:rFonts w:ascii="標楷體" w:eastAsia="標楷體" w:hAnsi="標楷體" w:cs="新細明體"/>
                <w:color w:val="000000"/>
                <w:kern w:val="0"/>
                <w:sz w:val="22"/>
              </w:rPr>
            </w:pPr>
            <w:r w:rsidRPr="00383542">
              <w:rPr>
                <w:rFonts w:ascii="標楷體" w:eastAsia="標楷體" w:hAnsi="標楷體" w:cs="新細明體" w:hint="eastAsia"/>
                <w:color w:val="000000"/>
                <w:kern w:val="0"/>
                <w:sz w:val="22"/>
              </w:rPr>
              <w:t>740</w:t>
            </w:r>
          </w:p>
        </w:tc>
        <w:tc>
          <w:tcPr>
            <w:tcW w:w="960" w:type="dxa"/>
            <w:tcBorders>
              <w:top w:val="nil"/>
              <w:left w:val="nil"/>
              <w:bottom w:val="single" w:sz="4" w:space="0" w:color="auto"/>
              <w:right w:val="single" w:sz="4" w:space="0" w:color="auto"/>
            </w:tcBorders>
            <w:shd w:val="clear" w:color="auto" w:fill="auto"/>
            <w:noWrap/>
            <w:vAlign w:val="center"/>
            <w:hideMark/>
          </w:tcPr>
          <w:p w:rsidR="00273897" w:rsidRPr="00383542" w:rsidRDefault="00273897" w:rsidP="00273897">
            <w:pPr>
              <w:widowControl/>
              <w:jc w:val="center"/>
              <w:rPr>
                <w:rFonts w:ascii="標楷體" w:eastAsia="標楷體" w:hAnsi="標楷體" w:cs="新細明體"/>
                <w:color w:val="000000"/>
                <w:kern w:val="0"/>
                <w:sz w:val="22"/>
              </w:rPr>
            </w:pPr>
            <w:r w:rsidRPr="00383542">
              <w:rPr>
                <w:rFonts w:ascii="標楷體" w:eastAsia="標楷體" w:hAnsi="標楷體" w:cs="新細明體" w:hint="eastAsia"/>
                <w:color w:val="000000"/>
                <w:kern w:val="0"/>
                <w:sz w:val="22"/>
              </w:rPr>
              <w:t>770</w:t>
            </w:r>
          </w:p>
        </w:tc>
      </w:tr>
    </w:tbl>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 xml:space="preserve">        然私立大專校院並未如公立大專校院訂有統一支兼任教</w:t>
      </w:r>
      <w:r w:rsidRPr="008F7885">
        <w:rPr>
          <w:rFonts w:ascii="標楷體" w:eastAsia="標楷體" w:hAnsi="標楷體" w:hint="eastAsia"/>
          <w:sz w:val="32"/>
          <w:szCs w:val="32"/>
        </w:rPr>
        <w:lastRenderedPageBreak/>
        <w:t>師鐘點費給付標準，教育部為鼓勵私立大專校院提高兼任教師鐘點費支給，自</w:t>
      </w:r>
      <w:r w:rsidRPr="008F7885">
        <w:rPr>
          <w:rFonts w:ascii="標楷體" w:eastAsia="標楷體" w:hAnsi="標楷體"/>
          <w:sz w:val="32"/>
          <w:szCs w:val="32"/>
        </w:rPr>
        <w:t>105</w:t>
      </w:r>
      <w:r w:rsidRPr="008F7885">
        <w:rPr>
          <w:rFonts w:ascii="標楷體" w:eastAsia="標楷體" w:hAnsi="標楷體" w:hint="eastAsia"/>
          <w:sz w:val="32"/>
          <w:szCs w:val="32"/>
        </w:rPr>
        <w:t>年度起，於「教育部獎勵私立大學校院校務發展計畫要點」及「教育部獎勵補助私立技專校院整體發展經費核配及申請要點」等規定，增訂增加獎勵經費之條件，私立學校調整兼任教師鐘點費至公立學校兼任教師授課鐘點費基準者，納入獎補助款核配之參考，額外核給獎勵經費。經查，101所私立大學校院中，僅有29校(28.7%)申請上述補助，分別為18校私立大學(共36校)、11校私立技專校院(共65校)申請上述補助，比例偏低。此外，尚有65校私立大專校院兼任教師鐘點費仍維持82年公立大專校院之給付水準，迄今29年未調整，而此期間，軍公教已調薪11次，現今薪資為82年之1.49倍，此狀況造成私立大專校院教師相對剝奪感，不利私校留才，影響學生受教權。為合理調升私立大專校院兼任教師之待遇，提高私校教學品質，教育部應檢討現行獎勵補助機制是否具足夠誘因，以保障私立大專校院教師勞動權益。爰要求教育部針對上述建議進行研議提出具體方案，並於3個月內向立法院教育及文化委員會提出書面報告。19</w:t>
      </w:r>
      <w:r w:rsidRPr="008F7885">
        <w:rPr>
          <w:rFonts w:ascii="標楷體" w:eastAsia="標楷體" w:hAnsi="標楷體"/>
          <w:sz w:val="32"/>
          <w:szCs w:val="32"/>
        </w:rPr>
        <w:t>6</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提案人：吳思瑤</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連署人：林宜瑾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(三十七)根據教育部統計，105至109年度大專校院學生自殺通報案件數，自256件上升至2</w:t>
      </w:r>
      <w:r w:rsidRPr="008F7885">
        <w:rPr>
          <w:rFonts w:ascii="標楷體" w:eastAsia="標楷體" w:hAnsi="標楷體"/>
          <w:sz w:val="32"/>
          <w:szCs w:val="32"/>
        </w:rPr>
        <w:t>,</w:t>
      </w:r>
      <w:r w:rsidRPr="008F7885">
        <w:rPr>
          <w:rFonts w:ascii="標楷體" w:eastAsia="標楷體" w:hAnsi="標楷體" w:hint="eastAsia"/>
          <w:sz w:val="32"/>
          <w:szCs w:val="32"/>
        </w:rPr>
        <w:t>359件，增加9倍；而107至109年各級學校自殺身亡學生，僅約六成曾接受校內輔導協助，顯見學生自殺問題嚴重，且學輔機制失靈，教育部應立即通盤檢討現有輔導機制，建議如下：1.全面修正「學生輔導法」：「學生輔導法」規範每1,200名學生需配置1名專任輔導人力，然許多大學皆傳出學校心輔諮商難預約，造成心輔中心難及時掌握學生狀況，教育部應立即檢討現有人力</w:t>
      </w:r>
      <w:r w:rsidRPr="008F7885">
        <w:rPr>
          <w:rFonts w:ascii="標楷體" w:eastAsia="標楷體" w:hAnsi="標楷體" w:hint="eastAsia"/>
          <w:sz w:val="32"/>
          <w:szCs w:val="32"/>
        </w:rPr>
        <w:lastRenderedPageBreak/>
        <w:t>配置狀況；2.進行各大專校院心輔中心軟硬體總體檢，檢討各校心輔中心位置及空間設置：以大專校院為例，有21校(13%)校內有多校區，但僅1處諮商室，造成學生使用可及性低；且多數學校心輔空間缺乏心輔思維之設計，缺乏療癒感。112年度所新增預算「改善大專校院輔導諮商空間」2</w:t>
      </w:r>
      <w:r w:rsidRPr="008F7885">
        <w:rPr>
          <w:rFonts w:ascii="標楷體" w:eastAsia="標楷體" w:hAnsi="標楷體"/>
          <w:sz w:val="32"/>
          <w:szCs w:val="32"/>
        </w:rPr>
        <w:t>,</w:t>
      </w:r>
      <w:r w:rsidRPr="008F7885">
        <w:rPr>
          <w:rFonts w:ascii="標楷體" w:eastAsia="標楷體" w:hAnsi="標楷體" w:hint="eastAsia"/>
          <w:sz w:val="32"/>
          <w:szCs w:val="32"/>
        </w:rPr>
        <w:t>500萬元，應於計畫實施中，納入心理及空間設計專家，共同進行空間改善規劃；3.研議各學習階段學生心理假及心理健康學生保險：以大學為例，國內現有國立中山大學及實踐大學提供學生心理假，實踐大學亦配合校內心輔資源，提供請滿3日心理假之學生優先關懷，提供學生心理不適時能適當喘息之空間。國立臺灣大學首創提供學生心理健康保險，給予校外諮商及就診之補助。以上2項作法，教育部應研議於全國大專校院實施之可行性；4.公私協力、跨部會合作，強化學校心輔量能：現今大學心輔中心具有急診服務僅18校(11%)，使得學生於下課時若遇緊急狀況，難以求助，教育部應調查學校於設立服務時所遇之困難，並給予必要協助，並媒合民間資源合作，讓學生在緊急狀況時得以尋求協助；5.研議心輔中心升格：大學心輔中心多設置於學務處轄下，人力及經費不足，且經費自主性不高，難以負荷龐大學生輔導之壓力，教育部應研議升格學校心輔中心，提高經費預算支持。爰要求教育部針對上述建議，於3個月內向立法院教育及文化委員會提出書面報告。19</w:t>
      </w:r>
      <w:r w:rsidRPr="008F7885">
        <w:rPr>
          <w:rFonts w:ascii="標楷體" w:eastAsia="標楷體" w:hAnsi="標楷體"/>
          <w:sz w:val="32"/>
          <w:szCs w:val="32"/>
        </w:rPr>
        <w:t>7</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提案人：吳思瑤</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連署人：林宜瑾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三十八)教育部補助留學生就學貸款之上限，已10年未調整，然國際物價及各國學費逐年調升，近2年又因通膨問題導致留學生在國外所需生活費提高，以英國為例，根據「泰晤士高等教育」報導指出，英國海外一般研究生平均1年學費從</w:t>
      </w:r>
      <w:r w:rsidRPr="008F7885">
        <w:rPr>
          <w:rFonts w:ascii="標楷體" w:eastAsia="標楷體" w:hAnsi="標楷體" w:hint="eastAsia"/>
          <w:sz w:val="32"/>
          <w:szCs w:val="32"/>
        </w:rPr>
        <w:lastRenderedPageBreak/>
        <w:t>2016年1萬3,479英鎊(約當時台幣53萬元)調高至2020年1萬6,081英鎊(約當時台幣62萬元)，又根據國外留學網站統計2023年入學學費平均更高達約2萬英鎊(約台幣72萬元)，7年調漲約48%，學生約需多付20萬元台幣學費，且不含其機票、住宿與其他生活費(1年約台幣40至60萬元)。根據教育部提供之留學貸款上限調整歷程，自2002年起，赴海外修讀碩士學位之貸款上限100萬元、博士200萬元，至今10年未調整，明顯不符合現今海外留學學生所需之費用，導致許多留學生因經費不足，必須額外借貸，不利於鼓勵學生出國攻讀學位、增廣見聞。教育部應即刻檢討「教育部補助留學生就學貸款辦法」，調整貸款總額度上限，並且因應國外大學學費逐年調漲，教育部應於本辦法中明定，定期會同相關單位調整貸款總額度，給予赴國外留學生充足之貸款金額彈性。爰要求教育部針對上述建議進行研議提出具體方案，並於2個月內向立法院教育及文化委員會提出書面報告。19</w:t>
      </w:r>
      <w:r w:rsidRPr="008F7885">
        <w:rPr>
          <w:rFonts w:ascii="標楷體" w:eastAsia="標楷體" w:hAnsi="標楷體"/>
          <w:sz w:val="32"/>
          <w:szCs w:val="32"/>
        </w:rPr>
        <w:t>8</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提案人：吳思瑤</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連署人：林宜瑾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三十九)我國自1999年制定校務基金制度，其目的為鬆綁政府對大學財政運作之限制，提高大學校務自主性並紓緩政府財政壓力，強化各校成本效益及提升經費使用率，使國立大學成為能自主經營的教育事業體。根據教育部資料，110年我國48所國立大專校院約72%學校收支短絀，然各校校務基金收入五成以上為政府補助，不到2%為受贈收入、投資效益收入僅占1%。經查國內各國立大專校院投資資金約七成以上配置於活、定存等保守投資，年收益僅1%，相較新加坡大學校務基金投資收入每年約占收入10%、美國大學約占校務基金40%，故台灣各國立大學校務基金之多元及永續發展，實有</w:t>
      </w:r>
      <w:r w:rsidRPr="008F7885">
        <w:rPr>
          <w:rFonts w:ascii="標楷體" w:eastAsia="標楷體" w:hAnsi="標楷體" w:hint="eastAsia"/>
          <w:sz w:val="32"/>
          <w:szCs w:val="32"/>
        </w:rPr>
        <w:lastRenderedPageBreak/>
        <w:t>檢討必要。教育部應檢討現行國立大專校院資產收入來源及資產配置情形，學習國外具體作為，以強化校務運作效能及紓緩財政壓力。爰要求教育部針對上述建議進行研議提出具體方案，並於3個月內向立法院教育及文化委員會提出書面報告。19</w:t>
      </w:r>
      <w:r w:rsidRPr="008F7885">
        <w:rPr>
          <w:rFonts w:ascii="標楷體" w:eastAsia="標楷體" w:hAnsi="標楷體"/>
          <w:sz w:val="32"/>
          <w:szCs w:val="32"/>
        </w:rPr>
        <w:t>9</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提案人：吳思瑤</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連署人：林宜瑾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四十)據教育部統計，109年我國國小教師在職訓練率逾99%，相較日本、德國訓練率未達七成、挪威五成七、芬蘭四成三，我國國小教師在職訓練率可說高居全球主要國家之冠。惟教育部推動教師教學研習之配套不足，尤其偏遠地區之研習資源不足，有離島地區教師為參與教育部辦理之工作坊，須搭乘飛機來回本島。教育部應鼓勵跨校、跨區合辦研習，以整合進修資源，並針對偏遠地區教師參與研習，提出獎勵及補助措施，以彌補資源落差。爰請教育部於3個月內向立法院教育及文化委員會提出書面報告。</w:t>
      </w:r>
      <w:r w:rsidRPr="008F7885">
        <w:rPr>
          <w:rFonts w:ascii="標楷體" w:eastAsia="標楷體" w:hAnsi="標楷體"/>
          <w:sz w:val="32"/>
          <w:szCs w:val="32"/>
        </w:rPr>
        <w:t>200</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連署人：林奕華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四十一)據教育部統計，106至110學年我國大專校院專任教師已流失逾2千人，其中50歲以下之青壯年教授人數連5年下滑。顯示資深教授因年改因素，多選擇延後退休，已影響青年博士投入教職之意願。另外，有多所大學因少子化衝擊，僅願開專案職缺招聘教師，導致有研究能力之人才流向業界，影響我國高等教育發展。教育部應檢討如何鼓勵青壯年人才投入高等教育，爰請教育部於3個月內向立法院教育及文化委員會提出書面報告。20</w:t>
      </w:r>
      <w:r w:rsidRPr="008F7885">
        <w:rPr>
          <w:rFonts w:ascii="標楷體" w:eastAsia="標楷體" w:hAnsi="標楷體"/>
          <w:sz w:val="32"/>
          <w:szCs w:val="32"/>
        </w:rPr>
        <w:t>1</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連署人：林奕華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lastRenderedPageBreak/>
        <w:t>(四十二)有鑑於少子化嚴重影響學校招生情形，私立學校搶學生的情事時有所聞，惟教育部僅提供各校註冊率統計，以供學生及家長作為選校的標準。其相關資訊仍有不足，無法顯現各校辦學情形，教育部應研議公開各校各學年度之休學、退學人數、就學穩定率統計情形，提供家長及學生了解各校辦學情形，以利其掌握充足資訊作為選校評估依據。爰請教育部於3個月內向立法院教育及文化委員會提出書面報告。20</w:t>
      </w:r>
      <w:r w:rsidRPr="008F7885">
        <w:rPr>
          <w:rFonts w:ascii="標楷體" w:eastAsia="標楷體" w:hAnsi="標楷體"/>
          <w:sz w:val="32"/>
          <w:szCs w:val="32"/>
        </w:rPr>
        <w:t>2</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連署人：林宜瑾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(四十三)考量災害防救及減災教育係未來校園安全維護之重點工作，惟經檢視教育部相關預算僅編列2億7</w:t>
      </w:r>
      <w:r w:rsidRPr="008F7885">
        <w:rPr>
          <w:rFonts w:ascii="標楷體" w:eastAsia="標楷體" w:hAnsi="標楷體"/>
          <w:sz w:val="32"/>
          <w:szCs w:val="32"/>
        </w:rPr>
        <w:t>,</w:t>
      </w:r>
      <w:r w:rsidRPr="008F7885">
        <w:rPr>
          <w:rFonts w:ascii="標楷體" w:eastAsia="標楷體" w:hAnsi="標楷體" w:hint="eastAsia"/>
          <w:sz w:val="32"/>
          <w:szCs w:val="32"/>
        </w:rPr>
        <w:t>903萬餘元，實質補助辦理疏散避難演練之經費卻比例不高。鑑於近期地震、豪雨等天然災害影響校園安全甚鉅，建議教育部應督促各級學校應強化天然災害防救演練工作，除目前國家防災日強調地震防災之推動外，對於其他如颱風、暴雨、極端氣候的災害防救融入式推廣教育及各級學校推動情形亦均應有所掌握及輔導，以強化各級學校師生的災害防救知能。爰請教育部於3個月內向立法院教育及文化委員會提出書面報告。20</w:t>
      </w:r>
      <w:r w:rsidRPr="008F7885">
        <w:rPr>
          <w:rFonts w:ascii="標楷體" w:eastAsia="標楷體" w:hAnsi="標楷體"/>
          <w:sz w:val="32"/>
          <w:szCs w:val="32"/>
        </w:rPr>
        <w:t>3</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連署人：林宜瑾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四十四)鑑於「私立高級中等以上學校退場條例」規定，被列為專案輔導之學校2年後可申請改制、與其他法人或學校合併或改辦文教、社福事業，期限未完成則須退場。另避免校方惡意脫產，規定在學校退場後，賸餘財產將捐贈退場基金、中央機關或公立學校，不動產則歸屬所在地直轄市或縣市。讓辦學績效不力學校有退場機制。然對於部分未列入專案輔導學校的私校，常見將校地出租、或變相由學校相關董事人</w:t>
      </w:r>
      <w:r w:rsidRPr="008F7885">
        <w:rPr>
          <w:rFonts w:ascii="標楷體" w:eastAsia="標楷體" w:hAnsi="標楷體" w:hint="eastAsia"/>
          <w:sz w:val="32"/>
          <w:szCs w:val="32"/>
        </w:rPr>
        <w:lastRenderedPageBreak/>
        <w:t>員經營幼兒園、課後班、實驗學校、或宿舍外包等情事，美其名為活化校產或配合政府政策，實則有變相以原校資源掏空校產之虞。教育部應儘速建立相關稽核機制、並派員查核各校原校產、人員有無上開情事，以避免私校經營產生弊端，影響學校師生相關權益。爰請教育部於3個月內向立法院教育及文化委員會提出書面報告。20</w:t>
      </w:r>
      <w:r w:rsidRPr="008F7885">
        <w:rPr>
          <w:rFonts w:ascii="標楷體" w:eastAsia="標楷體" w:hAnsi="標楷體"/>
          <w:sz w:val="32"/>
          <w:szCs w:val="32"/>
        </w:rPr>
        <w:t>4</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連署人：林宜瑾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四十五)為維護民族尊嚴、延續民族命脈、增進民族福祉及促進族群共榮，本於多元、平等、自主、尊重之原則，推動原住民族教育，並優先考量原住民族歷史正義及轉型正義之需求，並達到大學校園多元文化學習，請教育部在設校經費、教職員員額及設置程序上，協助國立清華大學設置「附屬原住民族實驗高級中學」。205</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提案人：張廖萬堅  林宜瑾  范  雲</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 xml:space="preserve">        伍麗華Saidhai Tahovecahe</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四十六)有鑑於「私立高級中等以上學校退場條例」於111年4月在立法院三讀通過並上路，位於台南市的台灣首府大學111年5月底即傳出學校將停辦，該校學生甚至向董事會發起抗議，並盼教育部能協助。9月中旬教育部緊鑼密鼓接續召開退場審議會，並於10月4日召開第5次「私立高級中等以上學校退場審議會」，會議中決議台灣首府大學須於112年5月31日前限期改善，列為專案輔導學校；台灣首府大學則再次向教育部主動提出停辦計畫，希望能提早停辦、停招。「專案輔導學校停止全部招生後停辦時仍在校學生分發辦法」中規定，只要學校停招，則應盤點停辦時仍具備正式學籍的學生數，並徵詢學生轉學意願。基於學生及教職員權益之保障、少數學生有學分認定問題而受影響等情形，教育</w:t>
      </w:r>
      <w:r w:rsidRPr="008F7885">
        <w:rPr>
          <w:rFonts w:ascii="標楷體" w:eastAsia="標楷體" w:hAnsi="標楷體" w:hint="eastAsia"/>
          <w:sz w:val="32"/>
          <w:szCs w:val="32"/>
        </w:rPr>
        <w:lastRenderedPageBreak/>
        <w:t>部身為主管機關，應以學生權利為最優先考量，爰要求教育部應於3個月內針對如何面對「台灣首府大學」停招停辦之後續處理情況向立法院教育及文化委員會提出書面報告，以利教職員生進行後續之規劃。20</w:t>
      </w:r>
      <w:r w:rsidRPr="008F7885">
        <w:rPr>
          <w:rFonts w:ascii="標楷體" w:eastAsia="標楷體" w:hAnsi="標楷體"/>
          <w:sz w:val="32"/>
          <w:szCs w:val="32"/>
        </w:rPr>
        <w:t>6</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提案人：張廖萬堅  郭國文</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連署人：王婉諭  吳思瑤</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四十七)有鑑於台南市善化區公共圖書館自93年迄今已有17年之久，圖書館現址進出不便，建物本身老舊，亦曾歷經過大火，已不敷使用。然而善化地區近年來隨著南部科學園區的發展，人口數不斷攀升，為解決善化區圖書館之問題，並提供該區有良好之圖書環境，經多次尋覓後，盼能改建至新地點。惟所覓之新址，據了解，該建物目前仍有占用人，爰要求教育部由上至下，會同台南市政府文化局、善化區公所，確保土地使用狀況、排除土地占用之情事，加速新圖書館之規劃及建造，並於3個月內針對本案之情形向立法院教育及文化委員會提出書面報告。20</w:t>
      </w:r>
      <w:r w:rsidRPr="008F7885">
        <w:rPr>
          <w:rFonts w:ascii="標楷體" w:eastAsia="標楷體" w:hAnsi="標楷體"/>
          <w:sz w:val="32"/>
          <w:szCs w:val="32"/>
        </w:rPr>
        <w:t>7</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提案人：張廖萬堅  郭國文</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連署人：王婉諭  吳思瑤</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四十八)近年受少子化影響，學生人數逐年下降，大專校院四年制日間部招生名額也逐年遞減，近3年從18.3萬名減少至17.6萬名，但若區分公、私立，不論是一般大學或是技職校院，公立學校的招生名額卻逐年微幅成長，而私立學校的招生名額則都逐年下降。111年「私立高級中等以上學校退場條例」雖然三讀通過，讓私立高級中等以上學校的退場能有相關規範得以依循，但除了退場之外，私立學校未來的發展與定位為何?教育部宜未雨綢繆，召開私立學校發展論壇研議未來方向。20</w:t>
      </w:r>
      <w:r w:rsidRPr="008F7885">
        <w:rPr>
          <w:rFonts w:ascii="標楷體" w:eastAsia="標楷體" w:hAnsi="標楷體"/>
          <w:sz w:val="32"/>
          <w:szCs w:val="32"/>
        </w:rPr>
        <w:t>8</w:t>
      </w:r>
    </w:p>
    <w:p w:rsidR="007F5871" w:rsidRDefault="007F5871">
      <w:pPr>
        <w:widowControl/>
      </w:pPr>
      <w:r>
        <w:br w:type="page"/>
      </w:r>
    </w:p>
    <w:p w:rsidR="00273897" w:rsidRPr="008F7885" w:rsidRDefault="00273897" w:rsidP="00273897">
      <w:pPr>
        <w:jc w:val="center"/>
      </w:pPr>
      <w:r w:rsidRPr="008F7885">
        <w:rPr>
          <w:rFonts w:hint="eastAsia"/>
        </w:rPr>
        <w:lastRenderedPageBreak/>
        <w:t>表：近三年大專校院四年制日間部招生名額統計</w:t>
      </w:r>
    </w:p>
    <w:tbl>
      <w:tblPr>
        <w:tblW w:w="5668" w:type="dxa"/>
        <w:tblInd w:w="1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7"/>
        <w:gridCol w:w="1417"/>
        <w:gridCol w:w="1417"/>
        <w:gridCol w:w="1417"/>
      </w:tblGrid>
      <w:tr w:rsidR="00273897" w:rsidRPr="008F7885" w:rsidTr="00273897">
        <w:trPr>
          <w:trHeight w:val="315"/>
        </w:trPr>
        <w:tc>
          <w:tcPr>
            <w:tcW w:w="1417" w:type="dxa"/>
            <w:shd w:val="clear" w:color="auto" w:fill="auto"/>
            <w:noWrap/>
            <w:vAlign w:val="center"/>
            <w:hideMark/>
          </w:tcPr>
          <w:p w:rsidR="00273897" w:rsidRPr="008F7885" w:rsidRDefault="00273897" w:rsidP="00273897">
            <w:pPr>
              <w:widowControl/>
              <w:jc w:val="center"/>
              <w:rPr>
                <w:rFonts w:ascii="新細明體" w:hAnsi="新細明體" w:cs="新細明體"/>
                <w:kern w:val="0"/>
              </w:rPr>
            </w:pPr>
          </w:p>
        </w:tc>
        <w:tc>
          <w:tcPr>
            <w:tcW w:w="1417" w:type="dxa"/>
            <w:shd w:val="clear" w:color="auto" w:fill="auto"/>
            <w:noWrap/>
            <w:vAlign w:val="center"/>
            <w:hideMark/>
          </w:tcPr>
          <w:p w:rsidR="00273897" w:rsidRPr="008F7885" w:rsidRDefault="00273897" w:rsidP="00273897">
            <w:pPr>
              <w:widowControl/>
              <w:jc w:val="center"/>
              <w:rPr>
                <w:rFonts w:ascii="新細明體" w:hAnsi="新細明體" w:cs="新細明體"/>
                <w:kern w:val="0"/>
              </w:rPr>
            </w:pPr>
            <w:r w:rsidRPr="008F7885">
              <w:rPr>
                <w:rFonts w:ascii="新細明體" w:hAnsi="新細明體" w:cs="新細明體" w:hint="eastAsia"/>
                <w:kern w:val="0"/>
              </w:rPr>
              <w:t>109</w:t>
            </w:r>
          </w:p>
        </w:tc>
        <w:tc>
          <w:tcPr>
            <w:tcW w:w="1417" w:type="dxa"/>
            <w:shd w:val="clear" w:color="auto" w:fill="auto"/>
            <w:noWrap/>
            <w:vAlign w:val="center"/>
            <w:hideMark/>
          </w:tcPr>
          <w:p w:rsidR="00273897" w:rsidRPr="008F7885" w:rsidRDefault="00273897" w:rsidP="00273897">
            <w:pPr>
              <w:widowControl/>
              <w:jc w:val="center"/>
              <w:rPr>
                <w:rFonts w:ascii="新細明體" w:hAnsi="新細明體" w:cs="新細明體"/>
                <w:kern w:val="0"/>
              </w:rPr>
            </w:pPr>
            <w:r w:rsidRPr="008F7885">
              <w:rPr>
                <w:rFonts w:ascii="新細明體" w:hAnsi="新細明體" w:cs="新細明體" w:hint="eastAsia"/>
                <w:kern w:val="0"/>
              </w:rPr>
              <w:t>110</w:t>
            </w:r>
          </w:p>
        </w:tc>
        <w:tc>
          <w:tcPr>
            <w:tcW w:w="1417" w:type="dxa"/>
            <w:shd w:val="clear" w:color="auto" w:fill="auto"/>
            <w:noWrap/>
            <w:vAlign w:val="center"/>
            <w:hideMark/>
          </w:tcPr>
          <w:p w:rsidR="00273897" w:rsidRPr="008F7885" w:rsidRDefault="00273897" w:rsidP="00273897">
            <w:pPr>
              <w:widowControl/>
              <w:jc w:val="center"/>
              <w:rPr>
                <w:rFonts w:ascii="新細明體" w:hAnsi="新細明體" w:cs="新細明體"/>
                <w:kern w:val="0"/>
              </w:rPr>
            </w:pPr>
            <w:r w:rsidRPr="008F7885">
              <w:rPr>
                <w:rFonts w:ascii="新細明體" w:hAnsi="新細明體" w:cs="新細明體" w:hint="eastAsia"/>
                <w:kern w:val="0"/>
              </w:rPr>
              <w:t>111</w:t>
            </w:r>
          </w:p>
        </w:tc>
      </w:tr>
      <w:tr w:rsidR="00273897" w:rsidRPr="008F7885" w:rsidTr="00273897">
        <w:trPr>
          <w:trHeight w:val="315"/>
        </w:trPr>
        <w:tc>
          <w:tcPr>
            <w:tcW w:w="1417" w:type="dxa"/>
            <w:shd w:val="clear" w:color="auto" w:fill="auto"/>
            <w:noWrap/>
            <w:vAlign w:val="center"/>
            <w:hideMark/>
          </w:tcPr>
          <w:p w:rsidR="00273897" w:rsidRPr="008F7885" w:rsidRDefault="00273897" w:rsidP="00273897">
            <w:pPr>
              <w:widowControl/>
              <w:jc w:val="center"/>
              <w:rPr>
                <w:rFonts w:ascii="新細明體" w:hAnsi="新細明體" w:cs="新細明體"/>
                <w:kern w:val="0"/>
              </w:rPr>
            </w:pPr>
            <w:r w:rsidRPr="008F7885">
              <w:rPr>
                <w:rFonts w:ascii="新細明體" w:hAnsi="新細明體" w:cs="新細明體" w:hint="eastAsia"/>
                <w:kern w:val="0"/>
              </w:rPr>
              <w:t>公立大學</w:t>
            </w:r>
          </w:p>
        </w:tc>
        <w:tc>
          <w:tcPr>
            <w:tcW w:w="1417" w:type="dxa"/>
            <w:shd w:val="clear" w:color="auto" w:fill="auto"/>
            <w:noWrap/>
            <w:vAlign w:val="center"/>
            <w:hideMark/>
          </w:tcPr>
          <w:p w:rsidR="00273897" w:rsidRPr="008F7885" w:rsidRDefault="00273897" w:rsidP="00273897">
            <w:pPr>
              <w:widowControl/>
              <w:jc w:val="right"/>
              <w:rPr>
                <w:rFonts w:ascii="新細明體" w:hAnsi="新細明體" w:cs="新細明體"/>
                <w:kern w:val="0"/>
              </w:rPr>
            </w:pPr>
            <w:r w:rsidRPr="008F7885">
              <w:rPr>
                <w:rFonts w:ascii="新細明體" w:hAnsi="新細明體" w:cs="新細明體" w:hint="eastAsia"/>
                <w:kern w:val="0"/>
              </w:rPr>
              <w:t>41</w:t>
            </w:r>
            <w:r w:rsidRPr="008F7885">
              <w:rPr>
                <w:rFonts w:ascii="新細明體" w:hAnsi="新細明體" w:cs="新細明體"/>
                <w:kern w:val="0"/>
              </w:rPr>
              <w:t>,</w:t>
            </w:r>
            <w:r w:rsidRPr="008F7885">
              <w:rPr>
                <w:rFonts w:ascii="新細明體" w:hAnsi="新細明體" w:cs="新細明體" w:hint="eastAsia"/>
                <w:kern w:val="0"/>
              </w:rPr>
              <w:t>365</w:t>
            </w:r>
          </w:p>
        </w:tc>
        <w:tc>
          <w:tcPr>
            <w:tcW w:w="1417" w:type="dxa"/>
            <w:shd w:val="clear" w:color="auto" w:fill="auto"/>
            <w:noWrap/>
            <w:vAlign w:val="center"/>
            <w:hideMark/>
          </w:tcPr>
          <w:p w:rsidR="00273897" w:rsidRPr="008F7885" w:rsidRDefault="00273897" w:rsidP="00273897">
            <w:pPr>
              <w:widowControl/>
              <w:jc w:val="right"/>
              <w:rPr>
                <w:rFonts w:ascii="新細明體" w:hAnsi="新細明體" w:cs="新細明體"/>
                <w:kern w:val="0"/>
              </w:rPr>
            </w:pPr>
            <w:r w:rsidRPr="008F7885">
              <w:rPr>
                <w:rFonts w:ascii="新細明體" w:hAnsi="新細明體" w:cs="新細明體" w:hint="eastAsia"/>
                <w:kern w:val="0"/>
              </w:rPr>
              <w:t>41</w:t>
            </w:r>
            <w:r w:rsidRPr="008F7885">
              <w:rPr>
                <w:rFonts w:ascii="新細明體" w:hAnsi="新細明體" w:cs="新細明體"/>
                <w:kern w:val="0"/>
              </w:rPr>
              <w:t>,</w:t>
            </w:r>
            <w:r w:rsidRPr="008F7885">
              <w:rPr>
                <w:rFonts w:ascii="新細明體" w:hAnsi="新細明體" w:cs="新細明體" w:hint="eastAsia"/>
                <w:kern w:val="0"/>
              </w:rPr>
              <w:t>382</w:t>
            </w:r>
          </w:p>
        </w:tc>
        <w:tc>
          <w:tcPr>
            <w:tcW w:w="1417" w:type="dxa"/>
            <w:shd w:val="clear" w:color="auto" w:fill="auto"/>
            <w:noWrap/>
            <w:vAlign w:val="center"/>
            <w:hideMark/>
          </w:tcPr>
          <w:p w:rsidR="00273897" w:rsidRPr="008F7885" w:rsidRDefault="00273897" w:rsidP="00273897">
            <w:pPr>
              <w:widowControl/>
              <w:jc w:val="right"/>
              <w:rPr>
                <w:rFonts w:ascii="新細明體" w:hAnsi="新細明體" w:cs="新細明體"/>
                <w:kern w:val="0"/>
              </w:rPr>
            </w:pPr>
            <w:r w:rsidRPr="008F7885">
              <w:rPr>
                <w:rFonts w:ascii="新細明體" w:hAnsi="新細明體" w:cs="新細明體" w:hint="eastAsia"/>
                <w:kern w:val="0"/>
              </w:rPr>
              <w:t>41</w:t>
            </w:r>
            <w:r w:rsidRPr="008F7885">
              <w:rPr>
                <w:rFonts w:ascii="新細明體" w:hAnsi="新細明體" w:cs="新細明體"/>
                <w:kern w:val="0"/>
              </w:rPr>
              <w:t>,</w:t>
            </w:r>
            <w:r w:rsidRPr="008F7885">
              <w:rPr>
                <w:rFonts w:ascii="新細明體" w:hAnsi="新細明體" w:cs="新細明體" w:hint="eastAsia"/>
                <w:kern w:val="0"/>
              </w:rPr>
              <w:t>405</w:t>
            </w:r>
          </w:p>
        </w:tc>
      </w:tr>
      <w:tr w:rsidR="00273897" w:rsidRPr="008F7885" w:rsidTr="00273897">
        <w:trPr>
          <w:trHeight w:val="315"/>
        </w:trPr>
        <w:tc>
          <w:tcPr>
            <w:tcW w:w="1417" w:type="dxa"/>
            <w:shd w:val="clear" w:color="auto" w:fill="auto"/>
            <w:noWrap/>
            <w:vAlign w:val="center"/>
            <w:hideMark/>
          </w:tcPr>
          <w:p w:rsidR="00273897" w:rsidRPr="008F7885" w:rsidRDefault="00273897" w:rsidP="00273897">
            <w:pPr>
              <w:widowControl/>
              <w:jc w:val="center"/>
              <w:rPr>
                <w:rFonts w:ascii="新細明體" w:hAnsi="新細明體" w:cs="新細明體"/>
                <w:kern w:val="0"/>
              </w:rPr>
            </w:pPr>
            <w:r w:rsidRPr="008F7885">
              <w:rPr>
                <w:rFonts w:ascii="新細明體" w:hAnsi="新細明體" w:cs="新細明體" w:hint="eastAsia"/>
                <w:kern w:val="0"/>
              </w:rPr>
              <w:t>私立大學</w:t>
            </w:r>
          </w:p>
        </w:tc>
        <w:tc>
          <w:tcPr>
            <w:tcW w:w="1417" w:type="dxa"/>
            <w:shd w:val="clear" w:color="auto" w:fill="auto"/>
            <w:noWrap/>
            <w:vAlign w:val="center"/>
            <w:hideMark/>
          </w:tcPr>
          <w:p w:rsidR="00273897" w:rsidRPr="008F7885" w:rsidRDefault="00273897" w:rsidP="00273897">
            <w:pPr>
              <w:widowControl/>
              <w:jc w:val="right"/>
              <w:rPr>
                <w:rFonts w:ascii="新細明體" w:hAnsi="新細明體" w:cs="新細明體"/>
                <w:kern w:val="0"/>
              </w:rPr>
            </w:pPr>
            <w:r w:rsidRPr="008F7885">
              <w:rPr>
                <w:rFonts w:ascii="新細明體" w:hAnsi="新細明體" w:cs="新細明體" w:hint="eastAsia"/>
                <w:kern w:val="0"/>
              </w:rPr>
              <w:t>63</w:t>
            </w:r>
            <w:r w:rsidRPr="008F7885">
              <w:rPr>
                <w:rFonts w:ascii="新細明體" w:hAnsi="新細明體" w:cs="新細明體"/>
                <w:kern w:val="0"/>
              </w:rPr>
              <w:t>,</w:t>
            </w:r>
            <w:r w:rsidRPr="008F7885">
              <w:rPr>
                <w:rFonts w:ascii="新細明體" w:hAnsi="新細明體" w:cs="新細明體" w:hint="eastAsia"/>
                <w:kern w:val="0"/>
              </w:rPr>
              <w:t>569</w:t>
            </w:r>
          </w:p>
        </w:tc>
        <w:tc>
          <w:tcPr>
            <w:tcW w:w="1417" w:type="dxa"/>
            <w:shd w:val="clear" w:color="auto" w:fill="auto"/>
            <w:noWrap/>
            <w:vAlign w:val="center"/>
            <w:hideMark/>
          </w:tcPr>
          <w:p w:rsidR="00273897" w:rsidRPr="008F7885" w:rsidRDefault="00273897" w:rsidP="00273897">
            <w:pPr>
              <w:widowControl/>
              <w:jc w:val="right"/>
              <w:rPr>
                <w:rFonts w:ascii="新細明體" w:hAnsi="新細明體" w:cs="新細明體"/>
                <w:kern w:val="0"/>
              </w:rPr>
            </w:pPr>
            <w:r w:rsidRPr="008F7885">
              <w:rPr>
                <w:rFonts w:ascii="新細明體" w:hAnsi="新細明體" w:cs="新細明體" w:hint="eastAsia"/>
                <w:kern w:val="0"/>
              </w:rPr>
              <w:t>63</w:t>
            </w:r>
            <w:r w:rsidRPr="008F7885">
              <w:rPr>
                <w:rFonts w:ascii="新細明體" w:hAnsi="新細明體" w:cs="新細明體"/>
                <w:kern w:val="0"/>
              </w:rPr>
              <w:t>,</w:t>
            </w:r>
            <w:r w:rsidRPr="008F7885">
              <w:rPr>
                <w:rFonts w:ascii="新細明體" w:hAnsi="新細明體" w:cs="新細明體" w:hint="eastAsia"/>
                <w:kern w:val="0"/>
              </w:rPr>
              <w:t>177</w:t>
            </w:r>
          </w:p>
        </w:tc>
        <w:tc>
          <w:tcPr>
            <w:tcW w:w="1417" w:type="dxa"/>
            <w:shd w:val="clear" w:color="auto" w:fill="auto"/>
            <w:noWrap/>
            <w:vAlign w:val="center"/>
            <w:hideMark/>
          </w:tcPr>
          <w:p w:rsidR="00273897" w:rsidRPr="008F7885" w:rsidRDefault="00273897" w:rsidP="00273897">
            <w:pPr>
              <w:widowControl/>
              <w:jc w:val="right"/>
              <w:rPr>
                <w:rFonts w:ascii="新細明體" w:hAnsi="新細明體" w:cs="新細明體"/>
                <w:kern w:val="0"/>
              </w:rPr>
            </w:pPr>
            <w:r w:rsidRPr="008F7885">
              <w:rPr>
                <w:rFonts w:ascii="新細明體" w:hAnsi="新細明體" w:cs="新細明體" w:hint="eastAsia"/>
                <w:kern w:val="0"/>
              </w:rPr>
              <w:t>62</w:t>
            </w:r>
            <w:r w:rsidRPr="008F7885">
              <w:rPr>
                <w:rFonts w:ascii="新細明體" w:hAnsi="新細明體" w:cs="新細明體"/>
                <w:kern w:val="0"/>
              </w:rPr>
              <w:t>,</w:t>
            </w:r>
            <w:r w:rsidRPr="008F7885">
              <w:rPr>
                <w:rFonts w:ascii="新細明體" w:hAnsi="新細明體" w:cs="新細明體" w:hint="eastAsia"/>
                <w:kern w:val="0"/>
              </w:rPr>
              <w:t>929</w:t>
            </w:r>
          </w:p>
        </w:tc>
      </w:tr>
      <w:tr w:rsidR="00273897" w:rsidRPr="008F7885" w:rsidTr="00273897">
        <w:trPr>
          <w:trHeight w:val="315"/>
        </w:trPr>
        <w:tc>
          <w:tcPr>
            <w:tcW w:w="1417" w:type="dxa"/>
            <w:shd w:val="clear" w:color="auto" w:fill="auto"/>
            <w:noWrap/>
            <w:vAlign w:val="center"/>
            <w:hideMark/>
          </w:tcPr>
          <w:p w:rsidR="00273897" w:rsidRPr="008F7885" w:rsidRDefault="00273897" w:rsidP="00273897">
            <w:pPr>
              <w:widowControl/>
              <w:jc w:val="center"/>
              <w:rPr>
                <w:rFonts w:ascii="新細明體" w:hAnsi="新細明體" w:cs="新細明體"/>
                <w:kern w:val="0"/>
              </w:rPr>
            </w:pPr>
            <w:r w:rsidRPr="008F7885">
              <w:rPr>
                <w:rFonts w:ascii="新細明體" w:hAnsi="新細明體" w:cs="新細明體" w:hint="eastAsia"/>
                <w:kern w:val="0"/>
              </w:rPr>
              <w:t>公立技職</w:t>
            </w:r>
          </w:p>
        </w:tc>
        <w:tc>
          <w:tcPr>
            <w:tcW w:w="1417" w:type="dxa"/>
            <w:shd w:val="clear" w:color="auto" w:fill="auto"/>
            <w:noWrap/>
            <w:vAlign w:val="center"/>
            <w:hideMark/>
          </w:tcPr>
          <w:p w:rsidR="00273897" w:rsidRPr="008F7885" w:rsidRDefault="00273897" w:rsidP="00273897">
            <w:pPr>
              <w:widowControl/>
              <w:jc w:val="right"/>
              <w:rPr>
                <w:rFonts w:ascii="新細明體" w:hAnsi="新細明體" w:cs="新細明體"/>
                <w:kern w:val="0"/>
              </w:rPr>
            </w:pPr>
            <w:r w:rsidRPr="008F7885">
              <w:rPr>
                <w:rFonts w:ascii="新細明體" w:hAnsi="新細明體" w:cs="新細明體" w:hint="eastAsia"/>
                <w:kern w:val="0"/>
              </w:rPr>
              <w:t>15</w:t>
            </w:r>
            <w:r w:rsidRPr="008F7885">
              <w:rPr>
                <w:rFonts w:ascii="新細明體" w:hAnsi="新細明體" w:cs="新細明體"/>
                <w:kern w:val="0"/>
              </w:rPr>
              <w:t>,</w:t>
            </w:r>
            <w:r w:rsidRPr="008F7885">
              <w:rPr>
                <w:rFonts w:ascii="新細明體" w:hAnsi="新細明體" w:cs="新細明體" w:hint="eastAsia"/>
                <w:kern w:val="0"/>
              </w:rPr>
              <w:t>782</w:t>
            </w:r>
          </w:p>
        </w:tc>
        <w:tc>
          <w:tcPr>
            <w:tcW w:w="1417" w:type="dxa"/>
            <w:shd w:val="clear" w:color="auto" w:fill="auto"/>
            <w:noWrap/>
            <w:vAlign w:val="center"/>
            <w:hideMark/>
          </w:tcPr>
          <w:p w:rsidR="00273897" w:rsidRPr="008F7885" w:rsidRDefault="00273897" w:rsidP="00273897">
            <w:pPr>
              <w:widowControl/>
              <w:jc w:val="right"/>
              <w:rPr>
                <w:rFonts w:ascii="新細明體" w:hAnsi="新細明體" w:cs="新細明體"/>
                <w:kern w:val="0"/>
              </w:rPr>
            </w:pPr>
            <w:r w:rsidRPr="008F7885">
              <w:rPr>
                <w:rFonts w:ascii="新細明體" w:hAnsi="新細明體" w:cs="新細明體" w:hint="eastAsia"/>
                <w:kern w:val="0"/>
              </w:rPr>
              <w:t>15</w:t>
            </w:r>
            <w:r w:rsidRPr="008F7885">
              <w:rPr>
                <w:rFonts w:ascii="新細明體" w:hAnsi="新細明體" w:cs="新細明體"/>
                <w:kern w:val="0"/>
              </w:rPr>
              <w:t>,</w:t>
            </w:r>
            <w:r w:rsidRPr="008F7885">
              <w:rPr>
                <w:rFonts w:ascii="新細明體" w:hAnsi="新細明體" w:cs="新細明體" w:hint="eastAsia"/>
                <w:kern w:val="0"/>
              </w:rPr>
              <w:t>792</w:t>
            </w:r>
          </w:p>
        </w:tc>
        <w:tc>
          <w:tcPr>
            <w:tcW w:w="1417" w:type="dxa"/>
            <w:shd w:val="clear" w:color="auto" w:fill="auto"/>
            <w:noWrap/>
            <w:vAlign w:val="center"/>
            <w:hideMark/>
          </w:tcPr>
          <w:p w:rsidR="00273897" w:rsidRPr="008F7885" w:rsidRDefault="00273897" w:rsidP="00273897">
            <w:pPr>
              <w:widowControl/>
              <w:jc w:val="right"/>
              <w:rPr>
                <w:rFonts w:ascii="新細明體" w:hAnsi="新細明體" w:cs="新細明體"/>
                <w:kern w:val="0"/>
              </w:rPr>
            </w:pPr>
            <w:r w:rsidRPr="008F7885">
              <w:rPr>
                <w:rFonts w:ascii="新細明體" w:hAnsi="新細明體" w:cs="新細明體" w:hint="eastAsia"/>
                <w:kern w:val="0"/>
              </w:rPr>
              <w:t>15</w:t>
            </w:r>
            <w:r w:rsidRPr="008F7885">
              <w:rPr>
                <w:rFonts w:ascii="新細明體" w:hAnsi="新細明體" w:cs="新細明體"/>
                <w:kern w:val="0"/>
              </w:rPr>
              <w:t>,</w:t>
            </w:r>
            <w:r w:rsidRPr="008F7885">
              <w:rPr>
                <w:rFonts w:ascii="新細明體" w:hAnsi="新細明體" w:cs="新細明體" w:hint="eastAsia"/>
                <w:kern w:val="0"/>
              </w:rPr>
              <w:t>821</w:t>
            </w:r>
          </w:p>
        </w:tc>
      </w:tr>
      <w:tr w:rsidR="00273897" w:rsidRPr="008F7885" w:rsidTr="00273897">
        <w:trPr>
          <w:trHeight w:val="315"/>
        </w:trPr>
        <w:tc>
          <w:tcPr>
            <w:tcW w:w="1417" w:type="dxa"/>
            <w:shd w:val="clear" w:color="auto" w:fill="auto"/>
            <w:noWrap/>
            <w:vAlign w:val="center"/>
            <w:hideMark/>
          </w:tcPr>
          <w:p w:rsidR="00273897" w:rsidRPr="008F7885" w:rsidRDefault="00273897" w:rsidP="00273897">
            <w:pPr>
              <w:widowControl/>
              <w:jc w:val="center"/>
              <w:rPr>
                <w:rFonts w:ascii="新細明體" w:hAnsi="新細明體" w:cs="新細明體"/>
                <w:kern w:val="0"/>
              </w:rPr>
            </w:pPr>
            <w:r w:rsidRPr="008F7885">
              <w:rPr>
                <w:rFonts w:ascii="新細明體" w:hAnsi="新細明體" w:cs="新細明體" w:hint="eastAsia"/>
                <w:kern w:val="0"/>
              </w:rPr>
              <w:t>私立技職</w:t>
            </w:r>
          </w:p>
        </w:tc>
        <w:tc>
          <w:tcPr>
            <w:tcW w:w="1417" w:type="dxa"/>
            <w:shd w:val="clear" w:color="auto" w:fill="auto"/>
            <w:noWrap/>
            <w:vAlign w:val="center"/>
            <w:hideMark/>
          </w:tcPr>
          <w:p w:rsidR="00273897" w:rsidRPr="008F7885" w:rsidRDefault="00273897" w:rsidP="00273897">
            <w:pPr>
              <w:widowControl/>
              <w:jc w:val="right"/>
              <w:rPr>
                <w:rFonts w:ascii="新細明體" w:hAnsi="新細明體" w:cs="新細明體"/>
                <w:kern w:val="0"/>
              </w:rPr>
            </w:pPr>
            <w:r w:rsidRPr="008F7885">
              <w:rPr>
                <w:rFonts w:ascii="新細明體" w:hAnsi="新細明體" w:cs="新細明體" w:hint="eastAsia"/>
                <w:kern w:val="0"/>
              </w:rPr>
              <w:t>62</w:t>
            </w:r>
            <w:r w:rsidRPr="008F7885">
              <w:rPr>
                <w:rFonts w:ascii="新細明體" w:hAnsi="新細明體" w:cs="新細明體"/>
                <w:kern w:val="0"/>
              </w:rPr>
              <w:t>,</w:t>
            </w:r>
            <w:r w:rsidRPr="008F7885">
              <w:rPr>
                <w:rFonts w:ascii="新細明體" w:hAnsi="新細明體" w:cs="新細明體" w:hint="eastAsia"/>
                <w:kern w:val="0"/>
              </w:rPr>
              <w:t>861</w:t>
            </w:r>
          </w:p>
        </w:tc>
        <w:tc>
          <w:tcPr>
            <w:tcW w:w="1417" w:type="dxa"/>
            <w:shd w:val="clear" w:color="auto" w:fill="auto"/>
            <w:noWrap/>
            <w:vAlign w:val="center"/>
            <w:hideMark/>
          </w:tcPr>
          <w:p w:rsidR="00273897" w:rsidRPr="008F7885" w:rsidRDefault="00273897" w:rsidP="00273897">
            <w:pPr>
              <w:widowControl/>
              <w:jc w:val="right"/>
              <w:rPr>
                <w:rFonts w:ascii="新細明體" w:hAnsi="新細明體" w:cs="新細明體"/>
                <w:kern w:val="0"/>
              </w:rPr>
            </w:pPr>
            <w:r w:rsidRPr="008F7885">
              <w:rPr>
                <w:rFonts w:ascii="新細明體" w:hAnsi="新細明體" w:cs="新細明體" w:hint="eastAsia"/>
                <w:kern w:val="0"/>
              </w:rPr>
              <w:t>58</w:t>
            </w:r>
            <w:r w:rsidRPr="008F7885">
              <w:rPr>
                <w:rFonts w:ascii="新細明體" w:hAnsi="新細明體" w:cs="新細明體"/>
                <w:kern w:val="0"/>
              </w:rPr>
              <w:t>,</w:t>
            </w:r>
            <w:r w:rsidRPr="008F7885">
              <w:rPr>
                <w:rFonts w:ascii="新細明體" w:hAnsi="新細明體" w:cs="新細明體" w:hint="eastAsia"/>
                <w:kern w:val="0"/>
              </w:rPr>
              <w:t>596</w:t>
            </w:r>
          </w:p>
        </w:tc>
        <w:tc>
          <w:tcPr>
            <w:tcW w:w="1417" w:type="dxa"/>
            <w:shd w:val="clear" w:color="auto" w:fill="auto"/>
            <w:noWrap/>
            <w:vAlign w:val="center"/>
            <w:hideMark/>
          </w:tcPr>
          <w:p w:rsidR="00273897" w:rsidRPr="008F7885" w:rsidRDefault="00273897" w:rsidP="00273897">
            <w:pPr>
              <w:widowControl/>
              <w:jc w:val="right"/>
              <w:rPr>
                <w:rFonts w:ascii="新細明體" w:hAnsi="新細明體" w:cs="新細明體"/>
                <w:kern w:val="0"/>
              </w:rPr>
            </w:pPr>
            <w:r w:rsidRPr="008F7885">
              <w:rPr>
                <w:rFonts w:ascii="新細明體" w:hAnsi="新細明體" w:cs="新細明體" w:hint="eastAsia"/>
                <w:kern w:val="0"/>
              </w:rPr>
              <w:t>56</w:t>
            </w:r>
            <w:r w:rsidRPr="008F7885">
              <w:rPr>
                <w:rFonts w:ascii="新細明體" w:hAnsi="新細明體" w:cs="新細明體"/>
                <w:kern w:val="0"/>
              </w:rPr>
              <w:t>,</w:t>
            </w:r>
            <w:r w:rsidRPr="008F7885">
              <w:rPr>
                <w:rFonts w:ascii="新細明體" w:hAnsi="新細明體" w:cs="新細明體" w:hint="eastAsia"/>
                <w:kern w:val="0"/>
              </w:rPr>
              <w:t>256</w:t>
            </w:r>
          </w:p>
        </w:tc>
      </w:tr>
      <w:tr w:rsidR="00273897" w:rsidRPr="008F7885" w:rsidTr="00273897">
        <w:trPr>
          <w:trHeight w:val="315"/>
        </w:trPr>
        <w:tc>
          <w:tcPr>
            <w:tcW w:w="1417" w:type="dxa"/>
            <w:shd w:val="clear" w:color="auto" w:fill="auto"/>
            <w:noWrap/>
            <w:vAlign w:val="center"/>
            <w:hideMark/>
          </w:tcPr>
          <w:p w:rsidR="00273897" w:rsidRPr="008F7885" w:rsidRDefault="00273897" w:rsidP="00273897">
            <w:pPr>
              <w:widowControl/>
              <w:jc w:val="center"/>
              <w:rPr>
                <w:rFonts w:ascii="新細明體" w:hAnsi="新細明體" w:cs="新細明體"/>
                <w:kern w:val="0"/>
              </w:rPr>
            </w:pPr>
            <w:r w:rsidRPr="008F7885">
              <w:rPr>
                <w:rFonts w:ascii="新細明體" w:hAnsi="新細明體" w:cs="新細明體" w:hint="eastAsia"/>
                <w:kern w:val="0"/>
              </w:rPr>
              <w:t>全國總計</w:t>
            </w:r>
          </w:p>
        </w:tc>
        <w:tc>
          <w:tcPr>
            <w:tcW w:w="1417" w:type="dxa"/>
            <w:shd w:val="clear" w:color="auto" w:fill="auto"/>
            <w:noWrap/>
            <w:vAlign w:val="center"/>
            <w:hideMark/>
          </w:tcPr>
          <w:p w:rsidR="00273897" w:rsidRPr="008F7885" w:rsidRDefault="00273897" w:rsidP="00273897">
            <w:pPr>
              <w:widowControl/>
              <w:jc w:val="right"/>
              <w:rPr>
                <w:rFonts w:ascii="新細明體" w:hAnsi="新細明體" w:cs="新細明體"/>
                <w:kern w:val="0"/>
              </w:rPr>
            </w:pPr>
            <w:r w:rsidRPr="008F7885">
              <w:rPr>
                <w:rFonts w:ascii="新細明體" w:hAnsi="新細明體" w:cs="新細明體" w:hint="eastAsia"/>
                <w:kern w:val="0"/>
              </w:rPr>
              <w:t>183</w:t>
            </w:r>
            <w:r w:rsidRPr="008F7885">
              <w:rPr>
                <w:rFonts w:ascii="新細明體" w:hAnsi="新細明體" w:cs="新細明體"/>
                <w:kern w:val="0"/>
              </w:rPr>
              <w:t>,</w:t>
            </w:r>
            <w:r w:rsidRPr="008F7885">
              <w:rPr>
                <w:rFonts w:ascii="新細明體" w:hAnsi="新細明體" w:cs="新細明體" w:hint="eastAsia"/>
                <w:kern w:val="0"/>
              </w:rPr>
              <w:t>577</w:t>
            </w:r>
          </w:p>
        </w:tc>
        <w:tc>
          <w:tcPr>
            <w:tcW w:w="1417" w:type="dxa"/>
            <w:shd w:val="clear" w:color="auto" w:fill="auto"/>
            <w:noWrap/>
            <w:vAlign w:val="center"/>
            <w:hideMark/>
          </w:tcPr>
          <w:p w:rsidR="00273897" w:rsidRPr="008F7885" w:rsidRDefault="00273897" w:rsidP="00273897">
            <w:pPr>
              <w:widowControl/>
              <w:jc w:val="right"/>
              <w:rPr>
                <w:rFonts w:ascii="新細明體" w:hAnsi="新細明體" w:cs="新細明體"/>
                <w:kern w:val="0"/>
              </w:rPr>
            </w:pPr>
            <w:r w:rsidRPr="008F7885">
              <w:rPr>
                <w:rFonts w:ascii="新細明體" w:hAnsi="新細明體" w:cs="新細明體" w:hint="eastAsia"/>
                <w:kern w:val="0"/>
              </w:rPr>
              <w:t>178</w:t>
            </w:r>
            <w:r w:rsidRPr="008F7885">
              <w:rPr>
                <w:rFonts w:ascii="新細明體" w:hAnsi="新細明體" w:cs="新細明體"/>
                <w:kern w:val="0"/>
              </w:rPr>
              <w:t>,</w:t>
            </w:r>
            <w:r w:rsidRPr="008F7885">
              <w:rPr>
                <w:rFonts w:ascii="新細明體" w:hAnsi="新細明體" w:cs="新細明體" w:hint="eastAsia"/>
                <w:kern w:val="0"/>
              </w:rPr>
              <w:t>947</w:t>
            </w:r>
          </w:p>
        </w:tc>
        <w:tc>
          <w:tcPr>
            <w:tcW w:w="1417" w:type="dxa"/>
            <w:shd w:val="clear" w:color="auto" w:fill="auto"/>
            <w:noWrap/>
            <w:vAlign w:val="center"/>
            <w:hideMark/>
          </w:tcPr>
          <w:p w:rsidR="00273897" w:rsidRPr="008F7885" w:rsidRDefault="00273897" w:rsidP="00273897">
            <w:pPr>
              <w:widowControl/>
              <w:jc w:val="right"/>
              <w:rPr>
                <w:rFonts w:ascii="新細明體" w:hAnsi="新細明體" w:cs="新細明體"/>
                <w:kern w:val="0"/>
              </w:rPr>
            </w:pPr>
            <w:r w:rsidRPr="008F7885">
              <w:rPr>
                <w:rFonts w:ascii="新細明體" w:hAnsi="新細明體" w:cs="新細明體" w:hint="eastAsia"/>
                <w:kern w:val="0"/>
              </w:rPr>
              <w:t>176</w:t>
            </w:r>
            <w:r w:rsidRPr="008F7885">
              <w:rPr>
                <w:rFonts w:ascii="新細明體" w:hAnsi="新細明體" w:cs="新細明體"/>
                <w:kern w:val="0"/>
              </w:rPr>
              <w:t>,</w:t>
            </w:r>
            <w:r w:rsidRPr="008F7885">
              <w:rPr>
                <w:rFonts w:ascii="新細明體" w:hAnsi="新細明體" w:cs="新細明體" w:hint="eastAsia"/>
                <w:kern w:val="0"/>
              </w:rPr>
              <w:t>411</w:t>
            </w:r>
          </w:p>
        </w:tc>
      </w:tr>
    </w:tbl>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提案人：張廖萬堅</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四十九)近年發生的教師性侵學生遭性平會解聘案件中，有部分案件需要擴大調查該狼師過往所有曾經教過的學生，但部分狼師曾於校外擔任補習班教師，導致調查不易完整進行。爰請教育部參酌校園性平案件調查的相關法規，研議補習班調查之方式，避免狼師逍遙法外。20</w:t>
      </w:r>
      <w:r w:rsidRPr="008F7885">
        <w:rPr>
          <w:rFonts w:ascii="標楷體" w:eastAsia="標楷體" w:hAnsi="標楷體"/>
          <w:sz w:val="32"/>
          <w:szCs w:val="32"/>
        </w:rPr>
        <w:t>9</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提案人：張廖萬堅</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五十)現行校安通報包括意外事件、安全維護事件、暴力與偏差事件、管教衝突事件、兒童及少年保護事件、天然災害事件、疾病事件、其他事件等8大類別，從統計數據可以瞭解現今各級學校及教保服務機構的校園安全情形，並有助於維護學生安全。但現今校安通報統計的公布時間為每年度底公布前1年度全年的數據，國人無法即時得知校園安全相關情況。若以衛生福利部兒虐通報及處理統計為例，其相關數據在網路上都直接查到，且至少每半年公布一次最新數據，利於國人瞭解兒虐通報及處理情形。為使國人能瞭解校安情況，並檢驗制度是否健全，教育部應定期公布校安通報的各項數據及調查、懲處結果，相關規劃並於3個月內向立法院教育及文化委員會提出書面報告。2</w:t>
      </w:r>
      <w:r w:rsidRPr="008F7885">
        <w:rPr>
          <w:rFonts w:ascii="標楷體" w:eastAsia="標楷體" w:hAnsi="標楷體"/>
          <w:sz w:val="32"/>
          <w:szCs w:val="32"/>
        </w:rPr>
        <w:t>10</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提案人：張廖萬堅</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lastRenderedPageBreak/>
        <w:t>(五十一)為保障身心障礙員工工作權益，現行訂有「身心障礙者權利公約」、「身心障礙者權益保障法」、「身心障礙者職務再設計實施方式及補助準則」等規範，但大專校院身障教職員常因校內無主責單位或主責人員，導致相關權益無法落實。爰請教育部規劃相關方案，除加強業務宣導外，亦應督促各大專校院訂定主責單位，並明確公告主責人員，以保障大專校院身心障礙教職員工作權益。2</w:t>
      </w:r>
      <w:r w:rsidRPr="008F7885">
        <w:rPr>
          <w:rFonts w:ascii="標楷體" w:eastAsia="標楷體" w:hAnsi="標楷體"/>
          <w:sz w:val="32"/>
          <w:szCs w:val="32"/>
        </w:rPr>
        <w:t>11</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提案人：張廖萬堅</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五十二)近5年教育部及國民及學前教育署積極發展特殊教育，委託學界辦理特教研究或行政、執行案件逾150案，盼能改善特教學生學習困境、提升就學品質。但其中卻有案件過於集中少數學者的情形，屢遭民間批判，爰此請教育部及國民及學前教育署於委辦案件時，宜平均分配或給予更多年輕特教學者發揮長才的機會，以期廣納各界建議、促使特教環境能有更好的發展。21</w:t>
      </w:r>
      <w:r w:rsidRPr="008F7885">
        <w:rPr>
          <w:rFonts w:ascii="標楷體" w:eastAsia="標楷體" w:hAnsi="標楷體"/>
          <w:sz w:val="32"/>
          <w:szCs w:val="32"/>
        </w:rPr>
        <w:t>2</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提案人：張廖萬堅</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五十三)現行特教生升大學，自表中可以看出，110及111年2個年度，平均特教生獲得的大學入學機會有1.35及1.41個，看起來入學資格受到保障。但因為大學招生有區分特教生的障礙類別，其中高比例的名額是開給聽障生，每個聽障生平均有3.58及4.04個讀大學的機會，若是自閉症的學生，只有0.81及0.9個就讀大學的機會，除了前6大類特教生外，其他類別的特教生，入學機會也都不到1個。現今少子化，許多大學招生已招不滿，111年學測整體錄取率更達111.6%，普通生只要有意願升學，都有大學可以讀，但是特教生透過特教甄試，卻會發生自閉症學生、其他障礙類別學</w:t>
      </w:r>
      <w:r w:rsidRPr="008F7885">
        <w:rPr>
          <w:rFonts w:ascii="標楷體" w:eastAsia="標楷體" w:hAnsi="標楷體" w:hint="eastAsia"/>
          <w:sz w:val="32"/>
          <w:szCs w:val="32"/>
        </w:rPr>
        <w:lastRenderedPageBreak/>
        <w:t>生沒學校可唸的窘境。身心障礙學生即使有實力能在甄試中脫穎而出，卻僅有屈指可數的學校或學系可以選填，更多情形是連適合的選擇都沒有，遑論自己喜愛的理想甚至是夢幻校系。教育部應協調各大學開出足額的缺額，讓特教生能依照自身的興趣及理想來選填大學科系，使特教生更能適才適性升學。</w:t>
      </w:r>
      <w:r w:rsidRPr="008F7885">
        <w:rPr>
          <w:rFonts w:ascii="標楷體" w:eastAsia="標楷體" w:hAnsi="標楷體"/>
          <w:sz w:val="32"/>
          <w:szCs w:val="32"/>
        </w:rPr>
        <w:t>213</w:t>
      </w:r>
    </w:p>
    <w:p w:rsidR="00273897" w:rsidRPr="008F7885" w:rsidRDefault="00273897" w:rsidP="00273897">
      <w:pPr>
        <w:jc w:val="center"/>
      </w:pPr>
      <w:r w:rsidRPr="008F7885">
        <w:rPr>
          <w:rFonts w:hint="eastAsia"/>
        </w:rPr>
        <w:t>表：特教生升大學機會缺額數</w:t>
      </w:r>
    </w:p>
    <w:tbl>
      <w:tblPr>
        <w:tblW w:w="8817"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5"/>
        <w:gridCol w:w="737"/>
        <w:gridCol w:w="737"/>
        <w:gridCol w:w="737"/>
        <w:gridCol w:w="737"/>
        <w:gridCol w:w="737"/>
        <w:gridCol w:w="1020"/>
        <w:gridCol w:w="1474"/>
        <w:gridCol w:w="953"/>
      </w:tblGrid>
      <w:tr w:rsidR="00273897" w:rsidRPr="008F7885" w:rsidTr="00273897">
        <w:tc>
          <w:tcPr>
            <w:tcW w:w="1685" w:type="dxa"/>
            <w:shd w:val="clear" w:color="auto" w:fill="auto"/>
          </w:tcPr>
          <w:p w:rsidR="00273897" w:rsidRPr="008F7885" w:rsidRDefault="00273897" w:rsidP="00273897">
            <w:pPr>
              <w:jc w:val="both"/>
              <w:rPr>
                <w:rFonts w:ascii="新細明體" w:hAnsi="新細明體"/>
                <w:szCs w:val="24"/>
              </w:rPr>
            </w:pPr>
          </w:p>
        </w:tc>
        <w:tc>
          <w:tcPr>
            <w:tcW w:w="737" w:type="dxa"/>
            <w:shd w:val="clear" w:color="auto" w:fill="auto"/>
            <w:vAlign w:val="center"/>
          </w:tcPr>
          <w:p w:rsidR="00273897" w:rsidRPr="008F7885" w:rsidRDefault="00273897" w:rsidP="00273897">
            <w:pPr>
              <w:jc w:val="center"/>
              <w:rPr>
                <w:rFonts w:ascii="新細明體" w:hAnsi="新細明體"/>
                <w:szCs w:val="24"/>
              </w:rPr>
            </w:pPr>
            <w:r w:rsidRPr="008F7885">
              <w:rPr>
                <w:rFonts w:ascii="新細明體" w:hAnsi="新細明體" w:hint="eastAsia"/>
                <w:szCs w:val="24"/>
              </w:rPr>
              <w:t>視障</w:t>
            </w:r>
          </w:p>
        </w:tc>
        <w:tc>
          <w:tcPr>
            <w:tcW w:w="737" w:type="dxa"/>
            <w:shd w:val="clear" w:color="auto" w:fill="auto"/>
            <w:vAlign w:val="center"/>
          </w:tcPr>
          <w:p w:rsidR="00273897" w:rsidRPr="008F7885" w:rsidRDefault="00273897" w:rsidP="00273897">
            <w:pPr>
              <w:jc w:val="center"/>
              <w:rPr>
                <w:rFonts w:ascii="新細明體" w:hAnsi="新細明體"/>
                <w:szCs w:val="24"/>
              </w:rPr>
            </w:pPr>
            <w:r w:rsidRPr="008F7885">
              <w:rPr>
                <w:rFonts w:ascii="新細明體" w:hAnsi="新細明體" w:hint="eastAsia"/>
                <w:szCs w:val="24"/>
              </w:rPr>
              <w:t>聽障</w:t>
            </w:r>
          </w:p>
        </w:tc>
        <w:tc>
          <w:tcPr>
            <w:tcW w:w="737" w:type="dxa"/>
            <w:shd w:val="clear" w:color="auto" w:fill="auto"/>
            <w:vAlign w:val="center"/>
          </w:tcPr>
          <w:p w:rsidR="00273897" w:rsidRPr="008F7885" w:rsidRDefault="00273897" w:rsidP="00273897">
            <w:pPr>
              <w:jc w:val="center"/>
              <w:rPr>
                <w:rFonts w:ascii="新細明體" w:hAnsi="新細明體"/>
                <w:szCs w:val="24"/>
              </w:rPr>
            </w:pPr>
            <w:r w:rsidRPr="008F7885">
              <w:rPr>
                <w:rFonts w:ascii="新細明體" w:hAnsi="新細明體" w:hint="eastAsia"/>
                <w:szCs w:val="24"/>
              </w:rPr>
              <w:t>學障</w:t>
            </w:r>
          </w:p>
        </w:tc>
        <w:tc>
          <w:tcPr>
            <w:tcW w:w="737" w:type="dxa"/>
            <w:shd w:val="clear" w:color="auto" w:fill="auto"/>
            <w:vAlign w:val="center"/>
          </w:tcPr>
          <w:p w:rsidR="00273897" w:rsidRPr="008F7885" w:rsidRDefault="00273897" w:rsidP="00273897">
            <w:pPr>
              <w:jc w:val="center"/>
              <w:rPr>
                <w:rFonts w:ascii="新細明體" w:hAnsi="新細明體"/>
                <w:szCs w:val="24"/>
              </w:rPr>
            </w:pPr>
            <w:r w:rsidRPr="008F7885">
              <w:rPr>
                <w:rFonts w:ascii="新細明體" w:hAnsi="新細明體" w:hint="eastAsia"/>
                <w:szCs w:val="24"/>
              </w:rPr>
              <w:t>肢障</w:t>
            </w:r>
          </w:p>
        </w:tc>
        <w:tc>
          <w:tcPr>
            <w:tcW w:w="737" w:type="dxa"/>
            <w:shd w:val="clear" w:color="auto" w:fill="auto"/>
            <w:vAlign w:val="center"/>
          </w:tcPr>
          <w:p w:rsidR="00273897" w:rsidRPr="008F7885" w:rsidRDefault="00273897" w:rsidP="00273897">
            <w:pPr>
              <w:jc w:val="center"/>
              <w:rPr>
                <w:rFonts w:ascii="新細明體" w:hAnsi="新細明體"/>
                <w:szCs w:val="24"/>
              </w:rPr>
            </w:pPr>
            <w:r w:rsidRPr="008F7885">
              <w:rPr>
                <w:rFonts w:ascii="新細明體" w:hAnsi="新細明體" w:hint="eastAsia"/>
                <w:szCs w:val="24"/>
              </w:rPr>
              <w:t>腦麻</w:t>
            </w:r>
          </w:p>
        </w:tc>
        <w:tc>
          <w:tcPr>
            <w:tcW w:w="1020" w:type="dxa"/>
            <w:shd w:val="clear" w:color="auto" w:fill="auto"/>
            <w:vAlign w:val="center"/>
          </w:tcPr>
          <w:p w:rsidR="00273897" w:rsidRPr="008F7885" w:rsidRDefault="00273897" w:rsidP="00273897">
            <w:pPr>
              <w:jc w:val="center"/>
              <w:rPr>
                <w:rFonts w:ascii="新細明體" w:hAnsi="新細明體"/>
                <w:szCs w:val="24"/>
              </w:rPr>
            </w:pPr>
            <w:r w:rsidRPr="008F7885">
              <w:rPr>
                <w:rFonts w:ascii="新細明體" w:hAnsi="新細明體" w:hint="eastAsia"/>
                <w:szCs w:val="24"/>
              </w:rPr>
              <w:t>自閉症</w:t>
            </w:r>
          </w:p>
        </w:tc>
        <w:tc>
          <w:tcPr>
            <w:tcW w:w="1474" w:type="dxa"/>
            <w:shd w:val="clear" w:color="auto" w:fill="auto"/>
            <w:vAlign w:val="center"/>
          </w:tcPr>
          <w:p w:rsidR="00273897" w:rsidRPr="008F7885" w:rsidRDefault="00273897" w:rsidP="00273897">
            <w:pPr>
              <w:jc w:val="center"/>
              <w:rPr>
                <w:rFonts w:ascii="新細明體" w:hAnsi="新細明體"/>
                <w:szCs w:val="24"/>
              </w:rPr>
            </w:pPr>
            <w:r w:rsidRPr="008F7885">
              <w:rPr>
                <w:rFonts w:ascii="新細明體" w:hAnsi="新細明體" w:hint="eastAsia"/>
                <w:szCs w:val="24"/>
              </w:rPr>
              <w:t>其他障別</w:t>
            </w:r>
          </w:p>
        </w:tc>
        <w:tc>
          <w:tcPr>
            <w:tcW w:w="953" w:type="dxa"/>
            <w:shd w:val="clear" w:color="auto" w:fill="auto"/>
            <w:vAlign w:val="center"/>
          </w:tcPr>
          <w:p w:rsidR="00273897" w:rsidRPr="008F7885" w:rsidRDefault="00273897" w:rsidP="00273897">
            <w:pPr>
              <w:jc w:val="center"/>
              <w:rPr>
                <w:rFonts w:ascii="新細明體" w:hAnsi="新細明體"/>
                <w:szCs w:val="24"/>
              </w:rPr>
            </w:pPr>
            <w:r w:rsidRPr="008F7885">
              <w:rPr>
                <w:rFonts w:ascii="新細明體" w:hAnsi="新細明體" w:hint="eastAsia"/>
                <w:szCs w:val="24"/>
              </w:rPr>
              <w:t>合計</w:t>
            </w:r>
          </w:p>
        </w:tc>
      </w:tr>
      <w:tr w:rsidR="00273897" w:rsidRPr="008F7885" w:rsidTr="00273897">
        <w:trPr>
          <w:trHeight w:val="397"/>
        </w:trPr>
        <w:tc>
          <w:tcPr>
            <w:tcW w:w="1685" w:type="dxa"/>
            <w:shd w:val="clear" w:color="auto" w:fill="auto"/>
            <w:vAlign w:val="center"/>
          </w:tcPr>
          <w:p w:rsidR="00273897" w:rsidRPr="008F7885" w:rsidRDefault="00273897" w:rsidP="00273897">
            <w:pPr>
              <w:jc w:val="both"/>
              <w:rPr>
                <w:rFonts w:ascii="新細明體" w:hAnsi="新細明體"/>
                <w:szCs w:val="24"/>
              </w:rPr>
            </w:pPr>
            <w:r w:rsidRPr="008F7885">
              <w:rPr>
                <w:rFonts w:ascii="新細明體" w:hAnsi="新細明體" w:hint="eastAsia"/>
                <w:szCs w:val="24"/>
              </w:rPr>
              <w:t>1</w:t>
            </w:r>
            <w:r w:rsidRPr="008F7885">
              <w:rPr>
                <w:rFonts w:ascii="新細明體" w:hAnsi="新細明體"/>
                <w:szCs w:val="24"/>
              </w:rPr>
              <w:t>11</w:t>
            </w:r>
            <w:r w:rsidRPr="008F7885">
              <w:rPr>
                <w:rFonts w:ascii="新細明體" w:hAnsi="新細明體" w:hint="eastAsia"/>
                <w:szCs w:val="24"/>
              </w:rPr>
              <w:t>報考人數</w:t>
            </w:r>
          </w:p>
        </w:tc>
        <w:tc>
          <w:tcPr>
            <w:tcW w:w="737" w:type="dxa"/>
            <w:shd w:val="clear" w:color="auto" w:fill="auto"/>
            <w:vAlign w:val="center"/>
          </w:tcPr>
          <w:p w:rsidR="00273897" w:rsidRPr="008F7885" w:rsidRDefault="00273897" w:rsidP="00273897">
            <w:pPr>
              <w:jc w:val="right"/>
              <w:rPr>
                <w:rFonts w:ascii="新細明體" w:hAnsi="新細明體"/>
                <w:szCs w:val="24"/>
              </w:rPr>
            </w:pPr>
            <w:r w:rsidRPr="008F7885">
              <w:rPr>
                <w:rFonts w:ascii="新細明體" w:hAnsi="新細明體" w:hint="eastAsia"/>
                <w:szCs w:val="24"/>
              </w:rPr>
              <w:t>5</w:t>
            </w:r>
            <w:r w:rsidRPr="008F7885">
              <w:rPr>
                <w:rFonts w:ascii="新細明體" w:hAnsi="新細明體"/>
                <w:szCs w:val="24"/>
              </w:rPr>
              <w:t>7</w:t>
            </w:r>
          </w:p>
        </w:tc>
        <w:tc>
          <w:tcPr>
            <w:tcW w:w="737" w:type="dxa"/>
            <w:shd w:val="clear" w:color="auto" w:fill="auto"/>
            <w:vAlign w:val="center"/>
          </w:tcPr>
          <w:p w:rsidR="00273897" w:rsidRPr="008F7885" w:rsidRDefault="00273897" w:rsidP="00273897">
            <w:pPr>
              <w:jc w:val="right"/>
              <w:rPr>
                <w:rFonts w:ascii="新細明體" w:hAnsi="新細明體"/>
                <w:szCs w:val="24"/>
              </w:rPr>
            </w:pPr>
            <w:r w:rsidRPr="008F7885">
              <w:rPr>
                <w:rFonts w:ascii="新細明體" w:hAnsi="新細明體"/>
                <w:szCs w:val="24"/>
              </w:rPr>
              <w:t>175</w:t>
            </w:r>
          </w:p>
        </w:tc>
        <w:tc>
          <w:tcPr>
            <w:tcW w:w="737" w:type="dxa"/>
            <w:shd w:val="clear" w:color="auto" w:fill="auto"/>
            <w:vAlign w:val="center"/>
          </w:tcPr>
          <w:p w:rsidR="00273897" w:rsidRPr="008F7885" w:rsidRDefault="00273897" w:rsidP="00273897">
            <w:pPr>
              <w:jc w:val="right"/>
              <w:rPr>
                <w:rFonts w:ascii="新細明體" w:hAnsi="新細明體"/>
                <w:szCs w:val="24"/>
              </w:rPr>
            </w:pPr>
            <w:r w:rsidRPr="008F7885">
              <w:rPr>
                <w:rFonts w:ascii="新細明體" w:hAnsi="新細明體" w:hint="eastAsia"/>
                <w:szCs w:val="24"/>
              </w:rPr>
              <w:t>1</w:t>
            </w:r>
            <w:r w:rsidRPr="008F7885">
              <w:rPr>
                <w:rFonts w:ascii="新細明體" w:hAnsi="新細明體"/>
                <w:szCs w:val="24"/>
              </w:rPr>
              <w:t>,115</w:t>
            </w:r>
          </w:p>
        </w:tc>
        <w:tc>
          <w:tcPr>
            <w:tcW w:w="737" w:type="dxa"/>
            <w:shd w:val="clear" w:color="auto" w:fill="auto"/>
            <w:vAlign w:val="center"/>
          </w:tcPr>
          <w:p w:rsidR="00273897" w:rsidRPr="008F7885" w:rsidRDefault="00273897" w:rsidP="00273897">
            <w:pPr>
              <w:jc w:val="right"/>
              <w:rPr>
                <w:rFonts w:ascii="新細明體" w:hAnsi="新細明體"/>
                <w:szCs w:val="24"/>
              </w:rPr>
            </w:pPr>
            <w:r w:rsidRPr="008F7885">
              <w:rPr>
                <w:rFonts w:ascii="新細明體" w:hAnsi="新細明體" w:hint="eastAsia"/>
                <w:szCs w:val="24"/>
              </w:rPr>
              <w:t>1</w:t>
            </w:r>
            <w:r w:rsidRPr="008F7885">
              <w:rPr>
                <w:rFonts w:ascii="新細明體" w:hAnsi="新細明體"/>
                <w:szCs w:val="24"/>
              </w:rPr>
              <w:t>40</w:t>
            </w:r>
          </w:p>
        </w:tc>
        <w:tc>
          <w:tcPr>
            <w:tcW w:w="737" w:type="dxa"/>
            <w:shd w:val="clear" w:color="auto" w:fill="auto"/>
            <w:vAlign w:val="center"/>
          </w:tcPr>
          <w:p w:rsidR="00273897" w:rsidRPr="008F7885" w:rsidRDefault="00273897" w:rsidP="00273897">
            <w:pPr>
              <w:jc w:val="right"/>
              <w:rPr>
                <w:rFonts w:ascii="新細明體" w:hAnsi="新細明體"/>
                <w:szCs w:val="24"/>
              </w:rPr>
            </w:pPr>
            <w:r w:rsidRPr="008F7885">
              <w:rPr>
                <w:rFonts w:ascii="新細明體" w:hAnsi="新細明體" w:hint="eastAsia"/>
                <w:szCs w:val="24"/>
              </w:rPr>
              <w:t>6</w:t>
            </w:r>
            <w:r w:rsidRPr="008F7885">
              <w:rPr>
                <w:rFonts w:ascii="新細明體" w:hAnsi="新細明體"/>
                <w:szCs w:val="24"/>
              </w:rPr>
              <w:t>6</w:t>
            </w:r>
          </w:p>
        </w:tc>
        <w:tc>
          <w:tcPr>
            <w:tcW w:w="1020" w:type="dxa"/>
            <w:shd w:val="clear" w:color="auto" w:fill="auto"/>
            <w:vAlign w:val="center"/>
          </w:tcPr>
          <w:p w:rsidR="00273897" w:rsidRPr="008F7885" w:rsidRDefault="00273897" w:rsidP="00273897">
            <w:pPr>
              <w:jc w:val="right"/>
              <w:rPr>
                <w:rFonts w:ascii="新細明體" w:hAnsi="新細明體"/>
                <w:szCs w:val="24"/>
              </w:rPr>
            </w:pPr>
            <w:r w:rsidRPr="008F7885">
              <w:rPr>
                <w:rFonts w:ascii="新細明體" w:hAnsi="新細明體" w:hint="eastAsia"/>
                <w:szCs w:val="24"/>
              </w:rPr>
              <w:t>7</w:t>
            </w:r>
            <w:r w:rsidRPr="008F7885">
              <w:rPr>
                <w:rFonts w:ascii="新細明體" w:hAnsi="新細明體"/>
                <w:szCs w:val="24"/>
              </w:rPr>
              <w:t>77</w:t>
            </w:r>
          </w:p>
        </w:tc>
        <w:tc>
          <w:tcPr>
            <w:tcW w:w="1474" w:type="dxa"/>
            <w:shd w:val="clear" w:color="auto" w:fill="auto"/>
            <w:vAlign w:val="center"/>
          </w:tcPr>
          <w:p w:rsidR="00273897" w:rsidRPr="008F7885" w:rsidRDefault="00273897" w:rsidP="00273897">
            <w:pPr>
              <w:jc w:val="right"/>
              <w:rPr>
                <w:rFonts w:ascii="新細明體" w:hAnsi="新細明體"/>
                <w:szCs w:val="24"/>
              </w:rPr>
            </w:pPr>
            <w:r w:rsidRPr="008F7885">
              <w:rPr>
                <w:rFonts w:ascii="新細明體" w:hAnsi="新細明體" w:hint="eastAsia"/>
                <w:szCs w:val="24"/>
              </w:rPr>
              <w:t>7</w:t>
            </w:r>
            <w:r w:rsidRPr="008F7885">
              <w:rPr>
                <w:rFonts w:ascii="新細明體" w:hAnsi="新細明體"/>
                <w:szCs w:val="24"/>
              </w:rPr>
              <w:t>99</w:t>
            </w:r>
          </w:p>
        </w:tc>
        <w:tc>
          <w:tcPr>
            <w:tcW w:w="953" w:type="dxa"/>
            <w:shd w:val="clear" w:color="auto" w:fill="auto"/>
            <w:vAlign w:val="center"/>
          </w:tcPr>
          <w:p w:rsidR="00273897" w:rsidRPr="008F7885" w:rsidRDefault="00273897" w:rsidP="00273897">
            <w:pPr>
              <w:jc w:val="right"/>
              <w:rPr>
                <w:rFonts w:ascii="新細明體" w:hAnsi="新細明體"/>
                <w:szCs w:val="24"/>
              </w:rPr>
            </w:pPr>
            <w:r w:rsidRPr="008F7885">
              <w:rPr>
                <w:rFonts w:ascii="新細明體" w:hAnsi="新細明體" w:hint="eastAsia"/>
                <w:szCs w:val="24"/>
              </w:rPr>
              <w:t>3</w:t>
            </w:r>
            <w:r w:rsidRPr="008F7885">
              <w:rPr>
                <w:rFonts w:ascii="新細明體" w:hAnsi="新細明體"/>
                <w:szCs w:val="24"/>
              </w:rPr>
              <w:t>,129</w:t>
            </w:r>
          </w:p>
        </w:tc>
      </w:tr>
      <w:tr w:rsidR="00273897" w:rsidRPr="008F7885" w:rsidTr="00273897">
        <w:trPr>
          <w:trHeight w:val="397"/>
        </w:trPr>
        <w:tc>
          <w:tcPr>
            <w:tcW w:w="1685" w:type="dxa"/>
            <w:shd w:val="clear" w:color="auto" w:fill="auto"/>
            <w:vAlign w:val="center"/>
          </w:tcPr>
          <w:p w:rsidR="00273897" w:rsidRPr="008F7885" w:rsidRDefault="00273897" w:rsidP="00273897">
            <w:pPr>
              <w:jc w:val="both"/>
              <w:rPr>
                <w:rFonts w:ascii="新細明體" w:hAnsi="新細明體"/>
                <w:szCs w:val="24"/>
              </w:rPr>
            </w:pPr>
            <w:r w:rsidRPr="008F7885">
              <w:rPr>
                <w:rFonts w:ascii="新細明體" w:hAnsi="新細明體" w:hint="eastAsia"/>
                <w:szCs w:val="24"/>
              </w:rPr>
              <w:t>1</w:t>
            </w:r>
            <w:r w:rsidRPr="008F7885">
              <w:rPr>
                <w:rFonts w:ascii="新細明體" w:hAnsi="新細明體"/>
                <w:szCs w:val="24"/>
              </w:rPr>
              <w:t>11</w:t>
            </w:r>
            <w:r w:rsidRPr="008F7885">
              <w:rPr>
                <w:rFonts w:ascii="新細明體" w:hAnsi="新細明體" w:hint="eastAsia"/>
                <w:szCs w:val="24"/>
              </w:rPr>
              <w:t>缺額合計</w:t>
            </w:r>
          </w:p>
        </w:tc>
        <w:tc>
          <w:tcPr>
            <w:tcW w:w="737" w:type="dxa"/>
            <w:shd w:val="clear" w:color="auto" w:fill="auto"/>
            <w:vAlign w:val="center"/>
          </w:tcPr>
          <w:p w:rsidR="00273897" w:rsidRPr="008F7885" w:rsidRDefault="00273897" w:rsidP="00273897">
            <w:pPr>
              <w:jc w:val="right"/>
              <w:rPr>
                <w:rFonts w:ascii="新細明體" w:hAnsi="新細明體"/>
                <w:szCs w:val="24"/>
              </w:rPr>
            </w:pPr>
            <w:r w:rsidRPr="008F7885">
              <w:rPr>
                <w:rFonts w:ascii="新細明體" w:hAnsi="新細明體" w:hint="eastAsia"/>
                <w:szCs w:val="24"/>
              </w:rPr>
              <w:t>1</w:t>
            </w:r>
            <w:r w:rsidRPr="008F7885">
              <w:rPr>
                <w:rFonts w:ascii="新細明體" w:hAnsi="新細明體"/>
                <w:szCs w:val="24"/>
              </w:rPr>
              <w:t>45</w:t>
            </w:r>
          </w:p>
        </w:tc>
        <w:tc>
          <w:tcPr>
            <w:tcW w:w="737" w:type="dxa"/>
            <w:shd w:val="clear" w:color="auto" w:fill="auto"/>
            <w:vAlign w:val="center"/>
          </w:tcPr>
          <w:p w:rsidR="00273897" w:rsidRPr="008F7885" w:rsidRDefault="00273897" w:rsidP="00273897">
            <w:pPr>
              <w:jc w:val="right"/>
              <w:rPr>
                <w:rFonts w:ascii="新細明體" w:hAnsi="新細明體"/>
                <w:szCs w:val="24"/>
              </w:rPr>
            </w:pPr>
            <w:r w:rsidRPr="008F7885">
              <w:rPr>
                <w:rFonts w:ascii="新細明體" w:hAnsi="新細明體"/>
                <w:szCs w:val="24"/>
              </w:rPr>
              <w:t>707</w:t>
            </w:r>
          </w:p>
        </w:tc>
        <w:tc>
          <w:tcPr>
            <w:tcW w:w="737" w:type="dxa"/>
            <w:shd w:val="clear" w:color="auto" w:fill="auto"/>
            <w:vAlign w:val="center"/>
          </w:tcPr>
          <w:p w:rsidR="00273897" w:rsidRPr="008F7885" w:rsidRDefault="00273897" w:rsidP="00273897">
            <w:pPr>
              <w:jc w:val="right"/>
              <w:rPr>
                <w:rFonts w:ascii="新細明體" w:hAnsi="新細明體"/>
                <w:szCs w:val="24"/>
              </w:rPr>
            </w:pPr>
            <w:r w:rsidRPr="008F7885">
              <w:rPr>
                <w:rFonts w:ascii="新細明體" w:hAnsi="新細明體" w:hint="eastAsia"/>
                <w:szCs w:val="24"/>
              </w:rPr>
              <w:t>1</w:t>
            </w:r>
            <w:r w:rsidRPr="008F7885">
              <w:rPr>
                <w:rFonts w:ascii="新細明體" w:hAnsi="新細明體"/>
                <w:szCs w:val="24"/>
              </w:rPr>
              <w:t>,622</w:t>
            </w:r>
          </w:p>
        </w:tc>
        <w:tc>
          <w:tcPr>
            <w:tcW w:w="737" w:type="dxa"/>
            <w:shd w:val="clear" w:color="auto" w:fill="auto"/>
            <w:vAlign w:val="center"/>
          </w:tcPr>
          <w:p w:rsidR="00273897" w:rsidRPr="008F7885" w:rsidRDefault="00273897" w:rsidP="00273897">
            <w:pPr>
              <w:jc w:val="right"/>
              <w:rPr>
                <w:rFonts w:ascii="新細明體" w:hAnsi="新細明體"/>
                <w:szCs w:val="24"/>
              </w:rPr>
            </w:pPr>
            <w:r w:rsidRPr="008F7885">
              <w:rPr>
                <w:rFonts w:ascii="新細明體" w:hAnsi="新細明體" w:hint="eastAsia"/>
                <w:szCs w:val="24"/>
              </w:rPr>
              <w:t>3</w:t>
            </w:r>
            <w:r w:rsidRPr="008F7885">
              <w:rPr>
                <w:rFonts w:ascii="新細明體" w:hAnsi="新細明體"/>
                <w:szCs w:val="24"/>
              </w:rPr>
              <w:t>01</w:t>
            </w:r>
          </w:p>
        </w:tc>
        <w:tc>
          <w:tcPr>
            <w:tcW w:w="737" w:type="dxa"/>
            <w:shd w:val="clear" w:color="auto" w:fill="auto"/>
            <w:vAlign w:val="center"/>
          </w:tcPr>
          <w:p w:rsidR="00273897" w:rsidRPr="008F7885" w:rsidRDefault="00273897" w:rsidP="00273897">
            <w:pPr>
              <w:jc w:val="right"/>
              <w:rPr>
                <w:rFonts w:ascii="新細明體" w:hAnsi="新細明體"/>
                <w:szCs w:val="24"/>
              </w:rPr>
            </w:pPr>
            <w:r w:rsidRPr="008F7885">
              <w:rPr>
                <w:rFonts w:ascii="新細明體" w:hAnsi="新細明體" w:hint="eastAsia"/>
                <w:szCs w:val="24"/>
              </w:rPr>
              <w:t>1</w:t>
            </w:r>
            <w:r w:rsidRPr="008F7885">
              <w:rPr>
                <w:rFonts w:ascii="新細明體" w:hAnsi="新細明體"/>
                <w:szCs w:val="24"/>
              </w:rPr>
              <w:t>34</w:t>
            </w:r>
          </w:p>
        </w:tc>
        <w:tc>
          <w:tcPr>
            <w:tcW w:w="1020" w:type="dxa"/>
            <w:shd w:val="clear" w:color="auto" w:fill="auto"/>
            <w:vAlign w:val="center"/>
          </w:tcPr>
          <w:p w:rsidR="00273897" w:rsidRPr="008F7885" w:rsidRDefault="00273897" w:rsidP="00273897">
            <w:pPr>
              <w:jc w:val="right"/>
              <w:rPr>
                <w:rFonts w:ascii="新細明體" w:hAnsi="新細明體"/>
                <w:szCs w:val="24"/>
              </w:rPr>
            </w:pPr>
            <w:r w:rsidRPr="008F7885">
              <w:rPr>
                <w:rFonts w:ascii="新細明體" w:hAnsi="新細明體" w:hint="eastAsia"/>
                <w:szCs w:val="24"/>
              </w:rPr>
              <w:t>7</w:t>
            </w:r>
            <w:r w:rsidRPr="008F7885">
              <w:rPr>
                <w:rFonts w:ascii="新細明體" w:hAnsi="新細明體"/>
                <w:szCs w:val="24"/>
              </w:rPr>
              <w:t>03</w:t>
            </w:r>
          </w:p>
        </w:tc>
        <w:tc>
          <w:tcPr>
            <w:tcW w:w="1474" w:type="dxa"/>
            <w:shd w:val="clear" w:color="auto" w:fill="auto"/>
            <w:vAlign w:val="center"/>
          </w:tcPr>
          <w:p w:rsidR="00273897" w:rsidRPr="008F7885" w:rsidRDefault="00273897" w:rsidP="00273897">
            <w:pPr>
              <w:jc w:val="right"/>
              <w:rPr>
                <w:rFonts w:ascii="新細明體" w:hAnsi="新細明體"/>
                <w:szCs w:val="24"/>
              </w:rPr>
            </w:pPr>
            <w:r w:rsidRPr="008F7885">
              <w:rPr>
                <w:rFonts w:ascii="新細明體" w:hAnsi="新細明體" w:hint="eastAsia"/>
                <w:szCs w:val="24"/>
              </w:rPr>
              <w:t>7</w:t>
            </w:r>
            <w:r w:rsidRPr="008F7885">
              <w:rPr>
                <w:rFonts w:ascii="新細明體" w:hAnsi="新細明體"/>
                <w:szCs w:val="24"/>
              </w:rPr>
              <w:t>94</w:t>
            </w:r>
          </w:p>
        </w:tc>
        <w:tc>
          <w:tcPr>
            <w:tcW w:w="953" w:type="dxa"/>
            <w:shd w:val="clear" w:color="auto" w:fill="auto"/>
            <w:vAlign w:val="center"/>
          </w:tcPr>
          <w:p w:rsidR="00273897" w:rsidRPr="008F7885" w:rsidRDefault="00273897" w:rsidP="00273897">
            <w:pPr>
              <w:jc w:val="right"/>
              <w:rPr>
                <w:rFonts w:ascii="新細明體" w:hAnsi="新細明體"/>
                <w:szCs w:val="24"/>
              </w:rPr>
            </w:pPr>
            <w:r w:rsidRPr="008F7885">
              <w:rPr>
                <w:rFonts w:ascii="新細明體" w:hAnsi="新細明體" w:hint="eastAsia"/>
                <w:szCs w:val="24"/>
              </w:rPr>
              <w:t>4</w:t>
            </w:r>
            <w:r w:rsidRPr="008F7885">
              <w:rPr>
                <w:rFonts w:ascii="新細明體" w:hAnsi="新細明體"/>
                <w:szCs w:val="24"/>
              </w:rPr>
              <w:t>,406</w:t>
            </w:r>
          </w:p>
        </w:tc>
      </w:tr>
      <w:tr w:rsidR="00273897" w:rsidRPr="008F7885" w:rsidTr="00273897">
        <w:trPr>
          <w:trHeight w:val="397"/>
        </w:trPr>
        <w:tc>
          <w:tcPr>
            <w:tcW w:w="1685" w:type="dxa"/>
            <w:shd w:val="clear" w:color="auto" w:fill="auto"/>
            <w:vAlign w:val="center"/>
          </w:tcPr>
          <w:p w:rsidR="00273897" w:rsidRPr="008F7885" w:rsidRDefault="00273897" w:rsidP="00273897">
            <w:pPr>
              <w:jc w:val="both"/>
              <w:rPr>
                <w:rFonts w:ascii="新細明體" w:hAnsi="新細明體"/>
                <w:szCs w:val="24"/>
              </w:rPr>
            </w:pPr>
            <w:r w:rsidRPr="008F7885">
              <w:rPr>
                <w:rFonts w:ascii="新細明體" w:hAnsi="新細明體" w:hint="eastAsia"/>
                <w:szCs w:val="24"/>
              </w:rPr>
              <w:t>平均每生名額</w:t>
            </w:r>
          </w:p>
        </w:tc>
        <w:tc>
          <w:tcPr>
            <w:tcW w:w="737" w:type="dxa"/>
            <w:shd w:val="clear" w:color="auto" w:fill="auto"/>
            <w:vAlign w:val="center"/>
          </w:tcPr>
          <w:p w:rsidR="00273897" w:rsidRPr="008F7885" w:rsidRDefault="00273897" w:rsidP="00273897">
            <w:pPr>
              <w:widowControl/>
              <w:jc w:val="right"/>
              <w:rPr>
                <w:rFonts w:ascii="新細明體" w:hAnsi="新細明體"/>
              </w:rPr>
            </w:pPr>
            <w:r w:rsidRPr="008F7885">
              <w:rPr>
                <w:rFonts w:ascii="新細明體" w:hAnsi="新細明體"/>
              </w:rPr>
              <w:t>2.54</w:t>
            </w:r>
          </w:p>
        </w:tc>
        <w:tc>
          <w:tcPr>
            <w:tcW w:w="737" w:type="dxa"/>
            <w:shd w:val="clear" w:color="auto" w:fill="auto"/>
            <w:vAlign w:val="center"/>
          </w:tcPr>
          <w:p w:rsidR="00273897" w:rsidRPr="008F7885" w:rsidRDefault="00273897" w:rsidP="00273897">
            <w:pPr>
              <w:jc w:val="right"/>
              <w:rPr>
                <w:rFonts w:ascii="新細明體" w:hAnsi="新細明體"/>
              </w:rPr>
            </w:pPr>
            <w:r w:rsidRPr="008F7885">
              <w:rPr>
                <w:rFonts w:ascii="新細明體" w:hAnsi="新細明體"/>
              </w:rPr>
              <w:t>4.04</w:t>
            </w:r>
          </w:p>
        </w:tc>
        <w:tc>
          <w:tcPr>
            <w:tcW w:w="737" w:type="dxa"/>
            <w:shd w:val="clear" w:color="auto" w:fill="auto"/>
            <w:vAlign w:val="center"/>
          </w:tcPr>
          <w:p w:rsidR="00273897" w:rsidRPr="008F7885" w:rsidRDefault="00273897" w:rsidP="00273897">
            <w:pPr>
              <w:jc w:val="right"/>
              <w:rPr>
                <w:rFonts w:ascii="新細明體" w:hAnsi="新細明體"/>
              </w:rPr>
            </w:pPr>
            <w:r w:rsidRPr="008F7885">
              <w:rPr>
                <w:rFonts w:ascii="新細明體" w:hAnsi="新細明體"/>
              </w:rPr>
              <w:t>1.45</w:t>
            </w:r>
          </w:p>
        </w:tc>
        <w:tc>
          <w:tcPr>
            <w:tcW w:w="737" w:type="dxa"/>
            <w:shd w:val="clear" w:color="auto" w:fill="auto"/>
            <w:vAlign w:val="center"/>
          </w:tcPr>
          <w:p w:rsidR="00273897" w:rsidRPr="008F7885" w:rsidRDefault="00273897" w:rsidP="00273897">
            <w:pPr>
              <w:jc w:val="right"/>
              <w:rPr>
                <w:rFonts w:ascii="新細明體" w:hAnsi="新細明體"/>
              </w:rPr>
            </w:pPr>
            <w:r w:rsidRPr="008F7885">
              <w:rPr>
                <w:rFonts w:ascii="新細明體" w:hAnsi="新細明體"/>
              </w:rPr>
              <w:t>2.15</w:t>
            </w:r>
          </w:p>
        </w:tc>
        <w:tc>
          <w:tcPr>
            <w:tcW w:w="737" w:type="dxa"/>
            <w:shd w:val="clear" w:color="auto" w:fill="auto"/>
            <w:vAlign w:val="center"/>
          </w:tcPr>
          <w:p w:rsidR="00273897" w:rsidRPr="008F7885" w:rsidRDefault="00273897" w:rsidP="00273897">
            <w:pPr>
              <w:jc w:val="right"/>
              <w:rPr>
                <w:rFonts w:ascii="新細明體" w:hAnsi="新細明體"/>
              </w:rPr>
            </w:pPr>
            <w:r w:rsidRPr="008F7885">
              <w:rPr>
                <w:rFonts w:ascii="新細明體" w:hAnsi="新細明體"/>
              </w:rPr>
              <w:t>2.03</w:t>
            </w:r>
          </w:p>
        </w:tc>
        <w:tc>
          <w:tcPr>
            <w:tcW w:w="1020" w:type="dxa"/>
            <w:shd w:val="clear" w:color="auto" w:fill="auto"/>
            <w:vAlign w:val="center"/>
          </w:tcPr>
          <w:p w:rsidR="00273897" w:rsidRPr="008F7885" w:rsidRDefault="00273897" w:rsidP="00273897">
            <w:pPr>
              <w:jc w:val="right"/>
              <w:rPr>
                <w:rFonts w:ascii="新細明體" w:hAnsi="新細明體"/>
              </w:rPr>
            </w:pPr>
            <w:r w:rsidRPr="008F7885">
              <w:rPr>
                <w:rFonts w:ascii="新細明體" w:hAnsi="新細明體"/>
              </w:rPr>
              <w:t>0.90</w:t>
            </w:r>
          </w:p>
        </w:tc>
        <w:tc>
          <w:tcPr>
            <w:tcW w:w="1474" w:type="dxa"/>
            <w:shd w:val="clear" w:color="auto" w:fill="auto"/>
            <w:vAlign w:val="center"/>
          </w:tcPr>
          <w:p w:rsidR="00273897" w:rsidRPr="008F7885" w:rsidRDefault="00273897" w:rsidP="00273897">
            <w:pPr>
              <w:jc w:val="right"/>
              <w:rPr>
                <w:rFonts w:ascii="新細明體" w:hAnsi="新細明體"/>
              </w:rPr>
            </w:pPr>
            <w:r w:rsidRPr="008F7885">
              <w:rPr>
                <w:rFonts w:ascii="新細明體" w:hAnsi="新細明體"/>
              </w:rPr>
              <w:t>0.99</w:t>
            </w:r>
          </w:p>
        </w:tc>
        <w:tc>
          <w:tcPr>
            <w:tcW w:w="953" w:type="dxa"/>
            <w:shd w:val="clear" w:color="auto" w:fill="auto"/>
            <w:vAlign w:val="center"/>
          </w:tcPr>
          <w:p w:rsidR="00273897" w:rsidRPr="008F7885" w:rsidRDefault="00273897" w:rsidP="00273897">
            <w:pPr>
              <w:jc w:val="right"/>
              <w:rPr>
                <w:rFonts w:ascii="新細明體" w:hAnsi="新細明體"/>
              </w:rPr>
            </w:pPr>
            <w:r w:rsidRPr="008F7885">
              <w:rPr>
                <w:rFonts w:ascii="新細明體" w:hAnsi="新細明體"/>
              </w:rPr>
              <w:t>1.41</w:t>
            </w:r>
          </w:p>
        </w:tc>
      </w:tr>
      <w:tr w:rsidR="00273897" w:rsidRPr="008F7885" w:rsidTr="00273897">
        <w:trPr>
          <w:trHeight w:val="397"/>
        </w:trPr>
        <w:tc>
          <w:tcPr>
            <w:tcW w:w="1685" w:type="dxa"/>
            <w:shd w:val="clear" w:color="auto" w:fill="auto"/>
            <w:vAlign w:val="center"/>
          </w:tcPr>
          <w:p w:rsidR="00273897" w:rsidRPr="008F7885" w:rsidRDefault="00273897" w:rsidP="00273897">
            <w:pPr>
              <w:jc w:val="both"/>
              <w:rPr>
                <w:rFonts w:ascii="新細明體" w:hAnsi="新細明體"/>
                <w:szCs w:val="24"/>
              </w:rPr>
            </w:pPr>
            <w:r w:rsidRPr="008F7885">
              <w:rPr>
                <w:rFonts w:ascii="新細明體" w:hAnsi="新細明體" w:hint="eastAsia"/>
                <w:szCs w:val="24"/>
              </w:rPr>
              <w:t>1</w:t>
            </w:r>
            <w:r w:rsidRPr="008F7885">
              <w:rPr>
                <w:rFonts w:ascii="新細明體" w:hAnsi="新細明體"/>
                <w:szCs w:val="24"/>
              </w:rPr>
              <w:t>10</w:t>
            </w:r>
            <w:r w:rsidRPr="008F7885">
              <w:rPr>
                <w:rFonts w:ascii="新細明體" w:hAnsi="新細明體" w:hint="eastAsia"/>
                <w:szCs w:val="24"/>
              </w:rPr>
              <w:t>報考人數</w:t>
            </w:r>
          </w:p>
        </w:tc>
        <w:tc>
          <w:tcPr>
            <w:tcW w:w="737" w:type="dxa"/>
            <w:shd w:val="clear" w:color="auto" w:fill="auto"/>
            <w:vAlign w:val="center"/>
          </w:tcPr>
          <w:p w:rsidR="00273897" w:rsidRPr="008F7885" w:rsidRDefault="00273897" w:rsidP="00273897">
            <w:pPr>
              <w:jc w:val="right"/>
              <w:rPr>
                <w:rFonts w:ascii="新細明體" w:hAnsi="新細明體"/>
                <w:szCs w:val="24"/>
              </w:rPr>
            </w:pPr>
            <w:r w:rsidRPr="008F7885">
              <w:rPr>
                <w:rFonts w:ascii="新細明體" w:hAnsi="新細明體" w:hint="eastAsia"/>
                <w:szCs w:val="24"/>
              </w:rPr>
              <w:t>8</w:t>
            </w:r>
            <w:r w:rsidRPr="008F7885">
              <w:rPr>
                <w:rFonts w:ascii="新細明體" w:hAnsi="新細明體"/>
                <w:szCs w:val="24"/>
              </w:rPr>
              <w:t>8</w:t>
            </w:r>
          </w:p>
        </w:tc>
        <w:tc>
          <w:tcPr>
            <w:tcW w:w="737" w:type="dxa"/>
            <w:shd w:val="clear" w:color="auto" w:fill="auto"/>
            <w:vAlign w:val="center"/>
          </w:tcPr>
          <w:p w:rsidR="00273897" w:rsidRPr="008F7885" w:rsidRDefault="00273897" w:rsidP="00273897">
            <w:pPr>
              <w:jc w:val="right"/>
              <w:rPr>
                <w:rFonts w:ascii="新細明體" w:hAnsi="新細明體"/>
                <w:szCs w:val="24"/>
              </w:rPr>
            </w:pPr>
            <w:r w:rsidRPr="008F7885">
              <w:rPr>
                <w:rFonts w:ascii="新細明體" w:hAnsi="新細明體" w:hint="eastAsia"/>
                <w:szCs w:val="24"/>
              </w:rPr>
              <w:t>1</w:t>
            </w:r>
            <w:r w:rsidRPr="008F7885">
              <w:rPr>
                <w:rFonts w:ascii="新細明體" w:hAnsi="新細明體"/>
                <w:szCs w:val="24"/>
              </w:rPr>
              <w:t>97</w:t>
            </w:r>
          </w:p>
        </w:tc>
        <w:tc>
          <w:tcPr>
            <w:tcW w:w="737" w:type="dxa"/>
            <w:shd w:val="clear" w:color="auto" w:fill="auto"/>
            <w:vAlign w:val="center"/>
          </w:tcPr>
          <w:p w:rsidR="00273897" w:rsidRPr="008F7885" w:rsidRDefault="00273897" w:rsidP="00273897">
            <w:pPr>
              <w:jc w:val="right"/>
              <w:rPr>
                <w:rFonts w:ascii="新細明體" w:hAnsi="新細明體"/>
                <w:szCs w:val="24"/>
              </w:rPr>
            </w:pPr>
            <w:r w:rsidRPr="008F7885">
              <w:rPr>
                <w:rFonts w:ascii="新細明體" w:hAnsi="新細明體" w:hint="eastAsia"/>
                <w:szCs w:val="24"/>
              </w:rPr>
              <w:t>1</w:t>
            </w:r>
            <w:r w:rsidRPr="008F7885">
              <w:rPr>
                <w:rFonts w:ascii="新細明體" w:hAnsi="新細明體"/>
                <w:szCs w:val="24"/>
              </w:rPr>
              <w:t>,106</w:t>
            </w:r>
          </w:p>
        </w:tc>
        <w:tc>
          <w:tcPr>
            <w:tcW w:w="737" w:type="dxa"/>
            <w:shd w:val="clear" w:color="auto" w:fill="auto"/>
            <w:vAlign w:val="center"/>
          </w:tcPr>
          <w:p w:rsidR="00273897" w:rsidRPr="008F7885" w:rsidRDefault="00273897" w:rsidP="00273897">
            <w:pPr>
              <w:jc w:val="right"/>
              <w:rPr>
                <w:rFonts w:ascii="新細明體" w:hAnsi="新細明體"/>
                <w:szCs w:val="24"/>
              </w:rPr>
            </w:pPr>
            <w:r w:rsidRPr="008F7885">
              <w:rPr>
                <w:rFonts w:ascii="新細明體" w:hAnsi="新細明體" w:hint="eastAsia"/>
                <w:szCs w:val="24"/>
              </w:rPr>
              <w:t>1</w:t>
            </w:r>
            <w:r w:rsidRPr="008F7885">
              <w:rPr>
                <w:rFonts w:ascii="新細明體" w:hAnsi="新細明體"/>
                <w:szCs w:val="24"/>
              </w:rPr>
              <w:t>57</w:t>
            </w:r>
          </w:p>
        </w:tc>
        <w:tc>
          <w:tcPr>
            <w:tcW w:w="737" w:type="dxa"/>
            <w:shd w:val="clear" w:color="auto" w:fill="auto"/>
            <w:vAlign w:val="center"/>
          </w:tcPr>
          <w:p w:rsidR="00273897" w:rsidRPr="008F7885" w:rsidRDefault="00273897" w:rsidP="00273897">
            <w:pPr>
              <w:jc w:val="right"/>
              <w:rPr>
                <w:rFonts w:ascii="新細明體" w:hAnsi="新細明體"/>
                <w:szCs w:val="24"/>
              </w:rPr>
            </w:pPr>
            <w:r w:rsidRPr="008F7885">
              <w:rPr>
                <w:rFonts w:ascii="新細明體" w:hAnsi="新細明體" w:hint="eastAsia"/>
                <w:szCs w:val="24"/>
              </w:rPr>
              <w:t>6</w:t>
            </w:r>
            <w:r w:rsidRPr="008F7885">
              <w:rPr>
                <w:rFonts w:ascii="新細明體" w:hAnsi="新細明體"/>
                <w:szCs w:val="24"/>
              </w:rPr>
              <w:t>9</w:t>
            </w:r>
          </w:p>
        </w:tc>
        <w:tc>
          <w:tcPr>
            <w:tcW w:w="1020" w:type="dxa"/>
            <w:shd w:val="clear" w:color="auto" w:fill="auto"/>
            <w:vAlign w:val="center"/>
          </w:tcPr>
          <w:p w:rsidR="00273897" w:rsidRPr="008F7885" w:rsidRDefault="00273897" w:rsidP="00273897">
            <w:pPr>
              <w:jc w:val="right"/>
              <w:rPr>
                <w:rFonts w:ascii="新細明體" w:hAnsi="新細明體"/>
                <w:szCs w:val="24"/>
              </w:rPr>
            </w:pPr>
            <w:r w:rsidRPr="008F7885">
              <w:rPr>
                <w:rFonts w:ascii="新細明體" w:hAnsi="新細明體" w:hint="eastAsia"/>
                <w:szCs w:val="24"/>
              </w:rPr>
              <w:t>7</w:t>
            </w:r>
            <w:r w:rsidRPr="008F7885">
              <w:rPr>
                <w:rFonts w:ascii="新細明體" w:hAnsi="新細明體"/>
                <w:szCs w:val="24"/>
              </w:rPr>
              <w:t>50</w:t>
            </w:r>
          </w:p>
        </w:tc>
        <w:tc>
          <w:tcPr>
            <w:tcW w:w="1474" w:type="dxa"/>
            <w:shd w:val="clear" w:color="auto" w:fill="auto"/>
            <w:vAlign w:val="center"/>
          </w:tcPr>
          <w:p w:rsidR="00273897" w:rsidRPr="008F7885" w:rsidRDefault="00273897" w:rsidP="00273897">
            <w:pPr>
              <w:jc w:val="right"/>
              <w:rPr>
                <w:rFonts w:ascii="新細明體" w:hAnsi="新細明體"/>
                <w:szCs w:val="24"/>
              </w:rPr>
            </w:pPr>
            <w:r w:rsidRPr="008F7885">
              <w:rPr>
                <w:rFonts w:ascii="新細明體" w:hAnsi="新細明體" w:hint="eastAsia"/>
                <w:szCs w:val="24"/>
              </w:rPr>
              <w:t>8</w:t>
            </w:r>
            <w:r w:rsidRPr="008F7885">
              <w:rPr>
                <w:rFonts w:ascii="新細明體" w:hAnsi="新細明體"/>
                <w:szCs w:val="24"/>
              </w:rPr>
              <w:t>43</w:t>
            </w:r>
          </w:p>
        </w:tc>
        <w:tc>
          <w:tcPr>
            <w:tcW w:w="953" w:type="dxa"/>
            <w:shd w:val="clear" w:color="auto" w:fill="auto"/>
            <w:vAlign w:val="center"/>
          </w:tcPr>
          <w:p w:rsidR="00273897" w:rsidRPr="008F7885" w:rsidRDefault="00273897" w:rsidP="00273897">
            <w:pPr>
              <w:jc w:val="right"/>
              <w:rPr>
                <w:rFonts w:ascii="新細明體" w:hAnsi="新細明體"/>
                <w:szCs w:val="24"/>
              </w:rPr>
            </w:pPr>
            <w:r w:rsidRPr="008F7885">
              <w:rPr>
                <w:rFonts w:ascii="新細明體" w:hAnsi="新細明體" w:hint="eastAsia"/>
                <w:szCs w:val="24"/>
              </w:rPr>
              <w:t>3</w:t>
            </w:r>
            <w:r w:rsidRPr="008F7885">
              <w:rPr>
                <w:rFonts w:ascii="新細明體" w:hAnsi="新細明體"/>
                <w:szCs w:val="24"/>
              </w:rPr>
              <w:t>,210</w:t>
            </w:r>
          </w:p>
        </w:tc>
      </w:tr>
      <w:tr w:rsidR="00273897" w:rsidRPr="008F7885" w:rsidTr="00273897">
        <w:trPr>
          <w:trHeight w:val="397"/>
        </w:trPr>
        <w:tc>
          <w:tcPr>
            <w:tcW w:w="1685" w:type="dxa"/>
            <w:shd w:val="clear" w:color="auto" w:fill="auto"/>
            <w:vAlign w:val="center"/>
          </w:tcPr>
          <w:p w:rsidR="00273897" w:rsidRPr="008F7885" w:rsidRDefault="00273897" w:rsidP="00273897">
            <w:pPr>
              <w:jc w:val="both"/>
              <w:rPr>
                <w:rFonts w:ascii="新細明體" w:hAnsi="新細明體"/>
                <w:szCs w:val="24"/>
              </w:rPr>
            </w:pPr>
            <w:r w:rsidRPr="008F7885">
              <w:rPr>
                <w:rFonts w:ascii="新細明體" w:hAnsi="新細明體" w:hint="eastAsia"/>
                <w:szCs w:val="24"/>
              </w:rPr>
              <w:t>1</w:t>
            </w:r>
            <w:r w:rsidRPr="008F7885">
              <w:rPr>
                <w:rFonts w:ascii="新細明體" w:hAnsi="新細明體"/>
                <w:szCs w:val="24"/>
              </w:rPr>
              <w:t>10</w:t>
            </w:r>
            <w:r w:rsidRPr="008F7885">
              <w:rPr>
                <w:rFonts w:ascii="新細明體" w:hAnsi="新細明體" w:hint="eastAsia"/>
                <w:szCs w:val="24"/>
              </w:rPr>
              <w:t>缺額合計</w:t>
            </w:r>
          </w:p>
        </w:tc>
        <w:tc>
          <w:tcPr>
            <w:tcW w:w="737" w:type="dxa"/>
            <w:shd w:val="clear" w:color="auto" w:fill="auto"/>
            <w:vAlign w:val="center"/>
          </w:tcPr>
          <w:p w:rsidR="00273897" w:rsidRPr="008F7885" w:rsidRDefault="00273897" w:rsidP="00273897">
            <w:pPr>
              <w:jc w:val="right"/>
              <w:rPr>
                <w:rFonts w:ascii="新細明體" w:hAnsi="新細明體"/>
                <w:szCs w:val="24"/>
              </w:rPr>
            </w:pPr>
            <w:r w:rsidRPr="008F7885">
              <w:rPr>
                <w:rFonts w:ascii="新細明體" w:hAnsi="新細明體" w:hint="eastAsia"/>
                <w:szCs w:val="24"/>
              </w:rPr>
              <w:t>1</w:t>
            </w:r>
            <w:r w:rsidRPr="008F7885">
              <w:rPr>
                <w:rFonts w:ascii="新細明體" w:hAnsi="新細明體"/>
                <w:szCs w:val="24"/>
              </w:rPr>
              <w:t>68</w:t>
            </w:r>
          </w:p>
        </w:tc>
        <w:tc>
          <w:tcPr>
            <w:tcW w:w="737" w:type="dxa"/>
            <w:shd w:val="clear" w:color="auto" w:fill="auto"/>
            <w:vAlign w:val="center"/>
          </w:tcPr>
          <w:p w:rsidR="00273897" w:rsidRPr="008F7885" w:rsidRDefault="00273897" w:rsidP="00273897">
            <w:pPr>
              <w:jc w:val="right"/>
              <w:rPr>
                <w:rFonts w:ascii="新細明體" w:hAnsi="新細明體"/>
                <w:szCs w:val="24"/>
              </w:rPr>
            </w:pPr>
            <w:r w:rsidRPr="008F7885">
              <w:rPr>
                <w:rFonts w:ascii="新細明體" w:hAnsi="新細明體" w:hint="eastAsia"/>
                <w:szCs w:val="24"/>
              </w:rPr>
              <w:t>7</w:t>
            </w:r>
            <w:r w:rsidRPr="008F7885">
              <w:rPr>
                <w:rFonts w:ascii="新細明體" w:hAnsi="新細明體"/>
                <w:szCs w:val="24"/>
              </w:rPr>
              <w:t>05</w:t>
            </w:r>
          </w:p>
        </w:tc>
        <w:tc>
          <w:tcPr>
            <w:tcW w:w="737" w:type="dxa"/>
            <w:shd w:val="clear" w:color="auto" w:fill="auto"/>
            <w:vAlign w:val="center"/>
          </w:tcPr>
          <w:p w:rsidR="00273897" w:rsidRPr="008F7885" w:rsidRDefault="00273897" w:rsidP="00273897">
            <w:pPr>
              <w:jc w:val="right"/>
              <w:rPr>
                <w:rFonts w:ascii="新細明體" w:hAnsi="新細明體"/>
                <w:szCs w:val="24"/>
              </w:rPr>
            </w:pPr>
            <w:r w:rsidRPr="008F7885">
              <w:rPr>
                <w:rFonts w:ascii="新細明體" w:hAnsi="新細明體" w:hint="eastAsia"/>
                <w:szCs w:val="24"/>
              </w:rPr>
              <w:t>1</w:t>
            </w:r>
            <w:r w:rsidRPr="008F7885">
              <w:rPr>
                <w:rFonts w:ascii="新細明體" w:hAnsi="新細明體"/>
                <w:szCs w:val="24"/>
              </w:rPr>
              <w:t>,640</w:t>
            </w:r>
          </w:p>
        </w:tc>
        <w:tc>
          <w:tcPr>
            <w:tcW w:w="737" w:type="dxa"/>
            <w:shd w:val="clear" w:color="auto" w:fill="auto"/>
            <w:vAlign w:val="center"/>
          </w:tcPr>
          <w:p w:rsidR="00273897" w:rsidRPr="008F7885" w:rsidRDefault="00273897" w:rsidP="00273897">
            <w:pPr>
              <w:jc w:val="right"/>
              <w:rPr>
                <w:rFonts w:ascii="新細明體" w:hAnsi="新細明體"/>
                <w:szCs w:val="24"/>
              </w:rPr>
            </w:pPr>
            <w:r w:rsidRPr="008F7885">
              <w:rPr>
                <w:rFonts w:ascii="新細明體" w:hAnsi="新細明體" w:hint="eastAsia"/>
                <w:szCs w:val="24"/>
              </w:rPr>
              <w:t>2</w:t>
            </w:r>
            <w:r w:rsidRPr="008F7885">
              <w:rPr>
                <w:rFonts w:ascii="新細明體" w:hAnsi="新細明體"/>
                <w:szCs w:val="24"/>
              </w:rPr>
              <w:t>39</w:t>
            </w:r>
          </w:p>
        </w:tc>
        <w:tc>
          <w:tcPr>
            <w:tcW w:w="737" w:type="dxa"/>
            <w:shd w:val="clear" w:color="auto" w:fill="auto"/>
            <w:vAlign w:val="center"/>
          </w:tcPr>
          <w:p w:rsidR="00273897" w:rsidRPr="008F7885" w:rsidRDefault="00273897" w:rsidP="00273897">
            <w:pPr>
              <w:jc w:val="right"/>
              <w:rPr>
                <w:rFonts w:ascii="新細明體" w:hAnsi="新細明體"/>
                <w:szCs w:val="24"/>
              </w:rPr>
            </w:pPr>
            <w:r w:rsidRPr="008F7885">
              <w:rPr>
                <w:rFonts w:ascii="新細明體" w:hAnsi="新細明體" w:hint="eastAsia"/>
                <w:szCs w:val="24"/>
              </w:rPr>
              <w:t>1</w:t>
            </w:r>
            <w:r w:rsidRPr="008F7885">
              <w:rPr>
                <w:rFonts w:ascii="新細明體" w:hAnsi="新細明體"/>
                <w:szCs w:val="24"/>
              </w:rPr>
              <w:t>48</w:t>
            </w:r>
          </w:p>
        </w:tc>
        <w:tc>
          <w:tcPr>
            <w:tcW w:w="1020" w:type="dxa"/>
            <w:shd w:val="clear" w:color="auto" w:fill="auto"/>
            <w:vAlign w:val="center"/>
          </w:tcPr>
          <w:p w:rsidR="00273897" w:rsidRPr="008F7885" w:rsidRDefault="00273897" w:rsidP="00273897">
            <w:pPr>
              <w:jc w:val="right"/>
              <w:rPr>
                <w:rFonts w:ascii="新細明體" w:hAnsi="新細明體"/>
                <w:szCs w:val="24"/>
              </w:rPr>
            </w:pPr>
            <w:r w:rsidRPr="008F7885">
              <w:rPr>
                <w:rFonts w:ascii="新細明體" w:hAnsi="新細明體" w:hint="eastAsia"/>
                <w:szCs w:val="24"/>
              </w:rPr>
              <w:t>6</w:t>
            </w:r>
            <w:r w:rsidRPr="008F7885">
              <w:rPr>
                <w:rFonts w:ascii="新細明體" w:hAnsi="新細明體"/>
                <w:szCs w:val="24"/>
              </w:rPr>
              <w:t>06</w:t>
            </w:r>
          </w:p>
        </w:tc>
        <w:tc>
          <w:tcPr>
            <w:tcW w:w="1474" w:type="dxa"/>
            <w:shd w:val="clear" w:color="auto" w:fill="auto"/>
            <w:vAlign w:val="center"/>
          </w:tcPr>
          <w:p w:rsidR="00273897" w:rsidRPr="008F7885" w:rsidRDefault="00273897" w:rsidP="00273897">
            <w:pPr>
              <w:jc w:val="right"/>
              <w:rPr>
                <w:rFonts w:ascii="新細明體" w:hAnsi="新細明體"/>
                <w:szCs w:val="24"/>
              </w:rPr>
            </w:pPr>
            <w:r w:rsidRPr="008F7885">
              <w:rPr>
                <w:rFonts w:ascii="新細明體" w:hAnsi="新細明體" w:hint="eastAsia"/>
                <w:szCs w:val="24"/>
              </w:rPr>
              <w:t>8</w:t>
            </w:r>
            <w:r w:rsidRPr="008F7885">
              <w:rPr>
                <w:rFonts w:ascii="新細明體" w:hAnsi="新細明體"/>
                <w:szCs w:val="24"/>
              </w:rPr>
              <w:t>22</w:t>
            </w:r>
          </w:p>
        </w:tc>
        <w:tc>
          <w:tcPr>
            <w:tcW w:w="953" w:type="dxa"/>
            <w:shd w:val="clear" w:color="auto" w:fill="auto"/>
            <w:vAlign w:val="center"/>
          </w:tcPr>
          <w:p w:rsidR="00273897" w:rsidRPr="008F7885" w:rsidRDefault="00273897" w:rsidP="00273897">
            <w:pPr>
              <w:jc w:val="right"/>
              <w:rPr>
                <w:rFonts w:ascii="新細明體" w:hAnsi="新細明體"/>
                <w:szCs w:val="24"/>
              </w:rPr>
            </w:pPr>
            <w:r w:rsidRPr="008F7885">
              <w:rPr>
                <w:rFonts w:ascii="新細明體" w:hAnsi="新細明體" w:hint="eastAsia"/>
                <w:szCs w:val="24"/>
              </w:rPr>
              <w:t>4</w:t>
            </w:r>
            <w:r w:rsidRPr="008F7885">
              <w:rPr>
                <w:rFonts w:ascii="新細明體" w:hAnsi="新細明體"/>
                <w:szCs w:val="24"/>
              </w:rPr>
              <w:t>,328</w:t>
            </w:r>
          </w:p>
        </w:tc>
      </w:tr>
      <w:tr w:rsidR="00273897" w:rsidRPr="008F7885" w:rsidTr="00273897">
        <w:trPr>
          <w:trHeight w:val="397"/>
        </w:trPr>
        <w:tc>
          <w:tcPr>
            <w:tcW w:w="1685" w:type="dxa"/>
            <w:shd w:val="clear" w:color="auto" w:fill="auto"/>
            <w:vAlign w:val="center"/>
          </w:tcPr>
          <w:p w:rsidR="00273897" w:rsidRPr="008F7885" w:rsidRDefault="00273897" w:rsidP="00273897">
            <w:pPr>
              <w:jc w:val="both"/>
              <w:rPr>
                <w:rFonts w:ascii="新細明體" w:hAnsi="新細明體"/>
                <w:szCs w:val="24"/>
              </w:rPr>
            </w:pPr>
            <w:r w:rsidRPr="008F7885">
              <w:rPr>
                <w:rFonts w:ascii="新細明體" w:hAnsi="新細明體" w:hint="eastAsia"/>
                <w:szCs w:val="24"/>
              </w:rPr>
              <w:t>平均每生名額</w:t>
            </w:r>
          </w:p>
        </w:tc>
        <w:tc>
          <w:tcPr>
            <w:tcW w:w="737" w:type="dxa"/>
            <w:shd w:val="clear" w:color="auto" w:fill="auto"/>
            <w:vAlign w:val="center"/>
          </w:tcPr>
          <w:p w:rsidR="00273897" w:rsidRPr="008F7885" w:rsidRDefault="00273897" w:rsidP="00273897">
            <w:pPr>
              <w:widowControl/>
              <w:jc w:val="right"/>
              <w:rPr>
                <w:rFonts w:ascii="新細明體" w:hAnsi="新細明體"/>
              </w:rPr>
            </w:pPr>
            <w:r w:rsidRPr="008F7885">
              <w:rPr>
                <w:rFonts w:ascii="新細明體" w:hAnsi="新細明體"/>
              </w:rPr>
              <w:t>1.91</w:t>
            </w:r>
          </w:p>
        </w:tc>
        <w:tc>
          <w:tcPr>
            <w:tcW w:w="737" w:type="dxa"/>
            <w:shd w:val="clear" w:color="auto" w:fill="auto"/>
            <w:vAlign w:val="center"/>
          </w:tcPr>
          <w:p w:rsidR="00273897" w:rsidRPr="008F7885" w:rsidRDefault="00273897" w:rsidP="00273897">
            <w:pPr>
              <w:jc w:val="right"/>
              <w:rPr>
                <w:rFonts w:ascii="新細明體" w:hAnsi="新細明體"/>
              </w:rPr>
            </w:pPr>
            <w:r w:rsidRPr="008F7885">
              <w:rPr>
                <w:rFonts w:ascii="新細明體" w:hAnsi="新細明體"/>
              </w:rPr>
              <w:t>3.58</w:t>
            </w:r>
          </w:p>
        </w:tc>
        <w:tc>
          <w:tcPr>
            <w:tcW w:w="737" w:type="dxa"/>
            <w:shd w:val="clear" w:color="auto" w:fill="auto"/>
            <w:vAlign w:val="center"/>
          </w:tcPr>
          <w:p w:rsidR="00273897" w:rsidRPr="008F7885" w:rsidRDefault="00273897" w:rsidP="00273897">
            <w:pPr>
              <w:jc w:val="right"/>
              <w:rPr>
                <w:rFonts w:ascii="新細明體" w:hAnsi="新細明體"/>
              </w:rPr>
            </w:pPr>
            <w:r w:rsidRPr="008F7885">
              <w:rPr>
                <w:rFonts w:ascii="新細明體" w:hAnsi="新細明體"/>
              </w:rPr>
              <w:t>1.48</w:t>
            </w:r>
          </w:p>
        </w:tc>
        <w:tc>
          <w:tcPr>
            <w:tcW w:w="737" w:type="dxa"/>
            <w:shd w:val="clear" w:color="auto" w:fill="auto"/>
            <w:vAlign w:val="center"/>
          </w:tcPr>
          <w:p w:rsidR="00273897" w:rsidRPr="008F7885" w:rsidRDefault="00273897" w:rsidP="00273897">
            <w:pPr>
              <w:jc w:val="right"/>
              <w:rPr>
                <w:rFonts w:ascii="新細明體" w:hAnsi="新細明體"/>
              </w:rPr>
            </w:pPr>
            <w:r w:rsidRPr="008F7885">
              <w:rPr>
                <w:rFonts w:ascii="新細明體" w:hAnsi="新細明體"/>
              </w:rPr>
              <w:t>1.52</w:t>
            </w:r>
          </w:p>
        </w:tc>
        <w:tc>
          <w:tcPr>
            <w:tcW w:w="737" w:type="dxa"/>
            <w:shd w:val="clear" w:color="auto" w:fill="auto"/>
            <w:vAlign w:val="center"/>
          </w:tcPr>
          <w:p w:rsidR="00273897" w:rsidRPr="008F7885" w:rsidRDefault="00273897" w:rsidP="00273897">
            <w:pPr>
              <w:jc w:val="right"/>
              <w:rPr>
                <w:rFonts w:ascii="新細明體" w:hAnsi="新細明體"/>
              </w:rPr>
            </w:pPr>
            <w:r w:rsidRPr="008F7885">
              <w:rPr>
                <w:rFonts w:ascii="新細明體" w:hAnsi="新細明體"/>
              </w:rPr>
              <w:t>2.14</w:t>
            </w:r>
          </w:p>
        </w:tc>
        <w:tc>
          <w:tcPr>
            <w:tcW w:w="1020" w:type="dxa"/>
            <w:shd w:val="clear" w:color="auto" w:fill="auto"/>
            <w:vAlign w:val="center"/>
          </w:tcPr>
          <w:p w:rsidR="00273897" w:rsidRPr="008F7885" w:rsidRDefault="00273897" w:rsidP="00273897">
            <w:pPr>
              <w:jc w:val="right"/>
              <w:rPr>
                <w:rFonts w:ascii="新細明體" w:hAnsi="新細明體"/>
              </w:rPr>
            </w:pPr>
            <w:r w:rsidRPr="008F7885">
              <w:rPr>
                <w:rFonts w:ascii="新細明體" w:hAnsi="新細明體"/>
              </w:rPr>
              <w:t>0.81</w:t>
            </w:r>
          </w:p>
        </w:tc>
        <w:tc>
          <w:tcPr>
            <w:tcW w:w="1474" w:type="dxa"/>
            <w:shd w:val="clear" w:color="auto" w:fill="auto"/>
            <w:vAlign w:val="center"/>
          </w:tcPr>
          <w:p w:rsidR="00273897" w:rsidRPr="008F7885" w:rsidRDefault="00273897" w:rsidP="00273897">
            <w:pPr>
              <w:jc w:val="right"/>
              <w:rPr>
                <w:rFonts w:ascii="新細明體" w:hAnsi="新細明體"/>
              </w:rPr>
            </w:pPr>
            <w:r w:rsidRPr="008F7885">
              <w:rPr>
                <w:rFonts w:ascii="新細明體" w:hAnsi="新細明體"/>
              </w:rPr>
              <w:t>0.98</w:t>
            </w:r>
          </w:p>
        </w:tc>
        <w:tc>
          <w:tcPr>
            <w:tcW w:w="953" w:type="dxa"/>
            <w:shd w:val="clear" w:color="auto" w:fill="auto"/>
            <w:vAlign w:val="center"/>
          </w:tcPr>
          <w:p w:rsidR="00273897" w:rsidRPr="008F7885" w:rsidRDefault="00273897" w:rsidP="00273897">
            <w:pPr>
              <w:jc w:val="right"/>
              <w:rPr>
                <w:rFonts w:ascii="新細明體" w:hAnsi="新細明體"/>
              </w:rPr>
            </w:pPr>
            <w:r w:rsidRPr="008F7885">
              <w:rPr>
                <w:rFonts w:ascii="新細明體" w:hAnsi="新細明體"/>
              </w:rPr>
              <w:t>1.35</w:t>
            </w:r>
          </w:p>
        </w:tc>
      </w:tr>
    </w:tbl>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提案人：張廖萬堅</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五十四)有關現行學習障礙鑑定，經民間反應未參採醫療系統對神經心理功能之診斷結果，同時採取成績門檻，倘若智力測驗成績達PR25以上，就不會鑑定為學習障礙，但現行許多有學習障礙情況之學生，因比他人付出更多的努力才能有一定的成績，卻遭排除在學障的鑑定之外，或者原先已鑑定為學障身分，卻因獲得特教資源協助後，成績進步而導致重新鑑定時遭取消學障身分。且各縣市鑑定基準不一、鑑輔人員亦未必具有足夠的專業能力，爰此請教育部研議修正學習障礙鑑定之相關制度，俾利實務運作更為順利。21</w:t>
      </w:r>
      <w:r w:rsidRPr="008F7885">
        <w:rPr>
          <w:rFonts w:ascii="標楷體" w:eastAsia="標楷體" w:hAnsi="標楷體"/>
          <w:sz w:val="32"/>
          <w:szCs w:val="32"/>
        </w:rPr>
        <w:t>4</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提案人：張廖萬堅</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(五十五)弱勢學生辦理就學貸款較一般學生普遍，且升息對已在還款之畢業生亦增加利息負擔，辦理就學貸款人數雖逐年減少，惟弱勢學生辦理就學貸款較一般學生普遍，且仍有部分</w:t>
      </w:r>
      <w:r w:rsidRPr="008F7885">
        <w:rPr>
          <w:rFonts w:ascii="標楷體" w:eastAsia="標楷體" w:hAnsi="標楷體" w:hint="eastAsia"/>
          <w:sz w:val="32"/>
          <w:szCs w:val="32"/>
        </w:rPr>
        <w:lastRenderedPageBreak/>
        <w:t>學生於貸款屆期後未能償還，而升息對已在還款之畢業生亦增加利息負擔，教育部應研謀相關措施俾提供弱勢學生必要協助。21</w:t>
      </w:r>
      <w:r w:rsidRPr="008F7885">
        <w:rPr>
          <w:rFonts w:ascii="標楷體" w:eastAsia="標楷體" w:hAnsi="標楷體"/>
          <w:sz w:val="32"/>
          <w:szCs w:val="32"/>
        </w:rPr>
        <w:t>5</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提案人：鄭正鈐</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連署人：吳怡玎  高金素梅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(五十六)</w:t>
      </w:r>
      <w:r w:rsidRPr="008F7885">
        <w:rPr>
          <w:rFonts w:ascii="標楷體" w:eastAsia="標楷體" w:hAnsi="標楷體"/>
          <w:sz w:val="32"/>
          <w:szCs w:val="32"/>
        </w:rPr>
        <w:t>112</w:t>
      </w:r>
      <w:r w:rsidRPr="008F7885">
        <w:rPr>
          <w:rFonts w:ascii="標楷體" w:eastAsia="標楷體" w:hAnsi="標楷體" w:hint="eastAsia"/>
          <w:sz w:val="32"/>
          <w:szCs w:val="32"/>
        </w:rPr>
        <w:t>年度教育部「高等教育」項下「高等教育行政及督導」中「改善教學研究環境及提升高等教育行政服務品質」之「弱勢學生助學計畫精進措施</w:t>
      </w:r>
      <w:r w:rsidRPr="008F7885">
        <w:rPr>
          <w:rFonts w:ascii="標楷體" w:eastAsia="標楷體" w:hAnsi="標楷體"/>
          <w:sz w:val="32"/>
          <w:szCs w:val="32"/>
        </w:rPr>
        <w:t>(</w:t>
      </w:r>
      <w:r w:rsidRPr="008F7885">
        <w:rPr>
          <w:rFonts w:ascii="標楷體" w:eastAsia="標楷體" w:hAnsi="標楷體" w:hint="eastAsia"/>
          <w:sz w:val="32"/>
          <w:szCs w:val="32"/>
        </w:rPr>
        <w:t>校外租金補貼</w:t>
      </w:r>
      <w:r w:rsidRPr="008F7885">
        <w:rPr>
          <w:rFonts w:ascii="標楷體" w:eastAsia="標楷體" w:hAnsi="標楷體"/>
          <w:sz w:val="32"/>
          <w:szCs w:val="32"/>
        </w:rPr>
        <w:t>)</w:t>
      </w:r>
      <w:r w:rsidRPr="008F7885">
        <w:rPr>
          <w:rFonts w:ascii="標楷體" w:eastAsia="標楷體" w:hAnsi="標楷體" w:hint="eastAsia"/>
          <w:sz w:val="32"/>
          <w:szCs w:val="32"/>
        </w:rPr>
        <w:t>暨新世代學生住宿環境提升計畫」預算編列</w:t>
      </w:r>
      <w:r w:rsidRPr="008F7885">
        <w:rPr>
          <w:rFonts w:ascii="標楷體" w:eastAsia="標楷體" w:hAnsi="標楷體"/>
          <w:sz w:val="32"/>
          <w:szCs w:val="32"/>
        </w:rPr>
        <w:t>7</w:t>
      </w:r>
      <w:r w:rsidRPr="008F7885">
        <w:rPr>
          <w:rFonts w:ascii="標楷體" w:eastAsia="標楷體" w:hAnsi="標楷體" w:hint="eastAsia"/>
          <w:sz w:val="32"/>
          <w:szCs w:val="32"/>
        </w:rPr>
        <w:t>億0,</w:t>
      </w:r>
      <w:r w:rsidRPr="008F7885">
        <w:rPr>
          <w:rFonts w:ascii="標楷體" w:eastAsia="標楷體" w:hAnsi="標楷體"/>
          <w:sz w:val="32"/>
          <w:szCs w:val="32"/>
        </w:rPr>
        <w:t>800</w:t>
      </w:r>
      <w:r w:rsidRPr="008F7885">
        <w:rPr>
          <w:rFonts w:ascii="標楷體" w:eastAsia="標楷體" w:hAnsi="標楷體" w:hint="eastAsia"/>
          <w:sz w:val="32"/>
          <w:szCs w:val="32"/>
        </w:rPr>
        <w:t>萬元，該項預算係用以提升學生住宿環境，並營造宿舍成為新世代學生學習空間。然查，宿舍提升計畫將於</w:t>
      </w:r>
      <w:r w:rsidRPr="008F7885">
        <w:rPr>
          <w:rFonts w:ascii="標楷體" w:eastAsia="標楷體" w:hAnsi="標楷體"/>
          <w:sz w:val="32"/>
          <w:szCs w:val="32"/>
        </w:rPr>
        <w:t>112</w:t>
      </w:r>
      <w:r w:rsidRPr="008F7885">
        <w:rPr>
          <w:rFonts w:ascii="標楷體" w:eastAsia="標楷體" w:hAnsi="標楷體" w:hint="eastAsia"/>
          <w:sz w:val="32"/>
          <w:szCs w:val="32"/>
        </w:rPr>
        <w:t>年度屆期，惟該計畫有關校外弱勢學生租金補貼、校外興辦學生社會住宅空床補助、校内學生宿舍建築貸款利息補助等執行成效未如預期。為提高校內住宿意願及提升學生住宿品質，請教育部於3個月內向立法院教育及文化委員會提出書面報告。</w:t>
      </w:r>
      <w:r w:rsidRPr="008F7885">
        <w:rPr>
          <w:rFonts w:ascii="標楷體" w:eastAsia="標楷體" w:hAnsi="標楷體"/>
          <w:sz w:val="32"/>
          <w:szCs w:val="32"/>
        </w:rPr>
        <w:t>39</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提案人：吳怡玎</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連署人：萬美玲  黃國書</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sz w:val="32"/>
          <w:szCs w:val="32"/>
        </w:rPr>
        <w:t>(</w:t>
      </w:r>
      <w:r w:rsidRPr="008F7885">
        <w:rPr>
          <w:rFonts w:ascii="標楷體" w:eastAsia="標楷體" w:hAnsi="標楷體" w:hint="eastAsia"/>
          <w:sz w:val="32"/>
          <w:szCs w:val="32"/>
        </w:rPr>
        <w:t>五十七</w:t>
      </w:r>
      <w:r w:rsidRPr="008F7885">
        <w:rPr>
          <w:rFonts w:ascii="標楷體" w:eastAsia="標楷體" w:hAnsi="標楷體"/>
          <w:sz w:val="32"/>
          <w:szCs w:val="32"/>
        </w:rPr>
        <w:t>)</w:t>
      </w:r>
      <w:r w:rsidRPr="008F7885">
        <w:rPr>
          <w:rFonts w:ascii="標楷體" w:eastAsia="標楷體" w:hAnsi="標楷體" w:hint="eastAsia"/>
          <w:sz w:val="32"/>
          <w:szCs w:val="32"/>
        </w:rPr>
        <w:t>教育部「新宿舍運動」計畫提供5年50億元經費，共有4大目標：1.補助大學新建學生宿舍之貸款利息1年3,000床；2.改善大學宿舍環境l年1.6萬床；3.補貼弱勢學生校外租金l年1.7萬名學生；4.補助學校興辦校外學生社會住宅，1年600床。目前4大目標中前2項已達標，未達標部分有2：1.補貼弱勢學生校外租金未達標，目前僅達到1年1.2萬名學生受惠，達成率約70.5%，須持續改進；2.改善大學宿舍環境部分，108年計畫迄今， 全國149所（不含空大、宗教學院）已有69校約46%參與；然私立學校102校中僅35校參與，占34%，教育部應提升私立大專校院之參與。而弱勢學生較多的技職校院，僅6校獲核定補助（國立3校、私</w:t>
      </w:r>
      <w:r w:rsidRPr="008F7885">
        <w:rPr>
          <w:rFonts w:ascii="標楷體" w:eastAsia="標楷體" w:hAnsi="標楷體" w:hint="eastAsia"/>
          <w:sz w:val="32"/>
          <w:szCs w:val="32"/>
        </w:rPr>
        <w:lastRenderedPageBreak/>
        <w:t>立3校），更僅占全參與大專校院之8%。教育部應強化計畫宣導，提升大學參與度，並針對進度落後之技專校院提出精進方案，提供更多誘因。請教育部於3個月內向立法院教育及文化委員會提出書面報告。</w:t>
      </w:r>
      <w:r w:rsidRPr="008F7885">
        <w:rPr>
          <w:rFonts w:ascii="標楷體" w:eastAsia="標楷體" w:hAnsi="標楷體"/>
          <w:sz w:val="32"/>
          <w:szCs w:val="32"/>
        </w:rPr>
        <w:t>40</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提案人：吳思瑤</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連署人：范  雲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sz w:val="32"/>
          <w:szCs w:val="32"/>
        </w:rPr>
        <w:t>(</w:t>
      </w:r>
      <w:r w:rsidRPr="008F7885">
        <w:rPr>
          <w:rFonts w:ascii="標楷體" w:eastAsia="標楷體" w:hAnsi="標楷體" w:hint="eastAsia"/>
          <w:sz w:val="32"/>
          <w:szCs w:val="32"/>
        </w:rPr>
        <w:t>五十八</w:t>
      </w:r>
      <w:r w:rsidRPr="008F7885">
        <w:rPr>
          <w:rFonts w:ascii="標楷體" w:eastAsia="標楷體" w:hAnsi="標楷體"/>
          <w:sz w:val="32"/>
          <w:szCs w:val="32"/>
        </w:rPr>
        <w:t>)</w:t>
      </w:r>
      <w:r w:rsidRPr="008F7885">
        <w:rPr>
          <w:rFonts w:ascii="標楷體" w:eastAsia="標楷體" w:hAnsi="標楷體" w:hint="eastAsia"/>
          <w:sz w:val="32"/>
          <w:szCs w:val="32"/>
        </w:rPr>
        <w:t>受到少子女化之影響，加上過去廣設大學，各大專校院面臨招生危機。大學整併為高教危機下之新轉機。現階段教育部針對公立大學之整併（簡稱公公併）以「國立大學合併推動辦法」作為法源依據，私立大學之整併（簡稱私私併）以「大專校院合併處理原則」作為法源依據。至今公公併已經完成8案；私私併已經完成2案。惟除了公公併與私私併外，公立大學與私立大學相互整併（簡稱公私併）亦係大學轉型之第3條路，國外有多種經驗可供參考，國內亦有國立大學與私立大學聯盟之案例。教育部雖進行委外研究，但仍未提出明確方案，進度延宕已久，應儘速研擬公私併之具體方案，並且提出公私併之法源依據，提供大學整併另一項可能性。爰要求教育部於3個月內向立法院教育及文化委員會提出書面報告。</w:t>
      </w:r>
      <w:r w:rsidRPr="008F7885">
        <w:rPr>
          <w:rFonts w:ascii="標楷體" w:eastAsia="標楷體" w:hAnsi="標楷體"/>
          <w:sz w:val="32"/>
          <w:szCs w:val="32"/>
        </w:rPr>
        <w:t>42</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提案人：吳思瑤  林宜瑾</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連署人：范  雲</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sz w:val="32"/>
          <w:szCs w:val="32"/>
        </w:rPr>
        <w:t>(</w:t>
      </w:r>
      <w:r w:rsidRPr="008F7885">
        <w:rPr>
          <w:rFonts w:ascii="標楷體" w:eastAsia="標楷體" w:hAnsi="標楷體" w:hint="eastAsia"/>
          <w:sz w:val="32"/>
          <w:szCs w:val="32"/>
        </w:rPr>
        <w:t>五十九</w:t>
      </w:r>
      <w:r w:rsidRPr="008F7885">
        <w:rPr>
          <w:rFonts w:ascii="標楷體" w:eastAsia="標楷體" w:hAnsi="標楷體"/>
          <w:sz w:val="32"/>
          <w:szCs w:val="32"/>
        </w:rPr>
        <w:t>)</w:t>
      </w:r>
      <w:r w:rsidRPr="008F7885">
        <w:rPr>
          <w:rFonts w:ascii="標楷體" w:eastAsia="標楷體" w:hAnsi="標楷體" w:hint="eastAsia"/>
          <w:sz w:val="32"/>
          <w:szCs w:val="32"/>
        </w:rPr>
        <w:t>112年度教育部「高等教育」項下「高等教育行政及督導」中「引導學校多元發展及提升教學品質」之「推動第二期高等教育深耕計畫經費」之「深耕計畫第二部分全球鏈結型大學」預算編列49億元，該項預算除協助具有多面向國際競爭力之大學，在優勢領域建立全球領先地位，提升整體國際競爭力外，亦配合雙語政策，協助大學以「落實教學創新」強化全英語授課之相關教學措施。然政府現在推行的</w:t>
      </w:r>
      <w:r w:rsidRPr="008F7885">
        <w:rPr>
          <w:rFonts w:ascii="標楷體" w:eastAsia="標楷體" w:hAnsi="標楷體" w:hint="eastAsia"/>
          <w:sz w:val="32"/>
          <w:szCs w:val="32"/>
        </w:rPr>
        <w:lastRenderedPageBreak/>
        <w:t>2030雙語政策，與國家語言發展政策兩者應該要怎麼競合?台灣大學等學者於日前召開記者會提出警告，「台灣不若香港、新加坡等具歷史背景，沒有條件將英語作為官方語言和全面的學習工具，強勢獨尊英語只會造成平庸的語言、人人通但人人鬆，甚至淪為本國語言學科、英語都無法學好，形同『三振出局』的窘境。」為審視雙語教學與國家語言競合之疑慮，要求教育部應就雙語政策推動全英語授課教學之措施，重新評估其與國家語言競合之利害關係與影響，並於3個月內向立法院教育及文化委員會提出書面報告。</w:t>
      </w:r>
      <w:r w:rsidRPr="008F7885">
        <w:rPr>
          <w:rFonts w:ascii="標楷體" w:eastAsia="標楷體" w:hAnsi="標楷體"/>
          <w:sz w:val="32"/>
          <w:szCs w:val="32"/>
        </w:rPr>
        <w:t>54</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提案人：吳怡玎</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連署人：萬美玲  黃國書</w:t>
      </w:r>
    </w:p>
    <w:p w:rsidR="00273897" w:rsidRPr="008F7885" w:rsidRDefault="00273897" w:rsidP="00D404F8">
      <w:pPr>
        <w:kinsoku w:val="0"/>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sz w:val="32"/>
          <w:szCs w:val="32"/>
        </w:rPr>
        <w:t>(</w:t>
      </w:r>
      <w:r w:rsidRPr="008F7885">
        <w:rPr>
          <w:rFonts w:ascii="標楷體" w:eastAsia="標楷體" w:hAnsi="標楷體" w:hint="eastAsia"/>
          <w:sz w:val="32"/>
          <w:szCs w:val="32"/>
        </w:rPr>
        <w:t>六十</w:t>
      </w:r>
      <w:r w:rsidRPr="008F7885">
        <w:rPr>
          <w:rFonts w:ascii="標楷體" w:eastAsia="標楷體" w:hAnsi="標楷體"/>
          <w:sz w:val="32"/>
          <w:szCs w:val="32"/>
        </w:rPr>
        <w:t>)</w:t>
      </w:r>
      <w:r w:rsidRPr="008F7885">
        <w:rPr>
          <w:rFonts w:ascii="標楷體" w:eastAsia="標楷體" w:hAnsi="標楷體" w:hint="eastAsia"/>
          <w:sz w:val="32"/>
          <w:szCs w:val="32"/>
        </w:rPr>
        <w:t>為使高中職應屆畢業生確立未來人生目標及方向，教育部與勞動部106年起共同推出青年儲蓄帳戶方案，方案分為職場體驗、學習及國際體驗2種型態，補助青年未來就學、就業或創業準備金。而根據教育部提供青年儲蓄帳戶方案106至110年度申請人數分別2</w:t>
      </w:r>
      <w:r w:rsidRPr="008F7885">
        <w:rPr>
          <w:rFonts w:ascii="標楷體" w:eastAsia="標楷體" w:hAnsi="標楷體"/>
          <w:sz w:val="32"/>
          <w:szCs w:val="32"/>
        </w:rPr>
        <w:t>,</w:t>
      </w:r>
      <w:r w:rsidRPr="008F7885">
        <w:rPr>
          <w:rFonts w:ascii="標楷體" w:eastAsia="標楷體" w:hAnsi="標楷體" w:hint="eastAsia"/>
          <w:sz w:val="32"/>
          <w:szCs w:val="32"/>
        </w:rPr>
        <w:t>383、3</w:t>
      </w:r>
      <w:r w:rsidRPr="008F7885">
        <w:rPr>
          <w:rFonts w:ascii="標楷體" w:eastAsia="標楷體" w:hAnsi="標楷體"/>
          <w:sz w:val="32"/>
          <w:szCs w:val="32"/>
        </w:rPr>
        <w:t>,</w:t>
      </w:r>
      <w:r w:rsidRPr="008F7885">
        <w:rPr>
          <w:rFonts w:ascii="標楷體" w:eastAsia="標楷體" w:hAnsi="標楷體" w:hint="eastAsia"/>
          <w:sz w:val="32"/>
          <w:szCs w:val="32"/>
        </w:rPr>
        <w:t>083、4</w:t>
      </w:r>
      <w:r w:rsidRPr="008F7885">
        <w:rPr>
          <w:rFonts w:ascii="標楷體" w:eastAsia="標楷體" w:hAnsi="標楷體"/>
          <w:sz w:val="32"/>
          <w:szCs w:val="32"/>
        </w:rPr>
        <w:t>,</w:t>
      </w:r>
      <w:r w:rsidRPr="008F7885">
        <w:rPr>
          <w:rFonts w:ascii="標楷體" w:eastAsia="標楷體" w:hAnsi="標楷體" w:hint="eastAsia"/>
          <w:sz w:val="32"/>
          <w:szCs w:val="32"/>
        </w:rPr>
        <w:t>680、5</w:t>
      </w:r>
      <w:r w:rsidRPr="008F7885">
        <w:rPr>
          <w:rFonts w:ascii="標楷體" w:eastAsia="標楷體" w:hAnsi="標楷體"/>
          <w:sz w:val="32"/>
          <w:szCs w:val="32"/>
        </w:rPr>
        <w:t>,</w:t>
      </w:r>
      <w:r w:rsidRPr="008F7885">
        <w:rPr>
          <w:rFonts w:ascii="標楷體" w:eastAsia="標楷體" w:hAnsi="標楷體" w:hint="eastAsia"/>
          <w:sz w:val="32"/>
          <w:szCs w:val="32"/>
        </w:rPr>
        <w:t>407、6</w:t>
      </w:r>
      <w:r w:rsidRPr="008F7885">
        <w:rPr>
          <w:rFonts w:ascii="標楷體" w:eastAsia="標楷體" w:hAnsi="標楷體"/>
          <w:sz w:val="32"/>
          <w:szCs w:val="32"/>
        </w:rPr>
        <w:t>,</w:t>
      </w:r>
      <w:r w:rsidRPr="008F7885">
        <w:rPr>
          <w:rFonts w:ascii="標楷體" w:eastAsia="標楷體" w:hAnsi="標楷體" w:hint="eastAsia"/>
          <w:sz w:val="32"/>
          <w:szCs w:val="32"/>
        </w:rPr>
        <w:t>596人，實際就業人數及媒合比例分別為744/60.05%、791/61.75%、1</w:t>
      </w:r>
      <w:r w:rsidRPr="008F7885">
        <w:rPr>
          <w:rFonts w:ascii="標楷體" w:eastAsia="標楷體" w:hAnsi="標楷體"/>
          <w:sz w:val="32"/>
          <w:szCs w:val="32"/>
        </w:rPr>
        <w:t>,</w:t>
      </w:r>
      <w:r w:rsidRPr="008F7885">
        <w:rPr>
          <w:rFonts w:ascii="標楷體" w:eastAsia="標楷體" w:hAnsi="標楷體" w:hint="eastAsia"/>
          <w:sz w:val="32"/>
          <w:szCs w:val="32"/>
        </w:rPr>
        <w:t>521/62.23%、1</w:t>
      </w:r>
      <w:r w:rsidRPr="008F7885">
        <w:rPr>
          <w:rFonts w:ascii="標楷體" w:eastAsia="標楷體" w:hAnsi="標楷體"/>
          <w:sz w:val="32"/>
          <w:szCs w:val="32"/>
        </w:rPr>
        <w:t>,</w:t>
      </w:r>
      <w:r w:rsidRPr="008F7885">
        <w:rPr>
          <w:rFonts w:ascii="標楷體" w:eastAsia="標楷體" w:hAnsi="標楷體" w:hint="eastAsia"/>
          <w:sz w:val="32"/>
          <w:szCs w:val="32"/>
        </w:rPr>
        <w:t>301/60.68%、1</w:t>
      </w:r>
      <w:r w:rsidRPr="008F7885">
        <w:rPr>
          <w:rFonts w:ascii="標楷體" w:eastAsia="標楷體" w:hAnsi="標楷體"/>
          <w:sz w:val="32"/>
          <w:szCs w:val="32"/>
        </w:rPr>
        <w:t>,</w:t>
      </w:r>
      <w:r w:rsidRPr="008F7885">
        <w:rPr>
          <w:rFonts w:ascii="標楷體" w:eastAsia="標楷體" w:hAnsi="標楷體" w:hint="eastAsia"/>
          <w:sz w:val="32"/>
          <w:szCs w:val="32"/>
        </w:rPr>
        <w:t>847/60.76%，媒合比例皆約六成，比例偏低；另外111年申請人數為5</w:t>
      </w:r>
      <w:r w:rsidRPr="008F7885">
        <w:rPr>
          <w:rFonts w:ascii="標楷體" w:eastAsia="標楷體" w:hAnsi="標楷體"/>
          <w:sz w:val="32"/>
          <w:szCs w:val="32"/>
        </w:rPr>
        <w:t>,</w:t>
      </w:r>
      <w:r w:rsidRPr="008F7885">
        <w:rPr>
          <w:rFonts w:ascii="標楷體" w:eastAsia="標楷體" w:hAnsi="標楷體" w:hint="eastAsia"/>
          <w:sz w:val="32"/>
          <w:szCs w:val="32"/>
        </w:rPr>
        <w:t>328人，較110年減少19%，亦比109年5</w:t>
      </w:r>
      <w:r w:rsidRPr="008F7885">
        <w:rPr>
          <w:rFonts w:ascii="標楷體" w:eastAsia="標楷體" w:hAnsi="標楷體"/>
          <w:sz w:val="32"/>
          <w:szCs w:val="32"/>
        </w:rPr>
        <w:t>,</w:t>
      </w:r>
      <w:r w:rsidRPr="008F7885">
        <w:rPr>
          <w:rFonts w:ascii="標楷體" w:eastAsia="標楷體" w:hAnsi="標楷體" w:hint="eastAsia"/>
          <w:sz w:val="32"/>
          <w:szCs w:val="32"/>
        </w:rPr>
        <w:t>407人減少。青年儲蓄帳戶每年媒合比例低，且111年度參與人數較前2年減少，教育部應於3個月內針對所述之精進作為向立法院教育及文化委員會提出書面報告。</w:t>
      </w:r>
      <w:r w:rsidRPr="008F7885">
        <w:rPr>
          <w:rFonts w:ascii="標楷體" w:eastAsia="標楷體" w:hAnsi="標楷體"/>
          <w:sz w:val="32"/>
          <w:szCs w:val="32"/>
        </w:rPr>
        <w:t>64</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提案人：吳思瑤</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連署人：范  雲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sz w:val="32"/>
          <w:szCs w:val="32"/>
        </w:rPr>
        <w:t>(</w:t>
      </w:r>
      <w:r w:rsidRPr="008F7885">
        <w:rPr>
          <w:rFonts w:ascii="標楷體" w:eastAsia="標楷體" w:hAnsi="標楷體" w:hint="eastAsia"/>
          <w:sz w:val="32"/>
          <w:szCs w:val="32"/>
        </w:rPr>
        <w:t>六十一</w:t>
      </w:r>
      <w:r w:rsidRPr="008F7885">
        <w:rPr>
          <w:rFonts w:ascii="標楷體" w:eastAsia="標楷體" w:hAnsi="標楷體"/>
          <w:sz w:val="32"/>
          <w:szCs w:val="32"/>
        </w:rPr>
        <w:t>)</w:t>
      </w:r>
      <w:r w:rsidRPr="008F7885">
        <w:rPr>
          <w:rFonts w:ascii="標楷體" w:eastAsia="標楷體" w:hAnsi="標楷體" w:hint="eastAsia"/>
          <w:sz w:val="32"/>
          <w:szCs w:val="32"/>
        </w:rPr>
        <w:t>經查112年度教育部「高等教育」項下「技術職業教育行政及督導」中「強化技職教育學制及特色」預算編列7億8</w:t>
      </w:r>
      <w:r w:rsidRPr="008F7885">
        <w:rPr>
          <w:rFonts w:ascii="標楷體" w:eastAsia="標楷體" w:hAnsi="標楷體"/>
          <w:sz w:val="32"/>
          <w:szCs w:val="32"/>
        </w:rPr>
        <w:t>,</w:t>
      </w:r>
      <w:r w:rsidRPr="008F7885">
        <w:rPr>
          <w:rFonts w:ascii="標楷體" w:eastAsia="標楷體" w:hAnsi="標楷體" w:hint="eastAsia"/>
          <w:sz w:val="32"/>
          <w:szCs w:val="32"/>
        </w:rPr>
        <w:t>911萬5千元，包含辦理十二年國民基本教育適性分流等</w:t>
      </w:r>
      <w:r w:rsidRPr="008F7885">
        <w:rPr>
          <w:rFonts w:ascii="標楷體" w:eastAsia="標楷體" w:hAnsi="標楷體" w:hint="eastAsia"/>
          <w:sz w:val="32"/>
          <w:szCs w:val="32"/>
        </w:rPr>
        <w:lastRenderedPageBreak/>
        <w:t>所需經費。鑑於高中與高職之學習體系不同，學習歷程檔案之繳交期限應分開訂定，教育部業已訂定112年之分流學習歷程繳交期限；允宜加強與學校之密切溝通，使學生能提早準備學習歷程所需內容，有助於學生對於學習之掌握及後續測驗之準備。爰此，請教育部持續向高中職宣導，以利學生及早準備學習歷程檔案。</w:t>
      </w:r>
      <w:r w:rsidRPr="008F7885">
        <w:rPr>
          <w:rFonts w:ascii="標楷體" w:eastAsia="標楷體" w:hAnsi="標楷體"/>
          <w:sz w:val="32"/>
          <w:szCs w:val="32"/>
        </w:rPr>
        <w:t>66</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提案人：陳秀寳</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連署人：吳思瑤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sz w:val="32"/>
          <w:szCs w:val="32"/>
        </w:rPr>
        <w:t>(</w:t>
      </w:r>
      <w:r w:rsidRPr="008F7885">
        <w:rPr>
          <w:rFonts w:ascii="標楷體" w:eastAsia="標楷體" w:hAnsi="標楷體" w:hint="eastAsia"/>
          <w:sz w:val="32"/>
          <w:szCs w:val="32"/>
        </w:rPr>
        <w:t>六十二</w:t>
      </w:r>
      <w:r w:rsidRPr="008F7885">
        <w:rPr>
          <w:rFonts w:ascii="標楷體" w:eastAsia="標楷體" w:hAnsi="標楷體"/>
          <w:sz w:val="32"/>
          <w:szCs w:val="32"/>
        </w:rPr>
        <w:t>)</w:t>
      </w:r>
      <w:r w:rsidRPr="008F7885">
        <w:rPr>
          <w:rFonts w:ascii="標楷體" w:eastAsia="標楷體" w:hAnsi="標楷體" w:hint="eastAsia"/>
          <w:sz w:val="32"/>
          <w:szCs w:val="32"/>
        </w:rPr>
        <w:t>「私立高級中等以上學校退場條例」於111年5月11日上路，其立法乃為完備私校退場之程序，強化對教職員生之權益保障。然該條例對於退場程序之規範對象僅限於遭列專案輔導之私校，非專案輔導之私校申請自願退場，則適用「私立學校法」及「專科以上學校及其分校分部專科部技術型高級中等學校部設立變更停辦辦法」。經查，「私立高級中等以上學校退場條例」中規範專輔學校應發給教職員工資遣、退休及離職慰助金，並規定學校之主管機關應補助學生因轉學他校而增加之支出、必要時之助學金。然而相關規定於「專科以上學校及其分校分部專科部技術型高級中等學校部設立變更停辦辦法」卻付之闕如。為使非專輔之退場私校，其教職員工及學生享有與專輔學校相同之權益保障，請教育部修改「專科以上學校及其分校分部專科部技術型高級中等學校部設立變更停辦辦法」，將教職員工慰助金、學生轉學支出及助學金等相關保障措施具體入法，並於3個月內完成法規修正程序。</w:t>
      </w:r>
      <w:r w:rsidRPr="008F7885">
        <w:rPr>
          <w:rFonts w:ascii="標楷體" w:eastAsia="標楷體" w:hAnsi="標楷體"/>
          <w:sz w:val="32"/>
          <w:szCs w:val="32"/>
        </w:rPr>
        <w:t>70</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提案人：范  雲</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連署人：吳思瑤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sz w:val="32"/>
          <w:szCs w:val="32"/>
        </w:rPr>
        <w:t>(</w:t>
      </w:r>
      <w:r w:rsidRPr="008F7885">
        <w:rPr>
          <w:rFonts w:ascii="標楷體" w:eastAsia="標楷體" w:hAnsi="標楷體" w:hint="eastAsia"/>
          <w:sz w:val="32"/>
          <w:szCs w:val="32"/>
        </w:rPr>
        <w:t>六十三</w:t>
      </w:r>
      <w:r w:rsidRPr="008F7885">
        <w:rPr>
          <w:rFonts w:ascii="標楷體" w:eastAsia="標楷體" w:hAnsi="標楷體"/>
          <w:sz w:val="32"/>
          <w:szCs w:val="32"/>
        </w:rPr>
        <w:t>)112</w:t>
      </w:r>
      <w:r w:rsidRPr="008F7885">
        <w:rPr>
          <w:rFonts w:ascii="標楷體" w:eastAsia="標楷體" w:hAnsi="標楷體" w:hint="eastAsia"/>
          <w:sz w:val="32"/>
          <w:szCs w:val="32"/>
        </w:rPr>
        <w:t>年度教育部「高等教育」項下「技術職業教育行政及督導」中「引導學校發展多元特色及教學創新」之「推動</w:t>
      </w:r>
      <w:r w:rsidRPr="008F7885">
        <w:rPr>
          <w:rFonts w:ascii="標楷體" w:eastAsia="標楷體" w:hAnsi="標楷體" w:hint="eastAsia"/>
          <w:sz w:val="32"/>
          <w:szCs w:val="32"/>
        </w:rPr>
        <w:lastRenderedPageBreak/>
        <w:t>第二期高等教育深耕計畫」之「引導技專校院推動以學生為主體之教學創新」預算編列</w:t>
      </w:r>
      <w:r w:rsidRPr="008F7885">
        <w:rPr>
          <w:rFonts w:ascii="標楷體" w:eastAsia="標楷體" w:hAnsi="標楷體"/>
          <w:sz w:val="32"/>
          <w:szCs w:val="32"/>
        </w:rPr>
        <w:t>43</w:t>
      </w:r>
      <w:r w:rsidRPr="008F7885">
        <w:rPr>
          <w:rFonts w:ascii="標楷體" w:eastAsia="標楷體" w:hAnsi="標楷體" w:hint="eastAsia"/>
          <w:sz w:val="32"/>
          <w:szCs w:val="32"/>
        </w:rPr>
        <w:t>億</w:t>
      </w:r>
      <w:r w:rsidRPr="008F7885">
        <w:rPr>
          <w:rFonts w:ascii="標楷體" w:eastAsia="標楷體" w:hAnsi="標楷體"/>
          <w:sz w:val="32"/>
          <w:szCs w:val="32"/>
        </w:rPr>
        <w:t>7,941</w:t>
      </w:r>
      <w:r w:rsidRPr="008F7885">
        <w:rPr>
          <w:rFonts w:ascii="標楷體" w:eastAsia="標楷體" w:hAnsi="標楷體" w:hint="eastAsia"/>
          <w:sz w:val="32"/>
          <w:szCs w:val="32"/>
        </w:rPr>
        <w:t>萬</w:t>
      </w:r>
      <w:r w:rsidRPr="008F7885">
        <w:rPr>
          <w:rFonts w:ascii="標楷體" w:eastAsia="標楷體" w:hAnsi="標楷體"/>
          <w:sz w:val="32"/>
          <w:szCs w:val="32"/>
        </w:rPr>
        <w:t>2</w:t>
      </w:r>
      <w:r w:rsidRPr="008F7885">
        <w:rPr>
          <w:rFonts w:ascii="標楷體" w:eastAsia="標楷體" w:hAnsi="標楷體" w:hint="eastAsia"/>
          <w:sz w:val="32"/>
          <w:szCs w:val="32"/>
        </w:rPr>
        <w:t>千元，該項預算係引導技專校院推動以學生為主體之教學創新，精進學生實務學習與教師實務經驗發展創新教學模式、推動教學實踐硏究、強化雙語教育、以產業及問題導向學習模式，增強學生學以致用及解決問題之就業力等。然政府推行的</w:t>
      </w:r>
      <w:r w:rsidRPr="008F7885">
        <w:rPr>
          <w:rFonts w:ascii="標楷體" w:eastAsia="標楷體" w:hAnsi="標楷體"/>
          <w:sz w:val="32"/>
          <w:szCs w:val="32"/>
        </w:rPr>
        <w:t>2030</w:t>
      </w:r>
      <w:r w:rsidRPr="008F7885">
        <w:rPr>
          <w:rFonts w:ascii="標楷體" w:eastAsia="標楷體" w:hAnsi="標楷體" w:hint="eastAsia"/>
          <w:sz w:val="32"/>
          <w:szCs w:val="32"/>
        </w:rPr>
        <w:t>雙語政策，是否就能從政策面打造雙語環境，來提升國家人才與產業之競爭力，達成與國際接軌的目的呢</w:t>
      </w:r>
      <w:r w:rsidRPr="008F7885">
        <w:rPr>
          <w:rFonts w:ascii="標楷體" w:eastAsia="標楷體" w:hAnsi="標楷體"/>
          <w:sz w:val="32"/>
          <w:szCs w:val="32"/>
        </w:rPr>
        <w:t>?</w:t>
      </w:r>
      <w:r w:rsidRPr="008F7885">
        <w:rPr>
          <w:rFonts w:ascii="標楷體" w:eastAsia="標楷體" w:hAnsi="標楷體" w:hint="eastAsia"/>
          <w:sz w:val="32"/>
          <w:szCs w:val="32"/>
        </w:rPr>
        <w:t>惟根據教育部委託國立臺灣師範大學就「我國推動英語成為第二官方語言政策評估報告」的報告中指出，以馬來西亞為例，該國於2002至2009 年時曾以英語作為數理科目教學語言，但執行成效不彰，現已改以母語(馬來語)來教學數理。為避免錯誤雙語政策，影響我國與國際接軌的目標，爰要求教育部應就雙語政策－推動全英語授課教學之措施，重新審視及評估雙語教學之優劣及影響，並於3個月內向立法院教育及文化委員會提出書面報告。</w:t>
      </w:r>
      <w:r w:rsidRPr="008F7885">
        <w:rPr>
          <w:rFonts w:ascii="標楷體" w:eastAsia="標楷體" w:hAnsi="標楷體"/>
          <w:sz w:val="32"/>
          <w:szCs w:val="32"/>
        </w:rPr>
        <w:t>80</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提案人：吳怡玎</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連署人：萬美玲  黃國書</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sz w:val="32"/>
          <w:szCs w:val="32"/>
        </w:rPr>
        <w:t>(</w:t>
      </w:r>
      <w:r w:rsidRPr="008F7885">
        <w:rPr>
          <w:rFonts w:ascii="標楷體" w:eastAsia="標楷體" w:hAnsi="標楷體" w:hint="eastAsia"/>
          <w:sz w:val="32"/>
          <w:szCs w:val="32"/>
        </w:rPr>
        <w:t>六十四</w:t>
      </w:r>
      <w:r w:rsidRPr="008F7885">
        <w:rPr>
          <w:rFonts w:ascii="標楷體" w:eastAsia="標楷體" w:hAnsi="標楷體"/>
          <w:sz w:val="32"/>
          <w:szCs w:val="32"/>
        </w:rPr>
        <w:t>)</w:t>
      </w:r>
      <w:r w:rsidRPr="008F7885">
        <w:rPr>
          <w:rFonts w:ascii="標楷體" w:eastAsia="標楷體" w:hAnsi="標楷體" w:hint="eastAsia"/>
          <w:sz w:val="32"/>
          <w:szCs w:val="32"/>
        </w:rPr>
        <w:t>112年度教育部「高等教育」項下「私立學校教學獎助」中「輔導私立大專校院整體發展獎助」預算編列76億5</w:t>
      </w:r>
      <w:r w:rsidRPr="008F7885">
        <w:rPr>
          <w:rFonts w:ascii="標楷體" w:eastAsia="標楷體" w:hAnsi="標楷體"/>
          <w:sz w:val="32"/>
          <w:szCs w:val="32"/>
        </w:rPr>
        <w:t>,</w:t>
      </w:r>
      <w:r w:rsidRPr="008F7885">
        <w:rPr>
          <w:rFonts w:ascii="標楷體" w:eastAsia="標楷體" w:hAnsi="標楷體" w:hint="eastAsia"/>
          <w:sz w:val="32"/>
          <w:szCs w:val="32"/>
        </w:rPr>
        <w:t>615萬元，係用於私立大專校院相關獎助經費。「私立高級中等以上學校退場條例」之立法意旨，即盼能透過法制，保障私校退場後學生及教師之權益，並明定私校退場後之處理流程。然本法經立法院制定後，仍有部分私校因考量自身利益，在未正式列入專案輔導學校前，依「私立學校法」辦理退場、清算校產，嚴重影響教師與學生權益，此類「雙軌制」之情形，業已與立法意旨不符。對此，教育部應於3個月內研議相關辦法修正，阻絕相關漏洞，避免雙軌制之運行</w:t>
      </w:r>
      <w:r w:rsidRPr="008F7885">
        <w:rPr>
          <w:rFonts w:ascii="標楷體" w:eastAsia="標楷體" w:hAnsi="標楷體" w:hint="eastAsia"/>
          <w:sz w:val="32"/>
          <w:szCs w:val="32"/>
        </w:rPr>
        <w:lastRenderedPageBreak/>
        <w:t>模式損及教師及學生權益</w:t>
      </w:r>
      <w:r>
        <w:rPr>
          <w:rFonts w:ascii="標楷體" w:eastAsia="標楷體" w:hAnsi="標楷體" w:hint="eastAsia"/>
          <w:sz w:val="32"/>
          <w:szCs w:val="32"/>
        </w:rPr>
        <w:t>，並</w:t>
      </w:r>
      <w:r w:rsidRPr="008F7885">
        <w:rPr>
          <w:rFonts w:ascii="標楷體" w:eastAsia="標楷體" w:hAnsi="標楷體" w:hint="eastAsia"/>
          <w:sz w:val="32"/>
          <w:szCs w:val="32"/>
        </w:rPr>
        <w:t>於3個月內向立法院教育及文化委員會提出書面報告。</w:t>
      </w:r>
      <w:r w:rsidRPr="008F7885">
        <w:rPr>
          <w:rFonts w:ascii="標楷體" w:eastAsia="標楷體" w:hAnsi="標楷體"/>
          <w:sz w:val="32"/>
          <w:szCs w:val="32"/>
        </w:rPr>
        <w:t>81</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提案人：王婉諭</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連署人：林宜瑾  黃國書</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sz w:val="32"/>
          <w:szCs w:val="32"/>
        </w:rPr>
        <w:t>(</w:t>
      </w:r>
      <w:r w:rsidRPr="008F7885">
        <w:rPr>
          <w:rFonts w:ascii="標楷體" w:eastAsia="標楷體" w:hAnsi="標楷體" w:hint="eastAsia"/>
          <w:sz w:val="32"/>
          <w:szCs w:val="32"/>
        </w:rPr>
        <w:t>六十五</w:t>
      </w:r>
      <w:r w:rsidRPr="008F7885">
        <w:rPr>
          <w:rFonts w:ascii="標楷體" w:eastAsia="標楷體" w:hAnsi="標楷體"/>
          <w:sz w:val="32"/>
          <w:szCs w:val="32"/>
        </w:rPr>
        <w:t>)</w:t>
      </w:r>
      <w:r w:rsidRPr="008F7885">
        <w:rPr>
          <w:rFonts w:ascii="標楷體" w:eastAsia="標楷體" w:hAnsi="標楷體" w:hint="eastAsia"/>
          <w:sz w:val="32"/>
          <w:szCs w:val="32"/>
        </w:rPr>
        <w:t>經查</w:t>
      </w:r>
      <w:r w:rsidRPr="008F7885">
        <w:rPr>
          <w:rFonts w:ascii="標楷體" w:eastAsia="標楷體" w:hAnsi="標楷體"/>
          <w:sz w:val="32"/>
          <w:szCs w:val="32"/>
        </w:rPr>
        <w:t>112</w:t>
      </w:r>
      <w:r w:rsidRPr="008F7885">
        <w:rPr>
          <w:rFonts w:ascii="標楷體" w:eastAsia="標楷體" w:hAnsi="標楷體" w:hint="eastAsia"/>
          <w:sz w:val="32"/>
          <w:szCs w:val="32"/>
        </w:rPr>
        <w:t>年度教育部「高等教育」項下「私立學校教學獎助」中「補助私立大專校院學生就學貸款利息」預算編列1</w:t>
      </w:r>
      <w:r w:rsidRPr="008F7885">
        <w:rPr>
          <w:rFonts w:ascii="標楷體" w:eastAsia="標楷體" w:hAnsi="標楷體"/>
          <w:sz w:val="32"/>
          <w:szCs w:val="32"/>
        </w:rPr>
        <w:t>,505</w:t>
      </w:r>
      <w:r w:rsidRPr="008F7885">
        <w:rPr>
          <w:rFonts w:ascii="標楷體" w:eastAsia="標楷體" w:hAnsi="標楷體" w:hint="eastAsia"/>
          <w:sz w:val="32"/>
          <w:szCs w:val="32"/>
        </w:rPr>
        <w:t>萬</w:t>
      </w:r>
      <w:r w:rsidRPr="008F7885">
        <w:rPr>
          <w:rFonts w:ascii="標楷體" w:eastAsia="標楷體" w:hAnsi="標楷體"/>
          <w:sz w:val="32"/>
          <w:szCs w:val="32"/>
        </w:rPr>
        <w:t>3</w:t>
      </w:r>
      <w:r w:rsidRPr="008F7885">
        <w:rPr>
          <w:rFonts w:ascii="標楷體" w:eastAsia="標楷體" w:hAnsi="標楷體" w:hint="eastAsia"/>
          <w:sz w:val="32"/>
          <w:szCs w:val="32"/>
        </w:rPr>
        <w:t>千元，包含推動就學貸款工作之經費。然而根據教育部統計，就學貸款申辦人數逐年減少，大專校院就學貸款申辦人數由</w:t>
      </w:r>
      <w:r w:rsidRPr="008F7885">
        <w:rPr>
          <w:rFonts w:ascii="標楷體" w:eastAsia="標楷體" w:hAnsi="標楷體"/>
          <w:sz w:val="32"/>
          <w:szCs w:val="32"/>
        </w:rPr>
        <w:t xml:space="preserve"> 29.1</w:t>
      </w:r>
      <w:r w:rsidRPr="008F7885">
        <w:rPr>
          <w:rFonts w:ascii="標楷體" w:eastAsia="標楷體" w:hAnsi="標楷體" w:hint="eastAsia"/>
          <w:sz w:val="32"/>
          <w:szCs w:val="32"/>
        </w:rPr>
        <w:t>萬多人降至</w:t>
      </w:r>
      <w:r w:rsidRPr="008F7885">
        <w:rPr>
          <w:rFonts w:ascii="標楷體" w:eastAsia="標楷體" w:hAnsi="標楷體"/>
          <w:sz w:val="32"/>
          <w:szCs w:val="32"/>
        </w:rPr>
        <w:t>23.6</w:t>
      </w:r>
      <w:r w:rsidRPr="008F7885">
        <w:rPr>
          <w:rFonts w:ascii="標楷體" w:eastAsia="標楷體" w:hAnsi="標楷體" w:hint="eastAsia"/>
          <w:sz w:val="32"/>
          <w:szCs w:val="32"/>
        </w:rPr>
        <w:t>萬多人，减幅達</w:t>
      </w:r>
      <w:r w:rsidRPr="008F7885">
        <w:rPr>
          <w:rFonts w:ascii="標楷體" w:eastAsia="標楷體" w:hAnsi="標楷體"/>
          <w:sz w:val="32"/>
          <w:szCs w:val="32"/>
        </w:rPr>
        <w:t>18.62%</w:t>
      </w:r>
      <w:r w:rsidRPr="008F7885">
        <w:rPr>
          <w:rFonts w:ascii="標楷體" w:eastAsia="標楷體" w:hAnsi="標楷體" w:hint="eastAsia"/>
          <w:sz w:val="32"/>
          <w:szCs w:val="32"/>
        </w:rPr>
        <w:t>。惟大專校院學生就學貸款利息補貼與相關工作經費僅從</w:t>
      </w:r>
      <w:r w:rsidRPr="008F7885">
        <w:rPr>
          <w:rFonts w:ascii="標楷體" w:eastAsia="標楷體" w:hAnsi="標楷體"/>
          <w:sz w:val="32"/>
          <w:szCs w:val="32"/>
        </w:rPr>
        <w:t>24</w:t>
      </w:r>
      <w:r w:rsidRPr="008F7885">
        <w:rPr>
          <w:rFonts w:ascii="標楷體" w:eastAsia="標楷體" w:hAnsi="標楷體" w:hint="eastAsia"/>
          <w:sz w:val="32"/>
          <w:szCs w:val="32"/>
        </w:rPr>
        <w:t>億</w:t>
      </w:r>
      <w:r w:rsidRPr="008F7885">
        <w:rPr>
          <w:rFonts w:ascii="標楷體" w:eastAsia="標楷體" w:hAnsi="標楷體"/>
          <w:sz w:val="32"/>
          <w:szCs w:val="32"/>
        </w:rPr>
        <w:t>3,159</w:t>
      </w:r>
      <w:r w:rsidRPr="008F7885">
        <w:rPr>
          <w:rFonts w:ascii="標楷體" w:eastAsia="標楷體" w:hAnsi="標楷體" w:hint="eastAsia"/>
          <w:sz w:val="32"/>
          <w:szCs w:val="32"/>
        </w:rPr>
        <w:t>萬</w:t>
      </w:r>
      <w:r w:rsidRPr="008F7885">
        <w:rPr>
          <w:rFonts w:ascii="標楷體" w:eastAsia="標楷體" w:hAnsi="標楷體"/>
          <w:sz w:val="32"/>
          <w:szCs w:val="32"/>
        </w:rPr>
        <w:t>7</w:t>
      </w:r>
      <w:r w:rsidRPr="008F7885">
        <w:rPr>
          <w:rFonts w:ascii="標楷體" w:eastAsia="標楷體" w:hAnsi="標楷體" w:hint="eastAsia"/>
          <w:sz w:val="32"/>
          <w:szCs w:val="32"/>
        </w:rPr>
        <w:t>千元減編</w:t>
      </w:r>
      <w:r w:rsidRPr="008F7885">
        <w:rPr>
          <w:rFonts w:ascii="標楷體" w:eastAsia="標楷體" w:hAnsi="標楷體"/>
          <w:sz w:val="32"/>
          <w:szCs w:val="32"/>
        </w:rPr>
        <w:t>1</w:t>
      </w:r>
      <w:r w:rsidRPr="008F7885">
        <w:rPr>
          <w:rFonts w:ascii="標楷體" w:eastAsia="標楷體" w:hAnsi="標楷體" w:hint="eastAsia"/>
          <w:sz w:val="32"/>
          <w:szCs w:val="32"/>
        </w:rPr>
        <w:t>億</w:t>
      </w:r>
      <w:r w:rsidRPr="008F7885">
        <w:rPr>
          <w:rFonts w:ascii="標楷體" w:eastAsia="標楷體" w:hAnsi="標楷體"/>
          <w:sz w:val="32"/>
          <w:szCs w:val="32"/>
        </w:rPr>
        <w:t>6,126</w:t>
      </w:r>
      <w:r w:rsidRPr="008F7885">
        <w:rPr>
          <w:rFonts w:ascii="標楷體" w:eastAsia="標楷體" w:hAnsi="標楷體" w:hint="eastAsia"/>
          <w:sz w:val="32"/>
          <w:szCs w:val="32"/>
        </w:rPr>
        <w:t>萬</w:t>
      </w:r>
      <w:r w:rsidRPr="008F7885">
        <w:rPr>
          <w:rFonts w:ascii="標楷體" w:eastAsia="標楷體" w:hAnsi="標楷體"/>
          <w:sz w:val="32"/>
          <w:szCs w:val="32"/>
        </w:rPr>
        <w:t>8</w:t>
      </w:r>
      <w:r w:rsidRPr="008F7885">
        <w:rPr>
          <w:rFonts w:ascii="標楷體" w:eastAsia="標楷體" w:hAnsi="標楷體" w:hint="eastAsia"/>
          <w:sz w:val="32"/>
          <w:szCs w:val="32"/>
        </w:rPr>
        <w:t>千元，減列幅度僅有</w:t>
      </w:r>
      <w:r w:rsidRPr="008F7885">
        <w:rPr>
          <w:rFonts w:ascii="標楷體" w:eastAsia="標楷體" w:hAnsi="標楷體"/>
          <w:sz w:val="32"/>
          <w:szCs w:val="32"/>
        </w:rPr>
        <w:t>6.6%</w:t>
      </w:r>
      <w:r w:rsidRPr="008F7885">
        <w:rPr>
          <w:rFonts w:ascii="標楷體" w:eastAsia="標楷體" w:hAnsi="標楷體" w:hint="eastAsia"/>
          <w:sz w:val="32"/>
          <w:szCs w:val="32"/>
        </w:rPr>
        <w:t>。教育部應視情況減列經費，以撙節支出。</w:t>
      </w:r>
      <w:r w:rsidRPr="008F7885">
        <w:rPr>
          <w:rFonts w:ascii="標楷體" w:eastAsia="標楷體" w:hAnsi="標楷體"/>
          <w:sz w:val="32"/>
          <w:szCs w:val="32"/>
        </w:rPr>
        <w:t>86</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提案人：陳秀寳</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連署人：林宜瑾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(六十六)行政院為解決少子女化問題，擴大教保服務量能，幼教師資及教保服務人員之人力補充及優化是關鍵。經查108至110年，取得教保服務人員之資格數分別為4</w:t>
      </w:r>
      <w:r w:rsidRPr="008F7885">
        <w:rPr>
          <w:rFonts w:ascii="標楷體" w:eastAsia="標楷體" w:hAnsi="標楷體"/>
          <w:sz w:val="32"/>
          <w:szCs w:val="32"/>
        </w:rPr>
        <w:t>,</w:t>
      </w:r>
      <w:r w:rsidRPr="008F7885">
        <w:rPr>
          <w:rFonts w:ascii="標楷體" w:eastAsia="標楷體" w:hAnsi="標楷體" w:hint="eastAsia"/>
          <w:sz w:val="32"/>
          <w:szCs w:val="32"/>
        </w:rPr>
        <w:t>181、4</w:t>
      </w:r>
      <w:r w:rsidRPr="008F7885">
        <w:rPr>
          <w:rFonts w:ascii="標楷體" w:eastAsia="標楷體" w:hAnsi="標楷體"/>
          <w:sz w:val="32"/>
          <w:szCs w:val="32"/>
        </w:rPr>
        <w:t>,</w:t>
      </w:r>
      <w:r w:rsidRPr="008F7885">
        <w:rPr>
          <w:rFonts w:ascii="標楷體" w:eastAsia="標楷體" w:hAnsi="標楷體" w:hint="eastAsia"/>
          <w:sz w:val="32"/>
          <w:szCs w:val="32"/>
        </w:rPr>
        <w:t>167及4</w:t>
      </w:r>
      <w:r w:rsidRPr="008F7885">
        <w:rPr>
          <w:rFonts w:ascii="標楷體" w:eastAsia="標楷體" w:hAnsi="標楷體"/>
          <w:sz w:val="32"/>
          <w:szCs w:val="32"/>
        </w:rPr>
        <w:t>,</w:t>
      </w:r>
      <w:r w:rsidRPr="008F7885">
        <w:rPr>
          <w:rFonts w:ascii="標楷體" w:eastAsia="標楷體" w:hAnsi="標楷體" w:hint="eastAsia"/>
          <w:sz w:val="32"/>
          <w:szCs w:val="32"/>
        </w:rPr>
        <w:t>563人，然而，實際每年就職人數皆約2</w:t>
      </w:r>
      <w:r w:rsidRPr="008F7885">
        <w:rPr>
          <w:rFonts w:ascii="標楷體" w:eastAsia="標楷體" w:hAnsi="標楷體"/>
          <w:sz w:val="32"/>
          <w:szCs w:val="32"/>
        </w:rPr>
        <w:t>,</w:t>
      </w:r>
      <w:r w:rsidRPr="008F7885">
        <w:rPr>
          <w:rFonts w:ascii="標楷體" w:eastAsia="標楷體" w:hAnsi="標楷體" w:hint="eastAsia"/>
          <w:sz w:val="32"/>
          <w:szCs w:val="32"/>
        </w:rPr>
        <w:t>500人，就任率僅54%。教育部應檢討師資培育與實質進用之落差因素。為提升教保品質，強化師生比，111年通過「幼兒教育及照顧法」修法之附帶決議明定「幼兒園生師比41年未做調整，已無法符合當今現況，教育部應有積極作為，並提出調降時程。」教育部應進行幼教人力之全面調查、檢討教保人員就任率低之不利因素及提供就讀學士後幼教師及教保員之誘因及補助。請教育部於3個月內向立法院教育及文化委員會提出書面報告。</w:t>
      </w:r>
      <w:r w:rsidRPr="008F7885">
        <w:rPr>
          <w:rFonts w:ascii="標楷體" w:eastAsia="標楷體" w:hAnsi="標楷體"/>
          <w:sz w:val="32"/>
          <w:szCs w:val="32"/>
        </w:rPr>
        <w:t>96</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提案人：吳思瑤</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連署人：賴品妤  林宜瑾</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sz w:val="32"/>
          <w:szCs w:val="32"/>
        </w:rPr>
        <w:lastRenderedPageBreak/>
        <w:t>(</w:t>
      </w:r>
      <w:r w:rsidRPr="008F7885">
        <w:rPr>
          <w:rFonts w:ascii="標楷體" w:eastAsia="標楷體" w:hAnsi="標楷體" w:hint="eastAsia"/>
          <w:sz w:val="32"/>
          <w:szCs w:val="32"/>
        </w:rPr>
        <w:t>六十七</w:t>
      </w:r>
      <w:r w:rsidRPr="008F7885">
        <w:rPr>
          <w:rFonts w:ascii="標楷體" w:eastAsia="標楷體" w:hAnsi="標楷體"/>
          <w:sz w:val="32"/>
          <w:szCs w:val="32"/>
        </w:rPr>
        <w:t>)</w:t>
      </w:r>
      <w:r w:rsidRPr="008F7885">
        <w:rPr>
          <w:rFonts w:ascii="標楷體" w:eastAsia="標楷體" w:hAnsi="標楷體" w:hint="eastAsia"/>
          <w:sz w:val="32"/>
          <w:szCs w:val="32"/>
        </w:rPr>
        <w:t>因應「國家語言發展法」之實施，教育部依縣市提報之教師進修需求，協調師資培育之大學開設，辦理中等學校及國民小學之本土語文教師在職進修第二專長學分班，以推動在職教師專業發展。惟查，111年度中等學校第二專長學分班與國民小學加註學分班之開班情形，各語言實際進修人數與預估提供進修人數均存有落差，教育部應檢討落差原因，並研議相關獎勵措施，並於3個月內向立法院教育及文化委員會提出書面報告。</w:t>
      </w:r>
      <w:r w:rsidRPr="008F7885">
        <w:rPr>
          <w:rFonts w:ascii="標楷體" w:eastAsia="標楷體" w:hAnsi="標楷體"/>
          <w:sz w:val="32"/>
          <w:szCs w:val="32"/>
        </w:rPr>
        <w:t>101</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連署人：賴品妤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sz w:val="32"/>
          <w:szCs w:val="32"/>
        </w:rPr>
        <w:t>(</w:t>
      </w:r>
      <w:r w:rsidRPr="008F7885">
        <w:rPr>
          <w:rFonts w:ascii="標楷體" w:eastAsia="標楷體" w:hAnsi="標楷體" w:hint="eastAsia"/>
          <w:sz w:val="32"/>
          <w:szCs w:val="32"/>
        </w:rPr>
        <w:t>六十八</w:t>
      </w:r>
      <w:r w:rsidRPr="008F7885">
        <w:rPr>
          <w:rFonts w:ascii="標楷體" w:eastAsia="標楷體" w:hAnsi="標楷體"/>
          <w:sz w:val="32"/>
          <w:szCs w:val="32"/>
        </w:rPr>
        <w:t>)112</w:t>
      </w:r>
      <w:r w:rsidRPr="008F7885">
        <w:rPr>
          <w:rFonts w:ascii="標楷體" w:eastAsia="標楷體" w:hAnsi="標楷體" w:hint="eastAsia"/>
          <w:sz w:val="32"/>
          <w:szCs w:val="32"/>
        </w:rPr>
        <w:t>年度教育部「終身教育」項下「終身教育行政及督導」中「推動終身教育及學習網絡」之「辦理短期補習班管理輔導等業務」預算編列2</w:t>
      </w:r>
      <w:r w:rsidRPr="008F7885">
        <w:rPr>
          <w:rFonts w:ascii="標楷體" w:eastAsia="標楷體" w:hAnsi="標楷體"/>
          <w:sz w:val="32"/>
          <w:szCs w:val="32"/>
        </w:rPr>
        <w:t>,</w:t>
      </w:r>
      <w:r w:rsidRPr="008F7885">
        <w:rPr>
          <w:rFonts w:ascii="標楷體" w:eastAsia="標楷體" w:hAnsi="標楷體" w:hint="eastAsia"/>
          <w:sz w:val="32"/>
          <w:szCs w:val="32"/>
        </w:rPr>
        <w:t>280萬元。惟據監察院調查，107至109年兒少遭補習班老師不當對待之兒少保護通報件數分別自28件倍增至238件，凸顯教育部對短期補習班之監督管理有待加強。另查，教育部對於多次違規之短期補習班，並未建立加強預警及輔導訪視機制，亦未督導地方政府將兒少保護項目納入重點查核事項，致短期補習班發生不當對待兒少案件逐年增加，請教育部於3個月內向立法院教育及文化委員會提出書面報告。</w:t>
      </w:r>
      <w:r w:rsidRPr="008F7885">
        <w:rPr>
          <w:rFonts w:ascii="標楷體" w:eastAsia="標楷體" w:hAnsi="標楷體"/>
          <w:sz w:val="32"/>
          <w:szCs w:val="32"/>
        </w:rPr>
        <w:t>102</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連署人：林宜瑾  賴品妤</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sz w:val="32"/>
          <w:szCs w:val="32"/>
        </w:rPr>
        <w:t>(</w:t>
      </w:r>
      <w:r w:rsidRPr="008F7885">
        <w:rPr>
          <w:rFonts w:ascii="標楷體" w:eastAsia="標楷體" w:hAnsi="標楷體" w:hint="eastAsia"/>
          <w:sz w:val="32"/>
          <w:szCs w:val="32"/>
        </w:rPr>
        <w:t>六十九</w:t>
      </w:r>
      <w:r w:rsidRPr="008F7885">
        <w:rPr>
          <w:rFonts w:ascii="標楷體" w:eastAsia="標楷體" w:hAnsi="標楷體"/>
          <w:sz w:val="32"/>
          <w:szCs w:val="32"/>
        </w:rPr>
        <w:t>)</w:t>
      </w:r>
      <w:r w:rsidRPr="008F7885">
        <w:rPr>
          <w:rFonts w:ascii="標楷體" w:eastAsia="標楷體" w:hAnsi="標楷體" w:hint="eastAsia"/>
          <w:sz w:val="32"/>
          <w:szCs w:val="32"/>
        </w:rPr>
        <w:t>隨著台灣人口進入高齡社會，終身教育與高齡教育愈趨重要。112年度教育部「終身教育」項下「終身教育行政及督導」中「推動終身教育及學習網絡」預算編列9,002萬8千元，推動終身學習相關政策；其中亦編列2,197萬8千元經費，與縣市政府、學校合作，建立終身學習體系。據國家發展委員會推估，我國人口將於2025年進入「超高齡社</w:t>
      </w:r>
      <w:r w:rsidRPr="008F7885">
        <w:rPr>
          <w:rFonts w:ascii="標楷體" w:eastAsia="標楷體" w:hAnsi="標楷體" w:hint="eastAsia"/>
          <w:sz w:val="32"/>
          <w:szCs w:val="32"/>
        </w:rPr>
        <w:lastRenderedPageBreak/>
        <w:t>會」，屆時老年人口比例超過20%，且老年人口占比將逐年持續增加。因此我國急需增設高齡教育相關設施與建立終身教育系統。教育部110年度成果顯示，目前已設置372所樂齡學習中心。政策立意良善，並穩定推動，但仍須因應台灣人口變動，及早進行完善終身學習體系之相關準備。為敦促教育部積極因應我國人口將於2025進入超高齡社會之情事，請教育部積極因應與增設樂齡學習機構及完善終身學習體系，以符應超高齡社會之重要趨勢。</w:t>
      </w:r>
      <w:r w:rsidRPr="008F7885">
        <w:rPr>
          <w:rFonts w:ascii="標楷體" w:eastAsia="標楷體" w:hAnsi="標楷體"/>
          <w:sz w:val="32"/>
          <w:szCs w:val="32"/>
        </w:rPr>
        <w:t>103</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提案人：林宜瑾</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賴品妤</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sz w:val="32"/>
          <w:szCs w:val="32"/>
        </w:rPr>
        <w:t>(</w:t>
      </w:r>
      <w:r w:rsidRPr="008F7885">
        <w:rPr>
          <w:rFonts w:ascii="標楷體" w:eastAsia="標楷體" w:hAnsi="標楷體" w:hint="eastAsia"/>
          <w:sz w:val="32"/>
          <w:szCs w:val="32"/>
        </w:rPr>
        <w:t>七十</w:t>
      </w:r>
      <w:r w:rsidRPr="008F7885">
        <w:rPr>
          <w:rFonts w:ascii="標楷體" w:eastAsia="標楷體" w:hAnsi="標楷體"/>
          <w:sz w:val="32"/>
          <w:szCs w:val="32"/>
        </w:rPr>
        <w:t>)112</w:t>
      </w:r>
      <w:r w:rsidRPr="008F7885">
        <w:rPr>
          <w:rFonts w:ascii="標楷體" w:eastAsia="標楷體" w:hAnsi="標楷體" w:hint="eastAsia"/>
          <w:sz w:val="32"/>
          <w:szCs w:val="32"/>
        </w:rPr>
        <w:t>年度教育部「終身教育」項下「終身教育行政及督導」中「推動高齡教育」預算編列3億0</w:t>
      </w:r>
      <w:r w:rsidRPr="008F7885">
        <w:rPr>
          <w:rFonts w:ascii="標楷體" w:eastAsia="標楷體" w:hAnsi="標楷體"/>
          <w:sz w:val="32"/>
          <w:szCs w:val="32"/>
        </w:rPr>
        <w:t>,</w:t>
      </w:r>
      <w:r w:rsidRPr="008F7885">
        <w:rPr>
          <w:rFonts w:ascii="標楷體" w:eastAsia="標楷體" w:hAnsi="標楷體" w:hint="eastAsia"/>
          <w:sz w:val="32"/>
          <w:szCs w:val="32"/>
        </w:rPr>
        <w:t>881萬元，該計畫項下補助及獎勵各直轄市及縣市政府成立樂齡學習中心，並辦理「樂齡學習優先區」、社區樂齡活動、家庭代間學習方案與高齡者婚姻教育…之經費，109至111年度執行數分別為1</w:t>
      </w:r>
      <w:r>
        <w:rPr>
          <w:rFonts w:ascii="標楷體" w:eastAsia="標楷體" w:hAnsi="標楷體" w:hint="eastAsia"/>
          <w:sz w:val="32"/>
          <w:szCs w:val="32"/>
        </w:rPr>
        <w:t>億</w:t>
      </w:r>
      <w:r w:rsidRPr="008F7885">
        <w:rPr>
          <w:rFonts w:ascii="標楷體" w:eastAsia="標楷體" w:hAnsi="標楷體" w:hint="eastAsia"/>
          <w:sz w:val="32"/>
          <w:szCs w:val="32"/>
        </w:rPr>
        <w:t>8</w:t>
      </w:r>
      <w:r>
        <w:rPr>
          <w:rFonts w:ascii="標楷體" w:eastAsia="標楷體" w:hAnsi="標楷體"/>
          <w:sz w:val="32"/>
          <w:szCs w:val="32"/>
        </w:rPr>
        <w:t>,</w:t>
      </w:r>
      <w:r w:rsidRPr="008F7885">
        <w:rPr>
          <w:rFonts w:ascii="標楷體" w:eastAsia="標楷體" w:hAnsi="標楷體" w:hint="eastAsia"/>
          <w:sz w:val="32"/>
          <w:szCs w:val="32"/>
        </w:rPr>
        <w:t>1</w:t>
      </w:r>
      <w:r>
        <w:rPr>
          <w:rFonts w:ascii="標楷體" w:eastAsia="標楷體" w:hAnsi="標楷體" w:hint="eastAsia"/>
          <w:sz w:val="32"/>
          <w:szCs w:val="32"/>
        </w:rPr>
        <w:t>00萬</w:t>
      </w:r>
      <w:r w:rsidRPr="008F7885">
        <w:rPr>
          <w:rFonts w:ascii="標楷體" w:eastAsia="標楷體" w:hAnsi="標楷體" w:hint="eastAsia"/>
          <w:sz w:val="32"/>
          <w:szCs w:val="32"/>
        </w:rPr>
        <w:t>元、1億</w:t>
      </w:r>
      <w:r>
        <w:rPr>
          <w:rFonts w:ascii="標楷體" w:eastAsia="標楷體" w:hAnsi="標楷體" w:hint="eastAsia"/>
          <w:sz w:val="32"/>
          <w:szCs w:val="32"/>
        </w:rPr>
        <w:t>6</w:t>
      </w:r>
      <w:r>
        <w:rPr>
          <w:rFonts w:ascii="標楷體" w:eastAsia="標楷體" w:hAnsi="標楷體"/>
          <w:sz w:val="32"/>
          <w:szCs w:val="32"/>
        </w:rPr>
        <w:t>,</w:t>
      </w:r>
      <w:r>
        <w:rPr>
          <w:rFonts w:ascii="標楷體" w:eastAsia="標楷體" w:hAnsi="標楷體" w:hint="eastAsia"/>
          <w:sz w:val="32"/>
          <w:szCs w:val="32"/>
        </w:rPr>
        <w:t>500萬</w:t>
      </w:r>
      <w:r w:rsidRPr="008F7885">
        <w:rPr>
          <w:rFonts w:ascii="標楷體" w:eastAsia="標楷體" w:hAnsi="標楷體" w:hint="eastAsia"/>
          <w:sz w:val="32"/>
          <w:szCs w:val="32"/>
        </w:rPr>
        <w:t>元、1億</w:t>
      </w:r>
      <w:r>
        <w:rPr>
          <w:rFonts w:ascii="標楷體" w:eastAsia="標楷體" w:hAnsi="標楷體" w:hint="eastAsia"/>
          <w:sz w:val="32"/>
          <w:szCs w:val="32"/>
        </w:rPr>
        <w:t>7</w:t>
      </w:r>
      <w:r>
        <w:rPr>
          <w:rFonts w:ascii="標楷體" w:eastAsia="標楷體" w:hAnsi="標楷體"/>
          <w:sz w:val="32"/>
          <w:szCs w:val="32"/>
        </w:rPr>
        <w:t>,500</w:t>
      </w:r>
      <w:r>
        <w:rPr>
          <w:rFonts w:ascii="標楷體" w:eastAsia="標楷體" w:hAnsi="標楷體" w:hint="eastAsia"/>
          <w:sz w:val="32"/>
          <w:szCs w:val="32"/>
        </w:rPr>
        <w:t>萬</w:t>
      </w:r>
      <w:r w:rsidRPr="008F7885">
        <w:rPr>
          <w:rFonts w:ascii="標楷體" w:eastAsia="標楷體" w:hAnsi="標楷體" w:hint="eastAsia"/>
          <w:sz w:val="32"/>
          <w:szCs w:val="32"/>
        </w:rPr>
        <w:t>元，112年度預算增加至2億</w:t>
      </w:r>
      <w:r>
        <w:rPr>
          <w:rFonts w:ascii="標楷體" w:eastAsia="標楷體" w:hAnsi="標楷體" w:hint="eastAsia"/>
          <w:sz w:val="32"/>
          <w:szCs w:val="32"/>
        </w:rPr>
        <w:t>2</w:t>
      </w:r>
      <w:r>
        <w:rPr>
          <w:rFonts w:ascii="標楷體" w:eastAsia="標楷體" w:hAnsi="標楷體"/>
          <w:sz w:val="32"/>
          <w:szCs w:val="32"/>
        </w:rPr>
        <w:t>,000</w:t>
      </w:r>
      <w:r>
        <w:rPr>
          <w:rFonts w:ascii="標楷體" w:eastAsia="標楷體" w:hAnsi="標楷體" w:hint="eastAsia"/>
          <w:sz w:val="32"/>
          <w:szCs w:val="32"/>
        </w:rPr>
        <w:t>萬</w:t>
      </w:r>
      <w:r w:rsidRPr="008F7885">
        <w:rPr>
          <w:rFonts w:ascii="標楷體" w:eastAsia="標楷體" w:hAnsi="標楷體" w:hint="eastAsia"/>
          <w:sz w:val="32"/>
          <w:szCs w:val="32"/>
        </w:rPr>
        <w:t>元，雖有說明是配合行政院高齡社會白皮書，增加高齡者終身學習機會、擴展多元學習模式(數位學習等)、發展退休準備教材及高齡社會重要議題試辦及強化樂齡專業人員及課程品質等相關經費。其具體執行內容及經費分配，以及要如何強化專業人員及課程品質，教育部應落實及強化推動高齡教育政策，加強培訓專業人員、發展多元學習模式，以因應超高齡社會的來臨。</w:t>
      </w:r>
      <w:r w:rsidRPr="008F7885">
        <w:rPr>
          <w:rFonts w:ascii="標楷體" w:eastAsia="標楷體" w:hAnsi="標楷體"/>
          <w:sz w:val="32"/>
          <w:szCs w:val="32"/>
        </w:rPr>
        <w:t>109</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提案人：張廖萬堅</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連署人：林宜瑾  賴品妤</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sz w:val="32"/>
          <w:szCs w:val="32"/>
        </w:rPr>
        <w:t>(</w:t>
      </w:r>
      <w:r w:rsidRPr="008F7885">
        <w:rPr>
          <w:rFonts w:ascii="標楷體" w:eastAsia="標楷體" w:hAnsi="標楷體" w:hint="eastAsia"/>
          <w:sz w:val="32"/>
          <w:szCs w:val="32"/>
        </w:rPr>
        <w:t>七十一</w:t>
      </w:r>
      <w:r w:rsidRPr="008F7885">
        <w:rPr>
          <w:rFonts w:ascii="標楷體" w:eastAsia="標楷體" w:hAnsi="標楷體"/>
          <w:sz w:val="32"/>
          <w:szCs w:val="32"/>
        </w:rPr>
        <w:t>)</w:t>
      </w:r>
      <w:r w:rsidRPr="008F7885">
        <w:rPr>
          <w:rFonts w:ascii="標楷體" w:eastAsia="標楷體" w:hAnsi="標楷體" w:hint="eastAsia"/>
          <w:sz w:val="32"/>
          <w:szCs w:val="32"/>
        </w:rPr>
        <w:t>112年度教育部「終身教育」項下「終身教育行政及督導」中「本國語言文字標準訂定與推廣」預算編列2億8,059萬5千元。配合「國家語言整體發展方案」，教育部編列</w:t>
      </w:r>
      <w:r w:rsidRPr="008F7885">
        <w:rPr>
          <w:rFonts w:ascii="標楷體" w:eastAsia="標楷體" w:hAnsi="標楷體" w:hint="eastAsia"/>
          <w:sz w:val="32"/>
          <w:szCs w:val="32"/>
        </w:rPr>
        <w:lastRenderedPageBreak/>
        <w:t>「進行本土語言辭典維護暨本土語言文字整理與推廣等相關工作經費」，辦理新增建置閩南語語料庫、辦理臺灣閩南語耆老訪談及維護臺灣閩南語輸入法等計畫。另加強擴大推動本土語言各項業務，包括建置本土語言辭典及語料相關資源，因此112年度所需經費較111年度增加3,446萬元。惟查該計畫109年度預算3,927萬元、決算3,856萬4千元(98.2%)；110年度預算4,279萬9千元、決算3,889萬6千元(90.8%)；111年度預算4,533萬3千元，至8月執行數2,071萬9千元(45.7%)。預算執行情形有逐年下降之趨勢，請教育部於3個月內向立法院教育及文化委員會提出書面報告。</w:t>
      </w:r>
      <w:r w:rsidRPr="008F7885">
        <w:rPr>
          <w:rFonts w:ascii="標楷體" w:eastAsia="標楷體" w:hAnsi="標楷體"/>
          <w:sz w:val="32"/>
          <w:szCs w:val="32"/>
        </w:rPr>
        <w:t>112</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連署人：林宜瑾  賴品妤</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sz w:val="32"/>
          <w:szCs w:val="32"/>
        </w:rPr>
        <w:t>(</w:t>
      </w:r>
      <w:r w:rsidRPr="008F7885">
        <w:rPr>
          <w:rFonts w:ascii="標楷體" w:eastAsia="標楷體" w:hAnsi="標楷體" w:hint="eastAsia"/>
          <w:sz w:val="32"/>
          <w:szCs w:val="32"/>
        </w:rPr>
        <w:t>七十二</w:t>
      </w:r>
      <w:r w:rsidRPr="008F7885">
        <w:rPr>
          <w:rFonts w:ascii="標楷體" w:eastAsia="標楷體" w:hAnsi="標楷體"/>
          <w:sz w:val="32"/>
          <w:szCs w:val="32"/>
        </w:rPr>
        <w:t>)</w:t>
      </w:r>
      <w:r w:rsidRPr="008F7885">
        <w:rPr>
          <w:rFonts w:ascii="標楷體" w:eastAsia="標楷體" w:hAnsi="標楷體" w:hint="eastAsia"/>
          <w:sz w:val="32"/>
          <w:szCs w:val="32"/>
        </w:rPr>
        <w:t>經查112年度教育部「終身教育」項下「終身教育行政及督導」中「建立終身學習推動組織」預算編列7億1</w:t>
      </w:r>
      <w:r w:rsidRPr="008F7885">
        <w:rPr>
          <w:rFonts w:ascii="標楷體" w:eastAsia="標楷體" w:hAnsi="標楷體"/>
          <w:sz w:val="32"/>
          <w:szCs w:val="32"/>
        </w:rPr>
        <w:t>,</w:t>
      </w:r>
      <w:r w:rsidRPr="008F7885">
        <w:rPr>
          <w:rFonts w:ascii="標楷體" w:eastAsia="標楷體" w:hAnsi="標楷體" w:hint="eastAsia"/>
          <w:sz w:val="32"/>
          <w:szCs w:val="32"/>
        </w:rPr>
        <w:t>438萬4千元，包含辦理強化社教機構終身教育功能、數位化教育展示與活動之預算。然而根據內政部警政署警政統計通報指出，110年網路犯罪被害人60至64歲有44.03%遭詐欺；65歲以上有58.3%遭詐欺，顯見老年人對網路生態仍有不熟識之狀況，導致遭詐機率高。教育部應加強推廣社教機構之網路終身教育，提升老年人網路意識，以降低老年人受詐騙疑慮。爰請教育部於3個月內向立法院教育及文化委員會提出書面報告。</w:t>
      </w:r>
      <w:r w:rsidRPr="008F7885">
        <w:rPr>
          <w:rFonts w:ascii="標楷體" w:eastAsia="標楷體" w:hAnsi="標楷體"/>
          <w:sz w:val="32"/>
          <w:szCs w:val="32"/>
        </w:rPr>
        <w:t>113</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提案人：陳秀寳</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連署人：林宜瑾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sz w:val="32"/>
          <w:szCs w:val="32"/>
        </w:rPr>
        <w:t>(</w:t>
      </w:r>
      <w:r w:rsidRPr="008F7885">
        <w:rPr>
          <w:rFonts w:ascii="標楷體" w:eastAsia="標楷體" w:hAnsi="標楷體" w:hint="eastAsia"/>
          <w:sz w:val="32"/>
          <w:szCs w:val="32"/>
        </w:rPr>
        <w:t>七十三</w:t>
      </w:r>
      <w:r w:rsidRPr="008F7885">
        <w:rPr>
          <w:rFonts w:ascii="標楷體" w:eastAsia="標楷體" w:hAnsi="標楷體"/>
          <w:sz w:val="32"/>
          <w:szCs w:val="32"/>
        </w:rPr>
        <w:t>)</w:t>
      </w:r>
      <w:r w:rsidRPr="008F7885">
        <w:rPr>
          <w:rFonts w:ascii="標楷體" w:eastAsia="標楷體" w:hAnsi="標楷體" w:hint="eastAsia"/>
          <w:sz w:val="32"/>
          <w:szCs w:val="32"/>
        </w:rPr>
        <w:t>教育部推動校園無障礙政策逾30年，惟截至111年3月底統計，高級中等以下學校，校園應設置「無障礙設施」、「無障礙電梯」及「無障礙停車位」共11萬4,604處。惟目</w:t>
      </w:r>
      <w:r w:rsidRPr="008F7885">
        <w:rPr>
          <w:rFonts w:ascii="標楷體" w:eastAsia="標楷體" w:hAnsi="標楷體" w:hint="eastAsia"/>
          <w:sz w:val="32"/>
          <w:szCs w:val="32"/>
        </w:rPr>
        <w:lastRenderedPageBreak/>
        <w:t>前仍有1萬5,074處為「需設置未設置」；1萬5,917處為「設施不符規定待改善」，顯示校園無障礙環境改善成效亟待檢討。另查有關校園無障礙環境設施之統計資料，係交由各校自行於網路填報，教育部與各地方政府均未設有覆核機制，以致部分學校未落實填報，教育部對校園無障礙設施環境現況掌握度亦嚴重不足，請教育部國民及學前教育署全面盤點設施不足情形，提出具體改善期程，並於3個月內向立法院教育及文化委員會提出書面報告，以保障我國身心障礙學生權益。</w:t>
      </w:r>
      <w:r w:rsidRPr="008F7885">
        <w:rPr>
          <w:rFonts w:ascii="標楷體" w:eastAsia="標楷體" w:hAnsi="標楷體"/>
          <w:sz w:val="32"/>
          <w:szCs w:val="32"/>
        </w:rPr>
        <w:t>130</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連署人：賴品妤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sz w:val="32"/>
          <w:szCs w:val="32"/>
        </w:rPr>
        <w:t>(</w:t>
      </w:r>
      <w:r w:rsidRPr="008F7885">
        <w:rPr>
          <w:rFonts w:ascii="標楷體" w:eastAsia="標楷體" w:hAnsi="標楷體" w:hint="eastAsia"/>
          <w:sz w:val="32"/>
          <w:szCs w:val="32"/>
        </w:rPr>
        <w:t>七十四</w:t>
      </w:r>
      <w:r w:rsidRPr="008F7885">
        <w:rPr>
          <w:rFonts w:ascii="標楷體" w:eastAsia="標楷體" w:hAnsi="標楷體"/>
          <w:sz w:val="32"/>
          <w:szCs w:val="32"/>
        </w:rPr>
        <w:t>)</w:t>
      </w:r>
      <w:r w:rsidRPr="008F7885">
        <w:rPr>
          <w:rFonts w:ascii="標楷體" w:eastAsia="標楷體" w:hAnsi="標楷體" w:hint="eastAsia"/>
          <w:sz w:val="32"/>
          <w:szCs w:val="32"/>
        </w:rPr>
        <w:t>現今大專資源教室輔導人員數額係依照障礙學生人數換算，但最多僅能進用5位輔導人員，且障礙生人數排除輕、中度肢障生，並將重度肢障生3位換算成1位，進修部學生2位換算成1位，導致特殊生人數較多的學校常面臨輔導人力不足的情況。教育部雖規劃112年度增加1億元的經費補助公私立大專校院增聘輔導人員，但實際執行情況仍有待觀察，且教育部應取消僅能申請5位輔導人員的上限，並改為按實際身心障礙學生人數計算應聘之輔導人員數，以符合實際需求。</w:t>
      </w:r>
      <w:r w:rsidRPr="008F7885">
        <w:rPr>
          <w:rFonts w:ascii="標楷體" w:eastAsia="標楷體" w:hAnsi="標楷體"/>
          <w:sz w:val="32"/>
          <w:szCs w:val="32"/>
        </w:rPr>
        <w:t>131</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提案人：張廖萬堅</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連署人：林宜瑾  賴品妤</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sz w:val="32"/>
          <w:szCs w:val="32"/>
        </w:rPr>
        <w:t>(</w:t>
      </w:r>
      <w:r w:rsidRPr="008F7885">
        <w:rPr>
          <w:rFonts w:ascii="標楷體" w:eastAsia="標楷體" w:hAnsi="標楷體" w:hint="eastAsia"/>
          <w:sz w:val="32"/>
          <w:szCs w:val="32"/>
        </w:rPr>
        <w:t>七十五</w:t>
      </w:r>
      <w:r w:rsidRPr="008F7885">
        <w:rPr>
          <w:rFonts w:ascii="標楷體" w:eastAsia="標楷體" w:hAnsi="標楷體"/>
          <w:sz w:val="32"/>
          <w:szCs w:val="32"/>
        </w:rPr>
        <w:t>)</w:t>
      </w:r>
      <w:r w:rsidRPr="008F7885">
        <w:rPr>
          <w:rFonts w:ascii="標楷體" w:eastAsia="標楷體" w:hAnsi="標楷體" w:hint="eastAsia"/>
          <w:sz w:val="32"/>
          <w:szCs w:val="32"/>
        </w:rPr>
        <w:t>根據全國自殺防治中心統計，101至110年我國15至24歲青少年自殺通報案件數，自4</w:t>
      </w:r>
      <w:r w:rsidRPr="008F7885">
        <w:rPr>
          <w:rFonts w:ascii="標楷體" w:eastAsia="標楷體" w:hAnsi="標楷體"/>
          <w:sz w:val="32"/>
          <w:szCs w:val="32"/>
        </w:rPr>
        <w:t>,</w:t>
      </w:r>
      <w:r w:rsidRPr="008F7885">
        <w:rPr>
          <w:rFonts w:ascii="標楷體" w:eastAsia="標楷體" w:hAnsi="標楷體" w:hint="eastAsia"/>
          <w:sz w:val="32"/>
          <w:szCs w:val="32"/>
        </w:rPr>
        <w:t>150件上升至1萬2</w:t>
      </w:r>
      <w:r w:rsidRPr="008F7885">
        <w:rPr>
          <w:rFonts w:ascii="標楷體" w:eastAsia="標楷體" w:hAnsi="標楷體"/>
          <w:sz w:val="32"/>
          <w:szCs w:val="32"/>
        </w:rPr>
        <w:t>,</w:t>
      </w:r>
      <w:r w:rsidRPr="008F7885">
        <w:rPr>
          <w:rFonts w:ascii="標楷體" w:eastAsia="標楷體" w:hAnsi="標楷體" w:hint="eastAsia"/>
          <w:sz w:val="32"/>
          <w:szCs w:val="32"/>
        </w:rPr>
        <w:t>316件，增加近3倍；而14歲以下自殺通報數，從101年275件，增加至110年2</w:t>
      </w:r>
      <w:r w:rsidRPr="008F7885">
        <w:rPr>
          <w:rFonts w:ascii="標楷體" w:eastAsia="標楷體" w:hAnsi="標楷體"/>
          <w:sz w:val="32"/>
          <w:szCs w:val="32"/>
        </w:rPr>
        <w:t>,</w:t>
      </w:r>
      <w:r w:rsidRPr="008F7885">
        <w:rPr>
          <w:rFonts w:ascii="標楷體" w:eastAsia="標楷體" w:hAnsi="標楷體" w:hint="eastAsia"/>
          <w:sz w:val="32"/>
          <w:szCs w:val="32"/>
        </w:rPr>
        <w:t>742件，增加10倍，顯見青少年、兒少自殺問題嚴峻，教育部應立即通盤檢討現有輔導機制，建議如下：1.全面修正「學生輔導法」：「學生輔導法」規範高中以下</w:t>
      </w:r>
      <w:r w:rsidRPr="008F7885">
        <w:rPr>
          <w:rFonts w:ascii="標楷體" w:eastAsia="標楷體" w:hAnsi="標楷體" w:hint="eastAsia"/>
          <w:sz w:val="32"/>
          <w:szCs w:val="32"/>
        </w:rPr>
        <w:lastRenderedPageBreak/>
        <w:t>學校：班級數達55班以上應至少設置專輔人員1人；專科以上學校，每1,200名學生需配置一名專任輔導人力，然各學齡階段學生心理健康問題日益嚴重，許多大學皆傳出學校心輔諮商難預約，造成心輔中心難及時掌握學生狀況，教育部應立即檢討現有人力配置狀況；2.進行各大專校院心輔中心軟硬體總體檢，檢討各校心輔中心位置及空間設置：以大專校院為例，有21校(13%）校內有多校區，但僅1處諮商室，造成學生使用可及性低；且多數學校心輔空間缺乏心輔思維之設計，缺乏療癒感，112年度所新增預算「改善大專校院輔導諮商空間」2</w:t>
      </w:r>
      <w:r w:rsidRPr="008F7885">
        <w:rPr>
          <w:rFonts w:ascii="標楷體" w:eastAsia="標楷體" w:hAnsi="標楷體"/>
          <w:sz w:val="32"/>
          <w:szCs w:val="32"/>
        </w:rPr>
        <w:t>,</w:t>
      </w:r>
      <w:r w:rsidRPr="008F7885">
        <w:rPr>
          <w:rFonts w:ascii="標楷體" w:eastAsia="標楷體" w:hAnsi="標楷體" w:hint="eastAsia"/>
          <w:sz w:val="32"/>
          <w:szCs w:val="32"/>
        </w:rPr>
        <w:t>500萬元，應於計畫實施中，納入心理及空間設計專家，共同進行空間改善規劃，各級學校應比照辦理，給予經費支持；3.研議各學習階段學生心理假及心理健康學生保險：以大學為例，國內現有國立中山大學及實踐大學提供學生心理假，實踐大學亦配合校內心輔資源，提供請滿3日心理假之學生優先關懷，提供學生心理不適時能適當喘息之空間。國立臺灣大學首創提供學生心理健康保險，給予校外諮商及就診之補助。以上2項作法，教育部應研議於各級學校實施之可行性</w:t>
      </w:r>
      <w:r>
        <w:rPr>
          <w:rFonts w:ascii="標楷體" w:eastAsia="標楷體" w:hAnsi="標楷體" w:hint="eastAsia"/>
          <w:sz w:val="32"/>
          <w:szCs w:val="32"/>
        </w:rPr>
        <w:t>，</w:t>
      </w:r>
      <w:r w:rsidRPr="008F7885">
        <w:rPr>
          <w:rFonts w:ascii="標楷體" w:eastAsia="標楷體" w:hAnsi="標楷體" w:hint="eastAsia"/>
          <w:sz w:val="32"/>
          <w:szCs w:val="32"/>
        </w:rPr>
        <w:t>針對大專校院輔導心輔中心軟硬體進行總體檢，並於3個月內向立法院教育及文化委員會提出書面報告。</w:t>
      </w:r>
      <w:r w:rsidRPr="008F7885">
        <w:rPr>
          <w:rFonts w:ascii="標楷體" w:eastAsia="標楷體" w:hAnsi="標楷體"/>
          <w:sz w:val="32"/>
          <w:szCs w:val="32"/>
        </w:rPr>
        <w:t>134</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提案人：吳思瑤</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連署人：賴品妤  黃國書</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(七十六)根據教育部統計，台灣近10年教師年齡結構發生劇烈變化，100學年度台灣高中以下(含長期代理教師)有五成老師年齡在40歲以下；但1</w:t>
      </w:r>
      <w:r w:rsidRPr="008F7885">
        <w:rPr>
          <w:rFonts w:ascii="標楷體" w:eastAsia="標楷體" w:hAnsi="標楷體"/>
          <w:sz w:val="32"/>
          <w:szCs w:val="32"/>
        </w:rPr>
        <w:t>0</w:t>
      </w:r>
      <w:r w:rsidRPr="008F7885">
        <w:rPr>
          <w:rFonts w:ascii="標楷體" w:eastAsia="標楷體" w:hAnsi="標楷體" w:hint="eastAsia"/>
          <w:sz w:val="32"/>
          <w:szCs w:val="32"/>
        </w:rPr>
        <w:t>年後，40歲以下教師比例卻剩不到三成，50歲以上教師則從一成上升到近三成，60歲以上的國小教師更超過千人。據媒體報導分析，或與年改制度變化相關；使教師退休年齡依規定必須向後推遲，或擔心退休金變</w:t>
      </w:r>
      <w:r w:rsidRPr="008F7885">
        <w:rPr>
          <w:rFonts w:ascii="標楷體" w:eastAsia="標楷體" w:hAnsi="標楷體" w:hint="eastAsia"/>
          <w:sz w:val="32"/>
          <w:szCs w:val="32"/>
        </w:rPr>
        <w:lastRenderedPageBreak/>
        <w:t>少因此退休意願降低。為協助教師精算最佳退休年齡，確保退休權益並促進教師年齡結構調整，請教育部研議規劃建置教師退休資訊平台之可行性(包含退休金精算資訊、退休年齡選擇規劃方案及試算功能等)及預計期程，並於112年1月底前向立法院教育及文化委員會提出書面報告。</w:t>
      </w:r>
      <w:r w:rsidRPr="008F7885">
        <w:rPr>
          <w:rFonts w:ascii="標楷體" w:eastAsia="標楷體" w:hAnsi="標楷體"/>
          <w:sz w:val="32"/>
          <w:szCs w:val="32"/>
        </w:rPr>
        <w:t>143</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提案人：范  雲</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連署人：林宜瑾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sz w:val="32"/>
          <w:szCs w:val="32"/>
        </w:rPr>
        <w:t>(</w:t>
      </w:r>
      <w:r w:rsidRPr="008F7885">
        <w:rPr>
          <w:rFonts w:ascii="標楷體" w:eastAsia="標楷體" w:hAnsi="標楷體" w:hint="eastAsia"/>
          <w:sz w:val="32"/>
          <w:szCs w:val="32"/>
        </w:rPr>
        <w:t>七十七</w:t>
      </w:r>
      <w:r w:rsidRPr="008F7885">
        <w:rPr>
          <w:rFonts w:ascii="標楷體" w:eastAsia="標楷體" w:hAnsi="標楷體"/>
          <w:sz w:val="32"/>
          <w:szCs w:val="32"/>
        </w:rPr>
        <w:t>)</w:t>
      </w:r>
      <w:r w:rsidRPr="008F7885">
        <w:rPr>
          <w:rFonts w:ascii="標楷體" w:eastAsia="標楷體" w:hAnsi="標楷體" w:hint="eastAsia"/>
          <w:sz w:val="32"/>
          <w:szCs w:val="32"/>
        </w:rPr>
        <w:t>112年度教育部「各項教育推展」項下「資訊與科技教育行政及督導」中「資訊科技融入教學」之「充實中小學數位學習內容」預算編列13億4,700萬元。為提升教師及學生教學品質，營造多元教學環境，行政院編列4年200億元推動「中小學數位學習精進方案」計畫，除了網路佈建並於111學年度啟用「生生用平板」等硬體建設，教師教學內容之軟體建設更是關鍵。為充實數位教學內容，教育部以公私協力方式開發教學軟體，並且補助各縣市學校採購優質數位內容，以提供學生使用民間開發多元、活潑且能有效幫助學習之學習軟體。然而，根據教育部數位內容採購清單，有21%軟體為英文學習、13%軟體為資訊學習，其餘66%為其他華語、藝文、數學、自然、社會、生活、課外閱讀及其他類別之科目，且未見本土語言學習之軟體，明顯偏重於英文及資訊類別。教育部應加強數位內容採購清單之多元性，並鼓勵民間開發適合教師教學使用之本土語軟體於3個月內向立法院教育及文化委員會提出書面報告。</w:t>
      </w:r>
      <w:r w:rsidRPr="008F7885">
        <w:rPr>
          <w:rFonts w:ascii="標楷體" w:eastAsia="標楷體" w:hAnsi="標楷體"/>
          <w:sz w:val="32"/>
          <w:szCs w:val="32"/>
        </w:rPr>
        <w:t>152</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提案人：吳思瑤</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連署人：賴品妤  黃國書</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sz w:val="32"/>
          <w:szCs w:val="32"/>
        </w:rPr>
        <w:t>(</w:t>
      </w:r>
      <w:r w:rsidRPr="008F7885">
        <w:rPr>
          <w:rFonts w:ascii="標楷體" w:eastAsia="標楷體" w:hAnsi="標楷體" w:hint="eastAsia"/>
          <w:sz w:val="32"/>
          <w:szCs w:val="32"/>
        </w:rPr>
        <w:t>七十八</w:t>
      </w:r>
      <w:r w:rsidRPr="008F7885">
        <w:rPr>
          <w:rFonts w:ascii="標楷體" w:eastAsia="標楷體" w:hAnsi="標楷體"/>
          <w:sz w:val="32"/>
          <w:szCs w:val="32"/>
        </w:rPr>
        <w:t>)</w:t>
      </w:r>
      <w:r w:rsidRPr="008F7885">
        <w:rPr>
          <w:rFonts w:ascii="標楷體" w:eastAsia="標楷體" w:hAnsi="標楷體" w:hint="eastAsia"/>
          <w:sz w:val="32"/>
          <w:szCs w:val="32"/>
        </w:rPr>
        <w:t>112年度教育部「各項教育推展」項下「資訊與科技教育行政及督導」中「科技教育計畫」預算編列7億1,183萬4千元，係推動人文社科教育先導計畫及配合5+2產業創新</w:t>
      </w:r>
      <w:r w:rsidRPr="008F7885">
        <w:rPr>
          <w:rFonts w:ascii="標楷體" w:eastAsia="標楷體" w:hAnsi="標楷體" w:hint="eastAsia"/>
          <w:sz w:val="32"/>
          <w:szCs w:val="32"/>
        </w:rPr>
        <w:lastRenderedPageBreak/>
        <w:t>及六大核心戰略產業，推動重點產業科技教育先導計畫等；根據審計部決算報告指出，教育部辦理重點產業科技教育計畫，培育產業所需科技人才，惟相關領域畢業學生人數下降。為有效推動5+2及半導體等重點產業發展，爰要求教育部推動重點產業科技教育先導計畫規劃課程時，適時諮詢重點產業研發或人資部門以確保開設課程與產業鏈結，及調查高中職文組與理組歷年學生比例。</w:t>
      </w:r>
      <w:r w:rsidRPr="008F7885">
        <w:rPr>
          <w:rFonts w:ascii="標楷體" w:eastAsia="標楷體" w:hAnsi="標楷體"/>
          <w:sz w:val="32"/>
          <w:szCs w:val="32"/>
        </w:rPr>
        <w:t>155</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提案人：吳怡玎  林奕華  林宜瑾</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sz w:val="32"/>
          <w:szCs w:val="32"/>
        </w:rPr>
        <w:t>(</w:t>
      </w:r>
      <w:r w:rsidRPr="008F7885">
        <w:rPr>
          <w:rFonts w:ascii="標楷體" w:eastAsia="標楷體" w:hAnsi="標楷體" w:hint="eastAsia"/>
          <w:sz w:val="32"/>
          <w:szCs w:val="32"/>
        </w:rPr>
        <w:t>七十九</w:t>
      </w:r>
      <w:r w:rsidRPr="008F7885">
        <w:rPr>
          <w:rFonts w:ascii="標楷體" w:eastAsia="標楷體" w:hAnsi="標楷體"/>
          <w:sz w:val="32"/>
          <w:szCs w:val="32"/>
        </w:rPr>
        <w:t>)</w:t>
      </w:r>
      <w:r w:rsidRPr="008F7885">
        <w:rPr>
          <w:rFonts w:ascii="標楷體" w:eastAsia="標楷體" w:hAnsi="標楷體" w:hint="eastAsia"/>
          <w:sz w:val="32"/>
          <w:szCs w:val="32"/>
        </w:rPr>
        <w:t>檢視近10年來大專校院境外生來台人數（簡稱Inbound）與台灣留學生留學人數（簡稱Outbound）皆持續成長，近年新南向政策推動有成，這2年台灣防疫、經濟成果皆獲國際肯定。尤以近來各國陸續關閉孔子學院，台灣作為華語教育大有可為，教育部應集中資源，全力發展國際教育。教育部應跨部會與外交部、國家科學及技術委員會、僑務委員會、經濟部、勞動部等單位，整合現行我國Inbound及Outbound計畫資源，擬訂「國際教育專法」，活化資源運用，完備臺灣國際教育，打造台灣國際教育品牌，強化台灣教育軟實力。經查教育部「國際教育專法」自109年12月於教育部高等教育審議會被提出討論，至今進度仍於條文討論階段，進度延緩，教育部應儘速提出專法草案，以提高我國國際教育競爭力</w:t>
      </w:r>
      <w:r>
        <w:rPr>
          <w:rFonts w:ascii="標楷體" w:eastAsia="標楷體" w:hAnsi="標楷體" w:hint="eastAsia"/>
          <w:sz w:val="32"/>
          <w:szCs w:val="32"/>
        </w:rPr>
        <w:t>，並</w:t>
      </w:r>
      <w:r w:rsidRPr="008F7885">
        <w:rPr>
          <w:rFonts w:ascii="標楷體" w:eastAsia="標楷體" w:hAnsi="標楷體" w:hint="eastAsia"/>
          <w:sz w:val="32"/>
          <w:szCs w:val="32"/>
        </w:rPr>
        <w:t>於3個月內向立法院教育及文化委員會提出書面報告。</w:t>
      </w:r>
      <w:r w:rsidRPr="008F7885">
        <w:rPr>
          <w:rFonts w:ascii="標楷體" w:eastAsia="標楷體" w:hAnsi="標楷體"/>
          <w:sz w:val="32"/>
          <w:szCs w:val="32"/>
        </w:rPr>
        <w:t>166</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提案人：吳思瑤</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連署人：賴品妤  黃國書</w:t>
      </w:r>
    </w:p>
    <w:p w:rsidR="00273897" w:rsidRPr="008F7885" w:rsidRDefault="00273897" w:rsidP="00273897">
      <w:pPr>
        <w:kinsoku w:val="0"/>
        <w:overflowPunct w:val="0"/>
        <w:spacing w:beforeLines="50" w:before="180" w:line="500" w:lineRule="exact"/>
        <w:ind w:leftChars="150" w:left="1688" w:hangingChars="415" w:hanging="1328"/>
        <w:jc w:val="both"/>
        <w:textAlignment w:val="center"/>
        <w:rPr>
          <w:rFonts w:ascii="標楷體" w:eastAsia="標楷體" w:hAnsi="標楷體"/>
          <w:snapToGrid w:val="0"/>
          <w:sz w:val="32"/>
          <w:szCs w:val="32"/>
        </w:rPr>
      </w:pPr>
      <w:r w:rsidRPr="008F7885">
        <w:rPr>
          <w:rFonts w:ascii="標楷體" w:eastAsia="標楷體" w:hAnsi="標楷體"/>
          <w:snapToGrid w:val="0"/>
          <w:sz w:val="32"/>
          <w:szCs w:val="32"/>
        </w:rPr>
        <w:t>第2項　國民及學前教育署原列</w:t>
      </w:r>
      <w:r w:rsidRPr="008F7885">
        <w:rPr>
          <w:rFonts w:ascii="標楷體" w:eastAsia="標楷體" w:hAnsi="標楷體" w:hint="eastAsia"/>
          <w:sz w:val="32"/>
        </w:rPr>
        <w:t>1</w:t>
      </w:r>
      <w:r w:rsidRPr="008F7885">
        <w:rPr>
          <w:rFonts w:ascii="標楷體" w:eastAsia="標楷體" w:hAnsi="標楷體"/>
          <w:sz w:val="32"/>
        </w:rPr>
        <w:t>,439</w:t>
      </w:r>
      <w:r w:rsidRPr="008F7885">
        <w:rPr>
          <w:rFonts w:ascii="標楷體" w:eastAsia="標楷體" w:hAnsi="標楷體" w:hint="eastAsia"/>
          <w:sz w:val="32"/>
        </w:rPr>
        <w:t>億6,</w:t>
      </w:r>
      <w:r w:rsidRPr="008F7885">
        <w:rPr>
          <w:rFonts w:ascii="標楷體" w:eastAsia="標楷體" w:hAnsi="標楷體"/>
          <w:sz w:val="32"/>
        </w:rPr>
        <w:t>455</w:t>
      </w:r>
      <w:r w:rsidRPr="008F7885">
        <w:rPr>
          <w:rFonts w:ascii="標楷體" w:eastAsia="標楷體" w:hAnsi="標楷體" w:hint="eastAsia"/>
          <w:sz w:val="32"/>
        </w:rPr>
        <w:t>萬8千元</w:t>
      </w:r>
      <w:r w:rsidRPr="008F7885">
        <w:rPr>
          <w:rFonts w:ascii="標楷體" w:eastAsia="標楷體" w:hAnsi="標楷體"/>
          <w:snapToGrid w:val="0"/>
          <w:sz w:val="32"/>
          <w:szCs w:val="32"/>
        </w:rPr>
        <w:t>，除第2目「國民及學前教育」第2節「國立高級中等學校教學與訓輔輔助」280億</w:t>
      </w:r>
      <w:r w:rsidRPr="008F7885">
        <w:rPr>
          <w:rFonts w:ascii="標楷體" w:eastAsia="標楷體" w:hAnsi="標楷體" w:hint="eastAsia"/>
          <w:snapToGrid w:val="0"/>
          <w:sz w:val="32"/>
          <w:szCs w:val="32"/>
        </w:rPr>
        <w:t>8,</w:t>
      </w:r>
      <w:r w:rsidRPr="008F7885">
        <w:rPr>
          <w:rFonts w:ascii="標楷體" w:eastAsia="標楷體" w:hAnsi="標楷體"/>
          <w:snapToGrid w:val="0"/>
          <w:sz w:val="32"/>
          <w:szCs w:val="32"/>
        </w:rPr>
        <w:t>635萬</w:t>
      </w:r>
      <w:r w:rsidRPr="008F7885">
        <w:rPr>
          <w:rFonts w:ascii="標楷體" w:eastAsia="標楷體" w:hAnsi="標楷體" w:hint="eastAsia"/>
          <w:snapToGrid w:val="0"/>
          <w:sz w:val="32"/>
          <w:szCs w:val="32"/>
        </w:rPr>
        <w:t>7千</w:t>
      </w:r>
      <w:r w:rsidRPr="008F7885">
        <w:rPr>
          <w:rFonts w:ascii="標楷體" w:eastAsia="標楷體" w:hAnsi="標楷體"/>
          <w:snapToGrid w:val="0"/>
          <w:sz w:val="32"/>
          <w:szCs w:val="32"/>
        </w:rPr>
        <w:t>元、第3目「非營業特種基金」第1節「國立高級中等學校校務基金」</w:t>
      </w:r>
      <w:r w:rsidRPr="008F7885">
        <w:rPr>
          <w:rFonts w:ascii="標楷體" w:eastAsia="標楷體" w:hAnsi="標楷體" w:hint="eastAsia"/>
          <w:snapToGrid w:val="0"/>
          <w:sz w:val="32"/>
          <w:szCs w:val="32"/>
        </w:rPr>
        <w:t>11</w:t>
      </w:r>
      <w:r w:rsidRPr="008F7885">
        <w:rPr>
          <w:rFonts w:ascii="標楷體" w:eastAsia="標楷體" w:hAnsi="標楷體" w:hint="eastAsia"/>
          <w:snapToGrid w:val="0"/>
          <w:sz w:val="32"/>
          <w:szCs w:val="32"/>
        </w:rPr>
        <w:lastRenderedPageBreak/>
        <w:t>億4</w:t>
      </w:r>
      <w:r w:rsidRPr="008F7885">
        <w:rPr>
          <w:rFonts w:ascii="標楷體" w:eastAsia="標楷體" w:hAnsi="標楷體"/>
          <w:snapToGrid w:val="0"/>
          <w:sz w:val="32"/>
          <w:szCs w:val="32"/>
        </w:rPr>
        <w:t>,461</w:t>
      </w:r>
      <w:r w:rsidRPr="008F7885">
        <w:rPr>
          <w:rFonts w:ascii="標楷體" w:eastAsia="標楷體" w:hAnsi="標楷體" w:hint="eastAsia"/>
          <w:snapToGrid w:val="0"/>
          <w:sz w:val="32"/>
          <w:szCs w:val="32"/>
        </w:rPr>
        <w:t>萬5千</w:t>
      </w:r>
      <w:r w:rsidRPr="008F7885">
        <w:rPr>
          <w:rFonts w:ascii="標楷體" w:eastAsia="標楷體" w:hAnsi="標楷體"/>
          <w:snapToGrid w:val="0"/>
          <w:sz w:val="32"/>
          <w:szCs w:val="32"/>
        </w:rPr>
        <w:t>元，均暫照列，俟所屬非營業特種基金審議確定，再行調整外，其餘均照列。</w:t>
      </w:r>
    </w:p>
    <w:p w:rsidR="00273897" w:rsidRPr="008F7885" w:rsidRDefault="00273897" w:rsidP="00273897">
      <w:pPr>
        <w:kinsoku w:val="0"/>
        <w:overflowPunct w:val="0"/>
        <w:spacing w:line="500" w:lineRule="exact"/>
        <w:ind w:leftChars="150" w:left="1848" w:hangingChars="465" w:hanging="1488"/>
        <w:jc w:val="both"/>
        <w:textAlignment w:val="center"/>
        <w:rPr>
          <w:rFonts w:ascii="標楷體" w:eastAsia="標楷體" w:hAnsi="標楷體"/>
          <w:bCs/>
          <w:snapToGrid w:val="0"/>
          <w:sz w:val="32"/>
          <w:szCs w:val="32"/>
        </w:rPr>
      </w:pPr>
      <w:r w:rsidRPr="008F7885">
        <w:rPr>
          <w:rFonts w:ascii="標楷體" w:eastAsia="標楷體" w:hAnsi="標楷體"/>
          <w:bCs/>
          <w:snapToGrid w:val="0"/>
          <w:sz w:val="32"/>
          <w:szCs w:val="32"/>
        </w:rPr>
        <w:t>本項通過決議</w:t>
      </w:r>
      <w:r w:rsidRPr="008F7885">
        <w:rPr>
          <w:rFonts w:ascii="標楷體" w:eastAsia="標楷體" w:hAnsi="標楷體" w:hint="eastAsia"/>
          <w:bCs/>
          <w:snapToGrid w:val="0"/>
          <w:sz w:val="32"/>
          <w:szCs w:val="32"/>
        </w:rPr>
        <w:t>65</w:t>
      </w:r>
      <w:r w:rsidRPr="008F7885">
        <w:rPr>
          <w:rFonts w:ascii="標楷體" w:eastAsia="標楷體" w:hAnsi="標楷體"/>
          <w:bCs/>
          <w:snapToGrid w:val="0"/>
          <w:sz w:val="32"/>
          <w:szCs w:val="32"/>
        </w:rPr>
        <w:t>項：</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F7885">
        <w:rPr>
          <w:rFonts w:ascii="標楷體" w:eastAsia="標楷體" w:hAnsi="標楷體"/>
          <w:snapToGrid w:val="0"/>
          <w:sz w:val="32"/>
          <w:szCs w:val="32"/>
        </w:rPr>
        <w:t>(</w:t>
      </w:r>
      <w:r w:rsidRPr="008F7885">
        <w:rPr>
          <w:rFonts w:ascii="標楷體" w:eastAsia="標楷體" w:hAnsi="標楷體" w:hint="eastAsia"/>
          <w:snapToGrid w:val="0"/>
          <w:sz w:val="32"/>
          <w:szCs w:val="32"/>
        </w:rPr>
        <w:t>一</w:t>
      </w:r>
      <w:r w:rsidRPr="008F7885">
        <w:rPr>
          <w:rFonts w:ascii="標楷體" w:eastAsia="標楷體" w:hAnsi="標楷體"/>
          <w:snapToGrid w:val="0"/>
          <w:sz w:val="32"/>
          <w:szCs w:val="32"/>
        </w:rPr>
        <w:t>)112</w:t>
      </w:r>
      <w:r w:rsidRPr="008F7885">
        <w:rPr>
          <w:rFonts w:ascii="標楷體" w:eastAsia="標楷體" w:hAnsi="標楷體" w:hint="eastAsia"/>
          <w:snapToGrid w:val="0"/>
          <w:sz w:val="32"/>
          <w:szCs w:val="32"/>
        </w:rPr>
        <w:t>年度教育部國民及學前教育署第2目「國民及學前教育」預算編列1,</w:t>
      </w:r>
      <w:r w:rsidRPr="008F7885">
        <w:rPr>
          <w:rFonts w:ascii="標楷體" w:eastAsia="標楷體" w:hAnsi="標楷體"/>
          <w:snapToGrid w:val="0"/>
          <w:sz w:val="32"/>
          <w:szCs w:val="32"/>
        </w:rPr>
        <w:t>424</w:t>
      </w:r>
      <w:r w:rsidRPr="008F7885">
        <w:rPr>
          <w:rFonts w:ascii="標楷體" w:eastAsia="標楷體" w:hAnsi="標楷體" w:hint="eastAsia"/>
          <w:snapToGrid w:val="0"/>
          <w:sz w:val="32"/>
          <w:szCs w:val="32"/>
        </w:rPr>
        <w:t>億</w:t>
      </w:r>
      <w:r w:rsidRPr="008F7885">
        <w:rPr>
          <w:rFonts w:ascii="標楷體" w:eastAsia="標楷體" w:hAnsi="標楷體"/>
          <w:snapToGrid w:val="0"/>
          <w:sz w:val="32"/>
          <w:szCs w:val="32"/>
        </w:rPr>
        <w:t>5</w:t>
      </w:r>
      <w:r w:rsidRPr="008F7885">
        <w:rPr>
          <w:rFonts w:ascii="標楷體" w:eastAsia="標楷體" w:hAnsi="標楷體" w:hint="eastAsia"/>
          <w:snapToGrid w:val="0"/>
          <w:sz w:val="32"/>
          <w:szCs w:val="32"/>
        </w:rPr>
        <w:t>,</w:t>
      </w:r>
      <w:r w:rsidRPr="008F7885">
        <w:rPr>
          <w:rFonts w:ascii="標楷體" w:eastAsia="標楷體" w:hAnsi="標楷體"/>
          <w:snapToGrid w:val="0"/>
          <w:sz w:val="32"/>
          <w:szCs w:val="32"/>
        </w:rPr>
        <w:t>271萬</w:t>
      </w:r>
      <w:r w:rsidRPr="008F7885">
        <w:rPr>
          <w:rFonts w:ascii="標楷體" w:eastAsia="標楷體" w:hAnsi="標楷體" w:hint="eastAsia"/>
          <w:snapToGrid w:val="0"/>
          <w:sz w:val="32"/>
          <w:szCs w:val="32"/>
        </w:rPr>
        <w:t>8千</w:t>
      </w:r>
      <w:r w:rsidRPr="008F7885">
        <w:rPr>
          <w:rFonts w:ascii="標楷體" w:eastAsia="標楷體" w:hAnsi="標楷體"/>
          <w:snapToGrid w:val="0"/>
          <w:sz w:val="32"/>
          <w:szCs w:val="32"/>
        </w:rPr>
        <w:t>元</w:t>
      </w:r>
      <w:r w:rsidRPr="008F7885">
        <w:rPr>
          <w:rFonts w:ascii="標楷體" w:eastAsia="標楷體" w:hAnsi="標楷體" w:hint="eastAsia"/>
          <w:snapToGrid w:val="0"/>
          <w:sz w:val="32"/>
          <w:szCs w:val="32"/>
        </w:rPr>
        <w:t>，凍結1</w:t>
      </w:r>
      <w:r w:rsidRPr="008F7885">
        <w:rPr>
          <w:rFonts w:ascii="標楷體" w:eastAsia="標楷體" w:hAnsi="標楷體"/>
          <w:snapToGrid w:val="0"/>
          <w:sz w:val="32"/>
          <w:szCs w:val="32"/>
        </w:rPr>
        <w:t>,6</w:t>
      </w:r>
      <w:r w:rsidRPr="008F7885">
        <w:rPr>
          <w:rFonts w:ascii="標楷體" w:eastAsia="標楷體" w:hAnsi="標楷體" w:hint="eastAsia"/>
          <w:snapToGrid w:val="0"/>
          <w:sz w:val="32"/>
          <w:szCs w:val="32"/>
        </w:rPr>
        <w:t>00萬元，俟教育部向立法院教育及文化委員會提出書面報告後，始得動支。219-306</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提案人：鄭正鈐  范  雲  陳秀寳  林宜瑾</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 xml:space="preserve">        賴品妤  林奕華  何欣純 張廖萬堅</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 xml:space="preserve">        黃國書  萬美玲  王婉諭  吳思瑤</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 xml:space="preserve">        吳怡玎 伍麗華Saidhai Tahovecahe</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二)為完善學校及學生教育政策，請教育部國民及學前教育署調查「取消早自習」及「寒暑假學校辦理相關課程之時數限制」，評估其執行之優劣與困境以及偏鄉學校落實達成率，請教育部國民及學前教育署就上述問題提出完整評估報告及改善規劃，並於3個月內向立法院教育及文化委員會提出書面報告。307</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提案人：高金素梅</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連署人：吳怡玎  鄭正鈐</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三)為推動原住民族教育並落實學校銜接，請教育部國民及學前教育署提供「國立清華大學附屬原住民族實驗高中」設置之可行性評估、完整研議規劃及推動期程，並於3個月內向立法院教育及文化委員會提出書面報告。308</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提案人：高金素梅</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連署人：林奕華  吳怡玎</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(四)高中職學生自111學年度起實施延後到校，惟施行後有部分學校未遵守相關制度，仍將相關早自習時間運用作為評量或是驗收學習成果之時間，有違教育部制度設計初衷。教育部</w:t>
      </w:r>
      <w:r w:rsidRPr="008F7885">
        <w:rPr>
          <w:rFonts w:ascii="標楷體" w:eastAsia="標楷體" w:hAnsi="標楷體" w:hint="eastAsia"/>
          <w:sz w:val="32"/>
          <w:szCs w:val="32"/>
        </w:rPr>
        <w:lastRenderedPageBreak/>
        <w:t>應徹查相關學校違規事項，加強落實相關規範，並檢討現有機制是否存有規避空間，爰請教育部於3個月內向立法院</w:t>
      </w:r>
      <w:r>
        <w:rPr>
          <w:rFonts w:ascii="標楷體" w:eastAsia="標楷體" w:hAnsi="標楷體" w:hint="eastAsia"/>
          <w:sz w:val="32"/>
          <w:szCs w:val="32"/>
        </w:rPr>
        <w:t>教育及文化委員會</w:t>
      </w:r>
      <w:r w:rsidRPr="008F7885">
        <w:rPr>
          <w:rFonts w:ascii="標楷體" w:eastAsia="標楷體" w:hAnsi="標楷體" w:hint="eastAsia"/>
          <w:sz w:val="32"/>
          <w:szCs w:val="32"/>
        </w:rPr>
        <w:t>提出書面報告。309</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提案人：陳秀寳</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吳思瑤</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五)106至109年有關學生自殺、自傷意外等件數逐年增長，有關學生輔導人力與機制有否存在改善空間，或是應增加專輔人力及其他應變方式，教育部應加強落實相關輔導機制，檢討現有人力數是否足夠，爰請教育部於3個月內向立法院</w:t>
      </w:r>
      <w:r>
        <w:rPr>
          <w:rFonts w:ascii="標楷體" w:eastAsia="標楷體" w:hAnsi="標楷體" w:hint="eastAsia"/>
          <w:sz w:val="32"/>
          <w:szCs w:val="32"/>
        </w:rPr>
        <w:t>教育及文化委員會</w:t>
      </w:r>
      <w:r w:rsidRPr="008F7885">
        <w:rPr>
          <w:rFonts w:ascii="標楷體" w:eastAsia="標楷體" w:hAnsi="標楷體" w:hint="eastAsia"/>
          <w:sz w:val="32"/>
          <w:szCs w:val="32"/>
        </w:rPr>
        <w:t>提出書面報告。310</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提案人：陳秀寳</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吳思瑤</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六)「幼兒教育及照顧法」規範之幼兒園師生比1：15，已經41年未調整。有鑑於現今少子化現象嚴重，且在政府廣設平價教保服務下，部分縣市已出現公幼招生「招不滿」之情況，公幼師生比應可順勢調整為1：12，以因應當今家長需求。據台北市政府教育局頒布之「台北市學前教育白皮書」，台北市已推動「台北市試辦幼兒園降低師生比計畫」，共計10所幼兒園參與，將師生比改為1：12。請教育部國民及學前教育署參考台北市政府之實施成果，評估並落實於全國各縣市公幼，調整師生比為1：12，提升幼童學習品質。311</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提案人：林宜瑾</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七)教育部配合行政院「我國少子女化對策計畫(107至113年)」推動平價教保服務，政策內容包括「免學費政策、擴大公立及非營利幼兒園供應量、建置準公共機制、擴大2至4歲發放育兒津貼」等。教育部亦頒布「職場互助式教保服務實施辦法」，補助企業設立托育服務，提升職場家長育兒便利</w:t>
      </w:r>
      <w:r w:rsidRPr="008F7885">
        <w:rPr>
          <w:rFonts w:ascii="標楷體" w:eastAsia="標楷體" w:hAnsi="標楷體" w:hint="eastAsia"/>
          <w:sz w:val="32"/>
          <w:szCs w:val="32"/>
        </w:rPr>
        <w:lastRenderedPageBreak/>
        <w:t>性。惟「職場互助式教保服務實施辦法」中，對職場增設托育場所之消防安全規範，較傳統幼兒園之「幼兒園及其分班基本設施設備標準」寬鬆許多，亦未規範專屬幼童之廁所、膳食、室外遊戲空間、逃生路線等，恐有侵害幼童安全與身心發展之隱憂。推動平價教保服務為因應少子化現象之重要政策，但仍不該犧牲幼童安全與身心健康。請教育部積極關心職場互助式教保服務之設立狀況，並研議修正「職場互助式教保服務實施辦法」中對幼童安全相關之規範，確保幼童健康與安全。312</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提案人：林宜瑾</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(八)為完善合理教師員額，112年度教育部國民及學前教育署「國民及學前教育」項下「國民及學前教育行政及督導」中「國民中小學教育」之「提升國民中小學教育人力所需」預算編列106億5</w:t>
      </w:r>
      <w:r w:rsidRPr="008F7885">
        <w:rPr>
          <w:rFonts w:ascii="標楷體" w:eastAsia="標楷體" w:hAnsi="標楷體"/>
          <w:sz w:val="32"/>
          <w:szCs w:val="32"/>
        </w:rPr>
        <w:t>,</w:t>
      </w:r>
      <w:r w:rsidRPr="008F7885">
        <w:rPr>
          <w:rFonts w:ascii="標楷體" w:eastAsia="標楷體" w:hAnsi="標楷體" w:hint="eastAsia"/>
          <w:sz w:val="32"/>
          <w:szCs w:val="32"/>
        </w:rPr>
        <w:t>852萬6千元，包括：1.補助縣市政府依據「國民小學與國民中學班級編制及教職員員額編制準則」提高國小教師員額編制至每班1.65師；2.補助縣市政府由國小每班1.65師至達成合理教師員額編制；3.補助縣市政府增置公立國民中學教學人力等計畫。提升中小學教育人力，達成合理教師員額，有助減輕教師負擔、提升教學品質，足夠的教育人力亦有助於新課綱課程設計之落實。因此完善合理教師員額實為當前重要政策。請教育部國民及學前教育署積極會同各縣市政府，落實合理員額編制，補足中小學教師缺額，維護師生權益。313</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提案人：林宜瑾</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(九)</w:t>
      </w:r>
      <w:r w:rsidRPr="008F7885">
        <w:rPr>
          <w:rFonts w:ascii="標楷體" w:eastAsia="標楷體" w:hAnsi="標楷體"/>
          <w:sz w:val="32"/>
          <w:szCs w:val="32"/>
        </w:rPr>
        <w:t>108</w:t>
      </w:r>
      <w:r w:rsidRPr="008F7885">
        <w:rPr>
          <w:rFonts w:ascii="標楷體" w:eastAsia="標楷體" w:hAnsi="標楷體" w:hint="eastAsia"/>
          <w:sz w:val="32"/>
          <w:szCs w:val="32"/>
        </w:rPr>
        <w:t>年度行政院核定「高中以下老舊廁所整建計畫」並編列</w:t>
      </w:r>
      <w:r w:rsidRPr="008F7885">
        <w:rPr>
          <w:rFonts w:ascii="標楷體" w:eastAsia="標楷體" w:hAnsi="標楷體"/>
          <w:sz w:val="32"/>
          <w:szCs w:val="32"/>
        </w:rPr>
        <w:t>20</w:t>
      </w:r>
      <w:r w:rsidRPr="008F7885">
        <w:rPr>
          <w:rFonts w:ascii="標楷體" w:eastAsia="標楷體" w:hAnsi="標楷體" w:hint="eastAsia"/>
          <w:sz w:val="32"/>
          <w:szCs w:val="32"/>
        </w:rPr>
        <w:t>億元預算，由中央特別統籌分配款支應。該計畫成效良</w:t>
      </w:r>
      <w:r w:rsidRPr="008F7885">
        <w:rPr>
          <w:rFonts w:ascii="標楷體" w:eastAsia="標楷體" w:hAnsi="標楷體" w:hint="eastAsia"/>
          <w:sz w:val="32"/>
          <w:szCs w:val="32"/>
        </w:rPr>
        <w:lastRenderedPageBreak/>
        <w:t>好，</w:t>
      </w:r>
      <w:r w:rsidRPr="008F7885">
        <w:rPr>
          <w:rFonts w:ascii="標楷體" w:eastAsia="標楷體" w:hAnsi="標楷體"/>
          <w:sz w:val="32"/>
          <w:szCs w:val="32"/>
        </w:rPr>
        <w:t>110</w:t>
      </w:r>
      <w:r w:rsidRPr="008F7885">
        <w:rPr>
          <w:rFonts w:ascii="標楷體" w:eastAsia="標楷體" w:hAnsi="標楷體" w:hint="eastAsia"/>
          <w:sz w:val="32"/>
          <w:szCs w:val="32"/>
        </w:rPr>
        <w:t>年度共補助</w:t>
      </w:r>
      <w:r w:rsidRPr="008F7885">
        <w:rPr>
          <w:rFonts w:ascii="標楷體" w:eastAsia="標楷體" w:hAnsi="標楷體"/>
          <w:sz w:val="32"/>
          <w:szCs w:val="32"/>
        </w:rPr>
        <w:t>235</w:t>
      </w:r>
      <w:r w:rsidRPr="008F7885">
        <w:rPr>
          <w:rFonts w:ascii="標楷體" w:eastAsia="標楷體" w:hAnsi="標楷體" w:hint="eastAsia"/>
          <w:sz w:val="32"/>
          <w:szCs w:val="32"/>
        </w:rPr>
        <w:t>校廁所整修工程款。然而自</w:t>
      </w:r>
      <w:r w:rsidRPr="008F7885">
        <w:rPr>
          <w:rFonts w:ascii="標楷體" w:eastAsia="標楷體" w:hAnsi="標楷體"/>
          <w:sz w:val="32"/>
          <w:szCs w:val="32"/>
        </w:rPr>
        <w:t>111</w:t>
      </w:r>
      <w:r w:rsidRPr="008F7885">
        <w:rPr>
          <w:rFonts w:ascii="標楷體" w:eastAsia="標楷體" w:hAnsi="標楷體" w:hint="eastAsia"/>
          <w:sz w:val="32"/>
          <w:szCs w:val="32"/>
        </w:rPr>
        <w:t>年度起老舊廁所整建修繕工程由公務預算支應，補助量能減為1年</w:t>
      </w:r>
      <w:r w:rsidRPr="008F7885">
        <w:rPr>
          <w:rFonts w:ascii="標楷體" w:eastAsia="標楷體" w:hAnsi="標楷體"/>
          <w:sz w:val="32"/>
          <w:szCs w:val="32"/>
        </w:rPr>
        <w:t>30</w:t>
      </w:r>
      <w:r w:rsidRPr="008F7885">
        <w:rPr>
          <w:rFonts w:ascii="標楷體" w:eastAsia="標楷體" w:hAnsi="標楷體" w:hint="eastAsia"/>
          <w:sz w:val="32"/>
          <w:szCs w:val="32"/>
        </w:rPr>
        <w:t>校，</w:t>
      </w:r>
      <w:r w:rsidRPr="008F7885">
        <w:rPr>
          <w:rFonts w:ascii="標楷體" w:eastAsia="標楷體" w:hAnsi="標楷體"/>
          <w:sz w:val="32"/>
          <w:szCs w:val="32"/>
        </w:rPr>
        <w:t>112</w:t>
      </w:r>
      <w:r w:rsidRPr="008F7885">
        <w:rPr>
          <w:rFonts w:ascii="標楷體" w:eastAsia="標楷體" w:hAnsi="標楷體" w:hint="eastAsia"/>
          <w:sz w:val="32"/>
          <w:szCs w:val="32"/>
        </w:rPr>
        <w:t>年度預算編列</w:t>
      </w:r>
      <w:r w:rsidRPr="008F7885">
        <w:rPr>
          <w:rFonts w:ascii="標楷體" w:eastAsia="標楷體" w:hAnsi="標楷體"/>
          <w:sz w:val="32"/>
          <w:szCs w:val="32"/>
        </w:rPr>
        <w:t>4,495</w:t>
      </w:r>
      <w:r w:rsidRPr="008F7885">
        <w:rPr>
          <w:rFonts w:ascii="標楷體" w:eastAsia="標楷體" w:hAnsi="標楷體" w:hint="eastAsia"/>
          <w:sz w:val="32"/>
          <w:szCs w:val="32"/>
        </w:rPr>
        <w:t>萬</w:t>
      </w:r>
      <w:r w:rsidRPr="008F7885">
        <w:rPr>
          <w:rFonts w:ascii="標楷體" w:eastAsia="標楷體" w:hAnsi="標楷體"/>
          <w:sz w:val="32"/>
          <w:szCs w:val="32"/>
        </w:rPr>
        <w:t>2</w:t>
      </w:r>
      <w:r w:rsidRPr="008F7885">
        <w:rPr>
          <w:rFonts w:ascii="標楷體" w:eastAsia="標楷體" w:hAnsi="標楷體" w:hint="eastAsia"/>
          <w:sz w:val="32"/>
          <w:szCs w:val="32"/>
        </w:rPr>
        <w:t>千元，預計補助校數同為</w:t>
      </w:r>
      <w:r w:rsidRPr="008F7885">
        <w:rPr>
          <w:rFonts w:ascii="標楷體" w:eastAsia="標楷體" w:hAnsi="標楷體"/>
          <w:sz w:val="32"/>
          <w:szCs w:val="32"/>
        </w:rPr>
        <w:t>30</w:t>
      </w:r>
      <w:r w:rsidRPr="008F7885">
        <w:rPr>
          <w:rFonts w:ascii="標楷體" w:eastAsia="標楷體" w:hAnsi="標楷體" w:hint="eastAsia"/>
          <w:sz w:val="32"/>
          <w:szCs w:val="32"/>
        </w:rPr>
        <w:t>校。廁所為學校的基礎設施，影響學童的就學品質與環境，經查，目前全國已有</w:t>
      </w:r>
      <w:r w:rsidRPr="008F7885">
        <w:rPr>
          <w:rFonts w:ascii="標楷體" w:eastAsia="標楷體" w:hAnsi="標楷體"/>
          <w:sz w:val="32"/>
          <w:szCs w:val="32"/>
        </w:rPr>
        <w:t>301</w:t>
      </w:r>
      <w:r w:rsidRPr="008F7885">
        <w:rPr>
          <w:rFonts w:ascii="標楷體" w:eastAsia="標楷體" w:hAnsi="標楷體" w:hint="eastAsia"/>
          <w:sz w:val="32"/>
          <w:szCs w:val="32"/>
        </w:rPr>
        <w:t>校的廁所整建案獲教育部核定，等待經費挹注，若按照目前預算編列，尚需</w:t>
      </w:r>
      <w:r w:rsidRPr="008F7885">
        <w:rPr>
          <w:rFonts w:ascii="標楷體" w:eastAsia="標楷體" w:hAnsi="標楷體"/>
          <w:sz w:val="32"/>
          <w:szCs w:val="32"/>
        </w:rPr>
        <w:t>10</w:t>
      </w:r>
      <w:r w:rsidRPr="008F7885">
        <w:rPr>
          <w:rFonts w:ascii="標楷體" w:eastAsia="標楷體" w:hAnsi="標楷體" w:hint="eastAsia"/>
          <w:sz w:val="32"/>
          <w:szCs w:val="32"/>
        </w:rPr>
        <w:t>年才能完成。爰此，請教育部及</w:t>
      </w:r>
      <w:r>
        <w:rPr>
          <w:rFonts w:ascii="標楷體" w:eastAsia="標楷體" w:hAnsi="標楷體" w:hint="eastAsia"/>
          <w:sz w:val="32"/>
          <w:szCs w:val="32"/>
        </w:rPr>
        <w:t>教育部</w:t>
      </w:r>
      <w:r w:rsidRPr="008F7885">
        <w:rPr>
          <w:rFonts w:ascii="標楷體" w:eastAsia="標楷體" w:hAnsi="標楷體" w:hint="eastAsia"/>
          <w:sz w:val="32"/>
          <w:szCs w:val="32"/>
        </w:rPr>
        <w:t>國民及學前教育署刻正盤點全國國中小需求，報請行政院統整資源，研議最適宜的方式加速推動全國「高中以下老舊廁所整建計畫」，提供校園師生安全舒適及健康優質之學習環境。314</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提案人：林宜瑾  邱志偉</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十)有鑑於「國家語言發展法」第9條第2項及第18條規定，中央教育主管機關應於國民基本教育各階段，將國家語言列為部定課程並納入十二年國教，自111學年度開始施行。截至111年8月底，各本土語言教材雖已完成編輯並提供師生使用，然取得本土語認證之現職教師比率未達9%，恐難以滿足學生選習需求。爰要求教育部國民及學前教育署應儘快補足本土教師人力缺口，勿再增加教學現場教師負擔。315</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提案人：林奕華</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連署人：鄭正鈐  吳怡玎</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十一)我國現行營養午餐制度紊亂，不僅相關法規散落各處，更缺乏主管機關進行整體統整，導致各縣市補助形式不一，價格更有巨大落差，顯有加速教育不平等之虞。對此，行政院已核定於教育部國民及學前教育署下專案成立「午餐食育科」，相關業務、人數及編制則仍在編列中。基於孩童健康及飲食教育發展，相關單位之成立確有必要。然，既已有相關專責單位並投注資源，即應將現有困境皆納入未來方針</w:t>
      </w:r>
      <w:r w:rsidRPr="008F7885">
        <w:rPr>
          <w:rFonts w:ascii="標楷體" w:eastAsia="標楷體" w:hAnsi="標楷體" w:hint="eastAsia"/>
          <w:sz w:val="32"/>
          <w:szCs w:val="32"/>
        </w:rPr>
        <w:lastRenderedPageBreak/>
        <w:t>中，包含價格、食材來源、食材透明度、家長及學生回饋機制、供餐品質、校內專業人力配置等皆需專責單位承擔相關責任。爰要求教育部國民及學前教育署考量現行我國營養午餐亂象及困境，具體說明未來午餐食育科之相關業務及目標，並於</w:t>
      </w:r>
      <w:r w:rsidRPr="008F7885">
        <w:rPr>
          <w:rFonts w:ascii="標楷體" w:eastAsia="標楷體" w:hAnsi="標楷體"/>
          <w:sz w:val="32"/>
          <w:szCs w:val="32"/>
        </w:rPr>
        <w:t>2</w:t>
      </w:r>
      <w:r w:rsidRPr="008F7885">
        <w:rPr>
          <w:rFonts w:ascii="標楷體" w:eastAsia="標楷體" w:hAnsi="標楷體" w:hint="eastAsia"/>
          <w:sz w:val="32"/>
          <w:szCs w:val="32"/>
        </w:rPr>
        <w:t>個月內向立法院教育及文化委員會提出書面報告。316</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提案人：王婉諭</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連署人：林宜瑾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十二)112年度教育部國民及學前教育署「國民及學前教育」項下「國民及學前教育行政及督導」中「國民中小學教育」之「提升國民中小學教育人力所需」預算編列106億5,852萬6千元，其中補助縣市政府聘用之代理教師，教育部國民及學前教育署應修正相關要點或法規，明定自112學年度起各縣市政府應全數給付全年薪資，不得再另設其他條件。317</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提案人：范  雲</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連署人：吳思瑤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十三)現行「教育部國民及學前教育署性騷擾及性別歧視防治處理要點」規定評議結果，應以書面通知申訴人及申訴人之相對人，其內容應包括評議結果之理由，雙方依「工作場所性騷擾防治措施申訴及懲戒辦法訂定準則」第1</w:t>
      </w:r>
      <w:r w:rsidRPr="008F7885">
        <w:rPr>
          <w:rFonts w:ascii="標楷體" w:eastAsia="標楷體" w:hAnsi="標楷體"/>
          <w:sz w:val="32"/>
          <w:szCs w:val="32"/>
        </w:rPr>
        <w:t>1</w:t>
      </w:r>
      <w:r w:rsidRPr="008F7885">
        <w:rPr>
          <w:rFonts w:ascii="標楷體" w:eastAsia="標楷體" w:hAnsi="標楷體" w:hint="eastAsia"/>
          <w:sz w:val="32"/>
          <w:szCs w:val="32"/>
        </w:rPr>
        <w:t>條則規定「對申訴案之決議有異議者，得於收到書面通知次日起二十日內，以書面提出申復。」惟實務上申訴人申訴後收受之評議結果公文僅有「性騷擾成立與否」，未包括相關理由及調查報告；故縱然申訴人得知性騷擾成立，卻會因不知調查報告建議之懲處處理，而難以提出申復。爰請教育部國民及學前教育署參考「校園性侵害性騷擾或性霸凌防治準則」第3</w:t>
      </w:r>
      <w:r w:rsidRPr="008F7885">
        <w:rPr>
          <w:rFonts w:ascii="標楷體" w:eastAsia="標楷體" w:hAnsi="標楷體"/>
          <w:sz w:val="32"/>
          <w:szCs w:val="32"/>
        </w:rPr>
        <w:t>1</w:t>
      </w:r>
      <w:r w:rsidRPr="008F7885">
        <w:rPr>
          <w:rFonts w:ascii="標楷體" w:eastAsia="標楷體" w:hAnsi="標楷體" w:hint="eastAsia"/>
          <w:sz w:val="32"/>
          <w:szCs w:val="32"/>
        </w:rPr>
        <w:t>條規定略以「…將處理結果，以書面通知申請人及行為人時，應一併提供調查報告…」，研議修改首段要點內容，使評議</w:t>
      </w:r>
      <w:r w:rsidRPr="008F7885">
        <w:rPr>
          <w:rFonts w:ascii="標楷體" w:eastAsia="標楷體" w:hAnsi="標楷體" w:hint="eastAsia"/>
          <w:sz w:val="32"/>
          <w:szCs w:val="32"/>
        </w:rPr>
        <w:lastRenderedPageBreak/>
        <w:t>結果之書面通知應「併附調查報告」或「載明懲處建議」之可行性並規劃修正期程，並請於112年1月底前向立法院教育及文化委員會提出書面報告。318</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提案人：范  雲</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連署人：吳思瑤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十四)110年有教師擔任導護發生事故時，教育部表示將邀集各地方政府及相關單位討論學校交通導護工作策略，惟迄今尚未有具體結果。目前國中小執行學生交通導護工作主要依循各縣市政府相關指示或規定辦理，各地方政府情形大有不同。有部分縣市未強求教師擔任導護工作，部分則明白揭示教師應負「校內外交通導護工作責任，不得拒絕」之積極義務，部分則將交通導護納入教師聘約或考核事項。民間團體調查有三成學校由學生擔任交通導護，有九成由學校教職員工輪值。雖依「地方制度法」</w:t>
      </w:r>
      <w:r>
        <w:rPr>
          <w:rFonts w:ascii="標楷體" w:eastAsia="標楷體" w:hAnsi="標楷體" w:hint="eastAsia"/>
          <w:sz w:val="32"/>
          <w:szCs w:val="32"/>
        </w:rPr>
        <w:t>，</w:t>
      </w:r>
      <w:r w:rsidRPr="008F7885">
        <w:rPr>
          <w:rFonts w:ascii="標楷體" w:eastAsia="標楷體" w:hAnsi="標楷體" w:hint="eastAsia"/>
          <w:sz w:val="32"/>
          <w:szCs w:val="32"/>
        </w:rPr>
        <w:t>國民中小學之主管機關為地方政府，但有關教師權利義務之事項，應有全國一致性標準，不應因教師所處地域不同而有差別待遇。因此，教師應否擔任交通導護爭議，教育部應設置統一規範，交由地方政府執行之。爰請教育部就前開事項召開研商會議、整合各相關部會資源、擬訂具體改善及制定相關法規之規劃期程及執行情形，並於3個月內向立法院教育及文化委員會提出書面報告。319</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提案人：范  雲</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連署人：吳思瑤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十五)過去增置教師之「2688專案」所聘之代理英語教師，考上正式教師後，因當初2688專案教師未註明缺額種類而無法採計年資，損及權益。爰請教育部國民及學前教育署研議評估相關認定採計方案之可行性，並於112年</w:t>
      </w:r>
      <w:r w:rsidRPr="008F7885">
        <w:rPr>
          <w:rFonts w:ascii="標楷體" w:eastAsia="標楷體" w:hAnsi="標楷體"/>
          <w:sz w:val="32"/>
          <w:szCs w:val="32"/>
        </w:rPr>
        <w:t>8</w:t>
      </w:r>
      <w:r w:rsidRPr="008F7885">
        <w:rPr>
          <w:rFonts w:ascii="標楷體" w:eastAsia="標楷體" w:hAnsi="標楷體" w:hint="eastAsia"/>
          <w:sz w:val="32"/>
          <w:szCs w:val="32"/>
        </w:rPr>
        <w:t>月底前向立法院教育及文化委員會提出書面報告。320</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lastRenderedPageBreak/>
        <w:t>提案人：范  雲</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連署人：吳思瑤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十六)依據111年度中央政府總預算決議，教育部國民及學前教育署業於110至111年完成全台4,148所高中、國中、國小校規檢視，校規不得違反「性別平等教育法」、不得侵害學生隱私、不得違反學生在校作息規定等項目。惟近期仍發生有學生因情感交往而被約談、記過、愛校服務、輔導轉學等事宜。經查，現行學生獎懲規範法源依據為「國民教育法」第20條之1、「高級中等教育法」第51條，相關自治法規皆屬地方政府或學校權責；雖依據「地方制度法」第27條第3項，地方政府自治規則須報中央主管機關備查，惟第一線教育現場各校校規或落實狀況，似仍會出現不得違反之項目，影響學生權益。爰要求教育部國民及學前教育署通盤檢討高中、國中、國小校規及落實情形之策進作為，包括是否修正「國民教育法」及「高級中等教育法」、是否制定中央統一之注意事項、如何落實地方政府查核各校校規合法狀況、學生申訴管道及救濟程序等面向；請教育部國民及學前教育署規劃檢討計畫及執行期程，並請於112年1月底前向立法院教育及文化委員會提出書面報告。321</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提案人：范  雲</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連署人：吳思瑤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(十七)</w:t>
      </w:r>
      <w:r w:rsidRPr="008F7885">
        <w:rPr>
          <w:rFonts w:ascii="標楷體" w:eastAsia="標楷體" w:hAnsi="標楷體"/>
          <w:sz w:val="32"/>
          <w:szCs w:val="32"/>
        </w:rPr>
        <w:t>112</w:t>
      </w:r>
      <w:r w:rsidRPr="008F7885">
        <w:rPr>
          <w:rFonts w:ascii="標楷體" w:eastAsia="標楷體" w:hAnsi="標楷體" w:hint="eastAsia"/>
          <w:sz w:val="32"/>
          <w:szCs w:val="32"/>
        </w:rPr>
        <w:t>年度教育部國民及學前教育署「國民及學前教育」預算編列1</w:t>
      </w:r>
      <w:r w:rsidRPr="008F7885">
        <w:rPr>
          <w:rFonts w:ascii="標楷體" w:eastAsia="標楷體" w:hAnsi="標楷體"/>
          <w:sz w:val="32"/>
          <w:szCs w:val="32"/>
        </w:rPr>
        <w:t>,</w:t>
      </w:r>
      <w:r w:rsidRPr="008F7885">
        <w:rPr>
          <w:rFonts w:ascii="標楷體" w:eastAsia="標楷體" w:hAnsi="標楷體" w:hint="eastAsia"/>
          <w:sz w:val="32"/>
          <w:szCs w:val="32"/>
        </w:rPr>
        <w:t>424億5</w:t>
      </w:r>
      <w:r w:rsidRPr="008F7885">
        <w:rPr>
          <w:rFonts w:ascii="標楷體" w:eastAsia="標楷體" w:hAnsi="標楷體"/>
          <w:sz w:val="32"/>
          <w:szCs w:val="32"/>
        </w:rPr>
        <w:t>,</w:t>
      </w:r>
      <w:r w:rsidRPr="008F7885">
        <w:rPr>
          <w:rFonts w:ascii="標楷體" w:eastAsia="標楷體" w:hAnsi="標楷體" w:hint="eastAsia"/>
          <w:sz w:val="32"/>
          <w:szCs w:val="32"/>
        </w:rPr>
        <w:t>271萬8千元，辦理「國民及學前教育行政及督導」與「國立高級中等學校教學與訓輔輔助」等業務。為行政院推動「班班有冷氣」政策，1</w:t>
      </w:r>
      <w:r w:rsidRPr="008F7885">
        <w:rPr>
          <w:rFonts w:ascii="標楷體" w:eastAsia="標楷體" w:hAnsi="標楷體"/>
          <w:sz w:val="32"/>
          <w:szCs w:val="32"/>
        </w:rPr>
        <w:t>11</w:t>
      </w:r>
      <w:r w:rsidRPr="008F7885">
        <w:rPr>
          <w:rFonts w:ascii="標楷體" w:eastAsia="標楷體" w:hAnsi="標楷體" w:hint="eastAsia"/>
          <w:sz w:val="32"/>
          <w:szCs w:val="32"/>
        </w:rPr>
        <w:t>年夏季在全國3,369個國民中小學裝置了18萬3</w:t>
      </w:r>
      <w:r w:rsidRPr="008F7885">
        <w:rPr>
          <w:rFonts w:ascii="標楷體" w:eastAsia="標楷體" w:hAnsi="標楷體"/>
          <w:sz w:val="32"/>
          <w:szCs w:val="32"/>
        </w:rPr>
        <w:t>,</w:t>
      </w:r>
      <w:r w:rsidRPr="008F7885">
        <w:rPr>
          <w:rFonts w:ascii="標楷體" w:eastAsia="標楷體" w:hAnsi="標楷體" w:hint="eastAsia"/>
          <w:sz w:val="32"/>
          <w:szCs w:val="32"/>
        </w:rPr>
        <w:t>422臺冷氣機，且同步完成「電力改善」和「能源管理系統裝置」等2項工程，達到階段性目標。爰要求教育部國民及學前教育署研議高中以下</w:t>
      </w:r>
      <w:r w:rsidRPr="008F7885">
        <w:rPr>
          <w:rFonts w:ascii="標楷體" w:eastAsia="標楷體" w:hAnsi="標楷體" w:hint="eastAsia"/>
          <w:sz w:val="32"/>
          <w:szCs w:val="32"/>
        </w:rPr>
        <w:lastRenderedPageBreak/>
        <w:t>各級學校之宿舍能夠裝設冷氣，以提供學生更好的學習環境。322</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提案人：范  雲  陳秀寳  林宜瑾</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 xml:space="preserve">        伍麗華Saidhai Tahovecahe</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十八)教育部自111學年度起實施高中職學生延後到校上學新制，早自習由學生自主決定運用，上午第1節開始上課前抵達上課地點即可。惟新制上路後，據教育團體調查，有近半學生反映學校未落實新制，尤其私立學校更為嚴重，甚至以「早自習同意書」、「晨間引導學習申請書」等巧立名目方式，要求家長勾選，變相將早自習考試更名為引導學習或成果練習等規避之情事。教育部應落實查核並加強輔導改善，並於3個月內向立法院教育及文化委員會提出書面報告。323</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連署人：林奕華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十九)有關代理教師聘任之法規，係教育部依「教師法」授權訂定「高級中等以下學校兼任代課及代理教師聘任辦法」，惟其辦法中未明定代理教師聘任期限，且教育部另再授權各地方政府得自訂代理教師聘期。不僅有牴觸司法院釋字第524號再授權禁止原則之疑慮，更使各縣市出現代理教師聘期不一之亂象。據查，各縣市為控管教師員額或增置編制外教學人力等因素，以聘任代理教師取代正式教師人力。再聘之代理教師，22縣市中有高達19個縣市政府未提供完整1年聘期。而教育部專案補助增置之代理教師，亦有13個縣市政府未提供完整1年聘期。各縣市未依實際聘用狀況給予代理教師完整之聘期及薪資，不僅侵害其工作權益，亦影響師資穩定及教育現場之教學品質。爰請教育部檢討代理教師聘期問題，修正聘任辦法，改善現行補助機制，並於</w:t>
      </w:r>
      <w:r w:rsidRPr="008F7885">
        <w:rPr>
          <w:rFonts w:ascii="標楷體" w:eastAsia="標楷體" w:hAnsi="標楷體"/>
          <w:sz w:val="32"/>
          <w:szCs w:val="32"/>
        </w:rPr>
        <w:t>6</w:t>
      </w:r>
      <w:r w:rsidRPr="008F7885">
        <w:rPr>
          <w:rFonts w:ascii="標楷體" w:eastAsia="標楷體" w:hAnsi="標楷體" w:hint="eastAsia"/>
          <w:sz w:val="32"/>
          <w:szCs w:val="32"/>
        </w:rPr>
        <w:t>個月內向立法院教育及文化委員會提出書面報告，以保障代理教師權</w:t>
      </w:r>
      <w:r w:rsidRPr="008F7885">
        <w:rPr>
          <w:rFonts w:ascii="標楷體" w:eastAsia="標楷體" w:hAnsi="標楷體" w:hint="eastAsia"/>
          <w:sz w:val="32"/>
          <w:szCs w:val="32"/>
        </w:rPr>
        <w:lastRenderedPageBreak/>
        <w:t>益。324</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連署人：林奕華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二十)教育部自108年度起啟動辨理公私立幼兒園汰換幼童專用車實施計畫。經查，公共化幼兒園申請補助之情形，自109年度的16所、16輛下滑至111年度的6所、7輛，顯示公共化幼兒園申請汰換之意願低落。另查，我國偏遠地區設立之公共化幼兒園共764園，其中有幼童專用車之園所為92園，占比僅12%。爰請教育部檢討偏遠地區公共化幼兒園提供幼童專用車比率低落之原因，並提出鼓勵公共化幼兒園申請新購汰換幼童專用車之規劃，並於3個月內向立法院教育及文化委員會提出書面報告。325</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連署人：林奕華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二十一)教育部為強化學校午餐衛生安全自主管理及提升品質，推動補助學校廚房新擴建改善、精進午餐人力及補助學校午餐採用可溯源食材等政策。惟教育現場面臨各縣市午餐收費基準不一、營養師與廚工人力嚴重不足致業務負擔沉重、偏鄉設施設備落差及食材採購運輸困境等問題。立法院與民間團體代表均多次呼籲教育部訂定校園營養午餐專法，以改善學校午餐品質問題，惟教育部已研議逾4年仍未提出具體規劃，爰請教育部針對「訂定學校營養午餐專法」進度於</w:t>
      </w:r>
      <w:r w:rsidRPr="008F7885">
        <w:rPr>
          <w:rFonts w:ascii="標楷體" w:eastAsia="標楷體" w:hAnsi="標楷體"/>
          <w:sz w:val="32"/>
          <w:szCs w:val="32"/>
        </w:rPr>
        <w:t>3</w:t>
      </w:r>
      <w:r w:rsidRPr="008F7885">
        <w:rPr>
          <w:rFonts w:ascii="標楷體" w:eastAsia="標楷體" w:hAnsi="標楷體" w:hint="eastAsia"/>
          <w:sz w:val="32"/>
          <w:szCs w:val="32"/>
        </w:rPr>
        <w:t>個月內向立法院教育及文化委員會提出書面報告。326</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連署人：林奕華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(二十二)近年高職學生人數占比已少於高中，部分原因係為國中階段的職業試探（技藝教育）未能落實，即使對讀書沒有很大興趣的孩子，亦不確定自己的性向，因而繼續選擇高中就</w:t>
      </w:r>
      <w:r w:rsidRPr="008F7885">
        <w:rPr>
          <w:rFonts w:ascii="標楷體" w:eastAsia="標楷體" w:hAnsi="標楷體" w:hint="eastAsia"/>
          <w:sz w:val="32"/>
          <w:szCs w:val="32"/>
        </w:rPr>
        <w:lastRenderedPageBreak/>
        <w:t>讀，導致技職體系逐漸萎縮、崩解，影響未來產業人才需求。爰請教育部國民及學前教育署研議相關措施、並落實技藝教育，提升學生選讀技職的意願。327</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提案人：張廖萬堅</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二十三)代理教師制度行之有年，長期補充教學現場所需人力、穩定學生學習需求，但近年代理教師人數不斷攀升，已從「臨時性」變成長期替代專任教師工作，且因授權地方政府訂定聘期，導致聘期不一亂象，至111年8月仍有13個縣市未給予代理教師完整聘期，衍生暑假薪資及勞、健保等爭議，遭監察院糾正。教育部國民及學前教育署應持續協調相關單位研議改善，以保障代理教師工作權益。328</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提案人：張廖萬堅</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二十四)特教生於中小學就學時，常需要有特教助理員在旁協助，但現今家長及校方依實際情況提出需求後，屢有遭到否決且未說明原因、申請規定僵化導致核給時數不符需求的情況發生。特教助理員對於學生在校學習的重要性自不待言，教育部國民及學前教育署宜協調相關單位或增加補助預算，儘可能核予足夠時數，以滿足特教生的學習需求。329</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提案人：張廖萬堅</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陳秀寳</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(二十五)112年度教育部國民及學前教育署「委辦費」預算編列22億1</w:t>
      </w:r>
      <w:r w:rsidRPr="008F7885">
        <w:rPr>
          <w:rFonts w:ascii="標楷體" w:eastAsia="標楷體" w:hAnsi="標楷體"/>
          <w:sz w:val="32"/>
          <w:szCs w:val="32"/>
        </w:rPr>
        <w:t>,</w:t>
      </w:r>
      <w:r w:rsidRPr="008F7885">
        <w:rPr>
          <w:rFonts w:ascii="標楷體" w:eastAsia="標楷體" w:hAnsi="標楷體" w:hint="eastAsia"/>
          <w:sz w:val="32"/>
          <w:szCs w:val="32"/>
        </w:rPr>
        <w:t>806萬8千元。查</w:t>
      </w:r>
      <w:r w:rsidRPr="008F7885">
        <w:rPr>
          <w:rFonts w:ascii="標楷體" w:eastAsia="標楷體" w:hAnsi="標楷體"/>
          <w:sz w:val="32"/>
          <w:szCs w:val="32"/>
        </w:rPr>
        <w:t>111</w:t>
      </w:r>
      <w:r w:rsidRPr="008F7885">
        <w:rPr>
          <w:rFonts w:ascii="標楷體" w:eastAsia="標楷體" w:hAnsi="標楷體" w:hint="eastAsia"/>
          <w:sz w:val="32"/>
          <w:szCs w:val="32"/>
        </w:rPr>
        <w:t>年度該項目預算編列</w:t>
      </w:r>
      <w:r w:rsidRPr="008F7885">
        <w:rPr>
          <w:rFonts w:ascii="標楷體" w:eastAsia="標楷體" w:hAnsi="標楷體"/>
          <w:sz w:val="32"/>
          <w:szCs w:val="32"/>
        </w:rPr>
        <w:t>19</w:t>
      </w:r>
      <w:r w:rsidRPr="008F7885">
        <w:rPr>
          <w:rFonts w:ascii="標楷體" w:eastAsia="標楷體" w:hAnsi="標楷體" w:hint="eastAsia"/>
          <w:sz w:val="32"/>
          <w:szCs w:val="32"/>
        </w:rPr>
        <w:t>億</w:t>
      </w:r>
      <w:r w:rsidRPr="008F7885">
        <w:rPr>
          <w:rFonts w:ascii="標楷體" w:eastAsia="標楷體" w:hAnsi="標楷體"/>
          <w:sz w:val="32"/>
          <w:szCs w:val="32"/>
        </w:rPr>
        <w:t>9,954</w:t>
      </w:r>
      <w:r w:rsidRPr="008F7885">
        <w:rPr>
          <w:rFonts w:ascii="標楷體" w:eastAsia="標楷體" w:hAnsi="標楷體" w:hint="eastAsia"/>
          <w:sz w:val="32"/>
          <w:szCs w:val="32"/>
        </w:rPr>
        <w:t>萬</w:t>
      </w:r>
      <w:r w:rsidRPr="008F7885">
        <w:rPr>
          <w:rFonts w:ascii="標楷體" w:eastAsia="標楷體" w:hAnsi="標楷體"/>
          <w:sz w:val="32"/>
          <w:szCs w:val="32"/>
        </w:rPr>
        <w:t>1</w:t>
      </w:r>
      <w:r w:rsidRPr="008F7885">
        <w:rPr>
          <w:rFonts w:ascii="標楷體" w:eastAsia="標楷體" w:hAnsi="標楷體" w:hint="eastAsia"/>
          <w:sz w:val="32"/>
          <w:szCs w:val="32"/>
        </w:rPr>
        <w:t>千元、</w:t>
      </w:r>
      <w:r w:rsidRPr="008F7885">
        <w:rPr>
          <w:rFonts w:ascii="標楷體" w:eastAsia="標楷體" w:hAnsi="標楷體"/>
          <w:sz w:val="32"/>
          <w:szCs w:val="32"/>
        </w:rPr>
        <w:t>112</w:t>
      </w:r>
      <w:r w:rsidRPr="008F7885">
        <w:rPr>
          <w:rFonts w:ascii="標楷體" w:eastAsia="標楷體" w:hAnsi="標楷體" w:hint="eastAsia"/>
          <w:sz w:val="32"/>
          <w:szCs w:val="32"/>
        </w:rPr>
        <w:t>年度較</w:t>
      </w:r>
      <w:r w:rsidRPr="008F7885">
        <w:rPr>
          <w:rFonts w:ascii="標楷體" w:eastAsia="標楷體" w:hAnsi="標楷體"/>
          <w:sz w:val="32"/>
          <w:szCs w:val="32"/>
        </w:rPr>
        <w:t>111</w:t>
      </w:r>
      <w:r w:rsidRPr="008F7885">
        <w:rPr>
          <w:rFonts w:ascii="標楷體" w:eastAsia="標楷體" w:hAnsi="標楷體" w:hint="eastAsia"/>
          <w:sz w:val="32"/>
          <w:szCs w:val="32"/>
        </w:rPr>
        <w:t>年度預算增列</w:t>
      </w:r>
      <w:r w:rsidRPr="008F7885">
        <w:rPr>
          <w:rFonts w:ascii="標楷體" w:eastAsia="標楷體" w:hAnsi="標楷體"/>
          <w:sz w:val="32"/>
          <w:szCs w:val="32"/>
        </w:rPr>
        <w:t>2</w:t>
      </w:r>
      <w:r w:rsidRPr="008F7885">
        <w:rPr>
          <w:rFonts w:ascii="標楷體" w:eastAsia="標楷體" w:hAnsi="標楷體" w:hint="eastAsia"/>
          <w:sz w:val="32"/>
          <w:szCs w:val="32"/>
        </w:rPr>
        <w:t>億</w:t>
      </w:r>
      <w:r w:rsidRPr="008F7885">
        <w:rPr>
          <w:rFonts w:ascii="標楷體" w:eastAsia="標楷體" w:hAnsi="標楷體"/>
          <w:sz w:val="32"/>
          <w:szCs w:val="32"/>
        </w:rPr>
        <w:t>1,852</w:t>
      </w:r>
      <w:r w:rsidRPr="008F7885">
        <w:rPr>
          <w:rFonts w:ascii="標楷體" w:eastAsia="標楷體" w:hAnsi="標楷體" w:hint="eastAsia"/>
          <w:sz w:val="32"/>
          <w:szCs w:val="32"/>
        </w:rPr>
        <w:t>萬</w:t>
      </w:r>
      <w:r w:rsidRPr="008F7885">
        <w:rPr>
          <w:rFonts w:ascii="標楷體" w:eastAsia="標楷體" w:hAnsi="標楷體"/>
          <w:sz w:val="32"/>
          <w:szCs w:val="32"/>
        </w:rPr>
        <w:t>7</w:t>
      </w:r>
      <w:r w:rsidRPr="008F7885">
        <w:rPr>
          <w:rFonts w:ascii="標楷體" w:eastAsia="標楷體" w:hAnsi="標楷體" w:hint="eastAsia"/>
          <w:sz w:val="32"/>
          <w:szCs w:val="32"/>
        </w:rPr>
        <w:t>千元，且委辦費用占整體業務費</w:t>
      </w:r>
      <w:r w:rsidRPr="008F7885">
        <w:rPr>
          <w:rFonts w:ascii="標楷體" w:eastAsia="標楷體" w:hAnsi="標楷體"/>
          <w:sz w:val="32"/>
          <w:szCs w:val="32"/>
        </w:rPr>
        <w:t>73.25%</w:t>
      </w:r>
      <w:r w:rsidRPr="008F7885">
        <w:rPr>
          <w:rFonts w:ascii="標楷體" w:eastAsia="標楷體" w:hAnsi="標楷體" w:hint="eastAsia"/>
          <w:sz w:val="32"/>
          <w:szCs w:val="32"/>
        </w:rPr>
        <w:t>顯不合理。再者，委辦費應僅作為政府機關業務推動方式之一，委辦費占業務比重越高，則凸顯機關將所職掌業務委外辦理之程度越高，</w:t>
      </w:r>
      <w:r w:rsidRPr="008F7885">
        <w:rPr>
          <w:rFonts w:ascii="標楷體" w:eastAsia="標楷體" w:hAnsi="標楷體" w:hint="eastAsia"/>
          <w:sz w:val="32"/>
          <w:szCs w:val="32"/>
        </w:rPr>
        <w:lastRenderedPageBreak/>
        <w:t>將失去政府機關監督管理之責任，更恐成為政府卸責之管道，110年發生學習歷程檔案遺失為例，即是委外單位出錯政府機關無責之明顯案例。綜上所述，請教育部向立法院教育及文化委員會提出書面報告。</w:t>
      </w:r>
      <w:r w:rsidRPr="008F7885">
        <w:rPr>
          <w:rFonts w:ascii="標楷體" w:eastAsia="標楷體" w:hAnsi="標楷體"/>
          <w:sz w:val="32"/>
          <w:szCs w:val="32"/>
        </w:rPr>
        <w:t>216</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提案人：萬美玲</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連署人：鄭正鈐  林奕華</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(二十六)112年度教育部國民及學前教育署「一般行政」項下「基本行政工作維持」預算編列6</w:t>
      </w:r>
      <w:r w:rsidRPr="008F7885">
        <w:rPr>
          <w:rFonts w:ascii="標楷體" w:eastAsia="標楷體" w:hAnsi="標楷體"/>
          <w:sz w:val="32"/>
          <w:szCs w:val="32"/>
        </w:rPr>
        <w:t>,</w:t>
      </w:r>
      <w:r w:rsidRPr="008F7885">
        <w:rPr>
          <w:rFonts w:ascii="標楷體" w:eastAsia="標楷體" w:hAnsi="標楷體" w:hint="eastAsia"/>
          <w:sz w:val="32"/>
          <w:szCs w:val="32"/>
        </w:rPr>
        <w:t>503萬5千元，係用於國教署之日常行政工作運作。近年校園法規隨時代演變，多有與時俱進之修正，然而部分校園仍時常傳出違反教育部上位規範之情事。對此，國教署亦多次強調，學生可透過「國教署署長信箱」進行申訴，再由國教署協助介入調查及輔導。然而，根據多數學生的使用經驗，皆反饋表示，署長信箱針對學生陳情事項，多未能具體回應，部分案件更僅收到罐頭式的回覆，顯無法回應學生需求。據王委員婉諭辦公室所收陳情經驗，更有相同案件之署長信箱回覆與本辦公室發函所收回覆結論不同之情形。對此，經索資可見，署長信箱的收件數確有逐年上升趨勢，110年度更首次突破萬件，顯見學生陳情需求提升。然而，國教署並無後續處理情形之統計資訊，難以評斷署長信箱執行之成效。爰此，國教署應提出檢討報告，評估署長信箱執行成效不彰之改善措施，研議是否開放多元平台之申訴管道，並建立相關統計方式，逐年公告經署長信箱陳情的權益維護案件確有違規之統計資料。綜上所述，請教育部國民及學前教育署針對署長信箱執行情形部分於1個月內向立法院教育及文化委員會提出書面報告。</w:t>
      </w:r>
      <w:r w:rsidRPr="008F7885">
        <w:rPr>
          <w:rFonts w:ascii="標楷體" w:eastAsia="標楷體" w:hAnsi="標楷體"/>
          <w:sz w:val="32"/>
          <w:szCs w:val="32"/>
        </w:rPr>
        <w:t>217</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提案人：王婉諭</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林宜瑾</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(二十七)112年度教育部國民及學前教育「一般行政」項下「辦</w:t>
      </w:r>
      <w:r w:rsidRPr="008F7885">
        <w:rPr>
          <w:rFonts w:ascii="標楷體" w:eastAsia="標楷體" w:hAnsi="標楷體" w:hint="eastAsia"/>
          <w:sz w:val="32"/>
          <w:szCs w:val="32"/>
        </w:rPr>
        <w:lastRenderedPageBreak/>
        <w:t>公房屋整修及設備購置」預算編列</w:t>
      </w:r>
      <w:r w:rsidRPr="008F7885">
        <w:rPr>
          <w:rFonts w:ascii="標楷體" w:eastAsia="標楷體" w:hAnsi="標楷體"/>
          <w:sz w:val="32"/>
          <w:szCs w:val="32"/>
        </w:rPr>
        <w:t>1,164</w:t>
      </w:r>
      <w:r w:rsidRPr="008F7885">
        <w:rPr>
          <w:rFonts w:ascii="標楷體" w:eastAsia="標楷體" w:hAnsi="標楷體" w:hint="eastAsia"/>
          <w:sz w:val="32"/>
          <w:szCs w:val="32"/>
        </w:rPr>
        <w:t>萬</w:t>
      </w:r>
      <w:r w:rsidRPr="008F7885">
        <w:rPr>
          <w:rFonts w:ascii="標楷體" w:eastAsia="標楷體" w:hAnsi="標楷體"/>
          <w:sz w:val="32"/>
          <w:szCs w:val="32"/>
        </w:rPr>
        <w:t>6</w:t>
      </w:r>
      <w:r w:rsidRPr="008F7885">
        <w:rPr>
          <w:rFonts w:ascii="標楷體" w:eastAsia="標楷體" w:hAnsi="標楷體" w:hint="eastAsia"/>
          <w:sz w:val="32"/>
          <w:szCs w:val="32"/>
        </w:rPr>
        <w:t>千元，作為辦公房屋整修及設備購置之用，其中「汰換冷氣、辦公桌椅櫃、辦公大樓電梯等設備及各式自動化辦公事務機具等相關費用」預算編列</w:t>
      </w:r>
      <w:r w:rsidRPr="008F7885">
        <w:rPr>
          <w:rFonts w:ascii="標楷體" w:eastAsia="標楷體" w:hAnsi="標楷體"/>
          <w:sz w:val="32"/>
          <w:szCs w:val="32"/>
        </w:rPr>
        <w:t>311</w:t>
      </w:r>
      <w:r w:rsidRPr="008F7885">
        <w:rPr>
          <w:rFonts w:ascii="標楷體" w:eastAsia="標楷體" w:hAnsi="標楷體" w:hint="eastAsia"/>
          <w:sz w:val="32"/>
          <w:szCs w:val="32"/>
        </w:rPr>
        <w:t>萬</w:t>
      </w:r>
      <w:r w:rsidRPr="008F7885">
        <w:rPr>
          <w:rFonts w:ascii="標楷體" w:eastAsia="標楷體" w:hAnsi="標楷體"/>
          <w:sz w:val="32"/>
          <w:szCs w:val="32"/>
        </w:rPr>
        <w:t>2</w:t>
      </w:r>
      <w:r w:rsidRPr="008F7885">
        <w:rPr>
          <w:rFonts w:ascii="標楷體" w:eastAsia="標楷體" w:hAnsi="標楷體" w:hint="eastAsia"/>
          <w:sz w:val="32"/>
          <w:szCs w:val="32"/>
        </w:rPr>
        <w:t>千元。經查，該筆預算自</w:t>
      </w:r>
      <w:r w:rsidRPr="008F7885">
        <w:rPr>
          <w:rFonts w:ascii="標楷體" w:eastAsia="標楷體" w:hAnsi="標楷體"/>
          <w:sz w:val="32"/>
          <w:szCs w:val="32"/>
        </w:rPr>
        <w:t>109</w:t>
      </w:r>
      <w:r w:rsidRPr="008F7885">
        <w:rPr>
          <w:rFonts w:ascii="標楷體" w:eastAsia="標楷體" w:hAnsi="標楷體" w:hint="eastAsia"/>
          <w:sz w:val="32"/>
          <w:szCs w:val="32"/>
        </w:rPr>
        <w:t>、</w:t>
      </w:r>
      <w:r w:rsidRPr="008F7885">
        <w:rPr>
          <w:rFonts w:ascii="標楷體" w:eastAsia="標楷體" w:hAnsi="標楷體"/>
          <w:sz w:val="32"/>
          <w:szCs w:val="32"/>
        </w:rPr>
        <w:t>110</w:t>
      </w:r>
      <w:r w:rsidRPr="008F7885">
        <w:rPr>
          <w:rFonts w:ascii="標楷體" w:eastAsia="標楷體" w:hAnsi="標楷體" w:hint="eastAsia"/>
          <w:sz w:val="32"/>
          <w:szCs w:val="32"/>
        </w:rPr>
        <w:t>年度均編列雜項費</w:t>
      </w:r>
      <w:r w:rsidRPr="008F7885">
        <w:rPr>
          <w:rFonts w:ascii="標楷體" w:eastAsia="標楷體" w:hAnsi="標楷體"/>
          <w:sz w:val="32"/>
          <w:szCs w:val="32"/>
        </w:rPr>
        <w:t>287</w:t>
      </w:r>
      <w:r w:rsidRPr="008F7885">
        <w:rPr>
          <w:rFonts w:ascii="標楷體" w:eastAsia="標楷體" w:hAnsi="標楷體" w:hint="eastAsia"/>
          <w:sz w:val="32"/>
          <w:szCs w:val="32"/>
        </w:rPr>
        <w:t>萬</w:t>
      </w:r>
      <w:r w:rsidRPr="008F7885">
        <w:rPr>
          <w:rFonts w:ascii="標楷體" w:eastAsia="標楷體" w:hAnsi="標楷體"/>
          <w:sz w:val="32"/>
          <w:szCs w:val="32"/>
        </w:rPr>
        <w:t>1</w:t>
      </w:r>
      <w:r w:rsidRPr="008F7885">
        <w:rPr>
          <w:rFonts w:ascii="標楷體" w:eastAsia="標楷體" w:hAnsi="標楷體" w:hint="eastAsia"/>
          <w:sz w:val="32"/>
          <w:szCs w:val="32"/>
        </w:rPr>
        <w:t>千元用於汰換辦公室設備及事務機具和空調周邊設備，</w:t>
      </w:r>
      <w:r w:rsidRPr="008F7885">
        <w:rPr>
          <w:rFonts w:ascii="標楷體" w:eastAsia="標楷體" w:hAnsi="標楷體"/>
          <w:sz w:val="32"/>
          <w:szCs w:val="32"/>
        </w:rPr>
        <w:t>111</w:t>
      </w:r>
      <w:r w:rsidRPr="008F7885">
        <w:rPr>
          <w:rFonts w:ascii="標楷體" w:eastAsia="標楷體" w:hAnsi="標楷體" w:hint="eastAsia"/>
          <w:sz w:val="32"/>
          <w:szCs w:val="32"/>
        </w:rPr>
        <w:t>年度則編列</w:t>
      </w:r>
      <w:r w:rsidRPr="008F7885">
        <w:rPr>
          <w:rFonts w:ascii="標楷體" w:eastAsia="標楷體" w:hAnsi="標楷體"/>
          <w:sz w:val="32"/>
          <w:szCs w:val="32"/>
        </w:rPr>
        <w:t>128</w:t>
      </w:r>
      <w:r w:rsidRPr="008F7885">
        <w:rPr>
          <w:rFonts w:ascii="標楷體" w:eastAsia="標楷體" w:hAnsi="標楷體" w:hint="eastAsia"/>
          <w:sz w:val="32"/>
          <w:szCs w:val="32"/>
        </w:rPr>
        <w:t>萬</w:t>
      </w:r>
      <w:r w:rsidRPr="008F7885">
        <w:rPr>
          <w:rFonts w:ascii="標楷體" w:eastAsia="標楷體" w:hAnsi="標楷體"/>
          <w:sz w:val="32"/>
          <w:szCs w:val="32"/>
        </w:rPr>
        <w:t>9</w:t>
      </w:r>
      <w:r w:rsidRPr="008F7885">
        <w:rPr>
          <w:rFonts w:ascii="標楷體" w:eastAsia="標楷體" w:hAnsi="標楷體" w:hint="eastAsia"/>
          <w:sz w:val="32"/>
          <w:szCs w:val="32"/>
        </w:rPr>
        <w:t>千元用於相同用途，顯示教育部國民及學前教育署已連續3年編列預算對辦公室設備及機具和空調設備行汱換</w:t>
      </w:r>
      <w:r w:rsidRPr="008F7885">
        <w:rPr>
          <w:rFonts w:ascii="標楷體" w:eastAsia="標楷體" w:hAnsi="標楷體"/>
          <w:sz w:val="32"/>
          <w:szCs w:val="32"/>
        </w:rPr>
        <w:t>,</w:t>
      </w:r>
      <w:r w:rsidRPr="008F7885">
        <w:rPr>
          <w:rFonts w:ascii="標楷體" w:eastAsia="標楷體" w:hAnsi="標楷體" w:hint="eastAsia"/>
          <w:sz w:val="32"/>
          <w:szCs w:val="32"/>
        </w:rPr>
        <w:t>惟</w:t>
      </w:r>
      <w:r w:rsidRPr="008F7885">
        <w:rPr>
          <w:rFonts w:ascii="標楷體" w:eastAsia="標楷體" w:hAnsi="標楷體"/>
          <w:sz w:val="32"/>
          <w:szCs w:val="32"/>
        </w:rPr>
        <w:t>112</w:t>
      </w:r>
      <w:r w:rsidRPr="008F7885">
        <w:rPr>
          <w:rFonts w:ascii="標楷體" w:eastAsia="標楷體" w:hAnsi="標楷體" w:hint="eastAsia"/>
          <w:sz w:val="32"/>
          <w:szCs w:val="32"/>
        </w:rPr>
        <w:t>年度又再編列</w:t>
      </w:r>
      <w:r w:rsidRPr="008F7885">
        <w:rPr>
          <w:rFonts w:ascii="標楷體" w:eastAsia="標楷體" w:hAnsi="標楷體"/>
          <w:sz w:val="32"/>
          <w:szCs w:val="32"/>
        </w:rPr>
        <w:t>311</w:t>
      </w:r>
      <w:r w:rsidRPr="008F7885">
        <w:rPr>
          <w:rFonts w:ascii="標楷體" w:eastAsia="標楷體" w:hAnsi="標楷體" w:hint="eastAsia"/>
          <w:sz w:val="32"/>
          <w:szCs w:val="32"/>
        </w:rPr>
        <w:t>萬</w:t>
      </w:r>
      <w:r w:rsidRPr="008F7885">
        <w:rPr>
          <w:rFonts w:ascii="標楷體" w:eastAsia="標楷體" w:hAnsi="標楷體"/>
          <w:sz w:val="32"/>
          <w:szCs w:val="32"/>
        </w:rPr>
        <w:t>2</w:t>
      </w:r>
      <w:r w:rsidRPr="008F7885">
        <w:rPr>
          <w:rFonts w:ascii="標楷體" w:eastAsia="標楷體" w:hAnsi="標楷體" w:hint="eastAsia"/>
          <w:sz w:val="32"/>
          <w:szCs w:val="32"/>
        </w:rPr>
        <w:t>千元之預算欲進行相似設備汰換，顯不合理，顯有重複編列之嫌。綜上所述，請教育部國民及學前教育署就「一般行政」項下「辦公房屋整修及設備購置」之「汰換冷氣、辦公桌椅櫃、辦公大樓電梯等設備及各式自動化辦公事務機具等相關費用」預算編列情形於3個月內向立法院教育及文化委員會提出書面報告。</w:t>
      </w:r>
      <w:r w:rsidRPr="008F7885">
        <w:rPr>
          <w:rFonts w:ascii="標楷體" w:eastAsia="標楷體" w:hAnsi="標楷體"/>
          <w:sz w:val="32"/>
          <w:szCs w:val="32"/>
        </w:rPr>
        <w:t>218</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提案人：萬美玲</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連署人：鄭正鈐  林奕華</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二十八)112年度教育部國民及學前教育署「國民及學前教育」項下「國民及學前教育行政及督導」中「高級中等學校教育」之「推動高級中等學校多元入學、適性入學說明會、學生學習表現及成效蒐集等經費」預算編列3億5,174萬8千元。經查，學習歷程檔案作為108課綱高中升大學之重要參考依據，上路以來卻爭議不斷，先是頻寬不足、系統不穩定，後又因人為疏失導致檔案遺失，重傷全國師生家長對其之信任，且據大學甄選入學委員會統計，111學年度大學個人申請中有約22%考生有準備學習歷程檔案，但卻仍選擇使用PDF檔上傳備審資料，另約有近7%考生因重考等因素無學習歷程檔案，有近三成考生未使用學習歷程檔案作為備審資料。教育部國民及學前教育署實應對學生選擇不使用學習歷程檔案</w:t>
      </w:r>
      <w:r w:rsidRPr="008F7885">
        <w:rPr>
          <w:rFonts w:ascii="標楷體" w:eastAsia="標楷體" w:hAnsi="標楷體" w:hint="eastAsia"/>
          <w:sz w:val="32"/>
          <w:szCs w:val="32"/>
        </w:rPr>
        <w:lastRenderedPageBreak/>
        <w:t>作為大學申請資料之原因進行調查並檢討。綜上所述，爰請教育部國民及學前教育署於3個月內向立法院教育及文化委員會提出書面報告。</w:t>
      </w:r>
      <w:r w:rsidRPr="008F7885">
        <w:rPr>
          <w:rFonts w:ascii="標楷體" w:eastAsia="標楷體" w:hAnsi="標楷體"/>
          <w:sz w:val="32"/>
          <w:szCs w:val="32"/>
        </w:rPr>
        <w:t>234</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提案人：萬美玲</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連署人：鄭正鈐  林奕華</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二十九)針對班班有冷氣之電費補助計畫，教育部潘部長文忠允諾將「契約用電」及「表燈用電」之電費差異納入「班班有冷氣」電費補助未來修正方向。教育部亦回應王委員婉諭辦公室表示，將俟111年11月下旬氣溫穩定後，瞭解各校冷氣使用及電費支應情形，並邀請台灣電力公司等相關單位共同研商冷氣電費設算方式，據以調整未來年度補助及設算基準，並於111年年底前完成相關評估說明。爰此，請教育部於111年12月31日前向立法院教育及文化委員會提出書面報告，並於111年底前完成相關評估。</w:t>
      </w:r>
      <w:r w:rsidRPr="008F7885">
        <w:rPr>
          <w:rFonts w:ascii="標楷體" w:eastAsia="標楷體" w:hAnsi="標楷體"/>
          <w:sz w:val="32"/>
          <w:szCs w:val="32"/>
        </w:rPr>
        <w:t>245</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提案人：王婉諭</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連署人：范  雲  黃國書</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(三十)112年度教育部國民及學前教育署「國民及學前教育」項下「國民及學前教育行政及督導」中「國民中小學教育」之「新興人口成長區公立高級中等以下學校校舍新</w:t>
      </w:r>
      <w:r w:rsidRPr="008F7885">
        <w:rPr>
          <w:rFonts w:ascii="標楷體" w:eastAsia="標楷體" w:hAnsi="標楷體"/>
          <w:sz w:val="32"/>
          <w:szCs w:val="32"/>
        </w:rPr>
        <w:t>(</w:t>
      </w:r>
      <w:r w:rsidRPr="008F7885">
        <w:rPr>
          <w:rFonts w:ascii="標楷體" w:eastAsia="標楷體" w:hAnsi="標楷體" w:hint="eastAsia"/>
          <w:sz w:val="32"/>
          <w:szCs w:val="32"/>
        </w:rPr>
        <w:t>增</w:t>
      </w:r>
      <w:r w:rsidRPr="008F7885">
        <w:rPr>
          <w:rFonts w:ascii="標楷體" w:eastAsia="標楷體" w:hAnsi="標楷體"/>
          <w:sz w:val="32"/>
          <w:szCs w:val="32"/>
        </w:rPr>
        <w:t>)</w:t>
      </w:r>
      <w:r w:rsidRPr="008F7885">
        <w:rPr>
          <w:rFonts w:ascii="標楷體" w:eastAsia="標楷體" w:hAnsi="標楷體" w:hint="eastAsia"/>
          <w:sz w:val="32"/>
          <w:szCs w:val="32"/>
        </w:rPr>
        <w:t>建工程計畫</w:t>
      </w:r>
      <w:r w:rsidRPr="008F7885">
        <w:rPr>
          <w:rFonts w:ascii="標楷體" w:eastAsia="標楷體" w:hAnsi="標楷體"/>
          <w:sz w:val="32"/>
          <w:szCs w:val="32"/>
        </w:rPr>
        <w:t>(111-113</w:t>
      </w:r>
      <w:r w:rsidRPr="008F7885">
        <w:rPr>
          <w:rFonts w:ascii="標楷體" w:eastAsia="標楷體" w:hAnsi="標楷體" w:hint="eastAsia"/>
          <w:sz w:val="32"/>
          <w:szCs w:val="32"/>
        </w:rPr>
        <w:t>年度</w:t>
      </w:r>
      <w:r w:rsidRPr="008F7885">
        <w:rPr>
          <w:rFonts w:ascii="標楷體" w:eastAsia="標楷體" w:hAnsi="標楷體"/>
          <w:sz w:val="32"/>
          <w:szCs w:val="32"/>
        </w:rPr>
        <w:t>)</w:t>
      </w:r>
      <w:r w:rsidRPr="008F7885">
        <w:rPr>
          <w:rFonts w:ascii="標楷體" w:eastAsia="標楷體" w:hAnsi="標楷體" w:hint="eastAsia"/>
          <w:sz w:val="32"/>
          <w:szCs w:val="32"/>
        </w:rPr>
        <w:t>」，總經費</w:t>
      </w:r>
      <w:r w:rsidRPr="008F7885">
        <w:rPr>
          <w:rFonts w:ascii="標楷體" w:eastAsia="標楷體" w:hAnsi="標楷體"/>
          <w:sz w:val="32"/>
          <w:szCs w:val="32"/>
        </w:rPr>
        <w:t>40</w:t>
      </w:r>
      <w:r w:rsidRPr="008F7885">
        <w:rPr>
          <w:rFonts w:ascii="標楷體" w:eastAsia="標楷體" w:hAnsi="標楷體" w:hint="eastAsia"/>
          <w:sz w:val="32"/>
          <w:szCs w:val="32"/>
        </w:rPr>
        <w:t>億元，</w:t>
      </w:r>
      <w:r w:rsidRPr="008F7885">
        <w:rPr>
          <w:rFonts w:ascii="標楷體" w:eastAsia="標楷體" w:hAnsi="標楷體"/>
          <w:sz w:val="32"/>
          <w:szCs w:val="32"/>
        </w:rPr>
        <w:t>111</w:t>
      </w:r>
      <w:r w:rsidRPr="008F7885">
        <w:rPr>
          <w:rFonts w:ascii="標楷體" w:eastAsia="標楷體" w:hAnsi="標楷體" w:hint="eastAsia"/>
          <w:sz w:val="32"/>
          <w:szCs w:val="32"/>
        </w:rPr>
        <w:t>年度編列第</w:t>
      </w:r>
      <w:r w:rsidRPr="008F7885">
        <w:rPr>
          <w:rFonts w:ascii="標楷體" w:eastAsia="標楷體" w:hAnsi="標楷體"/>
          <w:sz w:val="32"/>
          <w:szCs w:val="32"/>
        </w:rPr>
        <w:t>1</w:t>
      </w:r>
      <w:r w:rsidRPr="008F7885">
        <w:rPr>
          <w:rFonts w:ascii="標楷體" w:eastAsia="標楷體" w:hAnsi="標楷體" w:hint="eastAsia"/>
          <w:sz w:val="32"/>
          <w:szCs w:val="32"/>
        </w:rPr>
        <w:t>年經費</w:t>
      </w:r>
      <w:r w:rsidRPr="008F7885">
        <w:rPr>
          <w:rFonts w:ascii="標楷體" w:eastAsia="標楷體" w:hAnsi="標楷體"/>
          <w:sz w:val="32"/>
          <w:szCs w:val="32"/>
        </w:rPr>
        <w:t>4</w:t>
      </w:r>
      <w:r w:rsidRPr="008F7885">
        <w:rPr>
          <w:rFonts w:ascii="標楷體" w:eastAsia="標楷體" w:hAnsi="標楷體" w:hint="eastAsia"/>
          <w:sz w:val="32"/>
          <w:szCs w:val="32"/>
        </w:rPr>
        <w:t>億</w:t>
      </w:r>
      <w:r w:rsidRPr="008F7885">
        <w:rPr>
          <w:rFonts w:ascii="標楷體" w:eastAsia="標楷體" w:hAnsi="標楷體"/>
          <w:sz w:val="32"/>
          <w:szCs w:val="32"/>
        </w:rPr>
        <w:t>2,8</w:t>
      </w:r>
      <w:r w:rsidRPr="008F7885">
        <w:rPr>
          <w:rFonts w:ascii="標楷體" w:eastAsia="標楷體" w:hAnsi="標楷體" w:hint="eastAsia"/>
          <w:sz w:val="32"/>
          <w:szCs w:val="32"/>
        </w:rPr>
        <w:t>00萬元、第</w:t>
      </w:r>
      <w:r w:rsidRPr="008F7885">
        <w:rPr>
          <w:rFonts w:ascii="標楷體" w:eastAsia="標楷體" w:hAnsi="標楷體"/>
          <w:sz w:val="32"/>
          <w:szCs w:val="32"/>
        </w:rPr>
        <w:t>2</w:t>
      </w:r>
      <w:r w:rsidRPr="008F7885">
        <w:rPr>
          <w:rFonts w:ascii="標楷體" w:eastAsia="標楷體" w:hAnsi="標楷體" w:hint="eastAsia"/>
          <w:sz w:val="32"/>
          <w:szCs w:val="32"/>
        </w:rPr>
        <w:t>年編列</w:t>
      </w:r>
      <w:r w:rsidRPr="008F7885">
        <w:rPr>
          <w:rFonts w:ascii="標楷體" w:eastAsia="標楷體" w:hAnsi="標楷體"/>
          <w:sz w:val="32"/>
          <w:szCs w:val="32"/>
        </w:rPr>
        <w:t>17</w:t>
      </w:r>
      <w:r w:rsidRPr="008F7885">
        <w:rPr>
          <w:rFonts w:ascii="標楷體" w:eastAsia="標楷體" w:hAnsi="標楷體" w:hint="eastAsia"/>
          <w:sz w:val="32"/>
          <w:szCs w:val="32"/>
        </w:rPr>
        <w:t>億</w:t>
      </w:r>
      <w:r w:rsidRPr="008F7885">
        <w:rPr>
          <w:rFonts w:ascii="標楷體" w:eastAsia="標楷體" w:hAnsi="標楷體"/>
          <w:sz w:val="32"/>
          <w:szCs w:val="32"/>
        </w:rPr>
        <w:t>0,200</w:t>
      </w:r>
      <w:r w:rsidRPr="008F7885">
        <w:rPr>
          <w:rFonts w:ascii="標楷體" w:eastAsia="標楷體" w:hAnsi="標楷體" w:hint="eastAsia"/>
          <w:sz w:val="32"/>
          <w:szCs w:val="32"/>
        </w:rPr>
        <w:t>萬元，希望透過</w:t>
      </w:r>
      <w:r w:rsidRPr="008F7885">
        <w:rPr>
          <w:rFonts w:ascii="標楷體" w:eastAsia="標楷體" w:hAnsi="標楷體"/>
          <w:sz w:val="32"/>
          <w:szCs w:val="32"/>
        </w:rPr>
        <w:t>113</w:t>
      </w:r>
      <w:r w:rsidRPr="008F7885">
        <w:rPr>
          <w:rFonts w:ascii="標楷體" w:eastAsia="標楷體" w:hAnsi="標楷體" w:hint="eastAsia"/>
          <w:sz w:val="32"/>
          <w:szCs w:val="32"/>
        </w:rPr>
        <w:t>年底前完成</w:t>
      </w:r>
      <w:r w:rsidRPr="008F7885">
        <w:rPr>
          <w:rFonts w:ascii="標楷體" w:eastAsia="標楷體" w:hAnsi="標楷體"/>
          <w:sz w:val="32"/>
          <w:szCs w:val="32"/>
        </w:rPr>
        <w:t>1,300</w:t>
      </w:r>
      <w:r w:rsidRPr="008F7885">
        <w:rPr>
          <w:rFonts w:ascii="標楷體" w:eastAsia="標楷體" w:hAnsi="標楷體" w:hint="eastAsia"/>
          <w:sz w:val="32"/>
          <w:szCs w:val="32"/>
        </w:rPr>
        <w:t>間新</w:t>
      </w:r>
      <w:r w:rsidRPr="008F7885">
        <w:rPr>
          <w:rFonts w:ascii="標楷體" w:eastAsia="標楷體" w:hAnsi="標楷體"/>
          <w:sz w:val="32"/>
          <w:szCs w:val="32"/>
        </w:rPr>
        <w:t>(</w:t>
      </w:r>
      <w:r w:rsidRPr="008F7885">
        <w:rPr>
          <w:rFonts w:ascii="標楷體" w:eastAsia="標楷體" w:hAnsi="標楷體" w:hint="eastAsia"/>
          <w:sz w:val="32"/>
          <w:szCs w:val="32"/>
        </w:rPr>
        <w:t>增</w:t>
      </w:r>
      <w:r w:rsidRPr="008F7885">
        <w:rPr>
          <w:rFonts w:ascii="標楷體" w:eastAsia="標楷體" w:hAnsi="標楷體"/>
          <w:sz w:val="32"/>
          <w:szCs w:val="32"/>
        </w:rPr>
        <w:t>)</w:t>
      </w:r>
      <w:r w:rsidRPr="008F7885">
        <w:rPr>
          <w:rFonts w:ascii="標楷體" w:eastAsia="標楷體" w:hAnsi="標楷體" w:hint="eastAsia"/>
          <w:sz w:val="32"/>
          <w:szCs w:val="32"/>
        </w:rPr>
        <w:t>建教室之主體校舍建築，以解決部分新興人口成長地區校舍不足情形。該計畫補助對象以地方政府已提報需求符合新興人口成長地區之</w:t>
      </w:r>
      <w:r w:rsidRPr="008F7885">
        <w:rPr>
          <w:rFonts w:ascii="標楷體" w:eastAsia="標楷體" w:hAnsi="標楷體"/>
          <w:sz w:val="32"/>
          <w:szCs w:val="32"/>
        </w:rPr>
        <w:t>20</w:t>
      </w:r>
      <w:r w:rsidRPr="008F7885">
        <w:rPr>
          <w:rFonts w:ascii="標楷體" w:eastAsia="標楷體" w:hAnsi="標楷體" w:hint="eastAsia"/>
          <w:sz w:val="32"/>
          <w:szCs w:val="32"/>
        </w:rPr>
        <w:t>校，</w:t>
      </w:r>
      <w:r w:rsidRPr="008F7885">
        <w:rPr>
          <w:rFonts w:ascii="標楷體" w:eastAsia="標楷體" w:hAnsi="標楷體"/>
          <w:sz w:val="32"/>
          <w:szCs w:val="32"/>
        </w:rPr>
        <w:t>1,300</w:t>
      </w:r>
      <w:r w:rsidRPr="008F7885">
        <w:rPr>
          <w:rFonts w:ascii="標楷體" w:eastAsia="標楷體" w:hAnsi="標楷體" w:hint="eastAsia"/>
          <w:sz w:val="32"/>
          <w:szCs w:val="32"/>
        </w:rPr>
        <w:t>間教室，且可於</w:t>
      </w:r>
      <w:r w:rsidRPr="008F7885">
        <w:rPr>
          <w:rFonts w:ascii="標楷體" w:eastAsia="標楷體" w:hAnsi="標楷體"/>
          <w:sz w:val="32"/>
          <w:szCs w:val="32"/>
        </w:rPr>
        <w:t>113</w:t>
      </w:r>
      <w:r w:rsidRPr="008F7885">
        <w:rPr>
          <w:rFonts w:ascii="標楷體" w:eastAsia="標楷體" w:hAnsi="標楷體" w:hint="eastAsia"/>
          <w:sz w:val="32"/>
          <w:szCs w:val="32"/>
        </w:rPr>
        <w:t>年底前完成主體校舍建築者為限。雖有鑑於政府公共建設資源有限，計畫補助對象本應有相關限制，惟查全台國中小校舍不僅新興人口成長地區學校有修繕、整建等需求，許多國中小學校廁所仍相當老舊亟待改</w:t>
      </w:r>
      <w:r w:rsidRPr="008F7885">
        <w:rPr>
          <w:rFonts w:ascii="標楷體" w:eastAsia="標楷體" w:hAnsi="標楷體" w:hint="eastAsia"/>
          <w:sz w:val="32"/>
          <w:szCs w:val="32"/>
        </w:rPr>
        <w:lastRenderedPageBreak/>
        <w:t>善校園衛生環境。為督促教育部有效運用相關設施設備整建經費，加強辦理校園環境改善，爰請教育部國民及學前教育署於6個月內向立法院教育及文化委員會提出書面報告。</w:t>
      </w:r>
      <w:r w:rsidRPr="008F7885">
        <w:rPr>
          <w:rFonts w:ascii="標楷體" w:eastAsia="標楷體" w:hAnsi="標楷體"/>
          <w:sz w:val="32"/>
          <w:szCs w:val="32"/>
        </w:rPr>
        <w:t>247</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提案人：何欣純</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 xml:space="preserve">連署人：黃國書 </w:t>
      </w:r>
      <w:r w:rsidRPr="008F7885">
        <w:rPr>
          <w:rFonts w:ascii="標楷體" w:eastAsia="標楷體" w:hAnsi="標楷體"/>
          <w:sz w:val="32"/>
          <w:szCs w:val="32"/>
        </w:rPr>
        <w:t xml:space="preserve"> </w:t>
      </w:r>
      <w:r w:rsidRPr="008F7885">
        <w:rPr>
          <w:rFonts w:ascii="標楷體" w:eastAsia="標楷體" w:hAnsi="標楷體" w:hint="eastAsia"/>
          <w:sz w:val="32"/>
          <w:szCs w:val="32"/>
        </w:rPr>
        <w:t>林宜瑾  陳秀寳</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三十一)112年度教育部國民及學前教育署預算「國民及學前教育」項下「國民及學前教育行政及督導」中「國民中小學教育」之「扶助國民中小學弱勢學生所需經費」預算編列36億2,956萬6千元。為提升偏鄉教育品質，教育部編列發展偏鄉教育相關計畫經費，推動偏鄉教育均衡發展。惟偏遠地區學校代理教師比率不僅呈現逐年增長趨勢，且遠高於全國平均。</w:t>
      </w:r>
    </w:p>
    <w:tbl>
      <w:tblPr>
        <w:tblW w:w="8500" w:type="dxa"/>
        <w:tblInd w:w="8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1418"/>
        <w:gridCol w:w="2693"/>
        <w:gridCol w:w="3260"/>
      </w:tblGrid>
      <w:tr w:rsidR="00273897" w:rsidRPr="008F7885" w:rsidTr="00273897">
        <w:tc>
          <w:tcPr>
            <w:tcW w:w="1129"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學年度</w:t>
            </w:r>
          </w:p>
        </w:tc>
        <w:tc>
          <w:tcPr>
            <w:tcW w:w="1418"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教育階段</w:t>
            </w:r>
          </w:p>
        </w:tc>
        <w:tc>
          <w:tcPr>
            <w:tcW w:w="2693"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全國代理教師比率(%)</w:t>
            </w:r>
          </w:p>
        </w:tc>
        <w:tc>
          <w:tcPr>
            <w:tcW w:w="3260"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偏遠地區代理教師比率(%)</w:t>
            </w:r>
          </w:p>
        </w:tc>
      </w:tr>
      <w:tr w:rsidR="00273897" w:rsidRPr="008F7885" w:rsidTr="00273897">
        <w:tc>
          <w:tcPr>
            <w:tcW w:w="1129" w:type="dxa"/>
            <w:vMerge w:val="restart"/>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108</w:t>
            </w:r>
          </w:p>
        </w:tc>
        <w:tc>
          <w:tcPr>
            <w:tcW w:w="1418"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國中</w:t>
            </w:r>
          </w:p>
        </w:tc>
        <w:tc>
          <w:tcPr>
            <w:tcW w:w="2693"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14.08</w:t>
            </w:r>
          </w:p>
        </w:tc>
        <w:tc>
          <w:tcPr>
            <w:tcW w:w="3260"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19.78</w:t>
            </w:r>
          </w:p>
        </w:tc>
      </w:tr>
      <w:tr w:rsidR="00273897" w:rsidRPr="008F7885" w:rsidTr="00273897">
        <w:tc>
          <w:tcPr>
            <w:tcW w:w="1129" w:type="dxa"/>
            <w:vMerge/>
            <w:shd w:val="clear" w:color="auto" w:fill="auto"/>
            <w:vAlign w:val="center"/>
          </w:tcPr>
          <w:p w:rsidR="00273897" w:rsidRPr="008F7885" w:rsidRDefault="00273897" w:rsidP="00273897">
            <w:pPr>
              <w:snapToGrid w:val="0"/>
              <w:jc w:val="center"/>
              <w:rPr>
                <w:rFonts w:ascii="標楷體" w:eastAsia="標楷體" w:hAnsi="標楷體"/>
                <w:sz w:val="26"/>
                <w:szCs w:val="26"/>
              </w:rPr>
            </w:pPr>
          </w:p>
        </w:tc>
        <w:tc>
          <w:tcPr>
            <w:tcW w:w="1418"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國小</w:t>
            </w:r>
          </w:p>
        </w:tc>
        <w:tc>
          <w:tcPr>
            <w:tcW w:w="2693"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14.48</w:t>
            </w:r>
          </w:p>
        </w:tc>
        <w:tc>
          <w:tcPr>
            <w:tcW w:w="3260"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22.82</w:t>
            </w:r>
          </w:p>
        </w:tc>
      </w:tr>
      <w:tr w:rsidR="00273897" w:rsidRPr="008F7885" w:rsidTr="00273897">
        <w:tc>
          <w:tcPr>
            <w:tcW w:w="1129" w:type="dxa"/>
            <w:vMerge w:val="restart"/>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109</w:t>
            </w:r>
          </w:p>
        </w:tc>
        <w:tc>
          <w:tcPr>
            <w:tcW w:w="1418"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國中</w:t>
            </w:r>
          </w:p>
        </w:tc>
        <w:tc>
          <w:tcPr>
            <w:tcW w:w="2693"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14.62</w:t>
            </w:r>
          </w:p>
        </w:tc>
        <w:tc>
          <w:tcPr>
            <w:tcW w:w="3260"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23.79</w:t>
            </w:r>
          </w:p>
        </w:tc>
      </w:tr>
      <w:tr w:rsidR="00273897" w:rsidRPr="008F7885" w:rsidTr="00273897">
        <w:tc>
          <w:tcPr>
            <w:tcW w:w="1129" w:type="dxa"/>
            <w:vMerge/>
            <w:shd w:val="clear" w:color="auto" w:fill="auto"/>
            <w:vAlign w:val="center"/>
          </w:tcPr>
          <w:p w:rsidR="00273897" w:rsidRPr="008F7885" w:rsidRDefault="00273897" w:rsidP="00273897">
            <w:pPr>
              <w:snapToGrid w:val="0"/>
              <w:jc w:val="center"/>
              <w:rPr>
                <w:rFonts w:ascii="標楷體" w:eastAsia="標楷體" w:hAnsi="標楷體"/>
                <w:sz w:val="26"/>
                <w:szCs w:val="26"/>
              </w:rPr>
            </w:pPr>
          </w:p>
        </w:tc>
        <w:tc>
          <w:tcPr>
            <w:tcW w:w="1418"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國小</w:t>
            </w:r>
          </w:p>
        </w:tc>
        <w:tc>
          <w:tcPr>
            <w:tcW w:w="2693"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14.17</w:t>
            </w:r>
          </w:p>
        </w:tc>
        <w:tc>
          <w:tcPr>
            <w:tcW w:w="3260"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23.62</w:t>
            </w:r>
          </w:p>
        </w:tc>
      </w:tr>
      <w:tr w:rsidR="00273897" w:rsidRPr="008F7885" w:rsidTr="00273897">
        <w:tc>
          <w:tcPr>
            <w:tcW w:w="1129" w:type="dxa"/>
            <w:vMerge w:val="restart"/>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110</w:t>
            </w:r>
          </w:p>
        </w:tc>
        <w:tc>
          <w:tcPr>
            <w:tcW w:w="1418"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國中</w:t>
            </w:r>
          </w:p>
        </w:tc>
        <w:tc>
          <w:tcPr>
            <w:tcW w:w="2693"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15.34</w:t>
            </w:r>
          </w:p>
        </w:tc>
        <w:tc>
          <w:tcPr>
            <w:tcW w:w="3260"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25.30</w:t>
            </w:r>
          </w:p>
        </w:tc>
      </w:tr>
      <w:tr w:rsidR="00273897" w:rsidRPr="008F7885" w:rsidTr="00273897">
        <w:tc>
          <w:tcPr>
            <w:tcW w:w="1129" w:type="dxa"/>
            <w:vMerge/>
            <w:shd w:val="clear" w:color="auto" w:fill="auto"/>
            <w:vAlign w:val="center"/>
          </w:tcPr>
          <w:p w:rsidR="00273897" w:rsidRPr="008F7885" w:rsidRDefault="00273897" w:rsidP="00273897">
            <w:pPr>
              <w:snapToGrid w:val="0"/>
              <w:jc w:val="center"/>
              <w:rPr>
                <w:rFonts w:ascii="標楷體" w:eastAsia="標楷體" w:hAnsi="標楷體"/>
                <w:sz w:val="26"/>
                <w:szCs w:val="26"/>
              </w:rPr>
            </w:pPr>
          </w:p>
        </w:tc>
        <w:tc>
          <w:tcPr>
            <w:tcW w:w="1418"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國小</w:t>
            </w:r>
          </w:p>
        </w:tc>
        <w:tc>
          <w:tcPr>
            <w:tcW w:w="2693"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16.43</w:t>
            </w:r>
          </w:p>
        </w:tc>
        <w:tc>
          <w:tcPr>
            <w:tcW w:w="3260"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26.74</w:t>
            </w:r>
          </w:p>
        </w:tc>
      </w:tr>
    </w:tbl>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 xml:space="preserve">        另查，111學年度國中教育會考成績待加強之情形，偏遠地區學校各科目之待加強比率亦遠高於全國平均，顯示偏遠地區學校仍存有城鄉教育落差，為提升學生基本學力及偏遠地區學校之師資，爰請教育部於3個月內向立法院教育及文化委員會提出書面報告。248</w:t>
      </w:r>
    </w:p>
    <w:tbl>
      <w:tblPr>
        <w:tblW w:w="0" w:type="auto"/>
        <w:tblInd w:w="10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1206"/>
        <w:gridCol w:w="1207"/>
        <w:gridCol w:w="1206"/>
        <w:gridCol w:w="1207"/>
        <w:gridCol w:w="1207"/>
      </w:tblGrid>
      <w:tr w:rsidR="00273897" w:rsidRPr="008F7885" w:rsidTr="00273897">
        <w:tc>
          <w:tcPr>
            <w:tcW w:w="2263"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111學年國中會考待加強比率(%)</w:t>
            </w:r>
          </w:p>
        </w:tc>
        <w:tc>
          <w:tcPr>
            <w:tcW w:w="1206"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國文</w:t>
            </w:r>
          </w:p>
        </w:tc>
        <w:tc>
          <w:tcPr>
            <w:tcW w:w="1207"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英語</w:t>
            </w:r>
          </w:p>
        </w:tc>
        <w:tc>
          <w:tcPr>
            <w:tcW w:w="1206"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數學</w:t>
            </w:r>
          </w:p>
        </w:tc>
        <w:tc>
          <w:tcPr>
            <w:tcW w:w="1207"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社會</w:t>
            </w:r>
          </w:p>
        </w:tc>
        <w:tc>
          <w:tcPr>
            <w:tcW w:w="1207"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自然</w:t>
            </w:r>
          </w:p>
        </w:tc>
      </w:tr>
      <w:tr w:rsidR="00273897" w:rsidRPr="008F7885" w:rsidTr="00273897">
        <w:tc>
          <w:tcPr>
            <w:tcW w:w="2263"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全國平均</w:t>
            </w:r>
          </w:p>
        </w:tc>
        <w:tc>
          <w:tcPr>
            <w:tcW w:w="1206"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13.77</w:t>
            </w:r>
          </w:p>
        </w:tc>
        <w:tc>
          <w:tcPr>
            <w:tcW w:w="1207"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27.86</w:t>
            </w:r>
          </w:p>
        </w:tc>
        <w:tc>
          <w:tcPr>
            <w:tcW w:w="1206"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26.62</w:t>
            </w:r>
          </w:p>
        </w:tc>
        <w:tc>
          <w:tcPr>
            <w:tcW w:w="1207"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13.77</w:t>
            </w:r>
          </w:p>
        </w:tc>
        <w:tc>
          <w:tcPr>
            <w:tcW w:w="1207"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20.58</w:t>
            </w:r>
          </w:p>
        </w:tc>
      </w:tr>
      <w:tr w:rsidR="00273897" w:rsidRPr="008F7885" w:rsidTr="00273897">
        <w:tc>
          <w:tcPr>
            <w:tcW w:w="2263"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偏遠地區</w:t>
            </w:r>
          </w:p>
        </w:tc>
        <w:tc>
          <w:tcPr>
            <w:tcW w:w="1206"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28.43</w:t>
            </w:r>
          </w:p>
        </w:tc>
        <w:tc>
          <w:tcPr>
            <w:tcW w:w="1207"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52.02</w:t>
            </w:r>
          </w:p>
        </w:tc>
        <w:tc>
          <w:tcPr>
            <w:tcW w:w="1206"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48.50</w:t>
            </w:r>
          </w:p>
        </w:tc>
        <w:tc>
          <w:tcPr>
            <w:tcW w:w="1207"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27.90</w:t>
            </w:r>
          </w:p>
        </w:tc>
        <w:tc>
          <w:tcPr>
            <w:tcW w:w="1207" w:type="dxa"/>
            <w:shd w:val="clear" w:color="auto" w:fill="auto"/>
            <w:vAlign w:val="center"/>
          </w:tcPr>
          <w:p w:rsidR="00273897" w:rsidRPr="008F7885" w:rsidRDefault="00273897" w:rsidP="00273897">
            <w:pPr>
              <w:snapToGrid w:val="0"/>
              <w:jc w:val="center"/>
              <w:rPr>
                <w:rFonts w:ascii="標楷體" w:eastAsia="標楷體" w:hAnsi="標楷體"/>
                <w:sz w:val="26"/>
                <w:szCs w:val="26"/>
              </w:rPr>
            </w:pPr>
            <w:r w:rsidRPr="008F7885">
              <w:rPr>
                <w:rFonts w:ascii="標楷體" w:eastAsia="標楷體" w:hAnsi="標楷體" w:hint="eastAsia"/>
                <w:sz w:val="26"/>
                <w:szCs w:val="26"/>
              </w:rPr>
              <w:t>39.07</w:t>
            </w:r>
          </w:p>
        </w:tc>
      </w:tr>
    </w:tbl>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連署人：何欣純  陳秀寳  張廖萬堅</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(三十二)根據2020年兒福聯盟「台灣學生睡眠及使用提神飲料調</w:t>
      </w:r>
      <w:r w:rsidRPr="008F7885">
        <w:rPr>
          <w:rFonts w:ascii="標楷體" w:eastAsia="標楷體" w:hAnsi="標楷體" w:hint="eastAsia"/>
          <w:sz w:val="32"/>
          <w:szCs w:val="32"/>
        </w:rPr>
        <w:lastRenderedPageBreak/>
        <w:t>查報告」指出，台灣國高中生每日睡眠少於8小時比例高達78%，平均睡眠僅6.9小時，另根據立法院法制局評估報告指出，台灣學生平均上課時數為9小時，高於南韓8小時，以及歐美國家及日本6至6.5小時。台灣學生睡眠不足、上課時數長等問題，恐影響學生學習力。根據2016年台灣睡眠醫學學會「青少年睡眠大調查」指出，每日睡眠低於7小時之學生，上課遲到比例達64%、上課打瞌睡比例高達76%；美國賓州大學研究亦指出，青少年睡眠不足容易造成情緒障礙、肥胖及學業表現低落等問題，美國兒科學會更呼籲，各級學校應將上課時間改為8點30分之後，讓學生睡滿8.5小時。教育部111年</w:t>
      </w:r>
      <w:r w:rsidRPr="008F7885">
        <w:rPr>
          <w:rFonts w:ascii="標楷體" w:eastAsia="標楷體" w:hAnsi="標楷體"/>
          <w:sz w:val="32"/>
          <w:szCs w:val="32"/>
        </w:rPr>
        <w:t>3</w:t>
      </w:r>
      <w:r w:rsidRPr="008F7885">
        <w:rPr>
          <w:rFonts w:ascii="標楷體" w:eastAsia="標楷體" w:hAnsi="標楷體" w:hint="eastAsia"/>
          <w:sz w:val="32"/>
          <w:szCs w:val="32"/>
        </w:rPr>
        <w:t>月修正「教育部主管高級中等學校學生在校作息時間規劃注意事項」，</w:t>
      </w:r>
      <w:r w:rsidRPr="008F7885">
        <w:rPr>
          <w:rFonts w:ascii="標楷體" w:eastAsia="標楷體" w:hAnsi="標楷體"/>
          <w:sz w:val="32"/>
          <w:szCs w:val="32"/>
        </w:rPr>
        <w:t>111</w:t>
      </w:r>
      <w:r w:rsidRPr="008F7885">
        <w:rPr>
          <w:rFonts w:ascii="標楷體" w:eastAsia="標楷體" w:hAnsi="標楷體" w:hint="eastAsia"/>
          <w:sz w:val="32"/>
          <w:szCs w:val="32"/>
        </w:rPr>
        <w:t>學年度起高中學生延後到校並取消早自習，學生於上午第1節課前抵達上課地點即可，然國中小學生則未跟進，僅禁止早自習考試。教育部應綜整各直轄市、縣（市）國中小延後到校相關規劃，以期增加學生睡眠時間，提高學習力。並於</w:t>
      </w:r>
      <w:r w:rsidRPr="008F7885">
        <w:rPr>
          <w:rFonts w:ascii="標楷體" w:eastAsia="標楷體" w:hAnsi="標楷體"/>
          <w:sz w:val="32"/>
          <w:szCs w:val="32"/>
        </w:rPr>
        <w:t>3</w:t>
      </w:r>
      <w:r w:rsidRPr="008F7885">
        <w:rPr>
          <w:rFonts w:ascii="標楷體" w:eastAsia="標楷體" w:hAnsi="標楷體" w:hint="eastAsia"/>
          <w:sz w:val="32"/>
          <w:szCs w:val="32"/>
        </w:rPr>
        <w:t>個月內向立法院教育及文化委員會提出書面報告。</w:t>
      </w:r>
      <w:r w:rsidRPr="008F7885">
        <w:rPr>
          <w:rFonts w:ascii="標楷體" w:eastAsia="標楷體" w:hAnsi="標楷體"/>
          <w:sz w:val="32"/>
          <w:szCs w:val="32"/>
        </w:rPr>
        <w:t>251</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提案人：吳思瑤</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連署人：賴品妤  黃國書  陳秀寳</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三十三)教育部自100年起推動教學正常化業務，惟監察院報告指出106至108學年度，我國教學正常化「未完全合格率」為58.78%，且私立國中高達75.53%。另查，105至109年各地方政府受理民眾檢舉共406案，各國中被投訴「借課嚴重」、「強制學生參加暑期及課後輔導，並上新進度」、「未常態編班」等問題，使教學不正常反成常態。而教育部歷年抽查訪視學校之比率，108年2.17%、109年3.66%、110年7.22%，視導比率雖有提高，但仍未達10%。對比我國國中教學正常化缺失情形，教育部辦理教學正常化視導工作顯有待</w:t>
      </w:r>
      <w:r w:rsidRPr="008F7885">
        <w:rPr>
          <w:rFonts w:ascii="標楷體" w:eastAsia="標楷體" w:hAnsi="標楷體" w:hint="eastAsia"/>
          <w:sz w:val="32"/>
          <w:szCs w:val="32"/>
        </w:rPr>
        <w:lastRenderedPageBreak/>
        <w:t>加強，請教育部於3個月內向立法院教育及文化委員會提出書面報告。</w:t>
      </w:r>
      <w:r w:rsidRPr="008F7885">
        <w:rPr>
          <w:rFonts w:ascii="標楷體" w:eastAsia="標楷體" w:hAnsi="標楷體"/>
          <w:sz w:val="32"/>
          <w:szCs w:val="32"/>
        </w:rPr>
        <w:t>252</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連署人：何欣純  陳秀寳  張廖萬堅</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(三十四)112年度教育部國民及學前教育署「國民及學前教育」項下「國民及學前教育行政及督導」中「國民中小學教育」預算編列183億0</w:t>
      </w:r>
      <w:r w:rsidRPr="008F7885">
        <w:rPr>
          <w:rFonts w:ascii="標楷體" w:eastAsia="標楷體" w:hAnsi="標楷體"/>
          <w:sz w:val="32"/>
          <w:szCs w:val="32"/>
        </w:rPr>
        <w:t>,</w:t>
      </w:r>
      <w:r w:rsidRPr="008F7885">
        <w:rPr>
          <w:rFonts w:ascii="標楷體" w:eastAsia="標楷體" w:hAnsi="標楷體" w:hint="eastAsia"/>
          <w:sz w:val="32"/>
          <w:szCs w:val="32"/>
        </w:rPr>
        <w:t>217萬5千元，作為辦理國民中小學教育業務之用，其中「強化國民中小學課程與教學所需經費」項下「辦理國教業務所需人力、推動課程與教學相關事項(含金融教育、書法教育及安全教育等)所需經費」預算編列4,133萬5千元。經查，該筆預算自109、110、111年度均編列2,333萬5千元，用於辦理國教業務所需人力、推動課程與教學相關事項及宣導，惟112年度之預算大幅增加1,800萬元用於金融教育、書法教育及安全教育等推動，然上述相關教育課程規劃設計、預算分配、預期目標均未詳細敘明，實有說明之必要。综上所述，請教育部國民及學前教育署於</w:t>
      </w:r>
      <w:r w:rsidRPr="008F7885">
        <w:rPr>
          <w:rFonts w:ascii="標楷體" w:eastAsia="標楷體" w:hAnsi="標楷體"/>
          <w:sz w:val="32"/>
          <w:szCs w:val="32"/>
        </w:rPr>
        <w:t>3</w:t>
      </w:r>
      <w:r w:rsidRPr="008F7885">
        <w:rPr>
          <w:rFonts w:ascii="標楷體" w:eastAsia="標楷體" w:hAnsi="標楷體" w:hint="eastAsia"/>
          <w:sz w:val="32"/>
          <w:szCs w:val="32"/>
        </w:rPr>
        <w:t>個月內向立法院教育及文化委員會提出書面報告。</w:t>
      </w:r>
      <w:r w:rsidRPr="008F7885">
        <w:rPr>
          <w:rFonts w:ascii="標楷體" w:eastAsia="標楷體" w:hAnsi="標楷體"/>
          <w:sz w:val="32"/>
          <w:szCs w:val="32"/>
        </w:rPr>
        <w:t>253</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提案人：萬美玲</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連署人：鄭正鈐  林奕華</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三十五)112年度教育部國民及學前教育署「國民及學前教育」項下「國民及學前教育行政及督導」中「國民中小學教育」預算編列183億0,217萬5千元，其中「強化國民中小學課程與教學所需經費」項下「辦理教科書審查及部編本教科書配套措施計畫所需經費」預算編列2億3,020萬8千元。經查該筆預算於</w:t>
      </w:r>
      <w:r w:rsidRPr="008F7885">
        <w:rPr>
          <w:rFonts w:ascii="標楷體" w:eastAsia="標楷體" w:hAnsi="標楷體"/>
          <w:sz w:val="32"/>
          <w:szCs w:val="32"/>
        </w:rPr>
        <w:t>110</w:t>
      </w:r>
      <w:r w:rsidRPr="008F7885">
        <w:rPr>
          <w:rFonts w:ascii="標楷體" w:eastAsia="標楷體" w:hAnsi="標楷體" w:hint="eastAsia"/>
          <w:sz w:val="32"/>
          <w:szCs w:val="32"/>
        </w:rPr>
        <w:t>及</w:t>
      </w:r>
      <w:r w:rsidRPr="008F7885">
        <w:rPr>
          <w:rFonts w:ascii="標楷體" w:eastAsia="標楷體" w:hAnsi="標楷體"/>
          <w:sz w:val="32"/>
          <w:szCs w:val="32"/>
        </w:rPr>
        <w:t>111</w:t>
      </w:r>
      <w:r w:rsidRPr="008F7885">
        <w:rPr>
          <w:rFonts w:ascii="標楷體" w:eastAsia="標楷體" w:hAnsi="標楷體" w:hint="eastAsia"/>
          <w:sz w:val="32"/>
          <w:szCs w:val="32"/>
        </w:rPr>
        <w:t>年度均編列</w:t>
      </w:r>
      <w:r w:rsidRPr="008F7885">
        <w:rPr>
          <w:rFonts w:ascii="標楷體" w:eastAsia="標楷體" w:hAnsi="標楷體"/>
          <w:sz w:val="32"/>
          <w:szCs w:val="32"/>
        </w:rPr>
        <w:t>1</w:t>
      </w:r>
      <w:r w:rsidRPr="008F7885">
        <w:rPr>
          <w:rFonts w:ascii="標楷體" w:eastAsia="標楷體" w:hAnsi="標楷體" w:hint="eastAsia"/>
          <w:sz w:val="32"/>
          <w:szCs w:val="32"/>
        </w:rPr>
        <w:t>億</w:t>
      </w:r>
      <w:r w:rsidRPr="008F7885">
        <w:rPr>
          <w:rFonts w:ascii="標楷體" w:eastAsia="標楷體" w:hAnsi="標楷體"/>
          <w:sz w:val="32"/>
          <w:szCs w:val="32"/>
        </w:rPr>
        <w:t>3,020</w:t>
      </w:r>
      <w:r w:rsidRPr="008F7885">
        <w:rPr>
          <w:rFonts w:ascii="標楷體" w:eastAsia="標楷體" w:hAnsi="標楷體" w:hint="eastAsia"/>
          <w:sz w:val="32"/>
          <w:szCs w:val="32"/>
        </w:rPr>
        <w:t>萬</w:t>
      </w:r>
      <w:r w:rsidRPr="008F7885">
        <w:rPr>
          <w:rFonts w:ascii="標楷體" w:eastAsia="標楷體" w:hAnsi="標楷體"/>
          <w:sz w:val="32"/>
          <w:szCs w:val="32"/>
        </w:rPr>
        <w:t>8</w:t>
      </w:r>
      <w:r w:rsidRPr="008F7885">
        <w:rPr>
          <w:rFonts w:ascii="標楷體" w:eastAsia="標楷體" w:hAnsi="標楷體" w:hint="eastAsia"/>
          <w:sz w:val="32"/>
          <w:szCs w:val="32"/>
        </w:rPr>
        <w:t>千元，惟</w:t>
      </w:r>
      <w:r w:rsidRPr="008F7885">
        <w:rPr>
          <w:rFonts w:ascii="標楷體" w:eastAsia="標楷體" w:hAnsi="標楷體"/>
          <w:sz w:val="32"/>
          <w:szCs w:val="32"/>
        </w:rPr>
        <w:t>112</w:t>
      </w:r>
      <w:r w:rsidRPr="008F7885">
        <w:rPr>
          <w:rFonts w:ascii="標楷體" w:eastAsia="標楷體" w:hAnsi="標楷體" w:hint="eastAsia"/>
          <w:sz w:val="32"/>
          <w:szCs w:val="32"/>
        </w:rPr>
        <w:t>年度之預算卻大幅增加</w:t>
      </w:r>
      <w:r w:rsidRPr="008F7885">
        <w:rPr>
          <w:rFonts w:ascii="標楷體" w:eastAsia="標楷體" w:hAnsi="標楷體"/>
          <w:sz w:val="32"/>
          <w:szCs w:val="32"/>
        </w:rPr>
        <w:t>1</w:t>
      </w:r>
      <w:r w:rsidRPr="008F7885">
        <w:rPr>
          <w:rFonts w:ascii="標楷體" w:eastAsia="標楷體" w:hAnsi="標楷體" w:hint="eastAsia"/>
          <w:sz w:val="32"/>
          <w:szCs w:val="32"/>
        </w:rPr>
        <w:t>億元</w:t>
      </w:r>
      <w:r w:rsidRPr="008F7885">
        <w:rPr>
          <w:rFonts w:ascii="標楷體" w:eastAsia="標楷體" w:hAnsi="標楷體"/>
          <w:sz w:val="32"/>
          <w:szCs w:val="32"/>
        </w:rPr>
        <w:t>,</w:t>
      </w:r>
      <w:r w:rsidRPr="008F7885">
        <w:rPr>
          <w:rFonts w:ascii="標楷體" w:eastAsia="標楷體" w:hAnsi="標楷體" w:hint="eastAsia"/>
          <w:sz w:val="32"/>
          <w:szCs w:val="32"/>
        </w:rPr>
        <w:t>且該筆預算並未敘明增加之經費用途及規劃，有空白授權及浮編之嫌，實有說明之必要。綜上所述，爰請教育部於</w:t>
      </w:r>
      <w:r w:rsidRPr="008F7885">
        <w:rPr>
          <w:rFonts w:ascii="標楷體" w:eastAsia="標楷體" w:hAnsi="標楷體"/>
          <w:sz w:val="32"/>
          <w:szCs w:val="32"/>
        </w:rPr>
        <w:t>3</w:t>
      </w:r>
      <w:r w:rsidRPr="008F7885">
        <w:rPr>
          <w:rFonts w:ascii="標楷體" w:eastAsia="標楷體" w:hAnsi="標楷體" w:hint="eastAsia"/>
          <w:sz w:val="32"/>
          <w:szCs w:val="32"/>
        </w:rPr>
        <w:t>個月內向立法院教育及文</w:t>
      </w:r>
      <w:r w:rsidRPr="008F7885">
        <w:rPr>
          <w:rFonts w:ascii="標楷體" w:eastAsia="標楷體" w:hAnsi="標楷體" w:hint="eastAsia"/>
          <w:sz w:val="32"/>
          <w:szCs w:val="32"/>
        </w:rPr>
        <w:lastRenderedPageBreak/>
        <w:t>化委員會提出書面報告。</w:t>
      </w:r>
      <w:r w:rsidRPr="008F7885">
        <w:rPr>
          <w:rFonts w:ascii="標楷體" w:eastAsia="標楷體" w:hAnsi="標楷體"/>
          <w:sz w:val="32"/>
          <w:szCs w:val="32"/>
        </w:rPr>
        <w:t>254</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提案人：萬美玲</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連署人：鄭正鈐  林奕華</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(三十六)112年度教育部國民及學前教育署「國民及學前教育」項下「國民及學前教育行政及督導」中「國民中小學教育」之「辦理教科書審查及部編本教科書配套措施計畫」預算編列2億3</w:t>
      </w:r>
      <w:r w:rsidRPr="008F7885">
        <w:rPr>
          <w:rFonts w:ascii="標楷體" w:eastAsia="標楷體" w:hAnsi="標楷體"/>
          <w:sz w:val="32"/>
          <w:szCs w:val="32"/>
        </w:rPr>
        <w:t>,</w:t>
      </w:r>
      <w:r w:rsidRPr="008F7885">
        <w:rPr>
          <w:rFonts w:ascii="標楷體" w:eastAsia="標楷體" w:hAnsi="標楷體" w:hint="eastAsia"/>
          <w:sz w:val="32"/>
          <w:szCs w:val="32"/>
        </w:rPr>
        <w:t>020萬8千元辦理教科書相關業務。過去我國教科書計價方式採特定公式計算，且自107年起成立「國中小教科書品質推動委員會」，對公式計算逐年確認該年度教科書金額，惟自111年起調整計價模式，依前一年度之決標價格乘上消費者物價等指數等相關波動指數，再將價格交由承辦縣市進行議價。為釐清國中小審定本教科書計價與議價方式，及「國中小教科書品質推動委員會」之運作任務，請教育部全面檢討及提出明確之教科書計議價流程，並於3個月內向立法院教育及文化委員會提出書面報告。</w:t>
      </w:r>
      <w:r w:rsidRPr="008F7885">
        <w:rPr>
          <w:rFonts w:ascii="標楷體" w:eastAsia="標楷體" w:hAnsi="標楷體"/>
          <w:sz w:val="32"/>
          <w:szCs w:val="32"/>
        </w:rPr>
        <w:t>255</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提案人：王婉諭</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連署人：范  雲  黃國書</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(三十七)112年度教育部國民及學前教育署「國民及學前教育」項下「國民及學前教育行政及督導」中「國民中小學教育」之「辦理十二年國民基本教育相關課程及精進國民中小學教學品質計畫事項」預算編列2億2</w:t>
      </w:r>
      <w:r w:rsidRPr="008F7885">
        <w:rPr>
          <w:rFonts w:ascii="標楷體" w:eastAsia="標楷體" w:hAnsi="標楷體"/>
          <w:sz w:val="32"/>
          <w:szCs w:val="32"/>
        </w:rPr>
        <w:t>,</w:t>
      </w:r>
      <w:r w:rsidRPr="008F7885">
        <w:rPr>
          <w:rFonts w:ascii="標楷體" w:eastAsia="標楷體" w:hAnsi="標楷體" w:hint="eastAsia"/>
          <w:sz w:val="32"/>
          <w:szCs w:val="32"/>
        </w:rPr>
        <w:t>154萬元用於推動十二年國教教學品質。根據統計，有色覺障礙者約占人口8%，對於色盲、色弱者來說，不僅眼前的世界與常人不同，更可能影響到色覺障礙者於日常生活中的色彩辨識及判斷。在這樣的情況下，色覺障礙自然也會影響到學生的學習成效，尤其課本中大量使用顏色做為區別與識別，更有「分層設色圖」等以色調來呈現差異的圖表，可能會導致色覺障礙者無法順利接收資訊。對此，財團法人台灣設計研究院、國立清華大學</w:t>
      </w:r>
      <w:r w:rsidRPr="008F7885">
        <w:rPr>
          <w:rFonts w:ascii="標楷體" w:eastAsia="標楷體" w:hAnsi="標楷體" w:hint="eastAsia"/>
          <w:sz w:val="32"/>
          <w:szCs w:val="32"/>
        </w:rPr>
        <w:lastRenderedPageBreak/>
        <w:t>教育學院以及民間團體共同合作展開「教材通用色彩設計研究」計畫，並且綜合研究成果提出「教材通用色彩應用指南」。為維護色覺障礙者之權益，教育部國民及學前教育署應要求課本研發階段應將「色盲色弱友善」納入設計考量之一，並研議是否將財團法人台灣設計硏究院提出之「教材通用色彩應用指南」納入參考。爰此，請教育部於3個月內向立法院教育及文化委員會提出書面報告。</w:t>
      </w:r>
      <w:r w:rsidRPr="008F7885">
        <w:rPr>
          <w:rFonts w:ascii="標楷體" w:eastAsia="標楷體" w:hAnsi="標楷體"/>
          <w:sz w:val="32"/>
          <w:szCs w:val="32"/>
        </w:rPr>
        <w:t>256</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提案人：王婉諭</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連署人：范  雲  黃國書</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(三十八)112年度教育部國民及學前教育署「國民及學前教育」項下「國民及學前教育行政及督導」中「國民中小學教育」之「提升國民中小學教育人力所需經費」預算編列106億5</w:t>
      </w:r>
      <w:r w:rsidRPr="008F7885">
        <w:rPr>
          <w:rFonts w:ascii="標楷體" w:eastAsia="標楷體" w:hAnsi="標楷體"/>
          <w:sz w:val="32"/>
          <w:szCs w:val="32"/>
        </w:rPr>
        <w:t>,</w:t>
      </w:r>
      <w:r w:rsidRPr="008F7885">
        <w:rPr>
          <w:rFonts w:ascii="標楷體" w:eastAsia="標楷體" w:hAnsi="標楷體" w:hint="eastAsia"/>
          <w:sz w:val="32"/>
          <w:szCs w:val="32"/>
        </w:rPr>
        <w:t>852萬6千元。代理教師原為因應教師請假之短期補充性人力「國民小學與國民中學班级編制及教職員員額編制準則」規定，國民小學得視需要，在不超過全校教師員額編制數8%範圍内，將專任員額控留，改聘代理教師等人員。惟近年國中小學代理教師人數逐年增加，自107學年度2萬6,938人至110學年度已增至3萬2,230人，占比從14.8%攀升至17%。各縣市員額控留比率亦自107學年度10.98%上升至110學年度14.18%，不僅非正式教師填補教學人力已成為常態，111學年度更出現各縣市搶代理教師，部分學校代理教師荒，出現第15招仍聘無教師之窘境。惟代理教師工作內容與專任教師幾無差異，但給假、考核、申訴、薪資等權益卻未受保障，致爭議不斷。不僅公共政策參與平臺逾千人連署提案「代理教師聘期應給滿</w:t>
      </w:r>
      <w:r w:rsidRPr="008F7885">
        <w:rPr>
          <w:rFonts w:ascii="標楷體" w:eastAsia="標楷體" w:hAnsi="標楷體"/>
          <w:sz w:val="32"/>
          <w:szCs w:val="32"/>
        </w:rPr>
        <w:t>12</w:t>
      </w:r>
      <w:r w:rsidRPr="008F7885">
        <w:rPr>
          <w:rFonts w:ascii="標楷體" w:eastAsia="標楷體" w:hAnsi="標楷體" w:hint="eastAsia"/>
          <w:sz w:val="32"/>
          <w:szCs w:val="32"/>
        </w:rPr>
        <w:t>個月」，教師團體亦持續爭取代理教期應支给完整年薪。但教育部至今未能有效改善問題，影響代理教師工作權益，其衍生的教育現場流動率高問題，亦損及學生受教權益。爰教育部應於3個月內向立法院教育及</w:t>
      </w:r>
      <w:r w:rsidRPr="008F7885">
        <w:rPr>
          <w:rFonts w:ascii="標楷體" w:eastAsia="標楷體" w:hAnsi="標楷體" w:hint="eastAsia"/>
          <w:sz w:val="32"/>
          <w:szCs w:val="32"/>
        </w:rPr>
        <w:lastRenderedPageBreak/>
        <w:t>文化委員會提出書面報告。</w:t>
      </w:r>
      <w:r w:rsidRPr="008F7885">
        <w:rPr>
          <w:rFonts w:ascii="標楷體" w:eastAsia="標楷體" w:hAnsi="標楷體"/>
          <w:sz w:val="32"/>
          <w:szCs w:val="32"/>
        </w:rPr>
        <w:t>258</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連署人：何欣純  陳秀寳  張廖萬堅</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三十九)政府為改善偏遠地區學校交通不便及來源不足之困境，以及家庭社經條件較為不利、家庭教育功能相對缺乏等問題，於106年12月6日「偏遠地區學校教育發展條例」制定公布施行後，就偏遠地區師資，除免費提供住宿設施、提供偏遠地區教師久任獎金、交通及其他津貼及補助偏遠地區學校教師專業發展，以提高其服務誘因。然查，107至110年政府投入偏遠地區學校經費中，逾四成係用於穩定偏遠地區學校教師質量，偏遠地區國中及國小編制內教師流動率近年雖略有下降，惟仍高於全國之比率，且偏遠高級中等以下學校之代理教師比率遠高於全國之比率。為確保偏遠地區學生學習品質，請教育部國民及學前教育署就111學年度上學年度與110學年度間一般地區、偏鄉代理教師之數量比例差異進行統計，並就代理教師過高之現況研擬改善方案，並於6個月內向立法院教育及文化委員會提出書面報告。</w:t>
      </w:r>
      <w:r w:rsidRPr="008F7885">
        <w:rPr>
          <w:rFonts w:ascii="標楷體" w:eastAsia="標楷體" w:hAnsi="標楷體"/>
          <w:sz w:val="32"/>
          <w:szCs w:val="32"/>
        </w:rPr>
        <w:t>259</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提案人：吳怡玎</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連署人：萬美玲  黃國書</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四十)教育部自107年起建置「準公共機制」，由地方政府與符合6大要件之私立幼兒園合作推動準公共幼兒園。111學年度準公共幼兒園數共1,859園，其中曾有違規裁罰紀錄者共290園，占比15.5%。其中，統計準公共幼兒園違規情形，依序為「以超過備查數額及項目收費</w:t>
      </w:r>
      <w:r w:rsidRPr="008F7885">
        <w:rPr>
          <w:rFonts w:ascii="標楷體" w:eastAsia="標楷體" w:hAnsi="標楷體"/>
          <w:sz w:val="32"/>
          <w:szCs w:val="32"/>
        </w:rPr>
        <w:t>106</w:t>
      </w:r>
      <w:r w:rsidRPr="008F7885">
        <w:rPr>
          <w:rFonts w:ascii="標楷體" w:eastAsia="標楷體" w:hAnsi="標楷體" w:hint="eastAsia"/>
          <w:sz w:val="32"/>
          <w:szCs w:val="32"/>
        </w:rPr>
        <w:t>園</w:t>
      </w:r>
      <w:r w:rsidRPr="008F7885">
        <w:rPr>
          <w:rFonts w:ascii="標楷體" w:eastAsia="標楷體" w:hAnsi="標楷體"/>
          <w:sz w:val="32"/>
          <w:szCs w:val="32"/>
        </w:rPr>
        <w:t>(</w:t>
      </w:r>
      <w:r w:rsidRPr="008F7885">
        <w:rPr>
          <w:rFonts w:ascii="標楷體" w:eastAsia="標楷體" w:hAnsi="標楷體" w:hint="eastAsia"/>
          <w:sz w:val="32"/>
          <w:szCs w:val="32"/>
        </w:rPr>
        <w:t>占比</w:t>
      </w:r>
      <w:r w:rsidRPr="008F7885">
        <w:rPr>
          <w:rFonts w:ascii="標楷體" w:eastAsia="標楷體" w:hAnsi="標楷體"/>
          <w:sz w:val="32"/>
          <w:szCs w:val="32"/>
        </w:rPr>
        <w:t>36.55%)</w:t>
      </w:r>
      <w:r w:rsidRPr="008F7885">
        <w:rPr>
          <w:rFonts w:ascii="標楷體" w:eastAsia="標楷體" w:hAnsi="標楷體" w:hint="eastAsia"/>
          <w:sz w:val="32"/>
          <w:szCs w:val="32"/>
        </w:rPr>
        <w:t>」、進用未具教保服務人員資格者從事教保服務</w:t>
      </w:r>
      <w:r w:rsidRPr="008F7885">
        <w:rPr>
          <w:rFonts w:ascii="標楷體" w:eastAsia="標楷體" w:hAnsi="標楷體"/>
          <w:sz w:val="32"/>
          <w:szCs w:val="32"/>
        </w:rPr>
        <w:t>82</w:t>
      </w:r>
      <w:r w:rsidRPr="008F7885">
        <w:rPr>
          <w:rFonts w:ascii="標楷體" w:eastAsia="標楷體" w:hAnsi="標楷體" w:hint="eastAsia"/>
          <w:sz w:val="32"/>
          <w:szCs w:val="32"/>
        </w:rPr>
        <w:t>園</w:t>
      </w:r>
      <w:r w:rsidRPr="008F7885">
        <w:rPr>
          <w:rFonts w:ascii="標楷體" w:eastAsia="標楷體" w:hAnsi="標楷體"/>
          <w:sz w:val="32"/>
          <w:szCs w:val="32"/>
        </w:rPr>
        <w:t>(</w:t>
      </w:r>
      <w:r w:rsidRPr="008F7885">
        <w:rPr>
          <w:rFonts w:ascii="標楷體" w:eastAsia="標楷體" w:hAnsi="標楷體" w:hint="eastAsia"/>
          <w:sz w:val="32"/>
          <w:szCs w:val="32"/>
        </w:rPr>
        <w:t>占比</w:t>
      </w:r>
      <w:r w:rsidRPr="008F7885">
        <w:rPr>
          <w:rFonts w:ascii="標楷體" w:eastAsia="標楷體" w:hAnsi="標楷體"/>
          <w:sz w:val="32"/>
          <w:szCs w:val="32"/>
        </w:rPr>
        <w:t>28.28%)</w:t>
      </w:r>
      <w:r w:rsidRPr="008F7885">
        <w:rPr>
          <w:rFonts w:ascii="標楷體" w:eastAsia="標楷體" w:hAnsi="標楷體" w:hint="eastAsia"/>
          <w:sz w:val="32"/>
          <w:szCs w:val="32"/>
        </w:rPr>
        <w:t>」、「實際招收幼生數超過核定之上限</w:t>
      </w:r>
      <w:r w:rsidRPr="008F7885">
        <w:rPr>
          <w:rFonts w:ascii="標楷體" w:eastAsia="標楷體" w:hAnsi="標楷體"/>
          <w:sz w:val="32"/>
          <w:szCs w:val="32"/>
        </w:rPr>
        <w:t>45</w:t>
      </w:r>
      <w:r w:rsidRPr="008F7885">
        <w:rPr>
          <w:rFonts w:ascii="標楷體" w:eastAsia="標楷體" w:hAnsi="標楷體" w:hint="eastAsia"/>
          <w:sz w:val="32"/>
          <w:szCs w:val="32"/>
        </w:rPr>
        <w:t>園</w:t>
      </w:r>
      <w:r w:rsidRPr="008F7885">
        <w:rPr>
          <w:rFonts w:ascii="標楷體" w:eastAsia="標楷體" w:hAnsi="標楷體"/>
          <w:sz w:val="32"/>
          <w:szCs w:val="32"/>
        </w:rPr>
        <w:t>(</w:t>
      </w:r>
      <w:r w:rsidRPr="008F7885">
        <w:rPr>
          <w:rFonts w:ascii="標楷體" w:eastAsia="標楷體" w:hAnsi="標楷體" w:hint="eastAsia"/>
          <w:sz w:val="32"/>
          <w:szCs w:val="32"/>
        </w:rPr>
        <w:t>占比</w:t>
      </w:r>
      <w:r w:rsidRPr="008F7885">
        <w:rPr>
          <w:rFonts w:ascii="標楷體" w:eastAsia="標楷體" w:hAnsi="標楷體"/>
          <w:sz w:val="32"/>
          <w:szCs w:val="32"/>
        </w:rPr>
        <w:t>15.52%)</w:t>
      </w:r>
      <w:r w:rsidRPr="008F7885">
        <w:rPr>
          <w:rFonts w:ascii="標楷體" w:eastAsia="標楷體" w:hAnsi="標楷體" w:hint="eastAsia"/>
          <w:sz w:val="32"/>
          <w:szCs w:val="32"/>
        </w:rPr>
        <w:t>。顯示主要違規之事項均攸關教保服務品質及影響家長權益。甚至有部分幼兒園因同一違規事由遭多次裁罰，</w:t>
      </w:r>
      <w:r w:rsidRPr="008F7885">
        <w:rPr>
          <w:rFonts w:ascii="標楷體" w:eastAsia="標楷體" w:hAnsi="標楷體" w:hint="eastAsia"/>
          <w:sz w:val="32"/>
          <w:szCs w:val="32"/>
        </w:rPr>
        <w:lastRenderedPageBreak/>
        <w:t>卻仍通過審核加入準公共幼兒園，影響整體準公共教保服務品質。教育部允宜落實準公共幼兒園審查機制並強化服務品質監督輔導，並於</w:t>
      </w:r>
      <w:r w:rsidRPr="008F7885">
        <w:rPr>
          <w:rFonts w:ascii="標楷體" w:eastAsia="標楷體" w:hAnsi="標楷體"/>
          <w:sz w:val="32"/>
          <w:szCs w:val="32"/>
        </w:rPr>
        <w:t>3</w:t>
      </w:r>
      <w:r w:rsidRPr="008F7885">
        <w:rPr>
          <w:rFonts w:ascii="標楷體" w:eastAsia="標楷體" w:hAnsi="標楷體" w:hint="eastAsia"/>
          <w:sz w:val="32"/>
          <w:szCs w:val="32"/>
        </w:rPr>
        <w:t>個月內向立法院教育及文化委員會提出書面報告。</w:t>
      </w:r>
      <w:r w:rsidRPr="008F7885">
        <w:rPr>
          <w:rFonts w:ascii="標楷體" w:eastAsia="標楷體" w:hAnsi="標楷體"/>
          <w:sz w:val="32"/>
          <w:szCs w:val="32"/>
        </w:rPr>
        <w:t>263</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連署人：何欣純  陳秀寳  張廖萬堅</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四十一)據教育部統計，我國2至5歲幼兒入園率為2歲35.7%、3歲76.3%、4歲90.6%、5歲97.6%。我國2歲幼兒入園率遠低於OECD國家45%之標準。教育部規劃於113年達成增設800班之2歲專班，惟截至111年5月僅設置477班，達成率未達六成(59.6%)。且111學年有高達8縣市之公共化幼兒園2歲專班開班數低於10班。顯示教育部設置專班進度落後，造成幼兒就學需求供需失衡、影響其受教權益。為提升我國2歲幼兒入園率，教育部允宜加速推動設置2歲專班，並研議相關獎勵補助措施，以銜接家長托育需求。請教育部於3個月內向立法院教育及文化委員會提出書面報告。</w:t>
      </w:r>
      <w:r w:rsidRPr="008F7885">
        <w:rPr>
          <w:rFonts w:ascii="標楷體" w:eastAsia="標楷體" w:hAnsi="標楷體"/>
          <w:sz w:val="32"/>
          <w:szCs w:val="32"/>
        </w:rPr>
        <w:t>264</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連署人：何欣純  陳秀寳  張廖萬堅</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四十二)教育部為達入園幼兒四成就讀公共化幼兒園之目標，逐年增設公共化幼兒園，110學年度累計增設2,155班。但根據教育部統計，111學年度各鄉鎮市區之公共化幼兒園核定招收人數占該地區幼兒園總核定招生人數比率。共計10個鄉鎮市區之公共化幼兒園比率未達二成、87個鄉鎮市區之公共化幼兒園比率未達四成。然因教育部同步建置「準公共幼兒園機制」，填補平價教保服務缺口，導致110學年度公共化幼兒園核定招收名額雖較109學年增加1萬2,786人，但實際招收人數卻僅增加4,155人(占32.4%)，許多公共化幼兒園出現第一次招收未額滿，須二招、再招之情形。教育部未</w:t>
      </w:r>
      <w:r w:rsidRPr="008F7885">
        <w:rPr>
          <w:rFonts w:ascii="標楷體" w:eastAsia="標楷體" w:hAnsi="標楷體" w:hint="eastAsia"/>
          <w:sz w:val="32"/>
          <w:szCs w:val="32"/>
        </w:rPr>
        <w:lastRenderedPageBreak/>
        <w:t>評估盤點各地區教保供需條件，以致公共化幼兒園出現地區别之差異化供需失衡問題，教育部允宜檢討各類型幼兒園配置比例，以及未來公共化幼兒園應增設之地區。請教育部於</w:t>
      </w:r>
      <w:r w:rsidRPr="008F7885">
        <w:rPr>
          <w:rFonts w:ascii="標楷體" w:eastAsia="標楷體" w:hAnsi="標楷體"/>
          <w:sz w:val="32"/>
          <w:szCs w:val="32"/>
        </w:rPr>
        <w:t>3</w:t>
      </w:r>
      <w:r w:rsidRPr="008F7885">
        <w:rPr>
          <w:rFonts w:ascii="標楷體" w:eastAsia="標楷體" w:hAnsi="標楷體" w:hint="eastAsia"/>
          <w:sz w:val="32"/>
          <w:szCs w:val="32"/>
        </w:rPr>
        <w:t>個月內向立法院教育及文化委員會提出書面報告。</w:t>
      </w:r>
      <w:r w:rsidRPr="008F7885">
        <w:rPr>
          <w:rFonts w:ascii="標楷體" w:eastAsia="標楷體" w:hAnsi="標楷體"/>
          <w:sz w:val="32"/>
          <w:szCs w:val="32"/>
        </w:rPr>
        <w:t>265</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連署人：陳秀寳  何欣純  張廖萬堅</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(四十三)112年度教育部國民及學前教育署「國民及學前教育」項下「國民及學前教育行政及督導」之「學前教育」中「辦理少子女化對策計畫及學前幼兒就學補助」預算編列598億 6,537萬2千元用於辦理少子女化對策計畫及學前幼兒就學補助，包含：免學費政策、擴大公立及非營利幼兒園供應量、建置準公共機制、擴大2至4歲發放育兒津貼，並以擴大公共化教保供應量為目標，推動學前教育業務及促進幼教發展之用。經查，該預算112年度較111年度預算482億1,702萬2千元增加116億4,835萬元</w:t>
      </w:r>
      <w:r w:rsidRPr="00084CEF">
        <w:rPr>
          <w:rFonts w:ascii="標楷體" w:eastAsia="標楷體" w:hAnsi="標楷體" w:hint="eastAsia"/>
          <w:sz w:val="32"/>
          <w:szCs w:val="32"/>
        </w:rPr>
        <w:t>，</w:t>
      </w:r>
      <w:r w:rsidRPr="008F7885">
        <w:rPr>
          <w:rFonts w:ascii="標楷體" w:eastAsia="標楷體" w:hAnsi="標楷體" w:hint="eastAsia"/>
          <w:sz w:val="32"/>
          <w:szCs w:val="32"/>
        </w:rPr>
        <w:t>惟近年來政府擴展平價教保服務，非營利、準公共化幼兒園班級數增加，家長考量公立幼兒園有寒暑假以及無法配合家長工作時間提供課後延長服務，多數無後援之雙薪家長轉向選擇同樣平價、照顧時間長的非營利、準公幼或是私立幼兒園，導致111年全台公立幼兒園罕見出現招生缺額、招不到學生之現象，教育部國民及學前教育署應依各地區需求調整幼兒園增設量並提出改善方案，避免公立幼兒園泡沫化。綜上所述，請教育部國民及學前教育署於3個月內向立法院教育及文化委員會提出書面報告。</w:t>
      </w:r>
      <w:r w:rsidRPr="008F7885">
        <w:rPr>
          <w:rFonts w:ascii="標楷體" w:eastAsia="標楷體" w:hAnsi="標楷體"/>
          <w:sz w:val="32"/>
          <w:szCs w:val="32"/>
        </w:rPr>
        <w:t>270</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提案人：萬美玲</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連署人：鄭正鈐  林奕華</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(四十四)根據教育部提供資料，自106年起全國幼兒園2歲專班已增設765班，1萬1,800個名額，教育部原規劃113年前達</w:t>
      </w:r>
      <w:r w:rsidRPr="008F7885">
        <w:rPr>
          <w:rFonts w:ascii="標楷體" w:eastAsia="標楷體" w:hAnsi="標楷體" w:hint="eastAsia"/>
          <w:sz w:val="32"/>
          <w:szCs w:val="32"/>
        </w:rPr>
        <w:lastRenderedPageBreak/>
        <w:t>成增設800班、1萬2,000個名額。然而2歲專班因空間、師資限制較高，名額不足，供應量難以滿足家長需求。就110學年度全國幼兒就學統計情形，2歲入園率僅35.7%，低於OECD國家45%入園率之標準，而3至5歲入園率分別為76.3%、90.6%、97.6%，顯見2歲專班入園率落差大，教育部應調整政策目標，提高幼兒園2歲專班供應量</w:t>
      </w:r>
      <w:r>
        <w:rPr>
          <w:rFonts w:ascii="標楷體" w:eastAsia="標楷體" w:hAnsi="標楷體" w:hint="eastAsia"/>
          <w:sz w:val="32"/>
          <w:szCs w:val="32"/>
        </w:rPr>
        <w:t>，並</w:t>
      </w:r>
      <w:r w:rsidRPr="008F7885">
        <w:rPr>
          <w:rFonts w:ascii="標楷體" w:eastAsia="標楷體" w:hAnsi="標楷體" w:hint="eastAsia"/>
          <w:sz w:val="32"/>
          <w:szCs w:val="32"/>
        </w:rPr>
        <w:t>於3個月內向立法院教育及文化委員會提出具體政策方案之書面報告。</w:t>
      </w:r>
      <w:r w:rsidRPr="008F7885">
        <w:rPr>
          <w:rFonts w:ascii="標楷體" w:eastAsia="標楷體" w:hAnsi="標楷體"/>
          <w:sz w:val="32"/>
          <w:szCs w:val="32"/>
        </w:rPr>
        <w:t>271</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提案人：吳思瑤</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連署人：賴品妤  黃國書  陳秀寳</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(四十五)112年度教育部國民及學前教育署「國民及學前教育」項下「國民及學前教育行政及督導</w:t>
      </w:r>
      <w:r w:rsidRPr="008F7885">
        <w:rPr>
          <w:rFonts w:ascii="細明體" w:eastAsia="細明體" w:hAnsi="細明體" w:hint="eastAsia"/>
          <w:sz w:val="32"/>
          <w:szCs w:val="32"/>
        </w:rPr>
        <w:t>」</w:t>
      </w:r>
      <w:r w:rsidRPr="008F7885">
        <w:rPr>
          <w:rFonts w:ascii="標楷體" w:eastAsia="標楷體" w:hAnsi="標楷體" w:hint="eastAsia"/>
          <w:sz w:val="32"/>
          <w:szCs w:val="32"/>
        </w:rPr>
        <w:t>中「學前教育</w:t>
      </w:r>
      <w:r w:rsidRPr="008F7885">
        <w:rPr>
          <w:rFonts w:ascii="細明體" w:eastAsia="細明體" w:hAnsi="細明體" w:hint="eastAsia"/>
          <w:sz w:val="32"/>
          <w:szCs w:val="32"/>
        </w:rPr>
        <w:t>」</w:t>
      </w:r>
      <w:r w:rsidRPr="008F7885">
        <w:rPr>
          <w:rFonts w:ascii="標楷體" w:eastAsia="標楷體" w:hAnsi="標楷體" w:hint="eastAsia"/>
          <w:sz w:val="32"/>
          <w:szCs w:val="32"/>
        </w:rPr>
        <w:t>之「辦理少子女化對策計畫及學前兒童就學補助」之「我國少子女化對策計畫-2歲至6歲(未滿)幼兒教育與照顧」預算編列596億8,400萬元，該項預算係「辦理2歲至6歲（未滿）幼兒教育與照顧」第6年續編預算數；112年度預算較111年度480億3,565萬元，增加116億4,835萬元。為達成擴展平價教保服務政策目標，少子女對策計畫2至6歲(未滿)幼兒教育以擴展公共化教保供應量為施政主軸，然查，整體平價教保供應量由107學年度23萬1,581人，逐年增為110學年度43萬7,814人，而實際就學人數由107學年度19萬750人，逐年增為110學年度35萬8,327人，而其招生缺額則由107學年度4萬831人，逐年增至110學年度7萬9,487人。為確保平價教保市場服務品質，爰要求教育部國民及學前教育署應與地方政府共同檢視各行政區之教保服務供需情形，審慎評估公共化幼兒園之增設情形，並於6個月內向立法院教育及文化委員會提出修正檢討之書面報告。</w:t>
      </w:r>
      <w:r w:rsidRPr="008F7885">
        <w:rPr>
          <w:rFonts w:ascii="標楷體" w:eastAsia="標楷體" w:hAnsi="標楷體"/>
          <w:sz w:val="32"/>
          <w:szCs w:val="32"/>
        </w:rPr>
        <w:t>273</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提案人：吳怡玎</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lastRenderedPageBreak/>
        <w:t>連署人：林奕華  林宜瑾</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四十六)112年度教育部國民及學前教育署「國民及學前教育」項下「國民及學前教育行政及督導」中「學前教育」之「辦理少子女化對策計畫及學前兒童就學補助」之「補助幼兒就讀公立幼兒園及非營利幼兒園參與課後留園服務」預算編列1億3</w:t>
      </w:r>
      <w:r w:rsidRPr="008F7885">
        <w:rPr>
          <w:rFonts w:ascii="標楷體" w:eastAsia="標楷體" w:hAnsi="標楷體"/>
          <w:sz w:val="32"/>
          <w:szCs w:val="32"/>
        </w:rPr>
        <w:t>,</w:t>
      </w:r>
      <w:r w:rsidRPr="008F7885">
        <w:rPr>
          <w:rFonts w:ascii="標楷體" w:eastAsia="標楷體" w:hAnsi="標楷體" w:hint="eastAsia"/>
          <w:sz w:val="32"/>
          <w:szCs w:val="32"/>
        </w:rPr>
        <w:t>255萬6千元。「我國少子女化對策計畫(107-113年)-2至6歲(未滿)幼兒教育與照顧」。包括免學費政策、擴大公共化幼兒園供應量、建置準公共機制及擴大發放2歲以上育兒津貼免學費政策，112年度預算編列596億8</w:t>
      </w:r>
      <w:r w:rsidRPr="008F7885">
        <w:rPr>
          <w:rFonts w:ascii="標楷體" w:eastAsia="標楷體" w:hAnsi="標楷體"/>
          <w:sz w:val="32"/>
          <w:szCs w:val="32"/>
        </w:rPr>
        <w:t>,</w:t>
      </w:r>
      <w:r w:rsidRPr="008F7885">
        <w:rPr>
          <w:rFonts w:ascii="標楷體" w:eastAsia="標楷體" w:hAnsi="標楷體" w:hint="eastAsia"/>
          <w:sz w:val="32"/>
          <w:szCs w:val="32"/>
        </w:rPr>
        <w:t>400萬元。希望透過該計畫擴大我國公托服務能量，並減輕家長經濟負擔。雖公共化幼兒園數量占比已逐年增加，惟現況中，多數幼兒無法就讀公共化幼兒園，除園所因數量不足，部分原因為私立幼兒園托育服務時間多能配合家長時間，平日有延托服務，寒暑假亦停托問題。檢視該計畫有針對公共化參與課後留園服務編列補助經費，但以109學年度為例，其中平日未提供課後留園服務、寒暑假未提供托育服務，仍占近三成。為督促教育部改善課後留園服務，以滿足家長對公共化幼兒園延托需求。請教育部國民及學前教育署於3個月內向</w:t>
      </w:r>
      <w:r>
        <w:rPr>
          <w:rFonts w:ascii="標楷體" w:eastAsia="標楷體" w:hAnsi="標楷體" w:hint="eastAsia"/>
          <w:sz w:val="32"/>
          <w:szCs w:val="32"/>
        </w:rPr>
        <w:t>立法院</w:t>
      </w:r>
      <w:r w:rsidRPr="008F7885">
        <w:rPr>
          <w:rFonts w:ascii="標楷體" w:eastAsia="標楷體" w:hAnsi="標楷體" w:hint="eastAsia"/>
          <w:sz w:val="32"/>
          <w:szCs w:val="32"/>
        </w:rPr>
        <w:t>教育及文化委員會提出書面報告。</w:t>
      </w:r>
      <w:r w:rsidRPr="008F7885">
        <w:rPr>
          <w:rFonts w:ascii="標楷體" w:eastAsia="標楷體" w:hAnsi="標楷體"/>
          <w:sz w:val="32"/>
          <w:szCs w:val="32"/>
        </w:rPr>
        <w:t>274</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提案人：何欣純</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林宜瑾  陳秀寳</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四十七)鑑於101年1月1日以後依「幼兒教育及照顧法」規定設立之幼兒園，大班每班配置之教保服務人員即應有1人以上為幼兒園教師，又100年12月31日以前設置之公立托兒所或經政府許可設立、核准立案之私立托兒所改制為幼兒園者，至遲應於114年8月1日起，符合大班應每班配置至少1人為幼兒園教師。爰要求教育部應調查大班應配置教師數及實際具教師證人數，以瞭解幼兒園現場幼教教師供應量是</w:t>
      </w:r>
      <w:r w:rsidRPr="008F7885">
        <w:rPr>
          <w:rFonts w:ascii="標楷體" w:eastAsia="標楷體" w:hAnsi="標楷體" w:hint="eastAsia"/>
          <w:sz w:val="32"/>
          <w:szCs w:val="32"/>
        </w:rPr>
        <w:lastRenderedPageBreak/>
        <w:t>否充足，同時給予幼兒園輔導協助，以符合大班配置教師之規定，並於3個月內向立法院教育及文化委員會提出書面報告。</w:t>
      </w:r>
      <w:r w:rsidRPr="008F7885">
        <w:rPr>
          <w:rFonts w:ascii="標楷體" w:eastAsia="標楷體" w:hAnsi="標楷體"/>
          <w:sz w:val="32"/>
          <w:szCs w:val="32"/>
        </w:rPr>
        <w:t>275</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提案人：吳怡玎</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連署人：萬美玲  黃國書</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(四十八)鑑於幼兒園老師的低薪問題存在已久，其中又以私幼更為明顯，根據全國教保產業工會資料，工作經驗超過10年的教保員，平均薪資連3萬元都不到，另外有政府補助的準公共幼兒園，起薪也僅有2萬</w:t>
      </w:r>
      <w:r>
        <w:rPr>
          <w:rFonts w:ascii="標楷體" w:eastAsia="標楷體" w:hAnsi="標楷體" w:hint="eastAsia"/>
          <w:sz w:val="32"/>
          <w:szCs w:val="32"/>
        </w:rPr>
        <w:t>9千</w:t>
      </w:r>
      <w:r w:rsidRPr="008F7885">
        <w:rPr>
          <w:rFonts w:ascii="標楷體" w:eastAsia="標楷體" w:hAnsi="標楷體" w:hint="eastAsia"/>
          <w:sz w:val="32"/>
          <w:szCs w:val="32"/>
        </w:rPr>
        <w:t>元，比起公立幼兒園，少了4千元。然比起公立幼兒園，私幼或是準公共幼兒園老師的薪水，大多在3萬元上下打轉；惟為使公幼、準公幼及私幼這三種型態幼兒園教保員薪資差距拉近，爰要求教育部國民及學前教育署應於3個月內就如何縮短公私幼教保員薪資差距提出分析評估書面報告(包含各縣市私立教保服務人員之平均薪資、研議調薪但不調整收費之補助機制及衍生補助額度之可行性評估等規劃)或修法建議。</w:t>
      </w:r>
      <w:r w:rsidRPr="008F7885">
        <w:rPr>
          <w:rFonts w:ascii="標楷體" w:eastAsia="標楷體" w:hAnsi="標楷體"/>
          <w:sz w:val="32"/>
          <w:szCs w:val="32"/>
        </w:rPr>
        <w:t>276</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提案人：吳怡玎</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連署人：林奕華  林宜瑾</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(四十九)112年度教育部國民及學前教育署「國民及學前教育」項下「國民及學前教育行政及督導」中「原住民族教育」預算編列11億2</w:t>
      </w:r>
      <w:r w:rsidRPr="008F7885">
        <w:rPr>
          <w:rFonts w:ascii="標楷體" w:eastAsia="標楷體" w:hAnsi="標楷體"/>
          <w:sz w:val="32"/>
          <w:szCs w:val="32"/>
        </w:rPr>
        <w:t>,</w:t>
      </w:r>
      <w:r w:rsidRPr="008F7885">
        <w:rPr>
          <w:rFonts w:ascii="標楷體" w:eastAsia="標楷體" w:hAnsi="標楷體" w:hint="eastAsia"/>
          <w:sz w:val="32"/>
          <w:szCs w:val="32"/>
        </w:rPr>
        <w:t>217萬7千元。依「原住民族教育法」第34條規定，國民小學階段之原住民重點學校聘任具原住民身分之教師比率，應不得低於學校教師員額1/3或不得低於原住民學生占該校學生數之比率；國民中學及高級中等教育階段之原住民重點學校聘任具原住民身分之教師比率，不得低於該校教師員額5%。惟據教育部統計，110學年度未符合「原住民族教育法」第34條規定聘任一定比率原住民身分教師之原住民重點學校，國小與高中職均逾六成。教育部允宜研謀</w:t>
      </w:r>
      <w:r w:rsidRPr="008F7885">
        <w:rPr>
          <w:rFonts w:ascii="標楷體" w:eastAsia="標楷體" w:hAnsi="標楷體" w:hint="eastAsia"/>
          <w:sz w:val="32"/>
          <w:szCs w:val="32"/>
        </w:rPr>
        <w:lastRenderedPageBreak/>
        <w:t>改善，督促落實聘任具原住民身分之教師員額比率。爰請教育部於3個月內向立法院教育及文化委員會提出書面報告。</w:t>
      </w:r>
      <w:r w:rsidRPr="008F7885">
        <w:rPr>
          <w:rFonts w:ascii="標楷體" w:eastAsia="標楷體" w:hAnsi="標楷體"/>
          <w:sz w:val="32"/>
          <w:szCs w:val="32"/>
        </w:rPr>
        <w:t>278</w:t>
      </w:r>
    </w:p>
    <w:tbl>
      <w:tblPr>
        <w:tblW w:w="8926" w:type="dxa"/>
        <w:tblInd w:w="4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2126"/>
        <w:gridCol w:w="2410"/>
        <w:gridCol w:w="1843"/>
      </w:tblGrid>
      <w:tr w:rsidR="00273897" w:rsidRPr="008F7885" w:rsidTr="00273897">
        <w:tc>
          <w:tcPr>
            <w:tcW w:w="2547" w:type="dxa"/>
            <w:shd w:val="clear" w:color="auto" w:fill="auto"/>
          </w:tcPr>
          <w:p w:rsidR="00273897" w:rsidRPr="008F7885" w:rsidRDefault="00273897" w:rsidP="00273897">
            <w:pPr>
              <w:snapToGrid w:val="0"/>
              <w:jc w:val="center"/>
              <w:rPr>
                <w:rFonts w:ascii="標楷體" w:eastAsia="標楷體" w:hAnsi="標楷體"/>
                <w:sz w:val="28"/>
                <w:szCs w:val="28"/>
              </w:rPr>
            </w:pPr>
            <w:r w:rsidRPr="008F7885">
              <w:rPr>
                <w:rFonts w:ascii="標楷體" w:eastAsia="標楷體" w:hAnsi="標楷體"/>
                <w:sz w:val="28"/>
                <w:szCs w:val="28"/>
              </w:rPr>
              <w:t>110學年度原住民重點學校相關統計</w:t>
            </w:r>
          </w:p>
        </w:tc>
        <w:tc>
          <w:tcPr>
            <w:tcW w:w="2126" w:type="dxa"/>
            <w:shd w:val="clear" w:color="auto" w:fill="auto"/>
          </w:tcPr>
          <w:p w:rsidR="00273897" w:rsidRPr="008F7885" w:rsidRDefault="00273897" w:rsidP="00273897">
            <w:pPr>
              <w:snapToGrid w:val="0"/>
              <w:jc w:val="center"/>
              <w:rPr>
                <w:rFonts w:ascii="標楷體" w:eastAsia="標楷體" w:hAnsi="標楷體"/>
                <w:sz w:val="28"/>
                <w:szCs w:val="28"/>
              </w:rPr>
            </w:pPr>
            <w:r w:rsidRPr="008F7885">
              <w:rPr>
                <w:rFonts w:ascii="標楷體" w:eastAsia="標楷體" w:hAnsi="標楷體"/>
                <w:sz w:val="28"/>
                <w:szCs w:val="28"/>
              </w:rPr>
              <w:t>原住民重點學校數</w:t>
            </w:r>
          </w:p>
        </w:tc>
        <w:tc>
          <w:tcPr>
            <w:tcW w:w="2410" w:type="dxa"/>
            <w:shd w:val="clear" w:color="auto" w:fill="auto"/>
          </w:tcPr>
          <w:p w:rsidR="00273897" w:rsidRPr="008F7885" w:rsidRDefault="00273897" w:rsidP="00273897">
            <w:pPr>
              <w:snapToGrid w:val="0"/>
              <w:jc w:val="center"/>
              <w:rPr>
                <w:rFonts w:ascii="標楷體" w:eastAsia="標楷體" w:hAnsi="標楷體"/>
                <w:sz w:val="28"/>
                <w:szCs w:val="28"/>
              </w:rPr>
            </w:pPr>
            <w:r w:rsidRPr="008F7885">
              <w:rPr>
                <w:rFonts w:ascii="標楷體" w:eastAsia="標楷體" w:hAnsi="標楷體"/>
                <w:sz w:val="28"/>
                <w:szCs w:val="28"/>
              </w:rPr>
              <w:t>未達原住民教育法第34條規定校數</w:t>
            </w:r>
          </w:p>
        </w:tc>
        <w:tc>
          <w:tcPr>
            <w:tcW w:w="1843" w:type="dxa"/>
            <w:shd w:val="clear" w:color="auto" w:fill="auto"/>
          </w:tcPr>
          <w:p w:rsidR="00273897" w:rsidRPr="008F7885" w:rsidRDefault="00273897" w:rsidP="00273897">
            <w:pPr>
              <w:snapToGrid w:val="0"/>
              <w:jc w:val="center"/>
              <w:rPr>
                <w:rFonts w:ascii="標楷體" w:eastAsia="標楷體" w:hAnsi="標楷體"/>
                <w:sz w:val="28"/>
                <w:szCs w:val="28"/>
              </w:rPr>
            </w:pPr>
            <w:r w:rsidRPr="008F7885">
              <w:rPr>
                <w:rFonts w:ascii="標楷體" w:eastAsia="標楷體" w:hAnsi="標楷體"/>
                <w:sz w:val="28"/>
                <w:szCs w:val="28"/>
              </w:rPr>
              <w:t>原住民重點學校未達成率</w:t>
            </w:r>
          </w:p>
        </w:tc>
      </w:tr>
      <w:tr w:rsidR="00273897" w:rsidRPr="008F7885" w:rsidTr="00273897">
        <w:tc>
          <w:tcPr>
            <w:tcW w:w="2547" w:type="dxa"/>
            <w:shd w:val="clear" w:color="auto" w:fill="auto"/>
          </w:tcPr>
          <w:p w:rsidR="00273897" w:rsidRPr="008F7885" w:rsidRDefault="00273897" w:rsidP="00273897">
            <w:pPr>
              <w:snapToGrid w:val="0"/>
              <w:jc w:val="center"/>
              <w:rPr>
                <w:rFonts w:ascii="標楷體" w:eastAsia="標楷體" w:hAnsi="標楷體"/>
                <w:sz w:val="28"/>
                <w:szCs w:val="28"/>
              </w:rPr>
            </w:pPr>
            <w:r w:rsidRPr="008F7885">
              <w:rPr>
                <w:rFonts w:ascii="標楷體" w:eastAsia="標楷體" w:hAnsi="標楷體"/>
                <w:sz w:val="28"/>
                <w:szCs w:val="28"/>
              </w:rPr>
              <w:t>國小</w:t>
            </w:r>
          </w:p>
        </w:tc>
        <w:tc>
          <w:tcPr>
            <w:tcW w:w="2126" w:type="dxa"/>
            <w:shd w:val="clear" w:color="auto" w:fill="auto"/>
          </w:tcPr>
          <w:p w:rsidR="00273897" w:rsidRPr="008F7885" w:rsidRDefault="00273897" w:rsidP="00273897">
            <w:pPr>
              <w:snapToGrid w:val="0"/>
              <w:jc w:val="center"/>
              <w:rPr>
                <w:rFonts w:ascii="標楷體" w:eastAsia="標楷體" w:hAnsi="標楷體"/>
                <w:sz w:val="28"/>
                <w:szCs w:val="28"/>
              </w:rPr>
            </w:pPr>
            <w:r w:rsidRPr="008F7885">
              <w:rPr>
                <w:rFonts w:ascii="標楷體" w:eastAsia="標楷體" w:hAnsi="標楷體"/>
                <w:sz w:val="28"/>
                <w:szCs w:val="28"/>
              </w:rPr>
              <w:t>297</w:t>
            </w:r>
          </w:p>
        </w:tc>
        <w:tc>
          <w:tcPr>
            <w:tcW w:w="2410" w:type="dxa"/>
            <w:shd w:val="clear" w:color="auto" w:fill="auto"/>
          </w:tcPr>
          <w:p w:rsidR="00273897" w:rsidRPr="008F7885" w:rsidRDefault="00273897" w:rsidP="00273897">
            <w:pPr>
              <w:snapToGrid w:val="0"/>
              <w:jc w:val="center"/>
              <w:rPr>
                <w:rFonts w:ascii="標楷體" w:eastAsia="標楷體" w:hAnsi="標楷體"/>
                <w:sz w:val="28"/>
                <w:szCs w:val="28"/>
              </w:rPr>
            </w:pPr>
            <w:r w:rsidRPr="008F7885">
              <w:rPr>
                <w:rFonts w:ascii="標楷體" w:eastAsia="標楷體" w:hAnsi="標楷體"/>
                <w:sz w:val="28"/>
                <w:szCs w:val="28"/>
              </w:rPr>
              <w:t>216</w:t>
            </w:r>
          </w:p>
        </w:tc>
        <w:tc>
          <w:tcPr>
            <w:tcW w:w="1843" w:type="dxa"/>
            <w:shd w:val="clear" w:color="auto" w:fill="auto"/>
          </w:tcPr>
          <w:p w:rsidR="00273897" w:rsidRPr="008F7885" w:rsidRDefault="00273897" w:rsidP="00273897">
            <w:pPr>
              <w:snapToGrid w:val="0"/>
              <w:jc w:val="center"/>
              <w:rPr>
                <w:rFonts w:ascii="標楷體" w:eastAsia="標楷體" w:hAnsi="標楷體"/>
                <w:sz w:val="28"/>
                <w:szCs w:val="28"/>
              </w:rPr>
            </w:pPr>
            <w:r w:rsidRPr="008F7885">
              <w:rPr>
                <w:rFonts w:ascii="標楷體" w:eastAsia="標楷體" w:hAnsi="標楷體"/>
                <w:sz w:val="28"/>
                <w:szCs w:val="28"/>
              </w:rPr>
              <w:t>72.73%</w:t>
            </w:r>
          </w:p>
        </w:tc>
      </w:tr>
      <w:tr w:rsidR="00273897" w:rsidRPr="008F7885" w:rsidTr="00273897">
        <w:tc>
          <w:tcPr>
            <w:tcW w:w="2547" w:type="dxa"/>
            <w:shd w:val="clear" w:color="auto" w:fill="auto"/>
          </w:tcPr>
          <w:p w:rsidR="00273897" w:rsidRPr="008F7885" w:rsidRDefault="00273897" w:rsidP="00273897">
            <w:pPr>
              <w:snapToGrid w:val="0"/>
              <w:jc w:val="center"/>
              <w:rPr>
                <w:rFonts w:ascii="標楷體" w:eastAsia="標楷體" w:hAnsi="標楷體"/>
                <w:sz w:val="28"/>
                <w:szCs w:val="28"/>
              </w:rPr>
            </w:pPr>
            <w:r w:rsidRPr="008F7885">
              <w:rPr>
                <w:rFonts w:ascii="標楷體" w:eastAsia="標楷體" w:hAnsi="標楷體"/>
                <w:sz w:val="28"/>
                <w:szCs w:val="28"/>
              </w:rPr>
              <w:t>國中</w:t>
            </w:r>
          </w:p>
        </w:tc>
        <w:tc>
          <w:tcPr>
            <w:tcW w:w="2126" w:type="dxa"/>
            <w:shd w:val="clear" w:color="auto" w:fill="auto"/>
          </w:tcPr>
          <w:p w:rsidR="00273897" w:rsidRPr="008F7885" w:rsidRDefault="00273897" w:rsidP="00273897">
            <w:pPr>
              <w:snapToGrid w:val="0"/>
              <w:jc w:val="center"/>
              <w:rPr>
                <w:rFonts w:ascii="標楷體" w:eastAsia="標楷體" w:hAnsi="標楷體"/>
                <w:sz w:val="28"/>
                <w:szCs w:val="28"/>
              </w:rPr>
            </w:pPr>
            <w:r w:rsidRPr="008F7885">
              <w:rPr>
                <w:rFonts w:ascii="標楷體" w:eastAsia="標楷體" w:hAnsi="標楷體"/>
                <w:sz w:val="28"/>
                <w:szCs w:val="28"/>
              </w:rPr>
              <w:t>78</w:t>
            </w:r>
          </w:p>
        </w:tc>
        <w:tc>
          <w:tcPr>
            <w:tcW w:w="2410" w:type="dxa"/>
            <w:shd w:val="clear" w:color="auto" w:fill="auto"/>
          </w:tcPr>
          <w:p w:rsidR="00273897" w:rsidRPr="008F7885" w:rsidRDefault="00273897" w:rsidP="00273897">
            <w:pPr>
              <w:snapToGrid w:val="0"/>
              <w:jc w:val="center"/>
              <w:rPr>
                <w:rFonts w:ascii="標楷體" w:eastAsia="標楷體" w:hAnsi="標楷體"/>
                <w:sz w:val="28"/>
                <w:szCs w:val="28"/>
              </w:rPr>
            </w:pPr>
            <w:r w:rsidRPr="008F7885">
              <w:rPr>
                <w:rFonts w:ascii="標楷體" w:eastAsia="標楷體" w:hAnsi="標楷體"/>
                <w:sz w:val="28"/>
                <w:szCs w:val="28"/>
              </w:rPr>
              <w:t>19</w:t>
            </w:r>
          </w:p>
        </w:tc>
        <w:tc>
          <w:tcPr>
            <w:tcW w:w="1843" w:type="dxa"/>
            <w:shd w:val="clear" w:color="auto" w:fill="auto"/>
          </w:tcPr>
          <w:p w:rsidR="00273897" w:rsidRPr="008F7885" w:rsidRDefault="00273897" w:rsidP="00273897">
            <w:pPr>
              <w:snapToGrid w:val="0"/>
              <w:jc w:val="center"/>
              <w:rPr>
                <w:rFonts w:ascii="標楷體" w:eastAsia="標楷體" w:hAnsi="標楷體"/>
                <w:sz w:val="28"/>
                <w:szCs w:val="28"/>
              </w:rPr>
            </w:pPr>
            <w:r w:rsidRPr="008F7885">
              <w:rPr>
                <w:rFonts w:ascii="標楷體" w:eastAsia="標楷體" w:hAnsi="標楷體"/>
                <w:sz w:val="28"/>
                <w:szCs w:val="28"/>
              </w:rPr>
              <w:t>24.36%</w:t>
            </w:r>
          </w:p>
        </w:tc>
      </w:tr>
      <w:tr w:rsidR="00273897" w:rsidRPr="008F7885" w:rsidTr="00273897">
        <w:tc>
          <w:tcPr>
            <w:tcW w:w="2547" w:type="dxa"/>
            <w:shd w:val="clear" w:color="auto" w:fill="auto"/>
          </w:tcPr>
          <w:p w:rsidR="00273897" w:rsidRPr="008F7885" w:rsidRDefault="00273897" w:rsidP="00273897">
            <w:pPr>
              <w:snapToGrid w:val="0"/>
              <w:jc w:val="center"/>
              <w:rPr>
                <w:rFonts w:ascii="標楷體" w:eastAsia="標楷體" w:hAnsi="標楷體"/>
                <w:sz w:val="28"/>
                <w:szCs w:val="28"/>
              </w:rPr>
            </w:pPr>
            <w:r w:rsidRPr="008F7885">
              <w:rPr>
                <w:rFonts w:ascii="標楷體" w:eastAsia="標楷體" w:hAnsi="標楷體" w:hint="eastAsia"/>
                <w:sz w:val="28"/>
                <w:szCs w:val="28"/>
              </w:rPr>
              <w:t>高中職</w:t>
            </w:r>
          </w:p>
        </w:tc>
        <w:tc>
          <w:tcPr>
            <w:tcW w:w="2126" w:type="dxa"/>
            <w:shd w:val="clear" w:color="auto" w:fill="auto"/>
          </w:tcPr>
          <w:p w:rsidR="00273897" w:rsidRPr="008F7885" w:rsidRDefault="00273897" w:rsidP="00273897">
            <w:pPr>
              <w:snapToGrid w:val="0"/>
              <w:jc w:val="center"/>
              <w:rPr>
                <w:rFonts w:ascii="標楷體" w:eastAsia="標楷體" w:hAnsi="標楷體"/>
                <w:sz w:val="28"/>
                <w:szCs w:val="28"/>
              </w:rPr>
            </w:pPr>
            <w:r w:rsidRPr="008F7885">
              <w:rPr>
                <w:rFonts w:ascii="標楷體" w:eastAsia="標楷體" w:hAnsi="標楷體"/>
                <w:sz w:val="28"/>
                <w:szCs w:val="28"/>
              </w:rPr>
              <w:t>51</w:t>
            </w:r>
          </w:p>
        </w:tc>
        <w:tc>
          <w:tcPr>
            <w:tcW w:w="2410" w:type="dxa"/>
            <w:shd w:val="clear" w:color="auto" w:fill="auto"/>
          </w:tcPr>
          <w:p w:rsidR="00273897" w:rsidRPr="008F7885" w:rsidRDefault="00273897" w:rsidP="00273897">
            <w:pPr>
              <w:snapToGrid w:val="0"/>
              <w:jc w:val="center"/>
              <w:rPr>
                <w:rFonts w:ascii="標楷體" w:eastAsia="標楷體" w:hAnsi="標楷體"/>
                <w:sz w:val="28"/>
                <w:szCs w:val="28"/>
              </w:rPr>
            </w:pPr>
            <w:r w:rsidRPr="008F7885">
              <w:rPr>
                <w:rFonts w:ascii="標楷體" w:eastAsia="標楷體" w:hAnsi="標楷體"/>
                <w:sz w:val="28"/>
                <w:szCs w:val="28"/>
              </w:rPr>
              <w:t>33</w:t>
            </w:r>
          </w:p>
        </w:tc>
        <w:tc>
          <w:tcPr>
            <w:tcW w:w="1843" w:type="dxa"/>
            <w:shd w:val="clear" w:color="auto" w:fill="auto"/>
          </w:tcPr>
          <w:p w:rsidR="00273897" w:rsidRPr="008F7885" w:rsidRDefault="00273897" w:rsidP="00273897">
            <w:pPr>
              <w:snapToGrid w:val="0"/>
              <w:jc w:val="center"/>
              <w:rPr>
                <w:rFonts w:ascii="標楷體" w:eastAsia="標楷體" w:hAnsi="標楷體"/>
                <w:sz w:val="28"/>
                <w:szCs w:val="28"/>
              </w:rPr>
            </w:pPr>
            <w:r w:rsidRPr="008F7885">
              <w:rPr>
                <w:rFonts w:ascii="標楷體" w:eastAsia="標楷體" w:hAnsi="標楷體"/>
                <w:sz w:val="28"/>
                <w:szCs w:val="28"/>
              </w:rPr>
              <w:t>64.71%</w:t>
            </w:r>
          </w:p>
        </w:tc>
      </w:tr>
    </w:tbl>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連署人：陳秀寳  何欣純  張廖萬堅</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五十)目前本土語文教師，閩南語計1萬0,650人、客語4,120人、閩東語68人及原住民族語1,352人，可能無法滿足112學年度師資需求，請教育部積極研擬因應政策，以確保學生學習權利。爰請教育部於3個月內向立法院教育及文化委員會提出書面報告。</w:t>
      </w:r>
      <w:r w:rsidRPr="008F7885">
        <w:rPr>
          <w:rFonts w:ascii="標楷體" w:eastAsia="標楷體" w:hAnsi="標楷體"/>
          <w:sz w:val="32"/>
          <w:szCs w:val="32"/>
        </w:rPr>
        <w:t>280</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提案人：陳秀寳</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張廖萬堅</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五十一)112年度教育部國民及學前教育署「國民及學前教育」項下「國民及學前教育行政及督導」中「國際及少數族群教育」之「國家語言整體發展方案經費」之「辦理高級中等以下學校及教保服務機構本土教育」預算編列11億9</w:t>
      </w:r>
      <w:r w:rsidRPr="008F7885">
        <w:rPr>
          <w:rFonts w:ascii="標楷體" w:eastAsia="標楷體" w:hAnsi="標楷體"/>
          <w:sz w:val="32"/>
          <w:szCs w:val="32"/>
        </w:rPr>
        <w:t>,</w:t>
      </w:r>
      <w:r w:rsidRPr="008F7885">
        <w:rPr>
          <w:rFonts w:ascii="標楷體" w:eastAsia="標楷體" w:hAnsi="標楷體" w:hint="eastAsia"/>
          <w:sz w:val="32"/>
          <w:szCs w:val="32"/>
        </w:rPr>
        <w:t>808萬5千元，為因應「國家語言發展法」通過，自111學年度起國家語言列為部定課程，納入國高中必修。惟本土語師資供不應求，全國22縣市中，6縣市之高中無閩南語現職師資、11縣市之高中無客語現職師資，有逾百所學校至開學仍尋無師資，須以直播共學方式進行教學。本土語教學高度仰賴教學支援人員協助，截至111年9月教學支援人員共5</w:t>
      </w:r>
      <w:r w:rsidRPr="008F7885">
        <w:rPr>
          <w:rFonts w:ascii="標楷體" w:eastAsia="標楷體" w:hAnsi="標楷體"/>
          <w:sz w:val="32"/>
          <w:szCs w:val="32"/>
        </w:rPr>
        <w:t>,</w:t>
      </w:r>
      <w:r w:rsidRPr="008F7885">
        <w:rPr>
          <w:rFonts w:ascii="標楷體" w:eastAsia="標楷體" w:hAnsi="標楷體" w:hint="eastAsia"/>
          <w:sz w:val="32"/>
          <w:szCs w:val="32"/>
        </w:rPr>
        <w:t>442人。惟本土語教學支援人員之鐘點費已多年未調整，影響教學支</w:t>
      </w:r>
      <w:r w:rsidRPr="008F7885">
        <w:rPr>
          <w:rFonts w:ascii="標楷體" w:eastAsia="標楷體" w:hAnsi="標楷體" w:hint="eastAsia"/>
          <w:sz w:val="32"/>
          <w:szCs w:val="32"/>
        </w:rPr>
        <w:lastRenderedPageBreak/>
        <w:t>援人員權益，並降低其教學意願。教育部允宜研謀改善本土語師資不足問題，並儘速調漲本土語教學支援人員鐘點費，以落實教支人員權益保障。請教育部於3個月內向立法院教育及文化委員會提出書面報告。</w:t>
      </w:r>
      <w:r w:rsidRPr="008F7885">
        <w:rPr>
          <w:rFonts w:ascii="標楷體" w:eastAsia="標楷體" w:hAnsi="標楷體"/>
          <w:sz w:val="32"/>
          <w:szCs w:val="32"/>
        </w:rPr>
        <w:t>281</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連署人：陳秀寳  何欣純  張廖萬堅</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五十二)特教生於中小學就學時，常需要有特教助理員在旁協助，但現今家長及校方依實際情況提出需求後，屢有遭到否決且未說明原因、申請規定僵化導致核給時數不符需求的情況發生。特教助理員對於學生在校學習的重要性自不待言，教育部國民及學前教育署宜協調相關單位，儘可能給予足夠時數，以滿足特教生的學習需求，並於3個月內向立法院教育及文化委員會提出書面報告。</w:t>
      </w:r>
      <w:r w:rsidRPr="008F7885">
        <w:rPr>
          <w:rFonts w:ascii="標楷體" w:eastAsia="標楷體" w:hAnsi="標楷體"/>
          <w:sz w:val="32"/>
          <w:szCs w:val="32"/>
        </w:rPr>
        <w:t>282</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提案人：張廖萬堅</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范  雲  陳秀寳</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(五十三)112年度教育部國民及學前教育署「國民及學前教育」項下「國民及學前教育行政及督導」中「特殊教育」之「辦理發展與改進特殊教育相關工作」預算編列1億4</w:t>
      </w:r>
      <w:r w:rsidRPr="008F7885">
        <w:rPr>
          <w:rFonts w:ascii="標楷體" w:eastAsia="標楷體" w:hAnsi="標楷體"/>
          <w:sz w:val="32"/>
          <w:szCs w:val="32"/>
        </w:rPr>
        <w:t>,</w:t>
      </w:r>
      <w:r w:rsidRPr="008F7885">
        <w:rPr>
          <w:rFonts w:ascii="標楷體" w:eastAsia="標楷體" w:hAnsi="標楷體" w:hint="eastAsia"/>
          <w:sz w:val="32"/>
          <w:szCs w:val="32"/>
        </w:rPr>
        <w:t>733萬8千元。為滿足身心障礙學生在校學習需求，提供必要之教育輔助器材及相關支持服務，針對視覺障礙學生學習上須使用之點字教科書，原訂應於學年度開始前辦理1場諮詢會議，及配合交書期程邀集相開領域之專業委員辦理4場檢核會議，以確保點字書品質。惟查，111學年度國中小視障用教科圖書發生未經專家檢核即發放至各校之情事，致教育部要求學校自主進行圖書檢核工作，嚴重影響視障學生受教權益。教育部允宜研謀檢討，提出落實督導辦理視障教科書諮詢及檢核會議之精進作為，並於3個月內向立法院教育及文化委員會提出書面報告。</w:t>
      </w:r>
      <w:r w:rsidRPr="008F7885">
        <w:rPr>
          <w:rFonts w:ascii="標楷體" w:eastAsia="標楷體" w:hAnsi="標楷體"/>
          <w:sz w:val="32"/>
          <w:szCs w:val="32"/>
        </w:rPr>
        <w:t>287</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lastRenderedPageBreak/>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連署人：陳秀寳  何欣純  張廖萬堅</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(五十四)根據教育部最新</w:t>
      </w:r>
      <w:r w:rsidRPr="008F7885">
        <w:rPr>
          <w:rFonts w:ascii="標楷體" w:eastAsia="標楷體" w:hAnsi="標楷體"/>
          <w:sz w:val="32"/>
          <w:szCs w:val="32"/>
        </w:rPr>
        <w:t>109</w:t>
      </w:r>
      <w:r w:rsidRPr="008F7885">
        <w:rPr>
          <w:rFonts w:ascii="標楷體" w:eastAsia="標楷體" w:hAnsi="標楷體" w:hint="eastAsia"/>
          <w:sz w:val="32"/>
          <w:szCs w:val="32"/>
        </w:rPr>
        <w:t>年各級學校校園安全及災害事件分析報告，近年高中以下學校學生自殺、自傷意外事件逐年增長，從</w:t>
      </w:r>
      <w:r w:rsidRPr="008F7885">
        <w:rPr>
          <w:rFonts w:ascii="標楷體" w:eastAsia="標楷體" w:hAnsi="標楷體"/>
          <w:sz w:val="32"/>
          <w:szCs w:val="32"/>
        </w:rPr>
        <w:t>106</w:t>
      </w:r>
      <w:r w:rsidRPr="008F7885">
        <w:rPr>
          <w:rFonts w:ascii="標楷體" w:eastAsia="標楷體" w:hAnsi="標楷體" w:hint="eastAsia"/>
          <w:sz w:val="32"/>
          <w:szCs w:val="32"/>
        </w:rPr>
        <w:t>年</w:t>
      </w:r>
      <w:r w:rsidRPr="008F7885">
        <w:rPr>
          <w:rFonts w:ascii="標楷體" w:eastAsia="標楷體" w:hAnsi="標楷體"/>
          <w:sz w:val="32"/>
          <w:szCs w:val="32"/>
        </w:rPr>
        <w:t>1,210</w:t>
      </w:r>
      <w:r w:rsidRPr="008F7885">
        <w:rPr>
          <w:rFonts w:ascii="標楷體" w:eastAsia="標楷體" w:hAnsi="標楷體" w:hint="eastAsia"/>
          <w:sz w:val="32"/>
          <w:szCs w:val="32"/>
        </w:rPr>
        <w:t>件，至</w:t>
      </w:r>
      <w:r w:rsidRPr="008F7885">
        <w:rPr>
          <w:rFonts w:ascii="標楷體" w:eastAsia="標楷體" w:hAnsi="標楷體"/>
          <w:sz w:val="32"/>
          <w:szCs w:val="32"/>
        </w:rPr>
        <w:t>109</w:t>
      </w:r>
      <w:r w:rsidRPr="008F7885">
        <w:rPr>
          <w:rFonts w:ascii="標楷體" w:eastAsia="標楷體" w:hAnsi="標楷體" w:hint="eastAsia"/>
          <w:sz w:val="32"/>
          <w:szCs w:val="32"/>
        </w:rPr>
        <w:t>年增加為</w:t>
      </w:r>
      <w:r w:rsidRPr="008F7885">
        <w:rPr>
          <w:rFonts w:ascii="標楷體" w:eastAsia="標楷體" w:hAnsi="標楷體"/>
          <w:sz w:val="32"/>
          <w:szCs w:val="32"/>
        </w:rPr>
        <w:t>6,372</w:t>
      </w:r>
      <w:r w:rsidRPr="008F7885">
        <w:rPr>
          <w:rFonts w:ascii="標楷體" w:eastAsia="標楷體" w:hAnsi="標楷體" w:hint="eastAsia"/>
          <w:sz w:val="32"/>
          <w:szCs w:val="32"/>
        </w:rPr>
        <w:t>件。且相較於</w:t>
      </w:r>
      <w:r w:rsidRPr="008F7885">
        <w:rPr>
          <w:rFonts w:ascii="標楷體" w:eastAsia="標楷體" w:hAnsi="標楷體"/>
          <w:sz w:val="32"/>
          <w:szCs w:val="32"/>
        </w:rPr>
        <w:t>107</w:t>
      </w:r>
      <w:r w:rsidRPr="008F7885">
        <w:rPr>
          <w:rFonts w:ascii="標楷體" w:eastAsia="標楷體" w:hAnsi="標楷體" w:hint="eastAsia"/>
          <w:sz w:val="32"/>
          <w:szCs w:val="32"/>
        </w:rPr>
        <w:t>、</w:t>
      </w:r>
      <w:r w:rsidRPr="008F7885">
        <w:rPr>
          <w:rFonts w:ascii="標楷體" w:eastAsia="標楷體" w:hAnsi="標楷體"/>
          <w:sz w:val="32"/>
          <w:szCs w:val="32"/>
        </w:rPr>
        <w:t>10</w:t>
      </w:r>
      <w:r w:rsidRPr="008F7885">
        <w:rPr>
          <w:rFonts w:ascii="標楷體" w:eastAsia="標楷體" w:hAnsi="標楷體" w:hint="eastAsia"/>
          <w:sz w:val="32"/>
          <w:szCs w:val="32"/>
        </w:rPr>
        <w:t>8年，除疾病事件與天然災害事件減少外，兒童及少年保護、意外事件、暴力事件與偏差行為、安全維護事件、其他事件及管教衝突事件的件數與影響人次均呈現增加趨勢，顯見校園安全防治仍未達預期效益。教育行政與各級學校單位須持續加強改善之校園安全工作，且學生輔導問題日益複雜，為督促教育部就可能成因分析與有效防治策略研擬改善計畫，儘速掌握校園安全及災害情事、提供必要協助，減少危害安全事件發生，請教育部國民及學前教育署於3個月內向立法院教育及文化委員會提出書面報告。</w:t>
      </w:r>
      <w:r w:rsidRPr="008F7885">
        <w:rPr>
          <w:rFonts w:ascii="標楷體" w:eastAsia="標楷體" w:hAnsi="標楷體"/>
          <w:sz w:val="32"/>
          <w:szCs w:val="32"/>
        </w:rPr>
        <w:t>288</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提案人：何欣純</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林宜瑾  陳秀寳</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五十五)依「學生輔導法」規定,各級學校應聘任一定比率之專任輔導教師。惟根據教育部統計109至110學年度國立高中、國中及國小之專輔教師聘任情形,其代理教師人數及未聘足人數均呈上升趨勢。教育部允宜檢討改善，並於3個月內向立法院教育及文化委員會提出書面報告。</w:t>
      </w:r>
      <w:r w:rsidRPr="008F7885">
        <w:rPr>
          <w:rFonts w:ascii="標楷體" w:eastAsia="標楷體" w:hAnsi="標楷體"/>
          <w:sz w:val="32"/>
          <w:szCs w:val="32"/>
        </w:rPr>
        <w:t>291</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連署人：何欣純  陳秀寳  張廖萬堅</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五十六)教育部國民及學前教育署補助各地方政府聘任專任專業輔導人員，近3年應聘人數增加81位，但實聘人數並未明顯成長，導致應聘、實聘人數的落差越來越大，其原因為何?教育部國民及學前教育署應儘速督導各地方政府聘足專輔人</w:t>
      </w:r>
      <w:r w:rsidRPr="008F7885">
        <w:rPr>
          <w:rFonts w:ascii="標楷體" w:eastAsia="標楷體" w:hAnsi="標楷體" w:hint="eastAsia"/>
          <w:sz w:val="32"/>
          <w:szCs w:val="32"/>
        </w:rPr>
        <w:lastRenderedPageBreak/>
        <w:t>力，以提供學生必要之心輔資源，並於3個月內向立法院教育及文化委員會提出書面報告。</w:t>
      </w:r>
      <w:r w:rsidRPr="008F7885">
        <w:rPr>
          <w:rFonts w:ascii="標楷體" w:eastAsia="標楷體" w:hAnsi="標楷體"/>
          <w:sz w:val="32"/>
          <w:szCs w:val="32"/>
        </w:rPr>
        <w:t>292</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提案人：張廖萬堅</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范  雲  陳秀寳</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(五十七)112年度教育部國民及學前教育署「國民及學前教育」項下「國民及學前教育行政及督導」中「學生事務與校園安全及衛生教育」之「反毒活動經費」預算編列7</w:t>
      </w:r>
      <w:r w:rsidRPr="008F7885">
        <w:rPr>
          <w:rFonts w:ascii="標楷體" w:eastAsia="標楷體" w:hAnsi="標楷體"/>
          <w:sz w:val="32"/>
          <w:szCs w:val="32"/>
        </w:rPr>
        <w:t>,</w:t>
      </w:r>
      <w:r w:rsidRPr="008F7885">
        <w:rPr>
          <w:rFonts w:ascii="標楷體" w:eastAsia="標楷體" w:hAnsi="標楷體" w:hint="eastAsia"/>
          <w:sz w:val="32"/>
          <w:szCs w:val="32"/>
        </w:rPr>
        <w:t>000萬元，經查學生濫用藥物數雖有下降但持有及販售數比例仍高，國教署應加強反毒宣導，檢討現有反毒宣導機制是否有改善空間，以降低相關持有、販售之件數，保障學生身心健康。爰請教育部國民及學前教育署於3個月內向立法院</w:t>
      </w:r>
      <w:r>
        <w:rPr>
          <w:rFonts w:ascii="標楷體" w:eastAsia="標楷體" w:hAnsi="標楷體" w:hint="eastAsia"/>
          <w:sz w:val="32"/>
          <w:szCs w:val="32"/>
        </w:rPr>
        <w:t>教育及文化委員會</w:t>
      </w:r>
      <w:r w:rsidRPr="008F7885">
        <w:rPr>
          <w:rFonts w:ascii="標楷體" w:eastAsia="標楷體" w:hAnsi="標楷體" w:hint="eastAsia"/>
          <w:sz w:val="32"/>
          <w:szCs w:val="32"/>
        </w:rPr>
        <w:t>提出書面報告。</w:t>
      </w:r>
      <w:r w:rsidRPr="008F7885">
        <w:rPr>
          <w:rFonts w:ascii="標楷體" w:eastAsia="標楷體" w:hAnsi="標楷體"/>
          <w:sz w:val="32"/>
          <w:szCs w:val="32"/>
        </w:rPr>
        <w:t>293</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提案人：陳秀寳</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張廖萬堅</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五十八)依「性別平等教育法」及「校園性侵害性騷擾或性霸凌防治準則」等相關規定，學校校長等相關人員知悉服務學校發生疑似校園性騷擾等事件，應於24小時內進行通報，惟近年仍屢傳校園發生性騷擾案件時，第一線人員未依規定進行通報情形。要求教育部國民及學前教育署持續透過培訓、講座等方式，加強第一線人員性平知能，倘學校發生違反性平法情事，除督促主管機關及學校對人員議處外，亦將違法情事作成教示案例，以警醒他人避免再有同類情事發生，請教育部國民及學前教育署就上述情形於3個月內向立法院教育及文化委員會提出策進作為之書面報告。</w:t>
      </w:r>
      <w:r w:rsidRPr="008F7885">
        <w:rPr>
          <w:rFonts w:ascii="標楷體" w:eastAsia="標楷體" w:hAnsi="標楷體"/>
          <w:sz w:val="32"/>
          <w:szCs w:val="32"/>
        </w:rPr>
        <w:t>294</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提案人：王婉諭</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連署人：范  雲  黃國書</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(五十九)教育部於111年度修正高中作息時間相關法規，實施早</w:t>
      </w:r>
      <w:r w:rsidRPr="008F7885">
        <w:rPr>
          <w:rFonts w:ascii="標楷體" w:eastAsia="標楷體" w:hAnsi="標楷體" w:hint="eastAsia"/>
          <w:sz w:val="32"/>
          <w:szCs w:val="32"/>
        </w:rPr>
        <w:lastRenderedPageBreak/>
        <w:t>自習新制，希望維護學生休息及健康的權利，以及培養學生自主規劃能力。然而，根據111年9月民間團體調查統計，有46.3%的高中生認為自己的學校並未落實，仍會透過各種方式要求學生早自習到校，而私校違規比例更高達75.6%。而在國中部分，也有近八成認為校方並未遵守新的「國民中小學教學正常化實施要點」，繼續在早自習時實行相關測驗。對此教育部應於111學年度上學期結束前，與地方政府合作全面盤點，並於2個月內向立法院教育及文化委員會提出書面報告。</w:t>
      </w:r>
      <w:r w:rsidRPr="008F7885">
        <w:rPr>
          <w:rFonts w:ascii="標楷體" w:eastAsia="標楷體" w:hAnsi="標楷體"/>
          <w:sz w:val="32"/>
          <w:szCs w:val="32"/>
        </w:rPr>
        <w:t>299</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提案人：王婉諭</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連署人：范  雲  黃國書</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(六十)根據交通部統計，每年約有1萬名12歲以下兒童因發生道路交通事故而受傷或身亡，其中15%是因兒童行人過馬路而受傷，110年兒童受傷人數為8</w:t>
      </w:r>
      <w:r w:rsidRPr="008F7885">
        <w:rPr>
          <w:rFonts w:ascii="標楷體" w:eastAsia="標楷體" w:hAnsi="標楷體"/>
          <w:sz w:val="32"/>
          <w:szCs w:val="32"/>
        </w:rPr>
        <w:t>,</w:t>
      </w:r>
      <w:r w:rsidRPr="008F7885">
        <w:rPr>
          <w:rFonts w:ascii="標楷體" w:eastAsia="標楷體" w:hAnsi="標楷體" w:hint="eastAsia"/>
          <w:sz w:val="32"/>
          <w:szCs w:val="32"/>
        </w:rPr>
        <w:t>679人、死亡25人。另根據靖娟兒童安全文教基金會統計，家長為保學童交通安全，九成以上國小學生由家長接送、五成以上國中學生由家長接送，亦造成學童到校時間與家長上班時間相互牽制。為提高學生通學安全性，教育部應比照「學美美學」專案，以設計導入改造校園環境之成功經驗，成立「優化通學安全」之新專案。爰請教育部於3個月內向立法院教育及文化委員會提出具體政策方案之書面報告。</w:t>
      </w:r>
      <w:r w:rsidRPr="008F7885">
        <w:rPr>
          <w:rFonts w:ascii="標楷體" w:eastAsia="標楷體" w:hAnsi="標楷體"/>
          <w:sz w:val="32"/>
          <w:szCs w:val="32"/>
        </w:rPr>
        <w:t>300</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提案人：吳思瑤</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連署人：賴品妤  黃國書  陳秀寳</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(六十一)根據教育部統計，105至109年每年國小學生自殺通報案件數字由100案增加至1</w:t>
      </w:r>
      <w:r w:rsidRPr="008F7885">
        <w:rPr>
          <w:rFonts w:ascii="標楷體" w:eastAsia="標楷體" w:hAnsi="標楷體"/>
          <w:sz w:val="32"/>
          <w:szCs w:val="32"/>
        </w:rPr>
        <w:t>,</w:t>
      </w:r>
      <w:r w:rsidRPr="008F7885">
        <w:rPr>
          <w:rFonts w:ascii="標楷體" w:eastAsia="標楷體" w:hAnsi="標楷體" w:hint="eastAsia"/>
          <w:sz w:val="32"/>
          <w:szCs w:val="32"/>
        </w:rPr>
        <w:t>006案、國中學生案件數自361案增加至2</w:t>
      </w:r>
      <w:r w:rsidRPr="008F7885">
        <w:rPr>
          <w:rFonts w:ascii="標楷體" w:eastAsia="標楷體" w:hAnsi="標楷體"/>
          <w:sz w:val="32"/>
          <w:szCs w:val="32"/>
        </w:rPr>
        <w:t>,</w:t>
      </w:r>
      <w:r w:rsidRPr="008F7885">
        <w:rPr>
          <w:rFonts w:ascii="標楷體" w:eastAsia="標楷體" w:hAnsi="標楷體" w:hint="eastAsia"/>
          <w:sz w:val="32"/>
          <w:szCs w:val="32"/>
        </w:rPr>
        <w:t>934案，而高中學生則是自372案增加至2</w:t>
      </w:r>
      <w:r w:rsidRPr="008F7885">
        <w:rPr>
          <w:rFonts w:ascii="標楷體" w:eastAsia="標楷體" w:hAnsi="標楷體"/>
          <w:sz w:val="32"/>
          <w:szCs w:val="32"/>
        </w:rPr>
        <w:t>,</w:t>
      </w:r>
      <w:r w:rsidRPr="008F7885">
        <w:rPr>
          <w:rFonts w:ascii="標楷體" w:eastAsia="標楷體" w:hAnsi="標楷體" w:hint="eastAsia"/>
          <w:sz w:val="32"/>
          <w:szCs w:val="32"/>
        </w:rPr>
        <w:t>431案，平均7.65倍；另經查107至108年各級學校共187生自殺身亡，僅33.5%學生曾接受校輔導協助，109年共106生自</w:t>
      </w:r>
      <w:r w:rsidRPr="008F7885">
        <w:rPr>
          <w:rFonts w:ascii="標楷體" w:eastAsia="標楷體" w:hAnsi="標楷體" w:hint="eastAsia"/>
          <w:sz w:val="32"/>
          <w:szCs w:val="32"/>
        </w:rPr>
        <w:lastRenderedPageBreak/>
        <w:t>殺身亡，亦僅4%學生曾獲校內輔導。顯見學生自殺情況嚴重，且校內輔導機制失靈，無法有效發現有心輔需求的學生。教育部應立即修正「學生輔導法」，全面檢討現行專輔人員之編制，並研議建制學生心理假及學生心理健康保險，並啟動進行各校輔導室軟硬體健檢作業，強化各級學校心理健康業務，並於3個月內向立法院教育及文化委員會提出書面報告。</w:t>
      </w:r>
      <w:r w:rsidRPr="008F7885">
        <w:rPr>
          <w:rFonts w:ascii="標楷體" w:eastAsia="標楷體" w:hAnsi="標楷體"/>
          <w:sz w:val="32"/>
          <w:szCs w:val="32"/>
        </w:rPr>
        <w:t>301</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提案人：吳思瑤</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連署人：賴品妤  黃國書  陳秀寳</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(六十二)112年度教育部國民及學前教育署「國民及學前教育」項下「國民及學前教育行政及督導」中「學生事務與校園安全及衛生教育」之「促進學校學生健康計畫」預算編列5</w:t>
      </w:r>
      <w:r w:rsidRPr="008F7885">
        <w:rPr>
          <w:rFonts w:ascii="標楷體" w:eastAsia="標楷體" w:hAnsi="標楷體"/>
          <w:sz w:val="32"/>
          <w:szCs w:val="32"/>
        </w:rPr>
        <w:t>,</w:t>
      </w:r>
      <w:r w:rsidRPr="008F7885">
        <w:rPr>
          <w:rFonts w:ascii="標楷體" w:eastAsia="標楷體" w:hAnsi="標楷體" w:hint="eastAsia"/>
          <w:sz w:val="32"/>
          <w:szCs w:val="32"/>
        </w:rPr>
        <w:t>724萬4千元以辦理相關業務。110年衛生福利部國民健康署青少年吸菸行為調查結果顯示，國中生與高中職生電子菸使用率由107年2.7%上升至6.6%，3年內快速倍增，顯見電子菸已於校園氾濫並對青少年形成嚴重的健康危機。研究顯示先接觸電子菸者，往後有高機率會吸食紙菸，且衛生福利部已著手修正「菸害防制法」，將電子菸納入列管，建議教育部國民及學前教育署就降低高級中等以下學校學生使用電子菸具體策略，於3個月內向教育及文化委員會提出書面報告。</w:t>
      </w:r>
      <w:r w:rsidRPr="008F7885">
        <w:rPr>
          <w:rFonts w:ascii="標楷體" w:eastAsia="標楷體" w:hAnsi="標楷體"/>
          <w:sz w:val="32"/>
          <w:szCs w:val="32"/>
        </w:rPr>
        <w:t>302</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提案人：萬美玲</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連署人：鄭正鈐  林奕華</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六十三)為提升學童午餐品質，教育部持續提高偏鄉學校午餐食材補助，並透過「中央廚房大帶小」政策，補助偏鄉學校辦理新擴建廚房，優化廚房設施設備。惟該計畫原訂111年9月完工，至10月仍有26校尚未完工，影響逾百校之午餐供應。另查，教育部為落實飲食教育，並因應「月月吃石斑」</w:t>
      </w:r>
      <w:r w:rsidRPr="008F7885">
        <w:rPr>
          <w:rFonts w:ascii="標楷體" w:eastAsia="標楷體" w:hAnsi="標楷體" w:hint="eastAsia"/>
          <w:sz w:val="32"/>
          <w:szCs w:val="32"/>
        </w:rPr>
        <w:lastRenderedPageBreak/>
        <w:t>政策將上路，耗時3個月邀集基層老師、營養師、團膳公司和學生討論，開發88天菜單指引，卻發生開學前才提供菜單，造成學校準備不及；以及菜單指引內未納入石斑魚料理，甚至「月月吃石斑」政策至今仍未順利供應等情事。教育部應檢討改善新擴建廚房工程管制、菜單指引與「月月吃石斑」政策，並於3個月內向立法院教育及文化委員會提出書面報告。</w:t>
      </w:r>
      <w:r w:rsidRPr="008F7885">
        <w:rPr>
          <w:rFonts w:ascii="標楷體" w:eastAsia="標楷體" w:hAnsi="標楷體"/>
          <w:sz w:val="32"/>
          <w:szCs w:val="32"/>
        </w:rPr>
        <w:t>304</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連署人：陳秀寳  何欣純  張廖萬堅</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六十四)學生營養午餐除了吃得飽，並且配合「食農教育法」強化飲食知識教育、優先採購在地農產及培養國民食農素養與均衡飲食觀念，更應該讓學童吃得安心及美味。現教學現場營養午餐因經費不足、廚工及營養師缺工、廚房設備簡陋且烹飪方式過時，難以兼顧午餐營養及美味。教育部應儘速研議制定「學校飲食法」納入校園飲食規範，擴大政府資源挹注，確保飲食衛生、健康、營養，落實飲食及食農教育，推動地方飲食文化創生，設置學校飲食教育及研究中心，並成立學校飲食政策會，開放參與。爰請教育部針對「學校飲食法(草案)」制定進度及規劃於3個月內向立法院教育及文化委員會提出書面報告。</w:t>
      </w:r>
      <w:r w:rsidRPr="008F7885">
        <w:rPr>
          <w:rFonts w:ascii="標楷體" w:eastAsia="標楷體" w:hAnsi="標楷體"/>
          <w:sz w:val="32"/>
          <w:szCs w:val="32"/>
        </w:rPr>
        <w:t>305</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提案人：吳思瑤</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連署人：賴品妤  黃國書  陳秀寳</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六十五)112年度教育部國民及學前教育署「國民及學前教育」項下「國民及學前教育行政及督導」中「一般教育推展」預算編列9億8,616萬7千元，作為辦理一般教育推展業務之用，其中「辦理預決算、廉政法令等相關資料之編印費、法源帳號授權、文書處理、行政推動、勞務及外包人力等經費 」預算編列967萬3千元。經查，該筆預算自109年度編列</w:t>
      </w:r>
      <w:r w:rsidRPr="008F7885">
        <w:rPr>
          <w:rFonts w:ascii="標楷體" w:eastAsia="標楷體" w:hAnsi="標楷體" w:hint="eastAsia"/>
          <w:sz w:val="32"/>
          <w:szCs w:val="32"/>
        </w:rPr>
        <w:lastRenderedPageBreak/>
        <w:t>506萬5千元、110年度編列486萬1千元、111年度編列448萬9千元，預算編列已呈逐年下降之趨勢，惟112年度之預算卻較111年度大幅增加518萬4千元，且並未敘明預算增加之理由，顯有浮編之嫌。綜上所述，請教育部國民及學前教育署檢討是項經費編列情形，並於3個月內向立法院教育及文化委員會提出書面報告。</w:t>
      </w:r>
      <w:r w:rsidRPr="008F7885">
        <w:rPr>
          <w:rFonts w:ascii="標楷體" w:eastAsia="標楷體" w:hAnsi="標楷體"/>
          <w:sz w:val="32"/>
          <w:szCs w:val="32"/>
        </w:rPr>
        <w:t>306</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提案人：萬美玲</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連署人：鄭正鈐  林奕華</w:t>
      </w:r>
    </w:p>
    <w:p w:rsidR="00273897" w:rsidRPr="008F7885" w:rsidRDefault="00273897" w:rsidP="00273897">
      <w:pPr>
        <w:kinsoku w:val="0"/>
        <w:overflowPunct w:val="0"/>
        <w:spacing w:beforeLines="50" w:before="180" w:line="500" w:lineRule="exact"/>
        <w:ind w:leftChars="150" w:left="1688" w:hangingChars="415" w:hanging="1328"/>
        <w:jc w:val="both"/>
        <w:textAlignment w:val="center"/>
        <w:rPr>
          <w:rFonts w:ascii="標楷體" w:eastAsia="標楷體" w:hAnsi="標楷體"/>
          <w:snapToGrid w:val="0"/>
          <w:sz w:val="32"/>
          <w:szCs w:val="32"/>
        </w:rPr>
      </w:pPr>
      <w:r w:rsidRPr="008F7885">
        <w:rPr>
          <w:rFonts w:ascii="標楷體" w:eastAsia="標楷體" w:hAnsi="標楷體"/>
          <w:snapToGrid w:val="0"/>
          <w:sz w:val="32"/>
          <w:szCs w:val="32"/>
        </w:rPr>
        <w:t>第3項　體育署</w:t>
      </w:r>
      <w:r w:rsidRPr="008F7885">
        <w:rPr>
          <w:rFonts w:ascii="標楷體" w:eastAsia="標楷體" w:hAnsi="標楷體" w:hint="eastAsia"/>
          <w:snapToGrid w:val="0"/>
          <w:sz w:val="32"/>
          <w:szCs w:val="32"/>
        </w:rPr>
        <w:t>原列</w:t>
      </w:r>
      <w:r w:rsidRPr="008F7885">
        <w:rPr>
          <w:rFonts w:ascii="標楷體" w:eastAsia="標楷體" w:hAnsi="標楷體"/>
          <w:snapToGrid w:val="0"/>
          <w:sz w:val="32"/>
          <w:szCs w:val="32"/>
        </w:rPr>
        <w:t>54</w:t>
      </w:r>
      <w:r w:rsidRPr="008F7885">
        <w:rPr>
          <w:rFonts w:ascii="標楷體" w:eastAsia="標楷體" w:hAnsi="標楷體" w:hint="eastAsia"/>
          <w:sz w:val="32"/>
        </w:rPr>
        <w:t>億4</w:t>
      </w:r>
      <w:r w:rsidRPr="008F7885">
        <w:rPr>
          <w:rFonts w:ascii="標楷體" w:eastAsia="標楷體" w:hAnsi="標楷體"/>
          <w:sz w:val="32"/>
        </w:rPr>
        <w:t>,635</w:t>
      </w:r>
      <w:r w:rsidRPr="008F7885">
        <w:rPr>
          <w:rFonts w:ascii="標楷體" w:eastAsia="標楷體" w:hAnsi="標楷體" w:hint="eastAsia"/>
          <w:sz w:val="32"/>
        </w:rPr>
        <w:t>萬7千元</w:t>
      </w:r>
      <w:r w:rsidRPr="008F7885">
        <w:rPr>
          <w:rFonts w:ascii="標楷體" w:eastAsia="標楷體" w:hAnsi="標楷體" w:hint="eastAsia"/>
          <w:snapToGrid w:val="0"/>
          <w:sz w:val="32"/>
          <w:szCs w:val="32"/>
        </w:rPr>
        <w:t>，</w:t>
      </w:r>
      <w:r w:rsidRPr="008F7885">
        <w:rPr>
          <w:rFonts w:ascii="標楷體" w:eastAsia="標楷體" w:hAnsi="標楷體"/>
          <w:snapToGrid w:val="0"/>
          <w:sz w:val="32"/>
          <w:szCs w:val="32"/>
        </w:rPr>
        <w:t>減列50萬元(科目自行調整)，其餘均照列，改列為54</w:t>
      </w:r>
      <w:r w:rsidRPr="008F7885">
        <w:rPr>
          <w:rFonts w:ascii="標楷體" w:eastAsia="標楷體" w:hAnsi="標楷體" w:hint="eastAsia"/>
          <w:snapToGrid w:val="0"/>
          <w:sz w:val="32"/>
          <w:szCs w:val="32"/>
        </w:rPr>
        <w:t>億</w:t>
      </w:r>
      <w:r w:rsidRPr="008F7885">
        <w:rPr>
          <w:rFonts w:ascii="標楷體" w:eastAsia="標楷體" w:hAnsi="標楷體"/>
          <w:snapToGrid w:val="0"/>
          <w:sz w:val="32"/>
          <w:szCs w:val="32"/>
        </w:rPr>
        <w:t>4</w:t>
      </w:r>
      <w:r w:rsidRPr="008F7885">
        <w:rPr>
          <w:rFonts w:ascii="標楷體" w:eastAsia="標楷體" w:hAnsi="標楷體" w:hint="eastAsia"/>
          <w:snapToGrid w:val="0"/>
          <w:sz w:val="32"/>
          <w:szCs w:val="32"/>
        </w:rPr>
        <w:t>,</w:t>
      </w:r>
      <w:r w:rsidRPr="008F7885">
        <w:rPr>
          <w:rFonts w:ascii="標楷體" w:eastAsia="標楷體" w:hAnsi="標楷體"/>
          <w:snapToGrid w:val="0"/>
          <w:sz w:val="32"/>
          <w:szCs w:val="32"/>
        </w:rPr>
        <w:t>585</w:t>
      </w:r>
      <w:r w:rsidRPr="008F7885">
        <w:rPr>
          <w:rFonts w:ascii="標楷體" w:eastAsia="標楷體" w:hAnsi="標楷體" w:hint="eastAsia"/>
          <w:snapToGrid w:val="0"/>
          <w:sz w:val="32"/>
          <w:szCs w:val="32"/>
        </w:rPr>
        <w:t>萬7千</w:t>
      </w:r>
      <w:r w:rsidRPr="008F7885">
        <w:rPr>
          <w:rFonts w:ascii="標楷體" w:eastAsia="標楷體" w:hAnsi="標楷體"/>
          <w:snapToGrid w:val="0"/>
          <w:sz w:val="32"/>
          <w:szCs w:val="32"/>
        </w:rPr>
        <w:t>元。</w:t>
      </w:r>
    </w:p>
    <w:p w:rsidR="00273897" w:rsidRPr="008F7885" w:rsidRDefault="00273897" w:rsidP="00273897">
      <w:pPr>
        <w:kinsoku w:val="0"/>
        <w:overflowPunct w:val="0"/>
        <w:spacing w:line="500" w:lineRule="exact"/>
        <w:ind w:leftChars="150" w:left="1688" w:hangingChars="415" w:hanging="1328"/>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本項通過決議68項：</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(一)</w:t>
      </w:r>
      <w:r w:rsidRPr="008F7885">
        <w:rPr>
          <w:rFonts w:ascii="標楷體" w:eastAsia="標楷體" w:hAnsi="標楷體"/>
          <w:snapToGrid w:val="0"/>
          <w:sz w:val="32"/>
          <w:szCs w:val="32"/>
        </w:rPr>
        <w:t>11</w:t>
      </w:r>
      <w:r w:rsidRPr="008F7885">
        <w:rPr>
          <w:rFonts w:ascii="標楷體" w:eastAsia="標楷體" w:hAnsi="標楷體" w:hint="eastAsia"/>
          <w:snapToGrid w:val="0"/>
          <w:sz w:val="32"/>
          <w:szCs w:val="32"/>
        </w:rPr>
        <w:t>2年度教育部體育署第1目「體育教育推展」預算編列39億3,</w:t>
      </w:r>
      <w:r w:rsidRPr="008F7885">
        <w:rPr>
          <w:rFonts w:ascii="標楷體" w:eastAsia="標楷體" w:hAnsi="標楷體"/>
          <w:snapToGrid w:val="0"/>
          <w:sz w:val="32"/>
          <w:szCs w:val="32"/>
        </w:rPr>
        <w:t>087</w:t>
      </w:r>
      <w:r w:rsidRPr="008F7885">
        <w:rPr>
          <w:rFonts w:ascii="標楷體" w:eastAsia="標楷體" w:hAnsi="標楷體" w:hint="eastAsia"/>
          <w:snapToGrid w:val="0"/>
          <w:sz w:val="32"/>
          <w:szCs w:val="32"/>
        </w:rPr>
        <w:t>萬</w:t>
      </w:r>
      <w:r w:rsidRPr="008F7885">
        <w:rPr>
          <w:rFonts w:ascii="標楷體" w:eastAsia="標楷體" w:hAnsi="標楷體"/>
          <w:snapToGrid w:val="0"/>
          <w:sz w:val="32"/>
          <w:szCs w:val="32"/>
        </w:rPr>
        <w:t>3</w:t>
      </w:r>
      <w:r w:rsidRPr="008F7885">
        <w:rPr>
          <w:rFonts w:ascii="標楷體" w:eastAsia="標楷體" w:hAnsi="標楷體" w:hint="eastAsia"/>
          <w:snapToGrid w:val="0"/>
          <w:sz w:val="32"/>
          <w:szCs w:val="32"/>
        </w:rPr>
        <w:t>千元，凍結</w:t>
      </w:r>
      <w:r w:rsidRPr="008F7885">
        <w:rPr>
          <w:rFonts w:ascii="標楷體" w:eastAsia="標楷體" w:hAnsi="標楷體"/>
          <w:snapToGrid w:val="0"/>
          <w:sz w:val="32"/>
          <w:szCs w:val="32"/>
        </w:rPr>
        <w:t>5</w:t>
      </w:r>
      <w:r w:rsidRPr="008F7885">
        <w:rPr>
          <w:rFonts w:ascii="標楷體" w:eastAsia="標楷體" w:hAnsi="標楷體" w:hint="eastAsia"/>
          <w:snapToGrid w:val="0"/>
          <w:sz w:val="32"/>
          <w:szCs w:val="32"/>
        </w:rPr>
        <w:t>00萬元，俟教育部向立法院教育及文化委員會提出書面報告後，始得動支。3</w:t>
      </w:r>
      <w:r w:rsidRPr="008F7885">
        <w:rPr>
          <w:rFonts w:ascii="標楷體" w:eastAsia="標楷體" w:hAnsi="標楷體"/>
          <w:snapToGrid w:val="0"/>
          <w:sz w:val="32"/>
          <w:szCs w:val="32"/>
        </w:rPr>
        <w:t>31-360</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提案人：賴品妤  范  雲  林宜瑾  陳秀寳</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 xml:space="preserve">        王婉諭  林奕華 </w:t>
      </w:r>
      <w:r w:rsidRPr="008F7885">
        <w:rPr>
          <w:rFonts w:ascii="標楷體" w:eastAsia="標楷體" w:hAnsi="標楷體"/>
          <w:sz w:val="32"/>
          <w:szCs w:val="32"/>
        </w:rPr>
        <w:t xml:space="preserve"> </w:t>
      </w:r>
      <w:r w:rsidRPr="008F7885">
        <w:rPr>
          <w:rFonts w:ascii="標楷體" w:eastAsia="標楷體" w:hAnsi="標楷體" w:hint="eastAsia"/>
          <w:sz w:val="32"/>
          <w:szCs w:val="32"/>
        </w:rPr>
        <w:t>黃國書 張廖萬堅</w:t>
      </w:r>
    </w:p>
    <w:p w:rsidR="00273897" w:rsidRPr="008F7885" w:rsidRDefault="00273897" w:rsidP="00273897">
      <w:pPr>
        <w:snapToGrid w:val="0"/>
        <w:spacing w:line="460" w:lineRule="exact"/>
        <w:ind w:leftChars="1650" w:left="3960" w:firstLineChars="100" w:firstLine="320"/>
        <w:jc w:val="both"/>
        <w:rPr>
          <w:rFonts w:ascii="標楷體" w:eastAsia="標楷體" w:hAnsi="標楷體"/>
          <w:sz w:val="32"/>
          <w:szCs w:val="32"/>
        </w:rPr>
      </w:pPr>
      <w:r w:rsidRPr="008F7885">
        <w:rPr>
          <w:rFonts w:ascii="標楷體" w:eastAsia="標楷體" w:hAnsi="標楷體" w:hint="eastAsia"/>
          <w:sz w:val="32"/>
          <w:szCs w:val="32"/>
        </w:rPr>
        <w:t>何欣純  萬美玲  鄭正鈐 吳怡玎</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 xml:space="preserve">        伍麗華Saidhai Tahovecahe</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 xml:space="preserve">連署人：吳思瑤 </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(二)11</w:t>
      </w:r>
      <w:r w:rsidRPr="008F7885">
        <w:rPr>
          <w:rFonts w:ascii="標楷體" w:eastAsia="標楷體" w:hAnsi="標楷體"/>
          <w:snapToGrid w:val="0"/>
          <w:sz w:val="32"/>
          <w:szCs w:val="32"/>
        </w:rPr>
        <w:t>2</w:t>
      </w:r>
      <w:r w:rsidRPr="008F7885">
        <w:rPr>
          <w:rFonts w:ascii="標楷體" w:eastAsia="標楷體" w:hAnsi="標楷體" w:hint="eastAsia"/>
          <w:snapToGrid w:val="0"/>
          <w:sz w:val="32"/>
          <w:szCs w:val="32"/>
        </w:rPr>
        <w:t>年度教育部體育署第2目「一般行政」預算編列</w:t>
      </w:r>
      <w:r w:rsidRPr="008F7885">
        <w:rPr>
          <w:rFonts w:ascii="標楷體" w:eastAsia="標楷體" w:hAnsi="標楷體"/>
          <w:snapToGrid w:val="0"/>
          <w:sz w:val="32"/>
          <w:szCs w:val="32"/>
        </w:rPr>
        <w:t>2</w:t>
      </w:r>
      <w:r w:rsidRPr="008F7885">
        <w:rPr>
          <w:rFonts w:ascii="標楷體" w:eastAsia="標楷體" w:hAnsi="標楷體" w:hint="eastAsia"/>
          <w:snapToGrid w:val="0"/>
          <w:sz w:val="32"/>
          <w:szCs w:val="32"/>
        </w:rPr>
        <w:t>億</w:t>
      </w:r>
      <w:r w:rsidRPr="008F7885">
        <w:rPr>
          <w:rFonts w:ascii="標楷體" w:eastAsia="標楷體" w:hAnsi="標楷體"/>
          <w:snapToGrid w:val="0"/>
          <w:sz w:val="32"/>
          <w:szCs w:val="32"/>
        </w:rPr>
        <w:t>5,119</w:t>
      </w:r>
      <w:r w:rsidRPr="008F7885">
        <w:rPr>
          <w:rFonts w:ascii="標楷體" w:eastAsia="標楷體" w:hAnsi="標楷體" w:hint="eastAsia"/>
          <w:snapToGrid w:val="0"/>
          <w:sz w:val="32"/>
          <w:szCs w:val="32"/>
        </w:rPr>
        <w:t>萬</w:t>
      </w:r>
      <w:r w:rsidRPr="008F7885">
        <w:rPr>
          <w:rFonts w:ascii="標楷體" w:eastAsia="標楷體" w:hAnsi="標楷體"/>
          <w:snapToGrid w:val="0"/>
          <w:sz w:val="32"/>
          <w:szCs w:val="32"/>
        </w:rPr>
        <w:t>6</w:t>
      </w:r>
      <w:r w:rsidRPr="008F7885">
        <w:rPr>
          <w:rFonts w:ascii="標楷體" w:eastAsia="標楷體" w:hAnsi="標楷體" w:hint="eastAsia"/>
          <w:snapToGrid w:val="0"/>
          <w:sz w:val="32"/>
          <w:szCs w:val="32"/>
        </w:rPr>
        <w:t>千元，凍結</w:t>
      </w:r>
      <w:r w:rsidRPr="008F7885">
        <w:rPr>
          <w:rFonts w:ascii="標楷體" w:eastAsia="標楷體" w:hAnsi="標楷體"/>
          <w:snapToGrid w:val="0"/>
          <w:sz w:val="32"/>
          <w:szCs w:val="32"/>
        </w:rPr>
        <w:t>5</w:t>
      </w:r>
      <w:r w:rsidRPr="008F7885">
        <w:rPr>
          <w:rFonts w:ascii="標楷體" w:eastAsia="標楷體" w:hAnsi="標楷體" w:hint="eastAsia"/>
          <w:snapToGrid w:val="0"/>
          <w:sz w:val="32"/>
          <w:szCs w:val="32"/>
        </w:rPr>
        <w:t>00萬元，俟教育部向立法院教育及文化委員會提出書面報告後，始得動支。3</w:t>
      </w:r>
      <w:r w:rsidRPr="008F7885">
        <w:rPr>
          <w:rFonts w:ascii="標楷體" w:eastAsia="標楷體" w:hAnsi="標楷體"/>
          <w:snapToGrid w:val="0"/>
          <w:sz w:val="32"/>
          <w:szCs w:val="32"/>
        </w:rPr>
        <w:t>61-370</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提案人：賴品妤  王婉諭  萬美玲  鄭正鈐</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 xml:space="preserve">        黃國書  </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連署人：范  雲  陳秀寳  林宜瑾 張廖萬堅</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 xml:space="preserve">        林奕華  吳怡玎</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(三)112年度教育部體育署第3目「國家體育建設」預算編列12億5,921萬8千元，凍結500萬元，俟教育部向立法院教育</w:t>
      </w:r>
      <w:r w:rsidRPr="008F7885">
        <w:rPr>
          <w:rFonts w:ascii="標楷體" w:eastAsia="標楷體" w:hAnsi="標楷體" w:hint="eastAsia"/>
          <w:snapToGrid w:val="0"/>
          <w:sz w:val="32"/>
          <w:szCs w:val="32"/>
        </w:rPr>
        <w:lastRenderedPageBreak/>
        <w:t>及文化委員會提出專案報告後，始得動支。371-399</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提案人：范  雲  林宜瑾  陳秀寳  萬美玲</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 xml:space="preserve">        鄭正鈐  林奕華  王婉諭  黃國書</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 xml:space="preserve">        賴品妤  吳思瑤  何欣純 張廖萬堅</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 xml:space="preserve">        伍麗華Saidhai Tahovecahe</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連署人：吳怡玎</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四)依據「國民體育法」第13條規定，為促進國際體育合作，提升我國國際體壇地位，各級主管機關應積極推動國際體育交流活動。另查「教育部體育署辦理國際體育交流活動補助作業要點」第3條第5款及第9條規定，體育團體及直轄市、縣（市）政府舉辦之國際單項運動賽會，至少有5個國家或地區以上隊伍參加者，才符合申請體育署國際補助規定。然根據教育部、國家科學及技術委員會辦理國際學術交流補助相關規定，其中「教育部補助辦理國際學術教育交流活動實施要點」，其參與國家為應有3國以上（包括地主國，不包括中港澳等地區）、國家科學及技術委員會「國家科學及技術委員會補助國內舉辦國際學術研討會作業要點」，應有2個以上國家或地區(不含中國港澳)之外籍專家學者來台參與研討會。同樣是國際交流，教育部體育署卻規定必須5個國家以上才符合辦理國際交流補助作業對象。雖辦理國際體育賽事規定須具有一定規模確實有其必要，但實際上部分單項運動，例如棒球、籃球都可能僅邀請台、日、韓等主要國家進行國際賽事交流，若受限於補助規定，恐將喪失國際體育交流用意。爰要求教育部體育署就現行國際體育交流補助規定於3個月內提出改善方案，以符合現行國際交流現況，並有效提升台灣國際體育發展。400</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提案人：何欣純</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范  雲</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lastRenderedPageBreak/>
        <w:t>(五)運動員之</w:t>
      </w:r>
      <w:r w:rsidRPr="008F7885">
        <w:rPr>
          <w:rFonts w:ascii="標楷體" w:eastAsia="標楷體" w:hAnsi="標楷體" w:cs="Microsoft YaHei" w:hint="eastAsia"/>
          <w:sz w:val="32"/>
          <w:szCs w:val="32"/>
        </w:rPr>
        <w:t>心</w:t>
      </w:r>
      <w:r w:rsidRPr="008F7885">
        <w:rPr>
          <w:rFonts w:ascii="標楷體" w:eastAsia="標楷體" w:hAnsi="標楷體" w:cs="標楷體" w:hint="eastAsia"/>
          <w:sz w:val="32"/>
          <w:szCs w:val="32"/>
        </w:rPr>
        <w:t>理健康與其運動表現有顯性正相關，而近年台灣之運</w:t>
      </w:r>
      <w:r w:rsidRPr="008F7885">
        <w:rPr>
          <w:rFonts w:ascii="標楷體" w:eastAsia="標楷體" w:hAnsi="標楷體" w:hint="eastAsia"/>
          <w:sz w:val="32"/>
          <w:szCs w:val="32"/>
        </w:rPr>
        <w:t>動科學發展雖日</w:t>
      </w:r>
      <w:r w:rsidRPr="008F7885">
        <w:rPr>
          <w:rFonts w:ascii="標楷體" w:eastAsia="標楷體" w:hAnsi="標楷體" w:cs="標楷體" w:hint="eastAsia"/>
          <w:sz w:val="32"/>
          <w:szCs w:val="32"/>
        </w:rPr>
        <w:t>趨蓬勃</w:t>
      </w:r>
      <w:r w:rsidRPr="008F7885">
        <w:rPr>
          <w:rFonts w:ascii="標楷體" w:eastAsia="標楷體" w:hAnsi="標楷體" w:hint="eastAsia"/>
          <w:sz w:val="32"/>
          <w:szCs w:val="32"/>
        </w:rPr>
        <w:t>，根據教育部體育署定義：「運動科學係區分為生理</w:t>
      </w:r>
      <w:r w:rsidRPr="008F7885">
        <w:rPr>
          <w:rFonts w:ascii="標楷體" w:eastAsia="標楷體" w:hAnsi="標楷體" w:cs="Microsoft YaHei" w:hint="eastAsia"/>
          <w:sz w:val="32"/>
          <w:szCs w:val="32"/>
        </w:rPr>
        <w:t>生</w:t>
      </w:r>
      <w:r w:rsidRPr="008F7885">
        <w:rPr>
          <w:rFonts w:ascii="標楷體" w:eastAsia="標楷體" w:hAnsi="標楷體" w:cs="標楷體" w:hint="eastAsia"/>
          <w:sz w:val="32"/>
          <w:szCs w:val="32"/>
        </w:rPr>
        <w:t>化、醫療防護、體能訓</w:t>
      </w:r>
      <w:r w:rsidRPr="008F7885">
        <w:rPr>
          <w:rFonts w:ascii="標楷體" w:eastAsia="標楷體" w:hAnsi="標楷體" w:hint="eastAsia"/>
          <w:sz w:val="32"/>
          <w:szCs w:val="32"/>
        </w:rPr>
        <w:t>練、營養補給、資訊整合、心</w:t>
      </w:r>
      <w:r w:rsidRPr="008F7885">
        <w:rPr>
          <w:rFonts w:ascii="標楷體" w:eastAsia="標楷體" w:hAnsi="標楷體" w:cs="標楷體" w:hint="eastAsia"/>
          <w:sz w:val="32"/>
          <w:szCs w:val="32"/>
        </w:rPr>
        <w:t>理諮詢等六大</w:t>
      </w:r>
      <w:r w:rsidRPr="008F7885">
        <w:rPr>
          <w:rFonts w:ascii="標楷體" w:eastAsia="標楷體" w:hAnsi="標楷體" w:hint="eastAsia"/>
          <w:sz w:val="32"/>
          <w:szCs w:val="32"/>
        </w:rPr>
        <w:t>類。」惟目</w:t>
      </w:r>
      <w:r w:rsidRPr="008F7885">
        <w:rPr>
          <w:rFonts w:ascii="標楷體" w:eastAsia="標楷體" w:hAnsi="標楷體" w:cs="標楷體" w:hint="eastAsia"/>
          <w:sz w:val="32"/>
          <w:szCs w:val="32"/>
        </w:rPr>
        <w:t>前相對醫療防護、體能訓練等</w:t>
      </w:r>
      <w:r w:rsidRPr="008F7885">
        <w:rPr>
          <w:rFonts w:ascii="標楷體" w:eastAsia="標楷體" w:hAnsi="標楷體" w:cs="Microsoft YaHei" w:hint="eastAsia"/>
          <w:sz w:val="32"/>
          <w:szCs w:val="32"/>
        </w:rPr>
        <w:t>身</w:t>
      </w:r>
      <w:r w:rsidRPr="008F7885">
        <w:rPr>
          <w:rFonts w:ascii="標楷體" w:eastAsia="標楷體" w:hAnsi="標楷體" w:cs="標楷體" w:hint="eastAsia"/>
          <w:sz w:val="32"/>
          <w:szCs w:val="32"/>
        </w:rPr>
        <w:t>體照護面向，運動員之心理</w:t>
      </w:r>
      <w:r w:rsidRPr="008F7885">
        <w:rPr>
          <w:rFonts w:ascii="標楷體" w:eastAsia="標楷體" w:hAnsi="標楷體" w:hint="eastAsia"/>
          <w:sz w:val="32"/>
          <w:szCs w:val="32"/>
        </w:rPr>
        <w:t>照護較未獲普遍重視。截</w:t>
      </w:r>
      <w:r w:rsidRPr="008F7885">
        <w:rPr>
          <w:rFonts w:ascii="標楷體" w:eastAsia="標楷體" w:hAnsi="標楷體" w:cs="Microsoft YaHei" w:hint="eastAsia"/>
          <w:sz w:val="32"/>
          <w:szCs w:val="32"/>
        </w:rPr>
        <w:t>至目</w:t>
      </w:r>
      <w:r w:rsidRPr="008F7885">
        <w:rPr>
          <w:rFonts w:ascii="標楷體" w:eastAsia="標楷體" w:hAnsi="標楷體" w:cs="標楷體" w:hint="eastAsia"/>
          <w:sz w:val="32"/>
          <w:szCs w:val="32"/>
        </w:rPr>
        <w:t>前獲「台灣運動心理學會」頒發之「運動心</w:t>
      </w:r>
      <w:r w:rsidRPr="008F7885">
        <w:rPr>
          <w:rFonts w:ascii="標楷體" w:eastAsia="標楷體" w:hAnsi="標楷體" w:hint="eastAsia"/>
          <w:sz w:val="32"/>
          <w:szCs w:val="32"/>
        </w:rPr>
        <w:t>理諮詢老</w:t>
      </w:r>
      <w:r w:rsidRPr="008F7885">
        <w:rPr>
          <w:rFonts w:ascii="標楷體" w:eastAsia="標楷體" w:hAnsi="標楷體" w:cs="標楷體" w:hint="eastAsia"/>
          <w:sz w:val="32"/>
          <w:szCs w:val="32"/>
        </w:rPr>
        <w:t>師」證照者約有</w:t>
      </w:r>
      <w:r w:rsidRPr="008F7885">
        <w:rPr>
          <w:rFonts w:ascii="標楷體" w:eastAsia="標楷體" w:hAnsi="標楷體"/>
          <w:sz w:val="32"/>
          <w:szCs w:val="32"/>
        </w:rPr>
        <w:t>60</w:t>
      </w:r>
      <w:r w:rsidRPr="008F7885">
        <w:rPr>
          <w:rFonts w:ascii="標楷體" w:eastAsia="標楷體" w:hAnsi="標楷體" w:hint="eastAsia"/>
          <w:sz w:val="32"/>
          <w:szCs w:val="32"/>
        </w:rPr>
        <w:t>位，然受職缺、相關政府機關無重視等因素，其中約僅有</w:t>
      </w:r>
      <w:r w:rsidRPr="008F7885">
        <w:rPr>
          <w:rFonts w:ascii="標楷體" w:eastAsia="標楷體" w:hAnsi="標楷體" w:cs="Microsoft YaHei" w:hint="eastAsia"/>
          <w:sz w:val="32"/>
          <w:szCs w:val="32"/>
        </w:rPr>
        <w:t>二</w:t>
      </w:r>
      <w:r w:rsidRPr="008F7885">
        <w:rPr>
          <w:rFonts w:ascii="標楷體" w:eastAsia="標楷體" w:hAnsi="標楷體" w:cs="標楷體" w:hint="eastAsia"/>
          <w:sz w:val="32"/>
          <w:szCs w:val="32"/>
        </w:rPr>
        <w:t>成為全職工作者，產生顯性供落差，是故賴委員品妤於立法院第10屆第5會</w:t>
      </w:r>
      <w:r w:rsidRPr="008F7885">
        <w:rPr>
          <w:rFonts w:ascii="標楷體" w:eastAsia="標楷體" w:hAnsi="標楷體" w:hint="eastAsia"/>
          <w:sz w:val="32"/>
          <w:szCs w:val="32"/>
        </w:rPr>
        <w:t>期提出「國民體育法第二十五</w:t>
      </w:r>
      <w:r w:rsidRPr="008F7885">
        <w:rPr>
          <w:rFonts w:ascii="標楷體" w:eastAsia="標楷體" w:hAnsi="標楷體" w:cs="標楷體" w:hint="eastAsia"/>
          <w:sz w:val="32"/>
          <w:szCs w:val="32"/>
        </w:rPr>
        <w:t>條條文修正草案」推動各機關、學校、法人</w:t>
      </w:r>
      <w:r w:rsidRPr="008F7885">
        <w:rPr>
          <w:rFonts w:ascii="標楷體" w:eastAsia="標楷體" w:hAnsi="標楷體" w:hint="eastAsia"/>
          <w:sz w:val="32"/>
          <w:szCs w:val="32"/>
        </w:rPr>
        <w:t>及團體於實施運動培訓、參賽及舉辦各類運動競賽，因應必要時得聘運動心</w:t>
      </w:r>
      <w:r w:rsidRPr="008F7885">
        <w:rPr>
          <w:rFonts w:ascii="標楷體" w:eastAsia="標楷體" w:hAnsi="標楷體" w:cs="標楷體" w:hint="eastAsia"/>
          <w:sz w:val="32"/>
          <w:szCs w:val="32"/>
        </w:rPr>
        <w:t>理諮詢人員在場協助選手。爰此，教育部體育署應針對台灣</w:t>
      </w:r>
      <w:r w:rsidRPr="008F7885">
        <w:rPr>
          <w:rFonts w:ascii="標楷體" w:eastAsia="標楷體" w:hAnsi="標楷體" w:cs="Microsoft YaHei" w:hint="eastAsia"/>
          <w:sz w:val="32"/>
          <w:szCs w:val="32"/>
        </w:rPr>
        <w:t>目</w:t>
      </w:r>
      <w:r w:rsidRPr="008F7885">
        <w:rPr>
          <w:rFonts w:ascii="標楷體" w:eastAsia="標楷體" w:hAnsi="標楷體" w:cs="標楷體" w:hint="eastAsia"/>
          <w:sz w:val="32"/>
          <w:szCs w:val="32"/>
        </w:rPr>
        <w:t>前運動心</w:t>
      </w:r>
      <w:r w:rsidRPr="008F7885">
        <w:rPr>
          <w:rFonts w:ascii="標楷體" w:eastAsia="標楷體" w:hAnsi="標楷體" w:hint="eastAsia"/>
          <w:sz w:val="32"/>
          <w:szCs w:val="32"/>
        </w:rPr>
        <w:t>理諮詢人</w:t>
      </w:r>
      <w:r w:rsidRPr="008F7885">
        <w:rPr>
          <w:rFonts w:ascii="標楷體" w:eastAsia="標楷體" w:hAnsi="標楷體" w:cs="標楷體" w:hint="eastAsia"/>
          <w:sz w:val="32"/>
          <w:szCs w:val="32"/>
        </w:rPr>
        <w:t>員概況、培訓精進作為、推動運動心理諮詢能量等區塊，並於3個月內向立法院教育及文化委員會提出</w:t>
      </w:r>
      <w:r w:rsidRPr="008F7885">
        <w:rPr>
          <w:rFonts w:ascii="標楷體" w:eastAsia="標楷體" w:hAnsi="標楷體" w:hint="eastAsia"/>
          <w:sz w:val="32"/>
          <w:szCs w:val="32"/>
        </w:rPr>
        <w:t>書</w:t>
      </w:r>
      <w:r w:rsidRPr="008F7885">
        <w:rPr>
          <w:rFonts w:ascii="標楷體" w:eastAsia="標楷體" w:hAnsi="標楷體" w:cs="Microsoft YaHei" w:hint="eastAsia"/>
          <w:sz w:val="32"/>
          <w:szCs w:val="32"/>
        </w:rPr>
        <w:t>面</w:t>
      </w:r>
      <w:r w:rsidRPr="008F7885">
        <w:rPr>
          <w:rFonts w:ascii="標楷體" w:eastAsia="標楷體" w:hAnsi="標楷體" w:cs="標楷體" w:hint="eastAsia"/>
          <w:sz w:val="32"/>
          <w:szCs w:val="32"/>
        </w:rPr>
        <w:t>報告，以利修法細膩、有效推動台灣運動發展</w:t>
      </w:r>
      <w:r w:rsidRPr="008F7885">
        <w:rPr>
          <w:rFonts w:ascii="標楷體" w:eastAsia="標楷體" w:hAnsi="標楷體" w:hint="eastAsia"/>
          <w:sz w:val="32"/>
          <w:szCs w:val="32"/>
        </w:rPr>
        <w:t>。401</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提案人：賴品妤</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連署人：范  雲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(六)112年度教育部體育署公務預算補助民間團體預算數達5億5</w:t>
      </w:r>
      <w:r w:rsidRPr="008F7885">
        <w:rPr>
          <w:rFonts w:ascii="標楷體" w:eastAsia="標楷體" w:hAnsi="標楷體"/>
          <w:sz w:val="32"/>
          <w:szCs w:val="32"/>
        </w:rPr>
        <w:t>,</w:t>
      </w:r>
      <w:r w:rsidRPr="008F7885">
        <w:rPr>
          <w:rFonts w:ascii="標楷體" w:eastAsia="標楷體" w:hAnsi="標楷體" w:hint="eastAsia"/>
          <w:sz w:val="32"/>
          <w:szCs w:val="32"/>
        </w:rPr>
        <w:t>700萬7千元，經查，目前仍有部分特定團體未落實「國民體育法」規定之資訊公開；又有關部分特定團體未盡資訊公開乙事，連年遭到檢討，體育署皆未盡監督改善之責。為增進體育署加強監督、加速部分特定團體遵守法規範之相關資訊公開，爰此，請教育部體育署於3個月內針對上述項目向立法院教育及文化委員會提出規劃書面報告。402</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提案人：陳秀寳</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連署人：吳思瑤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(七)教育部體育署為獎勵縣市政府進用學校專任運動教練及增置</w:t>
      </w:r>
      <w:r w:rsidRPr="008F7885">
        <w:rPr>
          <w:rFonts w:ascii="標楷體" w:eastAsia="標楷體" w:hAnsi="標楷體" w:hint="eastAsia"/>
          <w:sz w:val="32"/>
          <w:szCs w:val="32"/>
        </w:rPr>
        <w:lastRenderedPageBreak/>
        <w:t>巡迴專任教練編列獎補助費，惟仍發現有學校進用無照教練，甚至發生體罰事件，體育署責無旁貸。為增進學校提升教練證照之意識、保障相關學童練習權益、督促學校審視教練有無證照一案，以期強化學校系統之體育正向發展，爰此，請教育部體育署針對上述事項於1個月內向立法院</w:t>
      </w:r>
      <w:r>
        <w:rPr>
          <w:rFonts w:ascii="標楷體" w:eastAsia="標楷體" w:hAnsi="標楷體" w:hint="eastAsia"/>
          <w:sz w:val="32"/>
          <w:szCs w:val="32"/>
        </w:rPr>
        <w:t>教育及文化委員會</w:t>
      </w:r>
      <w:r w:rsidRPr="008F7885">
        <w:rPr>
          <w:rFonts w:ascii="標楷體" w:eastAsia="標楷體" w:hAnsi="標楷體" w:hint="eastAsia"/>
          <w:sz w:val="32"/>
          <w:szCs w:val="32"/>
        </w:rPr>
        <w:t>提出書面報告，以保障學生及孩童權益。403</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提案人：陳秀寳</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吳思瑤</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八)體育界內打罵教育陋習仍在，許多教育觀念老舊之教練仍習慣以體罰方式教導孩子，體罰恐造成孩子身心創傷，且難以回復。教育部體育署應研擬將情緒管理、教育心理學等相關認知課程納入專任教練研習及訓練課程之中，以期提升專任運動教練教學知能。爰此，請教育部體育署針對上述事項於3個月內向立法院教育及文化委員會提出書面報告，以期保障學童權益並矯正打罵教育之歪風。404</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提案人：陳秀寳</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吳思瑤</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九)2021年有民眾倡議「千足計畫」，目的為希望擴增有關複合型球場，提高足球場地的易達性，並期望增加足球運動人口，進而推廣足球運動。惟提案已滿1年，教育部體育署尚未盤點有關地方政府需求、潛力建置場址等作業，對於民眾倡議之事項恐有怠惰之疑慮。爰此，請教育部體育署針對「千足計畫」實行規劃、地方政府需求、所需經費及潛力場址等於3個月內向立法院教育及文化委員會提出書面說明。405</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提案人：陳秀寳</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吳思瑤</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(十)我國多位運動選手於2020東京奧運榮獲佳績，喚起國民對體</w:t>
      </w:r>
      <w:r w:rsidRPr="008F7885">
        <w:rPr>
          <w:rFonts w:ascii="標楷體" w:eastAsia="標楷體" w:hAnsi="標楷體" w:hint="eastAsia"/>
          <w:sz w:val="32"/>
          <w:szCs w:val="32"/>
        </w:rPr>
        <w:lastRenderedPageBreak/>
        <w:t>育運動之重視。惟我國現行制度，對奧運等級之頂尖優秀運動員，並未有較優待之生涯協助措施。以網球選手盧彥勳為例，盧彥勳為了培育台灣年輕網球選手，獨自尋找資金與場地，只為設立「盧彥勳網球學校」，以自身運動技能與國際人脈，替台灣培養下一代網球好手。在盧彥勳獨自籌備網球學校期間，從未獲得教育部體育署完善的支持，導致盧彥勳網球學校的籌備進度處處碰壁，延宕數年之久。對於頂尖優秀之退役運動員，若有意以奉獻才華，協助台灣體育發展，教育部體育署應有更完善之專案協助計畫。在禮遇優秀退役運動員的同時，亦造福台灣年輕新秀。406</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提案人：林宜瑾</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十一)「國家體育競技代表隊服補充兵役辦法」第3條，符合下列條件之運動選手可申請服補充兵：「凡屬田徑、游泳、舉重、自由車、射擊、射箭、體操、划船、跆拳道、柔道、空手道、武術、桌球、羽球、網球、棒球、排球、籃球、足球、橄欖球、手球、軟式網球、保齡球及高爾夫運動種類之選手，經全國性體育運動團體公開選拔，代表國家參加最近一屆下列比賽者，由行政院核定為國家體育競技代表隊（以下簡稱國家隊）：一、奧運會。二、亞運會。三、奧運會資格賽。四、世界大學運動會。五、東亞運動會。六、世界正式錦標賽。七、世界正式錦標賽資格賽。八、亞洲正式錦標賽。非屬前項所定運動種類之選手，代表國家獲得最近一屆下列比賽成績者，得由行政院核定為國家隊：一、奧運會前八名。二、亞運會前六名。三、世界大學運動會前三名。」隨著電子科技、遊戲產業的發達，「電競」已逐漸成為主流運動項目。我國全國運動會以及2022亞洲運動會，皆已納入電競項目。專業電競選手的訓練強度，亦不亞於傳統運動選</w:t>
      </w:r>
      <w:r w:rsidRPr="008F7885">
        <w:rPr>
          <w:rFonts w:ascii="標楷體" w:eastAsia="標楷體" w:hAnsi="標楷體" w:hint="eastAsia"/>
          <w:sz w:val="32"/>
          <w:szCs w:val="32"/>
        </w:rPr>
        <w:lastRenderedPageBreak/>
        <w:t>手。爰此，請教育部體育署研議將「電競」項目納入「國家體育競技代表隊服補充兵役辦法」第3條第1項，以政策來宣示國家對電競選手的重視。407</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提案人：林宜瑾</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(十二)112年度教育部體育署編列學校體育活動相關預算，其中「體育教育推展」項下「加強學校體育活動及教學發展」中「整備學校運動場地設備器材」預算編列15億9</w:t>
      </w:r>
      <w:r w:rsidRPr="008F7885">
        <w:rPr>
          <w:rFonts w:ascii="標楷體" w:eastAsia="標楷體" w:hAnsi="標楷體"/>
          <w:sz w:val="32"/>
          <w:szCs w:val="32"/>
        </w:rPr>
        <w:t>,</w:t>
      </w:r>
      <w:r w:rsidRPr="008F7885">
        <w:rPr>
          <w:rFonts w:ascii="標楷體" w:eastAsia="標楷體" w:hAnsi="標楷體" w:hint="eastAsia"/>
          <w:sz w:val="32"/>
          <w:szCs w:val="32"/>
        </w:rPr>
        <w:t>695萬3千元，包含「學校操場、多功能室內場館、戶外運動場地、重量訓練室(含國立高級中等以下學校運動操場整建計畫3億6</w:t>
      </w:r>
      <w:r>
        <w:rPr>
          <w:rFonts w:ascii="標楷體" w:eastAsia="標楷體" w:hAnsi="標楷體" w:hint="eastAsia"/>
          <w:sz w:val="32"/>
          <w:szCs w:val="32"/>
        </w:rPr>
        <w:t>千</w:t>
      </w:r>
      <w:r w:rsidRPr="008F7885">
        <w:rPr>
          <w:rFonts w:ascii="標楷體" w:eastAsia="標楷體" w:hAnsi="標楷體" w:hint="eastAsia"/>
          <w:sz w:val="32"/>
          <w:szCs w:val="32"/>
        </w:rPr>
        <w:t>萬元)12億5</w:t>
      </w:r>
      <w:r w:rsidRPr="008F7885">
        <w:rPr>
          <w:rFonts w:ascii="標楷體" w:eastAsia="標楷體" w:hAnsi="標楷體"/>
          <w:sz w:val="32"/>
          <w:szCs w:val="32"/>
        </w:rPr>
        <w:t>,</w:t>
      </w:r>
      <w:r w:rsidRPr="008F7885">
        <w:rPr>
          <w:rFonts w:ascii="標楷體" w:eastAsia="標楷體" w:hAnsi="標楷體" w:hint="eastAsia"/>
          <w:sz w:val="32"/>
          <w:szCs w:val="32"/>
        </w:rPr>
        <w:t>195萬3千元」等，政策立意良善，已有許多學校受惠。操場跑道品質攸關學生活動安全，體育署近年已積極補助各校操場跑道改善。惟據部分學校校長表示，校園體育設施除了操場跑道需要修繕之外，操場中央之戶外球場設施，亦有重新修繕或鋪設之需求。建構良好完善之體育環境，有利學童身心健康安全，以及友善周邊鄰里社區使用。請教育部體育署補助操場跑道修繕經費時，亦納入考量操場中央相關設施之修繕需求。408</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提案人：林宜瑾</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(十三)「特定體育團體輔導訪視及考核辦法」107年上路以來，教育部體育署每年皆進行體育團體的輔導訪視。112年度教育部體育署「國家體育建設」項下「推展競技運動」預算編列1億8</w:t>
      </w:r>
      <w:r w:rsidRPr="008F7885">
        <w:rPr>
          <w:rFonts w:ascii="標楷體" w:eastAsia="標楷體" w:hAnsi="標楷體"/>
          <w:sz w:val="32"/>
          <w:szCs w:val="32"/>
        </w:rPr>
        <w:t>,</w:t>
      </w:r>
      <w:r w:rsidRPr="008F7885">
        <w:rPr>
          <w:rFonts w:ascii="標楷體" w:eastAsia="標楷體" w:hAnsi="標楷體" w:hint="eastAsia"/>
          <w:sz w:val="32"/>
          <w:szCs w:val="32"/>
        </w:rPr>
        <w:t>010萬1千元，計畫工作重點包含「輔導亞奧運特定體育團體健全組織運作」。惟經查體育署官網公開資料，「非奧亞運特定體育團體訪評計畫」僅更新到109年度，110年最新資料並未更新上網；且109年報告中，仍有11個團體的訪評報告為「有條件通過」。而「奧亞運特定體育團體訪</w:t>
      </w:r>
      <w:r w:rsidRPr="008F7885">
        <w:rPr>
          <w:rFonts w:ascii="標楷體" w:eastAsia="標楷體" w:hAnsi="標楷體" w:hint="eastAsia"/>
          <w:sz w:val="32"/>
          <w:szCs w:val="32"/>
        </w:rPr>
        <w:lastRenderedPageBreak/>
        <w:t>評計畫」，雖有如期更新至110年，但仍有12個團體之訪評成果為「有條件通過」。「特定體育團體輔導訪視及考核辦法」上路至今已第4年，體育團體之輔導訪視理應上軌道，體育署應落實對各體育團體之監督與懲處，不應放任體育團體漠視相關規定。請教育部體育署落實「特定體育團體輔導訪視及考核辦法」之相關規範。409</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提案人：林宜瑾</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十四)據查我國106至111年7月底高級中等以下學校學生遇溺、受傷、失蹤學生人數計207人、溺水死亡學生人數計82人。為配合108課綱並符合國際游泳與自救教育趨勢，教育部體育署110年度修正「全國中、小學學生游泳與自救能力基本指標」，期更符合水域安全教學需求與趨勢。然110學年度超過三成高級中等以下學校未實施游泳教學，爰要求教育部體育署應於3個月內向立法院教育及文化委員會提出書面報告說明並研議改善，以提升學生游泳與自救能力，降低溺水事件。410</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提案人：林奕華</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連署人：鄭正鈐  吳怡玎</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十五)為充實國內休閒運動設施，滿足民眾多元運動需求，教育部體育署自99年度起陸續推動改善國民運動環境計畫，補助地方政府興建、整建或改善既有各類型運動設施。截至111年7月底，全國約三成運動場館設施平均使用已超過20年，部分縣市轄內使用逾20年之運動場館設施占比更超過半數，然多數老舊設施尚未完成耐震力詳評、補強及拆除作業，恐影響運動民眾安全，爰要求教育部體育署應於6個月內督導各縣市政府儘速完成相關維護作業，以確保民眾運動安全。411</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lastRenderedPageBreak/>
        <w:t>提案人：林奕華</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連署人：鄭正鈐  吳怡玎</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十六)教育部體育署為杜絕不合理濫發教練、裁判證照，並增加專業技能，相關證照期限將以4年期為限，且換證前得接受48小時之增能課程，依據此政策調整後，未來大量教練將有增能課程時數需求，故各協會針對「專業進修課程」之講習將如雨後春筍般大量開設，該課程立法本意為獲得更實質補充，使4年48小時的進修時間獲得妥善利用，同時衍生出更多合作空間，擴大台灣體育產業深度及廣度。為提升國家政策效能與體育發展之健全，請教育部體育署針對教練證換發之專業進修課程研議以下方案，並於3個月內向立法院教育及文化委員會提出方案書面報告：1.由行政法人國家運動訓練中心增開各單項運動教練之高階教練(A級以上)研習課程：國訓中心共同參與教練研習且中心具有國內豐沛軟硬體資源，針對授課內容、人選、領域等，若由國訓中心指導協助，將會使教練增能課程更有效果；2.行政法人國家運動訓練中心增設為專業進修課程上課地點：各領域高階教練有較大機率帶領國家隊出賽，若進修課程與國訓中心結合，將體育大數據與教練執教方式結合，屆時代表隊入住訓練時將能降低磨合期，以利選手訓練。412</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提案人：吳思瑤</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連署人：林宜瑾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十七)依國家發展委員會人口推估之資料指出，我國已於82年成為高齡化社會，107年轉為高齡社會，推估將於114年邁入超高齡社會，意即我國65歲以上人口占總人口比率將達20%。全民運動風氣日漸提升，運動將成為全民的休閒娛樂，由教育部體育署110年之國人規律運動人口比率，其中65至69歲、70歲及以上之規律運動人口比率最高，由此可</w:t>
      </w:r>
      <w:r w:rsidRPr="008F7885">
        <w:rPr>
          <w:rFonts w:ascii="標楷體" w:eastAsia="標楷體" w:hAnsi="標楷體" w:hint="eastAsia"/>
          <w:sz w:val="32"/>
          <w:szCs w:val="32"/>
        </w:rPr>
        <w:lastRenderedPageBreak/>
        <w:t>見樂齡運動將成為未來趨勢。</w:t>
      </w:r>
    </w:p>
    <w:tbl>
      <w:tblPr>
        <w:tblW w:w="9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3080"/>
        <w:gridCol w:w="3080"/>
        <w:gridCol w:w="3080"/>
      </w:tblGrid>
      <w:tr w:rsidR="00273897" w:rsidRPr="008F7885" w:rsidTr="00273897">
        <w:trPr>
          <w:trHeight w:val="330"/>
        </w:trPr>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年齡別</w:t>
            </w:r>
          </w:p>
        </w:tc>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男</w:t>
            </w:r>
          </w:p>
        </w:tc>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女</w:t>
            </w:r>
          </w:p>
        </w:tc>
      </w:tr>
      <w:tr w:rsidR="00273897" w:rsidRPr="008F7885" w:rsidTr="00273897">
        <w:trPr>
          <w:trHeight w:val="330"/>
        </w:trPr>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全體</w:t>
            </w:r>
          </w:p>
        </w:tc>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 xml:space="preserve">35.4 </w:t>
            </w:r>
          </w:p>
        </w:tc>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 xml:space="preserve">32.4 </w:t>
            </w:r>
          </w:p>
        </w:tc>
      </w:tr>
      <w:tr w:rsidR="00273897" w:rsidRPr="008F7885" w:rsidTr="00273897">
        <w:trPr>
          <w:trHeight w:val="330"/>
        </w:trPr>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13-17歲</w:t>
            </w:r>
          </w:p>
        </w:tc>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 xml:space="preserve">53.5 </w:t>
            </w:r>
          </w:p>
        </w:tc>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 xml:space="preserve">28.9 </w:t>
            </w:r>
          </w:p>
        </w:tc>
      </w:tr>
      <w:tr w:rsidR="00273897" w:rsidRPr="008F7885" w:rsidTr="00273897">
        <w:trPr>
          <w:trHeight w:val="330"/>
        </w:trPr>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18-24歲</w:t>
            </w:r>
          </w:p>
        </w:tc>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 xml:space="preserve">35.9 </w:t>
            </w:r>
          </w:p>
        </w:tc>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 xml:space="preserve">27.9 </w:t>
            </w:r>
          </w:p>
        </w:tc>
      </w:tr>
      <w:tr w:rsidR="00273897" w:rsidRPr="008F7885" w:rsidTr="00273897">
        <w:trPr>
          <w:trHeight w:val="330"/>
        </w:trPr>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25-29歲</w:t>
            </w:r>
          </w:p>
        </w:tc>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 xml:space="preserve">28.8 </w:t>
            </w:r>
          </w:p>
        </w:tc>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 xml:space="preserve">29.3 </w:t>
            </w:r>
          </w:p>
        </w:tc>
      </w:tr>
      <w:tr w:rsidR="00273897" w:rsidRPr="008F7885" w:rsidTr="00273897">
        <w:trPr>
          <w:trHeight w:val="330"/>
        </w:trPr>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30-34歲</w:t>
            </w:r>
          </w:p>
        </w:tc>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 xml:space="preserve">28.2 </w:t>
            </w:r>
          </w:p>
        </w:tc>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 xml:space="preserve">18.6 </w:t>
            </w:r>
          </w:p>
        </w:tc>
      </w:tr>
      <w:tr w:rsidR="00273897" w:rsidRPr="008F7885" w:rsidTr="00273897">
        <w:trPr>
          <w:trHeight w:val="330"/>
        </w:trPr>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35-39歲</w:t>
            </w:r>
          </w:p>
        </w:tc>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 xml:space="preserve">21.4 </w:t>
            </w:r>
          </w:p>
        </w:tc>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 xml:space="preserve">21.8 </w:t>
            </w:r>
          </w:p>
        </w:tc>
      </w:tr>
      <w:tr w:rsidR="00273897" w:rsidRPr="008F7885" w:rsidTr="00273897">
        <w:trPr>
          <w:trHeight w:val="330"/>
        </w:trPr>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40-44歲</w:t>
            </w:r>
          </w:p>
        </w:tc>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 xml:space="preserve">22.1 </w:t>
            </w:r>
          </w:p>
        </w:tc>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 xml:space="preserve">17.3 </w:t>
            </w:r>
          </w:p>
        </w:tc>
      </w:tr>
      <w:tr w:rsidR="00273897" w:rsidRPr="008F7885" w:rsidTr="00273897">
        <w:trPr>
          <w:trHeight w:val="330"/>
        </w:trPr>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45-49歲</w:t>
            </w:r>
          </w:p>
        </w:tc>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 xml:space="preserve">19.8 </w:t>
            </w:r>
          </w:p>
        </w:tc>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 xml:space="preserve">23.1 </w:t>
            </w:r>
          </w:p>
        </w:tc>
      </w:tr>
      <w:tr w:rsidR="00273897" w:rsidRPr="008F7885" w:rsidTr="00273897">
        <w:trPr>
          <w:trHeight w:val="330"/>
        </w:trPr>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50-54歲</w:t>
            </w:r>
          </w:p>
        </w:tc>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 xml:space="preserve">23.1 </w:t>
            </w:r>
          </w:p>
        </w:tc>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 xml:space="preserve">23.6 </w:t>
            </w:r>
          </w:p>
        </w:tc>
      </w:tr>
      <w:tr w:rsidR="00273897" w:rsidRPr="008F7885" w:rsidTr="00273897">
        <w:trPr>
          <w:trHeight w:val="330"/>
        </w:trPr>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55-59歲</w:t>
            </w:r>
          </w:p>
        </w:tc>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 xml:space="preserve">21.5 </w:t>
            </w:r>
          </w:p>
        </w:tc>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 xml:space="preserve">25.1 </w:t>
            </w:r>
          </w:p>
        </w:tc>
      </w:tr>
      <w:tr w:rsidR="00273897" w:rsidRPr="008F7885" w:rsidTr="00273897">
        <w:trPr>
          <w:trHeight w:val="330"/>
        </w:trPr>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60-64歲</w:t>
            </w:r>
          </w:p>
        </w:tc>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 xml:space="preserve">54.3 </w:t>
            </w:r>
          </w:p>
        </w:tc>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 xml:space="preserve">54.7 </w:t>
            </w:r>
          </w:p>
        </w:tc>
      </w:tr>
      <w:tr w:rsidR="00273897" w:rsidRPr="008F7885" w:rsidTr="00273897">
        <w:trPr>
          <w:trHeight w:val="330"/>
        </w:trPr>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65-69歲</w:t>
            </w:r>
          </w:p>
        </w:tc>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b/>
                <w:kern w:val="0"/>
                <w:sz w:val="32"/>
                <w:szCs w:val="32"/>
              </w:rPr>
            </w:pPr>
            <w:r w:rsidRPr="008F7885">
              <w:rPr>
                <w:rFonts w:ascii="標楷體" w:eastAsia="標楷體" w:hAnsi="標楷體" w:cs="新細明體" w:hint="eastAsia"/>
                <w:b/>
                <w:kern w:val="0"/>
                <w:sz w:val="32"/>
                <w:szCs w:val="32"/>
              </w:rPr>
              <w:t xml:space="preserve">58.7 </w:t>
            </w:r>
          </w:p>
        </w:tc>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b/>
                <w:kern w:val="0"/>
                <w:sz w:val="32"/>
                <w:szCs w:val="32"/>
              </w:rPr>
            </w:pPr>
            <w:r w:rsidRPr="008F7885">
              <w:rPr>
                <w:rFonts w:ascii="標楷體" w:eastAsia="標楷體" w:hAnsi="標楷體" w:cs="新細明體" w:hint="eastAsia"/>
                <w:b/>
                <w:kern w:val="0"/>
                <w:sz w:val="32"/>
                <w:szCs w:val="32"/>
              </w:rPr>
              <w:t xml:space="preserve">61.6 </w:t>
            </w:r>
          </w:p>
        </w:tc>
      </w:tr>
      <w:tr w:rsidR="00273897" w:rsidRPr="008F7885" w:rsidTr="00273897">
        <w:trPr>
          <w:trHeight w:val="330"/>
        </w:trPr>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kern w:val="0"/>
                <w:sz w:val="32"/>
                <w:szCs w:val="32"/>
              </w:rPr>
            </w:pPr>
            <w:r w:rsidRPr="008F7885">
              <w:rPr>
                <w:rFonts w:ascii="標楷體" w:eastAsia="標楷體" w:hAnsi="標楷體" w:cs="新細明體" w:hint="eastAsia"/>
                <w:kern w:val="0"/>
                <w:sz w:val="32"/>
                <w:szCs w:val="32"/>
              </w:rPr>
              <w:t>70歲及以上</w:t>
            </w:r>
          </w:p>
        </w:tc>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b/>
                <w:kern w:val="0"/>
                <w:sz w:val="32"/>
                <w:szCs w:val="32"/>
              </w:rPr>
            </w:pPr>
            <w:r w:rsidRPr="008F7885">
              <w:rPr>
                <w:rFonts w:ascii="標楷體" w:eastAsia="標楷體" w:hAnsi="標楷體" w:cs="新細明體" w:hint="eastAsia"/>
                <w:b/>
                <w:kern w:val="0"/>
                <w:sz w:val="32"/>
                <w:szCs w:val="32"/>
              </w:rPr>
              <w:t xml:space="preserve">63.1 </w:t>
            </w:r>
          </w:p>
        </w:tc>
        <w:tc>
          <w:tcPr>
            <w:tcW w:w="3080" w:type="dxa"/>
            <w:shd w:val="clear" w:color="auto" w:fill="auto"/>
            <w:vAlign w:val="center"/>
            <w:hideMark/>
          </w:tcPr>
          <w:p w:rsidR="00273897" w:rsidRPr="008F7885" w:rsidRDefault="00273897" w:rsidP="00273897">
            <w:pPr>
              <w:widowControl/>
              <w:snapToGrid w:val="0"/>
              <w:jc w:val="both"/>
              <w:rPr>
                <w:rFonts w:ascii="標楷體" w:eastAsia="標楷體" w:hAnsi="標楷體" w:cs="新細明體"/>
                <w:b/>
                <w:kern w:val="0"/>
                <w:sz w:val="32"/>
                <w:szCs w:val="32"/>
              </w:rPr>
            </w:pPr>
            <w:r w:rsidRPr="008F7885">
              <w:rPr>
                <w:rFonts w:ascii="標楷體" w:eastAsia="標楷體" w:hAnsi="標楷體" w:cs="新細明體" w:hint="eastAsia"/>
                <w:b/>
                <w:kern w:val="0"/>
                <w:sz w:val="32"/>
                <w:szCs w:val="32"/>
              </w:rPr>
              <w:t xml:space="preserve">56.4 </w:t>
            </w:r>
          </w:p>
        </w:tc>
      </w:tr>
    </w:tbl>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 xml:space="preserve">        體育運動對高齡長者身體機能促進與心靈健康具正向關係，請教育部體育署針對高齡長者體育運動業務進行全面檢討：1.針對國民運動中心及中央地方政府下轄體育場所進行全面體檢，為達成運動場館之共融，檢視是否達到友善場館之設施，例如符合幼童高度之洗手檯或輔助台階、設施使用說明字體放大、設置博愛座椅供長者優先使用等；2.研議設置適合高齡長者之運動器材或體健設施、提供高齡長者運動之接送服務、提升協助高齡長者之體育專業人員員額，以提高高齡長者參與運動之意願。爰要求教育部體育署針對上述建議進行研議提出具體方案，並於3個月內向立法院教育及文化委員提出書面報告。413</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提案人：吳思瑤</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連署人：林宜瑾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(十八)「國民體育法」第1條揭示立法理由「為促進與保障國民之體育參與」，保障對象為全體國民。但教育部體育署預算</w:t>
      </w:r>
      <w:r w:rsidRPr="008F7885">
        <w:rPr>
          <w:rFonts w:ascii="標楷體" w:eastAsia="標楷體" w:hAnsi="標楷體" w:hint="eastAsia"/>
          <w:sz w:val="32"/>
          <w:szCs w:val="32"/>
        </w:rPr>
        <w:lastRenderedPageBreak/>
        <w:t>編列長期重競技而輕全民，不僅無法保障全民體育參與，長期而言更導致運動產業發展受阻，應徹底檢討未來資源挹注之配比。比較111及112年預算編列如下表，競技運動預算分別是國民運動預算之3.2倍、3.8倍：</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
        <w:gridCol w:w="1592"/>
        <w:gridCol w:w="1286"/>
        <w:gridCol w:w="1591"/>
        <w:gridCol w:w="1591"/>
        <w:gridCol w:w="1286"/>
        <w:gridCol w:w="1591"/>
      </w:tblGrid>
      <w:tr w:rsidR="00273897" w:rsidRPr="008F7885" w:rsidTr="00273897">
        <w:tc>
          <w:tcPr>
            <w:tcW w:w="533" w:type="dxa"/>
            <w:shd w:val="clear" w:color="auto" w:fill="auto"/>
          </w:tcPr>
          <w:p w:rsidR="00273897" w:rsidRPr="008F7885" w:rsidRDefault="00273897" w:rsidP="00273897">
            <w:pPr>
              <w:widowControl/>
              <w:snapToGrid w:val="0"/>
              <w:rPr>
                <w:rFonts w:ascii="標楷體" w:eastAsia="標楷體" w:hAnsi="標楷體" w:cs="新細明體"/>
                <w:kern w:val="0"/>
                <w:sz w:val="32"/>
                <w:szCs w:val="32"/>
              </w:rPr>
            </w:pPr>
          </w:p>
        </w:tc>
        <w:tc>
          <w:tcPr>
            <w:tcW w:w="4602" w:type="dxa"/>
            <w:gridSpan w:val="3"/>
            <w:shd w:val="clear" w:color="auto" w:fill="auto"/>
          </w:tcPr>
          <w:p w:rsidR="00273897" w:rsidRPr="008F7885" w:rsidRDefault="00273897" w:rsidP="00273897">
            <w:pPr>
              <w:widowControl/>
              <w:snapToGrid w:val="0"/>
              <w:jc w:val="center"/>
              <w:rPr>
                <w:rFonts w:ascii="標楷體" w:eastAsia="標楷體" w:hAnsi="標楷體" w:cs="新細明體"/>
                <w:kern w:val="0"/>
                <w:szCs w:val="24"/>
              </w:rPr>
            </w:pPr>
            <w:r w:rsidRPr="008F7885">
              <w:rPr>
                <w:rFonts w:ascii="標楷體" w:eastAsia="標楷體" w:hAnsi="標楷體" w:cs="新細明體" w:hint="eastAsia"/>
                <w:kern w:val="0"/>
                <w:szCs w:val="24"/>
              </w:rPr>
              <w:t>111年</w:t>
            </w:r>
          </w:p>
        </w:tc>
        <w:tc>
          <w:tcPr>
            <w:tcW w:w="4601" w:type="dxa"/>
            <w:gridSpan w:val="3"/>
            <w:shd w:val="clear" w:color="auto" w:fill="auto"/>
          </w:tcPr>
          <w:p w:rsidR="00273897" w:rsidRPr="008F7885" w:rsidRDefault="00273897" w:rsidP="00273897">
            <w:pPr>
              <w:widowControl/>
              <w:snapToGrid w:val="0"/>
              <w:jc w:val="center"/>
              <w:rPr>
                <w:rFonts w:ascii="標楷體" w:eastAsia="標楷體" w:hAnsi="標楷體" w:cs="新細明體"/>
                <w:kern w:val="0"/>
                <w:szCs w:val="24"/>
              </w:rPr>
            </w:pPr>
            <w:r w:rsidRPr="008F7885">
              <w:rPr>
                <w:rFonts w:ascii="標楷體" w:eastAsia="標楷體" w:hAnsi="標楷體" w:cs="新細明體" w:hint="eastAsia"/>
                <w:kern w:val="0"/>
                <w:szCs w:val="24"/>
              </w:rPr>
              <w:t>112年</w:t>
            </w:r>
          </w:p>
        </w:tc>
      </w:tr>
      <w:tr w:rsidR="00273897" w:rsidRPr="008F7885" w:rsidTr="00273897">
        <w:tc>
          <w:tcPr>
            <w:tcW w:w="533" w:type="dxa"/>
            <w:shd w:val="clear" w:color="auto" w:fill="auto"/>
          </w:tcPr>
          <w:p w:rsidR="00273897" w:rsidRPr="008F7885" w:rsidRDefault="00273897" w:rsidP="00273897">
            <w:pPr>
              <w:widowControl/>
              <w:snapToGrid w:val="0"/>
              <w:rPr>
                <w:rFonts w:ascii="標楷體" w:eastAsia="標楷體" w:hAnsi="標楷體" w:cs="新細明體"/>
                <w:kern w:val="0"/>
                <w:szCs w:val="24"/>
              </w:rPr>
            </w:pPr>
          </w:p>
        </w:tc>
        <w:tc>
          <w:tcPr>
            <w:tcW w:w="1640" w:type="dxa"/>
            <w:shd w:val="clear" w:color="auto" w:fill="auto"/>
          </w:tcPr>
          <w:p w:rsidR="00273897" w:rsidRPr="008F7885" w:rsidRDefault="00273897" w:rsidP="00273897">
            <w:pPr>
              <w:widowControl/>
              <w:snapToGrid w:val="0"/>
              <w:jc w:val="center"/>
              <w:rPr>
                <w:rFonts w:ascii="標楷體" w:eastAsia="標楷體" w:hAnsi="標楷體" w:cs="新細明體"/>
                <w:kern w:val="0"/>
                <w:szCs w:val="24"/>
              </w:rPr>
            </w:pPr>
            <w:r w:rsidRPr="008F7885">
              <w:rPr>
                <w:rFonts w:ascii="標楷體" w:eastAsia="標楷體" w:hAnsi="標楷體" w:cs="新細明體" w:hint="eastAsia"/>
                <w:kern w:val="0"/>
                <w:szCs w:val="24"/>
              </w:rPr>
              <w:t>合計</w:t>
            </w:r>
          </w:p>
        </w:tc>
        <w:tc>
          <w:tcPr>
            <w:tcW w:w="1323" w:type="dxa"/>
            <w:shd w:val="clear" w:color="auto" w:fill="auto"/>
          </w:tcPr>
          <w:p w:rsidR="00273897" w:rsidRPr="008F7885" w:rsidRDefault="00273897" w:rsidP="00273897">
            <w:pPr>
              <w:widowControl/>
              <w:snapToGrid w:val="0"/>
              <w:jc w:val="center"/>
              <w:rPr>
                <w:rFonts w:ascii="標楷體" w:eastAsia="標楷體" w:hAnsi="標楷體" w:cs="新細明體"/>
                <w:kern w:val="0"/>
                <w:szCs w:val="24"/>
              </w:rPr>
            </w:pPr>
            <w:r w:rsidRPr="008F7885">
              <w:rPr>
                <w:rFonts w:ascii="標楷體" w:eastAsia="標楷體" w:hAnsi="標楷體" w:cs="新細明體" w:hint="eastAsia"/>
                <w:kern w:val="0"/>
                <w:szCs w:val="24"/>
              </w:rPr>
              <w:t>公務預算</w:t>
            </w:r>
          </w:p>
        </w:tc>
        <w:tc>
          <w:tcPr>
            <w:tcW w:w="1639" w:type="dxa"/>
            <w:shd w:val="clear" w:color="auto" w:fill="auto"/>
          </w:tcPr>
          <w:p w:rsidR="00273897" w:rsidRPr="008F7885" w:rsidRDefault="00273897" w:rsidP="00273897">
            <w:pPr>
              <w:widowControl/>
              <w:snapToGrid w:val="0"/>
              <w:jc w:val="center"/>
              <w:rPr>
                <w:rFonts w:ascii="標楷體" w:eastAsia="標楷體" w:hAnsi="標楷體" w:cs="新細明體"/>
                <w:kern w:val="0"/>
                <w:szCs w:val="24"/>
              </w:rPr>
            </w:pPr>
            <w:r w:rsidRPr="008F7885">
              <w:rPr>
                <w:rFonts w:ascii="標楷體" w:eastAsia="標楷體" w:hAnsi="標楷體" w:cs="新細明體" w:hint="eastAsia"/>
                <w:kern w:val="0"/>
                <w:szCs w:val="24"/>
              </w:rPr>
              <w:t>運發基金</w:t>
            </w:r>
          </w:p>
        </w:tc>
        <w:tc>
          <w:tcPr>
            <w:tcW w:w="1639" w:type="dxa"/>
            <w:shd w:val="clear" w:color="auto" w:fill="auto"/>
          </w:tcPr>
          <w:p w:rsidR="00273897" w:rsidRPr="008F7885" w:rsidRDefault="00273897" w:rsidP="00273897">
            <w:pPr>
              <w:widowControl/>
              <w:snapToGrid w:val="0"/>
              <w:jc w:val="center"/>
              <w:rPr>
                <w:rFonts w:ascii="標楷體" w:eastAsia="標楷體" w:hAnsi="標楷體" w:cs="新細明體"/>
                <w:kern w:val="0"/>
                <w:szCs w:val="24"/>
              </w:rPr>
            </w:pPr>
            <w:r w:rsidRPr="008F7885">
              <w:rPr>
                <w:rFonts w:ascii="標楷體" w:eastAsia="標楷體" w:hAnsi="標楷體" w:cs="新細明體" w:hint="eastAsia"/>
                <w:kern w:val="0"/>
                <w:szCs w:val="24"/>
              </w:rPr>
              <w:t>合計</w:t>
            </w:r>
          </w:p>
        </w:tc>
        <w:tc>
          <w:tcPr>
            <w:tcW w:w="1323" w:type="dxa"/>
            <w:shd w:val="clear" w:color="auto" w:fill="auto"/>
          </w:tcPr>
          <w:p w:rsidR="00273897" w:rsidRPr="008F7885" w:rsidRDefault="00273897" w:rsidP="00273897">
            <w:pPr>
              <w:widowControl/>
              <w:snapToGrid w:val="0"/>
              <w:jc w:val="center"/>
              <w:rPr>
                <w:rFonts w:ascii="標楷體" w:eastAsia="標楷體" w:hAnsi="標楷體" w:cs="新細明體"/>
                <w:kern w:val="0"/>
                <w:szCs w:val="24"/>
              </w:rPr>
            </w:pPr>
            <w:r w:rsidRPr="008F7885">
              <w:rPr>
                <w:rFonts w:ascii="標楷體" w:eastAsia="標楷體" w:hAnsi="標楷體" w:cs="新細明體" w:hint="eastAsia"/>
                <w:kern w:val="0"/>
                <w:szCs w:val="24"/>
              </w:rPr>
              <w:t>公務預算</w:t>
            </w:r>
          </w:p>
        </w:tc>
        <w:tc>
          <w:tcPr>
            <w:tcW w:w="1639" w:type="dxa"/>
            <w:shd w:val="clear" w:color="auto" w:fill="auto"/>
          </w:tcPr>
          <w:p w:rsidR="00273897" w:rsidRPr="008F7885" w:rsidRDefault="00273897" w:rsidP="00273897">
            <w:pPr>
              <w:widowControl/>
              <w:snapToGrid w:val="0"/>
              <w:jc w:val="center"/>
              <w:rPr>
                <w:rFonts w:ascii="標楷體" w:eastAsia="標楷體" w:hAnsi="標楷體" w:cs="新細明體"/>
                <w:kern w:val="0"/>
                <w:szCs w:val="24"/>
              </w:rPr>
            </w:pPr>
            <w:r w:rsidRPr="008F7885">
              <w:rPr>
                <w:rFonts w:ascii="標楷體" w:eastAsia="標楷體" w:hAnsi="標楷體" w:cs="新細明體" w:hint="eastAsia"/>
                <w:kern w:val="0"/>
                <w:szCs w:val="24"/>
              </w:rPr>
              <w:t>運發基金</w:t>
            </w:r>
          </w:p>
        </w:tc>
      </w:tr>
      <w:tr w:rsidR="00273897" w:rsidRPr="008F7885" w:rsidTr="00273897">
        <w:tc>
          <w:tcPr>
            <w:tcW w:w="533" w:type="dxa"/>
            <w:shd w:val="clear" w:color="auto" w:fill="auto"/>
          </w:tcPr>
          <w:p w:rsidR="00273897" w:rsidRPr="008F7885" w:rsidRDefault="00273897" w:rsidP="00D404F8">
            <w:pPr>
              <w:widowControl/>
              <w:snapToGrid w:val="0"/>
              <w:jc w:val="center"/>
              <w:rPr>
                <w:rFonts w:ascii="標楷體" w:eastAsia="標楷體" w:hAnsi="標楷體" w:cs="新細明體"/>
                <w:kern w:val="0"/>
                <w:szCs w:val="24"/>
              </w:rPr>
            </w:pPr>
            <w:r w:rsidRPr="008F7885">
              <w:rPr>
                <w:rFonts w:ascii="標楷體" w:eastAsia="標楷體" w:hAnsi="標楷體" w:cs="新細明體" w:hint="eastAsia"/>
                <w:kern w:val="0"/>
                <w:szCs w:val="24"/>
              </w:rPr>
              <w:t>競技運動</w:t>
            </w:r>
          </w:p>
        </w:tc>
        <w:tc>
          <w:tcPr>
            <w:tcW w:w="1640" w:type="dxa"/>
            <w:shd w:val="clear" w:color="auto" w:fill="auto"/>
          </w:tcPr>
          <w:p w:rsidR="00273897" w:rsidRPr="008F7885" w:rsidRDefault="00273897" w:rsidP="00273897">
            <w:pPr>
              <w:widowControl/>
              <w:snapToGrid w:val="0"/>
              <w:jc w:val="center"/>
              <w:rPr>
                <w:rFonts w:ascii="標楷體" w:eastAsia="標楷體" w:hAnsi="標楷體" w:cs="新細明體"/>
                <w:kern w:val="0"/>
                <w:szCs w:val="24"/>
              </w:rPr>
            </w:pPr>
            <w:r w:rsidRPr="008F7885">
              <w:rPr>
                <w:rFonts w:ascii="標楷體" w:eastAsia="標楷體" w:hAnsi="標楷體" w:cs="新細明體"/>
                <w:kern w:val="0"/>
                <w:szCs w:val="24"/>
              </w:rPr>
              <w:t>4,270,339</w:t>
            </w:r>
          </w:p>
        </w:tc>
        <w:tc>
          <w:tcPr>
            <w:tcW w:w="1323" w:type="dxa"/>
            <w:shd w:val="clear" w:color="auto" w:fill="auto"/>
          </w:tcPr>
          <w:p w:rsidR="00273897" w:rsidRPr="008F7885" w:rsidRDefault="00273897" w:rsidP="00273897">
            <w:pPr>
              <w:widowControl/>
              <w:snapToGrid w:val="0"/>
              <w:jc w:val="center"/>
              <w:rPr>
                <w:rFonts w:ascii="標楷體" w:eastAsia="標楷體" w:hAnsi="標楷體" w:cs="新細明體"/>
                <w:kern w:val="0"/>
                <w:szCs w:val="24"/>
              </w:rPr>
            </w:pPr>
            <w:r w:rsidRPr="008F7885">
              <w:rPr>
                <w:rFonts w:ascii="標楷體" w:eastAsia="標楷體" w:hAnsi="標楷體" w:cs="新細明體" w:hint="eastAsia"/>
                <w:kern w:val="0"/>
                <w:szCs w:val="24"/>
              </w:rPr>
              <w:t>3</w:t>
            </w:r>
            <w:r w:rsidRPr="008F7885">
              <w:rPr>
                <w:rFonts w:ascii="標楷體" w:eastAsia="標楷體" w:hAnsi="標楷體" w:cs="新細明體"/>
                <w:kern w:val="0"/>
                <w:szCs w:val="24"/>
              </w:rPr>
              <w:t>53,781</w:t>
            </w:r>
          </w:p>
        </w:tc>
        <w:tc>
          <w:tcPr>
            <w:tcW w:w="1639" w:type="dxa"/>
            <w:shd w:val="clear" w:color="auto" w:fill="auto"/>
          </w:tcPr>
          <w:p w:rsidR="00273897" w:rsidRPr="008F7885" w:rsidRDefault="00273897" w:rsidP="00273897">
            <w:pPr>
              <w:widowControl/>
              <w:snapToGrid w:val="0"/>
              <w:jc w:val="center"/>
              <w:rPr>
                <w:rFonts w:ascii="標楷體" w:eastAsia="標楷體" w:hAnsi="標楷體" w:cs="新細明體"/>
                <w:kern w:val="0"/>
                <w:szCs w:val="24"/>
              </w:rPr>
            </w:pPr>
            <w:r w:rsidRPr="008F7885">
              <w:rPr>
                <w:rFonts w:ascii="標楷體" w:eastAsia="標楷體" w:hAnsi="標楷體" w:cs="新細明體" w:hint="eastAsia"/>
                <w:kern w:val="0"/>
                <w:szCs w:val="24"/>
              </w:rPr>
              <w:t>3</w:t>
            </w:r>
            <w:r w:rsidRPr="008F7885">
              <w:rPr>
                <w:rFonts w:ascii="標楷體" w:eastAsia="標楷體" w:hAnsi="標楷體" w:cs="新細明體"/>
                <w:kern w:val="0"/>
                <w:szCs w:val="24"/>
              </w:rPr>
              <w:t>,916,558</w:t>
            </w:r>
          </w:p>
        </w:tc>
        <w:tc>
          <w:tcPr>
            <w:tcW w:w="1639" w:type="dxa"/>
            <w:shd w:val="clear" w:color="auto" w:fill="auto"/>
          </w:tcPr>
          <w:p w:rsidR="00273897" w:rsidRPr="008F7885" w:rsidRDefault="00273897" w:rsidP="00273897">
            <w:pPr>
              <w:widowControl/>
              <w:snapToGrid w:val="0"/>
              <w:jc w:val="center"/>
              <w:rPr>
                <w:rFonts w:ascii="標楷體" w:eastAsia="標楷體" w:hAnsi="標楷體" w:cs="新細明體"/>
                <w:kern w:val="0"/>
                <w:szCs w:val="24"/>
              </w:rPr>
            </w:pPr>
            <w:r w:rsidRPr="008F7885">
              <w:rPr>
                <w:rFonts w:ascii="標楷體" w:eastAsia="標楷體" w:hAnsi="標楷體" w:cs="新細明體"/>
                <w:kern w:val="0"/>
                <w:szCs w:val="24"/>
              </w:rPr>
              <w:t>4,653,433</w:t>
            </w:r>
          </w:p>
        </w:tc>
        <w:tc>
          <w:tcPr>
            <w:tcW w:w="1323" w:type="dxa"/>
            <w:shd w:val="clear" w:color="auto" w:fill="auto"/>
          </w:tcPr>
          <w:p w:rsidR="00273897" w:rsidRPr="008F7885" w:rsidRDefault="00273897" w:rsidP="00273897">
            <w:pPr>
              <w:widowControl/>
              <w:snapToGrid w:val="0"/>
              <w:jc w:val="center"/>
              <w:rPr>
                <w:rFonts w:ascii="標楷體" w:eastAsia="標楷體" w:hAnsi="標楷體" w:cs="新細明體"/>
                <w:kern w:val="0"/>
                <w:szCs w:val="24"/>
              </w:rPr>
            </w:pPr>
            <w:r w:rsidRPr="008F7885">
              <w:rPr>
                <w:rFonts w:ascii="標楷體" w:eastAsia="標楷體" w:hAnsi="標楷體" w:cs="新細明體"/>
                <w:kern w:val="0"/>
                <w:szCs w:val="24"/>
              </w:rPr>
              <w:t>280,101</w:t>
            </w:r>
          </w:p>
        </w:tc>
        <w:tc>
          <w:tcPr>
            <w:tcW w:w="1639" w:type="dxa"/>
            <w:shd w:val="clear" w:color="auto" w:fill="auto"/>
          </w:tcPr>
          <w:p w:rsidR="00273897" w:rsidRPr="008F7885" w:rsidRDefault="00273897" w:rsidP="00273897">
            <w:pPr>
              <w:widowControl/>
              <w:snapToGrid w:val="0"/>
              <w:jc w:val="center"/>
              <w:rPr>
                <w:rFonts w:ascii="標楷體" w:eastAsia="標楷體" w:hAnsi="標楷體" w:cs="新細明體"/>
                <w:kern w:val="0"/>
                <w:szCs w:val="24"/>
              </w:rPr>
            </w:pPr>
            <w:r w:rsidRPr="008F7885">
              <w:rPr>
                <w:rFonts w:ascii="標楷體" w:eastAsia="標楷體" w:hAnsi="標楷體" w:cs="新細明體"/>
                <w:kern w:val="0"/>
                <w:szCs w:val="24"/>
              </w:rPr>
              <w:t>4,373,332</w:t>
            </w:r>
          </w:p>
        </w:tc>
      </w:tr>
      <w:tr w:rsidR="00273897" w:rsidRPr="008F7885" w:rsidTr="00273897">
        <w:tc>
          <w:tcPr>
            <w:tcW w:w="533" w:type="dxa"/>
            <w:shd w:val="clear" w:color="auto" w:fill="auto"/>
          </w:tcPr>
          <w:p w:rsidR="00273897" w:rsidRPr="008F7885" w:rsidRDefault="00273897" w:rsidP="00D404F8">
            <w:pPr>
              <w:widowControl/>
              <w:snapToGrid w:val="0"/>
              <w:jc w:val="center"/>
              <w:rPr>
                <w:rFonts w:ascii="標楷體" w:eastAsia="標楷體" w:hAnsi="標楷體" w:cs="新細明體"/>
                <w:kern w:val="0"/>
                <w:szCs w:val="24"/>
              </w:rPr>
            </w:pPr>
            <w:r w:rsidRPr="008F7885">
              <w:rPr>
                <w:rFonts w:ascii="標楷體" w:eastAsia="標楷體" w:hAnsi="標楷體" w:cs="新細明體" w:hint="eastAsia"/>
                <w:kern w:val="0"/>
                <w:szCs w:val="24"/>
              </w:rPr>
              <w:t>體育署競技組</w:t>
            </w:r>
          </w:p>
        </w:tc>
        <w:tc>
          <w:tcPr>
            <w:tcW w:w="1640" w:type="dxa"/>
            <w:shd w:val="clear" w:color="auto" w:fill="auto"/>
          </w:tcPr>
          <w:p w:rsidR="00273897" w:rsidRPr="008F7885" w:rsidRDefault="00273897" w:rsidP="00273897">
            <w:pPr>
              <w:widowControl/>
              <w:snapToGrid w:val="0"/>
              <w:jc w:val="center"/>
              <w:rPr>
                <w:rFonts w:ascii="標楷體" w:eastAsia="標楷體" w:hAnsi="標楷體" w:cs="新細明體"/>
                <w:kern w:val="0"/>
                <w:szCs w:val="24"/>
              </w:rPr>
            </w:pPr>
            <w:r w:rsidRPr="008F7885">
              <w:rPr>
                <w:rFonts w:ascii="標楷體" w:eastAsia="標楷體" w:hAnsi="標楷體" w:cs="新細明體" w:hint="eastAsia"/>
                <w:kern w:val="0"/>
                <w:szCs w:val="24"/>
              </w:rPr>
              <w:t>2</w:t>
            </w:r>
            <w:r w:rsidRPr="008F7885">
              <w:rPr>
                <w:rFonts w:ascii="標楷體" w:eastAsia="標楷體" w:hAnsi="標楷體" w:cs="新細明體"/>
                <w:kern w:val="0"/>
                <w:szCs w:val="24"/>
              </w:rPr>
              <w:t>,517,223</w:t>
            </w:r>
          </w:p>
        </w:tc>
        <w:tc>
          <w:tcPr>
            <w:tcW w:w="1323" w:type="dxa"/>
            <w:shd w:val="clear" w:color="auto" w:fill="auto"/>
          </w:tcPr>
          <w:p w:rsidR="00273897" w:rsidRPr="008F7885" w:rsidRDefault="00273897" w:rsidP="00273897">
            <w:pPr>
              <w:widowControl/>
              <w:snapToGrid w:val="0"/>
              <w:jc w:val="center"/>
              <w:rPr>
                <w:rFonts w:ascii="標楷體" w:eastAsia="標楷體" w:hAnsi="標楷體" w:cs="新細明體"/>
                <w:kern w:val="0"/>
                <w:szCs w:val="24"/>
              </w:rPr>
            </w:pPr>
            <w:r w:rsidRPr="008F7885">
              <w:rPr>
                <w:rFonts w:ascii="標楷體" w:eastAsia="標楷體" w:hAnsi="標楷體" w:cs="新細明體" w:hint="eastAsia"/>
                <w:kern w:val="0"/>
                <w:szCs w:val="24"/>
              </w:rPr>
              <w:t>1</w:t>
            </w:r>
            <w:r w:rsidRPr="008F7885">
              <w:rPr>
                <w:rFonts w:ascii="標楷體" w:eastAsia="標楷體" w:hAnsi="標楷體" w:cs="新細明體"/>
                <w:kern w:val="0"/>
                <w:szCs w:val="24"/>
              </w:rPr>
              <w:t>93,981</w:t>
            </w:r>
          </w:p>
        </w:tc>
        <w:tc>
          <w:tcPr>
            <w:tcW w:w="1639" w:type="dxa"/>
            <w:shd w:val="clear" w:color="auto" w:fill="auto"/>
          </w:tcPr>
          <w:p w:rsidR="00273897" w:rsidRPr="008F7885" w:rsidRDefault="00273897" w:rsidP="00273897">
            <w:pPr>
              <w:widowControl/>
              <w:snapToGrid w:val="0"/>
              <w:jc w:val="center"/>
              <w:rPr>
                <w:rFonts w:ascii="標楷體" w:eastAsia="標楷體" w:hAnsi="標楷體" w:cs="新細明體"/>
                <w:kern w:val="0"/>
                <w:szCs w:val="24"/>
              </w:rPr>
            </w:pPr>
            <w:r w:rsidRPr="008F7885">
              <w:rPr>
                <w:rFonts w:ascii="標楷體" w:eastAsia="標楷體" w:hAnsi="標楷體" w:cs="新細明體" w:hint="eastAsia"/>
                <w:kern w:val="0"/>
                <w:szCs w:val="24"/>
              </w:rPr>
              <w:t>2</w:t>
            </w:r>
            <w:r w:rsidRPr="008F7885">
              <w:rPr>
                <w:rFonts w:ascii="標楷體" w:eastAsia="標楷體" w:hAnsi="標楷體" w:cs="新細明體"/>
                <w:kern w:val="0"/>
                <w:szCs w:val="24"/>
              </w:rPr>
              <w:t>,323,242</w:t>
            </w:r>
          </w:p>
        </w:tc>
        <w:tc>
          <w:tcPr>
            <w:tcW w:w="1639" w:type="dxa"/>
            <w:shd w:val="clear" w:color="auto" w:fill="auto"/>
          </w:tcPr>
          <w:p w:rsidR="00273897" w:rsidRPr="008F7885" w:rsidRDefault="00273897" w:rsidP="00273897">
            <w:pPr>
              <w:widowControl/>
              <w:snapToGrid w:val="0"/>
              <w:jc w:val="center"/>
              <w:rPr>
                <w:rFonts w:ascii="標楷體" w:eastAsia="標楷體" w:hAnsi="標楷體" w:cs="新細明體"/>
                <w:kern w:val="0"/>
                <w:szCs w:val="24"/>
              </w:rPr>
            </w:pPr>
            <w:r w:rsidRPr="008F7885">
              <w:rPr>
                <w:rFonts w:ascii="標楷體" w:eastAsia="標楷體" w:hAnsi="標楷體" w:cs="新細明體"/>
                <w:kern w:val="0"/>
                <w:szCs w:val="24"/>
              </w:rPr>
              <w:t>2,700,317</w:t>
            </w:r>
          </w:p>
        </w:tc>
        <w:tc>
          <w:tcPr>
            <w:tcW w:w="1323" w:type="dxa"/>
            <w:shd w:val="clear" w:color="auto" w:fill="auto"/>
          </w:tcPr>
          <w:p w:rsidR="00273897" w:rsidRPr="008F7885" w:rsidRDefault="00273897" w:rsidP="00273897">
            <w:pPr>
              <w:widowControl/>
              <w:snapToGrid w:val="0"/>
              <w:jc w:val="center"/>
              <w:rPr>
                <w:rFonts w:ascii="標楷體" w:eastAsia="標楷體" w:hAnsi="標楷體" w:cs="新細明體"/>
                <w:kern w:val="0"/>
                <w:szCs w:val="24"/>
              </w:rPr>
            </w:pPr>
            <w:r w:rsidRPr="008F7885">
              <w:rPr>
                <w:rFonts w:ascii="標楷體" w:eastAsia="標楷體" w:hAnsi="標楷體" w:cs="新細明體" w:hint="eastAsia"/>
                <w:kern w:val="0"/>
                <w:szCs w:val="24"/>
              </w:rPr>
              <w:t>2</w:t>
            </w:r>
            <w:r w:rsidRPr="008F7885">
              <w:rPr>
                <w:rFonts w:ascii="標楷體" w:eastAsia="標楷體" w:hAnsi="標楷體" w:cs="新細明體"/>
                <w:kern w:val="0"/>
                <w:szCs w:val="24"/>
              </w:rPr>
              <w:t>80,101</w:t>
            </w:r>
          </w:p>
        </w:tc>
        <w:tc>
          <w:tcPr>
            <w:tcW w:w="1639" w:type="dxa"/>
            <w:shd w:val="clear" w:color="auto" w:fill="auto"/>
          </w:tcPr>
          <w:p w:rsidR="00273897" w:rsidRPr="008F7885" w:rsidRDefault="00273897" w:rsidP="00273897">
            <w:pPr>
              <w:widowControl/>
              <w:snapToGrid w:val="0"/>
              <w:jc w:val="center"/>
              <w:rPr>
                <w:rFonts w:ascii="標楷體" w:eastAsia="標楷體" w:hAnsi="標楷體" w:cs="新細明體"/>
                <w:kern w:val="0"/>
                <w:szCs w:val="24"/>
              </w:rPr>
            </w:pPr>
            <w:r w:rsidRPr="008F7885">
              <w:rPr>
                <w:rFonts w:ascii="標楷體" w:eastAsia="標楷體" w:hAnsi="標楷體" w:cs="新細明體" w:hint="eastAsia"/>
                <w:kern w:val="0"/>
                <w:szCs w:val="24"/>
              </w:rPr>
              <w:t>2</w:t>
            </w:r>
            <w:r w:rsidRPr="008F7885">
              <w:rPr>
                <w:rFonts w:ascii="標楷體" w:eastAsia="標楷體" w:hAnsi="標楷體" w:cs="新細明體"/>
                <w:kern w:val="0"/>
                <w:szCs w:val="24"/>
              </w:rPr>
              <w:t>,420,216</w:t>
            </w:r>
          </w:p>
        </w:tc>
      </w:tr>
      <w:tr w:rsidR="00273897" w:rsidRPr="008F7885" w:rsidTr="00273897">
        <w:tc>
          <w:tcPr>
            <w:tcW w:w="533" w:type="dxa"/>
            <w:shd w:val="clear" w:color="auto" w:fill="auto"/>
          </w:tcPr>
          <w:p w:rsidR="00273897" w:rsidRPr="008F7885" w:rsidRDefault="00273897" w:rsidP="00D404F8">
            <w:pPr>
              <w:widowControl/>
              <w:snapToGrid w:val="0"/>
              <w:jc w:val="center"/>
              <w:rPr>
                <w:rFonts w:ascii="標楷體" w:eastAsia="標楷體" w:hAnsi="標楷體" w:cs="新細明體"/>
                <w:kern w:val="0"/>
                <w:szCs w:val="24"/>
              </w:rPr>
            </w:pPr>
            <w:r w:rsidRPr="008F7885">
              <w:rPr>
                <w:rFonts w:ascii="標楷體" w:eastAsia="標楷體" w:hAnsi="標楷體" w:cs="新細明體" w:hint="eastAsia"/>
                <w:kern w:val="0"/>
                <w:szCs w:val="24"/>
              </w:rPr>
              <w:t>國訓中心</w:t>
            </w:r>
          </w:p>
        </w:tc>
        <w:tc>
          <w:tcPr>
            <w:tcW w:w="1640" w:type="dxa"/>
            <w:shd w:val="clear" w:color="auto" w:fill="auto"/>
          </w:tcPr>
          <w:p w:rsidR="00273897" w:rsidRPr="008F7885" w:rsidRDefault="00273897" w:rsidP="00273897">
            <w:pPr>
              <w:widowControl/>
              <w:snapToGrid w:val="0"/>
              <w:jc w:val="center"/>
              <w:rPr>
                <w:rFonts w:ascii="標楷體" w:eastAsia="標楷體" w:hAnsi="標楷體" w:cs="新細明體"/>
                <w:kern w:val="0"/>
                <w:szCs w:val="24"/>
              </w:rPr>
            </w:pPr>
            <w:r w:rsidRPr="008F7885">
              <w:rPr>
                <w:rFonts w:ascii="標楷體" w:eastAsia="標楷體" w:hAnsi="標楷體" w:cs="新細明體" w:hint="eastAsia"/>
                <w:kern w:val="0"/>
                <w:szCs w:val="24"/>
              </w:rPr>
              <w:t>1</w:t>
            </w:r>
            <w:r w:rsidRPr="008F7885">
              <w:rPr>
                <w:rFonts w:ascii="標楷體" w:eastAsia="標楷體" w:hAnsi="標楷體" w:cs="新細明體"/>
                <w:kern w:val="0"/>
                <w:szCs w:val="24"/>
              </w:rPr>
              <w:t>,752,116</w:t>
            </w:r>
          </w:p>
        </w:tc>
        <w:tc>
          <w:tcPr>
            <w:tcW w:w="1323" w:type="dxa"/>
            <w:shd w:val="clear" w:color="auto" w:fill="auto"/>
          </w:tcPr>
          <w:p w:rsidR="00273897" w:rsidRPr="008F7885" w:rsidRDefault="00273897" w:rsidP="00273897">
            <w:pPr>
              <w:widowControl/>
              <w:snapToGrid w:val="0"/>
              <w:jc w:val="center"/>
              <w:rPr>
                <w:rFonts w:ascii="標楷體" w:eastAsia="標楷體" w:hAnsi="標楷體" w:cs="新細明體"/>
                <w:kern w:val="0"/>
                <w:szCs w:val="24"/>
              </w:rPr>
            </w:pPr>
            <w:r w:rsidRPr="008F7885">
              <w:rPr>
                <w:rFonts w:ascii="標楷體" w:eastAsia="標楷體" w:hAnsi="標楷體" w:cs="新細明體" w:hint="eastAsia"/>
                <w:kern w:val="0"/>
                <w:szCs w:val="24"/>
              </w:rPr>
              <w:t>1</w:t>
            </w:r>
            <w:r w:rsidRPr="008F7885">
              <w:rPr>
                <w:rFonts w:ascii="標楷體" w:eastAsia="標楷體" w:hAnsi="標楷體" w:cs="新細明體"/>
                <w:kern w:val="0"/>
                <w:szCs w:val="24"/>
              </w:rPr>
              <w:t>59,800</w:t>
            </w:r>
          </w:p>
        </w:tc>
        <w:tc>
          <w:tcPr>
            <w:tcW w:w="1639" w:type="dxa"/>
            <w:shd w:val="clear" w:color="auto" w:fill="auto"/>
          </w:tcPr>
          <w:p w:rsidR="00273897" w:rsidRPr="008F7885" w:rsidRDefault="00273897" w:rsidP="00273897">
            <w:pPr>
              <w:widowControl/>
              <w:snapToGrid w:val="0"/>
              <w:jc w:val="center"/>
              <w:rPr>
                <w:rFonts w:ascii="標楷體" w:eastAsia="標楷體" w:hAnsi="標楷體" w:cs="新細明體"/>
                <w:kern w:val="0"/>
                <w:szCs w:val="24"/>
              </w:rPr>
            </w:pPr>
            <w:r w:rsidRPr="008F7885">
              <w:rPr>
                <w:rFonts w:ascii="標楷體" w:eastAsia="標楷體" w:hAnsi="標楷體" w:cs="新細明體" w:hint="eastAsia"/>
                <w:kern w:val="0"/>
                <w:szCs w:val="24"/>
              </w:rPr>
              <w:t>1</w:t>
            </w:r>
            <w:r w:rsidRPr="008F7885">
              <w:rPr>
                <w:rFonts w:ascii="標楷體" w:eastAsia="標楷體" w:hAnsi="標楷體" w:cs="新細明體"/>
                <w:kern w:val="0"/>
                <w:szCs w:val="24"/>
              </w:rPr>
              <w:t>,593,316</w:t>
            </w:r>
          </w:p>
        </w:tc>
        <w:tc>
          <w:tcPr>
            <w:tcW w:w="1639" w:type="dxa"/>
            <w:shd w:val="clear" w:color="auto" w:fill="auto"/>
          </w:tcPr>
          <w:p w:rsidR="00273897" w:rsidRPr="008F7885" w:rsidRDefault="00273897" w:rsidP="00273897">
            <w:pPr>
              <w:widowControl/>
              <w:snapToGrid w:val="0"/>
              <w:jc w:val="center"/>
              <w:rPr>
                <w:rFonts w:ascii="標楷體" w:eastAsia="標楷體" w:hAnsi="標楷體" w:cs="新細明體"/>
                <w:kern w:val="0"/>
                <w:szCs w:val="24"/>
              </w:rPr>
            </w:pPr>
            <w:r w:rsidRPr="008F7885">
              <w:rPr>
                <w:rFonts w:ascii="標楷體" w:eastAsia="標楷體" w:hAnsi="標楷體" w:cs="新細明體"/>
                <w:kern w:val="0"/>
                <w:szCs w:val="24"/>
              </w:rPr>
              <w:t>1,953,116</w:t>
            </w:r>
          </w:p>
        </w:tc>
        <w:tc>
          <w:tcPr>
            <w:tcW w:w="1323" w:type="dxa"/>
            <w:shd w:val="clear" w:color="auto" w:fill="auto"/>
          </w:tcPr>
          <w:p w:rsidR="00273897" w:rsidRPr="008F7885" w:rsidRDefault="00273897" w:rsidP="00273897">
            <w:pPr>
              <w:widowControl/>
              <w:snapToGrid w:val="0"/>
              <w:jc w:val="center"/>
              <w:rPr>
                <w:rFonts w:ascii="標楷體" w:eastAsia="標楷體" w:hAnsi="標楷體" w:cs="新細明體"/>
                <w:kern w:val="0"/>
                <w:szCs w:val="24"/>
              </w:rPr>
            </w:pPr>
            <w:r w:rsidRPr="008F7885">
              <w:rPr>
                <w:rFonts w:ascii="標楷體" w:eastAsia="標楷體" w:hAnsi="標楷體" w:cs="新細明體" w:hint="eastAsia"/>
                <w:kern w:val="0"/>
                <w:szCs w:val="24"/>
              </w:rPr>
              <w:t>0</w:t>
            </w:r>
          </w:p>
        </w:tc>
        <w:tc>
          <w:tcPr>
            <w:tcW w:w="1639" w:type="dxa"/>
            <w:shd w:val="clear" w:color="auto" w:fill="auto"/>
          </w:tcPr>
          <w:p w:rsidR="00273897" w:rsidRPr="008F7885" w:rsidRDefault="00273897" w:rsidP="00273897">
            <w:pPr>
              <w:widowControl/>
              <w:snapToGrid w:val="0"/>
              <w:jc w:val="center"/>
              <w:rPr>
                <w:rFonts w:ascii="標楷體" w:eastAsia="標楷體" w:hAnsi="標楷體" w:cs="新細明體"/>
                <w:kern w:val="0"/>
                <w:szCs w:val="24"/>
              </w:rPr>
            </w:pPr>
            <w:r w:rsidRPr="008F7885">
              <w:rPr>
                <w:rFonts w:ascii="標楷體" w:eastAsia="標楷體" w:hAnsi="標楷體" w:cs="新細明體" w:hint="eastAsia"/>
                <w:kern w:val="0"/>
                <w:szCs w:val="24"/>
              </w:rPr>
              <w:t>1</w:t>
            </w:r>
            <w:r w:rsidRPr="008F7885">
              <w:rPr>
                <w:rFonts w:ascii="標楷體" w:eastAsia="標楷體" w:hAnsi="標楷體" w:cs="新細明體"/>
                <w:kern w:val="0"/>
                <w:szCs w:val="24"/>
              </w:rPr>
              <w:t>,953,116</w:t>
            </w:r>
          </w:p>
        </w:tc>
      </w:tr>
      <w:tr w:rsidR="00273897" w:rsidRPr="008F7885" w:rsidTr="00273897">
        <w:tc>
          <w:tcPr>
            <w:tcW w:w="533" w:type="dxa"/>
            <w:shd w:val="clear" w:color="auto" w:fill="auto"/>
          </w:tcPr>
          <w:p w:rsidR="00273897" w:rsidRPr="008F7885" w:rsidRDefault="00273897" w:rsidP="00D404F8">
            <w:pPr>
              <w:widowControl/>
              <w:snapToGrid w:val="0"/>
              <w:jc w:val="center"/>
              <w:rPr>
                <w:rFonts w:ascii="標楷體" w:eastAsia="標楷體" w:hAnsi="標楷體" w:cs="新細明體"/>
                <w:kern w:val="0"/>
                <w:szCs w:val="24"/>
              </w:rPr>
            </w:pPr>
            <w:r w:rsidRPr="008F7885">
              <w:rPr>
                <w:rFonts w:ascii="標楷體" w:eastAsia="標楷體" w:hAnsi="標楷體" w:cs="新細明體" w:hint="eastAsia"/>
                <w:kern w:val="0"/>
                <w:szCs w:val="24"/>
              </w:rPr>
              <w:t>全民運動</w:t>
            </w:r>
          </w:p>
        </w:tc>
        <w:tc>
          <w:tcPr>
            <w:tcW w:w="1640" w:type="dxa"/>
            <w:shd w:val="clear" w:color="auto" w:fill="auto"/>
          </w:tcPr>
          <w:p w:rsidR="00273897" w:rsidRPr="008F7885" w:rsidRDefault="00273897" w:rsidP="00273897">
            <w:pPr>
              <w:widowControl/>
              <w:snapToGrid w:val="0"/>
              <w:jc w:val="center"/>
              <w:rPr>
                <w:rFonts w:ascii="標楷體" w:eastAsia="標楷體" w:hAnsi="標楷體" w:cs="新細明體"/>
                <w:kern w:val="0"/>
                <w:szCs w:val="24"/>
              </w:rPr>
            </w:pPr>
            <w:r w:rsidRPr="008F7885">
              <w:rPr>
                <w:rFonts w:ascii="標楷體" w:eastAsia="標楷體" w:hAnsi="標楷體" w:cs="新細明體" w:hint="eastAsia"/>
                <w:kern w:val="0"/>
                <w:szCs w:val="24"/>
              </w:rPr>
              <w:t>1</w:t>
            </w:r>
            <w:r w:rsidRPr="008F7885">
              <w:rPr>
                <w:rFonts w:ascii="標楷體" w:eastAsia="標楷體" w:hAnsi="標楷體" w:cs="新細明體"/>
                <w:kern w:val="0"/>
                <w:szCs w:val="24"/>
              </w:rPr>
              <w:t>,296,726</w:t>
            </w:r>
          </w:p>
        </w:tc>
        <w:tc>
          <w:tcPr>
            <w:tcW w:w="1323" w:type="dxa"/>
            <w:shd w:val="clear" w:color="auto" w:fill="auto"/>
          </w:tcPr>
          <w:p w:rsidR="00273897" w:rsidRPr="008F7885" w:rsidRDefault="00273897" w:rsidP="00273897">
            <w:pPr>
              <w:widowControl/>
              <w:snapToGrid w:val="0"/>
              <w:jc w:val="center"/>
              <w:rPr>
                <w:rFonts w:ascii="標楷體" w:eastAsia="標楷體" w:hAnsi="標楷體" w:cs="新細明體"/>
                <w:kern w:val="0"/>
                <w:szCs w:val="24"/>
              </w:rPr>
            </w:pPr>
            <w:r w:rsidRPr="008F7885">
              <w:rPr>
                <w:rFonts w:ascii="標楷體" w:eastAsia="標楷體" w:hAnsi="標楷體" w:cs="新細明體" w:hint="eastAsia"/>
                <w:kern w:val="0"/>
                <w:szCs w:val="24"/>
              </w:rPr>
              <w:t>1</w:t>
            </w:r>
            <w:r w:rsidRPr="008F7885">
              <w:rPr>
                <w:rFonts w:ascii="標楷體" w:eastAsia="標楷體" w:hAnsi="標楷體" w:cs="新細明體"/>
                <w:kern w:val="0"/>
                <w:szCs w:val="24"/>
              </w:rPr>
              <w:t>95,357</w:t>
            </w:r>
          </w:p>
        </w:tc>
        <w:tc>
          <w:tcPr>
            <w:tcW w:w="1639" w:type="dxa"/>
            <w:shd w:val="clear" w:color="auto" w:fill="auto"/>
          </w:tcPr>
          <w:p w:rsidR="00273897" w:rsidRPr="008F7885" w:rsidRDefault="00273897" w:rsidP="00273897">
            <w:pPr>
              <w:widowControl/>
              <w:snapToGrid w:val="0"/>
              <w:jc w:val="center"/>
              <w:rPr>
                <w:rFonts w:ascii="標楷體" w:eastAsia="標楷體" w:hAnsi="標楷體" w:cs="新細明體"/>
                <w:kern w:val="0"/>
                <w:szCs w:val="24"/>
              </w:rPr>
            </w:pPr>
            <w:r w:rsidRPr="008F7885">
              <w:rPr>
                <w:rFonts w:ascii="標楷體" w:eastAsia="標楷體" w:hAnsi="標楷體" w:cs="新細明體" w:hint="eastAsia"/>
                <w:kern w:val="0"/>
                <w:szCs w:val="24"/>
              </w:rPr>
              <w:t>1</w:t>
            </w:r>
            <w:r w:rsidRPr="008F7885">
              <w:rPr>
                <w:rFonts w:ascii="標楷體" w:eastAsia="標楷體" w:hAnsi="標楷體" w:cs="新細明體"/>
                <w:kern w:val="0"/>
                <w:szCs w:val="24"/>
              </w:rPr>
              <w:t>,101,369</w:t>
            </w:r>
          </w:p>
        </w:tc>
        <w:tc>
          <w:tcPr>
            <w:tcW w:w="1639" w:type="dxa"/>
            <w:shd w:val="clear" w:color="auto" w:fill="auto"/>
          </w:tcPr>
          <w:p w:rsidR="00273897" w:rsidRPr="008F7885" w:rsidRDefault="00273897" w:rsidP="00273897">
            <w:pPr>
              <w:widowControl/>
              <w:snapToGrid w:val="0"/>
              <w:jc w:val="center"/>
              <w:rPr>
                <w:rFonts w:ascii="標楷體" w:eastAsia="標楷體" w:hAnsi="標楷體" w:cs="新細明體"/>
                <w:kern w:val="0"/>
                <w:szCs w:val="24"/>
              </w:rPr>
            </w:pPr>
            <w:r w:rsidRPr="008F7885">
              <w:rPr>
                <w:rFonts w:ascii="標楷體" w:eastAsia="標楷體" w:hAnsi="標楷體" w:cs="新細明體"/>
                <w:kern w:val="0"/>
                <w:szCs w:val="24"/>
              </w:rPr>
              <w:t>1,210,702</w:t>
            </w:r>
          </w:p>
        </w:tc>
        <w:tc>
          <w:tcPr>
            <w:tcW w:w="1323" w:type="dxa"/>
            <w:shd w:val="clear" w:color="auto" w:fill="auto"/>
          </w:tcPr>
          <w:p w:rsidR="00273897" w:rsidRPr="008F7885" w:rsidRDefault="00273897" w:rsidP="00273897">
            <w:pPr>
              <w:widowControl/>
              <w:snapToGrid w:val="0"/>
              <w:jc w:val="center"/>
              <w:rPr>
                <w:rFonts w:ascii="標楷體" w:eastAsia="標楷體" w:hAnsi="標楷體" w:cs="新細明體"/>
                <w:kern w:val="0"/>
                <w:szCs w:val="24"/>
              </w:rPr>
            </w:pPr>
            <w:r w:rsidRPr="008F7885">
              <w:rPr>
                <w:rFonts w:ascii="標楷體" w:eastAsia="標楷體" w:hAnsi="標楷體" w:cs="新細明體"/>
                <w:kern w:val="0"/>
                <w:szCs w:val="24"/>
              </w:rPr>
              <w:t>284,557</w:t>
            </w:r>
          </w:p>
        </w:tc>
        <w:tc>
          <w:tcPr>
            <w:tcW w:w="1639" w:type="dxa"/>
            <w:shd w:val="clear" w:color="auto" w:fill="auto"/>
          </w:tcPr>
          <w:p w:rsidR="00273897" w:rsidRPr="008F7885" w:rsidRDefault="00273897" w:rsidP="00273897">
            <w:pPr>
              <w:widowControl/>
              <w:snapToGrid w:val="0"/>
              <w:jc w:val="center"/>
              <w:rPr>
                <w:rFonts w:ascii="標楷體" w:eastAsia="標楷體" w:hAnsi="標楷體" w:cs="新細明體"/>
                <w:kern w:val="0"/>
                <w:szCs w:val="24"/>
              </w:rPr>
            </w:pPr>
            <w:r w:rsidRPr="008F7885">
              <w:rPr>
                <w:rFonts w:ascii="標楷體" w:eastAsia="標楷體" w:hAnsi="標楷體" w:cs="新細明體" w:hint="eastAsia"/>
                <w:kern w:val="0"/>
                <w:szCs w:val="24"/>
              </w:rPr>
              <w:t>9</w:t>
            </w:r>
            <w:r w:rsidRPr="008F7885">
              <w:rPr>
                <w:rFonts w:ascii="標楷體" w:eastAsia="標楷體" w:hAnsi="標楷體" w:cs="新細明體"/>
                <w:kern w:val="0"/>
                <w:szCs w:val="24"/>
              </w:rPr>
              <w:t>26,145</w:t>
            </w:r>
          </w:p>
        </w:tc>
      </w:tr>
    </w:tbl>
    <w:p w:rsidR="00273897" w:rsidRPr="008F7885" w:rsidRDefault="00273897" w:rsidP="00273897">
      <w:pPr>
        <w:widowControl/>
        <w:snapToGrid w:val="0"/>
        <w:jc w:val="right"/>
        <w:rPr>
          <w:rFonts w:ascii="標楷體" w:eastAsia="標楷體" w:hAnsi="標楷體" w:cs="新細明體"/>
          <w:kern w:val="0"/>
          <w:sz w:val="20"/>
        </w:rPr>
      </w:pPr>
      <w:r w:rsidRPr="008F7885">
        <w:rPr>
          <w:rFonts w:ascii="標楷體" w:eastAsia="標楷體" w:hAnsi="標楷體" w:cs="新細明體" w:hint="eastAsia"/>
          <w:kern w:val="0"/>
          <w:sz w:val="20"/>
        </w:rPr>
        <w:t>（本表單位：千元）</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 xml:space="preserve">        全民運動風氣不興，無法保障全體國民身心健康，且運動消費習慣難以培養、運動事業欠缺商機，長期下來導致運動員養成僅能大幅度依靠政府補助、運動產業難以自立。請體育署提高對全民運動資源投入，補強全民運動之不足，使相關業務得以順暢推動辦理。爰要求教育部體育署針對上述建議進行研議提出具體方案，並於3個月內向立法院教育及文化委員提出書面報告。414</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提案人：吳思瑤</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連署人：林宜瑾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(十九)近年教育部體育署於執行體育文物保存之政策上，均以數位典藏作為主要方向，惟相關之執行仍多以少數之頂尖運動</w:t>
      </w:r>
      <w:r w:rsidRPr="008F7885">
        <w:rPr>
          <w:rFonts w:ascii="標楷體" w:eastAsia="標楷體" w:hAnsi="標楷體" w:hint="eastAsia"/>
          <w:sz w:val="32"/>
          <w:szCs w:val="32"/>
        </w:rPr>
        <w:lastRenderedPageBreak/>
        <w:t>員為主。考慮到體育相關具價值性文物不僅為體壇名宿所有，亦有可能存於相關行動者手中，然隨著長輩的凋零遠逝，如文物未能找到合適對象託付，則多數狀況下均會遭無法識別文物價值之家屬所丟棄，造成體育文物保存上不可回復之遺憾。爰請教育部體育署於國家體育博物館建置前，研議提供一實體平台與空間，提供珍貴體育文物持有者主動捐贈提供，並於3個月內向立法院教育及文化委員會提出書面報告。415</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提案人：范  雲</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連署人：吳思瑤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二十)「國民體育法」於106年修正後，即要求各單項協會基於民主開放原則，應於半年內修正章程進行改選，其中迄今僅有中華民國足球協會因當時相關修正內容受國際組織約束，與執行細節未獲同意，暫緩相關章程修正之實施。然在111年中華民國足球協會提出兼具民主開放、擴大參與並融入性平原則之章程修正版本，如理事會女性成員需至少三分之一、團體會員具2席以上應充分保障不同性別之發聲可能，相關章程版本亦獲國際足總高度肯定，惟最終因部分地方足委會與聯賽球隊之保守抵抗，致使章程無法順利修正，形成公然違法之事實。為捍衛「國民體育法」之立法精神，並鼓勵單項協會對於性平精神之追求，請教育部體育署針對前述狀況之改善與獎懲機制進行討論，並於2個月內向立法院教育及文化委員會提出書面報告。416</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提案人：范  雲</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連署人：吳思瑤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(二十一)運動員工會作為運動員權益之倡議先鋒，放眼國際均然，如美國女足工會為球員爭取兩性同工同酬之著名事蹟、美國職棒近年為小聯盟球員權益保障催生小聯盟球員工會，</w:t>
      </w:r>
      <w:r w:rsidRPr="008F7885">
        <w:rPr>
          <w:rFonts w:ascii="標楷體" w:eastAsia="標楷體" w:hAnsi="標楷體" w:hint="eastAsia"/>
          <w:sz w:val="32"/>
          <w:szCs w:val="32"/>
        </w:rPr>
        <w:lastRenderedPageBreak/>
        <w:t>而我國既有之運動員工會雖僅具雛型，但鑑於我國運動產業日益蓬勃，職業與業餘運動之勞資爭議亦不免日漸升溫，而相關之運動員工會亦於近年陸續成立，並扮演捍衛運動員權益，倡議相關制度改善之角色。考量運動員工會做為保護選手權益之重要性，以及目前相關工會於營運上仍屬艱困之情形下，基於政府厚植運動產業能量，並鼓勵組織培力以及健全運動產業生態之概念，請教育部體育署於</w:t>
      </w:r>
      <w:r w:rsidRPr="008F7885">
        <w:rPr>
          <w:rFonts w:ascii="標楷體" w:eastAsia="標楷體" w:hAnsi="標楷體"/>
          <w:sz w:val="32"/>
          <w:szCs w:val="32"/>
        </w:rPr>
        <w:t>6</w:t>
      </w:r>
      <w:r w:rsidRPr="008F7885">
        <w:rPr>
          <w:rFonts w:ascii="標楷體" w:eastAsia="標楷體" w:hAnsi="標楷體" w:hint="eastAsia"/>
          <w:sz w:val="32"/>
          <w:szCs w:val="32"/>
        </w:rPr>
        <w:t>個月內，研議運動員工會職能課程等教育訓練補助相關辦法，並向立法院教育及文化委員會提出書面報告。417</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提案人：范  雲</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連署人：吳思瑤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二十二)臺灣106至111年7月底，高級中等以下學校學生遇溺、受傷、失蹤及溺水死亡人數計有207人、溺水死亡學生人數計82人，以學制觀之，該期間國小學生計有26人溺水死亡、國中計有27人溺水死亡、高中職則有29人溺水死亡。教育部體育署配合108課綱修正，並參考國際游泳與自救趨勢，110年修正「全國中、小學生游泳與自救能力基本指標」惟課綱修正與國中、小學生游泳與自救能力指標內容變更，應同時整備教師/教練相關先備知識與能力培養，以達成課綱修正目標。爰此，請教育部體育署於112年1月底前提出教授學校游泳課程之體育教師/游泳教練防溺教育教學相關先備知識提升計畫，並於112學年度開始前執行完成50%體育教師/游泳教練完成相關先備知識訓練，並向立法院教育及文化委員會提出書面報告。418</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提案人：范  雲</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連署人：吳思瑤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(二十三)經查中華奧林匹克委員會近年與國際之往來，定期雙邊交流多以中國奧林匹克委員會為大宗，於2020年嚴重特殊傳</w:t>
      </w:r>
      <w:r w:rsidRPr="008F7885">
        <w:rPr>
          <w:rFonts w:ascii="標楷體" w:eastAsia="標楷體" w:hAnsi="標楷體" w:hint="eastAsia"/>
          <w:sz w:val="32"/>
          <w:szCs w:val="32"/>
        </w:rPr>
        <w:lastRenderedPageBreak/>
        <w:t>染性肺炎疫情蔓延於全球之前，每年均有6來6往之規劃。然國際體育之交流並非僅限於中國，且因中國宣布將持續實施動態清零之要求，相關之交流亦將受到影響。為鼓勵國際交流委辦費用擴大投入我國與世界之連結，並於中國動態清零政策未取消之際，教育部體育署應積極輔導中華奧林匹克委員會拓展我國與其他國家之合作可能，以提高與其他國家之交流比例。爰請教育部體育署於3個月內向立法院教育及文化委員會提出書面報告。419</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連署人：林宜瑾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二十四)鑑於近年全國運動會出現因足球賽事休息日數過少，導致球員受傷狀況頻傳，進而影響國家隊戰力以及選手生涯問題，雖經中華民國足球協會屢次反映，惟相關意見未受主辦單位教育部體育署採納。另查，考量全運會之辦理係以參考亞奧運之賽事規定為原則，惟全國運動會有關男子足球之球員組成規定卻未比照亞、奧林匹克運動會足球賽事以U23輔以3名超齡球員之規範辦理，顯有脫節於國際之情形。爰請教育部體育署於3個月內向立法院教育及文化委員會提出書面報告。420</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連署人：林宜瑾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二十五)鑑於我國運動產業日益蓬勃，職業與業餘運動之勞資爭議討論亦不免日漸升溫，相關之運動員工會因而於近年陸續成立，扮演捍衛運動員權益及倡議制度改善之角色。考量運動員工會做為保護選手權益之重要性，基於政府厚植運動產業能量，並鼓勵組織培力以健全運動產業生態之概念，請教育部體育署於</w:t>
      </w:r>
      <w:r w:rsidRPr="008F7885">
        <w:rPr>
          <w:rFonts w:ascii="標楷體" w:eastAsia="標楷體" w:hAnsi="標楷體"/>
          <w:sz w:val="32"/>
          <w:szCs w:val="32"/>
        </w:rPr>
        <w:t>6</w:t>
      </w:r>
      <w:r w:rsidRPr="008F7885">
        <w:rPr>
          <w:rFonts w:ascii="標楷體" w:eastAsia="標楷體" w:hAnsi="標楷體" w:hint="eastAsia"/>
          <w:sz w:val="32"/>
          <w:szCs w:val="32"/>
        </w:rPr>
        <w:t>個月內研議112年辦理運動員工會職能課程等教育訓練補助之可行性，並向立法院教育及文化委員會提</w:t>
      </w:r>
      <w:r w:rsidRPr="008F7885">
        <w:rPr>
          <w:rFonts w:ascii="標楷體" w:eastAsia="標楷體" w:hAnsi="標楷體" w:hint="eastAsia"/>
          <w:sz w:val="32"/>
          <w:szCs w:val="32"/>
        </w:rPr>
        <w:lastRenderedPageBreak/>
        <w:t>出書面報告。421</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連署人：林宜瑾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二十六)鑑於「千足計畫」為國內首例經公共政策網路參與平臺成案之公民倡議體育政策。惟成案至今已逾1年，主責機關之教育部體育署卻未與倡議人進行積極洽詢，致使參與連署之民眾對於體育署施政效能有所質疑。另查，體育署所提之成果報告除與實際倡議內容顯有落差外，其執行方式，體育署亦以申請國家發展委員會公共建設計畫做為回應，未落實納入公務預算編列或既有整建經費等方式辦理。爰請教育部體育署於3個月內向立法院教育及文化委員會提出書面報告。422</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連署人：林宜瑾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二十七)鑑於足球做為國際最盛行之運動，教育部體育署於2017年提出「足球六年計畫」，計畫目標為「六年內我國足球世界排名達到100名以內」，並以健全國家隊選訓賽輔、推動企業足球（半職業運動發展）、完善硬體設施及鼓勵各級學校籌組足球隊等四大主軸範疇，作為執行策略。惟查，該計畫歷經3年之執行，除國際排名之提升尚無法達成目標外，預算執行亦未能到位，相關執行策略多遭國內足球從業人員質疑。其中尤以體育署學校體育組於各項學校聯賽之參賽補助與賽事辦理時，出現學校為求補助浮濫報名，導致50:0等毫無品質之賽事結果時有所見。究其原因，即為體育署無視現行俱樂部足球之發展，盲目追求參賽隊伍數量做為KPI所致。為避免台灣足球發展資源淪為虛耗，重蹈過去「足球元年」等計畫之覆轍，體育署應積極與我國之國際窗口足球協會合作，定期召開討論會議，以提高投入資源之效益，並進</w:t>
      </w:r>
      <w:r w:rsidRPr="008F7885">
        <w:rPr>
          <w:rFonts w:ascii="標楷體" w:eastAsia="標楷體" w:hAnsi="標楷體" w:hint="eastAsia"/>
          <w:sz w:val="32"/>
          <w:szCs w:val="32"/>
        </w:rPr>
        <w:lastRenderedPageBreak/>
        <w:t>一步與國際趨勢接軌。爰此，針對體育署補助辦理之「足球六年計畫回顧與展望」座談會所提成果報告，請教育部體育署回應後續執行修正做法，並就改善策略於</w:t>
      </w:r>
      <w:r w:rsidRPr="008F7885">
        <w:rPr>
          <w:rFonts w:ascii="標楷體" w:eastAsia="標楷體" w:hAnsi="標楷體"/>
          <w:sz w:val="32"/>
          <w:szCs w:val="32"/>
        </w:rPr>
        <w:t>6</w:t>
      </w:r>
      <w:r w:rsidRPr="008F7885">
        <w:rPr>
          <w:rFonts w:ascii="標楷體" w:eastAsia="標楷體" w:hAnsi="標楷體" w:hint="eastAsia"/>
          <w:sz w:val="32"/>
          <w:szCs w:val="32"/>
        </w:rPr>
        <w:t>個月內向立法院教育及文化委員會提出書面報告。423</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連署人：林宜瑾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二十八)教育部近年編列新南向體育交流的經費，但連年執行率不佳，導致原先期望國際交流的美意無法落實。鑑於美國國務院已將「性別平等」列為白宮政策，且專設「運動外交」部門，美國在台協會亦多次支持「運動交流」，為持續提升我國於國際體壇的能見度，並加強選手競技實力、促進國際正向交流，教育部體育署宜研議將相關經費用於女子運動外交，持續讓世界看見臺灣。424</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提案人：張廖萬堅</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二十九)近年國內興建運動場館屢有缺失，導致需追加經費整修，實有不妥。目前教育部體育署訂有運動設施規劃設計及施作常見缺失參考手冊，係為107年版本，常見缺失列表已久未更新，體育署應研議更新並提供給各縣市政府作為參考及經費補助依據，並要求教育部體育署的補助案應要求：1.於規劃設計階段應要求廠商提供3</w:t>
      </w:r>
      <w:r w:rsidRPr="008F7885">
        <w:rPr>
          <w:rFonts w:ascii="標楷體" w:eastAsia="標楷體" w:hAnsi="標楷體"/>
          <w:sz w:val="32"/>
          <w:szCs w:val="32"/>
        </w:rPr>
        <w:t>D</w:t>
      </w:r>
      <w:r w:rsidRPr="008F7885">
        <w:rPr>
          <w:rFonts w:ascii="標楷體" w:eastAsia="標楷體" w:hAnsi="標楷體" w:hint="eastAsia"/>
          <w:sz w:val="32"/>
          <w:szCs w:val="32"/>
        </w:rPr>
        <w:t>設計圖。2.規劃興建舉辦國際及國內比賽之場地，中央宜督導規劃設計，避免完工後卻無法進行比賽。3.體育署應公告歷年發生缺失之廠商。4.運動設施規範及分級分類參考手冊應蒐集美、日等國外棒壘球場設計圖說（大中小型）及增加看台設計。俾利日後運動場館興建能順利完工啟用。425</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提案人：張廖萬堅</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lastRenderedPageBreak/>
        <w:t>(三十)依「國民體育法」第13條授權訂定的「教育部體育署辦理國際體育交流活動補助作業要點」規定，補助種類限體育團體及直轄市、縣（市）政府舉辦之國際單項運動賽會，至少有5個國家或地區以上隊伍參加。此一規定導致倘若辦理台、日、韓交流賽就不算是體育署國際體育交流活動補助的範疇。但以「教育部補助辦理國際學術教育交流活動實施要點」為例，其針對國內辦理之國際學術研討會、研習營或學術講座，規定參與國家應有3國以上</w:t>
      </w:r>
      <w:r w:rsidRPr="008F7885">
        <w:rPr>
          <w:rFonts w:ascii="標楷體" w:eastAsia="標楷體" w:hAnsi="標楷體"/>
          <w:sz w:val="32"/>
          <w:szCs w:val="32"/>
        </w:rPr>
        <w:t>(</w:t>
      </w:r>
      <w:r w:rsidRPr="008F7885">
        <w:rPr>
          <w:rFonts w:ascii="標楷體" w:eastAsia="標楷體" w:hAnsi="標楷體" w:hint="eastAsia"/>
          <w:sz w:val="32"/>
          <w:szCs w:val="32"/>
        </w:rPr>
        <w:t>包括地主國，不包括大陸、港、澳等地區</w:t>
      </w:r>
      <w:r w:rsidRPr="008F7885">
        <w:rPr>
          <w:rFonts w:ascii="標楷體" w:eastAsia="標楷體" w:hAnsi="標楷體"/>
          <w:sz w:val="32"/>
          <w:szCs w:val="32"/>
        </w:rPr>
        <w:t>)</w:t>
      </w:r>
      <w:r w:rsidRPr="008F7885">
        <w:rPr>
          <w:rFonts w:ascii="標楷體" w:eastAsia="標楷體" w:hAnsi="標楷體" w:hint="eastAsia"/>
          <w:sz w:val="32"/>
          <w:szCs w:val="32"/>
        </w:rPr>
        <w:t>，再以「國家科學及技術委員會補助國內舉辦國際學術研討會作業要點」為例，其針對國際學術研討會定義為至少應有2個以上國家或地區(不含中國大陸、香港及澳門)之外籍專家學者來台參與研討會。唯獨體育署的國際體育交流活動要5國以上，且要入境才列入計算，原先已在台的外籍人士選手不列入計算，標準過於嚴苛，不利於民間團體辦理國際交流活動，爰請教育部體育署於3個月內研議放寬補助標準，以利辦理國際體育交流活動。426</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提案人：張廖萬堅</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(三十一)為促進運動產業發展、培養國人參與體育運動的習慣，教育部體育署應研議參考藝fun券常態化的構想，研議將動滋券常態化，由政府拋磚引玉，長期培養國人做運動、看比賽的習慣。427</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提案人：張廖萬堅</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三十二)現今諸多優秀教練會在國家運動訓練中心服務，日後才考取學校專任運動教練，但其於國訓中心服務之年資卻無法採計為專任教練年資，影響其權益。鑑於公務人員若曾任職等相當、性質相近、服務成績優良，其年資得以採計提敘俸</w:t>
      </w:r>
      <w:r w:rsidRPr="008F7885">
        <w:rPr>
          <w:rFonts w:ascii="標楷體" w:eastAsia="標楷體" w:hAnsi="標楷體" w:hint="eastAsia"/>
          <w:sz w:val="32"/>
          <w:szCs w:val="32"/>
        </w:rPr>
        <w:lastRenderedPageBreak/>
        <w:t>級，爰請教育部體育署研議將行政法人國家運動訓練中心教練年資採納為專任教練年資。428</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提案人：張廖萬堅</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(三十三)我國政府規劃就業金卡制度，以利外籍專業人士來臺服務就業，教育部體育署亦有參與此一規劃，但自107年就業金卡制度上路以來，至111年9月底全台已累計核卡6</w:t>
      </w:r>
      <w:r w:rsidRPr="008F7885">
        <w:rPr>
          <w:rFonts w:ascii="標楷體" w:eastAsia="標楷體" w:hAnsi="標楷體"/>
          <w:sz w:val="32"/>
          <w:szCs w:val="32"/>
        </w:rPr>
        <w:t>,</w:t>
      </w:r>
      <w:r w:rsidRPr="008F7885">
        <w:rPr>
          <w:rFonts w:ascii="標楷體" w:eastAsia="標楷體" w:hAnsi="標楷體" w:hint="eastAsia"/>
          <w:sz w:val="32"/>
          <w:szCs w:val="32"/>
        </w:rPr>
        <w:t>004人次，其中屬於體育專業的僅3人次，就業金卡制度幾乎形同虛設，對我國推動體育運動助益不大。教育部體育署應檢討並調整體育就業金卡申請門檻，以利外籍體育運動專才來臺服務。429</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提案人：張廖萬堅</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陳秀寳</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(三十四)112年度教育部體育署「體育教育推展」項下「加強學校體育活動及教學發展」中「體育新南向-學校體育交流」預算編列8</w:t>
      </w:r>
      <w:r w:rsidRPr="008F7885">
        <w:rPr>
          <w:rFonts w:ascii="標楷體" w:eastAsia="標楷體" w:hAnsi="標楷體"/>
          <w:sz w:val="32"/>
          <w:szCs w:val="32"/>
        </w:rPr>
        <w:t>,</w:t>
      </w:r>
      <w:r w:rsidRPr="008F7885">
        <w:rPr>
          <w:rFonts w:ascii="標楷體" w:eastAsia="標楷體" w:hAnsi="標楷體" w:hint="eastAsia"/>
          <w:sz w:val="32"/>
          <w:szCs w:val="32"/>
        </w:rPr>
        <w:t>200萬元，用於體育新南向政策，預計辦理學校運動團隊雙向交流、學校體育運動參訪雙向交流及運動賽事交流等，然該計畫於109年度僅執行1</w:t>
      </w:r>
      <w:r w:rsidRPr="008F7885">
        <w:rPr>
          <w:rFonts w:ascii="標楷體" w:eastAsia="標楷體" w:hAnsi="標楷體"/>
          <w:sz w:val="32"/>
          <w:szCs w:val="32"/>
        </w:rPr>
        <w:t>,</w:t>
      </w:r>
      <w:r w:rsidRPr="008F7885">
        <w:rPr>
          <w:rFonts w:ascii="標楷體" w:eastAsia="標楷體" w:hAnsi="標楷體" w:hint="eastAsia"/>
          <w:sz w:val="32"/>
          <w:szCs w:val="32"/>
        </w:rPr>
        <w:t>290萬元、110年度亦僅執行239萬9千元，111年度目前也僅執行594萬元，112年度編列8</w:t>
      </w:r>
      <w:r w:rsidRPr="008F7885">
        <w:rPr>
          <w:rFonts w:ascii="標楷體" w:eastAsia="標楷體" w:hAnsi="標楷體"/>
          <w:sz w:val="32"/>
          <w:szCs w:val="32"/>
        </w:rPr>
        <w:t>,</w:t>
      </w:r>
      <w:r w:rsidRPr="008F7885">
        <w:rPr>
          <w:rFonts w:ascii="標楷體" w:eastAsia="標楷體" w:hAnsi="標楷體" w:hint="eastAsia"/>
          <w:sz w:val="32"/>
          <w:szCs w:val="32"/>
        </w:rPr>
        <w:t>200萬元恐仍難執行完畢，請教育部體育署於3個月內向立法院教育及文化委員會提出書面報告，以落實預算執行、達成交流目的。</w:t>
      </w:r>
      <w:r w:rsidRPr="008F7885">
        <w:rPr>
          <w:rFonts w:ascii="標楷體" w:eastAsia="標楷體" w:hAnsi="標楷體"/>
          <w:sz w:val="32"/>
          <w:szCs w:val="32"/>
        </w:rPr>
        <w:t>335</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提案人：張廖萬堅</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何欣純  陳秀寳</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(三十五)112年度教育部體育署「體育教育推展」項下「加強學校體育活動及發展」預算編列35億7</w:t>
      </w:r>
      <w:r w:rsidRPr="008F7885">
        <w:rPr>
          <w:rFonts w:ascii="標楷體" w:eastAsia="標楷體" w:hAnsi="標楷體"/>
          <w:sz w:val="32"/>
          <w:szCs w:val="32"/>
        </w:rPr>
        <w:t>,</w:t>
      </w:r>
      <w:r w:rsidRPr="008F7885">
        <w:rPr>
          <w:rFonts w:ascii="標楷體" w:eastAsia="標楷體" w:hAnsi="標楷體" w:hint="eastAsia"/>
          <w:sz w:val="32"/>
          <w:szCs w:val="32"/>
        </w:rPr>
        <w:t>027萬3千元，體育署為配合教育部降低學生溺水事件發生之件數，持續推動有關學校游泳教學及水域安全教育，經查高級中等學校以下仍有</w:t>
      </w:r>
      <w:r w:rsidRPr="008F7885">
        <w:rPr>
          <w:rFonts w:ascii="標楷體" w:eastAsia="標楷體" w:hAnsi="標楷體" w:hint="eastAsia"/>
          <w:sz w:val="32"/>
          <w:szCs w:val="32"/>
        </w:rPr>
        <w:lastRenderedPageBreak/>
        <w:t>三成未實施游泳教學，又，106至111年度截至7月止，遇溺、受傷及失蹤人數計有207人；溺水死亡人數計有82人，體育署應了解未辦理學校之困難並研謀改善計畫。爰此，請教育部體育署於3個月內向立法院教育及文化委員會提出書面報告。</w:t>
      </w:r>
      <w:r w:rsidRPr="008F7885">
        <w:rPr>
          <w:rFonts w:ascii="標楷體" w:eastAsia="標楷體" w:hAnsi="標楷體"/>
          <w:sz w:val="32"/>
          <w:szCs w:val="32"/>
        </w:rPr>
        <w:t>340</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提案人：陳秀寳</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連署人：吳思瑤  黃國書</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(三十六)112年度教育部體育署「體育教育推展」項下「加強學校體育活動及教學發展」中「業務費」預算編列4億3</w:t>
      </w:r>
      <w:r w:rsidRPr="008F7885">
        <w:rPr>
          <w:rFonts w:ascii="標楷體" w:eastAsia="標楷體" w:hAnsi="標楷體"/>
          <w:sz w:val="32"/>
          <w:szCs w:val="32"/>
        </w:rPr>
        <w:t>,</w:t>
      </w:r>
      <w:r w:rsidRPr="008F7885">
        <w:rPr>
          <w:rFonts w:ascii="標楷體" w:eastAsia="標楷體" w:hAnsi="標楷體" w:hint="eastAsia"/>
          <w:sz w:val="32"/>
          <w:szCs w:val="32"/>
        </w:rPr>
        <w:t>288萬5千元。鑑於近年體育班及體育校隊發生性平事件頻傳，自103年以來，高中以下體育班、運動代表隊經通報性平事件共計548件，監察院亦於110年提出調查報告指出，體育班、體育校隊通報案件僅占全國1.06%，質疑其中仍有黑數存在，要求教育部應確實掌握，研議對策並檢討改進。顯見體育署現行之評鑑、訪視及相關政策制定方式與實務需求具有落差，允宜檢討改善，並針對運動選手提供適宜之性平教育。爰請教育部體育署於3個月內向立法院教育及文化委員會提出書面報告。</w:t>
      </w:r>
      <w:r w:rsidRPr="008F7885">
        <w:rPr>
          <w:rFonts w:ascii="標楷體" w:eastAsia="標楷體" w:hAnsi="標楷體"/>
          <w:sz w:val="32"/>
          <w:szCs w:val="32"/>
        </w:rPr>
        <w:t>342</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連署人：林宜瑾  陳秀寳  張廖萬堅</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(三十七)112年度教育部體育署「體育教育推展」項下「加強學校體育活動及教學發展」中「推動學校體育運動專業發展」之「推動學生游泳與自救教學及水域安全教學」預算編列2億7</w:t>
      </w:r>
      <w:r w:rsidRPr="008F7885">
        <w:rPr>
          <w:rFonts w:ascii="標楷體" w:eastAsia="標楷體" w:hAnsi="標楷體"/>
          <w:sz w:val="32"/>
          <w:szCs w:val="32"/>
        </w:rPr>
        <w:t>,</w:t>
      </w:r>
      <w:r w:rsidRPr="008F7885">
        <w:rPr>
          <w:rFonts w:ascii="標楷體" w:eastAsia="標楷體" w:hAnsi="標楷體" w:hint="eastAsia"/>
          <w:sz w:val="32"/>
          <w:szCs w:val="32"/>
        </w:rPr>
        <w:t>265萬6千元。為推動108課綱及符合國際游泳與自救教育趨勢，體育署持續推動學校游泳教學及水域安全教育，並於110年修正「全國中、小學學生游泳與自救能力基本指標」。惟106至111年7月底止，高級中等以下學校學生遇溺、受傷、失蹤及溺水死亡情形，遇溺、受傷、失蹤學生人</w:t>
      </w:r>
      <w:r w:rsidRPr="008F7885">
        <w:rPr>
          <w:rFonts w:ascii="標楷體" w:eastAsia="標楷體" w:hAnsi="標楷體" w:hint="eastAsia"/>
          <w:sz w:val="32"/>
          <w:szCs w:val="32"/>
        </w:rPr>
        <w:lastRenderedPageBreak/>
        <w:t>數累計207人、溺水死亡學生人數累計82人。另查，110學年度高級中等以下學校共4,137校，未實施游泳教學學校計1,337校(占32.32%)。其中，以國中占47.55%最高，其次為高中職45.9%及國小24.21%。惟未實施游泳教學之學校中37校係有游泳池，體育署允宜瞭解未實施游泳教學之原因並研謀改善。另體育署應積極輔導協助未設游泳池之學校進行游泳教學，以提升學生游泳與自救能力。爰請教育部體育署於3個月內向立法院教育及文化委員會提出檢討改善書面報告。</w:t>
      </w:r>
      <w:r w:rsidRPr="008F7885">
        <w:rPr>
          <w:rFonts w:ascii="標楷體" w:eastAsia="標楷體" w:hAnsi="標楷體"/>
          <w:sz w:val="32"/>
          <w:szCs w:val="32"/>
        </w:rPr>
        <w:t>346</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連署人：林宜瑾  陳秀寳  張廖萬堅</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三十八)112年度教育部體育署「體育教育推展」項下「加強學校體育活動及教學發展」中「體育新南向-學校體育交流」預算編列8,200萬元用於擴展學校雙向體育運動交流，並透過培訓(以賽代訓、移地訓練)、辦理體育研習交流、參賽、邀請賽等工作計畫，擴展與新南向國家之體育運動交流。經查，世界各國仍受</w:t>
      </w:r>
      <w:r w:rsidRPr="008F7885">
        <w:rPr>
          <w:rFonts w:ascii="標楷體" w:eastAsia="標楷體" w:hAnsi="標楷體"/>
          <w:sz w:val="32"/>
          <w:szCs w:val="32"/>
        </w:rPr>
        <w:t>嚴重特殊傳染性肺炎</w:t>
      </w:r>
      <w:r w:rsidRPr="008F7885">
        <w:rPr>
          <w:rFonts w:ascii="標楷體" w:eastAsia="標楷體" w:hAnsi="標楷體" w:hint="eastAsia"/>
          <w:sz w:val="32"/>
          <w:szCs w:val="32"/>
        </w:rPr>
        <w:t>疫情肆虐，嚴重特殊傳染性肺炎病毒不斷變異，最新變種病毒BA.5傳染力強、潛伏期短已成為全球主流病毒，且近日我國本土疫情持續升溫，疫苗保護力亦受變異病毒影響下降，為保障選手健康安全，體育署應要求新南向交流案出國前提出完整防疫計畫。    綜上所述，請教育部體育署於3個月內向立法院教育及文化委員會提出體育新南向交流實施成效及防疫規劃之書面報告。</w:t>
      </w:r>
      <w:r w:rsidRPr="008F7885">
        <w:rPr>
          <w:rFonts w:ascii="標楷體" w:eastAsia="標楷體" w:hAnsi="標楷體"/>
          <w:sz w:val="32"/>
          <w:szCs w:val="32"/>
        </w:rPr>
        <w:t>348</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提案人：萬美玲</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連署人：鄭正鈐  林奕華  陳秀寳</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(三十九)112年度教育部體育署「體育推展教育」項下「學校特殊體育活動及教學發展」中「強化特殊體育之課程與教學」</w:t>
      </w:r>
      <w:r w:rsidRPr="008F7885">
        <w:rPr>
          <w:rFonts w:ascii="標楷體" w:eastAsia="標楷體" w:hAnsi="標楷體" w:hint="eastAsia"/>
          <w:sz w:val="32"/>
          <w:szCs w:val="32"/>
        </w:rPr>
        <w:lastRenderedPageBreak/>
        <w:t>預算編列2,910萬元，用於辦理特殊體育種子教師與專業人員培訓、發展適應體育教學模式、辦理特殊體育學術研討會之經費。 經查，身心障礙學生於校園中時常面臨特教老師不懂體育，體育老師不懂特教之現況，使得學校並無因不同障別而給予身心障礙學生適合的體育課程，顯見教育部體育署對於強化特殊體育課程與教學仍有不足之處，實應檢討並立即改善現況，增加特教老師及體育老師對特殊體育教學之專業知能。綜上所述，請教育部體育署於3個月內向立法院教育及文化委員會提出增加特教老師及體育老師對特殊體育教學之專業知能書面報告，以落實推動適應體育。</w:t>
      </w:r>
      <w:r w:rsidRPr="008F7885">
        <w:rPr>
          <w:rFonts w:ascii="標楷體" w:eastAsia="標楷體" w:hAnsi="標楷體"/>
          <w:sz w:val="32"/>
          <w:szCs w:val="32"/>
        </w:rPr>
        <w:t>350</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提案人：萬美玲</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連署人：鄭正鈐  林奕華  陳秀寳</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(四十)112年度教育部體育署「體育教育推展」項下「辦理全民體育教育」預算編列1</w:t>
      </w:r>
      <w:r w:rsidRPr="008F7885">
        <w:rPr>
          <w:rFonts w:ascii="標楷體" w:eastAsia="標楷體" w:hAnsi="標楷體"/>
          <w:sz w:val="32"/>
          <w:szCs w:val="32"/>
        </w:rPr>
        <w:t>,</w:t>
      </w:r>
      <w:r w:rsidRPr="008F7885">
        <w:rPr>
          <w:rFonts w:ascii="標楷體" w:eastAsia="標楷體" w:hAnsi="標楷體" w:hint="eastAsia"/>
          <w:sz w:val="32"/>
          <w:szCs w:val="32"/>
        </w:rPr>
        <w:t>300萬元，包括「全民休閒運動教育推廣及安全維護」</w:t>
      </w:r>
      <w:r w:rsidRPr="002D3503">
        <w:rPr>
          <w:rFonts w:ascii="標楷體" w:eastAsia="標楷體" w:hAnsi="標楷體" w:hint="eastAsia"/>
          <w:sz w:val="32"/>
          <w:szCs w:val="32"/>
        </w:rPr>
        <w:t>預算編列3</w:t>
      </w:r>
      <w:r w:rsidRPr="008F7885">
        <w:rPr>
          <w:rFonts w:ascii="標楷體" w:eastAsia="標楷體" w:hAnsi="標楷體" w:hint="eastAsia"/>
          <w:sz w:val="32"/>
          <w:szCs w:val="32"/>
        </w:rPr>
        <w:t>00萬元(含媒體政策及業務宣導經費100萬元)及「倡議及推展身心礙者i運動教育計畫」</w:t>
      </w:r>
      <w:r w:rsidRPr="002D3503">
        <w:rPr>
          <w:rFonts w:ascii="標楷體" w:eastAsia="標楷體" w:hAnsi="標楷體" w:hint="eastAsia"/>
          <w:sz w:val="32"/>
          <w:szCs w:val="32"/>
        </w:rPr>
        <w:t>預算編列</w:t>
      </w:r>
      <w:r w:rsidRPr="008F7885">
        <w:rPr>
          <w:rFonts w:ascii="標楷體" w:eastAsia="標楷體" w:hAnsi="標楷體" w:hint="eastAsia"/>
          <w:sz w:val="32"/>
          <w:szCs w:val="32"/>
        </w:rPr>
        <w:t>1</w:t>
      </w:r>
      <w:r>
        <w:rPr>
          <w:rFonts w:ascii="標楷體" w:eastAsia="標楷體" w:hAnsi="標楷體" w:hint="eastAsia"/>
          <w:sz w:val="32"/>
          <w:szCs w:val="32"/>
        </w:rPr>
        <w:t>千</w:t>
      </w:r>
      <w:r w:rsidRPr="008F7885">
        <w:rPr>
          <w:rFonts w:ascii="標楷體" w:eastAsia="標楷體" w:hAnsi="標楷體" w:hint="eastAsia"/>
          <w:sz w:val="32"/>
          <w:szCs w:val="32"/>
        </w:rPr>
        <w:t>萬元(含媒體政策及宣導經費325萬元)。媒體政策及業務宣導經費無計畫成果與效益，難以審認與推展業務具關聯性。為落實全民體育教育，請教育部體育署強化休閒運動教育推廣與身心障礙運動倡議工作，俾落實保障國民運動權。</w:t>
      </w:r>
      <w:r w:rsidRPr="008F7885">
        <w:rPr>
          <w:rFonts w:ascii="標楷體" w:eastAsia="標楷體" w:hAnsi="標楷體"/>
          <w:sz w:val="32"/>
          <w:szCs w:val="32"/>
        </w:rPr>
        <w:t>351</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提案人：鄭正鈐</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連署人：吳怡玎  萬美玲  陳秀寳</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四十一)依據「2019年學校體育統計年報」所載，適應體育教學困境，以「師資或人力不足」，占比達56.21%，有高達64%有教師有適應體育專業知能提升的需求，但在國小有29.61%、國中32.67%及高中20.91%的學校，卻從未舉辦過任何適應體育專業知能培訓課程或研習。經查，教育部體育署於2022</w:t>
      </w:r>
      <w:r w:rsidRPr="008F7885">
        <w:rPr>
          <w:rFonts w:ascii="標楷體" w:eastAsia="標楷體" w:hAnsi="標楷體" w:hint="eastAsia"/>
          <w:sz w:val="32"/>
          <w:szCs w:val="32"/>
        </w:rPr>
        <w:lastRenderedPageBreak/>
        <w:t>年1月7日假國立臺灣師範大學設置「適應體育發展中心」，企圖解決人力不足之適應體育教學困境。惟適應體育資源相對稀缺，相關工作無法一蹴可幾，在有限資源下每項工作皆須步步為營。又以，除了教育部體育署朝向針對身心礙者之訓練、課程，推廣適應體育極為重要工程為對外之「協助社會消除恐懼，建構身心障礙者運動意識」，另對於全體運動員，個人運動表現之行銷亦甚重要，而針對身障選手之運動成就應提出系統性宣傳計畫，使民眾對選手的運動成就更為清楚，不只是聚焦在身心障礙上，以彌平身心障礙者權益落差，漸進達成運動平權。爰此，請教育部體育署於3個月內針對相關問題向立法院教育及文化委員會提出書面報告。</w:t>
      </w:r>
      <w:r w:rsidRPr="008F7885">
        <w:rPr>
          <w:rFonts w:ascii="標楷體" w:eastAsia="標楷體" w:hAnsi="標楷體"/>
          <w:sz w:val="32"/>
          <w:szCs w:val="32"/>
        </w:rPr>
        <w:t>353</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提案人：賴品妤</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范  雲</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(四十二)112年度教育部體育署「體育教育推展」項下「輔導辦理全國性綜合運動賽會」預算編列1億1</w:t>
      </w:r>
      <w:r w:rsidRPr="008F7885">
        <w:rPr>
          <w:rFonts w:ascii="標楷體" w:eastAsia="標楷體" w:hAnsi="標楷體"/>
          <w:sz w:val="32"/>
          <w:szCs w:val="32"/>
        </w:rPr>
        <w:t>,</w:t>
      </w:r>
      <w:r w:rsidRPr="008F7885">
        <w:rPr>
          <w:rFonts w:ascii="標楷體" w:eastAsia="標楷體" w:hAnsi="標楷體" w:hint="eastAsia"/>
          <w:sz w:val="32"/>
          <w:szCs w:val="32"/>
        </w:rPr>
        <w:t>025萬元，其中「業務費」</w:t>
      </w:r>
      <w:r w:rsidRPr="002D3503">
        <w:rPr>
          <w:rFonts w:ascii="標楷體" w:eastAsia="標楷體" w:hAnsi="標楷體" w:hint="eastAsia"/>
          <w:sz w:val="32"/>
          <w:szCs w:val="32"/>
        </w:rPr>
        <w:t>預算編列</w:t>
      </w:r>
      <w:r w:rsidRPr="008F7885">
        <w:rPr>
          <w:rFonts w:ascii="標楷體" w:eastAsia="標楷體" w:hAnsi="標楷體" w:hint="eastAsia"/>
          <w:sz w:val="32"/>
          <w:szCs w:val="32"/>
        </w:rPr>
        <w:t>25萬元，包括「專家出席費、講座鐘點費等按日按件計資酬金」</w:t>
      </w:r>
      <w:r w:rsidRPr="002D3503">
        <w:rPr>
          <w:rFonts w:ascii="標楷體" w:eastAsia="標楷體" w:hAnsi="標楷體" w:hint="eastAsia"/>
          <w:sz w:val="32"/>
          <w:szCs w:val="32"/>
        </w:rPr>
        <w:t>預算編列</w:t>
      </w:r>
      <w:r w:rsidRPr="008F7885">
        <w:rPr>
          <w:rFonts w:ascii="標楷體" w:eastAsia="標楷體" w:hAnsi="標楷體" w:hint="eastAsia"/>
          <w:sz w:val="32"/>
          <w:szCs w:val="32"/>
        </w:rPr>
        <w:t>8萬元、「一般事務費」</w:t>
      </w:r>
      <w:r w:rsidRPr="002D3503">
        <w:rPr>
          <w:rFonts w:ascii="標楷體" w:eastAsia="標楷體" w:hAnsi="標楷體" w:hint="eastAsia"/>
          <w:sz w:val="32"/>
          <w:szCs w:val="32"/>
        </w:rPr>
        <w:t>預算編列</w:t>
      </w:r>
      <w:r w:rsidRPr="008F7885">
        <w:rPr>
          <w:rFonts w:ascii="標楷體" w:eastAsia="標楷體" w:hAnsi="標楷體" w:hint="eastAsia"/>
          <w:sz w:val="32"/>
          <w:szCs w:val="32"/>
        </w:rPr>
        <w:t>14萬元及「國內旅費」</w:t>
      </w:r>
      <w:r w:rsidRPr="002D3503">
        <w:rPr>
          <w:rFonts w:ascii="標楷體" w:eastAsia="標楷體" w:hAnsi="標楷體" w:hint="eastAsia"/>
          <w:sz w:val="32"/>
          <w:szCs w:val="32"/>
        </w:rPr>
        <w:t>預算編列</w:t>
      </w:r>
      <w:r w:rsidRPr="008F7885">
        <w:rPr>
          <w:rFonts w:ascii="標楷體" w:eastAsia="標楷體" w:hAnsi="標楷體" w:hint="eastAsia"/>
          <w:sz w:val="32"/>
          <w:szCs w:val="32"/>
        </w:rPr>
        <w:t>3萬元。另「獎補助費」預算編列1億1</w:t>
      </w:r>
      <w:r>
        <w:rPr>
          <w:rFonts w:ascii="標楷體" w:eastAsia="標楷體" w:hAnsi="標楷體"/>
          <w:sz w:val="32"/>
          <w:szCs w:val="32"/>
        </w:rPr>
        <w:t>,</w:t>
      </w:r>
      <w:r>
        <w:rPr>
          <w:rFonts w:ascii="標楷體" w:eastAsia="標楷體" w:hAnsi="標楷體" w:hint="eastAsia"/>
          <w:sz w:val="32"/>
          <w:szCs w:val="32"/>
        </w:rPr>
        <w:t>000</w:t>
      </w:r>
      <w:r w:rsidRPr="008F7885">
        <w:rPr>
          <w:rFonts w:ascii="標楷體" w:eastAsia="標楷體" w:hAnsi="標楷體" w:hint="eastAsia"/>
          <w:sz w:val="32"/>
          <w:szCs w:val="32"/>
        </w:rPr>
        <w:t>萬元，包括「輔導辦理112年全國運動會第2期經費」</w:t>
      </w:r>
      <w:r w:rsidRPr="002D3503">
        <w:rPr>
          <w:rFonts w:ascii="標楷體" w:eastAsia="標楷體" w:hAnsi="標楷體" w:hint="eastAsia"/>
          <w:sz w:val="32"/>
          <w:szCs w:val="32"/>
        </w:rPr>
        <w:t>預算編列</w:t>
      </w:r>
      <w:r w:rsidRPr="008F7885">
        <w:rPr>
          <w:rFonts w:ascii="標楷體" w:eastAsia="標楷體" w:hAnsi="標楷體" w:hint="eastAsia"/>
          <w:sz w:val="32"/>
          <w:szCs w:val="32"/>
        </w:rPr>
        <w:t>1億元（含防疫經費）及「輔導辦理113年全民運動會第1期經費」</w:t>
      </w:r>
      <w:r w:rsidRPr="002D3503">
        <w:rPr>
          <w:rFonts w:ascii="標楷體" w:eastAsia="標楷體" w:hAnsi="標楷體" w:hint="eastAsia"/>
          <w:sz w:val="32"/>
          <w:szCs w:val="32"/>
        </w:rPr>
        <w:t>預算編列</w:t>
      </w:r>
      <w:r w:rsidRPr="008F7885">
        <w:rPr>
          <w:rFonts w:ascii="標楷體" w:eastAsia="標楷體" w:hAnsi="標楷體" w:hint="eastAsia"/>
          <w:sz w:val="32"/>
          <w:szCs w:val="32"/>
        </w:rPr>
        <w:t>1</w:t>
      </w:r>
      <w:r>
        <w:rPr>
          <w:rFonts w:ascii="標楷體" w:eastAsia="標楷體" w:hAnsi="標楷體" w:hint="eastAsia"/>
          <w:sz w:val="32"/>
          <w:szCs w:val="32"/>
        </w:rPr>
        <w:t>千</w:t>
      </w:r>
      <w:r w:rsidRPr="008F7885">
        <w:rPr>
          <w:rFonts w:ascii="標楷體" w:eastAsia="標楷體" w:hAnsi="標楷體" w:hint="eastAsia"/>
          <w:sz w:val="32"/>
          <w:szCs w:val="32"/>
        </w:rPr>
        <w:t>萬元。無計畫成果與效益，難以審認與推展業務具關聯性。避免遭濫用虛擲，使其發揮應有之功能性。爰請教育部體育署輔導全國運動會及全民運動會承辦縣市確實做好此2項賽事各項的規劃與準備，讓全國各縣市優秀運動選手能享有1個可以發揮競技實力的良好競賽環璄。</w:t>
      </w:r>
      <w:r w:rsidRPr="008F7885">
        <w:rPr>
          <w:rFonts w:ascii="標楷體" w:eastAsia="標楷體" w:hAnsi="標楷體"/>
          <w:sz w:val="32"/>
          <w:szCs w:val="32"/>
        </w:rPr>
        <w:t>354</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提案人：鄭正鈐</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lastRenderedPageBreak/>
        <w:t>連署人：吳怡玎  萬美玲  陳秀寳</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四十三)112年度教育部體育署「體育教育推展」項下「國際學校運動組織交流」預算編列1,353萬7千元，預算說明僅列出委託高級中等學校體育總會及大專院校體育總會，辦理國際及兩岸體育交流業務。惟目前兩岸情勢緊張，體育署未說明交流細節與預期效果，恐有疑慮。爰此，請教育部體育署針對上述項目於3個月內向立法院</w:t>
      </w:r>
      <w:r>
        <w:rPr>
          <w:rFonts w:ascii="標楷體" w:eastAsia="標楷體" w:hAnsi="標楷體" w:hint="eastAsia"/>
          <w:sz w:val="32"/>
          <w:szCs w:val="32"/>
        </w:rPr>
        <w:t>教育及文化委員會</w:t>
      </w:r>
      <w:r w:rsidRPr="008F7885">
        <w:rPr>
          <w:rFonts w:ascii="標楷體" w:eastAsia="標楷體" w:hAnsi="標楷體" w:hint="eastAsia"/>
          <w:sz w:val="32"/>
          <w:szCs w:val="32"/>
        </w:rPr>
        <w:t>提出書面報告。</w:t>
      </w:r>
      <w:r w:rsidRPr="008F7885">
        <w:rPr>
          <w:rFonts w:ascii="標楷體" w:eastAsia="標楷體" w:hAnsi="標楷體"/>
          <w:sz w:val="32"/>
          <w:szCs w:val="32"/>
        </w:rPr>
        <w:t>355</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提案人：陳秀寳</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連署人：吳思瑤  張廖萬堅</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四十四)112年度教育部體育署預算「體育教育推展」項下「改善及輔導各年齡層運動設施」預算編列5,950萬元，係輔導各縣市辦理運動場館設施公共安全查核，補助辦理運動場館設施耐震能力補強、簡易修繕及規劃設計等相關作業經費。經查營造優質友善運動環境及運動設施為我國體育政策白皮書之重要目標，體育署自99至108年度執行「改善國民運動環境及打造運動島計畫」，補助地方政府興建國民運動中心及充實其他運動設施之經費共101億5,093萬6千元。惟體育署統計全國運動場館設施使用年限情形，全國1,893座運動場館設施，平均使用年限為16年6個月，其中使用超過20年共565座(占29.85%)，顯示全國約三成運動場館設施平均使用超過20年。另查，有47座之公有運動場館須辦理耐震評估，至今仍有10座未完成詳評；已完成評估者，有7座須補強，未完成補強率100%，有4座須拆除，未完成拆除率75%，為確保運動民眾安全，請教育部體育署積極協助各地方政府辦理運動場館建築物耐震補強事宜，並於3個月內向立法院教育及文化委員會提出書面報告。</w:t>
      </w:r>
      <w:r w:rsidRPr="008F7885">
        <w:rPr>
          <w:rFonts w:ascii="標楷體" w:eastAsia="標楷體" w:hAnsi="標楷體"/>
          <w:sz w:val="32"/>
          <w:szCs w:val="32"/>
        </w:rPr>
        <w:t>358</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lastRenderedPageBreak/>
        <w:t>連署人：林宜瑾  陳秀寳  張廖萬堅</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四十五)為充實國內休閒運動設施，滿足民眾多元運動需求，教育部體育署自99年度起陸續推動改善國民運動環境計畫，補助地方政府興建、整建或改善既有各類型運動設施，於112年度教育部體育署「體育教育推展」項下「改善及輔導各年齡層運動設施」預算編列5,950萬元；然查，111年7月底全國約三成運動場館設施平均使用已超過20年，部分縣市轄內使用逾20年之運動場館設施占比更超過半數及111年918地震災損影響，多數老舊設施尚未完成耐震力詳評、補強及拆除作業。為確保運動民眾安全，請教育部體育署積極督導各縣市政府儘速完成運動場館耐震力詳評、補強、拆除作業，及調查918地震提出補強校舍方圓10km內所屬運動場館，並於3個月內向立法院教育及文化委員會提出書面改善報告。</w:t>
      </w:r>
      <w:r w:rsidRPr="008F7885">
        <w:rPr>
          <w:rFonts w:ascii="標楷體" w:eastAsia="標楷體" w:hAnsi="標楷體"/>
          <w:sz w:val="32"/>
          <w:szCs w:val="32"/>
        </w:rPr>
        <w:t>359</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提案人：吳怡玎  林宜瑾</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連署人：林奕華  陳秀寳</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(四十六)112年度預算教育部體育署「體育教育推展」項下「改善及輔導各年齡層運動設施」預算編列5,950萬元，其中耐震補強及簡易修繕及規劃設計等相關作業編列5,000萬元。　　經查，截至111年7月止，耐震能力補強項目中，經評估需補強共7案，卻無已完成件數，惟地震不可預測，若未及時完成補強恐造成憾事，為確保運動民眾安全，請教育部體育署積極協助各地方政府辦理運動場館建築物耐震補強事宜，並於3個月內向立法院教育及文化委員會提出書面報告。</w:t>
      </w:r>
      <w:r w:rsidRPr="008F7885">
        <w:rPr>
          <w:rFonts w:ascii="標楷體" w:eastAsia="標楷體" w:hAnsi="標楷體"/>
          <w:sz w:val="32"/>
          <w:szCs w:val="32"/>
        </w:rPr>
        <w:t>360</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提案人：陳秀寳</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連署人：吳思瑤  黃國書</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(四十七)112年度教育部體育署「一般行政」項下「基本行政工</w:t>
      </w:r>
      <w:r w:rsidRPr="008F7885">
        <w:rPr>
          <w:rFonts w:ascii="標楷體" w:eastAsia="標楷體" w:hAnsi="標楷體" w:hint="eastAsia"/>
          <w:sz w:val="32"/>
          <w:szCs w:val="32"/>
        </w:rPr>
        <w:lastRenderedPageBreak/>
        <w:t>作維持」預算編列4,844萬1千元，作為教育部體育署基本行政工作維持等業務之用。經查，該筆預算自107年度編列2,808萬2千元、108年度編列2,950萬1千元、109年度及110年均編列2,909萬1千元，然自111年度該筆預算卻大幅增加至5,686萬8千元，且111年度預算截至8月底止執行率僅32.7%，顯見該預算執行率不佳。教育部體育署應對該筆預算執行率不佳之原因進行檢討及改善執行率，並於3個月內向立法院教育及文化委員會提出書面報告說明。</w:t>
      </w:r>
      <w:r w:rsidRPr="008F7885">
        <w:rPr>
          <w:rFonts w:ascii="標楷體" w:eastAsia="標楷體" w:hAnsi="標楷體"/>
          <w:sz w:val="32"/>
          <w:szCs w:val="32"/>
        </w:rPr>
        <w:t>365</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提案人：萬美玲</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連署人：鄭正鈐  林奕華  陳秀寳</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(四十八)教育部體育署署長懸缺已經超過1年1個月，由於體育署署長需兼具運動專業及行政能力，致使署長人選徵詢迄今尚無成果。為使重要國家體育政策順利推動，應加速辦理教育部體育署署長派任進度。</w:t>
      </w:r>
      <w:r w:rsidRPr="008F7885">
        <w:rPr>
          <w:rFonts w:ascii="標楷體" w:eastAsia="標楷體" w:hAnsi="標楷體"/>
          <w:sz w:val="32"/>
          <w:szCs w:val="32"/>
        </w:rPr>
        <w:t>366</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提案人：鄭正鈐</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連署人：萬美玲  黃國書  陳秀寳</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四十九)教育部體育署綜合規劃業務工作重點:規劃整體體育運動政策，辦理資通訊基礎設施維護及運作、資安管理及檢測等業務。查為建構國家資通安全環境，各項資通訊基礎設施維運及運作均須遵循資通安全管理法之相關要求，以保障國家安全，維護社會公共利益。為避免經費遭濫用虛擲，使其發揮應有之功能，達成計畫成果與效益。爰此，請教育部體育署持續規劃整體體育運動政策，並依「資通安全管理法」持續辦理資訊安全等措施，以強化體育政策推展及落實資安法規之執行。</w:t>
      </w:r>
      <w:r w:rsidRPr="008F7885">
        <w:rPr>
          <w:rFonts w:ascii="標楷體" w:eastAsia="標楷體" w:hAnsi="標楷體"/>
          <w:sz w:val="32"/>
          <w:szCs w:val="32"/>
        </w:rPr>
        <w:t>367</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提案人：鄭正鈐</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連署人：吳怡玎  萬美玲  陳秀寳</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lastRenderedPageBreak/>
        <w:t>(五十)鑑於教育部體育署現行之運動競賽裁判費用業已</w:t>
      </w:r>
      <w:r w:rsidRPr="008F7885">
        <w:rPr>
          <w:rFonts w:ascii="標楷體" w:eastAsia="標楷體" w:hAnsi="標楷體"/>
          <w:sz w:val="32"/>
          <w:szCs w:val="32"/>
        </w:rPr>
        <w:t>20</w:t>
      </w:r>
      <w:r w:rsidRPr="008F7885">
        <w:rPr>
          <w:rFonts w:ascii="標楷體" w:eastAsia="標楷體" w:hAnsi="標楷體" w:hint="eastAsia"/>
          <w:sz w:val="32"/>
          <w:szCs w:val="32"/>
        </w:rPr>
        <w:t>年未調整，遠較一般勞工基本時薪還低，薪酬費用已明顯不符合現代物價指數，而桌球與足球對於體能需求完全不同之項目卻以齊頭式規定，亦凸顯相關辦法之陳腐。經查，</w:t>
      </w:r>
      <w:r w:rsidRPr="008F7885">
        <w:rPr>
          <w:rFonts w:ascii="標楷體" w:eastAsia="標楷體" w:hAnsi="標楷體"/>
          <w:sz w:val="32"/>
          <w:szCs w:val="32"/>
        </w:rPr>
        <w:t>91</w:t>
      </w:r>
      <w:r w:rsidRPr="008F7885">
        <w:rPr>
          <w:rFonts w:ascii="標楷體" w:eastAsia="標楷體" w:hAnsi="標楷體" w:hint="eastAsia"/>
          <w:sz w:val="32"/>
          <w:szCs w:val="32"/>
        </w:rPr>
        <w:t>年至今，期間物價指數成長</w:t>
      </w:r>
      <w:r w:rsidRPr="008F7885">
        <w:rPr>
          <w:rFonts w:ascii="標楷體" w:eastAsia="標楷體" w:hAnsi="標楷體"/>
          <w:sz w:val="32"/>
          <w:szCs w:val="32"/>
        </w:rPr>
        <w:t>26</w:t>
      </w:r>
      <w:r w:rsidRPr="008F7885">
        <w:rPr>
          <w:rFonts w:ascii="標楷體" w:eastAsia="標楷體" w:hAnsi="標楷體" w:hint="eastAsia"/>
          <w:sz w:val="32"/>
          <w:szCs w:val="32"/>
        </w:rPr>
        <w:t>%，基本工資時薪更成長</w:t>
      </w:r>
      <w:r w:rsidRPr="008F7885">
        <w:rPr>
          <w:rFonts w:ascii="標楷體" w:eastAsia="標楷體" w:hAnsi="標楷體"/>
          <w:sz w:val="32"/>
          <w:szCs w:val="32"/>
        </w:rPr>
        <w:t>266%</w:t>
      </w:r>
      <w:r w:rsidRPr="008F7885">
        <w:rPr>
          <w:rFonts w:ascii="標楷體" w:eastAsia="標楷體" w:hAnsi="標楷體" w:hint="eastAsia"/>
          <w:sz w:val="32"/>
          <w:szCs w:val="32"/>
        </w:rPr>
        <w:t>，體育署怠於檢討現行業務費用標準之作法，不僅不利於有志投入的人士，更有損運動產業發展可能。體育署允宜督促並建立項目、需求分级之通盤檢討與修正。爰要求教育部體育署於</w:t>
      </w:r>
      <w:r w:rsidRPr="008F7885">
        <w:rPr>
          <w:rFonts w:ascii="標楷體" w:eastAsia="標楷體" w:hAnsi="標楷體"/>
          <w:sz w:val="32"/>
          <w:szCs w:val="32"/>
        </w:rPr>
        <w:t>3</w:t>
      </w:r>
      <w:r w:rsidRPr="008F7885">
        <w:rPr>
          <w:rFonts w:ascii="標楷體" w:eastAsia="標楷體" w:hAnsi="標楷體" w:hint="eastAsia"/>
          <w:sz w:val="32"/>
          <w:szCs w:val="32"/>
        </w:rPr>
        <w:t>個月內向立法院教育及文化委員會提出書面報告。</w:t>
      </w:r>
      <w:r w:rsidRPr="008F7885">
        <w:rPr>
          <w:rFonts w:ascii="標楷體" w:eastAsia="標楷體" w:hAnsi="標楷體"/>
          <w:sz w:val="32"/>
          <w:szCs w:val="32"/>
        </w:rPr>
        <w:t>368</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連署人：鄭正鈐  張廖萬堅</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五十一)有關教育部體育署辦理第3屆運彩經銷商遴選作業，應依據立法院所作附帶決議，責成發行機構落實規劃績優退役選手優先錄取為經銷商之照顧方案。另外，體育署亦應積極輔導發行機構落實附帶決議之要求，於遴選作業時履行從速、從簡等便民措施，且不得以任何形式加重報名者成本，以符合人人參與遴選之平等原則，保障符合資格者之權益。此外，為避免遴選作業期程延宕，教育部體育署允宜積極督導發行機構於112年6月前完成遴選程序，並向立法院教育及文化委員會提出書面報告，以利新建置之經銷商辦理後續規劃。</w:t>
      </w:r>
      <w:r w:rsidRPr="008F7885">
        <w:rPr>
          <w:rFonts w:ascii="標楷體" w:eastAsia="標楷體" w:hAnsi="標楷體"/>
          <w:sz w:val="32"/>
          <w:szCs w:val="32"/>
        </w:rPr>
        <w:t>369</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連署人：賴品妤  張廖萬堅</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五十二)112年度教育部體育署「大陸地區旅費」預算編列31萬4千元，作為輔導體育團體派員至大陸地區參與國際運動組織相關會議及活動所需經費。經查，世界各國仍受嚴重特殊傳染性肺炎疫情影響，隨病毒不斷變異最新變種病毒BA.5傳染力強、潛伏期短已成為全球主流病毒，而近日我國本土疫</w:t>
      </w:r>
      <w:r w:rsidRPr="008F7885">
        <w:rPr>
          <w:rFonts w:ascii="標楷體" w:eastAsia="標楷體" w:hAnsi="標楷體" w:hint="eastAsia"/>
          <w:sz w:val="32"/>
          <w:szCs w:val="32"/>
        </w:rPr>
        <w:lastRenderedPageBreak/>
        <w:t>情持續升溫，疫苗保護力亦受變種病毒影響而下降，且大陸地區疫情不穩定又因當前兩岸局勢關係緊張，為保障相關出訪人員之健康與人身安全，教育部體育署應於出訪人員出國前提出完整防疫與安全計畫。綜上所述，爰請教育部體育署於3個月內向立法院教育及文化委員會提出書面報告。</w:t>
      </w:r>
      <w:r w:rsidRPr="008F7885">
        <w:rPr>
          <w:rFonts w:ascii="標楷體" w:eastAsia="標楷體" w:hAnsi="標楷體"/>
          <w:sz w:val="32"/>
          <w:szCs w:val="32"/>
        </w:rPr>
        <w:t>373</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提案人：萬美玲</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連署人：鄭正鈐  林奕華  陳秀寳</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(五十三)112年度教育部體育署「國家體育建設」項下「推展全民運動」預算編列</w:t>
      </w:r>
      <w:r w:rsidRPr="008F7885">
        <w:rPr>
          <w:rFonts w:ascii="標楷體" w:eastAsia="標楷體" w:hAnsi="標楷體"/>
          <w:sz w:val="32"/>
          <w:szCs w:val="32"/>
        </w:rPr>
        <w:t>2</w:t>
      </w:r>
      <w:r w:rsidRPr="008F7885">
        <w:rPr>
          <w:rFonts w:ascii="標楷體" w:eastAsia="標楷體" w:hAnsi="標楷體" w:hint="eastAsia"/>
          <w:sz w:val="32"/>
          <w:szCs w:val="32"/>
        </w:rPr>
        <w:t>億</w:t>
      </w:r>
      <w:r w:rsidRPr="008F7885">
        <w:rPr>
          <w:rFonts w:ascii="標楷體" w:eastAsia="標楷體" w:hAnsi="標楷體"/>
          <w:sz w:val="32"/>
          <w:szCs w:val="32"/>
        </w:rPr>
        <w:t>6,15</w:t>
      </w:r>
      <w:r w:rsidRPr="008F7885">
        <w:rPr>
          <w:rFonts w:ascii="標楷體" w:eastAsia="標楷體" w:hAnsi="標楷體" w:hint="eastAsia"/>
          <w:sz w:val="32"/>
          <w:szCs w:val="32"/>
        </w:rPr>
        <w:t>5萬</w:t>
      </w:r>
      <w:r w:rsidRPr="008F7885">
        <w:rPr>
          <w:rFonts w:ascii="標楷體" w:eastAsia="標楷體" w:hAnsi="標楷體"/>
          <w:sz w:val="32"/>
          <w:szCs w:val="32"/>
        </w:rPr>
        <w:t>7</w:t>
      </w:r>
      <w:r w:rsidRPr="008F7885">
        <w:rPr>
          <w:rFonts w:ascii="標楷體" w:eastAsia="標楷體" w:hAnsi="標楷體" w:hint="eastAsia"/>
          <w:sz w:val="32"/>
          <w:szCs w:val="32"/>
        </w:rPr>
        <w:t>千元，其中「委辦費」預算編列</w:t>
      </w:r>
      <w:r w:rsidRPr="008F7885">
        <w:rPr>
          <w:rFonts w:ascii="標楷體" w:eastAsia="標楷體" w:hAnsi="標楷體"/>
          <w:sz w:val="32"/>
          <w:szCs w:val="32"/>
        </w:rPr>
        <w:t>1</w:t>
      </w:r>
      <w:r w:rsidRPr="008F7885">
        <w:rPr>
          <w:rFonts w:ascii="標楷體" w:eastAsia="標楷體" w:hAnsi="標楷體" w:hint="eastAsia"/>
          <w:sz w:val="32"/>
          <w:szCs w:val="32"/>
        </w:rPr>
        <w:t>億</w:t>
      </w:r>
      <w:r w:rsidRPr="008F7885">
        <w:rPr>
          <w:rFonts w:ascii="標楷體" w:eastAsia="標楷體" w:hAnsi="標楷體"/>
          <w:sz w:val="32"/>
          <w:szCs w:val="32"/>
        </w:rPr>
        <w:t>4,760</w:t>
      </w:r>
      <w:r w:rsidRPr="008F7885">
        <w:rPr>
          <w:rFonts w:ascii="標楷體" w:eastAsia="標楷體" w:hAnsi="標楷體" w:hint="eastAsia"/>
          <w:sz w:val="32"/>
          <w:szCs w:val="32"/>
        </w:rPr>
        <w:t>萬元，辦理下列工作：「運動健康資訊雲建置、維護案」</w:t>
      </w:r>
      <w:r w:rsidRPr="002D3503">
        <w:rPr>
          <w:rFonts w:ascii="標楷體" w:eastAsia="標楷體" w:hAnsi="標楷體" w:hint="eastAsia"/>
          <w:sz w:val="32"/>
          <w:szCs w:val="32"/>
        </w:rPr>
        <w:t>預算編列</w:t>
      </w:r>
      <w:r w:rsidRPr="008F7885">
        <w:rPr>
          <w:rFonts w:ascii="標楷體" w:eastAsia="標楷體" w:hAnsi="標楷體"/>
          <w:sz w:val="32"/>
          <w:szCs w:val="32"/>
        </w:rPr>
        <w:t>1,500</w:t>
      </w:r>
      <w:r w:rsidRPr="008F7885">
        <w:rPr>
          <w:rFonts w:ascii="標楷體" w:eastAsia="標楷體" w:hAnsi="標楷體" w:hint="eastAsia"/>
          <w:sz w:val="32"/>
          <w:szCs w:val="32"/>
        </w:rPr>
        <w:t>萬元、「運動現況調査」</w:t>
      </w:r>
      <w:r w:rsidRPr="002D3503">
        <w:rPr>
          <w:rFonts w:ascii="標楷體" w:eastAsia="標楷體" w:hAnsi="標楷體" w:hint="eastAsia"/>
          <w:sz w:val="32"/>
          <w:szCs w:val="32"/>
        </w:rPr>
        <w:t>預算編列</w:t>
      </w:r>
      <w:r w:rsidRPr="008F7885">
        <w:rPr>
          <w:rFonts w:ascii="標楷體" w:eastAsia="標楷體" w:hAnsi="標楷體"/>
          <w:sz w:val="32"/>
          <w:szCs w:val="32"/>
        </w:rPr>
        <w:t>280</w:t>
      </w:r>
      <w:r w:rsidRPr="008F7885">
        <w:rPr>
          <w:rFonts w:ascii="標楷體" w:eastAsia="標楷體" w:hAnsi="標楷體" w:hint="eastAsia"/>
          <w:sz w:val="32"/>
          <w:szCs w:val="32"/>
        </w:rPr>
        <w:t>萬元、「推動企業聘用體育運動專業人員」</w:t>
      </w:r>
      <w:r w:rsidRPr="002D3503">
        <w:rPr>
          <w:rFonts w:ascii="標楷體" w:eastAsia="標楷體" w:hAnsi="標楷體" w:hint="eastAsia"/>
          <w:sz w:val="32"/>
          <w:szCs w:val="32"/>
        </w:rPr>
        <w:t>預算編列</w:t>
      </w:r>
      <w:r w:rsidRPr="008F7885">
        <w:rPr>
          <w:rFonts w:ascii="標楷體" w:eastAsia="標楷體" w:hAnsi="標楷體"/>
          <w:sz w:val="32"/>
          <w:szCs w:val="32"/>
        </w:rPr>
        <w:t>1</w:t>
      </w:r>
      <w:r>
        <w:rPr>
          <w:rFonts w:ascii="標楷體" w:eastAsia="標楷體" w:hAnsi="標楷體" w:hint="eastAsia"/>
          <w:sz w:val="32"/>
          <w:szCs w:val="32"/>
        </w:rPr>
        <w:t>千</w:t>
      </w:r>
      <w:r w:rsidRPr="008F7885">
        <w:rPr>
          <w:rFonts w:ascii="標楷體" w:eastAsia="標楷體" w:hAnsi="標楷體" w:hint="eastAsia"/>
          <w:sz w:val="32"/>
          <w:szCs w:val="32"/>
        </w:rPr>
        <w:t>萬元</w:t>
      </w:r>
      <w:r w:rsidRPr="008F7885">
        <w:rPr>
          <w:rFonts w:ascii="標楷體" w:eastAsia="標楷體" w:hAnsi="標楷體"/>
          <w:sz w:val="32"/>
          <w:szCs w:val="32"/>
        </w:rPr>
        <w:t>(</w:t>
      </w:r>
      <w:r w:rsidRPr="008F7885">
        <w:rPr>
          <w:rFonts w:ascii="標楷體" w:eastAsia="標楷體" w:hAnsi="標楷體" w:hint="eastAsia"/>
          <w:sz w:val="32"/>
          <w:szCs w:val="32"/>
        </w:rPr>
        <w:t>含媒體政策及業務宣導經費</w:t>
      </w:r>
      <w:r w:rsidRPr="008F7885">
        <w:rPr>
          <w:rFonts w:ascii="標楷體" w:eastAsia="標楷體" w:hAnsi="標楷體"/>
          <w:sz w:val="32"/>
          <w:szCs w:val="32"/>
        </w:rPr>
        <w:t>250</w:t>
      </w:r>
      <w:r>
        <w:rPr>
          <w:rFonts w:ascii="標楷體" w:eastAsia="標楷體" w:hAnsi="標楷體" w:hint="eastAsia"/>
          <w:sz w:val="32"/>
          <w:szCs w:val="32"/>
        </w:rPr>
        <w:t>萬</w:t>
      </w:r>
      <w:r w:rsidRPr="008F7885">
        <w:rPr>
          <w:rFonts w:ascii="標楷體" w:eastAsia="標楷體" w:hAnsi="標楷體" w:hint="eastAsia"/>
          <w:sz w:val="32"/>
          <w:szCs w:val="32"/>
        </w:rPr>
        <w:t>元）。未說明完整，傳統民俗體育、加強身心障礙國民運動推展、原住民族體育運動推展無計畫成果與效益，難以審認與推展業務具關聯性。避免遭濫用虛擲，使其發揮應有之功能性，未來請教育部體育署加強推展民俗體育、身心障礙運動、原住民族體育運動，並強化宣導，以擴大計畫執行效益。</w:t>
      </w:r>
      <w:r w:rsidRPr="008F7885">
        <w:rPr>
          <w:rFonts w:ascii="標楷體" w:eastAsia="標楷體" w:hAnsi="標楷體"/>
          <w:sz w:val="32"/>
          <w:szCs w:val="32"/>
        </w:rPr>
        <w:t>374</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提案人：鄭正鈐</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連署人：吳怡玎  萬美玲  陳秀寳</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五十四)經查112年度教育部體育署計畫項目與111年度大致雷同，教育部體育署依公務預算與運動發展基金業務劃分原則，將部分111年度基金辦理事項移至公務預算，致增列「辦理全民運動知識及觀念整體行銷等經費」</w:t>
      </w:r>
      <w:r w:rsidRPr="002D3503">
        <w:rPr>
          <w:rFonts w:ascii="標楷體" w:eastAsia="標楷體" w:hAnsi="標楷體" w:hint="eastAsia"/>
          <w:sz w:val="32"/>
          <w:szCs w:val="32"/>
        </w:rPr>
        <w:t>預算編列</w:t>
      </w:r>
      <w:r w:rsidRPr="008F7885">
        <w:rPr>
          <w:rFonts w:ascii="標楷體" w:eastAsia="標楷體" w:hAnsi="標楷體" w:hint="eastAsia"/>
          <w:sz w:val="32"/>
          <w:szCs w:val="32"/>
        </w:rPr>
        <w:t>1億6</w:t>
      </w:r>
      <w:r w:rsidRPr="008F7885">
        <w:rPr>
          <w:rFonts w:ascii="標楷體" w:eastAsia="標楷體" w:hAnsi="標楷體"/>
          <w:sz w:val="32"/>
          <w:szCs w:val="32"/>
        </w:rPr>
        <w:t>,</w:t>
      </w:r>
      <w:r w:rsidRPr="008F7885">
        <w:rPr>
          <w:rFonts w:ascii="標楷體" w:eastAsia="標楷體" w:hAnsi="標楷體" w:hint="eastAsia"/>
          <w:sz w:val="32"/>
          <w:szCs w:val="32"/>
        </w:rPr>
        <w:t>795萬元。爰要求教育部體育署於預算移列後仍確實辦理各項計畫，以達預期效益，並依規定執行媒體政策及業務宣導經費並公告之。請教育部體育署於3個月向立法院教育及文化委員會提出相關精進作為書面報告。</w:t>
      </w:r>
      <w:r w:rsidRPr="008F7885">
        <w:rPr>
          <w:rFonts w:ascii="標楷體" w:eastAsia="標楷體" w:hAnsi="標楷體"/>
          <w:sz w:val="32"/>
          <w:szCs w:val="32"/>
        </w:rPr>
        <w:t>375</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lastRenderedPageBreak/>
        <w:t>提案人：林奕華</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連署人：吳怡玎  黃國書  陳秀寳</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五十五)112年度教育部體育署「國家體育建設」項下「推展全民運動」預算編列2億6,155萬7千元，用於辦理推展全民運動相關業務，其中一項工作重點為加強身心障礙國民運動推展。經查，111年我國身心障礙總人口數已高達119萬5,464人，然身心障礙者運動仍不普遍，其原因包含：運動場館歧視拒絕身心障礙者進入、運動場館無障礙設施不友善、校園PU跑道禁止身心障礙者使用等問題，顯見教育部體育署對於身心障礙者運動及休閒體育之推展十分不足，實有檢討說明並提出增加身心障礙者參與運動方案之必要。綜上所述，請教育部體育署於3個月內向立法院教育及文化委員會提出書面報告。</w:t>
      </w:r>
      <w:r w:rsidRPr="008F7885">
        <w:rPr>
          <w:rFonts w:ascii="標楷體" w:eastAsia="標楷體" w:hAnsi="標楷體"/>
          <w:sz w:val="32"/>
          <w:szCs w:val="32"/>
        </w:rPr>
        <w:t>376</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提案人：萬美玲</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連署人：鄭正鈐  林奕華  陳秀寳</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(五十六)112年度教育部體育署「國家體育建設」向下「推展全民運動」預算編列2億6</w:t>
      </w:r>
      <w:r w:rsidRPr="008F7885">
        <w:rPr>
          <w:rFonts w:ascii="標楷體" w:eastAsia="標楷體" w:hAnsi="標楷體"/>
          <w:sz w:val="32"/>
          <w:szCs w:val="32"/>
        </w:rPr>
        <w:t>,</w:t>
      </w:r>
      <w:r w:rsidRPr="008F7885">
        <w:rPr>
          <w:rFonts w:ascii="標楷體" w:eastAsia="標楷體" w:hAnsi="標楷體" w:hint="eastAsia"/>
          <w:sz w:val="32"/>
          <w:szCs w:val="32"/>
        </w:rPr>
        <w:t>155萬7千元，係用於全民運動類民間體育團體輔導及全民運動推展計畫等。民間團體ISCA國際運動教練協會(下稱ISCA)，於其官方網站中開班授課，進行多項體育項目之教練講習，並有核發教練證之行為。依照體育署之公告協會清單，該協會並非體育署認可之特定體育團體，惟該協會卻能進行羽球、桌球、籃球等單項運動之教練證核發，顯然未有符合「國民體育法」第31條及「特定體育團體建立運動教練資格檢定及管理辦法」。經王委員婉諭辦公室行文後，體育署認ISCA非「國民體育法」第3條定義之特定體育團體，因此ISCA雖得依組織章程辦理教練授證業務，然持有ISCA協會核發之羽球、籃球、桌球等各級教練證照人員，仍無法擔任各級政府或特定體育團體舉辦之各種運</w:t>
      </w:r>
      <w:r w:rsidRPr="008F7885">
        <w:rPr>
          <w:rFonts w:ascii="標楷體" w:eastAsia="標楷體" w:hAnsi="標楷體" w:hint="eastAsia"/>
          <w:sz w:val="32"/>
          <w:szCs w:val="32"/>
        </w:rPr>
        <w:lastRenderedPageBreak/>
        <w:t>動賽會或競賽教練、國家代表隊助理教練或總教練。體育署表示將會函文予</w:t>
      </w:r>
      <w:r w:rsidRPr="008F7885">
        <w:rPr>
          <w:rFonts w:ascii="標楷體" w:eastAsia="標楷體" w:hAnsi="標楷體"/>
          <w:sz w:val="32"/>
          <w:szCs w:val="32"/>
        </w:rPr>
        <w:t>ISCA</w:t>
      </w:r>
      <w:r w:rsidRPr="008F7885">
        <w:rPr>
          <w:rFonts w:ascii="標楷體" w:eastAsia="標楷體" w:hAnsi="標楷體" w:hint="eastAsia"/>
          <w:sz w:val="32"/>
          <w:szCs w:val="32"/>
        </w:rPr>
        <w:t>，輔導協會就教練講習「</w:t>
      </w:r>
      <w:r w:rsidRPr="008F7885">
        <w:rPr>
          <w:rFonts w:ascii="標楷體" w:eastAsia="標楷體" w:hAnsi="標楷體"/>
          <w:sz w:val="32"/>
          <w:szCs w:val="32"/>
        </w:rPr>
        <w:t>C</w:t>
      </w:r>
      <w:r w:rsidRPr="008F7885">
        <w:rPr>
          <w:rFonts w:ascii="標楷體" w:eastAsia="標楷體" w:hAnsi="標楷體" w:hint="eastAsia"/>
          <w:sz w:val="32"/>
          <w:szCs w:val="32"/>
        </w:rPr>
        <w:t>、</w:t>
      </w:r>
      <w:r w:rsidRPr="008F7885">
        <w:rPr>
          <w:rFonts w:ascii="標楷體" w:eastAsia="標楷體" w:hAnsi="標楷體"/>
          <w:sz w:val="32"/>
          <w:szCs w:val="32"/>
        </w:rPr>
        <w:t>B</w:t>
      </w:r>
      <w:r w:rsidRPr="008F7885">
        <w:rPr>
          <w:rFonts w:ascii="標楷體" w:eastAsia="標楷體" w:hAnsi="標楷體" w:hint="eastAsia"/>
          <w:sz w:val="32"/>
          <w:szCs w:val="32"/>
        </w:rPr>
        <w:t>、</w:t>
      </w:r>
      <w:r w:rsidRPr="008F7885">
        <w:rPr>
          <w:rFonts w:ascii="標楷體" w:eastAsia="標楷體" w:hAnsi="標楷體"/>
          <w:sz w:val="32"/>
          <w:szCs w:val="32"/>
        </w:rPr>
        <w:t>A</w:t>
      </w:r>
      <w:r w:rsidRPr="008F7885">
        <w:rPr>
          <w:rFonts w:ascii="標楷體" w:eastAsia="標楷體" w:hAnsi="標楷體" w:hint="eastAsia"/>
          <w:sz w:val="32"/>
          <w:szCs w:val="32"/>
        </w:rPr>
        <w:t>級」等字樣進行修正或删除．以避免衍生權責爭議及造成民眾混淆。惟至今</w:t>
      </w:r>
      <w:r w:rsidRPr="008F7885">
        <w:rPr>
          <w:rFonts w:ascii="標楷體" w:eastAsia="標楷體" w:hAnsi="標楷體"/>
          <w:sz w:val="32"/>
          <w:szCs w:val="32"/>
        </w:rPr>
        <w:t>ISCA</w:t>
      </w:r>
      <w:r w:rsidRPr="008F7885">
        <w:rPr>
          <w:rFonts w:ascii="標楷體" w:eastAsia="標楷體" w:hAnsi="標楷體" w:hint="eastAsia"/>
          <w:sz w:val="32"/>
          <w:szCs w:val="32"/>
        </w:rPr>
        <w:t>之官方網站中，仍可見教練證講習頁面上未進行修正。爰要求教育部體育署應儘速修正之，並針對「國民體育法」及「特定體育團體建立運動教練資格檢定及管理辦法」中，教練證發放事宜是否有疏漏一事檢討研議，以避免可能造成民眾混淆之教練證發放行為，請教育部體育署積極輔導ISCA協會修正授證級別及於官網等管道公告相關訊息。</w:t>
      </w:r>
      <w:r w:rsidRPr="008F7885">
        <w:rPr>
          <w:rFonts w:ascii="標楷體" w:eastAsia="標楷體" w:hAnsi="標楷體"/>
          <w:sz w:val="32"/>
          <w:szCs w:val="32"/>
        </w:rPr>
        <w:t>377</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提案人：王婉諭  陳秀寳</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何欣純</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五十七)經查，教育部體育署全民運動組近年將「體育表演會」列為國民體育日之重點活動。然綜觀其辦理內容，卻係以著名歌手作為號召，相關預算編列中除原列之活動辦理預算外，又另將「全民運動知識及觀念整體行銷」項目預算用於該活動之宣傳，顯有分拆預算以規避監督之虞。另考量現今民眾收費習慣之轉變，電視直播之必要性有所下降，且相關活動亦可透過網路平台直播收看，實無編列高額預算製作電視播放之必要。綜上，請教育部體育署於未來辦理體育表演會活動時，強化網路行銷等相關管道，以避免活動效益淪為一次性活動之成果。</w:t>
      </w:r>
      <w:r w:rsidRPr="008F7885">
        <w:rPr>
          <w:rFonts w:ascii="標楷體" w:eastAsia="標楷體" w:hAnsi="標楷體"/>
          <w:sz w:val="32"/>
          <w:szCs w:val="32"/>
        </w:rPr>
        <w:t>379</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連署人：賴品妤  林宜瑾  陳秀寳</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(五十八)112年度教育部體育署「國家體育建設」項下「推展全民運動」中「業務費」預算編列1億6</w:t>
      </w:r>
      <w:r w:rsidRPr="008F7885">
        <w:rPr>
          <w:rFonts w:ascii="標楷體" w:eastAsia="標楷體" w:hAnsi="標楷體"/>
          <w:sz w:val="32"/>
          <w:szCs w:val="32"/>
        </w:rPr>
        <w:t>,</w:t>
      </w:r>
      <w:r w:rsidRPr="008F7885">
        <w:rPr>
          <w:rFonts w:ascii="標楷體" w:eastAsia="標楷體" w:hAnsi="標楷體" w:hint="eastAsia"/>
          <w:sz w:val="32"/>
          <w:szCs w:val="32"/>
        </w:rPr>
        <w:t>174萬8千元，係用於辦理全民運動類民間體育團體輔導及全民運動推展計畫。經查，近年在開放山林與COVID-19的雙重影響下，入山人數</w:t>
      </w:r>
      <w:r w:rsidRPr="008F7885">
        <w:rPr>
          <w:rFonts w:ascii="標楷體" w:eastAsia="標楷體" w:hAnsi="標楷體" w:hint="eastAsia"/>
          <w:sz w:val="32"/>
          <w:szCs w:val="32"/>
        </w:rPr>
        <w:lastRenderedPageBreak/>
        <w:t>的確大幅成長，即便是需要一定體能門檻的百岳行程，都成為民眾造訪的地點；而付費加入商業登山團前往登山，也成為常見的選項。然而，目前法規上並無規定商業登山團所聘任之嚮導應具備之資格，近年來更發生數起商業登山團丟包團員，釀成山域意外事故之案件，為健全商業登山機制以及提升登山安全，並強化體育署花費公帑所建立之訓練與檢定制度之效用，爰要求教育部體育署應研議將其主辦之山域嚮導證制度，與商業登山隊伍進行勾稽。</w:t>
      </w:r>
      <w:r w:rsidRPr="008F7885">
        <w:rPr>
          <w:rFonts w:ascii="標楷體" w:eastAsia="標楷體" w:hAnsi="標楷體"/>
          <w:sz w:val="32"/>
          <w:szCs w:val="32"/>
        </w:rPr>
        <w:t>380</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提案人：王婉諭</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何欣純  陳秀寳</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(五十九)</w:t>
      </w:r>
      <w:r w:rsidRPr="008F7885">
        <w:rPr>
          <w:rFonts w:ascii="標楷體" w:eastAsia="標楷體" w:hAnsi="標楷體"/>
          <w:sz w:val="32"/>
          <w:szCs w:val="32"/>
        </w:rPr>
        <w:t>2020</w:t>
      </w:r>
      <w:r w:rsidRPr="008F7885">
        <w:rPr>
          <w:rFonts w:ascii="標楷體" w:eastAsia="標楷體" w:hAnsi="標楷體" w:hint="eastAsia"/>
          <w:sz w:val="32"/>
          <w:szCs w:val="32"/>
        </w:rPr>
        <w:t>東京奧運會，中華代表團榮獲</w:t>
      </w:r>
      <w:r w:rsidRPr="008F7885">
        <w:rPr>
          <w:rFonts w:ascii="標楷體" w:eastAsia="標楷體" w:hAnsi="標楷體"/>
          <w:sz w:val="32"/>
          <w:szCs w:val="32"/>
        </w:rPr>
        <w:t>2</w:t>
      </w:r>
      <w:r w:rsidRPr="008F7885">
        <w:rPr>
          <w:rFonts w:ascii="標楷體" w:eastAsia="標楷體" w:hAnsi="標楷體" w:hint="eastAsia"/>
          <w:sz w:val="32"/>
          <w:szCs w:val="32"/>
        </w:rPr>
        <w:t>金、</w:t>
      </w:r>
      <w:r w:rsidRPr="008F7885">
        <w:rPr>
          <w:rFonts w:ascii="標楷體" w:eastAsia="標楷體" w:hAnsi="標楷體"/>
          <w:sz w:val="32"/>
          <w:szCs w:val="32"/>
        </w:rPr>
        <w:t>4</w:t>
      </w:r>
      <w:r w:rsidRPr="008F7885">
        <w:rPr>
          <w:rFonts w:ascii="標楷體" w:eastAsia="標楷體" w:hAnsi="標楷體" w:hint="eastAsia"/>
          <w:sz w:val="32"/>
          <w:szCs w:val="32"/>
        </w:rPr>
        <w:t>銀、</w:t>
      </w:r>
      <w:r w:rsidRPr="008F7885">
        <w:rPr>
          <w:rFonts w:ascii="標楷體" w:eastAsia="標楷體" w:hAnsi="標楷體"/>
          <w:sz w:val="32"/>
          <w:szCs w:val="32"/>
        </w:rPr>
        <w:t>6</w:t>
      </w:r>
      <w:r w:rsidRPr="008F7885">
        <w:rPr>
          <w:rFonts w:ascii="標楷體" w:eastAsia="標楷體" w:hAnsi="標楷體" w:hint="eastAsia"/>
          <w:sz w:val="32"/>
          <w:szCs w:val="32"/>
        </w:rPr>
        <w:t>銅，共獲得</w:t>
      </w:r>
      <w:r w:rsidRPr="008F7885">
        <w:rPr>
          <w:rFonts w:ascii="標楷體" w:eastAsia="標楷體" w:hAnsi="標楷體"/>
          <w:sz w:val="32"/>
          <w:szCs w:val="32"/>
        </w:rPr>
        <w:t>12</w:t>
      </w:r>
      <w:r w:rsidRPr="008F7885">
        <w:rPr>
          <w:rFonts w:ascii="標楷體" w:eastAsia="標楷體" w:hAnsi="標楷體" w:hint="eastAsia"/>
          <w:sz w:val="32"/>
          <w:szCs w:val="32"/>
        </w:rPr>
        <w:t>面獎牌，在全部參賽國家中排名第</w:t>
      </w:r>
      <w:r w:rsidRPr="008F7885">
        <w:rPr>
          <w:rFonts w:ascii="標楷體" w:eastAsia="標楷體" w:hAnsi="標楷體"/>
          <w:sz w:val="32"/>
          <w:szCs w:val="32"/>
        </w:rPr>
        <w:t>34</w:t>
      </w:r>
      <w:r w:rsidRPr="008F7885">
        <w:rPr>
          <w:rFonts w:ascii="標楷體" w:eastAsia="標楷體" w:hAnsi="標楷體" w:hint="eastAsia"/>
          <w:sz w:val="32"/>
          <w:szCs w:val="32"/>
        </w:rPr>
        <w:t>名，創下歷屆奥運會最佳成績，其原因部分來自於運動科學的相關技術導入。為推動運動科學研究及應用，提升國際運動競爭力，行政院通過教育部擬具「國家運動科學中心設置條例」草案，規劃成立專責行政法人國家運動科學中心。經查教育部體育署近3年度「國家體育建設」項下「推展競技運動」之預算中皆僅編列72萬元做為辦理運動科學研究獎勵，而實際執行率為103%、114%、122%，顯見應擴大辦理運動科學研究獎勵之預算規模。為持續推動運動科學發展，鼓勵國內運科專家學者持續投入及產出優質運動科學研究，應規劃提高運動科學獎勵預算，賡續引導運動科學研究前進。</w:t>
      </w:r>
      <w:r w:rsidRPr="008F7885">
        <w:rPr>
          <w:rFonts w:ascii="標楷體" w:eastAsia="標楷體" w:hAnsi="標楷體"/>
          <w:sz w:val="32"/>
          <w:szCs w:val="32"/>
        </w:rPr>
        <w:t>385</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提案人：吳思瑤</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連署人：范  雲  黃國書  陳秀寳</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六十)為因應社會各界對體育團體改革之期待，健全體育團體之運作，教育部體育署應每年對特定體育團體輔導、訪視或考核。惟體育署競技組近年執行辦理亞奥運特定體育團體之訪評業務，多流於形式，其中不乏當年度出現治理失能之特定</w:t>
      </w:r>
      <w:r w:rsidRPr="008F7885">
        <w:rPr>
          <w:rFonts w:ascii="標楷體" w:eastAsia="標楷體" w:hAnsi="標楷體" w:hint="eastAsia"/>
          <w:sz w:val="32"/>
          <w:szCs w:val="32"/>
        </w:rPr>
        <w:lastRenderedPageBreak/>
        <w:t>體育團體，依然能於評鑑中取得「通過」之狀況，而實際治理成效卓著之單項協會，亦未能有具體肯定，並提供相關經驗供其他協會仿效，使國人了解國內特定體育團體力求改革之努力。依「國民體育法」第</w:t>
      </w:r>
      <w:r w:rsidRPr="008F7885">
        <w:rPr>
          <w:rFonts w:ascii="標楷體" w:eastAsia="標楷體" w:hAnsi="標楷體"/>
          <w:sz w:val="32"/>
          <w:szCs w:val="32"/>
        </w:rPr>
        <w:t>30</w:t>
      </w:r>
      <w:r w:rsidRPr="008F7885">
        <w:rPr>
          <w:rFonts w:ascii="標楷體" w:eastAsia="標楷體" w:hAnsi="標楷體" w:hint="eastAsia"/>
          <w:sz w:val="32"/>
          <w:szCs w:val="32"/>
        </w:rPr>
        <w:t>條規定，特定體團體應建立運動選手分級登錄及建立運動人才資料庫。惟據統計至</w:t>
      </w:r>
      <w:r w:rsidRPr="008F7885">
        <w:rPr>
          <w:rFonts w:ascii="標楷體" w:eastAsia="標楷體" w:hAnsi="標楷體"/>
          <w:sz w:val="32"/>
          <w:szCs w:val="32"/>
        </w:rPr>
        <w:t>111</w:t>
      </w:r>
      <w:r w:rsidRPr="008F7885">
        <w:rPr>
          <w:rFonts w:ascii="標楷體" w:eastAsia="標楷體" w:hAnsi="標楷體" w:hint="eastAsia"/>
          <w:sz w:val="32"/>
          <w:szCs w:val="32"/>
        </w:rPr>
        <w:t>年</w:t>
      </w:r>
      <w:r w:rsidRPr="008F7885">
        <w:rPr>
          <w:rFonts w:ascii="標楷體" w:eastAsia="標楷體" w:hAnsi="標楷體"/>
          <w:sz w:val="32"/>
          <w:szCs w:val="32"/>
        </w:rPr>
        <w:t>7</w:t>
      </w:r>
      <w:r w:rsidRPr="008F7885">
        <w:rPr>
          <w:rFonts w:ascii="標楷體" w:eastAsia="標楷體" w:hAnsi="標楷體" w:hint="eastAsia"/>
          <w:sz w:val="32"/>
          <w:szCs w:val="32"/>
        </w:rPr>
        <w:t>月底，</w:t>
      </w:r>
      <w:r w:rsidRPr="008F7885">
        <w:rPr>
          <w:rFonts w:ascii="標楷體" w:eastAsia="標楷體" w:hAnsi="標楷體"/>
          <w:sz w:val="32"/>
          <w:szCs w:val="32"/>
        </w:rPr>
        <w:t>71</w:t>
      </w:r>
      <w:r w:rsidRPr="008F7885">
        <w:rPr>
          <w:rFonts w:ascii="標楷體" w:eastAsia="標楷體" w:hAnsi="標楷體" w:hint="eastAsia"/>
          <w:sz w:val="32"/>
          <w:szCs w:val="32"/>
        </w:rPr>
        <w:t>家特定團體</w:t>
      </w:r>
      <w:r w:rsidRPr="008F7885">
        <w:rPr>
          <w:rFonts w:ascii="標楷體" w:eastAsia="標楷體" w:hAnsi="標楷體"/>
          <w:sz w:val="32"/>
          <w:szCs w:val="32"/>
        </w:rPr>
        <w:t>(</w:t>
      </w:r>
      <w:r w:rsidRPr="008F7885">
        <w:rPr>
          <w:rFonts w:ascii="標楷體" w:eastAsia="標楷體" w:hAnsi="標楷體" w:hint="eastAsia"/>
          <w:sz w:val="32"/>
          <w:szCs w:val="32"/>
        </w:rPr>
        <w:t>奧亞運單項運動協會</w:t>
      </w:r>
      <w:r w:rsidRPr="008F7885">
        <w:rPr>
          <w:rFonts w:ascii="標楷體" w:eastAsia="標楷體" w:hAnsi="標楷體"/>
          <w:sz w:val="32"/>
          <w:szCs w:val="32"/>
        </w:rPr>
        <w:t>44</w:t>
      </w:r>
      <w:r w:rsidRPr="008F7885">
        <w:rPr>
          <w:rFonts w:ascii="標楷體" w:eastAsia="標楷體" w:hAnsi="標楷體" w:hint="eastAsia"/>
          <w:sz w:val="32"/>
          <w:szCs w:val="32"/>
        </w:rPr>
        <w:t>家、非奥亞運單項運動協會</w:t>
      </w:r>
      <w:r w:rsidRPr="008F7885">
        <w:rPr>
          <w:rFonts w:ascii="標楷體" w:eastAsia="標楷體" w:hAnsi="標楷體"/>
          <w:sz w:val="32"/>
          <w:szCs w:val="32"/>
        </w:rPr>
        <w:t>27</w:t>
      </w:r>
      <w:r w:rsidRPr="008F7885">
        <w:rPr>
          <w:rFonts w:ascii="標楷體" w:eastAsia="標楷體" w:hAnsi="標楷體" w:hint="eastAsia"/>
          <w:sz w:val="32"/>
          <w:szCs w:val="32"/>
        </w:rPr>
        <w:t>家</w:t>
      </w:r>
      <w:r w:rsidRPr="008F7885">
        <w:rPr>
          <w:rFonts w:ascii="標楷體" w:eastAsia="標楷體" w:hAnsi="標楷體"/>
          <w:sz w:val="32"/>
          <w:szCs w:val="32"/>
        </w:rPr>
        <w:t>)</w:t>
      </w:r>
      <w:r w:rsidRPr="008F7885">
        <w:rPr>
          <w:rFonts w:ascii="標楷體" w:eastAsia="標楷體" w:hAnsi="標楷體" w:hint="eastAsia"/>
          <w:sz w:val="32"/>
          <w:szCs w:val="32"/>
        </w:rPr>
        <w:t>之中，有</w:t>
      </w:r>
      <w:r w:rsidRPr="008F7885">
        <w:rPr>
          <w:rFonts w:ascii="標楷體" w:eastAsia="標楷體" w:hAnsi="標楷體"/>
          <w:sz w:val="32"/>
          <w:szCs w:val="32"/>
        </w:rPr>
        <w:t>8</w:t>
      </w:r>
      <w:r w:rsidRPr="008F7885">
        <w:rPr>
          <w:rFonts w:ascii="標楷體" w:eastAsia="標楷體" w:hAnsi="標楷體" w:hint="eastAsia"/>
          <w:sz w:val="32"/>
          <w:szCs w:val="32"/>
        </w:rPr>
        <w:t>家仍未建立運動人才資料庫或運動選手分級制度。另依「國民體育法」第</w:t>
      </w:r>
      <w:r w:rsidRPr="008F7885">
        <w:rPr>
          <w:rFonts w:ascii="標楷體" w:eastAsia="標楷體" w:hAnsi="標楷體"/>
          <w:sz w:val="32"/>
          <w:szCs w:val="32"/>
        </w:rPr>
        <w:t>35</w:t>
      </w:r>
      <w:r w:rsidRPr="008F7885">
        <w:rPr>
          <w:rFonts w:ascii="標楷體" w:eastAsia="標楷體" w:hAnsi="標楷體" w:hint="eastAsia"/>
          <w:sz w:val="32"/>
          <w:szCs w:val="32"/>
        </w:rPr>
        <w:t>條規定，特定體育團體應於各年度結束後</w:t>
      </w:r>
      <w:r w:rsidRPr="008F7885">
        <w:rPr>
          <w:rFonts w:ascii="標楷體" w:eastAsia="標楷體" w:hAnsi="標楷體"/>
          <w:sz w:val="32"/>
          <w:szCs w:val="32"/>
        </w:rPr>
        <w:t>3</w:t>
      </w:r>
      <w:r w:rsidRPr="008F7885">
        <w:rPr>
          <w:rFonts w:ascii="標楷體" w:eastAsia="標楷體" w:hAnsi="標楷體" w:hint="eastAsia"/>
          <w:sz w:val="32"/>
          <w:szCs w:val="32"/>
        </w:rPr>
        <w:t>個月內，將其決算及財務報表自行委請會計師查核簽證後，報教育部備查。然</w:t>
      </w:r>
      <w:r w:rsidRPr="008F7885">
        <w:rPr>
          <w:rFonts w:ascii="標楷體" w:eastAsia="標楷體" w:hAnsi="標楷體"/>
          <w:sz w:val="32"/>
          <w:szCs w:val="32"/>
        </w:rPr>
        <w:t>108</w:t>
      </w:r>
      <w:r w:rsidRPr="008F7885">
        <w:rPr>
          <w:rFonts w:ascii="標楷體" w:eastAsia="標楷體" w:hAnsi="標楷體" w:hint="eastAsia"/>
          <w:sz w:val="32"/>
          <w:szCs w:val="32"/>
        </w:rPr>
        <w:t>至</w:t>
      </w:r>
      <w:r w:rsidRPr="008F7885">
        <w:rPr>
          <w:rFonts w:ascii="標楷體" w:eastAsia="標楷體" w:hAnsi="標楷體"/>
          <w:sz w:val="32"/>
          <w:szCs w:val="32"/>
        </w:rPr>
        <w:t>110</w:t>
      </w:r>
      <w:r w:rsidRPr="008F7885">
        <w:rPr>
          <w:rFonts w:ascii="標楷體" w:eastAsia="標楷體" w:hAnsi="標楷體" w:hint="eastAsia"/>
          <w:sz w:val="32"/>
          <w:szCs w:val="32"/>
        </w:rPr>
        <w:t>年度，</w:t>
      </w:r>
      <w:r w:rsidRPr="008F7885">
        <w:rPr>
          <w:rFonts w:ascii="標楷體" w:eastAsia="標楷體" w:hAnsi="標楷體"/>
          <w:sz w:val="32"/>
          <w:szCs w:val="32"/>
        </w:rPr>
        <w:t>27</w:t>
      </w:r>
      <w:r w:rsidRPr="008F7885">
        <w:rPr>
          <w:rFonts w:ascii="標楷體" w:eastAsia="標楷體" w:hAnsi="標楷體" w:hint="eastAsia"/>
          <w:sz w:val="32"/>
          <w:szCs w:val="32"/>
        </w:rPr>
        <w:t>家非奧亞運單項運動協會之中，未於規定期限內備查決算及財務報表之團體，自</w:t>
      </w:r>
      <w:r w:rsidRPr="008F7885">
        <w:rPr>
          <w:rFonts w:ascii="標楷體" w:eastAsia="標楷體" w:hAnsi="標楷體"/>
          <w:sz w:val="32"/>
          <w:szCs w:val="32"/>
        </w:rPr>
        <w:t>8</w:t>
      </w:r>
      <w:r w:rsidRPr="008F7885">
        <w:rPr>
          <w:rFonts w:ascii="標楷體" w:eastAsia="標楷體" w:hAnsi="標楷體" w:hint="eastAsia"/>
          <w:sz w:val="32"/>
          <w:szCs w:val="32"/>
        </w:rPr>
        <w:t>家增加至</w:t>
      </w:r>
      <w:r w:rsidRPr="008F7885">
        <w:rPr>
          <w:rFonts w:ascii="標楷體" w:eastAsia="標楷體" w:hAnsi="標楷體"/>
          <w:sz w:val="32"/>
          <w:szCs w:val="32"/>
        </w:rPr>
        <w:t>13</w:t>
      </w:r>
      <w:r w:rsidRPr="008F7885">
        <w:rPr>
          <w:rFonts w:ascii="標楷體" w:eastAsia="標楷體" w:hAnsi="標楷體" w:hint="eastAsia"/>
          <w:sz w:val="32"/>
          <w:szCs w:val="32"/>
        </w:rPr>
        <w:t>家，顯示體育署應加強輔導督促改善。教育部體育署允宜落實評鑑以提升體育團體之治理成效，並於3個月內向立法院教育及文化委員會提出書面報告。</w:t>
      </w:r>
      <w:r w:rsidRPr="008F7885">
        <w:rPr>
          <w:rFonts w:ascii="標楷體" w:eastAsia="標楷體" w:hAnsi="標楷體"/>
          <w:sz w:val="32"/>
          <w:szCs w:val="32"/>
        </w:rPr>
        <w:t>386</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  陳秀寳</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連署人：賴品妤  林宜瑾</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六十一)現行為推展各單項運動、促進國際交流，教育部體育署訂有補助國際體育運動交流作業要點，其經費來源為運動發展基金。但根據現行規定，按賽事所需經費最高僅補助25%至60%。但協會規模不一，各賽事項目冷熱門程度也不同，爭取贊助、售票與否及各種收入情況皆有落差，補助要點宜有彈性規定，且宜整合公務預算及基金預算的補助規範，俾利各單項協會爭取在台辦理國際賽事，以達推廣單項運動、增進競技水準、促進國際交流的目標。爰此，請教育部體育署針對上述項目於3個月內向立法院</w:t>
      </w:r>
      <w:r>
        <w:rPr>
          <w:rFonts w:ascii="標楷體" w:eastAsia="標楷體" w:hAnsi="標楷體" w:hint="eastAsia"/>
          <w:sz w:val="32"/>
          <w:szCs w:val="32"/>
        </w:rPr>
        <w:t>教育及文化委員會</w:t>
      </w:r>
      <w:r w:rsidRPr="008F7885">
        <w:rPr>
          <w:rFonts w:ascii="標楷體" w:eastAsia="標楷體" w:hAnsi="標楷體" w:hint="eastAsia"/>
          <w:sz w:val="32"/>
          <w:szCs w:val="32"/>
        </w:rPr>
        <w:t>提出書面報告。</w:t>
      </w:r>
      <w:r w:rsidRPr="008F7885">
        <w:rPr>
          <w:rFonts w:ascii="標楷體" w:eastAsia="標楷體" w:hAnsi="標楷體"/>
          <w:sz w:val="32"/>
          <w:szCs w:val="32"/>
        </w:rPr>
        <w:t>388</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提案人：張廖萬堅  林宜瑾</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lastRenderedPageBreak/>
        <w:t>連署人：黃國書  陳秀寳</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六十二)有鑑於政府斥資近12億元改建新竹市立棒球場，卻在未驗收的情況下啟用開打，導致比賽球員因場地缺失受傷。此不僅引發外界對新竹市立棒球場改建工程過程與驗收之質疑，亦顯出教育部體育署對補助興建之體育場館督導鬆散。爰要求教育部體育署針對新竹市立棒球場未驗收即進行比賽等情事追究相關責任並檢討扣減部分工程補助款項；另應在3個月內訂定明確規範，競技型球場須經完整驗收程序後才得以進行賽事，確保工程品質與維護球員安全。</w:t>
      </w:r>
      <w:r w:rsidRPr="008F7885">
        <w:rPr>
          <w:rFonts w:ascii="標楷體" w:eastAsia="標楷體" w:hAnsi="標楷體"/>
          <w:sz w:val="32"/>
          <w:szCs w:val="32"/>
        </w:rPr>
        <w:t>390</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提案人：林奕華</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連署人：吳怡玎  黃國書  陳秀寳</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六十三)經查，近年體育預算結構嚴重失衡，除透過運動發展基金替代公務預算，設施預算之規劃亦過度仰賴前瞻基礎建設之特別預算，致使111年度出現因前瞻預算分配用罄，公務預算亦無相關費用編列，致出現相關之地方體育設施興建僅能等待 113 年度之預算方可再行啟動之情形。針對教育部體育署之公務預算部分除行政法人國家運動訓練中心之3期工程外，竟無其他設施興辦之預算規劃，造成111年度新興需求無法及時因應之狀況，請教育部體育署針對前述問題具體修正執行方式，以利各地方運動設施興建。</w:t>
      </w:r>
      <w:r w:rsidRPr="008F7885">
        <w:rPr>
          <w:rFonts w:ascii="標楷體" w:eastAsia="標楷體" w:hAnsi="標楷體"/>
          <w:sz w:val="32"/>
          <w:szCs w:val="32"/>
        </w:rPr>
        <w:t>391</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連署人：賴品妤  林宜瑾  陳秀寳</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六十四)臺灣女足代表隊於111年年初印度亞洲盃中，除帶領臺灣睽違14年重返亞洲盃舞台，更在賽會疫情挺住壓力，以連場精彩好球驚艷國人，並取得世界盃跨洲附加賽門票。然盤點女足亞洲盃所有參賽國家中，臺灣係唯一未有國家足球訓練中心之團隊，甚至臺灣足球不分男女，長年沒有專屬訓練</w:t>
      </w:r>
      <w:r w:rsidRPr="008F7885">
        <w:rPr>
          <w:rFonts w:ascii="標楷體" w:eastAsia="標楷體" w:hAnsi="標楷體" w:hint="eastAsia"/>
          <w:sz w:val="32"/>
          <w:szCs w:val="32"/>
        </w:rPr>
        <w:lastRenderedPageBreak/>
        <w:t>場地，行政法人國家運動訓練中心也無合格足球場，足球國手僅能在非正規草地練習。鑑於足球為運動賽事中世界影響力最廣，最能取得國際能見度之項目，而國家足球訓練中心之建置對於足球競技表現提升之效國在國際上亦已為常識，臺灣如未能考慮相關設施需求，無異於自絕於此領域之競爭舞台。爰此，為能依中華民國足球協會需求給予協助支援，爰請教育部體育署研議國家足球訓練中心之設置期程規劃，並於6個月內向立法院教育及文化委員會提出書面報告。</w:t>
      </w:r>
      <w:r w:rsidRPr="008F7885">
        <w:rPr>
          <w:rFonts w:ascii="標楷體" w:eastAsia="標楷體" w:hAnsi="標楷體"/>
          <w:sz w:val="32"/>
          <w:szCs w:val="32"/>
        </w:rPr>
        <w:t>393</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提案人：范  雲</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連署人：賴品妤  黃國書  陳秀寳</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(六十五)112年度教育部體育署「國家體育建設」項下「運動科技應用發展」預算編列</w:t>
      </w:r>
      <w:r w:rsidRPr="008F7885">
        <w:rPr>
          <w:rFonts w:ascii="標楷體" w:eastAsia="標楷體" w:hAnsi="標楷體"/>
          <w:sz w:val="32"/>
          <w:szCs w:val="32"/>
        </w:rPr>
        <w:t>4,900</w:t>
      </w:r>
      <w:r w:rsidRPr="008F7885">
        <w:rPr>
          <w:rFonts w:ascii="標楷體" w:eastAsia="標楷體" w:hAnsi="標楷體" w:hint="eastAsia"/>
          <w:sz w:val="32"/>
          <w:szCs w:val="32"/>
        </w:rPr>
        <w:t>萬元</w:t>
      </w:r>
      <w:r w:rsidRPr="008F7885">
        <w:rPr>
          <w:rFonts w:ascii="標楷體" w:eastAsia="標楷體" w:hAnsi="標楷體"/>
          <w:sz w:val="32"/>
          <w:szCs w:val="32"/>
        </w:rPr>
        <w:t>,</w:t>
      </w:r>
      <w:r w:rsidRPr="008F7885">
        <w:rPr>
          <w:rFonts w:ascii="標楷體" w:eastAsia="標楷體" w:hAnsi="標楷體" w:hint="eastAsia"/>
          <w:sz w:val="32"/>
          <w:szCs w:val="32"/>
        </w:rPr>
        <w:t>依行政院「運動</w:t>
      </w:r>
      <w:r w:rsidRPr="008F7885">
        <w:rPr>
          <w:rFonts w:ascii="標楷體" w:eastAsia="標楷體" w:hAnsi="標楷體"/>
          <w:sz w:val="32"/>
          <w:szCs w:val="32"/>
        </w:rPr>
        <w:t>X</w:t>
      </w:r>
      <w:r w:rsidRPr="008F7885">
        <w:rPr>
          <w:rFonts w:ascii="標楷體" w:eastAsia="標楷體" w:hAnsi="標楷體" w:hint="eastAsia"/>
          <w:sz w:val="32"/>
          <w:szCs w:val="32"/>
        </w:rPr>
        <w:t>科技行動計畫」推動運動科技業務，以打造運動科技示範場域、推動運科技知能發展兩面向為主軸，强化運動科技基礎結構</w:t>
      </w:r>
      <w:r>
        <w:rPr>
          <w:rFonts w:ascii="標楷體" w:eastAsia="標楷體" w:hAnsi="標楷體" w:hint="eastAsia"/>
          <w:sz w:val="32"/>
          <w:szCs w:val="32"/>
        </w:rPr>
        <w:t>，</w:t>
      </w:r>
      <w:r w:rsidRPr="008F7885">
        <w:rPr>
          <w:rFonts w:ascii="標楷體" w:eastAsia="標楷體" w:hAnsi="標楷體" w:hint="eastAsia"/>
          <w:sz w:val="32"/>
          <w:szCs w:val="32"/>
        </w:rPr>
        <w:t>為科技創新注入能量。為避免經費遭濫用虛擲，使其發揮應有功能，請教育部體育署強化跨域整合規劃及業務間之關聯性，以達成計畫預期成果與效益。</w:t>
      </w:r>
      <w:r w:rsidRPr="008F7885">
        <w:rPr>
          <w:rFonts w:ascii="標楷體" w:eastAsia="標楷體" w:hAnsi="標楷體"/>
          <w:sz w:val="32"/>
          <w:szCs w:val="32"/>
        </w:rPr>
        <w:t>394</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提案人：鄭正鈐</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連署人：吳怡玎  萬美玲  陳秀寳</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六十六)賴委員品妤長期爭取「國家級運動科學中心」之成立。自2021年9月起，即多次要求教育部評估成立國家級運科中心之可能性，同時亦於立法院第10屆第5會期擔任教育及文化委會召集委員時安排行政法人國家運動訓練中心運動科學處考察以盤點台灣運科能量，亦於立法院2次總質詢中提出該議題並獲得行政院院長支持，最終在2022年6月21日成立了行政法人國家運動科學中心籌備處，啟動了組織條例及相關籌備工程。惟照教育部體育署之規劃，未來運科中心擬設立於目前國訓中心內，而原國訓中心運科處依然存續，該</w:t>
      </w:r>
      <w:r w:rsidRPr="008F7885">
        <w:rPr>
          <w:rFonts w:ascii="標楷體" w:eastAsia="標楷體" w:hAnsi="標楷體" w:hint="eastAsia"/>
          <w:sz w:val="32"/>
          <w:szCs w:val="32"/>
        </w:rPr>
        <w:lastRenderedPageBreak/>
        <w:t>2單位之業務恐有衝突，且該作為被體育界質疑為國家運動訓練中心運動科學處原地升級，頗有「掛羊頭賣狗肉」之嫌。相關單位應針對兩個位階平行的行政法人未來在於選手培訓、輔助等業務要如何協調、合作，遇到衝突要如何調解，提出詳盡的事先規劃以避免疊床架屋、組織協調爭議等。請教育部體育署於3個月內針對相關問題進行討論研議，同時徵詢了解選手建議，待報告結果出爐應向立法院教育及文化委員會提出書面報告，並提出行政法人國家運動科學中心成立相關時程及規劃。</w:t>
      </w:r>
      <w:r w:rsidRPr="008F7885">
        <w:rPr>
          <w:rFonts w:ascii="標楷體" w:eastAsia="標楷體" w:hAnsi="標楷體"/>
          <w:sz w:val="32"/>
          <w:szCs w:val="32"/>
        </w:rPr>
        <w:t>395</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提案人：賴品妤</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鄭正鈐</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(六十七)112年度教育部體育署「國家體育建設」項下「運動科技應用發展」預算編列4,900萬元，用於配合行政院「運動</w:t>
      </w:r>
      <w:r w:rsidRPr="008F7885">
        <w:rPr>
          <w:rFonts w:ascii="標楷體" w:eastAsia="標楷體" w:hAnsi="標楷體"/>
          <w:sz w:val="32"/>
          <w:szCs w:val="32"/>
        </w:rPr>
        <w:t>X</w:t>
      </w:r>
      <w:r w:rsidRPr="008F7885">
        <w:rPr>
          <w:rFonts w:ascii="標楷體" w:eastAsia="標楷體" w:hAnsi="標楷體" w:hint="eastAsia"/>
          <w:sz w:val="32"/>
          <w:szCs w:val="32"/>
        </w:rPr>
        <w:t>科技行動計查」推動運動科技業務，打造運動科技示範場域、推動運動科技知能發展，強化運動科技基礎结構。經查，以科技結合運動器材、運動場館及選手訓練為近年來之國際運動趨勢，而行政院提出「運動X科技行動計畫」(111至115年)預計5年投入46億元預算經費，提升頂尖運動選手的競技能力、擴大國人的運動風氣，進而帶動臺灣運動科技產業向上發展。為詳細了解教育部體育署相關規劃措施及預計達成目標，爰請教育部體育署於3個月內向立法院教育及文化委員會提出書面報告。</w:t>
      </w:r>
      <w:r w:rsidRPr="008F7885">
        <w:rPr>
          <w:rFonts w:ascii="標楷體" w:eastAsia="標楷體" w:hAnsi="標楷體"/>
          <w:sz w:val="32"/>
          <w:szCs w:val="32"/>
        </w:rPr>
        <w:t>396</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提案人：萬美玲</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連署人：鄭正鈐  林奕華  陳秀寳</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(六十八)教育部體育署依行政院「運動</w:t>
      </w:r>
      <w:r w:rsidRPr="008F7885">
        <w:rPr>
          <w:rFonts w:ascii="標楷體" w:eastAsia="標楷體" w:hAnsi="標楷體"/>
          <w:sz w:val="32"/>
          <w:szCs w:val="32"/>
        </w:rPr>
        <w:t>X</w:t>
      </w:r>
      <w:r w:rsidRPr="008F7885">
        <w:rPr>
          <w:rFonts w:ascii="標楷體" w:eastAsia="標楷體" w:hAnsi="標楷體" w:hint="eastAsia"/>
          <w:sz w:val="32"/>
          <w:szCs w:val="32"/>
        </w:rPr>
        <w:t>科技行動計畫」推動運動科技業務</w:t>
      </w:r>
      <w:r w:rsidRPr="008F7885">
        <w:rPr>
          <w:rFonts w:ascii="標楷體" w:eastAsia="標楷體" w:hAnsi="標楷體"/>
          <w:sz w:val="32"/>
          <w:szCs w:val="32"/>
        </w:rPr>
        <w:t>,</w:t>
      </w:r>
      <w:r w:rsidRPr="008F7885">
        <w:rPr>
          <w:rFonts w:ascii="標楷體" w:eastAsia="標楷體" w:hAnsi="標楷體" w:hint="eastAsia"/>
          <w:sz w:val="32"/>
          <w:szCs w:val="32"/>
        </w:rPr>
        <w:t>以打造運動科技示範場域、推動運動科技知能發展兩面向為主軸，强化運動科技基礎結構，為科技創新注入能量。「運動X科技行動計畫」，包含運動科技跨域人才</w:t>
      </w:r>
      <w:r w:rsidRPr="008F7885">
        <w:rPr>
          <w:rFonts w:ascii="標楷體" w:eastAsia="標楷體" w:hAnsi="標楷體" w:hint="eastAsia"/>
          <w:sz w:val="32"/>
          <w:szCs w:val="32"/>
        </w:rPr>
        <w:lastRenderedPageBreak/>
        <w:t>培育計畫及科技應用點亮健康運動城市計畫二項。運動科技跨域人才培育計畫推動重點為盤點產業需求、研擬人才培育方向、培養跨域核心能力人才及建構實作多功能場域。該計畫於111年先導計畫中，以國立體育大學、國立清華大學、國立成功大學為種子學校，進行推動並逐步串聯或擴散；科技應用點亮健康運動城市計畫推動重點為盤點地方資源及應用需求，建立輔導補助機制，逐步打造示範案例。為促進運動科技產業整體發展，爰要求教育部體育署強化跨部會溝通、跨域合作及督導相關大學進行跨校整合，以達成計畫預期成果與效益，並於3個月內向立法院教育及文化委員會提出相關具體精進作為書面報告。</w:t>
      </w:r>
      <w:r w:rsidRPr="008F7885">
        <w:rPr>
          <w:rFonts w:ascii="標楷體" w:eastAsia="標楷體" w:hAnsi="標楷體"/>
          <w:sz w:val="32"/>
          <w:szCs w:val="32"/>
        </w:rPr>
        <w:t>398</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提案人：林奕華</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連署人：吳怡玎  黃國書  陳秀寳</w:t>
      </w:r>
    </w:p>
    <w:p w:rsidR="00273897" w:rsidRPr="008F7885" w:rsidRDefault="00273897" w:rsidP="00273897">
      <w:pPr>
        <w:kinsoku w:val="0"/>
        <w:overflowPunct w:val="0"/>
        <w:snapToGrid w:val="0"/>
        <w:spacing w:beforeLines="50" w:before="180"/>
        <w:ind w:leftChars="100" w:left="1568" w:hangingChars="415" w:hanging="1328"/>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第4項　青年發展署</w:t>
      </w:r>
      <w:r w:rsidRPr="008F7885">
        <w:rPr>
          <w:rFonts w:ascii="標楷體" w:eastAsia="標楷體" w:hAnsi="標楷體" w:hint="eastAsia"/>
          <w:sz w:val="32"/>
        </w:rPr>
        <w:t>5億2</w:t>
      </w:r>
      <w:r w:rsidRPr="008F7885">
        <w:rPr>
          <w:rFonts w:ascii="標楷體" w:eastAsia="標楷體" w:hAnsi="標楷體"/>
          <w:sz w:val="32"/>
        </w:rPr>
        <w:t>,660</w:t>
      </w:r>
      <w:r w:rsidRPr="008F7885">
        <w:rPr>
          <w:rFonts w:ascii="標楷體" w:eastAsia="標楷體" w:hAnsi="標楷體" w:hint="eastAsia"/>
          <w:sz w:val="32"/>
        </w:rPr>
        <w:t>萬</w:t>
      </w:r>
      <w:r w:rsidRPr="008F7885">
        <w:rPr>
          <w:rFonts w:ascii="標楷體" w:eastAsia="標楷體" w:hAnsi="標楷體"/>
          <w:sz w:val="32"/>
        </w:rPr>
        <w:t>7</w:t>
      </w:r>
      <w:r w:rsidRPr="008F7885">
        <w:rPr>
          <w:rFonts w:ascii="標楷體" w:eastAsia="標楷體" w:hAnsi="標楷體" w:hint="eastAsia"/>
          <w:sz w:val="32"/>
        </w:rPr>
        <w:t>千元</w:t>
      </w:r>
      <w:r w:rsidRPr="008F7885">
        <w:rPr>
          <w:rFonts w:ascii="標楷體" w:eastAsia="標楷體" w:hAnsi="標楷體" w:hint="eastAsia"/>
          <w:snapToGrid w:val="0"/>
          <w:sz w:val="32"/>
          <w:szCs w:val="32"/>
        </w:rPr>
        <w:t>，照列。</w:t>
      </w:r>
    </w:p>
    <w:p w:rsidR="00273897" w:rsidRPr="008F7885" w:rsidRDefault="00273897" w:rsidP="00273897">
      <w:pPr>
        <w:kinsoku w:val="0"/>
        <w:overflowPunct w:val="0"/>
        <w:spacing w:line="500" w:lineRule="exact"/>
        <w:ind w:leftChars="100" w:left="1568" w:hangingChars="415" w:hanging="1328"/>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本項通過決議11項：</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一)為培育具潛力之大專女學生自我探索、破除性別刻板框架，發揮潛能為社會帶來積極正面影響力，教育部青年發展署每年辦理大專女學生領導力培訓營計畫，然培訓人次由108年度317人，至109年度大幅降為219人，110年度培訓人數則為近9年最低之186人。有鑑於近2年可能受嚴重特殊傳染性肺炎疫情影響導致參與人次減少，考量近期國內疫情已趨緩，爰要求教育部青年發展署應加強相關宣傳活動，或思考轉型，以達到計畫目標效益。444</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提案人：林奕華</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連署人：鄭正鈐  吳怡玎</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(二</w:t>
      </w:r>
      <w:r w:rsidRPr="008F7885">
        <w:rPr>
          <w:rFonts w:ascii="標楷體" w:eastAsia="標楷體" w:hAnsi="標楷體"/>
          <w:snapToGrid w:val="0"/>
          <w:sz w:val="32"/>
          <w:szCs w:val="32"/>
        </w:rPr>
        <w:t>)</w:t>
      </w:r>
      <w:r w:rsidRPr="008F7885">
        <w:rPr>
          <w:rFonts w:ascii="標楷體" w:eastAsia="標楷體" w:hAnsi="標楷體" w:hint="eastAsia"/>
          <w:snapToGrid w:val="0"/>
          <w:sz w:val="32"/>
          <w:szCs w:val="32"/>
        </w:rPr>
        <w:t>賴委員品妤長期關注女性權益，又以年輕女性在於教學資源、領導力培育資源區塊獲取尤其重要。經查，教育部青年發</w:t>
      </w:r>
      <w:r w:rsidRPr="008F7885">
        <w:rPr>
          <w:rFonts w:ascii="標楷體" w:eastAsia="標楷體" w:hAnsi="標楷體" w:hint="eastAsia"/>
          <w:snapToGrid w:val="0"/>
          <w:sz w:val="32"/>
          <w:szCs w:val="32"/>
        </w:rPr>
        <w:lastRenderedPageBreak/>
        <w:t>展署自2013至2022年皆有辦理「大專女學生領導力培訓營」，並於營隊中邀請各領域女性領導者，分享經歷與經驗，促進參與學員自我探索，破除性別刻板框架，向外發揮潛能，為社會帶來積極正面影響力。賴委員品妤肯定教育部青年發展署在有限資源下辦理相關活動作為，惟近年舉辦之場次恐受嚴重特殊傳染性肺炎疫情等外在條件影響造成參與人數銳減，但作為政府單位應盡一切努力彌平女性資源之落差、促進女性友善環境，請教育部青年發展署於1個月內向立法院教育及文化委員會提出書面報告。</w:t>
      </w:r>
      <w:r w:rsidRPr="008F7885">
        <w:rPr>
          <w:rFonts w:ascii="標楷體" w:eastAsia="標楷體" w:hAnsi="標楷體"/>
          <w:snapToGrid w:val="0"/>
          <w:sz w:val="32"/>
          <w:szCs w:val="32"/>
        </w:rPr>
        <w:t>432</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提案人：賴品妤  范  雲</w:t>
      </w:r>
    </w:p>
    <w:p w:rsidR="00273897" w:rsidRPr="008F7885" w:rsidRDefault="00273897" w:rsidP="00273897">
      <w:pPr>
        <w:snapToGrid w:val="0"/>
        <w:spacing w:line="460" w:lineRule="exact"/>
        <w:ind w:leftChars="1250" w:left="4280" w:hangingChars="400" w:hanging="1280"/>
        <w:jc w:val="both"/>
        <w:rPr>
          <w:rFonts w:ascii="標楷體" w:eastAsia="標楷體" w:hAnsi="標楷體"/>
          <w:snapToGrid w:val="0"/>
          <w:sz w:val="32"/>
          <w:szCs w:val="32"/>
        </w:rPr>
      </w:pPr>
      <w:r w:rsidRPr="008F7885">
        <w:rPr>
          <w:rFonts w:ascii="標楷體" w:eastAsia="標楷體" w:hAnsi="標楷體" w:hint="eastAsia"/>
          <w:sz w:val="32"/>
          <w:szCs w:val="32"/>
        </w:rPr>
        <w:t>連署人：林宜瑾</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(三</w:t>
      </w:r>
      <w:r w:rsidRPr="008F7885">
        <w:rPr>
          <w:rFonts w:ascii="標楷體" w:eastAsia="標楷體" w:hAnsi="標楷體"/>
          <w:snapToGrid w:val="0"/>
          <w:sz w:val="32"/>
          <w:szCs w:val="32"/>
        </w:rPr>
        <w:t>)</w:t>
      </w:r>
      <w:r w:rsidRPr="008F7885">
        <w:rPr>
          <w:rFonts w:ascii="標楷體" w:eastAsia="標楷體" w:hAnsi="標楷體" w:hint="eastAsia"/>
          <w:snapToGrid w:val="0"/>
          <w:sz w:val="32"/>
          <w:szCs w:val="32"/>
        </w:rPr>
        <w:t>經查112年度教育部青年發展署「青年生涯輔導」項下「辦理青年生涯輔導業務」預算編列</w:t>
      </w:r>
      <w:r w:rsidRPr="008F7885">
        <w:rPr>
          <w:rFonts w:ascii="標楷體" w:eastAsia="標楷體" w:hAnsi="標楷體"/>
          <w:snapToGrid w:val="0"/>
          <w:sz w:val="32"/>
          <w:szCs w:val="32"/>
        </w:rPr>
        <w:t>2</w:t>
      </w:r>
      <w:r w:rsidRPr="008F7885">
        <w:rPr>
          <w:rFonts w:ascii="標楷體" w:eastAsia="標楷體" w:hAnsi="標楷體" w:hint="eastAsia"/>
          <w:snapToGrid w:val="0"/>
          <w:sz w:val="32"/>
          <w:szCs w:val="32"/>
        </w:rPr>
        <w:t>億</w:t>
      </w:r>
      <w:r w:rsidRPr="008F7885">
        <w:rPr>
          <w:rFonts w:ascii="標楷體" w:eastAsia="標楷體" w:hAnsi="標楷體"/>
          <w:snapToGrid w:val="0"/>
          <w:sz w:val="32"/>
          <w:szCs w:val="32"/>
        </w:rPr>
        <w:t>3,759</w:t>
      </w:r>
      <w:r w:rsidRPr="008F7885">
        <w:rPr>
          <w:rFonts w:ascii="標楷體" w:eastAsia="標楷體" w:hAnsi="標楷體" w:hint="eastAsia"/>
          <w:snapToGrid w:val="0"/>
          <w:sz w:val="32"/>
          <w:szCs w:val="32"/>
        </w:rPr>
        <w:t>萬</w:t>
      </w:r>
      <w:r w:rsidRPr="008F7885">
        <w:rPr>
          <w:rFonts w:ascii="標楷體" w:eastAsia="標楷體" w:hAnsi="標楷體"/>
          <w:snapToGrid w:val="0"/>
          <w:sz w:val="32"/>
          <w:szCs w:val="32"/>
        </w:rPr>
        <w:t>9</w:t>
      </w:r>
      <w:r w:rsidRPr="008F7885">
        <w:rPr>
          <w:rFonts w:ascii="標楷體" w:eastAsia="標楷體" w:hAnsi="標楷體" w:hint="eastAsia"/>
          <w:snapToGrid w:val="0"/>
          <w:sz w:val="32"/>
          <w:szCs w:val="32"/>
        </w:rPr>
        <w:t>千元，包含辦理青年職涯發展業務計畫等相關經費。然而根據教育部統計資料顯示，大專校院各校休學人數總人數達9萬2,508人，其中有1萬3,993人係因志趣不合而休學，占比約15%。教育部青年發展署允宜加強輔導大專校院學生生涯發展輔導規劃，使學生得以充分探索職涯，適性發展，並於3個月內向立法院教育及文化委員會提出書面報告。</w:t>
      </w:r>
      <w:r w:rsidRPr="008F7885">
        <w:rPr>
          <w:rFonts w:ascii="標楷體" w:eastAsia="標楷體" w:hAnsi="標楷體"/>
          <w:snapToGrid w:val="0"/>
          <w:sz w:val="32"/>
          <w:szCs w:val="32"/>
        </w:rPr>
        <w:t>434</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提案人：陳秀寳</w:t>
      </w:r>
    </w:p>
    <w:p w:rsidR="00273897" w:rsidRPr="008F7885" w:rsidRDefault="00273897" w:rsidP="00273897">
      <w:pPr>
        <w:snapToGrid w:val="0"/>
        <w:spacing w:line="460" w:lineRule="exact"/>
        <w:ind w:leftChars="1250" w:left="4280" w:hangingChars="400" w:hanging="1280"/>
        <w:jc w:val="both"/>
        <w:rPr>
          <w:rFonts w:ascii="標楷體" w:eastAsia="標楷體" w:hAnsi="標楷體"/>
          <w:snapToGrid w:val="0"/>
          <w:sz w:val="32"/>
          <w:szCs w:val="32"/>
        </w:rPr>
      </w:pPr>
      <w:r w:rsidRPr="008F7885">
        <w:rPr>
          <w:rFonts w:ascii="標楷體" w:eastAsia="標楷體" w:hAnsi="標楷體" w:hint="eastAsia"/>
          <w:sz w:val="32"/>
          <w:szCs w:val="32"/>
        </w:rPr>
        <w:t>連署人：林宜瑾  范  雲</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(四</w:t>
      </w:r>
      <w:r w:rsidRPr="008F7885">
        <w:rPr>
          <w:rFonts w:ascii="標楷體" w:eastAsia="標楷體" w:hAnsi="標楷體"/>
          <w:snapToGrid w:val="0"/>
          <w:sz w:val="32"/>
          <w:szCs w:val="32"/>
        </w:rPr>
        <w:t>)</w:t>
      </w:r>
      <w:r w:rsidRPr="008F7885">
        <w:rPr>
          <w:rFonts w:ascii="標楷體" w:eastAsia="標楷體" w:hAnsi="標楷體" w:hint="eastAsia"/>
          <w:snapToGrid w:val="0"/>
          <w:sz w:val="32"/>
          <w:szCs w:val="32"/>
        </w:rPr>
        <w:t>112年度教育部青年發展署「青年發展工作」項下「青年生涯輔導」中「辦理青年生涯輔導業務」預算編列2億3,759萬9千元，用於辦理青年職涯發展相關業務之經費。經查，該筆預算於112年度及111年度編列之數額皆為2億3,759萬9千元，且其執行內容包含：1.辦理青年職涯發展業務計畫；2.辦理青年職場體驗業務計畫；3.辦理及宣導國中畢業未升學未就業青少年探索相關措施；4.辦理青年創新創業培</w:t>
      </w:r>
      <w:r w:rsidRPr="008F7885">
        <w:rPr>
          <w:rFonts w:ascii="標楷體" w:eastAsia="標楷體" w:hAnsi="標楷體" w:hint="eastAsia"/>
          <w:snapToGrid w:val="0"/>
          <w:sz w:val="32"/>
          <w:szCs w:val="32"/>
        </w:rPr>
        <w:lastRenderedPageBreak/>
        <w:t>力業務等。預算經費均與111年度之預算數額一模一樣，然每年有生涯輔導需求之青年數量並不同，相關計畫執行所需資源經費亦不相同，顯見教育部青年發展署編列該筆預算有便宜行事之嫌，實須檢討說明。請教育部青年發展署於3個月內向立法院教育及文化委員會提出書面報告。</w:t>
      </w:r>
      <w:r w:rsidRPr="008F7885">
        <w:rPr>
          <w:rFonts w:ascii="標楷體" w:eastAsia="標楷體" w:hAnsi="標楷體"/>
          <w:snapToGrid w:val="0"/>
          <w:sz w:val="32"/>
          <w:szCs w:val="32"/>
        </w:rPr>
        <w:t>435</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提案人：萬美玲</w:t>
      </w:r>
    </w:p>
    <w:p w:rsidR="00273897" w:rsidRPr="008F7885" w:rsidRDefault="00273897" w:rsidP="00273897">
      <w:pPr>
        <w:snapToGrid w:val="0"/>
        <w:spacing w:line="460" w:lineRule="exact"/>
        <w:ind w:leftChars="1250" w:left="4280" w:hangingChars="400" w:hanging="1280"/>
        <w:jc w:val="both"/>
        <w:rPr>
          <w:rFonts w:ascii="標楷體" w:eastAsia="標楷體" w:hAnsi="標楷體"/>
          <w:snapToGrid w:val="0"/>
          <w:sz w:val="32"/>
          <w:szCs w:val="32"/>
        </w:rPr>
      </w:pPr>
      <w:r w:rsidRPr="008F7885">
        <w:rPr>
          <w:rFonts w:ascii="標楷體" w:eastAsia="標楷體" w:hAnsi="標楷體" w:hint="eastAsia"/>
          <w:sz w:val="32"/>
          <w:szCs w:val="32"/>
        </w:rPr>
        <w:t>連署人：鄭正鈐  林奕華</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(五</w:t>
      </w:r>
      <w:r w:rsidRPr="008F7885">
        <w:rPr>
          <w:rFonts w:ascii="標楷體" w:eastAsia="標楷體" w:hAnsi="標楷體"/>
          <w:snapToGrid w:val="0"/>
          <w:sz w:val="32"/>
          <w:szCs w:val="32"/>
        </w:rPr>
        <w:t>)</w:t>
      </w:r>
      <w:r w:rsidRPr="008F7885">
        <w:rPr>
          <w:rFonts w:ascii="標楷體" w:eastAsia="標楷體" w:hAnsi="標楷體" w:hint="eastAsia"/>
          <w:snapToGrid w:val="0"/>
          <w:sz w:val="32"/>
          <w:szCs w:val="32"/>
        </w:rPr>
        <w:t>大專女學生領導力培訓營計畫係為培育具潛力之大專女學生，增進大專女學生未來對自我實踐、社會參與及職場領導之決策力與影響力。該計畫107至108年度之預算及決算數為346萬8千元；109至110年度之預算及決算數為250萬元。經查，該計畫歷年辦理成效，自107至110年度每年均辦理4場培訓營，但參與人數自107年度309人下降至110年度186人。鑑於109及110年度可能因受嚴重特殊傳染性肺炎疫情影響致參與人數下降。而近來國內疫情已逐步趨緩且穩定控制，教育部青年發展署允宜積極研議加強辦理大專女學生領導力培訓營計畫，並於1個月內向立法院教育及文化委員會提出書面報告。</w:t>
      </w:r>
      <w:r w:rsidRPr="008F7885">
        <w:rPr>
          <w:rFonts w:ascii="標楷體" w:eastAsia="標楷體" w:hAnsi="標楷體"/>
          <w:snapToGrid w:val="0"/>
          <w:sz w:val="32"/>
          <w:szCs w:val="32"/>
        </w:rPr>
        <w:t>436</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snapToGrid w:val="0"/>
        <w:spacing w:line="460" w:lineRule="exact"/>
        <w:ind w:leftChars="1250" w:left="4280" w:hangingChars="400" w:hanging="1280"/>
        <w:jc w:val="both"/>
        <w:rPr>
          <w:rFonts w:ascii="標楷體" w:eastAsia="標楷體" w:hAnsi="標楷體"/>
          <w:snapToGrid w:val="0"/>
          <w:sz w:val="32"/>
          <w:szCs w:val="32"/>
        </w:rPr>
      </w:pPr>
      <w:r w:rsidRPr="008F7885">
        <w:rPr>
          <w:rFonts w:ascii="標楷體" w:eastAsia="標楷體" w:hAnsi="標楷體" w:hint="eastAsia"/>
          <w:sz w:val="32"/>
          <w:szCs w:val="32"/>
        </w:rPr>
        <w:t>連署人：賴品妤  范  雲</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(六</w:t>
      </w:r>
      <w:r w:rsidRPr="008F7885">
        <w:rPr>
          <w:rFonts w:ascii="標楷體" w:eastAsia="標楷體" w:hAnsi="標楷體"/>
          <w:snapToGrid w:val="0"/>
          <w:sz w:val="32"/>
          <w:szCs w:val="32"/>
        </w:rPr>
        <w:t>)</w:t>
      </w:r>
      <w:r w:rsidRPr="008F7885">
        <w:rPr>
          <w:rFonts w:ascii="標楷體" w:eastAsia="標楷體" w:hAnsi="標楷體" w:hint="eastAsia"/>
          <w:snapToGrid w:val="0"/>
          <w:sz w:val="32"/>
          <w:szCs w:val="32"/>
        </w:rPr>
        <w:t>青年生涯輔導業務之內涵係為辦理青年職涯發展業務、青年職場體驗業務、國中畢業未升學未就業青少年生涯探索業務、青年創新創業培力業務，以協助青年職涯之發展。惟查，近10年來青年長期面臨失業率偏高及薪水偏低之困境，究其原因如產學落差、工作經驗不足、產業結構改變及全球化影響等，導致我國青年貧窮惡性循環。據統計，我國109至110年受COVID-19疫情影響，110年全體失業率達3.95%，青年失業率更高達8.78%，高居近年最高。而111年雖有微幅下</w:t>
      </w:r>
      <w:r w:rsidRPr="008F7885">
        <w:rPr>
          <w:rFonts w:ascii="標楷體" w:eastAsia="標楷體" w:hAnsi="標楷體" w:hint="eastAsia"/>
          <w:snapToGrid w:val="0"/>
          <w:sz w:val="32"/>
          <w:szCs w:val="32"/>
        </w:rPr>
        <w:lastRenderedPageBreak/>
        <w:t>降，惟7月全體失業率3.78%，青年失業率則來到111年新高之8.59%，顯示青年失業率為全體失業率2倍以上現象仍未有改善。教育部青年發展署允宜加強跨部會合作，與勞動部共同辦理青年職涯探索及青年就業訓練等，以減輕就業市場衝擊、降低青年失業率，並於3個月內向立法院教育及文化委員會提出書面報告。</w:t>
      </w:r>
      <w:r w:rsidRPr="008F7885">
        <w:rPr>
          <w:rFonts w:ascii="標楷體" w:eastAsia="標楷體" w:hAnsi="標楷體"/>
          <w:snapToGrid w:val="0"/>
          <w:sz w:val="32"/>
          <w:szCs w:val="32"/>
        </w:rPr>
        <w:t>437</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提案人：黃國書</w:t>
      </w:r>
    </w:p>
    <w:p w:rsidR="00273897" w:rsidRPr="008F7885" w:rsidRDefault="00273897" w:rsidP="00273897">
      <w:pPr>
        <w:snapToGrid w:val="0"/>
        <w:spacing w:line="460" w:lineRule="exact"/>
        <w:ind w:leftChars="1250" w:left="4280" w:hangingChars="400" w:hanging="1280"/>
        <w:jc w:val="both"/>
        <w:rPr>
          <w:rFonts w:ascii="標楷體" w:eastAsia="標楷體" w:hAnsi="標楷體"/>
          <w:snapToGrid w:val="0"/>
          <w:sz w:val="32"/>
          <w:szCs w:val="32"/>
        </w:rPr>
      </w:pPr>
      <w:r w:rsidRPr="008F7885">
        <w:rPr>
          <w:rFonts w:ascii="標楷體" w:eastAsia="標楷體" w:hAnsi="標楷體" w:hint="eastAsia"/>
          <w:sz w:val="32"/>
          <w:szCs w:val="32"/>
        </w:rPr>
        <w:t>連署人：賴品妤  范  雲</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(七</w:t>
      </w:r>
      <w:r w:rsidRPr="008F7885">
        <w:rPr>
          <w:rFonts w:ascii="標楷體" w:eastAsia="標楷體" w:hAnsi="標楷體"/>
          <w:snapToGrid w:val="0"/>
          <w:sz w:val="32"/>
          <w:szCs w:val="32"/>
        </w:rPr>
        <w:t>)</w:t>
      </w:r>
      <w:r w:rsidRPr="008F7885">
        <w:rPr>
          <w:rFonts w:ascii="標楷體" w:eastAsia="標楷體" w:hAnsi="標楷體" w:hint="eastAsia"/>
          <w:snapToGrid w:val="0"/>
          <w:sz w:val="32"/>
          <w:szCs w:val="32"/>
        </w:rPr>
        <w:t>賴委員品妤長期關注人權保護工作、強力監督政府於海外打工詐騙、國人遭受人口販運等事件之處置作為。同時亦於2022年8月11日成功要求教育部針對「因校園關係而產生之學生間互相招募行為」加強宣導、進行相關防治工作。另針對部分中離生、畢業生，教育部亦有提出短期專案計畫，擬於職涯座談、就業博覽會等活動中進行相關活動。惟至今柬埔寨等國之人口販運情形仍然存續，且亦有高比例案例為與校園人際網絡有高度脈絡之青年群體，教育部青年發展署應勇於任事，進一步針對各青年族群提出「具體作為防範專案計畫」，以有效遏止、防範青年夥伴陷入人口販運行為、遭到人權損害，並於3個月內向立法院教育及文化委員會提出書面報告。</w:t>
      </w:r>
      <w:r w:rsidRPr="008F7885">
        <w:rPr>
          <w:rFonts w:ascii="標楷體" w:eastAsia="標楷體" w:hAnsi="標楷體"/>
          <w:snapToGrid w:val="0"/>
          <w:sz w:val="32"/>
          <w:szCs w:val="32"/>
        </w:rPr>
        <w:t>438</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提案人：賴品妤</w:t>
      </w:r>
    </w:p>
    <w:p w:rsidR="00273897" w:rsidRPr="008F7885" w:rsidRDefault="00273897" w:rsidP="00273897">
      <w:pPr>
        <w:snapToGrid w:val="0"/>
        <w:spacing w:line="460" w:lineRule="exact"/>
        <w:ind w:leftChars="1250" w:left="4280" w:hangingChars="400" w:hanging="1280"/>
        <w:jc w:val="both"/>
        <w:rPr>
          <w:rFonts w:ascii="標楷體" w:eastAsia="標楷體" w:hAnsi="標楷體"/>
          <w:snapToGrid w:val="0"/>
          <w:sz w:val="32"/>
          <w:szCs w:val="32"/>
        </w:rPr>
      </w:pPr>
      <w:r w:rsidRPr="008F7885">
        <w:rPr>
          <w:rFonts w:ascii="標楷體" w:eastAsia="標楷體" w:hAnsi="標楷體" w:hint="eastAsia"/>
          <w:sz w:val="32"/>
          <w:szCs w:val="32"/>
        </w:rPr>
        <w:t>連署人：范  雲  林宜瑾</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(八</w:t>
      </w:r>
      <w:r w:rsidRPr="008F7885">
        <w:rPr>
          <w:rFonts w:ascii="標楷體" w:eastAsia="標楷體" w:hAnsi="標楷體"/>
          <w:snapToGrid w:val="0"/>
          <w:sz w:val="32"/>
          <w:szCs w:val="32"/>
        </w:rPr>
        <w:t>)</w:t>
      </w:r>
      <w:r w:rsidRPr="008F7885">
        <w:rPr>
          <w:rFonts w:ascii="標楷體" w:eastAsia="標楷體" w:hAnsi="標楷體" w:hint="eastAsia"/>
          <w:snapToGrid w:val="0"/>
          <w:sz w:val="32"/>
          <w:szCs w:val="32"/>
        </w:rPr>
        <w:t>賴委員品妤長期關注學生權益提升。並於2022年5月19日擔任立法院教育及文化委員會召集委員時，與不分黨派之教育及文化委員會委員共同推動在沒有院版之前提，將「大學法」修正草案全條文不保留協商送出委員會；讓橫跨了30餘年的學生賦權倡議有了重大進展，堪稱是學生賦權之歷史時刻。惟如此獲得社會共識、各黨派支持之修法工程遭受極少</w:t>
      </w:r>
      <w:r w:rsidRPr="008F7885">
        <w:rPr>
          <w:rFonts w:ascii="標楷體" w:eastAsia="標楷體" w:hAnsi="標楷體" w:hint="eastAsia"/>
          <w:snapToGrid w:val="0"/>
          <w:sz w:val="32"/>
          <w:szCs w:val="32"/>
        </w:rPr>
        <w:lastRenderedPageBreak/>
        <w:t>部分團體以「增加學生校務代表比例席次恐造成校務會議開不成」等理由反對，有鑑於少部分不同意見，並為求修法細膩、獲取社會最大共識，讓推動青年學子權益提升工作能得到最大的祝福，教育部青年發展署應勇於任事針對各大專院校學生自治組織進行「大學法修法涉及各層面之事項」進行意見調查，並應針對若各校學生校務會議代表比例提升後如何給予協助、因應作為及評估辨理相關活動給予培訓等提出書面報告，以利推動青年公共參與業務。爰此，請教育部青年發展署於2個月內向立法院教育及文化委員會提出具體規劃之書面報告。</w:t>
      </w:r>
      <w:r w:rsidRPr="008F7885">
        <w:rPr>
          <w:rFonts w:ascii="標楷體" w:eastAsia="標楷體" w:hAnsi="標楷體"/>
          <w:snapToGrid w:val="0"/>
          <w:sz w:val="32"/>
          <w:szCs w:val="32"/>
        </w:rPr>
        <w:t>439</w:t>
      </w:r>
    </w:p>
    <w:p w:rsidR="00273897" w:rsidRPr="008F7885" w:rsidRDefault="00273897" w:rsidP="00273897">
      <w:pPr>
        <w:snapToGrid w:val="0"/>
        <w:spacing w:line="460" w:lineRule="exact"/>
        <w:ind w:leftChars="1250" w:left="4280" w:hangingChars="400" w:hanging="1280"/>
        <w:jc w:val="both"/>
        <w:rPr>
          <w:rFonts w:ascii="標楷體" w:eastAsia="標楷體" w:hAnsi="標楷體"/>
          <w:snapToGrid w:val="0"/>
          <w:sz w:val="32"/>
          <w:szCs w:val="32"/>
        </w:rPr>
      </w:pPr>
      <w:r w:rsidRPr="008F7885">
        <w:rPr>
          <w:rFonts w:ascii="標楷體" w:eastAsia="標楷體" w:hAnsi="標楷體" w:hint="eastAsia"/>
          <w:sz w:val="32"/>
          <w:szCs w:val="32"/>
        </w:rPr>
        <w:t>提案人：賴品妤  范  雲  林宜瑾</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(九</w:t>
      </w:r>
      <w:r w:rsidRPr="008F7885">
        <w:rPr>
          <w:rFonts w:ascii="標楷體" w:eastAsia="標楷體" w:hAnsi="標楷體"/>
          <w:snapToGrid w:val="0"/>
          <w:sz w:val="32"/>
          <w:szCs w:val="32"/>
        </w:rPr>
        <w:t>)</w:t>
      </w:r>
      <w:r w:rsidRPr="008F7885">
        <w:rPr>
          <w:rFonts w:ascii="標楷體" w:eastAsia="標楷體" w:hAnsi="標楷體" w:hint="eastAsia"/>
          <w:snapToGrid w:val="0"/>
          <w:sz w:val="32"/>
          <w:szCs w:val="32"/>
        </w:rPr>
        <w:t>112年度教育部青年發展署「青年發展工作」項下「青年公共參與」中「辦理青年公共參與業務」預算編列8</w:t>
      </w:r>
      <w:r w:rsidRPr="008F7885">
        <w:rPr>
          <w:rFonts w:ascii="標楷體" w:eastAsia="標楷體" w:hAnsi="標楷體"/>
          <w:snapToGrid w:val="0"/>
          <w:sz w:val="32"/>
          <w:szCs w:val="32"/>
        </w:rPr>
        <w:t>,</w:t>
      </w:r>
      <w:r w:rsidRPr="008F7885">
        <w:rPr>
          <w:rFonts w:ascii="標楷體" w:eastAsia="標楷體" w:hAnsi="標楷體" w:hint="eastAsia"/>
          <w:snapToGrid w:val="0"/>
          <w:sz w:val="32"/>
          <w:szCs w:val="32"/>
        </w:rPr>
        <w:t>966萬7千元，包含辦理培育公共事務青年人才等相關經費。然而教育部青年發展署編列業務費1,300萬餘元、設備費250萬元、獎補助費1,195萬餘元，在108至110年度僅分別有408人、431人及564人參與培訓。青年發展署允宜多加推廣相關培育活動，使培育人數再提升，達到培育青年參與公共事務之成效。請教育部青年發展署於3個月內向立法院教育及文化委員會提出書面報告。</w:t>
      </w:r>
      <w:r w:rsidRPr="008F7885">
        <w:rPr>
          <w:rFonts w:ascii="標楷體" w:eastAsia="標楷體" w:hAnsi="標楷體"/>
          <w:snapToGrid w:val="0"/>
          <w:sz w:val="32"/>
          <w:szCs w:val="32"/>
        </w:rPr>
        <w:t>441</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提案人：陳秀寳</w:t>
      </w:r>
    </w:p>
    <w:p w:rsidR="00273897" w:rsidRPr="008F7885" w:rsidRDefault="00273897" w:rsidP="00273897">
      <w:pPr>
        <w:snapToGrid w:val="0"/>
        <w:spacing w:line="460" w:lineRule="exact"/>
        <w:ind w:leftChars="1250" w:left="4280" w:hangingChars="400" w:hanging="1280"/>
        <w:jc w:val="both"/>
        <w:rPr>
          <w:rFonts w:ascii="標楷體" w:eastAsia="標楷體" w:hAnsi="標楷體"/>
          <w:snapToGrid w:val="0"/>
          <w:sz w:val="32"/>
          <w:szCs w:val="32"/>
        </w:rPr>
      </w:pPr>
      <w:r w:rsidRPr="008F7885">
        <w:rPr>
          <w:rFonts w:ascii="標楷體" w:eastAsia="標楷體" w:hAnsi="標楷體" w:hint="eastAsia"/>
          <w:sz w:val="32"/>
          <w:szCs w:val="32"/>
        </w:rPr>
        <w:t>連署人：林宜瑾  范  雲</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(十</w:t>
      </w:r>
      <w:r w:rsidRPr="008F7885">
        <w:rPr>
          <w:rFonts w:ascii="標楷體" w:eastAsia="標楷體" w:hAnsi="標楷體"/>
          <w:snapToGrid w:val="0"/>
          <w:sz w:val="32"/>
          <w:szCs w:val="32"/>
        </w:rPr>
        <w:t>)</w:t>
      </w:r>
      <w:r w:rsidRPr="008F7885">
        <w:rPr>
          <w:rFonts w:ascii="標楷體" w:eastAsia="標楷體" w:hAnsi="標楷體" w:hint="eastAsia"/>
          <w:snapToGrid w:val="0"/>
          <w:sz w:val="32"/>
          <w:szCs w:val="32"/>
        </w:rPr>
        <w:t>根據教育部「109年公私立大專校院校園學生權利調查」指出，109年全國160所大專校院各項學權項度包括：學生自治、學習與受教權、表現自由、宗教信仰自由、隱私權、平等保障、學生獎懲與申訴、學生勞動權益；上述項目中，學生獎懲與申訴、表現自由及宗教信仰自由達成率僅82%、84.2%、88.6%，學生獎懲與申訴更低於106年調查之84%。</w:t>
      </w:r>
      <w:r w:rsidRPr="008F7885">
        <w:rPr>
          <w:rFonts w:ascii="標楷體" w:eastAsia="標楷體" w:hAnsi="標楷體" w:hint="eastAsia"/>
          <w:snapToGrid w:val="0"/>
          <w:sz w:val="32"/>
          <w:szCs w:val="32"/>
        </w:rPr>
        <w:lastRenderedPageBreak/>
        <w:t>另根據教育部青年發展署，110年全國大專校院學生會有21.9%學校在學生會發表刊物及海報前須經校方審查，46%學校在學生辦理演講及活動前須經由校方審查。而在學生會學生參與部分，有24%學校學生會曾有中斷運作情形，109年學生會長選舉投票率有61.2%之學校投票率在30%以下，其中30.2%投票率為10%以下。綜上所述，顯見大專校院學生自治仍有受限，且學生參與率低，請教育部於3個月內向立法院教育及文化委員會提出書面報告。</w:t>
      </w:r>
      <w:r w:rsidRPr="008F7885">
        <w:rPr>
          <w:rFonts w:ascii="標楷體" w:eastAsia="標楷體" w:hAnsi="標楷體"/>
          <w:snapToGrid w:val="0"/>
          <w:sz w:val="32"/>
          <w:szCs w:val="32"/>
        </w:rPr>
        <w:t>442</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提案人：吳思瑤</w:t>
      </w:r>
    </w:p>
    <w:p w:rsidR="00273897" w:rsidRPr="008F7885" w:rsidRDefault="00273897" w:rsidP="00273897">
      <w:pPr>
        <w:snapToGrid w:val="0"/>
        <w:spacing w:line="460" w:lineRule="exact"/>
        <w:ind w:leftChars="1250" w:left="4280" w:hangingChars="400" w:hanging="1280"/>
        <w:jc w:val="both"/>
        <w:rPr>
          <w:rFonts w:ascii="標楷體" w:eastAsia="標楷體" w:hAnsi="標楷體"/>
          <w:snapToGrid w:val="0"/>
          <w:sz w:val="32"/>
          <w:szCs w:val="32"/>
        </w:rPr>
      </w:pPr>
      <w:r w:rsidRPr="008F7885">
        <w:rPr>
          <w:rFonts w:ascii="標楷體" w:eastAsia="標楷體" w:hAnsi="標楷體" w:hint="eastAsia"/>
          <w:sz w:val="32"/>
          <w:szCs w:val="32"/>
        </w:rPr>
        <w:t>連署人：賴品妤  黃國書</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(十一)經查112年度教育部青年發展署「青年發展工作」項下「青年國際及體驗學習」中「辦理青年國際及體驗學習業務」預算編列1億0</w:t>
      </w:r>
      <w:r w:rsidRPr="008F7885">
        <w:rPr>
          <w:rFonts w:ascii="標楷體" w:eastAsia="標楷體" w:hAnsi="標楷體"/>
          <w:sz w:val="32"/>
          <w:szCs w:val="32"/>
        </w:rPr>
        <w:t>,</w:t>
      </w:r>
      <w:r w:rsidRPr="008F7885">
        <w:rPr>
          <w:rFonts w:ascii="標楷體" w:eastAsia="標楷體" w:hAnsi="標楷體" w:hint="eastAsia"/>
          <w:sz w:val="32"/>
          <w:szCs w:val="32"/>
        </w:rPr>
        <w:t>421萬2千元，包含辦理青年體驗學習計畫等相關經費。然而根據青年發展署壯遊體驗學習網所載之案例分享，106至108年僅有8例；惟106至108年實際參與計畫人數達365人，案例分享占比僅約有2%。而再進而瀏覽案例分享影片，累積觀看人次從100至1,000人次不等，可見案例成果分享成效不彰。教育部青年發展署允宜加強追蹤青年體驗學習計畫之案例，並要求計畫執行完畢應提供相關成果與心得報告，以展現該計畫之成效。</w:t>
      </w:r>
      <w:r w:rsidRPr="008F7885">
        <w:rPr>
          <w:rFonts w:ascii="標楷體" w:eastAsia="標楷體" w:hAnsi="標楷體"/>
          <w:sz w:val="32"/>
          <w:szCs w:val="32"/>
        </w:rPr>
        <w:t>443</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提案人：陳秀寳</w:t>
      </w:r>
    </w:p>
    <w:p w:rsidR="00273897" w:rsidRPr="008F7885" w:rsidRDefault="00273897" w:rsidP="00273897">
      <w:pPr>
        <w:snapToGrid w:val="0"/>
        <w:spacing w:line="460" w:lineRule="exact"/>
        <w:ind w:leftChars="1250" w:left="4280" w:hangingChars="400" w:hanging="1280"/>
        <w:jc w:val="both"/>
        <w:rPr>
          <w:rFonts w:ascii="標楷體" w:eastAsia="標楷體" w:hAnsi="標楷體"/>
          <w:snapToGrid w:val="0"/>
          <w:sz w:val="32"/>
          <w:szCs w:val="32"/>
        </w:rPr>
      </w:pPr>
      <w:r w:rsidRPr="008F7885">
        <w:rPr>
          <w:rFonts w:ascii="標楷體" w:eastAsia="標楷體" w:hAnsi="標楷體" w:hint="eastAsia"/>
          <w:sz w:val="32"/>
          <w:szCs w:val="32"/>
        </w:rPr>
        <w:t>連署人：林宜瑾  范  雲</w:t>
      </w:r>
    </w:p>
    <w:p w:rsidR="00273897" w:rsidRPr="008F7885" w:rsidRDefault="00273897" w:rsidP="00273897">
      <w:pPr>
        <w:snapToGrid w:val="0"/>
        <w:spacing w:beforeLines="50" w:before="180" w:line="460" w:lineRule="exact"/>
        <w:ind w:leftChars="100" w:left="1888" w:hangingChars="515" w:hanging="1648"/>
        <w:rPr>
          <w:rFonts w:ascii="標楷體" w:eastAsia="標楷體" w:hAnsi="標楷體"/>
          <w:snapToGrid w:val="0"/>
          <w:sz w:val="32"/>
          <w:szCs w:val="32"/>
        </w:rPr>
      </w:pPr>
      <w:r w:rsidRPr="008F7885">
        <w:rPr>
          <w:rFonts w:ascii="標楷體" w:eastAsia="標楷體" w:hAnsi="標楷體" w:hint="eastAsia"/>
          <w:sz w:val="32"/>
          <w:szCs w:val="32"/>
        </w:rPr>
        <w:t>第5項　國家圖書館6</w:t>
      </w:r>
      <w:r w:rsidRPr="008F7885">
        <w:rPr>
          <w:rFonts w:ascii="標楷體" w:eastAsia="標楷體" w:hAnsi="標楷體" w:hint="eastAsia"/>
          <w:sz w:val="32"/>
        </w:rPr>
        <w:t>億5,255萬8千元</w:t>
      </w:r>
      <w:r w:rsidRPr="008F7885">
        <w:rPr>
          <w:rFonts w:ascii="標楷體" w:eastAsia="標楷體" w:hAnsi="標楷體" w:hint="eastAsia"/>
          <w:sz w:val="32"/>
          <w:szCs w:val="32"/>
        </w:rPr>
        <w:t>，照列。</w:t>
      </w:r>
    </w:p>
    <w:p w:rsidR="00273897" w:rsidRPr="008F7885" w:rsidRDefault="00273897" w:rsidP="00273897">
      <w:pPr>
        <w:snapToGrid w:val="0"/>
        <w:spacing w:beforeLines="50" w:before="180" w:line="460" w:lineRule="exact"/>
        <w:ind w:leftChars="100" w:left="1888" w:hangingChars="515" w:hanging="1648"/>
        <w:rPr>
          <w:rFonts w:ascii="標楷體" w:eastAsia="標楷體" w:hAnsi="標楷體"/>
          <w:snapToGrid w:val="0"/>
          <w:sz w:val="32"/>
          <w:szCs w:val="32"/>
        </w:rPr>
      </w:pPr>
      <w:r w:rsidRPr="008F7885">
        <w:rPr>
          <w:rFonts w:ascii="標楷體" w:eastAsia="標楷體" w:hAnsi="標楷體" w:hint="eastAsia"/>
          <w:sz w:val="32"/>
          <w:szCs w:val="32"/>
        </w:rPr>
        <w:t>第6項　國立公共資訊圖書館</w:t>
      </w:r>
      <w:r w:rsidRPr="008F7885">
        <w:rPr>
          <w:rFonts w:ascii="標楷體" w:eastAsia="標楷體" w:hAnsi="標楷體" w:hint="eastAsia"/>
          <w:sz w:val="32"/>
        </w:rPr>
        <w:t>1億6,203萬6千元</w:t>
      </w:r>
      <w:r w:rsidRPr="008F7885">
        <w:rPr>
          <w:rFonts w:ascii="標楷體" w:eastAsia="標楷體" w:hAnsi="標楷體" w:hint="eastAsia"/>
          <w:sz w:val="32"/>
          <w:szCs w:val="32"/>
        </w:rPr>
        <w:t>，照列。</w:t>
      </w:r>
    </w:p>
    <w:p w:rsidR="00273897" w:rsidRPr="008F7885" w:rsidRDefault="00273897" w:rsidP="00273897">
      <w:pPr>
        <w:snapToGrid w:val="0"/>
        <w:spacing w:beforeLines="50" w:before="180" w:line="460" w:lineRule="exact"/>
        <w:ind w:leftChars="100" w:left="1888" w:hangingChars="515" w:hanging="1648"/>
        <w:rPr>
          <w:rFonts w:ascii="標楷體" w:eastAsia="標楷體" w:hAnsi="標楷體"/>
          <w:snapToGrid w:val="0"/>
          <w:sz w:val="32"/>
          <w:szCs w:val="32"/>
        </w:rPr>
      </w:pPr>
      <w:r w:rsidRPr="008F7885">
        <w:rPr>
          <w:rFonts w:ascii="標楷體" w:eastAsia="標楷體" w:hAnsi="標楷體" w:hint="eastAsia"/>
          <w:sz w:val="32"/>
          <w:szCs w:val="32"/>
        </w:rPr>
        <w:t>第7項　國立教育廣播電臺</w:t>
      </w:r>
      <w:r w:rsidRPr="008F7885">
        <w:rPr>
          <w:rFonts w:ascii="標楷體" w:eastAsia="標楷體" w:hAnsi="標楷體" w:hint="eastAsia"/>
          <w:sz w:val="32"/>
        </w:rPr>
        <w:t>2億3,075萬6千元</w:t>
      </w:r>
      <w:r w:rsidRPr="008F7885">
        <w:rPr>
          <w:rFonts w:ascii="標楷體" w:eastAsia="標楷體" w:hAnsi="標楷體" w:hint="eastAsia"/>
          <w:sz w:val="32"/>
          <w:szCs w:val="32"/>
        </w:rPr>
        <w:t>，照列。</w:t>
      </w:r>
    </w:p>
    <w:p w:rsidR="00273897" w:rsidRPr="008F7885" w:rsidRDefault="00273897" w:rsidP="00273897">
      <w:pPr>
        <w:snapToGrid w:val="0"/>
        <w:spacing w:beforeLines="50" w:before="180" w:line="460" w:lineRule="exact"/>
        <w:ind w:leftChars="100" w:left="1888" w:hangingChars="515" w:hanging="1648"/>
        <w:rPr>
          <w:rFonts w:ascii="標楷體" w:eastAsia="標楷體" w:hAnsi="標楷體"/>
          <w:sz w:val="32"/>
          <w:szCs w:val="32"/>
        </w:rPr>
      </w:pPr>
      <w:r w:rsidRPr="008F7885">
        <w:rPr>
          <w:rFonts w:ascii="標楷體" w:eastAsia="標楷體" w:hAnsi="標楷體" w:hint="eastAsia"/>
          <w:sz w:val="32"/>
          <w:szCs w:val="32"/>
        </w:rPr>
        <w:t>第8項　國家教育研究院5億5,237萬元，照列。</w:t>
      </w:r>
    </w:p>
    <w:p w:rsidR="00273897" w:rsidRPr="008F7885" w:rsidRDefault="00273897" w:rsidP="00273897">
      <w:pPr>
        <w:kinsoku w:val="0"/>
        <w:overflowPunct w:val="0"/>
        <w:spacing w:line="500" w:lineRule="exact"/>
        <w:ind w:leftChars="100" w:left="1568" w:hangingChars="415" w:hanging="1328"/>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本項通過決議</w:t>
      </w:r>
      <w:r w:rsidRPr="008F7885">
        <w:rPr>
          <w:rFonts w:ascii="標楷體" w:eastAsia="標楷體" w:hAnsi="標楷體"/>
          <w:snapToGrid w:val="0"/>
          <w:sz w:val="32"/>
          <w:szCs w:val="32"/>
        </w:rPr>
        <w:t>3</w:t>
      </w:r>
      <w:r w:rsidRPr="008F7885">
        <w:rPr>
          <w:rFonts w:ascii="標楷體" w:eastAsia="標楷體" w:hAnsi="標楷體" w:hint="eastAsia"/>
          <w:snapToGrid w:val="0"/>
          <w:sz w:val="32"/>
          <w:szCs w:val="32"/>
        </w:rPr>
        <w:t>項：</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lastRenderedPageBreak/>
        <w:t>(一</w:t>
      </w:r>
      <w:r w:rsidRPr="008F7885">
        <w:rPr>
          <w:rFonts w:ascii="標楷體" w:eastAsia="標楷體" w:hAnsi="標楷體"/>
          <w:snapToGrid w:val="0"/>
          <w:sz w:val="32"/>
          <w:szCs w:val="32"/>
        </w:rPr>
        <w:t>)</w:t>
      </w:r>
      <w:r w:rsidRPr="008F7885">
        <w:rPr>
          <w:rFonts w:ascii="標楷體" w:eastAsia="標楷體" w:hAnsi="標楷體" w:hint="eastAsia"/>
          <w:snapToGrid w:val="0"/>
          <w:sz w:val="32"/>
          <w:szCs w:val="32"/>
        </w:rPr>
        <w:t>112年度教育部所屬國家教育研究院「一般行政」項下「人事費」預算編列1億9,680萬4千元，為員工167人之所需經費。逾三成編制研究人員兼任院外職務，宜妥善運用及管控人力資源，為避免日後產生爭議，影響研究人員發展，爰請教育部所屬國家教育研究院應就編制內問題予以釐清，含該兼職應謹遵「公務員服務法」及兼職規定辦理，並於3個月內向立法院教育及文化委員會提出書面報告。</w:t>
      </w:r>
      <w:r w:rsidRPr="008F7885">
        <w:rPr>
          <w:rFonts w:ascii="標楷體" w:eastAsia="標楷體" w:hAnsi="標楷體"/>
          <w:snapToGrid w:val="0"/>
          <w:sz w:val="32"/>
          <w:szCs w:val="32"/>
        </w:rPr>
        <w:t>454</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提案人：鄭正鈐</w:t>
      </w:r>
    </w:p>
    <w:p w:rsidR="00273897" w:rsidRPr="008F7885" w:rsidRDefault="00273897" w:rsidP="00273897">
      <w:pPr>
        <w:snapToGrid w:val="0"/>
        <w:spacing w:line="460" w:lineRule="exact"/>
        <w:ind w:leftChars="1250" w:left="4280" w:hangingChars="400" w:hanging="1280"/>
        <w:jc w:val="both"/>
        <w:rPr>
          <w:rFonts w:ascii="標楷體" w:eastAsia="標楷體" w:hAnsi="標楷體"/>
          <w:snapToGrid w:val="0"/>
          <w:sz w:val="32"/>
          <w:szCs w:val="32"/>
        </w:rPr>
      </w:pPr>
      <w:r w:rsidRPr="008F7885">
        <w:rPr>
          <w:rFonts w:ascii="標楷體" w:eastAsia="標楷體" w:hAnsi="標楷體" w:hint="eastAsia"/>
          <w:sz w:val="32"/>
          <w:szCs w:val="32"/>
        </w:rPr>
        <w:t>連署人：吳怡玎  黃國書</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(二</w:t>
      </w:r>
      <w:r w:rsidRPr="008F7885">
        <w:rPr>
          <w:rFonts w:ascii="標楷體" w:eastAsia="標楷體" w:hAnsi="標楷體"/>
          <w:snapToGrid w:val="0"/>
          <w:sz w:val="32"/>
          <w:szCs w:val="32"/>
        </w:rPr>
        <w:t>)</w:t>
      </w:r>
      <w:r w:rsidRPr="008F7885">
        <w:rPr>
          <w:rFonts w:ascii="標楷體" w:eastAsia="標楷體" w:hAnsi="標楷體" w:hint="eastAsia"/>
          <w:snapToGrid w:val="0"/>
          <w:sz w:val="32"/>
          <w:szCs w:val="32"/>
        </w:rPr>
        <w:t>行政院公布2020年人口及住宅普查結果顯示，目前台灣66.3%的民眾在跟他人溝通時，主要使用語言為華語，其次為台灣台語占31.7%，第三是客語占1.5%，其他語言則都低於1%。為保障及推動台灣各族群語言，「國家語言發展法」已於107年三讀通過，推動國家語言發展方案，由「家庭」、「學校」、「社會」三方面，從靜態與動態兩大方向努力，讓本土語言能被頻繁使用。惟台灣長期以華語文作為主要語言，國民教育各學科皆以華語文為教學語言。為因應語發法通過。教育部應研擬如何加深加廣台灣台語之沉浸式教學之方法，以使現場教師可以使用，充實教學資源。爰請教育部</w:t>
      </w:r>
      <w:r w:rsidRPr="00D1673C">
        <w:rPr>
          <w:rFonts w:ascii="標楷體" w:eastAsia="標楷體" w:hAnsi="標楷體" w:hint="eastAsia"/>
          <w:snapToGrid w:val="0"/>
          <w:sz w:val="32"/>
          <w:szCs w:val="32"/>
        </w:rPr>
        <w:t>所屬</w:t>
      </w:r>
      <w:r w:rsidRPr="008F7885">
        <w:rPr>
          <w:rFonts w:ascii="標楷體" w:eastAsia="標楷體" w:hAnsi="標楷體" w:hint="eastAsia"/>
          <w:snapToGrid w:val="0"/>
          <w:sz w:val="32"/>
          <w:szCs w:val="32"/>
        </w:rPr>
        <w:t>國家教育研究院應就台灣台語如何協助現場教師之精進教學方法進行相關研究，並於3個月內將研究計畫之規劃與執行期程，向立法院教育及文化委員會提出書面報告。</w:t>
      </w:r>
      <w:r w:rsidRPr="008F7885">
        <w:rPr>
          <w:rFonts w:ascii="標楷體" w:eastAsia="標楷體" w:hAnsi="標楷體"/>
          <w:snapToGrid w:val="0"/>
          <w:sz w:val="32"/>
          <w:szCs w:val="32"/>
        </w:rPr>
        <w:t>456</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提案人：范  雲  林宜瑾</w:t>
      </w:r>
    </w:p>
    <w:p w:rsidR="00273897" w:rsidRPr="008F7885" w:rsidRDefault="00273897" w:rsidP="00273897">
      <w:pPr>
        <w:snapToGrid w:val="0"/>
        <w:spacing w:line="460" w:lineRule="exact"/>
        <w:ind w:leftChars="1250" w:left="4280" w:hangingChars="400" w:hanging="1280"/>
        <w:jc w:val="both"/>
        <w:rPr>
          <w:rFonts w:ascii="標楷體" w:eastAsia="標楷體" w:hAnsi="標楷體"/>
          <w:snapToGrid w:val="0"/>
          <w:sz w:val="32"/>
          <w:szCs w:val="32"/>
        </w:rPr>
      </w:pPr>
      <w:r w:rsidRPr="008F7885">
        <w:rPr>
          <w:rFonts w:ascii="標楷體" w:eastAsia="標楷體" w:hAnsi="標楷體" w:hint="eastAsia"/>
          <w:sz w:val="32"/>
          <w:szCs w:val="32"/>
        </w:rPr>
        <w:t>連署人：陳秀寳</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(三)衛生福利部近日公布110年青少年健康行為調查報告，共計抽出1萬0,455位國、高中生參與調查。其中一項結果為初次性行為未避孕比率偏高，男生高達58.7%，女生則為55.1%</w:t>
      </w:r>
      <w:r w:rsidRPr="008F7885">
        <w:rPr>
          <w:rFonts w:ascii="標楷體" w:eastAsia="標楷體" w:hAnsi="標楷體" w:hint="eastAsia"/>
          <w:sz w:val="32"/>
          <w:szCs w:val="32"/>
        </w:rPr>
        <w:lastRenderedPageBreak/>
        <w:t>，而最近一次性行為有避孕者則提高為89.8%；顯示青少年可能發生有避孕意願但初次性行為無法執行避孕之情事。兒童及青少年性健康教育極為重要，惟查2022年CEDAW國家報告第10條中關於「性健康、生殖健康與權力之教育」一節，教育部提出內容較少。爰請教育部所屬國家教育研究院應就我國施行兒少性健康教育之推動歷程、內容及相關問題探討，提出具體建議方案，並於3個月內將研究計畫之規劃與執行期程，向立法院教育及文化委員會提出書面報告。</w:t>
      </w:r>
      <w:r w:rsidRPr="008F7885">
        <w:rPr>
          <w:rFonts w:ascii="標楷體" w:eastAsia="標楷體" w:hAnsi="標楷體"/>
          <w:sz w:val="32"/>
          <w:szCs w:val="32"/>
        </w:rPr>
        <w:t>457</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提案人：范  雲  林宜瑾</w:t>
      </w:r>
    </w:p>
    <w:p w:rsidR="00273897" w:rsidRPr="008F7885" w:rsidRDefault="00273897" w:rsidP="00273897">
      <w:pPr>
        <w:snapToGrid w:val="0"/>
        <w:spacing w:line="460" w:lineRule="exact"/>
        <w:ind w:leftChars="1250" w:left="4280" w:hangingChars="400" w:hanging="1280"/>
        <w:jc w:val="both"/>
        <w:rPr>
          <w:rFonts w:ascii="標楷體" w:eastAsia="標楷體" w:hAnsi="標楷體"/>
          <w:snapToGrid w:val="0"/>
          <w:sz w:val="32"/>
          <w:szCs w:val="32"/>
        </w:rPr>
      </w:pPr>
      <w:r w:rsidRPr="008F7885">
        <w:rPr>
          <w:rFonts w:ascii="標楷體" w:eastAsia="標楷體" w:hAnsi="標楷體" w:hint="eastAsia"/>
          <w:sz w:val="32"/>
          <w:szCs w:val="32"/>
        </w:rPr>
        <w:t>連署人：陳秀寳</w:t>
      </w:r>
    </w:p>
    <w:p w:rsidR="00273897" w:rsidRPr="008F7885" w:rsidRDefault="00273897" w:rsidP="00273897">
      <w:pPr>
        <w:snapToGrid w:val="0"/>
        <w:spacing w:beforeLines="50" w:before="180" w:line="500" w:lineRule="exact"/>
        <w:ind w:left="640" w:hangingChars="200" w:hanging="640"/>
        <w:contextualSpacing/>
        <w:jc w:val="both"/>
        <w:rPr>
          <w:rFonts w:ascii="標楷體" w:eastAsia="標楷體" w:hAnsi="標楷體"/>
          <w:bCs/>
          <w:sz w:val="32"/>
          <w:szCs w:val="32"/>
        </w:rPr>
      </w:pPr>
      <w:r w:rsidRPr="008F7885">
        <w:rPr>
          <w:rFonts w:ascii="標楷體" w:eastAsia="標楷體" w:hAnsi="標楷體" w:hint="eastAsia"/>
          <w:bCs/>
          <w:sz w:val="32"/>
          <w:szCs w:val="32"/>
        </w:rPr>
        <w:t>伍、112年度教育部主管47所國立大學校院校務基金、國立臺灣大學附設醫院作業基金、國立成功大學附設醫院作業基金、國立陽明交通大學附設醫院作業基金、教育部所屬機構作業基金、國立高級中等學校校務基金、學產基金、運動發展基金、私立高級中等以上學校退場基金預算案，均審查完竣。審查結果如下：</w:t>
      </w:r>
    </w:p>
    <w:p w:rsidR="00273897" w:rsidRPr="008F7885" w:rsidRDefault="00273897" w:rsidP="00273897">
      <w:pPr>
        <w:snapToGrid w:val="0"/>
        <w:spacing w:beforeLines="50" w:before="180" w:line="500" w:lineRule="exact"/>
        <w:ind w:left="640" w:hangingChars="200" w:hanging="640"/>
        <w:contextualSpacing/>
        <w:rPr>
          <w:rFonts w:ascii="標楷體" w:eastAsia="標楷體" w:hAnsi="標楷體"/>
          <w:sz w:val="32"/>
          <w:szCs w:val="32"/>
        </w:rPr>
      </w:pPr>
      <w:r w:rsidRPr="008F7885">
        <w:rPr>
          <w:rFonts w:ascii="標楷體" w:eastAsia="標楷體" w:hAnsi="標楷體" w:hint="eastAsia"/>
          <w:sz w:val="32"/>
          <w:szCs w:val="32"/>
        </w:rPr>
        <w:t>一、47所國立大學校院校務基金—照案通過。</w:t>
      </w:r>
    </w:p>
    <w:p w:rsidR="00273897" w:rsidRPr="008F7885" w:rsidRDefault="00273897" w:rsidP="00273897">
      <w:pPr>
        <w:snapToGrid w:val="0"/>
        <w:spacing w:beforeLines="50" w:before="180" w:line="500" w:lineRule="exact"/>
        <w:ind w:left="640" w:hangingChars="200" w:hanging="640"/>
        <w:contextualSpacing/>
        <w:rPr>
          <w:rFonts w:ascii="標楷體" w:eastAsia="標楷體" w:hAnsi="標楷體"/>
          <w:sz w:val="32"/>
          <w:szCs w:val="32"/>
        </w:rPr>
      </w:pPr>
      <w:r w:rsidRPr="008F7885">
        <w:rPr>
          <w:rFonts w:ascii="標楷體" w:eastAsia="標楷體" w:hAnsi="標楷體" w:hint="eastAsia"/>
          <w:sz w:val="32"/>
          <w:szCs w:val="32"/>
        </w:rPr>
        <w:t>二、國立臺灣大學附設醫院作業基金—照案通過。另通過決議1項：</w:t>
      </w:r>
    </w:p>
    <w:p w:rsidR="00273897" w:rsidRPr="008F7885" w:rsidRDefault="00273897" w:rsidP="00273897">
      <w:pPr>
        <w:snapToGrid w:val="0"/>
        <w:spacing w:beforeLines="50" w:before="180" w:line="500" w:lineRule="exact"/>
        <w:ind w:leftChars="295" w:left="708"/>
        <w:contextualSpacing/>
        <w:jc w:val="both"/>
        <w:rPr>
          <w:rFonts w:ascii="標楷體" w:eastAsia="標楷體" w:hAnsi="標楷體"/>
          <w:sz w:val="32"/>
          <w:szCs w:val="32"/>
        </w:rPr>
      </w:pPr>
      <w:r w:rsidRPr="008F7885">
        <w:rPr>
          <w:rFonts w:ascii="標楷體" w:eastAsia="標楷體" w:hAnsi="標楷體" w:hint="eastAsia"/>
          <w:sz w:val="32"/>
          <w:szCs w:val="32"/>
        </w:rPr>
        <w:t xml:space="preserve">    國立臺灣大學醫學院附設醫院新竹生醫園區分院新建工程多次流標，第2期工程經費及期程調整業已完成修正，宜儘速辦理後續招標作業，國立臺灣大學醫學院附設醫院新竹生醫園區分院新建工程興建進度未如預期，另國立臺灣大學醫學院附設醫院雲林分院虎尾院區新建工程尚未發包即調增總經費， 111年度所辦計畫修正未有重大變動，惟受嚴重特殊傳染性肺炎疫情及原物料、工資上漲影響多次招標無廠商投標，總經費增加14.38億餘元，增幅達21.48%。宜妥適規劃加強推動並確實管控工程進度，如期完工啟用給民眾使用，爰要求國立臺灣</w:t>
      </w:r>
      <w:r w:rsidRPr="008F7885">
        <w:rPr>
          <w:rFonts w:ascii="標楷體" w:eastAsia="標楷體" w:hAnsi="標楷體" w:hint="eastAsia"/>
          <w:sz w:val="32"/>
          <w:szCs w:val="32"/>
        </w:rPr>
        <w:lastRenderedPageBreak/>
        <w:t>大學附設醫院於3個月內向立法院教育及文化委員會提出書面報告，說明改善方案。</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提案人：鄭正鈐</w:t>
      </w:r>
    </w:p>
    <w:p w:rsidR="00273897" w:rsidRPr="008F7885" w:rsidRDefault="00273897" w:rsidP="00273897">
      <w:pPr>
        <w:overflowPunct w:val="0"/>
        <w:spacing w:line="500" w:lineRule="exact"/>
        <w:ind w:leftChars="1250" w:left="3000"/>
        <w:jc w:val="both"/>
        <w:rPr>
          <w:rFonts w:ascii="標楷體" w:eastAsia="標楷體" w:hAnsi="標楷體"/>
          <w:bCs/>
          <w:sz w:val="32"/>
          <w:szCs w:val="32"/>
        </w:rPr>
      </w:pPr>
      <w:r w:rsidRPr="008F7885">
        <w:rPr>
          <w:rFonts w:ascii="標楷體" w:eastAsia="標楷體" w:hAnsi="標楷體" w:hint="eastAsia"/>
          <w:sz w:val="32"/>
          <w:szCs w:val="32"/>
        </w:rPr>
        <w:t>連署人：吳怡玎  高金素梅</w:t>
      </w:r>
    </w:p>
    <w:p w:rsidR="00273897" w:rsidRPr="008F7885" w:rsidRDefault="00273897" w:rsidP="00273897">
      <w:pPr>
        <w:snapToGrid w:val="0"/>
        <w:spacing w:beforeLines="50" w:before="180" w:line="500" w:lineRule="exact"/>
        <w:ind w:left="640" w:hangingChars="200" w:hanging="640"/>
        <w:contextualSpacing/>
        <w:rPr>
          <w:rFonts w:ascii="標楷體" w:eastAsia="標楷體" w:hAnsi="標楷體"/>
          <w:sz w:val="32"/>
          <w:szCs w:val="32"/>
        </w:rPr>
      </w:pPr>
      <w:r w:rsidRPr="008F7885">
        <w:rPr>
          <w:rFonts w:ascii="標楷體" w:eastAsia="標楷體" w:hAnsi="標楷體" w:hint="eastAsia"/>
          <w:sz w:val="32"/>
          <w:szCs w:val="32"/>
        </w:rPr>
        <w:t>三、國立成功大學附設醫院作業基金—照案通過。</w:t>
      </w:r>
    </w:p>
    <w:p w:rsidR="00273897" w:rsidRPr="008F7885" w:rsidRDefault="00273897" w:rsidP="00273897">
      <w:pPr>
        <w:snapToGrid w:val="0"/>
        <w:spacing w:beforeLines="50" w:before="180" w:line="500" w:lineRule="exact"/>
        <w:ind w:left="640" w:hangingChars="200" w:hanging="640"/>
        <w:contextualSpacing/>
        <w:rPr>
          <w:rFonts w:ascii="標楷體" w:eastAsia="標楷體" w:hAnsi="標楷體"/>
          <w:sz w:val="32"/>
          <w:szCs w:val="32"/>
        </w:rPr>
      </w:pPr>
      <w:r w:rsidRPr="008F7885">
        <w:rPr>
          <w:rFonts w:ascii="標楷體" w:eastAsia="標楷體" w:hAnsi="標楷體" w:hint="eastAsia"/>
          <w:sz w:val="32"/>
          <w:szCs w:val="32"/>
        </w:rPr>
        <w:t>四、國立陽明交通大學附設醫院作業基金—照案通過。</w:t>
      </w:r>
    </w:p>
    <w:p w:rsidR="00273897" w:rsidRPr="008F7885" w:rsidRDefault="00273897" w:rsidP="00273897">
      <w:pPr>
        <w:snapToGrid w:val="0"/>
        <w:spacing w:beforeLines="50" w:before="180" w:line="500" w:lineRule="exact"/>
        <w:ind w:left="640" w:hangingChars="200" w:hanging="640"/>
        <w:contextualSpacing/>
        <w:rPr>
          <w:rFonts w:ascii="標楷體" w:eastAsia="標楷體" w:hAnsi="標楷體"/>
          <w:sz w:val="32"/>
          <w:szCs w:val="32"/>
        </w:rPr>
      </w:pPr>
      <w:r w:rsidRPr="008F7885">
        <w:rPr>
          <w:rFonts w:ascii="標楷體" w:eastAsia="標楷體" w:hAnsi="標楷體" w:hint="eastAsia"/>
          <w:sz w:val="32"/>
          <w:szCs w:val="32"/>
        </w:rPr>
        <w:t>五、教育部所屬機構作業基金—照案通過。另通過決議3項：</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一)112年度教育部所屬機構作業基金預算案短絀5億2,895萬2千元，較111年度預算減少短絀3,699萬7千元（短絀減幅6.54%），主要係教學收入、權利金收入及其他補助收入增加數，高於服務成本及教學成本增加數所致。教育部所屬機構作業基金連年短絀，且收入主要來自政府補助，109及110年度決算收支短絀數呈增長，111及112年度預算亦預計短絀且較以往年度決算短絀增加，與「預算法」設置作業基金自給自足之精神不符，亦未符提升營運績效之設置宗旨，爰要求教育部於3月內向立法院教育及文化委員會提出書面報告，說明改善方案。3</w:t>
      </w:r>
    </w:p>
    <w:p w:rsidR="00273897" w:rsidRPr="008F7885" w:rsidRDefault="00273897" w:rsidP="00273897">
      <w:pPr>
        <w:spacing w:beforeLines="20" w:before="72" w:line="0" w:lineRule="atLeast"/>
        <w:rPr>
          <w:rFonts w:ascii="標楷體" w:eastAsia="標楷體" w:hAnsi="標楷體"/>
          <w:snapToGrid w:val="0"/>
          <w:szCs w:val="28"/>
        </w:rPr>
      </w:pPr>
      <w:r w:rsidRPr="008F7885">
        <w:rPr>
          <w:rFonts w:ascii="標楷體" w:eastAsia="標楷體" w:hAnsi="標楷體" w:hint="eastAsia"/>
          <w:b/>
          <w:snapToGrid w:val="0"/>
          <w:sz w:val="28"/>
          <w:szCs w:val="28"/>
        </w:rPr>
        <w:t>教育部所屬機構作業基金10</w:t>
      </w:r>
      <w:r w:rsidRPr="008F7885">
        <w:rPr>
          <w:rFonts w:ascii="標楷體" w:eastAsia="標楷體" w:hAnsi="標楷體"/>
          <w:b/>
          <w:snapToGrid w:val="0"/>
          <w:sz w:val="28"/>
          <w:szCs w:val="28"/>
        </w:rPr>
        <w:t>7</w:t>
      </w:r>
      <w:r w:rsidRPr="008F7885">
        <w:rPr>
          <w:rFonts w:ascii="標楷體" w:eastAsia="標楷體" w:hAnsi="標楷體" w:hint="eastAsia"/>
          <w:b/>
          <w:snapToGrid w:val="0"/>
          <w:sz w:val="28"/>
          <w:szCs w:val="28"/>
        </w:rPr>
        <w:t>至11</w:t>
      </w:r>
      <w:r w:rsidRPr="008F7885">
        <w:rPr>
          <w:rFonts w:ascii="標楷體" w:eastAsia="標楷體" w:hAnsi="標楷體"/>
          <w:b/>
          <w:snapToGrid w:val="0"/>
          <w:sz w:val="28"/>
          <w:szCs w:val="28"/>
        </w:rPr>
        <w:t>2</w:t>
      </w:r>
      <w:r w:rsidRPr="008F7885">
        <w:rPr>
          <w:rFonts w:ascii="標楷體" w:eastAsia="標楷體" w:hAnsi="標楷體" w:hint="eastAsia"/>
          <w:b/>
          <w:snapToGrid w:val="0"/>
          <w:sz w:val="28"/>
          <w:szCs w:val="28"/>
        </w:rPr>
        <w:t>年度收支情形表</w:t>
      </w:r>
      <w:r w:rsidRPr="008F7885">
        <w:rPr>
          <w:rFonts w:ascii="標楷體" w:eastAsia="標楷體" w:hAnsi="標楷體" w:hint="eastAsia"/>
          <w:snapToGrid w:val="0"/>
          <w:szCs w:val="28"/>
        </w:rPr>
        <w:t xml:space="preserve"> </w:t>
      </w:r>
    </w:p>
    <w:p w:rsidR="00273897" w:rsidRPr="008F7885" w:rsidRDefault="00273897" w:rsidP="00273897">
      <w:pPr>
        <w:spacing w:line="280" w:lineRule="exact"/>
        <w:ind w:left="560" w:firstLine="560"/>
        <w:jc w:val="right"/>
        <w:rPr>
          <w:rFonts w:ascii="標楷體" w:eastAsia="標楷體" w:hAnsi="標楷體"/>
          <w:snapToGrid w:val="0"/>
          <w:szCs w:val="28"/>
        </w:rPr>
      </w:pPr>
      <w:r w:rsidRPr="008F7885">
        <w:rPr>
          <w:rFonts w:ascii="標楷體" w:eastAsia="標楷體" w:hAnsi="標楷體" w:hint="eastAsia"/>
          <w:snapToGrid w:val="0"/>
          <w:szCs w:val="28"/>
        </w:rPr>
        <w:t>單位:新臺幣千元</w:t>
      </w:r>
    </w:p>
    <w:tbl>
      <w:tblPr>
        <w:tblW w:w="4984" w:type="pct"/>
        <w:tblInd w:w="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2202"/>
        <w:gridCol w:w="1214"/>
        <w:gridCol w:w="1214"/>
        <w:gridCol w:w="1214"/>
        <w:gridCol w:w="1214"/>
        <w:gridCol w:w="1214"/>
        <w:gridCol w:w="1136"/>
      </w:tblGrid>
      <w:tr w:rsidR="00273897" w:rsidRPr="008F7885" w:rsidTr="00273897">
        <w:trPr>
          <w:trHeight w:val="467"/>
          <w:tblHeader/>
        </w:trPr>
        <w:tc>
          <w:tcPr>
            <w:tcW w:w="1191" w:type="pct"/>
            <w:vAlign w:val="center"/>
            <w:hideMark/>
          </w:tcPr>
          <w:p w:rsidR="00273897" w:rsidRPr="008F7885" w:rsidRDefault="00273897" w:rsidP="00273897">
            <w:pPr>
              <w:spacing w:line="280" w:lineRule="exact"/>
              <w:jc w:val="center"/>
              <w:rPr>
                <w:rFonts w:ascii="標楷體" w:eastAsia="標楷體"/>
                <w:snapToGrid w:val="0"/>
                <w:szCs w:val="28"/>
              </w:rPr>
            </w:pPr>
            <w:r w:rsidRPr="008F7885">
              <w:rPr>
                <w:rFonts w:ascii="標楷體" w:eastAsia="標楷體" w:hint="eastAsia"/>
                <w:snapToGrid w:val="0"/>
                <w:szCs w:val="28"/>
              </w:rPr>
              <w:t>收支項目</w:t>
            </w:r>
          </w:p>
        </w:tc>
        <w:tc>
          <w:tcPr>
            <w:tcW w:w="666" w:type="pct"/>
            <w:vAlign w:val="center"/>
            <w:hideMark/>
          </w:tcPr>
          <w:p w:rsidR="00273897" w:rsidRPr="008F7885" w:rsidRDefault="00273897" w:rsidP="00273897">
            <w:pPr>
              <w:spacing w:line="280" w:lineRule="exact"/>
              <w:jc w:val="center"/>
              <w:rPr>
                <w:rFonts w:ascii="標楷體" w:eastAsia="標楷體"/>
                <w:snapToGrid w:val="0"/>
                <w:szCs w:val="28"/>
              </w:rPr>
            </w:pPr>
            <w:r w:rsidRPr="008F7885">
              <w:rPr>
                <w:rFonts w:ascii="標楷體" w:eastAsia="標楷體" w:hint="eastAsia"/>
                <w:snapToGrid w:val="0"/>
                <w:szCs w:val="28"/>
              </w:rPr>
              <w:t>107年度</w:t>
            </w:r>
          </w:p>
          <w:p w:rsidR="00273897" w:rsidRPr="008F7885" w:rsidRDefault="00273897" w:rsidP="00273897">
            <w:pPr>
              <w:spacing w:line="280" w:lineRule="exact"/>
              <w:jc w:val="center"/>
              <w:rPr>
                <w:rFonts w:ascii="標楷體" w:eastAsia="標楷體"/>
                <w:snapToGrid w:val="0"/>
                <w:szCs w:val="28"/>
              </w:rPr>
            </w:pPr>
            <w:r w:rsidRPr="008F7885">
              <w:rPr>
                <w:rFonts w:ascii="標楷體" w:eastAsia="標楷體" w:hint="eastAsia"/>
                <w:snapToGrid w:val="0"/>
                <w:szCs w:val="28"/>
              </w:rPr>
              <w:t>決算數</w:t>
            </w:r>
          </w:p>
        </w:tc>
        <w:tc>
          <w:tcPr>
            <w:tcW w:w="666" w:type="pct"/>
            <w:vAlign w:val="center"/>
            <w:hideMark/>
          </w:tcPr>
          <w:p w:rsidR="00273897" w:rsidRPr="008F7885" w:rsidRDefault="00273897" w:rsidP="00273897">
            <w:pPr>
              <w:spacing w:line="280" w:lineRule="exact"/>
              <w:jc w:val="center"/>
              <w:rPr>
                <w:rFonts w:ascii="標楷體" w:eastAsia="標楷體"/>
                <w:snapToGrid w:val="0"/>
                <w:szCs w:val="28"/>
              </w:rPr>
            </w:pPr>
            <w:r w:rsidRPr="008F7885">
              <w:rPr>
                <w:rFonts w:ascii="標楷體" w:eastAsia="標楷體" w:hint="eastAsia"/>
                <w:snapToGrid w:val="0"/>
                <w:szCs w:val="28"/>
              </w:rPr>
              <w:t>108年度</w:t>
            </w:r>
          </w:p>
          <w:p w:rsidR="00273897" w:rsidRPr="008F7885" w:rsidRDefault="00273897" w:rsidP="00273897">
            <w:pPr>
              <w:spacing w:line="280" w:lineRule="exact"/>
              <w:jc w:val="center"/>
              <w:rPr>
                <w:rFonts w:ascii="標楷體" w:eastAsia="標楷體"/>
                <w:snapToGrid w:val="0"/>
                <w:szCs w:val="28"/>
              </w:rPr>
            </w:pPr>
            <w:r w:rsidRPr="008F7885">
              <w:rPr>
                <w:rFonts w:ascii="標楷體" w:eastAsia="標楷體" w:hint="eastAsia"/>
                <w:snapToGrid w:val="0"/>
                <w:szCs w:val="28"/>
              </w:rPr>
              <w:t>決算數</w:t>
            </w:r>
          </w:p>
        </w:tc>
        <w:tc>
          <w:tcPr>
            <w:tcW w:w="666" w:type="pct"/>
            <w:vAlign w:val="center"/>
          </w:tcPr>
          <w:p w:rsidR="00273897" w:rsidRPr="008F7885" w:rsidRDefault="00273897" w:rsidP="00273897">
            <w:pPr>
              <w:spacing w:line="280" w:lineRule="exact"/>
              <w:jc w:val="center"/>
              <w:rPr>
                <w:rFonts w:ascii="標楷體" w:eastAsia="標楷體"/>
                <w:snapToGrid w:val="0"/>
                <w:szCs w:val="28"/>
              </w:rPr>
            </w:pPr>
            <w:r w:rsidRPr="008F7885">
              <w:rPr>
                <w:rFonts w:ascii="標楷體" w:eastAsia="標楷體" w:hint="eastAsia"/>
                <w:snapToGrid w:val="0"/>
                <w:szCs w:val="28"/>
              </w:rPr>
              <w:t>109年度</w:t>
            </w:r>
          </w:p>
          <w:p w:rsidR="00273897" w:rsidRPr="008F7885" w:rsidRDefault="00273897" w:rsidP="00273897">
            <w:pPr>
              <w:spacing w:line="280" w:lineRule="exact"/>
              <w:jc w:val="center"/>
              <w:rPr>
                <w:rFonts w:ascii="標楷體" w:eastAsia="標楷體"/>
                <w:snapToGrid w:val="0"/>
                <w:szCs w:val="28"/>
              </w:rPr>
            </w:pPr>
            <w:r w:rsidRPr="008F7885">
              <w:rPr>
                <w:rFonts w:ascii="標楷體" w:eastAsia="標楷體" w:hint="eastAsia"/>
                <w:snapToGrid w:val="0"/>
                <w:szCs w:val="28"/>
              </w:rPr>
              <w:t>決算數</w:t>
            </w:r>
          </w:p>
        </w:tc>
        <w:tc>
          <w:tcPr>
            <w:tcW w:w="666" w:type="pct"/>
            <w:vAlign w:val="center"/>
          </w:tcPr>
          <w:p w:rsidR="00273897" w:rsidRPr="008F7885" w:rsidRDefault="00273897" w:rsidP="00273897">
            <w:pPr>
              <w:spacing w:line="280" w:lineRule="exact"/>
              <w:jc w:val="center"/>
              <w:rPr>
                <w:rFonts w:ascii="標楷體" w:eastAsia="標楷體"/>
                <w:snapToGrid w:val="0"/>
                <w:szCs w:val="28"/>
              </w:rPr>
            </w:pPr>
            <w:r w:rsidRPr="008F7885">
              <w:rPr>
                <w:rFonts w:ascii="標楷體" w:eastAsia="標楷體" w:hint="eastAsia"/>
                <w:snapToGrid w:val="0"/>
                <w:szCs w:val="28"/>
              </w:rPr>
              <w:t>1</w:t>
            </w:r>
            <w:r w:rsidRPr="008F7885">
              <w:rPr>
                <w:rFonts w:ascii="標楷體" w:eastAsia="標楷體"/>
                <w:snapToGrid w:val="0"/>
                <w:szCs w:val="28"/>
              </w:rPr>
              <w:t>10</w:t>
            </w:r>
            <w:r w:rsidRPr="008F7885">
              <w:rPr>
                <w:rFonts w:ascii="標楷體" w:eastAsia="標楷體" w:hint="eastAsia"/>
                <w:snapToGrid w:val="0"/>
                <w:szCs w:val="28"/>
              </w:rPr>
              <w:t>年度</w:t>
            </w:r>
          </w:p>
          <w:p w:rsidR="00273897" w:rsidRPr="008F7885" w:rsidRDefault="00273897" w:rsidP="00273897">
            <w:pPr>
              <w:spacing w:line="280" w:lineRule="exact"/>
              <w:jc w:val="center"/>
              <w:rPr>
                <w:rFonts w:ascii="標楷體" w:eastAsia="標楷體"/>
                <w:snapToGrid w:val="0"/>
                <w:szCs w:val="28"/>
              </w:rPr>
            </w:pPr>
            <w:r w:rsidRPr="008F7885">
              <w:rPr>
                <w:rFonts w:ascii="標楷體" w:eastAsia="標楷體" w:hint="eastAsia"/>
                <w:snapToGrid w:val="0"/>
                <w:szCs w:val="28"/>
              </w:rPr>
              <w:t>決算數</w:t>
            </w:r>
          </w:p>
        </w:tc>
        <w:tc>
          <w:tcPr>
            <w:tcW w:w="666" w:type="pct"/>
            <w:vAlign w:val="center"/>
          </w:tcPr>
          <w:p w:rsidR="00273897" w:rsidRPr="008F7885" w:rsidRDefault="00273897" w:rsidP="00273897">
            <w:pPr>
              <w:spacing w:line="280" w:lineRule="exact"/>
              <w:jc w:val="center"/>
              <w:rPr>
                <w:rFonts w:ascii="標楷體" w:eastAsia="標楷體"/>
                <w:snapToGrid w:val="0"/>
                <w:szCs w:val="28"/>
              </w:rPr>
            </w:pPr>
            <w:r w:rsidRPr="008F7885">
              <w:rPr>
                <w:rFonts w:ascii="標楷體" w:eastAsia="標楷體" w:hint="eastAsia"/>
                <w:snapToGrid w:val="0"/>
                <w:szCs w:val="28"/>
              </w:rPr>
              <w:t>11</w:t>
            </w:r>
            <w:r w:rsidRPr="008F7885">
              <w:rPr>
                <w:rFonts w:ascii="標楷體" w:eastAsia="標楷體"/>
                <w:snapToGrid w:val="0"/>
                <w:szCs w:val="28"/>
              </w:rPr>
              <w:t>1</w:t>
            </w:r>
            <w:r w:rsidRPr="008F7885">
              <w:rPr>
                <w:rFonts w:ascii="標楷體" w:eastAsia="標楷體" w:hint="eastAsia"/>
                <w:snapToGrid w:val="0"/>
                <w:szCs w:val="28"/>
              </w:rPr>
              <w:t>年度</w:t>
            </w:r>
          </w:p>
          <w:p w:rsidR="00273897" w:rsidRPr="008F7885" w:rsidRDefault="00273897" w:rsidP="00273897">
            <w:pPr>
              <w:spacing w:line="280" w:lineRule="exact"/>
              <w:jc w:val="center"/>
              <w:rPr>
                <w:rFonts w:ascii="標楷體" w:eastAsia="標楷體"/>
                <w:snapToGrid w:val="0"/>
                <w:szCs w:val="28"/>
              </w:rPr>
            </w:pPr>
            <w:r w:rsidRPr="008F7885">
              <w:rPr>
                <w:rFonts w:ascii="標楷體" w:eastAsia="標楷體" w:hint="eastAsia"/>
                <w:snapToGrid w:val="0"/>
                <w:szCs w:val="28"/>
              </w:rPr>
              <w:t>預算數</w:t>
            </w:r>
          </w:p>
        </w:tc>
        <w:tc>
          <w:tcPr>
            <w:tcW w:w="481" w:type="pct"/>
          </w:tcPr>
          <w:p w:rsidR="00273897" w:rsidRPr="008F7885" w:rsidRDefault="00273897" w:rsidP="00273897">
            <w:pPr>
              <w:spacing w:line="280" w:lineRule="exact"/>
              <w:jc w:val="center"/>
              <w:rPr>
                <w:rFonts w:ascii="標楷體" w:eastAsia="標楷體"/>
                <w:snapToGrid w:val="0"/>
                <w:szCs w:val="28"/>
              </w:rPr>
            </w:pPr>
            <w:r w:rsidRPr="008F7885">
              <w:rPr>
                <w:rFonts w:ascii="標楷體" w:eastAsia="標楷體" w:hint="eastAsia"/>
                <w:snapToGrid w:val="0"/>
                <w:szCs w:val="28"/>
              </w:rPr>
              <w:t>1</w:t>
            </w:r>
            <w:r w:rsidRPr="008F7885">
              <w:rPr>
                <w:rFonts w:ascii="標楷體" w:eastAsia="標楷體"/>
                <w:snapToGrid w:val="0"/>
                <w:szCs w:val="28"/>
              </w:rPr>
              <w:t>12</w:t>
            </w:r>
            <w:r w:rsidRPr="008F7885">
              <w:rPr>
                <w:rFonts w:ascii="標楷體" w:eastAsia="標楷體" w:hint="eastAsia"/>
                <w:snapToGrid w:val="0"/>
                <w:szCs w:val="28"/>
              </w:rPr>
              <w:t>年度預算數</w:t>
            </w:r>
          </w:p>
        </w:tc>
      </w:tr>
      <w:tr w:rsidR="00273897" w:rsidRPr="008F7885" w:rsidTr="00273897">
        <w:trPr>
          <w:trHeight w:val="325"/>
        </w:trPr>
        <w:tc>
          <w:tcPr>
            <w:tcW w:w="1191" w:type="pct"/>
            <w:vAlign w:val="center"/>
            <w:hideMark/>
          </w:tcPr>
          <w:p w:rsidR="00273897" w:rsidRPr="008F7885" w:rsidRDefault="00273897" w:rsidP="00273897">
            <w:pPr>
              <w:spacing w:line="280" w:lineRule="exact"/>
              <w:rPr>
                <w:rFonts w:ascii="標楷體" w:eastAsia="標楷體"/>
                <w:b/>
                <w:snapToGrid w:val="0"/>
                <w:szCs w:val="28"/>
              </w:rPr>
            </w:pPr>
            <w:r w:rsidRPr="008F7885">
              <w:rPr>
                <w:rFonts w:ascii="標楷體" w:eastAsia="標楷體" w:hint="eastAsia"/>
                <w:b/>
                <w:snapToGrid w:val="0"/>
                <w:szCs w:val="28"/>
              </w:rPr>
              <w:t>收入合計</w:t>
            </w:r>
          </w:p>
        </w:tc>
        <w:tc>
          <w:tcPr>
            <w:tcW w:w="666" w:type="pct"/>
            <w:vAlign w:val="center"/>
            <w:hideMark/>
          </w:tcPr>
          <w:p w:rsidR="00273897" w:rsidRPr="008F7885" w:rsidRDefault="00273897" w:rsidP="00273897">
            <w:pPr>
              <w:spacing w:line="280" w:lineRule="exact"/>
              <w:jc w:val="right"/>
              <w:rPr>
                <w:rFonts w:ascii="標楷體" w:eastAsia="標楷體"/>
                <w:snapToGrid w:val="0"/>
                <w:szCs w:val="28"/>
              </w:rPr>
            </w:pPr>
            <w:r w:rsidRPr="008F7885">
              <w:rPr>
                <w:rFonts w:ascii="標楷體" w:eastAsia="標楷體" w:hint="eastAsia"/>
                <w:snapToGrid w:val="0"/>
                <w:szCs w:val="28"/>
              </w:rPr>
              <w:t>2,129,706</w:t>
            </w:r>
          </w:p>
        </w:tc>
        <w:tc>
          <w:tcPr>
            <w:tcW w:w="666" w:type="pct"/>
            <w:vAlign w:val="center"/>
            <w:hideMark/>
          </w:tcPr>
          <w:p w:rsidR="00273897" w:rsidRPr="008F7885" w:rsidRDefault="00273897" w:rsidP="00273897">
            <w:pPr>
              <w:spacing w:line="280" w:lineRule="exact"/>
              <w:jc w:val="right"/>
              <w:rPr>
                <w:rFonts w:ascii="標楷體" w:eastAsia="標楷體"/>
                <w:snapToGrid w:val="0"/>
                <w:szCs w:val="28"/>
              </w:rPr>
            </w:pPr>
            <w:r w:rsidRPr="008F7885">
              <w:rPr>
                <w:rFonts w:ascii="標楷體" w:eastAsia="標楷體" w:hint="eastAsia"/>
                <w:snapToGrid w:val="0"/>
                <w:szCs w:val="28"/>
              </w:rPr>
              <w:t>2,242,617</w:t>
            </w:r>
          </w:p>
        </w:tc>
        <w:tc>
          <w:tcPr>
            <w:tcW w:w="666" w:type="pct"/>
            <w:vAlign w:val="center"/>
          </w:tcPr>
          <w:p w:rsidR="00273897" w:rsidRPr="008F7885" w:rsidRDefault="00273897" w:rsidP="00273897">
            <w:pPr>
              <w:spacing w:line="280" w:lineRule="exact"/>
              <w:jc w:val="right"/>
              <w:rPr>
                <w:rFonts w:ascii="標楷體" w:eastAsia="標楷體"/>
                <w:snapToGrid w:val="0"/>
                <w:szCs w:val="28"/>
              </w:rPr>
            </w:pPr>
            <w:r w:rsidRPr="008F7885">
              <w:rPr>
                <w:rFonts w:ascii="標楷體" w:eastAsia="標楷體" w:hint="eastAsia"/>
                <w:snapToGrid w:val="0"/>
                <w:szCs w:val="28"/>
              </w:rPr>
              <w:t>2,231,520</w:t>
            </w:r>
          </w:p>
        </w:tc>
        <w:tc>
          <w:tcPr>
            <w:tcW w:w="666" w:type="pct"/>
            <w:vAlign w:val="center"/>
          </w:tcPr>
          <w:p w:rsidR="00273897" w:rsidRPr="008F7885" w:rsidRDefault="00273897" w:rsidP="00273897">
            <w:pPr>
              <w:spacing w:line="280" w:lineRule="exact"/>
              <w:jc w:val="right"/>
              <w:rPr>
                <w:rFonts w:ascii="標楷體" w:eastAsia="標楷體"/>
                <w:snapToGrid w:val="0"/>
                <w:szCs w:val="28"/>
              </w:rPr>
            </w:pPr>
            <w:r w:rsidRPr="008F7885">
              <w:rPr>
                <w:rFonts w:ascii="標楷體" w:eastAsia="標楷體" w:hint="eastAsia"/>
                <w:snapToGrid w:val="0"/>
                <w:szCs w:val="28"/>
              </w:rPr>
              <w:t>2</w:t>
            </w:r>
            <w:r w:rsidRPr="008F7885">
              <w:rPr>
                <w:rFonts w:ascii="標楷體" w:eastAsia="標楷體"/>
                <w:snapToGrid w:val="0"/>
                <w:szCs w:val="28"/>
              </w:rPr>
              <w:t>,033,046</w:t>
            </w:r>
          </w:p>
        </w:tc>
        <w:tc>
          <w:tcPr>
            <w:tcW w:w="666" w:type="pct"/>
            <w:vAlign w:val="center"/>
          </w:tcPr>
          <w:p w:rsidR="00273897" w:rsidRPr="008F7885" w:rsidRDefault="00273897" w:rsidP="00273897">
            <w:pPr>
              <w:spacing w:line="280" w:lineRule="exact"/>
              <w:jc w:val="right"/>
              <w:rPr>
                <w:rFonts w:ascii="標楷體" w:eastAsia="標楷體"/>
                <w:snapToGrid w:val="0"/>
                <w:szCs w:val="28"/>
              </w:rPr>
            </w:pPr>
            <w:r w:rsidRPr="008F7885">
              <w:rPr>
                <w:rFonts w:ascii="標楷體" w:eastAsia="標楷體" w:hint="eastAsia"/>
                <w:snapToGrid w:val="0"/>
                <w:szCs w:val="28"/>
              </w:rPr>
              <w:t>2</w:t>
            </w:r>
            <w:r w:rsidRPr="008F7885">
              <w:rPr>
                <w:rFonts w:ascii="標楷體" w:eastAsia="標楷體"/>
                <w:snapToGrid w:val="0"/>
                <w:szCs w:val="28"/>
              </w:rPr>
              <w:t>,062,577</w:t>
            </w:r>
          </w:p>
        </w:tc>
        <w:tc>
          <w:tcPr>
            <w:tcW w:w="481" w:type="pct"/>
          </w:tcPr>
          <w:p w:rsidR="00273897" w:rsidRPr="008F7885" w:rsidRDefault="00273897" w:rsidP="00273897">
            <w:pPr>
              <w:spacing w:line="280" w:lineRule="exact"/>
              <w:jc w:val="center"/>
              <w:rPr>
                <w:rFonts w:ascii="標楷體" w:eastAsia="標楷體"/>
                <w:snapToGrid w:val="0"/>
                <w:szCs w:val="28"/>
              </w:rPr>
            </w:pPr>
            <w:r w:rsidRPr="008F7885">
              <w:rPr>
                <w:rFonts w:ascii="標楷體" w:eastAsia="標楷體"/>
                <w:snapToGrid w:val="0"/>
                <w:szCs w:val="28"/>
              </w:rPr>
              <w:t>2,138,524</w:t>
            </w:r>
          </w:p>
        </w:tc>
      </w:tr>
      <w:tr w:rsidR="00273897" w:rsidRPr="008F7885" w:rsidTr="00273897">
        <w:trPr>
          <w:trHeight w:val="338"/>
        </w:trPr>
        <w:tc>
          <w:tcPr>
            <w:tcW w:w="1191" w:type="pct"/>
            <w:vAlign w:val="center"/>
            <w:hideMark/>
          </w:tcPr>
          <w:p w:rsidR="00273897" w:rsidRPr="008F7885" w:rsidRDefault="00273897" w:rsidP="00273897">
            <w:pPr>
              <w:spacing w:line="280" w:lineRule="exact"/>
              <w:rPr>
                <w:rFonts w:ascii="標楷體" w:eastAsia="標楷體"/>
                <w:snapToGrid w:val="0"/>
                <w:szCs w:val="28"/>
              </w:rPr>
            </w:pPr>
            <w:r w:rsidRPr="008F7885">
              <w:rPr>
                <w:rFonts w:ascii="標楷體" w:eastAsia="標楷體" w:hint="eastAsia"/>
                <w:snapToGrid w:val="0"/>
                <w:szCs w:val="28"/>
              </w:rPr>
              <w:t xml:space="preserve">  政府補助收入</w:t>
            </w:r>
          </w:p>
        </w:tc>
        <w:tc>
          <w:tcPr>
            <w:tcW w:w="666" w:type="pct"/>
            <w:vAlign w:val="center"/>
            <w:hideMark/>
          </w:tcPr>
          <w:p w:rsidR="00273897" w:rsidRPr="008F7885" w:rsidRDefault="00273897" w:rsidP="00273897">
            <w:pPr>
              <w:spacing w:line="280" w:lineRule="exact"/>
              <w:jc w:val="right"/>
              <w:rPr>
                <w:rFonts w:ascii="標楷體" w:eastAsia="標楷體"/>
                <w:snapToGrid w:val="0"/>
                <w:szCs w:val="28"/>
              </w:rPr>
            </w:pPr>
            <w:r w:rsidRPr="008F7885">
              <w:rPr>
                <w:rFonts w:ascii="標楷體" w:eastAsia="標楷體" w:hint="eastAsia"/>
                <w:snapToGrid w:val="0"/>
                <w:szCs w:val="28"/>
              </w:rPr>
              <w:t>1,424,872</w:t>
            </w:r>
          </w:p>
        </w:tc>
        <w:tc>
          <w:tcPr>
            <w:tcW w:w="666" w:type="pct"/>
            <w:vAlign w:val="center"/>
          </w:tcPr>
          <w:p w:rsidR="00273897" w:rsidRPr="008F7885" w:rsidRDefault="00273897" w:rsidP="00273897">
            <w:pPr>
              <w:spacing w:line="280" w:lineRule="exact"/>
              <w:jc w:val="right"/>
              <w:rPr>
                <w:rFonts w:ascii="標楷體" w:eastAsia="標楷體"/>
                <w:snapToGrid w:val="0"/>
                <w:szCs w:val="28"/>
              </w:rPr>
            </w:pPr>
            <w:r w:rsidRPr="008F7885">
              <w:rPr>
                <w:rFonts w:ascii="標楷體" w:eastAsia="標楷體" w:hint="eastAsia"/>
                <w:snapToGrid w:val="0"/>
                <w:szCs w:val="28"/>
              </w:rPr>
              <w:t>1,432,710</w:t>
            </w:r>
          </w:p>
        </w:tc>
        <w:tc>
          <w:tcPr>
            <w:tcW w:w="666" w:type="pct"/>
            <w:vAlign w:val="center"/>
          </w:tcPr>
          <w:p w:rsidR="00273897" w:rsidRPr="008F7885" w:rsidRDefault="00273897" w:rsidP="00273897">
            <w:pPr>
              <w:spacing w:line="280" w:lineRule="exact"/>
              <w:jc w:val="right"/>
              <w:rPr>
                <w:rFonts w:ascii="標楷體" w:eastAsia="標楷體"/>
                <w:snapToGrid w:val="0"/>
                <w:szCs w:val="28"/>
              </w:rPr>
            </w:pPr>
            <w:r w:rsidRPr="008F7885">
              <w:rPr>
                <w:rFonts w:ascii="標楷體" w:eastAsia="標楷體" w:hint="eastAsia"/>
                <w:snapToGrid w:val="0"/>
                <w:szCs w:val="28"/>
              </w:rPr>
              <w:t>1,353,389</w:t>
            </w:r>
          </w:p>
        </w:tc>
        <w:tc>
          <w:tcPr>
            <w:tcW w:w="666" w:type="pct"/>
            <w:vAlign w:val="center"/>
          </w:tcPr>
          <w:p w:rsidR="00273897" w:rsidRPr="008F7885" w:rsidRDefault="00273897" w:rsidP="00273897">
            <w:pPr>
              <w:spacing w:line="280" w:lineRule="exact"/>
              <w:jc w:val="right"/>
              <w:rPr>
                <w:rFonts w:ascii="標楷體" w:eastAsia="標楷體"/>
                <w:snapToGrid w:val="0"/>
                <w:szCs w:val="28"/>
              </w:rPr>
            </w:pPr>
            <w:r w:rsidRPr="008F7885">
              <w:rPr>
                <w:rFonts w:ascii="標楷體" w:eastAsia="標楷體" w:hint="eastAsia"/>
                <w:snapToGrid w:val="0"/>
                <w:szCs w:val="28"/>
              </w:rPr>
              <w:t>1</w:t>
            </w:r>
            <w:r w:rsidRPr="008F7885">
              <w:rPr>
                <w:rFonts w:ascii="標楷體" w:eastAsia="標楷體"/>
                <w:snapToGrid w:val="0"/>
                <w:szCs w:val="28"/>
              </w:rPr>
              <w:t>,462,442</w:t>
            </w:r>
          </w:p>
        </w:tc>
        <w:tc>
          <w:tcPr>
            <w:tcW w:w="666" w:type="pct"/>
            <w:vAlign w:val="center"/>
          </w:tcPr>
          <w:p w:rsidR="00273897" w:rsidRPr="008F7885" w:rsidRDefault="00273897" w:rsidP="00273897">
            <w:pPr>
              <w:spacing w:line="280" w:lineRule="exact"/>
              <w:jc w:val="right"/>
              <w:rPr>
                <w:rFonts w:ascii="標楷體" w:eastAsia="標楷體"/>
                <w:snapToGrid w:val="0"/>
                <w:szCs w:val="28"/>
              </w:rPr>
            </w:pPr>
            <w:r w:rsidRPr="008F7885">
              <w:rPr>
                <w:rFonts w:ascii="標楷體" w:eastAsia="標楷體"/>
                <w:snapToGrid w:val="0"/>
                <w:szCs w:val="28"/>
              </w:rPr>
              <w:t>1,383,352</w:t>
            </w:r>
          </w:p>
        </w:tc>
        <w:tc>
          <w:tcPr>
            <w:tcW w:w="481" w:type="pct"/>
          </w:tcPr>
          <w:p w:rsidR="00273897" w:rsidRPr="008F7885" w:rsidRDefault="00273897" w:rsidP="00273897">
            <w:pPr>
              <w:spacing w:line="280" w:lineRule="exact"/>
              <w:jc w:val="center"/>
              <w:rPr>
                <w:rFonts w:ascii="標楷體" w:eastAsia="標楷體"/>
                <w:snapToGrid w:val="0"/>
                <w:szCs w:val="28"/>
              </w:rPr>
            </w:pPr>
            <w:r w:rsidRPr="008F7885">
              <w:rPr>
                <w:rFonts w:ascii="標楷體" w:eastAsia="標楷體"/>
                <w:snapToGrid w:val="0"/>
                <w:szCs w:val="28"/>
              </w:rPr>
              <w:t>1,441,173</w:t>
            </w:r>
          </w:p>
        </w:tc>
      </w:tr>
      <w:tr w:rsidR="00273897" w:rsidRPr="008F7885" w:rsidTr="00273897">
        <w:trPr>
          <w:trHeight w:val="387"/>
        </w:trPr>
        <w:tc>
          <w:tcPr>
            <w:tcW w:w="1191" w:type="pct"/>
            <w:vAlign w:val="center"/>
            <w:hideMark/>
          </w:tcPr>
          <w:p w:rsidR="00273897" w:rsidRPr="008F7885" w:rsidRDefault="00273897" w:rsidP="00273897">
            <w:pPr>
              <w:spacing w:line="280" w:lineRule="exact"/>
              <w:rPr>
                <w:rFonts w:ascii="標楷體" w:eastAsia="標楷體"/>
                <w:snapToGrid w:val="0"/>
                <w:szCs w:val="28"/>
              </w:rPr>
            </w:pPr>
            <w:r w:rsidRPr="008F7885">
              <w:rPr>
                <w:rFonts w:ascii="標楷體" w:eastAsia="標楷體" w:hint="eastAsia"/>
                <w:snapToGrid w:val="0"/>
                <w:szCs w:val="28"/>
              </w:rPr>
              <w:t xml:space="preserve">  其他各項收入合計</w:t>
            </w:r>
          </w:p>
        </w:tc>
        <w:tc>
          <w:tcPr>
            <w:tcW w:w="666" w:type="pct"/>
            <w:vAlign w:val="center"/>
            <w:hideMark/>
          </w:tcPr>
          <w:p w:rsidR="00273897" w:rsidRPr="008F7885" w:rsidRDefault="00273897" w:rsidP="00273897">
            <w:pPr>
              <w:spacing w:line="280" w:lineRule="exact"/>
              <w:jc w:val="right"/>
              <w:rPr>
                <w:rFonts w:ascii="標楷體" w:eastAsia="標楷體"/>
                <w:snapToGrid w:val="0"/>
                <w:szCs w:val="28"/>
              </w:rPr>
            </w:pPr>
            <w:r w:rsidRPr="008F7885">
              <w:rPr>
                <w:rFonts w:ascii="標楷體" w:eastAsia="標楷體" w:hint="eastAsia"/>
                <w:snapToGrid w:val="0"/>
                <w:szCs w:val="28"/>
              </w:rPr>
              <w:t>704,834</w:t>
            </w:r>
          </w:p>
        </w:tc>
        <w:tc>
          <w:tcPr>
            <w:tcW w:w="666" w:type="pct"/>
            <w:vAlign w:val="center"/>
          </w:tcPr>
          <w:p w:rsidR="00273897" w:rsidRPr="008F7885" w:rsidRDefault="00273897" w:rsidP="00273897">
            <w:pPr>
              <w:spacing w:line="280" w:lineRule="exact"/>
              <w:jc w:val="right"/>
              <w:rPr>
                <w:rFonts w:ascii="標楷體" w:eastAsia="標楷體"/>
                <w:snapToGrid w:val="0"/>
                <w:szCs w:val="28"/>
              </w:rPr>
            </w:pPr>
            <w:r w:rsidRPr="008F7885">
              <w:rPr>
                <w:rFonts w:ascii="標楷體" w:eastAsia="標楷體" w:hint="eastAsia"/>
                <w:snapToGrid w:val="0"/>
                <w:szCs w:val="28"/>
              </w:rPr>
              <w:t>809,907</w:t>
            </w:r>
          </w:p>
        </w:tc>
        <w:tc>
          <w:tcPr>
            <w:tcW w:w="666" w:type="pct"/>
            <w:vAlign w:val="center"/>
          </w:tcPr>
          <w:p w:rsidR="00273897" w:rsidRPr="008F7885" w:rsidRDefault="00273897" w:rsidP="00273897">
            <w:pPr>
              <w:spacing w:line="280" w:lineRule="exact"/>
              <w:jc w:val="right"/>
              <w:rPr>
                <w:rFonts w:ascii="標楷體" w:eastAsia="標楷體"/>
                <w:snapToGrid w:val="0"/>
                <w:szCs w:val="28"/>
              </w:rPr>
            </w:pPr>
            <w:r w:rsidRPr="008F7885">
              <w:rPr>
                <w:rFonts w:ascii="標楷體" w:eastAsia="標楷體" w:hint="eastAsia"/>
                <w:snapToGrid w:val="0"/>
                <w:szCs w:val="28"/>
              </w:rPr>
              <w:t>878,131</w:t>
            </w:r>
          </w:p>
        </w:tc>
        <w:tc>
          <w:tcPr>
            <w:tcW w:w="666" w:type="pct"/>
            <w:vAlign w:val="center"/>
          </w:tcPr>
          <w:p w:rsidR="00273897" w:rsidRPr="008F7885" w:rsidRDefault="00273897" w:rsidP="00273897">
            <w:pPr>
              <w:spacing w:line="280" w:lineRule="exact"/>
              <w:jc w:val="right"/>
              <w:rPr>
                <w:rFonts w:ascii="標楷體" w:eastAsia="標楷體"/>
                <w:snapToGrid w:val="0"/>
                <w:szCs w:val="28"/>
              </w:rPr>
            </w:pPr>
            <w:r w:rsidRPr="008F7885">
              <w:rPr>
                <w:rFonts w:ascii="標楷體" w:eastAsia="標楷體" w:hint="eastAsia"/>
                <w:snapToGrid w:val="0"/>
                <w:szCs w:val="28"/>
              </w:rPr>
              <w:t>570,604</w:t>
            </w:r>
          </w:p>
        </w:tc>
        <w:tc>
          <w:tcPr>
            <w:tcW w:w="666" w:type="pct"/>
            <w:vAlign w:val="center"/>
          </w:tcPr>
          <w:p w:rsidR="00273897" w:rsidRPr="008F7885" w:rsidRDefault="00273897" w:rsidP="00273897">
            <w:pPr>
              <w:spacing w:line="280" w:lineRule="exact"/>
              <w:jc w:val="right"/>
              <w:rPr>
                <w:rFonts w:ascii="標楷體" w:eastAsia="標楷體"/>
                <w:snapToGrid w:val="0"/>
                <w:szCs w:val="28"/>
              </w:rPr>
            </w:pPr>
            <w:r w:rsidRPr="008F7885">
              <w:rPr>
                <w:rFonts w:ascii="標楷體" w:eastAsia="標楷體" w:hint="eastAsia"/>
                <w:snapToGrid w:val="0"/>
                <w:szCs w:val="28"/>
              </w:rPr>
              <w:t>679,225</w:t>
            </w:r>
          </w:p>
        </w:tc>
        <w:tc>
          <w:tcPr>
            <w:tcW w:w="481" w:type="pct"/>
          </w:tcPr>
          <w:p w:rsidR="00273897" w:rsidRPr="008F7885" w:rsidRDefault="00273897" w:rsidP="00273897">
            <w:pPr>
              <w:spacing w:line="280" w:lineRule="exact"/>
              <w:jc w:val="right"/>
              <w:rPr>
                <w:rFonts w:ascii="標楷體" w:eastAsia="標楷體"/>
                <w:snapToGrid w:val="0"/>
                <w:szCs w:val="28"/>
              </w:rPr>
            </w:pPr>
            <w:r w:rsidRPr="008F7885">
              <w:rPr>
                <w:rFonts w:ascii="標楷體" w:eastAsia="標楷體" w:hint="eastAsia"/>
                <w:snapToGrid w:val="0"/>
                <w:szCs w:val="28"/>
              </w:rPr>
              <w:t>6</w:t>
            </w:r>
            <w:r w:rsidRPr="008F7885">
              <w:rPr>
                <w:rFonts w:ascii="標楷體" w:eastAsia="標楷體"/>
                <w:snapToGrid w:val="0"/>
                <w:szCs w:val="28"/>
              </w:rPr>
              <w:t>97</w:t>
            </w:r>
            <w:r w:rsidRPr="008F7885">
              <w:rPr>
                <w:rFonts w:ascii="標楷體" w:eastAsia="標楷體" w:hint="eastAsia"/>
                <w:snapToGrid w:val="0"/>
                <w:szCs w:val="28"/>
              </w:rPr>
              <w:t>,</w:t>
            </w:r>
            <w:r w:rsidRPr="008F7885">
              <w:rPr>
                <w:rFonts w:ascii="標楷體" w:eastAsia="標楷體"/>
                <w:snapToGrid w:val="0"/>
                <w:szCs w:val="28"/>
              </w:rPr>
              <w:t>351</w:t>
            </w:r>
          </w:p>
        </w:tc>
      </w:tr>
      <w:tr w:rsidR="00273897" w:rsidRPr="008F7885" w:rsidTr="00273897">
        <w:trPr>
          <w:trHeight w:val="338"/>
        </w:trPr>
        <w:tc>
          <w:tcPr>
            <w:tcW w:w="1191" w:type="pct"/>
            <w:vAlign w:val="center"/>
            <w:hideMark/>
          </w:tcPr>
          <w:p w:rsidR="00273897" w:rsidRPr="008F7885" w:rsidRDefault="00273897" w:rsidP="00273897">
            <w:pPr>
              <w:spacing w:line="280" w:lineRule="exact"/>
              <w:rPr>
                <w:rFonts w:ascii="標楷體" w:eastAsia="標楷體"/>
                <w:b/>
                <w:snapToGrid w:val="0"/>
                <w:szCs w:val="28"/>
              </w:rPr>
            </w:pPr>
            <w:r w:rsidRPr="008F7885">
              <w:rPr>
                <w:rFonts w:ascii="標楷體" w:eastAsia="標楷體" w:hint="eastAsia"/>
                <w:b/>
                <w:snapToGrid w:val="0"/>
                <w:szCs w:val="28"/>
              </w:rPr>
              <w:t>費用合計</w:t>
            </w:r>
          </w:p>
        </w:tc>
        <w:tc>
          <w:tcPr>
            <w:tcW w:w="666" w:type="pct"/>
            <w:vAlign w:val="center"/>
            <w:hideMark/>
          </w:tcPr>
          <w:p w:rsidR="00273897" w:rsidRPr="008F7885" w:rsidRDefault="00273897" w:rsidP="00273897">
            <w:pPr>
              <w:spacing w:line="280" w:lineRule="exact"/>
              <w:jc w:val="right"/>
              <w:rPr>
                <w:rFonts w:ascii="標楷體" w:eastAsia="標楷體"/>
                <w:snapToGrid w:val="0"/>
                <w:szCs w:val="28"/>
              </w:rPr>
            </w:pPr>
            <w:r w:rsidRPr="008F7885">
              <w:rPr>
                <w:rFonts w:ascii="標楷體" w:eastAsia="標楷體" w:hint="eastAsia"/>
                <w:snapToGrid w:val="0"/>
                <w:szCs w:val="28"/>
              </w:rPr>
              <w:t>2,520,573</w:t>
            </w:r>
          </w:p>
        </w:tc>
        <w:tc>
          <w:tcPr>
            <w:tcW w:w="666" w:type="pct"/>
            <w:vAlign w:val="center"/>
          </w:tcPr>
          <w:p w:rsidR="00273897" w:rsidRPr="008F7885" w:rsidRDefault="00273897" w:rsidP="00273897">
            <w:pPr>
              <w:spacing w:line="280" w:lineRule="exact"/>
              <w:jc w:val="right"/>
              <w:rPr>
                <w:rFonts w:ascii="標楷體" w:eastAsia="標楷體"/>
                <w:snapToGrid w:val="0"/>
                <w:szCs w:val="28"/>
              </w:rPr>
            </w:pPr>
            <w:r w:rsidRPr="008F7885">
              <w:rPr>
                <w:rFonts w:ascii="標楷體" w:eastAsia="標楷體" w:hint="eastAsia"/>
                <w:snapToGrid w:val="0"/>
                <w:szCs w:val="28"/>
              </w:rPr>
              <w:t>2,608,197</w:t>
            </w:r>
          </w:p>
        </w:tc>
        <w:tc>
          <w:tcPr>
            <w:tcW w:w="666" w:type="pct"/>
            <w:vAlign w:val="center"/>
          </w:tcPr>
          <w:p w:rsidR="00273897" w:rsidRPr="008F7885" w:rsidRDefault="00273897" w:rsidP="00273897">
            <w:pPr>
              <w:spacing w:line="280" w:lineRule="exact"/>
              <w:jc w:val="right"/>
              <w:rPr>
                <w:rFonts w:ascii="標楷體" w:eastAsia="標楷體"/>
                <w:snapToGrid w:val="0"/>
                <w:szCs w:val="28"/>
              </w:rPr>
            </w:pPr>
            <w:r w:rsidRPr="008F7885">
              <w:rPr>
                <w:rFonts w:ascii="標楷體" w:eastAsia="標楷體" w:hint="eastAsia"/>
                <w:snapToGrid w:val="0"/>
                <w:szCs w:val="28"/>
              </w:rPr>
              <w:t>2,693,811</w:t>
            </w:r>
          </w:p>
        </w:tc>
        <w:tc>
          <w:tcPr>
            <w:tcW w:w="666" w:type="pct"/>
            <w:vAlign w:val="center"/>
          </w:tcPr>
          <w:p w:rsidR="00273897" w:rsidRPr="008F7885" w:rsidRDefault="00273897" w:rsidP="00273897">
            <w:pPr>
              <w:spacing w:line="280" w:lineRule="exact"/>
              <w:jc w:val="right"/>
              <w:rPr>
                <w:rFonts w:ascii="標楷體" w:eastAsia="標楷體"/>
                <w:snapToGrid w:val="0"/>
                <w:szCs w:val="28"/>
              </w:rPr>
            </w:pPr>
            <w:r w:rsidRPr="008F7885">
              <w:rPr>
                <w:rFonts w:ascii="標楷體" w:eastAsia="標楷體" w:hint="eastAsia"/>
                <w:snapToGrid w:val="0"/>
                <w:szCs w:val="28"/>
              </w:rPr>
              <w:t>2</w:t>
            </w:r>
            <w:r w:rsidRPr="008F7885">
              <w:rPr>
                <w:rFonts w:ascii="標楷體" w:eastAsia="標楷體"/>
                <w:snapToGrid w:val="0"/>
                <w:szCs w:val="28"/>
              </w:rPr>
              <w:t>,548,716</w:t>
            </w:r>
          </w:p>
        </w:tc>
        <w:tc>
          <w:tcPr>
            <w:tcW w:w="666" w:type="pct"/>
            <w:vAlign w:val="center"/>
          </w:tcPr>
          <w:p w:rsidR="00273897" w:rsidRPr="008F7885" w:rsidRDefault="00273897" w:rsidP="00273897">
            <w:pPr>
              <w:spacing w:line="280" w:lineRule="exact"/>
              <w:jc w:val="right"/>
              <w:rPr>
                <w:rFonts w:ascii="標楷體" w:eastAsia="標楷體"/>
                <w:snapToGrid w:val="0"/>
                <w:szCs w:val="28"/>
              </w:rPr>
            </w:pPr>
            <w:r w:rsidRPr="008F7885">
              <w:rPr>
                <w:rFonts w:ascii="標楷體" w:eastAsia="標楷體" w:hint="eastAsia"/>
                <w:snapToGrid w:val="0"/>
                <w:szCs w:val="28"/>
              </w:rPr>
              <w:t>2</w:t>
            </w:r>
            <w:r w:rsidRPr="008F7885">
              <w:rPr>
                <w:rFonts w:ascii="標楷體" w:eastAsia="標楷體"/>
                <w:snapToGrid w:val="0"/>
                <w:szCs w:val="28"/>
              </w:rPr>
              <w:t>,628,526</w:t>
            </w:r>
          </w:p>
        </w:tc>
        <w:tc>
          <w:tcPr>
            <w:tcW w:w="481" w:type="pct"/>
          </w:tcPr>
          <w:p w:rsidR="00273897" w:rsidRPr="008F7885" w:rsidRDefault="00273897" w:rsidP="00273897">
            <w:pPr>
              <w:spacing w:line="280" w:lineRule="exact"/>
              <w:jc w:val="center"/>
              <w:rPr>
                <w:rFonts w:ascii="標楷體" w:eastAsia="標楷體"/>
                <w:snapToGrid w:val="0"/>
                <w:szCs w:val="28"/>
              </w:rPr>
            </w:pPr>
            <w:r w:rsidRPr="008F7885">
              <w:rPr>
                <w:rFonts w:ascii="標楷體" w:eastAsia="標楷體"/>
                <w:snapToGrid w:val="0"/>
                <w:szCs w:val="28"/>
              </w:rPr>
              <w:t>2,667,476</w:t>
            </w:r>
          </w:p>
        </w:tc>
      </w:tr>
      <w:tr w:rsidR="00273897" w:rsidRPr="008F7885" w:rsidTr="00273897">
        <w:trPr>
          <w:trHeight w:val="149"/>
        </w:trPr>
        <w:tc>
          <w:tcPr>
            <w:tcW w:w="1191" w:type="pct"/>
            <w:hideMark/>
          </w:tcPr>
          <w:p w:rsidR="00273897" w:rsidRPr="008F7885" w:rsidRDefault="00273897" w:rsidP="00273897">
            <w:pPr>
              <w:spacing w:line="280" w:lineRule="exact"/>
              <w:rPr>
                <w:rFonts w:ascii="標楷體" w:eastAsia="標楷體"/>
                <w:b/>
                <w:snapToGrid w:val="0"/>
                <w:szCs w:val="28"/>
              </w:rPr>
            </w:pPr>
            <w:r w:rsidRPr="008F7885">
              <w:rPr>
                <w:rFonts w:ascii="標楷體" w:eastAsia="標楷體" w:hint="eastAsia"/>
                <w:b/>
                <w:snapToGrid w:val="0"/>
                <w:szCs w:val="28"/>
              </w:rPr>
              <w:t>本期賸餘（短絀）</w:t>
            </w:r>
          </w:p>
        </w:tc>
        <w:tc>
          <w:tcPr>
            <w:tcW w:w="666" w:type="pct"/>
            <w:vAlign w:val="center"/>
            <w:hideMark/>
          </w:tcPr>
          <w:p w:rsidR="00273897" w:rsidRPr="008F7885" w:rsidRDefault="00273897" w:rsidP="00273897">
            <w:pPr>
              <w:spacing w:line="280" w:lineRule="exact"/>
              <w:jc w:val="right"/>
              <w:rPr>
                <w:rFonts w:ascii="標楷體" w:eastAsia="標楷體"/>
                <w:snapToGrid w:val="0"/>
                <w:szCs w:val="28"/>
              </w:rPr>
            </w:pPr>
            <w:r w:rsidRPr="008F7885">
              <w:rPr>
                <w:rFonts w:ascii="標楷體" w:eastAsia="標楷體" w:hint="eastAsia"/>
                <w:snapToGrid w:val="0"/>
                <w:szCs w:val="28"/>
              </w:rPr>
              <w:t>(390,867)</w:t>
            </w:r>
          </w:p>
        </w:tc>
        <w:tc>
          <w:tcPr>
            <w:tcW w:w="666" w:type="pct"/>
            <w:vAlign w:val="center"/>
            <w:hideMark/>
          </w:tcPr>
          <w:p w:rsidR="00273897" w:rsidRPr="008F7885" w:rsidRDefault="00273897" w:rsidP="00273897">
            <w:pPr>
              <w:spacing w:line="280" w:lineRule="exact"/>
              <w:jc w:val="right"/>
              <w:rPr>
                <w:rFonts w:ascii="標楷體" w:eastAsia="標楷體"/>
                <w:snapToGrid w:val="0"/>
                <w:szCs w:val="28"/>
              </w:rPr>
            </w:pPr>
            <w:r w:rsidRPr="008F7885">
              <w:rPr>
                <w:rFonts w:ascii="標楷體" w:eastAsia="標楷體" w:hint="eastAsia"/>
                <w:snapToGrid w:val="0"/>
                <w:szCs w:val="28"/>
              </w:rPr>
              <w:t>(365,580)</w:t>
            </w:r>
          </w:p>
        </w:tc>
        <w:tc>
          <w:tcPr>
            <w:tcW w:w="666" w:type="pct"/>
            <w:vAlign w:val="center"/>
          </w:tcPr>
          <w:p w:rsidR="00273897" w:rsidRPr="008F7885" w:rsidRDefault="00273897" w:rsidP="00273897">
            <w:pPr>
              <w:spacing w:line="280" w:lineRule="exact"/>
              <w:jc w:val="right"/>
              <w:rPr>
                <w:rFonts w:ascii="標楷體" w:eastAsia="標楷體"/>
                <w:snapToGrid w:val="0"/>
                <w:szCs w:val="28"/>
              </w:rPr>
            </w:pPr>
            <w:r w:rsidRPr="008F7885">
              <w:rPr>
                <w:rFonts w:ascii="標楷體" w:eastAsia="標楷體" w:hint="eastAsia"/>
                <w:snapToGrid w:val="0"/>
                <w:szCs w:val="28"/>
              </w:rPr>
              <w:t>(462,291)</w:t>
            </w:r>
          </w:p>
        </w:tc>
        <w:tc>
          <w:tcPr>
            <w:tcW w:w="666" w:type="pct"/>
            <w:vAlign w:val="center"/>
          </w:tcPr>
          <w:p w:rsidR="00273897" w:rsidRPr="008F7885" w:rsidRDefault="00273897" w:rsidP="00273897">
            <w:pPr>
              <w:spacing w:line="280" w:lineRule="exact"/>
              <w:jc w:val="right"/>
              <w:rPr>
                <w:rFonts w:ascii="標楷體" w:eastAsia="標楷體"/>
                <w:snapToGrid w:val="0"/>
                <w:szCs w:val="28"/>
              </w:rPr>
            </w:pPr>
            <w:r w:rsidRPr="008F7885">
              <w:rPr>
                <w:rFonts w:ascii="標楷體" w:eastAsia="標楷體" w:hint="eastAsia"/>
                <w:snapToGrid w:val="0"/>
                <w:szCs w:val="28"/>
              </w:rPr>
              <w:t>(</w:t>
            </w:r>
            <w:r w:rsidRPr="008F7885">
              <w:rPr>
                <w:rFonts w:ascii="標楷體" w:eastAsia="標楷體"/>
                <w:snapToGrid w:val="0"/>
                <w:szCs w:val="28"/>
              </w:rPr>
              <w:t>515,670</w:t>
            </w:r>
            <w:r w:rsidRPr="008F7885">
              <w:rPr>
                <w:rFonts w:ascii="標楷體" w:eastAsia="標楷體" w:hint="eastAsia"/>
                <w:snapToGrid w:val="0"/>
                <w:szCs w:val="28"/>
              </w:rPr>
              <w:t>)</w:t>
            </w:r>
          </w:p>
        </w:tc>
        <w:tc>
          <w:tcPr>
            <w:tcW w:w="666" w:type="pct"/>
            <w:vAlign w:val="center"/>
          </w:tcPr>
          <w:p w:rsidR="00273897" w:rsidRPr="008F7885" w:rsidRDefault="00273897" w:rsidP="00273897">
            <w:pPr>
              <w:spacing w:line="280" w:lineRule="exact"/>
              <w:jc w:val="right"/>
              <w:rPr>
                <w:rFonts w:ascii="標楷體" w:eastAsia="標楷體"/>
                <w:snapToGrid w:val="0"/>
                <w:szCs w:val="28"/>
              </w:rPr>
            </w:pPr>
            <w:r w:rsidRPr="008F7885">
              <w:rPr>
                <w:rFonts w:ascii="標楷體" w:eastAsia="標楷體" w:hint="eastAsia"/>
                <w:snapToGrid w:val="0"/>
                <w:szCs w:val="28"/>
              </w:rPr>
              <w:t>(</w:t>
            </w:r>
            <w:r w:rsidRPr="008F7885">
              <w:rPr>
                <w:rFonts w:ascii="標楷體" w:eastAsia="標楷體"/>
                <w:snapToGrid w:val="0"/>
                <w:szCs w:val="28"/>
              </w:rPr>
              <w:t>565,849</w:t>
            </w:r>
            <w:r w:rsidRPr="008F7885">
              <w:rPr>
                <w:rFonts w:ascii="標楷體" w:eastAsia="標楷體" w:hint="eastAsia"/>
                <w:snapToGrid w:val="0"/>
                <w:szCs w:val="28"/>
              </w:rPr>
              <w:t>)</w:t>
            </w:r>
          </w:p>
        </w:tc>
        <w:tc>
          <w:tcPr>
            <w:tcW w:w="481" w:type="pct"/>
          </w:tcPr>
          <w:p w:rsidR="00273897" w:rsidRPr="008F7885" w:rsidRDefault="00273897" w:rsidP="00273897">
            <w:pPr>
              <w:spacing w:line="280" w:lineRule="exact"/>
              <w:jc w:val="center"/>
              <w:rPr>
                <w:rFonts w:ascii="標楷體" w:eastAsia="標楷體"/>
                <w:snapToGrid w:val="0"/>
                <w:szCs w:val="28"/>
              </w:rPr>
            </w:pPr>
            <w:r w:rsidRPr="008F7885">
              <w:rPr>
                <w:rFonts w:ascii="標楷體" w:eastAsia="標楷體"/>
                <w:snapToGrid w:val="0"/>
                <w:szCs w:val="28"/>
              </w:rPr>
              <w:t>(</w:t>
            </w:r>
            <w:r w:rsidRPr="008F7885">
              <w:rPr>
                <w:rFonts w:ascii="標楷體" w:eastAsia="標楷體" w:hint="eastAsia"/>
                <w:snapToGrid w:val="0"/>
                <w:szCs w:val="28"/>
              </w:rPr>
              <w:t>528,952</w:t>
            </w:r>
            <w:r w:rsidRPr="008F7885">
              <w:rPr>
                <w:rFonts w:ascii="標楷體" w:eastAsia="標楷體"/>
                <w:snapToGrid w:val="0"/>
                <w:szCs w:val="28"/>
              </w:rPr>
              <w:t>)</w:t>
            </w:r>
          </w:p>
        </w:tc>
      </w:tr>
    </w:tbl>
    <w:p w:rsidR="00273897" w:rsidRPr="008F7885" w:rsidRDefault="00273897" w:rsidP="00273897">
      <w:pPr>
        <w:spacing w:line="280" w:lineRule="exact"/>
        <w:rPr>
          <w:rFonts w:ascii="標楷體" w:eastAsia="標楷體" w:hAnsi="標楷體"/>
          <w:sz w:val="32"/>
          <w:szCs w:val="32"/>
        </w:rPr>
      </w:pPr>
      <w:r w:rsidRPr="008F7885">
        <w:rPr>
          <w:rFonts w:ascii="標楷體" w:eastAsia="標楷體" w:hAnsi="標楷體" w:hint="eastAsia"/>
          <w:snapToGrid w:val="0"/>
          <w:szCs w:val="28"/>
        </w:rPr>
        <w:t>資料來源：教育部所屬機構作業基金10</w:t>
      </w:r>
      <w:r w:rsidRPr="008F7885">
        <w:rPr>
          <w:rFonts w:ascii="標楷體" w:eastAsia="標楷體" w:hAnsi="標楷體"/>
          <w:snapToGrid w:val="0"/>
          <w:szCs w:val="28"/>
        </w:rPr>
        <w:t>7</w:t>
      </w:r>
      <w:r w:rsidRPr="008F7885">
        <w:rPr>
          <w:rFonts w:ascii="標楷體" w:eastAsia="標楷體" w:hAnsi="標楷體" w:hint="eastAsia"/>
          <w:snapToGrid w:val="0"/>
          <w:szCs w:val="28"/>
        </w:rPr>
        <w:t>至11</w:t>
      </w:r>
      <w:r w:rsidRPr="008F7885">
        <w:rPr>
          <w:rFonts w:ascii="標楷體" w:eastAsia="標楷體" w:hAnsi="標楷體"/>
          <w:snapToGrid w:val="0"/>
          <w:szCs w:val="28"/>
        </w:rPr>
        <w:t>2</w:t>
      </w:r>
      <w:r w:rsidRPr="008F7885">
        <w:rPr>
          <w:rFonts w:ascii="標楷體" w:eastAsia="標楷體" w:hAnsi="標楷體" w:hint="eastAsia"/>
          <w:snapToGrid w:val="0"/>
          <w:szCs w:val="28"/>
        </w:rPr>
        <w:t>年度預、決算書。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提案人：鄭正鈐</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連署人：吳怡玎  萬美玲</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(二)由108至111年7月底各館所典藏文物(品)展示率觀之，111</w:t>
      </w:r>
      <w:r w:rsidRPr="008F7885">
        <w:rPr>
          <w:rFonts w:ascii="標楷體" w:eastAsia="標楷體" w:hAnsi="標楷體" w:hint="eastAsia"/>
          <w:sz w:val="32"/>
          <w:szCs w:val="32"/>
        </w:rPr>
        <w:lastRenderedPageBreak/>
        <w:t>年度以國立臺灣圖書館陽明山中山樓之典藏文物展示率100%最高，其次為國立臺灣科學教育館之動物標本90.8%及實驗器材24%、國立海洋科技博物館物件類16%及標本類14%、國立科學工藝博物館之5.69%，而國立自然科學博物館各類典藏文物(品)除人類學為0.158%外，其餘展示率皆不及0.02%，國立海洋生物博物館模式標本則無展示。按生物標本或文物之蒐集、研究、典藏、展示及教育功能為各館所主要職掌，爰要求教育部於3個月內向立法院教育及文化委員會提出書面報告，說明改善方案，加強策展或館際合作規劃，以提升典藏文物運用價值。4</w:t>
      </w:r>
    </w:p>
    <w:p w:rsidR="00273897" w:rsidRPr="008F7885" w:rsidRDefault="00273897" w:rsidP="00273897">
      <w:pPr>
        <w:spacing w:line="500" w:lineRule="exact"/>
        <w:ind w:left="981" w:hangingChars="350" w:hanging="981"/>
        <w:jc w:val="center"/>
        <w:rPr>
          <w:rFonts w:ascii="標楷體" w:eastAsia="標楷體" w:hAnsi="標楷體"/>
          <w:snapToGrid w:val="0"/>
          <w:szCs w:val="28"/>
        </w:rPr>
      </w:pPr>
      <w:r w:rsidRPr="008F7885">
        <w:rPr>
          <w:rFonts w:ascii="標楷體" w:eastAsia="標楷體" w:hAnsi="標楷體" w:hint="eastAsia"/>
          <w:b/>
          <w:snapToGrid w:val="0"/>
          <w:sz w:val="28"/>
          <w:szCs w:val="28"/>
        </w:rPr>
        <w:t>10</w:t>
      </w:r>
      <w:r w:rsidRPr="008F7885">
        <w:rPr>
          <w:rFonts w:ascii="標楷體" w:eastAsia="標楷體" w:hAnsi="標楷體"/>
          <w:b/>
          <w:snapToGrid w:val="0"/>
          <w:sz w:val="28"/>
          <w:szCs w:val="28"/>
        </w:rPr>
        <w:t>8</w:t>
      </w:r>
      <w:r w:rsidRPr="008F7885">
        <w:rPr>
          <w:rFonts w:ascii="標楷體" w:eastAsia="標楷體" w:hAnsi="標楷體" w:hint="eastAsia"/>
          <w:b/>
          <w:snapToGrid w:val="0"/>
          <w:sz w:val="28"/>
          <w:szCs w:val="28"/>
        </w:rPr>
        <w:t>至11</w:t>
      </w:r>
      <w:r w:rsidRPr="008F7885">
        <w:rPr>
          <w:rFonts w:ascii="標楷體" w:eastAsia="標楷體" w:hAnsi="標楷體"/>
          <w:b/>
          <w:snapToGrid w:val="0"/>
          <w:sz w:val="28"/>
          <w:szCs w:val="28"/>
        </w:rPr>
        <w:t>1</w:t>
      </w:r>
      <w:r w:rsidRPr="008F7885">
        <w:rPr>
          <w:rFonts w:ascii="標楷體" w:eastAsia="標楷體" w:hAnsi="標楷體" w:hint="eastAsia"/>
          <w:b/>
          <w:snapToGrid w:val="0"/>
          <w:sz w:val="28"/>
          <w:szCs w:val="28"/>
        </w:rPr>
        <w:t xml:space="preserve">年度各分基金典藏文物(品)展示率統計表    </w:t>
      </w:r>
      <w:r w:rsidRPr="008F7885">
        <w:rPr>
          <w:rFonts w:ascii="標楷體" w:eastAsia="標楷體" w:hAnsi="標楷體" w:hint="eastAsia"/>
          <w:snapToGrid w:val="0"/>
          <w:szCs w:val="24"/>
        </w:rPr>
        <w:t>單位：%</w:t>
      </w:r>
    </w:p>
    <w:tbl>
      <w:tblPr>
        <w:tblW w:w="852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2245"/>
        <w:gridCol w:w="1759"/>
        <w:gridCol w:w="1129"/>
        <w:gridCol w:w="1129"/>
        <w:gridCol w:w="1129"/>
        <w:gridCol w:w="1129"/>
      </w:tblGrid>
      <w:tr w:rsidR="00273897" w:rsidRPr="008F7885" w:rsidTr="00273897">
        <w:trPr>
          <w:trHeight w:val="324"/>
          <w:jc w:val="center"/>
        </w:trPr>
        <w:tc>
          <w:tcPr>
            <w:tcW w:w="2245" w:type="dxa"/>
            <w:shd w:val="clear" w:color="auto" w:fill="auto"/>
            <w:noWrap/>
            <w:vAlign w:val="center"/>
          </w:tcPr>
          <w:p w:rsidR="00273897" w:rsidRPr="008F7885" w:rsidRDefault="00273897" w:rsidP="00273897">
            <w:pPr>
              <w:spacing w:line="280" w:lineRule="exact"/>
              <w:jc w:val="center"/>
              <w:rPr>
                <w:rFonts w:ascii="標楷體" w:eastAsia="標楷體"/>
                <w:szCs w:val="28"/>
              </w:rPr>
            </w:pPr>
            <w:r w:rsidRPr="008F7885">
              <w:rPr>
                <w:rFonts w:ascii="標楷體" w:eastAsia="標楷體" w:hint="eastAsia"/>
                <w:szCs w:val="28"/>
              </w:rPr>
              <w:t>機構別</w:t>
            </w:r>
          </w:p>
        </w:tc>
        <w:tc>
          <w:tcPr>
            <w:tcW w:w="1759" w:type="dxa"/>
            <w:shd w:val="clear" w:color="auto" w:fill="auto"/>
            <w:noWrap/>
            <w:vAlign w:val="center"/>
          </w:tcPr>
          <w:p w:rsidR="00273897" w:rsidRPr="008F7885" w:rsidRDefault="00273897" w:rsidP="00273897">
            <w:pPr>
              <w:spacing w:line="280" w:lineRule="exact"/>
              <w:jc w:val="center"/>
              <w:rPr>
                <w:rFonts w:ascii="標楷體" w:eastAsia="標楷體"/>
                <w:szCs w:val="28"/>
              </w:rPr>
            </w:pPr>
            <w:r w:rsidRPr="008F7885">
              <w:rPr>
                <w:rFonts w:ascii="標楷體" w:eastAsia="標楷體" w:hint="eastAsia"/>
                <w:szCs w:val="28"/>
              </w:rPr>
              <w:t>種類</w:t>
            </w:r>
          </w:p>
        </w:tc>
        <w:tc>
          <w:tcPr>
            <w:tcW w:w="1129" w:type="dxa"/>
            <w:shd w:val="clear" w:color="auto" w:fill="auto"/>
            <w:noWrap/>
            <w:vAlign w:val="center"/>
          </w:tcPr>
          <w:p w:rsidR="00273897" w:rsidRPr="008F7885" w:rsidRDefault="00273897" w:rsidP="00273897">
            <w:pPr>
              <w:spacing w:line="280" w:lineRule="exact"/>
              <w:jc w:val="center"/>
              <w:rPr>
                <w:rFonts w:ascii="標楷體" w:eastAsia="標楷體"/>
                <w:spacing w:val="-20"/>
                <w:szCs w:val="28"/>
              </w:rPr>
            </w:pPr>
            <w:r w:rsidRPr="008F7885">
              <w:rPr>
                <w:rFonts w:ascii="標楷體" w:eastAsia="標楷體" w:hint="eastAsia"/>
                <w:spacing w:val="-20"/>
                <w:szCs w:val="28"/>
                <w:lang w:val="x-none"/>
              </w:rPr>
              <w:t>108年度</w:t>
            </w:r>
          </w:p>
        </w:tc>
        <w:tc>
          <w:tcPr>
            <w:tcW w:w="1129" w:type="dxa"/>
            <w:shd w:val="clear" w:color="auto" w:fill="auto"/>
            <w:noWrap/>
            <w:vAlign w:val="center"/>
          </w:tcPr>
          <w:p w:rsidR="00273897" w:rsidRPr="008F7885" w:rsidRDefault="00273897" w:rsidP="00273897">
            <w:pPr>
              <w:spacing w:line="280" w:lineRule="exact"/>
              <w:jc w:val="center"/>
              <w:rPr>
                <w:rFonts w:ascii="標楷體" w:eastAsia="標楷體"/>
                <w:spacing w:val="-20"/>
                <w:szCs w:val="28"/>
              </w:rPr>
            </w:pPr>
            <w:r w:rsidRPr="008F7885">
              <w:rPr>
                <w:rFonts w:ascii="標楷體" w:eastAsia="標楷體" w:hint="eastAsia"/>
                <w:spacing w:val="-20"/>
                <w:szCs w:val="28"/>
                <w:lang w:val="x-none"/>
              </w:rPr>
              <w:t>109年度</w:t>
            </w:r>
          </w:p>
        </w:tc>
        <w:tc>
          <w:tcPr>
            <w:tcW w:w="1129" w:type="dxa"/>
            <w:shd w:val="clear" w:color="auto" w:fill="auto"/>
            <w:noWrap/>
            <w:vAlign w:val="center"/>
          </w:tcPr>
          <w:p w:rsidR="00273897" w:rsidRPr="008F7885" w:rsidRDefault="00273897" w:rsidP="00273897">
            <w:pPr>
              <w:spacing w:line="280" w:lineRule="exact"/>
              <w:jc w:val="center"/>
              <w:rPr>
                <w:rFonts w:ascii="標楷體" w:eastAsia="標楷體"/>
                <w:spacing w:val="-20"/>
                <w:szCs w:val="28"/>
              </w:rPr>
            </w:pPr>
            <w:r w:rsidRPr="008F7885">
              <w:rPr>
                <w:rFonts w:ascii="標楷體" w:eastAsia="標楷體" w:hint="eastAsia"/>
                <w:spacing w:val="-20"/>
                <w:szCs w:val="28"/>
                <w:lang w:val="x-none"/>
              </w:rPr>
              <w:t>110年度</w:t>
            </w:r>
          </w:p>
        </w:tc>
        <w:tc>
          <w:tcPr>
            <w:tcW w:w="1129" w:type="dxa"/>
            <w:shd w:val="clear" w:color="auto" w:fill="auto"/>
            <w:noWrap/>
            <w:vAlign w:val="center"/>
          </w:tcPr>
          <w:p w:rsidR="00273897" w:rsidRPr="008F7885" w:rsidRDefault="00273897" w:rsidP="00273897">
            <w:pPr>
              <w:spacing w:line="280" w:lineRule="exact"/>
              <w:jc w:val="center"/>
              <w:rPr>
                <w:rFonts w:ascii="標楷體" w:eastAsia="標楷體"/>
                <w:spacing w:val="-20"/>
                <w:szCs w:val="28"/>
              </w:rPr>
            </w:pPr>
            <w:r w:rsidRPr="008F7885">
              <w:rPr>
                <w:rFonts w:ascii="標楷體" w:eastAsia="標楷體" w:hint="eastAsia"/>
                <w:spacing w:val="-20"/>
                <w:szCs w:val="28"/>
                <w:lang w:val="x-none"/>
              </w:rPr>
              <w:t>111年度</w:t>
            </w:r>
          </w:p>
        </w:tc>
      </w:tr>
      <w:tr w:rsidR="00273897" w:rsidRPr="008F7885" w:rsidTr="00273897">
        <w:trPr>
          <w:trHeight w:val="324"/>
          <w:jc w:val="center"/>
        </w:trPr>
        <w:tc>
          <w:tcPr>
            <w:tcW w:w="2245" w:type="dxa"/>
            <w:vMerge w:val="restart"/>
            <w:shd w:val="clear" w:color="auto" w:fill="auto"/>
            <w:noWrap/>
            <w:vAlign w:val="center"/>
            <w:hideMark/>
          </w:tcPr>
          <w:p w:rsidR="00273897" w:rsidRPr="008F7885" w:rsidRDefault="00273897" w:rsidP="00273897">
            <w:pPr>
              <w:spacing w:line="280" w:lineRule="exact"/>
              <w:rPr>
                <w:rFonts w:ascii="標楷體" w:eastAsia="標楷體"/>
                <w:szCs w:val="28"/>
              </w:rPr>
            </w:pPr>
            <w:r w:rsidRPr="008F7885">
              <w:rPr>
                <w:rFonts w:ascii="標楷體" w:eastAsia="標楷體" w:hint="eastAsia"/>
                <w:szCs w:val="28"/>
              </w:rPr>
              <w:t xml:space="preserve">國立自然科學博物館　</w:t>
            </w:r>
          </w:p>
        </w:tc>
        <w:tc>
          <w:tcPr>
            <w:tcW w:w="1759" w:type="dxa"/>
            <w:shd w:val="clear" w:color="auto" w:fill="auto"/>
            <w:noWrap/>
            <w:vAlign w:val="center"/>
            <w:hideMark/>
          </w:tcPr>
          <w:p w:rsidR="00273897" w:rsidRPr="008F7885" w:rsidRDefault="00273897" w:rsidP="00273897">
            <w:pPr>
              <w:spacing w:line="280" w:lineRule="exact"/>
              <w:jc w:val="center"/>
              <w:rPr>
                <w:rFonts w:ascii="標楷體" w:eastAsia="標楷體"/>
                <w:szCs w:val="28"/>
              </w:rPr>
            </w:pPr>
            <w:r w:rsidRPr="008F7885">
              <w:rPr>
                <w:rFonts w:ascii="標楷體" w:eastAsia="標楷體" w:hint="eastAsia"/>
                <w:szCs w:val="28"/>
                <w:lang w:eastAsia="zh-HK"/>
              </w:rPr>
              <w:t>動物學</w:t>
            </w:r>
          </w:p>
        </w:tc>
        <w:tc>
          <w:tcPr>
            <w:tcW w:w="1129" w:type="dxa"/>
            <w:shd w:val="clear" w:color="auto" w:fill="auto"/>
            <w:noWrap/>
            <w:vAlign w:val="center"/>
            <w:hideMark/>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0.002</w:t>
            </w:r>
          </w:p>
        </w:tc>
        <w:tc>
          <w:tcPr>
            <w:tcW w:w="1129" w:type="dxa"/>
            <w:shd w:val="clear" w:color="auto" w:fill="auto"/>
            <w:noWrap/>
            <w:vAlign w:val="center"/>
            <w:hideMark/>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0.105</w:t>
            </w:r>
          </w:p>
        </w:tc>
        <w:tc>
          <w:tcPr>
            <w:tcW w:w="1129" w:type="dxa"/>
            <w:shd w:val="clear" w:color="auto" w:fill="auto"/>
            <w:noWrap/>
            <w:vAlign w:val="center"/>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0.008</w:t>
            </w:r>
          </w:p>
        </w:tc>
        <w:tc>
          <w:tcPr>
            <w:tcW w:w="1129" w:type="dxa"/>
            <w:shd w:val="clear" w:color="auto" w:fill="auto"/>
            <w:noWrap/>
            <w:vAlign w:val="center"/>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0.004</w:t>
            </w:r>
          </w:p>
        </w:tc>
      </w:tr>
      <w:tr w:rsidR="00273897" w:rsidRPr="008F7885" w:rsidTr="00273897">
        <w:trPr>
          <w:trHeight w:val="324"/>
          <w:jc w:val="center"/>
        </w:trPr>
        <w:tc>
          <w:tcPr>
            <w:tcW w:w="2245" w:type="dxa"/>
            <w:vMerge/>
            <w:shd w:val="clear" w:color="auto" w:fill="auto"/>
            <w:noWrap/>
            <w:vAlign w:val="center"/>
            <w:hideMark/>
          </w:tcPr>
          <w:p w:rsidR="00273897" w:rsidRPr="008F7885" w:rsidRDefault="00273897" w:rsidP="00273897">
            <w:pPr>
              <w:spacing w:line="280" w:lineRule="exact"/>
              <w:rPr>
                <w:rFonts w:ascii="標楷體" w:eastAsia="標楷體"/>
                <w:szCs w:val="28"/>
              </w:rPr>
            </w:pPr>
          </w:p>
        </w:tc>
        <w:tc>
          <w:tcPr>
            <w:tcW w:w="1759" w:type="dxa"/>
            <w:shd w:val="clear" w:color="auto" w:fill="auto"/>
            <w:noWrap/>
            <w:vAlign w:val="center"/>
            <w:hideMark/>
          </w:tcPr>
          <w:p w:rsidR="00273897" w:rsidRPr="008F7885" w:rsidRDefault="00273897" w:rsidP="00273897">
            <w:pPr>
              <w:spacing w:line="280" w:lineRule="exact"/>
              <w:jc w:val="center"/>
              <w:rPr>
                <w:rFonts w:ascii="標楷體" w:eastAsia="標楷體"/>
                <w:szCs w:val="28"/>
              </w:rPr>
            </w:pPr>
            <w:r w:rsidRPr="008F7885">
              <w:rPr>
                <w:rFonts w:ascii="標楷體" w:eastAsia="標楷體" w:hint="eastAsia"/>
                <w:szCs w:val="28"/>
                <w:lang w:eastAsia="zh-HK"/>
              </w:rPr>
              <w:t>植物學</w:t>
            </w:r>
          </w:p>
        </w:tc>
        <w:tc>
          <w:tcPr>
            <w:tcW w:w="1129" w:type="dxa"/>
            <w:shd w:val="clear" w:color="auto" w:fill="auto"/>
            <w:noWrap/>
            <w:vAlign w:val="center"/>
            <w:hideMark/>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0.001</w:t>
            </w:r>
          </w:p>
        </w:tc>
        <w:tc>
          <w:tcPr>
            <w:tcW w:w="1129" w:type="dxa"/>
            <w:shd w:val="clear" w:color="auto" w:fill="auto"/>
            <w:noWrap/>
            <w:vAlign w:val="center"/>
            <w:hideMark/>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0.004</w:t>
            </w:r>
          </w:p>
        </w:tc>
        <w:tc>
          <w:tcPr>
            <w:tcW w:w="1129" w:type="dxa"/>
            <w:shd w:val="clear" w:color="auto" w:fill="auto"/>
            <w:noWrap/>
            <w:vAlign w:val="center"/>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0.006</w:t>
            </w:r>
          </w:p>
        </w:tc>
        <w:tc>
          <w:tcPr>
            <w:tcW w:w="1129" w:type="dxa"/>
            <w:shd w:val="clear" w:color="auto" w:fill="auto"/>
            <w:noWrap/>
            <w:vAlign w:val="center"/>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0</w:t>
            </w:r>
          </w:p>
        </w:tc>
      </w:tr>
      <w:tr w:rsidR="00273897" w:rsidRPr="008F7885" w:rsidTr="00273897">
        <w:trPr>
          <w:trHeight w:val="324"/>
          <w:jc w:val="center"/>
        </w:trPr>
        <w:tc>
          <w:tcPr>
            <w:tcW w:w="2245" w:type="dxa"/>
            <w:vMerge/>
            <w:shd w:val="clear" w:color="auto" w:fill="auto"/>
            <w:noWrap/>
            <w:vAlign w:val="center"/>
            <w:hideMark/>
          </w:tcPr>
          <w:p w:rsidR="00273897" w:rsidRPr="008F7885" w:rsidRDefault="00273897" w:rsidP="00273897">
            <w:pPr>
              <w:spacing w:line="280" w:lineRule="exact"/>
              <w:rPr>
                <w:rFonts w:ascii="標楷體" w:eastAsia="標楷體"/>
                <w:szCs w:val="28"/>
              </w:rPr>
            </w:pPr>
          </w:p>
        </w:tc>
        <w:tc>
          <w:tcPr>
            <w:tcW w:w="1759" w:type="dxa"/>
            <w:shd w:val="clear" w:color="auto" w:fill="auto"/>
            <w:noWrap/>
            <w:vAlign w:val="center"/>
            <w:hideMark/>
          </w:tcPr>
          <w:p w:rsidR="00273897" w:rsidRPr="008F7885" w:rsidRDefault="00273897" w:rsidP="00273897">
            <w:pPr>
              <w:spacing w:line="280" w:lineRule="exact"/>
              <w:jc w:val="center"/>
              <w:rPr>
                <w:rFonts w:ascii="標楷體" w:eastAsia="標楷體"/>
                <w:szCs w:val="28"/>
              </w:rPr>
            </w:pPr>
            <w:r w:rsidRPr="008F7885">
              <w:rPr>
                <w:rFonts w:ascii="標楷體" w:eastAsia="標楷體" w:hint="eastAsia"/>
                <w:szCs w:val="28"/>
                <w:lang w:eastAsia="zh-HK"/>
              </w:rPr>
              <w:t>地質學</w:t>
            </w:r>
          </w:p>
        </w:tc>
        <w:tc>
          <w:tcPr>
            <w:tcW w:w="1129" w:type="dxa"/>
            <w:shd w:val="clear" w:color="auto" w:fill="auto"/>
            <w:noWrap/>
            <w:vAlign w:val="center"/>
            <w:hideMark/>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0.020</w:t>
            </w:r>
          </w:p>
        </w:tc>
        <w:tc>
          <w:tcPr>
            <w:tcW w:w="1129" w:type="dxa"/>
            <w:shd w:val="clear" w:color="auto" w:fill="auto"/>
            <w:noWrap/>
            <w:vAlign w:val="center"/>
            <w:hideMark/>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0.014</w:t>
            </w:r>
          </w:p>
        </w:tc>
        <w:tc>
          <w:tcPr>
            <w:tcW w:w="1129" w:type="dxa"/>
            <w:shd w:val="clear" w:color="auto" w:fill="auto"/>
            <w:noWrap/>
            <w:vAlign w:val="center"/>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0.017</w:t>
            </w:r>
          </w:p>
        </w:tc>
        <w:tc>
          <w:tcPr>
            <w:tcW w:w="1129" w:type="dxa"/>
            <w:shd w:val="clear" w:color="auto" w:fill="auto"/>
            <w:noWrap/>
            <w:vAlign w:val="center"/>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0.015</w:t>
            </w:r>
          </w:p>
        </w:tc>
      </w:tr>
      <w:tr w:rsidR="00273897" w:rsidRPr="008F7885" w:rsidTr="00273897">
        <w:trPr>
          <w:trHeight w:val="324"/>
          <w:jc w:val="center"/>
        </w:trPr>
        <w:tc>
          <w:tcPr>
            <w:tcW w:w="2245" w:type="dxa"/>
            <w:vMerge/>
            <w:shd w:val="clear" w:color="auto" w:fill="auto"/>
            <w:noWrap/>
            <w:vAlign w:val="center"/>
            <w:hideMark/>
          </w:tcPr>
          <w:p w:rsidR="00273897" w:rsidRPr="008F7885" w:rsidRDefault="00273897" w:rsidP="00273897">
            <w:pPr>
              <w:spacing w:line="280" w:lineRule="exact"/>
              <w:rPr>
                <w:rFonts w:ascii="標楷體" w:eastAsia="標楷體"/>
                <w:szCs w:val="28"/>
              </w:rPr>
            </w:pPr>
          </w:p>
        </w:tc>
        <w:tc>
          <w:tcPr>
            <w:tcW w:w="1759" w:type="dxa"/>
            <w:shd w:val="clear" w:color="auto" w:fill="auto"/>
            <w:noWrap/>
            <w:vAlign w:val="center"/>
            <w:hideMark/>
          </w:tcPr>
          <w:p w:rsidR="00273897" w:rsidRPr="008F7885" w:rsidRDefault="00273897" w:rsidP="00273897">
            <w:pPr>
              <w:spacing w:line="280" w:lineRule="exact"/>
              <w:jc w:val="center"/>
              <w:rPr>
                <w:rFonts w:ascii="標楷體" w:eastAsia="標楷體"/>
                <w:szCs w:val="28"/>
              </w:rPr>
            </w:pPr>
            <w:r w:rsidRPr="008F7885">
              <w:rPr>
                <w:rFonts w:ascii="標楷體" w:eastAsia="標楷體" w:hint="eastAsia"/>
                <w:szCs w:val="28"/>
                <w:lang w:eastAsia="zh-HK"/>
              </w:rPr>
              <w:t>人類學</w:t>
            </w:r>
          </w:p>
        </w:tc>
        <w:tc>
          <w:tcPr>
            <w:tcW w:w="1129" w:type="dxa"/>
            <w:shd w:val="clear" w:color="auto" w:fill="auto"/>
            <w:noWrap/>
            <w:vAlign w:val="center"/>
            <w:hideMark/>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0.180</w:t>
            </w:r>
          </w:p>
        </w:tc>
        <w:tc>
          <w:tcPr>
            <w:tcW w:w="1129" w:type="dxa"/>
            <w:shd w:val="clear" w:color="auto" w:fill="auto"/>
            <w:noWrap/>
            <w:vAlign w:val="center"/>
            <w:hideMark/>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0.173</w:t>
            </w:r>
          </w:p>
        </w:tc>
        <w:tc>
          <w:tcPr>
            <w:tcW w:w="1129" w:type="dxa"/>
            <w:shd w:val="clear" w:color="auto" w:fill="auto"/>
            <w:noWrap/>
            <w:vAlign w:val="center"/>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0.171</w:t>
            </w:r>
          </w:p>
        </w:tc>
        <w:tc>
          <w:tcPr>
            <w:tcW w:w="1129" w:type="dxa"/>
            <w:shd w:val="clear" w:color="auto" w:fill="auto"/>
            <w:noWrap/>
            <w:vAlign w:val="center"/>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0.158</w:t>
            </w:r>
          </w:p>
        </w:tc>
      </w:tr>
      <w:tr w:rsidR="00273897" w:rsidRPr="008F7885" w:rsidTr="00273897">
        <w:trPr>
          <w:trHeight w:val="324"/>
          <w:jc w:val="center"/>
        </w:trPr>
        <w:tc>
          <w:tcPr>
            <w:tcW w:w="2245" w:type="dxa"/>
            <w:shd w:val="clear" w:color="auto" w:fill="auto"/>
            <w:noWrap/>
            <w:vAlign w:val="center"/>
            <w:hideMark/>
          </w:tcPr>
          <w:p w:rsidR="00273897" w:rsidRPr="008F7885" w:rsidRDefault="00273897" w:rsidP="00273897">
            <w:pPr>
              <w:spacing w:line="280" w:lineRule="exact"/>
              <w:rPr>
                <w:rFonts w:ascii="標楷體" w:eastAsia="標楷體"/>
                <w:szCs w:val="28"/>
              </w:rPr>
            </w:pPr>
            <w:r w:rsidRPr="008F7885">
              <w:rPr>
                <w:rFonts w:ascii="標楷體" w:eastAsia="標楷體" w:hint="eastAsia"/>
                <w:szCs w:val="28"/>
              </w:rPr>
              <w:t>國立科學工藝博物館</w:t>
            </w:r>
          </w:p>
        </w:tc>
        <w:tc>
          <w:tcPr>
            <w:tcW w:w="1759" w:type="dxa"/>
            <w:shd w:val="clear" w:color="auto" w:fill="auto"/>
            <w:noWrap/>
            <w:vAlign w:val="center"/>
            <w:hideMark/>
          </w:tcPr>
          <w:p w:rsidR="00273897" w:rsidRPr="008F7885" w:rsidRDefault="00273897" w:rsidP="00273897">
            <w:pPr>
              <w:spacing w:line="280" w:lineRule="exact"/>
              <w:jc w:val="center"/>
              <w:rPr>
                <w:rFonts w:ascii="標楷體" w:eastAsia="標楷體"/>
                <w:szCs w:val="28"/>
              </w:rPr>
            </w:pPr>
            <w:r w:rsidRPr="008F7885">
              <w:rPr>
                <w:rFonts w:ascii="標楷體" w:eastAsia="標楷體" w:hint="eastAsia"/>
                <w:szCs w:val="28"/>
              </w:rPr>
              <w:t>館藏與暫管文物</w:t>
            </w:r>
          </w:p>
        </w:tc>
        <w:tc>
          <w:tcPr>
            <w:tcW w:w="1129" w:type="dxa"/>
            <w:shd w:val="clear" w:color="auto" w:fill="auto"/>
            <w:noWrap/>
            <w:vAlign w:val="center"/>
            <w:hideMark/>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5.20</w:t>
            </w:r>
          </w:p>
        </w:tc>
        <w:tc>
          <w:tcPr>
            <w:tcW w:w="1129" w:type="dxa"/>
            <w:shd w:val="clear" w:color="auto" w:fill="auto"/>
            <w:noWrap/>
            <w:vAlign w:val="center"/>
            <w:hideMark/>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5.78</w:t>
            </w:r>
          </w:p>
        </w:tc>
        <w:tc>
          <w:tcPr>
            <w:tcW w:w="1129" w:type="dxa"/>
            <w:shd w:val="clear" w:color="auto" w:fill="auto"/>
            <w:noWrap/>
            <w:vAlign w:val="center"/>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5.</w:t>
            </w:r>
            <w:r w:rsidRPr="008F7885">
              <w:rPr>
                <w:rFonts w:ascii="標楷體" w:eastAsia="標楷體"/>
                <w:szCs w:val="28"/>
              </w:rPr>
              <w:t>62</w:t>
            </w:r>
          </w:p>
        </w:tc>
        <w:tc>
          <w:tcPr>
            <w:tcW w:w="1129" w:type="dxa"/>
            <w:shd w:val="clear" w:color="auto" w:fill="auto"/>
            <w:noWrap/>
            <w:vAlign w:val="center"/>
          </w:tcPr>
          <w:p w:rsidR="00273897" w:rsidRPr="008F7885" w:rsidRDefault="00273897" w:rsidP="00273897">
            <w:pPr>
              <w:spacing w:line="280" w:lineRule="exact"/>
              <w:jc w:val="right"/>
              <w:rPr>
                <w:rFonts w:ascii="標楷體" w:eastAsia="標楷體"/>
                <w:szCs w:val="28"/>
              </w:rPr>
            </w:pPr>
            <w:r w:rsidRPr="008F7885">
              <w:rPr>
                <w:rFonts w:ascii="標楷體" w:eastAsia="標楷體"/>
                <w:szCs w:val="28"/>
              </w:rPr>
              <w:t>5.69</w:t>
            </w:r>
          </w:p>
        </w:tc>
      </w:tr>
      <w:tr w:rsidR="00273897" w:rsidRPr="008F7885" w:rsidTr="00273897">
        <w:trPr>
          <w:trHeight w:val="324"/>
          <w:jc w:val="center"/>
        </w:trPr>
        <w:tc>
          <w:tcPr>
            <w:tcW w:w="2245" w:type="dxa"/>
            <w:shd w:val="clear" w:color="auto" w:fill="auto"/>
            <w:noWrap/>
            <w:vAlign w:val="center"/>
            <w:hideMark/>
          </w:tcPr>
          <w:p w:rsidR="00273897" w:rsidRPr="008F7885" w:rsidRDefault="00273897" w:rsidP="00273897">
            <w:pPr>
              <w:spacing w:line="280" w:lineRule="exact"/>
              <w:rPr>
                <w:rFonts w:ascii="標楷體" w:eastAsia="標楷體"/>
                <w:szCs w:val="28"/>
              </w:rPr>
            </w:pPr>
            <w:r w:rsidRPr="008F7885">
              <w:rPr>
                <w:rFonts w:ascii="標楷體" w:eastAsia="標楷體" w:hint="eastAsia"/>
                <w:szCs w:val="28"/>
              </w:rPr>
              <w:t>國立海洋生物博物館</w:t>
            </w:r>
          </w:p>
        </w:tc>
        <w:tc>
          <w:tcPr>
            <w:tcW w:w="1759" w:type="dxa"/>
            <w:shd w:val="clear" w:color="auto" w:fill="auto"/>
            <w:noWrap/>
            <w:vAlign w:val="center"/>
            <w:hideMark/>
          </w:tcPr>
          <w:p w:rsidR="00273897" w:rsidRPr="008F7885" w:rsidRDefault="00273897" w:rsidP="00273897">
            <w:pPr>
              <w:spacing w:line="280" w:lineRule="exact"/>
              <w:jc w:val="center"/>
              <w:rPr>
                <w:rFonts w:ascii="標楷體" w:eastAsia="標楷體"/>
                <w:szCs w:val="28"/>
              </w:rPr>
            </w:pPr>
            <w:r w:rsidRPr="008F7885">
              <w:rPr>
                <w:rFonts w:ascii="標楷體" w:eastAsia="標楷體" w:hint="eastAsia"/>
                <w:szCs w:val="28"/>
                <w:lang w:val="x-none"/>
              </w:rPr>
              <w:t>模式標本</w:t>
            </w:r>
          </w:p>
        </w:tc>
        <w:tc>
          <w:tcPr>
            <w:tcW w:w="1129" w:type="dxa"/>
            <w:shd w:val="clear" w:color="auto" w:fill="auto"/>
            <w:noWrap/>
            <w:vAlign w:val="center"/>
            <w:hideMark/>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0.04</w:t>
            </w:r>
          </w:p>
        </w:tc>
        <w:tc>
          <w:tcPr>
            <w:tcW w:w="1129" w:type="dxa"/>
            <w:shd w:val="clear" w:color="auto" w:fill="auto"/>
            <w:noWrap/>
            <w:vAlign w:val="center"/>
            <w:hideMark/>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0.02</w:t>
            </w:r>
          </w:p>
        </w:tc>
        <w:tc>
          <w:tcPr>
            <w:tcW w:w="1129" w:type="dxa"/>
            <w:shd w:val="clear" w:color="auto" w:fill="auto"/>
            <w:noWrap/>
            <w:vAlign w:val="center"/>
          </w:tcPr>
          <w:p w:rsidR="00273897" w:rsidRPr="008F7885" w:rsidRDefault="00273897" w:rsidP="00273897">
            <w:pPr>
              <w:spacing w:line="280" w:lineRule="exact"/>
              <w:jc w:val="right"/>
              <w:rPr>
                <w:rFonts w:ascii="標楷體" w:eastAsia="標楷體"/>
                <w:szCs w:val="28"/>
              </w:rPr>
            </w:pPr>
            <w:r w:rsidRPr="008F7885">
              <w:rPr>
                <w:rFonts w:ascii="標楷體" w:eastAsia="標楷體"/>
                <w:szCs w:val="28"/>
              </w:rPr>
              <w:t>1.42</w:t>
            </w:r>
          </w:p>
        </w:tc>
        <w:tc>
          <w:tcPr>
            <w:tcW w:w="1129" w:type="dxa"/>
            <w:shd w:val="clear" w:color="auto" w:fill="auto"/>
            <w:noWrap/>
            <w:vAlign w:val="center"/>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0</w:t>
            </w:r>
          </w:p>
        </w:tc>
      </w:tr>
      <w:tr w:rsidR="00273897" w:rsidRPr="008F7885" w:rsidTr="00273897">
        <w:trPr>
          <w:trHeight w:val="324"/>
          <w:jc w:val="center"/>
        </w:trPr>
        <w:tc>
          <w:tcPr>
            <w:tcW w:w="2245" w:type="dxa"/>
            <w:vMerge w:val="restart"/>
            <w:shd w:val="clear" w:color="auto" w:fill="auto"/>
            <w:noWrap/>
            <w:vAlign w:val="center"/>
            <w:hideMark/>
          </w:tcPr>
          <w:p w:rsidR="00273897" w:rsidRPr="008F7885" w:rsidRDefault="00273897" w:rsidP="00273897">
            <w:pPr>
              <w:spacing w:line="280" w:lineRule="exact"/>
              <w:rPr>
                <w:rFonts w:ascii="標楷體" w:eastAsia="標楷體"/>
                <w:szCs w:val="28"/>
              </w:rPr>
            </w:pPr>
            <w:r w:rsidRPr="008F7885">
              <w:rPr>
                <w:rFonts w:ascii="標楷體" w:eastAsia="標楷體" w:hint="eastAsia"/>
                <w:szCs w:val="28"/>
              </w:rPr>
              <w:t xml:space="preserve">國立臺灣科學教育館　</w:t>
            </w:r>
          </w:p>
        </w:tc>
        <w:tc>
          <w:tcPr>
            <w:tcW w:w="1759" w:type="dxa"/>
            <w:shd w:val="clear" w:color="auto" w:fill="auto"/>
            <w:noWrap/>
            <w:vAlign w:val="center"/>
            <w:hideMark/>
          </w:tcPr>
          <w:p w:rsidR="00273897" w:rsidRPr="008F7885" w:rsidRDefault="00273897" w:rsidP="00273897">
            <w:pPr>
              <w:spacing w:line="280" w:lineRule="exact"/>
              <w:jc w:val="center"/>
              <w:rPr>
                <w:rFonts w:ascii="標楷體" w:eastAsia="標楷體"/>
                <w:szCs w:val="28"/>
              </w:rPr>
            </w:pPr>
            <w:r w:rsidRPr="008F7885">
              <w:rPr>
                <w:rFonts w:ascii="標楷體" w:eastAsia="標楷體" w:hint="eastAsia"/>
                <w:szCs w:val="28"/>
                <w:lang w:val="x-none" w:eastAsia="zh-HK"/>
              </w:rPr>
              <w:t>實驗器材</w:t>
            </w:r>
          </w:p>
        </w:tc>
        <w:tc>
          <w:tcPr>
            <w:tcW w:w="1129" w:type="dxa"/>
            <w:shd w:val="clear" w:color="auto" w:fill="auto"/>
            <w:noWrap/>
            <w:vAlign w:val="center"/>
            <w:hideMark/>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24</w:t>
            </w:r>
          </w:p>
        </w:tc>
        <w:tc>
          <w:tcPr>
            <w:tcW w:w="1129" w:type="dxa"/>
            <w:shd w:val="clear" w:color="auto" w:fill="auto"/>
            <w:noWrap/>
            <w:vAlign w:val="center"/>
            <w:hideMark/>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24</w:t>
            </w:r>
          </w:p>
        </w:tc>
        <w:tc>
          <w:tcPr>
            <w:tcW w:w="1129" w:type="dxa"/>
            <w:shd w:val="clear" w:color="auto" w:fill="auto"/>
            <w:noWrap/>
            <w:vAlign w:val="center"/>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24</w:t>
            </w:r>
          </w:p>
        </w:tc>
        <w:tc>
          <w:tcPr>
            <w:tcW w:w="1129" w:type="dxa"/>
            <w:shd w:val="clear" w:color="auto" w:fill="auto"/>
            <w:noWrap/>
            <w:vAlign w:val="center"/>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24</w:t>
            </w:r>
          </w:p>
        </w:tc>
      </w:tr>
      <w:tr w:rsidR="00273897" w:rsidRPr="008F7885" w:rsidTr="00273897">
        <w:trPr>
          <w:trHeight w:val="324"/>
          <w:jc w:val="center"/>
        </w:trPr>
        <w:tc>
          <w:tcPr>
            <w:tcW w:w="2245" w:type="dxa"/>
            <w:vMerge/>
            <w:shd w:val="clear" w:color="auto" w:fill="auto"/>
            <w:noWrap/>
            <w:vAlign w:val="center"/>
            <w:hideMark/>
          </w:tcPr>
          <w:p w:rsidR="00273897" w:rsidRPr="008F7885" w:rsidRDefault="00273897" w:rsidP="00273897">
            <w:pPr>
              <w:spacing w:line="280" w:lineRule="exact"/>
              <w:rPr>
                <w:rFonts w:ascii="標楷體" w:eastAsia="標楷體"/>
                <w:szCs w:val="28"/>
              </w:rPr>
            </w:pPr>
          </w:p>
        </w:tc>
        <w:tc>
          <w:tcPr>
            <w:tcW w:w="1759" w:type="dxa"/>
            <w:shd w:val="clear" w:color="auto" w:fill="auto"/>
            <w:noWrap/>
            <w:vAlign w:val="center"/>
            <w:hideMark/>
          </w:tcPr>
          <w:p w:rsidR="00273897" w:rsidRPr="008F7885" w:rsidRDefault="00273897" w:rsidP="00273897">
            <w:pPr>
              <w:spacing w:line="280" w:lineRule="exact"/>
              <w:jc w:val="center"/>
              <w:rPr>
                <w:rFonts w:ascii="標楷體" w:eastAsia="標楷體"/>
                <w:szCs w:val="28"/>
              </w:rPr>
            </w:pPr>
            <w:r w:rsidRPr="008F7885">
              <w:rPr>
                <w:rFonts w:ascii="標楷體" w:eastAsia="標楷體" w:hint="eastAsia"/>
                <w:szCs w:val="28"/>
                <w:lang w:eastAsia="zh-HK"/>
              </w:rPr>
              <w:t>動物標本</w:t>
            </w:r>
          </w:p>
        </w:tc>
        <w:tc>
          <w:tcPr>
            <w:tcW w:w="1129" w:type="dxa"/>
            <w:shd w:val="clear" w:color="auto" w:fill="auto"/>
            <w:noWrap/>
            <w:vAlign w:val="center"/>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0</w:t>
            </w:r>
          </w:p>
        </w:tc>
        <w:tc>
          <w:tcPr>
            <w:tcW w:w="1129" w:type="dxa"/>
            <w:shd w:val="clear" w:color="auto" w:fill="auto"/>
            <w:noWrap/>
            <w:vAlign w:val="center"/>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0</w:t>
            </w:r>
          </w:p>
        </w:tc>
        <w:tc>
          <w:tcPr>
            <w:tcW w:w="1129" w:type="dxa"/>
            <w:shd w:val="clear" w:color="auto" w:fill="auto"/>
            <w:noWrap/>
            <w:vAlign w:val="center"/>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0</w:t>
            </w:r>
          </w:p>
        </w:tc>
        <w:tc>
          <w:tcPr>
            <w:tcW w:w="1129" w:type="dxa"/>
            <w:shd w:val="clear" w:color="auto" w:fill="auto"/>
            <w:noWrap/>
            <w:vAlign w:val="center"/>
          </w:tcPr>
          <w:p w:rsidR="00273897" w:rsidRPr="008F7885" w:rsidRDefault="00273897" w:rsidP="00273897">
            <w:pPr>
              <w:spacing w:line="280" w:lineRule="exact"/>
              <w:jc w:val="right"/>
              <w:rPr>
                <w:rFonts w:ascii="標楷體" w:eastAsia="標楷體"/>
                <w:szCs w:val="28"/>
              </w:rPr>
            </w:pPr>
            <w:r w:rsidRPr="008F7885">
              <w:rPr>
                <w:rFonts w:ascii="標楷體" w:eastAsia="標楷體"/>
                <w:szCs w:val="28"/>
              </w:rPr>
              <w:t>90.8</w:t>
            </w:r>
          </w:p>
        </w:tc>
      </w:tr>
      <w:tr w:rsidR="00273897" w:rsidRPr="008F7885" w:rsidTr="00273897">
        <w:trPr>
          <w:trHeight w:val="324"/>
          <w:jc w:val="center"/>
        </w:trPr>
        <w:tc>
          <w:tcPr>
            <w:tcW w:w="2245" w:type="dxa"/>
            <w:shd w:val="clear" w:color="auto" w:fill="auto"/>
            <w:noWrap/>
            <w:vAlign w:val="center"/>
            <w:hideMark/>
          </w:tcPr>
          <w:p w:rsidR="00273897" w:rsidRPr="008F7885" w:rsidRDefault="00273897" w:rsidP="00273897">
            <w:pPr>
              <w:spacing w:line="280" w:lineRule="exact"/>
              <w:rPr>
                <w:rFonts w:ascii="標楷體" w:eastAsia="標楷體"/>
                <w:szCs w:val="28"/>
              </w:rPr>
            </w:pPr>
            <w:r w:rsidRPr="008F7885">
              <w:rPr>
                <w:rFonts w:ascii="標楷體" w:eastAsia="標楷體" w:hint="eastAsia"/>
                <w:szCs w:val="28"/>
              </w:rPr>
              <w:t>國立臺灣圖書館</w:t>
            </w:r>
          </w:p>
        </w:tc>
        <w:tc>
          <w:tcPr>
            <w:tcW w:w="1759" w:type="dxa"/>
            <w:shd w:val="clear" w:color="auto" w:fill="auto"/>
            <w:noWrap/>
            <w:vAlign w:val="center"/>
            <w:hideMark/>
          </w:tcPr>
          <w:p w:rsidR="00273897" w:rsidRPr="008F7885" w:rsidRDefault="00273897" w:rsidP="00273897">
            <w:pPr>
              <w:spacing w:line="280" w:lineRule="exact"/>
              <w:jc w:val="center"/>
              <w:rPr>
                <w:rFonts w:ascii="標楷體" w:eastAsia="標楷體"/>
                <w:szCs w:val="28"/>
              </w:rPr>
            </w:pPr>
            <w:r w:rsidRPr="008F7885">
              <w:rPr>
                <w:rFonts w:ascii="標楷體" w:eastAsia="標楷體" w:hint="eastAsia"/>
                <w:szCs w:val="28"/>
              </w:rPr>
              <w:t>畫作、屏風</w:t>
            </w:r>
          </w:p>
        </w:tc>
        <w:tc>
          <w:tcPr>
            <w:tcW w:w="1129" w:type="dxa"/>
            <w:shd w:val="clear" w:color="auto" w:fill="auto"/>
            <w:noWrap/>
            <w:vAlign w:val="center"/>
            <w:hideMark/>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100</w:t>
            </w:r>
          </w:p>
        </w:tc>
        <w:tc>
          <w:tcPr>
            <w:tcW w:w="1129" w:type="dxa"/>
            <w:shd w:val="clear" w:color="auto" w:fill="auto"/>
            <w:noWrap/>
            <w:vAlign w:val="center"/>
            <w:hideMark/>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100</w:t>
            </w:r>
          </w:p>
        </w:tc>
        <w:tc>
          <w:tcPr>
            <w:tcW w:w="1129" w:type="dxa"/>
            <w:shd w:val="clear" w:color="auto" w:fill="auto"/>
            <w:noWrap/>
            <w:vAlign w:val="center"/>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100</w:t>
            </w:r>
          </w:p>
        </w:tc>
        <w:tc>
          <w:tcPr>
            <w:tcW w:w="1129" w:type="dxa"/>
            <w:shd w:val="clear" w:color="auto" w:fill="auto"/>
            <w:noWrap/>
            <w:vAlign w:val="center"/>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100</w:t>
            </w:r>
          </w:p>
        </w:tc>
      </w:tr>
      <w:tr w:rsidR="00273897" w:rsidRPr="008F7885" w:rsidTr="00273897">
        <w:trPr>
          <w:trHeight w:val="324"/>
          <w:jc w:val="center"/>
        </w:trPr>
        <w:tc>
          <w:tcPr>
            <w:tcW w:w="2245" w:type="dxa"/>
            <w:vMerge w:val="restart"/>
            <w:shd w:val="clear" w:color="auto" w:fill="auto"/>
            <w:noWrap/>
            <w:vAlign w:val="center"/>
            <w:hideMark/>
          </w:tcPr>
          <w:p w:rsidR="00273897" w:rsidRPr="008F7885" w:rsidRDefault="00273897" w:rsidP="00273897">
            <w:pPr>
              <w:spacing w:line="280" w:lineRule="exact"/>
              <w:rPr>
                <w:rFonts w:ascii="標楷體" w:eastAsia="標楷體"/>
                <w:szCs w:val="28"/>
              </w:rPr>
            </w:pPr>
            <w:r w:rsidRPr="008F7885">
              <w:rPr>
                <w:rFonts w:ascii="標楷體" w:eastAsia="標楷體" w:hint="eastAsia"/>
                <w:szCs w:val="28"/>
              </w:rPr>
              <w:t xml:space="preserve">國立海洋科技博物館　</w:t>
            </w:r>
          </w:p>
        </w:tc>
        <w:tc>
          <w:tcPr>
            <w:tcW w:w="1759" w:type="dxa"/>
            <w:shd w:val="clear" w:color="auto" w:fill="auto"/>
            <w:noWrap/>
            <w:vAlign w:val="center"/>
            <w:hideMark/>
          </w:tcPr>
          <w:p w:rsidR="00273897" w:rsidRPr="008F7885" w:rsidRDefault="00273897" w:rsidP="00273897">
            <w:pPr>
              <w:spacing w:line="280" w:lineRule="exact"/>
              <w:jc w:val="center"/>
              <w:rPr>
                <w:rFonts w:ascii="標楷體" w:eastAsia="標楷體"/>
                <w:szCs w:val="28"/>
              </w:rPr>
            </w:pPr>
            <w:r w:rsidRPr="008F7885">
              <w:rPr>
                <w:rFonts w:ascii="標楷體" w:eastAsia="標楷體" w:hint="eastAsia"/>
                <w:szCs w:val="28"/>
                <w:lang w:val="x-none"/>
              </w:rPr>
              <w:t>標本類</w:t>
            </w:r>
          </w:p>
        </w:tc>
        <w:tc>
          <w:tcPr>
            <w:tcW w:w="1129" w:type="dxa"/>
            <w:shd w:val="clear" w:color="auto" w:fill="auto"/>
            <w:noWrap/>
            <w:vAlign w:val="center"/>
            <w:hideMark/>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15</w:t>
            </w:r>
          </w:p>
        </w:tc>
        <w:tc>
          <w:tcPr>
            <w:tcW w:w="1129" w:type="dxa"/>
            <w:shd w:val="clear" w:color="auto" w:fill="auto"/>
            <w:noWrap/>
            <w:vAlign w:val="center"/>
            <w:hideMark/>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15</w:t>
            </w:r>
          </w:p>
        </w:tc>
        <w:tc>
          <w:tcPr>
            <w:tcW w:w="1129" w:type="dxa"/>
            <w:shd w:val="clear" w:color="auto" w:fill="auto"/>
            <w:noWrap/>
            <w:vAlign w:val="center"/>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15</w:t>
            </w:r>
          </w:p>
        </w:tc>
        <w:tc>
          <w:tcPr>
            <w:tcW w:w="1129" w:type="dxa"/>
            <w:shd w:val="clear" w:color="auto" w:fill="auto"/>
            <w:noWrap/>
            <w:vAlign w:val="center"/>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1</w:t>
            </w:r>
            <w:r w:rsidRPr="008F7885">
              <w:rPr>
                <w:rFonts w:ascii="標楷體" w:eastAsia="標楷體"/>
                <w:szCs w:val="28"/>
              </w:rPr>
              <w:t>4</w:t>
            </w:r>
          </w:p>
        </w:tc>
      </w:tr>
      <w:tr w:rsidR="00273897" w:rsidRPr="008F7885" w:rsidTr="00273897">
        <w:trPr>
          <w:trHeight w:val="324"/>
          <w:jc w:val="center"/>
        </w:trPr>
        <w:tc>
          <w:tcPr>
            <w:tcW w:w="2245" w:type="dxa"/>
            <w:vMerge/>
            <w:shd w:val="clear" w:color="auto" w:fill="auto"/>
            <w:noWrap/>
            <w:vAlign w:val="center"/>
            <w:hideMark/>
          </w:tcPr>
          <w:p w:rsidR="00273897" w:rsidRPr="008F7885" w:rsidRDefault="00273897" w:rsidP="00273897">
            <w:pPr>
              <w:spacing w:line="280" w:lineRule="exact"/>
              <w:rPr>
                <w:rFonts w:ascii="標楷體" w:eastAsia="標楷體"/>
                <w:szCs w:val="28"/>
              </w:rPr>
            </w:pPr>
          </w:p>
        </w:tc>
        <w:tc>
          <w:tcPr>
            <w:tcW w:w="1759" w:type="dxa"/>
            <w:shd w:val="clear" w:color="auto" w:fill="auto"/>
            <w:noWrap/>
            <w:vAlign w:val="center"/>
            <w:hideMark/>
          </w:tcPr>
          <w:p w:rsidR="00273897" w:rsidRPr="008F7885" w:rsidRDefault="00273897" w:rsidP="00273897">
            <w:pPr>
              <w:spacing w:line="280" w:lineRule="exact"/>
              <w:jc w:val="center"/>
              <w:rPr>
                <w:rFonts w:ascii="標楷體" w:eastAsia="標楷體"/>
                <w:szCs w:val="28"/>
              </w:rPr>
            </w:pPr>
            <w:r w:rsidRPr="008F7885">
              <w:rPr>
                <w:rFonts w:ascii="標楷體" w:eastAsia="標楷體" w:hint="eastAsia"/>
                <w:szCs w:val="28"/>
                <w:lang w:val="x-none"/>
              </w:rPr>
              <w:t>物件類</w:t>
            </w:r>
          </w:p>
        </w:tc>
        <w:tc>
          <w:tcPr>
            <w:tcW w:w="1129" w:type="dxa"/>
            <w:shd w:val="clear" w:color="auto" w:fill="auto"/>
            <w:noWrap/>
            <w:vAlign w:val="center"/>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16</w:t>
            </w:r>
          </w:p>
        </w:tc>
        <w:tc>
          <w:tcPr>
            <w:tcW w:w="1129" w:type="dxa"/>
            <w:shd w:val="clear" w:color="auto" w:fill="auto"/>
            <w:noWrap/>
            <w:vAlign w:val="center"/>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16</w:t>
            </w:r>
          </w:p>
        </w:tc>
        <w:tc>
          <w:tcPr>
            <w:tcW w:w="1129" w:type="dxa"/>
            <w:shd w:val="clear" w:color="auto" w:fill="auto"/>
            <w:noWrap/>
            <w:vAlign w:val="center"/>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16</w:t>
            </w:r>
          </w:p>
        </w:tc>
        <w:tc>
          <w:tcPr>
            <w:tcW w:w="1129" w:type="dxa"/>
            <w:shd w:val="clear" w:color="auto" w:fill="auto"/>
            <w:noWrap/>
            <w:vAlign w:val="center"/>
          </w:tcPr>
          <w:p w:rsidR="00273897" w:rsidRPr="008F7885" w:rsidRDefault="00273897" w:rsidP="00273897">
            <w:pPr>
              <w:spacing w:line="280" w:lineRule="exact"/>
              <w:jc w:val="right"/>
              <w:rPr>
                <w:rFonts w:ascii="標楷體" w:eastAsia="標楷體"/>
                <w:szCs w:val="28"/>
              </w:rPr>
            </w:pPr>
            <w:r w:rsidRPr="008F7885">
              <w:rPr>
                <w:rFonts w:ascii="標楷體" w:eastAsia="標楷體" w:hint="eastAsia"/>
                <w:szCs w:val="28"/>
              </w:rPr>
              <w:t>16</w:t>
            </w:r>
          </w:p>
        </w:tc>
      </w:tr>
    </w:tbl>
    <w:p w:rsidR="00273897" w:rsidRPr="008F7885" w:rsidRDefault="00273897" w:rsidP="00273897">
      <w:pPr>
        <w:spacing w:line="280" w:lineRule="exact"/>
        <w:ind w:leftChars="177" w:left="838" w:hangingChars="172" w:hanging="413"/>
        <w:rPr>
          <w:rFonts w:ascii="標楷體" w:eastAsia="標楷體" w:hAnsi="標楷體"/>
          <w:snapToGrid w:val="0"/>
          <w:szCs w:val="28"/>
          <w:lang w:eastAsia="zh-HK"/>
        </w:rPr>
      </w:pPr>
      <w:r w:rsidRPr="008F7885">
        <w:rPr>
          <w:rFonts w:ascii="標楷體" w:eastAsia="標楷體" w:hAnsi="標楷體" w:hint="eastAsia"/>
          <w:snapToGrid w:val="0"/>
          <w:szCs w:val="28"/>
          <w:lang w:eastAsia="zh-HK"/>
        </w:rPr>
        <w:t>說</w:t>
      </w:r>
      <w:r w:rsidRPr="008F7885">
        <w:rPr>
          <w:rFonts w:ascii="標楷體" w:eastAsia="標楷體" w:hAnsi="標楷體" w:hint="eastAsia"/>
          <w:snapToGrid w:val="0"/>
          <w:szCs w:val="28"/>
        </w:rPr>
        <w:t xml:space="preserve">    </w:t>
      </w:r>
      <w:r w:rsidRPr="008F7885">
        <w:rPr>
          <w:rFonts w:ascii="標楷體" w:eastAsia="標楷體" w:hAnsi="標楷體" w:hint="eastAsia"/>
          <w:snapToGrid w:val="0"/>
          <w:szCs w:val="28"/>
          <w:lang w:eastAsia="zh-HK"/>
        </w:rPr>
        <w:t>明：1.1</w:t>
      </w:r>
      <w:r w:rsidRPr="008F7885">
        <w:rPr>
          <w:rFonts w:ascii="標楷體" w:eastAsia="標楷體" w:hAnsi="標楷體" w:hint="eastAsia"/>
          <w:snapToGrid w:val="0"/>
          <w:szCs w:val="28"/>
        </w:rPr>
        <w:t>1</w:t>
      </w:r>
      <w:r w:rsidRPr="008F7885">
        <w:rPr>
          <w:rFonts w:ascii="標楷體" w:eastAsia="標楷體" w:hAnsi="標楷體"/>
          <w:snapToGrid w:val="0"/>
          <w:szCs w:val="28"/>
        </w:rPr>
        <w:t>1</w:t>
      </w:r>
      <w:r w:rsidRPr="008F7885">
        <w:rPr>
          <w:rFonts w:ascii="標楷體" w:eastAsia="標楷體" w:hAnsi="標楷體" w:hint="eastAsia"/>
          <w:snapToGrid w:val="0"/>
          <w:szCs w:val="28"/>
          <w:lang w:eastAsia="zh-HK"/>
        </w:rPr>
        <w:t>年度為截至</w:t>
      </w:r>
      <w:r w:rsidRPr="008F7885">
        <w:rPr>
          <w:rFonts w:ascii="標楷體" w:eastAsia="標楷體" w:hAnsi="標楷體" w:hint="eastAsia"/>
          <w:snapToGrid w:val="0"/>
          <w:szCs w:val="28"/>
        </w:rPr>
        <w:t>7</w:t>
      </w:r>
      <w:r w:rsidRPr="008F7885">
        <w:rPr>
          <w:rFonts w:ascii="標楷體" w:eastAsia="標楷體" w:hAnsi="標楷體" w:hint="eastAsia"/>
          <w:snapToGrid w:val="0"/>
          <w:szCs w:val="28"/>
          <w:lang w:eastAsia="zh-HK"/>
        </w:rPr>
        <w:t>月底之統計。</w:t>
      </w:r>
    </w:p>
    <w:p w:rsidR="00273897" w:rsidRPr="008F7885" w:rsidRDefault="00273897" w:rsidP="00273897">
      <w:pPr>
        <w:spacing w:line="280" w:lineRule="exact"/>
        <w:ind w:leftChars="168" w:left="1843" w:hangingChars="600" w:hanging="1440"/>
        <w:rPr>
          <w:rFonts w:ascii="標楷體" w:eastAsia="標楷體" w:hAnsi="標楷體"/>
          <w:snapToGrid w:val="0"/>
          <w:szCs w:val="28"/>
        </w:rPr>
      </w:pPr>
      <w:r w:rsidRPr="008F7885">
        <w:rPr>
          <w:rFonts w:ascii="標楷體" w:eastAsia="標楷體" w:hAnsi="標楷體" w:hint="eastAsia"/>
          <w:snapToGrid w:val="0"/>
          <w:szCs w:val="28"/>
        </w:rPr>
        <w:t xml:space="preserve"> </w:t>
      </w:r>
      <w:r w:rsidRPr="008F7885">
        <w:rPr>
          <w:rFonts w:ascii="標楷體" w:eastAsia="標楷體" w:hAnsi="標楷體"/>
          <w:snapToGrid w:val="0"/>
          <w:szCs w:val="28"/>
        </w:rPr>
        <w:t xml:space="preserve">         2.</w:t>
      </w:r>
      <w:r w:rsidRPr="008F7885">
        <w:rPr>
          <w:rFonts w:ascii="標楷體" w:eastAsia="標楷體" w:hAnsi="標楷體" w:hint="eastAsia"/>
          <w:snapToGrid w:val="0"/>
          <w:szCs w:val="28"/>
        </w:rPr>
        <w:t>據科博館表示，截至111年7月底植物學標本展出1件，係因配合年度展示主題，各類標本輪流安排展出所致，展示比率為0</w:t>
      </w:r>
      <w:r w:rsidRPr="008F7885">
        <w:rPr>
          <w:rFonts w:ascii="標楷體" w:eastAsia="標楷體" w:hAnsi="標楷體"/>
          <w:snapToGrid w:val="0"/>
          <w:szCs w:val="28"/>
        </w:rPr>
        <w:t>.0003%</w:t>
      </w:r>
      <w:r w:rsidRPr="008F7885">
        <w:rPr>
          <w:rFonts w:ascii="標楷體" w:eastAsia="標楷體" w:hAnsi="標楷體" w:hint="eastAsia"/>
          <w:snapToGrid w:val="0"/>
          <w:szCs w:val="28"/>
        </w:rPr>
        <w:t>，取至小數第3位四捨五入為0</w:t>
      </w:r>
      <w:r w:rsidRPr="008F7885">
        <w:rPr>
          <w:rFonts w:ascii="標楷體" w:eastAsia="標楷體" w:hAnsi="標楷體"/>
          <w:snapToGrid w:val="0"/>
          <w:szCs w:val="28"/>
        </w:rPr>
        <w:t>%</w:t>
      </w:r>
      <w:r w:rsidRPr="008F7885">
        <w:rPr>
          <w:rFonts w:ascii="標楷體" w:eastAsia="標楷體" w:hAnsi="標楷體" w:hint="eastAsia"/>
          <w:snapToGrid w:val="0"/>
          <w:szCs w:val="28"/>
        </w:rPr>
        <w:t>。</w:t>
      </w:r>
    </w:p>
    <w:p w:rsidR="00273897" w:rsidRPr="008F7885" w:rsidRDefault="00273897" w:rsidP="00273897">
      <w:pPr>
        <w:spacing w:line="280" w:lineRule="exact"/>
        <w:ind w:leftChars="177" w:left="838" w:hangingChars="172" w:hanging="413"/>
        <w:rPr>
          <w:rFonts w:ascii="標楷體" w:eastAsia="標楷體" w:hAnsi="標楷體"/>
          <w:snapToGrid w:val="0"/>
          <w:szCs w:val="28"/>
        </w:rPr>
      </w:pPr>
      <w:r w:rsidRPr="008F7885">
        <w:rPr>
          <w:rFonts w:ascii="標楷體" w:eastAsia="標楷體" w:hAnsi="標楷體" w:hint="eastAsia"/>
          <w:snapToGrid w:val="0"/>
          <w:szCs w:val="28"/>
        </w:rPr>
        <w:t xml:space="preserve">          </w:t>
      </w:r>
      <w:r w:rsidRPr="008F7885">
        <w:rPr>
          <w:rFonts w:ascii="標楷體" w:eastAsia="標楷體" w:hAnsi="標楷體"/>
          <w:snapToGrid w:val="0"/>
          <w:szCs w:val="28"/>
        </w:rPr>
        <w:t>3</w:t>
      </w:r>
      <w:r w:rsidRPr="008F7885">
        <w:rPr>
          <w:rFonts w:ascii="標楷體" w:eastAsia="標楷體" w:hAnsi="標楷體" w:hint="eastAsia"/>
          <w:snapToGrid w:val="0"/>
          <w:szCs w:val="28"/>
        </w:rPr>
        <w:t>.國立臺灣圖書館為陽明山中山樓之典藏文物。</w:t>
      </w:r>
    </w:p>
    <w:p w:rsidR="00273897" w:rsidRPr="008F7885" w:rsidRDefault="00273897" w:rsidP="00273897">
      <w:pPr>
        <w:spacing w:line="280" w:lineRule="exact"/>
        <w:ind w:leftChars="177" w:left="838" w:hangingChars="172" w:hanging="413"/>
        <w:rPr>
          <w:rFonts w:ascii="標楷體" w:eastAsia="標楷體" w:hAnsi="標楷體"/>
          <w:sz w:val="32"/>
          <w:szCs w:val="32"/>
        </w:rPr>
      </w:pPr>
      <w:r w:rsidRPr="008F7885">
        <w:rPr>
          <w:rFonts w:ascii="標楷體" w:eastAsia="標楷體" w:hAnsi="標楷體" w:hint="eastAsia"/>
          <w:snapToGrid w:val="0"/>
          <w:szCs w:val="28"/>
        </w:rPr>
        <w:t>資料來源：預算中心彙整自教育部所屬機構作業基金各分基金提供資料。</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提案人：鄭正鈐</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連署人：吳怡玎  萬美玲</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F7885">
        <w:rPr>
          <w:rFonts w:ascii="標楷體" w:eastAsia="標楷體" w:hAnsi="標楷體" w:hint="eastAsia"/>
          <w:sz w:val="32"/>
          <w:szCs w:val="32"/>
        </w:rPr>
        <w:t>(三)查109至111年度教育部所屬機構作業基金舉辦展覽經費執行情形，110年度雖整體預算執行率達95.32%，但其中國立臺灣科學教育館、國立臺灣圖書館及國立海洋科技博物館執</w:t>
      </w:r>
      <w:r w:rsidRPr="008F7885">
        <w:rPr>
          <w:rFonts w:ascii="標楷體" w:eastAsia="標楷體" w:hAnsi="標楷體" w:hint="eastAsia"/>
          <w:sz w:val="32"/>
          <w:szCs w:val="32"/>
        </w:rPr>
        <w:lastRenderedPageBreak/>
        <w:t>行率均未達60%。且111年度截至7月底，僅國立自然科學博物館、國立臺灣圖書館及國立海洋科技博物館之預算執行率超過五成，顯示其預算執行率有待加強。</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8"/>
        <w:gridCol w:w="1128"/>
        <w:gridCol w:w="1128"/>
        <w:gridCol w:w="1128"/>
        <w:gridCol w:w="1119"/>
        <w:gridCol w:w="1128"/>
        <w:gridCol w:w="1128"/>
        <w:gridCol w:w="1119"/>
      </w:tblGrid>
      <w:tr w:rsidR="00273897" w:rsidRPr="008F7885" w:rsidTr="00273897">
        <w:tc>
          <w:tcPr>
            <w:tcW w:w="1048" w:type="dxa"/>
            <w:vMerge w:val="restart"/>
            <w:shd w:val="clear" w:color="auto" w:fill="auto"/>
            <w:vAlign w:val="center"/>
          </w:tcPr>
          <w:p w:rsidR="00273897" w:rsidRPr="008F7885" w:rsidRDefault="00273897" w:rsidP="00273897">
            <w:pPr>
              <w:snapToGrid w:val="0"/>
              <w:jc w:val="both"/>
              <w:rPr>
                <w:rFonts w:ascii="標楷體" w:eastAsia="標楷體" w:hAnsi="標楷體"/>
                <w:b/>
                <w:sz w:val="26"/>
                <w:szCs w:val="26"/>
              </w:rPr>
            </w:pPr>
            <w:r w:rsidRPr="008F7885">
              <w:rPr>
                <w:rFonts w:ascii="標楷體" w:eastAsia="標楷體" w:hAnsi="標楷體" w:hint="eastAsia"/>
                <w:b/>
                <w:sz w:val="26"/>
                <w:szCs w:val="26"/>
              </w:rPr>
              <w:t>機構別/年度</w:t>
            </w:r>
          </w:p>
        </w:tc>
        <w:tc>
          <w:tcPr>
            <w:tcW w:w="1128" w:type="dxa"/>
            <w:shd w:val="clear" w:color="auto" w:fill="auto"/>
          </w:tcPr>
          <w:p w:rsidR="00273897" w:rsidRPr="008F7885" w:rsidRDefault="00273897" w:rsidP="00273897">
            <w:pPr>
              <w:snapToGrid w:val="0"/>
              <w:jc w:val="center"/>
              <w:rPr>
                <w:rFonts w:ascii="標楷體" w:eastAsia="標楷體" w:hAnsi="標楷體"/>
                <w:b/>
                <w:sz w:val="26"/>
                <w:szCs w:val="26"/>
              </w:rPr>
            </w:pPr>
            <w:r w:rsidRPr="008F7885">
              <w:rPr>
                <w:rFonts w:ascii="標楷體" w:eastAsia="標楷體" w:hAnsi="標楷體" w:hint="eastAsia"/>
                <w:b/>
                <w:sz w:val="26"/>
                <w:szCs w:val="26"/>
              </w:rPr>
              <w:t>109</w:t>
            </w:r>
          </w:p>
        </w:tc>
        <w:tc>
          <w:tcPr>
            <w:tcW w:w="3375" w:type="dxa"/>
            <w:gridSpan w:val="3"/>
            <w:shd w:val="clear" w:color="auto" w:fill="auto"/>
          </w:tcPr>
          <w:p w:rsidR="00273897" w:rsidRPr="008F7885" w:rsidRDefault="00273897" w:rsidP="00273897">
            <w:pPr>
              <w:snapToGrid w:val="0"/>
              <w:jc w:val="center"/>
              <w:rPr>
                <w:rFonts w:ascii="標楷體" w:eastAsia="標楷體" w:hAnsi="標楷體"/>
                <w:b/>
                <w:sz w:val="26"/>
                <w:szCs w:val="26"/>
              </w:rPr>
            </w:pPr>
            <w:r w:rsidRPr="008F7885">
              <w:rPr>
                <w:rFonts w:ascii="標楷體" w:eastAsia="標楷體" w:hAnsi="標楷體" w:hint="eastAsia"/>
                <w:b/>
                <w:sz w:val="26"/>
                <w:szCs w:val="26"/>
              </w:rPr>
              <w:t>110</w:t>
            </w:r>
          </w:p>
        </w:tc>
        <w:tc>
          <w:tcPr>
            <w:tcW w:w="3375" w:type="dxa"/>
            <w:gridSpan w:val="3"/>
            <w:shd w:val="clear" w:color="auto" w:fill="auto"/>
          </w:tcPr>
          <w:p w:rsidR="00273897" w:rsidRPr="008F7885" w:rsidRDefault="00273897" w:rsidP="00273897">
            <w:pPr>
              <w:snapToGrid w:val="0"/>
              <w:jc w:val="center"/>
              <w:rPr>
                <w:rFonts w:ascii="標楷體" w:eastAsia="標楷體" w:hAnsi="標楷體"/>
                <w:b/>
                <w:sz w:val="26"/>
                <w:szCs w:val="26"/>
              </w:rPr>
            </w:pPr>
            <w:r w:rsidRPr="008F7885">
              <w:rPr>
                <w:rFonts w:ascii="標楷體" w:eastAsia="標楷體" w:hAnsi="標楷體" w:hint="eastAsia"/>
                <w:b/>
                <w:sz w:val="26"/>
                <w:szCs w:val="26"/>
              </w:rPr>
              <w:t>111截至7月底</w:t>
            </w:r>
          </w:p>
        </w:tc>
      </w:tr>
      <w:tr w:rsidR="00273897" w:rsidRPr="008F7885" w:rsidTr="00273897">
        <w:tc>
          <w:tcPr>
            <w:tcW w:w="1048" w:type="dxa"/>
            <w:vMerge/>
            <w:shd w:val="clear" w:color="auto" w:fill="auto"/>
          </w:tcPr>
          <w:p w:rsidR="00273897" w:rsidRPr="008F7885" w:rsidRDefault="00273897" w:rsidP="00273897">
            <w:pPr>
              <w:snapToGrid w:val="0"/>
              <w:jc w:val="both"/>
              <w:rPr>
                <w:rFonts w:ascii="標楷體" w:eastAsia="標楷體" w:hAnsi="標楷體"/>
                <w:b/>
                <w:sz w:val="26"/>
                <w:szCs w:val="26"/>
              </w:rPr>
            </w:pPr>
          </w:p>
        </w:tc>
        <w:tc>
          <w:tcPr>
            <w:tcW w:w="1128" w:type="dxa"/>
            <w:shd w:val="clear" w:color="auto" w:fill="auto"/>
          </w:tcPr>
          <w:p w:rsidR="00273897" w:rsidRPr="008F7885" w:rsidRDefault="00273897" w:rsidP="00273897">
            <w:pPr>
              <w:snapToGrid w:val="0"/>
              <w:jc w:val="center"/>
              <w:rPr>
                <w:rFonts w:ascii="標楷體" w:eastAsia="標楷體" w:hAnsi="標楷體"/>
                <w:b/>
                <w:sz w:val="26"/>
                <w:szCs w:val="26"/>
              </w:rPr>
            </w:pPr>
            <w:r w:rsidRPr="008F7885">
              <w:rPr>
                <w:rFonts w:ascii="標楷體" w:eastAsia="標楷體" w:hAnsi="標楷體" w:hint="eastAsia"/>
                <w:b/>
                <w:sz w:val="26"/>
                <w:szCs w:val="26"/>
              </w:rPr>
              <w:t>決算數</w:t>
            </w:r>
          </w:p>
        </w:tc>
        <w:tc>
          <w:tcPr>
            <w:tcW w:w="1128" w:type="dxa"/>
            <w:shd w:val="clear" w:color="auto" w:fill="auto"/>
          </w:tcPr>
          <w:p w:rsidR="00273897" w:rsidRPr="008F7885" w:rsidRDefault="00273897" w:rsidP="00273897">
            <w:pPr>
              <w:snapToGrid w:val="0"/>
              <w:jc w:val="center"/>
              <w:rPr>
                <w:rFonts w:ascii="標楷體" w:eastAsia="標楷體" w:hAnsi="標楷體"/>
                <w:b/>
                <w:sz w:val="26"/>
                <w:szCs w:val="26"/>
              </w:rPr>
            </w:pPr>
            <w:r w:rsidRPr="008F7885">
              <w:rPr>
                <w:rFonts w:ascii="標楷體" w:eastAsia="標楷體" w:hAnsi="標楷體" w:hint="eastAsia"/>
                <w:b/>
                <w:sz w:val="26"/>
                <w:szCs w:val="26"/>
              </w:rPr>
              <w:t>預算數</w:t>
            </w:r>
          </w:p>
        </w:tc>
        <w:tc>
          <w:tcPr>
            <w:tcW w:w="1128" w:type="dxa"/>
            <w:shd w:val="clear" w:color="auto" w:fill="auto"/>
          </w:tcPr>
          <w:p w:rsidR="00273897" w:rsidRPr="008F7885" w:rsidRDefault="00273897" w:rsidP="00273897">
            <w:pPr>
              <w:snapToGrid w:val="0"/>
              <w:jc w:val="center"/>
              <w:rPr>
                <w:rFonts w:ascii="標楷體" w:eastAsia="標楷體" w:hAnsi="標楷體"/>
                <w:b/>
                <w:sz w:val="26"/>
                <w:szCs w:val="26"/>
              </w:rPr>
            </w:pPr>
            <w:r w:rsidRPr="008F7885">
              <w:rPr>
                <w:rFonts w:ascii="標楷體" w:eastAsia="標楷體" w:hAnsi="標楷體"/>
                <w:b/>
                <w:sz w:val="26"/>
                <w:szCs w:val="26"/>
              </w:rPr>
              <w:t>決算數</w:t>
            </w:r>
          </w:p>
        </w:tc>
        <w:tc>
          <w:tcPr>
            <w:tcW w:w="1119" w:type="dxa"/>
            <w:shd w:val="clear" w:color="auto" w:fill="auto"/>
          </w:tcPr>
          <w:p w:rsidR="00273897" w:rsidRPr="008F7885" w:rsidRDefault="00273897" w:rsidP="00273897">
            <w:pPr>
              <w:snapToGrid w:val="0"/>
              <w:jc w:val="center"/>
              <w:rPr>
                <w:rFonts w:ascii="標楷體" w:eastAsia="標楷體" w:hAnsi="標楷體"/>
                <w:b/>
                <w:sz w:val="26"/>
                <w:szCs w:val="26"/>
              </w:rPr>
            </w:pPr>
            <w:r w:rsidRPr="008F7885">
              <w:rPr>
                <w:rFonts w:ascii="標楷體" w:eastAsia="標楷體" w:hAnsi="標楷體" w:hint="eastAsia"/>
                <w:b/>
                <w:sz w:val="26"/>
                <w:szCs w:val="26"/>
              </w:rPr>
              <w:t>執行率</w:t>
            </w:r>
          </w:p>
        </w:tc>
        <w:tc>
          <w:tcPr>
            <w:tcW w:w="1128" w:type="dxa"/>
            <w:shd w:val="clear" w:color="auto" w:fill="auto"/>
          </w:tcPr>
          <w:p w:rsidR="00273897" w:rsidRPr="008F7885" w:rsidRDefault="00273897" w:rsidP="00273897">
            <w:pPr>
              <w:snapToGrid w:val="0"/>
              <w:jc w:val="center"/>
              <w:rPr>
                <w:rFonts w:ascii="標楷體" w:eastAsia="標楷體" w:hAnsi="標楷體"/>
                <w:b/>
                <w:sz w:val="26"/>
                <w:szCs w:val="26"/>
              </w:rPr>
            </w:pPr>
            <w:r w:rsidRPr="008F7885">
              <w:rPr>
                <w:rFonts w:ascii="標楷體" w:eastAsia="標楷體" w:hAnsi="標楷體" w:hint="eastAsia"/>
                <w:b/>
                <w:sz w:val="26"/>
                <w:szCs w:val="26"/>
              </w:rPr>
              <w:t>預算數</w:t>
            </w:r>
          </w:p>
        </w:tc>
        <w:tc>
          <w:tcPr>
            <w:tcW w:w="1128" w:type="dxa"/>
            <w:shd w:val="clear" w:color="auto" w:fill="auto"/>
          </w:tcPr>
          <w:p w:rsidR="00273897" w:rsidRPr="008F7885" w:rsidRDefault="00273897" w:rsidP="00273897">
            <w:pPr>
              <w:snapToGrid w:val="0"/>
              <w:jc w:val="center"/>
              <w:rPr>
                <w:rFonts w:ascii="標楷體" w:eastAsia="標楷體" w:hAnsi="標楷體"/>
                <w:b/>
                <w:sz w:val="26"/>
                <w:szCs w:val="26"/>
              </w:rPr>
            </w:pPr>
            <w:r w:rsidRPr="008F7885">
              <w:rPr>
                <w:rFonts w:ascii="標楷體" w:eastAsia="標楷體" w:hAnsi="標楷體"/>
                <w:b/>
                <w:sz w:val="26"/>
                <w:szCs w:val="26"/>
              </w:rPr>
              <w:t>決算數</w:t>
            </w:r>
          </w:p>
        </w:tc>
        <w:tc>
          <w:tcPr>
            <w:tcW w:w="1119" w:type="dxa"/>
            <w:shd w:val="clear" w:color="auto" w:fill="auto"/>
          </w:tcPr>
          <w:p w:rsidR="00273897" w:rsidRPr="008F7885" w:rsidRDefault="00273897" w:rsidP="00273897">
            <w:pPr>
              <w:snapToGrid w:val="0"/>
              <w:jc w:val="center"/>
              <w:rPr>
                <w:rFonts w:ascii="標楷體" w:eastAsia="標楷體" w:hAnsi="標楷體"/>
                <w:b/>
                <w:sz w:val="26"/>
                <w:szCs w:val="26"/>
              </w:rPr>
            </w:pPr>
            <w:r w:rsidRPr="008F7885">
              <w:rPr>
                <w:rFonts w:ascii="標楷體" w:eastAsia="標楷體" w:hAnsi="標楷體" w:hint="eastAsia"/>
                <w:b/>
                <w:sz w:val="26"/>
                <w:szCs w:val="26"/>
              </w:rPr>
              <w:t>執行率</w:t>
            </w:r>
          </w:p>
        </w:tc>
      </w:tr>
      <w:tr w:rsidR="00273897" w:rsidRPr="008F7885" w:rsidTr="00273897">
        <w:tc>
          <w:tcPr>
            <w:tcW w:w="1048" w:type="dxa"/>
            <w:shd w:val="clear" w:color="auto" w:fill="auto"/>
          </w:tcPr>
          <w:p w:rsidR="00273897" w:rsidRPr="008F7885" w:rsidRDefault="00273897" w:rsidP="00273897">
            <w:pPr>
              <w:snapToGrid w:val="0"/>
              <w:spacing w:line="240" w:lineRule="exact"/>
              <w:jc w:val="both"/>
              <w:rPr>
                <w:rFonts w:ascii="標楷體" w:eastAsia="標楷體" w:hAnsi="標楷體"/>
                <w:b/>
                <w:sz w:val="26"/>
                <w:szCs w:val="26"/>
              </w:rPr>
            </w:pPr>
            <w:r w:rsidRPr="008F7885">
              <w:rPr>
                <w:rFonts w:ascii="標楷體" w:eastAsia="標楷體" w:hAnsi="標楷體" w:hint="eastAsia"/>
                <w:b/>
                <w:sz w:val="26"/>
                <w:szCs w:val="26"/>
              </w:rPr>
              <w:t>國立自然科學博物館</w:t>
            </w:r>
          </w:p>
        </w:tc>
        <w:tc>
          <w:tcPr>
            <w:tcW w:w="1128"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2</w:t>
            </w:r>
            <w:r w:rsidRPr="008F7885">
              <w:rPr>
                <w:rFonts w:ascii="標楷體" w:eastAsia="標楷體" w:hAnsi="標楷體"/>
                <w:b/>
                <w:sz w:val="26"/>
                <w:szCs w:val="26"/>
              </w:rPr>
              <w:t>35,893</w:t>
            </w:r>
          </w:p>
        </w:tc>
        <w:tc>
          <w:tcPr>
            <w:tcW w:w="1128"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1</w:t>
            </w:r>
            <w:r w:rsidRPr="008F7885">
              <w:rPr>
                <w:rFonts w:ascii="標楷體" w:eastAsia="標楷體" w:hAnsi="標楷體"/>
                <w:b/>
                <w:sz w:val="26"/>
                <w:szCs w:val="26"/>
              </w:rPr>
              <w:t>81,925</w:t>
            </w:r>
          </w:p>
        </w:tc>
        <w:tc>
          <w:tcPr>
            <w:tcW w:w="1128"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1</w:t>
            </w:r>
            <w:r w:rsidRPr="008F7885">
              <w:rPr>
                <w:rFonts w:ascii="標楷體" w:eastAsia="標楷體" w:hAnsi="標楷體"/>
                <w:b/>
                <w:sz w:val="26"/>
                <w:szCs w:val="26"/>
              </w:rPr>
              <w:t>91,382</w:t>
            </w:r>
          </w:p>
        </w:tc>
        <w:tc>
          <w:tcPr>
            <w:tcW w:w="1119"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1</w:t>
            </w:r>
            <w:r w:rsidRPr="008F7885">
              <w:rPr>
                <w:rFonts w:ascii="標楷體" w:eastAsia="標楷體" w:hAnsi="標楷體"/>
                <w:b/>
                <w:sz w:val="26"/>
                <w:szCs w:val="26"/>
              </w:rPr>
              <w:t>05.20</w:t>
            </w:r>
          </w:p>
        </w:tc>
        <w:tc>
          <w:tcPr>
            <w:tcW w:w="1128"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1</w:t>
            </w:r>
            <w:r w:rsidRPr="008F7885">
              <w:rPr>
                <w:rFonts w:ascii="標楷體" w:eastAsia="標楷體" w:hAnsi="標楷體"/>
                <w:b/>
                <w:sz w:val="26"/>
                <w:szCs w:val="26"/>
              </w:rPr>
              <w:t>93,739</w:t>
            </w:r>
          </w:p>
        </w:tc>
        <w:tc>
          <w:tcPr>
            <w:tcW w:w="1128"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9</w:t>
            </w:r>
            <w:r w:rsidRPr="008F7885">
              <w:rPr>
                <w:rFonts w:ascii="標楷體" w:eastAsia="標楷體" w:hAnsi="標楷體"/>
                <w:b/>
                <w:sz w:val="26"/>
                <w:szCs w:val="26"/>
              </w:rPr>
              <w:t>7,447</w:t>
            </w:r>
          </w:p>
        </w:tc>
        <w:tc>
          <w:tcPr>
            <w:tcW w:w="1119"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5</w:t>
            </w:r>
            <w:r w:rsidRPr="008F7885">
              <w:rPr>
                <w:rFonts w:ascii="標楷體" w:eastAsia="標楷體" w:hAnsi="標楷體"/>
                <w:b/>
                <w:sz w:val="26"/>
                <w:szCs w:val="26"/>
              </w:rPr>
              <w:t>0.30</w:t>
            </w:r>
          </w:p>
        </w:tc>
      </w:tr>
      <w:tr w:rsidR="00273897" w:rsidRPr="008F7885" w:rsidTr="00273897">
        <w:tc>
          <w:tcPr>
            <w:tcW w:w="1048" w:type="dxa"/>
            <w:shd w:val="clear" w:color="auto" w:fill="auto"/>
          </w:tcPr>
          <w:p w:rsidR="00273897" w:rsidRPr="008F7885" w:rsidRDefault="00273897" w:rsidP="00273897">
            <w:pPr>
              <w:snapToGrid w:val="0"/>
              <w:spacing w:line="240" w:lineRule="exact"/>
              <w:jc w:val="both"/>
              <w:rPr>
                <w:rFonts w:ascii="標楷體" w:eastAsia="標楷體" w:hAnsi="標楷體"/>
                <w:b/>
                <w:sz w:val="26"/>
                <w:szCs w:val="26"/>
              </w:rPr>
            </w:pPr>
            <w:r w:rsidRPr="008F7885">
              <w:rPr>
                <w:rFonts w:ascii="標楷體" w:eastAsia="標楷體" w:hAnsi="標楷體" w:hint="eastAsia"/>
                <w:b/>
                <w:sz w:val="26"/>
                <w:szCs w:val="26"/>
              </w:rPr>
              <w:t>國立科學工藝博物館</w:t>
            </w:r>
          </w:p>
        </w:tc>
        <w:tc>
          <w:tcPr>
            <w:tcW w:w="1128"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2</w:t>
            </w:r>
            <w:r w:rsidRPr="008F7885">
              <w:rPr>
                <w:rFonts w:ascii="標楷體" w:eastAsia="標楷體" w:hAnsi="標楷體"/>
                <w:b/>
                <w:sz w:val="26"/>
                <w:szCs w:val="26"/>
              </w:rPr>
              <w:t>8,741</w:t>
            </w:r>
          </w:p>
        </w:tc>
        <w:tc>
          <w:tcPr>
            <w:tcW w:w="1128"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4</w:t>
            </w:r>
            <w:r w:rsidRPr="008F7885">
              <w:rPr>
                <w:rFonts w:ascii="標楷體" w:eastAsia="標楷體" w:hAnsi="標楷體"/>
                <w:b/>
                <w:sz w:val="26"/>
                <w:szCs w:val="26"/>
              </w:rPr>
              <w:t>5,102</w:t>
            </w:r>
          </w:p>
        </w:tc>
        <w:tc>
          <w:tcPr>
            <w:tcW w:w="1128"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4</w:t>
            </w:r>
            <w:r w:rsidRPr="008F7885">
              <w:rPr>
                <w:rFonts w:ascii="標楷體" w:eastAsia="標楷體" w:hAnsi="標楷體"/>
                <w:b/>
                <w:sz w:val="26"/>
                <w:szCs w:val="26"/>
              </w:rPr>
              <w:t>2,159</w:t>
            </w:r>
          </w:p>
        </w:tc>
        <w:tc>
          <w:tcPr>
            <w:tcW w:w="1119"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9</w:t>
            </w:r>
            <w:r w:rsidRPr="008F7885">
              <w:rPr>
                <w:rFonts w:ascii="標楷體" w:eastAsia="標楷體" w:hAnsi="標楷體"/>
                <w:b/>
                <w:sz w:val="26"/>
                <w:szCs w:val="26"/>
              </w:rPr>
              <w:t>3.47</w:t>
            </w:r>
          </w:p>
        </w:tc>
        <w:tc>
          <w:tcPr>
            <w:tcW w:w="1128"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2</w:t>
            </w:r>
            <w:r w:rsidRPr="008F7885">
              <w:rPr>
                <w:rFonts w:ascii="標楷體" w:eastAsia="標楷體" w:hAnsi="標楷體"/>
                <w:b/>
                <w:sz w:val="26"/>
                <w:szCs w:val="26"/>
              </w:rPr>
              <w:t>2,375</w:t>
            </w:r>
          </w:p>
        </w:tc>
        <w:tc>
          <w:tcPr>
            <w:tcW w:w="1128"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7</w:t>
            </w:r>
            <w:r w:rsidRPr="008F7885">
              <w:rPr>
                <w:rFonts w:ascii="標楷體" w:eastAsia="標楷體" w:hAnsi="標楷體"/>
                <w:b/>
                <w:sz w:val="26"/>
                <w:szCs w:val="26"/>
              </w:rPr>
              <w:t>,248</w:t>
            </w:r>
          </w:p>
        </w:tc>
        <w:tc>
          <w:tcPr>
            <w:tcW w:w="1119"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3</w:t>
            </w:r>
            <w:r w:rsidRPr="008F7885">
              <w:rPr>
                <w:rFonts w:ascii="標楷體" w:eastAsia="標楷體" w:hAnsi="標楷體"/>
                <w:b/>
                <w:sz w:val="26"/>
                <w:szCs w:val="26"/>
              </w:rPr>
              <w:t>2.39</w:t>
            </w:r>
          </w:p>
        </w:tc>
      </w:tr>
      <w:tr w:rsidR="00273897" w:rsidRPr="008F7885" w:rsidTr="00273897">
        <w:tc>
          <w:tcPr>
            <w:tcW w:w="1048" w:type="dxa"/>
            <w:shd w:val="clear" w:color="auto" w:fill="auto"/>
          </w:tcPr>
          <w:p w:rsidR="00273897" w:rsidRPr="008F7885" w:rsidRDefault="00273897" w:rsidP="00273897">
            <w:pPr>
              <w:snapToGrid w:val="0"/>
              <w:spacing w:line="240" w:lineRule="exact"/>
              <w:jc w:val="both"/>
              <w:rPr>
                <w:rFonts w:ascii="標楷體" w:eastAsia="標楷體" w:hAnsi="標楷體"/>
                <w:b/>
                <w:sz w:val="26"/>
                <w:szCs w:val="26"/>
              </w:rPr>
            </w:pPr>
            <w:r w:rsidRPr="008F7885">
              <w:rPr>
                <w:rFonts w:ascii="標楷體" w:eastAsia="標楷體" w:hAnsi="標楷體" w:hint="eastAsia"/>
                <w:b/>
                <w:sz w:val="26"/>
                <w:szCs w:val="26"/>
              </w:rPr>
              <w:t>國立海洋生物博物館</w:t>
            </w:r>
          </w:p>
        </w:tc>
        <w:tc>
          <w:tcPr>
            <w:tcW w:w="1128"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1</w:t>
            </w:r>
            <w:r w:rsidRPr="008F7885">
              <w:rPr>
                <w:rFonts w:ascii="標楷體" w:eastAsia="標楷體" w:hAnsi="標楷體"/>
                <w:b/>
                <w:sz w:val="26"/>
                <w:szCs w:val="26"/>
              </w:rPr>
              <w:t>,308</w:t>
            </w:r>
          </w:p>
        </w:tc>
        <w:tc>
          <w:tcPr>
            <w:tcW w:w="1128"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4</w:t>
            </w:r>
            <w:r w:rsidRPr="008F7885">
              <w:rPr>
                <w:rFonts w:ascii="標楷體" w:eastAsia="標楷體" w:hAnsi="標楷體"/>
                <w:b/>
                <w:sz w:val="26"/>
                <w:szCs w:val="26"/>
              </w:rPr>
              <w:t>,420</w:t>
            </w:r>
          </w:p>
        </w:tc>
        <w:tc>
          <w:tcPr>
            <w:tcW w:w="1128"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4</w:t>
            </w:r>
            <w:r w:rsidRPr="008F7885">
              <w:rPr>
                <w:rFonts w:ascii="標楷體" w:eastAsia="標楷體" w:hAnsi="標楷體"/>
                <w:b/>
                <w:sz w:val="26"/>
                <w:szCs w:val="26"/>
              </w:rPr>
              <w:t>,376</w:t>
            </w:r>
          </w:p>
        </w:tc>
        <w:tc>
          <w:tcPr>
            <w:tcW w:w="1119"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9</w:t>
            </w:r>
            <w:r w:rsidRPr="008F7885">
              <w:rPr>
                <w:rFonts w:ascii="標楷體" w:eastAsia="標楷體" w:hAnsi="標楷體"/>
                <w:b/>
                <w:sz w:val="26"/>
                <w:szCs w:val="26"/>
              </w:rPr>
              <w:t>9.00</w:t>
            </w:r>
          </w:p>
        </w:tc>
        <w:tc>
          <w:tcPr>
            <w:tcW w:w="1128"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4</w:t>
            </w:r>
            <w:r w:rsidRPr="008F7885">
              <w:rPr>
                <w:rFonts w:ascii="標楷體" w:eastAsia="標楷體" w:hAnsi="標楷體"/>
                <w:b/>
                <w:sz w:val="26"/>
                <w:szCs w:val="26"/>
              </w:rPr>
              <w:t>,700</w:t>
            </w:r>
          </w:p>
        </w:tc>
        <w:tc>
          <w:tcPr>
            <w:tcW w:w="1128"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2</w:t>
            </w:r>
            <w:r w:rsidRPr="008F7885">
              <w:rPr>
                <w:rFonts w:ascii="標楷體" w:eastAsia="標楷體" w:hAnsi="標楷體"/>
                <w:b/>
                <w:sz w:val="26"/>
                <w:szCs w:val="26"/>
              </w:rPr>
              <w:t>35</w:t>
            </w:r>
          </w:p>
        </w:tc>
        <w:tc>
          <w:tcPr>
            <w:tcW w:w="1119"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5</w:t>
            </w:r>
            <w:r w:rsidRPr="008F7885">
              <w:rPr>
                <w:rFonts w:ascii="標楷體" w:eastAsia="標楷體" w:hAnsi="標楷體"/>
                <w:b/>
                <w:sz w:val="26"/>
                <w:szCs w:val="26"/>
              </w:rPr>
              <w:t>.00</w:t>
            </w:r>
          </w:p>
        </w:tc>
      </w:tr>
      <w:tr w:rsidR="00273897" w:rsidRPr="008F7885" w:rsidTr="00273897">
        <w:tc>
          <w:tcPr>
            <w:tcW w:w="1048" w:type="dxa"/>
            <w:shd w:val="clear" w:color="auto" w:fill="auto"/>
          </w:tcPr>
          <w:p w:rsidR="00273897" w:rsidRPr="008F7885" w:rsidRDefault="00273897" w:rsidP="00273897">
            <w:pPr>
              <w:snapToGrid w:val="0"/>
              <w:spacing w:line="240" w:lineRule="exact"/>
              <w:jc w:val="both"/>
              <w:rPr>
                <w:rFonts w:ascii="標楷體" w:eastAsia="標楷體" w:hAnsi="標楷體"/>
                <w:b/>
                <w:sz w:val="26"/>
                <w:szCs w:val="26"/>
              </w:rPr>
            </w:pPr>
            <w:r w:rsidRPr="008F7885">
              <w:rPr>
                <w:rFonts w:ascii="標楷體" w:eastAsia="標楷體" w:hAnsi="標楷體" w:hint="eastAsia"/>
                <w:b/>
                <w:sz w:val="26"/>
                <w:szCs w:val="26"/>
              </w:rPr>
              <w:t>國立臺灣科學教育館</w:t>
            </w:r>
          </w:p>
        </w:tc>
        <w:tc>
          <w:tcPr>
            <w:tcW w:w="1128"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b/>
                <w:sz w:val="26"/>
                <w:szCs w:val="26"/>
              </w:rPr>
              <w:t>10,337</w:t>
            </w:r>
          </w:p>
        </w:tc>
        <w:tc>
          <w:tcPr>
            <w:tcW w:w="1128"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1</w:t>
            </w:r>
            <w:r w:rsidRPr="008F7885">
              <w:rPr>
                <w:rFonts w:ascii="標楷體" w:eastAsia="標楷體" w:hAnsi="標楷體"/>
                <w:b/>
                <w:sz w:val="26"/>
                <w:szCs w:val="26"/>
              </w:rPr>
              <w:t>7,500</w:t>
            </w:r>
          </w:p>
        </w:tc>
        <w:tc>
          <w:tcPr>
            <w:tcW w:w="1128"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1</w:t>
            </w:r>
            <w:r w:rsidRPr="008F7885">
              <w:rPr>
                <w:rFonts w:ascii="標楷體" w:eastAsia="標楷體" w:hAnsi="標楷體"/>
                <w:b/>
                <w:sz w:val="26"/>
                <w:szCs w:val="26"/>
              </w:rPr>
              <w:t>0,426</w:t>
            </w:r>
          </w:p>
        </w:tc>
        <w:tc>
          <w:tcPr>
            <w:tcW w:w="1119"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5</w:t>
            </w:r>
            <w:r w:rsidRPr="008F7885">
              <w:rPr>
                <w:rFonts w:ascii="標楷體" w:eastAsia="標楷體" w:hAnsi="標楷體"/>
                <w:b/>
                <w:sz w:val="26"/>
                <w:szCs w:val="26"/>
              </w:rPr>
              <w:t>9.58</w:t>
            </w:r>
          </w:p>
        </w:tc>
        <w:tc>
          <w:tcPr>
            <w:tcW w:w="1128"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2</w:t>
            </w:r>
            <w:r w:rsidRPr="008F7885">
              <w:rPr>
                <w:rFonts w:ascii="標楷體" w:eastAsia="標楷體" w:hAnsi="標楷體"/>
                <w:b/>
                <w:sz w:val="26"/>
                <w:szCs w:val="26"/>
              </w:rPr>
              <w:t>0,990</w:t>
            </w:r>
          </w:p>
        </w:tc>
        <w:tc>
          <w:tcPr>
            <w:tcW w:w="1128"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3</w:t>
            </w:r>
            <w:r w:rsidRPr="008F7885">
              <w:rPr>
                <w:rFonts w:ascii="標楷體" w:eastAsia="標楷體" w:hAnsi="標楷體"/>
                <w:b/>
                <w:sz w:val="26"/>
                <w:szCs w:val="26"/>
              </w:rPr>
              <w:t>,947</w:t>
            </w:r>
          </w:p>
        </w:tc>
        <w:tc>
          <w:tcPr>
            <w:tcW w:w="1119"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1</w:t>
            </w:r>
            <w:r w:rsidRPr="008F7885">
              <w:rPr>
                <w:rFonts w:ascii="標楷體" w:eastAsia="標楷體" w:hAnsi="標楷體"/>
                <w:b/>
                <w:sz w:val="26"/>
                <w:szCs w:val="26"/>
              </w:rPr>
              <w:t>8.80</w:t>
            </w:r>
          </w:p>
        </w:tc>
      </w:tr>
      <w:tr w:rsidR="00273897" w:rsidRPr="008F7885" w:rsidTr="00273897">
        <w:tc>
          <w:tcPr>
            <w:tcW w:w="1048" w:type="dxa"/>
            <w:shd w:val="clear" w:color="auto" w:fill="auto"/>
          </w:tcPr>
          <w:p w:rsidR="00273897" w:rsidRPr="008F7885" w:rsidRDefault="00273897" w:rsidP="00273897">
            <w:pPr>
              <w:snapToGrid w:val="0"/>
              <w:spacing w:line="240" w:lineRule="exact"/>
              <w:jc w:val="both"/>
              <w:rPr>
                <w:rFonts w:ascii="標楷體" w:eastAsia="標楷體" w:hAnsi="標楷體"/>
                <w:b/>
                <w:sz w:val="26"/>
                <w:szCs w:val="26"/>
              </w:rPr>
            </w:pPr>
            <w:r w:rsidRPr="008F7885">
              <w:rPr>
                <w:rFonts w:ascii="標楷體" w:eastAsia="標楷體" w:hAnsi="標楷體" w:hint="eastAsia"/>
                <w:b/>
                <w:sz w:val="26"/>
                <w:szCs w:val="26"/>
              </w:rPr>
              <w:t>國立臺灣圖書館</w:t>
            </w:r>
          </w:p>
        </w:tc>
        <w:tc>
          <w:tcPr>
            <w:tcW w:w="1128"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9</w:t>
            </w:r>
            <w:r w:rsidRPr="008F7885">
              <w:rPr>
                <w:rFonts w:ascii="標楷體" w:eastAsia="標楷體" w:hAnsi="標楷體"/>
                <w:b/>
                <w:sz w:val="26"/>
                <w:szCs w:val="26"/>
              </w:rPr>
              <w:t>29</w:t>
            </w:r>
          </w:p>
        </w:tc>
        <w:tc>
          <w:tcPr>
            <w:tcW w:w="1128"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1</w:t>
            </w:r>
            <w:r w:rsidRPr="008F7885">
              <w:rPr>
                <w:rFonts w:ascii="標楷體" w:eastAsia="標楷體" w:hAnsi="標楷體"/>
                <w:b/>
                <w:sz w:val="26"/>
                <w:szCs w:val="26"/>
              </w:rPr>
              <w:t>,000</w:t>
            </w:r>
          </w:p>
        </w:tc>
        <w:tc>
          <w:tcPr>
            <w:tcW w:w="1128"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3</w:t>
            </w:r>
            <w:r w:rsidRPr="008F7885">
              <w:rPr>
                <w:rFonts w:ascii="標楷體" w:eastAsia="標楷體" w:hAnsi="標楷體"/>
                <w:b/>
                <w:sz w:val="26"/>
                <w:szCs w:val="26"/>
              </w:rPr>
              <w:t>82</w:t>
            </w:r>
          </w:p>
        </w:tc>
        <w:tc>
          <w:tcPr>
            <w:tcW w:w="1119"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3</w:t>
            </w:r>
            <w:r w:rsidRPr="008F7885">
              <w:rPr>
                <w:rFonts w:ascii="標楷體" w:eastAsia="標楷體" w:hAnsi="標楷體"/>
                <w:b/>
                <w:sz w:val="26"/>
                <w:szCs w:val="26"/>
              </w:rPr>
              <w:t>8.20</w:t>
            </w:r>
          </w:p>
        </w:tc>
        <w:tc>
          <w:tcPr>
            <w:tcW w:w="1128"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1</w:t>
            </w:r>
            <w:r w:rsidRPr="008F7885">
              <w:rPr>
                <w:rFonts w:ascii="標楷體" w:eastAsia="標楷體" w:hAnsi="標楷體"/>
                <w:b/>
                <w:sz w:val="26"/>
                <w:szCs w:val="26"/>
              </w:rPr>
              <w:t>,000</w:t>
            </w:r>
          </w:p>
        </w:tc>
        <w:tc>
          <w:tcPr>
            <w:tcW w:w="1128"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5</w:t>
            </w:r>
            <w:r w:rsidRPr="008F7885">
              <w:rPr>
                <w:rFonts w:ascii="標楷體" w:eastAsia="標楷體" w:hAnsi="標楷體"/>
                <w:b/>
                <w:sz w:val="26"/>
                <w:szCs w:val="26"/>
              </w:rPr>
              <w:t>73</w:t>
            </w:r>
          </w:p>
        </w:tc>
        <w:tc>
          <w:tcPr>
            <w:tcW w:w="1119"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5</w:t>
            </w:r>
            <w:r w:rsidRPr="008F7885">
              <w:rPr>
                <w:rFonts w:ascii="標楷體" w:eastAsia="標楷體" w:hAnsi="標楷體"/>
                <w:b/>
                <w:sz w:val="26"/>
                <w:szCs w:val="26"/>
              </w:rPr>
              <w:t>7.30</w:t>
            </w:r>
          </w:p>
        </w:tc>
      </w:tr>
      <w:tr w:rsidR="00273897" w:rsidRPr="008F7885" w:rsidTr="00273897">
        <w:tc>
          <w:tcPr>
            <w:tcW w:w="1048" w:type="dxa"/>
            <w:shd w:val="clear" w:color="auto" w:fill="auto"/>
          </w:tcPr>
          <w:p w:rsidR="00273897" w:rsidRPr="008F7885" w:rsidRDefault="00273897" w:rsidP="00273897">
            <w:pPr>
              <w:snapToGrid w:val="0"/>
              <w:spacing w:line="240" w:lineRule="exact"/>
              <w:jc w:val="both"/>
              <w:rPr>
                <w:rFonts w:ascii="標楷體" w:eastAsia="標楷體" w:hAnsi="標楷體"/>
                <w:b/>
                <w:sz w:val="26"/>
                <w:szCs w:val="26"/>
              </w:rPr>
            </w:pPr>
            <w:r w:rsidRPr="008F7885">
              <w:rPr>
                <w:rFonts w:ascii="標楷體" w:eastAsia="標楷體" w:hAnsi="標楷體" w:hint="eastAsia"/>
                <w:b/>
                <w:sz w:val="26"/>
                <w:szCs w:val="26"/>
              </w:rPr>
              <w:t>國立海洋科技博物館</w:t>
            </w:r>
          </w:p>
        </w:tc>
        <w:tc>
          <w:tcPr>
            <w:tcW w:w="1128"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8</w:t>
            </w:r>
            <w:r w:rsidRPr="008F7885">
              <w:rPr>
                <w:rFonts w:ascii="標楷體" w:eastAsia="標楷體" w:hAnsi="標楷體"/>
                <w:b/>
                <w:sz w:val="26"/>
                <w:szCs w:val="26"/>
              </w:rPr>
              <w:t>,460</w:t>
            </w:r>
          </w:p>
        </w:tc>
        <w:tc>
          <w:tcPr>
            <w:tcW w:w="1128"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1</w:t>
            </w:r>
            <w:r w:rsidRPr="008F7885">
              <w:rPr>
                <w:rFonts w:ascii="標楷體" w:eastAsia="標楷體" w:hAnsi="標楷體"/>
                <w:b/>
                <w:sz w:val="26"/>
                <w:szCs w:val="26"/>
              </w:rPr>
              <w:t>0,960</w:t>
            </w:r>
          </w:p>
        </w:tc>
        <w:tc>
          <w:tcPr>
            <w:tcW w:w="1128"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b/>
                <w:sz w:val="26"/>
                <w:szCs w:val="26"/>
              </w:rPr>
              <w:t>6,060</w:t>
            </w:r>
          </w:p>
        </w:tc>
        <w:tc>
          <w:tcPr>
            <w:tcW w:w="1119"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5</w:t>
            </w:r>
            <w:r w:rsidRPr="008F7885">
              <w:rPr>
                <w:rFonts w:ascii="標楷體" w:eastAsia="標楷體" w:hAnsi="標楷體"/>
                <w:b/>
                <w:sz w:val="26"/>
                <w:szCs w:val="26"/>
              </w:rPr>
              <w:t>5.29</w:t>
            </w:r>
          </w:p>
        </w:tc>
        <w:tc>
          <w:tcPr>
            <w:tcW w:w="1128"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6</w:t>
            </w:r>
            <w:r w:rsidRPr="008F7885">
              <w:rPr>
                <w:rFonts w:ascii="標楷體" w:eastAsia="標楷體" w:hAnsi="標楷體"/>
                <w:b/>
                <w:sz w:val="26"/>
                <w:szCs w:val="26"/>
              </w:rPr>
              <w:t>,000</w:t>
            </w:r>
          </w:p>
        </w:tc>
        <w:tc>
          <w:tcPr>
            <w:tcW w:w="1128"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6</w:t>
            </w:r>
            <w:r w:rsidRPr="008F7885">
              <w:rPr>
                <w:rFonts w:ascii="標楷體" w:eastAsia="標楷體" w:hAnsi="標楷體"/>
                <w:b/>
                <w:sz w:val="26"/>
                <w:szCs w:val="26"/>
              </w:rPr>
              <w:t>,030</w:t>
            </w:r>
          </w:p>
        </w:tc>
        <w:tc>
          <w:tcPr>
            <w:tcW w:w="1119" w:type="dxa"/>
            <w:shd w:val="clear" w:color="auto" w:fill="auto"/>
            <w:vAlign w:val="center"/>
          </w:tcPr>
          <w:p w:rsidR="00273897" w:rsidRPr="008F7885" w:rsidRDefault="00273897" w:rsidP="00273897">
            <w:pPr>
              <w:snapToGrid w:val="0"/>
              <w:spacing w:line="240" w:lineRule="exact"/>
              <w:jc w:val="right"/>
              <w:rPr>
                <w:rFonts w:ascii="標楷體" w:eastAsia="標楷體" w:hAnsi="標楷體"/>
                <w:b/>
                <w:sz w:val="26"/>
                <w:szCs w:val="26"/>
              </w:rPr>
            </w:pPr>
            <w:r w:rsidRPr="008F7885">
              <w:rPr>
                <w:rFonts w:ascii="標楷體" w:eastAsia="標楷體" w:hAnsi="標楷體" w:hint="eastAsia"/>
                <w:b/>
                <w:sz w:val="26"/>
                <w:szCs w:val="26"/>
              </w:rPr>
              <w:t>1</w:t>
            </w:r>
            <w:r w:rsidRPr="008F7885">
              <w:rPr>
                <w:rFonts w:ascii="標楷體" w:eastAsia="標楷體" w:hAnsi="標楷體"/>
                <w:b/>
                <w:sz w:val="26"/>
                <w:szCs w:val="26"/>
              </w:rPr>
              <w:t>00.50</w:t>
            </w:r>
          </w:p>
        </w:tc>
      </w:tr>
      <w:tr w:rsidR="00273897" w:rsidRPr="008F7885" w:rsidTr="00273897">
        <w:tc>
          <w:tcPr>
            <w:tcW w:w="1048" w:type="dxa"/>
            <w:shd w:val="clear" w:color="auto" w:fill="auto"/>
            <w:vAlign w:val="center"/>
          </w:tcPr>
          <w:p w:rsidR="00273897" w:rsidRPr="008F7885" w:rsidRDefault="00273897" w:rsidP="00273897">
            <w:pPr>
              <w:snapToGrid w:val="0"/>
              <w:spacing w:line="260" w:lineRule="exact"/>
              <w:jc w:val="center"/>
              <w:rPr>
                <w:rFonts w:ascii="標楷體" w:eastAsia="標楷體" w:hAnsi="標楷體"/>
                <w:b/>
                <w:sz w:val="26"/>
                <w:szCs w:val="26"/>
              </w:rPr>
            </w:pPr>
            <w:r w:rsidRPr="008F7885">
              <w:rPr>
                <w:rFonts w:ascii="標楷體" w:eastAsia="標楷體" w:hAnsi="標楷體" w:hint="eastAsia"/>
                <w:b/>
                <w:sz w:val="26"/>
                <w:szCs w:val="26"/>
              </w:rPr>
              <w:t>合計</w:t>
            </w:r>
          </w:p>
        </w:tc>
        <w:tc>
          <w:tcPr>
            <w:tcW w:w="1128" w:type="dxa"/>
            <w:shd w:val="clear" w:color="auto" w:fill="auto"/>
            <w:vAlign w:val="center"/>
          </w:tcPr>
          <w:p w:rsidR="00273897" w:rsidRPr="008F7885" w:rsidRDefault="00273897" w:rsidP="00273897">
            <w:pPr>
              <w:snapToGrid w:val="0"/>
              <w:spacing w:line="260" w:lineRule="exact"/>
              <w:jc w:val="right"/>
              <w:rPr>
                <w:rFonts w:ascii="標楷體" w:eastAsia="標楷體" w:hAnsi="標楷體"/>
                <w:b/>
                <w:sz w:val="26"/>
                <w:szCs w:val="26"/>
              </w:rPr>
            </w:pPr>
            <w:r w:rsidRPr="008F7885">
              <w:rPr>
                <w:rFonts w:ascii="標楷體" w:eastAsia="標楷體" w:hAnsi="標楷體" w:hint="eastAsia"/>
                <w:b/>
                <w:sz w:val="26"/>
                <w:szCs w:val="26"/>
              </w:rPr>
              <w:t>2</w:t>
            </w:r>
            <w:r w:rsidRPr="008F7885">
              <w:rPr>
                <w:rFonts w:ascii="標楷體" w:eastAsia="標楷體" w:hAnsi="標楷體"/>
                <w:b/>
                <w:sz w:val="26"/>
                <w:szCs w:val="26"/>
              </w:rPr>
              <w:t>85,668</w:t>
            </w:r>
          </w:p>
        </w:tc>
        <w:tc>
          <w:tcPr>
            <w:tcW w:w="1128" w:type="dxa"/>
            <w:shd w:val="clear" w:color="auto" w:fill="auto"/>
            <w:vAlign w:val="center"/>
          </w:tcPr>
          <w:p w:rsidR="00273897" w:rsidRPr="008F7885" w:rsidRDefault="00273897" w:rsidP="00273897">
            <w:pPr>
              <w:snapToGrid w:val="0"/>
              <w:spacing w:line="260" w:lineRule="exact"/>
              <w:jc w:val="both"/>
              <w:rPr>
                <w:rFonts w:ascii="標楷體" w:eastAsia="標楷體" w:hAnsi="標楷體"/>
                <w:b/>
                <w:sz w:val="26"/>
                <w:szCs w:val="26"/>
              </w:rPr>
            </w:pPr>
            <w:r w:rsidRPr="008F7885">
              <w:rPr>
                <w:rFonts w:ascii="標楷體" w:eastAsia="標楷體" w:hAnsi="標楷體" w:hint="eastAsia"/>
                <w:b/>
                <w:sz w:val="26"/>
                <w:szCs w:val="26"/>
              </w:rPr>
              <w:t>260</w:t>
            </w:r>
            <w:r w:rsidRPr="008F7885">
              <w:rPr>
                <w:rFonts w:ascii="標楷體" w:eastAsia="標楷體" w:hAnsi="標楷體"/>
                <w:b/>
                <w:sz w:val="26"/>
                <w:szCs w:val="26"/>
              </w:rPr>
              <w:t>,907</w:t>
            </w:r>
          </w:p>
        </w:tc>
        <w:tc>
          <w:tcPr>
            <w:tcW w:w="1128" w:type="dxa"/>
            <w:shd w:val="clear" w:color="auto" w:fill="auto"/>
            <w:vAlign w:val="center"/>
          </w:tcPr>
          <w:p w:rsidR="00273897" w:rsidRPr="008F7885" w:rsidRDefault="00273897" w:rsidP="00273897">
            <w:pPr>
              <w:snapToGrid w:val="0"/>
              <w:spacing w:line="260" w:lineRule="exact"/>
              <w:jc w:val="right"/>
              <w:rPr>
                <w:rFonts w:ascii="標楷體" w:eastAsia="標楷體" w:hAnsi="標楷體"/>
                <w:b/>
                <w:sz w:val="26"/>
                <w:szCs w:val="26"/>
              </w:rPr>
            </w:pPr>
            <w:r w:rsidRPr="008F7885">
              <w:rPr>
                <w:rFonts w:ascii="標楷體" w:eastAsia="標楷體" w:hAnsi="標楷體" w:hint="eastAsia"/>
                <w:b/>
                <w:sz w:val="26"/>
                <w:szCs w:val="26"/>
              </w:rPr>
              <w:t>2</w:t>
            </w:r>
            <w:r w:rsidRPr="008F7885">
              <w:rPr>
                <w:rFonts w:ascii="標楷體" w:eastAsia="標楷體" w:hAnsi="標楷體"/>
                <w:b/>
                <w:sz w:val="26"/>
                <w:szCs w:val="26"/>
              </w:rPr>
              <w:t>54,785</w:t>
            </w:r>
          </w:p>
        </w:tc>
        <w:tc>
          <w:tcPr>
            <w:tcW w:w="1119" w:type="dxa"/>
            <w:shd w:val="clear" w:color="auto" w:fill="auto"/>
            <w:vAlign w:val="center"/>
          </w:tcPr>
          <w:p w:rsidR="00273897" w:rsidRPr="008F7885" w:rsidRDefault="00273897" w:rsidP="00273897">
            <w:pPr>
              <w:snapToGrid w:val="0"/>
              <w:spacing w:line="260" w:lineRule="exact"/>
              <w:jc w:val="right"/>
              <w:rPr>
                <w:rFonts w:ascii="標楷體" w:eastAsia="標楷體" w:hAnsi="標楷體"/>
                <w:b/>
                <w:sz w:val="26"/>
                <w:szCs w:val="26"/>
              </w:rPr>
            </w:pPr>
            <w:r w:rsidRPr="008F7885">
              <w:rPr>
                <w:rFonts w:ascii="標楷體" w:eastAsia="標楷體" w:hAnsi="標楷體" w:hint="eastAsia"/>
                <w:b/>
                <w:sz w:val="26"/>
                <w:szCs w:val="26"/>
              </w:rPr>
              <w:t>9</w:t>
            </w:r>
            <w:r w:rsidRPr="008F7885">
              <w:rPr>
                <w:rFonts w:ascii="標楷體" w:eastAsia="標楷體" w:hAnsi="標楷體"/>
                <w:b/>
                <w:sz w:val="26"/>
                <w:szCs w:val="26"/>
              </w:rPr>
              <w:t>5.32</w:t>
            </w:r>
          </w:p>
        </w:tc>
        <w:tc>
          <w:tcPr>
            <w:tcW w:w="1128" w:type="dxa"/>
            <w:shd w:val="clear" w:color="auto" w:fill="auto"/>
            <w:vAlign w:val="center"/>
          </w:tcPr>
          <w:p w:rsidR="00273897" w:rsidRPr="008F7885" w:rsidRDefault="00273897" w:rsidP="00273897">
            <w:pPr>
              <w:snapToGrid w:val="0"/>
              <w:spacing w:line="260" w:lineRule="exact"/>
              <w:jc w:val="both"/>
              <w:rPr>
                <w:rFonts w:ascii="標楷體" w:eastAsia="標楷體" w:hAnsi="標楷體"/>
                <w:b/>
                <w:sz w:val="26"/>
                <w:szCs w:val="26"/>
              </w:rPr>
            </w:pPr>
            <w:r w:rsidRPr="008F7885">
              <w:rPr>
                <w:rFonts w:ascii="標楷體" w:eastAsia="標楷體" w:hAnsi="標楷體"/>
                <w:b/>
                <w:sz w:val="26"/>
                <w:szCs w:val="26"/>
              </w:rPr>
              <w:t>24</w:t>
            </w:r>
            <w:r w:rsidRPr="008F7885">
              <w:rPr>
                <w:rFonts w:ascii="標楷體" w:eastAsia="標楷體" w:hAnsi="標楷體" w:hint="eastAsia"/>
                <w:b/>
                <w:sz w:val="26"/>
                <w:szCs w:val="26"/>
              </w:rPr>
              <w:t>8</w:t>
            </w:r>
            <w:r w:rsidRPr="008F7885">
              <w:rPr>
                <w:rFonts w:ascii="標楷體" w:eastAsia="標楷體" w:hAnsi="標楷體"/>
                <w:b/>
                <w:sz w:val="26"/>
                <w:szCs w:val="26"/>
              </w:rPr>
              <w:t>,804</w:t>
            </w:r>
          </w:p>
        </w:tc>
        <w:tc>
          <w:tcPr>
            <w:tcW w:w="1128" w:type="dxa"/>
            <w:shd w:val="clear" w:color="auto" w:fill="auto"/>
            <w:vAlign w:val="center"/>
          </w:tcPr>
          <w:p w:rsidR="00273897" w:rsidRPr="008F7885" w:rsidRDefault="00273897" w:rsidP="00273897">
            <w:pPr>
              <w:snapToGrid w:val="0"/>
              <w:spacing w:line="260" w:lineRule="exact"/>
              <w:jc w:val="right"/>
              <w:rPr>
                <w:rFonts w:ascii="標楷體" w:eastAsia="標楷體" w:hAnsi="標楷體"/>
                <w:b/>
                <w:sz w:val="26"/>
                <w:szCs w:val="26"/>
              </w:rPr>
            </w:pPr>
            <w:r w:rsidRPr="008F7885">
              <w:rPr>
                <w:rFonts w:ascii="標楷體" w:eastAsia="標楷體" w:hAnsi="標楷體" w:hint="eastAsia"/>
                <w:b/>
                <w:sz w:val="26"/>
                <w:szCs w:val="26"/>
              </w:rPr>
              <w:t>1</w:t>
            </w:r>
            <w:r w:rsidRPr="008F7885">
              <w:rPr>
                <w:rFonts w:ascii="標楷體" w:eastAsia="標楷體" w:hAnsi="標楷體"/>
                <w:b/>
                <w:sz w:val="26"/>
                <w:szCs w:val="26"/>
              </w:rPr>
              <w:t>15,480</w:t>
            </w:r>
          </w:p>
        </w:tc>
        <w:tc>
          <w:tcPr>
            <w:tcW w:w="1119" w:type="dxa"/>
            <w:shd w:val="clear" w:color="auto" w:fill="auto"/>
            <w:vAlign w:val="center"/>
          </w:tcPr>
          <w:p w:rsidR="00273897" w:rsidRPr="008F7885" w:rsidRDefault="00273897" w:rsidP="00273897">
            <w:pPr>
              <w:snapToGrid w:val="0"/>
              <w:spacing w:line="260" w:lineRule="exact"/>
              <w:jc w:val="right"/>
              <w:rPr>
                <w:rFonts w:ascii="標楷體" w:eastAsia="標楷體" w:hAnsi="標楷體"/>
                <w:b/>
                <w:sz w:val="26"/>
                <w:szCs w:val="26"/>
              </w:rPr>
            </w:pPr>
            <w:r w:rsidRPr="008F7885">
              <w:rPr>
                <w:rFonts w:ascii="標楷體" w:eastAsia="標楷體" w:hAnsi="標楷體" w:hint="eastAsia"/>
                <w:b/>
                <w:sz w:val="26"/>
                <w:szCs w:val="26"/>
              </w:rPr>
              <w:t>4</w:t>
            </w:r>
            <w:r w:rsidRPr="008F7885">
              <w:rPr>
                <w:rFonts w:ascii="標楷體" w:eastAsia="標楷體" w:hAnsi="標楷體"/>
                <w:b/>
                <w:sz w:val="26"/>
                <w:szCs w:val="26"/>
              </w:rPr>
              <w:t>6.19</w:t>
            </w:r>
          </w:p>
        </w:tc>
      </w:tr>
    </w:tbl>
    <w:p w:rsidR="00273897" w:rsidRPr="008F7885" w:rsidRDefault="00273897" w:rsidP="00273897">
      <w:pPr>
        <w:snapToGrid w:val="0"/>
        <w:spacing w:beforeLines="50" w:before="180" w:line="500" w:lineRule="exact"/>
        <w:ind w:leftChars="295" w:left="708"/>
        <w:contextualSpacing/>
        <w:jc w:val="both"/>
        <w:rPr>
          <w:rFonts w:ascii="標楷體" w:eastAsia="標楷體" w:hAnsi="標楷體"/>
          <w:sz w:val="32"/>
          <w:szCs w:val="32"/>
        </w:rPr>
      </w:pPr>
      <w:r w:rsidRPr="008F7885">
        <w:rPr>
          <w:rFonts w:ascii="標楷體" w:eastAsia="標楷體" w:hAnsi="標楷體" w:hint="eastAsia"/>
          <w:sz w:val="32"/>
          <w:szCs w:val="32"/>
        </w:rPr>
        <w:t xml:space="preserve">    另查，近年因疫情因素致各場館參觀人次大幅減少，總參觀人次由108年度1,167萬1,058人次，大幅減為110年度710萬9,204人次。而各場館辦理特展之總次數亦自107年度40次，減至110年度33次。教育部應加強各場館舉辦特展與行銷推廣，以提升館藏資源使用效率，並於3個月內向立法院教育及文化委員會提出改善方案書面報告。2</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提案人：黃國書  王婉諭</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連署人：林宜瑾</w:t>
      </w:r>
    </w:p>
    <w:p w:rsidR="00273897" w:rsidRPr="008F7885" w:rsidRDefault="00273897" w:rsidP="00273897">
      <w:pPr>
        <w:snapToGrid w:val="0"/>
        <w:spacing w:beforeLines="50" w:before="180" w:line="500" w:lineRule="exact"/>
        <w:ind w:left="640" w:hangingChars="200" w:hanging="640"/>
        <w:contextualSpacing/>
        <w:rPr>
          <w:rFonts w:ascii="標楷體" w:eastAsia="標楷體" w:hAnsi="標楷體"/>
          <w:sz w:val="32"/>
          <w:szCs w:val="32"/>
        </w:rPr>
      </w:pPr>
      <w:r w:rsidRPr="008F7885">
        <w:rPr>
          <w:rFonts w:ascii="標楷體" w:eastAsia="標楷體" w:hAnsi="標楷體" w:hint="eastAsia"/>
          <w:sz w:val="32"/>
          <w:szCs w:val="32"/>
        </w:rPr>
        <w:t>六、國立高級中等學校校務基金—照案通過。另通過決議1項：</w:t>
      </w:r>
    </w:p>
    <w:p w:rsidR="00273897" w:rsidRPr="008F7885" w:rsidRDefault="00273897" w:rsidP="00273897">
      <w:pPr>
        <w:snapToGrid w:val="0"/>
        <w:spacing w:beforeLines="50" w:before="180" w:line="500" w:lineRule="exact"/>
        <w:ind w:leftChars="295" w:left="708"/>
        <w:contextualSpacing/>
        <w:jc w:val="both"/>
        <w:rPr>
          <w:rFonts w:ascii="標楷體" w:eastAsia="標楷體" w:hAnsi="標楷體"/>
          <w:sz w:val="32"/>
          <w:szCs w:val="32"/>
        </w:rPr>
      </w:pPr>
      <w:r w:rsidRPr="008F7885">
        <w:rPr>
          <w:rFonts w:ascii="標楷體" w:eastAsia="標楷體" w:hAnsi="標楷體" w:hint="eastAsia"/>
          <w:sz w:val="32"/>
          <w:szCs w:val="32"/>
        </w:rPr>
        <w:t xml:space="preserve">    我國受少子女化之影響，學生人數持續下滑，教育部曾預估126學年度高中1年級學生數恐降至僅15萬人。據統計，110學年度國立高中及私立高中之招生情形，國立高中招生率未達60%者計20校、占比15.27%，私立高中則為58校、占比60.42%。</w:t>
      </w:r>
    </w:p>
    <w:p w:rsidR="00273897" w:rsidRPr="008F7885" w:rsidRDefault="00273897" w:rsidP="00273897">
      <w:pPr>
        <w:snapToGrid w:val="0"/>
        <w:spacing w:beforeLines="50" w:before="180" w:line="500" w:lineRule="exact"/>
        <w:ind w:leftChars="295" w:left="708"/>
        <w:contextualSpacing/>
        <w:jc w:val="both"/>
        <w:rPr>
          <w:rFonts w:ascii="標楷體" w:eastAsia="標楷體" w:hAnsi="標楷體"/>
          <w:sz w:val="32"/>
          <w:szCs w:val="32"/>
        </w:rPr>
      </w:pPr>
      <w:r w:rsidRPr="008F7885">
        <w:rPr>
          <w:rFonts w:ascii="標楷體" w:eastAsia="標楷體" w:hAnsi="標楷體" w:hint="eastAsia"/>
          <w:sz w:val="32"/>
          <w:szCs w:val="32"/>
        </w:rPr>
        <w:lastRenderedPageBreak/>
        <w:t>教育部雖已針對國立高中分階段調降班級學生人數，並調減部分學校之班級數，以紓緩招生困境。惟各高中仍有多校之註冊率未達六成，爰請教育部應從速研擬輔導辦學措施以確保學生權益，並於3個月內向立法院教育及文化委員會提出書面報告。5</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提案人：黃國書  王婉諭</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連署人：林宜瑾</w:t>
      </w:r>
    </w:p>
    <w:p w:rsidR="00273897" w:rsidRPr="008F7885" w:rsidRDefault="00273897" w:rsidP="00273897">
      <w:pPr>
        <w:snapToGrid w:val="0"/>
        <w:spacing w:beforeLines="50" w:before="180" w:line="500" w:lineRule="exact"/>
        <w:ind w:left="640" w:hangingChars="200" w:hanging="640"/>
        <w:contextualSpacing/>
        <w:rPr>
          <w:rFonts w:ascii="標楷體" w:eastAsia="標楷體" w:hAnsi="標楷體"/>
          <w:snapToGrid w:val="0"/>
          <w:sz w:val="32"/>
          <w:szCs w:val="32"/>
        </w:rPr>
      </w:pPr>
      <w:r w:rsidRPr="008F7885">
        <w:rPr>
          <w:rFonts w:ascii="標楷體" w:eastAsia="標楷體" w:hAnsi="標楷體" w:hint="eastAsia"/>
          <w:sz w:val="32"/>
          <w:szCs w:val="32"/>
        </w:rPr>
        <w:t>七、學產基金—照案通過。</w:t>
      </w:r>
    </w:p>
    <w:p w:rsidR="00273897" w:rsidRPr="008F7885" w:rsidRDefault="00273897" w:rsidP="00273897">
      <w:pPr>
        <w:snapToGrid w:val="0"/>
        <w:spacing w:beforeLines="50" w:before="180" w:line="500" w:lineRule="exact"/>
        <w:ind w:left="640" w:hangingChars="200" w:hanging="640"/>
        <w:contextualSpacing/>
        <w:rPr>
          <w:rFonts w:ascii="標楷體" w:eastAsia="標楷體" w:hAnsi="標楷體"/>
          <w:sz w:val="32"/>
          <w:szCs w:val="32"/>
        </w:rPr>
      </w:pPr>
      <w:r w:rsidRPr="008F7885">
        <w:rPr>
          <w:rFonts w:ascii="標楷體" w:eastAsia="標楷體" w:hAnsi="標楷體" w:hint="eastAsia"/>
          <w:sz w:val="32"/>
          <w:szCs w:val="32"/>
        </w:rPr>
        <w:t>八、運動發展基金</w:t>
      </w:r>
    </w:p>
    <w:p w:rsidR="00273897" w:rsidRPr="008F7885" w:rsidRDefault="00273897" w:rsidP="00273897">
      <w:pPr>
        <w:snapToGrid w:val="0"/>
        <w:spacing w:beforeLines="50" w:before="180" w:line="500" w:lineRule="exact"/>
        <w:ind w:leftChars="200" w:left="1120" w:hangingChars="200" w:hanging="640"/>
        <w:contextualSpacing/>
        <w:rPr>
          <w:rFonts w:ascii="標楷體" w:eastAsia="標楷體" w:hAnsi="標楷體"/>
          <w:sz w:val="32"/>
          <w:szCs w:val="32"/>
        </w:rPr>
      </w:pPr>
      <w:r w:rsidRPr="008F7885">
        <w:rPr>
          <w:rFonts w:ascii="標楷體" w:eastAsia="標楷體" w:hAnsi="標楷體" w:hint="eastAsia"/>
          <w:sz w:val="32"/>
          <w:szCs w:val="32"/>
        </w:rPr>
        <w:t>(一)業務計畫：應依據基金來源與用途審查結果，隨同調整。</w:t>
      </w:r>
    </w:p>
    <w:p w:rsidR="00273897" w:rsidRPr="008F7885" w:rsidRDefault="00273897" w:rsidP="00273897">
      <w:pPr>
        <w:snapToGrid w:val="0"/>
        <w:spacing w:beforeLines="50" w:before="180" w:line="500" w:lineRule="exact"/>
        <w:ind w:leftChars="200" w:left="1120" w:hangingChars="200" w:hanging="640"/>
        <w:contextualSpacing/>
        <w:rPr>
          <w:rFonts w:ascii="標楷體" w:eastAsia="標楷體" w:hAnsi="標楷體"/>
          <w:sz w:val="32"/>
          <w:szCs w:val="32"/>
        </w:rPr>
      </w:pPr>
      <w:r w:rsidRPr="008F7885">
        <w:rPr>
          <w:rFonts w:ascii="標楷體" w:eastAsia="標楷體" w:hAnsi="標楷體" w:hint="eastAsia"/>
          <w:sz w:val="32"/>
          <w:szCs w:val="32"/>
        </w:rPr>
        <w:t>(二)基金來源、用途及餘絀：</w:t>
      </w:r>
    </w:p>
    <w:p w:rsidR="00273897" w:rsidRPr="008F7885" w:rsidRDefault="00273897" w:rsidP="00273897">
      <w:pPr>
        <w:snapToGrid w:val="0"/>
        <w:spacing w:beforeLines="50" w:before="180" w:line="500" w:lineRule="exact"/>
        <w:ind w:leftChars="450" w:left="1400" w:hangingChars="100" w:hanging="320"/>
        <w:contextualSpacing/>
        <w:rPr>
          <w:rFonts w:ascii="標楷體" w:eastAsia="標楷體" w:hAnsi="標楷體"/>
          <w:sz w:val="32"/>
          <w:szCs w:val="32"/>
        </w:rPr>
      </w:pPr>
      <w:r w:rsidRPr="008F7885">
        <w:rPr>
          <w:rFonts w:ascii="標楷體" w:eastAsia="標楷體" w:hAnsi="標楷體" w:hint="eastAsia"/>
          <w:sz w:val="32"/>
          <w:szCs w:val="32"/>
        </w:rPr>
        <w:t>1.基金來源：原列</w:t>
      </w:r>
      <w:r w:rsidRPr="008F7885">
        <w:rPr>
          <w:rFonts w:ascii="標楷體" w:eastAsia="標楷體" w:hAnsi="標楷體"/>
          <w:sz w:val="32"/>
          <w:szCs w:val="32"/>
        </w:rPr>
        <w:t>43</w:t>
      </w:r>
      <w:r w:rsidRPr="008F7885">
        <w:rPr>
          <w:rFonts w:ascii="標楷體" w:eastAsia="標楷體" w:hAnsi="標楷體" w:hint="eastAsia"/>
          <w:sz w:val="32"/>
          <w:szCs w:val="32"/>
        </w:rPr>
        <w:t>億</w:t>
      </w:r>
      <w:r w:rsidRPr="008F7885">
        <w:rPr>
          <w:rFonts w:ascii="標楷體" w:eastAsia="標楷體" w:hAnsi="標楷體"/>
          <w:sz w:val="32"/>
          <w:szCs w:val="32"/>
        </w:rPr>
        <w:t>5</w:t>
      </w:r>
      <w:r w:rsidRPr="008F7885">
        <w:rPr>
          <w:rFonts w:ascii="標楷體" w:eastAsia="標楷體" w:hAnsi="標楷體" w:hint="eastAsia"/>
          <w:sz w:val="32"/>
          <w:szCs w:val="32"/>
        </w:rPr>
        <w:t>,</w:t>
      </w:r>
      <w:r w:rsidRPr="008F7885">
        <w:rPr>
          <w:rFonts w:ascii="標楷體" w:eastAsia="標楷體" w:hAnsi="標楷體"/>
          <w:sz w:val="32"/>
          <w:szCs w:val="32"/>
        </w:rPr>
        <w:t>477</w:t>
      </w:r>
      <w:r w:rsidRPr="008F7885">
        <w:rPr>
          <w:rFonts w:ascii="標楷體" w:eastAsia="標楷體" w:hAnsi="標楷體" w:hint="eastAsia"/>
          <w:sz w:val="32"/>
          <w:szCs w:val="32"/>
        </w:rPr>
        <w:t>萬8千元，增列「徵收及依法分配收入-運動彩券盈餘分配收入」2億元，其餘均照列，改列為45億5,477萬8千元。</w:t>
      </w:r>
    </w:p>
    <w:p w:rsidR="00273897" w:rsidRPr="008F7885" w:rsidRDefault="00273897" w:rsidP="00273897">
      <w:pPr>
        <w:snapToGrid w:val="0"/>
        <w:spacing w:beforeLines="50" w:before="180" w:line="500" w:lineRule="exact"/>
        <w:ind w:leftChars="450" w:left="1400" w:hangingChars="100" w:hanging="320"/>
        <w:contextualSpacing/>
        <w:rPr>
          <w:rFonts w:ascii="標楷體" w:eastAsia="標楷體" w:hAnsi="標楷體"/>
          <w:sz w:val="32"/>
          <w:szCs w:val="32"/>
        </w:rPr>
      </w:pPr>
      <w:r w:rsidRPr="008F7885">
        <w:rPr>
          <w:rFonts w:ascii="標楷體" w:eastAsia="標楷體" w:hAnsi="標楷體" w:hint="eastAsia"/>
          <w:sz w:val="32"/>
          <w:szCs w:val="32"/>
        </w:rPr>
        <w:t>2.基金用途：68億2,</w:t>
      </w:r>
      <w:r w:rsidRPr="008F7885">
        <w:rPr>
          <w:rFonts w:ascii="標楷體" w:eastAsia="標楷體" w:hAnsi="標楷體"/>
          <w:sz w:val="32"/>
          <w:szCs w:val="32"/>
        </w:rPr>
        <w:t>190</w:t>
      </w:r>
      <w:r w:rsidRPr="008F7885">
        <w:rPr>
          <w:rFonts w:ascii="標楷體" w:eastAsia="標楷體" w:hAnsi="標楷體" w:hint="eastAsia"/>
          <w:sz w:val="32"/>
          <w:szCs w:val="32"/>
        </w:rPr>
        <w:t>萬</w:t>
      </w:r>
      <w:r w:rsidRPr="008F7885">
        <w:rPr>
          <w:rFonts w:ascii="標楷體" w:eastAsia="標楷體" w:hAnsi="標楷體"/>
          <w:sz w:val="32"/>
          <w:szCs w:val="32"/>
        </w:rPr>
        <w:t>2</w:t>
      </w:r>
      <w:r w:rsidRPr="008F7885">
        <w:rPr>
          <w:rFonts w:ascii="標楷體" w:eastAsia="標楷體" w:hAnsi="標楷體" w:hint="eastAsia"/>
          <w:sz w:val="32"/>
          <w:szCs w:val="32"/>
        </w:rPr>
        <w:t>千元，照列。</w:t>
      </w:r>
    </w:p>
    <w:p w:rsidR="00273897" w:rsidRPr="008F7885" w:rsidRDefault="00273897" w:rsidP="00273897">
      <w:pPr>
        <w:snapToGrid w:val="0"/>
        <w:spacing w:beforeLines="50" w:before="180" w:line="500" w:lineRule="exact"/>
        <w:ind w:leftChars="450" w:left="1400" w:hangingChars="100" w:hanging="320"/>
        <w:contextualSpacing/>
        <w:rPr>
          <w:rFonts w:ascii="標楷體" w:eastAsia="標楷體" w:hAnsi="標楷體"/>
          <w:sz w:val="32"/>
          <w:szCs w:val="32"/>
        </w:rPr>
      </w:pPr>
      <w:r w:rsidRPr="008F7885">
        <w:rPr>
          <w:rFonts w:ascii="標楷體" w:eastAsia="標楷體" w:hAnsi="標楷體" w:hint="eastAsia"/>
          <w:sz w:val="32"/>
          <w:szCs w:val="32"/>
        </w:rPr>
        <w:t>3.本期短絀：原列</w:t>
      </w:r>
      <w:r w:rsidRPr="008F7885">
        <w:rPr>
          <w:rFonts w:ascii="標楷體" w:eastAsia="標楷體" w:hAnsi="標楷體"/>
          <w:sz w:val="32"/>
          <w:szCs w:val="32"/>
        </w:rPr>
        <w:t>24</w:t>
      </w:r>
      <w:r w:rsidRPr="008F7885">
        <w:rPr>
          <w:rFonts w:ascii="標楷體" w:eastAsia="標楷體" w:hAnsi="標楷體" w:hint="eastAsia"/>
          <w:sz w:val="32"/>
          <w:szCs w:val="32"/>
        </w:rPr>
        <w:t>億</w:t>
      </w:r>
      <w:r w:rsidRPr="008F7885">
        <w:rPr>
          <w:rFonts w:ascii="標楷體" w:eastAsia="標楷體" w:hAnsi="標楷體"/>
          <w:sz w:val="32"/>
          <w:szCs w:val="32"/>
        </w:rPr>
        <w:t>6</w:t>
      </w:r>
      <w:r w:rsidRPr="008F7885">
        <w:rPr>
          <w:rFonts w:ascii="標楷體" w:eastAsia="標楷體" w:hAnsi="標楷體" w:hint="eastAsia"/>
          <w:sz w:val="32"/>
          <w:szCs w:val="32"/>
        </w:rPr>
        <w:t>,</w:t>
      </w:r>
      <w:r w:rsidRPr="008F7885">
        <w:rPr>
          <w:rFonts w:ascii="標楷體" w:eastAsia="標楷體" w:hAnsi="標楷體"/>
          <w:sz w:val="32"/>
          <w:szCs w:val="32"/>
        </w:rPr>
        <w:t>712</w:t>
      </w:r>
      <w:r w:rsidRPr="008F7885">
        <w:rPr>
          <w:rFonts w:ascii="標楷體" w:eastAsia="標楷體" w:hAnsi="標楷體" w:hint="eastAsia"/>
          <w:sz w:val="32"/>
          <w:szCs w:val="32"/>
        </w:rPr>
        <w:t>萬</w:t>
      </w:r>
      <w:r w:rsidRPr="008F7885">
        <w:rPr>
          <w:rFonts w:ascii="標楷體" w:eastAsia="標楷體" w:hAnsi="標楷體"/>
          <w:sz w:val="32"/>
          <w:szCs w:val="32"/>
        </w:rPr>
        <w:t>4</w:t>
      </w:r>
      <w:r w:rsidRPr="008F7885">
        <w:rPr>
          <w:rFonts w:ascii="標楷體" w:eastAsia="標楷體" w:hAnsi="標楷體" w:hint="eastAsia"/>
          <w:sz w:val="32"/>
          <w:szCs w:val="32"/>
        </w:rPr>
        <w:t>千元，減列2億元，改列為2</w:t>
      </w:r>
      <w:r w:rsidRPr="008F7885">
        <w:rPr>
          <w:rFonts w:ascii="標楷體" w:eastAsia="標楷體" w:hAnsi="標楷體"/>
          <w:sz w:val="32"/>
          <w:szCs w:val="32"/>
        </w:rPr>
        <w:t>2</w:t>
      </w:r>
      <w:r w:rsidRPr="008F7885">
        <w:rPr>
          <w:rFonts w:ascii="標楷體" w:eastAsia="標楷體" w:hAnsi="標楷體" w:hint="eastAsia"/>
          <w:sz w:val="32"/>
          <w:szCs w:val="32"/>
        </w:rPr>
        <w:t>億6,712萬4千元。</w:t>
      </w:r>
    </w:p>
    <w:p w:rsidR="00273897" w:rsidRPr="008F7885" w:rsidRDefault="00273897" w:rsidP="00273897">
      <w:pPr>
        <w:snapToGrid w:val="0"/>
        <w:spacing w:beforeLines="50" w:before="180" w:line="500" w:lineRule="exact"/>
        <w:ind w:leftChars="200" w:left="1120" w:hangingChars="200" w:hanging="640"/>
        <w:contextualSpacing/>
        <w:rPr>
          <w:rFonts w:ascii="標楷體" w:eastAsia="標楷體" w:hAnsi="標楷體"/>
          <w:sz w:val="32"/>
          <w:szCs w:val="32"/>
        </w:rPr>
      </w:pPr>
      <w:r w:rsidRPr="008F7885">
        <w:rPr>
          <w:rFonts w:ascii="標楷體" w:eastAsia="標楷體" w:hAnsi="標楷體" w:hint="eastAsia"/>
          <w:sz w:val="32"/>
          <w:szCs w:val="32"/>
        </w:rPr>
        <w:t>(三)解繳公庫：無列數。</w:t>
      </w:r>
    </w:p>
    <w:p w:rsidR="00273897" w:rsidRPr="008F7885" w:rsidRDefault="00273897" w:rsidP="00273897">
      <w:pPr>
        <w:snapToGrid w:val="0"/>
        <w:spacing w:beforeLines="50" w:before="180" w:line="500" w:lineRule="exact"/>
        <w:ind w:leftChars="200" w:left="1120" w:hangingChars="200" w:hanging="640"/>
        <w:contextualSpacing/>
        <w:rPr>
          <w:rFonts w:ascii="標楷體" w:eastAsia="標楷體" w:hAnsi="標楷體"/>
          <w:sz w:val="32"/>
          <w:szCs w:val="32"/>
        </w:rPr>
      </w:pPr>
      <w:r w:rsidRPr="008F7885">
        <w:rPr>
          <w:rFonts w:ascii="標楷體" w:eastAsia="標楷體" w:hAnsi="標楷體" w:hint="eastAsia"/>
          <w:sz w:val="32"/>
          <w:szCs w:val="32"/>
        </w:rPr>
        <w:t>(四)通過決議9項：</w:t>
      </w:r>
    </w:p>
    <w:p w:rsidR="00273897" w:rsidRPr="008F7885" w:rsidRDefault="00273897" w:rsidP="00273897">
      <w:pPr>
        <w:snapToGrid w:val="0"/>
        <w:spacing w:beforeLines="50" w:before="180" w:line="500" w:lineRule="exact"/>
        <w:ind w:leftChars="450" w:left="1400" w:hangingChars="100" w:hanging="320"/>
        <w:contextualSpacing/>
        <w:jc w:val="both"/>
        <w:rPr>
          <w:rFonts w:ascii="標楷體" w:eastAsia="標楷體" w:hAnsi="標楷體"/>
          <w:snapToGrid w:val="0"/>
          <w:sz w:val="32"/>
          <w:szCs w:val="32"/>
        </w:rPr>
      </w:pPr>
      <w:r w:rsidRPr="008F7885">
        <w:rPr>
          <w:rFonts w:ascii="標楷體" w:eastAsia="標楷體" w:hAnsi="標楷體" w:hint="eastAsia"/>
          <w:snapToGrid w:val="0"/>
          <w:sz w:val="32"/>
          <w:szCs w:val="32"/>
        </w:rPr>
        <w:t>1.112年度運動發展基金「基金用途」預算編列68億</w:t>
      </w:r>
      <w:r w:rsidRPr="008F7885">
        <w:rPr>
          <w:rFonts w:ascii="標楷體" w:eastAsia="標楷體" w:hAnsi="標楷體"/>
          <w:snapToGrid w:val="0"/>
          <w:sz w:val="32"/>
          <w:szCs w:val="32"/>
        </w:rPr>
        <w:t>2</w:t>
      </w:r>
      <w:r w:rsidRPr="008F7885">
        <w:rPr>
          <w:rFonts w:ascii="標楷體" w:eastAsia="標楷體" w:hAnsi="標楷體" w:hint="eastAsia"/>
          <w:snapToGrid w:val="0"/>
          <w:sz w:val="32"/>
          <w:szCs w:val="32"/>
        </w:rPr>
        <w:t>,</w:t>
      </w:r>
      <w:r w:rsidRPr="008F7885">
        <w:rPr>
          <w:rFonts w:ascii="標楷體" w:eastAsia="標楷體" w:hAnsi="標楷體"/>
          <w:snapToGrid w:val="0"/>
          <w:sz w:val="32"/>
          <w:szCs w:val="32"/>
        </w:rPr>
        <w:t>190</w:t>
      </w:r>
      <w:r w:rsidRPr="008F7885">
        <w:rPr>
          <w:rFonts w:ascii="標楷體" w:eastAsia="標楷體" w:hAnsi="標楷體" w:hint="eastAsia"/>
          <w:snapToGrid w:val="0"/>
          <w:sz w:val="32"/>
          <w:szCs w:val="32"/>
        </w:rPr>
        <w:t>萬</w:t>
      </w:r>
      <w:r w:rsidRPr="008F7885">
        <w:rPr>
          <w:rFonts w:ascii="標楷體" w:eastAsia="標楷體" w:hAnsi="標楷體"/>
          <w:snapToGrid w:val="0"/>
          <w:sz w:val="32"/>
          <w:szCs w:val="32"/>
        </w:rPr>
        <w:t>2</w:t>
      </w:r>
      <w:r w:rsidRPr="008F7885">
        <w:rPr>
          <w:rFonts w:ascii="標楷體" w:eastAsia="標楷體" w:hAnsi="標楷體" w:hint="eastAsia"/>
          <w:snapToGrid w:val="0"/>
          <w:sz w:val="32"/>
          <w:szCs w:val="32"/>
        </w:rPr>
        <w:t>千元，凍結</w:t>
      </w:r>
      <w:r w:rsidRPr="008F7885">
        <w:rPr>
          <w:rFonts w:ascii="標楷體" w:eastAsia="標楷體" w:hAnsi="標楷體"/>
          <w:snapToGrid w:val="0"/>
          <w:sz w:val="32"/>
          <w:szCs w:val="32"/>
        </w:rPr>
        <w:t>100</w:t>
      </w:r>
      <w:r w:rsidRPr="008F7885">
        <w:rPr>
          <w:rFonts w:ascii="標楷體" w:eastAsia="標楷體" w:hAnsi="標楷體" w:hint="eastAsia"/>
          <w:snapToGrid w:val="0"/>
          <w:sz w:val="32"/>
          <w:szCs w:val="32"/>
        </w:rPr>
        <w:t>萬元，俟教育部向立法院教育及文化委員會提出書面報告後，始得動支。8</w:t>
      </w:r>
      <w:r w:rsidRPr="008F7885">
        <w:rPr>
          <w:rFonts w:ascii="標楷體" w:eastAsia="標楷體" w:hAnsi="標楷體"/>
          <w:snapToGrid w:val="0"/>
          <w:sz w:val="32"/>
          <w:szCs w:val="32"/>
        </w:rPr>
        <w:t>-22</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提案人：賴品妤  陳秀寳  吳思瑤 張廖萬堅</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 xml:space="preserve">        范  雲  何欣純  鄭正鈐</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連署人：黃國書  林宜瑾  吳怡玎  萬美玲</w:t>
      </w:r>
    </w:p>
    <w:p w:rsidR="00273897" w:rsidRPr="008F7885" w:rsidRDefault="00273897" w:rsidP="00273897">
      <w:pPr>
        <w:snapToGrid w:val="0"/>
        <w:spacing w:beforeLines="50" w:before="180" w:line="500" w:lineRule="exact"/>
        <w:ind w:leftChars="450" w:left="1400" w:hangingChars="100" w:hanging="320"/>
        <w:contextualSpacing/>
        <w:jc w:val="both"/>
        <w:rPr>
          <w:rFonts w:ascii="標楷體" w:eastAsia="標楷體" w:hAnsi="標楷體"/>
          <w:sz w:val="32"/>
          <w:szCs w:val="32"/>
        </w:rPr>
      </w:pPr>
      <w:r w:rsidRPr="008F7885">
        <w:rPr>
          <w:rFonts w:ascii="標楷體" w:eastAsia="標楷體" w:hAnsi="標楷體" w:hint="eastAsia"/>
          <w:sz w:val="32"/>
          <w:szCs w:val="32"/>
        </w:rPr>
        <w:t>2.112年度運動發展基金「培訓體育運動人才及運動訓練環境改善計畫」編列委託民間團體輔導團體奧亞運各單項運動協會辦理教練、裁判培訓及運動紀錄規則審查743萬元、</w:t>
      </w:r>
      <w:r w:rsidRPr="008F7885">
        <w:rPr>
          <w:rFonts w:ascii="標楷體" w:eastAsia="標楷體" w:hAnsi="標楷體" w:hint="eastAsia"/>
          <w:sz w:val="32"/>
          <w:szCs w:val="32"/>
        </w:rPr>
        <w:lastRenderedPageBreak/>
        <w:t>補助奧亞運單項運動協會辦理教練、裁判資格檢定及專業進修經費1</w:t>
      </w:r>
      <w:r w:rsidRPr="008F7885">
        <w:rPr>
          <w:rFonts w:ascii="標楷體" w:eastAsia="標楷體" w:hAnsi="標楷體"/>
          <w:sz w:val="32"/>
          <w:szCs w:val="32"/>
        </w:rPr>
        <w:t>,</w:t>
      </w:r>
      <w:r w:rsidRPr="008F7885">
        <w:rPr>
          <w:rFonts w:ascii="標楷體" w:eastAsia="標楷體" w:hAnsi="標楷體" w:hint="eastAsia"/>
          <w:sz w:val="32"/>
          <w:szCs w:val="32"/>
        </w:rPr>
        <w:t>757萬元。歷年來各界積極要求強化教練管理及篩選機制、要求各協會制定教練回流計畫、教練相關證照註銷等辦法，教育部體育署未積極規劃，恐讓無良教練繼續以不當方式教育學生。爰此，請教育部體育署針對教練管考機制、回流制度及證照註銷辦法，於3個月內向立法院教育及文化委員會提出書面報告。9</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提案人：陳秀寳</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連署人：范  雲  黃國書</w:t>
      </w:r>
    </w:p>
    <w:p w:rsidR="00273897" w:rsidRPr="008F7885" w:rsidRDefault="00273897" w:rsidP="00273897">
      <w:pPr>
        <w:snapToGrid w:val="0"/>
        <w:spacing w:beforeLines="50" w:before="180" w:line="500" w:lineRule="exact"/>
        <w:ind w:leftChars="450" w:left="1400" w:hangingChars="100" w:hanging="320"/>
        <w:contextualSpacing/>
        <w:jc w:val="both"/>
        <w:rPr>
          <w:rFonts w:ascii="標楷體" w:eastAsia="標楷體" w:hAnsi="標楷體"/>
          <w:sz w:val="32"/>
          <w:szCs w:val="32"/>
        </w:rPr>
      </w:pPr>
      <w:r w:rsidRPr="008F7885">
        <w:rPr>
          <w:rFonts w:ascii="標楷體" w:eastAsia="標楷體" w:hAnsi="標楷體" w:hint="eastAsia"/>
          <w:sz w:val="32"/>
          <w:szCs w:val="32"/>
        </w:rPr>
        <w:t>3.112年度運動發展基金「基金用途」項下「培訓體育運動人才及運動訓練環境改善計畫」預算編列24億2</w:t>
      </w:r>
      <w:r w:rsidRPr="008F7885">
        <w:rPr>
          <w:rFonts w:ascii="標楷體" w:eastAsia="標楷體" w:hAnsi="標楷體"/>
          <w:sz w:val="32"/>
          <w:szCs w:val="32"/>
        </w:rPr>
        <w:t>,</w:t>
      </w:r>
      <w:r w:rsidRPr="008F7885">
        <w:rPr>
          <w:rFonts w:ascii="標楷體" w:eastAsia="標楷體" w:hAnsi="標楷體" w:hint="eastAsia"/>
          <w:sz w:val="32"/>
          <w:szCs w:val="32"/>
        </w:rPr>
        <w:t>021萬6千元，該經費主要用於競技運動培訓使用，然109年度決算數為13億</w:t>
      </w:r>
      <w:r>
        <w:rPr>
          <w:rFonts w:ascii="標楷體" w:eastAsia="標楷體" w:hAnsi="標楷體" w:hint="eastAsia"/>
          <w:sz w:val="32"/>
          <w:szCs w:val="32"/>
        </w:rPr>
        <w:t>0</w:t>
      </w:r>
      <w:r>
        <w:rPr>
          <w:rFonts w:ascii="標楷體" w:eastAsia="標楷體" w:hAnsi="標楷體"/>
          <w:sz w:val="32"/>
          <w:szCs w:val="32"/>
        </w:rPr>
        <w:t>,</w:t>
      </w:r>
      <w:r>
        <w:rPr>
          <w:rFonts w:ascii="標楷體" w:eastAsia="標楷體" w:hAnsi="標楷體" w:hint="eastAsia"/>
          <w:sz w:val="32"/>
          <w:szCs w:val="32"/>
        </w:rPr>
        <w:t>900萬</w:t>
      </w:r>
      <w:r w:rsidRPr="008F7885">
        <w:rPr>
          <w:rFonts w:ascii="標楷體" w:eastAsia="標楷體" w:hAnsi="標楷體" w:hint="eastAsia"/>
          <w:sz w:val="32"/>
          <w:szCs w:val="32"/>
        </w:rPr>
        <w:t>元，110年度為17</w:t>
      </w:r>
      <w:r>
        <w:rPr>
          <w:rFonts w:ascii="標楷體" w:eastAsia="標楷體" w:hAnsi="標楷體" w:hint="eastAsia"/>
          <w:sz w:val="32"/>
          <w:szCs w:val="32"/>
        </w:rPr>
        <w:t>億</w:t>
      </w:r>
      <w:r w:rsidRPr="008F7885">
        <w:rPr>
          <w:rFonts w:ascii="標楷體" w:eastAsia="標楷體" w:hAnsi="標楷體" w:hint="eastAsia"/>
          <w:sz w:val="32"/>
          <w:szCs w:val="32"/>
        </w:rPr>
        <w:t>2</w:t>
      </w:r>
      <w:r>
        <w:rPr>
          <w:rFonts w:ascii="標楷體" w:eastAsia="標楷體" w:hAnsi="標楷體" w:hint="eastAsia"/>
          <w:sz w:val="32"/>
          <w:szCs w:val="32"/>
        </w:rPr>
        <w:t>,</w:t>
      </w:r>
      <w:r w:rsidRPr="008F7885">
        <w:rPr>
          <w:rFonts w:ascii="標楷體" w:eastAsia="標楷體" w:hAnsi="標楷體" w:hint="eastAsia"/>
          <w:sz w:val="32"/>
          <w:szCs w:val="32"/>
        </w:rPr>
        <w:t>9</w:t>
      </w:r>
      <w:r>
        <w:rPr>
          <w:rFonts w:ascii="標楷體" w:eastAsia="標楷體" w:hAnsi="標楷體" w:hint="eastAsia"/>
          <w:sz w:val="32"/>
          <w:szCs w:val="32"/>
        </w:rPr>
        <w:t>00萬</w:t>
      </w:r>
      <w:r w:rsidRPr="008F7885">
        <w:rPr>
          <w:rFonts w:ascii="標楷體" w:eastAsia="標楷體" w:hAnsi="標楷體" w:hint="eastAsia"/>
          <w:sz w:val="32"/>
          <w:szCs w:val="32"/>
        </w:rPr>
        <w:t>元，112年度卻增編預算至24億</w:t>
      </w:r>
      <w:r>
        <w:rPr>
          <w:rFonts w:ascii="標楷體" w:eastAsia="標楷體" w:hAnsi="標楷體" w:hint="eastAsia"/>
          <w:sz w:val="32"/>
          <w:szCs w:val="32"/>
        </w:rPr>
        <w:t>2,</w:t>
      </w:r>
      <w:r>
        <w:rPr>
          <w:rFonts w:ascii="標楷體" w:eastAsia="標楷體" w:hAnsi="標楷體"/>
          <w:sz w:val="32"/>
          <w:szCs w:val="32"/>
        </w:rPr>
        <w:t>000</w:t>
      </w:r>
      <w:r>
        <w:rPr>
          <w:rFonts w:ascii="標楷體" w:eastAsia="標楷體" w:hAnsi="標楷體" w:hint="eastAsia"/>
          <w:sz w:val="32"/>
          <w:szCs w:val="32"/>
        </w:rPr>
        <w:t>萬</w:t>
      </w:r>
      <w:r w:rsidRPr="008F7885">
        <w:rPr>
          <w:rFonts w:ascii="標楷體" w:eastAsia="標楷體" w:hAnsi="標楷體" w:hint="eastAsia"/>
          <w:sz w:val="32"/>
          <w:szCs w:val="32"/>
        </w:rPr>
        <w:t>元，教育部體育署應研議提升執行率的方式，避免預算經費看得到卻用不到。其中「委託高級中等學校體育總會輔導青年、青少年選手培訓及參加國際賽事」預算編列6</w:t>
      </w:r>
      <w:r w:rsidRPr="008F7885">
        <w:rPr>
          <w:rFonts w:ascii="標楷體" w:eastAsia="標楷體" w:hAnsi="標楷體"/>
          <w:sz w:val="32"/>
          <w:szCs w:val="32"/>
        </w:rPr>
        <w:t>,</w:t>
      </w:r>
      <w:r w:rsidRPr="008F7885">
        <w:rPr>
          <w:rFonts w:ascii="標楷體" w:eastAsia="標楷體" w:hAnsi="標楷體" w:hint="eastAsia"/>
          <w:sz w:val="32"/>
          <w:szCs w:val="32"/>
        </w:rPr>
        <w:t>400萬元，包含參加世界中學生運動會，然該運動會以交流性質為主，部分項目競技水準甚至不如國內的全國中等學校運動會，體育署應輔導高中體總審慎選擇參與項目，避免造成預算虛擲、選手也未能獲得預期之成長。另「培育優秀或具潛力運動選手移訓或比賽」預算編列4億6</w:t>
      </w:r>
      <w:r w:rsidRPr="008F7885">
        <w:rPr>
          <w:rFonts w:ascii="標楷體" w:eastAsia="標楷體" w:hAnsi="標楷體"/>
          <w:sz w:val="32"/>
          <w:szCs w:val="32"/>
        </w:rPr>
        <w:t>,</w:t>
      </w:r>
      <w:r w:rsidRPr="008F7885">
        <w:rPr>
          <w:rFonts w:ascii="標楷體" w:eastAsia="標楷體" w:hAnsi="標楷體" w:hint="eastAsia"/>
          <w:sz w:val="32"/>
          <w:szCs w:val="32"/>
        </w:rPr>
        <w:t>500萬元，110年度執行2</w:t>
      </w:r>
      <w:r>
        <w:rPr>
          <w:rFonts w:ascii="標楷體" w:eastAsia="標楷體" w:hAnsi="標楷體" w:hint="eastAsia"/>
          <w:sz w:val="32"/>
          <w:szCs w:val="32"/>
        </w:rPr>
        <w:t>億</w:t>
      </w:r>
      <w:r w:rsidRPr="008F7885">
        <w:rPr>
          <w:rFonts w:ascii="標楷體" w:eastAsia="標楷體" w:hAnsi="標楷體" w:hint="eastAsia"/>
          <w:sz w:val="32"/>
          <w:szCs w:val="32"/>
        </w:rPr>
        <w:t>4</w:t>
      </w:r>
      <w:r>
        <w:rPr>
          <w:rFonts w:ascii="標楷體" w:eastAsia="標楷體" w:hAnsi="標楷體"/>
          <w:sz w:val="32"/>
          <w:szCs w:val="32"/>
        </w:rPr>
        <w:t>,</w:t>
      </w:r>
      <w:r w:rsidRPr="008F7885">
        <w:rPr>
          <w:rFonts w:ascii="標楷體" w:eastAsia="標楷體" w:hAnsi="標楷體" w:hint="eastAsia"/>
          <w:sz w:val="32"/>
          <w:szCs w:val="32"/>
        </w:rPr>
        <w:t>9</w:t>
      </w:r>
      <w:r>
        <w:rPr>
          <w:rFonts w:ascii="標楷體" w:eastAsia="標楷體" w:hAnsi="標楷體" w:hint="eastAsia"/>
          <w:sz w:val="32"/>
          <w:szCs w:val="32"/>
        </w:rPr>
        <w:t>00萬</w:t>
      </w:r>
      <w:r w:rsidRPr="008F7885">
        <w:rPr>
          <w:rFonts w:ascii="標楷體" w:eastAsia="標楷體" w:hAnsi="標楷體" w:hint="eastAsia"/>
          <w:sz w:val="32"/>
          <w:szCs w:val="32"/>
        </w:rPr>
        <w:t>元、111年度目前執行2</w:t>
      </w:r>
      <w:r>
        <w:rPr>
          <w:rFonts w:ascii="標楷體" w:eastAsia="標楷體" w:hAnsi="標楷體" w:hint="eastAsia"/>
          <w:sz w:val="32"/>
          <w:szCs w:val="32"/>
        </w:rPr>
        <w:t>億</w:t>
      </w:r>
      <w:r w:rsidRPr="008F7885">
        <w:rPr>
          <w:rFonts w:ascii="標楷體" w:eastAsia="標楷體" w:hAnsi="標楷體" w:hint="eastAsia"/>
          <w:sz w:val="32"/>
          <w:szCs w:val="32"/>
        </w:rPr>
        <w:t>2</w:t>
      </w:r>
      <w:r>
        <w:rPr>
          <w:rFonts w:ascii="標楷體" w:eastAsia="標楷體" w:hAnsi="標楷體"/>
          <w:sz w:val="32"/>
          <w:szCs w:val="32"/>
        </w:rPr>
        <w:t>,</w:t>
      </w:r>
      <w:r w:rsidRPr="008F7885">
        <w:rPr>
          <w:rFonts w:ascii="標楷體" w:eastAsia="標楷體" w:hAnsi="標楷體" w:hint="eastAsia"/>
          <w:sz w:val="32"/>
          <w:szCs w:val="32"/>
        </w:rPr>
        <w:t>3</w:t>
      </w:r>
      <w:r>
        <w:rPr>
          <w:rFonts w:ascii="標楷體" w:eastAsia="標楷體" w:hAnsi="標楷體" w:hint="eastAsia"/>
          <w:sz w:val="32"/>
          <w:szCs w:val="32"/>
        </w:rPr>
        <w:t>00萬</w:t>
      </w:r>
      <w:r w:rsidRPr="008F7885">
        <w:rPr>
          <w:rFonts w:ascii="標楷體" w:eastAsia="標楷體" w:hAnsi="標楷體" w:hint="eastAsia"/>
          <w:sz w:val="32"/>
          <w:szCs w:val="32"/>
        </w:rPr>
        <w:t>元；「辦理輔導基層訓練站培育優秀運動選手」預算編列4億7</w:t>
      </w:r>
      <w:r w:rsidRPr="008F7885">
        <w:rPr>
          <w:rFonts w:ascii="標楷體" w:eastAsia="標楷體" w:hAnsi="標楷體"/>
          <w:sz w:val="32"/>
          <w:szCs w:val="32"/>
        </w:rPr>
        <w:t>,</w:t>
      </w:r>
      <w:r w:rsidRPr="008F7885">
        <w:rPr>
          <w:rFonts w:ascii="標楷體" w:eastAsia="標楷體" w:hAnsi="標楷體" w:hint="eastAsia"/>
          <w:sz w:val="32"/>
          <w:szCs w:val="32"/>
        </w:rPr>
        <w:t>800萬元，110年度決算2</w:t>
      </w:r>
      <w:r>
        <w:rPr>
          <w:rFonts w:ascii="標楷體" w:eastAsia="標楷體" w:hAnsi="標楷體" w:hint="eastAsia"/>
          <w:sz w:val="32"/>
          <w:szCs w:val="32"/>
        </w:rPr>
        <w:t>億</w:t>
      </w:r>
      <w:r w:rsidRPr="008F7885">
        <w:rPr>
          <w:rFonts w:ascii="標楷體" w:eastAsia="標楷體" w:hAnsi="標楷體" w:hint="eastAsia"/>
          <w:sz w:val="32"/>
          <w:szCs w:val="32"/>
        </w:rPr>
        <w:t>3</w:t>
      </w:r>
      <w:r>
        <w:rPr>
          <w:rFonts w:ascii="標楷體" w:eastAsia="標楷體" w:hAnsi="標楷體"/>
          <w:sz w:val="32"/>
          <w:szCs w:val="32"/>
        </w:rPr>
        <w:t>,</w:t>
      </w:r>
      <w:r w:rsidRPr="008F7885">
        <w:rPr>
          <w:rFonts w:ascii="標楷體" w:eastAsia="標楷體" w:hAnsi="標楷體" w:hint="eastAsia"/>
          <w:sz w:val="32"/>
          <w:szCs w:val="32"/>
        </w:rPr>
        <w:t>7</w:t>
      </w:r>
      <w:r>
        <w:rPr>
          <w:rFonts w:ascii="標楷體" w:eastAsia="標楷體" w:hAnsi="標楷體" w:hint="eastAsia"/>
          <w:sz w:val="32"/>
          <w:szCs w:val="32"/>
        </w:rPr>
        <w:t>00萬</w:t>
      </w:r>
      <w:r w:rsidRPr="008F7885">
        <w:rPr>
          <w:rFonts w:ascii="標楷體" w:eastAsia="標楷體" w:hAnsi="標楷體" w:hint="eastAsia"/>
          <w:sz w:val="32"/>
          <w:szCs w:val="32"/>
        </w:rPr>
        <w:t>元，111年目前核定3</w:t>
      </w:r>
      <w:r>
        <w:rPr>
          <w:rFonts w:ascii="標楷體" w:eastAsia="標楷體" w:hAnsi="標楷體" w:hint="eastAsia"/>
          <w:sz w:val="32"/>
          <w:szCs w:val="32"/>
        </w:rPr>
        <w:t>億0</w:t>
      </w:r>
      <w:r>
        <w:rPr>
          <w:rFonts w:ascii="標楷體" w:eastAsia="標楷體" w:hAnsi="標楷體"/>
          <w:sz w:val="32"/>
          <w:szCs w:val="32"/>
        </w:rPr>
        <w:t>,</w:t>
      </w:r>
      <w:r w:rsidRPr="008F7885">
        <w:rPr>
          <w:rFonts w:ascii="標楷體" w:eastAsia="標楷體" w:hAnsi="標楷體" w:hint="eastAsia"/>
          <w:sz w:val="32"/>
          <w:szCs w:val="32"/>
        </w:rPr>
        <w:t>3</w:t>
      </w:r>
      <w:r>
        <w:rPr>
          <w:rFonts w:ascii="標楷體" w:eastAsia="標楷體" w:hAnsi="標楷體" w:hint="eastAsia"/>
          <w:sz w:val="32"/>
          <w:szCs w:val="32"/>
        </w:rPr>
        <w:t>00萬</w:t>
      </w:r>
      <w:r w:rsidRPr="008F7885">
        <w:rPr>
          <w:rFonts w:ascii="標楷體" w:eastAsia="標楷體" w:hAnsi="標楷體" w:hint="eastAsia"/>
          <w:sz w:val="32"/>
          <w:szCs w:val="32"/>
        </w:rPr>
        <w:t>元，多項計畫經費執行不如預期原因為何?近年國際原物料持續調漲、機票價格也成長，教育部體育署應儘可能協助選手移訓、比賽。10</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lastRenderedPageBreak/>
        <w:t>提案人：張廖萬堅</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連署人：范  雲  賴品妤</w:t>
      </w:r>
    </w:p>
    <w:p w:rsidR="00273897" w:rsidRPr="008F7885" w:rsidRDefault="00273897" w:rsidP="00273897">
      <w:pPr>
        <w:snapToGrid w:val="0"/>
        <w:spacing w:beforeLines="50" w:before="180" w:line="500" w:lineRule="exact"/>
        <w:ind w:leftChars="450" w:left="1400" w:hangingChars="100" w:hanging="320"/>
        <w:contextualSpacing/>
        <w:jc w:val="both"/>
        <w:rPr>
          <w:rFonts w:ascii="標楷體" w:eastAsia="標楷體" w:hAnsi="標楷體"/>
          <w:sz w:val="32"/>
          <w:szCs w:val="32"/>
        </w:rPr>
      </w:pPr>
      <w:r w:rsidRPr="008F7885">
        <w:rPr>
          <w:rFonts w:ascii="標楷體" w:eastAsia="標楷體" w:hAnsi="標楷體" w:hint="eastAsia"/>
          <w:sz w:val="32"/>
          <w:szCs w:val="32"/>
        </w:rPr>
        <w:t>4.為培育我國具潛力之運動選手未來銜接國家接班梯隊，教育部體育署依據「教育部運動發展基金辦理培育優秀或具潛力運動選手作業要點」辦理人才培育事宜，以我國桌球項目為例，體育署輔導桌球協會配合國際青少年桌球賽制研提培育優秀或具潛力運動選手計畫，在多年努力下於2020東京奧運由本土培育之選手林昀儒及鄭怡靜獲得混合雙打成績。礙於111年上半年度COVID-19疫情嚴重肆虐，體育署發函各奧亞運單項運動協（總）會於111年1至6月不鼓勵青少年參加國際賽事，待下半年度疫情趨緩後逐漸恢復，惟防疫旅館隔離費用、交通與食宿成本提高，導致原有規劃參與國際賽事之選手因經費不足，導致出國參賽困難。請體育署立即盤點各奧亞運單項運動協會於111年下半年度辦理青少年選手參加國際賽事、公開賽之規劃與執行情況，避免造成我國優秀選手無法累積國際賽積分及比賽經驗，錯失取得國際賽事參賽資格與奪牌機會。爰要求教育部體育署於3個月內向立法院教育及文化委員會提出書面報告。11</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提案人：吳思瑤</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連署人：黃國書  范  雲</w:t>
      </w:r>
    </w:p>
    <w:p w:rsidR="00273897" w:rsidRPr="008F7885" w:rsidRDefault="00273897" w:rsidP="00273897">
      <w:pPr>
        <w:snapToGrid w:val="0"/>
        <w:spacing w:beforeLines="50" w:before="180" w:line="500" w:lineRule="exact"/>
        <w:ind w:leftChars="450" w:left="1400" w:hangingChars="100" w:hanging="320"/>
        <w:contextualSpacing/>
        <w:jc w:val="both"/>
        <w:rPr>
          <w:rFonts w:ascii="標楷體" w:eastAsia="標楷體" w:hAnsi="標楷體"/>
          <w:sz w:val="32"/>
          <w:szCs w:val="32"/>
        </w:rPr>
      </w:pPr>
      <w:r w:rsidRPr="008F7885">
        <w:rPr>
          <w:rFonts w:ascii="標楷體" w:eastAsia="標楷體" w:hAnsi="標楷體" w:hint="eastAsia"/>
          <w:sz w:val="32"/>
          <w:szCs w:val="32"/>
        </w:rPr>
        <w:t>5.為配合</w:t>
      </w:r>
      <w:r w:rsidRPr="008F7885">
        <w:rPr>
          <w:rFonts w:ascii="標楷體" w:eastAsia="標楷體" w:hAnsi="標楷體"/>
          <w:sz w:val="32"/>
          <w:szCs w:val="32"/>
        </w:rPr>
        <w:t>2020</w:t>
      </w:r>
      <w:r w:rsidRPr="008F7885">
        <w:rPr>
          <w:rFonts w:ascii="標楷體" w:eastAsia="標楷體" w:hAnsi="標楷體" w:hint="eastAsia"/>
          <w:sz w:val="32"/>
          <w:szCs w:val="32"/>
        </w:rPr>
        <w:t>東京奧運推廣於台北松山文創園區舉辦第2屆運動產業博覽會，活動為期</w:t>
      </w:r>
      <w:r w:rsidRPr="008F7885">
        <w:rPr>
          <w:rFonts w:ascii="標楷體" w:eastAsia="標楷體" w:hAnsi="標楷體"/>
          <w:sz w:val="32"/>
          <w:szCs w:val="32"/>
        </w:rPr>
        <w:t>24</w:t>
      </w:r>
      <w:r w:rsidRPr="008F7885">
        <w:rPr>
          <w:rFonts w:ascii="標楷體" w:eastAsia="標楷體" w:hAnsi="標楷體" w:hint="eastAsia"/>
          <w:sz w:val="32"/>
          <w:szCs w:val="32"/>
        </w:rPr>
        <w:t>天、超過</w:t>
      </w:r>
      <w:r w:rsidRPr="008F7885">
        <w:rPr>
          <w:rFonts w:ascii="標楷體" w:eastAsia="標楷體" w:hAnsi="標楷體"/>
          <w:sz w:val="32"/>
          <w:szCs w:val="32"/>
        </w:rPr>
        <w:t>16</w:t>
      </w:r>
      <w:r w:rsidRPr="008F7885">
        <w:rPr>
          <w:rFonts w:ascii="標楷體" w:eastAsia="標楷體" w:hAnsi="標楷體" w:hint="eastAsia"/>
          <w:sz w:val="32"/>
          <w:szCs w:val="32"/>
        </w:rPr>
        <w:t>萬觀展人次、宣傳曝光約</w:t>
      </w:r>
      <w:r w:rsidRPr="008F7885">
        <w:rPr>
          <w:rFonts w:ascii="標楷體" w:eastAsia="標楷體" w:hAnsi="標楷體"/>
          <w:sz w:val="32"/>
          <w:szCs w:val="32"/>
        </w:rPr>
        <w:t>500</w:t>
      </w:r>
      <w:r w:rsidRPr="008F7885">
        <w:rPr>
          <w:rFonts w:ascii="標楷體" w:eastAsia="標楷體" w:hAnsi="標楷體" w:hint="eastAsia"/>
          <w:sz w:val="32"/>
          <w:szCs w:val="32"/>
        </w:rPr>
        <w:t>次、參與業者達</w:t>
      </w:r>
      <w:r w:rsidRPr="008F7885">
        <w:rPr>
          <w:rFonts w:ascii="標楷體" w:eastAsia="標楷體" w:hAnsi="標楷體"/>
          <w:sz w:val="32"/>
          <w:szCs w:val="32"/>
        </w:rPr>
        <w:t>70</w:t>
      </w:r>
      <w:r w:rsidRPr="008F7885">
        <w:rPr>
          <w:rFonts w:ascii="標楷體" w:eastAsia="標楷體" w:hAnsi="標楷體" w:hint="eastAsia"/>
          <w:sz w:val="32"/>
          <w:szCs w:val="32"/>
        </w:rPr>
        <w:t>家，為台灣運動產業經濟帶來大幅度的提升，其中以運動科技貫穿各活動區，再以運動環境為核心，架構5大運動產業類別，包含主題策展、互動體驗、消費市集、梳理個運動產業之多樣性與發展性，聚集相似産業群提升經濟效益。同時我國於110</w:t>
      </w:r>
      <w:r w:rsidRPr="008F7885">
        <w:rPr>
          <w:rFonts w:ascii="標楷體" w:eastAsia="標楷體" w:hAnsi="標楷體" w:hint="eastAsia"/>
          <w:sz w:val="32"/>
          <w:szCs w:val="32"/>
        </w:rPr>
        <w:lastRenderedPageBreak/>
        <w:t>年12月7日三讀通過增訂「運動產業發展條例」第26條之2，增加民間企業投入體育發展之誘因，愈來愈多企業願意投入運動產業，也讓台灣的棒球、籃球產業、全民運動風氣蓬勃發展。請教育部體育署應研議至少每2年舉辦一次運動產業博覽會，以持續帶動我國運動產業發展及全民運動之風氣，並儘速辦理第3屆運動產業博覽會之規劃作業，不宜延宕。14</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提案人：吳思瑤</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連署人：范  雲  黃國書</w:t>
      </w:r>
    </w:p>
    <w:p w:rsidR="00273897" w:rsidRPr="008F7885" w:rsidRDefault="00273897" w:rsidP="00273897">
      <w:pPr>
        <w:snapToGrid w:val="0"/>
        <w:spacing w:beforeLines="50" w:before="180" w:line="500" w:lineRule="exact"/>
        <w:ind w:leftChars="450" w:left="1400" w:hangingChars="100" w:hanging="320"/>
        <w:contextualSpacing/>
        <w:jc w:val="both"/>
        <w:rPr>
          <w:rFonts w:ascii="標楷體" w:eastAsia="標楷體" w:hAnsi="標楷體"/>
          <w:sz w:val="32"/>
          <w:szCs w:val="32"/>
        </w:rPr>
      </w:pPr>
      <w:r w:rsidRPr="008F7885">
        <w:rPr>
          <w:rFonts w:ascii="標楷體" w:eastAsia="標楷體" w:hAnsi="標楷體" w:hint="eastAsia"/>
          <w:sz w:val="32"/>
          <w:szCs w:val="32"/>
        </w:rPr>
        <w:t>6.112年度運動發展基金「健全運動產業環境促進體育運動發展計畫」項下「辦理企業贊助及個人捐贈體育運動發展事項，並優化其維運機制」預算編列1千萬元，用於推動「運動產業發展條例」第26條、第26條之1及第26條之2等租稅優惠方案，推動民間資源投入體育運動發展。考量「運動產業發展條例」第26條之2授權子法於111年5月會銜發布，企業捐贈預算多已於110年度編列，並於111年上半年執行，嗣後受到財政部於111年6月15日預告及10月6日公告將本案納入基本所得額方案，嚴重影響民間捐贈意願及立法效益。請教育部體育署盤整目前執行遭遇困難，必要時修正相關法規，並與財政部積極研商規劃相關精進措施，以達成「運動產業發展條例」第26條之2之立法目的。並請教育部體育署就112年度受理作業預為規劃準備，以提升專戶受贈成效。15</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提案人：張廖萬堅</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連署人：范  雲  黃國書</w:t>
      </w:r>
    </w:p>
    <w:p w:rsidR="00273897" w:rsidRPr="008F7885" w:rsidRDefault="00273897" w:rsidP="00273897">
      <w:pPr>
        <w:snapToGrid w:val="0"/>
        <w:spacing w:beforeLines="50" w:before="180" w:line="500" w:lineRule="exact"/>
        <w:ind w:leftChars="450" w:left="1400" w:hangingChars="100" w:hanging="320"/>
        <w:contextualSpacing/>
        <w:jc w:val="both"/>
        <w:rPr>
          <w:rFonts w:ascii="標楷體" w:eastAsia="標楷體" w:hAnsi="標楷體"/>
          <w:sz w:val="32"/>
          <w:szCs w:val="32"/>
        </w:rPr>
      </w:pPr>
      <w:r w:rsidRPr="008F7885">
        <w:rPr>
          <w:rFonts w:ascii="標楷體" w:eastAsia="標楷體" w:hAnsi="標楷體" w:hint="eastAsia"/>
          <w:sz w:val="32"/>
          <w:szCs w:val="32"/>
        </w:rPr>
        <w:t>7.112年度運動發展基金「健全運動產業環境促進體育運動發展計畫」項下「補助學生參與體育活動或觀賞運動賽事」預算編列1,500萬元，立意良善，透過補助學生觀賞運動</w:t>
      </w:r>
      <w:r w:rsidRPr="008F7885">
        <w:rPr>
          <w:rFonts w:ascii="標楷體" w:eastAsia="標楷體" w:hAnsi="標楷體" w:hint="eastAsia"/>
          <w:sz w:val="32"/>
          <w:szCs w:val="32"/>
        </w:rPr>
        <w:lastRenderedPageBreak/>
        <w:t>賽事，培養學生觀賽習慣，惟近2年因受疫情影響，使多數運動賽事停辦，進而影響學校申請意願，並間接影響本案執行成效。為培養國人參與體育運動及觀賽習慣，教育部體育署應參考文化部藝fun券常態化構想，規劃動滋券常態化措施，以提升國人做運動、看比賽的習慣，並提升學生觀賽專案執行率，積極促進國人參與體育運動意願，提升觀賞運動賽事人口。16</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提案人：張廖萬堅</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連署人：黃國書  賴品妤</w:t>
      </w:r>
    </w:p>
    <w:p w:rsidR="00273897" w:rsidRPr="008F7885" w:rsidRDefault="00273897" w:rsidP="00273897">
      <w:pPr>
        <w:snapToGrid w:val="0"/>
        <w:spacing w:beforeLines="50" w:before="180" w:line="500" w:lineRule="exact"/>
        <w:ind w:leftChars="450" w:left="1400" w:hangingChars="100" w:hanging="320"/>
        <w:contextualSpacing/>
        <w:jc w:val="both"/>
        <w:rPr>
          <w:rFonts w:ascii="標楷體" w:eastAsia="標楷體" w:hAnsi="標楷體"/>
          <w:sz w:val="32"/>
          <w:szCs w:val="32"/>
        </w:rPr>
      </w:pPr>
      <w:r w:rsidRPr="008F7885">
        <w:rPr>
          <w:rFonts w:ascii="標楷體" w:eastAsia="標楷體" w:hAnsi="標楷體" w:hint="eastAsia"/>
          <w:sz w:val="32"/>
          <w:szCs w:val="32"/>
        </w:rPr>
        <w:t>8.為扶植各級學校運動團隊，儲備基層競技運動選手及教練，發展學校運動風氣，112年度運動發展基金「輔助各級學校運動人才培育計畫」預算編列7億2</w:t>
      </w:r>
      <w:r w:rsidRPr="008F7885">
        <w:rPr>
          <w:rFonts w:ascii="標楷體" w:eastAsia="標楷體" w:hAnsi="標楷體"/>
          <w:sz w:val="32"/>
          <w:szCs w:val="32"/>
        </w:rPr>
        <w:t>,</w:t>
      </w:r>
      <w:r w:rsidRPr="008F7885">
        <w:rPr>
          <w:rFonts w:ascii="標楷體" w:eastAsia="標楷體" w:hAnsi="標楷體" w:hint="eastAsia"/>
          <w:sz w:val="32"/>
          <w:szCs w:val="32"/>
        </w:rPr>
        <w:t>751萬元，其中「委託大專校院辦理運動科學輔助基層選手訓練計畫」經費3,500萬元，係委託具有運動科學專業之大專校院，透過運動生理學、運動生物力學、運動營養學、運動醫學、運動心理學及運動資訊科學等專業學術知能，以提升訓練效率，輔導對象主要為體育班學生，期透過在地化協助體育班學生，發展最適運動項目，並強化競技水準。經查，109年度決算數指出委託大專校院辦理運動科學輔助基層選手練計畫僅輔助46校(占8.6%)、78班(占4.7%)國中及高中(職)體育班，能獲得運動科學協助選才及訓練未達10%，國小體育班則尚無輔助案例，允宜檢討辦理成效，以落實培育優秀或具潛力青少年運動選手。爰此，請教育部體育署針對如何增加輔助校、班數量於3個月內向立法院教育及文化委員會提出檢討書面報告。20</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提案人：陳秀寳</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連署人：范  雲  黃國書</w:t>
      </w:r>
    </w:p>
    <w:p w:rsidR="00273897" w:rsidRPr="008F7885" w:rsidRDefault="00273897" w:rsidP="00273897">
      <w:pPr>
        <w:snapToGrid w:val="0"/>
        <w:spacing w:beforeLines="50" w:before="180" w:line="500" w:lineRule="exact"/>
        <w:ind w:leftChars="450" w:left="1400" w:hangingChars="100" w:hanging="320"/>
        <w:contextualSpacing/>
        <w:jc w:val="both"/>
        <w:rPr>
          <w:rFonts w:ascii="標楷體" w:eastAsia="標楷體" w:hAnsi="標楷體"/>
          <w:sz w:val="32"/>
          <w:szCs w:val="32"/>
        </w:rPr>
      </w:pPr>
      <w:r w:rsidRPr="008F7885">
        <w:rPr>
          <w:rFonts w:ascii="標楷體" w:eastAsia="標楷體" w:hAnsi="標楷體" w:hint="eastAsia"/>
          <w:sz w:val="32"/>
          <w:szCs w:val="32"/>
        </w:rPr>
        <w:t>9.112年度運動發展基金「國家運動訓練中心推動菁英運動</w:t>
      </w:r>
      <w:r w:rsidRPr="008F7885">
        <w:rPr>
          <w:rFonts w:ascii="標楷體" w:eastAsia="標楷體" w:hAnsi="標楷體" w:hint="eastAsia"/>
          <w:sz w:val="32"/>
          <w:szCs w:val="32"/>
        </w:rPr>
        <w:lastRenderedPageBreak/>
        <w:t>人才培育計畫」預算編列19億5</w:t>
      </w:r>
      <w:r w:rsidRPr="008F7885">
        <w:rPr>
          <w:rFonts w:ascii="標楷體" w:eastAsia="標楷體" w:hAnsi="標楷體"/>
          <w:sz w:val="32"/>
          <w:szCs w:val="32"/>
        </w:rPr>
        <w:t>,</w:t>
      </w:r>
      <w:r w:rsidRPr="008F7885">
        <w:rPr>
          <w:rFonts w:ascii="標楷體" w:eastAsia="標楷體" w:hAnsi="標楷體" w:hint="eastAsia"/>
          <w:sz w:val="32"/>
          <w:szCs w:val="32"/>
        </w:rPr>
        <w:t>311萬6千元，用於捐助國內團體，未說明完整。此補助費並無計畫成果與效益，難以審認與推展業務具關聯性。避免遭濫用，使其發揮應有之功能性，行政法人國家</w:t>
      </w:r>
      <w:r>
        <w:rPr>
          <w:rFonts w:ascii="標楷體" w:eastAsia="標楷體" w:hAnsi="標楷體" w:hint="eastAsia"/>
          <w:sz w:val="32"/>
          <w:szCs w:val="32"/>
        </w:rPr>
        <w:t>運動</w:t>
      </w:r>
      <w:r w:rsidRPr="008F7885">
        <w:rPr>
          <w:rFonts w:ascii="標楷體" w:eastAsia="標楷體" w:hAnsi="標楷體" w:hint="eastAsia"/>
          <w:sz w:val="32"/>
          <w:szCs w:val="32"/>
        </w:rPr>
        <w:t>訓練中心應依編列計畫及預算確實核實支用並有效管理。22</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提案人：鄭正鈐</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連署人：吳怡玎  萬美玲</w:t>
      </w:r>
    </w:p>
    <w:p w:rsidR="00273897" w:rsidRPr="008F7885" w:rsidRDefault="00273897" w:rsidP="00273897">
      <w:pPr>
        <w:snapToGrid w:val="0"/>
        <w:spacing w:beforeLines="50" w:before="180" w:line="500" w:lineRule="exact"/>
        <w:ind w:left="640" w:hangingChars="200" w:hanging="640"/>
        <w:contextualSpacing/>
        <w:rPr>
          <w:rFonts w:ascii="標楷體" w:eastAsia="標楷體" w:hAnsi="標楷體"/>
          <w:sz w:val="32"/>
          <w:szCs w:val="32"/>
        </w:rPr>
      </w:pPr>
      <w:r w:rsidRPr="008F7885">
        <w:rPr>
          <w:rFonts w:ascii="標楷體" w:eastAsia="標楷體" w:hAnsi="標楷體" w:hint="eastAsia"/>
          <w:sz w:val="32"/>
          <w:szCs w:val="32"/>
        </w:rPr>
        <w:t>九、私立高級中等以上學校退場基金—照案通過。另通過決議1項：</w:t>
      </w:r>
    </w:p>
    <w:p w:rsidR="00273897" w:rsidRPr="008F7885" w:rsidRDefault="00273897" w:rsidP="00273897">
      <w:pPr>
        <w:snapToGrid w:val="0"/>
        <w:spacing w:beforeLines="50" w:before="180" w:line="500" w:lineRule="exact"/>
        <w:ind w:leftChars="295" w:left="708"/>
        <w:contextualSpacing/>
        <w:jc w:val="both"/>
        <w:rPr>
          <w:rFonts w:ascii="標楷體" w:eastAsia="標楷體" w:hAnsi="標楷體"/>
          <w:sz w:val="32"/>
          <w:szCs w:val="32"/>
        </w:rPr>
      </w:pPr>
      <w:r w:rsidRPr="008F7885">
        <w:rPr>
          <w:rFonts w:ascii="標楷體" w:eastAsia="標楷體" w:hAnsi="標楷體" w:hint="eastAsia"/>
          <w:sz w:val="32"/>
          <w:szCs w:val="32"/>
        </w:rPr>
        <w:t xml:space="preserve">    面對少子女化日益嚴重之衝擊，我國學生生源逐年減少，各級學校均呈現供過於求趨勢，辦學績效欠佳之學校面臨轉型及退場勢在必行，然現今相關退場機制仍待改善。經查，私立高級中等以上學校退場基金業務範圍新增辦理私立高中職退場事宜，惟教育部仍未建立私立高中職之專案輔導名單，影響學生升學選校之參考。且教育部對私立高中職辦理轉型或退場，缺乏強制性之監督管控機制。對於督促地方政府依法設立退場審議會以進行審議，亦不夠積極。教育部應儘速提出私立高中職專輔名單，並建置與地方政府之對接機制，以確保學生受教及教職員工作之權益，爰請教育部於3個月內向立法院教育及文化委員會提出書面報告。23</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提案人：黃國書  林宜瑾</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連署人：王婉諭</w:t>
      </w:r>
    </w:p>
    <w:p w:rsidR="00273897" w:rsidRPr="008F7885" w:rsidRDefault="00273897" w:rsidP="00273897">
      <w:pPr>
        <w:snapToGrid w:val="0"/>
        <w:spacing w:beforeLines="50" w:before="180" w:line="500" w:lineRule="exact"/>
        <w:ind w:left="640" w:hangingChars="200" w:hanging="640"/>
        <w:contextualSpacing/>
        <w:jc w:val="both"/>
        <w:rPr>
          <w:rFonts w:ascii="標楷體" w:eastAsia="標楷體" w:hAnsi="標楷體"/>
          <w:bCs/>
          <w:sz w:val="32"/>
          <w:szCs w:val="32"/>
        </w:rPr>
      </w:pPr>
      <w:r w:rsidRPr="008F7885">
        <w:rPr>
          <w:rFonts w:ascii="標楷體" w:eastAsia="標楷體" w:hAnsi="標楷體" w:hint="eastAsia"/>
          <w:bCs/>
          <w:sz w:val="32"/>
          <w:szCs w:val="32"/>
        </w:rPr>
        <w:t>陸、112年度行政法人國家運動訓練中心預算案，審查完竣，擬具審查報告，不須交由黨團協商，院會討論時，由陳召集委員秀寳補充說明。審查結果如下：</w:t>
      </w:r>
    </w:p>
    <w:p w:rsidR="00273897" w:rsidRPr="008F7885" w:rsidRDefault="00273897" w:rsidP="00273897">
      <w:pPr>
        <w:snapToGrid w:val="0"/>
        <w:spacing w:beforeLines="50" w:before="180" w:line="460" w:lineRule="exact"/>
        <w:ind w:left="641" w:hangingChars="200" w:hanging="641"/>
        <w:jc w:val="both"/>
        <w:rPr>
          <w:rFonts w:ascii="標楷體" w:eastAsia="標楷體" w:hAnsi="標楷體"/>
          <w:b/>
          <w:sz w:val="32"/>
          <w:szCs w:val="32"/>
        </w:rPr>
      </w:pPr>
      <w:r w:rsidRPr="008F7885">
        <w:rPr>
          <w:rFonts w:ascii="標楷體" w:eastAsia="標楷體" w:hAnsi="標楷體" w:hint="eastAsia"/>
          <w:b/>
          <w:sz w:val="32"/>
          <w:szCs w:val="32"/>
        </w:rPr>
        <w:t>國家運動訓練中心112年度預算書案</w:t>
      </w:r>
    </w:p>
    <w:p w:rsidR="00273897" w:rsidRPr="008F7885" w:rsidRDefault="00273897" w:rsidP="00273897">
      <w:pPr>
        <w:snapToGrid w:val="0"/>
        <w:spacing w:before="120" w:line="440" w:lineRule="exact"/>
        <w:ind w:leftChars="11" w:left="666" w:hangingChars="200" w:hanging="640"/>
        <w:jc w:val="both"/>
        <w:rPr>
          <w:rFonts w:ascii="標楷體" w:eastAsia="標楷體" w:hAnsi="標楷體"/>
          <w:snapToGrid w:val="0"/>
          <w:sz w:val="32"/>
          <w:szCs w:val="32"/>
        </w:rPr>
      </w:pPr>
      <w:r w:rsidRPr="008F7885">
        <w:rPr>
          <w:rFonts w:ascii="標楷體" w:eastAsia="標楷體" w:hAnsi="標楷體" w:hint="eastAsia"/>
          <w:snapToGrid w:val="0"/>
          <w:sz w:val="32"/>
          <w:szCs w:val="32"/>
        </w:rPr>
        <w:t>一</w:t>
      </w:r>
      <w:r w:rsidRPr="008F7885">
        <w:rPr>
          <w:rFonts w:ascii="新細明體" w:hAnsi="新細明體" w:hint="eastAsia"/>
          <w:snapToGrid w:val="0"/>
          <w:sz w:val="32"/>
          <w:szCs w:val="32"/>
        </w:rPr>
        <w:t>、</w:t>
      </w:r>
      <w:r w:rsidRPr="008F7885">
        <w:rPr>
          <w:rFonts w:ascii="標楷體" w:eastAsia="標楷體" w:hAnsi="標楷體" w:hint="eastAsia"/>
          <w:snapToGrid w:val="0"/>
          <w:sz w:val="32"/>
          <w:szCs w:val="32"/>
        </w:rPr>
        <w:t>業務計畫：應依據業務收支、固定資產建設改良擴充及資金運用等項之審查結果，隨同調整。</w:t>
      </w:r>
    </w:p>
    <w:p w:rsidR="00273897" w:rsidRPr="008F7885" w:rsidRDefault="00273897" w:rsidP="00273897">
      <w:pPr>
        <w:snapToGrid w:val="0"/>
        <w:spacing w:before="120" w:line="440" w:lineRule="exact"/>
        <w:ind w:leftChars="11" w:left="666" w:hangingChars="200" w:hanging="640"/>
        <w:jc w:val="both"/>
        <w:rPr>
          <w:rFonts w:ascii="標楷體" w:eastAsia="標楷體" w:hAnsi="標楷體"/>
          <w:snapToGrid w:val="0"/>
          <w:sz w:val="32"/>
          <w:szCs w:val="32"/>
        </w:rPr>
      </w:pPr>
      <w:r w:rsidRPr="008F7885">
        <w:rPr>
          <w:rFonts w:ascii="標楷體" w:eastAsia="標楷體" w:hAnsi="標楷體" w:hint="eastAsia"/>
          <w:snapToGrid w:val="0"/>
          <w:sz w:val="32"/>
          <w:szCs w:val="32"/>
        </w:rPr>
        <w:lastRenderedPageBreak/>
        <w:t>二、業務收支：</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(一)業務總收入：21</w:t>
      </w:r>
      <w:r w:rsidRPr="008F7885">
        <w:rPr>
          <w:rFonts w:ascii="標楷體" w:eastAsia="標楷體" w:hAnsi="標楷體" w:hint="eastAsia"/>
          <w:sz w:val="32"/>
          <w:szCs w:val="40"/>
        </w:rPr>
        <w:t>億4,921萬6千元</w:t>
      </w:r>
      <w:r w:rsidRPr="008F7885">
        <w:rPr>
          <w:rFonts w:ascii="標楷體" w:eastAsia="標楷體" w:hAnsi="標楷體" w:hint="eastAsia"/>
          <w:snapToGrid w:val="0"/>
          <w:sz w:val="32"/>
          <w:szCs w:val="32"/>
        </w:rPr>
        <w:t>，照列。</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(二)業務總支出：21</w:t>
      </w:r>
      <w:r w:rsidRPr="008F7885">
        <w:rPr>
          <w:rFonts w:ascii="標楷體" w:eastAsia="標楷體" w:hAnsi="標楷體" w:hint="eastAsia"/>
          <w:sz w:val="32"/>
          <w:szCs w:val="40"/>
        </w:rPr>
        <w:t>億3,761萬6千元</w:t>
      </w:r>
      <w:r w:rsidRPr="008F7885">
        <w:rPr>
          <w:rFonts w:ascii="標楷體" w:eastAsia="標楷體" w:hAnsi="標楷體" w:hint="eastAsia"/>
          <w:snapToGrid w:val="0"/>
          <w:sz w:val="32"/>
          <w:szCs w:val="32"/>
        </w:rPr>
        <w:t>，照列。</w:t>
      </w:r>
    </w:p>
    <w:p w:rsidR="00273897" w:rsidRPr="008F7885" w:rsidRDefault="00273897" w:rsidP="00273897">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(三)本期賸餘：</w:t>
      </w:r>
      <w:r w:rsidRPr="008F7885">
        <w:rPr>
          <w:rFonts w:ascii="標楷體" w:eastAsia="標楷體" w:hAnsi="標楷體" w:hint="eastAsia"/>
          <w:sz w:val="32"/>
          <w:szCs w:val="40"/>
        </w:rPr>
        <w:t>1,1</w:t>
      </w:r>
      <w:r w:rsidRPr="008F7885">
        <w:rPr>
          <w:rFonts w:ascii="標楷體" w:eastAsia="標楷體" w:hAnsi="標楷體"/>
          <w:sz w:val="32"/>
          <w:szCs w:val="40"/>
        </w:rPr>
        <w:t>60</w:t>
      </w:r>
      <w:r w:rsidRPr="008F7885">
        <w:rPr>
          <w:rFonts w:ascii="標楷體" w:eastAsia="標楷體" w:hAnsi="標楷體" w:hint="eastAsia"/>
          <w:sz w:val="32"/>
          <w:szCs w:val="40"/>
        </w:rPr>
        <w:t>萬元</w:t>
      </w:r>
      <w:r w:rsidRPr="008F7885">
        <w:rPr>
          <w:rFonts w:ascii="標楷體" w:eastAsia="標楷體" w:hAnsi="標楷體" w:hint="eastAsia"/>
          <w:snapToGrid w:val="0"/>
          <w:sz w:val="32"/>
          <w:szCs w:val="32"/>
        </w:rPr>
        <w:t>，照列。</w:t>
      </w:r>
    </w:p>
    <w:p w:rsidR="00273897" w:rsidRPr="008F7885" w:rsidRDefault="00273897" w:rsidP="00273897">
      <w:pPr>
        <w:kinsoku w:val="0"/>
        <w:overflowPunct w:val="0"/>
        <w:spacing w:before="120" w:line="500" w:lineRule="exact"/>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三、解繳公庫：無列數。</w:t>
      </w:r>
    </w:p>
    <w:p w:rsidR="00273897" w:rsidRPr="008F7885" w:rsidRDefault="00273897" w:rsidP="00273897">
      <w:pPr>
        <w:kinsoku w:val="0"/>
        <w:overflowPunct w:val="0"/>
        <w:spacing w:before="120" w:line="500" w:lineRule="exact"/>
        <w:jc w:val="both"/>
        <w:textAlignment w:val="center"/>
        <w:rPr>
          <w:rFonts w:ascii="標楷體" w:eastAsia="標楷體" w:hAnsi="標楷體"/>
          <w:snapToGrid w:val="0"/>
          <w:sz w:val="32"/>
          <w:szCs w:val="32"/>
        </w:rPr>
      </w:pPr>
      <w:r w:rsidRPr="008F7885">
        <w:rPr>
          <w:rFonts w:ascii="標楷體" w:eastAsia="標楷體" w:hAnsi="標楷體" w:hint="eastAsia"/>
          <w:snapToGrid w:val="0"/>
          <w:sz w:val="32"/>
          <w:szCs w:val="32"/>
        </w:rPr>
        <w:t>四、轉投資計畫：無列數。</w:t>
      </w:r>
    </w:p>
    <w:p w:rsidR="00273897" w:rsidRPr="008F7885" w:rsidRDefault="00273897" w:rsidP="00273897">
      <w:pPr>
        <w:snapToGrid w:val="0"/>
        <w:spacing w:before="120" w:line="440" w:lineRule="exact"/>
        <w:ind w:leftChars="11" w:left="666" w:hangingChars="200" w:hanging="640"/>
        <w:jc w:val="both"/>
        <w:rPr>
          <w:rFonts w:ascii="標楷體" w:eastAsia="標楷體" w:hAnsi="標楷體"/>
          <w:snapToGrid w:val="0"/>
          <w:sz w:val="32"/>
          <w:szCs w:val="32"/>
        </w:rPr>
      </w:pPr>
      <w:r w:rsidRPr="008F7885">
        <w:rPr>
          <w:rFonts w:ascii="標楷體" w:eastAsia="標楷體" w:hAnsi="標楷體" w:hint="eastAsia"/>
          <w:snapToGrid w:val="0"/>
          <w:sz w:val="32"/>
          <w:szCs w:val="32"/>
        </w:rPr>
        <w:t>五、固定資產建設改良擴充：4</w:t>
      </w:r>
      <w:r w:rsidRPr="008F7885">
        <w:rPr>
          <w:rFonts w:ascii="標楷體" w:eastAsia="標楷體" w:hAnsi="標楷體" w:hint="eastAsia"/>
          <w:sz w:val="32"/>
          <w:szCs w:val="40"/>
        </w:rPr>
        <w:t>,152萬元</w:t>
      </w:r>
      <w:r w:rsidRPr="008F7885">
        <w:rPr>
          <w:rFonts w:ascii="標楷體" w:eastAsia="標楷體" w:hAnsi="標楷體" w:hint="eastAsia"/>
          <w:snapToGrid w:val="0"/>
          <w:sz w:val="32"/>
          <w:szCs w:val="32"/>
        </w:rPr>
        <w:t>，照列。</w:t>
      </w:r>
    </w:p>
    <w:p w:rsidR="00273897" w:rsidRPr="008F7885" w:rsidRDefault="00273897" w:rsidP="00273897">
      <w:pPr>
        <w:snapToGrid w:val="0"/>
        <w:spacing w:before="120" w:line="440" w:lineRule="exact"/>
        <w:ind w:leftChars="11" w:left="666" w:hangingChars="200" w:hanging="640"/>
        <w:jc w:val="both"/>
        <w:rPr>
          <w:rFonts w:ascii="標楷體" w:eastAsia="標楷體" w:hAnsi="標楷體"/>
          <w:snapToGrid w:val="0"/>
          <w:sz w:val="32"/>
          <w:szCs w:val="32"/>
        </w:rPr>
      </w:pPr>
      <w:r w:rsidRPr="008F7885">
        <w:rPr>
          <w:rFonts w:ascii="標楷體" w:eastAsia="標楷體" w:hAnsi="標楷體" w:hint="eastAsia"/>
          <w:snapToGrid w:val="0"/>
          <w:sz w:val="32"/>
          <w:szCs w:val="32"/>
        </w:rPr>
        <w:t>六、國庫增撥基金額：無列數。</w:t>
      </w:r>
    </w:p>
    <w:p w:rsidR="00273897" w:rsidRPr="008F7885" w:rsidRDefault="00273897" w:rsidP="00273897">
      <w:pPr>
        <w:snapToGrid w:val="0"/>
        <w:spacing w:before="120" w:line="440" w:lineRule="exact"/>
        <w:ind w:leftChars="11" w:left="666" w:hangingChars="200" w:hanging="640"/>
        <w:jc w:val="both"/>
        <w:rPr>
          <w:rFonts w:ascii="標楷體" w:eastAsia="標楷體" w:hAnsi="標楷體"/>
          <w:snapToGrid w:val="0"/>
          <w:sz w:val="32"/>
          <w:szCs w:val="32"/>
        </w:rPr>
      </w:pPr>
      <w:r w:rsidRPr="008F7885">
        <w:rPr>
          <w:rFonts w:ascii="標楷體" w:eastAsia="標楷體" w:hAnsi="標楷體" w:hint="eastAsia"/>
          <w:snapToGrid w:val="0"/>
          <w:sz w:val="32"/>
          <w:szCs w:val="32"/>
        </w:rPr>
        <w:t>七、資金運用：應依據業務收支及固定資產建設改良擴充等項之審查結果，隨同調整。</w:t>
      </w:r>
    </w:p>
    <w:p w:rsidR="00273897" w:rsidRPr="008F7885" w:rsidRDefault="00273897" w:rsidP="00273897">
      <w:pPr>
        <w:snapToGrid w:val="0"/>
        <w:spacing w:before="120" w:line="440" w:lineRule="exact"/>
        <w:ind w:left="640" w:hangingChars="200" w:hanging="640"/>
        <w:jc w:val="both"/>
        <w:rPr>
          <w:rFonts w:ascii="標楷體" w:eastAsia="標楷體" w:hAnsi="標楷體"/>
          <w:snapToGrid w:val="0"/>
          <w:sz w:val="32"/>
          <w:szCs w:val="32"/>
        </w:rPr>
      </w:pPr>
      <w:r w:rsidRPr="008F7885">
        <w:rPr>
          <w:rFonts w:ascii="標楷體" w:eastAsia="標楷體" w:hAnsi="標楷體" w:hint="eastAsia"/>
          <w:snapToGrid w:val="0"/>
          <w:sz w:val="32"/>
          <w:szCs w:val="32"/>
        </w:rPr>
        <w:t>八、通過決議11項：</w:t>
      </w:r>
    </w:p>
    <w:p w:rsidR="00273897" w:rsidRPr="008F7885" w:rsidRDefault="00273897" w:rsidP="00273897">
      <w:pPr>
        <w:overflowPunct w:val="0"/>
        <w:spacing w:line="500" w:lineRule="exact"/>
        <w:ind w:leftChars="150" w:left="1000" w:hangingChars="200" w:hanging="640"/>
        <w:jc w:val="both"/>
        <w:rPr>
          <w:rFonts w:ascii="標楷體" w:eastAsia="標楷體" w:hAnsi="標楷體"/>
          <w:snapToGrid w:val="0"/>
          <w:sz w:val="32"/>
          <w:szCs w:val="32"/>
        </w:rPr>
      </w:pPr>
      <w:r w:rsidRPr="008F7885">
        <w:rPr>
          <w:rFonts w:ascii="標楷體" w:eastAsia="標楷體" w:hAnsi="標楷體" w:hint="eastAsia"/>
          <w:snapToGrid w:val="0"/>
          <w:sz w:val="32"/>
          <w:szCs w:val="32"/>
        </w:rPr>
        <w:t>(一)</w:t>
      </w:r>
      <w:r w:rsidRPr="008F7885">
        <w:rPr>
          <w:rFonts w:ascii="標楷體" w:eastAsia="標楷體" w:hAnsi="標楷體"/>
          <w:snapToGrid w:val="0"/>
          <w:sz w:val="32"/>
          <w:szCs w:val="32"/>
        </w:rPr>
        <w:t>112</w:t>
      </w:r>
      <w:r w:rsidRPr="008F7885">
        <w:rPr>
          <w:rFonts w:ascii="標楷體" w:eastAsia="標楷體" w:hAnsi="標楷體" w:hint="eastAsia"/>
          <w:snapToGrid w:val="0"/>
          <w:sz w:val="32"/>
          <w:szCs w:val="32"/>
        </w:rPr>
        <w:t>年度教育部監督行政法人國家運動訓練中心「總支出」編列21億3</w:t>
      </w:r>
      <w:r w:rsidRPr="008F7885">
        <w:rPr>
          <w:rFonts w:ascii="標楷體" w:eastAsia="標楷體" w:hAnsi="標楷體"/>
          <w:snapToGrid w:val="0"/>
          <w:sz w:val="32"/>
          <w:szCs w:val="32"/>
        </w:rPr>
        <w:t>,</w:t>
      </w:r>
      <w:r w:rsidRPr="008F7885">
        <w:rPr>
          <w:rFonts w:ascii="標楷體" w:eastAsia="標楷體" w:hAnsi="標楷體" w:hint="eastAsia"/>
          <w:snapToGrid w:val="0"/>
          <w:sz w:val="32"/>
          <w:szCs w:val="32"/>
        </w:rPr>
        <w:t>761萬6千元，凍結200萬元，俟教育部向立法院教育及文化委員會提出書面報告後，始得動支。1</w:t>
      </w:r>
      <w:r w:rsidRPr="008F7885">
        <w:rPr>
          <w:rFonts w:ascii="標楷體" w:eastAsia="標楷體" w:hAnsi="標楷體"/>
          <w:snapToGrid w:val="0"/>
          <w:sz w:val="32"/>
          <w:szCs w:val="32"/>
        </w:rPr>
        <w:t>-9</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提案人：何欣純  賴品妤  黃國書  吳思瑤</w:t>
      </w:r>
    </w:p>
    <w:p w:rsidR="00273897" w:rsidRPr="008F7885" w:rsidRDefault="00273897" w:rsidP="00273897">
      <w:pPr>
        <w:snapToGrid w:val="0"/>
        <w:spacing w:line="460" w:lineRule="exact"/>
        <w:ind w:leftChars="1650" w:left="3960" w:firstLineChars="100" w:firstLine="320"/>
        <w:jc w:val="both"/>
        <w:rPr>
          <w:rFonts w:ascii="標楷體" w:eastAsia="標楷體" w:hAnsi="標楷體"/>
          <w:sz w:val="32"/>
          <w:szCs w:val="32"/>
        </w:rPr>
      </w:pPr>
      <w:r w:rsidRPr="008F7885">
        <w:rPr>
          <w:rFonts w:ascii="標楷體" w:eastAsia="標楷體" w:hAnsi="標楷體" w:hint="eastAsia"/>
          <w:sz w:val="32"/>
          <w:szCs w:val="32"/>
        </w:rPr>
        <w:t xml:space="preserve">張廖萬堅        </w:t>
      </w:r>
    </w:p>
    <w:p w:rsidR="00273897" w:rsidRPr="008F7885" w:rsidRDefault="00273897" w:rsidP="00273897">
      <w:pPr>
        <w:snapToGrid w:val="0"/>
        <w:spacing w:line="460" w:lineRule="exact"/>
        <w:ind w:leftChars="1250" w:left="4280" w:hangingChars="400" w:hanging="1280"/>
        <w:jc w:val="both"/>
        <w:rPr>
          <w:rFonts w:ascii="標楷體" w:eastAsia="標楷體" w:hAnsi="標楷體"/>
          <w:sz w:val="32"/>
          <w:szCs w:val="32"/>
        </w:rPr>
      </w:pPr>
      <w:r w:rsidRPr="008F7885">
        <w:rPr>
          <w:rFonts w:ascii="標楷體" w:eastAsia="標楷體" w:hAnsi="標楷體" w:hint="eastAsia"/>
          <w:sz w:val="32"/>
          <w:szCs w:val="32"/>
        </w:rPr>
        <w:t>連署人：范  雲  陳秀寳  林宜瑾</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(二)國家隊教練身負國家隊選訓工作，</w:t>
      </w:r>
      <w:r w:rsidRPr="008F7885">
        <w:rPr>
          <w:rFonts w:ascii="標楷體" w:eastAsia="標楷體" w:hAnsi="標楷體" w:hint="eastAsia"/>
          <w:bCs/>
          <w:sz w:val="32"/>
          <w:szCs w:val="32"/>
        </w:rPr>
        <w:t>行政法人</w:t>
      </w:r>
      <w:r w:rsidRPr="008F7885">
        <w:rPr>
          <w:rFonts w:ascii="標楷體" w:eastAsia="標楷體" w:hAnsi="標楷體" w:hint="eastAsia"/>
          <w:sz w:val="32"/>
          <w:szCs w:val="32"/>
        </w:rPr>
        <w:t>國家運動訓練中心並有定期辦理國家隊教練增能計畫，以期提升國家代表隊教練素質。為提升目前國家隊教練有關情緒管理與教育心理學等情緒感知能力，以確保教練及選手間正向、健康之教學模式，請</w:t>
      </w:r>
      <w:r w:rsidRPr="008F7885">
        <w:rPr>
          <w:rFonts w:ascii="標楷體" w:eastAsia="標楷體" w:hAnsi="標楷體" w:hint="eastAsia"/>
          <w:bCs/>
          <w:sz w:val="32"/>
          <w:szCs w:val="32"/>
        </w:rPr>
        <w:t>行政法人</w:t>
      </w:r>
      <w:r w:rsidRPr="008F7885">
        <w:rPr>
          <w:rFonts w:ascii="標楷體" w:eastAsia="標楷體" w:hAnsi="標楷體" w:cs="標楷體" w:hint="eastAsia"/>
          <w:sz w:val="32"/>
          <w:szCs w:val="32"/>
        </w:rPr>
        <w:t>國家運動訓練中</w:t>
      </w:r>
      <w:r w:rsidRPr="008F7885">
        <w:rPr>
          <w:rFonts w:ascii="標楷體" w:eastAsia="標楷體" w:hAnsi="標楷體" w:cs="Microsoft YaHei" w:hint="eastAsia"/>
          <w:sz w:val="32"/>
          <w:szCs w:val="32"/>
        </w:rPr>
        <w:t>心</w:t>
      </w:r>
      <w:r w:rsidRPr="008F7885">
        <w:rPr>
          <w:rFonts w:ascii="標楷體" w:eastAsia="標楷體" w:hAnsi="標楷體" w:hint="eastAsia"/>
          <w:sz w:val="32"/>
          <w:szCs w:val="32"/>
        </w:rPr>
        <w:t>針對上述項目於6個月內向立法院</w:t>
      </w:r>
      <w:r>
        <w:rPr>
          <w:rFonts w:ascii="標楷體" w:eastAsia="標楷體" w:hAnsi="標楷體" w:hint="eastAsia"/>
          <w:sz w:val="32"/>
          <w:szCs w:val="32"/>
        </w:rPr>
        <w:t>教育及文化委員會</w:t>
      </w:r>
      <w:r w:rsidRPr="008F7885">
        <w:rPr>
          <w:rFonts w:ascii="標楷體" w:eastAsia="標楷體" w:hAnsi="標楷體" w:hint="eastAsia"/>
          <w:sz w:val="32"/>
          <w:szCs w:val="32"/>
        </w:rPr>
        <w:t>提出書面規劃報告。10</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提案人：陳秀寳</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連署人：吳思瑤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(三)經立法院預算中心評估報告指出，</w:t>
      </w:r>
      <w:r w:rsidRPr="008F7885">
        <w:rPr>
          <w:rFonts w:ascii="標楷體" w:eastAsia="標楷體" w:hAnsi="標楷體" w:hint="eastAsia"/>
          <w:bCs/>
          <w:sz w:val="32"/>
          <w:szCs w:val="32"/>
        </w:rPr>
        <w:t>行政法人</w:t>
      </w:r>
      <w:r w:rsidRPr="008F7885">
        <w:rPr>
          <w:rFonts w:ascii="標楷體" w:eastAsia="標楷體" w:hAnsi="標楷體" w:cs="標楷體" w:hint="eastAsia"/>
          <w:sz w:val="32"/>
          <w:szCs w:val="32"/>
        </w:rPr>
        <w:t>國家運動訓練中</w:t>
      </w:r>
      <w:r w:rsidRPr="008F7885">
        <w:rPr>
          <w:rFonts w:ascii="標楷體" w:eastAsia="標楷體" w:hAnsi="標楷體" w:cs="Microsoft YaHei" w:hint="eastAsia"/>
          <w:sz w:val="32"/>
          <w:szCs w:val="32"/>
        </w:rPr>
        <w:t>心</w:t>
      </w:r>
      <w:r w:rsidRPr="008F7885">
        <w:rPr>
          <w:rFonts w:ascii="標楷體" w:eastAsia="標楷體" w:hAnsi="標楷體" w:hint="eastAsia"/>
          <w:sz w:val="32"/>
          <w:szCs w:val="32"/>
        </w:rPr>
        <w:t>有關運科支援人力，包含體能訓練師、運動心理師、營養</w:t>
      </w:r>
      <w:r w:rsidRPr="008F7885">
        <w:rPr>
          <w:rFonts w:ascii="標楷體" w:eastAsia="標楷體" w:hAnsi="標楷體" w:hint="eastAsia"/>
          <w:sz w:val="32"/>
          <w:szCs w:val="32"/>
        </w:rPr>
        <w:lastRenderedPageBreak/>
        <w:t>師等，名額多來自計畫或外聘人力，恐不利人才留用。又落實運動科學為國訓中心每年之營運目標。為鼓勵人才留用，國訓中心應研擬優秀運科專業人才招攬及留任機制，以期落實國訓中心之營運目標，爰此，請</w:t>
      </w:r>
      <w:r w:rsidRPr="008F7885">
        <w:rPr>
          <w:rFonts w:ascii="標楷體" w:eastAsia="標楷體" w:hAnsi="標楷體" w:hint="eastAsia"/>
          <w:bCs/>
          <w:sz w:val="32"/>
          <w:szCs w:val="32"/>
        </w:rPr>
        <w:t>行政法人</w:t>
      </w:r>
      <w:r w:rsidRPr="008F7885">
        <w:rPr>
          <w:rFonts w:ascii="標楷體" w:eastAsia="標楷體" w:hAnsi="標楷體" w:cs="標楷體" w:hint="eastAsia"/>
          <w:sz w:val="32"/>
          <w:szCs w:val="32"/>
        </w:rPr>
        <w:t>國家運動訓練中</w:t>
      </w:r>
      <w:r w:rsidRPr="008F7885">
        <w:rPr>
          <w:rFonts w:ascii="標楷體" w:eastAsia="標楷體" w:hAnsi="標楷體" w:cs="Microsoft YaHei" w:hint="eastAsia"/>
          <w:sz w:val="32"/>
          <w:szCs w:val="32"/>
        </w:rPr>
        <w:t>心</w:t>
      </w:r>
      <w:r w:rsidRPr="008F7885">
        <w:rPr>
          <w:rFonts w:ascii="標楷體" w:eastAsia="標楷體" w:hAnsi="標楷體" w:hint="eastAsia"/>
          <w:sz w:val="32"/>
          <w:szCs w:val="32"/>
        </w:rPr>
        <w:t>於3個月內針對上述項目向立法院教育及文化委員會提出書面報告。11</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提案人：陳秀寳</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連署人：吳思瑤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(四)</w:t>
      </w:r>
      <w:r w:rsidRPr="008F7885">
        <w:rPr>
          <w:rFonts w:ascii="標楷體" w:eastAsia="標楷體" w:hAnsi="標楷體" w:cs="Microsoft YaHei" w:hint="eastAsia"/>
          <w:sz w:val="32"/>
          <w:szCs w:val="32"/>
        </w:rPr>
        <w:t>賴委員品妤長</w:t>
      </w:r>
      <w:r w:rsidRPr="008F7885">
        <w:rPr>
          <w:rFonts w:ascii="標楷體" w:eastAsia="標楷體" w:hAnsi="標楷體" w:cs="標楷體" w:hint="eastAsia"/>
          <w:sz w:val="32"/>
          <w:szCs w:val="32"/>
        </w:rPr>
        <w:t>期爭取台灣應成立「國家級運動科學中心」，</w:t>
      </w:r>
      <w:r w:rsidRPr="008F7885">
        <w:rPr>
          <w:rFonts w:ascii="標楷體" w:eastAsia="標楷體" w:hAnsi="標楷體" w:cs="Microsoft YaHei" w:hint="eastAsia"/>
          <w:sz w:val="32"/>
          <w:szCs w:val="32"/>
        </w:rPr>
        <w:t>自2</w:t>
      </w:r>
      <w:r w:rsidRPr="008F7885">
        <w:rPr>
          <w:rFonts w:ascii="標楷體" w:eastAsia="標楷體" w:hAnsi="標楷體"/>
          <w:sz w:val="32"/>
          <w:szCs w:val="32"/>
        </w:rPr>
        <w:t>021</w:t>
      </w:r>
      <w:r w:rsidRPr="008F7885">
        <w:rPr>
          <w:rFonts w:ascii="標楷體" w:eastAsia="標楷體" w:hAnsi="標楷體" w:hint="eastAsia"/>
          <w:sz w:val="32"/>
          <w:szCs w:val="32"/>
        </w:rPr>
        <w:t>年</w:t>
      </w:r>
      <w:r w:rsidRPr="008F7885">
        <w:rPr>
          <w:rFonts w:ascii="標楷體" w:eastAsia="標楷體" w:hAnsi="標楷體"/>
          <w:sz w:val="32"/>
          <w:szCs w:val="32"/>
        </w:rPr>
        <w:t>9</w:t>
      </w:r>
      <w:r w:rsidRPr="008F7885">
        <w:rPr>
          <w:rFonts w:ascii="標楷體" w:eastAsia="標楷體" w:hAnsi="標楷體" w:hint="eastAsia"/>
          <w:sz w:val="32"/>
          <w:szCs w:val="32"/>
        </w:rPr>
        <w:t>月起即多次要求教育部評估成立</w:t>
      </w:r>
      <w:r w:rsidRPr="008F7885">
        <w:rPr>
          <w:rFonts w:ascii="標楷體" w:eastAsia="標楷體" w:hAnsi="標楷體" w:cs="標楷體" w:hint="eastAsia"/>
          <w:sz w:val="32"/>
          <w:szCs w:val="32"/>
        </w:rPr>
        <w:t>國家級運科中心之可能性，同時亦於立法院第10屆第5會</w:t>
      </w:r>
      <w:r w:rsidRPr="008F7885">
        <w:rPr>
          <w:rFonts w:ascii="標楷體" w:eastAsia="標楷體" w:hAnsi="標楷體" w:hint="eastAsia"/>
          <w:sz w:val="32"/>
          <w:szCs w:val="32"/>
        </w:rPr>
        <w:t>期擔任教育及文化委員會召集委員時安排</w:t>
      </w:r>
      <w:r w:rsidRPr="008F7885">
        <w:rPr>
          <w:rFonts w:ascii="標楷體" w:eastAsia="標楷體" w:hAnsi="標楷體" w:cs="標楷體" w:hint="eastAsia"/>
          <w:sz w:val="32"/>
          <w:szCs w:val="32"/>
        </w:rPr>
        <w:t>考察</w:t>
      </w:r>
      <w:r w:rsidRPr="008F7885">
        <w:rPr>
          <w:rFonts w:ascii="標楷體" w:eastAsia="標楷體" w:hAnsi="標楷體" w:hint="eastAsia"/>
          <w:bCs/>
          <w:sz w:val="32"/>
          <w:szCs w:val="32"/>
        </w:rPr>
        <w:t>行政法人</w:t>
      </w:r>
      <w:r w:rsidRPr="008F7885">
        <w:rPr>
          <w:rFonts w:ascii="標楷體" w:eastAsia="標楷體" w:hAnsi="標楷體" w:hint="eastAsia"/>
          <w:sz w:val="32"/>
          <w:szCs w:val="32"/>
        </w:rPr>
        <w:t>國家運動訓練中心</w:t>
      </w:r>
      <w:r w:rsidRPr="008F7885">
        <w:rPr>
          <w:rFonts w:ascii="標楷體" w:eastAsia="標楷體" w:hAnsi="標楷體" w:cs="標楷體" w:hint="eastAsia"/>
          <w:sz w:val="32"/>
          <w:szCs w:val="32"/>
        </w:rPr>
        <w:t>運動科學處以盤點台灣運科能量，亦於立法院2次總質詢中提出該</w:t>
      </w:r>
      <w:r w:rsidRPr="008F7885">
        <w:rPr>
          <w:rFonts w:ascii="標楷體" w:eastAsia="標楷體" w:hAnsi="標楷體" w:hint="eastAsia"/>
          <w:sz w:val="32"/>
          <w:szCs w:val="32"/>
        </w:rPr>
        <w:t>議題並獲得行</w:t>
      </w:r>
      <w:r w:rsidRPr="008F7885">
        <w:rPr>
          <w:rFonts w:ascii="標楷體" w:eastAsia="標楷體" w:hAnsi="標楷體" w:cs="標楷體" w:hint="eastAsia"/>
          <w:sz w:val="32"/>
          <w:szCs w:val="32"/>
        </w:rPr>
        <w:t>政院院長之支持，最終在</w:t>
      </w:r>
      <w:r w:rsidRPr="008F7885">
        <w:rPr>
          <w:rFonts w:ascii="標楷體" w:eastAsia="標楷體" w:hAnsi="標楷體"/>
          <w:sz w:val="32"/>
          <w:szCs w:val="32"/>
        </w:rPr>
        <w:t>2022</w:t>
      </w:r>
      <w:r w:rsidRPr="008F7885">
        <w:rPr>
          <w:rFonts w:ascii="標楷體" w:eastAsia="標楷體" w:hAnsi="標楷體" w:hint="eastAsia"/>
          <w:sz w:val="32"/>
          <w:szCs w:val="32"/>
        </w:rPr>
        <w:t>年</w:t>
      </w:r>
      <w:r w:rsidRPr="008F7885">
        <w:rPr>
          <w:rFonts w:ascii="標楷體" w:eastAsia="標楷體" w:hAnsi="標楷體"/>
          <w:sz w:val="32"/>
          <w:szCs w:val="32"/>
        </w:rPr>
        <w:t>6</w:t>
      </w:r>
      <w:r w:rsidRPr="008F7885">
        <w:rPr>
          <w:rFonts w:ascii="標楷體" w:eastAsia="標楷體" w:hAnsi="標楷體" w:hint="eastAsia"/>
          <w:sz w:val="32"/>
          <w:szCs w:val="32"/>
        </w:rPr>
        <w:t>月</w:t>
      </w:r>
      <w:r w:rsidRPr="008F7885">
        <w:rPr>
          <w:rFonts w:ascii="標楷體" w:eastAsia="標楷體" w:hAnsi="標楷體"/>
          <w:sz w:val="32"/>
          <w:szCs w:val="32"/>
        </w:rPr>
        <w:t>21</w:t>
      </w:r>
      <w:r w:rsidRPr="008F7885">
        <w:rPr>
          <w:rFonts w:ascii="標楷體" w:eastAsia="標楷體" w:hAnsi="標楷體" w:cs="Microsoft YaHei" w:hint="eastAsia"/>
          <w:sz w:val="32"/>
          <w:szCs w:val="32"/>
        </w:rPr>
        <w:t>日</w:t>
      </w:r>
      <w:r w:rsidRPr="008F7885">
        <w:rPr>
          <w:rFonts w:ascii="標楷體" w:eastAsia="標楷體" w:hAnsi="標楷體" w:cs="標楷體" w:hint="eastAsia"/>
          <w:sz w:val="32"/>
          <w:szCs w:val="32"/>
        </w:rPr>
        <w:t>成立了行政法人國家運動科學中心籌備</w:t>
      </w:r>
      <w:r w:rsidRPr="008F7885">
        <w:rPr>
          <w:rFonts w:ascii="標楷體" w:eastAsia="標楷體" w:hAnsi="標楷體" w:hint="eastAsia"/>
          <w:sz w:val="32"/>
          <w:szCs w:val="32"/>
        </w:rPr>
        <w:t>處，即將啟動組織條例及相關籌備工</w:t>
      </w:r>
      <w:r w:rsidRPr="008F7885">
        <w:rPr>
          <w:rFonts w:ascii="標楷體" w:eastAsia="標楷體" w:hAnsi="標楷體" w:cs="標楷體" w:hint="eastAsia"/>
          <w:sz w:val="32"/>
          <w:szCs w:val="32"/>
        </w:rPr>
        <w:t>程。惟照教育部體育署之規劃，未來行政法人國家運動科學中心擬設立於目前國訓中心內，而原國訓中心運科處依然存續，該2單位之業務恐有衝突，且該作為被體育界質疑為國家運動訓練中心運動科學處原地升級，頗有「掛</w:t>
      </w:r>
      <w:r w:rsidRPr="008F7885">
        <w:rPr>
          <w:rFonts w:ascii="標楷體" w:eastAsia="標楷體" w:hAnsi="標楷體" w:cs="Microsoft YaHei" w:hint="eastAsia"/>
          <w:sz w:val="32"/>
          <w:szCs w:val="32"/>
        </w:rPr>
        <w:t>羊</w:t>
      </w:r>
      <w:r w:rsidRPr="008F7885">
        <w:rPr>
          <w:rFonts w:ascii="標楷體" w:eastAsia="標楷體" w:hAnsi="標楷體" w:cs="標楷體" w:hint="eastAsia"/>
          <w:sz w:val="32"/>
          <w:szCs w:val="32"/>
        </w:rPr>
        <w:t>頭，賣狗肉」之嫌。相關單位應針對兩個位階平</w:t>
      </w:r>
      <w:r w:rsidRPr="008F7885">
        <w:rPr>
          <w:rFonts w:ascii="標楷體" w:eastAsia="標楷體" w:hAnsi="標楷體" w:cs="Microsoft YaHei" w:hint="eastAsia"/>
          <w:sz w:val="32"/>
          <w:szCs w:val="32"/>
        </w:rPr>
        <w:t>行</w:t>
      </w:r>
      <w:r w:rsidRPr="008F7885">
        <w:rPr>
          <w:rFonts w:ascii="標楷體" w:eastAsia="標楷體" w:hAnsi="標楷體" w:cs="標楷體" w:hint="eastAsia"/>
          <w:sz w:val="32"/>
          <w:szCs w:val="32"/>
        </w:rPr>
        <w:t>的</w:t>
      </w:r>
      <w:r w:rsidRPr="008F7885">
        <w:rPr>
          <w:rFonts w:ascii="標楷體" w:eastAsia="標楷體" w:hAnsi="標楷體" w:cs="Microsoft YaHei" w:hint="eastAsia"/>
          <w:sz w:val="32"/>
          <w:szCs w:val="32"/>
        </w:rPr>
        <w:t>行</w:t>
      </w:r>
      <w:r w:rsidRPr="008F7885">
        <w:rPr>
          <w:rFonts w:ascii="標楷體" w:eastAsia="標楷體" w:hAnsi="標楷體" w:cs="標楷體" w:hint="eastAsia"/>
          <w:sz w:val="32"/>
          <w:szCs w:val="32"/>
        </w:rPr>
        <w:t>政法</w:t>
      </w:r>
      <w:r w:rsidRPr="008F7885">
        <w:rPr>
          <w:rFonts w:ascii="標楷體" w:eastAsia="標楷體" w:hAnsi="標楷體" w:cs="Microsoft YaHei" w:hint="eastAsia"/>
          <w:sz w:val="32"/>
          <w:szCs w:val="32"/>
        </w:rPr>
        <w:t>人</w:t>
      </w:r>
      <w:r w:rsidRPr="008F7885">
        <w:rPr>
          <w:rFonts w:ascii="標楷體" w:eastAsia="標楷體" w:hAnsi="標楷體" w:cs="標楷體" w:hint="eastAsia"/>
          <w:sz w:val="32"/>
          <w:szCs w:val="32"/>
        </w:rPr>
        <w:t>未來在於選手培訓、輔助等業務要如何協調、合作，遇到衝突要如何調解，提出詳盡的事先規劃以避免疊床架屋、組織協調爭議等。爰此，賴委員品妤要求</w:t>
      </w:r>
      <w:r w:rsidRPr="008F7885">
        <w:rPr>
          <w:rFonts w:ascii="標楷體" w:eastAsia="標楷體" w:hAnsi="標楷體" w:hint="eastAsia"/>
          <w:bCs/>
          <w:sz w:val="32"/>
          <w:szCs w:val="32"/>
        </w:rPr>
        <w:t>行政法人</w:t>
      </w:r>
      <w:r w:rsidRPr="008F7885">
        <w:rPr>
          <w:rFonts w:ascii="標楷體" w:eastAsia="標楷體" w:hAnsi="標楷體" w:cs="標楷體" w:hint="eastAsia"/>
          <w:sz w:val="32"/>
          <w:szCs w:val="32"/>
        </w:rPr>
        <w:t>國家運動訓練中</w:t>
      </w:r>
      <w:r w:rsidRPr="008F7885">
        <w:rPr>
          <w:rFonts w:ascii="標楷體" w:eastAsia="標楷體" w:hAnsi="標楷體" w:cs="Microsoft YaHei" w:hint="eastAsia"/>
          <w:sz w:val="32"/>
          <w:szCs w:val="32"/>
        </w:rPr>
        <w:t>心</w:t>
      </w:r>
      <w:r w:rsidRPr="008F7885">
        <w:rPr>
          <w:rFonts w:ascii="標楷體" w:eastAsia="標楷體" w:hAnsi="標楷體" w:cs="標楷體" w:hint="eastAsia"/>
          <w:sz w:val="32"/>
          <w:szCs w:val="32"/>
        </w:rPr>
        <w:t>應協同教育部體育署針對相關問題進行討論研議，同時徵詢了解基層選手建議，並於3個月內向立法院教育及文化委員會提出書面報告，使民意代表得為民檢視政府運科發展計畫，並一同為體育能量注</w:t>
      </w:r>
      <w:r w:rsidRPr="008F7885">
        <w:rPr>
          <w:rFonts w:ascii="標楷體" w:eastAsia="標楷體" w:hAnsi="標楷體" w:cs="Microsoft YaHei" w:hint="eastAsia"/>
          <w:sz w:val="32"/>
          <w:szCs w:val="32"/>
        </w:rPr>
        <w:t>入</w:t>
      </w:r>
      <w:r w:rsidRPr="008F7885">
        <w:rPr>
          <w:rFonts w:ascii="標楷體" w:eastAsia="標楷體" w:hAnsi="標楷體" w:cs="標楷體" w:hint="eastAsia"/>
          <w:sz w:val="32"/>
          <w:szCs w:val="32"/>
        </w:rPr>
        <w:t>關鍵力量。12</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提案人：賴品妤</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lastRenderedPageBreak/>
        <w:t>連署人：范  雲  陳秀寳</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(五)</w:t>
      </w:r>
      <w:r w:rsidRPr="008F7885">
        <w:rPr>
          <w:rFonts w:ascii="標楷體" w:eastAsia="標楷體" w:hAnsi="標楷體" w:hint="eastAsia"/>
          <w:bCs/>
          <w:sz w:val="32"/>
          <w:szCs w:val="32"/>
        </w:rPr>
        <w:t>行政法人</w:t>
      </w:r>
      <w:r w:rsidRPr="008F7885">
        <w:rPr>
          <w:rFonts w:ascii="標楷體" w:eastAsia="標楷體" w:hAnsi="標楷體" w:hint="eastAsia"/>
          <w:sz w:val="32"/>
          <w:szCs w:val="32"/>
        </w:rPr>
        <w:t>國家運動訓練中心於111年修正「國際綜合性賽會集訓選手費用支給要點」調漲選手津貼，新制下培訓選手津貼為4萬6</w:t>
      </w:r>
      <w:r>
        <w:rPr>
          <w:rFonts w:ascii="標楷體" w:eastAsia="標楷體" w:hAnsi="標楷體" w:hint="eastAsia"/>
          <w:sz w:val="32"/>
          <w:szCs w:val="32"/>
        </w:rPr>
        <w:t>,</w:t>
      </w:r>
      <w:r>
        <w:rPr>
          <w:rFonts w:ascii="標楷體" w:eastAsia="標楷體" w:hAnsi="標楷體"/>
          <w:sz w:val="32"/>
          <w:szCs w:val="32"/>
        </w:rPr>
        <w:t>000</w:t>
      </w:r>
      <w:r w:rsidRPr="008F7885">
        <w:rPr>
          <w:rFonts w:ascii="標楷體" w:eastAsia="標楷體" w:hAnsi="標楷體" w:hint="eastAsia"/>
          <w:sz w:val="32"/>
          <w:szCs w:val="32"/>
        </w:rPr>
        <w:t>元、學生選手津貼為2萬6</w:t>
      </w:r>
      <w:r>
        <w:rPr>
          <w:rFonts w:ascii="標楷體" w:eastAsia="標楷體" w:hAnsi="標楷體" w:hint="eastAsia"/>
          <w:sz w:val="32"/>
          <w:szCs w:val="32"/>
        </w:rPr>
        <w:t>,</w:t>
      </w:r>
      <w:r>
        <w:rPr>
          <w:rFonts w:ascii="標楷體" w:eastAsia="標楷體" w:hAnsi="標楷體"/>
          <w:sz w:val="32"/>
          <w:szCs w:val="32"/>
        </w:rPr>
        <w:t>000</w:t>
      </w:r>
      <w:r w:rsidRPr="008F7885">
        <w:rPr>
          <w:rFonts w:ascii="標楷體" w:eastAsia="標楷體" w:hAnsi="標楷體" w:hint="eastAsia"/>
          <w:sz w:val="32"/>
          <w:szCs w:val="32"/>
        </w:rPr>
        <w:t>元、儲訓選手津貼為1萬1</w:t>
      </w:r>
      <w:r>
        <w:rPr>
          <w:rFonts w:ascii="標楷體" w:eastAsia="標楷體" w:hAnsi="標楷體" w:hint="eastAsia"/>
          <w:sz w:val="32"/>
          <w:szCs w:val="32"/>
        </w:rPr>
        <w:t>,</w:t>
      </w:r>
      <w:r>
        <w:rPr>
          <w:rFonts w:ascii="標楷體" w:eastAsia="標楷體" w:hAnsi="標楷體"/>
          <w:sz w:val="32"/>
          <w:szCs w:val="32"/>
        </w:rPr>
        <w:t>000</w:t>
      </w:r>
      <w:r w:rsidRPr="008F7885">
        <w:rPr>
          <w:rFonts w:ascii="標楷體" w:eastAsia="標楷體" w:hAnsi="標楷體" w:hint="eastAsia"/>
          <w:sz w:val="32"/>
          <w:szCs w:val="32"/>
        </w:rPr>
        <w:t>元。惟依現行支給要點，大學畢業後未在學或就業的選手可領到4萬6</w:t>
      </w:r>
      <w:r>
        <w:rPr>
          <w:rFonts w:ascii="標楷體" w:eastAsia="標楷體" w:hAnsi="標楷體" w:hint="eastAsia"/>
          <w:sz w:val="32"/>
          <w:szCs w:val="32"/>
        </w:rPr>
        <w:t>,</w:t>
      </w:r>
      <w:r>
        <w:rPr>
          <w:rFonts w:ascii="標楷體" w:eastAsia="標楷體" w:hAnsi="標楷體"/>
          <w:sz w:val="32"/>
          <w:szCs w:val="32"/>
        </w:rPr>
        <w:t>000</w:t>
      </w:r>
      <w:r w:rsidRPr="008F7885">
        <w:rPr>
          <w:rFonts w:ascii="標楷體" w:eastAsia="標楷體" w:hAnsi="標楷體" w:hint="eastAsia"/>
          <w:sz w:val="32"/>
          <w:szCs w:val="32"/>
        </w:rPr>
        <w:t>元的日常零用金，但如果這些選手選擇繼續進修深造，攻讀碩士、博士卻會因為具有學生身分只能領到2萬6</w:t>
      </w:r>
      <w:r>
        <w:rPr>
          <w:rFonts w:ascii="標楷體" w:eastAsia="標楷體" w:hAnsi="標楷體" w:hint="eastAsia"/>
          <w:sz w:val="32"/>
          <w:szCs w:val="32"/>
        </w:rPr>
        <w:t>,</w:t>
      </w:r>
      <w:r>
        <w:rPr>
          <w:rFonts w:ascii="標楷體" w:eastAsia="標楷體" w:hAnsi="標楷體"/>
          <w:sz w:val="32"/>
          <w:szCs w:val="32"/>
        </w:rPr>
        <w:t>000</w:t>
      </w:r>
      <w:r w:rsidRPr="008F7885">
        <w:rPr>
          <w:rFonts w:ascii="標楷體" w:eastAsia="標楷體" w:hAnsi="標楷體" w:hint="eastAsia"/>
          <w:sz w:val="32"/>
          <w:szCs w:val="32"/>
        </w:rPr>
        <w:t>元的日常零用金，等同變相減薪影響選手進修之意願。爰要求</w:t>
      </w:r>
      <w:r w:rsidRPr="008F7885">
        <w:rPr>
          <w:rFonts w:ascii="標楷體" w:eastAsia="標楷體" w:hAnsi="標楷體" w:hint="eastAsia"/>
          <w:bCs/>
          <w:sz w:val="32"/>
          <w:szCs w:val="32"/>
        </w:rPr>
        <w:t>行政法人</w:t>
      </w:r>
      <w:r w:rsidRPr="008F7885">
        <w:rPr>
          <w:rFonts w:ascii="標楷體" w:eastAsia="標楷體" w:hAnsi="標楷體" w:hint="eastAsia"/>
          <w:sz w:val="32"/>
          <w:szCs w:val="32"/>
        </w:rPr>
        <w:t>國家運動訓練中心應提高學生選手津貼待遇並鼓勵選手持續進修增加學識，並於3個月內向立法院教育及文化委員會提出書面報告。13</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提案人：萬美玲</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連署人：鄭正鈐  林奕華</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(六)</w:t>
      </w:r>
      <w:r w:rsidRPr="008F7885">
        <w:rPr>
          <w:rFonts w:ascii="標楷體" w:eastAsia="標楷體" w:hAnsi="標楷體" w:hint="eastAsia"/>
          <w:bCs/>
          <w:sz w:val="32"/>
          <w:szCs w:val="32"/>
        </w:rPr>
        <w:t>行政法人</w:t>
      </w:r>
      <w:r w:rsidRPr="008F7885">
        <w:rPr>
          <w:rFonts w:ascii="標楷體" w:eastAsia="標楷體" w:hAnsi="標楷體" w:hint="eastAsia"/>
          <w:sz w:val="32"/>
          <w:szCs w:val="32"/>
        </w:rPr>
        <w:t>國家運動訓練中心培訓選手，除教練與選手本身努力之外，運動科學後勤支援也扮演不可或缺之關鍵角色。經查，國家運動訓練中心人員編制可達145人，然目前編制現員卻僅有123人，且其中58名運科人員當中，有高達25人，將近一半之運科人員為1年1聘、隨計畫聘用之非正式人員，其薪資福利不佳加上聘約無保障，實難以招攬優秀人才提供選手專業精準之服務，更不利於我國運動科學發展。爰要求</w:t>
      </w:r>
      <w:r w:rsidRPr="008F7885">
        <w:rPr>
          <w:rFonts w:ascii="標楷體" w:eastAsia="標楷體" w:hAnsi="標楷體" w:hint="eastAsia"/>
          <w:bCs/>
          <w:sz w:val="32"/>
          <w:szCs w:val="32"/>
        </w:rPr>
        <w:t>行政法人</w:t>
      </w:r>
      <w:r w:rsidRPr="008F7885">
        <w:rPr>
          <w:rFonts w:ascii="標楷體" w:eastAsia="標楷體" w:hAnsi="標楷體" w:hint="eastAsia"/>
          <w:sz w:val="32"/>
          <w:szCs w:val="32"/>
        </w:rPr>
        <w:t>國家運動訓練中心應檢討運科組織人力配置提出正式規劃方案，增加運科人員正式員額編制與待遇，並於3個月內向立法院教育及文化委員會提出書面報告。14</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提案人：萬美玲</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連署人：鄭正鈐  林奕華</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(七) 112年度</w:t>
      </w:r>
      <w:r w:rsidRPr="008F7885">
        <w:rPr>
          <w:rFonts w:ascii="標楷體" w:eastAsia="標楷體" w:hAnsi="標楷體" w:hint="eastAsia"/>
          <w:bCs/>
          <w:sz w:val="32"/>
          <w:szCs w:val="32"/>
        </w:rPr>
        <w:t>行政法人</w:t>
      </w:r>
      <w:r w:rsidRPr="008F7885">
        <w:rPr>
          <w:rFonts w:ascii="標楷體" w:eastAsia="標楷體" w:hAnsi="標楷體" w:hint="eastAsia"/>
          <w:sz w:val="32"/>
          <w:szCs w:val="32"/>
        </w:rPr>
        <w:t>國家運動訓練中心「亞奧運、世大運及黃金計畫選手培訓」項下「服務費用」中「一般服務費」預算編列8</w:t>
      </w:r>
      <w:r w:rsidRPr="008F7885">
        <w:rPr>
          <w:rFonts w:ascii="標楷體" w:eastAsia="標楷體" w:hAnsi="標楷體"/>
          <w:sz w:val="32"/>
          <w:szCs w:val="32"/>
        </w:rPr>
        <w:t>,</w:t>
      </w:r>
      <w:r w:rsidRPr="008F7885">
        <w:rPr>
          <w:rFonts w:ascii="標楷體" w:eastAsia="標楷體" w:hAnsi="標楷體" w:hint="eastAsia"/>
          <w:sz w:val="32"/>
          <w:szCs w:val="32"/>
        </w:rPr>
        <w:t>358萬5千元，其中用途之一擬用以「組裝式游泳池</w:t>
      </w:r>
      <w:r w:rsidRPr="008F7885">
        <w:rPr>
          <w:rFonts w:ascii="標楷體" w:eastAsia="標楷體" w:hAnsi="標楷體" w:hint="eastAsia"/>
          <w:sz w:val="32"/>
          <w:szCs w:val="32"/>
        </w:rPr>
        <w:lastRenderedPageBreak/>
        <w:t>委外費」。惟111年9月，賴委員品妤針對有選手指出「國訓中心游冰池水溫平均高達30度以上，造成選手游泳時全身發燙、身體不適」等問題提出監督後，國訓中心已購置水冷扇及泡澡桶供選手使用；同時自稱亦提出增設降溫系統的規劃，惟至今賴委員品妤依然未見「增設降溫系統」之具體報告，然於2026年室內游冰池完工前，相關選手皆暫於臨時游泳池進行培訓，若於往後夏季來臨前仍未有具體規劃恐對選手權益造成影響及傷害。體育發展為百年大計，若政府部門消極無作為，如此忽略選手權益，有違國訓中心推展競技運動之宗旨。爰請</w:t>
      </w:r>
      <w:r w:rsidRPr="008F7885">
        <w:rPr>
          <w:rFonts w:ascii="標楷體" w:eastAsia="標楷體" w:hAnsi="標楷體" w:hint="eastAsia"/>
          <w:bCs/>
          <w:sz w:val="32"/>
          <w:szCs w:val="32"/>
        </w:rPr>
        <w:t>行政法人</w:t>
      </w:r>
      <w:r w:rsidRPr="008F7885">
        <w:rPr>
          <w:rFonts w:ascii="標楷體" w:eastAsia="標楷體" w:hAnsi="標楷體" w:hint="eastAsia"/>
          <w:sz w:val="32"/>
          <w:szCs w:val="32"/>
        </w:rPr>
        <w:t>國家運動訓練中心於6個月內</w:t>
      </w:r>
      <w:r>
        <w:rPr>
          <w:rFonts w:ascii="標楷體" w:eastAsia="標楷體" w:hAnsi="標楷體" w:hint="eastAsia"/>
          <w:sz w:val="32"/>
          <w:szCs w:val="32"/>
        </w:rPr>
        <w:t>向</w:t>
      </w:r>
      <w:r w:rsidRPr="00F445C8">
        <w:rPr>
          <w:rFonts w:ascii="標楷體" w:eastAsia="標楷體" w:hAnsi="標楷體" w:hint="eastAsia"/>
          <w:sz w:val="32"/>
          <w:szCs w:val="32"/>
        </w:rPr>
        <w:t>立法院教育及文化委員會</w:t>
      </w:r>
      <w:r w:rsidRPr="008F7885">
        <w:rPr>
          <w:rFonts w:ascii="標楷體" w:eastAsia="標楷體" w:hAnsi="標楷體" w:hint="eastAsia"/>
          <w:sz w:val="32"/>
          <w:szCs w:val="32"/>
        </w:rPr>
        <w:t>提出游泳池水溫具體改善規劃報告。2</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提案人：賴品妤</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連署人：陳秀寳  范  雲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(八)</w:t>
      </w:r>
      <w:r w:rsidRPr="008F7885">
        <w:rPr>
          <w:rFonts w:ascii="標楷體" w:eastAsia="標楷體" w:hAnsi="標楷體"/>
          <w:sz w:val="32"/>
          <w:szCs w:val="32"/>
        </w:rPr>
        <w:t>112</w:t>
      </w:r>
      <w:r w:rsidRPr="008F7885">
        <w:rPr>
          <w:rFonts w:ascii="標楷體" w:eastAsia="標楷體" w:hAnsi="標楷體" w:hint="eastAsia"/>
          <w:sz w:val="32"/>
          <w:szCs w:val="32"/>
        </w:rPr>
        <w:t>年度</w:t>
      </w:r>
      <w:r w:rsidRPr="008F7885">
        <w:rPr>
          <w:rFonts w:ascii="標楷體" w:eastAsia="標楷體" w:hAnsi="標楷體" w:hint="eastAsia"/>
          <w:bCs/>
          <w:sz w:val="32"/>
          <w:szCs w:val="32"/>
        </w:rPr>
        <w:t>行政法人</w:t>
      </w:r>
      <w:r w:rsidRPr="008F7885">
        <w:rPr>
          <w:rFonts w:ascii="標楷體" w:eastAsia="標楷體" w:hAnsi="標楷體" w:hint="eastAsia"/>
          <w:sz w:val="32"/>
          <w:szCs w:val="32"/>
        </w:rPr>
        <w:t>國家運動訓練中心「亞奧運、世大運及黃金計畫選手培訓」項下「備戰</w:t>
      </w:r>
      <w:r w:rsidRPr="008F7885">
        <w:rPr>
          <w:rFonts w:ascii="標楷體" w:eastAsia="標楷體" w:hAnsi="標楷體"/>
          <w:sz w:val="32"/>
          <w:szCs w:val="32"/>
        </w:rPr>
        <w:t>2028</w:t>
      </w:r>
      <w:r w:rsidRPr="008F7885">
        <w:rPr>
          <w:rFonts w:ascii="標楷體" w:eastAsia="標楷體" w:hAnsi="標楷體" w:hint="eastAsia"/>
          <w:sz w:val="32"/>
          <w:szCs w:val="32"/>
        </w:rPr>
        <w:t>洛杉磯奥運黃金計查」預算編列</w:t>
      </w:r>
      <w:r w:rsidRPr="008F7885">
        <w:rPr>
          <w:rFonts w:ascii="標楷體" w:eastAsia="標楷體" w:hAnsi="標楷體"/>
          <w:sz w:val="32"/>
          <w:szCs w:val="32"/>
        </w:rPr>
        <w:t>3</w:t>
      </w:r>
      <w:r w:rsidRPr="008F7885">
        <w:rPr>
          <w:rFonts w:ascii="標楷體" w:eastAsia="標楷體" w:hAnsi="標楷體" w:hint="eastAsia"/>
          <w:sz w:val="32"/>
          <w:szCs w:val="32"/>
        </w:rPr>
        <w:t>億元。為達「體育預算倍增」之目標，近年教育部體育署與國訓中心屢以高預算、低決算的方式，讓預算倍增流於形式。過度灌水之預算編列，不僅無助於提升選手實質待遇，更恐扭曲預算結構，不利體育政策之監督。其中近年編列之備戰奥運黃金計畫尤以為甚，如110年度之決算中即可見</w:t>
      </w:r>
      <w:r w:rsidRPr="008F7885">
        <w:rPr>
          <w:rFonts w:ascii="標楷體" w:eastAsia="標楷體" w:hAnsi="標楷體"/>
          <w:sz w:val="32"/>
          <w:szCs w:val="32"/>
        </w:rPr>
        <w:t>2024</w:t>
      </w:r>
      <w:r w:rsidRPr="008F7885">
        <w:rPr>
          <w:rFonts w:ascii="標楷體" w:eastAsia="標楷體" w:hAnsi="標楷體" w:hint="eastAsia"/>
          <w:sz w:val="32"/>
          <w:szCs w:val="32"/>
        </w:rPr>
        <w:t>巴黎奥運預算執行率之低落。而相較於2年後</w:t>
      </w:r>
      <w:r w:rsidRPr="008F7885">
        <w:rPr>
          <w:rFonts w:ascii="標楷體" w:eastAsia="標楷體" w:hAnsi="標楷體"/>
          <w:sz w:val="32"/>
          <w:szCs w:val="32"/>
        </w:rPr>
        <w:t>2024</w:t>
      </w:r>
      <w:r w:rsidRPr="008F7885">
        <w:rPr>
          <w:rFonts w:ascii="標楷體" w:eastAsia="標楷體" w:hAnsi="標楷體" w:hint="eastAsia"/>
          <w:sz w:val="32"/>
          <w:szCs w:val="32"/>
        </w:rPr>
        <w:t>巴黎奧運之可預見性，</w:t>
      </w:r>
      <w:r w:rsidRPr="008F7885">
        <w:rPr>
          <w:rFonts w:ascii="標楷體" w:eastAsia="標楷體" w:hAnsi="標楷體"/>
          <w:sz w:val="32"/>
          <w:szCs w:val="32"/>
        </w:rPr>
        <w:t>2028</w:t>
      </w:r>
      <w:r w:rsidRPr="008F7885">
        <w:rPr>
          <w:rFonts w:ascii="標楷體" w:eastAsia="標楷體" w:hAnsi="標楷體" w:hint="eastAsia"/>
          <w:sz w:val="32"/>
          <w:szCs w:val="32"/>
        </w:rPr>
        <w:t>年洛杉磯與運會相關選手名單與所需資源，竟與</w:t>
      </w:r>
      <w:r w:rsidRPr="008F7885">
        <w:rPr>
          <w:rFonts w:ascii="標楷體" w:eastAsia="標楷體" w:hAnsi="標楷體"/>
          <w:sz w:val="32"/>
          <w:szCs w:val="32"/>
        </w:rPr>
        <w:t>2024</w:t>
      </w:r>
      <w:r w:rsidRPr="008F7885">
        <w:rPr>
          <w:rFonts w:ascii="標楷體" w:eastAsia="標楷體" w:hAnsi="標楷體" w:hint="eastAsia"/>
          <w:sz w:val="32"/>
          <w:szCs w:val="32"/>
        </w:rPr>
        <w:t>年奥運備戰相當，顯失比例原則與合理性。承上，為促使國訓中心於預算編列上切合實際需求，避免浮報預算，爰請</w:t>
      </w:r>
      <w:r w:rsidRPr="008F7885">
        <w:rPr>
          <w:rFonts w:ascii="標楷體" w:eastAsia="標楷體" w:hAnsi="標楷體" w:hint="eastAsia"/>
          <w:bCs/>
          <w:sz w:val="32"/>
          <w:szCs w:val="32"/>
        </w:rPr>
        <w:t>行政法人</w:t>
      </w:r>
      <w:r w:rsidRPr="008F7885">
        <w:rPr>
          <w:rFonts w:ascii="標楷體" w:eastAsia="標楷體" w:hAnsi="標楷體" w:hint="eastAsia"/>
          <w:sz w:val="32"/>
          <w:szCs w:val="32"/>
        </w:rPr>
        <w:t>國家運動訓練中心針對前述問題具體改善相關狀況，並於3個月內向立法院教育及文化委員會提出書面報告。3</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lastRenderedPageBreak/>
        <w:t>提案人：黃國書</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連署人：范  雲  陳秀寳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(九)行政院於111年通過教育部擬具「國家運動科學中心設置條例」草案，規劃成立專責行政法人國家運動科學中心；國家級運動科學中心籌備處同時於</w:t>
      </w:r>
      <w:r w:rsidRPr="008F7885">
        <w:rPr>
          <w:rFonts w:ascii="標楷體" w:eastAsia="標楷體" w:hAnsi="標楷體" w:hint="eastAsia"/>
          <w:bCs/>
          <w:sz w:val="32"/>
          <w:szCs w:val="32"/>
        </w:rPr>
        <w:t>行政法人</w:t>
      </w:r>
      <w:r w:rsidRPr="008F7885">
        <w:rPr>
          <w:rFonts w:ascii="標楷體" w:eastAsia="標楷體" w:hAnsi="標楷體" w:hint="eastAsia"/>
          <w:sz w:val="32"/>
          <w:szCs w:val="32"/>
        </w:rPr>
        <w:t>國家運動訓練中心掛牌成立，期待達到深入了解現行運動科學支援體系之運作模式，與規劃未來運科中心內部組織架構。現行運動科學相關業務由國訓中心運動科學處辦理，與行政法人國家運動科學中心籌備處之業務權屬、人力配置、軟硬體規劃尚不明確，業務能否有效銜接?請</w:t>
      </w:r>
      <w:r w:rsidRPr="008F7885">
        <w:rPr>
          <w:rFonts w:ascii="標楷體" w:eastAsia="標楷體" w:hAnsi="標楷體" w:hint="eastAsia"/>
          <w:bCs/>
          <w:sz w:val="32"/>
          <w:szCs w:val="32"/>
        </w:rPr>
        <w:t>行政法人</w:t>
      </w:r>
      <w:r w:rsidRPr="008F7885">
        <w:rPr>
          <w:rFonts w:ascii="標楷體" w:eastAsia="標楷體" w:hAnsi="標楷體" w:hint="eastAsia"/>
          <w:sz w:val="32"/>
          <w:szCs w:val="32"/>
        </w:rPr>
        <w:t>國家運動訓練中心3個月內向立法院教育及文化委員會提出書面報告。4</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提案人：吳思瑤</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連署人：范  雲  黃國書  陳秀寳</w:t>
      </w:r>
    </w:p>
    <w:p w:rsidR="007F5871"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十)賴委員品妤長期關注運動科學議題，並於立法院第10屆第4會期提出相關預算提案後監督「國家運動訓練中心運動科學處」逐步改善人事聘用不足等問題(詳下表)。惟在有限資源內，提升後之人力調配領域依然有極大落差，舉例來說，人數最高之醫療防護為30人，2022年1至7月平均每人支援1.37隊、33.67位選手；人數最低運動營養領域3人，平均每人支援13.67隊、336.67位選手，此對運動員權益及運動科學勞動能量皆有不利之影響。體育發展為百年大計，若政府部門消極無作為，如此忽略運動科學成果及發展潛力，且不重視勞動條件，有違</w:t>
      </w:r>
      <w:r w:rsidRPr="008F7885">
        <w:rPr>
          <w:rFonts w:ascii="標楷體" w:eastAsia="標楷體" w:hAnsi="標楷體" w:hint="eastAsia"/>
          <w:bCs/>
          <w:sz w:val="32"/>
          <w:szCs w:val="32"/>
        </w:rPr>
        <w:t>行政法人</w:t>
      </w:r>
      <w:r w:rsidRPr="008F7885">
        <w:rPr>
          <w:rFonts w:ascii="標楷體" w:eastAsia="標楷體" w:hAnsi="標楷體" w:hint="eastAsia"/>
          <w:sz w:val="32"/>
          <w:szCs w:val="32"/>
        </w:rPr>
        <w:t>國家運動訓練中心推展競技運動之宗旨，允宜妥善規劃運科人力資源配置，並應提供合適之運科支援，待教育部體育署監督</w:t>
      </w:r>
      <w:r w:rsidRPr="008F7885">
        <w:rPr>
          <w:rFonts w:ascii="標楷體" w:eastAsia="標楷體" w:hAnsi="標楷體" w:hint="eastAsia"/>
          <w:bCs/>
          <w:sz w:val="32"/>
          <w:szCs w:val="32"/>
        </w:rPr>
        <w:t>行政法人</w:t>
      </w:r>
      <w:r w:rsidRPr="008F7885">
        <w:rPr>
          <w:rFonts w:ascii="標楷體" w:eastAsia="標楷體" w:hAnsi="標楷體" w:hint="eastAsia"/>
          <w:sz w:val="32"/>
          <w:szCs w:val="32"/>
        </w:rPr>
        <w:t>國家運動訓練中心，並於3個月內向立法院教育及文化委員會提出書面報告。6</w:t>
      </w:r>
    </w:p>
    <w:p w:rsidR="007F5871" w:rsidRDefault="007F5871">
      <w:pPr>
        <w:widowControl/>
        <w:rPr>
          <w:rFonts w:ascii="標楷體" w:eastAsia="標楷體" w:hAnsi="標楷體"/>
          <w:sz w:val="32"/>
          <w:szCs w:val="32"/>
        </w:rPr>
      </w:pPr>
      <w:r>
        <w:rPr>
          <w:rFonts w:ascii="標楷體" w:eastAsia="標楷體" w:hAnsi="標楷體"/>
          <w:sz w:val="32"/>
          <w:szCs w:val="32"/>
        </w:rPr>
        <w:br w:type="page"/>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
        <w:gridCol w:w="634"/>
        <w:gridCol w:w="1039"/>
        <w:gridCol w:w="1040"/>
        <w:gridCol w:w="1039"/>
        <w:gridCol w:w="1040"/>
        <w:gridCol w:w="1039"/>
        <w:gridCol w:w="1040"/>
        <w:gridCol w:w="708"/>
      </w:tblGrid>
      <w:tr w:rsidR="00273897" w:rsidRPr="008F7885" w:rsidTr="00273897">
        <w:trPr>
          <w:trHeight w:val="394"/>
          <w:jc w:val="center"/>
        </w:trPr>
        <w:tc>
          <w:tcPr>
            <w:tcW w:w="1555" w:type="dxa"/>
            <w:gridSpan w:val="2"/>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領域</w:t>
            </w:r>
          </w:p>
        </w:tc>
        <w:tc>
          <w:tcPr>
            <w:tcW w:w="1039"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生理生化</w:t>
            </w:r>
          </w:p>
        </w:tc>
        <w:tc>
          <w:tcPr>
            <w:tcW w:w="1040"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運動心理</w:t>
            </w:r>
          </w:p>
        </w:tc>
        <w:tc>
          <w:tcPr>
            <w:tcW w:w="1039"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醫療防護</w:t>
            </w:r>
          </w:p>
        </w:tc>
        <w:tc>
          <w:tcPr>
            <w:tcW w:w="1040"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體能訓練</w:t>
            </w:r>
          </w:p>
        </w:tc>
        <w:tc>
          <w:tcPr>
            <w:tcW w:w="1039"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運動營養</w:t>
            </w:r>
          </w:p>
        </w:tc>
        <w:tc>
          <w:tcPr>
            <w:tcW w:w="1040"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力學情蒐</w:t>
            </w:r>
          </w:p>
        </w:tc>
        <w:tc>
          <w:tcPr>
            <w:tcW w:w="708"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小計</w:t>
            </w:r>
          </w:p>
        </w:tc>
      </w:tr>
      <w:tr w:rsidR="00273897" w:rsidRPr="008F7885" w:rsidTr="00273897">
        <w:trPr>
          <w:trHeight w:val="397"/>
          <w:jc w:val="center"/>
        </w:trPr>
        <w:tc>
          <w:tcPr>
            <w:tcW w:w="921" w:type="dxa"/>
            <w:vMerge w:val="restart"/>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2022年8月底</w:t>
            </w:r>
          </w:p>
        </w:tc>
        <w:tc>
          <w:tcPr>
            <w:tcW w:w="634"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編制</w:t>
            </w:r>
          </w:p>
        </w:tc>
        <w:tc>
          <w:tcPr>
            <w:tcW w:w="1039"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5</w:t>
            </w:r>
          </w:p>
        </w:tc>
        <w:tc>
          <w:tcPr>
            <w:tcW w:w="1040"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3</w:t>
            </w:r>
          </w:p>
        </w:tc>
        <w:tc>
          <w:tcPr>
            <w:tcW w:w="1039"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16</w:t>
            </w:r>
          </w:p>
        </w:tc>
        <w:tc>
          <w:tcPr>
            <w:tcW w:w="1040"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4</w:t>
            </w:r>
          </w:p>
        </w:tc>
        <w:tc>
          <w:tcPr>
            <w:tcW w:w="1039"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1</w:t>
            </w:r>
          </w:p>
        </w:tc>
        <w:tc>
          <w:tcPr>
            <w:tcW w:w="1040"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3</w:t>
            </w:r>
          </w:p>
        </w:tc>
        <w:tc>
          <w:tcPr>
            <w:tcW w:w="708"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32</w:t>
            </w:r>
          </w:p>
        </w:tc>
      </w:tr>
      <w:tr w:rsidR="00273897" w:rsidRPr="008F7885" w:rsidTr="00273897">
        <w:trPr>
          <w:trHeight w:val="397"/>
          <w:jc w:val="center"/>
        </w:trPr>
        <w:tc>
          <w:tcPr>
            <w:tcW w:w="921" w:type="dxa"/>
            <w:vMerge/>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p>
        </w:tc>
        <w:tc>
          <w:tcPr>
            <w:tcW w:w="634"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計畫</w:t>
            </w:r>
          </w:p>
        </w:tc>
        <w:tc>
          <w:tcPr>
            <w:tcW w:w="1039"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1</w:t>
            </w:r>
          </w:p>
        </w:tc>
        <w:tc>
          <w:tcPr>
            <w:tcW w:w="1040"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3</w:t>
            </w:r>
          </w:p>
        </w:tc>
        <w:tc>
          <w:tcPr>
            <w:tcW w:w="1039"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14</w:t>
            </w:r>
          </w:p>
        </w:tc>
        <w:tc>
          <w:tcPr>
            <w:tcW w:w="1040"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4</w:t>
            </w:r>
          </w:p>
        </w:tc>
        <w:tc>
          <w:tcPr>
            <w:tcW w:w="1039"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2</w:t>
            </w:r>
          </w:p>
        </w:tc>
        <w:tc>
          <w:tcPr>
            <w:tcW w:w="1040"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5</w:t>
            </w:r>
          </w:p>
        </w:tc>
        <w:tc>
          <w:tcPr>
            <w:tcW w:w="708"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29</w:t>
            </w:r>
          </w:p>
        </w:tc>
      </w:tr>
      <w:tr w:rsidR="00273897" w:rsidRPr="008F7885" w:rsidTr="00273897">
        <w:trPr>
          <w:trHeight w:val="397"/>
          <w:jc w:val="center"/>
        </w:trPr>
        <w:tc>
          <w:tcPr>
            <w:tcW w:w="921" w:type="dxa"/>
            <w:vMerge/>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p>
        </w:tc>
        <w:tc>
          <w:tcPr>
            <w:tcW w:w="634"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小計</w:t>
            </w:r>
          </w:p>
        </w:tc>
        <w:tc>
          <w:tcPr>
            <w:tcW w:w="1039"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6</w:t>
            </w:r>
          </w:p>
        </w:tc>
        <w:tc>
          <w:tcPr>
            <w:tcW w:w="1040"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6</w:t>
            </w:r>
          </w:p>
        </w:tc>
        <w:tc>
          <w:tcPr>
            <w:tcW w:w="1039"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30</w:t>
            </w:r>
          </w:p>
        </w:tc>
        <w:tc>
          <w:tcPr>
            <w:tcW w:w="1040"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8</w:t>
            </w:r>
          </w:p>
        </w:tc>
        <w:tc>
          <w:tcPr>
            <w:tcW w:w="1039"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3</w:t>
            </w:r>
          </w:p>
        </w:tc>
        <w:tc>
          <w:tcPr>
            <w:tcW w:w="1040"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8</w:t>
            </w:r>
          </w:p>
        </w:tc>
        <w:tc>
          <w:tcPr>
            <w:tcW w:w="708"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61</w:t>
            </w:r>
          </w:p>
        </w:tc>
      </w:tr>
      <w:tr w:rsidR="00273897" w:rsidRPr="008F7885" w:rsidTr="00273897">
        <w:trPr>
          <w:trHeight w:val="397"/>
          <w:jc w:val="center"/>
        </w:trPr>
        <w:tc>
          <w:tcPr>
            <w:tcW w:w="921" w:type="dxa"/>
            <w:vMerge w:val="restart"/>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2023年度預估</w:t>
            </w:r>
          </w:p>
        </w:tc>
        <w:tc>
          <w:tcPr>
            <w:tcW w:w="634"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編制</w:t>
            </w:r>
          </w:p>
        </w:tc>
        <w:tc>
          <w:tcPr>
            <w:tcW w:w="1039"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5</w:t>
            </w:r>
          </w:p>
        </w:tc>
        <w:tc>
          <w:tcPr>
            <w:tcW w:w="1040"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4</w:t>
            </w:r>
          </w:p>
        </w:tc>
        <w:tc>
          <w:tcPr>
            <w:tcW w:w="1039"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17</w:t>
            </w:r>
          </w:p>
        </w:tc>
        <w:tc>
          <w:tcPr>
            <w:tcW w:w="1040"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6</w:t>
            </w:r>
          </w:p>
        </w:tc>
        <w:tc>
          <w:tcPr>
            <w:tcW w:w="1039"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3</w:t>
            </w:r>
          </w:p>
        </w:tc>
        <w:tc>
          <w:tcPr>
            <w:tcW w:w="1040"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5</w:t>
            </w:r>
          </w:p>
        </w:tc>
        <w:tc>
          <w:tcPr>
            <w:tcW w:w="708"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40</w:t>
            </w:r>
          </w:p>
        </w:tc>
      </w:tr>
      <w:tr w:rsidR="00273897" w:rsidRPr="008F7885" w:rsidTr="00273897">
        <w:trPr>
          <w:trHeight w:val="397"/>
          <w:jc w:val="center"/>
        </w:trPr>
        <w:tc>
          <w:tcPr>
            <w:tcW w:w="921" w:type="dxa"/>
            <w:vMerge/>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p>
        </w:tc>
        <w:tc>
          <w:tcPr>
            <w:tcW w:w="634"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計畫</w:t>
            </w:r>
          </w:p>
        </w:tc>
        <w:tc>
          <w:tcPr>
            <w:tcW w:w="1039"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4</w:t>
            </w:r>
          </w:p>
        </w:tc>
        <w:tc>
          <w:tcPr>
            <w:tcW w:w="1040"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6</w:t>
            </w:r>
          </w:p>
        </w:tc>
        <w:tc>
          <w:tcPr>
            <w:tcW w:w="1039"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22</w:t>
            </w:r>
          </w:p>
        </w:tc>
        <w:tc>
          <w:tcPr>
            <w:tcW w:w="1040"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7</w:t>
            </w:r>
          </w:p>
        </w:tc>
        <w:tc>
          <w:tcPr>
            <w:tcW w:w="1039"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4</w:t>
            </w:r>
          </w:p>
        </w:tc>
        <w:tc>
          <w:tcPr>
            <w:tcW w:w="1040"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7</w:t>
            </w:r>
          </w:p>
        </w:tc>
        <w:tc>
          <w:tcPr>
            <w:tcW w:w="708"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50</w:t>
            </w:r>
          </w:p>
        </w:tc>
      </w:tr>
      <w:tr w:rsidR="00273897" w:rsidRPr="008F7885" w:rsidTr="00273897">
        <w:trPr>
          <w:trHeight w:val="397"/>
          <w:jc w:val="center"/>
        </w:trPr>
        <w:tc>
          <w:tcPr>
            <w:tcW w:w="921" w:type="dxa"/>
            <w:vMerge/>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p>
        </w:tc>
        <w:tc>
          <w:tcPr>
            <w:tcW w:w="634"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小計</w:t>
            </w:r>
          </w:p>
        </w:tc>
        <w:tc>
          <w:tcPr>
            <w:tcW w:w="1039"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9</w:t>
            </w:r>
          </w:p>
        </w:tc>
        <w:tc>
          <w:tcPr>
            <w:tcW w:w="1040"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10</w:t>
            </w:r>
          </w:p>
        </w:tc>
        <w:tc>
          <w:tcPr>
            <w:tcW w:w="1039"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39</w:t>
            </w:r>
          </w:p>
        </w:tc>
        <w:tc>
          <w:tcPr>
            <w:tcW w:w="1040"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13</w:t>
            </w:r>
          </w:p>
        </w:tc>
        <w:tc>
          <w:tcPr>
            <w:tcW w:w="1039"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7</w:t>
            </w:r>
          </w:p>
        </w:tc>
        <w:tc>
          <w:tcPr>
            <w:tcW w:w="1040"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12</w:t>
            </w:r>
          </w:p>
        </w:tc>
        <w:tc>
          <w:tcPr>
            <w:tcW w:w="708" w:type="dxa"/>
            <w:shd w:val="clear" w:color="auto" w:fill="auto"/>
            <w:vAlign w:val="center"/>
          </w:tcPr>
          <w:p w:rsidR="00273897" w:rsidRPr="008F7885" w:rsidRDefault="00273897" w:rsidP="00273897">
            <w:pPr>
              <w:adjustRightInd w:val="0"/>
              <w:snapToGrid w:val="0"/>
              <w:jc w:val="center"/>
              <w:rPr>
                <w:rFonts w:ascii="標楷體" w:eastAsia="標楷體" w:hAnsi="標楷體"/>
                <w:sz w:val="20"/>
              </w:rPr>
            </w:pPr>
            <w:r w:rsidRPr="008F7885">
              <w:rPr>
                <w:rFonts w:ascii="標楷體" w:eastAsia="標楷體" w:hAnsi="標楷體" w:hint="eastAsia"/>
                <w:sz w:val="20"/>
              </w:rPr>
              <w:t>90</w:t>
            </w:r>
          </w:p>
        </w:tc>
      </w:tr>
    </w:tbl>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提案人：賴品妤</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連署人：范  雲  陳秀寳  張廖萬堅</w:t>
      </w:r>
    </w:p>
    <w:p w:rsidR="00273897" w:rsidRPr="008F7885" w:rsidRDefault="00273897" w:rsidP="00273897">
      <w:pPr>
        <w:overflowPunct w:val="0"/>
        <w:spacing w:line="500" w:lineRule="exact"/>
        <w:ind w:leftChars="150" w:left="1000" w:hangingChars="200" w:hanging="640"/>
        <w:jc w:val="both"/>
        <w:rPr>
          <w:rFonts w:ascii="標楷體" w:eastAsia="標楷體" w:hAnsi="標楷體"/>
          <w:sz w:val="32"/>
          <w:szCs w:val="32"/>
        </w:rPr>
      </w:pPr>
      <w:r w:rsidRPr="008F7885">
        <w:rPr>
          <w:rFonts w:ascii="標楷體" w:eastAsia="標楷體" w:hAnsi="標楷體" w:hint="eastAsia"/>
          <w:sz w:val="32"/>
          <w:szCs w:val="32"/>
        </w:rPr>
        <w:t>(十一)賴委員品妤長期關注運動員權益及運動資源發展相關議題，惟每每針對</w:t>
      </w:r>
      <w:r w:rsidRPr="008F7885">
        <w:rPr>
          <w:rFonts w:ascii="標楷體" w:eastAsia="標楷體" w:hAnsi="標楷體" w:hint="eastAsia"/>
          <w:bCs/>
          <w:sz w:val="32"/>
          <w:szCs w:val="32"/>
        </w:rPr>
        <w:t>行政法人</w:t>
      </w:r>
      <w:r w:rsidRPr="008F7885">
        <w:rPr>
          <w:rFonts w:ascii="標楷體" w:eastAsia="標楷體" w:hAnsi="標楷體" w:hint="eastAsia"/>
          <w:sz w:val="32"/>
          <w:szCs w:val="32"/>
        </w:rPr>
        <w:t>國家運動訓練中心相關場地、設備提出監督改善建議，該中心高比例皆以「國家運動園區整體興設第三期計畫」將彌平現有不足作為回應。賴委員品妤追蹤第三期計畫相關進度，其中「棒壘球場設施改善工程」及「風雨投擲場新建工程」皆因細部設計及修正時間過於冗長造成進度落後，恐進而因工程延宕而影響計畫執行成效及選手之使用權益。體育發展為百年大計，若政府部門消極無作為，且如此忽略體育權益，有礙台灣體育發展且有違中心推展競技運動之宗旨，允宜研擬具體改善措施，加強各項作業進度管控。請教育部體育署監督</w:t>
      </w:r>
      <w:r w:rsidRPr="008F7885">
        <w:rPr>
          <w:rFonts w:ascii="標楷體" w:eastAsia="標楷體" w:hAnsi="標楷體" w:hint="eastAsia"/>
          <w:bCs/>
          <w:sz w:val="32"/>
          <w:szCs w:val="32"/>
        </w:rPr>
        <w:t>行政法人</w:t>
      </w:r>
      <w:r w:rsidRPr="008F7885">
        <w:rPr>
          <w:rFonts w:ascii="標楷體" w:eastAsia="標楷體" w:hAnsi="標楷體" w:hint="eastAsia"/>
          <w:sz w:val="32"/>
          <w:szCs w:val="32"/>
        </w:rPr>
        <w:t>國家運動訓練中心，並於3個月內向立法院教育及文化委員會提出相關改善書面報告。8</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提案人：賴品妤</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連署人：范  雲  陳秀寳  張廖萬堅</w:t>
      </w:r>
    </w:p>
    <w:p w:rsidR="00273897" w:rsidRPr="008F7885" w:rsidRDefault="00273897" w:rsidP="00273897">
      <w:pPr>
        <w:snapToGrid w:val="0"/>
        <w:spacing w:beforeLines="50" w:before="180" w:line="500" w:lineRule="exact"/>
        <w:ind w:left="640" w:hangingChars="200" w:hanging="640"/>
        <w:contextualSpacing/>
        <w:jc w:val="both"/>
        <w:rPr>
          <w:rFonts w:ascii="標楷體" w:eastAsia="標楷體" w:hAnsi="標楷體"/>
          <w:bCs/>
          <w:sz w:val="32"/>
          <w:szCs w:val="32"/>
        </w:rPr>
      </w:pPr>
      <w:r w:rsidRPr="008F7885">
        <w:rPr>
          <w:rFonts w:ascii="標楷體" w:eastAsia="標楷體" w:hAnsi="標楷體" w:hint="eastAsia"/>
          <w:bCs/>
          <w:sz w:val="32"/>
          <w:szCs w:val="32"/>
        </w:rPr>
        <w:t>柒、在不影響文意前提下，授權議事人員依「112年度中央政府總預算案審查報告與黨團協商之範例」整理。</w:t>
      </w:r>
    </w:p>
    <w:p w:rsidR="00273897" w:rsidRPr="008F7885" w:rsidRDefault="00273897" w:rsidP="00273897">
      <w:pPr>
        <w:snapToGrid w:val="0"/>
        <w:spacing w:beforeLines="50" w:before="180" w:line="500" w:lineRule="exact"/>
        <w:ind w:left="640" w:hangingChars="200" w:hanging="640"/>
        <w:contextualSpacing/>
        <w:jc w:val="both"/>
        <w:rPr>
          <w:rFonts w:ascii="標楷體" w:eastAsia="標楷體" w:hAnsi="標楷體"/>
          <w:bCs/>
          <w:sz w:val="32"/>
          <w:szCs w:val="32"/>
        </w:rPr>
      </w:pPr>
      <w:r w:rsidRPr="008F7885">
        <w:rPr>
          <w:rFonts w:ascii="標楷體" w:eastAsia="標楷體" w:hAnsi="標楷體" w:hint="eastAsia"/>
          <w:bCs/>
          <w:sz w:val="32"/>
          <w:szCs w:val="32"/>
        </w:rPr>
        <w:t>捌、112年度中央政府總預算案有關教育部及所屬單位預算案、教育部主管47所國立大學校院校務基金、國立臺灣大學附設醫院</w:t>
      </w:r>
      <w:r w:rsidRPr="008F7885">
        <w:rPr>
          <w:rFonts w:ascii="標楷體" w:eastAsia="標楷體" w:hAnsi="標楷體" w:hint="eastAsia"/>
          <w:bCs/>
          <w:sz w:val="32"/>
          <w:szCs w:val="32"/>
        </w:rPr>
        <w:lastRenderedPageBreak/>
        <w:t>作業基金、國立成功大學附設醫院作業基金、國立陽明交通大學附設醫院作業基金、教育部所屬機構作業基金、國立高級中等學校校務基金、學產基金、運動發展基金、私立高級中等以上學校退場基金預算案及行政法人國家運動訓練中心預算案</w:t>
      </w:r>
      <w:r>
        <w:rPr>
          <w:rFonts w:ascii="標楷體" w:eastAsia="標楷體" w:hAnsi="標楷體" w:hint="eastAsia"/>
          <w:bCs/>
          <w:sz w:val="32"/>
          <w:szCs w:val="32"/>
        </w:rPr>
        <w:t>，</w:t>
      </w:r>
      <w:r w:rsidRPr="008F7885">
        <w:rPr>
          <w:rFonts w:ascii="標楷體" w:eastAsia="標楷體" w:hAnsi="標楷體" w:hint="eastAsia"/>
          <w:bCs/>
          <w:sz w:val="32"/>
          <w:szCs w:val="32"/>
        </w:rPr>
        <w:t>全部審查完竣。</w:t>
      </w:r>
    </w:p>
    <w:p w:rsidR="00273897" w:rsidRPr="008F7885" w:rsidRDefault="00273897" w:rsidP="00273897">
      <w:pPr>
        <w:snapToGrid w:val="0"/>
        <w:spacing w:beforeLines="50" w:before="180" w:line="500" w:lineRule="exact"/>
        <w:ind w:left="640" w:hangingChars="200" w:hanging="640"/>
        <w:contextualSpacing/>
        <w:jc w:val="both"/>
        <w:rPr>
          <w:rFonts w:ascii="標楷體" w:eastAsia="標楷體" w:hAnsi="標楷體"/>
          <w:bCs/>
          <w:sz w:val="32"/>
          <w:szCs w:val="32"/>
        </w:rPr>
      </w:pPr>
      <w:r w:rsidRPr="008F7885">
        <w:rPr>
          <w:rFonts w:ascii="標楷體" w:eastAsia="標楷體" w:hAnsi="標楷體" w:hint="eastAsia"/>
          <w:bCs/>
          <w:sz w:val="32"/>
          <w:szCs w:val="32"/>
        </w:rPr>
        <w:t>玖、對於委員質詢要求提供相關資料或未及答復部分，請相關機關儘速以書面答復。</w:t>
      </w:r>
    </w:p>
    <w:p w:rsidR="00273897" w:rsidRPr="008F7885" w:rsidRDefault="00273897" w:rsidP="00273897">
      <w:pPr>
        <w:snapToGrid w:val="0"/>
        <w:spacing w:beforeLines="50" w:before="180" w:after="240" w:line="500" w:lineRule="exact"/>
        <w:ind w:leftChars="1" w:left="643" w:hangingChars="200" w:hanging="641"/>
        <w:contextualSpacing/>
        <w:jc w:val="both"/>
        <w:rPr>
          <w:rFonts w:ascii="標楷體" w:eastAsia="標楷體" w:hAnsi="標楷體"/>
          <w:b/>
          <w:bCs/>
          <w:sz w:val="32"/>
          <w:szCs w:val="32"/>
        </w:rPr>
      </w:pPr>
      <w:r w:rsidRPr="008F7885">
        <w:rPr>
          <w:rFonts w:ascii="標楷體" w:eastAsia="標楷體" w:hAnsi="標楷體" w:hint="eastAsia"/>
          <w:b/>
          <w:bCs/>
          <w:sz w:val="32"/>
          <w:szCs w:val="32"/>
        </w:rPr>
        <w:t>通過臨時提案</w:t>
      </w:r>
      <w:r w:rsidRPr="008F7885">
        <w:rPr>
          <w:rFonts w:ascii="標楷體" w:eastAsia="標楷體" w:hAnsi="標楷體"/>
          <w:b/>
          <w:bCs/>
          <w:sz w:val="32"/>
          <w:szCs w:val="32"/>
        </w:rPr>
        <w:t>5</w:t>
      </w:r>
      <w:r w:rsidRPr="008F7885">
        <w:rPr>
          <w:rFonts w:ascii="標楷體" w:eastAsia="標楷體" w:hAnsi="標楷體" w:hint="eastAsia"/>
          <w:b/>
          <w:bCs/>
          <w:sz w:val="32"/>
          <w:szCs w:val="32"/>
        </w:rPr>
        <w:t>項：</w:t>
      </w:r>
    </w:p>
    <w:p w:rsidR="00273897" w:rsidRPr="008F7885" w:rsidRDefault="00273897" w:rsidP="00273897">
      <w:pPr>
        <w:snapToGrid w:val="0"/>
        <w:spacing w:beforeLines="50" w:before="180" w:after="240" w:line="500" w:lineRule="exact"/>
        <w:ind w:leftChars="1" w:left="642" w:hangingChars="200" w:hanging="640"/>
        <w:contextualSpacing/>
        <w:jc w:val="both"/>
        <w:rPr>
          <w:rFonts w:ascii="標楷體" w:eastAsia="標楷體" w:hAnsi="標楷體"/>
          <w:bCs/>
          <w:sz w:val="32"/>
          <w:szCs w:val="32"/>
        </w:rPr>
      </w:pPr>
      <w:r w:rsidRPr="008F7885">
        <w:rPr>
          <w:rFonts w:ascii="標楷體" w:eastAsia="標楷體" w:hAnsi="標楷體" w:hint="eastAsia"/>
          <w:bCs/>
          <w:sz w:val="32"/>
          <w:szCs w:val="32"/>
        </w:rPr>
        <w:t>一、教育部分別自106年起辦理閩南語、客語及108年起辦理原住民語沉浸式教學計畫，將學校課程結合本土語，以本土語為主要教學語言，並以國語補充說明，進而提升學生的本土語能力，但以閩南語為例，至今參與校數僅40校、累計377班。推廣本土語的立意良善，但受惠學生數不多。究其原因，第一線教師反應備課時間及資源不足、缺乏各專業科目使用本土語教學的研究及研習，導致教師縱使有意願參與本土語沉浸式教學計畫，卻礙於種種困難而未提出申請。同時，教育部已建立「臺灣華語文能力基準」，除了聽、說、讀、寫、譯三等七級能力指標外，並訂有參考指引，引導華語教師進行課程發展、教材編選、教學、評量及教學資源連結，但本土語在此一部分則缺乏相關規劃。爰此，請教育部會同客家委員會加強辦理本土語沉浸式教學之相關研究，提供教學方法、各科目教學資源、教材及沉浸式教學研習課程，並規劃閩南語能力基準，以利第一線教學人員推動本土語教學，以達復振國家語言之目標，並於3個月內向立法院教育及文化委員會提出相關規劃。</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提案人：張廖萬堅 賴品妤  王婉諭  范  雲</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連署人：黃國書  林宜瑾  陳秀寳  何欣純</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 xml:space="preserve">        林奕華  鄭正鈐</w:t>
      </w:r>
    </w:p>
    <w:p w:rsidR="00273897" w:rsidRPr="008F7885" w:rsidRDefault="00273897" w:rsidP="00273897">
      <w:pPr>
        <w:snapToGrid w:val="0"/>
        <w:spacing w:beforeLines="50" w:before="180" w:after="240" w:line="500" w:lineRule="exact"/>
        <w:ind w:leftChars="1" w:left="642" w:hangingChars="200" w:hanging="640"/>
        <w:contextualSpacing/>
        <w:jc w:val="both"/>
        <w:rPr>
          <w:rFonts w:ascii="標楷體" w:eastAsia="標楷體" w:hAnsi="標楷體"/>
          <w:bCs/>
          <w:sz w:val="32"/>
          <w:szCs w:val="32"/>
        </w:rPr>
      </w:pPr>
      <w:r w:rsidRPr="008F7885">
        <w:rPr>
          <w:rFonts w:ascii="標楷體" w:eastAsia="標楷體" w:hAnsi="標楷體" w:hint="eastAsia"/>
          <w:bCs/>
          <w:sz w:val="32"/>
          <w:szCs w:val="32"/>
        </w:rPr>
        <w:t>二、行政法人國家運動科學中心於今年掛牌籌備，但相關的施行計</w:t>
      </w:r>
      <w:r w:rsidRPr="008F7885">
        <w:rPr>
          <w:rFonts w:ascii="標楷體" w:eastAsia="標楷體" w:hAnsi="標楷體" w:hint="eastAsia"/>
          <w:bCs/>
          <w:sz w:val="32"/>
          <w:szCs w:val="32"/>
        </w:rPr>
        <w:lastRenderedPageBreak/>
        <w:t>畫及辦法都未見教育部體育署對外公布或討論，請教育部責成體育署、行政法人國家運動訓練中心及行政法人國家運動科學中心籌備處，於3個月內提報書面評估報告至立法院</w:t>
      </w:r>
      <w:r>
        <w:rPr>
          <w:rFonts w:ascii="標楷體" w:eastAsia="標楷體" w:hAnsi="標楷體" w:hint="eastAsia"/>
          <w:bCs/>
          <w:sz w:val="32"/>
          <w:szCs w:val="32"/>
        </w:rPr>
        <w:t>教育及文化委員會</w:t>
      </w:r>
      <w:r w:rsidRPr="008F7885">
        <w:rPr>
          <w:rFonts w:ascii="標楷體" w:eastAsia="標楷體" w:hAnsi="標楷體" w:hint="eastAsia"/>
          <w:bCs/>
          <w:sz w:val="32"/>
          <w:szCs w:val="32"/>
        </w:rPr>
        <w:t>及相關委員會。</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提案人：張廖萬堅 范  雲 賴品妤  王婉諭</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 xml:space="preserve">        林宜瑾  劉世芳</w:t>
      </w:r>
    </w:p>
    <w:p w:rsidR="00273897" w:rsidRPr="008F7885" w:rsidRDefault="00273897" w:rsidP="00273897">
      <w:pPr>
        <w:overflowPunct w:val="0"/>
        <w:spacing w:line="500" w:lineRule="exact"/>
        <w:ind w:leftChars="1250" w:left="3000"/>
        <w:jc w:val="both"/>
        <w:rPr>
          <w:rFonts w:ascii="標楷體" w:eastAsia="標楷體" w:hAnsi="標楷體"/>
          <w:bCs/>
          <w:sz w:val="32"/>
          <w:szCs w:val="32"/>
        </w:rPr>
      </w:pPr>
      <w:r w:rsidRPr="008F7885">
        <w:rPr>
          <w:rFonts w:ascii="標楷體" w:eastAsia="標楷體" w:hAnsi="標楷體" w:hint="eastAsia"/>
          <w:sz w:val="32"/>
          <w:szCs w:val="32"/>
        </w:rPr>
        <w:t>連署人：陳秀寳  何欣純</w:t>
      </w:r>
    </w:p>
    <w:p w:rsidR="00273897" w:rsidRPr="008F7885" w:rsidRDefault="00273897" w:rsidP="00273897">
      <w:pPr>
        <w:snapToGrid w:val="0"/>
        <w:spacing w:beforeLines="50" w:before="180" w:after="240" w:line="500" w:lineRule="exact"/>
        <w:ind w:leftChars="1" w:left="642" w:hangingChars="200" w:hanging="640"/>
        <w:contextualSpacing/>
        <w:jc w:val="both"/>
        <w:rPr>
          <w:rFonts w:ascii="標楷體" w:eastAsia="標楷體" w:hAnsi="標楷體"/>
          <w:bCs/>
          <w:sz w:val="32"/>
          <w:szCs w:val="32"/>
        </w:rPr>
      </w:pPr>
      <w:r w:rsidRPr="008F7885">
        <w:rPr>
          <w:rFonts w:ascii="標楷體" w:eastAsia="標楷體" w:hAnsi="標楷體" w:hint="eastAsia"/>
          <w:bCs/>
          <w:sz w:val="32"/>
          <w:szCs w:val="32"/>
        </w:rPr>
        <w:t>三、立法院於2011年三讀通過「消除對婦女一切形式歧視公約施行法」，規定政府機關應負責籌劃、推動及執行「消除對婦女一切形式歧視公約」規定事項。而月經貧窮已成為國際上對婦女保障的重要議題，攸關女性受教權與工作權，如因無法負擔生理用品的支出，女性只能請假，嚴重影響其上班、上學權益。據統計，女性一生平均花費新台幣10萬元購買生理用品，對弱勢家庭是不小的負擔。而台灣少女初經年齡約在10至16歲，青少女在學校遇到突如其來的經期時，容易不知所措。2018年起，英國、蘇格蘭於學校全面提供免費生理用品，不僅讓有需求者能及時獲得生理用品，更增進孩子對生理用品的熟悉，使他們自在面對此生理現象。台灣目前僅台北、台南、高雄、新北、新竹、台中等6縣市，在部分學校放置免費衛生棉，或有提供生理衛生用品的相關措施。不僅普及度不足，也未照顧偏鄉與弱勢家庭，相關單位應更重視月經貧窮議題。爰此，請教育部於2個月內調查上開所列縣市施行之計畫內容、執行方式與預算，並邀集學者專家、地方政府及學校代表研商(性平比例不低於1/3)，於4個月內提出全國各級學校及教育部所屬場館提供免費多元生理用品及相關教育之評估及可行推動策略報告，至遲於112學年度付諸實施，以增加女性就學與勞動條件品質。</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提案人：張廖萬堅 賴品妤  王婉諭  林宜瑾</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 xml:space="preserve">        劉世芳</w:t>
      </w:r>
    </w:p>
    <w:p w:rsidR="00273897" w:rsidRPr="008F7885" w:rsidRDefault="00273897" w:rsidP="00273897">
      <w:pPr>
        <w:overflowPunct w:val="0"/>
        <w:spacing w:line="500" w:lineRule="exact"/>
        <w:ind w:leftChars="1250" w:left="3000"/>
        <w:jc w:val="both"/>
        <w:rPr>
          <w:rFonts w:ascii="標楷體" w:eastAsia="標楷體" w:hAnsi="標楷體"/>
          <w:bCs/>
          <w:sz w:val="32"/>
          <w:szCs w:val="32"/>
        </w:rPr>
      </w:pPr>
      <w:r w:rsidRPr="008F7885">
        <w:rPr>
          <w:rFonts w:ascii="標楷體" w:eastAsia="標楷體" w:hAnsi="標楷體" w:hint="eastAsia"/>
          <w:sz w:val="32"/>
          <w:szCs w:val="32"/>
        </w:rPr>
        <w:lastRenderedPageBreak/>
        <w:t>連署人：范  雲  陳秀寳  何欣純</w:t>
      </w:r>
    </w:p>
    <w:p w:rsidR="00273897" w:rsidRPr="008F7885" w:rsidRDefault="00273897" w:rsidP="00273897">
      <w:pPr>
        <w:snapToGrid w:val="0"/>
        <w:spacing w:beforeLines="50" w:before="180" w:after="240" w:line="500" w:lineRule="exact"/>
        <w:ind w:leftChars="1" w:left="565" w:hangingChars="176" w:hanging="563"/>
        <w:contextualSpacing/>
        <w:jc w:val="both"/>
        <w:rPr>
          <w:rFonts w:ascii="標楷體" w:eastAsia="標楷體" w:hAnsi="標楷體"/>
          <w:bCs/>
          <w:sz w:val="32"/>
          <w:szCs w:val="32"/>
        </w:rPr>
      </w:pPr>
      <w:r w:rsidRPr="008F7885">
        <w:rPr>
          <w:rFonts w:ascii="標楷體" w:eastAsia="標楷體" w:hAnsi="標楷體" w:hint="eastAsia"/>
          <w:bCs/>
          <w:sz w:val="32"/>
          <w:szCs w:val="32"/>
        </w:rPr>
        <w:t>四、為推動本土語言發展及復振，108年通過之「國家語言發展法」，規劃將本土語納入國高中必修課程。惟現職本土語之師資嚴重不足，致教學現場仰賴教學支援人員協助本土語教育推動，截至111年10月止，本土語教學支援人員共5,442人。教學支援工作人員須取得語言認證始得任教，惟現行鐘點費規定，高中每節新臺幣400元、國中每節360元、國小每節320元；從事原住民語教學者，高中及國中每節400元、國小每節360元。此規範自95年至今未予調整，教學支援人員長期待遇不佳，使其投入教學之意願降低。為保障本土語教學支援人員權益，要求教育部調升高級中等以下學校教學支援人員鐘點費，並比照兼任代課教師追溯自111年2月起生效，以落實保障教學支援人員權益。</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提案人：黃國書  范  雲  鄭正鈐  王婉諭</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 xml:space="preserve">        林奕華</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連署人：何欣純  陳秀寳 吳怡玎 張廖萬堅</w:t>
      </w:r>
    </w:p>
    <w:p w:rsidR="00273897" w:rsidRPr="008F7885" w:rsidRDefault="00273897" w:rsidP="00273897">
      <w:pPr>
        <w:overflowPunct w:val="0"/>
        <w:spacing w:line="500" w:lineRule="exact"/>
        <w:ind w:leftChars="1250" w:left="3000"/>
        <w:jc w:val="both"/>
        <w:rPr>
          <w:rFonts w:ascii="標楷體" w:eastAsia="標楷體" w:hAnsi="標楷體"/>
          <w:bCs/>
          <w:sz w:val="32"/>
          <w:szCs w:val="32"/>
        </w:rPr>
      </w:pPr>
      <w:r w:rsidRPr="008F7885">
        <w:rPr>
          <w:rFonts w:ascii="標楷體" w:eastAsia="標楷體" w:hAnsi="標楷體" w:hint="eastAsia"/>
          <w:sz w:val="32"/>
          <w:szCs w:val="32"/>
        </w:rPr>
        <w:t xml:space="preserve">        林宜瑾</w:t>
      </w:r>
    </w:p>
    <w:p w:rsidR="00273897" w:rsidRPr="008F7885" w:rsidRDefault="00273897" w:rsidP="00273897">
      <w:pPr>
        <w:snapToGrid w:val="0"/>
        <w:spacing w:beforeLines="50" w:before="180" w:after="240" w:line="500" w:lineRule="exact"/>
        <w:ind w:leftChars="1" w:left="642" w:hangingChars="200" w:hanging="640"/>
        <w:contextualSpacing/>
        <w:jc w:val="both"/>
        <w:rPr>
          <w:rFonts w:ascii="標楷體" w:eastAsia="標楷體" w:hAnsi="標楷體"/>
          <w:bCs/>
          <w:sz w:val="32"/>
          <w:szCs w:val="32"/>
        </w:rPr>
      </w:pPr>
      <w:r w:rsidRPr="008F7885">
        <w:rPr>
          <w:rFonts w:ascii="標楷體" w:eastAsia="標楷體" w:hAnsi="標楷體" w:hint="eastAsia"/>
          <w:bCs/>
          <w:sz w:val="32"/>
          <w:szCs w:val="32"/>
        </w:rPr>
        <w:t>五、近年運動賽場上越來越可見女性運動員的身影，東京奧運中，中華奧運代表隊所獲得的獎牌，半數由女性運動選手摘下。2022年年初，台灣女子足球國家代表隊更在世界盃資格賽(亞洲盃)拚進八強。台灣的女性運動員在國內外賽事屢創佳績，提升台灣於國際上的知名度，可見女性運動員已經成為台灣體育領域的重要力量。然而，就性別平等領域，卻少見教育部體育署針對各級學校女性學生或專業運動員提出鼓勵方案。爰此，請教育部體育署盤點各級學校的男女校隊數量，與相關培育計畫和經費之申請、執行情況，並於6個月內向立法院教育及文化委員會提交書面報告及評估。</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t>提案人：張廖萬堅 林宜瑾  范  雲  王婉諭</w:t>
      </w:r>
    </w:p>
    <w:p w:rsidR="00273897" w:rsidRPr="008F7885" w:rsidRDefault="00273897" w:rsidP="00273897">
      <w:pPr>
        <w:overflowPunct w:val="0"/>
        <w:spacing w:line="500" w:lineRule="exact"/>
        <w:ind w:leftChars="1250" w:left="3000"/>
        <w:jc w:val="both"/>
        <w:rPr>
          <w:rFonts w:ascii="標楷體" w:eastAsia="標楷體" w:hAnsi="標楷體"/>
          <w:sz w:val="32"/>
          <w:szCs w:val="32"/>
        </w:rPr>
      </w:pPr>
      <w:r w:rsidRPr="008F7885">
        <w:rPr>
          <w:rFonts w:ascii="標楷體" w:eastAsia="標楷體" w:hAnsi="標楷體" w:hint="eastAsia"/>
          <w:sz w:val="32"/>
          <w:szCs w:val="32"/>
        </w:rPr>
        <w:lastRenderedPageBreak/>
        <w:t xml:space="preserve">        賴品妤  劉世芳</w:t>
      </w:r>
    </w:p>
    <w:p w:rsidR="00273897" w:rsidRPr="008F7885" w:rsidRDefault="00273897" w:rsidP="00273897">
      <w:pPr>
        <w:overflowPunct w:val="0"/>
        <w:spacing w:line="500" w:lineRule="exact"/>
        <w:ind w:leftChars="1250" w:left="3000"/>
        <w:jc w:val="both"/>
        <w:rPr>
          <w:rFonts w:ascii="標楷體" w:eastAsia="標楷體" w:hAnsi="標楷體"/>
          <w:bCs/>
          <w:sz w:val="32"/>
          <w:szCs w:val="32"/>
        </w:rPr>
      </w:pPr>
      <w:r w:rsidRPr="008F7885">
        <w:rPr>
          <w:rFonts w:ascii="標楷體" w:eastAsia="標楷體" w:hAnsi="標楷體" w:hint="eastAsia"/>
          <w:sz w:val="32"/>
          <w:szCs w:val="32"/>
        </w:rPr>
        <w:t>連署人：陳秀寳  何欣純</w:t>
      </w:r>
    </w:p>
    <w:p w:rsidR="00273897" w:rsidRDefault="00273897" w:rsidP="00273897">
      <w:pPr>
        <w:snapToGrid w:val="0"/>
        <w:spacing w:line="460" w:lineRule="exact"/>
        <w:ind w:rightChars="9" w:right="22"/>
        <w:jc w:val="both"/>
        <w:rPr>
          <w:rFonts w:ascii="標楷體" w:eastAsia="標楷體" w:hAnsi="標楷體"/>
          <w:b/>
          <w:bCs/>
          <w:sz w:val="32"/>
          <w:szCs w:val="32"/>
        </w:rPr>
      </w:pPr>
      <w:r w:rsidRPr="008F7885">
        <w:rPr>
          <w:rFonts w:ascii="標楷體" w:eastAsia="標楷體" w:hAnsi="標楷體" w:hint="eastAsia"/>
          <w:b/>
          <w:bCs/>
          <w:sz w:val="32"/>
          <w:szCs w:val="32"/>
        </w:rPr>
        <w:t>散會</w:t>
      </w:r>
    </w:p>
    <w:p w:rsidR="00B6184F" w:rsidRDefault="00B6184F">
      <w:pPr>
        <w:widowControl/>
        <w:rPr>
          <w:rFonts w:ascii="標楷體" w:eastAsia="標楷體" w:hAnsi="標楷體"/>
          <w:b/>
          <w:bCs/>
          <w:sz w:val="32"/>
          <w:szCs w:val="32"/>
        </w:rPr>
      </w:pPr>
      <w:r>
        <w:rPr>
          <w:rFonts w:ascii="標楷體" w:eastAsia="標楷體" w:hAnsi="標楷體"/>
          <w:b/>
          <w:bCs/>
          <w:sz w:val="32"/>
          <w:szCs w:val="32"/>
        </w:rPr>
        <w:br w:type="page"/>
      </w:r>
    </w:p>
    <w:p w:rsidR="00B6184F" w:rsidRPr="00D92739" w:rsidRDefault="00B6184F" w:rsidP="00B6184F">
      <w:pPr>
        <w:pStyle w:val="01-45"/>
        <w:rPr>
          <w:position w:val="2"/>
        </w:rPr>
      </w:pPr>
      <w:bookmarkStart w:id="163" w:name="_Toc126068180"/>
      <w:r w:rsidRPr="00D92739">
        <w:rPr>
          <w:rFonts w:hint="eastAsia"/>
        </w:rPr>
        <w:lastRenderedPageBreak/>
        <w:t>立法院第</w:t>
      </w:r>
      <w:r>
        <w:rPr>
          <w:rFonts w:hint="eastAsia"/>
        </w:rPr>
        <w:t>10</w:t>
      </w:r>
      <w:r w:rsidRPr="00D92739">
        <w:rPr>
          <w:rFonts w:hint="eastAsia"/>
        </w:rPr>
        <w:t>屆第</w:t>
      </w:r>
      <w:r>
        <w:t>6</w:t>
      </w:r>
      <w:r w:rsidRPr="00D92739">
        <w:rPr>
          <w:rFonts w:hint="eastAsia"/>
        </w:rPr>
        <w:t>會期教育及文化委員會第</w:t>
      </w:r>
      <w:r>
        <w:t>7</w:t>
      </w:r>
      <w:r w:rsidRPr="00D92739">
        <w:rPr>
          <w:rFonts w:hint="eastAsia"/>
        </w:rPr>
        <w:t>次全體委員會議議事錄</w:t>
      </w:r>
      <w:bookmarkEnd w:id="163"/>
    </w:p>
    <w:p w:rsidR="00B6184F" w:rsidRDefault="00B6184F" w:rsidP="00F035E0">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8227EE">
        <w:rPr>
          <w:rFonts w:ascii="標楷體" w:eastAsia="標楷體" w:hAnsi="標楷體"/>
          <w:kern w:val="0"/>
          <w:sz w:val="32"/>
          <w:szCs w:val="32"/>
          <w:fitText w:val="1600" w:id="-1323545088"/>
        </w:rPr>
        <w:t>時    間：</w:t>
      </w:r>
      <w:r w:rsidRPr="00214CF8">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11</w:t>
      </w:r>
      <w:r w:rsidRPr="00214CF8">
        <w:rPr>
          <w:rFonts w:ascii="標楷體" w:eastAsia="標楷體" w:hAnsi="標楷體" w:hint="eastAsia"/>
          <w:spacing w:val="-32"/>
          <w:kern w:val="0"/>
          <w:sz w:val="32"/>
          <w:szCs w:val="32"/>
        </w:rPr>
        <w:t>年</w:t>
      </w:r>
      <w:r>
        <w:rPr>
          <w:rFonts w:ascii="標楷體" w:eastAsia="標楷體" w:hAnsi="標楷體"/>
          <w:spacing w:val="-32"/>
          <w:kern w:val="0"/>
          <w:sz w:val="32"/>
          <w:szCs w:val="32"/>
        </w:rPr>
        <w:t>11</w:t>
      </w:r>
      <w:r w:rsidRPr="00214CF8">
        <w:rPr>
          <w:rFonts w:ascii="標楷體" w:eastAsia="標楷體" w:hAnsi="標楷體" w:hint="eastAsia"/>
          <w:spacing w:val="-32"/>
          <w:kern w:val="0"/>
          <w:sz w:val="32"/>
          <w:szCs w:val="32"/>
        </w:rPr>
        <w:t>月</w:t>
      </w:r>
      <w:r>
        <w:rPr>
          <w:rFonts w:ascii="標楷體" w:eastAsia="標楷體" w:hAnsi="標楷體"/>
          <w:spacing w:val="-32"/>
          <w:kern w:val="0"/>
          <w:sz w:val="32"/>
          <w:szCs w:val="32"/>
        </w:rPr>
        <w:t>9</w:t>
      </w:r>
      <w:r>
        <w:rPr>
          <w:rFonts w:ascii="標楷體" w:eastAsia="標楷體" w:hAnsi="標楷體" w:hint="eastAsia"/>
          <w:spacing w:val="-32"/>
          <w:kern w:val="0"/>
          <w:sz w:val="32"/>
          <w:szCs w:val="32"/>
        </w:rPr>
        <w:t>日（星期三</w:t>
      </w:r>
      <w:r w:rsidRPr="00214CF8">
        <w:rPr>
          <w:rFonts w:ascii="標楷體" w:eastAsia="標楷體" w:hAnsi="標楷體" w:hint="eastAsia"/>
          <w:spacing w:val="-32"/>
          <w:kern w:val="0"/>
          <w:sz w:val="32"/>
          <w:szCs w:val="32"/>
        </w:rPr>
        <w:t>）上午9時</w:t>
      </w:r>
      <w:r>
        <w:rPr>
          <w:rFonts w:ascii="標楷體" w:eastAsia="標楷體" w:hAnsi="標楷體" w:hint="eastAsia"/>
          <w:spacing w:val="-32"/>
          <w:kern w:val="0"/>
          <w:sz w:val="32"/>
          <w:szCs w:val="32"/>
        </w:rPr>
        <w:t>4分</w:t>
      </w:r>
      <w:r w:rsidRPr="00214CF8">
        <w:rPr>
          <w:rFonts w:ascii="標楷體" w:eastAsia="標楷體" w:hAnsi="標楷體" w:hint="eastAsia"/>
          <w:spacing w:val="-32"/>
          <w:kern w:val="0"/>
          <w:sz w:val="32"/>
          <w:szCs w:val="32"/>
        </w:rPr>
        <w:t>至</w:t>
      </w:r>
      <w:r>
        <w:rPr>
          <w:rFonts w:ascii="標楷體" w:eastAsia="標楷體" w:hAnsi="標楷體"/>
          <w:spacing w:val="-32"/>
          <w:kern w:val="0"/>
          <w:sz w:val="32"/>
          <w:szCs w:val="32"/>
        </w:rPr>
        <w:t>1</w:t>
      </w:r>
      <w:r>
        <w:rPr>
          <w:rFonts w:ascii="標楷體" w:eastAsia="標楷體" w:hAnsi="標楷體" w:hint="eastAsia"/>
          <w:spacing w:val="-32"/>
          <w:kern w:val="0"/>
          <w:sz w:val="32"/>
          <w:szCs w:val="32"/>
        </w:rPr>
        <w:t>2</w:t>
      </w:r>
      <w:r w:rsidRPr="00214CF8">
        <w:rPr>
          <w:rFonts w:ascii="標楷體" w:eastAsia="標楷體" w:hAnsi="標楷體" w:hint="eastAsia"/>
          <w:spacing w:val="-32"/>
          <w:kern w:val="0"/>
          <w:sz w:val="32"/>
          <w:szCs w:val="32"/>
        </w:rPr>
        <w:t>時</w:t>
      </w:r>
      <w:r>
        <w:rPr>
          <w:rFonts w:ascii="標楷體" w:eastAsia="標楷體" w:hAnsi="標楷體"/>
          <w:spacing w:val="-32"/>
          <w:kern w:val="0"/>
          <w:sz w:val="32"/>
          <w:szCs w:val="32"/>
        </w:rPr>
        <w:t>59</w:t>
      </w:r>
      <w:r w:rsidRPr="00214CF8">
        <w:rPr>
          <w:rFonts w:ascii="標楷體" w:eastAsia="標楷體" w:hAnsi="標楷體" w:hint="eastAsia"/>
          <w:spacing w:val="-32"/>
          <w:kern w:val="0"/>
          <w:sz w:val="32"/>
          <w:szCs w:val="32"/>
        </w:rPr>
        <w:t>分</w:t>
      </w:r>
    </w:p>
    <w:p w:rsidR="00B6184F" w:rsidRPr="00034B21" w:rsidRDefault="00B6184F" w:rsidP="00F035E0">
      <w:pPr>
        <w:snapToGrid w:val="0"/>
        <w:spacing w:line="460" w:lineRule="exact"/>
        <w:ind w:left="1280" w:rightChars="9" w:right="22" w:hangingChars="500" w:hanging="1280"/>
        <w:jc w:val="distribute"/>
        <w:rPr>
          <w:rFonts w:ascii="標楷體" w:eastAsia="標楷體" w:hAnsi="標楷體"/>
          <w:spacing w:val="-32"/>
          <w:kern w:val="0"/>
          <w:sz w:val="32"/>
          <w:szCs w:val="32"/>
        </w:rPr>
      </w:pPr>
      <w:r>
        <w:rPr>
          <w:rFonts w:ascii="標楷體" w:eastAsia="標楷體" w:hAnsi="標楷體"/>
          <w:spacing w:val="-32"/>
          <w:kern w:val="0"/>
          <w:sz w:val="32"/>
          <w:szCs w:val="32"/>
        </w:rPr>
        <w:t xml:space="preserve">   </w:t>
      </w:r>
      <w:r>
        <w:rPr>
          <w:rFonts w:ascii="標楷體" w:eastAsia="標楷體" w:hAnsi="標楷體" w:hint="eastAsia"/>
          <w:spacing w:val="-32"/>
          <w:kern w:val="0"/>
          <w:sz w:val="32"/>
          <w:szCs w:val="32"/>
        </w:rPr>
        <w:t xml:space="preserve">              </w:t>
      </w:r>
      <w:r w:rsidR="008227EE">
        <w:rPr>
          <w:rFonts w:ascii="標楷體" w:eastAsia="標楷體" w:hAnsi="標楷體" w:hint="eastAsia"/>
          <w:spacing w:val="-32"/>
          <w:kern w:val="0"/>
          <w:sz w:val="32"/>
          <w:szCs w:val="32"/>
        </w:rPr>
        <w:t>中</w:t>
      </w:r>
      <w:r w:rsidRPr="00712764">
        <w:rPr>
          <w:rFonts w:ascii="標楷體" w:eastAsia="標楷體" w:hAnsi="標楷體" w:hint="eastAsia"/>
          <w:spacing w:val="-32"/>
          <w:kern w:val="0"/>
          <w:sz w:val="32"/>
          <w:szCs w:val="32"/>
        </w:rPr>
        <w:t>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11</w:t>
      </w:r>
      <w:r w:rsidRPr="00712764">
        <w:rPr>
          <w:rFonts w:ascii="標楷體" w:eastAsia="標楷體" w:hAnsi="標楷體" w:hint="eastAsia"/>
          <w:spacing w:val="-32"/>
          <w:kern w:val="0"/>
          <w:sz w:val="32"/>
          <w:szCs w:val="32"/>
        </w:rPr>
        <w:t>年</w:t>
      </w:r>
      <w:r>
        <w:rPr>
          <w:rFonts w:ascii="標楷體" w:eastAsia="標楷體" w:hAnsi="標楷體"/>
          <w:spacing w:val="-32"/>
          <w:kern w:val="0"/>
          <w:sz w:val="32"/>
          <w:szCs w:val="32"/>
        </w:rPr>
        <w:t>11</w:t>
      </w:r>
      <w:r w:rsidRPr="00712764">
        <w:rPr>
          <w:rFonts w:ascii="標楷體" w:eastAsia="標楷體" w:hAnsi="標楷體" w:hint="eastAsia"/>
          <w:spacing w:val="-32"/>
          <w:kern w:val="0"/>
          <w:sz w:val="32"/>
          <w:szCs w:val="32"/>
        </w:rPr>
        <w:t>月</w:t>
      </w:r>
      <w:r>
        <w:rPr>
          <w:rFonts w:ascii="標楷體" w:eastAsia="標楷體" w:hAnsi="標楷體"/>
          <w:spacing w:val="-32"/>
          <w:kern w:val="0"/>
          <w:sz w:val="32"/>
          <w:szCs w:val="32"/>
        </w:rPr>
        <w:t>10</w:t>
      </w:r>
      <w:r w:rsidRPr="00712764">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四</w:t>
      </w:r>
      <w:r w:rsidRPr="00712764">
        <w:rPr>
          <w:rFonts w:ascii="標楷體" w:eastAsia="標楷體" w:hAnsi="標楷體" w:hint="eastAsia"/>
          <w:spacing w:val="-32"/>
          <w:kern w:val="0"/>
          <w:sz w:val="32"/>
          <w:szCs w:val="32"/>
        </w:rPr>
        <w:t>）上午9時至</w:t>
      </w:r>
      <w:r>
        <w:rPr>
          <w:rFonts w:ascii="標楷體" w:eastAsia="標楷體" w:hAnsi="標楷體" w:hint="eastAsia"/>
          <w:spacing w:val="-32"/>
          <w:kern w:val="0"/>
          <w:sz w:val="32"/>
          <w:szCs w:val="32"/>
        </w:rPr>
        <w:t>12</w:t>
      </w:r>
      <w:r w:rsidRPr="00712764">
        <w:rPr>
          <w:rFonts w:ascii="標楷體" w:eastAsia="標楷體" w:hAnsi="標楷體" w:hint="eastAsia"/>
          <w:spacing w:val="-32"/>
          <w:kern w:val="0"/>
          <w:sz w:val="32"/>
          <w:szCs w:val="32"/>
        </w:rPr>
        <w:t>時</w:t>
      </w:r>
      <w:r>
        <w:rPr>
          <w:rFonts w:ascii="標楷體" w:eastAsia="標楷體" w:hAnsi="標楷體"/>
          <w:spacing w:val="-32"/>
          <w:kern w:val="0"/>
          <w:sz w:val="32"/>
          <w:szCs w:val="32"/>
        </w:rPr>
        <w:t>32</w:t>
      </w:r>
      <w:r w:rsidRPr="00712764">
        <w:rPr>
          <w:rFonts w:ascii="標楷體" w:eastAsia="標楷體" w:hAnsi="標楷體" w:hint="eastAsia"/>
          <w:spacing w:val="-32"/>
          <w:kern w:val="0"/>
          <w:sz w:val="32"/>
          <w:szCs w:val="32"/>
        </w:rPr>
        <w:t>分</w:t>
      </w:r>
    </w:p>
    <w:p w:rsidR="00B6184F" w:rsidRDefault="00B6184F" w:rsidP="00F035E0">
      <w:pPr>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B6184F" w:rsidRDefault="00B6184F" w:rsidP="00F035E0">
      <w:pPr>
        <w:snapToGrid w:val="0"/>
        <w:spacing w:line="46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：吳怡玎  王婉諭  黃國書  林宜瑾  何欣純  張廖萬堅</w:t>
      </w:r>
    </w:p>
    <w:p w:rsidR="00B6184F" w:rsidRDefault="00B6184F" w:rsidP="00F035E0">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鄭正鈐  吳思瑤  賴品妤  范  雲  林奕華  高金素梅</w:t>
      </w:r>
    </w:p>
    <w:p w:rsidR="00B6184F" w:rsidRDefault="00B6184F" w:rsidP="00F035E0">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萬美玲</w:t>
      </w:r>
    </w:p>
    <w:p w:rsidR="00B6184F" w:rsidRDefault="00B6184F" w:rsidP="00F035E0">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委員出席</w:t>
      </w:r>
      <w:r>
        <w:rPr>
          <w:rFonts w:ascii="標楷體" w:eastAsia="標楷體" w:hAnsi="標楷體"/>
          <w:sz w:val="32"/>
          <w:szCs w:val="32"/>
        </w:rPr>
        <w:t>13</w:t>
      </w:r>
      <w:r w:rsidRPr="008C78CE">
        <w:rPr>
          <w:rFonts w:ascii="標楷體" w:eastAsia="標楷體" w:hAnsi="標楷體" w:hint="eastAsia"/>
          <w:sz w:val="32"/>
          <w:szCs w:val="32"/>
        </w:rPr>
        <w:t>人</w:t>
      </w:r>
    </w:p>
    <w:p w:rsidR="00B6184F" w:rsidRDefault="00B6184F" w:rsidP="00F035E0">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視訊委員：陳秀寳</w:t>
      </w:r>
    </w:p>
    <w:p w:rsidR="00B6184F" w:rsidRDefault="00B6184F" w:rsidP="00F035E0">
      <w:pPr>
        <w:snapToGrid w:val="0"/>
        <w:spacing w:line="46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林德福  游毓蘭  李貴敏  陳椒華  曾銘宗  羅明才</w:t>
      </w:r>
    </w:p>
    <w:p w:rsidR="00B6184F" w:rsidRDefault="00B6184F" w:rsidP="00F035E0">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洪申翰  陳亭妃  楊瓊瓔  邱顯智  李德維  廖婉汝</w:t>
      </w:r>
    </w:p>
    <w:p w:rsidR="00B6184F" w:rsidRDefault="00B6184F" w:rsidP="00F035E0">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謝衣鳯  張育美  高嘉瑜  洪孟楷  </w:t>
      </w:r>
      <w:r w:rsidRPr="008808BE">
        <w:rPr>
          <w:rFonts w:ascii="標楷體" w:eastAsia="標楷體" w:hAnsi="標楷體" w:hint="eastAsia"/>
          <w:sz w:val="32"/>
          <w:szCs w:val="32"/>
        </w:rPr>
        <w:t>鄭天財Sra Kacaw</w:t>
      </w:r>
    </w:p>
    <w:p w:rsidR="00B6184F" w:rsidRDefault="00B6184F" w:rsidP="00F035E0">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鍾佳濱  林思銘  孔文吉  莊競程  陳玉珍  蘇巧慧</w:t>
      </w:r>
    </w:p>
    <w:p w:rsidR="00B6184F" w:rsidRPr="008C78CE" w:rsidRDefault="00B6184F" w:rsidP="00F035E0">
      <w:pPr>
        <w:snapToGrid w:val="0"/>
        <w:spacing w:line="460" w:lineRule="exact"/>
        <w:ind w:left="1920" w:rightChars="9" w:right="22" w:hangingChars="600" w:hanging="1920"/>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hint="eastAsia"/>
          <w:position w:val="2"/>
          <w:sz w:val="32"/>
          <w:szCs w:val="32"/>
        </w:rPr>
        <w:t>23</w:t>
      </w:r>
      <w:r w:rsidRPr="00BD716F">
        <w:rPr>
          <w:rFonts w:ascii="標楷體" w:eastAsia="標楷體" w:hAnsi="標楷體" w:hint="eastAsia"/>
          <w:position w:val="2"/>
          <w:sz w:val="32"/>
          <w:szCs w:val="32"/>
        </w:rPr>
        <w:t>人</w:t>
      </w:r>
    </w:p>
    <w:p w:rsidR="00B6184F" w:rsidRPr="00ED0FE7" w:rsidRDefault="00B6184F" w:rsidP="00F035E0">
      <w:pPr>
        <w:pStyle w:val="ac"/>
        <w:spacing w:line="500" w:lineRule="exact"/>
        <w:ind w:left="975" w:hanging="964"/>
        <w:contextualSpacing/>
        <w:rPr>
          <w:sz w:val="32"/>
          <w:szCs w:val="32"/>
        </w:rPr>
      </w:pPr>
      <w:r w:rsidRPr="00ED0FE7">
        <w:rPr>
          <w:sz w:val="32"/>
          <w:szCs w:val="32"/>
        </w:rPr>
        <w:t>列席人員</w:t>
      </w:r>
      <w:r w:rsidRPr="00ED0FE7">
        <w:rPr>
          <w:rFonts w:hint="eastAsia"/>
          <w:sz w:val="32"/>
          <w:szCs w:val="32"/>
        </w:rPr>
        <w:t>：(</w:t>
      </w:r>
      <w:r>
        <w:rPr>
          <w:sz w:val="32"/>
          <w:szCs w:val="32"/>
        </w:rPr>
        <w:t>1</w:t>
      </w:r>
      <w:r>
        <w:rPr>
          <w:rFonts w:hint="eastAsia"/>
          <w:sz w:val="32"/>
          <w:szCs w:val="32"/>
        </w:rPr>
        <w:t>1</w:t>
      </w:r>
      <w:r w:rsidRPr="00ED0FE7">
        <w:rPr>
          <w:rFonts w:hint="eastAsia"/>
          <w:sz w:val="32"/>
          <w:szCs w:val="32"/>
        </w:rPr>
        <w:t>月</w:t>
      </w:r>
      <w:r>
        <w:rPr>
          <w:sz w:val="32"/>
          <w:szCs w:val="32"/>
        </w:rPr>
        <w:t>9</w:t>
      </w:r>
      <w:r w:rsidRPr="00ED0FE7">
        <w:rPr>
          <w:rFonts w:hint="eastAsia"/>
          <w:sz w:val="32"/>
          <w:szCs w:val="32"/>
        </w:rPr>
        <w:t>日)</w:t>
      </w:r>
    </w:p>
    <w:p w:rsidR="00B6184F" w:rsidRDefault="00B6184F" w:rsidP="00F035E0">
      <w:pPr>
        <w:pStyle w:val="ac"/>
        <w:tabs>
          <w:tab w:val="left" w:pos="1418"/>
        </w:tabs>
        <w:spacing w:line="500" w:lineRule="exact"/>
        <w:ind w:left="975" w:hanging="964"/>
        <w:contextualSpacing/>
        <w:rPr>
          <w:spacing w:val="-2"/>
          <w:position w:val="2"/>
          <w:sz w:val="32"/>
          <w:szCs w:val="32"/>
        </w:rPr>
      </w:pPr>
      <w:r w:rsidRPr="00ED0FE7">
        <w:rPr>
          <w:rFonts w:hint="eastAsia"/>
          <w:sz w:val="32"/>
          <w:szCs w:val="32"/>
        </w:rPr>
        <w:t xml:space="preserve">        </w:t>
      </w:r>
      <w:r w:rsidRPr="001E3A9A">
        <w:rPr>
          <w:rFonts w:hint="eastAsia"/>
          <w:sz w:val="56"/>
          <w:szCs w:val="32"/>
        </w:rPr>
        <w:t xml:space="preserve"> </w:t>
      </w:r>
      <w:r>
        <w:rPr>
          <w:rFonts w:hint="eastAsia"/>
          <w:sz w:val="32"/>
          <w:szCs w:val="32"/>
        </w:rPr>
        <w:t>國家科學及技術委員會主任委員</w:t>
      </w:r>
      <w:r w:rsidRPr="0036491E">
        <w:rPr>
          <w:rFonts w:hint="eastAsia"/>
          <w:sz w:val="44"/>
          <w:szCs w:val="32"/>
        </w:rPr>
        <w:t xml:space="preserve"> </w:t>
      </w:r>
      <w:r>
        <w:rPr>
          <w:rFonts w:hint="eastAsia"/>
          <w:sz w:val="32"/>
          <w:szCs w:val="32"/>
        </w:rPr>
        <w:t xml:space="preserve"> </w:t>
      </w:r>
      <w:r w:rsidRPr="0036491E">
        <w:rPr>
          <w:rFonts w:hint="eastAsia"/>
          <w:sz w:val="32"/>
          <w:szCs w:val="32"/>
        </w:rPr>
        <w:t>吳政忠</w:t>
      </w:r>
      <w:r w:rsidRPr="00ED0FE7">
        <w:rPr>
          <w:rFonts w:hint="eastAsia"/>
          <w:spacing w:val="-2"/>
          <w:position w:val="2"/>
          <w:sz w:val="32"/>
          <w:szCs w:val="32"/>
        </w:rPr>
        <w:t>率同有關人員</w:t>
      </w:r>
    </w:p>
    <w:p w:rsidR="00B6184F" w:rsidRDefault="00B6184F" w:rsidP="00F035E0">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行政法人國家災害防救科技中心董事長         陳宗權</w:t>
      </w:r>
    </w:p>
    <w:p w:rsidR="00B6184F" w:rsidRDefault="00B6184F" w:rsidP="00F035E0">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行政院主計總處公務預算處</w:t>
      </w:r>
      <w:r w:rsidRPr="0021150E">
        <w:rPr>
          <w:rFonts w:hint="eastAsia"/>
          <w:spacing w:val="-2"/>
          <w:position w:val="2"/>
          <w:sz w:val="32"/>
          <w:szCs w:val="32"/>
        </w:rPr>
        <w:t>專門委員</w:t>
      </w:r>
      <w:r>
        <w:rPr>
          <w:rFonts w:hint="eastAsia"/>
          <w:spacing w:val="-2"/>
          <w:position w:val="2"/>
          <w:sz w:val="32"/>
          <w:szCs w:val="32"/>
        </w:rPr>
        <w:t xml:space="preserve">           吳銘修</w:t>
      </w:r>
    </w:p>
    <w:p w:rsidR="00B6184F" w:rsidRDefault="00B6184F" w:rsidP="00F035E0">
      <w:pPr>
        <w:pStyle w:val="ac"/>
        <w:tabs>
          <w:tab w:val="left" w:pos="1418"/>
        </w:tabs>
        <w:spacing w:line="500" w:lineRule="exact"/>
        <w:ind w:left="975" w:hanging="964"/>
        <w:contextualSpacing/>
        <w:rPr>
          <w:sz w:val="40"/>
          <w:szCs w:val="32"/>
        </w:rPr>
      </w:pPr>
      <w:r>
        <w:rPr>
          <w:rFonts w:hint="eastAsia"/>
          <w:spacing w:val="-2"/>
          <w:position w:val="2"/>
          <w:sz w:val="32"/>
          <w:szCs w:val="32"/>
        </w:rPr>
        <w:t xml:space="preserve">          </w:t>
      </w:r>
      <w:r w:rsidRPr="0021150E">
        <w:rPr>
          <w:rFonts w:hint="eastAsia"/>
          <w:spacing w:val="-2"/>
          <w:position w:val="2"/>
          <w:sz w:val="32"/>
          <w:szCs w:val="32"/>
        </w:rPr>
        <w:t>行政院主計總處基金預算處科長</w:t>
      </w:r>
      <w:r>
        <w:rPr>
          <w:rFonts w:hint="eastAsia"/>
          <w:spacing w:val="-2"/>
          <w:position w:val="2"/>
          <w:sz w:val="32"/>
          <w:szCs w:val="32"/>
        </w:rPr>
        <w:t xml:space="preserve">               柳雅斐</w:t>
      </w:r>
    </w:p>
    <w:p w:rsidR="00B6184F" w:rsidRPr="00ED0FE7" w:rsidRDefault="00B6184F" w:rsidP="00F035E0">
      <w:pPr>
        <w:pStyle w:val="ac"/>
        <w:spacing w:line="500" w:lineRule="exact"/>
        <w:ind w:left="975" w:hanging="964"/>
        <w:contextualSpacing/>
        <w:rPr>
          <w:spacing w:val="-2"/>
          <w:position w:val="2"/>
          <w:sz w:val="32"/>
          <w:szCs w:val="32"/>
        </w:rPr>
      </w:pPr>
      <w:r w:rsidRPr="00ED0FE7">
        <w:rPr>
          <w:rFonts w:hint="eastAsia"/>
          <w:spacing w:val="-2"/>
          <w:position w:val="2"/>
          <w:sz w:val="32"/>
          <w:szCs w:val="32"/>
        </w:rPr>
        <w:t xml:space="preserve">          (</w:t>
      </w:r>
      <w:r>
        <w:rPr>
          <w:spacing w:val="-2"/>
          <w:position w:val="2"/>
          <w:sz w:val="32"/>
          <w:szCs w:val="32"/>
        </w:rPr>
        <w:t>11</w:t>
      </w:r>
      <w:r w:rsidRPr="00ED0FE7">
        <w:rPr>
          <w:rFonts w:hint="eastAsia"/>
          <w:spacing w:val="-2"/>
          <w:position w:val="2"/>
          <w:sz w:val="32"/>
          <w:szCs w:val="32"/>
        </w:rPr>
        <w:t>月</w:t>
      </w:r>
      <w:r>
        <w:rPr>
          <w:spacing w:val="-2"/>
          <w:position w:val="2"/>
          <w:sz w:val="32"/>
          <w:szCs w:val="32"/>
        </w:rPr>
        <w:t>10</w:t>
      </w:r>
      <w:r w:rsidRPr="00ED0FE7">
        <w:rPr>
          <w:rFonts w:hint="eastAsia"/>
          <w:spacing w:val="-2"/>
          <w:position w:val="2"/>
          <w:sz w:val="32"/>
          <w:szCs w:val="32"/>
        </w:rPr>
        <w:t>日)</w:t>
      </w:r>
    </w:p>
    <w:p w:rsidR="00B6184F" w:rsidRDefault="00B6184F" w:rsidP="00F035E0">
      <w:pPr>
        <w:pStyle w:val="ac"/>
        <w:tabs>
          <w:tab w:val="left" w:pos="1418"/>
        </w:tabs>
        <w:spacing w:line="500" w:lineRule="exact"/>
        <w:ind w:left="975" w:hanging="964"/>
        <w:contextualSpacing/>
        <w:rPr>
          <w:sz w:val="32"/>
          <w:szCs w:val="32"/>
        </w:rPr>
      </w:pPr>
      <w:r w:rsidRPr="00ED0FE7">
        <w:rPr>
          <w:rFonts w:hint="eastAsia"/>
          <w:spacing w:val="-2"/>
          <w:position w:val="2"/>
          <w:sz w:val="32"/>
          <w:szCs w:val="32"/>
        </w:rPr>
        <w:t xml:space="preserve"> </w:t>
      </w:r>
      <w:r w:rsidRPr="00B71736">
        <w:rPr>
          <w:rFonts w:hint="eastAsia"/>
          <w:spacing w:val="-2"/>
          <w:position w:val="2"/>
          <w:sz w:val="36"/>
          <w:szCs w:val="32"/>
        </w:rPr>
        <w:t xml:space="preserve"> </w:t>
      </w:r>
      <w:r w:rsidRPr="00ED0FE7">
        <w:rPr>
          <w:rFonts w:hint="eastAsia"/>
          <w:spacing w:val="-2"/>
          <w:position w:val="2"/>
          <w:sz w:val="32"/>
          <w:szCs w:val="32"/>
        </w:rPr>
        <w:t xml:space="preserve">    </w:t>
      </w:r>
      <w:r w:rsidRPr="00B71736">
        <w:rPr>
          <w:rFonts w:hint="eastAsia"/>
          <w:spacing w:val="-2"/>
          <w:position w:val="2"/>
          <w:sz w:val="40"/>
          <w:szCs w:val="32"/>
        </w:rPr>
        <w:t xml:space="preserve"> </w:t>
      </w:r>
      <w:r w:rsidRPr="00ED0FE7">
        <w:rPr>
          <w:rFonts w:hint="eastAsia"/>
          <w:spacing w:val="-2"/>
          <w:position w:val="2"/>
          <w:sz w:val="32"/>
          <w:szCs w:val="32"/>
        </w:rPr>
        <w:t xml:space="preserve"> </w:t>
      </w:r>
      <w:r w:rsidRPr="00B71736">
        <w:rPr>
          <w:rFonts w:hint="eastAsia"/>
          <w:spacing w:val="-2"/>
          <w:position w:val="2"/>
          <w:sz w:val="56"/>
          <w:szCs w:val="32"/>
        </w:rPr>
        <w:t xml:space="preserve"> </w:t>
      </w:r>
      <w:r>
        <w:rPr>
          <w:rFonts w:hint="eastAsia"/>
          <w:sz w:val="32"/>
          <w:szCs w:val="32"/>
        </w:rPr>
        <w:t>文化部部長</w:t>
      </w:r>
      <w:r w:rsidRPr="000F343B">
        <w:rPr>
          <w:rFonts w:hint="eastAsia"/>
          <w:sz w:val="32"/>
          <w:szCs w:val="32"/>
        </w:rPr>
        <w:t xml:space="preserve">          </w:t>
      </w:r>
      <w:r w:rsidRPr="00B71736">
        <w:rPr>
          <w:rFonts w:hint="eastAsia"/>
          <w:sz w:val="36"/>
          <w:szCs w:val="32"/>
        </w:rPr>
        <w:t xml:space="preserve"> </w:t>
      </w:r>
      <w:r w:rsidRPr="000F343B">
        <w:rPr>
          <w:rFonts w:hint="eastAsia"/>
          <w:sz w:val="32"/>
          <w:szCs w:val="32"/>
        </w:rPr>
        <w:t xml:space="preserve">  </w:t>
      </w:r>
      <w:r w:rsidRPr="001E3A9A">
        <w:rPr>
          <w:rFonts w:hint="eastAsia"/>
          <w:sz w:val="40"/>
          <w:szCs w:val="32"/>
        </w:rPr>
        <w:t xml:space="preserve"> </w:t>
      </w:r>
      <w:r>
        <w:rPr>
          <w:rFonts w:hint="eastAsia"/>
          <w:sz w:val="32"/>
          <w:szCs w:val="32"/>
        </w:rPr>
        <w:t xml:space="preserve">      李永得</w:t>
      </w:r>
      <w:r w:rsidRPr="000F343B">
        <w:rPr>
          <w:rFonts w:hint="eastAsia"/>
          <w:sz w:val="32"/>
          <w:szCs w:val="32"/>
        </w:rPr>
        <w:t>率同有關人員</w:t>
      </w:r>
    </w:p>
    <w:p w:rsidR="00B6184F" w:rsidRDefault="00B6184F" w:rsidP="00F035E0">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BC0E22">
        <w:rPr>
          <w:rFonts w:hint="eastAsia"/>
          <w:spacing w:val="-2"/>
          <w:position w:val="2"/>
          <w:sz w:val="36"/>
          <w:szCs w:val="32"/>
        </w:rPr>
        <w:t xml:space="preserve"> </w:t>
      </w:r>
      <w:r>
        <w:rPr>
          <w:rFonts w:hint="eastAsia"/>
          <w:spacing w:val="-2"/>
          <w:position w:val="2"/>
          <w:sz w:val="32"/>
          <w:szCs w:val="32"/>
        </w:rPr>
        <w:t xml:space="preserve">  </w:t>
      </w:r>
      <w:r w:rsidRPr="00C42930">
        <w:rPr>
          <w:rFonts w:hint="eastAsia"/>
          <w:spacing w:val="-2"/>
          <w:position w:val="2"/>
          <w:sz w:val="32"/>
          <w:szCs w:val="32"/>
        </w:rPr>
        <w:t>行政法人國家</w:t>
      </w:r>
      <w:r>
        <w:rPr>
          <w:rFonts w:hint="eastAsia"/>
          <w:spacing w:val="-2"/>
          <w:position w:val="2"/>
          <w:sz w:val="32"/>
          <w:szCs w:val="32"/>
        </w:rPr>
        <w:t>表演藝術</w:t>
      </w:r>
      <w:r w:rsidRPr="00C42930">
        <w:rPr>
          <w:rFonts w:hint="eastAsia"/>
          <w:spacing w:val="-2"/>
          <w:position w:val="2"/>
          <w:sz w:val="32"/>
          <w:szCs w:val="32"/>
        </w:rPr>
        <w:t>中心</w:t>
      </w:r>
      <w:r>
        <w:rPr>
          <w:rFonts w:hint="eastAsia"/>
          <w:spacing w:val="-2"/>
          <w:position w:val="2"/>
          <w:sz w:val="32"/>
          <w:szCs w:val="32"/>
        </w:rPr>
        <w:t>主任秘書           郭美娟</w:t>
      </w:r>
    </w:p>
    <w:p w:rsidR="00B6184F" w:rsidRDefault="00B6184F" w:rsidP="00F035E0">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行政法人文化內容策進院董事長            </w:t>
      </w:r>
      <w:r w:rsidRPr="00B71736">
        <w:rPr>
          <w:rFonts w:hint="eastAsia"/>
          <w:spacing w:val="-2"/>
          <w:position w:val="2"/>
          <w:sz w:val="36"/>
          <w:szCs w:val="32"/>
        </w:rPr>
        <w:t xml:space="preserve"> </w:t>
      </w:r>
      <w:r>
        <w:rPr>
          <w:rFonts w:hint="eastAsia"/>
          <w:spacing w:val="-2"/>
          <w:position w:val="2"/>
          <w:sz w:val="32"/>
          <w:szCs w:val="32"/>
        </w:rPr>
        <w:t xml:space="preserve">  彭俊亨</w:t>
      </w:r>
    </w:p>
    <w:p w:rsidR="00B6184F" w:rsidRDefault="00B6184F" w:rsidP="00F035E0">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7A2092">
        <w:rPr>
          <w:rFonts w:hint="eastAsia"/>
          <w:spacing w:val="-2"/>
          <w:position w:val="2"/>
          <w:sz w:val="32"/>
          <w:szCs w:val="32"/>
        </w:rPr>
        <w:t>行政法人國家電影及影視文化中心董事長</w:t>
      </w:r>
      <w:r>
        <w:rPr>
          <w:rFonts w:hint="eastAsia"/>
          <w:spacing w:val="-2"/>
          <w:position w:val="2"/>
          <w:sz w:val="32"/>
          <w:szCs w:val="32"/>
        </w:rPr>
        <w:t xml:space="preserve">       </w:t>
      </w:r>
      <w:r w:rsidRPr="007A2092">
        <w:rPr>
          <w:rFonts w:hint="eastAsia"/>
          <w:spacing w:val="-2"/>
          <w:position w:val="2"/>
          <w:sz w:val="32"/>
          <w:szCs w:val="32"/>
        </w:rPr>
        <w:t>藍祖蔚</w:t>
      </w:r>
    </w:p>
    <w:p w:rsidR="00B6184F" w:rsidRDefault="00B6184F" w:rsidP="00F035E0">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行政院主計總處公務預算處</w:t>
      </w:r>
      <w:r w:rsidRPr="0021150E">
        <w:rPr>
          <w:rFonts w:hint="eastAsia"/>
          <w:spacing w:val="-2"/>
          <w:position w:val="2"/>
          <w:sz w:val="32"/>
          <w:szCs w:val="32"/>
        </w:rPr>
        <w:t>專門委員</w:t>
      </w:r>
      <w:r>
        <w:rPr>
          <w:rFonts w:hint="eastAsia"/>
          <w:spacing w:val="-2"/>
          <w:position w:val="2"/>
          <w:sz w:val="32"/>
          <w:szCs w:val="32"/>
        </w:rPr>
        <w:t xml:space="preserve">           </w:t>
      </w:r>
      <w:r w:rsidRPr="00C42930">
        <w:rPr>
          <w:rFonts w:hint="eastAsia"/>
          <w:spacing w:val="-2"/>
          <w:position w:val="2"/>
          <w:sz w:val="32"/>
          <w:szCs w:val="32"/>
        </w:rPr>
        <w:t>黃淑莉</w:t>
      </w:r>
    </w:p>
    <w:p w:rsidR="00B6184F" w:rsidRPr="00ED0FE7" w:rsidRDefault="00B6184F" w:rsidP="00F035E0">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21150E">
        <w:rPr>
          <w:rFonts w:hint="eastAsia"/>
          <w:spacing w:val="-2"/>
          <w:position w:val="2"/>
          <w:sz w:val="32"/>
          <w:szCs w:val="32"/>
        </w:rPr>
        <w:t>行政院主計總處基金預算處</w:t>
      </w:r>
      <w:r w:rsidRPr="00C42930">
        <w:rPr>
          <w:rFonts w:hint="eastAsia"/>
          <w:spacing w:val="-2"/>
          <w:position w:val="2"/>
          <w:sz w:val="32"/>
          <w:szCs w:val="32"/>
        </w:rPr>
        <w:t>專門委員</w:t>
      </w:r>
      <w:r>
        <w:rPr>
          <w:rFonts w:hint="eastAsia"/>
          <w:spacing w:val="-2"/>
          <w:position w:val="2"/>
          <w:sz w:val="32"/>
          <w:szCs w:val="32"/>
        </w:rPr>
        <w:t xml:space="preserve">           </w:t>
      </w:r>
      <w:r w:rsidRPr="007A2092">
        <w:rPr>
          <w:rFonts w:hint="eastAsia"/>
          <w:spacing w:val="-2"/>
          <w:position w:val="2"/>
          <w:sz w:val="32"/>
          <w:szCs w:val="32"/>
        </w:rPr>
        <w:t>吳婉玉</w:t>
      </w:r>
    </w:p>
    <w:p w:rsidR="00B6184F" w:rsidRPr="006C6684" w:rsidRDefault="00B6184F" w:rsidP="00F035E0">
      <w:pPr>
        <w:spacing w:line="500" w:lineRule="exact"/>
        <w:ind w:rightChars="14" w:right="34"/>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鄭</w:t>
      </w:r>
      <w:r w:rsidRPr="00C2349A">
        <w:rPr>
          <w:rFonts w:ascii="標楷體" w:eastAsia="標楷體" w:hAnsi="標楷體"/>
          <w:sz w:val="32"/>
          <w:szCs w:val="32"/>
        </w:rPr>
        <w:t>召集委員</w:t>
      </w:r>
      <w:r>
        <w:rPr>
          <w:rFonts w:ascii="標楷體" w:eastAsia="標楷體" w:hAnsi="標楷體" w:hint="eastAsia"/>
          <w:sz w:val="32"/>
          <w:szCs w:val="32"/>
        </w:rPr>
        <w:t>正鈐</w:t>
      </w:r>
    </w:p>
    <w:p w:rsidR="00B6184F" w:rsidRDefault="00B6184F" w:rsidP="00F035E0">
      <w:pPr>
        <w:snapToGrid w:val="0"/>
        <w:spacing w:line="500" w:lineRule="exact"/>
        <w:ind w:rightChars="9" w:right="22"/>
        <w:jc w:val="both"/>
        <w:rPr>
          <w:rFonts w:ascii="標楷體" w:eastAsia="標楷體" w:hAnsi="標楷體"/>
          <w:sz w:val="32"/>
          <w:szCs w:val="32"/>
        </w:rPr>
      </w:pPr>
      <w:r w:rsidRPr="00073979">
        <w:rPr>
          <w:rFonts w:ascii="標楷體" w:eastAsia="標楷體" w:hAnsi="標楷體" w:hint="eastAsia"/>
          <w:sz w:val="32"/>
          <w:szCs w:val="32"/>
        </w:rPr>
        <w:t>主任秘書：陳錫欽</w:t>
      </w:r>
    </w:p>
    <w:p w:rsidR="00B6184F" w:rsidRPr="008C78CE" w:rsidRDefault="00B6184F" w:rsidP="00F035E0">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朱蔚菁</w:t>
      </w:r>
    </w:p>
    <w:p w:rsidR="00B6184F" w:rsidRDefault="00B6184F" w:rsidP="00F035E0">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lastRenderedPageBreak/>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林素惠  簡任編審  蔡月秋  科長  蔡國治</w:t>
      </w:r>
    </w:p>
    <w:p w:rsidR="00B6184F" w:rsidRPr="00121576" w:rsidRDefault="00B6184F" w:rsidP="00F035E0">
      <w:pPr>
        <w:snapToGrid w:val="0"/>
        <w:spacing w:line="50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B6184F" w:rsidRPr="00121576" w:rsidRDefault="00B6184F" w:rsidP="00F035E0">
      <w:pPr>
        <w:snapToGrid w:val="0"/>
        <w:spacing w:line="460" w:lineRule="exact"/>
        <w:ind w:rightChars="9" w:right="22"/>
        <w:jc w:val="both"/>
        <w:rPr>
          <w:rFonts w:ascii="標楷體" w:eastAsia="標楷體" w:hAnsi="標楷體"/>
          <w:sz w:val="32"/>
          <w:szCs w:val="32"/>
        </w:rPr>
      </w:pPr>
      <w:r>
        <w:rPr>
          <w:rFonts w:ascii="標楷體" w:eastAsia="標楷體" w:hAnsi="標楷體" w:hint="eastAsia"/>
          <w:sz w:val="32"/>
          <w:szCs w:val="32"/>
        </w:rPr>
        <w:t>（</w:t>
      </w:r>
      <w:r>
        <w:rPr>
          <w:rFonts w:ascii="標楷體" w:eastAsia="標楷體" w:hAnsi="標楷體"/>
          <w:sz w:val="32"/>
          <w:szCs w:val="32"/>
        </w:rPr>
        <w:t>1</w:t>
      </w:r>
      <w:r>
        <w:rPr>
          <w:rFonts w:ascii="標楷體" w:eastAsia="標楷體" w:hAnsi="標楷體" w:hint="eastAsia"/>
          <w:sz w:val="32"/>
          <w:szCs w:val="32"/>
        </w:rPr>
        <w:t>1</w:t>
      </w:r>
      <w:r w:rsidRPr="00121576">
        <w:rPr>
          <w:rFonts w:ascii="標楷體" w:eastAsia="標楷體" w:hAnsi="標楷體" w:hint="eastAsia"/>
          <w:sz w:val="32"/>
          <w:szCs w:val="32"/>
        </w:rPr>
        <w:t>月</w:t>
      </w:r>
      <w:r>
        <w:rPr>
          <w:rFonts w:ascii="標楷體" w:eastAsia="標楷體" w:hAnsi="標楷體"/>
          <w:sz w:val="32"/>
          <w:szCs w:val="32"/>
        </w:rPr>
        <w:t>9</w:t>
      </w:r>
      <w:r w:rsidRPr="00121576">
        <w:rPr>
          <w:rFonts w:ascii="標楷體" w:eastAsia="標楷體" w:hAnsi="標楷體" w:hint="eastAsia"/>
          <w:sz w:val="32"/>
          <w:szCs w:val="32"/>
        </w:rPr>
        <w:t>日</w:t>
      </w:r>
      <w:r>
        <w:rPr>
          <w:rFonts w:ascii="標楷體" w:eastAsia="標楷體" w:hAnsi="標楷體"/>
          <w:sz w:val="32"/>
          <w:szCs w:val="32"/>
        </w:rPr>
        <w:t>）</w:t>
      </w:r>
    </w:p>
    <w:p w:rsidR="00B6184F" w:rsidRDefault="00B6184F" w:rsidP="00F035E0">
      <w:pPr>
        <w:pStyle w:val="ac"/>
        <w:spacing w:line="460" w:lineRule="exact"/>
        <w:ind w:left="980" w:hanging="966"/>
        <w:rPr>
          <w:b/>
          <w:sz w:val="32"/>
          <w:szCs w:val="32"/>
        </w:rPr>
      </w:pPr>
      <w:r w:rsidRPr="0084281E">
        <w:rPr>
          <w:rFonts w:hint="eastAsia"/>
          <w:b/>
          <w:sz w:val="32"/>
          <w:szCs w:val="32"/>
        </w:rPr>
        <w:t>報  告  事  項</w:t>
      </w:r>
    </w:p>
    <w:p w:rsidR="00B6184F" w:rsidRPr="009B6966" w:rsidRDefault="00B6184F" w:rsidP="00F035E0">
      <w:pPr>
        <w:pStyle w:val="a4"/>
        <w:snapToGrid w:val="0"/>
        <w:spacing w:before="120" w:line="500" w:lineRule="exact"/>
        <w:ind w:leftChars="0" w:left="0"/>
        <w:rPr>
          <w:rFonts w:ascii="標楷體" w:eastAsia="標楷體"/>
          <w:b/>
          <w:sz w:val="32"/>
          <w:szCs w:val="32"/>
        </w:rPr>
      </w:pPr>
      <w:r w:rsidRPr="009B6966">
        <w:rPr>
          <w:rFonts w:ascii="標楷體" w:eastAsia="標楷體" w:hint="eastAsia"/>
          <w:b/>
          <w:sz w:val="32"/>
          <w:szCs w:val="32"/>
        </w:rPr>
        <w:t>宣讀上次會議議事錄。</w:t>
      </w:r>
    </w:p>
    <w:p w:rsidR="00B6184F" w:rsidRPr="009B6966" w:rsidRDefault="00B6184F" w:rsidP="00F035E0">
      <w:pPr>
        <w:snapToGrid w:val="0"/>
        <w:spacing w:beforeLines="50" w:before="180" w:line="500" w:lineRule="exact"/>
        <w:rPr>
          <w:rFonts w:ascii="標楷體" w:eastAsia="標楷體" w:hAnsi="標楷體"/>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B6184F" w:rsidRPr="0021150E" w:rsidRDefault="00B6184F" w:rsidP="00F035E0">
      <w:pPr>
        <w:snapToGrid w:val="0"/>
        <w:spacing w:before="120" w:afterLines="50" w:after="180" w:line="460" w:lineRule="exact"/>
        <w:rPr>
          <w:b/>
          <w:sz w:val="32"/>
          <w:szCs w:val="32"/>
        </w:rPr>
      </w:pPr>
      <w:r w:rsidRPr="0021150E">
        <w:rPr>
          <w:rFonts w:ascii="標楷體" w:eastAsia="標楷體" w:hAnsi="標楷體" w:hint="eastAsia"/>
          <w:b/>
          <w:sz w:val="32"/>
          <w:szCs w:val="32"/>
        </w:rPr>
        <w:t>討  論  事  項</w:t>
      </w:r>
    </w:p>
    <w:p w:rsidR="00B6184F" w:rsidRPr="0036491E" w:rsidRDefault="00B6184F" w:rsidP="006934DD">
      <w:pPr>
        <w:numPr>
          <w:ilvl w:val="0"/>
          <w:numId w:val="31"/>
        </w:numPr>
        <w:snapToGrid w:val="0"/>
        <w:spacing w:line="460" w:lineRule="exact"/>
        <w:rPr>
          <w:rFonts w:ascii="標楷體" w:eastAsia="標楷體"/>
          <w:b/>
          <w:sz w:val="32"/>
          <w:szCs w:val="32"/>
        </w:rPr>
      </w:pPr>
      <w:r w:rsidRPr="0036491E">
        <w:rPr>
          <w:rFonts w:ascii="標楷體" w:eastAsia="標楷體" w:hint="eastAsia"/>
          <w:b/>
          <w:sz w:val="32"/>
          <w:szCs w:val="32"/>
        </w:rPr>
        <w:t>審查112年度中央政府總預算案有關國家科學及技術委員會與所屬單位預算案。</w:t>
      </w:r>
    </w:p>
    <w:p w:rsidR="00B6184F" w:rsidRPr="0036491E" w:rsidRDefault="00B6184F" w:rsidP="006934DD">
      <w:pPr>
        <w:numPr>
          <w:ilvl w:val="0"/>
          <w:numId w:val="31"/>
        </w:numPr>
        <w:snapToGrid w:val="0"/>
        <w:spacing w:line="460" w:lineRule="exact"/>
        <w:rPr>
          <w:rFonts w:ascii="標楷體" w:eastAsia="標楷體"/>
          <w:b/>
          <w:sz w:val="32"/>
          <w:szCs w:val="32"/>
        </w:rPr>
      </w:pPr>
      <w:r w:rsidRPr="0036491E">
        <w:rPr>
          <w:rFonts w:ascii="標楷體" w:eastAsia="標楷體" w:hint="eastAsia"/>
          <w:b/>
          <w:sz w:val="32"/>
          <w:szCs w:val="32"/>
        </w:rPr>
        <w:t>審查112年度中央政府總預算案有關行政院主管行政院國家科學技術發展基金附屬單位預算案。</w:t>
      </w:r>
    </w:p>
    <w:p w:rsidR="00B6184F" w:rsidRPr="0036491E" w:rsidRDefault="00B6184F" w:rsidP="006934DD">
      <w:pPr>
        <w:numPr>
          <w:ilvl w:val="0"/>
          <w:numId w:val="31"/>
        </w:numPr>
        <w:snapToGrid w:val="0"/>
        <w:spacing w:line="460" w:lineRule="exact"/>
        <w:rPr>
          <w:rFonts w:ascii="標楷體" w:eastAsia="標楷體"/>
          <w:b/>
          <w:sz w:val="32"/>
          <w:szCs w:val="32"/>
        </w:rPr>
      </w:pPr>
      <w:r w:rsidRPr="0036491E">
        <w:rPr>
          <w:rFonts w:ascii="標楷體" w:eastAsia="標楷體" w:hint="eastAsia"/>
          <w:b/>
          <w:sz w:val="32"/>
          <w:szCs w:val="32"/>
        </w:rPr>
        <w:t>審查112年度中央政府總預算案有關國家科學及技術委員會主管科學園區管理局作業基金附屬單位預算案。</w:t>
      </w:r>
    </w:p>
    <w:p w:rsidR="00B6184F" w:rsidRPr="0036491E" w:rsidRDefault="00B6184F" w:rsidP="006934DD">
      <w:pPr>
        <w:numPr>
          <w:ilvl w:val="0"/>
          <w:numId w:val="31"/>
        </w:numPr>
        <w:snapToGrid w:val="0"/>
        <w:spacing w:line="560" w:lineRule="exact"/>
        <w:rPr>
          <w:rFonts w:ascii="標楷體" w:eastAsia="標楷體"/>
          <w:b/>
          <w:sz w:val="32"/>
          <w:szCs w:val="32"/>
        </w:rPr>
      </w:pPr>
      <w:r w:rsidRPr="0036491E">
        <w:rPr>
          <w:rFonts w:ascii="標楷體" w:eastAsia="標楷體" w:hint="eastAsia"/>
          <w:b/>
          <w:sz w:val="32"/>
          <w:szCs w:val="32"/>
        </w:rPr>
        <w:t>審查112年度行政法人國家災害防救科技中心預算案。</w:t>
      </w:r>
    </w:p>
    <w:p w:rsidR="00B6184F" w:rsidRPr="00FC4850" w:rsidRDefault="00B6184F" w:rsidP="00F035E0">
      <w:pPr>
        <w:snapToGrid w:val="0"/>
        <w:spacing w:line="560" w:lineRule="exact"/>
        <w:rPr>
          <w:rFonts w:ascii="標楷體" w:eastAsia="標楷體"/>
          <w:sz w:val="32"/>
          <w:szCs w:val="32"/>
        </w:rPr>
      </w:pPr>
      <w:r w:rsidRPr="00FC4850">
        <w:rPr>
          <w:rFonts w:ascii="標楷體" w:eastAsia="標楷體" w:hint="eastAsia"/>
          <w:sz w:val="32"/>
          <w:szCs w:val="32"/>
        </w:rPr>
        <w:t>（僅進行詢答</w:t>
      </w:r>
      <w:r w:rsidRPr="00FC4850">
        <w:rPr>
          <w:rFonts w:ascii="標楷體" w:eastAsia="標楷體"/>
          <w:sz w:val="32"/>
          <w:szCs w:val="32"/>
        </w:rPr>
        <w:t>)</w:t>
      </w:r>
    </w:p>
    <w:p w:rsidR="00B6184F" w:rsidRDefault="00B6184F" w:rsidP="00F035E0">
      <w:pPr>
        <w:pStyle w:val="a4"/>
        <w:snapToGrid w:val="0"/>
        <w:spacing w:before="120" w:line="520" w:lineRule="exact"/>
        <w:ind w:leftChars="0" w:left="0"/>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日</w:t>
      </w:r>
      <w:r w:rsidRPr="008C78CE">
        <w:rPr>
          <w:rFonts w:ascii="標楷體" w:eastAsia="標楷體" w:hAnsi="標楷體"/>
          <w:sz w:val="32"/>
          <w:szCs w:val="32"/>
        </w:rPr>
        <w:t>議程</w:t>
      </w:r>
      <w:r>
        <w:rPr>
          <w:rFonts w:ascii="標楷體" w:eastAsia="標楷體" w:hAnsi="標楷體" w:hint="eastAsia"/>
          <w:sz w:val="32"/>
          <w:szCs w:val="32"/>
        </w:rPr>
        <w:t>採綜合詢答，</w:t>
      </w:r>
      <w:r w:rsidRPr="008C78CE">
        <w:rPr>
          <w:rFonts w:ascii="標楷體" w:eastAsia="標楷體" w:hAnsi="標楷體" w:hint="eastAsia"/>
          <w:sz w:val="32"/>
          <w:szCs w:val="32"/>
        </w:rPr>
        <w:t>有</w:t>
      </w:r>
      <w:r>
        <w:rPr>
          <w:rFonts w:ascii="標楷體" w:eastAsia="標楷體" w:hAnsi="標楷體" w:hint="eastAsia"/>
          <w:sz w:val="32"/>
          <w:szCs w:val="32"/>
        </w:rPr>
        <w:t>委員吳怡玎</w:t>
      </w:r>
      <w:r w:rsidRPr="00FA7C2A">
        <w:rPr>
          <w:rFonts w:ascii="標楷體" w:eastAsia="標楷體" w:hAnsi="標楷體" w:hint="eastAsia"/>
          <w:sz w:val="32"/>
          <w:szCs w:val="32"/>
        </w:rPr>
        <w:t>、</w:t>
      </w:r>
      <w:r w:rsidRPr="00DB5C75">
        <w:rPr>
          <w:rFonts w:ascii="標楷體" w:eastAsia="標楷體" w:hAnsi="標楷體" w:hint="eastAsia"/>
          <w:sz w:val="32"/>
          <w:szCs w:val="32"/>
        </w:rPr>
        <w:t>王婉諭、</w:t>
      </w:r>
      <w:r w:rsidRPr="00FA7C2A">
        <w:rPr>
          <w:rFonts w:ascii="標楷體" w:eastAsia="標楷體" w:hAnsi="標楷體" w:hint="eastAsia"/>
          <w:sz w:val="32"/>
          <w:szCs w:val="32"/>
        </w:rPr>
        <w:t>黃國書、張廖萬堅、</w:t>
      </w:r>
      <w:r w:rsidRPr="00934775">
        <w:rPr>
          <w:rFonts w:ascii="標楷體" w:eastAsia="標楷體" w:hAnsi="標楷體" w:hint="eastAsia"/>
          <w:sz w:val="32"/>
          <w:szCs w:val="32"/>
        </w:rPr>
        <w:t>林宜瑾、</w:t>
      </w:r>
      <w:r>
        <w:rPr>
          <w:rFonts w:ascii="標楷體" w:eastAsia="標楷體" w:hAnsi="標楷體" w:hint="eastAsia"/>
          <w:sz w:val="32"/>
          <w:szCs w:val="32"/>
        </w:rPr>
        <w:t>何欣純、游毓蘭、范雲、</w:t>
      </w:r>
      <w:r w:rsidRPr="00AF7DB4">
        <w:rPr>
          <w:rFonts w:ascii="標楷體" w:eastAsia="標楷體" w:hAnsi="標楷體" w:hint="eastAsia"/>
          <w:sz w:val="32"/>
          <w:szCs w:val="32"/>
        </w:rPr>
        <w:t>林奕華、</w:t>
      </w:r>
      <w:r w:rsidRPr="00DB5C75">
        <w:rPr>
          <w:rFonts w:ascii="標楷體" w:eastAsia="標楷體" w:hAnsi="標楷體" w:hint="eastAsia"/>
          <w:sz w:val="32"/>
          <w:szCs w:val="32"/>
        </w:rPr>
        <w:t>賴品妤、吳思瑤、</w:t>
      </w:r>
      <w:r>
        <w:rPr>
          <w:rFonts w:ascii="標楷體" w:eastAsia="標楷體" w:hAnsi="標楷體" w:hint="eastAsia"/>
          <w:sz w:val="32"/>
          <w:szCs w:val="32"/>
        </w:rPr>
        <w:t>洪申翰、</w:t>
      </w:r>
      <w:r w:rsidRPr="000007F8">
        <w:rPr>
          <w:rFonts w:ascii="標楷體" w:eastAsia="標楷體" w:hAnsi="標楷體" w:hint="eastAsia"/>
          <w:sz w:val="32"/>
          <w:szCs w:val="32"/>
        </w:rPr>
        <w:t>萬美玲、</w:t>
      </w:r>
      <w:r>
        <w:rPr>
          <w:rFonts w:ascii="標楷體" w:eastAsia="標楷體" w:hAnsi="標楷體" w:hint="eastAsia"/>
          <w:sz w:val="32"/>
          <w:szCs w:val="32"/>
        </w:rPr>
        <w:t>邱顯智、</w:t>
      </w:r>
      <w:r w:rsidRPr="000F5964">
        <w:rPr>
          <w:rFonts w:ascii="標楷體" w:eastAsia="標楷體" w:hAnsi="標楷體" w:hint="eastAsia"/>
          <w:sz w:val="32"/>
          <w:szCs w:val="32"/>
        </w:rPr>
        <w:t>鄭正鈐、</w:t>
      </w:r>
      <w:r w:rsidRPr="00AF7DB4">
        <w:rPr>
          <w:rFonts w:ascii="標楷體" w:eastAsia="標楷體" w:hAnsi="標楷體" w:hint="eastAsia"/>
          <w:sz w:val="32"/>
          <w:szCs w:val="32"/>
        </w:rPr>
        <w:t>陳秀寳</w:t>
      </w:r>
      <w:r>
        <w:rPr>
          <w:rFonts w:ascii="標楷體" w:eastAsia="標楷體" w:hAnsi="標楷體" w:hint="eastAsia"/>
          <w:sz w:val="32"/>
          <w:szCs w:val="32"/>
        </w:rPr>
        <w:t>(視訊)</w:t>
      </w:r>
      <w:r w:rsidRPr="00AF7DB4">
        <w:rPr>
          <w:rFonts w:ascii="標楷體" w:eastAsia="標楷體" w:hAnsi="標楷體" w:hint="eastAsia"/>
          <w:sz w:val="32"/>
          <w:szCs w:val="32"/>
        </w:rPr>
        <w:t>、</w:t>
      </w:r>
      <w:r>
        <w:rPr>
          <w:rFonts w:ascii="標楷體" w:eastAsia="標楷體" w:hAnsi="標楷體" w:hint="eastAsia"/>
          <w:sz w:val="32"/>
          <w:szCs w:val="32"/>
        </w:rPr>
        <w:t>李德維等</w:t>
      </w:r>
      <w:r>
        <w:rPr>
          <w:rFonts w:ascii="標楷體" w:eastAsia="標楷體" w:hAnsi="標楷體"/>
          <w:sz w:val="32"/>
          <w:szCs w:val="32"/>
        </w:rPr>
        <w:t>17</w:t>
      </w:r>
      <w:r w:rsidRPr="008C78CE">
        <w:rPr>
          <w:rFonts w:ascii="標楷體" w:eastAsia="標楷體" w:hAnsi="標楷體"/>
          <w:sz w:val="32"/>
          <w:szCs w:val="32"/>
        </w:rPr>
        <w:t>人提出質詢，均</w:t>
      </w:r>
      <w:r w:rsidRPr="00891366">
        <w:rPr>
          <w:rFonts w:ascii="標楷體" w:eastAsia="標楷體" w:hAnsi="標楷體"/>
          <w:sz w:val="32"/>
          <w:szCs w:val="32"/>
        </w:rPr>
        <w:t>經</w:t>
      </w:r>
      <w:r w:rsidRPr="0036491E">
        <w:rPr>
          <w:rFonts w:ascii="標楷體" w:eastAsia="標楷體" w:hAnsi="標楷體" w:hint="eastAsia"/>
          <w:sz w:val="32"/>
          <w:szCs w:val="32"/>
        </w:rPr>
        <w:t>國家科學及技術委員會</w:t>
      </w:r>
      <w:r>
        <w:rPr>
          <w:rFonts w:ascii="標楷體" w:eastAsia="標楷體" w:hAnsi="標楷體" w:hint="eastAsia"/>
          <w:sz w:val="32"/>
          <w:szCs w:val="32"/>
        </w:rPr>
        <w:t>主任委員吳政忠</w:t>
      </w:r>
      <w:r>
        <w:rPr>
          <w:rFonts w:ascii="標楷體" w:eastAsia="標楷體" w:hAnsi="標楷體"/>
          <w:sz w:val="32"/>
          <w:szCs w:val="32"/>
        </w:rPr>
        <w:t>及相關人員即席答</w:t>
      </w:r>
      <w:r>
        <w:rPr>
          <w:rFonts w:ascii="標楷體" w:eastAsia="標楷體" w:hAnsi="標楷體" w:hint="eastAsia"/>
          <w:sz w:val="32"/>
          <w:szCs w:val="32"/>
        </w:rPr>
        <w:t>復</w:t>
      </w:r>
      <w:r w:rsidRPr="008C78CE">
        <w:rPr>
          <w:rFonts w:ascii="標楷體" w:eastAsia="標楷體" w:hAnsi="標楷體"/>
          <w:sz w:val="32"/>
          <w:szCs w:val="32"/>
        </w:rPr>
        <w:t>說明。</w:t>
      </w:r>
      <w:r w:rsidRPr="003776F6">
        <w:rPr>
          <w:rFonts w:ascii="標楷體" w:eastAsia="標楷體" w:hAnsi="標楷體" w:hint="eastAsia"/>
          <w:sz w:val="32"/>
          <w:szCs w:val="32"/>
        </w:rPr>
        <w:t>另有委員</w:t>
      </w:r>
      <w:r>
        <w:rPr>
          <w:rFonts w:ascii="標楷體" w:eastAsia="標楷體" w:hAnsi="標楷體" w:hint="eastAsia"/>
          <w:sz w:val="32"/>
          <w:szCs w:val="32"/>
        </w:rPr>
        <w:t>高金素梅、楊瓊瓔</w:t>
      </w:r>
      <w:r w:rsidRPr="003776F6">
        <w:rPr>
          <w:rFonts w:ascii="標楷體" w:eastAsia="標楷體" w:hAnsi="標楷體" w:hint="eastAsia"/>
          <w:sz w:val="32"/>
          <w:szCs w:val="32"/>
        </w:rPr>
        <w:t>提出書面質詢。</w:t>
      </w:r>
      <w:r w:rsidRPr="008C78CE">
        <w:rPr>
          <w:rFonts w:ascii="標楷體" w:eastAsia="標楷體" w:hAnsi="標楷體"/>
          <w:sz w:val="32"/>
          <w:szCs w:val="32"/>
        </w:rPr>
        <w:t>）</w:t>
      </w:r>
    </w:p>
    <w:p w:rsidR="00B6184F" w:rsidRPr="0000524E" w:rsidRDefault="00B6184F" w:rsidP="00F035E0">
      <w:pPr>
        <w:snapToGrid w:val="0"/>
        <w:spacing w:beforeLines="50" w:before="180" w:line="52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B6184F" w:rsidRPr="0000524E" w:rsidRDefault="00B6184F" w:rsidP="00F035E0">
      <w:pPr>
        <w:snapToGrid w:val="0"/>
        <w:spacing w:beforeLines="50" w:before="180" w:line="52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B6184F" w:rsidRPr="0000524E" w:rsidRDefault="00B6184F" w:rsidP="00F035E0">
      <w:pPr>
        <w:snapToGrid w:val="0"/>
        <w:spacing w:beforeLines="50" w:before="180" w:line="520" w:lineRule="exact"/>
        <w:ind w:left="640" w:hangingChars="200" w:hanging="640"/>
        <w:contextualSpacing/>
        <w:rPr>
          <w:rFonts w:ascii="標楷體" w:eastAsia="標楷體" w:hAnsi="標楷體"/>
          <w:bCs/>
          <w:sz w:val="32"/>
          <w:szCs w:val="32"/>
        </w:rPr>
      </w:pP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B6184F" w:rsidRDefault="00B6184F" w:rsidP="008227EE">
      <w:pPr>
        <w:snapToGrid w:val="0"/>
        <w:spacing w:beforeLines="50" w:before="180" w:line="52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B6184F" w:rsidRDefault="00B6184F" w:rsidP="008227EE">
      <w:pPr>
        <w:snapToGrid w:val="0"/>
        <w:spacing w:beforeLines="50" w:before="180" w:line="520" w:lineRule="exact"/>
        <w:ind w:left="640" w:hangingChars="200" w:hanging="640"/>
        <w:contextualSpacing/>
        <w:rPr>
          <w:rFonts w:ascii="標楷體" w:eastAsia="標楷體" w:hAnsi="標楷體"/>
          <w:spacing w:val="-2"/>
          <w:position w:val="2"/>
          <w:sz w:val="32"/>
          <w:szCs w:val="32"/>
        </w:rPr>
      </w:pPr>
      <w:r>
        <w:rPr>
          <w:rFonts w:ascii="標楷體" w:eastAsia="標楷體" w:hAnsi="標楷體" w:hint="eastAsia"/>
          <w:bCs/>
          <w:sz w:val="32"/>
          <w:szCs w:val="32"/>
        </w:rPr>
        <w:t>四、</w:t>
      </w:r>
      <w:r w:rsidRPr="0036491E">
        <w:rPr>
          <w:rFonts w:ascii="標楷體" w:eastAsia="標楷體" w:hAnsi="標楷體" w:hint="eastAsia"/>
          <w:bCs/>
          <w:sz w:val="32"/>
          <w:szCs w:val="32"/>
        </w:rPr>
        <w:t>11</w:t>
      </w:r>
      <w:r>
        <w:rPr>
          <w:rFonts w:ascii="標楷體" w:eastAsia="標楷體" w:hAnsi="標楷體" w:hint="eastAsia"/>
          <w:bCs/>
          <w:sz w:val="32"/>
          <w:szCs w:val="32"/>
        </w:rPr>
        <w:t>2</w:t>
      </w:r>
      <w:r w:rsidRPr="0036491E">
        <w:rPr>
          <w:rFonts w:ascii="標楷體" w:eastAsia="標楷體" w:hAnsi="標楷體" w:hint="eastAsia"/>
          <w:bCs/>
          <w:sz w:val="32"/>
          <w:szCs w:val="32"/>
        </w:rPr>
        <w:t>年度中央政府總預算案有關國家科學及技術委員會</w:t>
      </w:r>
      <w:r>
        <w:rPr>
          <w:rFonts w:ascii="標楷體" w:eastAsia="標楷體" w:hAnsi="標楷體" w:hint="eastAsia"/>
          <w:bCs/>
          <w:sz w:val="32"/>
          <w:szCs w:val="32"/>
        </w:rPr>
        <w:t>與</w:t>
      </w:r>
      <w:r w:rsidRPr="0036491E">
        <w:rPr>
          <w:rFonts w:ascii="標楷體" w:eastAsia="標楷體" w:hAnsi="標楷體" w:hint="eastAsia"/>
          <w:bCs/>
          <w:sz w:val="32"/>
          <w:szCs w:val="32"/>
        </w:rPr>
        <w:t>所屬</w:t>
      </w:r>
      <w:r w:rsidRPr="0036491E">
        <w:rPr>
          <w:rFonts w:ascii="標楷體" w:eastAsia="標楷體" w:hAnsi="標楷體" w:hint="eastAsia"/>
          <w:bCs/>
          <w:sz w:val="32"/>
          <w:szCs w:val="32"/>
        </w:rPr>
        <w:lastRenderedPageBreak/>
        <w:t>單位預算案、行政院國家科學技術發展基金附屬單位預算案、科學園區管理局作業基金附屬單位預算案及行政法人國家災害防救科技中心預算案，</w:t>
      </w:r>
      <w:r w:rsidRPr="00AB7D5F">
        <w:rPr>
          <w:rFonts w:ascii="標楷體" w:eastAsia="標楷體" w:hAnsi="標楷體" w:hint="eastAsia"/>
          <w:bCs/>
          <w:sz w:val="32"/>
          <w:szCs w:val="32"/>
        </w:rPr>
        <w:t>相關提案請於11月17日下午3時前提出</w:t>
      </w:r>
      <w:r>
        <w:rPr>
          <w:rFonts w:ascii="標楷體" w:eastAsia="標楷體" w:hAnsi="標楷體" w:hint="eastAsia"/>
          <w:bCs/>
          <w:sz w:val="32"/>
          <w:szCs w:val="32"/>
        </w:rPr>
        <w:t>，</w:t>
      </w:r>
      <w:r w:rsidRPr="0036491E">
        <w:rPr>
          <w:rFonts w:ascii="標楷體" w:eastAsia="標楷體" w:hAnsi="標楷體" w:hint="eastAsia"/>
          <w:bCs/>
          <w:sz w:val="32"/>
          <w:szCs w:val="32"/>
        </w:rPr>
        <w:t>另定</w:t>
      </w:r>
      <w:r>
        <w:rPr>
          <w:rFonts w:ascii="標楷體" w:eastAsia="標楷體" w:hAnsi="標楷體" w:hint="eastAsia"/>
          <w:bCs/>
          <w:sz w:val="32"/>
          <w:szCs w:val="32"/>
        </w:rPr>
        <w:t>期</w:t>
      </w:r>
      <w:r w:rsidRPr="0036491E">
        <w:rPr>
          <w:rFonts w:ascii="標楷體" w:eastAsia="標楷體" w:hAnsi="標楷體" w:hint="eastAsia"/>
          <w:bCs/>
          <w:sz w:val="32"/>
          <w:szCs w:val="32"/>
        </w:rPr>
        <w:t>繼續審查。</w:t>
      </w:r>
    </w:p>
    <w:p w:rsidR="00B6184F" w:rsidRPr="00121576" w:rsidRDefault="00B6184F" w:rsidP="00F035E0">
      <w:pPr>
        <w:snapToGrid w:val="0"/>
        <w:spacing w:beforeLines="50" w:before="180" w:line="460" w:lineRule="exact"/>
        <w:ind w:rightChars="9" w:right="22"/>
        <w:jc w:val="both"/>
        <w:rPr>
          <w:rFonts w:ascii="標楷體" w:eastAsia="標楷體" w:hAnsi="標楷體"/>
          <w:b/>
          <w:bCs/>
          <w:sz w:val="32"/>
          <w:szCs w:val="32"/>
        </w:rPr>
      </w:pPr>
      <w:r>
        <w:rPr>
          <w:rFonts w:ascii="標楷體" w:eastAsia="標楷體" w:hAnsi="標楷體" w:hint="eastAsia"/>
          <w:spacing w:val="-2"/>
          <w:position w:val="2"/>
          <w:sz w:val="32"/>
          <w:szCs w:val="32"/>
        </w:rPr>
        <w:t>（</w:t>
      </w:r>
      <w:r>
        <w:rPr>
          <w:rFonts w:ascii="標楷體" w:eastAsia="標楷體" w:hAnsi="標楷體"/>
          <w:spacing w:val="-2"/>
          <w:position w:val="2"/>
          <w:sz w:val="32"/>
          <w:szCs w:val="32"/>
        </w:rPr>
        <w:t>1</w:t>
      </w:r>
      <w:r>
        <w:rPr>
          <w:rFonts w:ascii="標楷體" w:eastAsia="標楷體" w:hAnsi="標楷體" w:hint="eastAsia"/>
          <w:spacing w:val="-2"/>
          <w:position w:val="2"/>
          <w:sz w:val="32"/>
          <w:szCs w:val="32"/>
        </w:rPr>
        <w:t>1</w:t>
      </w:r>
      <w:r w:rsidRPr="00121576">
        <w:rPr>
          <w:rFonts w:ascii="標楷體" w:eastAsia="標楷體" w:hAnsi="標楷體" w:hint="eastAsia"/>
          <w:spacing w:val="-2"/>
          <w:position w:val="2"/>
          <w:sz w:val="32"/>
          <w:szCs w:val="32"/>
        </w:rPr>
        <w:t>月</w:t>
      </w:r>
      <w:r>
        <w:rPr>
          <w:rFonts w:ascii="標楷體" w:eastAsia="標楷體" w:hAnsi="標楷體"/>
          <w:spacing w:val="-2"/>
          <w:position w:val="2"/>
          <w:sz w:val="32"/>
          <w:szCs w:val="32"/>
        </w:rPr>
        <w:t>10</w:t>
      </w:r>
      <w:r w:rsidRPr="00121576">
        <w:rPr>
          <w:rFonts w:ascii="標楷體" w:eastAsia="標楷體" w:hAnsi="標楷體" w:hint="eastAsia"/>
          <w:spacing w:val="-2"/>
          <w:position w:val="2"/>
          <w:sz w:val="32"/>
          <w:szCs w:val="32"/>
        </w:rPr>
        <w:t>日</w:t>
      </w:r>
      <w:r>
        <w:rPr>
          <w:rFonts w:ascii="標楷體" w:eastAsia="標楷體" w:hAnsi="標楷體" w:hint="eastAsia"/>
          <w:spacing w:val="-2"/>
          <w:position w:val="2"/>
          <w:sz w:val="32"/>
          <w:szCs w:val="32"/>
        </w:rPr>
        <w:t>）</w:t>
      </w:r>
    </w:p>
    <w:p w:rsidR="00B6184F" w:rsidRPr="0021150E" w:rsidRDefault="00B6184F" w:rsidP="00F035E0">
      <w:pPr>
        <w:snapToGrid w:val="0"/>
        <w:spacing w:before="120" w:afterLines="50" w:after="180" w:line="460" w:lineRule="exact"/>
        <w:rPr>
          <w:rFonts w:ascii="標楷體" w:eastAsia="標楷體" w:hAnsi="標楷體"/>
          <w:b/>
          <w:sz w:val="32"/>
          <w:szCs w:val="32"/>
        </w:rPr>
      </w:pPr>
      <w:r w:rsidRPr="0021150E">
        <w:rPr>
          <w:rFonts w:ascii="標楷體" w:eastAsia="標楷體" w:hAnsi="標楷體" w:hint="eastAsia"/>
          <w:b/>
          <w:sz w:val="32"/>
          <w:szCs w:val="32"/>
        </w:rPr>
        <w:t>討  論  事  項</w:t>
      </w:r>
    </w:p>
    <w:p w:rsidR="00B6184F" w:rsidRPr="0036491E" w:rsidRDefault="00B6184F" w:rsidP="006934DD">
      <w:pPr>
        <w:widowControl/>
        <w:numPr>
          <w:ilvl w:val="0"/>
          <w:numId w:val="32"/>
        </w:numPr>
        <w:snapToGrid w:val="0"/>
        <w:spacing w:before="120"/>
        <w:jc w:val="both"/>
        <w:rPr>
          <w:rFonts w:ascii="標楷體" w:eastAsia="標楷體" w:hAnsi="標楷體" w:cs="新細明體"/>
          <w:b/>
          <w:bCs/>
          <w:kern w:val="0"/>
          <w:sz w:val="32"/>
          <w:szCs w:val="32"/>
        </w:rPr>
      </w:pPr>
      <w:r w:rsidRPr="0036491E">
        <w:rPr>
          <w:rFonts w:ascii="標楷體" w:eastAsia="標楷體" w:hAnsi="標楷體" w:cs="新細明體" w:hint="eastAsia"/>
          <w:b/>
          <w:bCs/>
          <w:kern w:val="0"/>
          <w:sz w:val="32"/>
          <w:szCs w:val="32"/>
        </w:rPr>
        <w:t>審查112年度中央政府總預算案有關文化部及所屬單位預算案。</w:t>
      </w:r>
    </w:p>
    <w:p w:rsidR="00B6184F" w:rsidRPr="0036491E" w:rsidRDefault="00B6184F" w:rsidP="006934DD">
      <w:pPr>
        <w:widowControl/>
        <w:numPr>
          <w:ilvl w:val="0"/>
          <w:numId w:val="32"/>
        </w:numPr>
        <w:snapToGrid w:val="0"/>
        <w:spacing w:before="120"/>
        <w:jc w:val="both"/>
        <w:rPr>
          <w:rFonts w:ascii="標楷體" w:eastAsia="標楷體" w:hAnsi="標楷體" w:cs="新細明體"/>
          <w:b/>
          <w:bCs/>
          <w:kern w:val="0"/>
          <w:sz w:val="32"/>
          <w:szCs w:val="32"/>
        </w:rPr>
      </w:pPr>
      <w:r w:rsidRPr="0036491E">
        <w:rPr>
          <w:rFonts w:ascii="標楷體" w:eastAsia="標楷體" w:hAnsi="標楷體" w:cs="新細明體" w:hint="eastAsia"/>
          <w:b/>
          <w:bCs/>
          <w:kern w:val="0"/>
          <w:sz w:val="32"/>
          <w:szCs w:val="32"/>
        </w:rPr>
        <w:t>審查112年度中央政府總預算案有關文化部主管國立文化機構作業基金附屬單位預算案。</w:t>
      </w:r>
    </w:p>
    <w:p w:rsidR="00B6184F" w:rsidRPr="0036491E" w:rsidRDefault="00B6184F" w:rsidP="006934DD">
      <w:pPr>
        <w:widowControl/>
        <w:numPr>
          <w:ilvl w:val="0"/>
          <w:numId w:val="32"/>
        </w:numPr>
        <w:snapToGrid w:val="0"/>
        <w:spacing w:before="120"/>
        <w:jc w:val="both"/>
        <w:rPr>
          <w:rFonts w:ascii="標楷體" w:eastAsia="標楷體" w:hAnsi="標楷體" w:cs="新細明體"/>
          <w:b/>
          <w:bCs/>
          <w:kern w:val="0"/>
          <w:sz w:val="32"/>
          <w:szCs w:val="32"/>
        </w:rPr>
      </w:pPr>
      <w:r w:rsidRPr="0036491E">
        <w:rPr>
          <w:rFonts w:ascii="標楷體" w:eastAsia="標楷體" w:hAnsi="標楷體" w:cs="新細明體" w:hint="eastAsia"/>
          <w:b/>
          <w:bCs/>
          <w:kern w:val="0"/>
          <w:sz w:val="32"/>
          <w:szCs w:val="32"/>
        </w:rPr>
        <w:t>審查112年度中央政府總預算案有關文化部主管文化發展基金附屬單位預算案。</w:t>
      </w:r>
    </w:p>
    <w:p w:rsidR="00B6184F" w:rsidRPr="0036491E" w:rsidRDefault="00B6184F" w:rsidP="006934DD">
      <w:pPr>
        <w:widowControl/>
        <w:numPr>
          <w:ilvl w:val="0"/>
          <w:numId w:val="32"/>
        </w:numPr>
        <w:snapToGrid w:val="0"/>
        <w:spacing w:before="120"/>
        <w:jc w:val="both"/>
        <w:rPr>
          <w:rFonts w:ascii="標楷體" w:eastAsia="標楷體" w:hAnsi="標楷體" w:cs="新細明體"/>
          <w:b/>
          <w:bCs/>
          <w:kern w:val="0"/>
          <w:sz w:val="32"/>
          <w:szCs w:val="32"/>
        </w:rPr>
      </w:pPr>
      <w:r w:rsidRPr="0036491E">
        <w:rPr>
          <w:rFonts w:ascii="標楷體" w:eastAsia="標楷體" w:hAnsi="標楷體" w:cs="新細明體" w:hint="eastAsia"/>
          <w:b/>
          <w:bCs/>
          <w:kern w:val="0"/>
          <w:sz w:val="32"/>
          <w:szCs w:val="32"/>
        </w:rPr>
        <w:t>審查112年度行政法人國家表演藝術中心、文化內容策進院、國家電影及視聽文化中心預算案。</w:t>
      </w:r>
    </w:p>
    <w:p w:rsidR="00B6184F" w:rsidRPr="00FC4850" w:rsidRDefault="00B6184F" w:rsidP="00F035E0">
      <w:pPr>
        <w:widowControl/>
        <w:snapToGrid w:val="0"/>
        <w:spacing w:before="120"/>
        <w:jc w:val="both"/>
        <w:rPr>
          <w:rFonts w:ascii="標楷體" w:eastAsia="標楷體" w:hAnsi="標楷體" w:cs="新細明體"/>
          <w:bCs/>
          <w:kern w:val="0"/>
          <w:sz w:val="32"/>
          <w:szCs w:val="32"/>
        </w:rPr>
      </w:pPr>
      <w:r w:rsidRPr="00FC4850">
        <w:rPr>
          <w:rFonts w:ascii="標楷體" w:eastAsia="標楷體" w:hAnsi="標楷體" w:cs="新細明體" w:hint="eastAsia"/>
          <w:bCs/>
          <w:kern w:val="0"/>
          <w:sz w:val="32"/>
          <w:szCs w:val="32"/>
        </w:rPr>
        <w:t>（僅進行詢答）</w:t>
      </w:r>
    </w:p>
    <w:p w:rsidR="00B6184F" w:rsidRDefault="00B6184F" w:rsidP="00F035E0">
      <w:pPr>
        <w:pStyle w:val="a4"/>
        <w:snapToGrid w:val="0"/>
        <w:spacing w:before="120" w:line="500" w:lineRule="exact"/>
        <w:ind w:leftChars="0" w:left="0"/>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日</w:t>
      </w:r>
      <w:r w:rsidRPr="008C78CE">
        <w:rPr>
          <w:rFonts w:ascii="標楷體" w:eastAsia="標楷體" w:hAnsi="標楷體"/>
          <w:sz w:val="32"/>
          <w:szCs w:val="32"/>
        </w:rPr>
        <w:t>議程</w:t>
      </w:r>
      <w:r>
        <w:rPr>
          <w:rFonts w:ascii="標楷體" w:eastAsia="標楷體" w:hAnsi="標楷體" w:hint="eastAsia"/>
          <w:sz w:val="32"/>
          <w:szCs w:val="32"/>
        </w:rPr>
        <w:t>採綜合詢答，</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97100E">
        <w:rPr>
          <w:rFonts w:ascii="標楷體" w:eastAsia="標楷體" w:hAnsi="標楷體" w:hint="eastAsia"/>
          <w:sz w:val="32"/>
          <w:szCs w:val="32"/>
        </w:rPr>
        <w:t>萬美玲、</w:t>
      </w:r>
      <w:r>
        <w:rPr>
          <w:rFonts w:ascii="標楷體" w:eastAsia="標楷體" w:hAnsi="標楷體" w:hint="eastAsia"/>
          <w:sz w:val="32"/>
          <w:szCs w:val="32"/>
        </w:rPr>
        <w:t>吳怡玎、</w:t>
      </w:r>
      <w:r w:rsidRPr="00130CA5">
        <w:rPr>
          <w:rFonts w:ascii="標楷體" w:eastAsia="標楷體" w:hAnsi="標楷體" w:hint="eastAsia"/>
          <w:sz w:val="32"/>
          <w:szCs w:val="32"/>
        </w:rPr>
        <w:t>林奕華、黃國書、</w:t>
      </w:r>
      <w:r w:rsidRPr="001A65A0">
        <w:rPr>
          <w:rFonts w:ascii="標楷體" w:eastAsia="標楷體" w:hAnsi="標楷體" w:hint="eastAsia"/>
          <w:sz w:val="32"/>
          <w:szCs w:val="32"/>
        </w:rPr>
        <w:t>林宜瑾、</w:t>
      </w:r>
      <w:r w:rsidRPr="000A32BB">
        <w:rPr>
          <w:rFonts w:ascii="標楷體" w:eastAsia="標楷體" w:hAnsi="標楷體" w:hint="eastAsia"/>
          <w:sz w:val="32"/>
          <w:szCs w:val="32"/>
        </w:rPr>
        <w:t>王婉諭、</w:t>
      </w:r>
      <w:r w:rsidRPr="008808BE">
        <w:rPr>
          <w:rFonts w:ascii="標楷體" w:eastAsia="標楷體" w:hAnsi="標楷體" w:hint="eastAsia"/>
          <w:sz w:val="32"/>
          <w:szCs w:val="32"/>
        </w:rPr>
        <w:t>鄭正鈐、</w:t>
      </w:r>
      <w:r>
        <w:rPr>
          <w:rFonts w:ascii="標楷體" w:eastAsia="標楷體" w:hAnsi="標楷體" w:hint="eastAsia"/>
          <w:sz w:val="32"/>
          <w:szCs w:val="32"/>
        </w:rPr>
        <w:t>何欣純、</w:t>
      </w:r>
      <w:r w:rsidRPr="008808BE">
        <w:rPr>
          <w:rFonts w:ascii="標楷體" w:eastAsia="標楷體" w:hAnsi="標楷體" w:hint="eastAsia"/>
          <w:sz w:val="32"/>
          <w:szCs w:val="32"/>
        </w:rPr>
        <w:t>范雲、</w:t>
      </w:r>
      <w:r w:rsidRPr="00130CA5">
        <w:rPr>
          <w:rFonts w:ascii="標楷體" w:eastAsia="標楷體" w:hAnsi="標楷體" w:hint="eastAsia"/>
          <w:sz w:val="32"/>
          <w:szCs w:val="32"/>
        </w:rPr>
        <w:t>吳思瑤、</w:t>
      </w:r>
      <w:r w:rsidRPr="00F6758C">
        <w:rPr>
          <w:rFonts w:ascii="標楷體" w:eastAsia="標楷體" w:hAnsi="標楷體" w:hint="eastAsia"/>
          <w:sz w:val="32"/>
          <w:szCs w:val="32"/>
        </w:rPr>
        <w:t>陳秀寳</w:t>
      </w:r>
      <w:r>
        <w:rPr>
          <w:rFonts w:ascii="標楷體" w:eastAsia="標楷體" w:hAnsi="標楷體" w:hint="eastAsia"/>
          <w:sz w:val="32"/>
          <w:szCs w:val="32"/>
        </w:rPr>
        <w:t>(視訊)</w:t>
      </w:r>
      <w:r w:rsidRPr="00F6758C">
        <w:rPr>
          <w:rFonts w:ascii="標楷體" w:eastAsia="標楷體" w:hAnsi="標楷體" w:hint="eastAsia"/>
          <w:sz w:val="32"/>
          <w:szCs w:val="32"/>
        </w:rPr>
        <w:t>、</w:t>
      </w:r>
      <w:r w:rsidRPr="008808BE">
        <w:rPr>
          <w:rFonts w:ascii="標楷體" w:eastAsia="標楷體" w:hAnsi="標楷體" w:hint="eastAsia"/>
          <w:sz w:val="32"/>
          <w:szCs w:val="32"/>
        </w:rPr>
        <w:t>張廖萬堅、賴品妤、</w:t>
      </w:r>
      <w:r>
        <w:rPr>
          <w:rFonts w:ascii="標楷體" w:eastAsia="標楷體" w:hAnsi="標楷體" w:hint="eastAsia"/>
          <w:sz w:val="32"/>
          <w:szCs w:val="32"/>
        </w:rPr>
        <w:t>陳椒華、游毓蘭、邱顯智等</w:t>
      </w:r>
      <w:r>
        <w:rPr>
          <w:rFonts w:ascii="標楷體" w:eastAsia="標楷體" w:hAnsi="標楷體"/>
          <w:sz w:val="32"/>
          <w:szCs w:val="32"/>
        </w:rPr>
        <w:t>16</w:t>
      </w:r>
      <w:r w:rsidRPr="008C78CE">
        <w:rPr>
          <w:rFonts w:ascii="標楷體" w:eastAsia="標楷體" w:hAnsi="標楷體"/>
          <w:sz w:val="32"/>
          <w:szCs w:val="32"/>
        </w:rPr>
        <w:t>人提出質詢，均</w:t>
      </w:r>
      <w:r w:rsidRPr="00891366">
        <w:rPr>
          <w:rFonts w:ascii="標楷體" w:eastAsia="標楷體" w:hAnsi="標楷體"/>
          <w:sz w:val="32"/>
          <w:szCs w:val="32"/>
        </w:rPr>
        <w:t>經</w:t>
      </w:r>
      <w:r>
        <w:rPr>
          <w:rFonts w:ascii="標楷體" w:eastAsia="標楷體" w:hAnsi="標楷體" w:hint="eastAsia"/>
          <w:sz w:val="32"/>
          <w:szCs w:val="32"/>
        </w:rPr>
        <w:t>文化部部長李永得</w:t>
      </w:r>
      <w:r w:rsidRPr="008C78CE">
        <w:rPr>
          <w:rFonts w:ascii="標楷體" w:eastAsia="標楷體" w:hAnsi="標楷體"/>
          <w:sz w:val="32"/>
          <w:szCs w:val="32"/>
        </w:rPr>
        <w:t>及相關人員即席答復說明。</w:t>
      </w:r>
      <w:r>
        <w:rPr>
          <w:rFonts w:ascii="標楷體" w:eastAsia="標楷體" w:hAnsi="標楷體" w:hint="eastAsia"/>
          <w:sz w:val="32"/>
          <w:szCs w:val="32"/>
        </w:rPr>
        <w:t>另有委員高金素梅、楊瓊瓔、陳明文提出書面質詢。</w:t>
      </w:r>
      <w:r w:rsidRPr="008C78CE">
        <w:rPr>
          <w:rFonts w:ascii="標楷體" w:eastAsia="標楷體" w:hAnsi="標楷體"/>
          <w:sz w:val="32"/>
          <w:szCs w:val="32"/>
        </w:rPr>
        <w:t>）</w:t>
      </w:r>
    </w:p>
    <w:p w:rsidR="00B6184F" w:rsidRPr="0000524E" w:rsidRDefault="00B6184F" w:rsidP="00F035E0">
      <w:pPr>
        <w:snapToGrid w:val="0"/>
        <w:spacing w:beforeLines="50" w:before="18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B6184F" w:rsidRPr="0000524E" w:rsidRDefault="00B6184F" w:rsidP="00F035E0">
      <w:pPr>
        <w:snapToGrid w:val="0"/>
        <w:spacing w:beforeLines="50" w:before="180" w:line="52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B6184F" w:rsidRPr="0000524E" w:rsidRDefault="00B6184F" w:rsidP="00F035E0">
      <w:pPr>
        <w:snapToGrid w:val="0"/>
        <w:spacing w:beforeLines="50" w:before="180" w:line="520" w:lineRule="exact"/>
        <w:ind w:left="640" w:hangingChars="200" w:hanging="640"/>
        <w:contextualSpacing/>
        <w:rPr>
          <w:rFonts w:ascii="標楷體" w:eastAsia="標楷體" w:hAnsi="標楷體"/>
          <w:bCs/>
          <w:sz w:val="32"/>
          <w:szCs w:val="32"/>
        </w:rPr>
      </w:pP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B6184F" w:rsidRDefault="00B6184F" w:rsidP="008227EE">
      <w:pPr>
        <w:snapToGrid w:val="0"/>
        <w:spacing w:beforeLines="50" w:before="180" w:line="52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B6184F" w:rsidRPr="00011F80" w:rsidRDefault="00B6184F" w:rsidP="008227EE">
      <w:pPr>
        <w:snapToGrid w:val="0"/>
        <w:spacing w:beforeLines="50" w:before="180" w:after="240" w:line="520" w:lineRule="exact"/>
        <w:ind w:leftChars="1" w:left="642"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四、</w:t>
      </w:r>
      <w:r w:rsidRPr="00270AD1">
        <w:rPr>
          <w:rFonts w:ascii="標楷體" w:eastAsia="標楷體" w:hAnsi="標楷體" w:hint="eastAsia"/>
          <w:bCs/>
          <w:sz w:val="32"/>
          <w:szCs w:val="32"/>
        </w:rPr>
        <w:t>11</w:t>
      </w:r>
      <w:r>
        <w:rPr>
          <w:rFonts w:ascii="標楷體" w:eastAsia="標楷體" w:hAnsi="標楷體" w:hint="eastAsia"/>
          <w:bCs/>
          <w:sz w:val="32"/>
          <w:szCs w:val="32"/>
        </w:rPr>
        <w:t>2</w:t>
      </w:r>
      <w:r w:rsidRPr="00270AD1">
        <w:rPr>
          <w:rFonts w:ascii="標楷體" w:eastAsia="標楷體" w:hAnsi="標楷體" w:hint="eastAsia"/>
          <w:bCs/>
          <w:sz w:val="32"/>
          <w:szCs w:val="32"/>
        </w:rPr>
        <w:t>年度</w:t>
      </w:r>
      <w:r w:rsidRPr="00CD1F68">
        <w:rPr>
          <w:rFonts w:ascii="標楷體" w:eastAsia="標楷體" w:hAnsi="標楷體" w:hint="eastAsia"/>
          <w:bCs/>
          <w:sz w:val="32"/>
          <w:szCs w:val="32"/>
        </w:rPr>
        <w:t>中央政府總預算案有關文化部及所屬單位預算案、國立文化機構作業基金附屬單位預算案、</w:t>
      </w:r>
      <w:r>
        <w:rPr>
          <w:rFonts w:ascii="標楷體" w:eastAsia="標楷體" w:hAnsi="標楷體" w:hint="eastAsia"/>
          <w:bCs/>
          <w:sz w:val="32"/>
          <w:szCs w:val="32"/>
        </w:rPr>
        <w:t>文化發展基金附屬單位預算案、</w:t>
      </w:r>
      <w:r w:rsidRPr="00CD1F68">
        <w:rPr>
          <w:rFonts w:ascii="標楷體" w:eastAsia="標楷體" w:hAnsi="標楷體" w:hint="eastAsia"/>
          <w:bCs/>
          <w:sz w:val="32"/>
          <w:szCs w:val="32"/>
        </w:rPr>
        <w:t>行政法人國家表演藝術中心、文化內容策進院、國家</w:t>
      </w:r>
      <w:r w:rsidRPr="00CD1F68">
        <w:rPr>
          <w:rFonts w:ascii="標楷體" w:eastAsia="標楷體" w:hAnsi="標楷體" w:hint="eastAsia"/>
          <w:bCs/>
          <w:sz w:val="32"/>
          <w:szCs w:val="32"/>
        </w:rPr>
        <w:lastRenderedPageBreak/>
        <w:t>電影及視聽文化中心預算案，</w:t>
      </w:r>
      <w:r w:rsidRPr="000A3E70">
        <w:rPr>
          <w:rFonts w:ascii="標楷體" w:eastAsia="標楷體" w:hAnsi="標楷體" w:hint="eastAsia"/>
          <w:bCs/>
          <w:sz w:val="32"/>
          <w:szCs w:val="32"/>
        </w:rPr>
        <w:t>相關提案請於11月24日下午3時前提出</w:t>
      </w:r>
      <w:r>
        <w:rPr>
          <w:rFonts w:ascii="標楷體" w:eastAsia="標楷體" w:hAnsi="標楷體" w:hint="eastAsia"/>
          <w:bCs/>
          <w:sz w:val="32"/>
          <w:szCs w:val="32"/>
        </w:rPr>
        <w:t>，</w:t>
      </w:r>
      <w:r w:rsidRPr="00CD1F68">
        <w:rPr>
          <w:rFonts w:ascii="標楷體" w:eastAsia="標楷體" w:hAnsi="標楷體" w:hint="eastAsia"/>
          <w:bCs/>
          <w:sz w:val="32"/>
          <w:szCs w:val="32"/>
        </w:rPr>
        <w:t>另定期繼續審查。</w:t>
      </w:r>
    </w:p>
    <w:p w:rsidR="00B6184F" w:rsidRDefault="00B6184F" w:rsidP="00F035E0">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B6184F" w:rsidRDefault="00B6184F">
      <w:pPr>
        <w:widowControl/>
        <w:rPr>
          <w:rFonts w:ascii="標楷體" w:eastAsia="標楷體" w:hAnsi="標楷體"/>
          <w:b/>
          <w:bCs/>
          <w:sz w:val="32"/>
          <w:szCs w:val="32"/>
        </w:rPr>
      </w:pPr>
      <w:bookmarkStart w:id="164" w:name="會辦單位"/>
      <w:bookmarkEnd w:id="164"/>
      <w:r>
        <w:rPr>
          <w:rFonts w:ascii="標楷體" w:eastAsia="標楷體" w:hAnsi="標楷體"/>
          <w:b/>
          <w:bCs/>
          <w:sz w:val="32"/>
          <w:szCs w:val="32"/>
        </w:rPr>
        <w:br w:type="page"/>
      </w:r>
    </w:p>
    <w:p w:rsidR="00B6184F" w:rsidRPr="00D92739" w:rsidRDefault="00B6184F" w:rsidP="00B6184F">
      <w:pPr>
        <w:pStyle w:val="01-45"/>
        <w:rPr>
          <w:position w:val="2"/>
        </w:rPr>
      </w:pPr>
      <w:bookmarkStart w:id="165" w:name="_Toc126068181"/>
      <w:r w:rsidRPr="00D92739">
        <w:rPr>
          <w:rFonts w:hint="eastAsia"/>
        </w:rPr>
        <w:lastRenderedPageBreak/>
        <w:t>立法院第</w:t>
      </w:r>
      <w:r>
        <w:rPr>
          <w:rFonts w:hint="eastAsia"/>
        </w:rPr>
        <w:t>10</w:t>
      </w:r>
      <w:r w:rsidRPr="00D92739">
        <w:rPr>
          <w:rFonts w:hint="eastAsia"/>
        </w:rPr>
        <w:t>屆第</w:t>
      </w:r>
      <w:r>
        <w:rPr>
          <w:rFonts w:hint="eastAsia"/>
        </w:rPr>
        <w:t>6</w:t>
      </w:r>
      <w:r w:rsidRPr="00D92739">
        <w:rPr>
          <w:rFonts w:hint="eastAsia"/>
        </w:rPr>
        <w:t>會期教育及文化委員會第</w:t>
      </w:r>
      <w:r>
        <w:rPr>
          <w:rFonts w:hint="eastAsia"/>
        </w:rPr>
        <w:t>8</w:t>
      </w:r>
      <w:r w:rsidRPr="00D92739">
        <w:rPr>
          <w:rFonts w:hint="eastAsia"/>
        </w:rPr>
        <w:t>次全體委員會議議事錄</w:t>
      </w:r>
      <w:bookmarkEnd w:id="165"/>
    </w:p>
    <w:p w:rsidR="00B6184F" w:rsidRDefault="00B6184F" w:rsidP="00F035E0">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8227EE">
        <w:rPr>
          <w:rFonts w:ascii="標楷體" w:eastAsia="標楷體" w:hAnsi="標楷體"/>
          <w:kern w:val="0"/>
          <w:sz w:val="32"/>
          <w:szCs w:val="32"/>
          <w:fitText w:val="1600" w:id="-1323544576"/>
        </w:rPr>
        <w:t>時    間：</w:t>
      </w:r>
      <w:r w:rsidRPr="00214CF8">
        <w:rPr>
          <w:rFonts w:ascii="標楷體" w:eastAsia="標楷體" w:hAnsi="標楷體" w:hint="eastAsia"/>
          <w:spacing w:val="-32"/>
          <w:kern w:val="0"/>
          <w:sz w:val="32"/>
          <w:szCs w:val="32"/>
        </w:rPr>
        <w:t>中華民國</w:t>
      </w:r>
      <w:r>
        <w:rPr>
          <w:rFonts w:ascii="標楷體" w:eastAsia="標楷體" w:hAnsi="標楷體"/>
          <w:spacing w:val="-32"/>
          <w:kern w:val="0"/>
          <w:sz w:val="32"/>
          <w:szCs w:val="32"/>
        </w:rPr>
        <w:t>111</w:t>
      </w:r>
      <w:r w:rsidRPr="00214CF8">
        <w:rPr>
          <w:rFonts w:ascii="標楷體" w:eastAsia="標楷體" w:hAnsi="標楷體" w:hint="eastAsia"/>
          <w:spacing w:val="-32"/>
          <w:kern w:val="0"/>
          <w:sz w:val="32"/>
          <w:szCs w:val="32"/>
        </w:rPr>
        <w:t>年</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w:t>
      </w:r>
      <w:r w:rsidRPr="00214CF8">
        <w:rPr>
          <w:rFonts w:ascii="標楷體" w:eastAsia="標楷體" w:hAnsi="標楷體" w:hint="eastAsia"/>
          <w:spacing w:val="-32"/>
          <w:kern w:val="0"/>
          <w:sz w:val="32"/>
          <w:szCs w:val="32"/>
        </w:rPr>
        <w:t>月</w:t>
      </w:r>
      <w:r>
        <w:rPr>
          <w:rFonts w:ascii="標楷體" w:eastAsia="標楷體" w:hAnsi="標楷體"/>
          <w:spacing w:val="-32"/>
          <w:kern w:val="0"/>
          <w:sz w:val="32"/>
          <w:szCs w:val="32"/>
        </w:rPr>
        <w:t>16</w:t>
      </w:r>
      <w:r>
        <w:rPr>
          <w:rFonts w:ascii="標楷體" w:eastAsia="標楷體" w:hAnsi="標楷體" w:hint="eastAsia"/>
          <w:spacing w:val="-32"/>
          <w:kern w:val="0"/>
          <w:sz w:val="32"/>
          <w:szCs w:val="32"/>
        </w:rPr>
        <w:t>日（星期三</w:t>
      </w:r>
      <w:r w:rsidRPr="00214CF8">
        <w:rPr>
          <w:rFonts w:ascii="標楷體" w:eastAsia="標楷體" w:hAnsi="標楷體" w:hint="eastAsia"/>
          <w:spacing w:val="-32"/>
          <w:kern w:val="0"/>
          <w:sz w:val="32"/>
          <w:szCs w:val="32"/>
        </w:rPr>
        <w:t>）上午9時至</w:t>
      </w:r>
      <w:r>
        <w:rPr>
          <w:rFonts w:ascii="標楷體" w:eastAsia="標楷體" w:hAnsi="標楷體" w:hint="eastAsia"/>
          <w:spacing w:val="-32"/>
          <w:kern w:val="0"/>
          <w:sz w:val="32"/>
          <w:szCs w:val="32"/>
        </w:rPr>
        <w:t>12</w:t>
      </w:r>
      <w:r w:rsidRPr="00214CF8">
        <w:rPr>
          <w:rFonts w:ascii="標楷體" w:eastAsia="標楷體" w:hAnsi="標楷體" w:hint="eastAsia"/>
          <w:spacing w:val="-32"/>
          <w:kern w:val="0"/>
          <w:sz w:val="32"/>
          <w:szCs w:val="32"/>
        </w:rPr>
        <w:t>時</w:t>
      </w:r>
      <w:r>
        <w:rPr>
          <w:rFonts w:ascii="標楷體" w:eastAsia="標楷體" w:hAnsi="標楷體"/>
          <w:spacing w:val="-32"/>
          <w:kern w:val="0"/>
          <w:sz w:val="32"/>
          <w:szCs w:val="32"/>
        </w:rPr>
        <w:t>11</w:t>
      </w:r>
      <w:r w:rsidRPr="00214CF8">
        <w:rPr>
          <w:rFonts w:ascii="標楷體" w:eastAsia="標楷體" w:hAnsi="標楷體" w:hint="eastAsia"/>
          <w:spacing w:val="-32"/>
          <w:kern w:val="0"/>
          <w:sz w:val="32"/>
          <w:szCs w:val="32"/>
        </w:rPr>
        <w:t>分</w:t>
      </w:r>
    </w:p>
    <w:p w:rsidR="00B6184F" w:rsidRDefault="00B6184F" w:rsidP="00F035E0">
      <w:pPr>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B6184F" w:rsidRDefault="00B6184F" w:rsidP="00F035E0">
      <w:pPr>
        <w:snapToGrid w:val="0"/>
        <w:spacing w:line="48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：王婉諭  何欣純  陳秀寳</w:t>
      </w:r>
      <w:r w:rsidRPr="00201F2C">
        <w:rPr>
          <w:rFonts w:ascii="標楷體" w:eastAsia="標楷體" w:hAnsi="標楷體" w:hint="eastAsia"/>
          <w:sz w:val="32"/>
          <w:szCs w:val="32"/>
        </w:rPr>
        <w:t xml:space="preserve">  </w:t>
      </w:r>
      <w:r>
        <w:rPr>
          <w:rFonts w:ascii="標楷體" w:eastAsia="標楷體" w:hAnsi="標楷體" w:hint="eastAsia"/>
          <w:sz w:val="32"/>
          <w:szCs w:val="32"/>
        </w:rPr>
        <w:t xml:space="preserve">黃國書  萬美玲  </w:t>
      </w:r>
      <w:r w:rsidRPr="00201F2C">
        <w:rPr>
          <w:rFonts w:ascii="標楷體" w:eastAsia="標楷體" w:hAnsi="標楷體" w:hint="eastAsia"/>
          <w:sz w:val="32"/>
          <w:szCs w:val="32"/>
        </w:rPr>
        <w:t>張廖萬堅</w:t>
      </w:r>
    </w:p>
    <w:p w:rsidR="00B6184F" w:rsidRDefault="00B6184F" w:rsidP="00F035E0">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林宜瑾  賴品妤  鄭正鈐  吳思瑤  林奕華  范  雲</w:t>
      </w:r>
    </w:p>
    <w:p w:rsidR="00B6184F" w:rsidRDefault="00B6184F" w:rsidP="00F035E0">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吳怡玎  高金素梅</w:t>
      </w:r>
    </w:p>
    <w:p w:rsidR="00B6184F" w:rsidRDefault="00B6184F" w:rsidP="00F035E0">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委員出席14</w:t>
      </w:r>
      <w:r w:rsidRPr="008C78CE">
        <w:rPr>
          <w:rFonts w:ascii="標楷體" w:eastAsia="標楷體" w:hAnsi="標楷體" w:hint="eastAsia"/>
          <w:sz w:val="32"/>
          <w:szCs w:val="32"/>
        </w:rPr>
        <w:t>人</w:t>
      </w:r>
    </w:p>
    <w:p w:rsidR="00B6184F" w:rsidRDefault="00B6184F" w:rsidP="00F035E0">
      <w:pPr>
        <w:snapToGrid w:val="0"/>
        <w:spacing w:line="48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林德福  李貴敏  游毓蘭  鍾佳濱  李德維  張其祿</w:t>
      </w:r>
    </w:p>
    <w:p w:rsidR="00B6184F" w:rsidRDefault="00B6184F" w:rsidP="00F035E0">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羅明才  謝衣鳯  高嘉瑜  邱顯智  陳椒華  孔文吉</w:t>
      </w:r>
    </w:p>
    <w:p w:rsidR="00B6184F" w:rsidRDefault="00B6184F" w:rsidP="00F035E0">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w:t>
      </w:r>
      <w:r w:rsidRPr="002D69C7">
        <w:rPr>
          <w:rFonts w:ascii="標楷體" w:eastAsia="標楷體" w:hAnsi="標楷體" w:hint="eastAsia"/>
          <w:sz w:val="32"/>
          <w:szCs w:val="32"/>
        </w:rPr>
        <w:t>廖國棟Sufin‧Siluko</w:t>
      </w:r>
    </w:p>
    <w:p w:rsidR="00B6184F" w:rsidRPr="008C78CE" w:rsidRDefault="00B6184F" w:rsidP="00F035E0">
      <w:pPr>
        <w:snapToGrid w:val="0"/>
        <w:spacing w:line="480" w:lineRule="exact"/>
        <w:ind w:left="1920" w:rightChars="9" w:right="22" w:hangingChars="600" w:hanging="1920"/>
        <w:jc w:val="both"/>
        <w:rPr>
          <w:rFonts w:ascii="標楷體" w:eastAsia="標楷體" w:hAnsi="標楷體"/>
          <w:position w:val="2"/>
          <w:sz w:val="32"/>
          <w:szCs w:val="32"/>
        </w:rPr>
      </w:pPr>
      <w:r>
        <w:rPr>
          <w:rFonts w:ascii="標楷體" w:eastAsia="標楷體" w:hAnsi="標楷體" w:hint="eastAsia"/>
          <w:sz w:val="32"/>
          <w:szCs w:val="32"/>
        </w:rPr>
        <w:t xml:space="preserve">          </w:t>
      </w:r>
      <w:r>
        <w:rPr>
          <w:rFonts w:ascii="標楷體" w:eastAsia="標楷體" w:hAnsi="標楷體"/>
          <w:position w:val="2"/>
          <w:sz w:val="32"/>
          <w:szCs w:val="32"/>
        </w:rPr>
        <w:t>委員列</w:t>
      </w:r>
      <w:r>
        <w:rPr>
          <w:rFonts w:ascii="標楷體" w:eastAsia="標楷體" w:hAnsi="標楷體" w:hint="eastAsia"/>
          <w:position w:val="2"/>
          <w:sz w:val="32"/>
          <w:szCs w:val="32"/>
        </w:rPr>
        <w:t>席13</w:t>
      </w:r>
      <w:r w:rsidRPr="008C78CE">
        <w:rPr>
          <w:rFonts w:ascii="標楷體" w:eastAsia="標楷體" w:hAnsi="標楷體"/>
          <w:position w:val="2"/>
          <w:sz w:val="32"/>
          <w:szCs w:val="32"/>
        </w:rPr>
        <w:t>人</w:t>
      </w:r>
    </w:p>
    <w:p w:rsidR="00B6184F" w:rsidRDefault="00B6184F" w:rsidP="00F035E0">
      <w:pPr>
        <w:pStyle w:val="ac"/>
        <w:spacing w:line="500" w:lineRule="exact"/>
        <w:ind w:left="975" w:hanging="964"/>
        <w:contextualSpacing/>
        <w:rPr>
          <w:spacing w:val="-2"/>
          <w:position w:val="2"/>
          <w:sz w:val="32"/>
          <w:szCs w:val="32"/>
        </w:rPr>
      </w:pPr>
      <w:r w:rsidRPr="00ED0FE7">
        <w:rPr>
          <w:sz w:val="32"/>
          <w:szCs w:val="32"/>
        </w:rPr>
        <w:t>列席人員</w:t>
      </w:r>
      <w:r w:rsidRPr="00ED0FE7">
        <w:rPr>
          <w:rFonts w:hint="eastAsia"/>
          <w:sz w:val="32"/>
          <w:szCs w:val="32"/>
        </w:rPr>
        <w:t>：</w:t>
      </w:r>
      <w:r>
        <w:rPr>
          <w:rFonts w:hint="eastAsia"/>
          <w:sz w:val="32"/>
          <w:szCs w:val="32"/>
        </w:rPr>
        <w:t>文化部部長                    李永得</w:t>
      </w:r>
      <w:r w:rsidRPr="00A279DC">
        <w:rPr>
          <w:rFonts w:hint="eastAsia"/>
          <w:sz w:val="32"/>
          <w:szCs w:val="32"/>
        </w:rPr>
        <w:t>率同有關人員</w:t>
      </w:r>
    </w:p>
    <w:p w:rsidR="00B6184F" w:rsidRPr="006C6684" w:rsidRDefault="00B6184F" w:rsidP="00F035E0">
      <w:pPr>
        <w:pStyle w:val="ac"/>
        <w:spacing w:line="500" w:lineRule="exact"/>
        <w:ind w:left="975" w:hanging="964"/>
        <w:contextualSpacing/>
        <w:rPr>
          <w:sz w:val="32"/>
          <w:szCs w:val="32"/>
        </w:rPr>
      </w:pPr>
      <w:r w:rsidRPr="00C2349A">
        <w:rPr>
          <w:sz w:val="32"/>
          <w:szCs w:val="32"/>
        </w:rPr>
        <w:t>主    席</w:t>
      </w:r>
      <w:r w:rsidRPr="00C2349A">
        <w:rPr>
          <w:rFonts w:hint="eastAsia"/>
          <w:sz w:val="32"/>
          <w:szCs w:val="32"/>
        </w:rPr>
        <w:t>：</w:t>
      </w:r>
      <w:r>
        <w:rPr>
          <w:rFonts w:hint="eastAsia"/>
          <w:sz w:val="32"/>
          <w:szCs w:val="32"/>
        </w:rPr>
        <w:t>陳</w:t>
      </w:r>
      <w:r w:rsidRPr="00C2349A">
        <w:rPr>
          <w:sz w:val="32"/>
          <w:szCs w:val="32"/>
        </w:rPr>
        <w:t>召集委員</w:t>
      </w:r>
      <w:r>
        <w:rPr>
          <w:rFonts w:hint="eastAsia"/>
          <w:sz w:val="32"/>
          <w:szCs w:val="32"/>
        </w:rPr>
        <w:t>秀寳</w:t>
      </w:r>
    </w:p>
    <w:p w:rsidR="00B6184F" w:rsidRDefault="00B6184F" w:rsidP="00F035E0">
      <w:pPr>
        <w:snapToGrid w:val="0"/>
        <w:spacing w:line="500" w:lineRule="exact"/>
        <w:ind w:rightChars="9" w:right="22"/>
        <w:jc w:val="both"/>
        <w:rPr>
          <w:rFonts w:ascii="標楷體" w:eastAsia="標楷體" w:hAnsi="標楷體"/>
          <w:sz w:val="32"/>
          <w:szCs w:val="32"/>
        </w:rPr>
      </w:pPr>
      <w:r w:rsidRPr="00A279DC">
        <w:rPr>
          <w:rFonts w:ascii="標楷體" w:eastAsia="標楷體" w:hAnsi="標楷體" w:hint="eastAsia"/>
          <w:sz w:val="32"/>
          <w:szCs w:val="32"/>
        </w:rPr>
        <w:t>主任秘書：陳錫欽</w:t>
      </w:r>
    </w:p>
    <w:p w:rsidR="00B6184F" w:rsidRPr="008C78CE" w:rsidRDefault="00B6184F" w:rsidP="00F035E0">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朱蔚菁</w:t>
      </w:r>
    </w:p>
    <w:p w:rsidR="00B6184F" w:rsidRDefault="00B6184F" w:rsidP="00F035E0">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林素惠  簡任編審  蔡月秋  科長  蔡國治</w:t>
      </w:r>
    </w:p>
    <w:p w:rsidR="00B6184F" w:rsidRPr="00121576" w:rsidRDefault="00B6184F" w:rsidP="00F035E0">
      <w:pPr>
        <w:snapToGrid w:val="0"/>
        <w:spacing w:line="50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B6184F" w:rsidRDefault="00B6184F" w:rsidP="00F035E0">
      <w:pPr>
        <w:pStyle w:val="ac"/>
        <w:spacing w:line="460" w:lineRule="exact"/>
        <w:ind w:left="980" w:hanging="966"/>
        <w:contextualSpacing/>
        <w:rPr>
          <w:b/>
          <w:sz w:val="32"/>
          <w:szCs w:val="32"/>
        </w:rPr>
      </w:pPr>
      <w:r w:rsidRPr="0084281E">
        <w:rPr>
          <w:rFonts w:hint="eastAsia"/>
          <w:b/>
          <w:sz w:val="32"/>
          <w:szCs w:val="32"/>
        </w:rPr>
        <w:t>報  告  事  項</w:t>
      </w:r>
    </w:p>
    <w:p w:rsidR="00B6184F" w:rsidRPr="009B6966" w:rsidRDefault="00B6184F" w:rsidP="006934DD">
      <w:pPr>
        <w:pStyle w:val="a4"/>
        <w:numPr>
          <w:ilvl w:val="0"/>
          <w:numId w:val="33"/>
        </w:numPr>
        <w:snapToGrid w:val="0"/>
        <w:spacing w:line="500" w:lineRule="exact"/>
        <w:ind w:leftChars="0"/>
        <w:contextualSpacing/>
        <w:jc w:val="both"/>
        <w:rPr>
          <w:rFonts w:ascii="標楷體" w:eastAsia="標楷體"/>
          <w:b/>
          <w:sz w:val="32"/>
          <w:szCs w:val="32"/>
        </w:rPr>
      </w:pPr>
      <w:r w:rsidRPr="009B6966">
        <w:rPr>
          <w:rFonts w:ascii="標楷體" w:eastAsia="標楷體" w:hint="eastAsia"/>
          <w:b/>
          <w:sz w:val="32"/>
          <w:szCs w:val="32"/>
        </w:rPr>
        <w:t>宣讀上次會議議事錄。</w:t>
      </w:r>
    </w:p>
    <w:p w:rsidR="00B6184F" w:rsidRPr="009B6966" w:rsidRDefault="00B6184F" w:rsidP="00F035E0">
      <w:pPr>
        <w:snapToGrid w:val="0"/>
        <w:spacing w:line="500" w:lineRule="exact"/>
        <w:contextualSpacing/>
        <w:jc w:val="both"/>
        <w:rPr>
          <w:rFonts w:ascii="標楷體" w:eastAsia="標楷體" w:hAnsi="標楷體"/>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B6184F" w:rsidRPr="003D18F1" w:rsidRDefault="00B6184F" w:rsidP="006934DD">
      <w:pPr>
        <w:pStyle w:val="a4"/>
        <w:numPr>
          <w:ilvl w:val="0"/>
          <w:numId w:val="33"/>
        </w:numPr>
        <w:snapToGrid w:val="0"/>
        <w:spacing w:before="120" w:line="460" w:lineRule="exact"/>
        <w:ind w:leftChars="0"/>
        <w:jc w:val="both"/>
        <w:rPr>
          <w:rFonts w:ascii="標楷體" w:eastAsia="標楷體"/>
          <w:b/>
          <w:sz w:val="32"/>
          <w:szCs w:val="32"/>
        </w:rPr>
      </w:pPr>
      <w:r w:rsidRPr="003D18F1">
        <w:rPr>
          <w:rFonts w:ascii="標楷體" w:eastAsia="標楷體" w:hint="eastAsia"/>
          <w:b/>
          <w:sz w:val="32"/>
          <w:szCs w:val="32"/>
        </w:rPr>
        <w:t>文化部部長李永得列席就「文化部推動文化禮金規劃辦理情形」進行專題報告，並備質詢。</w:t>
      </w:r>
    </w:p>
    <w:p w:rsidR="00B6184F" w:rsidRPr="00B11197" w:rsidRDefault="00B6184F" w:rsidP="00F035E0">
      <w:pPr>
        <w:snapToGrid w:val="0"/>
        <w:spacing w:before="120" w:line="460" w:lineRule="exact"/>
        <w:jc w:val="both"/>
        <w:rPr>
          <w:rFonts w:ascii="標楷體" w:eastAsia="標楷體"/>
          <w:b/>
          <w:sz w:val="32"/>
          <w:szCs w:val="32"/>
        </w:rPr>
      </w:pPr>
      <w:r w:rsidRPr="00B11197">
        <w:rPr>
          <w:rFonts w:ascii="標楷體" w:eastAsia="標楷體" w:hAnsi="標楷體"/>
          <w:sz w:val="32"/>
          <w:szCs w:val="32"/>
        </w:rPr>
        <w:t>（本</w:t>
      </w:r>
      <w:r>
        <w:rPr>
          <w:rFonts w:ascii="標楷體" w:eastAsia="標楷體" w:hAnsi="標楷體" w:hint="eastAsia"/>
          <w:sz w:val="32"/>
          <w:szCs w:val="32"/>
        </w:rPr>
        <w:t>次</w:t>
      </w:r>
      <w:r w:rsidRPr="00B11197">
        <w:rPr>
          <w:rFonts w:ascii="標楷體" w:eastAsia="標楷體" w:hAnsi="標楷體"/>
          <w:sz w:val="32"/>
          <w:szCs w:val="32"/>
        </w:rPr>
        <w:t>議程</w:t>
      </w:r>
      <w:r w:rsidRPr="00B11197">
        <w:rPr>
          <w:rFonts w:ascii="標楷體" w:eastAsia="標楷體" w:hAnsi="標楷體" w:hint="eastAsia"/>
          <w:sz w:val="32"/>
          <w:szCs w:val="32"/>
        </w:rPr>
        <w:t>有委員王婉諭</w:t>
      </w:r>
      <w:r>
        <w:rPr>
          <w:rFonts w:ascii="標楷體" w:eastAsia="標楷體" w:hAnsi="標楷體" w:hint="eastAsia"/>
          <w:sz w:val="32"/>
          <w:szCs w:val="32"/>
        </w:rPr>
        <w:t>、</w:t>
      </w:r>
      <w:r w:rsidRPr="00B11197">
        <w:rPr>
          <w:rFonts w:ascii="標楷體" w:eastAsia="標楷體" w:hAnsi="標楷體" w:hint="eastAsia"/>
          <w:sz w:val="32"/>
          <w:szCs w:val="32"/>
        </w:rPr>
        <w:t>張廖萬堅</w:t>
      </w:r>
      <w:r>
        <w:rPr>
          <w:rFonts w:ascii="標楷體" w:eastAsia="標楷體" w:hAnsi="標楷體" w:hint="eastAsia"/>
          <w:sz w:val="32"/>
          <w:szCs w:val="32"/>
        </w:rPr>
        <w:t>、</w:t>
      </w:r>
      <w:r w:rsidRPr="00B11197">
        <w:rPr>
          <w:rFonts w:ascii="標楷體" w:eastAsia="標楷體" w:hAnsi="標楷體" w:hint="eastAsia"/>
          <w:sz w:val="32"/>
          <w:szCs w:val="32"/>
        </w:rPr>
        <w:t>黃國書</w:t>
      </w:r>
      <w:r>
        <w:rPr>
          <w:rFonts w:ascii="標楷體" w:eastAsia="標楷體" w:hAnsi="標楷體" w:hint="eastAsia"/>
          <w:sz w:val="32"/>
          <w:szCs w:val="32"/>
        </w:rPr>
        <w:t>、</w:t>
      </w:r>
      <w:r w:rsidRPr="00B11197">
        <w:rPr>
          <w:rFonts w:ascii="標楷體" w:eastAsia="標楷體" w:hAnsi="標楷體" w:hint="eastAsia"/>
          <w:sz w:val="32"/>
          <w:szCs w:val="32"/>
        </w:rPr>
        <w:t>陳秀寳</w:t>
      </w:r>
      <w:r>
        <w:rPr>
          <w:rFonts w:ascii="標楷體" w:eastAsia="標楷體" w:hAnsi="標楷體" w:hint="eastAsia"/>
          <w:sz w:val="32"/>
          <w:szCs w:val="32"/>
        </w:rPr>
        <w:t>、</w:t>
      </w:r>
      <w:r w:rsidRPr="00B11197">
        <w:rPr>
          <w:rFonts w:ascii="標楷體" w:eastAsia="標楷體" w:hAnsi="標楷體" w:hint="eastAsia"/>
          <w:sz w:val="32"/>
          <w:szCs w:val="32"/>
        </w:rPr>
        <w:t>萬美玲</w:t>
      </w:r>
      <w:r>
        <w:rPr>
          <w:rFonts w:ascii="標楷體" w:eastAsia="標楷體" w:hAnsi="標楷體" w:hint="eastAsia"/>
          <w:sz w:val="32"/>
          <w:szCs w:val="32"/>
        </w:rPr>
        <w:t>、</w:t>
      </w:r>
      <w:r w:rsidRPr="00B11197">
        <w:rPr>
          <w:rFonts w:ascii="標楷體" w:eastAsia="標楷體" w:hAnsi="標楷體" w:hint="eastAsia"/>
          <w:sz w:val="32"/>
          <w:szCs w:val="32"/>
        </w:rPr>
        <w:t>林宜瑾</w:t>
      </w:r>
      <w:r>
        <w:rPr>
          <w:rFonts w:ascii="標楷體" w:eastAsia="標楷體" w:hAnsi="標楷體" w:hint="eastAsia"/>
          <w:sz w:val="32"/>
          <w:szCs w:val="32"/>
        </w:rPr>
        <w:t>、</w:t>
      </w:r>
      <w:r w:rsidRPr="00B11197">
        <w:rPr>
          <w:rFonts w:ascii="標楷體" w:eastAsia="標楷體" w:hAnsi="標楷體" w:hint="eastAsia"/>
          <w:sz w:val="32"/>
          <w:szCs w:val="32"/>
        </w:rPr>
        <w:t>鄭正鈐</w:t>
      </w:r>
      <w:r>
        <w:rPr>
          <w:rFonts w:ascii="標楷體" w:eastAsia="標楷體" w:hAnsi="標楷體" w:hint="eastAsia"/>
          <w:sz w:val="32"/>
          <w:szCs w:val="32"/>
        </w:rPr>
        <w:t>、</w:t>
      </w:r>
      <w:r w:rsidRPr="00B11197">
        <w:rPr>
          <w:rFonts w:ascii="標楷體" w:eastAsia="標楷體" w:hAnsi="標楷體" w:hint="eastAsia"/>
          <w:sz w:val="32"/>
          <w:szCs w:val="32"/>
        </w:rPr>
        <w:t>范雲</w:t>
      </w:r>
      <w:r>
        <w:rPr>
          <w:rFonts w:ascii="標楷體" w:eastAsia="標楷體" w:hAnsi="標楷體" w:hint="eastAsia"/>
          <w:sz w:val="32"/>
          <w:szCs w:val="32"/>
        </w:rPr>
        <w:t>、</w:t>
      </w:r>
      <w:r w:rsidRPr="0069553C">
        <w:rPr>
          <w:rFonts w:ascii="標楷體" w:eastAsia="標楷體" w:hAnsi="標楷體" w:hint="eastAsia"/>
          <w:sz w:val="32"/>
          <w:szCs w:val="32"/>
        </w:rPr>
        <w:t>游毓蘭</w:t>
      </w:r>
      <w:r>
        <w:rPr>
          <w:rFonts w:ascii="標楷體" w:eastAsia="標楷體" w:hAnsi="標楷體" w:hint="eastAsia"/>
          <w:sz w:val="32"/>
          <w:szCs w:val="32"/>
        </w:rPr>
        <w:t>、</w:t>
      </w:r>
      <w:r w:rsidRPr="00D11FCD">
        <w:rPr>
          <w:rFonts w:ascii="標楷體" w:eastAsia="標楷體" w:hAnsi="標楷體" w:hint="eastAsia"/>
          <w:sz w:val="32"/>
          <w:szCs w:val="32"/>
        </w:rPr>
        <w:t>邱顯智</w:t>
      </w:r>
      <w:r>
        <w:rPr>
          <w:rFonts w:ascii="標楷體" w:eastAsia="標楷體" w:hAnsi="標楷體" w:hint="eastAsia"/>
          <w:sz w:val="32"/>
          <w:szCs w:val="32"/>
        </w:rPr>
        <w:t>、</w:t>
      </w:r>
      <w:r w:rsidRPr="00B11197">
        <w:rPr>
          <w:rFonts w:ascii="標楷體" w:eastAsia="標楷體" w:hAnsi="標楷體" w:hint="eastAsia"/>
          <w:sz w:val="32"/>
          <w:szCs w:val="32"/>
        </w:rPr>
        <w:t>吳思瑤</w:t>
      </w:r>
      <w:r>
        <w:rPr>
          <w:rFonts w:ascii="標楷體" w:eastAsia="標楷體" w:hAnsi="標楷體" w:hint="eastAsia"/>
          <w:sz w:val="32"/>
          <w:szCs w:val="32"/>
        </w:rPr>
        <w:t>、</w:t>
      </w:r>
      <w:r w:rsidRPr="00B11197">
        <w:rPr>
          <w:rFonts w:ascii="標楷體" w:eastAsia="標楷體" w:hAnsi="標楷體" w:hint="eastAsia"/>
          <w:sz w:val="32"/>
          <w:szCs w:val="32"/>
        </w:rPr>
        <w:t>吳怡玎</w:t>
      </w:r>
      <w:r>
        <w:rPr>
          <w:rFonts w:ascii="標楷體" w:eastAsia="標楷體" w:hAnsi="標楷體" w:hint="eastAsia"/>
          <w:sz w:val="32"/>
          <w:szCs w:val="32"/>
        </w:rPr>
        <w:t>、</w:t>
      </w:r>
      <w:r w:rsidRPr="00B11197">
        <w:rPr>
          <w:rFonts w:ascii="標楷體" w:eastAsia="標楷體" w:hAnsi="標楷體" w:hint="eastAsia"/>
          <w:sz w:val="32"/>
          <w:szCs w:val="32"/>
        </w:rPr>
        <w:t>林奕華</w:t>
      </w:r>
      <w:r>
        <w:rPr>
          <w:rFonts w:ascii="標楷體" w:eastAsia="標楷體" w:hAnsi="標楷體" w:hint="eastAsia"/>
          <w:sz w:val="32"/>
          <w:szCs w:val="32"/>
        </w:rPr>
        <w:t>、張其祿、</w:t>
      </w:r>
      <w:r w:rsidRPr="00B11197">
        <w:rPr>
          <w:rFonts w:ascii="標楷體" w:eastAsia="標楷體" w:hAnsi="標楷體" w:hint="eastAsia"/>
          <w:sz w:val="32"/>
          <w:szCs w:val="32"/>
        </w:rPr>
        <w:t>賴品妤</w:t>
      </w:r>
      <w:r>
        <w:rPr>
          <w:rFonts w:ascii="標楷體" w:eastAsia="標楷體" w:hAnsi="標楷體" w:hint="eastAsia"/>
          <w:sz w:val="32"/>
          <w:szCs w:val="32"/>
        </w:rPr>
        <w:t>、</w:t>
      </w:r>
      <w:r w:rsidRPr="008535AD">
        <w:rPr>
          <w:rFonts w:ascii="標楷體" w:eastAsia="標楷體" w:hAnsi="標楷體" w:hint="eastAsia"/>
          <w:sz w:val="32"/>
          <w:szCs w:val="32"/>
        </w:rPr>
        <w:t>鍾佳濱</w:t>
      </w:r>
      <w:r w:rsidRPr="00B11197">
        <w:rPr>
          <w:rFonts w:ascii="標楷體" w:eastAsia="標楷體" w:hAnsi="標楷體" w:hint="eastAsia"/>
          <w:sz w:val="32"/>
          <w:szCs w:val="32"/>
        </w:rPr>
        <w:t>等</w:t>
      </w:r>
      <w:r>
        <w:rPr>
          <w:rFonts w:ascii="標楷體" w:eastAsia="標楷體" w:hAnsi="標楷體"/>
          <w:sz w:val="32"/>
          <w:szCs w:val="32"/>
        </w:rPr>
        <w:t>16</w:t>
      </w:r>
      <w:r w:rsidRPr="00B11197">
        <w:rPr>
          <w:rFonts w:ascii="標楷體" w:eastAsia="標楷體" w:hAnsi="標楷體"/>
          <w:sz w:val="32"/>
          <w:szCs w:val="32"/>
        </w:rPr>
        <w:t>人提出質詢，均經</w:t>
      </w:r>
      <w:r w:rsidRPr="00B11197">
        <w:rPr>
          <w:rFonts w:ascii="標楷體" w:eastAsia="標楷體" w:hAnsi="標楷體" w:hint="eastAsia"/>
          <w:sz w:val="32"/>
          <w:szCs w:val="32"/>
        </w:rPr>
        <w:t>文化部</w:t>
      </w:r>
      <w:r>
        <w:rPr>
          <w:rFonts w:ascii="標楷體" w:eastAsia="標楷體" w:hAnsi="標楷體" w:hint="eastAsia"/>
          <w:sz w:val="32"/>
          <w:szCs w:val="32"/>
        </w:rPr>
        <w:t>部</w:t>
      </w:r>
      <w:r w:rsidRPr="00B11197">
        <w:rPr>
          <w:rFonts w:ascii="標楷體" w:eastAsia="標楷體" w:hAnsi="標楷體" w:hint="eastAsia"/>
          <w:sz w:val="32"/>
          <w:szCs w:val="32"/>
        </w:rPr>
        <w:t>長</w:t>
      </w:r>
      <w:r>
        <w:rPr>
          <w:rFonts w:ascii="標楷體" w:eastAsia="標楷體" w:hAnsi="標楷體" w:hint="eastAsia"/>
          <w:sz w:val="32"/>
          <w:szCs w:val="32"/>
        </w:rPr>
        <w:t>李永得</w:t>
      </w:r>
      <w:r w:rsidRPr="00B11197">
        <w:rPr>
          <w:rFonts w:ascii="標楷體" w:eastAsia="標楷體" w:hAnsi="標楷體"/>
          <w:sz w:val="32"/>
          <w:szCs w:val="32"/>
        </w:rPr>
        <w:t>及相關人員即席答</w:t>
      </w:r>
      <w:r w:rsidRPr="00B11197">
        <w:rPr>
          <w:rFonts w:ascii="標楷體" w:eastAsia="標楷體" w:hAnsi="標楷體" w:hint="eastAsia"/>
          <w:sz w:val="32"/>
          <w:szCs w:val="32"/>
        </w:rPr>
        <w:t>復</w:t>
      </w:r>
      <w:r w:rsidRPr="00B11197">
        <w:rPr>
          <w:rFonts w:ascii="標楷體" w:eastAsia="標楷體" w:hAnsi="標楷體"/>
          <w:sz w:val="32"/>
          <w:szCs w:val="32"/>
        </w:rPr>
        <w:t>說明</w:t>
      </w:r>
      <w:r>
        <w:rPr>
          <w:rFonts w:ascii="標楷體" w:eastAsia="標楷體" w:hAnsi="標楷體" w:hint="eastAsia"/>
          <w:sz w:val="32"/>
          <w:szCs w:val="32"/>
        </w:rPr>
        <w:t>。另有委員何欣純、李貴敏提出書面質詢</w:t>
      </w:r>
      <w:r w:rsidRPr="00B11197">
        <w:rPr>
          <w:rFonts w:ascii="標楷體" w:eastAsia="標楷體" w:hAnsi="標楷體"/>
          <w:sz w:val="32"/>
          <w:szCs w:val="32"/>
        </w:rPr>
        <w:t>。）</w:t>
      </w:r>
    </w:p>
    <w:p w:rsidR="00B6184F" w:rsidRPr="0000524E" w:rsidRDefault="00B6184F" w:rsidP="00F035E0">
      <w:pPr>
        <w:snapToGrid w:val="0"/>
        <w:spacing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B6184F" w:rsidRPr="0000524E" w:rsidRDefault="00B6184F" w:rsidP="00F035E0">
      <w:pPr>
        <w:snapToGrid w:val="0"/>
        <w:spacing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B6184F" w:rsidRPr="0000524E" w:rsidRDefault="00B6184F" w:rsidP="00F035E0">
      <w:pPr>
        <w:snapToGrid w:val="0"/>
        <w:spacing w:line="500" w:lineRule="exact"/>
        <w:ind w:left="640" w:hangingChars="200" w:hanging="640"/>
        <w:contextualSpacing/>
        <w:rPr>
          <w:rFonts w:ascii="標楷體" w:eastAsia="標楷體" w:hAnsi="標楷體"/>
          <w:bCs/>
          <w:sz w:val="32"/>
          <w:szCs w:val="32"/>
        </w:rPr>
      </w:pPr>
      <w:r w:rsidRPr="0000524E">
        <w:rPr>
          <w:rFonts w:ascii="標楷體" w:eastAsia="標楷體" w:hAnsi="標楷體"/>
          <w:bCs/>
          <w:sz w:val="32"/>
          <w:szCs w:val="32"/>
        </w:rPr>
        <w:lastRenderedPageBreak/>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B6184F" w:rsidRDefault="00B6184F" w:rsidP="008227EE">
      <w:pPr>
        <w:snapToGrid w:val="0"/>
        <w:spacing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B6184F" w:rsidRDefault="00B6184F" w:rsidP="00F035E0">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B6184F" w:rsidRDefault="00B6184F">
      <w:pPr>
        <w:widowControl/>
        <w:rPr>
          <w:rFonts w:ascii="標楷體" w:eastAsia="標楷體" w:hAnsi="標楷體"/>
          <w:b/>
          <w:bCs/>
          <w:sz w:val="32"/>
          <w:szCs w:val="32"/>
        </w:rPr>
      </w:pPr>
      <w:r>
        <w:rPr>
          <w:rFonts w:ascii="標楷體" w:eastAsia="標楷體" w:hAnsi="標楷體"/>
          <w:b/>
          <w:bCs/>
          <w:sz w:val="32"/>
          <w:szCs w:val="32"/>
        </w:rPr>
        <w:br w:type="page"/>
      </w:r>
    </w:p>
    <w:p w:rsidR="00B6184F" w:rsidRPr="00D92739" w:rsidRDefault="00B6184F" w:rsidP="00B6184F">
      <w:pPr>
        <w:pStyle w:val="01-45"/>
        <w:rPr>
          <w:position w:val="2"/>
        </w:rPr>
      </w:pPr>
      <w:bookmarkStart w:id="166" w:name="_Toc126068182"/>
      <w:r w:rsidRPr="00D92739">
        <w:rPr>
          <w:rFonts w:hint="eastAsia"/>
        </w:rPr>
        <w:lastRenderedPageBreak/>
        <w:t>立法院第</w:t>
      </w:r>
      <w:r>
        <w:rPr>
          <w:rFonts w:hint="eastAsia"/>
        </w:rPr>
        <w:t>10</w:t>
      </w:r>
      <w:r w:rsidRPr="00D92739">
        <w:rPr>
          <w:rFonts w:hint="eastAsia"/>
        </w:rPr>
        <w:t>屆第</w:t>
      </w:r>
      <w:r>
        <w:rPr>
          <w:rFonts w:hint="eastAsia"/>
        </w:rPr>
        <w:t>6</w:t>
      </w:r>
      <w:r w:rsidRPr="00D92739">
        <w:rPr>
          <w:rFonts w:hint="eastAsia"/>
        </w:rPr>
        <w:t>會期教育及文化委員會第</w:t>
      </w:r>
      <w:r>
        <w:t>9</w:t>
      </w:r>
      <w:r w:rsidRPr="00D92739">
        <w:rPr>
          <w:rFonts w:hint="eastAsia"/>
        </w:rPr>
        <w:t>次全體委員會議議事錄</w:t>
      </w:r>
      <w:bookmarkEnd w:id="166"/>
    </w:p>
    <w:p w:rsidR="00B6184F" w:rsidRDefault="00B6184F" w:rsidP="00F035E0">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8227EE">
        <w:rPr>
          <w:rFonts w:ascii="標楷體" w:eastAsia="標楷體" w:hAnsi="標楷體"/>
          <w:kern w:val="0"/>
          <w:sz w:val="32"/>
          <w:szCs w:val="32"/>
          <w:fitText w:val="1600" w:id="-1323544575"/>
        </w:rPr>
        <w:t>時    間：</w:t>
      </w:r>
      <w:r w:rsidRPr="00214CF8">
        <w:rPr>
          <w:rFonts w:ascii="標楷體" w:eastAsia="標楷體" w:hAnsi="標楷體" w:hint="eastAsia"/>
          <w:spacing w:val="-32"/>
          <w:kern w:val="0"/>
          <w:sz w:val="32"/>
          <w:szCs w:val="32"/>
        </w:rPr>
        <w:t>中華民國</w:t>
      </w:r>
      <w:r>
        <w:rPr>
          <w:rFonts w:ascii="標楷體" w:eastAsia="標楷體" w:hAnsi="標楷體"/>
          <w:spacing w:val="-32"/>
          <w:kern w:val="0"/>
          <w:sz w:val="32"/>
          <w:szCs w:val="32"/>
        </w:rPr>
        <w:t>111</w:t>
      </w:r>
      <w:r w:rsidRPr="00214CF8">
        <w:rPr>
          <w:rFonts w:ascii="標楷體" w:eastAsia="標楷體" w:hAnsi="標楷體" w:hint="eastAsia"/>
          <w:spacing w:val="-32"/>
          <w:kern w:val="0"/>
          <w:sz w:val="32"/>
          <w:szCs w:val="32"/>
        </w:rPr>
        <w:t>年</w:t>
      </w:r>
      <w:r>
        <w:rPr>
          <w:rFonts w:ascii="標楷體" w:eastAsia="標楷體" w:hAnsi="標楷體"/>
          <w:spacing w:val="-32"/>
          <w:kern w:val="0"/>
          <w:sz w:val="32"/>
          <w:szCs w:val="32"/>
        </w:rPr>
        <w:t>11</w:t>
      </w:r>
      <w:r w:rsidRPr="00214CF8">
        <w:rPr>
          <w:rFonts w:ascii="標楷體" w:eastAsia="標楷體" w:hAnsi="標楷體" w:hint="eastAsia"/>
          <w:spacing w:val="-32"/>
          <w:kern w:val="0"/>
          <w:sz w:val="32"/>
          <w:szCs w:val="32"/>
        </w:rPr>
        <w:t>月</w:t>
      </w:r>
      <w:r>
        <w:rPr>
          <w:rFonts w:ascii="標楷體" w:eastAsia="標楷體" w:hAnsi="標楷體"/>
          <w:spacing w:val="-32"/>
          <w:kern w:val="0"/>
          <w:sz w:val="32"/>
          <w:szCs w:val="32"/>
        </w:rPr>
        <w:t>21</w:t>
      </w:r>
      <w:r>
        <w:rPr>
          <w:rFonts w:ascii="標楷體" w:eastAsia="標楷體" w:hAnsi="標楷體" w:hint="eastAsia"/>
          <w:spacing w:val="-32"/>
          <w:kern w:val="0"/>
          <w:sz w:val="32"/>
          <w:szCs w:val="32"/>
        </w:rPr>
        <w:t>日（星期一</w:t>
      </w:r>
      <w:r w:rsidRPr="00214CF8">
        <w:rPr>
          <w:rFonts w:ascii="標楷體" w:eastAsia="標楷體" w:hAnsi="標楷體" w:hint="eastAsia"/>
          <w:spacing w:val="-32"/>
          <w:kern w:val="0"/>
          <w:sz w:val="32"/>
          <w:szCs w:val="32"/>
        </w:rPr>
        <w:t>）上午9時</w:t>
      </w:r>
      <w:r>
        <w:rPr>
          <w:rFonts w:ascii="標楷體" w:eastAsia="標楷體" w:hAnsi="標楷體"/>
          <w:spacing w:val="-32"/>
          <w:kern w:val="0"/>
          <w:sz w:val="32"/>
          <w:szCs w:val="32"/>
        </w:rPr>
        <w:t>1</w:t>
      </w:r>
      <w:r>
        <w:rPr>
          <w:rFonts w:ascii="標楷體" w:eastAsia="標楷體" w:hAnsi="標楷體" w:hint="eastAsia"/>
          <w:spacing w:val="-32"/>
          <w:kern w:val="0"/>
          <w:sz w:val="32"/>
          <w:szCs w:val="32"/>
        </w:rPr>
        <w:t>分</w:t>
      </w:r>
      <w:r w:rsidRPr="00214CF8">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1</w:t>
      </w:r>
      <w:r>
        <w:rPr>
          <w:rFonts w:ascii="標楷體" w:eastAsia="標楷體" w:hAnsi="標楷體"/>
          <w:spacing w:val="-32"/>
          <w:kern w:val="0"/>
          <w:sz w:val="32"/>
          <w:szCs w:val="32"/>
        </w:rPr>
        <w:t>2</w:t>
      </w:r>
      <w:r w:rsidRPr="00214CF8">
        <w:rPr>
          <w:rFonts w:ascii="標楷體" w:eastAsia="標楷體" w:hAnsi="標楷體" w:hint="eastAsia"/>
          <w:spacing w:val="-32"/>
          <w:kern w:val="0"/>
          <w:sz w:val="32"/>
          <w:szCs w:val="32"/>
        </w:rPr>
        <w:t>時</w:t>
      </w:r>
      <w:r>
        <w:rPr>
          <w:rFonts w:ascii="標楷體" w:eastAsia="標楷體" w:hAnsi="標楷體"/>
          <w:spacing w:val="-32"/>
          <w:kern w:val="0"/>
          <w:sz w:val="32"/>
          <w:szCs w:val="32"/>
        </w:rPr>
        <w:t>43</w:t>
      </w:r>
      <w:r w:rsidRPr="00214CF8">
        <w:rPr>
          <w:rFonts w:ascii="標楷體" w:eastAsia="標楷體" w:hAnsi="標楷體" w:hint="eastAsia"/>
          <w:spacing w:val="-32"/>
          <w:kern w:val="0"/>
          <w:sz w:val="32"/>
          <w:szCs w:val="32"/>
        </w:rPr>
        <w:t>分</w:t>
      </w:r>
    </w:p>
    <w:p w:rsidR="00B6184F" w:rsidRDefault="00B6184F" w:rsidP="00F035E0">
      <w:pPr>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B6184F" w:rsidRDefault="00B6184F" w:rsidP="00F035E0">
      <w:pPr>
        <w:snapToGrid w:val="0"/>
        <w:spacing w:line="48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：陳秀寳</w:t>
      </w:r>
      <w:r w:rsidRPr="00201F2C">
        <w:rPr>
          <w:rFonts w:ascii="標楷體" w:eastAsia="標楷體" w:hAnsi="標楷體" w:hint="eastAsia"/>
          <w:sz w:val="32"/>
          <w:szCs w:val="32"/>
        </w:rPr>
        <w:t xml:space="preserve">  </w:t>
      </w:r>
      <w:r>
        <w:rPr>
          <w:rFonts w:ascii="標楷體" w:eastAsia="標楷體" w:hAnsi="標楷體" w:hint="eastAsia"/>
          <w:sz w:val="32"/>
          <w:szCs w:val="32"/>
        </w:rPr>
        <w:t>黃國書  王婉諭  林宜瑾  賴品妤  萬美玲</w:t>
      </w:r>
    </w:p>
    <w:p w:rsidR="00B6184F" w:rsidRDefault="00B6184F" w:rsidP="00F035E0">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何欣純  吳怡玎  林奕華  鄭正鈐  吳思瑤  范  雲</w:t>
      </w:r>
    </w:p>
    <w:p w:rsidR="00B6184F" w:rsidRDefault="00B6184F" w:rsidP="00F035E0">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w:t>
      </w:r>
      <w:r w:rsidRPr="00201F2C">
        <w:rPr>
          <w:rFonts w:ascii="標楷體" w:eastAsia="標楷體" w:hAnsi="標楷體" w:hint="eastAsia"/>
          <w:sz w:val="32"/>
          <w:szCs w:val="32"/>
        </w:rPr>
        <w:t>張廖萬堅</w:t>
      </w:r>
      <w:r>
        <w:rPr>
          <w:rFonts w:ascii="標楷體" w:eastAsia="標楷體" w:hAnsi="標楷體" w:hint="eastAsia"/>
          <w:sz w:val="32"/>
          <w:szCs w:val="32"/>
        </w:rPr>
        <w:t xml:space="preserve">  高金素梅</w:t>
      </w:r>
    </w:p>
    <w:p w:rsidR="00B6184F" w:rsidRDefault="00B6184F" w:rsidP="00F035E0">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委員出席14</w:t>
      </w:r>
      <w:r w:rsidRPr="008C78CE">
        <w:rPr>
          <w:rFonts w:ascii="標楷體" w:eastAsia="標楷體" w:hAnsi="標楷體" w:hint="eastAsia"/>
          <w:sz w:val="32"/>
          <w:szCs w:val="32"/>
        </w:rPr>
        <w:t>人</w:t>
      </w:r>
    </w:p>
    <w:p w:rsidR="00B6184F" w:rsidRDefault="00B6184F" w:rsidP="00F035E0">
      <w:pPr>
        <w:snapToGrid w:val="0"/>
        <w:spacing w:line="48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李德維  洪孟楷  游毓蘭  謝衣鳯  陳椒華  楊瓊瓔</w:t>
      </w:r>
    </w:p>
    <w:p w:rsidR="00B6184F" w:rsidRDefault="00B6184F" w:rsidP="00F035E0">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廖婉汝  莊競程  </w:t>
      </w:r>
      <w:r w:rsidRPr="008352D4">
        <w:rPr>
          <w:rFonts w:ascii="標楷體" w:eastAsia="標楷體" w:hAnsi="標楷體" w:hint="eastAsia"/>
          <w:sz w:val="32"/>
          <w:szCs w:val="32"/>
        </w:rPr>
        <w:t>廖國棟Sufin‧Siluko</w:t>
      </w:r>
    </w:p>
    <w:p w:rsidR="00B6184F" w:rsidRPr="008C78CE" w:rsidRDefault="00B6184F" w:rsidP="00F035E0">
      <w:pPr>
        <w:snapToGrid w:val="0"/>
        <w:spacing w:line="480" w:lineRule="exact"/>
        <w:ind w:left="1920" w:rightChars="9" w:right="22" w:hangingChars="600" w:hanging="1920"/>
        <w:jc w:val="both"/>
        <w:rPr>
          <w:rFonts w:ascii="標楷體" w:eastAsia="標楷體" w:hAnsi="標楷體"/>
          <w:position w:val="2"/>
          <w:sz w:val="32"/>
          <w:szCs w:val="32"/>
        </w:rPr>
      </w:pPr>
      <w:r>
        <w:rPr>
          <w:rFonts w:ascii="標楷體" w:eastAsia="標楷體" w:hAnsi="標楷體" w:hint="eastAsia"/>
          <w:sz w:val="32"/>
          <w:szCs w:val="32"/>
        </w:rPr>
        <w:t xml:space="preserve">          </w:t>
      </w:r>
      <w:r>
        <w:rPr>
          <w:rFonts w:ascii="標楷體" w:eastAsia="標楷體" w:hAnsi="標楷體"/>
          <w:position w:val="2"/>
          <w:sz w:val="32"/>
          <w:szCs w:val="32"/>
        </w:rPr>
        <w:t>委員列</w:t>
      </w:r>
      <w:r>
        <w:rPr>
          <w:rFonts w:ascii="標楷體" w:eastAsia="標楷體" w:hAnsi="標楷體" w:hint="eastAsia"/>
          <w:position w:val="2"/>
          <w:sz w:val="32"/>
          <w:szCs w:val="32"/>
        </w:rPr>
        <w:t>席</w:t>
      </w:r>
      <w:r>
        <w:rPr>
          <w:rFonts w:ascii="標楷體" w:eastAsia="標楷體" w:hAnsi="標楷體"/>
          <w:position w:val="2"/>
          <w:sz w:val="32"/>
          <w:szCs w:val="32"/>
        </w:rPr>
        <w:t>9</w:t>
      </w:r>
      <w:r w:rsidRPr="008C78CE">
        <w:rPr>
          <w:rFonts w:ascii="標楷體" w:eastAsia="標楷體" w:hAnsi="標楷體"/>
          <w:position w:val="2"/>
          <w:sz w:val="32"/>
          <w:szCs w:val="32"/>
        </w:rPr>
        <w:t>人</w:t>
      </w:r>
    </w:p>
    <w:p w:rsidR="00B6184F" w:rsidRDefault="00B6184F" w:rsidP="00F035E0">
      <w:pPr>
        <w:pStyle w:val="ac"/>
        <w:spacing w:line="500" w:lineRule="exact"/>
        <w:ind w:left="975" w:hanging="964"/>
        <w:contextualSpacing/>
        <w:rPr>
          <w:sz w:val="32"/>
          <w:szCs w:val="32"/>
        </w:rPr>
      </w:pPr>
      <w:r w:rsidRPr="00ED0FE7">
        <w:rPr>
          <w:sz w:val="32"/>
          <w:szCs w:val="32"/>
        </w:rPr>
        <w:t>列席人員</w:t>
      </w:r>
      <w:r w:rsidRPr="00ED0FE7">
        <w:rPr>
          <w:rFonts w:hint="eastAsia"/>
          <w:sz w:val="32"/>
          <w:szCs w:val="32"/>
        </w:rPr>
        <w:t>：</w:t>
      </w:r>
      <w:r w:rsidRPr="00B70DE2">
        <w:rPr>
          <w:rFonts w:hint="eastAsia"/>
          <w:sz w:val="32"/>
          <w:szCs w:val="32"/>
        </w:rPr>
        <w:t>國家科學及技術委員會副主任委員林敏聰</w:t>
      </w:r>
      <w:r w:rsidRPr="00A279DC">
        <w:rPr>
          <w:rFonts w:hint="eastAsia"/>
          <w:sz w:val="32"/>
          <w:szCs w:val="32"/>
        </w:rPr>
        <w:t>率同有關人員</w:t>
      </w:r>
    </w:p>
    <w:p w:rsidR="00B6184F" w:rsidRDefault="00B6184F" w:rsidP="00F035E0">
      <w:pPr>
        <w:pStyle w:val="ac"/>
        <w:spacing w:line="500" w:lineRule="exact"/>
        <w:ind w:left="975" w:hanging="964"/>
        <w:contextualSpacing/>
        <w:rPr>
          <w:spacing w:val="-2"/>
          <w:position w:val="2"/>
          <w:sz w:val="32"/>
          <w:szCs w:val="32"/>
        </w:rPr>
      </w:pPr>
      <w:r>
        <w:rPr>
          <w:rFonts w:hint="eastAsia"/>
          <w:sz w:val="32"/>
          <w:szCs w:val="32"/>
        </w:rPr>
        <w:t xml:space="preserve">          </w:t>
      </w:r>
      <w:r w:rsidRPr="00B70DE2">
        <w:rPr>
          <w:rFonts w:hint="eastAsia"/>
          <w:sz w:val="32"/>
          <w:szCs w:val="32"/>
        </w:rPr>
        <w:t>經濟部常務次長</w:t>
      </w:r>
      <w:r>
        <w:rPr>
          <w:rFonts w:hint="eastAsia"/>
          <w:sz w:val="32"/>
          <w:szCs w:val="32"/>
        </w:rPr>
        <w:t xml:space="preserve">                </w:t>
      </w:r>
      <w:r w:rsidRPr="00B70DE2">
        <w:rPr>
          <w:rFonts w:hint="eastAsia"/>
          <w:sz w:val="32"/>
          <w:szCs w:val="32"/>
        </w:rPr>
        <w:t>林全能率同有關人員</w:t>
      </w:r>
    </w:p>
    <w:p w:rsidR="00B6184F" w:rsidRDefault="00B6184F" w:rsidP="00F035E0">
      <w:pPr>
        <w:pStyle w:val="ac"/>
        <w:spacing w:line="500" w:lineRule="exact"/>
        <w:ind w:left="975" w:hanging="964"/>
        <w:contextualSpacing/>
        <w:rPr>
          <w:spacing w:val="-2"/>
          <w:position w:val="2"/>
          <w:sz w:val="32"/>
          <w:szCs w:val="32"/>
        </w:rPr>
      </w:pPr>
      <w:r>
        <w:rPr>
          <w:rFonts w:hint="eastAsia"/>
          <w:spacing w:val="-2"/>
          <w:position w:val="2"/>
          <w:sz w:val="32"/>
          <w:szCs w:val="32"/>
        </w:rPr>
        <w:t xml:space="preserve">          </w:t>
      </w:r>
      <w:r w:rsidRPr="00B70DE2">
        <w:rPr>
          <w:rFonts w:hint="eastAsia"/>
          <w:spacing w:val="-2"/>
          <w:position w:val="2"/>
          <w:sz w:val="32"/>
          <w:szCs w:val="32"/>
        </w:rPr>
        <w:t>衛生福利部政務次長</w:t>
      </w:r>
      <w:r>
        <w:rPr>
          <w:rFonts w:hint="eastAsia"/>
          <w:spacing w:val="-2"/>
          <w:position w:val="2"/>
          <w:sz w:val="32"/>
          <w:szCs w:val="32"/>
        </w:rPr>
        <w:t xml:space="preserve">             </w:t>
      </w:r>
      <w:r w:rsidRPr="00B70DE2">
        <w:rPr>
          <w:rFonts w:hint="eastAsia"/>
          <w:spacing w:val="-2"/>
          <w:position w:val="2"/>
          <w:sz w:val="32"/>
          <w:szCs w:val="32"/>
        </w:rPr>
        <w:t>王必勝率同有關人員</w:t>
      </w:r>
    </w:p>
    <w:p w:rsidR="00B6184F" w:rsidRDefault="00B6184F" w:rsidP="00F035E0">
      <w:pPr>
        <w:pStyle w:val="ac"/>
        <w:spacing w:line="500" w:lineRule="exact"/>
        <w:ind w:left="975" w:hanging="964"/>
        <w:contextualSpacing/>
        <w:rPr>
          <w:spacing w:val="-2"/>
          <w:position w:val="2"/>
          <w:sz w:val="32"/>
          <w:szCs w:val="32"/>
        </w:rPr>
      </w:pPr>
      <w:r>
        <w:rPr>
          <w:rFonts w:hint="eastAsia"/>
          <w:spacing w:val="-2"/>
          <w:position w:val="2"/>
          <w:sz w:val="32"/>
          <w:szCs w:val="32"/>
        </w:rPr>
        <w:t xml:space="preserve">          </w:t>
      </w:r>
      <w:r w:rsidRPr="00B70DE2">
        <w:rPr>
          <w:rFonts w:hint="eastAsia"/>
          <w:spacing w:val="-2"/>
          <w:position w:val="2"/>
          <w:sz w:val="32"/>
          <w:szCs w:val="32"/>
        </w:rPr>
        <w:t>數位發展部政務次長</w:t>
      </w:r>
      <w:r>
        <w:rPr>
          <w:rFonts w:hint="eastAsia"/>
          <w:spacing w:val="-2"/>
          <w:position w:val="2"/>
          <w:sz w:val="32"/>
          <w:szCs w:val="32"/>
        </w:rPr>
        <w:t xml:space="preserve">             </w:t>
      </w:r>
      <w:r w:rsidRPr="00B70DE2">
        <w:rPr>
          <w:rFonts w:hint="eastAsia"/>
          <w:spacing w:val="-2"/>
          <w:position w:val="2"/>
          <w:sz w:val="32"/>
          <w:szCs w:val="32"/>
        </w:rPr>
        <w:t>闕河鳴率同有關人員</w:t>
      </w:r>
    </w:p>
    <w:p w:rsidR="00B6184F" w:rsidRPr="006C6684" w:rsidRDefault="00B6184F" w:rsidP="00F035E0">
      <w:pPr>
        <w:pStyle w:val="ac"/>
        <w:spacing w:line="500" w:lineRule="exact"/>
        <w:ind w:left="975" w:hanging="964"/>
        <w:contextualSpacing/>
        <w:rPr>
          <w:sz w:val="32"/>
          <w:szCs w:val="32"/>
        </w:rPr>
      </w:pPr>
      <w:r w:rsidRPr="00C2349A">
        <w:rPr>
          <w:sz w:val="32"/>
          <w:szCs w:val="32"/>
        </w:rPr>
        <w:t>主    席</w:t>
      </w:r>
      <w:r w:rsidRPr="00C2349A">
        <w:rPr>
          <w:rFonts w:hint="eastAsia"/>
          <w:sz w:val="32"/>
          <w:szCs w:val="32"/>
        </w:rPr>
        <w:t>：</w:t>
      </w:r>
      <w:r>
        <w:rPr>
          <w:rFonts w:hint="eastAsia"/>
          <w:sz w:val="32"/>
          <w:szCs w:val="32"/>
        </w:rPr>
        <w:t>鄭</w:t>
      </w:r>
      <w:r w:rsidRPr="00C2349A">
        <w:rPr>
          <w:sz w:val="32"/>
          <w:szCs w:val="32"/>
        </w:rPr>
        <w:t>召集委員</w:t>
      </w:r>
      <w:r>
        <w:rPr>
          <w:rFonts w:hint="eastAsia"/>
          <w:sz w:val="32"/>
          <w:szCs w:val="32"/>
        </w:rPr>
        <w:t>正鈐</w:t>
      </w:r>
    </w:p>
    <w:p w:rsidR="00B6184F" w:rsidRDefault="00B6184F" w:rsidP="00F035E0">
      <w:pPr>
        <w:snapToGrid w:val="0"/>
        <w:spacing w:line="500" w:lineRule="exact"/>
        <w:ind w:rightChars="9" w:right="22"/>
        <w:jc w:val="both"/>
        <w:rPr>
          <w:rFonts w:ascii="標楷體" w:eastAsia="標楷體" w:hAnsi="標楷體"/>
          <w:sz w:val="32"/>
          <w:szCs w:val="32"/>
        </w:rPr>
      </w:pPr>
      <w:r w:rsidRPr="00A279DC">
        <w:rPr>
          <w:rFonts w:ascii="標楷體" w:eastAsia="標楷體" w:hAnsi="標楷體" w:hint="eastAsia"/>
          <w:sz w:val="32"/>
          <w:szCs w:val="32"/>
        </w:rPr>
        <w:t>主任秘書：陳錫欽</w:t>
      </w:r>
    </w:p>
    <w:p w:rsidR="00B6184F" w:rsidRPr="008C78CE" w:rsidRDefault="00B6184F" w:rsidP="00F035E0">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朱蔚菁</w:t>
      </w:r>
    </w:p>
    <w:p w:rsidR="00B6184F" w:rsidRDefault="00B6184F" w:rsidP="00F035E0">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林素惠  簡任編審  蔡月秋  科長  蔡國治</w:t>
      </w:r>
    </w:p>
    <w:p w:rsidR="00B6184F" w:rsidRPr="00121576" w:rsidRDefault="00B6184F" w:rsidP="00F035E0">
      <w:pPr>
        <w:snapToGrid w:val="0"/>
        <w:spacing w:line="50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B6184F" w:rsidRDefault="00B6184F" w:rsidP="00F035E0">
      <w:pPr>
        <w:pStyle w:val="ac"/>
        <w:spacing w:line="460" w:lineRule="exact"/>
        <w:ind w:left="980" w:hanging="966"/>
        <w:contextualSpacing/>
        <w:rPr>
          <w:b/>
          <w:sz w:val="32"/>
          <w:szCs w:val="32"/>
        </w:rPr>
      </w:pPr>
      <w:r w:rsidRPr="0084281E">
        <w:rPr>
          <w:rFonts w:hint="eastAsia"/>
          <w:b/>
          <w:sz w:val="32"/>
          <w:szCs w:val="32"/>
        </w:rPr>
        <w:t>報  告  事  項</w:t>
      </w:r>
    </w:p>
    <w:p w:rsidR="00B6184F" w:rsidRPr="009B6966" w:rsidRDefault="00B6184F" w:rsidP="006934DD">
      <w:pPr>
        <w:pStyle w:val="a4"/>
        <w:numPr>
          <w:ilvl w:val="0"/>
          <w:numId w:val="34"/>
        </w:numPr>
        <w:snapToGrid w:val="0"/>
        <w:spacing w:line="500" w:lineRule="exact"/>
        <w:ind w:leftChars="0"/>
        <w:contextualSpacing/>
        <w:jc w:val="both"/>
        <w:rPr>
          <w:rFonts w:ascii="標楷體" w:eastAsia="標楷體"/>
          <w:b/>
          <w:sz w:val="32"/>
          <w:szCs w:val="32"/>
        </w:rPr>
      </w:pPr>
      <w:r w:rsidRPr="009B6966">
        <w:rPr>
          <w:rFonts w:ascii="標楷體" w:eastAsia="標楷體" w:hint="eastAsia"/>
          <w:b/>
          <w:sz w:val="32"/>
          <w:szCs w:val="32"/>
        </w:rPr>
        <w:t>宣讀上次會議議事錄。</w:t>
      </w:r>
    </w:p>
    <w:p w:rsidR="00B6184F" w:rsidRPr="009B6966" w:rsidRDefault="00B6184F" w:rsidP="00F035E0">
      <w:pPr>
        <w:snapToGrid w:val="0"/>
        <w:spacing w:line="500" w:lineRule="exact"/>
        <w:contextualSpacing/>
        <w:jc w:val="both"/>
        <w:rPr>
          <w:rFonts w:ascii="標楷體" w:eastAsia="標楷體" w:hAnsi="標楷體"/>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B6184F" w:rsidRPr="00B70DE2" w:rsidRDefault="00B6184F" w:rsidP="006934DD">
      <w:pPr>
        <w:numPr>
          <w:ilvl w:val="0"/>
          <w:numId w:val="34"/>
        </w:numPr>
        <w:snapToGrid w:val="0"/>
        <w:spacing w:before="120" w:line="460" w:lineRule="exact"/>
        <w:jc w:val="both"/>
        <w:rPr>
          <w:rFonts w:ascii="標楷體" w:eastAsia="標楷體"/>
          <w:b/>
          <w:sz w:val="32"/>
          <w:szCs w:val="32"/>
        </w:rPr>
      </w:pPr>
      <w:r w:rsidRPr="00B70DE2">
        <w:rPr>
          <w:rFonts w:ascii="標楷體" w:eastAsia="標楷體" w:hint="eastAsia"/>
          <w:b/>
          <w:sz w:val="32"/>
          <w:szCs w:val="32"/>
        </w:rPr>
        <w:t>國家科學及技術委員會主任委員吳政忠、經濟部部長王美花、衛生福利部部長薛瑞元、數位發展部部長唐鳳列席就「科技會報跨部會署科發基金計畫之各部會歷年執行成效」進行專題報告，並備質詢。</w:t>
      </w:r>
    </w:p>
    <w:p w:rsidR="00B6184F" w:rsidRPr="00B11197" w:rsidRDefault="00B6184F" w:rsidP="00F035E0">
      <w:pPr>
        <w:snapToGrid w:val="0"/>
        <w:spacing w:before="120" w:line="460" w:lineRule="exact"/>
        <w:jc w:val="both"/>
        <w:rPr>
          <w:rFonts w:ascii="標楷體" w:eastAsia="標楷體"/>
          <w:b/>
          <w:sz w:val="32"/>
          <w:szCs w:val="32"/>
        </w:rPr>
      </w:pPr>
      <w:r w:rsidRPr="00B11197">
        <w:rPr>
          <w:rFonts w:ascii="標楷體" w:eastAsia="標楷體" w:hAnsi="標楷體"/>
          <w:sz w:val="32"/>
          <w:szCs w:val="32"/>
        </w:rPr>
        <w:t>（本</w:t>
      </w:r>
      <w:r w:rsidRPr="00B11197">
        <w:rPr>
          <w:rFonts w:ascii="標楷體" w:eastAsia="標楷體" w:hAnsi="標楷體" w:hint="eastAsia"/>
          <w:sz w:val="32"/>
          <w:szCs w:val="32"/>
        </w:rPr>
        <w:t>次</w:t>
      </w:r>
      <w:r w:rsidRPr="00B11197">
        <w:rPr>
          <w:rFonts w:ascii="標楷體" w:eastAsia="標楷體" w:hAnsi="標楷體"/>
          <w:sz w:val="32"/>
          <w:szCs w:val="32"/>
        </w:rPr>
        <w:t>議程</w:t>
      </w:r>
      <w:r w:rsidRPr="00B11197">
        <w:rPr>
          <w:rFonts w:ascii="標楷體" w:eastAsia="標楷體" w:hAnsi="標楷體" w:hint="eastAsia"/>
          <w:sz w:val="32"/>
          <w:szCs w:val="32"/>
        </w:rPr>
        <w:t>有委員陳秀寳</w:t>
      </w:r>
      <w:r>
        <w:rPr>
          <w:rFonts w:ascii="標楷體" w:eastAsia="標楷體" w:hAnsi="標楷體" w:hint="eastAsia"/>
          <w:sz w:val="32"/>
          <w:szCs w:val="32"/>
        </w:rPr>
        <w:t>、</w:t>
      </w:r>
      <w:r w:rsidRPr="00B11197">
        <w:rPr>
          <w:rFonts w:ascii="標楷體" w:eastAsia="標楷體" w:hAnsi="標楷體" w:hint="eastAsia"/>
          <w:sz w:val="32"/>
          <w:szCs w:val="32"/>
        </w:rPr>
        <w:t>黃國書</w:t>
      </w:r>
      <w:r>
        <w:rPr>
          <w:rFonts w:ascii="標楷體" w:eastAsia="標楷體" w:hAnsi="標楷體" w:hint="eastAsia"/>
          <w:sz w:val="32"/>
          <w:szCs w:val="32"/>
        </w:rPr>
        <w:t>、</w:t>
      </w:r>
      <w:r w:rsidRPr="00B11197">
        <w:rPr>
          <w:rFonts w:ascii="標楷體" w:eastAsia="標楷體" w:hAnsi="標楷體" w:hint="eastAsia"/>
          <w:sz w:val="32"/>
          <w:szCs w:val="32"/>
        </w:rPr>
        <w:t>王婉諭</w:t>
      </w:r>
      <w:r>
        <w:rPr>
          <w:rFonts w:ascii="標楷體" w:eastAsia="標楷體" w:hAnsi="標楷體" w:hint="eastAsia"/>
          <w:sz w:val="32"/>
          <w:szCs w:val="32"/>
        </w:rPr>
        <w:t>、</w:t>
      </w:r>
      <w:r w:rsidRPr="00B11197">
        <w:rPr>
          <w:rFonts w:ascii="標楷體" w:eastAsia="標楷體" w:hAnsi="標楷體" w:hint="eastAsia"/>
          <w:sz w:val="32"/>
          <w:szCs w:val="32"/>
        </w:rPr>
        <w:t>林宜瑾</w:t>
      </w:r>
      <w:r>
        <w:rPr>
          <w:rFonts w:ascii="標楷體" w:eastAsia="標楷體" w:hAnsi="標楷體" w:hint="eastAsia"/>
          <w:sz w:val="32"/>
          <w:szCs w:val="32"/>
        </w:rPr>
        <w:t>、</w:t>
      </w:r>
      <w:r w:rsidRPr="00B11197">
        <w:rPr>
          <w:rFonts w:ascii="標楷體" w:eastAsia="標楷體" w:hAnsi="標楷體" w:hint="eastAsia"/>
          <w:sz w:val="32"/>
          <w:szCs w:val="32"/>
        </w:rPr>
        <w:t>賴品妤</w:t>
      </w:r>
      <w:r>
        <w:rPr>
          <w:rFonts w:ascii="標楷體" w:eastAsia="標楷體" w:hAnsi="標楷體" w:hint="eastAsia"/>
          <w:sz w:val="32"/>
          <w:szCs w:val="32"/>
        </w:rPr>
        <w:t>、</w:t>
      </w:r>
      <w:r w:rsidRPr="00B11197">
        <w:rPr>
          <w:rFonts w:ascii="標楷體" w:eastAsia="標楷體" w:hAnsi="標楷體" w:hint="eastAsia"/>
          <w:sz w:val="32"/>
          <w:szCs w:val="32"/>
        </w:rPr>
        <w:t>萬美玲</w:t>
      </w:r>
      <w:r>
        <w:rPr>
          <w:rFonts w:ascii="標楷體" w:eastAsia="標楷體" w:hAnsi="標楷體" w:hint="eastAsia"/>
          <w:sz w:val="32"/>
          <w:szCs w:val="32"/>
        </w:rPr>
        <w:t>、何欣純、</w:t>
      </w:r>
      <w:r w:rsidRPr="00B11197">
        <w:rPr>
          <w:rFonts w:ascii="標楷體" w:eastAsia="標楷體" w:hAnsi="標楷體" w:hint="eastAsia"/>
          <w:sz w:val="32"/>
          <w:szCs w:val="32"/>
        </w:rPr>
        <w:t>吳怡玎</w:t>
      </w:r>
      <w:r>
        <w:rPr>
          <w:rFonts w:ascii="標楷體" w:eastAsia="標楷體" w:hAnsi="標楷體" w:hint="eastAsia"/>
          <w:sz w:val="32"/>
          <w:szCs w:val="32"/>
        </w:rPr>
        <w:t>、</w:t>
      </w:r>
      <w:r w:rsidRPr="00B11197">
        <w:rPr>
          <w:rFonts w:ascii="標楷體" w:eastAsia="標楷體" w:hAnsi="標楷體" w:hint="eastAsia"/>
          <w:sz w:val="32"/>
          <w:szCs w:val="32"/>
        </w:rPr>
        <w:t>張廖萬堅</w:t>
      </w:r>
      <w:r>
        <w:rPr>
          <w:rFonts w:ascii="標楷體" w:eastAsia="標楷體" w:hAnsi="標楷體" w:hint="eastAsia"/>
          <w:sz w:val="32"/>
          <w:szCs w:val="32"/>
        </w:rPr>
        <w:t>、</w:t>
      </w:r>
      <w:r w:rsidRPr="00B11197">
        <w:rPr>
          <w:rFonts w:ascii="標楷體" w:eastAsia="標楷體" w:hAnsi="標楷體" w:hint="eastAsia"/>
          <w:sz w:val="32"/>
          <w:szCs w:val="32"/>
        </w:rPr>
        <w:t>吳思瑤</w:t>
      </w:r>
      <w:r>
        <w:rPr>
          <w:rFonts w:ascii="標楷體" w:eastAsia="標楷體" w:hAnsi="標楷體" w:hint="eastAsia"/>
          <w:sz w:val="32"/>
          <w:szCs w:val="32"/>
        </w:rPr>
        <w:t>、</w:t>
      </w:r>
      <w:r w:rsidRPr="00B11197">
        <w:rPr>
          <w:rFonts w:ascii="標楷體" w:eastAsia="標楷體" w:hAnsi="標楷體" w:hint="eastAsia"/>
          <w:sz w:val="32"/>
          <w:szCs w:val="32"/>
        </w:rPr>
        <w:t>鄭正鈐</w:t>
      </w:r>
      <w:r>
        <w:rPr>
          <w:rFonts w:ascii="標楷體" w:eastAsia="標楷體" w:hAnsi="標楷體" w:hint="eastAsia"/>
          <w:sz w:val="32"/>
          <w:szCs w:val="32"/>
        </w:rPr>
        <w:t>、</w:t>
      </w:r>
      <w:r w:rsidRPr="00B11197">
        <w:rPr>
          <w:rFonts w:ascii="標楷體" w:eastAsia="標楷體" w:hAnsi="標楷體" w:hint="eastAsia"/>
          <w:sz w:val="32"/>
          <w:szCs w:val="32"/>
        </w:rPr>
        <w:t>林奕華</w:t>
      </w:r>
      <w:r>
        <w:rPr>
          <w:rFonts w:ascii="標楷體" w:eastAsia="標楷體" w:hAnsi="標楷體" w:hint="eastAsia"/>
          <w:sz w:val="32"/>
          <w:szCs w:val="32"/>
        </w:rPr>
        <w:t>、</w:t>
      </w:r>
      <w:r w:rsidRPr="006829A5">
        <w:rPr>
          <w:rFonts w:ascii="標楷體" w:eastAsia="標楷體" w:hAnsi="標楷體" w:hint="eastAsia"/>
          <w:sz w:val="32"/>
          <w:szCs w:val="32"/>
        </w:rPr>
        <w:t>陳</w:t>
      </w:r>
      <w:r w:rsidRPr="006829A5">
        <w:rPr>
          <w:rFonts w:ascii="標楷體" w:eastAsia="標楷體" w:hAnsi="標楷體" w:hint="eastAsia"/>
          <w:sz w:val="32"/>
          <w:szCs w:val="32"/>
        </w:rPr>
        <w:lastRenderedPageBreak/>
        <w:t>椒華</w:t>
      </w:r>
      <w:r>
        <w:rPr>
          <w:rFonts w:ascii="標楷體" w:eastAsia="標楷體" w:hAnsi="標楷體" w:hint="eastAsia"/>
          <w:sz w:val="32"/>
          <w:szCs w:val="32"/>
        </w:rPr>
        <w:t>、</w:t>
      </w:r>
      <w:r w:rsidRPr="00B11197">
        <w:rPr>
          <w:rFonts w:ascii="標楷體" w:eastAsia="標楷體" w:hAnsi="標楷體" w:hint="eastAsia"/>
          <w:sz w:val="32"/>
          <w:szCs w:val="32"/>
        </w:rPr>
        <w:t>范雲</w:t>
      </w:r>
      <w:r>
        <w:rPr>
          <w:rFonts w:ascii="標楷體" w:eastAsia="標楷體" w:hAnsi="標楷體" w:hint="eastAsia"/>
          <w:sz w:val="32"/>
          <w:szCs w:val="32"/>
        </w:rPr>
        <w:t>、</w:t>
      </w:r>
      <w:r w:rsidRPr="0069553C">
        <w:rPr>
          <w:rFonts w:ascii="標楷體" w:eastAsia="標楷體" w:hAnsi="標楷體" w:hint="eastAsia"/>
          <w:sz w:val="32"/>
          <w:szCs w:val="32"/>
        </w:rPr>
        <w:t>李德維</w:t>
      </w:r>
      <w:r>
        <w:rPr>
          <w:rFonts w:ascii="標楷體" w:eastAsia="標楷體" w:hAnsi="標楷體" w:hint="eastAsia"/>
          <w:sz w:val="32"/>
          <w:szCs w:val="32"/>
        </w:rPr>
        <w:t>、</w:t>
      </w:r>
      <w:r w:rsidRPr="0069553C">
        <w:rPr>
          <w:rFonts w:ascii="標楷體" w:eastAsia="標楷體" w:hAnsi="標楷體" w:hint="eastAsia"/>
          <w:sz w:val="32"/>
          <w:szCs w:val="32"/>
        </w:rPr>
        <w:t>游毓蘭</w:t>
      </w:r>
      <w:r w:rsidRPr="00B11197">
        <w:rPr>
          <w:rFonts w:ascii="標楷體" w:eastAsia="標楷體" w:hAnsi="標楷體" w:hint="eastAsia"/>
          <w:sz w:val="32"/>
          <w:szCs w:val="32"/>
        </w:rPr>
        <w:t>等</w:t>
      </w:r>
      <w:r>
        <w:rPr>
          <w:rFonts w:ascii="標楷體" w:eastAsia="標楷體" w:hAnsi="標楷體" w:hint="eastAsia"/>
          <w:sz w:val="32"/>
          <w:szCs w:val="32"/>
        </w:rPr>
        <w:t>16</w:t>
      </w:r>
      <w:r w:rsidRPr="00B11197">
        <w:rPr>
          <w:rFonts w:ascii="標楷體" w:eastAsia="標楷體" w:hAnsi="標楷體"/>
          <w:sz w:val="32"/>
          <w:szCs w:val="32"/>
        </w:rPr>
        <w:t>人提出質詢，均經</w:t>
      </w:r>
      <w:r w:rsidRPr="00077089">
        <w:rPr>
          <w:rFonts w:ascii="標楷體" w:eastAsia="標楷體" w:hAnsi="標楷體" w:hint="eastAsia"/>
          <w:sz w:val="32"/>
          <w:szCs w:val="32"/>
        </w:rPr>
        <w:t>國家科學及技術委員會副主任委員林敏聰</w:t>
      </w:r>
      <w:r w:rsidRPr="00B11197">
        <w:rPr>
          <w:rFonts w:ascii="標楷體" w:eastAsia="標楷體" w:hAnsi="標楷體" w:hint="eastAsia"/>
          <w:sz w:val="32"/>
          <w:szCs w:val="32"/>
        </w:rPr>
        <w:t>、</w:t>
      </w:r>
      <w:r w:rsidRPr="00077089">
        <w:rPr>
          <w:rFonts w:ascii="標楷體" w:eastAsia="標楷體" w:hAnsi="標楷體" w:hint="eastAsia"/>
          <w:sz w:val="32"/>
          <w:szCs w:val="32"/>
        </w:rPr>
        <w:t>經濟部常務次長林全能</w:t>
      </w:r>
      <w:r>
        <w:rPr>
          <w:rFonts w:ascii="標楷體" w:eastAsia="標楷體" w:hAnsi="標楷體" w:hint="eastAsia"/>
          <w:sz w:val="32"/>
          <w:szCs w:val="32"/>
        </w:rPr>
        <w:t>、</w:t>
      </w:r>
      <w:r w:rsidRPr="00077089">
        <w:rPr>
          <w:rFonts w:ascii="標楷體" w:eastAsia="標楷體" w:hAnsi="標楷體" w:hint="eastAsia"/>
          <w:sz w:val="32"/>
          <w:szCs w:val="32"/>
        </w:rPr>
        <w:t>衛生福利部政務次長王必勝</w:t>
      </w:r>
      <w:r>
        <w:rPr>
          <w:rFonts w:ascii="標楷體" w:eastAsia="標楷體" w:hAnsi="標楷體" w:hint="eastAsia"/>
          <w:sz w:val="32"/>
          <w:szCs w:val="32"/>
        </w:rPr>
        <w:t>、</w:t>
      </w:r>
      <w:r w:rsidRPr="00077089">
        <w:rPr>
          <w:rFonts w:ascii="標楷體" w:eastAsia="標楷體" w:hAnsi="標楷體" w:hint="eastAsia"/>
          <w:sz w:val="32"/>
          <w:szCs w:val="32"/>
        </w:rPr>
        <w:t>數位發展部政務次長闕河鳴</w:t>
      </w:r>
      <w:r w:rsidRPr="00B11197">
        <w:rPr>
          <w:rFonts w:ascii="標楷體" w:eastAsia="標楷體" w:hAnsi="標楷體"/>
          <w:sz w:val="32"/>
          <w:szCs w:val="32"/>
        </w:rPr>
        <w:t>及相關人員即席答</w:t>
      </w:r>
      <w:r w:rsidRPr="00B11197">
        <w:rPr>
          <w:rFonts w:ascii="標楷體" w:eastAsia="標楷體" w:hAnsi="標楷體" w:hint="eastAsia"/>
          <w:sz w:val="32"/>
          <w:szCs w:val="32"/>
        </w:rPr>
        <w:t>復</w:t>
      </w:r>
      <w:r w:rsidRPr="00B11197">
        <w:rPr>
          <w:rFonts w:ascii="標楷體" w:eastAsia="標楷體" w:hAnsi="標楷體"/>
          <w:sz w:val="32"/>
          <w:szCs w:val="32"/>
        </w:rPr>
        <w:t>說明</w:t>
      </w:r>
      <w:r>
        <w:rPr>
          <w:rFonts w:ascii="標楷體" w:eastAsia="標楷體" w:hAnsi="標楷體" w:hint="eastAsia"/>
          <w:sz w:val="32"/>
          <w:szCs w:val="32"/>
        </w:rPr>
        <w:t>。</w:t>
      </w:r>
      <w:r w:rsidRPr="00B11197">
        <w:rPr>
          <w:rFonts w:ascii="標楷體" w:eastAsia="標楷體" w:hAnsi="標楷體"/>
          <w:sz w:val="32"/>
          <w:szCs w:val="32"/>
        </w:rPr>
        <w:t>）</w:t>
      </w:r>
    </w:p>
    <w:p w:rsidR="00B6184F" w:rsidRPr="0000524E" w:rsidRDefault="00B6184F" w:rsidP="00F035E0">
      <w:pPr>
        <w:snapToGrid w:val="0"/>
        <w:spacing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B6184F" w:rsidRPr="0000524E" w:rsidRDefault="00B6184F" w:rsidP="00F035E0">
      <w:pPr>
        <w:snapToGrid w:val="0"/>
        <w:spacing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B6184F" w:rsidRPr="0000524E" w:rsidRDefault="00B6184F" w:rsidP="00F035E0">
      <w:pPr>
        <w:snapToGrid w:val="0"/>
        <w:spacing w:line="500" w:lineRule="exact"/>
        <w:ind w:left="640" w:hangingChars="200" w:hanging="640"/>
        <w:contextualSpacing/>
        <w:rPr>
          <w:rFonts w:ascii="標楷體" w:eastAsia="標楷體" w:hAnsi="標楷體"/>
          <w:bCs/>
          <w:sz w:val="32"/>
          <w:szCs w:val="32"/>
        </w:rPr>
      </w:pP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B6184F" w:rsidRDefault="00B6184F" w:rsidP="008227EE">
      <w:pPr>
        <w:snapToGrid w:val="0"/>
        <w:spacing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B6184F" w:rsidRDefault="00B6184F" w:rsidP="00F035E0">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B6184F" w:rsidRDefault="00B6184F">
      <w:pPr>
        <w:widowControl/>
        <w:rPr>
          <w:rFonts w:ascii="標楷體" w:eastAsia="標楷體" w:hAnsi="標楷體"/>
          <w:b/>
          <w:bCs/>
          <w:sz w:val="32"/>
          <w:szCs w:val="32"/>
        </w:rPr>
      </w:pPr>
      <w:r>
        <w:rPr>
          <w:rFonts w:ascii="標楷體" w:eastAsia="標楷體" w:hAnsi="標楷體"/>
          <w:b/>
          <w:bCs/>
          <w:sz w:val="32"/>
          <w:szCs w:val="32"/>
        </w:rPr>
        <w:br w:type="page"/>
      </w:r>
    </w:p>
    <w:p w:rsidR="00B6184F" w:rsidRPr="00D92739" w:rsidRDefault="00B6184F" w:rsidP="00B6184F">
      <w:pPr>
        <w:pStyle w:val="01-45"/>
        <w:rPr>
          <w:position w:val="2"/>
        </w:rPr>
      </w:pPr>
      <w:bookmarkStart w:id="167" w:name="_Toc126068183"/>
      <w:r w:rsidRPr="00D92739">
        <w:rPr>
          <w:rFonts w:hint="eastAsia"/>
        </w:rPr>
        <w:lastRenderedPageBreak/>
        <w:t>立法院第</w:t>
      </w:r>
      <w:r>
        <w:rPr>
          <w:rFonts w:hint="eastAsia"/>
        </w:rPr>
        <w:t>10</w:t>
      </w:r>
      <w:r w:rsidRPr="00D92739">
        <w:rPr>
          <w:rFonts w:hint="eastAsia"/>
        </w:rPr>
        <w:t>屆第</w:t>
      </w:r>
      <w:r>
        <w:rPr>
          <w:rFonts w:hint="eastAsia"/>
        </w:rPr>
        <w:t>6</w:t>
      </w:r>
      <w:r w:rsidRPr="00D92739">
        <w:rPr>
          <w:rFonts w:hint="eastAsia"/>
        </w:rPr>
        <w:t>會期教育及文化委員會第</w:t>
      </w:r>
      <w:r>
        <w:rPr>
          <w:rFonts w:hint="eastAsia"/>
        </w:rPr>
        <w:t>1</w:t>
      </w:r>
      <w:r>
        <w:t>0</w:t>
      </w:r>
      <w:r w:rsidRPr="00D92739">
        <w:rPr>
          <w:rFonts w:hint="eastAsia"/>
        </w:rPr>
        <w:t>次全體委員會議議事錄</w:t>
      </w:r>
      <w:bookmarkEnd w:id="167"/>
    </w:p>
    <w:p w:rsidR="00B6184F" w:rsidRDefault="00B6184F" w:rsidP="00F035E0">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8227EE">
        <w:rPr>
          <w:rFonts w:ascii="標楷體" w:eastAsia="標楷體" w:hAnsi="標楷體"/>
          <w:kern w:val="0"/>
          <w:sz w:val="32"/>
          <w:szCs w:val="32"/>
          <w:fitText w:val="1600" w:id="-1323544320"/>
        </w:rPr>
        <w:t>時    間：</w:t>
      </w:r>
      <w:r w:rsidRPr="00214CF8">
        <w:rPr>
          <w:rFonts w:ascii="標楷體" w:eastAsia="標楷體" w:hAnsi="標楷體" w:hint="eastAsia"/>
          <w:spacing w:val="-32"/>
          <w:kern w:val="0"/>
          <w:sz w:val="32"/>
          <w:szCs w:val="32"/>
        </w:rPr>
        <w:t>中華民國</w:t>
      </w:r>
      <w:r>
        <w:rPr>
          <w:rFonts w:ascii="標楷體" w:eastAsia="標楷體" w:hAnsi="標楷體"/>
          <w:spacing w:val="-32"/>
          <w:kern w:val="0"/>
          <w:sz w:val="32"/>
          <w:szCs w:val="32"/>
        </w:rPr>
        <w:t>111</w:t>
      </w:r>
      <w:r w:rsidRPr="00214CF8">
        <w:rPr>
          <w:rFonts w:ascii="標楷體" w:eastAsia="標楷體" w:hAnsi="標楷體" w:hint="eastAsia"/>
          <w:spacing w:val="-32"/>
          <w:kern w:val="0"/>
          <w:sz w:val="32"/>
          <w:szCs w:val="32"/>
        </w:rPr>
        <w:t>年</w:t>
      </w:r>
      <w:r>
        <w:rPr>
          <w:rFonts w:ascii="標楷體" w:eastAsia="標楷體" w:hAnsi="標楷體"/>
          <w:spacing w:val="-32"/>
          <w:kern w:val="0"/>
          <w:sz w:val="32"/>
          <w:szCs w:val="32"/>
        </w:rPr>
        <w:t>11</w:t>
      </w:r>
      <w:r w:rsidRPr="00214CF8">
        <w:rPr>
          <w:rFonts w:ascii="標楷體" w:eastAsia="標楷體" w:hAnsi="標楷體" w:hint="eastAsia"/>
          <w:spacing w:val="-32"/>
          <w:kern w:val="0"/>
          <w:sz w:val="32"/>
          <w:szCs w:val="32"/>
        </w:rPr>
        <w:t>月</w:t>
      </w:r>
      <w:r>
        <w:rPr>
          <w:rFonts w:ascii="標楷體" w:eastAsia="標楷體" w:hAnsi="標楷體"/>
          <w:spacing w:val="-32"/>
          <w:kern w:val="0"/>
          <w:sz w:val="32"/>
          <w:szCs w:val="32"/>
        </w:rPr>
        <w:t>23</w:t>
      </w:r>
      <w:r>
        <w:rPr>
          <w:rFonts w:ascii="標楷體" w:eastAsia="標楷體" w:hAnsi="標楷體" w:hint="eastAsia"/>
          <w:spacing w:val="-32"/>
          <w:kern w:val="0"/>
          <w:sz w:val="32"/>
          <w:szCs w:val="32"/>
        </w:rPr>
        <w:t>日（星期三</w:t>
      </w:r>
      <w:r w:rsidRPr="00214CF8">
        <w:rPr>
          <w:rFonts w:ascii="標楷體" w:eastAsia="標楷體" w:hAnsi="標楷體" w:hint="eastAsia"/>
          <w:spacing w:val="-32"/>
          <w:kern w:val="0"/>
          <w:sz w:val="32"/>
          <w:szCs w:val="32"/>
        </w:rPr>
        <w:t>）上午9時</w:t>
      </w:r>
      <w:r>
        <w:rPr>
          <w:rFonts w:ascii="標楷體" w:eastAsia="標楷體" w:hAnsi="標楷體" w:hint="eastAsia"/>
          <w:spacing w:val="-32"/>
          <w:kern w:val="0"/>
          <w:sz w:val="32"/>
          <w:szCs w:val="32"/>
        </w:rPr>
        <w:t>2分</w:t>
      </w:r>
      <w:r w:rsidRPr="00214CF8">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1</w:t>
      </w:r>
      <w:r>
        <w:rPr>
          <w:rFonts w:ascii="標楷體" w:eastAsia="標楷體" w:hAnsi="標楷體"/>
          <w:spacing w:val="-32"/>
          <w:kern w:val="0"/>
          <w:sz w:val="32"/>
          <w:szCs w:val="32"/>
        </w:rPr>
        <w:t>2</w:t>
      </w:r>
      <w:r w:rsidRPr="00214CF8">
        <w:rPr>
          <w:rFonts w:ascii="標楷體" w:eastAsia="標楷體" w:hAnsi="標楷體" w:hint="eastAsia"/>
          <w:spacing w:val="-32"/>
          <w:kern w:val="0"/>
          <w:sz w:val="32"/>
          <w:szCs w:val="32"/>
        </w:rPr>
        <w:t>時</w:t>
      </w:r>
      <w:r>
        <w:rPr>
          <w:rFonts w:ascii="標楷體" w:eastAsia="標楷體" w:hAnsi="標楷體"/>
          <w:spacing w:val="-32"/>
          <w:kern w:val="0"/>
          <w:sz w:val="32"/>
          <w:szCs w:val="32"/>
        </w:rPr>
        <w:t>36</w:t>
      </w:r>
      <w:r w:rsidRPr="00214CF8">
        <w:rPr>
          <w:rFonts w:ascii="標楷體" w:eastAsia="標楷體" w:hAnsi="標楷體" w:hint="eastAsia"/>
          <w:spacing w:val="-32"/>
          <w:kern w:val="0"/>
          <w:sz w:val="32"/>
          <w:szCs w:val="32"/>
        </w:rPr>
        <w:t>分</w:t>
      </w:r>
    </w:p>
    <w:p w:rsidR="00B6184F" w:rsidRDefault="00B6184F" w:rsidP="00F035E0">
      <w:pPr>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B6184F" w:rsidRDefault="00B6184F" w:rsidP="00F035E0">
      <w:pPr>
        <w:snapToGrid w:val="0"/>
        <w:spacing w:line="48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：萬美玲  范  雲  黃國書  何欣純  陳秀寳</w:t>
      </w:r>
      <w:r w:rsidRPr="00201F2C">
        <w:rPr>
          <w:rFonts w:ascii="標楷體" w:eastAsia="標楷體" w:hAnsi="標楷體" w:hint="eastAsia"/>
          <w:sz w:val="32"/>
          <w:szCs w:val="32"/>
        </w:rPr>
        <w:t xml:space="preserve">  張廖萬堅</w:t>
      </w:r>
    </w:p>
    <w:p w:rsidR="00B6184F" w:rsidRDefault="00B6184F" w:rsidP="00F035E0">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王婉諭  林宜瑾  吳思瑤  林奕華  賴品妤  鄭正鈐</w:t>
      </w:r>
    </w:p>
    <w:p w:rsidR="00B6184F" w:rsidRDefault="00B6184F" w:rsidP="00F035E0">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吳怡玎</w:t>
      </w:r>
    </w:p>
    <w:p w:rsidR="00B6184F" w:rsidRDefault="00B6184F" w:rsidP="00F035E0">
      <w:pPr>
        <w:snapToGrid w:val="0"/>
        <w:spacing w:line="480" w:lineRule="exact"/>
        <w:ind w:leftChars="2" w:left="5"/>
        <w:jc w:val="both"/>
        <w:rPr>
          <w:rFonts w:ascii="標楷體" w:eastAsia="標楷體" w:hAnsi="標楷體"/>
          <w:sz w:val="32"/>
          <w:szCs w:val="32"/>
        </w:rPr>
      </w:pPr>
      <w:r w:rsidRPr="00FA4E8F">
        <w:rPr>
          <w:rFonts w:ascii="標楷體" w:eastAsia="標楷體" w:hAnsi="標楷體" w:hint="eastAsia"/>
          <w:sz w:val="32"/>
          <w:szCs w:val="32"/>
        </w:rPr>
        <w:t xml:space="preserve">          委員出席</w:t>
      </w:r>
      <w:r>
        <w:rPr>
          <w:rFonts w:ascii="標楷體" w:eastAsia="標楷體" w:hAnsi="標楷體"/>
          <w:sz w:val="32"/>
          <w:szCs w:val="32"/>
        </w:rPr>
        <w:t>13</w:t>
      </w:r>
      <w:r w:rsidRPr="00FA4E8F">
        <w:rPr>
          <w:rFonts w:ascii="標楷體" w:eastAsia="標楷體" w:hAnsi="標楷體" w:hint="eastAsia"/>
          <w:sz w:val="32"/>
          <w:szCs w:val="32"/>
        </w:rPr>
        <w:t>人</w:t>
      </w:r>
    </w:p>
    <w:p w:rsidR="00B6184F" w:rsidRDefault="00B6184F" w:rsidP="00F035E0">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請假委員：高金素梅</w:t>
      </w:r>
    </w:p>
    <w:p w:rsidR="00B6184F" w:rsidRDefault="00B6184F" w:rsidP="00F035E0">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委員請假1人</w:t>
      </w:r>
    </w:p>
    <w:p w:rsidR="00B6184F" w:rsidRDefault="00B6184F" w:rsidP="00F035E0">
      <w:pPr>
        <w:snapToGrid w:val="0"/>
        <w:spacing w:line="48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蘇巧慧  陳椒華  林德福  李德維  李貴敏  楊瓊瓔</w:t>
      </w:r>
    </w:p>
    <w:p w:rsidR="00B6184F" w:rsidRDefault="00B6184F" w:rsidP="00F035E0">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張其祿  曾銘宗  高嘉瑜</w:t>
      </w:r>
    </w:p>
    <w:p w:rsidR="00B6184F" w:rsidRPr="008C78CE" w:rsidRDefault="00B6184F" w:rsidP="00F035E0">
      <w:pPr>
        <w:snapToGrid w:val="0"/>
        <w:spacing w:line="480" w:lineRule="exact"/>
        <w:ind w:left="1920" w:rightChars="9" w:right="22" w:hangingChars="600" w:hanging="1920"/>
        <w:jc w:val="both"/>
        <w:rPr>
          <w:rFonts w:ascii="標楷體" w:eastAsia="標楷體" w:hAnsi="標楷體"/>
          <w:position w:val="2"/>
          <w:sz w:val="32"/>
          <w:szCs w:val="32"/>
        </w:rPr>
      </w:pPr>
      <w:r>
        <w:rPr>
          <w:rFonts w:ascii="標楷體" w:eastAsia="標楷體" w:hAnsi="標楷體" w:hint="eastAsia"/>
          <w:sz w:val="32"/>
          <w:szCs w:val="32"/>
        </w:rPr>
        <w:t xml:space="preserve">          </w:t>
      </w:r>
      <w:r>
        <w:rPr>
          <w:rFonts w:ascii="標楷體" w:eastAsia="標楷體" w:hAnsi="標楷體"/>
          <w:position w:val="2"/>
          <w:sz w:val="32"/>
          <w:szCs w:val="32"/>
        </w:rPr>
        <w:t>委員列</w:t>
      </w:r>
      <w:r>
        <w:rPr>
          <w:rFonts w:ascii="標楷體" w:eastAsia="標楷體" w:hAnsi="標楷體" w:hint="eastAsia"/>
          <w:position w:val="2"/>
          <w:sz w:val="32"/>
          <w:szCs w:val="32"/>
        </w:rPr>
        <w:t>席</w:t>
      </w:r>
      <w:r>
        <w:rPr>
          <w:rFonts w:ascii="標楷體" w:eastAsia="標楷體" w:hAnsi="標楷體"/>
          <w:position w:val="2"/>
          <w:sz w:val="32"/>
          <w:szCs w:val="32"/>
        </w:rPr>
        <w:t>9</w:t>
      </w:r>
      <w:r w:rsidRPr="008C78CE">
        <w:rPr>
          <w:rFonts w:ascii="標楷體" w:eastAsia="標楷體" w:hAnsi="標楷體"/>
          <w:position w:val="2"/>
          <w:sz w:val="32"/>
          <w:szCs w:val="32"/>
        </w:rPr>
        <w:t>人</w:t>
      </w:r>
    </w:p>
    <w:p w:rsidR="00B6184F" w:rsidRDefault="00B6184F" w:rsidP="00F035E0">
      <w:pPr>
        <w:pStyle w:val="ac"/>
        <w:spacing w:line="500" w:lineRule="exact"/>
        <w:ind w:left="975" w:hanging="964"/>
        <w:contextualSpacing/>
        <w:rPr>
          <w:sz w:val="32"/>
          <w:szCs w:val="32"/>
        </w:rPr>
      </w:pPr>
      <w:r w:rsidRPr="00ED0FE7">
        <w:rPr>
          <w:sz w:val="32"/>
          <w:szCs w:val="32"/>
        </w:rPr>
        <w:t>列席人員</w:t>
      </w:r>
      <w:r w:rsidRPr="00ED0FE7">
        <w:rPr>
          <w:rFonts w:hint="eastAsia"/>
          <w:sz w:val="32"/>
          <w:szCs w:val="32"/>
        </w:rPr>
        <w:t>：</w:t>
      </w:r>
      <w:r>
        <w:rPr>
          <w:rFonts w:hint="eastAsia"/>
          <w:sz w:val="32"/>
          <w:szCs w:val="32"/>
        </w:rPr>
        <w:t xml:space="preserve">中央研究院院長                </w:t>
      </w:r>
      <w:r w:rsidRPr="005B7656">
        <w:rPr>
          <w:rFonts w:hint="eastAsia"/>
          <w:sz w:val="32"/>
          <w:szCs w:val="32"/>
        </w:rPr>
        <w:t>廖俊智</w:t>
      </w:r>
      <w:r w:rsidRPr="00A279DC">
        <w:rPr>
          <w:rFonts w:hint="eastAsia"/>
          <w:sz w:val="32"/>
          <w:szCs w:val="32"/>
        </w:rPr>
        <w:t>率同有關人員</w:t>
      </w:r>
    </w:p>
    <w:p w:rsidR="00B6184F" w:rsidRDefault="00B6184F" w:rsidP="00F035E0">
      <w:pPr>
        <w:pStyle w:val="ac"/>
        <w:spacing w:line="500" w:lineRule="exact"/>
        <w:ind w:left="975" w:hanging="964"/>
        <w:contextualSpacing/>
        <w:rPr>
          <w:spacing w:val="-2"/>
          <w:position w:val="2"/>
          <w:sz w:val="32"/>
          <w:szCs w:val="32"/>
        </w:rPr>
      </w:pPr>
      <w:r>
        <w:rPr>
          <w:rFonts w:hint="eastAsia"/>
          <w:sz w:val="32"/>
          <w:szCs w:val="32"/>
        </w:rPr>
        <w:t xml:space="preserve">          </w:t>
      </w:r>
      <w:r w:rsidRPr="005B7656">
        <w:rPr>
          <w:rFonts w:hint="eastAsia"/>
          <w:sz w:val="32"/>
          <w:szCs w:val="32"/>
        </w:rPr>
        <w:t>行政院主計總處公務預算處簡任視察</w:t>
      </w:r>
      <w:r>
        <w:rPr>
          <w:rFonts w:hint="eastAsia"/>
          <w:sz w:val="32"/>
          <w:szCs w:val="32"/>
        </w:rPr>
        <w:t xml:space="preserve">          </w:t>
      </w:r>
      <w:r w:rsidRPr="005B7656">
        <w:rPr>
          <w:rFonts w:hint="eastAsia"/>
          <w:sz w:val="32"/>
          <w:szCs w:val="32"/>
        </w:rPr>
        <w:t>王前鎧</w:t>
      </w:r>
    </w:p>
    <w:p w:rsidR="00B6184F" w:rsidRDefault="00B6184F" w:rsidP="00F035E0">
      <w:pPr>
        <w:pStyle w:val="ac"/>
        <w:spacing w:line="500" w:lineRule="exact"/>
        <w:ind w:left="975" w:hanging="964"/>
        <w:contextualSpacing/>
        <w:rPr>
          <w:spacing w:val="-2"/>
          <w:position w:val="2"/>
          <w:sz w:val="32"/>
          <w:szCs w:val="32"/>
        </w:rPr>
      </w:pPr>
      <w:r>
        <w:rPr>
          <w:rFonts w:hint="eastAsia"/>
          <w:spacing w:val="-2"/>
          <w:position w:val="2"/>
          <w:sz w:val="32"/>
          <w:szCs w:val="32"/>
        </w:rPr>
        <w:t xml:space="preserve">      </w:t>
      </w:r>
      <w:r w:rsidRPr="00A63688">
        <w:rPr>
          <w:rFonts w:hint="eastAsia"/>
          <w:spacing w:val="-2"/>
          <w:position w:val="2"/>
          <w:sz w:val="36"/>
          <w:szCs w:val="32"/>
        </w:rPr>
        <w:t xml:space="preserve"> </w:t>
      </w:r>
      <w:r>
        <w:rPr>
          <w:rFonts w:hint="eastAsia"/>
          <w:spacing w:val="-2"/>
          <w:position w:val="2"/>
          <w:sz w:val="32"/>
          <w:szCs w:val="32"/>
        </w:rPr>
        <w:t xml:space="preserve"> </w:t>
      </w:r>
      <w:r w:rsidRPr="00A63688">
        <w:rPr>
          <w:rFonts w:hint="eastAsia"/>
          <w:spacing w:val="-2"/>
          <w:position w:val="2"/>
          <w:sz w:val="32"/>
          <w:szCs w:val="32"/>
        </w:rPr>
        <w:t xml:space="preserve"> </w:t>
      </w:r>
      <w:r>
        <w:rPr>
          <w:rFonts w:hint="eastAsia"/>
          <w:spacing w:val="-2"/>
          <w:position w:val="2"/>
          <w:sz w:val="32"/>
          <w:szCs w:val="32"/>
        </w:rPr>
        <w:t xml:space="preserve"> </w:t>
      </w:r>
      <w:r w:rsidRPr="005B7656">
        <w:rPr>
          <w:rFonts w:hint="eastAsia"/>
          <w:spacing w:val="-2"/>
          <w:position w:val="2"/>
          <w:sz w:val="32"/>
          <w:szCs w:val="32"/>
        </w:rPr>
        <w:t>行政院主計總處基金預算處科長</w:t>
      </w:r>
      <w:r>
        <w:rPr>
          <w:rFonts w:hint="eastAsia"/>
          <w:spacing w:val="-2"/>
          <w:position w:val="2"/>
          <w:sz w:val="32"/>
          <w:szCs w:val="32"/>
        </w:rPr>
        <w:t xml:space="preserve">               </w:t>
      </w:r>
      <w:r w:rsidRPr="005B7656">
        <w:rPr>
          <w:rFonts w:hint="eastAsia"/>
          <w:spacing w:val="-2"/>
          <w:position w:val="2"/>
          <w:sz w:val="32"/>
          <w:szCs w:val="32"/>
        </w:rPr>
        <w:t>柳雅斐</w:t>
      </w:r>
    </w:p>
    <w:p w:rsidR="00B6184F" w:rsidRPr="006C6684" w:rsidRDefault="00B6184F" w:rsidP="00F035E0">
      <w:pPr>
        <w:pStyle w:val="ac"/>
        <w:spacing w:line="500" w:lineRule="exact"/>
        <w:ind w:left="975" w:hanging="964"/>
        <w:contextualSpacing/>
        <w:rPr>
          <w:sz w:val="32"/>
          <w:szCs w:val="32"/>
        </w:rPr>
      </w:pPr>
      <w:r w:rsidRPr="00C2349A">
        <w:rPr>
          <w:sz w:val="32"/>
          <w:szCs w:val="32"/>
        </w:rPr>
        <w:t>主    席</w:t>
      </w:r>
      <w:r w:rsidRPr="00C2349A">
        <w:rPr>
          <w:rFonts w:hint="eastAsia"/>
          <w:sz w:val="32"/>
          <w:szCs w:val="32"/>
        </w:rPr>
        <w:t>：</w:t>
      </w:r>
      <w:r>
        <w:rPr>
          <w:rFonts w:hint="eastAsia"/>
          <w:sz w:val="32"/>
          <w:szCs w:val="32"/>
        </w:rPr>
        <w:t>鄭</w:t>
      </w:r>
      <w:r w:rsidRPr="00C2349A">
        <w:rPr>
          <w:sz w:val="32"/>
          <w:szCs w:val="32"/>
        </w:rPr>
        <w:t>召集委員</w:t>
      </w:r>
      <w:r>
        <w:rPr>
          <w:rFonts w:hint="eastAsia"/>
          <w:sz w:val="32"/>
          <w:szCs w:val="32"/>
        </w:rPr>
        <w:t>正鈐</w:t>
      </w:r>
    </w:p>
    <w:p w:rsidR="00B6184F" w:rsidRDefault="00B6184F" w:rsidP="00F035E0">
      <w:pPr>
        <w:snapToGrid w:val="0"/>
        <w:spacing w:line="500" w:lineRule="exact"/>
        <w:ind w:rightChars="9" w:right="22"/>
        <w:jc w:val="both"/>
        <w:rPr>
          <w:rFonts w:ascii="標楷體" w:eastAsia="標楷體" w:hAnsi="標楷體"/>
          <w:sz w:val="32"/>
          <w:szCs w:val="32"/>
        </w:rPr>
      </w:pPr>
      <w:r w:rsidRPr="00A279DC">
        <w:rPr>
          <w:rFonts w:ascii="標楷體" w:eastAsia="標楷體" w:hAnsi="標楷體" w:hint="eastAsia"/>
          <w:sz w:val="32"/>
          <w:szCs w:val="32"/>
        </w:rPr>
        <w:t>主任秘書：陳錫欽</w:t>
      </w:r>
    </w:p>
    <w:p w:rsidR="00B6184F" w:rsidRPr="008C78CE" w:rsidRDefault="00B6184F" w:rsidP="00F035E0">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朱蔚菁</w:t>
      </w:r>
    </w:p>
    <w:p w:rsidR="00B6184F" w:rsidRDefault="00B6184F" w:rsidP="00F035E0">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林素惠  簡任編審  蔡月秋  科長  蔡國治</w:t>
      </w:r>
    </w:p>
    <w:p w:rsidR="00B6184F" w:rsidRPr="00121576" w:rsidRDefault="00B6184F" w:rsidP="00F035E0">
      <w:pPr>
        <w:snapToGrid w:val="0"/>
        <w:spacing w:line="50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B6184F" w:rsidRDefault="00B6184F" w:rsidP="00F035E0">
      <w:pPr>
        <w:pStyle w:val="ac"/>
        <w:spacing w:line="460" w:lineRule="exact"/>
        <w:ind w:left="980" w:hanging="966"/>
        <w:contextualSpacing/>
        <w:rPr>
          <w:b/>
          <w:sz w:val="32"/>
          <w:szCs w:val="32"/>
        </w:rPr>
      </w:pPr>
      <w:r w:rsidRPr="0084281E">
        <w:rPr>
          <w:rFonts w:hint="eastAsia"/>
          <w:b/>
          <w:sz w:val="32"/>
          <w:szCs w:val="32"/>
        </w:rPr>
        <w:t>報  告  事  項</w:t>
      </w:r>
    </w:p>
    <w:p w:rsidR="00B6184F" w:rsidRPr="009B6966" w:rsidRDefault="00B6184F" w:rsidP="006934DD">
      <w:pPr>
        <w:pStyle w:val="a4"/>
        <w:numPr>
          <w:ilvl w:val="0"/>
          <w:numId w:val="35"/>
        </w:numPr>
        <w:snapToGrid w:val="0"/>
        <w:spacing w:line="500" w:lineRule="exact"/>
        <w:ind w:leftChars="0"/>
        <w:contextualSpacing/>
        <w:jc w:val="both"/>
        <w:rPr>
          <w:rFonts w:ascii="標楷體" w:eastAsia="標楷體"/>
          <w:b/>
          <w:sz w:val="32"/>
          <w:szCs w:val="32"/>
        </w:rPr>
      </w:pPr>
      <w:r w:rsidRPr="009B6966">
        <w:rPr>
          <w:rFonts w:ascii="標楷體" w:eastAsia="標楷體" w:hint="eastAsia"/>
          <w:b/>
          <w:sz w:val="32"/>
          <w:szCs w:val="32"/>
        </w:rPr>
        <w:t>宣讀上次會議議事錄。</w:t>
      </w:r>
    </w:p>
    <w:p w:rsidR="00B6184F" w:rsidRPr="009B6966" w:rsidRDefault="00B6184F" w:rsidP="00F035E0">
      <w:pPr>
        <w:snapToGrid w:val="0"/>
        <w:spacing w:line="500" w:lineRule="exact"/>
        <w:contextualSpacing/>
        <w:jc w:val="both"/>
        <w:rPr>
          <w:rFonts w:ascii="標楷體" w:eastAsia="標楷體" w:hAnsi="標楷體"/>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B6184F" w:rsidRPr="005B7656" w:rsidRDefault="00B6184F" w:rsidP="006934DD">
      <w:pPr>
        <w:numPr>
          <w:ilvl w:val="0"/>
          <w:numId w:val="35"/>
        </w:numPr>
        <w:rPr>
          <w:rFonts w:ascii="標楷體" w:eastAsia="標楷體"/>
          <w:b/>
          <w:sz w:val="32"/>
          <w:szCs w:val="32"/>
        </w:rPr>
      </w:pPr>
      <w:r w:rsidRPr="005B7656">
        <w:rPr>
          <w:rFonts w:ascii="標楷體" w:eastAsia="標楷體" w:hint="eastAsia"/>
          <w:b/>
          <w:sz w:val="32"/>
          <w:szCs w:val="32"/>
        </w:rPr>
        <w:t>中央研究院院長廖俊智列席報告業務概況，並備質詢。</w:t>
      </w:r>
    </w:p>
    <w:p w:rsidR="00B6184F" w:rsidRDefault="00B6184F" w:rsidP="00F035E0">
      <w:pPr>
        <w:pStyle w:val="a4"/>
        <w:snapToGrid w:val="0"/>
        <w:spacing w:afterLines="50" w:after="180" w:line="460" w:lineRule="exact"/>
        <w:ind w:leftChars="0" w:left="0"/>
        <w:rPr>
          <w:rFonts w:ascii="標楷體" w:eastAsia="標楷體" w:hAnsi="標楷體"/>
          <w:b/>
          <w:sz w:val="32"/>
          <w:szCs w:val="32"/>
        </w:rPr>
      </w:pPr>
      <w:r w:rsidRPr="00AE0707">
        <w:rPr>
          <w:rFonts w:ascii="標楷體" w:eastAsia="標楷體" w:hAnsi="標楷體" w:hint="eastAsia"/>
          <w:b/>
          <w:sz w:val="32"/>
          <w:szCs w:val="32"/>
        </w:rPr>
        <w:t>討  論  事  項</w:t>
      </w:r>
    </w:p>
    <w:p w:rsidR="00B6184F" w:rsidRPr="005B7656" w:rsidRDefault="00B6184F" w:rsidP="006934DD">
      <w:pPr>
        <w:widowControl/>
        <w:numPr>
          <w:ilvl w:val="0"/>
          <w:numId w:val="36"/>
        </w:numPr>
        <w:snapToGrid w:val="0"/>
        <w:spacing w:before="120"/>
        <w:jc w:val="both"/>
        <w:rPr>
          <w:rFonts w:ascii="標楷體" w:eastAsia="標楷體" w:hAnsi="標楷體" w:cs="新細明體"/>
          <w:b/>
          <w:bCs/>
          <w:kern w:val="0"/>
          <w:sz w:val="32"/>
          <w:szCs w:val="32"/>
        </w:rPr>
      </w:pPr>
      <w:r w:rsidRPr="005B7656">
        <w:rPr>
          <w:rFonts w:ascii="標楷體" w:eastAsia="標楷體" w:hAnsi="標楷體" w:cs="新細明體" w:hint="eastAsia"/>
          <w:b/>
          <w:bCs/>
          <w:kern w:val="0"/>
          <w:sz w:val="32"/>
          <w:szCs w:val="32"/>
        </w:rPr>
        <w:t>審查112年度中央政府總預算案有關中央研究院單位預算案。</w:t>
      </w:r>
    </w:p>
    <w:p w:rsidR="00B6184F" w:rsidRPr="005B7656" w:rsidRDefault="00B6184F" w:rsidP="006934DD">
      <w:pPr>
        <w:widowControl/>
        <w:numPr>
          <w:ilvl w:val="0"/>
          <w:numId w:val="36"/>
        </w:numPr>
        <w:snapToGrid w:val="0"/>
        <w:spacing w:before="120"/>
        <w:jc w:val="both"/>
        <w:rPr>
          <w:rFonts w:ascii="標楷體" w:eastAsia="標楷體" w:hAnsi="標楷體" w:cs="新細明體"/>
          <w:b/>
          <w:bCs/>
          <w:kern w:val="0"/>
          <w:sz w:val="32"/>
          <w:szCs w:val="32"/>
        </w:rPr>
      </w:pPr>
      <w:r w:rsidRPr="005B7656">
        <w:rPr>
          <w:rFonts w:ascii="標楷體" w:eastAsia="標楷體" w:hAnsi="標楷體" w:cs="新細明體" w:hint="eastAsia"/>
          <w:b/>
          <w:bCs/>
          <w:kern w:val="0"/>
          <w:sz w:val="32"/>
          <w:szCs w:val="32"/>
        </w:rPr>
        <w:t>審查112年度中央政府總預算案有關中央研究院科學研究基金附屬單位預算案。</w:t>
      </w:r>
    </w:p>
    <w:p w:rsidR="00B6184F" w:rsidRPr="005B7656" w:rsidRDefault="00B6184F" w:rsidP="00F035E0">
      <w:pPr>
        <w:snapToGrid w:val="0"/>
        <w:spacing w:before="120" w:line="460" w:lineRule="exact"/>
        <w:jc w:val="both"/>
        <w:rPr>
          <w:rFonts w:ascii="標楷體" w:eastAsia="標楷體"/>
          <w:b/>
          <w:sz w:val="32"/>
          <w:szCs w:val="32"/>
        </w:rPr>
      </w:pPr>
      <w:r>
        <w:rPr>
          <w:rFonts w:ascii="標楷體" w:eastAsia="標楷體" w:hAnsi="標楷體" w:cs="新細明體" w:hint="eastAsia"/>
          <w:bCs/>
          <w:kern w:val="0"/>
          <w:sz w:val="32"/>
          <w:szCs w:val="32"/>
        </w:rPr>
        <w:lastRenderedPageBreak/>
        <w:t>（僅進行詢答</w:t>
      </w:r>
      <w:r w:rsidRPr="00BA0625">
        <w:rPr>
          <w:rFonts w:ascii="標楷體" w:eastAsia="標楷體" w:hAnsi="標楷體" w:cs="新細明體" w:hint="eastAsia"/>
          <w:bCs/>
          <w:kern w:val="0"/>
          <w:sz w:val="32"/>
          <w:szCs w:val="32"/>
        </w:rPr>
        <w:t>）</w:t>
      </w:r>
    </w:p>
    <w:p w:rsidR="00B6184F" w:rsidRPr="00B11197" w:rsidRDefault="00B6184F" w:rsidP="00F035E0">
      <w:pPr>
        <w:snapToGrid w:val="0"/>
        <w:spacing w:before="120" w:line="460" w:lineRule="exact"/>
        <w:jc w:val="both"/>
        <w:rPr>
          <w:rFonts w:ascii="標楷體" w:eastAsia="標楷體"/>
          <w:b/>
          <w:sz w:val="32"/>
          <w:szCs w:val="32"/>
        </w:rPr>
      </w:pPr>
      <w:r w:rsidRPr="00B11197">
        <w:rPr>
          <w:rFonts w:ascii="標楷體" w:eastAsia="標楷體" w:hAnsi="標楷體"/>
          <w:sz w:val="32"/>
          <w:szCs w:val="32"/>
        </w:rPr>
        <w:t>（本</w:t>
      </w:r>
      <w:r w:rsidRPr="00B11197">
        <w:rPr>
          <w:rFonts w:ascii="標楷體" w:eastAsia="標楷體" w:hAnsi="標楷體" w:hint="eastAsia"/>
          <w:sz w:val="32"/>
          <w:szCs w:val="32"/>
        </w:rPr>
        <w:t>次</w:t>
      </w:r>
      <w:r w:rsidRPr="00B11197">
        <w:rPr>
          <w:rFonts w:ascii="標楷體" w:eastAsia="標楷體" w:hAnsi="標楷體"/>
          <w:sz w:val="32"/>
          <w:szCs w:val="32"/>
        </w:rPr>
        <w:t>議程</w:t>
      </w:r>
      <w:r>
        <w:rPr>
          <w:rFonts w:ascii="標楷體" w:eastAsia="標楷體" w:hAnsi="標楷體" w:hint="eastAsia"/>
          <w:sz w:val="32"/>
          <w:szCs w:val="32"/>
        </w:rPr>
        <w:t>採綜合詢答，</w:t>
      </w:r>
      <w:r w:rsidRPr="00B11197">
        <w:rPr>
          <w:rFonts w:ascii="標楷體" w:eastAsia="標楷體" w:hAnsi="標楷體" w:hint="eastAsia"/>
          <w:sz w:val="32"/>
          <w:szCs w:val="32"/>
        </w:rPr>
        <w:t>有委員萬美玲</w:t>
      </w:r>
      <w:r>
        <w:rPr>
          <w:rFonts w:ascii="標楷體" w:eastAsia="標楷體" w:hAnsi="標楷體" w:hint="eastAsia"/>
          <w:sz w:val="32"/>
          <w:szCs w:val="32"/>
        </w:rPr>
        <w:t>、</w:t>
      </w:r>
      <w:r w:rsidRPr="00B11197">
        <w:rPr>
          <w:rFonts w:ascii="標楷體" w:eastAsia="標楷體" w:hAnsi="標楷體" w:hint="eastAsia"/>
          <w:sz w:val="32"/>
          <w:szCs w:val="32"/>
        </w:rPr>
        <w:t>范雲</w:t>
      </w:r>
      <w:r>
        <w:rPr>
          <w:rFonts w:ascii="標楷體" w:eastAsia="標楷體" w:hAnsi="標楷體" w:hint="eastAsia"/>
          <w:sz w:val="32"/>
          <w:szCs w:val="32"/>
        </w:rPr>
        <w:t>、</w:t>
      </w:r>
      <w:r w:rsidRPr="00B11197">
        <w:rPr>
          <w:rFonts w:ascii="標楷體" w:eastAsia="標楷體" w:hAnsi="標楷體" w:hint="eastAsia"/>
          <w:sz w:val="32"/>
          <w:szCs w:val="32"/>
        </w:rPr>
        <w:t>黃國書</w:t>
      </w:r>
      <w:r>
        <w:rPr>
          <w:rFonts w:ascii="標楷體" w:eastAsia="標楷體" w:hAnsi="標楷體" w:hint="eastAsia"/>
          <w:sz w:val="32"/>
          <w:szCs w:val="32"/>
        </w:rPr>
        <w:t>、</w:t>
      </w:r>
      <w:r w:rsidRPr="00B11197">
        <w:rPr>
          <w:rFonts w:ascii="標楷體" w:eastAsia="標楷體" w:hAnsi="標楷體" w:hint="eastAsia"/>
          <w:sz w:val="32"/>
          <w:szCs w:val="32"/>
        </w:rPr>
        <w:t>張廖萬堅</w:t>
      </w:r>
      <w:r>
        <w:rPr>
          <w:rFonts w:ascii="標楷體" w:eastAsia="標楷體" w:hAnsi="標楷體" w:hint="eastAsia"/>
          <w:sz w:val="32"/>
          <w:szCs w:val="32"/>
        </w:rPr>
        <w:t>、</w:t>
      </w:r>
      <w:r w:rsidRPr="00B11197">
        <w:rPr>
          <w:rFonts w:ascii="標楷體" w:eastAsia="標楷體" w:hAnsi="標楷體" w:hint="eastAsia"/>
          <w:sz w:val="32"/>
          <w:szCs w:val="32"/>
        </w:rPr>
        <w:t>王婉諭</w:t>
      </w:r>
      <w:r>
        <w:rPr>
          <w:rFonts w:ascii="標楷體" w:eastAsia="標楷體" w:hAnsi="標楷體" w:hint="eastAsia"/>
          <w:sz w:val="32"/>
          <w:szCs w:val="32"/>
        </w:rPr>
        <w:t>、</w:t>
      </w:r>
      <w:r w:rsidRPr="00B11197">
        <w:rPr>
          <w:rFonts w:ascii="標楷體" w:eastAsia="標楷體" w:hAnsi="標楷體" w:hint="eastAsia"/>
          <w:sz w:val="32"/>
          <w:szCs w:val="32"/>
        </w:rPr>
        <w:t>陳秀寳</w:t>
      </w:r>
      <w:r>
        <w:rPr>
          <w:rFonts w:ascii="標楷體" w:eastAsia="標楷體" w:hAnsi="標楷體" w:hint="eastAsia"/>
          <w:sz w:val="32"/>
          <w:szCs w:val="32"/>
        </w:rPr>
        <w:t>、</w:t>
      </w:r>
      <w:r w:rsidRPr="00B11197">
        <w:rPr>
          <w:rFonts w:ascii="標楷體" w:eastAsia="標楷體" w:hAnsi="標楷體" w:hint="eastAsia"/>
          <w:sz w:val="32"/>
          <w:szCs w:val="32"/>
        </w:rPr>
        <w:t>林宜瑾</w:t>
      </w:r>
      <w:r>
        <w:rPr>
          <w:rFonts w:ascii="標楷體" w:eastAsia="標楷體" w:hAnsi="標楷體" w:hint="eastAsia"/>
          <w:sz w:val="32"/>
          <w:szCs w:val="32"/>
        </w:rPr>
        <w:t>、</w:t>
      </w:r>
      <w:r w:rsidRPr="00B11197">
        <w:rPr>
          <w:rFonts w:ascii="標楷體" w:eastAsia="標楷體" w:hAnsi="標楷體" w:hint="eastAsia"/>
          <w:sz w:val="32"/>
          <w:szCs w:val="32"/>
        </w:rPr>
        <w:t>林奕華</w:t>
      </w:r>
      <w:r>
        <w:rPr>
          <w:rFonts w:ascii="標楷體" w:eastAsia="標楷體" w:hAnsi="標楷體" w:hint="eastAsia"/>
          <w:sz w:val="32"/>
          <w:szCs w:val="32"/>
        </w:rPr>
        <w:t>、</w:t>
      </w:r>
      <w:r w:rsidRPr="00B11197">
        <w:rPr>
          <w:rFonts w:ascii="標楷體" w:eastAsia="標楷體" w:hAnsi="標楷體" w:hint="eastAsia"/>
          <w:sz w:val="32"/>
          <w:szCs w:val="32"/>
        </w:rPr>
        <w:t>鄭正鈐</w:t>
      </w:r>
      <w:r>
        <w:rPr>
          <w:rFonts w:ascii="標楷體" w:eastAsia="標楷體" w:hAnsi="標楷體" w:hint="eastAsia"/>
          <w:sz w:val="32"/>
          <w:szCs w:val="32"/>
        </w:rPr>
        <w:t>、</w:t>
      </w:r>
      <w:r w:rsidRPr="00B11197">
        <w:rPr>
          <w:rFonts w:ascii="標楷體" w:eastAsia="標楷體" w:hAnsi="標楷體" w:hint="eastAsia"/>
          <w:sz w:val="32"/>
          <w:szCs w:val="32"/>
        </w:rPr>
        <w:t>賴品妤</w:t>
      </w:r>
      <w:r>
        <w:rPr>
          <w:rFonts w:ascii="標楷體" w:eastAsia="標楷體" w:hAnsi="標楷體" w:hint="eastAsia"/>
          <w:sz w:val="32"/>
          <w:szCs w:val="32"/>
        </w:rPr>
        <w:t>、</w:t>
      </w:r>
      <w:r w:rsidRPr="00B11197">
        <w:rPr>
          <w:rFonts w:ascii="標楷體" w:eastAsia="標楷體" w:hAnsi="標楷體" w:hint="eastAsia"/>
          <w:sz w:val="32"/>
          <w:szCs w:val="32"/>
        </w:rPr>
        <w:t>吳思瑤</w:t>
      </w:r>
      <w:r>
        <w:rPr>
          <w:rFonts w:ascii="標楷體" w:eastAsia="標楷體" w:hAnsi="標楷體" w:hint="eastAsia"/>
          <w:sz w:val="32"/>
          <w:szCs w:val="32"/>
        </w:rPr>
        <w:t>、楊瓊瓔、</w:t>
      </w:r>
      <w:r w:rsidRPr="0069553C">
        <w:rPr>
          <w:rFonts w:ascii="標楷體" w:eastAsia="標楷體" w:hAnsi="標楷體" w:hint="eastAsia"/>
          <w:sz w:val="32"/>
          <w:szCs w:val="32"/>
        </w:rPr>
        <w:t>李德維</w:t>
      </w:r>
      <w:r>
        <w:rPr>
          <w:rFonts w:ascii="標楷體" w:eastAsia="標楷體" w:hAnsi="標楷體" w:hint="eastAsia"/>
          <w:sz w:val="32"/>
          <w:szCs w:val="32"/>
        </w:rPr>
        <w:t>、</w:t>
      </w:r>
      <w:r w:rsidRPr="006829A5">
        <w:rPr>
          <w:rFonts w:ascii="標楷體" w:eastAsia="標楷體" w:hAnsi="標楷體" w:hint="eastAsia"/>
          <w:sz w:val="32"/>
          <w:szCs w:val="32"/>
        </w:rPr>
        <w:t>陳椒華</w:t>
      </w:r>
      <w:r>
        <w:rPr>
          <w:rFonts w:ascii="標楷體" w:eastAsia="標楷體" w:hAnsi="標楷體" w:hint="eastAsia"/>
          <w:sz w:val="32"/>
          <w:szCs w:val="32"/>
        </w:rPr>
        <w:t>、</w:t>
      </w:r>
      <w:r w:rsidRPr="00B11197">
        <w:rPr>
          <w:rFonts w:ascii="標楷體" w:eastAsia="標楷體" w:hAnsi="標楷體" w:hint="eastAsia"/>
          <w:sz w:val="32"/>
          <w:szCs w:val="32"/>
        </w:rPr>
        <w:t>吳怡玎</w:t>
      </w:r>
      <w:r>
        <w:rPr>
          <w:rFonts w:ascii="標楷體" w:eastAsia="標楷體" w:hAnsi="標楷體" w:hint="eastAsia"/>
          <w:sz w:val="32"/>
          <w:szCs w:val="32"/>
        </w:rPr>
        <w:t>、張其祿</w:t>
      </w:r>
      <w:r w:rsidRPr="00B11197">
        <w:rPr>
          <w:rFonts w:ascii="標楷體" w:eastAsia="標楷體" w:hAnsi="標楷體" w:hint="eastAsia"/>
          <w:sz w:val="32"/>
          <w:szCs w:val="32"/>
        </w:rPr>
        <w:t>等</w:t>
      </w:r>
      <w:r>
        <w:rPr>
          <w:rFonts w:ascii="標楷體" w:eastAsia="標楷體" w:hAnsi="標楷體" w:hint="eastAsia"/>
          <w:sz w:val="32"/>
          <w:szCs w:val="32"/>
        </w:rPr>
        <w:t>16</w:t>
      </w:r>
      <w:r w:rsidRPr="00B11197">
        <w:rPr>
          <w:rFonts w:ascii="標楷體" w:eastAsia="標楷體" w:hAnsi="標楷體"/>
          <w:sz w:val="32"/>
          <w:szCs w:val="32"/>
        </w:rPr>
        <w:t>人提出質詢，均經</w:t>
      </w:r>
      <w:r>
        <w:rPr>
          <w:rFonts w:ascii="標楷體" w:eastAsia="標楷體" w:hAnsi="標楷體" w:hint="eastAsia"/>
          <w:sz w:val="32"/>
          <w:szCs w:val="32"/>
        </w:rPr>
        <w:t>中央研究院院長廖俊智</w:t>
      </w:r>
      <w:r w:rsidRPr="00B11197">
        <w:rPr>
          <w:rFonts w:ascii="標楷體" w:eastAsia="標楷體" w:hAnsi="標楷體"/>
          <w:sz w:val="32"/>
          <w:szCs w:val="32"/>
        </w:rPr>
        <w:t>及相關人員即席答</w:t>
      </w:r>
      <w:r w:rsidRPr="00B11197">
        <w:rPr>
          <w:rFonts w:ascii="標楷體" w:eastAsia="標楷體" w:hAnsi="標楷體" w:hint="eastAsia"/>
          <w:sz w:val="32"/>
          <w:szCs w:val="32"/>
        </w:rPr>
        <w:t>復</w:t>
      </w:r>
      <w:r w:rsidRPr="00B11197">
        <w:rPr>
          <w:rFonts w:ascii="標楷體" w:eastAsia="標楷體" w:hAnsi="標楷體"/>
          <w:sz w:val="32"/>
          <w:szCs w:val="32"/>
        </w:rPr>
        <w:t>說明</w:t>
      </w:r>
      <w:r>
        <w:rPr>
          <w:rFonts w:ascii="標楷體" w:eastAsia="標楷體" w:hAnsi="標楷體" w:hint="eastAsia"/>
          <w:sz w:val="32"/>
          <w:szCs w:val="32"/>
        </w:rPr>
        <w:t>。另有委員何欣純提出書面質詢。</w:t>
      </w:r>
      <w:r w:rsidRPr="00B11197">
        <w:rPr>
          <w:rFonts w:ascii="標楷體" w:eastAsia="標楷體" w:hAnsi="標楷體"/>
          <w:sz w:val="32"/>
          <w:szCs w:val="32"/>
        </w:rPr>
        <w:t>）</w:t>
      </w:r>
    </w:p>
    <w:p w:rsidR="00B6184F" w:rsidRPr="005B7656" w:rsidRDefault="00B6184F" w:rsidP="00F035E0">
      <w:pPr>
        <w:snapToGrid w:val="0"/>
        <w:spacing w:line="500" w:lineRule="exact"/>
        <w:ind w:left="641" w:hangingChars="200" w:hanging="641"/>
        <w:contextualSpacing/>
        <w:rPr>
          <w:rFonts w:ascii="標楷體" w:eastAsia="標楷體" w:hAnsi="標楷體"/>
          <w:b/>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B6184F" w:rsidRPr="0000524E" w:rsidRDefault="00B6184F" w:rsidP="00F035E0">
      <w:pPr>
        <w:snapToGrid w:val="0"/>
        <w:spacing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B6184F" w:rsidRPr="0000524E" w:rsidRDefault="00B6184F" w:rsidP="00F035E0">
      <w:pPr>
        <w:snapToGrid w:val="0"/>
        <w:spacing w:line="500" w:lineRule="exact"/>
        <w:ind w:left="640" w:hangingChars="200" w:hanging="640"/>
        <w:contextualSpacing/>
        <w:rPr>
          <w:rFonts w:ascii="標楷體" w:eastAsia="標楷體" w:hAnsi="標楷體"/>
          <w:bCs/>
          <w:sz w:val="32"/>
          <w:szCs w:val="32"/>
        </w:rPr>
      </w:pP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B6184F" w:rsidRDefault="00B6184F" w:rsidP="00F035E0">
      <w:pPr>
        <w:snapToGrid w:val="0"/>
        <w:spacing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B6184F" w:rsidRDefault="00B6184F" w:rsidP="00F035E0">
      <w:pPr>
        <w:snapToGrid w:val="0"/>
        <w:spacing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四、</w:t>
      </w:r>
      <w:r w:rsidRPr="005B7656">
        <w:rPr>
          <w:rFonts w:ascii="標楷體" w:eastAsia="標楷體" w:hAnsi="標楷體" w:hint="eastAsia"/>
          <w:bCs/>
          <w:sz w:val="32"/>
          <w:szCs w:val="32"/>
        </w:rPr>
        <w:t>11</w:t>
      </w:r>
      <w:r>
        <w:rPr>
          <w:rFonts w:ascii="標楷體" w:eastAsia="標楷體" w:hAnsi="標楷體"/>
          <w:bCs/>
          <w:sz w:val="32"/>
          <w:szCs w:val="32"/>
        </w:rPr>
        <w:t>2</w:t>
      </w:r>
      <w:r w:rsidRPr="005B7656">
        <w:rPr>
          <w:rFonts w:ascii="標楷體" w:eastAsia="標楷體" w:hAnsi="標楷體" w:hint="eastAsia"/>
          <w:bCs/>
          <w:sz w:val="32"/>
          <w:szCs w:val="32"/>
        </w:rPr>
        <w:t>年度中央政府總預算案有關中央研究院單位預算案及科學研究基金附屬單位預算案，相關提案請於</w:t>
      </w:r>
      <w:r>
        <w:rPr>
          <w:rFonts w:ascii="標楷體" w:eastAsia="標楷體" w:hAnsi="標楷體"/>
          <w:bCs/>
          <w:sz w:val="32"/>
          <w:szCs w:val="32"/>
        </w:rPr>
        <w:t>12</w:t>
      </w:r>
      <w:r w:rsidRPr="005B7656">
        <w:rPr>
          <w:rFonts w:ascii="標楷體" w:eastAsia="標楷體" w:hAnsi="標楷體" w:hint="eastAsia"/>
          <w:bCs/>
          <w:sz w:val="32"/>
          <w:szCs w:val="32"/>
        </w:rPr>
        <w:t>月</w:t>
      </w:r>
      <w:r>
        <w:rPr>
          <w:rFonts w:ascii="標楷體" w:eastAsia="標楷體" w:hAnsi="標楷體"/>
          <w:bCs/>
          <w:sz w:val="32"/>
          <w:szCs w:val="32"/>
        </w:rPr>
        <w:t>1</w:t>
      </w:r>
      <w:r w:rsidRPr="005B7656">
        <w:rPr>
          <w:rFonts w:ascii="標楷體" w:eastAsia="標楷體" w:hAnsi="標楷體" w:hint="eastAsia"/>
          <w:bCs/>
          <w:sz w:val="32"/>
          <w:szCs w:val="32"/>
        </w:rPr>
        <w:t>日下午</w:t>
      </w:r>
      <w:r>
        <w:rPr>
          <w:rFonts w:ascii="標楷體" w:eastAsia="標楷體" w:hAnsi="標楷體"/>
          <w:bCs/>
          <w:sz w:val="32"/>
          <w:szCs w:val="32"/>
        </w:rPr>
        <w:t>3</w:t>
      </w:r>
      <w:r w:rsidRPr="005B7656">
        <w:rPr>
          <w:rFonts w:ascii="標楷體" w:eastAsia="標楷體" w:hAnsi="標楷體" w:hint="eastAsia"/>
          <w:bCs/>
          <w:sz w:val="32"/>
          <w:szCs w:val="32"/>
        </w:rPr>
        <w:t>時前提出，另定期繼續審查。</w:t>
      </w:r>
    </w:p>
    <w:p w:rsidR="00B6184F" w:rsidRDefault="00B6184F" w:rsidP="00F035E0">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B6184F" w:rsidRDefault="00B6184F" w:rsidP="00F035E0">
      <w:pPr>
        <w:snapToGrid w:val="0"/>
        <w:spacing w:line="460" w:lineRule="exact"/>
        <w:ind w:rightChars="9" w:right="22"/>
        <w:jc w:val="both"/>
        <w:rPr>
          <w:rFonts w:ascii="標楷體" w:eastAsia="標楷體" w:hAnsi="標楷體"/>
          <w:b/>
          <w:bCs/>
          <w:sz w:val="32"/>
          <w:szCs w:val="32"/>
        </w:rPr>
      </w:pPr>
    </w:p>
    <w:p w:rsidR="00273897" w:rsidRDefault="00273897" w:rsidP="00273897">
      <w:pPr>
        <w:snapToGrid w:val="0"/>
        <w:spacing w:line="460" w:lineRule="exact"/>
        <w:ind w:rightChars="9" w:right="22"/>
        <w:jc w:val="both"/>
        <w:rPr>
          <w:rFonts w:ascii="標楷體" w:eastAsia="標楷體" w:hAnsi="標楷體"/>
          <w:b/>
          <w:bCs/>
          <w:sz w:val="32"/>
          <w:szCs w:val="32"/>
        </w:rPr>
      </w:pPr>
    </w:p>
    <w:p w:rsidR="00273897" w:rsidRPr="008F7885" w:rsidRDefault="00273897" w:rsidP="00273897">
      <w:pPr>
        <w:snapToGrid w:val="0"/>
        <w:spacing w:line="460" w:lineRule="exact"/>
        <w:ind w:rightChars="9" w:right="22"/>
        <w:jc w:val="both"/>
        <w:rPr>
          <w:rFonts w:ascii="標楷體" w:eastAsia="標楷體" w:hAnsi="標楷體"/>
          <w:b/>
          <w:bCs/>
          <w:sz w:val="32"/>
          <w:szCs w:val="32"/>
        </w:rPr>
      </w:pPr>
    </w:p>
    <w:p w:rsidR="00273897" w:rsidRDefault="00273897" w:rsidP="00273897">
      <w:pPr>
        <w:snapToGrid w:val="0"/>
        <w:spacing w:line="460" w:lineRule="exact"/>
        <w:ind w:rightChars="9" w:right="22"/>
        <w:jc w:val="both"/>
        <w:rPr>
          <w:rFonts w:ascii="標楷體" w:eastAsia="標楷體" w:hAnsi="標楷體"/>
          <w:b/>
          <w:bCs/>
          <w:sz w:val="32"/>
          <w:szCs w:val="32"/>
        </w:rPr>
      </w:pPr>
    </w:p>
    <w:bookmarkEnd w:id="154"/>
    <w:bookmarkEnd w:id="155"/>
    <w:bookmarkEnd w:id="156"/>
    <w:bookmarkEnd w:id="157"/>
    <w:p w:rsidR="00B6184F" w:rsidRDefault="00B6184F">
      <w:pPr>
        <w:widowControl/>
        <w:rPr>
          <w:rFonts w:ascii="標楷體" w:eastAsia="標楷體" w:hAnsi="標楷體"/>
          <w:b/>
          <w:bCs/>
          <w:color w:val="000000" w:themeColor="text1"/>
          <w:spacing w:val="-12"/>
          <w:sz w:val="32"/>
          <w:szCs w:val="32"/>
        </w:rPr>
      </w:pPr>
      <w:r>
        <w:rPr>
          <w:color w:val="000000" w:themeColor="text1"/>
        </w:rPr>
        <w:br w:type="page"/>
      </w:r>
    </w:p>
    <w:p w:rsidR="00B6184F" w:rsidRPr="00D92739" w:rsidRDefault="00B6184F" w:rsidP="00B6184F">
      <w:pPr>
        <w:pStyle w:val="01-45"/>
        <w:rPr>
          <w:position w:val="2"/>
        </w:rPr>
      </w:pPr>
      <w:bookmarkStart w:id="168" w:name="_Toc126068184"/>
      <w:r w:rsidRPr="00D92739">
        <w:rPr>
          <w:rFonts w:hint="eastAsia"/>
        </w:rPr>
        <w:lastRenderedPageBreak/>
        <w:t>立法院第</w:t>
      </w:r>
      <w:r>
        <w:rPr>
          <w:rFonts w:hint="eastAsia"/>
        </w:rPr>
        <w:t>10</w:t>
      </w:r>
      <w:r w:rsidRPr="00D92739">
        <w:rPr>
          <w:rFonts w:hint="eastAsia"/>
        </w:rPr>
        <w:t>屆第</w:t>
      </w:r>
      <w:r>
        <w:rPr>
          <w:rFonts w:hint="eastAsia"/>
        </w:rPr>
        <w:t>6</w:t>
      </w:r>
      <w:r w:rsidRPr="00D92739">
        <w:rPr>
          <w:rFonts w:hint="eastAsia"/>
        </w:rPr>
        <w:t>會期教育及文化委員會第</w:t>
      </w:r>
      <w:r>
        <w:t>11</w:t>
      </w:r>
      <w:r w:rsidRPr="00D92739">
        <w:rPr>
          <w:rFonts w:hint="eastAsia"/>
        </w:rPr>
        <w:t>次全體委員會議議事錄</w:t>
      </w:r>
      <w:bookmarkEnd w:id="168"/>
    </w:p>
    <w:p w:rsidR="00B6184F" w:rsidRDefault="00B6184F" w:rsidP="00F035E0">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BD6099">
        <w:rPr>
          <w:rFonts w:ascii="標楷體" w:eastAsia="標楷體" w:hAnsi="標楷體"/>
          <w:kern w:val="0"/>
          <w:sz w:val="32"/>
          <w:szCs w:val="32"/>
          <w:fitText w:val="1600" w:id="-1323544064"/>
        </w:rPr>
        <w:t>時    間：</w:t>
      </w:r>
      <w:r w:rsidRPr="00214CF8">
        <w:rPr>
          <w:rFonts w:ascii="標楷體" w:eastAsia="標楷體" w:hAnsi="標楷體" w:hint="eastAsia"/>
          <w:spacing w:val="-32"/>
          <w:kern w:val="0"/>
          <w:sz w:val="32"/>
          <w:szCs w:val="32"/>
        </w:rPr>
        <w:t>中華民國</w:t>
      </w:r>
      <w:r>
        <w:rPr>
          <w:rFonts w:ascii="標楷體" w:eastAsia="標楷體" w:hAnsi="標楷體"/>
          <w:spacing w:val="-32"/>
          <w:kern w:val="0"/>
          <w:sz w:val="32"/>
          <w:szCs w:val="32"/>
        </w:rPr>
        <w:t>111</w:t>
      </w:r>
      <w:r w:rsidRPr="00214CF8">
        <w:rPr>
          <w:rFonts w:ascii="標楷體" w:eastAsia="標楷體" w:hAnsi="標楷體" w:hint="eastAsia"/>
          <w:spacing w:val="-32"/>
          <w:kern w:val="0"/>
          <w:sz w:val="32"/>
          <w:szCs w:val="32"/>
        </w:rPr>
        <w:t>年</w:t>
      </w:r>
      <w:r>
        <w:rPr>
          <w:rFonts w:ascii="標楷體" w:eastAsia="標楷體" w:hAnsi="標楷體"/>
          <w:spacing w:val="-32"/>
          <w:kern w:val="0"/>
          <w:sz w:val="32"/>
          <w:szCs w:val="32"/>
        </w:rPr>
        <w:t>11</w:t>
      </w:r>
      <w:r w:rsidRPr="00214CF8">
        <w:rPr>
          <w:rFonts w:ascii="標楷體" w:eastAsia="標楷體" w:hAnsi="標楷體" w:hint="eastAsia"/>
          <w:spacing w:val="-32"/>
          <w:kern w:val="0"/>
          <w:sz w:val="32"/>
          <w:szCs w:val="32"/>
        </w:rPr>
        <w:t>月</w:t>
      </w:r>
      <w:r>
        <w:rPr>
          <w:rFonts w:ascii="標楷體" w:eastAsia="標楷體" w:hAnsi="標楷體"/>
          <w:spacing w:val="-32"/>
          <w:kern w:val="0"/>
          <w:sz w:val="32"/>
          <w:szCs w:val="32"/>
        </w:rPr>
        <w:t>24</w:t>
      </w:r>
      <w:r>
        <w:rPr>
          <w:rFonts w:ascii="標楷體" w:eastAsia="標楷體" w:hAnsi="標楷體" w:hint="eastAsia"/>
          <w:spacing w:val="-32"/>
          <w:kern w:val="0"/>
          <w:sz w:val="32"/>
          <w:szCs w:val="32"/>
        </w:rPr>
        <w:t>日（星期四</w:t>
      </w:r>
      <w:r w:rsidRPr="00214CF8">
        <w:rPr>
          <w:rFonts w:ascii="標楷體" w:eastAsia="標楷體" w:hAnsi="標楷體" w:hint="eastAsia"/>
          <w:spacing w:val="-32"/>
          <w:kern w:val="0"/>
          <w:sz w:val="32"/>
          <w:szCs w:val="32"/>
        </w:rPr>
        <w:t>）上午9時</w:t>
      </w:r>
      <w:r>
        <w:rPr>
          <w:rFonts w:ascii="標楷體" w:eastAsia="標楷體" w:hAnsi="標楷體" w:hint="eastAsia"/>
          <w:spacing w:val="-32"/>
          <w:kern w:val="0"/>
          <w:sz w:val="32"/>
          <w:szCs w:val="32"/>
        </w:rPr>
        <w:t>1分</w:t>
      </w:r>
      <w:r w:rsidRPr="00214CF8">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1</w:t>
      </w:r>
      <w:r>
        <w:rPr>
          <w:rFonts w:ascii="標楷體" w:eastAsia="標楷體" w:hAnsi="標楷體"/>
          <w:spacing w:val="-32"/>
          <w:kern w:val="0"/>
          <w:sz w:val="32"/>
          <w:szCs w:val="32"/>
        </w:rPr>
        <w:t>2</w:t>
      </w:r>
      <w:r w:rsidRPr="00214CF8">
        <w:rPr>
          <w:rFonts w:ascii="標楷體" w:eastAsia="標楷體" w:hAnsi="標楷體" w:hint="eastAsia"/>
          <w:spacing w:val="-32"/>
          <w:kern w:val="0"/>
          <w:sz w:val="32"/>
          <w:szCs w:val="32"/>
        </w:rPr>
        <w:t>時</w:t>
      </w:r>
      <w:r>
        <w:rPr>
          <w:rFonts w:ascii="標楷體" w:eastAsia="標楷體" w:hAnsi="標楷體"/>
          <w:spacing w:val="-32"/>
          <w:kern w:val="0"/>
          <w:sz w:val="32"/>
          <w:szCs w:val="32"/>
        </w:rPr>
        <w:t>2</w:t>
      </w:r>
      <w:r w:rsidRPr="00214CF8">
        <w:rPr>
          <w:rFonts w:ascii="標楷體" w:eastAsia="標楷體" w:hAnsi="標楷體" w:hint="eastAsia"/>
          <w:spacing w:val="-32"/>
          <w:kern w:val="0"/>
          <w:sz w:val="32"/>
          <w:szCs w:val="32"/>
        </w:rPr>
        <w:t>分</w:t>
      </w:r>
    </w:p>
    <w:p w:rsidR="00B6184F" w:rsidRDefault="00B6184F" w:rsidP="00F035E0">
      <w:pPr>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B6184F" w:rsidRDefault="00B6184F" w:rsidP="00F035E0">
      <w:pPr>
        <w:snapToGrid w:val="0"/>
        <w:spacing w:line="48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：萬美玲  陳秀寳</w:t>
      </w:r>
      <w:r w:rsidRPr="00201F2C">
        <w:rPr>
          <w:rFonts w:ascii="標楷體" w:eastAsia="標楷體" w:hAnsi="標楷體" w:hint="eastAsia"/>
          <w:sz w:val="32"/>
          <w:szCs w:val="32"/>
        </w:rPr>
        <w:t xml:space="preserve">  </w:t>
      </w:r>
      <w:r>
        <w:rPr>
          <w:rFonts w:ascii="標楷體" w:eastAsia="標楷體" w:hAnsi="標楷體" w:hint="eastAsia"/>
          <w:sz w:val="32"/>
          <w:szCs w:val="32"/>
        </w:rPr>
        <w:t xml:space="preserve">黃國書  王婉諭  何欣純  </w:t>
      </w:r>
      <w:r w:rsidRPr="00201F2C">
        <w:rPr>
          <w:rFonts w:ascii="標楷體" w:eastAsia="標楷體" w:hAnsi="標楷體" w:hint="eastAsia"/>
          <w:sz w:val="32"/>
          <w:szCs w:val="32"/>
        </w:rPr>
        <w:t>張廖萬堅</w:t>
      </w:r>
    </w:p>
    <w:p w:rsidR="00B6184F" w:rsidRDefault="00B6184F" w:rsidP="00F035E0">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林宜瑾  林奕華  吳怡玎  范  雲  鄭正鈐  吳思瑤</w:t>
      </w:r>
    </w:p>
    <w:p w:rsidR="00B6184F" w:rsidRDefault="00B6184F" w:rsidP="00F035E0">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賴品妤</w:t>
      </w:r>
    </w:p>
    <w:p w:rsidR="00B6184F" w:rsidRDefault="00B6184F" w:rsidP="00F035E0">
      <w:pPr>
        <w:snapToGrid w:val="0"/>
        <w:spacing w:line="480" w:lineRule="exact"/>
        <w:ind w:leftChars="2" w:left="5"/>
        <w:jc w:val="both"/>
        <w:rPr>
          <w:rFonts w:ascii="標楷體" w:eastAsia="標楷體" w:hAnsi="標楷體"/>
          <w:sz w:val="32"/>
          <w:szCs w:val="32"/>
        </w:rPr>
      </w:pPr>
      <w:r w:rsidRPr="00FA4E8F">
        <w:rPr>
          <w:rFonts w:ascii="標楷體" w:eastAsia="標楷體" w:hAnsi="標楷體" w:hint="eastAsia"/>
          <w:sz w:val="32"/>
          <w:szCs w:val="32"/>
        </w:rPr>
        <w:t xml:space="preserve">          委員出席</w:t>
      </w:r>
      <w:r>
        <w:rPr>
          <w:rFonts w:ascii="標楷體" w:eastAsia="標楷體" w:hAnsi="標楷體"/>
          <w:sz w:val="32"/>
          <w:szCs w:val="32"/>
        </w:rPr>
        <w:t>13</w:t>
      </w:r>
      <w:r w:rsidRPr="00FA4E8F">
        <w:rPr>
          <w:rFonts w:ascii="標楷體" w:eastAsia="標楷體" w:hAnsi="標楷體" w:hint="eastAsia"/>
          <w:sz w:val="32"/>
          <w:szCs w:val="32"/>
        </w:rPr>
        <w:t>人</w:t>
      </w:r>
    </w:p>
    <w:p w:rsidR="00B6184F" w:rsidRDefault="00B6184F" w:rsidP="00F035E0">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請假委員：高金素梅</w:t>
      </w:r>
    </w:p>
    <w:p w:rsidR="00B6184F" w:rsidRDefault="00B6184F" w:rsidP="00F035E0">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委員請假1人</w:t>
      </w:r>
    </w:p>
    <w:p w:rsidR="00B6184F" w:rsidRDefault="00B6184F" w:rsidP="00F035E0">
      <w:pPr>
        <w:snapToGrid w:val="0"/>
        <w:spacing w:line="48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李德維  蘇巧慧  陳椒華  洪孟楷  廖婉汝  莊競程</w:t>
      </w:r>
    </w:p>
    <w:p w:rsidR="00B6184F" w:rsidRDefault="00B6184F" w:rsidP="00F035E0">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楊瓊瓔  張其祿  鍾佳濱  </w:t>
      </w:r>
      <w:r w:rsidRPr="00B2420F">
        <w:rPr>
          <w:rFonts w:ascii="標楷體" w:eastAsia="標楷體" w:hAnsi="標楷體" w:hint="eastAsia"/>
          <w:sz w:val="32"/>
          <w:szCs w:val="32"/>
        </w:rPr>
        <w:t>廖國棟Sufin‧Siluko</w:t>
      </w:r>
    </w:p>
    <w:p w:rsidR="00B6184F" w:rsidRPr="008C78CE" w:rsidRDefault="00B6184F" w:rsidP="00F035E0">
      <w:pPr>
        <w:snapToGrid w:val="0"/>
        <w:spacing w:line="480" w:lineRule="exact"/>
        <w:ind w:left="1920" w:rightChars="9" w:right="22" w:hangingChars="600" w:hanging="1920"/>
        <w:jc w:val="both"/>
        <w:rPr>
          <w:rFonts w:ascii="標楷體" w:eastAsia="標楷體" w:hAnsi="標楷體"/>
          <w:position w:val="2"/>
          <w:sz w:val="32"/>
          <w:szCs w:val="32"/>
        </w:rPr>
      </w:pPr>
      <w:r>
        <w:rPr>
          <w:rFonts w:ascii="標楷體" w:eastAsia="標楷體" w:hAnsi="標楷體" w:hint="eastAsia"/>
          <w:sz w:val="32"/>
          <w:szCs w:val="32"/>
        </w:rPr>
        <w:t xml:space="preserve">          </w:t>
      </w:r>
      <w:r>
        <w:rPr>
          <w:rFonts w:ascii="標楷體" w:eastAsia="標楷體" w:hAnsi="標楷體"/>
          <w:position w:val="2"/>
          <w:sz w:val="32"/>
          <w:szCs w:val="32"/>
        </w:rPr>
        <w:t>委員列</w:t>
      </w:r>
      <w:r>
        <w:rPr>
          <w:rFonts w:ascii="標楷體" w:eastAsia="標楷體" w:hAnsi="標楷體" w:hint="eastAsia"/>
          <w:position w:val="2"/>
          <w:sz w:val="32"/>
          <w:szCs w:val="32"/>
        </w:rPr>
        <w:t>席</w:t>
      </w:r>
      <w:r>
        <w:rPr>
          <w:rFonts w:ascii="標楷體" w:eastAsia="標楷體" w:hAnsi="標楷體"/>
          <w:position w:val="2"/>
          <w:sz w:val="32"/>
          <w:szCs w:val="32"/>
        </w:rPr>
        <w:t>10</w:t>
      </w:r>
      <w:r w:rsidRPr="008C78CE">
        <w:rPr>
          <w:rFonts w:ascii="標楷體" w:eastAsia="標楷體" w:hAnsi="標楷體"/>
          <w:position w:val="2"/>
          <w:sz w:val="32"/>
          <w:szCs w:val="32"/>
        </w:rPr>
        <w:t>人</w:t>
      </w:r>
    </w:p>
    <w:p w:rsidR="00B6184F" w:rsidRDefault="00B6184F" w:rsidP="00F035E0">
      <w:pPr>
        <w:pStyle w:val="ac"/>
        <w:spacing w:line="500" w:lineRule="exact"/>
        <w:ind w:left="975" w:hanging="964"/>
        <w:contextualSpacing/>
        <w:rPr>
          <w:sz w:val="32"/>
          <w:szCs w:val="32"/>
        </w:rPr>
      </w:pPr>
      <w:r w:rsidRPr="00ED0FE7">
        <w:rPr>
          <w:sz w:val="32"/>
          <w:szCs w:val="32"/>
        </w:rPr>
        <w:t>列席人員</w:t>
      </w:r>
      <w:r w:rsidRPr="00ED0FE7">
        <w:rPr>
          <w:rFonts w:hint="eastAsia"/>
          <w:sz w:val="32"/>
          <w:szCs w:val="32"/>
        </w:rPr>
        <w:t>：</w:t>
      </w:r>
      <w:r>
        <w:rPr>
          <w:rFonts w:hint="eastAsia"/>
          <w:sz w:val="32"/>
          <w:szCs w:val="32"/>
        </w:rPr>
        <w:t>教育部部長                    潘文忠</w:t>
      </w:r>
      <w:r w:rsidRPr="00A279DC">
        <w:rPr>
          <w:rFonts w:hint="eastAsia"/>
          <w:sz w:val="32"/>
          <w:szCs w:val="32"/>
        </w:rPr>
        <w:t>率同有關人員</w:t>
      </w:r>
    </w:p>
    <w:p w:rsidR="00B6184F" w:rsidRPr="006C6684" w:rsidRDefault="00B6184F" w:rsidP="00F035E0">
      <w:pPr>
        <w:pStyle w:val="ac"/>
        <w:spacing w:line="500" w:lineRule="exact"/>
        <w:ind w:left="975" w:hanging="964"/>
        <w:contextualSpacing/>
        <w:rPr>
          <w:sz w:val="32"/>
          <w:szCs w:val="32"/>
        </w:rPr>
      </w:pPr>
      <w:r w:rsidRPr="00C2349A">
        <w:rPr>
          <w:sz w:val="32"/>
          <w:szCs w:val="32"/>
        </w:rPr>
        <w:t>主    席</w:t>
      </w:r>
      <w:r w:rsidRPr="00C2349A">
        <w:rPr>
          <w:rFonts w:hint="eastAsia"/>
          <w:sz w:val="32"/>
          <w:szCs w:val="32"/>
        </w:rPr>
        <w:t>：</w:t>
      </w:r>
      <w:r>
        <w:rPr>
          <w:rFonts w:hint="eastAsia"/>
          <w:sz w:val="32"/>
          <w:szCs w:val="32"/>
        </w:rPr>
        <w:t>鄭</w:t>
      </w:r>
      <w:r w:rsidRPr="00C2349A">
        <w:rPr>
          <w:sz w:val="32"/>
          <w:szCs w:val="32"/>
        </w:rPr>
        <w:t>召集委員</w:t>
      </w:r>
      <w:r>
        <w:rPr>
          <w:rFonts w:hint="eastAsia"/>
          <w:sz w:val="32"/>
          <w:szCs w:val="32"/>
        </w:rPr>
        <w:t>正鈐</w:t>
      </w:r>
    </w:p>
    <w:p w:rsidR="00B6184F" w:rsidRDefault="00B6184F" w:rsidP="00F035E0">
      <w:pPr>
        <w:snapToGrid w:val="0"/>
        <w:spacing w:line="500" w:lineRule="exact"/>
        <w:ind w:rightChars="9" w:right="22"/>
        <w:jc w:val="both"/>
        <w:rPr>
          <w:rFonts w:ascii="標楷體" w:eastAsia="標楷體" w:hAnsi="標楷體"/>
          <w:sz w:val="32"/>
          <w:szCs w:val="32"/>
        </w:rPr>
      </w:pPr>
      <w:r w:rsidRPr="00A279DC">
        <w:rPr>
          <w:rFonts w:ascii="標楷體" w:eastAsia="標楷體" w:hAnsi="標楷體" w:hint="eastAsia"/>
          <w:sz w:val="32"/>
          <w:szCs w:val="32"/>
        </w:rPr>
        <w:t>主任秘書：陳錫欽</w:t>
      </w:r>
    </w:p>
    <w:p w:rsidR="00B6184F" w:rsidRPr="008C78CE" w:rsidRDefault="00B6184F" w:rsidP="00F035E0">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朱蔚菁</w:t>
      </w:r>
    </w:p>
    <w:p w:rsidR="00B6184F" w:rsidRDefault="00B6184F" w:rsidP="00F035E0">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林素惠  簡任編審  蔡月秋  科長  蔡國治</w:t>
      </w:r>
    </w:p>
    <w:p w:rsidR="00B6184F" w:rsidRPr="00121576" w:rsidRDefault="00B6184F" w:rsidP="00F035E0">
      <w:pPr>
        <w:snapToGrid w:val="0"/>
        <w:spacing w:line="50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B6184F" w:rsidRDefault="00B6184F" w:rsidP="00F035E0">
      <w:pPr>
        <w:pStyle w:val="ac"/>
        <w:spacing w:line="460" w:lineRule="exact"/>
        <w:ind w:left="980" w:hanging="966"/>
        <w:contextualSpacing/>
        <w:rPr>
          <w:b/>
          <w:sz w:val="32"/>
          <w:szCs w:val="32"/>
        </w:rPr>
      </w:pPr>
      <w:r w:rsidRPr="0084281E">
        <w:rPr>
          <w:rFonts w:hint="eastAsia"/>
          <w:b/>
          <w:sz w:val="32"/>
          <w:szCs w:val="32"/>
        </w:rPr>
        <w:t>報  告  事  項</w:t>
      </w:r>
    </w:p>
    <w:p w:rsidR="00B6184F" w:rsidRPr="009B6966" w:rsidRDefault="00B6184F" w:rsidP="006934DD">
      <w:pPr>
        <w:pStyle w:val="a4"/>
        <w:numPr>
          <w:ilvl w:val="0"/>
          <w:numId w:val="37"/>
        </w:numPr>
        <w:snapToGrid w:val="0"/>
        <w:spacing w:line="500" w:lineRule="exact"/>
        <w:ind w:leftChars="0"/>
        <w:contextualSpacing/>
        <w:jc w:val="both"/>
        <w:rPr>
          <w:rFonts w:ascii="標楷體" w:eastAsia="標楷體"/>
          <w:b/>
          <w:sz w:val="32"/>
          <w:szCs w:val="32"/>
        </w:rPr>
      </w:pPr>
      <w:r w:rsidRPr="009B6966">
        <w:rPr>
          <w:rFonts w:ascii="標楷體" w:eastAsia="標楷體" w:hint="eastAsia"/>
          <w:b/>
          <w:sz w:val="32"/>
          <w:szCs w:val="32"/>
        </w:rPr>
        <w:t>宣讀上次會議議事錄。</w:t>
      </w:r>
    </w:p>
    <w:p w:rsidR="00B6184F" w:rsidRPr="009B6966" w:rsidRDefault="00B6184F" w:rsidP="00F035E0">
      <w:pPr>
        <w:snapToGrid w:val="0"/>
        <w:spacing w:line="500" w:lineRule="exact"/>
        <w:contextualSpacing/>
        <w:jc w:val="both"/>
        <w:rPr>
          <w:rFonts w:ascii="標楷體" w:eastAsia="標楷體" w:hAnsi="標楷體"/>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B6184F" w:rsidRPr="005B7656" w:rsidRDefault="00B6184F" w:rsidP="006934DD">
      <w:pPr>
        <w:numPr>
          <w:ilvl w:val="0"/>
          <w:numId w:val="37"/>
        </w:numPr>
        <w:spacing w:line="500" w:lineRule="exact"/>
        <w:rPr>
          <w:rFonts w:ascii="標楷體" w:eastAsia="標楷體"/>
          <w:b/>
          <w:sz w:val="32"/>
          <w:szCs w:val="32"/>
        </w:rPr>
      </w:pPr>
      <w:r w:rsidRPr="00F61D42">
        <w:rPr>
          <w:rFonts w:ascii="標楷體" w:eastAsia="標楷體" w:hint="eastAsia"/>
          <w:b/>
          <w:sz w:val="32"/>
          <w:szCs w:val="32"/>
        </w:rPr>
        <w:t>教育部部長潘文忠列席就「依十二年國教課綱編輯之教科書審查機制相關規範」進行專題報告，並備質詢。</w:t>
      </w:r>
    </w:p>
    <w:p w:rsidR="00B6184F" w:rsidRPr="0031562D" w:rsidRDefault="00B6184F" w:rsidP="00F035E0">
      <w:pPr>
        <w:snapToGrid w:val="0"/>
        <w:spacing w:before="120" w:line="460" w:lineRule="exact"/>
        <w:jc w:val="both"/>
        <w:rPr>
          <w:rFonts w:ascii="標楷體" w:eastAsia="標楷體" w:hAnsi="標楷體"/>
          <w:sz w:val="32"/>
          <w:szCs w:val="32"/>
        </w:rPr>
      </w:pPr>
      <w:r w:rsidRPr="00B11197">
        <w:rPr>
          <w:rFonts w:ascii="標楷體" w:eastAsia="標楷體" w:hAnsi="標楷體"/>
          <w:sz w:val="32"/>
          <w:szCs w:val="32"/>
        </w:rPr>
        <w:t>（本</w:t>
      </w:r>
      <w:r w:rsidRPr="00B11197">
        <w:rPr>
          <w:rFonts w:ascii="標楷體" w:eastAsia="標楷體" w:hAnsi="標楷體" w:hint="eastAsia"/>
          <w:sz w:val="32"/>
          <w:szCs w:val="32"/>
        </w:rPr>
        <w:t>次</w:t>
      </w:r>
      <w:r w:rsidRPr="00B11197">
        <w:rPr>
          <w:rFonts w:ascii="標楷體" w:eastAsia="標楷體" w:hAnsi="標楷體"/>
          <w:sz w:val="32"/>
          <w:szCs w:val="32"/>
        </w:rPr>
        <w:t>議程</w:t>
      </w:r>
      <w:r w:rsidRPr="00B11197">
        <w:rPr>
          <w:rFonts w:ascii="標楷體" w:eastAsia="標楷體" w:hAnsi="標楷體" w:hint="eastAsia"/>
          <w:sz w:val="32"/>
          <w:szCs w:val="32"/>
        </w:rPr>
        <w:t>有委員萬美玲</w:t>
      </w:r>
      <w:r>
        <w:rPr>
          <w:rFonts w:ascii="標楷體" w:eastAsia="標楷體" w:hAnsi="標楷體" w:hint="eastAsia"/>
          <w:sz w:val="32"/>
          <w:szCs w:val="32"/>
        </w:rPr>
        <w:t>、</w:t>
      </w:r>
      <w:r w:rsidRPr="00B11197">
        <w:rPr>
          <w:rFonts w:ascii="標楷體" w:eastAsia="標楷體" w:hAnsi="標楷體" w:hint="eastAsia"/>
          <w:sz w:val="32"/>
          <w:szCs w:val="32"/>
        </w:rPr>
        <w:t>陳秀寳</w:t>
      </w:r>
      <w:r>
        <w:rPr>
          <w:rFonts w:ascii="標楷體" w:eastAsia="標楷體" w:hAnsi="標楷體" w:hint="eastAsia"/>
          <w:sz w:val="32"/>
          <w:szCs w:val="32"/>
        </w:rPr>
        <w:t>、</w:t>
      </w:r>
      <w:r w:rsidRPr="00B11197">
        <w:rPr>
          <w:rFonts w:ascii="標楷體" w:eastAsia="標楷體" w:hAnsi="標楷體" w:hint="eastAsia"/>
          <w:sz w:val="32"/>
          <w:szCs w:val="32"/>
        </w:rPr>
        <w:t>黃國書</w:t>
      </w:r>
      <w:r>
        <w:rPr>
          <w:rFonts w:ascii="標楷體" w:eastAsia="標楷體" w:hAnsi="標楷體" w:hint="eastAsia"/>
          <w:sz w:val="32"/>
          <w:szCs w:val="32"/>
        </w:rPr>
        <w:t>、</w:t>
      </w:r>
      <w:r w:rsidRPr="00B11197">
        <w:rPr>
          <w:rFonts w:ascii="標楷體" w:eastAsia="標楷體" w:hAnsi="標楷體" w:hint="eastAsia"/>
          <w:sz w:val="32"/>
          <w:szCs w:val="32"/>
        </w:rPr>
        <w:t>王婉諭</w:t>
      </w:r>
      <w:r>
        <w:rPr>
          <w:rFonts w:ascii="標楷體" w:eastAsia="標楷體" w:hAnsi="標楷體" w:hint="eastAsia"/>
          <w:sz w:val="32"/>
          <w:szCs w:val="32"/>
        </w:rPr>
        <w:t>、</w:t>
      </w:r>
      <w:r w:rsidRPr="00B11197">
        <w:rPr>
          <w:rFonts w:ascii="標楷體" w:eastAsia="標楷體" w:hAnsi="標楷體" w:hint="eastAsia"/>
          <w:sz w:val="32"/>
          <w:szCs w:val="32"/>
        </w:rPr>
        <w:t>林宜瑾</w:t>
      </w:r>
      <w:r>
        <w:rPr>
          <w:rFonts w:ascii="標楷體" w:eastAsia="標楷體" w:hAnsi="標楷體" w:hint="eastAsia"/>
          <w:sz w:val="32"/>
          <w:szCs w:val="32"/>
        </w:rPr>
        <w:t>、</w:t>
      </w:r>
      <w:r w:rsidRPr="00B11197">
        <w:rPr>
          <w:rFonts w:ascii="標楷體" w:eastAsia="標楷體" w:hAnsi="標楷體" w:hint="eastAsia"/>
          <w:sz w:val="32"/>
          <w:szCs w:val="32"/>
        </w:rPr>
        <w:t>吳怡玎</w:t>
      </w:r>
      <w:r>
        <w:rPr>
          <w:rFonts w:ascii="標楷體" w:eastAsia="標楷體" w:hAnsi="標楷體" w:hint="eastAsia"/>
          <w:sz w:val="32"/>
          <w:szCs w:val="32"/>
        </w:rPr>
        <w:t>、</w:t>
      </w:r>
      <w:r w:rsidRPr="00B11197">
        <w:rPr>
          <w:rFonts w:ascii="標楷體" w:eastAsia="標楷體" w:hAnsi="標楷體" w:hint="eastAsia"/>
          <w:sz w:val="32"/>
          <w:szCs w:val="32"/>
        </w:rPr>
        <w:t>鄭正鈐</w:t>
      </w:r>
      <w:r>
        <w:rPr>
          <w:rFonts w:ascii="標楷體" w:eastAsia="標楷體" w:hAnsi="標楷體" w:hint="eastAsia"/>
          <w:sz w:val="32"/>
          <w:szCs w:val="32"/>
        </w:rPr>
        <w:t>、</w:t>
      </w:r>
      <w:r w:rsidRPr="00B11197">
        <w:rPr>
          <w:rFonts w:ascii="標楷體" w:eastAsia="標楷體" w:hAnsi="標楷體" w:hint="eastAsia"/>
          <w:sz w:val="32"/>
          <w:szCs w:val="32"/>
        </w:rPr>
        <w:t>賴品妤</w:t>
      </w:r>
      <w:r>
        <w:rPr>
          <w:rFonts w:ascii="標楷體" w:eastAsia="標楷體" w:hAnsi="標楷體" w:hint="eastAsia"/>
          <w:sz w:val="32"/>
          <w:szCs w:val="32"/>
        </w:rPr>
        <w:t>、</w:t>
      </w:r>
      <w:r w:rsidRPr="00B11197">
        <w:rPr>
          <w:rFonts w:ascii="標楷體" w:eastAsia="標楷體" w:hAnsi="標楷體" w:hint="eastAsia"/>
          <w:sz w:val="32"/>
          <w:szCs w:val="32"/>
        </w:rPr>
        <w:t>吳思瑤</w:t>
      </w:r>
      <w:r>
        <w:rPr>
          <w:rFonts w:ascii="標楷體" w:eastAsia="標楷體" w:hAnsi="標楷體" w:hint="eastAsia"/>
          <w:sz w:val="32"/>
          <w:szCs w:val="32"/>
        </w:rPr>
        <w:t>、洪孟楷、</w:t>
      </w:r>
      <w:r w:rsidRPr="00B11197">
        <w:rPr>
          <w:rFonts w:ascii="標楷體" w:eastAsia="標楷體" w:hAnsi="標楷體" w:hint="eastAsia"/>
          <w:sz w:val="32"/>
          <w:szCs w:val="32"/>
        </w:rPr>
        <w:t>范雲</w:t>
      </w:r>
      <w:r>
        <w:rPr>
          <w:rFonts w:ascii="標楷體" w:eastAsia="標楷體" w:hAnsi="標楷體" w:hint="eastAsia"/>
          <w:sz w:val="32"/>
          <w:szCs w:val="32"/>
        </w:rPr>
        <w:t>、楊瓊瓔、</w:t>
      </w:r>
      <w:r w:rsidRPr="0069553C">
        <w:rPr>
          <w:rFonts w:ascii="標楷體" w:eastAsia="標楷體" w:hAnsi="標楷體" w:hint="eastAsia"/>
          <w:sz w:val="32"/>
          <w:szCs w:val="32"/>
        </w:rPr>
        <w:t>李德維</w:t>
      </w:r>
      <w:r>
        <w:rPr>
          <w:rFonts w:ascii="標楷體" w:eastAsia="標楷體" w:hAnsi="標楷體" w:hint="eastAsia"/>
          <w:sz w:val="32"/>
          <w:szCs w:val="32"/>
        </w:rPr>
        <w:t>、</w:t>
      </w:r>
      <w:r w:rsidRPr="00B11197">
        <w:rPr>
          <w:rFonts w:ascii="標楷體" w:eastAsia="標楷體" w:hAnsi="標楷體" w:hint="eastAsia"/>
          <w:sz w:val="32"/>
          <w:szCs w:val="32"/>
        </w:rPr>
        <w:t>林奕華等</w:t>
      </w:r>
      <w:r>
        <w:rPr>
          <w:rFonts w:ascii="標楷體" w:eastAsia="標楷體" w:hAnsi="標楷體" w:hint="eastAsia"/>
          <w:sz w:val="32"/>
          <w:szCs w:val="32"/>
        </w:rPr>
        <w:t>14</w:t>
      </w:r>
      <w:r w:rsidRPr="00B11197">
        <w:rPr>
          <w:rFonts w:ascii="標楷體" w:eastAsia="標楷體" w:hAnsi="標楷體"/>
          <w:sz w:val="32"/>
          <w:szCs w:val="32"/>
        </w:rPr>
        <w:t>人提出質詢，均經</w:t>
      </w:r>
      <w:r w:rsidRPr="007D149E">
        <w:rPr>
          <w:rFonts w:ascii="標楷體" w:eastAsia="標楷體" w:hAnsi="標楷體" w:hint="eastAsia"/>
          <w:sz w:val="32"/>
          <w:szCs w:val="32"/>
        </w:rPr>
        <w:t>教育部部長潘文忠</w:t>
      </w:r>
      <w:r w:rsidRPr="00B11197">
        <w:rPr>
          <w:rFonts w:ascii="標楷體" w:eastAsia="標楷體" w:hAnsi="標楷體"/>
          <w:sz w:val="32"/>
          <w:szCs w:val="32"/>
        </w:rPr>
        <w:t>及相關人員即席答</w:t>
      </w:r>
      <w:r w:rsidRPr="00B11197">
        <w:rPr>
          <w:rFonts w:ascii="標楷體" w:eastAsia="標楷體" w:hAnsi="標楷體" w:hint="eastAsia"/>
          <w:sz w:val="32"/>
          <w:szCs w:val="32"/>
        </w:rPr>
        <w:t>復</w:t>
      </w:r>
      <w:r w:rsidRPr="00B11197">
        <w:rPr>
          <w:rFonts w:ascii="標楷體" w:eastAsia="標楷體" w:hAnsi="標楷體"/>
          <w:sz w:val="32"/>
          <w:szCs w:val="32"/>
        </w:rPr>
        <w:t>說明</w:t>
      </w:r>
      <w:r>
        <w:rPr>
          <w:rFonts w:ascii="標楷體" w:eastAsia="標楷體" w:hAnsi="標楷體" w:hint="eastAsia"/>
          <w:sz w:val="32"/>
          <w:szCs w:val="32"/>
        </w:rPr>
        <w:t>。另有委員張廖萬堅、何欣純提出書面質詢。</w:t>
      </w:r>
      <w:r w:rsidRPr="00B11197">
        <w:rPr>
          <w:rFonts w:ascii="標楷體" w:eastAsia="標楷體" w:hAnsi="標楷體"/>
          <w:sz w:val="32"/>
          <w:szCs w:val="32"/>
        </w:rPr>
        <w:t>）</w:t>
      </w:r>
    </w:p>
    <w:p w:rsidR="00B6184F" w:rsidRPr="005B7656" w:rsidRDefault="00B6184F" w:rsidP="00F035E0">
      <w:pPr>
        <w:snapToGrid w:val="0"/>
        <w:spacing w:line="500" w:lineRule="exact"/>
        <w:ind w:left="641" w:hangingChars="200" w:hanging="641"/>
        <w:contextualSpacing/>
        <w:rPr>
          <w:rFonts w:ascii="標楷體" w:eastAsia="標楷體" w:hAnsi="標楷體"/>
          <w:b/>
          <w:sz w:val="32"/>
          <w:szCs w:val="32"/>
        </w:rPr>
      </w:pPr>
      <w:r>
        <w:rPr>
          <w:rFonts w:ascii="標楷體" w:eastAsia="標楷體" w:hAnsi="標楷體" w:hint="eastAsia"/>
          <w:b/>
          <w:sz w:val="32"/>
          <w:szCs w:val="32"/>
        </w:rPr>
        <w:t>決</w:t>
      </w:r>
      <w:r w:rsidRPr="007D149E">
        <w:rPr>
          <w:rFonts w:ascii="標楷體" w:eastAsia="標楷體" w:hAnsi="標楷體" w:hint="eastAsia"/>
          <w:b/>
          <w:sz w:val="32"/>
          <w:szCs w:val="32"/>
        </w:rPr>
        <w:t>定</w:t>
      </w:r>
      <w:r w:rsidRPr="0000524E">
        <w:rPr>
          <w:rFonts w:ascii="標楷體" w:eastAsia="標楷體" w:hAnsi="標楷體"/>
          <w:b/>
          <w:bCs/>
          <w:sz w:val="32"/>
          <w:szCs w:val="32"/>
        </w:rPr>
        <w:t>：</w:t>
      </w:r>
    </w:p>
    <w:p w:rsidR="00B6184F" w:rsidRPr="0000524E" w:rsidRDefault="00B6184F" w:rsidP="00F035E0">
      <w:pPr>
        <w:snapToGrid w:val="0"/>
        <w:spacing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B6184F" w:rsidRPr="0000524E" w:rsidRDefault="00B6184F" w:rsidP="00F035E0">
      <w:pPr>
        <w:snapToGrid w:val="0"/>
        <w:spacing w:line="500" w:lineRule="exact"/>
        <w:ind w:left="640" w:hangingChars="200" w:hanging="640"/>
        <w:contextualSpacing/>
        <w:rPr>
          <w:rFonts w:ascii="標楷體" w:eastAsia="標楷體" w:hAnsi="標楷體"/>
          <w:bCs/>
          <w:sz w:val="32"/>
          <w:szCs w:val="32"/>
        </w:rPr>
      </w:pPr>
      <w:r w:rsidRPr="0000524E">
        <w:rPr>
          <w:rFonts w:ascii="標楷體" w:eastAsia="標楷體" w:hAnsi="標楷體"/>
          <w:bCs/>
          <w:sz w:val="32"/>
          <w:szCs w:val="32"/>
        </w:rPr>
        <w:lastRenderedPageBreak/>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B6184F" w:rsidRDefault="00B6184F" w:rsidP="00F035E0">
      <w:pPr>
        <w:snapToGrid w:val="0"/>
        <w:spacing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B6184F" w:rsidRDefault="00B6184F" w:rsidP="00F035E0">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通過臨時提案1項：</w:t>
      </w:r>
    </w:p>
    <w:p w:rsidR="00B6184F" w:rsidRPr="00F41134" w:rsidRDefault="00B6184F" w:rsidP="00F035E0">
      <w:pPr>
        <w:snapToGrid w:val="0"/>
        <w:spacing w:line="460" w:lineRule="exact"/>
        <w:ind w:rightChars="9" w:right="22"/>
        <w:jc w:val="both"/>
        <w:rPr>
          <w:rFonts w:ascii="標楷體" w:eastAsia="標楷體" w:hAnsi="標楷體"/>
          <w:bCs/>
          <w:sz w:val="32"/>
          <w:szCs w:val="32"/>
        </w:rPr>
      </w:pPr>
      <w:r>
        <w:rPr>
          <w:rFonts w:ascii="標楷體" w:eastAsia="標楷體" w:hAnsi="標楷體" w:hint="eastAsia"/>
          <w:bCs/>
          <w:sz w:val="32"/>
          <w:szCs w:val="32"/>
        </w:rPr>
        <w:t xml:space="preserve">    </w:t>
      </w:r>
      <w:r w:rsidRPr="00E41FFB">
        <w:rPr>
          <w:rFonts w:ascii="標楷體" w:eastAsia="標楷體" w:hAnsi="標楷體" w:hint="eastAsia"/>
          <w:bCs/>
          <w:sz w:val="32"/>
          <w:szCs w:val="32"/>
        </w:rPr>
        <w:t>台灣女足代表隊</w:t>
      </w:r>
      <w:r>
        <w:rPr>
          <w:rFonts w:ascii="標楷體" w:eastAsia="標楷體" w:hAnsi="標楷體" w:hint="eastAsia"/>
          <w:bCs/>
          <w:sz w:val="32"/>
          <w:szCs w:val="32"/>
        </w:rPr>
        <w:t>111</w:t>
      </w:r>
      <w:r w:rsidRPr="00E41FFB">
        <w:rPr>
          <w:rFonts w:ascii="標楷體" w:eastAsia="標楷體" w:hAnsi="標楷體" w:hint="eastAsia"/>
          <w:bCs/>
          <w:sz w:val="32"/>
          <w:szCs w:val="32"/>
        </w:rPr>
        <w:t>年初於印度女足亞洲盃賽事中，在</w:t>
      </w:r>
      <w:r>
        <w:rPr>
          <w:rFonts w:ascii="標楷體" w:eastAsia="標楷體" w:hAnsi="標楷體" w:hint="eastAsia"/>
          <w:bCs/>
          <w:sz w:val="32"/>
          <w:szCs w:val="32"/>
        </w:rPr>
        <w:t>教育部</w:t>
      </w:r>
      <w:r w:rsidRPr="00E41FFB">
        <w:rPr>
          <w:rFonts w:ascii="標楷體" w:eastAsia="標楷體" w:hAnsi="標楷體" w:hint="eastAsia"/>
          <w:bCs/>
          <w:sz w:val="32"/>
          <w:szCs w:val="32"/>
        </w:rPr>
        <w:t>體育署核給之後勤人力低於各參賽國以及當地疫情壓力下</w:t>
      </w:r>
      <w:r>
        <w:rPr>
          <w:rFonts w:ascii="標楷體" w:eastAsia="標楷體" w:hAnsi="標楷體" w:hint="eastAsia"/>
          <w:bCs/>
          <w:sz w:val="32"/>
          <w:szCs w:val="32"/>
        </w:rPr>
        <w:t>，</w:t>
      </w:r>
      <w:r w:rsidRPr="00E41FFB">
        <w:rPr>
          <w:rFonts w:ascii="標楷體" w:eastAsia="標楷體" w:hAnsi="標楷體" w:hint="eastAsia"/>
          <w:bCs/>
          <w:sz w:val="32"/>
          <w:szCs w:val="32"/>
        </w:rPr>
        <w:t>仍發揮奮戰精神挺進</w:t>
      </w:r>
      <w:r>
        <w:rPr>
          <w:rFonts w:ascii="標楷體" w:eastAsia="標楷體" w:hAnsi="標楷體" w:hint="eastAsia"/>
          <w:bCs/>
          <w:sz w:val="32"/>
          <w:szCs w:val="32"/>
        </w:rPr>
        <w:t>8</w:t>
      </w:r>
      <w:r w:rsidRPr="00E41FFB">
        <w:rPr>
          <w:rFonts w:ascii="標楷體" w:eastAsia="標楷體" w:hAnsi="標楷體" w:hint="eastAsia"/>
          <w:bCs/>
          <w:sz w:val="32"/>
          <w:szCs w:val="32"/>
        </w:rPr>
        <w:t>強，並取得2023</w:t>
      </w:r>
      <w:r>
        <w:rPr>
          <w:rFonts w:ascii="標楷體" w:eastAsia="標楷體" w:hAnsi="標楷體" w:hint="eastAsia"/>
          <w:bCs/>
          <w:sz w:val="32"/>
          <w:szCs w:val="32"/>
        </w:rPr>
        <w:t>年</w:t>
      </w:r>
      <w:r w:rsidRPr="00E41FFB">
        <w:rPr>
          <w:rFonts w:ascii="標楷體" w:eastAsia="標楷體" w:hAnsi="標楷體" w:hint="eastAsia"/>
          <w:bCs/>
          <w:sz w:val="32"/>
          <w:szCs w:val="32"/>
        </w:rPr>
        <w:t>女足世界盃跨洲</w:t>
      </w:r>
      <w:r>
        <w:rPr>
          <w:rFonts w:ascii="標楷體" w:eastAsia="標楷體" w:hAnsi="標楷體" w:hint="eastAsia"/>
          <w:bCs/>
          <w:sz w:val="32"/>
          <w:szCs w:val="32"/>
        </w:rPr>
        <w:t>10</w:t>
      </w:r>
      <w:r w:rsidRPr="00E41FFB">
        <w:rPr>
          <w:rFonts w:ascii="標楷體" w:eastAsia="標楷體" w:hAnsi="標楷體" w:hint="eastAsia"/>
          <w:bCs/>
          <w:sz w:val="32"/>
          <w:szCs w:val="32"/>
        </w:rPr>
        <w:t>搶</w:t>
      </w:r>
      <w:r>
        <w:rPr>
          <w:rFonts w:ascii="標楷體" w:eastAsia="標楷體" w:hAnsi="標楷體" w:hint="eastAsia"/>
          <w:bCs/>
          <w:sz w:val="32"/>
          <w:szCs w:val="32"/>
        </w:rPr>
        <w:t>3</w:t>
      </w:r>
      <w:r w:rsidRPr="00E41FFB">
        <w:rPr>
          <w:rFonts w:ascii="標楷體" w:eastAsia="標楷體" w:hAnsi="標楷體" w:hint="eastAsia"/>
          <w:bCs/>
          <w:sz w:val="32"/>
          <w:szCs w:val="32"/>
        </w:rPr>
        <w:t>附加賽資格。2019</w:t>
      </w:r>
      <w:r>
        <w:rPr>
          <w:rFonts w:ascii="標楷體" w:eastAsia="標楷體" w:hAnsi="標楷體" w:hint="eastAsia"/>
          <w:bCs/>
          <w:sz w:val="32"/>
          <w:szCs w:val="32"/>
        </w:rPr>
        <w:t>年</w:t>
      </w:r>
      <w:r w:rsidRPr="00E41FFB">
        <w:rPr>
          <w:rFonts w:ascii="標楷體" w:eastAsia="標楷體" w:hAnsi="標楷體" w:hint="eastAsia"/>
          <w:bCs/>
          <w:sz w:val="32"/>
          <w:szCs w:val="32"/>
        </w:rPr>
        <w:t>女足世界盃創下全球超過</w:t>
      </w:r>
      <w:r>
        <w:rPr>
          <w:rFonts w:ascii="標楷體" w:eastAsia="標楷體" w:hAnsi="標楷體" w:hint="eastAsia"/>
          <w:bCs/>
          <w:sz w:val="32"/>
          <w:szCs w:val="32"/>
        </w:rPr>
        <w:t>10</w:t>
      </w:r>
      <w:r w:rsidRPr="00E41FFB">
        <w:rPr>
          <w:rFonts w:ascii="標楷體" w:eastAsia="標楷體" w:hAnsi="標楷體" w:hint="eastAsia"/>
          <w:bCs/>
          <w:sz w:val="32"/>
          <w:szCs w:val="32"/>
        </w:rPr>
        <w:t>億人的收看紀錄，爭取晉級世界盃除能激勵國內足球推廣外，更有助於提升我國之國際能見度。然近日據部分教練與球員反應，中華民國足球協會於改組後原擬欲取消原訂之移訓與友誼賽規劃，雖經各方努力後續出現轉圜，仍凸顯出體育署對於相關重要業務關注輔導與後勤支援上不足，以及既有補助機制造成協會運作財務壓力困境等問題。</w:t>
      </w:r>
      <w:r>
        <w:rPr>
          <w:rFonts w:ascii="標楷體" w:eastAsia="標楷體" w:hAnsi="標楷體" w:hint="eastAsia"/>
          <w:bCs/>
          <w:sz w:val="32"/>
          <w:szCs w:val="32"/>
        </w:rPr>
        <w:t>綜上，</w:t>
      </w:r>
      <w:r w:rsidRPr="00E41FFB">
        <w:rPr>
          <w:rFonts w:ascii="標楷體" w:eastAsia="標楷體" w:hAnsi="標楷體" w:hint="eastAsia"/>
          <w:bCs/>
          <w:sz w:val="32"/>
          <w:szCs w:val="32"/>
        </w:rPr>
        <w:t>請</w:t>
      </w:r>
      <w:r>
        <w:rPr>
          <w:rFonts w:ascii="標楷體" w:eastAsia="標楷體" w:hAnsi="標楷體" w:hint="eastAsia"/>
          <w:bCs/>
          <w:sz w:val="32"/>
          <w:szCs w:val="32"/>
        </w:rPr>
        <w:t>教育部</w:t>
      </w:r>
      <w:r w:rsidRPr="00E41FFB">
        <w:rPr>
          <w:rFonts w:ascii="標楷體" w:eastAsia="標楷體" w:hAnsi="標楷體" w:hint="eastAsia"/>
          <w:bCs/>
          <w:sz w:val="32"/>
          <w:szCs w:val="32"/>
        </w:rPr>
        <w:t>體育署針對後續台灣女足備戰2023年2月世界盃附加賽之移訓與友誼賽規劃之具體支援，以及後勤需求到位等議題進行通盤了解與檢討，並於</w:t>
      </w:r>
      <w:r>
        <w:rPr>
          <w:rFonts w:ascii="標楷體" w:eastAsia="標楷體" w:hAnsi="標楷體" w:hint="eastAsia"/>
          <w:bCs/>
          <w:sz w:val="32"/>
          <w:szCs w:val="32"/>
        </w:rPr>
        <w:t>2</w:t>
      </w:r>
      <w:r w:rsidRPr="00E41FFB">
        <w:rPr>
          <w:rFonts w:ascii="標楷體" w:eastAsia="標楷體" w:hAnsi="標楷體" w:hint="eastAsia"/>
          <w:bCs/>
          <w:sz w:val="32"/>
          <w:szCs w:val="32"/>
        </w:rPr>
        <w:t>週內提出策進作為。</w:t>
      </w:r>
    </w:p>
    <w:p w:rsidR="00B6184F" w:rsidRDefault="00B6184F" w:rsidP="00F035E0">
      <w:pPr>
        <w:snapToGrid w:val="0"/>
        <w:spacing w:line="460" w:lineRule="exact"/>
        <w:ind w:leftChars="1250" w:left="3000" w:rightChars="9" w:right="22"/>
        <w:jc w:val="both"/>
        <w:rPr>
          <w:rFonts w:ascii="標楷體" w:eastAsia="標楷體" w:hAnsi="標楷體"/>
          <w:bCs/>
          <w:sz w:val="32"/>
          <w:szCs w:val="32"/>
        </w:rPr>
      </w:pPr>
      <w:r>
        <w:rPr>
          <w:rFonts w:ascii="標楷體" w:eastAsia="標楷體" w:hAnsi="標楷體" w:hint="eastAsia"/>
          <w:bCs/>
          <w:sz w:val="32"/>
          <w:szCs w:val="32"/>
        </w:rPr>
        <w:t>提案人：陳秀寳  王婉諭</w:t>
      </w:r>
    </w:p>
    <w:p w:rsidR="00B6184F" w:rsidRPr="000C2D67" w:rsidRDefault="00B6184F" w:rsidP="00F035E0">
      <w:pPr>
        <w:snapToGrid w:val="0"/>
        <w:spacing w:line="460" w:lineRule="exact"/>
        <w:ind w:leftChars="1250" w:left="3000" w:rightChars="9" w:right="22"/>
        <w:jc w:val="both"/>
        <w:rPr>
          <w:rFonts w:ascii="標楷體" w:eastAsia="標楷體" w:hAnsi="標楷體"/>
          <w:bCs/>
          <w:sz w:val="32"/>
          <w:szCs w:val="32"/>
        </w:rPr>
      </w:pPr>
      <w:r>
        <w:rPr>
          <w:rFonts w:ascii="標楷體" w:eastAsia="標楷體" w:hAnsi="標楷體" w:hint="eastAsia"/>
          <w:bCs/>
          <w:sz w:val="32"/>
          <w:szCs w:val="32"/>
        </w:rPr>
        <w:t>連署人：黃國書  林宜瑾</w:t>
      </w:r>
    </w:p>
    <w:p w:rsidR="00B6184F" w:rsidRDefault="00B6184F" w:rsidP="00F035E0">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B6184F" w:rsidRDefault="00B6184F">
      <w:pPr>
        <w:widowControl/>
        <w:rPr>
          <w:rFonts w:ascii="標楷體" w:eastAsia="標楷體" w:hAnsi="標楷體"/>
          <w:b/>
          <w:bCs/>
          <w:sz w:val="32"/>
          <w:szCs w:val="32"/>
        </w:rPr>
      </w:pPr>
      <w:r>
        <w:rPr>
          <w:rFonts w:ascii="標楷體" w:eastAsia="標楷體" w:hAnsi="標楷體"/>
          <w:b/>
          <w:bCs/>
          <w:sz w:val="32"/>
          <w:szCs w:val="32"/>
        </w:rPr>
        <w:br w:type="page"/>
      </w:r>
    </w:p>
    <w:p w:rsidR="00B6184F" w:rsidRPr="00B70493" w:rsidRDefault="00B6184F" w:rsidP="00B6184F">
      <w:pPr>
        <w:pStyle w:val="01-45"/>
        <w:rPr>
          <w:position w:val="2"/>
        </w:rPr>
      </w:pPr>
      <w:bookmarkStart w:id="169" w:name="_Toc126068185"/>
      <w:r w:rsidRPr="00B70493">
        <w:rPr>
          <w:rFonts w:hint="eastAsia"/>
        </w:rPr>
        <w:lastRenderedPageBreak/>
        <w:t>立法院第10屆第</w:t>
      </w:r>
      <w:r w:rsidRPr="00B70493">
        <w:t>6</w:t>
      </w:r>
      <w:r w:rsidRPr="00B70493">
        <w:rPr>
          <w:rFonts w:hint="eastAsia"/>
        </w:rPr>
        <w:t>會期教育及文化委員會第</w:t>
      </w:r>
      <w:r w:rsidRPr="00B70493">
        <w:t>12</w:t>
      </w:r>
      <w:r w:rsidRPr="00B70493">
        <w:rPr>
          <w:rFonts w:hint="eastAsia"/>
        </w:rPr>
        <w:t>次全體委員會議議事錄</w:t>
      </w:r>
      <w:bookmarkEnd w:id="169"/>
    </w:p>
    <w:p w:rsidR="00B6184F" w:rsidRPr="00B70493" w:rsidRDefault="00B6184F" w:rsidP="00F035E0">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BD6099">
        <w:rPr>
          <w:rFonts w:ascii="標楷體" w:eastAsia="標楷體" w:hAnsi="標楷體"/>
          <w:kern w:val="0"/>
          <w:sz w:val="32"/>
          <w:szCs w:val="32"/>
          <w:fitText w:val="1600" w:id="-1323544063"/>
        </w:rPr>
        <w:t>時    間：</w:t>
      </w:r>
      <w:r w:rsidRPr="00B70493">
        <w:rPr>
          <w:rFonts w:ascii="標楷體" w:eastAsia="標楷體" w:hAnsi="標楷體" w:hint="eastAsia"/>
          <w:spacing w:val="-32"/>
          <w:w w:val="80"/>
          <w:kern w:val="0"/>
          <w:sz w:val="32"/>
          <w:szCs w:val="32"/>
        </w:rPr>
        <w:t>中華民國111年11月30日（星期三）上午9時至12時37分、下午2時至</w:t>
      </w:r>
      <w:r w:rsidRPr="00B70493">
        <w:rPr>
          <w:rFonts w:ascii="標楷體" w:eastAsia="標楷體" w:hAnsi="標楷體"/>
          <w:spacing w:val="-32"/>
          <w:w w:val="80"/>
          <w:kern w:val="0"/>
          <w:sz w:val="32"/>
          <w:szCs w:val="32"/>
        </w:rPr>
        <w:t>6</w:t>
      </w:r>
      <w:r w:rsidRPr="00B70493">
        <w:rPr>
          <w:rFonts w:ascii="標楷體" w:eastAsia="標楷體" w:hAnsi="標楷體" w:hint="eastAsia"/>
          <w:spacing w:val="-32"/>
          <w:w w:val="80"/>
          <w:kern w:val="0"/>
          <w:sz w:val="32"/>
          <w:szCs w:val="32"/>
        </w:rPr>
        <w:t>時</w:t>
      </w:r>
      <w:r w:rsidRPr="00B70493">
        <w:rPr>
          <w:rFonts w:ascii="標楷體" w:eastAsia="標楷體" w:hAnsi="標楷體"/>
          <w:spacing w:val="-32"/>
          <w:w w:val="80"/>
          <w:kern w:val="0"/>
          <w:sz w:val="32"/>
          <w:szCs w:val="32"/>
        </w:rPr>
        <w:t>6</w:t>
      </w:r>
      <w:r w:rsidRPr="00B70493">
        <w:rPr>
          <w:rFonts w:ascii="標楷體" w:eastAsia="標楷體" w:hAnsi="標楷體" w:hint="eastAsia"/>
          <w:spacing w:val="-32"/>
          <w:w w:val="80"/>
          <w:kern w:val="0"/>
          <w:sz w:val="32"/>
          <w:szCs w:val="32"/>
        </w:rPr>
        <w:t>分</w:t>
      </w:r>
    </w:p>
    <w:p w:rsidR="00B6184F" w:rsidRPr="00B70493" w:rsidRDefault="00B6184F" w:rsidP="00F035E0">
      <w:pPr>
        <w:snapToGrid w:val="0"/>
        <w:spacing w:line="460" w:lineRule="exact"/>
        <w:ind w:left="1280" w:rightChars="9" w:right="22" w:hangingChars="500" w:hanging="1280"/>
        <w:jc w:val="distribute"/>
        <w:rPr>
          <w:rFonts w:ascii="標楷體" w:eastAsia="標楷體" w:hAnsi="標楷體"/>
          <w:spacing w:val="-32"/>
          <w:kern w:val="0"/>
          <w:sz w:val="32"/>
          <w:szCs w:val="32"/>
        </w:rPr>
      </w:pPr>
      <w:r w:rsidRPr="00B70493">
        <w:rPr>
          <w:rFonts w:ascii="標楷體" w:eastAsia="標楷體" w:hAnsi="標楷體" w:hint="eastAsia"/>
          <w:spacing w:val="-32"/>
          <w:kern w:val="0"/>
          <w:sz w:val="32"/>
          <w:szCs w:val="32"/>
        </w:rPr>
        <w:t xml:space="preserve">               </w:t>
      </w:r>
      <w:r w:rsidRPr="00B70493">
        <w:rPr>
          <w:rFonts w:ascii="標楷體" w:eastAsia="標楷體" w:hAnsi="標楷體" w:hint="eastAsia"/>
          <w:spacing w:val="-32"/>
          <w:kern w:val="0"/>
          <w:sz w:val="44"/>
          <w:szCs w:val="32"/>
        </w:rPr>
        <w:t xml:space="preserve"> </w:t>
      </w:r>
      <w:r w:rsidRPr="00B70493">
        <w:rPr>
          <w:rFonts w:ascii="標楷體" w:eastAsia="標楷體" w:hAnsi="標楷體" w:hint="eastAsia"/>
          <w:spacing w:val="-32"/>
          <w:kern w:val="0"/>
          <w:sz w:val="32"/>
          <w:szCs w:val="32"/>
        </w:rPr>
        <w:t>中華民國1</w:t>
      </w:r>
      <w:r w:rsidRPr="00B70493">
        <w:rPr>
          <w:rFonts w:ascii="標楷體" w:eastAsia="標楷體" w:hAnsi="標楷體"/>
          <w:spacing w:val="-32"/>
          <w:kern w:val="0"/>
          <w:sz w:val="32"/>
          <w:szCs w:val="32"/>
        </w:rPr>
        <w:t>1</w:t>
      </w:r>
      <w:r w:rsidRPr="00B70493">
        <w:rPr>
          <w:rFonts w:ascii="標楷體" w:eastAsia="標楷體" w:hAnsi="標楷體" w:hint="eastAsia"/>
          <w:spacing w:val="-32"/>
          <w:kern w:val="0"/>
          <w:sz w:val="32"/>
          <w:szCs w:val="32"/>
        </w:rPr>
        <w:t>1年</w:t>
      </w:r>
      <w:r w:rsidRPr="00B70493">
        <w:rPr>
          <w:rFonts w:ascii="標楷體" w:eastAsia="標楷體" w:hAnsi="標楷體"/>
          <w:spacing w:val="-32"/>
          <w:kern w:val="0"/>
          <w:sz w:val="32"/>
          <w:szCs w:val="32"/>
        </w:rPr>
        <w:t>12</w:t>
      </w:r>
      <w:r w:rsidRPr="00B70493">
        <w:rPr>
          <w:rFonts w:ascii="標楷體" w:eastAsia="標楷體" w:hAnsi="標楷體" w:hint="eastAsia"/>
          <w:spacing w:val="-32"/>
          <w:kern w:val="0"/>
          <w:sz w:val="32"/>
          <w:szCs w:val="32"/>
        </w:rPr>
        <w:t>月</w:t>
      </w:r>
      <w:r w:rsidRPr="00B70493">
        <w:rPr>
          <w:rFonts w:ascii="標楷體" w:eastAsia="標楷體" w:hAnsi="標楷體"/>
          <w:spacing w:val="-32"/>
          <w:kern w:val="0"/>
          <w:sz w:val="32"/>
          <w:szCs w:val="32"/>
        </w:rPr>
        <w:t>1</w:t>
      </w:r>
      <w:r w:rsidRPr="00B70493">
        <w:rPr>
          <w:rFonts w:ascii="標楷體" w:eastAsia="標楷體" w:hAnsi="標楷體" w:hint="eastAsia"/>
          <w:spacing w:val="-32"/>
          <w:kern w:val="0"/>
          <w:sz w:val="32"/>
          <w:szCs w:val="32"/>
        </w:rPr>
        <w:t>日（星期四）上午9時至</w:t>
      </w:r>
      <w:r>
        <w:rPr>
          <w:rFonts w:ascii="標楷體" w:eastAsia="標楷體" w:hAnsi="標楷體" w:hint="eastAsia"/>
          <w:spacing w:val="-32"/>
          <w:kern w:val="0"/>
          <w:sz w:val="32"/>
          <w:szCs w:val="32"/>
        </w:rPr>
        <w:t>12</w:t>
      </w:r>
      <w:r w:rsidRPr="00B70493">
        <w:rPr>
          <w:rFonts w:ascii="標楷體" w:eastAsia="標楷體" w:hAnsi="標楷體" w:hint="eastAsia"/>
          <w:spacing w:val="-32"/>
          <w:kern w:val="0"/>
          <w:sz w:val="32"/>
          <w:szCs w:val="32"/>
        </w:rPr>
        <w:t>時</w:t>
      </w:r>
      <w:r>
        <w:rPr>
          <w:rFonts w:ascii="標楷體" w:eastAsia="標楷體" w:hAnsi="標楷體" w:hint="eastAsia"/>
          <w:spacing w:val="-32"/>
          <w:kern w:val="0"/>
          <w:sz w:val="32"/>
          <w:szCs w:val="32"/>
        </w:rPr>
        <w:t>48分</w:t>
      </w:r>
    </w:p>
    <w:p w:rsidR="00B6184F" w:rsidRPr="00B70493" w:rsidRDefault="00B6184F" w:rsidP="00F035E0">
      <w:pPr>
        <w:snapToGrid w:val="0"/>
        <w:spacing w:line="460" w:lineRule="exact"/>
        <w:ind w:left="1706" w:rightChars="9" w:right="22" w:hangingChars="533" w:hanging="1706"/>
        <w:jc w:val="both"/>
        <w:rPr>
          <w:rFonts w:ascii="標楷體" w:eastAsia="標楷體" w:hAnsi="標楷體"/>
          <w:sz w:val="32"/>
          <w:szCs w:val="32"/>
        </w:rPr>
      </w:pPr>
      <w:r w:rsidRPr="00B70493">
        <w:rPr>
          <w:rFonts w:ascii="標楷體" w:eastAsia="標楷體" w:hAnsi="標楷體"/>
          <w:sz w:val="32"/>
          <w:szCs w:val="32"/>
        </w:rPr>
        <w:t>地    點：</w:t>
      </w:r>
      <w:r w:rsidRPr="00B70493">
        <w:rPr>
          <w:rFonts w:ascii="標楷體" w:eastAsia="標楷體" w:hAnsi="標楷體" w:hint="eastAsia"/>
          <w:sz w:val="32"/>
          <w:szCs w:val="32"/>
        </w:rPr>
        <w:t>本院群賢樓101會議室</w:t>
      </w:r>
    </w:p>
    <w:p w:rsidR="00B6184F" w:rsidRPr="00B70493" w:rsidRDefault="00B6184F" w:rsidP="00F035E0">
      <w:pPr>
        <w:snapToGrid w:val="0"/>
        <w:spacing w:line="480" w:lineRule="exact"/>
        <w:ind w:leftChars="2" w:left="5"/>
        <w:jc w:val="both"/>
        <w:rPr>
          <w:rFonts w:ascii="標楷體" w:eastAsia="標楷體" w:hAnsi="標楷體"/>
          <w:sz w:val="32"/>
          <w:szCs w:val="32"/>
        </w:rPr>
      </w:pPr>
      <w:r w:rsidRPr="00B70493">
        <w:rPr>
          <w:rFonts w:ascii="標楷體" w:eastAsia="標楷體" w:hAnsi="標楷體"/>
          <w:sz w:val="32"/>
          <w:szCs w:val="32"/>
        </w:rPr>
        <w:t>出席委員</w:t>
      </w:r>
      <w:r w:rsidRPr="00B70493">
        <w:rPr>
          <w:rFonts w:ascii="標楷體" w:eastAsia="標楷體" w:hAnsi="標楷體" w:hint="eastAsia"/>
          <w:sz w:val="32"/>
          <w:szCs w:val="32"/>
        </w:rPr>
        <w:t>：鄭正鈐  范  雲  陳秀寳  黃國書  林宜瑾  張廖萬堅</w:t>
      </w:r>
    </w:p>
    <w:p w:rsidR="00B6184F" w:rsidRPr="00B70493" w:rsidRDefault="00B6184F" w:rsidP="00F035E0">
      <w:pPr>
        <w:snapToGrid w:val="0"/>
        <w:spacing w:line="480" w:lineRule="exact"/>
        <w:ind w:leftChars="2" w:left="5"/>
        <w:jc w:val="both"/>
        <w:rPr>
          <w:rFonts w:ascii="標楷體" w:eastAsia="標楷體" w:hAnsi="標楷體"/>
          <w:sz w:val="32"/>
          <w:szCs w:val="32"/>
        </w:rPr>
      </w:pPr>
      <w:r w:rsidRPr="00B70493">
        <w:rPr>
          <w:rFonts w:ascii="標楷體" w:eastAsia="標楷體" w:hAnsi="標楷體" w:hint="eastAsia"/>
          <w:sz w:val="32"/>
          <w:szCs w:val="32"/>
        </w:rPr>
        <w:t xml:space="preserve">          王婉諭  何欣純  賴品妤  林奕華  吳思瑤  </w:t>
      </w:r>
      <w:r>
        <w:rPr>
          <w:rFonts w:ascii="標楷體" w:eastAsia="標楷體" w:hAnsi="標楷體" w:hint="eastAsia"/>
          <w:sz w:val="32"/>
          <w:szCs w:val="32"/>
        </w:rPr>
        <w:t>吳怡玎</w:t>
      </w:r>
    </w:p>
    <w:p w:rsidR="00B6184F" w:rsidRPr="00B70493" w:rsidRDefault="00B6184F" w:rsidP="00F035E0">
      <w:pPr>
        <w:snapToGrid w:val="0"/>
        <w:spacing w:line="480" w:lineRule="exact"/>
        <w:ind w:leftChars="2" w:left="5"/>
        <w:jc w:val="both"/>
        <w:rPr>
          <w:rFonts w:ascii="標楷體" w:eastAsia="標楷體" w:hAnsi="標楷體"/>
          <w:sz w:val="32"/>
          <w:szCs w:val="32"/>
        </w:rPr>
      </w:pPr>
      <w:r w:rsidRPr="00B70493">
        <w:rPr>
          <w:rFonts w:ascii="標楷體" w:eastAsia="標楷體" w:hAnsi="標楷體" w:hint="eastAsia"/>
          <w:sz w:val="32"/>
          <w:szCs w:val="32"/>
        </w:rPr>
        <w:t xml:space="preserve">          </w:t>
      </w:r>
      <w:r>
        <w:rPr>
          <w:rFonts w:ascii="標楷體" w:eastAsia="標楷體" w:hAnsi="標楷體" w:hint="eastAsia"/>
          <w:sz w:val="32"/>
          <w:szCs w:val="32"/>
        </w:rPr>
        <w:t>萬美玲  高金素梅</w:t>
      </w:r>
    </w:p>
    <w:p w:rsidR="00B6184F" w:rsidRPr="00B70493" w:rsidRDefault="00B6184F" w:rsidP="00F035E0">
      <w:pPr>
        <w:snapToGrid w:val="0"/>
        <w:spacing w:line="480" w:lineRule="exact"/>
        <w:ind w:leftChars="2" w:left="5"/>
        <w:jc w:val="both"/>
        <w:rPr>
          <w:rFonts w:ascii="標楷體" w:eastAsia="標楷體" w:hAnsi="標楷體"/>
          <w:sz w:val="32"/>
          <w:szCs w:val="32"/>
        </w:rPr>
      </w:pPr>
      <w:r w:rsidRPr="00B70493">
        <w:rPr>
          <w:rFonts w:ascii="標楷體" w:eastAsia="標楷體" w:hAnsi="標楷體" w:hint="eastAsia"/>
          <w:sz w:val="32"/>
          <w:szCs w:val="32"/>
        </w:rPr>
        <w:t xml:space="preserve">          委員出席</w:t>
      </w:r>
      <w:r w:rsidRPr="00B70493">
        <w:rPr>
          <w:rFonts w:ascii="標楷體" w:eastAsia="標楷體" w:hAnsi="標楷體"/>
          <w:sz w:val="32"/>
          <w:szCs w:val="32"/>
        </w:rPr>
        <w:t>14</w:t>
      </w:r>
      <w:r w:rsidRPr="00B70493">
        <w:rPr>
          <w:rFonts w:ascii="標楷體" w:eastAsia="標楷體" w:hAnsi="標楷體" w:hint="eastAsia"/>
          <w:sz w:val="32"/>
          <w:szCs w:val="32"/>
        </w:rPr>
        <w:t>人</w:t>
      </w:r>
    </w:p>
    <w:p w:rsidR="00B6184F" w:rsidRPr="00B70493" w:rsidRDefault="00B6184F" w:rsidP="00F035E0">
      <w:pPr>
        <w:snapToGrid w:val="0"/>
        <w:spacing w:line="480" w:lineRule="exact"/>
        <w:ind w:left="1920" w:rightChars="9" w:right="22" w:hangingChars="600" w:hanging="1920"/>
        <w:jc w:val="both"/>
        <w:rPr>
          <w:rFonts w:ascii="標楷體" w:eastAsia="標楷體" w:hAnsi="標楷體"/>
          <w:sz w:val="32"/>
          <w:szCs w:val="32"/>
        </w:rPr>
      </w:pPr>
      <w:r w:rsidRPr="00B70493">
        <w:rPr>
          <w:rFonts w:ascii="標楷體" w:eastAsia="標楷體" w:hAnsi="標楷體"/>
          <w:sz w:val="32"/>
          <w:szCs w:val="32"/>
        </w:rPr>
        <w:t>列席委員：</w:t>
      </w:r>
      <w:r w:rsidRPr="00B70493">
        <w:rPr>
          <w:rFonts w:ascii="標楷體" w:eastAsia="標楷體" w:hAnsi="標楷體" w:hint="eastAsia"/>
          <w:sz w:val="32"/>
          <w:szCs w:val="32"/>
        </w:rPr>
        <w:t>劉世芳  洪孟楷  楊瓊瓔  陳椒華  曾銘宗  李貴敏</w:t>
      </w:r>
    </w:p>
    <w:p w:rsidR="00B6184F" w:rsidRDefault="00B6184F" w:rsidP="00F035E0">
      <w:pPr>
        <w:snapToGrid w:val="0"/>
        <w:spacing w:line="480" w:lineRule="exact"/>
        <w:ind w:left="1920" w:rightChars="9" w:right="22" w:hangingChars="600" w:hanging="1920"/>
        <w:jc w:val="both"/>
        <w:rPr>
          <w:rFonts w:ascii="標楷體" w:eastAsia="標楷體" w:hAnsi="標楷體"/>
          <w:sz w:val="32"/>
          <w:szCs w:val="32"/>
        </w:rPr>
      </w:pPr>
      <w:r w:rsidRPr="00B70493">
        <w:rPr>
          <w:rFonts w:ascii="標楷體" w:eastAsia="標楷體" w:hAnsi="標楷體" w:hint="eastAsia"/>
          <w:sz w:val="32"/>
          <w:szCs w:val="32"/>
        </w:rPr>
        <w:t xml:space="preserve">          陳亭妃  孔文吉  張其祿  謝衣鳯  鍾佳濱  </w:t>
      </w:r>
      <w:r>
        <w:rPr>
          <w:rFonts w:ascii="標楷體" w:eastAsia="標楷體" w:hAnsi="標楷體" w:hint="eastAsia"/>
          <w:sz w:val="32"/>
          <w:szCs w:val="32"/>
        </w:rPr>
        <w:t>高嘉瑜</w:t>
      </w:r>
    </w:p>
    <w:p w:rsidR="00B6184F" w:rsidRDefault="00B6184F" w:rsidP="00F035E0">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林德福  游毓蘭  邱志偉  </w:t>
      </w:r>
      <w:r w:rsidRPr="00116CFA">
        <w:rPr>
          <w:rFonts w:ascii="標楷體" w:eastAsia="標楷體" w:hAnsi="標楷體" w:hint="eastAsia"/>
          <w:sz w:val="32"/>
          <w:szCs w:val="32"/>
        </w:rPr>
        <w:t>廖國棟Sufin‧Siluko</w:t>
      </w:r>
    </w:p>
    <w:p w:rsidR="00B6184F" w:rsidRPr="00B70493" w:rsidRDefault="00B6184F" w:rsidP="00F035E0">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蘇巧慧  王美惠  羅美玲</w:t>
      </w:r>
    </w:p>
    <w:p w:rsidR="00B6184F" w:rsidRPr="00B70493" w:rsidRDefault="00B6184F" w:rsidP="00F035E0">
      <w:pPr>
        <w:snapToGrid w:val="0"/>
        <w:spacing w:line="480" w:lineRule="exact"/>
        <w:ind w:left="1920" w:rightChars="9" w:right="22" w:hangingChars="600" w:hanging="1920"/>
        <w:jc w:val="both"/>
        <w:rPr>
          <w:rFonts w:ascii="標楷體" w:eastAsia="標楷體" w:hAnsi="標楷體"/>
          <w:position w:val="2"/>
          <w:sz w:val="32"/>
          <w:szCs w:val="32"/>
        </w:rPr>
      </w:pPr>
      <w:r w:rsidRPr="00B70493">
        <w:rPr>
          <w:rFonts w:ascii="標楷體" w:eastAsia="標楷體" w:hAnsi="標楷體" w:hint="eastAsia"/>
          <w:sz w:val="32"/>
          <w:szCs w:val="32"/>
        </w:rPr>
        <w:t xml:space="preserve">          </w:t>
      </w:r>
      <w:r w:rsidRPr="00B70493">
        <w:rPr>
          <w:rFonts w:ascii="標楷體" w:eastAsia="標楷體" w:hAnsi="標楷體"/>
          <w:position w:val="2"/>
          <w:sz w:val="32"/>
          <w:szCs w:val="32"/>
        </w:rPr>
        <w:t>委員列席</w:t>
      </w:r>
      <w:r w:rsidRPr="00B70493">
        <w:rPr>
          <w:rFonts w:ascii="標楷體" w:eastAsia="標楷體" w:hAnsi="標楷體" w:hint="eastAsia"/>
          <w:position w:val="2"/>
          <w:sz w:val="32"/>
          <w:szCs w:val="32"/>
        </w:rPr>
        <w:t>1</w:t>
      </w:r>
      <w:r>
        <w:rPr>
          <w:rFonts w:ascii="標楷體" w:eastAsia="標楷體" w:hAnsi="標楷體" w:hint="eastAsia"/>
          <w:position w:val="2"/>
          <w:sz w:val="32"/>
          <w:szCs w:val="32"/>
        </w:rPr>
        <w:t>9</w:t>
      </w:r>
      <w:r w:rsidRPr="00B70493">
        <w:rPr>
          <w:rFonts w:ascii="標楷體" w:eastAsia="標楷體" w:hAnsi="標楷體"/>
          <w:position w:val="2"/>
          <w:sz w:val="32"/>
          <w:szCs w:val="32"/>
        </w:rPr>
        <w:t>人</w:t>
      </w:r>
    </w:p>
    <w:p w:rsidR="00B6184F" w:rsidRPr="00B70493" w:rsidRDefault="00B6184F" w:rsidP="00F035E0">
      <w:pPr>
        <w:pStyle w:val="ac"/>
        <w:spacing w:line="500" w:lineRule="exact"/>
        <w:ind w:left="975" w:hanging="964"/>
        <w:contextualSpacing/>
        <w:rPr>
          <w:sz w:val="32"/>
          <w:szCs w:val="32"/>
        </w:rPr>
      </w:pPr>
      <w:r w:rsidRPr="00B70493">
        <w:rPr>
          <w:sz w:val="32"/>
          <w:szCs w:val="32"/>
        </w:rPr>
        <w:t>列席人員</w:t>
      </w:r>
      <w:r w:rsidRPr="00B70493">
        <w:rPr>
          <w:rFonts w:hint="eastAsia"/>
          <w:sz w:val="32"/>
          <w:szCs w:val="32"/>
        </w:rPr>
        <w:t>：(</w:t>
      </w:r>
      <w:r w:rsidRPr="00B70493">
        <w:rPr>
          <w:sz w:val="32"/>
          <w:szCs w:val="32"/>
        </w:rPr>
        <w:t>11</w:t>
      </w:r>
      <w:r w:rsidRPr="00B70493">
        <w:rPr>
          <w:rFonts w:hint="eastAsia"/>
          <w:sz w:val="32"/>
          <w:szCs w:val="32"/>
        </w:rPr>
        <w:t>月</w:t>
      </w:r>
      <w:r w:rsidRPr="00B70493">
        <w:rPr>
          <w:sz w:val="32"/>
          <w:szCs w:val="32"/>
        </w:rPr>
        <w:t>30</w:t>
      </w:r>
      <w:r w:rsidRPr="00B70493">
        <w:rPr>
          <w:rFonts w:hint="eastAsia"/>
          <w:sz w:val="32"/>
          <w:szCs w:val="32"/>
        </w:rPr>
        <w:t>日上午)</w:t>
      </w:r>
    </w:p>
    <w:p w:rsidR="00B6184F" w:rsidRPr="00B70493" w:rsidRDefault="00B6184F" w:rsidP="00F035E0">
      <w:pPr>
        <w:pStyle w:val="ac"/>
        <w:tabs>
          <w:tab w:val="left" w:pos="1418"/>
        </w:tabs>
        <w:spacing w:line="500" w:lineRule="exact"/>
        <w:ind w:left="975" w:hanging="964"/>
        <w:contextualSpacing/>
        <w:rPr>
          <w:sz w:val="32"/>
          <w:szCs w:val="32"/>
        </w:rPr>
      </w:pPr>
      <w:r w:rsidRPr="00B70493">
        <w:rPr>
          <w:rFonts w:hint="eastAsia"/>
          <w:sz w:val="32"/>
          <w:szCs w:val="32"/>
        </w:rPr>
        <w:t xml:space="preserve">      </w:t>
      </w:r>
      <w:r w:rsidRPr="00B70493">
        <w:rPr>
          <w:rFonts w:hint="eastAsia"/>
          <w:sz w:val="40"/>
          <w:szCs w:val="32"/>
        </w:rPr>
        <w:t xml:space="preserve"> </w:t>
      </w:r>
      <w:r w:rsidRPr="00B70493">
        <w:rPr>
          <w:rFonts w:hint="eastAsia"/>
          <w:sz w:val="32"/>
          <w:szCs w:val="32"/>
        </w:rPr>
        <w:t xml:space="preserve"> </w:t>
      </w:r>
      <w:r w:rsidRPr="00B70493">
        <w:rPr>
          <w:rFonts w:hint="eastAsia"/>
          <w:sz w:val="56"/>
          <w:szCs w:val="32"/>
        </w:rPr>
        <w:t xml:space="preserve"> </w:t>
      </w:r>
      <w:r w:rsidRPr="00B70493">
        <w:rPr>
          <w:rFonts w:hint="eastAsia"/>
          <w:sz w:val="32"/>
          <w:szCs w:val="32"/>
        </w:rPr>
        <w:t>行政院原子能委員會主任委員    謝曉星率同有關人員</w:t>
      </w:r>
    </w:p>
    <w:p w:rsidR="00B6184F" w:rsidRPr="00B70493" w:rsidRDefault="00B6184F" w:rsidP="00F035E0">
      <w:pPr>
        <w:pStyle w:val="ac"/>
        <w:tabs>
          <w:tab w:val="left" w:pos="1418"/>
        </w:tabs>
        <w:spacing w:line="500" w:lineRule="exact"/>
        <w:ind w:left="975" w:hanging="964"/>
        <w:contextualSpacing/>
        <w:rPr>
          <w:sz w:val="32"/>
          <w:szCs w:val="32"/>
        </w:rPr>
      </w:pPr>
      <w:r w:rsidRPr="00B70493">
        <w:rPr>
          <w:rFonts w:hint="eastAsia"/>
          <w:sz w:val="32"/>
          <w:szCs w:val="32"/>
        </w:rPr>
        <w:t xml:space="preserve">          行政院主計總處公務預算處專門委員          吳銘修</w:t>
      </w:r>
    </w:p>
    <w:p w:rsidR="00B6184F" w:rsidRPr="00B70493" w:rsidRDefault="00B6184F" w:rsidP="00F035E0">
      <w:pPr>
        <w:pStyle w:val="ac"/>
        <w:tabs>
          <w:tab w:val="left" w:pos="1418"/>
        </w:tabs>
        <w:spacing w:line="500" w:lineRule="exact"/>
        <w:ind w:left="975" w:hanging="964"/>
        <w:contextualSpacing/>
        <w:rPr>
          <w:sz w:val="32"/>
          <w:szCs w:val="32"/>
        </w:rPr>
      </w:pPr>
      <w:r w:rsidRPr="00B70493">
        <w:rPr>
          <w:rFonts w:hint="eastAsia"/>
          <w:sz w:val="32"/>
          <w:szCs w:val="32"/>
        </w:rPr>
        <w:t xml:space="preserve">          行政院主計總處基金預算處專門委員          吳婉玉</w:t>
      </w:r>
    </w:p>
    <w:p w:rsidR="00B6184F" w:rsidRPr="00B70493" w:rsidRDefault="00B6184F" w:rsidP="00F035E0">
      <w:pPr>
        <w:pStyle w:val="ac"/>
        <w:spacing w:line="500" w:lineRule="exact"/>
        <w:ind w:left="975" w:hanging="964"/>
        <w:contextualSpacing/>
        <w:rPr>
          <w:spacing w:val="-2"/>
          <w:position w:val="2"/>
          <w:sz w:val="32"/>
          <w:szCs w:val="32"/>
        </w:rPr>
      </w:pPr>
      <w:r w:rsidRPr="00B70493">
        <w:rPr>
          <w:rFonts w:hint="eastAsia"/>
          <w:spacing w:val="-2"/>
          <w:position w:val="2"/>
          <w:sz w:val="32"/>
          <w:szCs w:val="32"/>
        </w:rPr>
        <w:t xml:space="preserve">          (11月30日下午)</w:t>
      </w:r>
    </w:p>
    <w:p w:rsidR="00B6184F" w:rsidRPr="00B70493" w:rsidRDefault="00B6184F" w:rsidP="00F035E0">
      <w:pPr>
        <w:pStyle w:val="ac"/>
        <w:spacing w:line="500" w:lineRule="exact"/>
        <w:ind w:left="975" w:hanging="964"/>
        <w:contextualSpacing/>
        <w:rPr>
          <w:spacing w:val="-2"/>
          <w:position w:val="2"/>
          <w:sz w:val="32"/>
          <w:szCs w:val="32"/>
        </w:rPr>
      </w:pPr>
      <w:r w:rsidRPr="00B70493">
        <w:rPr>
          <w:rFonts w:hint="eastAsia"/>
          <w:spacing w:val="-2"/>
          <w:position w:val="2"/>
          <w:sz w:val="32"/>
          <w:szCs w:val="32"/>
        </w:rPr>
        <w:t xml:space="preserve">          國立故宮博物院院長             吳密察率同有關人員</w:t>
      </w:r>
    </w:p>
    <w:p w:rsidR="00B6184F" w:rsidRPr="00B70493" w:rsidRDefault="00B6184F" w:rsidP="00F035E0">
      <w:pPr>
        <w:pStyle w:val="ac"/>
        <w:spacing w:line="500" w:lineRule="exact"/>
        <w:ind w:left="975" w:hanging="964"/>
        <w:contextualSpacing/>
        <w:rPr>
          <w:spacing w:val="-2"/>
          <w:position w:val="2"/>
          <w:sz w:val="32"/>
          <w:szCs w:val="32"/>
        </w:rPr>
      </w:pPr>
      <w:r w:rsidRPr="00B70493">
        <w:rPr>
          <w:rFonts w:hint="eastAsia"/>
          <w:spacing w:val="-2"/>
          <w:position w:val="2"/>
          <w:sz w:val="32"/>
          <w:szCs w:val="32"/>
        </w:rPr>
        <w:t xml:space="preserve">          行政院主計總處公務預算處專門委員           吳銘修</w:t>
      </w:r>
    </w:p>
    <w:p w:rsidR="00B6184F" w:rsidRPr="00B70493" w:rsidRDefault="00B6184F" w:rsidP="00F035E0">
      <w:pPr>
        <w:pStyle w:val="ac"/>
        <w:spacing w:line="500" w:lineRule="exact"/>
        <w:ind w:left="975" w:hanging="964"/>
        <w:contextualSpacing/>
        <w:rPr>
          <w:spacing w:val="-2"/>
          <w:position w:val="2"/>
          <w:sz w:val="32"/>
          <w:szCs w:val="32"/>
        </w:rPr>
      </w:pPr>
      <w:r w:rsidRPr="00B70493">
        <w:rPr>
          <w:rFonts w:hint="eastAsia"/>
          <w:spacing w:val="-2"/>
          <w:position w:val="2"/>
          <w:sz w:val="32"/>
          <w:szCs w:val="32"/>
        </w:rPr>
        <w:t xml:space="preserve">          行政院主計總處基金預算處科長               謝閔傑</w:t>
      </w:r>
    </w:p>
    <w:p w:rsidR="00B6184F" w:rsidRPr="00B70493" w:rsidRDefault="00B6184F" w:rsidP="00F035E0">
      <w:pPr>
        <w:pStyle w:val="ac"/>
        <w:spacing w:line="500" w:lineRule="exact"/>
        <w:ind w:left="975" w:hanging="964"/>
        <w:contextualSpacing/>
        <w:rPr>
          <w:spacing w:val="-2"/>
          <w:position w:val="2"/>
          <w:sz w:val="32"/>
          <w:szCs w:val="32"/>
        </w:rPr>
      </w:pPr>
      <w:r w:rsidRPr="00B70493">
        <w:rPr>
          <w:rFonts w:hint="eastAsia"/>
          <w:spacing w:val="-2"/>
          <w:position w:val="2"/>
          <w:sz w:val="32"/>
          <w:szCs w:val="32"/>
        </w:rPr>
        <w:t xml:space="preserve">          (12月1日)</w:t>
      </w:r>
    </w:p>
    <w:p w:rsidR="00B6184F" w:rsidRPr="00B70493" w:rsidRDefault="00B6184F" w:rsidP="00F035E0">
      <w:pPr>
        <w:pStyle w:val="ac"/>
        <w:tabs>
          <w:tab w:val="left" w:pos="1418"/>
        </w:tabs>
        <w:spacing w:line="500" w:lineRule="exact"/>
        <w:ind w:left="975" w:hanging="964"/>
        <w:contextualSpacing/>
        <w:rPr>
          <w:spacing w:val="-2"/>
          <w:position w:val="2"/>
          <w:sz w:val="32"/>
          <w:szCs w:val="32"/>
        </w:rPr>
      </w:pPr>
      <w:r w:rsidRPr="00B70493">
        <w:rPr>
          <w:rFonts w:hint="eastAsia"/>
          <w:spacing w:val="-2"/>
          <w:position w:val="2"/>
          <w:sz w:val="32"/>
          <w:szCs w:val="32"/>
        </w:rPr>
        <w:t xml:space="preserve">        </w:t>
      </w:r>
      <w:r w:rsidRPr="00B70493">
        <w:rPr>
          <w:rFonts w:hint="eastAsia"/>
          <w:spacing w:val="-2"/>
          <w:position w:val="2"/>
          <w:sz w:val="72"/>
          <w:szCs w:val="32"/>
        </w:rPr>
        <w:t xml:space="preserve"> </w:t>
      </w:r>
      <w:r w:rsidRPr="00B70493">
        <w:rPr>
          <w:rFonts w:hint="eastAsia"/>
          <w:sz w:val="32"/>
          <w:szCs w:val="32"/>
        </w:rPr>
        <w:t xml:space="preserve">教育部部長         </w:t>
      </w:r>
      <w:r w:rsidRPr="00B70493">
        <w:rPr>
          <w:rFonts w:hint="eastAsia"/>
          <w:sz w:val="56"/>
          <w:szCs w:val="32"/>
        </w:rPr>
        <w:t xml:space="preserve"> </w:t>
      </w:r>
      <w:r w:rsidRPr="00B70493">
        <w:rPr>
          <w:rFonts w:hint="eastAsia"/>
          <w:sz w:val="32"/>
          <w:szCs w:val="32"/>
        </w:rPr>
        <w:t xml:space="preserve">         潘文忠</w:t>
      </w:r>
      <w:r w:rsidRPr="00B70493">
        <w:rPr>
          <w:rFonts w:hint="eastAsia"/>
          <w:spacing w:val="-2"/>
          <w:position w:val="2"/>
          <w:sz w:val="32"/>
          <w:szCs w:val="32"/>
        </w:rPr>
        <w:t>率同有關人員</w:t>
      </w:r>
    </w:p>
    <w:p w:rsidR="00B6184F" w:rsidRPr="00B70493" w:rsidRDefault="00B6184F" w:rsidP="00F035E0">
      <w:pPr>
        <w:pStyle w:val="ac"/>
        <w:tabs>
          <w:tab w:val="left" w:pos="1418"/>
        </w:tabs>
        <w:spacing w:line="500" w:lineRule="exact"/>
        <w:ind w:left="975" w:hanging="964"/>
        <w:contextualSpacing/>
        <w:rPr>
          <w:spacing w:val="-2"/>
          <w:position w:val="2"/>
          <w:sz w:val="32"/>
          <w:szCs w:val="32"/>
        </w:rPr>
      </w:pPr>
      <w:r w:rsidRPr="00B70493">
        <w:rPr>
          <w:rFonts w:hint="eastAsia"/>
          <w:spacing w:val="-2"/>
          <w:position w:val="2"/>
          <w:sz w:val="32"/>
          <w:szCs w:val="32"/>
        </w:rPr>
        <w:t xml:space="preserve">          內政部戶政司專門委員                       潘營忠</w:t>
      </w:r>
    </w:p>
    <w:p w:rsidR="00B6184F" w:rsidRPr="00B70493" w:rsidRDefault="00B6184F" w:rsidP="00F035E0">
      <w:pPr>
        <w:pStyle w:val="ac"/>
        <w:tabs>
          <w:tab w:val="left" w:pos="1418"/>
        </w:tabs>
        <w:spacing w:line="500" w:lineRule="exact"/>
        <w:ind w:left="975" w:hanging="964"/>
        <w:contextualSpacing/>
        <w:rPr>
          <w:spacing w:val="-2"/>
          <w:position w:val="2"/>
          <w:sz w:val="32"/>
          <w:szCs w:val="32"/>
        </w:rPr>
      </w:pPr>
      <w:r w:rsidRPr="00B70493">
        <w:rPr>
          <w:rFonts w:hint="eastAsia"/>
          <w:spacing w:val="-2"/>
          <w:position w:val="2"/>
          <w:sz w:val="32"/>
          <w:szCs w:val="32"/>
        </w:rPr>
        <w:t xml:space="preserve">          財政部國有財產署專門委員                   羅育華</w:t>
      </w:r>
    </w:p>
    <w:p w:rsidR="00B6184F" w:rsidRPr="00B70493" w:rsidRDefault="00B6184F" w:rsidP="00F035E0">
      <w:pPr>
        <w:pStyle w:val="ac"/>
        <w:tabs>
          <w:tab w:val="left" w:pos="1418"/>
        </w:tabs>
        <w:spacing w:line="500" w:lineRule="exact"/>
        <w:ind w:left="975" w:hanging="964"/>
        <w:contextualSpacing/>
        <w:rPr>
          <w:spacing w:val="-2"/>
          <w:position w:val="2"/>
          <w:sz w:val="32"/>
          <w:szCs w:val="32"/>
        </w:rPr>
      </w:pPr>
      <w:r w:rsidRPr="00B70493">
        <w:rPr>
          <w:rFonts w:hint="eastAsia"/>
          <w:spacing w:val="-2"/>
          <w:position w:val="2"/>
          <w:sz w:val="32"/>
          <w:szCs w:val="32"/>
        </w:rPr>
        <w:t xml:space="preserve">          財政部國庫署專門委員                       邱美齊</w:t>
      </w:r>
    </w:p>
    <w:p w:rsidR="00B6184F" w:rsidRPr="00B70493" w:rsidRDefault="00B6184F" w:rsidP="00F035E0">
      <w:pPr>
        <w:pStyle w:val="ac"/>
        <w:tabs>
          <w:tab w:val="left" w:pos="1418"/>
        </w:tabs>
        <w:spacing w:line="500" w:lineRule="exact"/>
        <w:ind w:left="975" w:hanging="964"/>
        <w:contextualSpacing/>
        <w:rPr>
          <w:spacing w:val="-2"/>
          <w:position w:val="2"/>
          <w:sz w:val="32"/>
          <w:szCs w:val="32"/>
        </w:rPr>
      </w:pPr>
      <w:r w:rsidRPr="00B70493">
        <w:rPr>
          <w:rFonts w:hint="eastAsia"/>
          <w:spacing w:val="-2"/>
          <w:position w:val="2"/>
          <w:sz w:val="32"/>
          <w:szCs w:val="32"/>
        </w:rPr>
        <w:t xml:space="preserve">          財政部賦稅署專門委員                       江雅玲</w:t>
      </w:r>
    </w:p>
    <w:p w:rsidR="00B6184F" w:rsidRPr="00B70493" w:rsidRDefault="00B6184F" w:rsidP="00F035E0">
      <w:pPr>
        <w:pStyle w:val="ac"/>
        <w:tabs>
          <w:tab w:val="left" w:pos="1418"/>
        </w:tabs>
        <w:spacing w:line="500" w:lineRule="exact"/>
        <w:ind w:left="975" w:hanging="964"/>
        <w:contextualSpacing/>
        <w:rPr>
          <w:spacing w:val="-2"/>
          <w:position w:val="2"/>
          <w:sz w:val="32"/>
          <w:szCs w:val="32"/>
        </w:rPr>
      </w:pPr>
      <w:r w:rsidRPr="00B70493">
        <w:rPr>
          <w:rFonts w:hint="eastAsia"/>
          <w:spacing w:val="-2"/>
          <w:position w:val="2"/>
          <w:sz w:val="32"/>
          <w:szCs w:val="32"/>
        </w:rPr>
        <w:t xml:space="preserve">          銓敘部法規司專門委員                       林岑玫</w:t>
      </w:r>
    </w:p>
    <w:p w:rsidR="00B6184F" w:rsidRPr="00B70493" w:rsidRDefault="00B6184F" w:rsidP="00F035E0">
      <w:pPr>
        <w:pStyle w:val="ac"/>
        <w:tabs>
          <w:tab w:val="left" w:pos="1418"/>
        </w:tabs>
        <w:spacing w:line="500" w:lineRule="exact"/>
        <w:ind w:left="975" w:hanging="964"/>
        <w:contextualSpacing/>
        <w:rPr>
          <w:sz w:val="32"/>
          <w:szCs w:val="32"/>
        </w:rPr>
      </w:pPr>
      <w:r w:rsidRPr="00B70493">
        <w:rPr>
          <w:rFonts w:hint="eastAsia"/>
          <w:spacing w:val="-2"/>
          <w:sz w:val="32"/>
        </w:rPr>
        <w:lastRenderedPageBreak/>
        <w:t xml:space="preserve">          </w:t>
      </w:r>
      <w:r w:rsidRPr="00B70493">
        <w:rPr>
          <w:rFonts w:hint="eastAsia"/>
          <w:sz w:val="32"/>
          <w:szCs w:val="32"/>
        </w:rPr>
        <w:t>原住民族</w:t>
      </w:r>
      <w:r w:rsidRPr="00B70493">
        <w:rPr>
          <w:rFonts w:hint="eastAsia"/>
          <w:spacing w:val="-2"/>
          <w:position w:val="2"/>
          <w:sz w:val="32"/>
          <w:szCs w:val="32"/>
        </w:rPr>
        <w:t>委員會</w:t>
      </w:r>
      <w:r w:rsidRPr="00B70493">
        <w:rPr>
          <w:rFonts w:hint="eastAsia"/>
          <w:sz w:val="32"/>
          <w:szCs w:val="32"/>
        </w:rPr>
        <w:t xml:space="preserve">教育文化處副處長      </w:t>
      </w:r>
      <w:r w:rsidRPr="00737D07">
        <w:rPr>
          <w:rFonts w:hint="eastAsia"/>
          <w:sz w:val="40"/>
          <w:szCs w:val="32"/>
        </w:rPr>
        <w:t xml:space="preserve"> </w:t>
      </w:r>
      <w:r w:rsidRPr="00B70493">
        <w:rPr>
          <w:rFonts w:hint="eastAsia"/>
          <w:sz w:val="32"/>
          <w:szCs w:val="32"/>
        </w:rPr>
        <w:t xml:space="preserve">     邱文隆</w:t>
      </w:r>
    </w:p>
    <w:p w:rsidR="00B6184F" w:rsidRPr="00B70493" w:rsidRDefault="00B6184F" w:rsidP="00F035E0">
      <w:pPr>
        <w:pStyle w:val="ac"/>
        <w:tabs>
          <w:tab w:val="left" w:pos="1418"/>
        </w:tabs>
        <w:spacing w:line="500" w:lineRule="exact"/>
        <w:ind w:left="975" w:hanging="964"/>
        <w:contextualSpacing/>
        <w:rPr>
          <w:spacing w:val="-2"/>
          <w:position w:val="2"/>
          <w:sz w:val="32"/>
          <w:szCs w:val="32"/>
        </w:rPr>
      </w:pPr>
      <w:r w:rsidRPr="00B70493">
        <w:rPr>
          <w:rFonts w:hint="eastAsia"/>
          <w:spacing w:val="-2"/>
          <w:position w:val="2"/>
          <w:sz w:val="32"/>
          <w:szCs w:val="32"/>
        </w:rPr>
        <w:t xml:space="preserve">          國家發展委員會社會發展處專門委員           施乃元</w:t>
      </w:r>
    </w:p>
    <w:p w:rsidR="00B6184F" w:rsidRPr="00B70493" w:rsidRDefault="00B6184F" w:rsidP="00F035E0">
      <w:pPr>
        <w:pStyle w:val="ac"/>
        <w:tabs>
          <w:tab w:val="left" w:pos="1418"/>
        </w:tabs>
        <w:spacing w:line="500" w:lineRule="exact"/>
        <w:ind w:left="975" w:hanging="964"/>
        <w:contextualSpacing/>
        <w:rPr>
          <w:spacing w:val="-2"/>
          <w:position w:val="2"/>
          <w:sz w:val="32"/>
          <w:szCs w:val="32"/>
        </w:rPr>
      </w:pPr>
      <w:r w:rsidRPr="00B70493">
        <w:rPr>
          <w:rFonts w:hint="eastAsia"/>
          <w:spacing w:val="-2"/>
          <w:position w:val="2"/>
          <w:sz w:val="32"/>
          <w:szCs w:val="32"/>
        </w:rPr>
        <w:t xml:space="preserve">          國家發展委員會法制協調處科長               陳育靖</w:t>
      </w:r>
    </w:p>
    <w:p w:rsidR="00B6184F" w:rsidRPr="00B70493" w:rsidRDefault="00B6184F" w:rsidP="00F035E0">
      <w:pPr>
        <w:pStyle w:val="ac"/>
        <w:tabs>
          <w:tab w:val="left" w:pos="1418"/>
        </w:tabs>
        <w:spacing w:line="500" w:lineRule="exact"/>
        <w:ind w:left="975" w:hanging="964"/>
        <w:contextualSpacing/>
        <w:rPr>
          <w:spacing w:val="-2"/>
          <w:position w:val="2"/>
          <w:sz w:val="32"/>
          <w:szCs w:val="32"/>
        </w:rPr>
      </w:pPr>
      <w:r w:rsidRPr="00B70493">
        <w:rPr>
          <w:rFonts w:hint="eastAsia"/>
          <w:spacing w:val="-2"/>
          <w:position w:val="2"/>
          <w:sz w:val="32"/>
          <w:szCs w:val="32"/>
        </w:rPr>
        <w:t xml:space="preserve">          國家發展委員會人力發展處專員               賴紫琳</w:t>
      </w:r>
    </w:p>
    <w:p w:rsidR="00B6184F" w:rsidRPr="00B70493" w:rsidRDefault="00B6184F" w:rsidP="00F035E0">
      <w:pPr>
        <w:pStyle w:val="ac"/>
        <w:tabs>
          <w:tab w:val="left" w:pos="1418"/>
        </w:tabs>
        <w:spacing w:line="500" w:lineRule="exact"/>
        <w:ind w:left="975" w:hanging="964"/>
        <w:contextualSpacing/>
        <w:rPr>
          <w:spacing w:val="-2"/>
          <w:position w:val="2"/>
          <w:sz w:val="32"/>
          <w:szCs w:val="32"/>
        </w:rPr>
      </w:pPr>
      <w:r w:rsidRPr="00B70493">
        <w:rPr>
          <w:rFonts w:hint="eastAsia"/>
          <w:spacing w:val="-2"/>
          <w:position w:val="2"/>
          <w:sz w:val="32"/>
          <w:szCs w:val="32"/>
        </w:rPr>
        <w:t xml:space="preserve">          行政院公共工程委員會企劃處專門委員         徐肇晞</w:t>
      </w:r>
    </w:p>
    <w:p w:rsidR="00B6184F" w:rsidRPr="00B70493" w:rsidRDefault="00B6184F" w:rsidP="00F035E0">
      <w:pPr>
        <w:pStyle w:val="ac"/>
        <w:tabs>
          <w:tab w:val="left" w:pos="1418"/>
        </w:tabs>
        <w:spacing w:line="500" w:lineRule="exact"/>
        <w:ind w:left="975" w:hanging="964"/>
        <w:contextualSpacing/>
        <w:rPr>
          <w:spacing w:val="-2"/>
          <w:position w:val="2"/>
          <w:sz w:val="32"/>
          <w:szCs w:val="32"/>
        </w:rPr>
      </w:pPr>
      <w:r w:rsidRPr="00B70493">
        <w:rPr>
          <w:rFonts w:hint="eastAsia"/>
          <w:spacing w:val="-2"/>
          <w:position w:val="2"/>
          <w:sz w:val="32"/>
          <w:szCs w:val="32"/>
        </w:rPr>
        <w:t xml:space="preserve">          行政院人事行政總處綜合規劃處專門委員       馬林源</w:t>
      </w:r>
    </w:p>
    <w:p w:rsidR="00B6184F" w:rsidRPr="00B70493" w:rsidRDefault="00B6184F" w:rsidP="00F035E0">
      <w:pPr>
        <w:pStyle w:val="ac"/>
        <w:tabs>
          <w:tab w:val="left" w:pos="1418"/>
        </w:tabs>
        <w:spacing w:line="500" w:lineRule="exact"/>
        <w:ind w:left="975" w:hanging="964"/>
        <w:contextualSpacing/>
        <w:rPr>
          <w:spacing w:val="-2"/>
          <w:position w:val="2"/>
          <w:sz w:val="32"/>
          <w:szCs w:val="32"/>
        </w:rPr>
      </w:pPr>
      <w:r w:rsidRPr="00B70493">
        <w:rPr>
          <w:rFonts w:hint="eastAsia"/>
          <w:spacing w:val="-2"/>
          <w:position w:val="2"/>
          <w:sz w:val="32"/>
          <w:szCs w:val="32"/>
        </w:rPr>
        <w:t xml:space="preserve">          行政院人事行政總處給與福利處專門委員       黃莉婷</w:t>
      </w:r>
    </w:p>
    <w:p w:rsidR="00B6184F" w:rsidRPr="00B70493" w:rsidRDefault="00B6184F" w:rsidP="00F035E0">
      <w:pPr>
        <w:pStyle w:val="ac"/>
        <w:tabs>
          <w:tab w:val="left" w:pos="1418"/>
        </w:tabs>
        <w:spacing w:line="500" w:lineRule="exact"/>
        <w:ind w:left="975" w:hanging="964"/>
        <w:contextualSpacing/>
        <w:rPr>
          <w:spacing w:val="-2"/>
          <w:position w:val="2"/>
          <w:sz w:val="32"/>
          <w:szCs w:val="32"/>
        </w:rPr>
      </w:pPr>
      <w:r w:rsidRPr="00B70493">
        <w:rPr>
          <w:rFonts w:hint="eastAsia"/>
          <w:spacing w:val="-2"/>
          <w:position w:val="2"/>
          <w:sz w:val="32"/>
          <w:szCs w:val="32"/>
        </w:rPr>
        <w:t xml:space="preserve">          行政院主計總處公務預算處專門委員           李翊柔</w:t>
      </w:r>
    </w:p>
    <w:p w:rsidR="00B6184F" w:rsidRPr="00B70493" w:rsidRDefault="00B6184F" w:rsidP="00F035E0">
      <w:pPr>
        <w:spacing w:line="500" w:lineRule="exact"/>
        <w:ind w:rightChars="14" w:right="34"/>
        <w:rPr>
          <w:rFonts w:ascii="標楷體" w:eastAsia="標楷體" w:hAnsi="標楷體"/>
          <w:sz w:val="32"/>
          <w:szCs w:val="32"/>
        </w:rPr>
      </w:pPr>
      <w:r w:rsidRPr="00B70493">
        <w:rPr>
          <w:rFonts w:ascii="標楷體" w:eastAsia="標楷體" w:hAnsi="標楷體"/>
          <w:sz w:val="32"/>
          <w:szCs w:val="32"/>
        </w:rPr>
        <w:t>主    席</w:t>
      </w:r>
      <w:r w:rsidRPr="00B70493">
        <w:rPr>
          <w:rFonts w:ascii="標楷體" w:eastAsia="標楷體" w:hAnsi="標楷體" w:hint="eastAsia"/>
          <w:sz w:val="32"/>
          <w:szCs w:val="32"/>
        </w:rPr>
        <w:t>：陳</w:t>
      </w:r>
      <w:r w:rsidRPr="00B70493">
        <w:rPr>
          <w:rFonts w:ascii="標楷體" w:eastAsia="標楷體" w:hAnsi="標楷體"/>
          <w:sz w:val="32"/>
          <w:szCs w:val="32"/>
        </w:rPr>
        <w:t>召集委員</w:t>
      </w:r>
      <w:r w:rsidRPr="00B70493">
        <w:rPr>
          <w:rFonts w:ascii="標楷體" w:eastAsia="標楷體" w:hAnsi="標楷體" w:hint="eastAsia"/>
          <w:sz w:val="32"/>
          <w:szCs w:val="32"/>
        </w:rPr>
        <w:t>秀寳</w:t>
      </w:r>
    </w:p>
    <w:p w:rsidR="00B6184F" w:rsidRPr="00B70493" w:rsidRDefault="00B6184F" w:rsidP="00F035E0">
      <w:pPr>
        <w:snapToGrid w:val="0"/>
        <w:spacing w:line="500" w:lineRule="exact"/>
        <w:ind w:rightChars="9" w:right="22"/>
        <w:jc w:val="both"/>
        <w:rPr>
          <w:rFonts w:ascii="標楷體" w:eastAsia="標楷體" w:hAnsi="標楷體"/>
          <w:sz w:val="32"/>
          <w:szCs w:val="32"/>
        </w:rPr>
      </w:pPr>
      <w:r w:rsidRPr="00B70493">
        <w:rPr>
          <w:rFonts w:ascii="標楷體" w:eastAsia="標楷體" w:hAnsi="標楷體"/>
          <w:sz w:val="32"/>
          <w:szCs w:val="32"/>
        </w:rPr>
        <w:t>主任秘書：</w:t>
      </w:r>
      <w:r w:rsidRPr="00B70493">
        <w:rPr>
          <w:rFonts w:ascii="標楷體" w:eastAsia="標楷體" w:hAnsi="標楷體" w:hint="eastAsia"/>
          <w:sz w:val="32"/>
          <w:szCs w:val="32"/>
        </w:rPr>
        <w:t>陳錫欽</w:t>
      </w:r>
    </w:p>
    <w:p w:rsidR="00B6184F" w:rsidRPr="00B70493" w:rsidRDefault="00B6184F" w:rsidP="00F035E0">
      <w:pPr>
        <w:snapToGrid w:val="0"/>
        <w:spacing w:line="500" w:lineRule="exact"/>
        <w:ind w:rightChars="9" w:right="22"/>
        <w:jc w:val="both"/>
        <w:rPr>
          <w:rFonts w:ascii="標楷體" w:eastAsia="標楷體" w:hAnsi="標楷體"/>
          <w:sz w:val="32"/>
          <w:szCs w:val="32"/>
        </w:rPr>
      </w:pPr>
      <w:r w:rsidRPr="00B70493">
        <w:rPr>
          <w:rFonts w:ascii="標楷體" w:eastAsia="標楷體" w:hAnsi="標楷體"/>
          <w:sz w:val="32"/>
          <w:szCs w:val="32"/>
        </w:rPr>
        <w:t>專門委員：</w:t>
      </w:r>
      <w:r w:rsidRPr="00B70493">
        <w:rPr>
          <w:rFonts w:ascii="標楷體" w:eastAsia="標楷體" w:hAnsi="標楷體" w:hint="eastAsia"/>
          <w:sz w:val="32"/>
          <w:szCs w:val="32"/>
        </w:rPr>
        <w:t>朱蔚菁</w:t>
      </w:r>
    </w:p>
    <w:p w:rsidR="00B6184F" w:rsidRPr="00B70493" w:rsidRDefault="00B6184F" w:rsidP="00F035E0">
      <w:pPr>
        <w:snapToGrid w:val="0"/>
        <w:spacing w:line="500" w:lineRule="exact"/>
        <w:ind w:rightChars="9" w:right="22"/>
        <w:jc w:val="both"/>
        <w:rPr>
          <w:rFonts w:ascii="標楷體" w:eastAsia="標楷體" w:hAnsi="標楷體"/>
          <w:sz w:val="32"/>
          <w:szCs w:val="32"/>
        </w:rPr>
      </w:pPr>
      <w:r w:rsidRPr="00B70493">
        <w:rPr>
          <w:rFonts w:ascii="標楷體" w:eastAsia="標楷體" w:hAnsi="標楷體"/>
          <w:sz w:val="32"/>
          <w:szCs w:val="32"/>
        </w:rPr>
        <w:t>紀    錄：</w:t>
      </w:r>
      <w:r w:rsidRPr="00B70493">
        <w:rPr>
          <w:rFonts w:ascii="標楷體" w:eastAsia="標楷體" w:hAnsi="標楷體" w:hint="eastAsia"/>
          <w:sz w:val="32"/>
          <w:szCs w:val="32"/>
        </w:rPr>
        <w:t>簡任秘書  林素惠  簡任編審  蔡月秋  科長  蔡國治</w:t>
      </w:r>
    </w:p>
    <w:p w:rsidR="00B6184F" w:rsidRPr="00B70493" w:rsidRDefault="00B6184F" w:rsidP="00F035E0">
      <w:pPr>
        <w:snapToGrid w:val="0"/>
        <w:spacing w:line="500" w:lineRule="exact"/>
        <w:ind w:rightChars="9" w:right="22"/>
        <w:jc w:val="both"/>
        <w:rPr>
          <w:rFonts w:ascii="標楷體" w:eastAsia="標楷體" w:hAnsi="標楷體"/>
          <w:sz w:val="32"/>
          <w:szCs w:val="32"/>
        </w:rPr>
      </w:pPr>
      <w:r w:rsidRPr="00B70493">
        <w:rPr>
          <w:rFonts w:ascii="標楷體" w:eastAsia="標楷體" w:hAnsi="標楷體" w:hint="eastAsia"/>
          <w:sz w:val="32"/>
          <w:szCs w:val="32"/>
        </w:rPr>
        <w:t xml:space="preserve">          薦任科員  李宗一</w:t>
      </w:r>
    </w:p>
    <w:p w:rsidR="00B6184F" w:rsidRPr="00B70493" w:rsidRDefault="00B6184F" w:rsidP="00F035E0">
      <w:pPr>
        <w:snapToGrid w:val="0"/>
        <w:spacing w:line="460" w:lineRule="exact"/>
        <w:ind w:rightChars="9" w:right="22"/>
        <w:jc w:val="both"/>
        <w:rPr>
          <w:rFonts w:ascii="標楷體" w:eastAsia="標楷體" w:hAnsi="標楷體"/>
          <w:sz w:val="32"/>
          <w:szCs w:val="32"/>
        </w:rPr>
      </w:pPr>
      <w:r w:rsidRPr="00B70493">
        <w:rPr>
          <w:rFonts w:ascii="標楷體" w:eastAsia="標楷體" w:hAnsi="標楷體" w:hint="eastAsia"/>
          <w:sz w:val="32"/>
          <w:szCs w:val="32"/>
        </w:rPr>
        <w:t>(11月30日上午)</w:t>
      </w:r>
    </w:p>
    <w:p w:rsidR="00B6184F" w:rsidRPr="00B70493" w:rsidRDefault="00B6184F" w:rsidP="00F035E0">
      <w:pPr>
        <w:pStyle w:val="ac"/>
        <w:spacing w:line="460" w:lineRule="exact"/>
        <w:ind w:left="980" w:hanging="966"/>
        <w:rPr>
          <w:b/>
          <w:sz w:val="32"/>
          <w:szCs w:val="32"/>
        </w:rPr>
      </w:pPr>
      <w:r w:rsidRPr="00B70493">
        <w:rPr>
          <w:rFonts w:hint="eastAsia"/>
          <w:b/>
          <w:sz w:val="32"/>
          <w:szCs w:val="32"/>
        </w:rPr>
        <w:t>報  告  事  項</w:t>
      </w:r>
    </w:p>
    <w:p w:rsidR="00B6184F" w:rsidRPr="00B70493" w:rsidRDefault="00B6184F" w:rsidP="00F035E0">
      <w:pPr>
        <w:pStyle w:val="a4"/>
        <w:snapToGrid w:val="0"/>
        <w:spacing w:before="120" w:line="500" w:lineRule="exact"/>
        <w:ind w:leftChars="0" w:left="0"/>
        <w:rPr>
          <w:rFonts w:ascii="標楷體" w:eastAsia="標楷體"/>
          <w:b/>
          <w:sz w:val="32"/>
          <w:szCs w:val="32"/>
        </w:rPr>
      </w:pPr>
      <w:r w:rsidRPr="00B70493">
        <w:rPr>
          <w:rFonts w:ascii="標楷體" w:eastAsia="標楷體" w:hint="eastAsia"/>
          <w:b/>
          <w:sz w:val="32"/>
          <w:szCs w:val="32"/>
        </w:rPr>
        <w:t>一、宣讀上次會議議事錄。</w:t>
      </w:r>
    </w:p>
    <w:p w:rsidR="00B6184F" w:rsidRPr="00B70493" w:rsidRDefault="00B6184F" w:rsidP="00F035E0">
      <w:pPr>
        <w:snapToGrid w:val="0"/>
        <w:spacing w:beforeLines="50" w:before="180" w:afterLines="50" w:after="180" w:line="500" w:lineRule="exact"/>
        <w:rPr>
          <w:rFonts w:ascii="標楷體" w:eastAsia="標楷體" w:hAnsi="標楷體"/>
          <w:sz w:val="32"/>
          <w:szCs w:val="32"/>
        </w:rPr>
      </w:pPr>
      <w:r w:rsidRPr="00B70493">
        <w:rPr>
          <w:rFonts w:ascii="標楷體" w:eastAsia="標楷體" w:hAnsi="標楷體"/>
          <w:b/>
          <w:sz w:val="32"/>
          <w:szCs w:val="32"/>
        </w:rPr>
        <w:t>決定：</w:t>
      </w:r>
      <w:r w:rsidRPr="00B70493">
        <w:rPr>
          <w:rFonts w:ascii="標楷體" w:eastAsia="標楷體" w:hAnsi="標楷體"/>
          <w:sz w:val="32"/>
          <w:szCs w:val="32"/>
        </w:rPr>
        <w:t>議事錄確定。</w:t>
      </w:r>
    </w:p>
    <w:p w:rsidR="00B6184F" w:rsidRPr="00B70493" w:rsidRDefault="00B6184F" w:rsidP="00F035E0">
      <w:pPr>
        <w:snapToGrid w:val="0"/>
        <w:spacing w:line="500" w:lineRule="exact"/>
        <w:ind w:left="641" w:hangingChars="200" w:hanging="641"/>
        <w:jc w:val="both"/>
        <w:rPr>
          <w:rFonts w:ascii="標楷體" w:eastAsia="標楷體" w:hAnsi="標楷體"/>
          <w:b/>
          <w:sz w:val="32"/>
          <w:szCs w:val="32"/>
        </w:rPr>
      </w:pPr>
      <w:r w:rsidRPr="00B70493">
        <w:rPr>
          <w:rFonts w:ascii="標楷體" w:eastAsia="標楷體" w:hAnsi="標楷體" w:hint="eastAsia"/>
          <w:b/>
          <w:sz w:val="32"/>
          <w:szCs w:val="32"/>
        </w:rPr>
        <w:t>二、行政院原子能委員會主任委員謝曉星列席報告業務概況，並備質詢。</w:t>
      </w:r>
    </w:p>
    <w:p w:rsidR="00B6184F" w:rsidRPr="00B70493" w:rsidRDefault="00B6184F" w:rsidP="00F035E0">
      <w:pPr>
        <w:pStyle w:val="ac"/>
        <w:spacing w:before="240" w:afterLines="50" w:after="180" w:line="460" w:lineRule="exact"/>
        <w:ind w:left="975" w:hanging="964"/>
        <w:rPr>
          <w:b/>
          <w:sz w:val="32"/>
          <w:szCs w:val="32"/>
        </w:rPr>
      </w:pPr>
      <w:r w:rsidRPr="00B70493">
        <w:rPr>
          <w:rFonts w:hint="eastAsia"/>
          <w:b/>
          <w:sz w:val="32"/>
          <w:szCs w:val="32"/>
        </w:rPr>
        <w:t>討  論  事  項</w:t>
      </w:r>
    </w:p>
    <w:p w:rsidR="00B6184F" w:rsidRPr="00B70493" w:rsidRDefault="00B6184F" w:rsidP="006934DD">
      <w:pPr>
        <w:pStyle w:val="ac"/>
        <w:numPr>
          <w:ilvl w:val="0"/>
          <w:numId w:val="38"/>
        </w:numPr>
        <w:spacing w:line="460" w:lineRule="exact"/>
        <w:jc w:val="both"/>
        <w:rPr>
          <w:rFonts w:hAnsi="Times New Roman"/>
          <w:b/>
          <w:sz w:val="32"/>
          <w:szCs w:val="32"/>
        </w:rPr>
      </w:pPr>
      <w:r w:rsidRPr="00B70493">
        <w:rPr>
          <w:rFonts w:hAnsi="Times New Roman" w:hint="eastAsia"/>
          <w:b/>
          <w:sz w:val="32"/>
          <w:szCs w:val="32"/>
        </w:rPr>
        <w:t>審查112年度中央政府總預算案有關行政院原子能委員會及所屬單位預算案。</w:t>
      </w:r>
    </w:p>
    <w:p w:rsidR="00B6184F" w:rsidRPr="00B70493" w:rsidRDefault="00B6184F" w:rsidP="006934DD">
      <w:pPr>
        <w:pStyle w:val="ac"/>
        <w:numPr>
          <w:ilvl w:val="0"/>
          <w:numId w:val="38"/>
        </w:numPr>
        <w:spacing w:line="460" w:lineRule="exact"/>
        <w:jc w:val="both"/>
        <w:rPr>
          <w:rFonts w:hAnsi="Times New Roman"/>
          <w:b/>
          <w:sz w:val="32"/>
          <w:szCs w:val="32"/>
        </w:rPr>
      </w:pPr>
      <w:r w:rsidRPr="00B70493">
        <w:rPr>
          <w:rFonts w:hAnsi="Times New Roman" w:hint="eastAsia"/>
          <w:b/>
          <w:sz w:val="32"/>
          <w:szCs w:val="32"/>
        </w:rPr>
        <w:t>審查112年度中央政府總預算案有關原子能委員會主管核子事故緊急應變基金附屬單位預算案。</w:t>
      </w:r>
    </w:p>
    <w:p w:rsidR="00B6184F" w:rsidRPr="00B70493" w:rsidRDefault="00B6184F" w:rsidP="00F035E0">
      <w:pPr>
        <w:pStyle w:val="a4"/>
        <w:snapToGrid w:val="0"/>
        <w:spacing w:before="120" w:line="460" w:lineRule="exact"/>
        <w:ind w:leftChars="0" w:left="320" w:hangingChars="100" w:hanging="320"/>
        <w:rPr>
          <w:rFonts w:ascii="標楷體" w:eastAsia="標楷體"/>
          <w:b/>
          <w:sz w:val="32"/>
          <w:szCs w:val="32"/>
        </w:rPr>
      </w:pPr>
      <w:r w:rsidRPr="00B70493">
        <w:rPr>
          <w:rFonts w:ascii="標楷體" w:eastAsia="標楷體" w:hint="eastAsia"/>
          <w:sz w:val="32"/>
          <w:szCs w:val="32"/>
        </w:rPr>
        <w:t xml:space="preserve">（僅進行詢答) </w:t>
      </w:r>
    </w:p>
    <w:p w:rsidR="00B6184F" w:rsidRPr="00B70493" w:rsidRDefault="00B6184F" w:rsidP="00F035E0">
      <w:pPr>
        <w:pStyle w:val="a4"/>
        <w:snapToGrid w:val="0"/>
        <w:spacing w:before="120" w:line="500" w:lineRule="exact"/>
        <w:ind w:leftChars="0" w:left="0"/>
        <w:jc w:val="both"/>
        <w:rPr>
          <w:rFonts w:ascii="標楷體" w:eastAsia="標楷體" w:hAnsi="標楷體"/>
          <w:sz w:val="32"/>
          <w:szCs w:val="32"/>
        </w:rPr>
      </w:pPr>
      <w:r w:rsidRPr="00B70493">
        <w:rPr>
          <w:rFonts w:ascii="標楷體" w:eastAsia="標楷體" w:hAnsi="標楷體"/>
          <w:sz w:val="32"/>
          <w:szCs w:val="32"/>
        </w:rPr>
        <w:t>（本</w:t>
      </w:r>
      <w:r w:rsidRPr="00B70493">
        <w:rPr>
          <w:rFonts w:ascii="標楷體" w:eastAsia="標楷體" w:hAnsi="標楷體" w:hint="eastAsia"/>
          <w:sz w:val="32"/>
          <w:szCs w:val="32"/>
        </w:rPr>
        <w:t>次</w:t>
      </w:r>
      <w:r w:rsidRPr="00B70493">
        <w:rPr>
          <w:rFonts w:ascii="標楷體" w:eastAsia="標楷體" w:hAnsi="標楷體"/>
          <w:sz w:val="32"/>
          <w:szCs w:val="32"/>
        </w:rPr>
        <w:t>議程</w:t>
      </w:r>
      <w:r w:rsidRPr="00B70493">
        <w:rPr>
          <w:rFonts w:ascii="標楷體" w:eastAsia="標楷體" w:hAnsi="標楷體" w:hint="eastAsia"/>
          <w:sz w:val="32"/>
          <w:szCs w:val="32"/>
        </w:rPr>
        <w:t>採綜合詢答，有委員鄭正鈐、范雲、陳秀寳、張廖萬堅、</w:t>
      </w:r>
      <w:r w:rsidRPr="00B70493">
        <w:rPr>
          <w:rFonts w:ascii="標楷體" w:eastAsia="標楷體" w:hAnsi="標楷體" w:hint="eastAsia"/>
          <w:sz w:val="32"/>
          <w:szCs w:val="32"/>
        </w:rPr>
        <w:lastRenderedPageBreak/>
        <w:t>黃國書、林宜瑾、王婉諭、何欣純、曾銘宗、賴品妤、吳思瑤、萬美玲、陳椒華、楊瓊瓔、林奕華、張其祿、高嘉瑜、李貴敏、吳怡玎等</w:t>
      </w:r>
      <w:r w:rsidRPr="00B70493">
        <w:rPr>
          <w:rFonts w:ascii="標楷體" w:eastAsia="標楷體" w:hAnsi="標楷體"/>
          <w:sz w:val="32"/>
          <w:szCs w:val="32"/>
        </w:rPr>
        <w:t>19人提出質詢，均經</w:t>
      </w:r>
      <w:r w:rsidRPr="00B70493">
        <w:rPr>
          <w:rFonts w:ascii="標楷體" w:eastAsia="標楷體" w:hAnsi="標楷體" w:hint="eastAsia"/>
          <w:sz w:val="32"/>
          <w:szCs w:val="32"/>
        </w:rPr>
        <w:t>行政院原子能委員會主任委員謝曉星</w:t>
      </w:r>
      <w:r w:rsidRPr="00B70493">
        <w:rPr>
          <w:rFonts w:ascii="標楷體" w:eastAsia="標楷體" w:hAnsi="標楷體"/>
          <w:sz w:val="32"/>
          <w:szCs w:val="32"/>
        </w:rPr>
        <w:t>及相關人員即席答</w:t>
      </w:r>
      <w:r w:rsidRPr="00B70493">
        <w:rPr>
          <w:rFonts w:ascii="標楷體" w:eastAsia="標楷體" w:hAnsi="標楷體" w:hint="eastAsia"/>
          <w:sz w:val="32"/>
          <w:szCs w:val="32"/>
        </w:rPr>
        <w:t>復</w:t>
      </w:r>
      <w:r w:rsidRPr="00B70493">
        <w:rPr>
          <w:rFonts w:ascii="標楷體" w:eastAsia="標楷體" w:hAnsi="標楷體"/>
          <w:sz w:val="32"/>
          <w:szCs w:val="32"/>
        </w:rPr>
        <w:t>說明。</w:t>
      </w:r>
      <w:r w:rsidRPr="00B70493">
        <w:rPr>
          <w:rFonts w:ascii="標楷體" w:eastAsia="標楷體" w:hAnsi="標楷體" w:hint="eastAsia"/>
          <w:sz w:val="32"/>
          <w:szCs w:val="32"/>
        </w:rPr>
        <w:t>另有委員李貴敏提出書面質詢。</w:t>
      </w:r>
      <w:r w:rsidRPr="00B70493">
        <w:rPr>
          <w:rFonts w:ascii="標楷體" w:eastAsia="標楷體" w:hAnsi="標楷體"/>
          <w:sz w:val="32"/>
          <w:szCs w:val="32"/>
        </w:rPr>
        <w:t>）</w:t>
      </w:r>
    </w:p>
    <w:p w:rsidR="00B6184F" w:rsidRPr="00B70493" w:rsidRDefault="00B6184F" w:rsidP="00F035E0">
      <w:pPr>
        <w:snapToGrid w:val="0"/>
        <w:spacing w:beforeLines="50" w:before="180" w:line="500" w:lineRule="exact"/>
        <w:ind w:left="641" w:hangingChars="200" w:hanging="641"/>
        <w:contextualSpacing/>
        <w:rPr>
          <w:rFonts w:ascii="標楷體" w:eastAsia="標楷體" w:hAnsi="標楷體"/>
          <w:b/>
          <w:bCs/>
          <w:sz w:val="32"/>
          <w:szCs w:val="32"/>
        </w:rPr>
      </w:pPr>
      <w:r w:rsidRPr="00B70493">
        <w:rPr>
          <w:rFonts w:ascii="標楷體" w:eastAsia="標楷體" w:hAnsi="標楷體" w:hint="eastAsia"/>
          <w:b/>
          <w:sz w:val="32"/>
          <w:szCs w:val="32"/>
        </w:rPr>
        <w:t>決議</w:t>
      </w:r>
      <w:r w:rsidRPr="00B70493">
        <w:rPr>
          <w:rFonts w:ascii="標楷體" w:eastAsia="標楷體" w:hAnsi="標楷體"/>
          <w:b/>
          <w:bCs/>
          <w:sz w:val="32"/>
          <w:szCs w:val="32"/>
        </w:rPr>
        <w:t>：</w:t>
      </w:r>
    </w:p>
    <w:p w:rsidR="00B6184F" w:rsidRPr="00B70493" w:rsidRDefault="00B6184F" w:rsidP="00F035E0">
      <w:pPr>
        <w:snapToGrid w:val="0"/>
        <w:spacing w:beforeLines="50" w:before="180" w:line="500" w:lineRule="exact"/>
        <w:ind w:left="640" w:hangingChars="200" w:hanging="640"/>
        <w:contextualSpacing/>
        <w:rPr>
          <w:rFonts w:ascii="標楷體" w:eastAsia="標楷體" w:hAnsi="標楷體"/>
          <w:bCs/>
          <w:sz w:val="32"/>
          <w:szCs w:val="32"/>
        </w:rPr>
      </w:pPr>
      <w:r w:rsidRPr="00B70493">
        <w:rPr>
          <w:rFonts w:ascii="標楷體" w:eastAsia="標楷體" w:hAnsi="標楷體" w:hint="eastAsia"/>
          <w:bCs/>
          <w:sz w:val="32"/>
          <w:szCs w:val="32"/>
        </w:rPr>
        <w:t>一、</w:t>
      </w:r>
      <w:r w:rsidRPr="00B70493">
        <w:rPr>
          <w:rFonts w:ascii="標楷體" w:eastAsia="標楷體" w:hAnsi="標楷體"/>
          <w:bCs/>
          <w:sz w:val="32"/>
          <w:szCs w:val="32"/>
        </w:rPr>
        <w:t>報告及詢答</w:t>
      </w:r>
      <w:r w:rsidRPr="00B70493">
        <w:rPr>
          <w:rFonts w:ascii="標楷體" w:eastAsia="標楷體" w:hAnsi="標楷體" w:hint="eastAsia"/>
          <w:bCs/>
          <w:sz w:val="32"/>
          <w:szCs w:val="32"/>
        </w:rPr>
        <w:t>完畢</w:t>
      </w:r>
      <w:r w:rsidRPr="00B70493">
        <w:rPr>
          <w:rFonts w:ascii="標楷體" w:eastAsia="標楷體" w:hAnsi="標楷體"/>
          <w:bCs/>
          <w:sz w:val="32"/>
          <w:szCs w:val="32"/>
        </w:rPr>
        <w:t>。</w:t>
      </w:r>
    </w:p>
    <w:p w:rsidR="00B6184F" w:rsidRPr="00B70493" w:rsidRDefault="00B6184F" w:rsidP="00F035E0">
      <w:pPr>
        <w:snapToGrid w:val="0"/>
        <w:spacing w:beforeLines="50" w:before="180" w:line="500" w:lineRule="exact"/>
        <w:ind w:left="640" w:hangingChars="200" w:hanging="640"/>
        <w:contextualSpacing/>
        <w:rPr>
          <w:rFonts w:ascii="標楷體" w:eastAsia="標楷體" w:hAnsi="標楷體"/>
          <w:bCs/>
          <w:sz w:val="32"/>
          <w:szCs w:val="32"/>
        </w:rPr>
      </w:pPr>
      <w:r w:rsidRPr="00B70493">
        <w:rPr>
          <w:rFonts w:ascii="標楷體" w:eastAsia="標楷體" w:hAnsi="標楷體"/>
          <w:bCs/>
          <w:sz w:val="32"/>
          <w:szCs w:val="32"/>
        </w:rPr>
        <w:t>二</w:t>
      </w:r>
      <w:r w:rsidRPr="00B70493">
        <w:rPr>
          <w:rFonts w:ascii="標楷體" w:eastAsia="標楷體" w:hAnsi="標楷體" w:hint="eastAsia"/>
          <w:bCs/>
          <w:sz w:val="32"/>
          <w:szCs w:val="32"/>
        </w:rPr>
        <w:t>、</w:t>
      </w:r>
      <w:r w:rsidRPr="00B70493">
        <w:rPr>
          <w:rFonts w:ascii="標楷體" w:eastAsia="標楷體" w:hAnsi="標楷體"/>
          <w:bCs/>
          <w:sz w:val="32"/>
          <w:szCs w:val="32"/>
        </w:rPr>
        <w:t>委員</w:t>
      </w:r>
      <w:r w:rsidRPr="00B70493">
        <w:rPr>
          <w:rFonts w:ascii="標楷體" w:eastAsia="標楷體" w:hAnsi="標楷體" w:hint="eastAsia"/>
          <w:bCs/>
          <w:sz w:val="32"/>
          <w:szCs w:val="32"/>
        </w:rPr>
        <w:t>所提</w:t>
      </w:r>
      <w:r w:rsidRPr="00B70493">
        <w:rPr>
          <w:rFonts w:ascii="標楷體" w:eastAsia="標楷體" w:hAnsi="標楷體"/>
          <w:bCs/>
          <w:sz w:val="32"/>
          <w:szCs w:val="32"/>
        </w:rPr>
        <w:t>書面質詢</w:t>
      </w:r>
      <w:r w:rsidRPr="00B70493">
        <w:rPr>
          <w:rFonts w:ascii="標楷體" w:eastAsia="標楷體" w:hAnsi="標楷體" w:hint="eastAsia"/>
          <w:bCs/>
          <w:sz w:val="32"/>
          <w:szCs w:val="32"/>
        </w:rPr>
        <w:t>或相關資料，</w:t>
      </w:r>
      <w:r w:rsidRPr="00B70493">
        <w:rPr>
          <w:rFonts w:ascii="標楷體" w:eastAsia="標楷體" w:hAnsi="標楷體"/>
          <w:bCs/>
          <w:sz w:val="32"/>
          <w:szCs w:val="32"/>
        </w:rPr>
        <w:t>列入紀錄</w:t>
      </w:r>
      <w:r w:rsidRPr="00B70493">
        <w:rPr>
          <w:rFonts w:ascii="標楷體" w:eastAsia="標楷體" w:hAnsi="標楷體" w:hint="eastAsia"/>
          <w:bCs/>
          <w:sz w:val="32"/>
          <w:szCs w:val="32"/>
        </w:rPr>
        <w:t>並</w:t>
      </w:r>
      <w:r w:rsidRPr="00B70493">
        <w:rPr>
          <w:rFonts w:ascii="標楷體" w:eastAsia="標楷體" w:hAnsi="標楷體"/>
          <w:bCs/>
          <w:sz w:val="32"/>
          <w:szCs w:val="32"/>
        </w:rPr>
        <w:t>刊登公報。</w:t>
      </w:r>
    </w:p>
    <w:p w:rsidR="00B6184F" w:rsidRPr="00B70493" w:rsidRDefault="00B6184F" w:rsidP="00F035E0">
      <w:pPr>
        <w:snapToGrid w:val="0"/>
        <w:spacing w:beforeLines="50" w:before="180" w:line="500" w:lineRule="exact"/>
        <w:ind w:left="640" w:hangingChars="200" w:hanging="640"/>
        <w:contextualSpacing/>
        <w:rPr>
          <w:rFonts w:ascii="標楷體" w:eastAsia="標楷體" w:hAnsi="標楷體"/>
          <w:bCs/>
          <w:sz w:val="32"/>
          <w:szCs w:val="32"/>
        </w:rPr>
      </w:pPr>
      <w:r w:rsidRPr="00B70493">
        <w:rPr>
          <w:rFonts w:ascii="標楷體" w:eastAsia="標楷體" w:hAnsi="標楷體" w:hint="eastAsia"/>
          <w:bCs/>
          <w:sz w:val="32"/>
          <w:szCs w:val="32"/>
        </w:rPr>
        <w:t>三、對於</w:t>
      </w:r>
      <w:r w:rsidRPr="00B70493">
        <w:rPr>
          <w:rFonts w:ascii="標楷體" w:eastAsia="標楷體" w:hAnsi="標楷體"/>
          <w:bCs/>
          <w:sz w:val="32"/>
          <w:szCs w:val="32"/>
        </w:rPr>
        <w:t>委員質詢要求提供相關資料或</w:t>
      </w:r>
      <w:r w:rsidRPr="00B70493">
        <w:rPr>
          <w:rFonts w:ascii="標楷體" w:eastAsia="標楷體" w:hAnsi="標楷體" w:hint="eastAsia"/>
          <w:bCs/>
          <w:sz w:val="32"/>
          <w:szCs w:val="32"/>
        </w:rPr>
        <w:t>未及</w:t>
      </w:r>
      <w:r w:rsidRPr="00B70493">
        <w:rPr>
          <w:rFonts w:ascii="標楷體" w:eastAsia="標楷體" w:hAnsi="標楷體"/>
          <w:bCs/>
          <w:sz w:val="32"/>
          <w:szCs w:val="32"/>
        </w:rPr>
        <w:t>答</w:t>
      </w:r>
      <w:r w:rsidRPr="00B70493">
        <w:rPr>
          <w:rFonts w:ascii="標楷體" w:eastAsia="標楷體" w:hAnsi="標楷體" w:hint="eastAsia"/>
          <w:bCs/>
          <w:sz w:val="32"/>
          <w:szCs w:val="32"/>
        </w:rPr>
        <w:t>復部分</w:t>
      </w:r>
      <w:r w:rsidRPr="00B70493">
        <w:rPr>
          <w:rFonts w:ascii="標楷體" w:eastAsia="標楷體" w:hAnsi="標楷體"/>
          <w:bCs/>
          <w:sz w:val="32"/>
          <w:szCs w:val="32"/>
        </w:rPr>
        <w:t>，請相關機關</w:t>
      </w:r>
      <w:r w:rsidRPr="00B70493">
        <w:rPr>
          <w:rFonts w:ascii="標楷體" w:eastAsia="標楷體" w:hAnsi="標楷體" w:hint="eastAsia"/>
          <w:bCs/>
          <w:sz w:val="32"/>
          <w:szCs w:val="32"/>
        </w:rPr>
        <w:t>儘速以書面答復</w:t>
      </w:r>
      <w:r w:rsidRPr="00B70493">
        <w:rPr>
          <w:rFonts w:ascii="標楷體" w:eastAsia="標楷體" w:hAnsi="標楷體"/>
          <w:bCs/>
          <w:sz w:val="32"/>
          <w:szCs w:val="32"/>
        </w:rPr>
        <w:t>。</w:t>
      </w:r>
    </w:p>
    <w:p w:rsidR="00B6184F" w:rsidRPr="00B70493" w:rsidRDefault="00B6184F" w:rsidP="00F035E0">
      <w:pPr>
        <w:snapToGrid w:val="0"/>
        <w:spacing w:beforeLines="50" w:before="180" w:line="500" w:lineRule="exact"/>
        <w:ind w:left="640" w:hangingChars="200" w:hanging="640"/>
        <w:contextualSpacing/>
        <w:rPr>
          <w:rFonts w:ascii="標楷體" w:eastAsia="標楷體" w:hAnsi="標楷體"/>
          <w:spacing w:val="-2"/>
          <w:position w:val="2"/>
          <w:sz w:val="32"/>
          <w:szCs w:val="32"/>
        </w:rPr>
      </w:pPr>
      <w:r w:rsidRPr="00B70493">
        <w:rPr>
          <w:rFonts w:ascii="標楷體" w:eastAsia="標楷體" w:hAnsi="標楷體" w:hint="eastAsia"/>
          <w:bCs/>
          <w:sz w:val="32"/>
          <w:szCs w:val="32"/>
        </w:rPr>
        <w:t>四、112年度中央政府總預算案有關行政院原子能委員會及所屬單位預算案</w:t>
      </w:r>
      <w:r>
        <w:rPr>
          <w:rFonts w:ascii="標楷體" w:eastAsia="標楷體" w:hAnsi="標楷體" w:hint="eastAsia"/>
          <w:bCs/>
          <w:sz w:val="32"/>
          <w:szCs w:val="32"/>
        </w:rPr>
        <w:t>、</w:t>
      </w:r>
      <w:r w:rsidRPr="00B70493">
        <w:rPr>
          <w:rFonts w:ascii="標楷體" w:eastAsia="標楷體" w:hAnsi="標楷體" w:hint="eastAsia"/>
          <w:bCs/>
          <w:sz w:val="32"/>
          <w:szCs w:val="32"/>
        </w:rPr>
        <w:t>核子事故緊急應變基金附屬單位預算案，相關提案請於1</w:t>
      </w:r>
      <w:r w:rsidRPr="00B70493">
        <w:rPr>
          <w:rFonts w:ascii="標楷體" w:eastAsia="標楷體" w:hAnsi="標楷體"/>
          <w:bCs/>
          <w:sz w:val="32"/>
          <w:szCs w:val="32"/>
        </w:rPr>
        <w:t>2</w:t>
      </w:r>
      <w:r w:rsidRPr="00B70493">
        <w:rPr>
          <w:rFonts w:ascii="標楷體" w:eastAsia="標楷體" w:hAnsi="標楷體" w:hint="eastAsia"/>
          <w:bCs/>
          <w:sz w:val="32"/>
          <w:szCs w:val="32"/>
        </w:rPr>
        <w:t>月</w:t>
      </w:r>
      <w:r w:rsidRPr="00B70493">
        <w:rPr>
          <w:rFonts w:ascii="標楷體" w:eastAsia="標楷體" w:hAnsi="標楷體"/>
          <w:bCs/>
          <w:sz w:val="32"/>
          <w:szCs w:val="32"/>
        </w:rPr>
        <w:t>7</w:t>
      </w:r>
      <w:r w:rsidRPr="00B70493">
        <w:rPr>
          <w:rFonts w:ascii="標楷體" w:eastAsia="標楷體" w:hAnsi="標楷體" w:hint="eastAsia"/>
          <w:bCs/>
          <w:sz w:val="32"/>
          <w:szCs w:val="32"/>
        </w:rPr>
        <w:t>日下午</w:t>
      </w:r>
      <w:r w:rsidRPr="00B70493">
        <w:rPr>
          <w:rFonts w:ascii="標楷體" w:eastAsia="標楷體" w:hAnsi="標楷體"/>
          <w:bCs/>
          <w:sz w:val="32"/>
          <w:szCs w:val="32"/>
        </w:rPr>
        <w:t>3</w:t>
      </w:r>
      <w:r w:rsidRPr="00B70493">
        <w:rPr>
          <w:rFonts w:ascii="標楷體" w:eastAsia="標楷體" w:hAnsi="標楷體" w:hint="eastAsia"/>
          <w:bCs/>
          <w:sz w:val="32"/>
          <w:szCs w:val="32"/>
        </w:rPr>
        <w:t>時前提出，另定期繼續審查。</w:t>
      </w:r>
    </w:p>
    <w:p w:rsidR="00B6184F" w:rsidRPr="00B70493" w:rsidRDefault="00B6184F" w:rsidP="00F035E0">
      <w:pPr>
        <w:snapToGrid w:val="0"/>
        <w:spacing w:beforeLines="50" w:before="180" w:line="460" w:lineRule="exact"/>
        <w:ind w:rightChars="9" w:right="22"/>
        <w:jc w:val="both"/>
        <w:rPr>
          <w:rFonts w:ascii="標楷體" w:eastAsia="標楷體" w:hAnsi="標楷體"/>
          <w:b/>
          <w:bCs/>
          <w:sz w:val="32"/>
          <w:szCs w:val="32"/>
        </w:rPr>
      </w:pPr>
      <w:r w:rsidRPr="00B70493">
        <w:rPr>
          <w:rFonts w:ascii="標楷體" w:eastAsia="標楷體" w:hAnsi="標楷體" w:hint="eastAsia"/>
          <w:spacing w:val="-2"/>
          <w:position w:val="2"/>
          <w:sz w:val="32"/>
          <w:szCs w:val="32"/>
        </w:rPr>
        <w:t>(11月30日下午)</w:t>
      </w:r>
    </w:p>
    <w:p w:rsidR="00B6184F" w:rsidRPr="00B70493" w:rsidRDefault="00B6184F" w:rsidP="00F035E0">
      <w:pPr>
        <w:snapToGrid w:val="0"/>
        <w:spacing w:before="120" w:line="460" w:lineRule="exact"/>
        <w:rPr>
          <w:rFonts w:ascii="標楷體" w:eastAsia="標楷體" w:hAnsi="標楷體"/>
          <w:b/>
          <w:sz w:val="32"/>
          <w:szCs w:val="32"/>
        </w:rPr>
      </w:pPr>
      <w:r w:rsidRPr="00B70493">
        <w:rPr>
          <w:rFonts w:ascii="標楷體" w:eastAsia="標楷體" w:hAnsi="標楷體" w:hint="eastAsia"/>
          <w:b/>
          <w:sz w:val="32"/>
          <w:szCs w:val="32"/>
        </w:rPr>
        <w:t>討  論  事  項</w:t>
      </w:r>
    </w:p>
    <w:p w:rsidR="00B6184F" w:rsidRPr="00B70493" w:rsidRDefault="00B6184F" w:rsidP="006934DD">
      <w:pPr>
        <w:pStyle w:val="a4"/>
        <w:numPr>
          <w:ilvl w:val="0"/>
          <w:numId w:val="12"/>
        </w:numPr>
        <w:snapToGrid w:val="0"/>
        <w:spacing w:before="120" w:line="460" w:lineRule="exact"/>
        <w:ind w:leftChars="0"/>
        <w:rPr>
          <w:rFonts w:ascii="標楷體" w:eastAsia="標楷體"/>
          <w:b/>
          <w:sz w:val="32"/>
          <w:szCs w:val="32"/>
        </w:rPr>
      </w:pPr>
      <w:r w:rsidRPr="00B70493">
        <w:rPr>
          <w:rFonts w:ascii="標楷體" w:eastAsia="標楷體" w:hint="eastAsia"/>
          <w:b/>
          <w:sz w:val="32"/>
          <w:szCs w:val="32"/>
        </w:rPr>
        <w:t>繼續審查112年度中央政府總預算案有關國立故宮博物院單位預算案。</w:t>
      </w:r>
    </w:p>
    <w:p w:rsidR="00B6184F" w:rsidRPr="00B70493" w:rsidRDefault="00B6184F" w:rsidP="006934DD">
      <w:pPr>
        <w:pStyle w:val="a4"/>
        <w:numPr>
          <w:ilvl w:val="0"/>
          <w:numId w:val="12"/>
        </w:numPr>
        <w:snapToGrid w:val="0"/>
        <w:spacing w:beforeLines="50" w:before="180" w:line="460" w:lineRule="exact"/>
        <w:ind w:leftChars="0" w:rightChars="-60" w:right="-144"/>
        <w:rPr>
          <w:rFonts w:ascii="標楷體" w:eastAsia="標楷體"/>
          <w:b/>
          <w:sz w:val="32"/>
          <w:szCs w:val="32"/>
        </w:rPr>
      </w:pPr>
      <w:r w:rsidRPr="00B70493">
        <w:rPr>
          <w:rFonts w:ascii="標楷體" w:eastAsia="標楷體" w:hint="eastAsia"/>
          <w:b/>
          <w:sz w:val="32"/>
          <w:szCs w:val="32"/>
        </w:rPr>
        <w:t>繼續審查112年度中央政府總預算案有關國立故宮博物院主管故宮文物藝術發展基金附屬單位預算案。</w:t>
      </w:r>
    </w:p>
    <w:p w:rsidR="00B6184F" w:rsidRPr="00B70493" w:rsidRDefault="00B6184F" w:rsidP="00F035E0">
      <w:pPr>
        <w:snapToGrid w:val="0"/>
        <w:spacing w:beforeLines="50" w:before="180" w:line="500" w:lineRule="exact"/>
        <w:ind w:left="641" w:hangingChars="200" w:hanging="641"/>
        <w:contextualSpacing/>
        <w:rPr>
          <w:rFonts w:ascii="標楷體" w:eastAsia="標楷體" w:hAnsi="標楷體"/>
          <w:b/>
          <w:bCs/>
          <w:sz w:val="32"/>
          <w:szCs w:val="32"/>
        </w:rPr>
      </w:pPr>
      <w:r w:rsidRPr="00B70493">
        <w:rPr>
          <w:rFonts w:ascii="標楷體" w:eastAsia="標楷體" w:hAnsi="標楷體" w:hint="eastAsia"/>
          <w:b/>
          <w:sz w:val="32"/>
          <w:szCs w:val="32"/>
        </w:rPr>
        <w:t>決議</w:t>
      </w:r>
      <w:r w:rsidRPr="00B70493">
        <w:rPr>
          <w:rFonts w:ascii="標楷體" w:eastAsia="標楷體" w:hAnsi="標楷體"/>
          <w:b/>
          <w:bCs/>
          <w:sz w:val="32"/>
          <w:szCs w:val="32"/>
        </w:rPr>
        <w:t>：</w:t>
      </w:r>
    </w:p>
    <w:p w:rsidR="00B6184F" w:rsidRPr="00B70493" w:rsidRDefault="00B6184F" w:rsidP="00F035E0">
      <w:pPr>
        <w:snapToGrid w:val="0"/>
        <w:spacing w:beforeLines="50" w:before="180" w:line="500" w:lineRule="exact"/>
        <w:ind w:left="640" w:hangingChars="200" w:hanging="640"/>
        <w:contextualSpacing/>
        <w:jc w:val="both"/>
        <w:rPr>
          <w:rFonts w:ascii="標楷體" w:eastAsia="標楷體" w:hAnsi="標楷體"/>
          <w:bCs/>
          <w:sz w:val="32"/>
          <w:szCs w:val="32"/>
        </w:rPr>
      </w:pPr>
      <w:r w:rsidRPr="00B70493">
        <w:rPr>
          <w:rFonts w:ascii="標楷體" w:eastAsia="標楷體" w:hAnsi="標楷體" w:hint="eastAsia"/>
          <w:bCs/>
          <w:sz w:val="32"/>
          <w:szCs w:val="32"/>
        </w:rPr>
        <w:t>一、</w:t>
      </w:r>
      <w:r w:rsidRPr="00B70493">
        <w:rPr>
          <w:rFonts w:ascii="標楷體" w:eastAsia="標楷體" w:hAnsi="標楷體"/>
          <w:bCs/>
          <w:sz w:val="32"/>
          <w:szCs w:val="32"/>
        </w:rPr>
        <w:t>112</w:t>
      </w:r>
      <w:r w:rsidRPr="00B70493">
        <w:rPr>
          <w:rFonts w:ascii="標楷體" w:eastAsia="標楷體" w:hAnsi="標楷體" w:hint="eastAsia"/>
          <w:bCs/>
          <w:sz w:val="32"/>
          <w:szCs w:val="32"/>
        </w:rPr>
        <w:t>年度中央政府總預算案有關國立故宮博物院單位預算案，審查完竣。審查結果如下：</w:t>
      </w:r>
    </w:p>
    <w:p w:rsidR="00B6184F" w:rsidRPr="00B70493" w:rsidRDefault="00B6184F" w:rsidP="00F035E0">
      <w:pPr>
        <w:snapToGrid w:val="0"/>
        <w:spacing w:beforeLines="50" w:before="180" w:line="460" w:lineRule="exact"/>
        <w:jc w:val="both"/>
        <w:rPr>
          <w:rFonts w:ascii="標楷體" w:eastAsia="標楷體" w:hAnsi="標楷體"/>
          <w:sz w:val="32"/>
          <w:szCs w:val="32"/>
        </w:rPr>
      </w:pPr>
      <w:r w:rsidRPr="00B70493">
        <w:rPr>
          <w:rFonts w:ascii="標楷體" w:eastAsia="標楷體" w:hAnsi="標楷體"/>
          <w:sz w:val="32"/>
          <w:szCs w:val="32"/>
        </w:rPr>
        <w:t>歲入部分</w:t>
      </w:r>
    </w:p>
    <w:p w:rsidR="00B6184F" w:rsidRPr="00B70493" w:rsidRDefault="00B6184F" w:rsidP="00F035E0">
      <w:pPr>
        <w:snapToGrid w:val="0"/>
        <w:spacing w:beforeLines="50" w:before="180" w:line="460" w:lineRule="exact"/>
        <w:jc w:val="both"/>
        <w:rPr>
          <w:rFonts w:ascii="標楷體" w:eastAsia="標楷體" w:hAnsi="標楷體"/>
          <w:sz w:val="32"/>
          <w:szCs w:val="32"/>
        </w:rPr>
      </w:pPr>
      <w:r w:rsidRPr="00B70493">
        <w:rPr>
          <w:rFonts w:ascii="標楷體" w:eastAsia="標楷體" w:hAnsi="標楷體"/>
          <w:sz w:val="32"/>
          <w:szCs w:val="32"/>
        </w:rPr>
        <w:t>第2款　罰款及賠償收入</w:t>
      </w:r>
    </w:p>
    <w:p w:rsidR="00B6184F" w:rsidRPr="00B70493" w:rsidRDefault="00B6184F" w:rsidP="00F035E0">
      <w:pPr>
        <w:snapToGrid w:val="0"/>
        <w:spacing w:before="120" w:line="460" w:lineRule="exact"/>
        <w:ind w:leftChars="100" w:left="1520" w:hangingChars="400" w:hanging="1280"/>
        <w:jc w:val="both"/>
        <w:rPr>
          <w:rFonts w:ascii="標楷體" w:eastAsia="標楷體" w:hAnsi="標楷體"/>
          <w:sz w:val="32"/>
          <w:szCs w:val="32"/>
        </w:rPr>
      </w:pPr>
      <w:r w:rsidRPr="00B70493">
        <w:rPr>
          <w:rFonts w:ascii="標楷體" w:eastAsia="標楷體" w:hAnsi="標楷體" w:hint="eastAsia"/>
          <w:sz w:val="32"/>
          <w:szCs w:val="32"/>
        </w:rPr>
        <w:t>第</w:t>
      </w:r>
      <w:r w:rsidRPr="00B70493">
        <w:rPr>
          <w:rFonts w:ascii="標楷體" w:eastAsia="標楷體" w:hAnsi="標楷體"/>
          <w:sz w:val="32"/>
          <w:szCs w:val="32"/>
        </w:rPr>
        <w:t>8</w:t>
      </w:r>
      <w:r w:rsidRPr="00B70493">
        <w:rPr>
          <w:rFonts w:ascii="標楷體" w:eastAsia="標楷體" w:hAnsi="標楷體" w:hint="eastAsia"/>
          <w:sz w:val="32"/>
          <w:szCs w:val="32"/>
        </w:rPr>
        <w:t>項　國立故宮博物院770萬元，照列。</w:t>
      </w:r>
    </w:p>
    <w:p w:rsidR="00B6184F" w:rsidRPr="00B70493" w:rsidRDefault="00B6184F" w:rsidP="00F035E0">
      <w:pPr>
        <w:snapToGrid w:val="0"/>
        <w:spacing w:beforeLines="50" w:before="180" w:line="460" w:lineRule="exact"/>
        <w:jc w:val="both"/>
        <w:rPr>
          <w:rFonts w:ascii="標楷體" w:eastAsia="標楷體" w:hAnsi="標楷體"/>
          <w:sz w:val="32"/>
          <w:szCs w:val="32"/>
        </w:rPr>
      </w:pPr>
      <w:r w:rsidRPr="00B70493">
        <w:rPr>
          <w:rFonts w:ascii="標楷體" w:eastAsia="標楷體" w:hAnsi="標楷體"/>
          <w:sz w:val="32"/>
          <w:szCs w:val="32"/>
        </w:rPr>
        <w:t>第3款　規費收入</w:t>
      </w:r>
    </w:p>
    <w:p w:rsidR="00B6184F" w:rsidRPr="00B70493" w:rsidRDefault="00B6184F" w:rsidP="00F035E0">
      <w:pPr>
        <w:snapToGrid w:val="0"/>
        <w:spacing w:before="120" w:line="460" w:lineRule="exact"/>
        <w:ind w:leftChars="100" w:left="1520" w:hangingChars="400" w:hanging="1280"/>
        <w:jc w:val="both"/>
        <w:rPr>
          <w:rFonts w:ascii="標楷體" w:eastAsia="標楷體" w:hAnsi="標楷體"/>
          <w:sz w:val="32"/>
          <w:szCs w:val="32"/>
        </w:rPr>
      </w:pPr>
      <w:r w:rsidRPr="00B70493">
        <w:rPr>
          <w:rFonts w:ascii="標楷體" w:eastAsia="標楷體" w:hAnsi="標楷體" w:hint="eastAsia"/>
          <w:sz w:val="32"/>
          <w:szCs w:val="32"/>
        </w:rPr>
        <w:lastRenderedPageBreak/>
        <w:t>第6項　國立故宮博物院原列1</w:t>
      </w:r>
      <w:r w:rsidRPr="00B70493">
        <w:rPr>
          <w:rFonts w:ascii="標楷體" w:eastAsia="標楷體" w:hAnsi="標楷體" w:hint="eastAsia"/>
          <w:sz w:val="32"/>
        </w:rPr>
        <w:t>億7,946萬3千</w:t>
      </w:r>
      <w:r w:rsidRPr="00153F20">
        <w:rPr>
          <w:rFonts w:ascii="標楷體" w:eastAsia="標楷體" w:hAnsi="標楷體" w:hint="eastAsia"/>
          <w:sz w:val="32"/>
        </w:rPr>
        <w:t>元</w:t>
      </w:r>
      <w:r w:rsidRPr="00B70493">
        <w:rPr>
          <w:rFonts w:ascii="標楷體" w:eastAsia="標楷體" w:hAnsi="標楷體" w:hint="eastAsia"/>
          <w:sz w:val="32"/>
        </w:rPr>
        <w:t>，增列6</w:t>
      </w:r>
      <w:r w:rsidRPr="00B70493">
        <w:rPr>
          <w:rFonts w:ascii="標楷體" w:eastAsia="標楷體" w:hAnsi="標楷體"/>
          <w:sz w:val="32"/>
        </w:rPr>
        <w:t>,</w:t>
      </w:r>
      <w:r w:rsidRPr="00B70493">
        <w:rPr>
          <w:rFonts w:ascii="標楷體" w:eastAsia="標楷體" w:hAnsi="標楷體" w:hint="eastAsia"/>
          <w:sz w:val="32"/>
        </w:rPr>
        <w:t>000萬元</w:t>
      </w:r>
      <w:r w:rsidRPr="00B70493">
        <w:rPr>
          <w:rFonts w:ascii="標楷體" w:eastAsia="標楷體" w:hAnsi="標楷體" w:hint="eastAsia"/>
          <w:sz w:val="32"/>
          <w:szCs w:val="32"/>
        </w:rPr>
        <w:t>，改列為2億3</w:t>
      </w:r>
      <w:r w:rsidRPr="00B70493">
        <w:rPr>
          <w:rFonts w:ascii="標楷體" w:eastAsia="標楷體" w:hAnsi="標楷體"/>
          <w:sz w:val="32"/>
          <w:szCs w:val="32"/>
        </w:rPr>
        <w:t>,</w:t>
      </w:r>
      <w:r w:rsidRPr="00B70493">
        <w:rPr>
          <w:rFonts w:ascii="標楷體" w:eastAsia="標楷體" w:hAnsi="標楷體" w:hint="eastAsia"/>
          <w:sz w:val="32"/>
          <w:szCs w:val="32"/>
        </w:rPr>
        <w:t>946萬3千元。</w:t>
      </w:r>
    </w:p>
    <w:p w:rsidR="00B6184F" w:rsidRPr="00B70493" w:rsidRDefault="00B6184F" w:rsidP="00F035E0">
      <w:pPr>
        <w:snapToGrid w:val="0"/>
        <w:spacing w:beforeLines="50" w:before="180" w:line="460" w:lineRule="exact"/>
        <w:jc w:val="both"/>
        <w:rPr>
          <w:rFonts w:ascii="標楷體" w:eastAsia="標楷體" w:hAnsi="標楷體"/>
          <w:sz w:val="32"/>
          <w:szCs w:val="32"/>
        </w:rPr>
      </w:pPr>
      <w:r w:rsidRPr="00B70493">
        <w:rPr>
          <w:rFonts w:ascii="標楷體" w:eastAsia="標楷體" w:hAnsi="標楷體"/>
          <w:sz w:val="32"/>
          <w:szCs w:val="32"/>
        </w:rPr>
        <w:t>第4款　財產收入</w:t>
      </w:r>
    </w:p>
    <w:p w:rsidR="00B6184F" w:rsidRPr="00B70493" w:rsidRDefault="00B6184F" w:rsidP="00F035E0">
      <w:pPr>
        <w:snapToGrid w:val="0"/>
        <w:spacing w:before="120" w:line="460" w:lineRule="exact"/>
        <w:ind w:leftChars="100" w:left="1680" w:hangingChars="450" w:hanging="1440"/>
        <w:jc w:val="both"/>
        <w:rPr>
          <w:rFonts w:ascii="標楷體" w:eastAsia="標楷體" w:hAnsi="標楷體"/>
          <w:sz w:val="32"/>
          <w:szCs w:val="32"/>
        </w:rPr>
      </w:pPr>
      <w:r w:rsidRPr="00B70493">
        <w:rPr>
          <w:rFonts w:ascii="標楷體" w:eastAsia="標楷體" w:hAnsi="標楷體" w:hint="eastAsia"/>
          <w:sz w:val="32"/>
          <w:szCs w:val="32"/>
        </w:rPr>
        <w:t>第10項　國立故宮博物院原列6</w:t>
      </w:r>
      <w:r w:rsidRPr="00B70493">
        <w:rPr>
          <w:rFonts w:ascii="標楷體" w:eastAsia="標楷體" w:hAnsi="標楷體"/>
          <w:sz w:val="32"/>
          <w:szCs w:val="32"/>
        </w:rPr>
        <w:t>,</w:t>
      </w:r>
      <w:r w:rsidRPr="00B70493">
        <w:rPr>
          <w:rFonts w:ascii="標楷體" w:eastAsia="標楷體" w:hAnsi="標楷體" w:hint="eastAsia"/>
          <w:sz w:val="32"/>
          <w:szCs w:val="32"/>
        </w:rPr>
        <w:t>449萬1千元，增列第1目「財產孳息」第1節「權利金」</w:t>
      </w:r>
      <w:r w:rsidRPr="00B70493">
        <w:rPr>
          <w:rFonts w:ascii="標楷體" w:eastAsia="標楷體" w:hAnsi="標楷體"/>
          <w:sz w:val="32"/>
          <w:szCs w:val="32"/>
        </w:rPr>
        <w:t>400</w:t>
      </w:r>
      <w:r w:rsidRPr="00B70493">
        <w:rPr>
          <w:rFonts w:ascii="標楷體" w:eastAsia="標楷體" w:hAnsi="標楷體" w:hint="eastAsia"/>
          <w:sz w:val="32"/>
          <w:szCs w:val="32"/>
        </w:rPr>
        <w:t>萬元，其餘均照列，改列為6,</w:t>
      </w:r>
      <w:r w:rsidRPr="00B70493">
        <w:rPr>
          <w:rFonts w:ascii="標楷體" w:eastAsia="標楷體" w:hAnsi="標楷體"/>
          <w:sz w:val="32"/>
          <w:szCs w:val="32"/>
        </w:rPr>
        <w:t>849</w:t>
      </w:r>
      <w:r w:rsidRPr="00B70493">
        <w:rPr>
          <w:rFonts w:ascii="標楷體" w:eastAsia="標楷體" w:hAnsi="標楷體" w:hint="eastAsia"/>
          <w:sz w:val="32"/>
          <w:szCs w:val="32"/>
        </w:rPr>
        <w:t>萬</w:t>
      </w:r>
      <w:r w:rsidRPr="00B70493">
        <w:rPr>
          <w:rFonts w:ascii="標楷體" w:eastAsia="標楷體" w:hAnsi="標楷體"/>
          <w:sz w:val="32"/>
          <w:szCs w:val="32"/>
        </w:rPr>
        <w:t>1</w:t>
      </w:r>
      <w:r w:rsidRPr="00B70493">
        <w:rPr>
          <w:rFonts w:ascii="標楷體" w:eastAsia="標楷體" w:hAnsi="標楷體" w:hint="eastAsia"/>
          <w:sz w:val="32"/>
          <w:szCs w:val="32"/>
        </w:rPr>
        <w:t>千元。</w:t>
      </w:r>
    </w:p>
    <w:p w:rsidR="00B6184F" w:rsidRPr="00B70493" w:rsidRDefault="00B6184F" w:rsidP="00F035E0">
      <w:pPr>
        <w:snapToGrid w:val="0"/>
        <w:spacing w:beforeLines="50" w:before="180" w:line="460" w:lineRule="exact"/>
        <w:jc w:val="both"/>
        <w:rPr>
          <w:rFonts w:ascii="標楷體" w:eastAsia="標楷體" w:hAnsi="標楷體"/>
          <w:sz w:val="32"/>
          <w:szCs w:val="32"/>
        </w:rPr>
      </w:pPr>
      <w:r w:rsidRPr="00B70493">
        <w:rPr>
          <w:rFonts w:ascii="標楷體" w:eastAsia="標楷體" w:hAnsi="標楷體" w:hint="eastAsia"/>
          <w:sz w:val="32"/>
          <w:szCs w:val="32"/>
        </w:rPr>
        <w:t>第5款　營業盈餘及事業收入</w:t>
      </w:r>
    </w:p>
    <w:p w:rsidR="00B6184F" w:rsidRPr="00B70493" w:rsidRDefault="00B6184F" w:rsidP="00F035E0">
      <w:pPr>
        <w:snapToGrid w:val="0"/>
        <w:spacing w:before="120" w:line="460" w:lineRule="exact"/>
        <w:ind w:leftChars="100" w:left="1520" w:hangingChars="400" w:hanging="1280"/>
        <w:jc w:val="both"/>
        <w:rPr>
          <w:rFonts w:ascii="標楷體" w:eastAsia="標楷體" w:hAnsi="標楷體"/>
          <w:sz w:val="32"/>
          <w:szCs w:val="32"/>
        </w:rPr>
      </w:pPr>
      <w:r w:rsidRPr="00B70493">
        <w:rPr>
          <w:rFonts w:ascii="標楷體" w:eastAsia="標楷體" w:hAnsi="標楷體" w:hint="eastAsia"/>
          <w:sz w:val="32"/>
          <w:szCs w:val="32"/>
        </w:rPr>
        <w:t>第2項　國立故宮博物院8,500萬元，照列。</w:t>
      </w:r>
    </w:p>
    <w:p w:rsidR="00B6184F" w:rsidRPr="00B70493" w:rsidRDefault="00B6184F" w:rsidP="00F035E0">
      <w:pPr>
        <w:snapToGrid w:val="0"/>
        <w:spacing w:beforeLines="50" w:before="180" w:line="460" w:lineRule="exact"/>
        <w:jc w:val="both"/>
        <w:rPr>
          <w:rFonts w:ascii="標楷體" w:eastAsia="標楷體" w:hAnsi="標楷體"/>
          <w:sz w:val="32"/>
          <w:szCs w:val="32"/>
        </w:rPr>
      </w:pPr>
      <w:r w:rsidRPr="00B70493">
        <w:rPr>
          <w:rFonts w:ascii="標楷體" w:eastAsia="標楷體" w:hAnsi="標楷體"/>
          <w:sz w:val="32"/>
          <w:szCs w:val="32"/>
        </w:rPr>
        <w:t>第7款　其他收入</w:t>
      </w:r>
    </w:p>
    <w:p w:rsidR="00B6184F" w:rsidRPr="00B70493" w:rsidRDefault="00B6184F" w:rsidP="00F035E0">
      <w:pPr>
        <w:snapToGrid w:val="0"/>
        <w:spacing w:before="120" w:line="460" w:lineRule="exact"/>
        <w:ind w:leftChars="100" w:left="1680" w:hangingChars="450" w:hanging="1440"/>
        <w:jc w:val="both"/>
        <w:rPr>
          <w:rFonts w:ascii="標楷體" w:eastAsia="標楷體" w:hAnsi="標楷體"/>
          <w:sz w:val="32"/>
          <w:szCs w:val="32"/>
        </w:rPr>
      </w:pPr>
      <w:r w:rsidRPr="00B70493">
        <w:rPr>
          <w:rFonts w:ascii="標楷體" w:eastAsia="標楷體" w:hAnsi="標楷體" w:hint="eastAsia"/>
          <w:sz w:val="32"/>
          <w:szCs w:val="32"/>
        </w:rPr>
        <w:t>第10項　國立故宮博物院165萬2千元，照列。</w:t>
      </w:r>
    </w:p>
    <w:p w:rsidR="00B6184F" w:rsidRPr="00B70493" w:rsidRDefault="00B6184F" w:rsidP="00F035E0">
      <w:pPr>
        <w:snapToGrid w:val="0"/>
        <w:spacing w:beforeLines="50" w:before="180" w:line="460" w:lineRule="exact"/>
        <w:jc w:val="both"/>
        <w:rPr>
          <w:rFonts w:ascii="標楷體" w:eastAsia="標楷體" w:hAnsi="標楷體"/>
          <w:sz w:val="32"/>
          <w:szCs w:val="32"/>
        </w:rPr>
      </w:pPr>
      <w:r w:rsidRPr="00B70493">
        <w:rPr>
          <w:rFonts w:ascii="標楷體" w:eastAsia="標楷體" w:hAnsi="標楷體"/>
          <w:sz w:val="32"/>
          <w:szCs w:val="32"/>
        </w:rPr>
        <w:t>歲出部分</w:t>
      </w:r>
    </w:p>
    <w:p w:rsidR="00B6184F" w:rsidRPr="00B70493" w:rsidRDefault="00B6184F" w:rsidP="00F035E0">
      <w:pPr>
        <w:snapToGrid w:val="0"/>
        <w:spacing w:beforeLines="50" w:before="180" w:line="460" w:lineRule="exact"/>
        <w:jc w:val="both"/>
        <w:rPr>
          <w:rFonts w:ascii="標楷體" w:eastAsia="標楷體" w:hAnsi="標楷體"/>
          <w:sz w:val="32"/>
          <w:szCs w:val="32"/>
        </w:rPr>
      </w:pPr>
      <w:r w:rsidRPr="00B70493">
        <w:rPr>
          <w:rFonts w:ascii="標楷體" w:eastAsia="標楷體" w:hAnsi="標楷體"/>
          <w:sz w:val="32"/>
          <w:szCs w:val="32"/>
        </w:rPr>
        <w:t>第2款　行政院主管</w:t>
      </w:r>
    </w:p>
    <w:p w:rsidR="00B6184F" w:rsidRPr="00B70493" w:rsidRDefault="00B6184F" w:rsidP="00F035E0">
      <w:pPr>
        <w:snapToGrid w:val="0"/>
        <w:spacing w:before="120" w:line="460" w:lineRule="exact"/>
        <w:ind w:leftChars="100" w:left="1520" w:hangingChars="400" w:hanging="1280"/>
        <w:jc w:val="both"/>
        <w:rPr>
          <w:rFonts w:ascii="標楷體" w:eastAsia="標楷體" w:hAnsi="標楷體"/>
          <w:sz w:val="32"/>
          <w:szCs w:val="32"/>
        </w:rPr>
      </w:pPr>
      <w:r w:rsidRPr="00B70493">
        <w:rPr>
          <w:rFonts w:ascii="標楷體" w:eastAsia="標楷體" w:hAnsi="標楷體"/>
          <w:sz w:val="32"/>
          <w:szCs w:val="32"/>
        </w:rPr>
        <w:t>第</w:t>
      </w:r>
      <w:r w:rsidRPr="00B70493">
        <w:rPr>
          <w:rFonts w:ascii="標楷體" w:eastAsia="標楷體" w:hAnsi="標楷體" w:hint="eastAsia"/>
          <w:sz w:val="32"/>
          <w:szCs w:val="32"/>
        </w:rPr>
        <w:t>5</w:t>
      </w:r>
      <w:r w:rsidRPr="00B70493">
        <w:rPr>
          <w:rFonts w:ascii="標楷體" w:eastAsia="標楷體" w:hAnsi="標楷體"/>
          <w:sz w:val="32"/>
          <w:szCs w:val="32"/>
        </w:rPr>
        <w:t xml:space="preserve">項　</w:t>
      </w:r>
      <w:r>
        <w:rPr>
          <w:rFonts w:ascii="標楷體" w:eastAsia="標楷體" w:hAnsi="標楷體" w:hint="eastAsia"/>
          <w:sz w:val="32"/>
          <w:szCs w:val="32"/>
        </w:rPr>
        <w:t>國立故宮博物院</w:t>
      </w:r>
      <w:r w:rsidRPr="00B70493">
        <w:rPr>
          <w:rFonts w:ascii="標楷體" w:eastAsia="標楷體" w:hAnsi="標楷體" w:hint="eastAsia"/>
          <w:sz w:val="32"/>
          <w:szCs w:val="32"/>
        </w:rPr>
        <w:t>18億8,725萬6千元，</w:t>
      </w:r>
      <w:r w:rsidRPr="00B70493">
        <w:rPr>
          <w:rFonts w:ascii="標楷體" w:eastAsia="標楷體" w:hAnsi="標楷體" w:hint="eastAsia"/>
          <w:snapToGrid w:val="0"/>
          <w:sz w:val="32"/>
          <w:szCs w:val="32"/>
        </w:rPr>
        <w:t>照列。</w:t>
      </w:r>
    </w:p>
    <w:p w:rsidR="00B6184F" w:rsidRPr="00B70493" w:rsidRDefault="00B6184F" w:rsidP="00F035E0">
      <w:pPr>
        <w:kinsoku w:val="0"/>
        <w:overflowPunct w:val="0"/>
        <w:spacing w:beforeLines="50" w:before="180" w:line="500" w:lineRule="exact"/>
        <w:ind w:leftChars="150" w:left="1688" w:hangingChars="415" w:hanging="1328"/>
        <w:jc w:val="both"/>
        <w:textAlignment w:val="center"/>
        <w:rPr>
          <w:rFonts w:ascii="標楷體" w:eastAsia="標楷體" w:hAnsi="標楷體"/>
          <w:snapToGrid w:val="0"/>
          <w:sz w:val="32"/>
          <w:szCs w:val="32"/>
        </w:rPr>
      </w:pPr>
      <w:r w:rsidRPr="00B70493">
        <w:rPr>
          <w:rFonts w:ascii="標楷體" w:eastAsia="標楷體" w:hAnsi="標楷體" w:hint="eastAsia"/>
          <w:snapToGrid w:val="0"/>
          <w:sz w:val="32"/>
          <w:szCs w:val="32"/>
        </w:rPr>
        <w:t>通過決議</w:t>
      </w:r>
      <w:r>
        <w:rPr>
          <w:rFonts w:ascii="標楷體" w:eastAsia="標楷體" w:hAnsi="標楷體"/>
          <w:snapToGrid w:val="0"/>
          <w:sz w:val="32"/>
          <w:szCs w:val="32"/>
        </w:rPr>
        <w:t>55</w:t>
      </w:r>
      <w:r w:rsidRPr="00B70493">
        <w:rPr>
          <w:rFonts w:ascii="標楷體" w:eastAsia="標楷體" w:hAnsi="標楷體" w:hint="eastAsia"/>
          <w:snapToGrid w:val="0"/>
          <w:sz w:val="32"/>
          <w:szCs w:val="32"/>
        </w:rPr>
        <w:t>項：</w:t>
      </w:r>
    </w:p>
    <w:p w:rsidR="00B6184F" w:rsidRPr="00B70493" w:rsidRDefault="00B6184F" w:rsidP="00F035E0">
      <w:pPr>
        <w:kinsoku w:val="0"/>
        <w:overflowPunct w:val="0"/>
        <w:spacing w:before="120" w:line="500" w:lineRule="exact"/>
        <w:ind w:leftChars="150" w:left="1000" w:hangingChars="200" w:hanging="640"/>
        <w:contextualSpacing/>
        <w:jc w:val="both"/>
        <w:textAlignment w:val="center"/>
        <w:rPr>
          <w:rFonts w:ascii="標楷體" w:eastAsia="標楷體" w:hAnsi="標楷體"/>
          <w:snapToGrid w:val="0"/>
          <w:sz w:val="32"/>
          <w:szCs w:val="32"/>
        </w:rPr>
      </w:pPr>
      <w:r w:rsidRPr="00B70493">
        <w:rPr>
          <w:rFonts w:ascii="標楷體" w:eastAsia="標楷體" w:hAnsi="標楷體" w:hint="eastAsia"/>
          <w:snapToGrid w:val="0"/>
          <w:sz w:val="32"/>
          <w:szCs w:val="32"/>
        </w:rPr>
        <w:t>(一)</w:t>
      </w:r>
      <w:r w:rsidRPr="00B70493">
        <w:rPr>
          <w:rFonts w:ascii="標楷體" w:eastAsia="標楷體" w:hAnsi="標楷體"/>
          <w:snapToGrid w:val="0"/>
          <w:sz w:val="32"/>
          <w:szCs w:val="32"/>
        </w:rPr>
        <w:t>11</w:t>
      </w:r>
      <w:r w:rsidRPr="00B70493">
        <w:rPr>
          <w:rFonts w:ascii="標楷體" w:eastAsia="標楷體" w:hAnsi="標楷體" w:hint="eastAsia"/>
          <w:snapToGrid w:val="0"/>
          <w:sz w:val="32"/>
          <w:szCs w:val="32"/>
        </w:rPr>
        <w:t>2年度國立故宮博物院第2目「文物研究與展覽」預算編列</w:t>
      </w:r>
      <w:r w:rsidRPr="00B70493">
        <w:rPr>
          <w:rFonts w:ascii="標楷體" w:eastAsia="標楷體" w:hAnsi="標楷體"/>
          <w:snapToGrid w:val="0"/>
          <w:sz w:val="32"/>
          <w:szCs w:val="32"/>
        </w:rPr>
        <w:t>3</w:t>
      </w:r>
      <w:r w:rsidRPr="00B70493">
        <w:rPr>
          <w:rFonts w:ascii="標楷體" w:eastAsia="標楷體" w:hAnsi="標楷體" w:hint="eastAsia"/>
          <w:snapToGrid w:val="0"/>
          <w:sz w:val="32"/>
          <w:szCs w:val="32"/>
        </w:rPr>
        <w:t>,</w:t>
      </w:r>
      <w:r w:rsidRPr="00B70493">
        <w:rPr>
          <w:rFonts w:ascii="標楷體" w:eastAsia="標楷體" w:hAnsi="標楷體"/>
          <w:snapToGrid w:val="0"/>
          <w:sz w:val="32"/>
          <w:szCs w:val="32"/>
        </w:rPr>
        <w:t>469</w:t>
      </w:r>
      <w:r w:rsidRPr="00B70493">
        <w:rPr>
          <w:rFonts w:ascii="標楷體" w:eastAsia="標楷體" w:hAnsi="標楷體" w:hint="eastAsia"/>
          <w:snapToGrid w:val="0"/>
          <w:sz w:val="32"/>
          <w:szCs w:val="32"/>
        </w:rPr>
        <w:t>萬</w:t>
      </w:r>
      <w:r w:rsidRPr="00B70493">
        <w:rPr>
          <w:rFonts w:ascii="標楷體" w:eastAsia="標楷體" w:hAnsi="標楷體"/>
          <w:snapToGrid w:val="0"/>
          <w:sz w:val="32"/>
          <w:szCs w:val="32"/>
        </w:rPr>
        <w:t>4</w:t>
      </w:r>
      <w:r w:rsidRPr="00B70493">
        <w:rPr>
          <w:rFonts w:ascii="標楷體" w:eastAsia="標楷體" w:hAnsi="標楷體" w:hint="eastAsia"/>
          <w:snapToGrid w:val="0"/>
          <w:sz w:val="32"/>
          <w:szCs w:val="32"/>
        </w:rPr>
        <w:t>千元，凍結</w:t>
      </w:r>
      <w:r w:rsidRPr="00B70493">
        <w:rPr>
          <w:rFonts w:ascii="標楷體" w:eastAsia="標楷體" w:hAnsi="標楷體"/>
          <w:snapToGrid w:val="0"/>
          <w:sz w:val="32"/>
          <w:szCs w:val="32"/>
        </w:rPr>
        <w:t>2</w:t>
      </w:r>
      <w:r w:rsidRPr="00B70493">
        <w:rPr>
          <w:rFonts w:ascii="標楷體" w:eastAsia="標楷體" w:hAnsi="標楷體" w:hint="eastAsia"/>
          <w:snapToGrid w:val="0"/>
          <w:sz w:val="32"/>
          <w:szCs w:val="32"/>
        </w:rPr>
        <w:t>50萬元，俟國立故宮博物院向立法院教育及文化委員會提出書面報告後，始得動支。2</w:t>
      </w:r>
      <w:r w:rsidRPr="00B70493">
        <w:rPr>
          <w:rFonts w:ascii="標楷體" w:eastAsia="標楷體" w:hAnsi="標楷體"/>
          <w:snapToGrid w:val="0"/>
          <w:sz w:val="32"/>
          <w:szCs w:val="32"/>
        </w:rPr>
        <w:t>8-36</w:t>
      </w:r>
    </w:p>
    <w:p w:rsidR="00B6184F" w:rsidRPr="00B70493" w:rsidRDefault="00B6184F" w:rsidP="00F035E0">
      <w:pPr>
        <w:snapToGrid w:val="0"/>
        <w:spacing w:line="500" w:lineRule="exact"/>
        <w:ind w:leftChars="1250" w:left="4280" w:hangingChars="400" w:hanging="1280"/>
        <w:contextualSpacing/>
        <w:jc w:val="both"/>
        <w:rPr>
          <w:rFonts w:ascii="標楷體" w:eastAsia="標楷體" w:hAnsi="標楷體"/>
          <w:sz w:val="32"/>
          <w:szCs w:val="32"/>
        </w:rPr>
      </w:pPr>
      <w:r w:rsidRPr="00B70493">
        <w:rPr>
          <w:rFonts w:ascii="標楷體" w:eastAsia="標楷體" w:hAnsi="標楷體" w:hint="eastAsia"/>
          <w:sz w:val="32"/>
          <w:szCs w:val="32"/>
        </w:rPr>
        <w:t>提案人：黃國書  萬美玲  吳思瑤 張廖萬堅</w:t>
      </w:r>
    </w:p>
    <w:p w:rsidR="00B6184F" w:rsidRPr="00B70493" w:rsidRDefault="00B6184F" w:rsidP="00F035E0">
      <w:pPr>
        <w:snapToGrid w:val="0"/>
        <w:spacing w:line="500" w:lineRule="exact"/>
        <w:ind w:leftChars="1250" w:left="4280" w:hangingChars="400" w:hanging="1280"/>
        <w:contextualSpacing/>
        <w:jc w:val="both"/>
        <w:rPr>
          <w:rFonts w:ascii="標楷體" w:eastAsia="標楷體" w:hAnsi="標楷體"/>
          <w:sz w:val="32"/>
          <w:szCs w:val="32"/>
        </w:rPr>
      </w:pPr>
      <w:r w:rsidRPr="00B70493">
        <w:rPr>
          <w:rFonts w:ascii="標楷體" w:eastAsia="標楷體" w:hAnsi="標楷體" w:hint="eastAsia"/>
          <w:sz w:val="32"/>
          <w:szCs w:val="32"/>
        </w:rPr>
        <w:t xml:space="preserve">        何欣純  陳秀寳  鄭正鈐</w:t>
      </w:r>
    </w:p>
    <w:p w:rsidR="00B6184F" w:rsidRPr="00B70493" w:rsidRDefault="00B6184F" w:rsidP="00F035E0">
      <w:pPr>
        <w:snapToGrid w:val="0"/>
        <w:spacing w:line="500" w:lineRule="exact"/>
        <w:ind w:leftChars="1250" w:left="4280" w:hangingChars="400" w:hanging="1280"/>
        <w:contextualSpacing/>
        <w:jc w:val="both"/>
        <w:rPr>
          <w:rFonts w:ascii="標楷體" w:eastAsia="標楷體" w:hAnsi="標楷體"/>
          <w:sz w:val="32"/>
          <w:szCs w:val="32"/>
        </w:rPr>
      </w:pPr>
      <w:r w:rsidRPr="00B70493">
        <w:rPr>
          <w:rFonts w:ascii="標楷體" w:eastAsia="標楷體" w:hAnsi="標楷體" w:hint="eastAsia"/>
          <w:sz w:val="32"/>
          <w:szCs w:val="32"/>
        </w:rPr>
        <w:t>連署人：王婉諭  林奕華  范  雲</w:t>
      </w:r>
    </w:p>
    <w:p w:rsidR="00B6184F" w:rsidRPr="00B70493" w:rsidRDefault="00B6184F" w:rsidP="00F035E0">
      <w:pPr>
        <w:kinsoku w:val="0"/>
        <w:overflowPunct w:val="0"/>
        <w:spacing w:before="120" w:line="500" w:lineRule="exact"/>
        <w:ind w:leftChars="150" w:left="1000" w:hangingChars="200" w:hanging="640"/>
        <w:contextualSpacing/>
        <w:jc w:val="both"/>
        <w:textAlignment w:val="center"/>
        <w:rPr>
          <w:rFonts w:ascii="標楷體" w:eastAsia="標楷體" w:hAnsi="標楷體"/>
          <w:sz w:val="32"/>
          <w:szCs w:val="32"/>
        </w:rPr>
      </w:pPr>
      <w:r w:rsidRPr="00B70493">
        <w:rPr>
          <w:rFonts w:ascii="標楷體" w:eastAsia="標楷體" w:hAnsi="標楷體" w:hint="eastAsia"/>
          <w:sz w:val="32"/>
          <w:szCs w:val="32"/>
        </w:rPr>
        <w:t>(二)11</w:t>
      </w:r>
      <w:r w:rsidRPr="00B70493">
        <w:rPr>
          <w:rFonts w:ascii="標楷體" w:eastAsia="標楷體" w:hAnsi="標楷體"/>
          <w:sz w:val="32"/>
          <w:szCs w:val="32"/>
        </w:rPr>
        <w:t>2</w:t>
      </w:r>
      <w:r w:rsidRPr="00B70493">
        <w:rPr>
          <w:rFonts w:ascii="標楷體" w:eastAsia="標楷體" w:hAnsi="標楷體" w:hint="eastAsia"/>
          <w:sz w:val="32"/>
          <w:szCs w:val="32"/>
        </w:rPr>
        <w:t>年度國立故宮博物院第3目「綜合規劃與推廣行銷」預算編列1億</w:t>
      </w:r>
      <w:r w:rsidRPr="00B70493">
        <w:rPr>
          <w:rFonts w:ascii="標楷體" w:eastAsia="標楷體" w:hAnsi="標楷體"/>
          <w:sz w:val="32"/>
          <w:szCs w:val="32"/>
        </w:rPr>
        <w:t>6</w:t>
      </w:r>
      <w:r w:rsidRPr="00B70493">
        <w:rPr>
          <w:rFonts w:ascii="標楷體" w:eastAsia="標楷體" w:hAnsi="標楷體" w:hint="eastAsia"/>
          <w:sz w:val="32"/>
          <w:szCs w:val="32"/>
        </w:rPr>
        <w:t>,</w:t>
      </w:r>
      <w:r w:rsidRPr="00B70493">
        <w:rPr>
          <w:rFonts w:ascii="標楷體" w:eastAsia="標楷體" w:hAnsi="標楷體"/>
          <w:sz w:val="32"/>
          <w:szCs w:val="32"/>
        </w:rPr>
        <w:t>459</w:t>
      </w:r>
      <w:r w:rsidRPr="00B70493">
        <w:rPr>
          <w:rFonts w:ascii="標楷體" w:eastAsia="標楷體" w:hAnsi="標楷體" w:hint="eastAsia"/>
          <w:sz w:val="32"/>
          <w:szCs w:val="32"/>
        </w:rPr>
        <w:t>萬元，凍結1</w:t>
      </w:r>
      <w:r w:rsidRPr="00B70493">
        <w:rPr>
          <w:rFonts w:ascii="標楷體" w:eastAsia="標楷體" w:hAnsi="標楷體"/>
          <w:sz w:val="32"/>
          <w:szCs w:val="32"/>
        </w:rPr>
        <w:t>00</w:t>
      </w:r>
      <w:r w:rsidRPr="00B70493">
        <w:rPr>
          <w:rFonts w:ascii="標楷體" w:eastAsia="標楷體" w:hAnsi="標楷體" w:hint="eastAsia"/>
          <w:sz w:val="32"/>
          <w:szCs w:val="32"/>
        </w:rPr>
        <w:t>萬元，俟國立故宮博物院向立法院教育及文化委員會提出書面報告後，始得動支。3</w:t>
      </w:r>
      <w:r w:rsidRPr="00B70493">
        <w:rPr>
          <w:rFonts w:ascii="標楷體" w:eastAsia="標楷體" w:hAnsi="標楷體"/>
          <w:sz w:val="32"/>
          <w:szCs w:val="32"/>
        </w:rPr>
        <w:t>7-72</w:t>
      </w:r>
    </w:p>
    <w:p w:rsidR="00B6184F" w:rsidRPr="00B70493" w:rsidRDefault="00B6184F" w:rsidP="00F035E0">
      <w:pPr>
        <w:snapToGrid w:val="0"/>
        <w:spacing w:line="500" w:lineRule="exact"/>
        <w:ind w:leftChars="1250" w:left="4280" w:hangingChars="400" w:hanging="1280"/>
        <w:contextualSpacing/>
        <w:jc w:val="both"/>
        <w:rPr>
          <w:rFonts w:ascii="標楷體" w:eastAsia="標楷體" w:hAnsi="標楷體"/>
          <w:sz w:val="32"/>
          <w:szCs w:val="32"/>
        </w:rPr>
      </w:pPr>
      <w:r w:rsidRPr="00B70493">
        <w:rPr>
          <w:rFonts w:ascii="標楷體" w:eastAsia="標楷體" w:hAnsi="標楷體" w:hint="eastAsia"/>
          <w:sz w:val="32"/>
          <w:szCs w:val="32"/>
        </w:rPr>
        <w:t>提案人：吳怡玎  萬美玲  林奕華  何欣純</w:t>
      </w:r>
    </w:p>
    <w:p w:rsidR="00B6184F" w:rsidRPr="00B70493" w:rsidRDefault="00B6184F" w:rsidP="00F035E0">
      <w:pPr>
        <w:snapToGrid w:val="0"/>
        <w:spacing w:line="500" w:lineRule="exact"/>
        <w:ind w:leftChars="1250" w:left="4280" w:hangingChars="400" w:hanging="1280"/>
        <w:contextualSpacing/>
        <w:jc w:val="both"/>
        <w:rPr>
          <w:rFonts w:ascii="標楷體" w:eastAsia="標楷體" w:hAnsi="標楷體"/>
          <w:sz w:val="32"/>
          <w:szCs w:val="32"/>
        </w:rPr>
      </w:pPr>
      <w:r w:rsidRPr="00B70493">
        <w:rPr>
          <w:rFonts w:ascii="標楷體" w:eastAsia="標楷體" w:hAnsi="標楷體" w:hint="eastAsia"/>
          <w:sz w:val="32"/>
          <w:szCs w:val="32"/>
        </w:rPr>
        <w:t xml:space="preserve">        賴品妤  黃國書  王婉諭  鄭正鈐</w:t>
      </w:r>
    </w:p>
    <w:p w:rsidR="00B6184F" w:rsidRPr="00B70493" w:rsidRDefault="00B6184F" w:rsidP="00F035E0">
      <w:pPr>
        <w:snapToGrid w:val="0"/>
        <w:spacing w:line="500" w:lineRule="exact"/>
        <w:ind w:leftChars="1250" w:left="4280" w:hangingChars="400" w:hanging="1280"/>
        <w:contextualSpacing/>
        <w:jc w:val="both"/>
        <w:rPr>
          <w:rFonts w:ascii="標楷體" w:eastAsia="標楷體" w:hAnsi="標楷體"/>
          <w:sz w:val="32"/>
          <w:szCs w:val="32"/>
        </w:rPr>
      </w:pPr>
      <w:r w:rsidRPr="00B70493">
        <w:rPr>
          <w:rFonts w:ascii="標楷體" w:eastAsia="標楷體" w:hAnsi="標楷體" w:hint="eastAsia"/>
          <w:sz w:val="32"/>
          <w:szCs w:val="32"/>
        </w:rPr>
        <w:lastRenderedPageBreak/>
        <w:t xml:space="preserve">        林宜瑾  吳思瑤  陳秀寳 張廖萬堅</w:t>
      </w:r>
    </w:p>
    <w:p w:rsidR="00B6184F" w:rsidRPr="00B70493" w:rsidRDefault="00B6184F" w:rsidP="00F035E0">
      <w:pPr>
        <w:snapToGrid w:val="0"/>
        <w:spacing w:line="500" w:lineRule="exact"/>
        <w:ind w:leftChars="1250" w:left="4280" w:hangingChars="400" w:hanging="1280"/>
        <w:contextualSpacing/>
        <w:jc w:val="both"/>
        <w:rPr>
          <w:rFonts w:ascii="標楷體" w:eastAsia="標楷體" w:hAnsi="標楷體"/>
          <w:sz w:val="32"/>
          <w:szCs w:val="32"/>
        </w:rPr>
      </w:pPr>
      <w:r w:rsidRPr="00B70493">
        <w:rPr>
          <w:rFonts w:ascii="標楷體" w:eastAsia="標楷體" w:hAnsi="標楷體" w:hint="eastAsia"/>
          <w:sz w:val="32"/>
          <w:szCs w:val="32"/>
        </w:rPr>
        <w:t>連署人：范  雲</w:t>
      </w:r>
    </w:p>
    <w:p w:rsidR="00B6184F" w:rsidRPr="00B70493" w:rsidRDefault="00B6184F" w:rsidP="00F035E0">
      <w:pPr>
        <w:kinsoku w:val="0"/>
        <w:overflowPunct w:val="0"/>
        <w:spacing w:before="120" w:line="500" w:lineRule="exact"/>
        <w:ind w:leftChars="150" w:left="1000" w:hangingChars="200" w:hanging="640"/>
        <w:contextualSpacing/>
        <w:jc w:val="both"/>
        <w:textAlignment w:val="center"/>
        <w:rPr>
          <w:rFonts w:ascii="標楷體" w:eastAsia="標楷體" w:hAnsi="標楷體"/>
          <w:sz w:val="32"/>
          <w:szCs w:val="32"/>
        </w:rPr>
      </w:pPr>
      <w:r w:rsidRPr="00B70493">
        <w:rPr>
          <w:rFonts w:ascii="標楷體" w:eastAsia="標楷體" w:hAnsi="標楷體" w:hint="eastAsia"/>
          <w:sz w:val="32"/>
          <w:szCs w:val="32"/>
        </w:rPr>
        <w:t>(三)11</w:t>
      </w:r>
      <w:r w:rsidRPr="00B70493">
        <w:rPr>
          <w:rFonts w:ascii="標楷體" w:eastAsia="標楷體" w:hAnsi="標楷體"/>
          <w:sz w:val="32"/>
          <w:szCs w:val="32"/>
        </w:rPr>
        <w:t>2</w:t>
      </w:r>
      <w:r w:rsidRPr="00B70493">
        <w:rPr>
          <w:rFonts w:ascii="標楷體" w:eastAsia="標楷體" w:hAnsi="標楷體" w:hint="eastAsia"/>
          <w:sz w:val="32"/>
          <w:szCs w:val="32"/>
        </w:rPr>
        <w:t>年度國立故宮博物院第</w:t>
      </w:r>
      <w:r w:rsidRPr="00B70493">
        <w:rPr>
          <w:rFonts w:ascii="標楷體" w:eastAsia="標楷體" w:hAnsi="標楷體"/>
          <w:sz w:val="32"/>
          <w:szCs w:val="32"/>
        </w:rPr>
        <w:t>4</w:t>
      </w:r>
      <w:r w:rsidRPr="00B70493">
        <w:rPr>
          <w:rFonts w:ascii="標楷體" w:eastAsia="標楷體" w:hAnsi="標楷體" w:hint="eastAsia"/>
          <w:sz w:val="32"/>
          <w:szCs w:val="32"/>
        </w:rPr>
        <w:t>目「文物安全、管理與修護」預算編列</w:t>
      </w:r>
      <w:r w:rsidRPr="00B70493">
        <w:rPr>
          <w:rFonts w:ascii="標楷體" w:eastAsia="標楷體" w:hAnsi="標楷體"/>
          <w:sz w:val="32"/>
          <w:szCs w:val="32"/>
        </w:rPr>
        <w:t>1</w:t>
      </w:r>
      <w:r w:rsidRPr="00B70493">
        <w:rPr>
          <w:rFonts w:ascii="標楷體" w:eastAsia="標楷體" w:hAnsi="標楷體" w:hint="eastAsia"/>
          <w:sz w:val="32"/>
          <w:szCs w:val="32"/>
        </w:rPr>
        <w:t>億</w:t>
      </w:r>
      <w:r w:rsidRPr="00B70493">
        <w:rPr>
          <w:rFonts w:ascii="標楷體" w:eastAsia="標楷體" w:hAnsi="標楷體"/>
          <w:sz w:val="32"/>
          <w:szCs w:val="32"/>
        </w:rPr>
        <w:t>6</w:t>
      </w:r>
      <w:r w:rsidRPr="00B70493">
        <w:rPr>
          <w:rFonts w:ascii="標楷體" w:eastAsia="標楷體" w:hAnsi="標楷體" w:hint="eastAsia"/>
          <w:sz w:val="32"/>
          <w:szCs w:val="32"/>
        </w:rPr>
        <w:t>,</w:t>
      </w:r>
      <w:r w:rsidRPr="00B70493">
        <w:rPr>
          <w:rFonts w:ascii="標楷體" w:eastAsia="標楷體" w:hAnsi="標楷體"/>
          <w:sz w:val="32"/>
          <w:szCs w:val="32"/>
        </w:rPr>
        <w:t>144</w:t>
      </w:r>
      <w:r w:rsidRPr="00B70493">
        <w:rPr>
          <w:rFonts w:ascii="標楷體" w:eastAsia="標楷體" w:hAnsi="標楷體" w:hint="eastAsia"/>
          <w:sz w:val="32"/>
          <w:szCs w:val="32"/>
        </w:rPr>
        <w:t>萬</w:t>
      </w:r>
      <w:r w:rsidRPr="00B70493">
        <w:rPr>
          <w:rFonts w:ascii="標楷體" w:eastAsia="標楷體" w:hAnsi="標楷體"/>
          <w:sz w:val="32"/>
          <w:szCs w:val="32"/>
        </w:rPr>
        <w:t>5</w:t>
      </w:r>
      <w:r w:rsidRPr="00B70493">
        <w:rPr>
          <w:rFonts w:ascii="標楷體" w:eastAsia="標楷體" w:hAnsi="標楷體" w:hint="eastAsia"/>
          <w:sz w:val="32"/>
          <w:szCs w:val="32"/>
        </w:rPr>
        <w:t>千元，凍結</w:t>
      </w:r>
      <w:r w:rsidRPr="00B70493">
        <w:rPr>
          <w:rFonts w:ascii="標楷體" w:eastAsia="標楷體" w:hAnsi="標楷體"/>
          <w:sz w:val="32"/>
          <w:szCs w:val="32"/>
        </w:rPr>
        <w:t>200</w:t>
      </w:r>
      <w:r w:rsidRPr="00B70493">
        <w:rPr>
          <w:rFonts w:ascii="標楷體" w:eastAsia="標楷體" w:hAnsi="標楷體" w:hint="eastAsia"/>
          <w:sz w:val="32"/>
          <w:szCs w:val="32"/>
        </w:rPr>
        <w:t>萬元，俟國立故宮博物院向立法院教育及文化委員會提出書面報告後，始得動支。</w:t>
      </w:r>
      <w:r w:rsidRPr="00B70493">
        <w:rPr>
          <w:rFonts w:ascii="標楷體" w:eastAsia="標楷體" w:hAnsi="標楷體"/>
          <w:sz w:val="32"/>
          <w:szCs w:val="32"/>
        </w:rPr>
        <w:t>73-83</w:t>
      </w:r>
    </w:p>
    <w:p w:rsidR="00B6184F" w:rsidRPr="00B70493" w:rsidRDefault="00B6184F" w:rsidP="00F035E0">
      <w:pPr>
        <w:snapToGrid w:val="0"/>
        <w:spacing w:line="500" w:lineRule="exact"/>
        <w:ind w:leftChars="1250" w:left="4280" w:hangingChars="400" w:hanging="1280"/>
        <w:contextualSpacing/>
        <w:jc w:val="both"/>
        <w:rPr>
          <w:rFonts w:ascii="標楷體" w:eastAsia="標楷體" w:hAnsi="標楷體"/>
          <w:sz w:val="32"/>
          <w:szCs w:val="32"/>
        </w:rPr>
      </w:pPr>
      <w:r w:rsidRPr="00B70493">
        <w:rPr>
          <w:rFonts w:ascii="標楷體" w:eastAsia="標楷體" w:hAnsi="標楷體" w:hint="eastAsia"/>
          <w:sz w:val="32"/>
          <w:szCs w:val="32"/>
        </w:rPr>
        <w:t>提案人：萬美玲  吳思瑤  鄭正鈐  黃國書</w:t>
      </w:r>
    </w:p>
    <w:p w:rsidR="00B6184F" w:rsidRPr="00B70493" w:rsidRDefault="00B6184F" w:rsidP="00F035E0">
      <w:pPr>
        <w:snapToGrid w:val="0"/>
        <w:spacing w:line="500" w:lineRule="exact"/>
        <w:ind w:leftChars="1250" w:left="4280" w:hangingChars="400" w:hanging="1280"/>
        <w:contextualSpacing/>
        <w:jc w:val="both"/>
        <w:rPr>
          <w:rFonts w:ascii="標楷體" w:eastAsia="標楷體" w:hAnsi="標楷體"/>
          <w:sz w:val="32"/>
          <w:szCs w:val="32"/>
        </w:rPr>
      </w:pPr>
      <w:r w:rsidRPr="00B70493">
        <w:rPr>
          <w:rFonts w:ascii="標楷體" w:eastAsia="標楷體" w:hAnsi="標楷體" w:hint="eastAsia"/>
          <w:sz w:val="32"/>
          <w:szCs w:val="32"/>
        </w:rPr>
        <w:t xml:space="preserve">        王婉諭  陳秀寳  林宜瑾 張廖萬堅        </w:t>
      </w:r>
    </w:p>
    <w:p w:rsidR="00B6184F" w:rsidRPr="00B70493" w:rsidRDefault="00B6184F" w:rsidP="00F035E0">
      <w:pPr>
        <w:snapToGrid w:val="0"/>
        <w:spacing w:line="500" w:lineRule="exact"/>
        <w:ind w:leftChars="1250" w:left="4280" w:hangingChars="400" w:hanging="1280"/>
        <w:contextualSpacing/>
        <w:jc w:val="both"/>
        <w:rPr>
          <w:rFonts w:ascii="標楷體" w:eastAsia="標楷體" w:hAnsi="標楷體"/>
          <w:sz w:val="32"/>
          <w:szCs w:val="32"/>
        </w:rPr>
      </w:pPr>
      <w:r w:rsidRPr="00B70493">
        <w:rPr>
          <w:rFonts w:ascii="標楷體" w:eastAsia="標楷體" w:hAnsi="標楷體" w:hint="eastAsia"/>
          <w:sz w:val="32"/>
          <w:szCs w:val="32"/>
        </w:rPr>
        <w:t xml:space="preserve">連署人：林奕華  何欣純  范  雲  </w:t>
      </w:r>
    </w:p>
    <w:p w:rsidR="00B6184F" w:rsidRPr="00B70493" w:rsidRDefault="00B6184F" w:rsidP="00F035E0">
      <w:pPr>
        <w:kinsoku w:val="0"/>
        <w:overflowPunct w:val="0"/>
        <w:spacing w:before="120" w:line="500" w:lineRule="exact"/>
        <w:ind w:leftChars="150" w:left="1000" w:hangingChars="200" w:hanging="640"/>
        <w:contextualSpacing/>
        <w:jc w:val="both"/>
        <w:textAlignment w:val="center"/>
        <w:rPr>
          <w:rFonts w:ascii="標楷體" w:eastAsia="標楷體" w:hAnsi="標楷體"/>
          <w:sz w:val="32"/>
          <w:szCs w:val="32"/>
        </w:rPr>
      </w:pPr>
      <w:r w:rsidRPr="00B70493">
        <w:rPr>
          <w:rFonts w:ascii="標楷體" w:eastAsia="標楷體" w:hAnsi="標楷體" w:hint="eastAsia"/>
          <w:sz w:val="32"/>
          <w:szCs w:val="32"/>
        </w:rPr>
        <w:t>(四)11</w:t>
      </w:r>
      <w:r w:rsidRPr="00B70493">
        <w:rPr>
          <w:rFonts w:ascii="標楷體" w:eastAsia="標楷體" w:hAnsi="標楷體"/>
          <w:sz w:val="32"/>
          <w:szCs w:val="32"/>
        </w:rPr>
        <w:t>2</w:t>
      </w:r>
      <w:r w:rsidRPr="00B70493">
        <w:rPr>
          <w:rFonts w:ascii="標楷體" w:eastAsia="標楷體" w:hAnsi="標楷體" w:hint="eastAsia"/>
          <w:sz w:val="32"/>
          <w:szCs w:val="32"/>
        </w:rPr>
        <w:t>年度國立故宮博物院第</w:t>
      </w:r>
      <w:r w:rsidRPr="00B70493">
        <w:rPr>
          <w:rFonts w:ascii="標楷體" w:eastAsia="標楷體" w:hAnsi="標楷體"/>
          <w:sz w:val="32"/>
          <w:szCs w:val="32"/>
        </w:rPr>
        <w:t>5</w:t>
      </w:r>
      <w:r w:rsidRPr="00B70493">
        <w:rPr>
          <w:rFonts w:ascii="標楷體" w:eastAsia="標楷體" w:hAnsi="標楷體" w:hint="eastAsia"/>
          <w:sz w:val="32"/>
          <w:szCs w:val="32"/>
        </w:rPr>
        <w:t>目「新故宮計畫」預算編列</w:t>
      </w:r>
      <w:r w:rsidRPr="00B70493">
        <w:rPr>
          <w:rFonts w:ascii="標楷體" w:eastAsia="標楷體" w:hAnsi="標楷體"/>
          <w:sz w:val="32"/>
          <w:szCs w:val="32"/>
        </w:rPr>
        <w:t>7</w:t>
      </w:r>
      <w:r w:rsidRPr="00B70493">
        <w:rPr>
          <w:rFonts w:ascii="標楷體" w:eastAsia="標楷體" w:hAnsi="標楷體" w:hint="eastAsia"/>
          <w:sz w:val="32"/>
          <w:szCs w:val="32"/>
        </w:rPr>
        <w:t>億</w:t>
      </w:r>
      <w:r w:rsidRPr="00B70493">
        <w:rPr>
          <w:rFonts w:ascii="標楷體" w:eastAsia="標楷體" w:hAnsi="標楷體"/>
          <w:sz w:val="32"/>
          <w:szCs w:val="32"/>
        </w:rPr>
        <w:t>1</w:t>
      </w:r>
      <w:r w:rsidRPr="00B70493">
        <w:rPr>
          <w:rFonts w:ascii="標楷體" w:eastAsia="標楷體" w:hAnsi="標楷體" w:hint="eastAsia"/>
          <w:sz w:val="32"/>
          <w:szCs w:val="32"/>
        </w:rPr>
        <w:t>,</w:t>
      </w:r>
      <w:r w:rsidRPr="00B70493">
        <w:rPr>
          <w:rFonts w:ascii="標楷體" w:eastAsia="標楷體" w:hAnsi="標楷體"/>
          <w:sz w:val="32"/>
          <w:szCs w:val="32"/>
        </w:rPr>
        <w:t>374</w:t>
      </w:r>
      <w:r w:rsidRPr="00B70493">
        <w:rPr>
          <w:rFonts w:ascii="標楷體" w:eastAsia="標楷體" w:hAnsi="標楷體" w:hint="eastAsia"/>
          <w:sz w:val="32"/>
          <w:szCs w:val="32"/>
        </w:rPr>
        <w:t>萬</w:t>
      </w:r>
      <w:r w:rsidRPr="00B70493">
        <w:rPr>
          <w:rFonts w:ascii="標楷體" w:eastAsia="標楷體" w:hAnsi="標楷體"/>
          <w:sz w:val="32"/>
          <w:szCs w:val="32"/>
        </w:rPr>
        <w:t>4</w:t>
      </w:r>
      <w:r w:rsidRPr="00B70493">
        <w:rPr>
          <w:rFonts w:ascii="標楷體" w:eastAsia="標楷體" w:hAnsi="標楷體" w:hint="eastAsia"/>
          <w:sz w:val="32"/>
          <w:szCs w:val="32"/>
        </w:rPr>
        <w:t>千元，凍結2,</w:t>
      </w:r>
      <w:r w:rsidRPr="00B70493">
        <w:rPr>
          <w:rFonts w:ascii="標楷體" w:eastAsia="標楷體" w:hAnsi="標楷體"/>
          <w:sz w:val="32"/>
          <w:szCs w:val="32"/>
        </w:rPr>
        <w:t>000</w:t>
      </w:r>
      <w:r w:rsidRPr="00B70493">
        <w:rPr>
          <w:rFonts w:ascii="標楷體" w:eastAsia="標楷體" w:hAnsi="標楷體" w:hint="eastAsia"/>
          <w:sz w:val="32"/>
          <w:szCs w:val="32"/>
        </w:rPr>
        <w:t>萬元，俟國立故宮博物院向立法院教育及文化委員會提出書面報告後，始得動支。84-98</w:t>
      </w:r>
    </w:p>
    <w:p w:rsidR="00B6184F" w:rsidRPr="00B70493" w:rsidRDefault="00B6184F" w:rsidP="00F035E0">
      <w:pPr>
        <w:snapToGrid w:val="0"/>
        <w:spacing w:line="500" w:lineRule="exact"/>
        <w:ind w:leftChars="1250" w:left="4280" w:hangingChars="400" w:hanging="1280"/>
        <w:contextualSpacing/>
        <w:jc w:val="both"/>
        <w:rPr>
          <w:rFonts w:ascii="標楷體" w:eastAsia="標楷體" w:hAnsi="標楷體"/>
          <w:sz w:val="32"/>
          <w:szCs w:val="32"/>
        </w:rPr>
      </w:pPr>
      <w:r w:rsidRPr="00B70493">
        <w:rPr>
          <w:rFonts w:ascii="標楷體" w:eastAsia="標楷體" w:hAnsi="標楷體" w:hint="eastAsia"/>
          <w:sz w:val="32"/>
          <w:szCs w:val="32"/>
        </w:rPr>
        <w:t>提案人：黃國書  林奕華  鄭正鈐 張廖萬堅</w:t>
      </w:r>
    </w:p>
    <w:p w:rsidR="00B6184F" w:rsidRPr="00B70493" w:rsidRDefault="00B6184F" w:rsidP="00F035E0">
      <w:pPr>
        <w:snapToGrid w:val="0"/>
        <w:spacing w:line="500" w:lineRule="exact"/>
        <w:ind w:leftChars="1250" w:left="4280" w:hangingChars="400" w:hanging="1280"/>
        <w:contextualSpacing/>
        <w:jc w:val="both"/>
        <w:rPr>
          <w:rFonts w:ascii="標楷體" w:eastAsia="標楷體" w:hAnsi="標楷體"/>
          <w:sz w:val="32"/>
          <w:szCs w:val="32"/>
        </w:rPr>
      </w:pPr>
      <w:r w:rsidRPr="00B70493">
        <w:rPr>
          <w:rFonts w:ascii="標楷體" w:eastAsia="標楷體" w:hAnsi="標楷體" w:hint="eastAsia"/>
          <w:sz w:val="32"/>
          <w:szCs w:val="32"/>
        </w:rPr>
        <w:t xml:space="preserve">        吳思瑤  陳秀寳  萬美玲 高金素梅</w:t>
      </w:r>
    </w:p>
    <w:p w:rsidR="00B6184F" w:rsidRPr="00B70493" w:rsidRDefault="00B6184F" w:rsidP="00F035E0">
      <w:pPr>
        <w:snapToGrid w:val="0"/>
        <w:spacing w:line="500" w:lineRule="exact"/>
        <w:ind w:leftChars="1250" w:left="4280" w:hangingChars="400" w:hanging="1280"/>
        <w:contextualSpacing/>
        <w:jc w:val="both"/>
        <w:rPr>
          <w:rFonts w:ascii="標楷體" w:eastAsia="標楷體" w:hAnsi="標楷體"/>
          <w:sz w:val="32"/>
          <w:szCs w:val="32"/>
        </w:rPr>
      </w:pPr>
      <w:r w:rsidRPr="00B70493">
        <w:rPr>
          <w:rFonts w:ascii="標楷體" w:eastAsia="標楷體" w:hAnsi="標楷體" w:hint="eastAsia"/>
          <w:sz w:val="32"/>
          <w:szCs w:val="32"/>
        </w:rPr>
        <w:t xml:space="preserve">        吳怡玎  何欣純</w:t>
      </w:r>
    </w:p>
    <w:p w:rsidR="00B6184F" w:rsidRPr="00B70493" w:rsidRDefault="00B6184F" w:rsidP="00F035E0">
      <w:pPr>
        <w:snapToGrid w:val="0"/>
        <w:spacing w:line="500" w:lineRule="exact"/>
        <w:ind w:leftChars="1250" w:left="4280" w:hangingChars="400" w:hanging="1280"/>
        <w:contextualSpacing/>
        <w:jc w:val="both"/>
        <w:rPr>
          <w:rFonts w:ascii="標楷體" w:eastAsia="標楷體" w:hAnsi="標楷體"/>
          <w:sz w:val="32"/>
          <w:szCs w:val="32"/>
        </w:rPr>
      </w:pPr>
      <w:r w:rsidRPr="00B70493">
        <w:rPr>
          <w:rFonts w:ascii="標楷體" w:eastAsia="標楷體" w:hAnsi="標楷體" w:hint="eastAsia"/>
          <w:sz w:val="32"/>
          <w:szCs w:val="32"/>
        </w:rPr>
        <w:t>連署人：范  雲  林宜瑾  王婉諭</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五)有鑑於109年起嚴重特殊傳染性肺炎疫情肆虐，我國實施邊境管制等防疫措施，使觀光旅遊人次大幅減少，又國立故宮博物院於110年5至7月配合三級警戒閉館，使故宮參觀人次及門票收入大幅降低。考量現今我國疫情已處於穩定可控範圍，中央流行疫情指揮中心亦宣布於111年10月13日起，入境我國者得免居家隔離，以期吸引國外觀光客入境，活絡國內經濟市場。爰要求國立故宮博物院應積極辦理多元行銷宣傳與文化推廣等活動，有效提升門票收入。99</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提案人：林奕華</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連署人：鄭正鈐  吳怡玎</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(六)有鑑於112年度國立故宮博物院教育推廣經費較111年度大幅降低，且南部院區展覽設計費也較111年度減少，然實際</w:t>
      </w:r>
      <w:r w:rsidRPr="00B70493">
        <w:rPr>
          <w:rFonts w:ascii="標楷體" w:eastAsia="標楷體" w:hAnsi="標楷體" w:hint="eastAsia"/>
          <w:sz w:val="32"/>
          <w:szCs w:val="32"/>
        </w:rPr>
        <w:lastRenderedPageBreak/>
        <w:t>解謎遊戲規劃、敦親睦鄰遊南院接駁服務、展覽影片拍攝服務等與故宮展覽業務關聯較低之經費卻較111年度增加。爰要求國立故宮博物院檢討教育推廣經費之編制，不應本末倒置，忽略教育、展覽之主要業務。100</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提案人：林奕華</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連署人：鄭正鈐  吳怡玎</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(七)有鑑於112年度「新故宮計畫」</w:t>
      </w:r>
      <w:r>
        <w:rPr>
          <w:rFonts w:ascii="標楷體" w:eastAsia="標楷體" w:hAnsi="標楷體" w:hint="eastAsia"/>
          <w:sz w:val="32"/>
          <w:szCs w:val="32"/>
        </w:rPr>
        <w:t>預算編列</w:t>
      </w:r>
      <w:r w:rsidRPr="00B70493">
        <w:rPr>
          <w:rFonts w:ascii="標楷體" w:eastAsia="標楷體" w:hAnsi="標楷體" w:hint="eastAsia"/>
          <w:sz w:val="32"/>
          <w:szCs w:val="32"/>
        </w:rPr>
        <w:t>較111年度增加2億2,120萬3千元，然北部院區整（擴）建計畫、國寶文物修復展示館建設計畫之部分工程項目流標情形嚴重，使工程進度延宕。考量近期營造工程物價指數持續維持高點，恐影響計畫推動進度，爰要求國立故宮博物院應持續追蹤開標情形，決標後督促廠商依約完工，俾使</w:t>
      </w:r>
      <w:r>
        <w:rPr>
          <w:rFonts w:ascii="標楷體" w:eastAsia="標楷體" w:hAnsi="標楷體" w:hint="eastAsia"/>
          <w:sz w:val="32"/>
          <w:szCs w:val="32"/>
        </w:rPr>
        <w:t>「</w:t>
      </w:r>
      <w:r w:rsidRPr="00B70493">
        <w:rPr>
          <w:rFonts w:ascii="標楷體" w:eastAsia="標楷體" w:hAnsi="標楷體" w:hint="eastAsia"/>
          <w:sz w:val="32"/>
          <w:szCs w:val="32"/>
        </w:rPr>
        <w:t>新故宮計畫</w:t>
      </w:r>
      <w:r>
        <w:rPr>
          <w:rFonts w:ascii="標楷體" w:eastAsia="標楷體" w:hAnsi="標楷體" w:hint="eastAsia"/>
          <w:sz w:val="32"/>
          <w:szCs w:val="32"/>
        </w:rPr>
        <w:t>」</w:t>
      </w:r>
      <w:r w:rsidRPr="00B70493">
        <w:rPr>
          <w:rFonts w:ascii="標楷體" w:eastAsia="標楷體" w:hAnsi="標楷體" w:hint="eastAsia"/>
          <w:sz w:val="32"/>
          <w:szCs w:val="32"/>
        </w:rPr>
        <w:t>順利進行。101</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提案人：林奕華</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連署人：鄭正鈐  吳怡玎</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八)有鑑於111年國立故宮博物院南部院區配合國慶日施放煙火，然對外宣傳多偏重無人機表演、水舞等夜晚活動，並未針對故宮展覽本身進行宣傳。爰要求國立故宮博物院之行銷宣傳活動，應以展覽、教育層面為主，切勿本末倒置，過度行銷表演活動，忽略執行與</w:t>
      </w:r>
      <w:r w:rsidRPr="005D7680">
        <w:rPr>
          <w:rFonts w:ascii="標楷體" w:eastAsia="標楷體" w:hAnsi="標楷體" w:hint="eastAsia"/>
          <w:sz w:val="32"/>
          <w:szCs w:val="32"/>
        </w:rPr>
        <w:t>國立故宮博物院</w:t>
      </w:r>
      <w:r w:rsidRPr="00B70493">
        <w:rPr>
          <w:rFonts w:ascii="標楷體" w:eastAsia="標楷體" w:hAnsi="標楷體" w:hint="eastAsia"/>
          <w:sz w:val="32"/>
          <w:szCs w:val="32"/>
        </w:rPr>
        <w:t>主要展覽與教育文化之相關業務。102</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提案人：林奕華</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連署人：鄭正鈐  吳怡玎</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(九)國立故宮博物院館藏69</w:t>
      </w:r>
      <w:r>
        <w:rPr>
          <w:rFonts w:ascii="標楷體" w:eastAsia="標楷體" w:hAnsi="標楷體" w:hint="eastAsia"/>
          <w:sz w:val="32"/>
          <w:szCs w:val="32"/>
        </w:rPr>
        <w:t>萬多件，而且因為有南部院區的關係，館藏慢慢增加；這些國寶</w:t>
      </w:r>
      <w:r w:rsidRPr="00B70493">
        <w:rPr>
          <w:rFonts w:ascii="標楷體" w:eastAsia="標楷體" w:hAnsi="標楷體" w:hint="eastAsia"/>
          <w:sz w:val="32"/>
          <w:szCs w:val="32"/>
        </w:rPr>
        <w:t>需要妥善地被保存和維護，避免受時間摧殘，除此之外，國寶每次展出，無論是館內特展、館際借展或國外借展，每次展覽前後需要文物修復人員事前檢查、事後維護，文物修復人員可說是故宮國寶的守護</w:t>
      </w:r>
      <w:r w:rsidRPr="00B70493">
        <w:rPr>
          <w:rFonts w:ascii="標楷體" w:eastAsia="標楷體" w:hAnsi="標楷體" w:hint="eastAsia"/>
          <w:sz w:val="32"/>
          <w:szCs w:val="32"/>
        </w:rPr>
        <w:lastRenderedPageBreak/>
        <w:t>者。故宮是目前國內唯一正式設有文物保存部門的博物館，但和國外的修復人力比起來，故宮的維修人員嚴重不足：北京故宮館藏186萬件，雖然館藏是我們的2倍多，但他們正式編制的修復人員就有112人，是我們的7倍(我們是16人)；還有韓國的中央博物館，有22萬件館藏，但卻配有20位的文物修復人員。目前故宮修復人員因屆齡退休人數又減，爰此要求國立故宮博物院於1個月內向立法院教育及文化委員會提出修復人力之培育計畫</w:t>
      </w:r>
      <w:r>
        <w:rPr>
          <w:rFonts w:ascii="標楷體" w:eastAsia="標楷體" w:hAnsi="標楷體" w:hint="eastAsia"/>
          <w:sz w:val="32"/>
          <w:szCs w:val="32"/>
        </w:rPr>
        <w:t>書面報告</w:t>
      </w:r>
      <w:r w:rsidRPr="00B70493">
        <w:rPr>
          <w:rFonts w:ascii="標楷體" w:eastAsia="標楷體" w:hAnsi="標楷體" w:hint="eastAsia"/>
          <w:sz w:val="32"/>
          <w:szCs w:val="32"/>
        </w:rPr>
        <w:t>(例如在一定時期內依各個門類的文物修護需求情況來加強培養，或於一定期間內培養1位可獨立作業的修復人員等)。103</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提案人：張廖萬堅</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連署人：陳秀寳  范  雲</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十)國立故宮博物院為了使偏遠地區的學童，也能有到故宮的參觀學習的機會，從108年度起辦理「故宮遊藝思」計畫，以偏鄉的學校優先，一般學校為次，提供來回交通費、至臺北後遊覽車接駁及2天1夜住宿費用補助，經查故宮從108年1月至110年10月止已經補助了386所學校，其中偏鄉學校185校，然而根據教育部資料，全國偏鄉學校約有1,593所，意即僅有11.6%的偏鄉學校學童有機會可參訪故宮，相當可惜。爰此請國立故宮博物院應特別針對偏鄉學校增加活動推廣。104</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提案人：張廖萬堅</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連署人：陳秀寳  范  雲</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十一)為推廣文化藝術教育，提供民眾近距離體驗院藏文物之多元管道，於「新故宮計畫」下設有「故宮國寶出遊去」子計畫，由中央、地方政府或行政法人於展覽舉辦前6個月向國立故宮博物院提出合作意向書及合作計畫，經故宮嚴格評估，並符合「國立故宮博物院文物展覽保存維護要點」等嚴</w:t>
      </w:r>
      <w:r w:rsidRPr="00B70493">
        <w:rPr>
          <w:rFonts w:ascii="標楷體" w:eastAsia="標楷體" w:hAnsi="標楷體" w:hint="eastAsia"/>
          <w:sz w:val="32"/>
          <w:szCs w:val="32"/>
        </w:rPr>
        <w:lastRenderedPageBreak/>
        <w:t>謹規定後合作策展，提供全國民眾多重途徑參觀故宮文物。然而自107年度開辦以來，僅臺中世界花卉博覽會故宮花蝶館之參觀人次有超過50萬人次，其他合作策展(例如南部院區、彰化縣立美術館等)卻僅有20萬人次，比至故宮參觀人數還低，喪失該計畫執行的目的。</w:t>
      </w:r>
      <w:r w:rsidRPr="00153F20">
        <w:rPr>
          <w:rFonts w:ascii="標楷體" w:eastAsia="標楷體" w:hAnsi="標楷體" w:hint="eastAsia"/>
          <w:sz w:val="32"/>
          <w:szCs w:val="32"/>
        </w:rPr>
        <w:t>爰</w:t>
      </w:r>
      <w:r w:rsidRPr="00B70493">
        <w:rPr>
          <w:rFonts w:ascii="標楷體" w:eastAsia="標楷體" w:hAnsi="標楷體" w:hint="eastAsia"/>
          <w:sz w:val="32"/>
          <w:szCs w:val="32"/>
        </w:rPr>
        <w:t>請國立故宮博物院除應積極拓展合作申請對象外，更應協助行銷，有效提升參觀人次。105</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提案人：張廖萬堅</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連署人：陳秀寳  范  雲</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十二)根據110年度「故宮數位資源網路調查報告」，對於曾瀏覽過國立故宮博物院數位平台者，故宮北部院區與南部院區Instagram、故宮Podcast、故宮電子報、故宮教育頻道等5個平台知悉度未達三成、有6個數位平台使用率低於二成。當今已是數位時代，智慧型手機和電腦已是民眾日常生活的一部分，然而故宮數位平台知悉度低且使用率更低，有違博物館之教育意義，</w:t>
      </w:r>
      <w:r w:rsidRPr="00153F20">
        <w:rPr>
          <w:rFonts w:ascii="標楷體" w:eastAsia="標楷體" w:hAnsi="標楷體" w:hint="eastAsia"/>
          <w:sz w:val="32"/>
          <w:szCs w:val="32"/>
        </w:rPr>
        <w:t>爰</w:t>
      </w:r>
      <w:r w:rsidRPr="00B70493">
        <w:rPr>
          <w:rFonts w:ascii="標楷體" w:eastAsia="標楷體" w:hAnsi="標楷體" w:hint="eastAsia"/>
          <w:sz w:val="32"/>
          <w:szCs w:val="32"/>
        </w:rPr>
        <w:t>請國立故宮博物院應就此問題向立法院教育及文化委員會提出書面檢討報告據以改進。106</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提案人：張廖萬堅</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連署人：陳秀寳  范  雲</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(十三)近幾年受疫情影響，國立故宮博物院來訪遊客大減，從2019</w:t>
      </w:r>
      <w:r>
        <w:rPr>
          <w:rFonts w:ascii="標楷體" w:eastAsia="標楷體" w:hAnsi="標楷體" w:hint="eastAsia"/>
          <w:sz w:val="32"/>
          <w:szCs w:val="32"/>
        </w:rPr>
        <w:t>年</w:t>
      </w:r>
      <w:r w:rsidRPr="00B70493">
        <w:rPr>
          <w:rFonts w:ascii="標楷體" w:eastAsia="標楷體" w:hAnsi="標楷體" w:hint="eastAsia"/>
          <w:sz w:val="32"/>
          <w:szCs w:val="32"/>
        </w:rPr>
        <w:t>參觀383萬人次，</w:t>
      </w:r>
      <w:r w:rsidRPr="00B70493">
        <w:rPr>
          <w:rFonts w:ascii="標楷體" w:eastAsia="Yu Mincho" w:hAnsi="標楷體" w:hint="eastAsia"/>
          <w:sz w:val="32"/>
          <w:szCs w:val="32"/>
        </w:rPr>
        <w:t>2</w:t>
      </w:r>
      <w:r w:rsidRPr="00B70493">
        <w:rPr>
          <w:rFonts w:ascii="標楷體" w:eastAsia="Yu Mincho" w:hAnsi="標楷體"/>
          <w:sz w:val="32"/>
          <w:szCs w:val="32"/>
        </w:rPr>
        <w:t>021</w:t>
      </w:r>
      <w:r w:rsidRPr="00B70493">
        <w:rPr>
          <w:rFonts w:ascii="標楷體" w:eastAsia="標楷體" w:hAnsi="標楷體" w:hint="eastAsia"/>
          <w:sz w:val="32"/>
          <w:szCs w:val="32"/>
        </w:rPr>
        <w:t>年跌到僅剩41萬人次。根據統計，疫情前故宮的主要觀眾是外籍遊客占了八成、國內遊客占二成。另外外籍遊客中，中港澳即占四成，但國境解封第一波開放國家名單中，中港澳不在其中，且目前中國多方面打壓台灣情況下，故宮目標客群也不應放在中港澳旅客，應積極爭取來自世界各地的自由行旅客，思考如何調整、改變過去依賴團客及特定國籍參觀者的樣態，例如，將目標放在鄰近的日、韓、東南亞等亞洲國家，爰要求國立故宮博物</w:t>
      </w:r>
      <w:r w:rsidRPr="00B70493">
        <w:rPr>
          <w:rFonts w:ascii="標楷體" w:eastAsia="標楷體" w:hAnsi="標楷體" w:hint="eastAsia"/>
          <w:sz w:val="32"/>
          <w:szCs w:val="32"/>
        </w:rPr>
        <w:lastRenderedPageBreak/>
        <w:t>院向立法院教育及文化委員會提出如何就策展內容、串聯國內觀光產業、參與國際展會及國際行銷活動等方式吸引不同客群的國際旅客之書面報告。107</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提案人：何欣純</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連署人：黃國書  陳秀寳</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十四)近年來全球博物館界對於永續發展課題已由倡議階段進行至實踐階段，博物館基於服務社會與社會發展的存在目的，在推動永續發展方面具有獨特性與必要性，無法置身事外。根據國立故宮博物院110年「永續發展目標自願檢視報告」，故宮亦從「友善、開放、智慧、普世」四大施政目標出發，希望將永續具體落實在博物館的典藏、研究、展示、服務與管理等工作項目中。因應全球環境永續發展及我國「2050淨零轉型」的目標，再結合博物館本身生存發展的經營需要，請國立故宮博物院將永續的概念擴展到博物館營運的各項核心工作，組成綠色小組處理永續事宜並規劃內部管理措施，如訂定綠色採購策略、請合作店家或承銷商提供碳排放資訊、未來博物館商店內所販售的商品皆符合永續標準等。108</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提案人：吳思瑤</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連署人：黃國書  何欣純</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十五)112年度國立故宮博物院年度施政重點持續以「參觀者本位」、「使用者友善（user-friendly）」為核心理念。故宮於110年「永續發展目標自願檢視報告」中已開始推動「啟動觀眾服務數位轉型計畫」，其主要業務內容為啟動觀眾服務數位轉型計畫、擴增官網友善化服務</w:t>
      </w:r>
      <w:r>
        <w:rPr>
          <w:rFonts w:ascii="標楷體" w:eastAsia="標楷體" w:hAnsi="標楷體" w:hint="eastAsia"/>
          <w:sz w:val="32"/>
          <w:szCs w:val="32"/>
        </w:rPr>
        <w:t>內容、服務低度參與觀眾群並致力提升各類觀眾的文化近用權。經查</w:t>
      </w:r>
      <w:r w:rsidRPr="005D7680">
        <w:rPr>
          <w:rFonts w:ascii="標楷體" w:eastAsia="標楷體" w:hAnsi="標楷體" w:hint="eastAsia"/>
          <w:sz w:val="32"/>
          <w:szCs w:val="32"/>
        </w:rPr>
        <w:t>國立故宮博物院</w:t>
      </w:r>
      <w:r w:rsidRPr="00B70493">
        <w:rPr>
          <w:rFonts w:ascii="標楷體" w:eastAsia="標楷體" w:hAnsi="標楷體" w:hint="eastAsia"/>
          <w:sz w:val="32"/>
          <w:szCs w:val="32"/>
        </w:rPr>
        <w:t>針對身心障礙者所提供專業導覽的預約作業仍有精進改善空間，如相較於一般民眾，身心障礙者觀眾若欲預約</w:t>
      </w:r>
      <w:r w:rsidRPr="00B70493">
        <w:rPr>
          <w:rFonts w:ascii="標楷體" w:eastAsia="標楷體" w:hAnsi="標楷體" w:hint="eastAsia"/>
          <w:sz w:val="32"/>
          <w:szCs w:val="32"/>
        </w:rPr>
        <w:lastRenderedPageBreak/>
        <w:t>導覽須提前1至2週申請、且申請方式僅有提供線上填單預約方式，實屬對樂齡者及視覺障礙族群甚不友善。建議國立故宮博物院</w:t>
      </w:r>
      <w:r>
        <w:rPr>
          <w:rFonts w:ascii="標楷體" w:eastAsia="標楷體" w:hAnsi="標楷體" w:hint="eastAsia"/>
          <w:sz w:val="32"/>
          <w:szCs w:val="32"/>
        </w:rPr>
        <w:t>允宜提升友善化措施，降低預約門檻，全盤整檢討無障礙設施與環境，</w:t>
      </w:r>
      <w:r w:rsidRPr="00B70493">
        <w:rPr>
          <w:rFonts w:ascii="標楷體" w:eastAsia="標楷體" w:hAnsi="標楷體" w:hint="eastAsia"/>
          <w:sz w:val="32"/>
          <w:szCs w:val="32"/>
        </w:rPr>
        <w:t>優化博物館無障礙文化近用環境、落實文化平權，並於3個月內向立法院教育及文化委員會提出書面報告，說明策進規劃。109</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提案人：吳思瑤</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連署人：黃國書  何欣純</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十六)國立故宮博物院乃行政院中央二級機關，保存許多重要的文物珍寶，亦是我國於國際間最知名的博物館。作為肩負我國重要博物館工作的研究人員，充足自身知識、擴展國際視野是基本功。若研究人員能與國外研究人員在展覽策畫、藏品維護、詮釋館藏作品等親自交流、實地習作，想必能增加故宮研究人員之專業</w:t>
      </w:r>
      <w:r>
        <w:rPr>
          <w:rFonts w:ascii="標楷體" w:eastAsia="標楷體" w:hAnsi="標楷體" w:hint="eastAsia"/>
          <w:sz w:val="32"/>
          <w:szCs w:val="32"/>
        </w:rPr>
        <w:t>知</w:t>
      </w:r>
      <w:r w:rsidRPr="00B70493">
        <w:rPr>
          <w:rFonts w:ascii="標楷體" w:eastAsia="標楷體" w:hAnsi="標楷體" w:hint="eastAsia"/>
          <w:sz w:val="32"/>
          <w:szCs w:val="32"/>
        </w:rPr>
        <w:t>能，進一步提升故宮整體展覽品質及內容。然而故宮並沒有任何針對院內研究人員的長期出國參訪、研習、交流之計畫。范委員雲於111年5月26日曾於立法院教育及文化委員會針對上述事項口頭質詢，並獲得故宮於同年6月16日之書面回覆。然而故宮於書面報告中，僅列出「行政院選送公務人員出國專題研究實施計畫」、「科技部補助專題研究計畫作業要點」等其他部會現有方案，且故宮人員依據前述方案成功出國進行研究者也寥寥可數。至於故宮於書面報告中所列出之其他出國方案，則多屬短期交流方案。爰請國立故宮博物院針對院內研究人員，研議「長期出國研習交流」方案，以深化故宮研究人員之國際經驗與實務知能，並於2個月內向立法院教育及文化委員會提出書面報告。110</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提案人：范  雲</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連署人：吳思瑤  賴品妤</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lastRenderedPageBreak/>
        <w:t>(十七)國立故宮博物院自2019年底起發行之「愛臺灣博物館卡」，原先為3年期之行銷計畫，於2年度內分別售出1萬9</w:t>
      </w:r>
      <w:r w:rsidRPr="00B70493">
        <w:rPr>
          <w:rFonts w:ascii="標楷體" w:eastAsia="標楷體" w:hAnsi="標楷體"/>
          <w:sz w:val="32"/>
          <w:szCs w:val="32"/>
        </w:rPr>
        <w:t>,</w:t>
      </w:r>
      <w:r w:rsidRPr="00B70493">
        <w:rPr>
          <w:rFonts w:ascii="標楷體" w:eastAsia="標楷體" w:hAnsi="標楷體" w:hint="eastAsia"/>
          <w:sz w:val="32"/>
          <w:szCs w:val="32"/>
        </w:rPr>
        <w:t>043張及2萬9</w:t>
      </w:r>
      <w:r w:rsidRPr="00B70493">
        <w:rPr>
          <w:rFonts w:ascii="標楷體" w:eastAsia="標楷體" w:hAnsi="標楷體"/>
          <w:sz w:val="32"/>
          <w:szCs w:val="32"/>
        </w:rPr>
        <w:t>,</w:t>
      </w:r>
      <w:r w:rsidRPr="00B70493">
        <w:rPr>
          <w:rFonts w:ascii="標楷體" w:eastAsia="標楷體" w:hAnsi="標楷體" w:hint="eastAsia"/>
          <w:sz w:val="32"/>
          <w:szCs w:val="32"/>
        </w:rPr>
        <w:t>645張。然因疫情邊境管制無法推展國際卡業務，經評估預算效益後，故宮決議提早於110年底終止計畫。現考量疫情趨緩，國門開放，觀光復甦，為提高國內外遊客走進台灣之博物館或美術館意願，爰請國立故宮博物院檢討過去「愛臺灣博物館卡」之計畫成效，並參考他國作法（如日本國立博物館年票優惠、荷蘭博物館卡），研議與文化部合作重新發行博物館卡之計畫，並於3個月內向立法院教育及文化委員會提出書面報告。111</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提案人：范  雲</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w:t>
      </w:r>
      <w:r>
        <w:rPr>
          <w:rFonts w:ascii="標楷體" w:eastAsia="標楷體" w:hAnsi="標楷體" w:hint="eastAsia"/>
          <w:sz w:val="32"/>
          <w:szCs w:val="32"/>
        </w:rPr>
        <w:t>林宜瑾  張廖萬堅</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(十八)國立故宮博物院正館於54年興建完成，結構耐震已達50 年使用年限，建築物老舊、文物典藏庫房耐震不足，對文物典藏保存產生嚴重威脅。根據臺北市「歷史建築國立故宮博物院修復及再利用計畫」中提到，三希堂地板敲出八角大洞，成為透空挑高直通4樓的八角中庭，在57年的舊建築中，怎堪做如此大的拆除工程?是否會破壞結構？影響文物及參觀者的安全?故宮是否請結構技師公會做過嚴謹評估?有何結論?爰要求國立故宮博物院於2個月內向立法院教育及文化委員會提供結構安全評估書面報告，以維護故宮正館建築結構安全。112</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提案人：鄭正鈐</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連署人：林奕華  萬美玲</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十九)「大故宮計畫」、「新故宮計畫」時期，國立故宮博物院皆提到正館展覽空間不足，臺北市「歷史建築國立故宮博物院修復及再利用計畫」相關資料第45頁提到正館主要問題彙整6點裡，就有2點提到展覽空間不足，占問題彙整1/3。但</w:t>
      </w:r>
      <w:r w:rsidRPr="00B70493">
        <w:rPr>
          <w:rFonts w:ascii="標楷體" w:eastAsia="標楷體" w:hAnsi="標楷體" w:hint="eastAsia"/>
          <w:sz w:val="32"/>
          <w:szCs w:val="32"/>
        </w:rPr>
        <w:lastRenderedPageBreak/>
        <w:t>此次正館修復，卻未見故宮針對展覽空間有專門規劃，未增加展覽空間，卻要砸掉3層樓地板面積做挑高八角中庭和增建咖啡廳，空間利用顯不合理。爰要求國立故宮博物院於1個月內針對正館修復的展覽空間面積是否增加，向立法院教育及文化委員會提出書面報告。113</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提案人：鄭正鈐</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連署人：林奕華  萬美玲</w:t>
      </w:r>
    </w:p>
    <w:p w:rsidR="00B6184F"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(二十)近年故宮文物藝術發展基金賸餘繳庫預算數分別為108年度8,500萬元、109年度9,250萬元、110年度1億2,000萬元、111年度預算1億2,000萬元。112年度解繳公庫預算編列8,500萬元，較111年度減少3,500萬元，減幅29.17%。</w:t>
      </w:r>
    </w:p>
    <w:p w:rsidR="00B6184F" w:rsidRPr="00B70493" w:rsidRDefault="00B6184F" w:rsidP="00B6184F">
      <w:pPr>
        <w:suppressAutoHyphens/>
        <w:spacing w:line="520" w:lineRule="exact"/>
        <w:ind w:left="720"/>
        <w:jc w:val="right"/>
        <w:rPr>
          <w:rFonts w:ascii="標楷體" w:eastAsia="標楷體" w:hAnsi="標楷體" w:cs="Calibri"/>
          <w:position w:val="-1"/>
          <w:sz w:val="20"/>
        </w:rPr>
      </w:pPr>
      <w:r w:rsidRPr="00B70493">
        <w:rPr>
          <w:rFonts w:ascii="標楷體" w:eastAsia="標楷體" w:hAnsi="標楷體" w:cs="Calibri" w:hint="eastAsia"/>
          <w:position w:val="-1"/>
          <w:sz w:val="20"/>
        </w:rPr>
        <w:t>單位:新臺幣千元;%</w:t>
      </w:r>
    </w:p>
    <w:tbl>
      <w:tblPr>
        <w:tblW w:w="0" w:type="auto"/>
        <w:tblInd w:w="9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6"/>
        <w:gridCol w:w="1116"/>
        <w:gridCol w:w="1116"/>
        <w:gridCol w:w="1116"/>
        <w:gridCol w:w="1116"/>
        <w:gridCol w:w="1116"/>
      </w:tblGrid>
      <w:tr w:rsidR="00B6184F" w:rsidRPr="00065BCE" w:rsidTr="00F035E0">
        <w:tc>
          <w:tcPr>
            <w:tcW w:w="0" w:type="auto"/>
            <w:shd w:val="clear" w:color="auto" w:fill="auto"/>
          </w:tcPr>
          <w:p w:rsidR="00B6184F" w:rsidRPr="00065BCE" w:rsidRDefault="00B6184F" w:rsidP="000F693B">
            <w:pPr>
              <w:suppressAutoHyphens/>
              <w:spacing w:line="520" w:lineRule="exact"/>
              <w:rPr>
                <w:rFonts w:ascii="標楷體" w:eastAsia="標楷體" w:hAnsi="標楷體" w:cs="Calibri"/>
                <w:position w:val="-1"/>
                <w:szCs w:val="24"/>
              </w:rPr>
            </w:pPr>
            <w:bookmarkStart w:id="170" w:name="_Toc123716301"/>
            <w:r w:rsidRPr="00065BCE">
              <w:rPr>
                <w:rFonts w:ascii="標楷體" w:eastAsia="標楷體" w:hAnsi="標楷體" w:cs="Calibri" w:hint="eastAsia"/>
                <w:position w:val="-1"/>
                <w:szCs w:val="24"/>
              </w:rPr>
              <w:t>項目</w:t>
            </w:r>
            <w:bookmarkEnd w:id="170"/>
          </w:p>
        </w:tc>
        <w:tc>
          <w:tcPr>
            <w:tcW w:w="0" w:type="auto"/>
            <w:shd w:val="clear" w:color="auto" w:fill="auto"/>
          </w:tcPr>
          <w:p w:rsidR="00B6184F" w:rsidRPr="00065BCE" w:rsidRDefault="00B6184F" w:rsidP="00F035E0">
            <w:pPr>
              <w:suppressAutoHyphens/>
              <w:spacing w:line="520" w:lineRule="exact"/>
              <w:rPr>
                <w:rFonts w:ascii="標楷體" w:eastAsia="標楷體" w:hAnsi="標楷體" w:cs="Calibri"/>
                <w:position w:val="-1"/>
                <w:szCs w:val="24"/>
              </w:rPr>
            </w:pPr>
            <w:bookmarkStart w:id="171" w:name="_Toc123716302"/>
            <w:r w:rsidRPr="00065BCE">
              <w:rPr>
                <w:rFonts w:ascii="標楷體" w:eastAsia="標楷體" w:hAnsi="標楷體" w:cs="Calibri" w:hint="eastAsia"/>
                <w:position w:val="-1"/>
                <w:szCs w:val="24"/>
              </w:rPr>
              <w:t>108年度</w:t>
            </w:r>
            <w:bookmarkEnd w:id="171"/>
          </w:p>
        </w:tc>
        <w:tc>
          <w:tcPr>
            <w:tcW w:w="0" w:type="auto"/>
            <w:shd w:val="clear" w:color="auto" w:fill="auto"/>
          </w:tcPr>
          <w:p w:rsidR="00B6184F" w:rsidRPr="00065BCE" w:rsidRDefault="00B6184F" w:rsidP="00F035E0">
            <w:pPr>
              <w:suppressAutoHyphens/>
              <w:spacing w:line="520" w:lineRule="exact"/>
              <w:rPr>
                <w:rFonts w:ascii="標楷體" w:eastAsia="標楷體" w:hAnsi="標楷體" w:cs="Calibri"/>
                <w:position w:val="-1"/>
                <w:szCs w:val="24"/>
              </w:rPr>
            </w:pPr>
            <w:bookmarkStart w:id="172" w:name="_Toc123716303"/>
            <w:r w:rsidRPr="00065BCE">
              <w:rPr>
                <w:rFonts w:ascii="標楷體" w:eastAsia="標楷體" w:hAnsi="標楷體" w:cs="Calibri" w:hint="eastAsia"/>
                <w:position w:val="-1"/>
                <w:szCs w:val="24"/>
              </w:rPr>
              <w:t>109年度</w:t>
            </w:r>
            <w:bookmarkEnd w:id="172"/>
          </w:p>
        </w:tc>
        <w:tc>
          <w:tcPr>
            <w:tcW w:w="0" w:type="auto"/>
            <w:shd w:val="clear" w:color="auto" w:fill="auto"/>
          </w:tcPr>
          <w:p w:rsidR="00B6184F" w:rsidRPr="00065BCE" w:rsidRDefault="00B6184F" w:rsidP="00F035E0">
            <w:pPr>
              <w:suppressAutoHyphens/>
              <w:spacing w:line="520" w:lineRule="exact"/>
              <w:rPr>
                <w:rFonts w:ascii="標楷體" w:eastAsia="標楷體" w:hAnsi="標楷體" w:cs="Calibri"/>
                <w:position w:val="-1"/>
                <w:szCs w:val="24"/>
              </w:rPr>
            </w:pPr>
            <w:bookmarkStart w:id="173" w:name="_Toc123716304"/>
            <w:r w:rsidRPr="00065BCE">
              <w:rPr>
                <w:rFonts w:ascii="標楷體" w:eastAsia="標楷體" w:hAnsi="標楷體" w:cs="Calibri" w:hint="eastAsia"/>
                <w:position w:val="-1"/>
                <w:szCs w:val="24"/>
              </w:rPr>
              <w:t>110年度</w:t>
            </w:r>
            <w:bookmarkEnd w:id="173"/>
          </w:p>
        </w:tc>
        <w:tc>
          <w:tcPr>
            <w:tcW w:w="0" w:type="auto"/>
            <w:shd w:val="clear" w:color="auto" w:fill="auto"/>
          </w:tcPr>
          <w:p w:rsidR="00B6184F" w:rsidRPr="00065BCE" w:rsidRDefault="00B6184F" w:rsidP="00F035E0">
            <w:pPr>
              <w:suppressAutoHyphens/>
              <w:spacing w:line="520" w:lineRule="exact"/>
              <w:rPr>
                <w:rFonts w:ascii="標楷體" w:eastAsia="標楷體" w:hAnsi="標楷體" w:cs="Calibri"/>
                <w:position w:val="-1"/>
                <w:szCs w:val="24"/>
              </w:rPr>
            </w:pPr>
            <w:bookmarkStart w:id="174" w:name="_Toc123716305"/>
            <w:r w:rsidRPr="00065BCE">
              <w:rPr>
                <w:rFonts w:ascii="標楷體" w:eastAsia="標楷體" w:hAnsi="標楷體" w:cs="Calibri" w:hint="eastAsia"/>
                <w:position w:val="-1"/>
                <w:szCs w:val="24"/>
              </w:rPr>
              <w:t>111年度</w:t>
            </w:r>
            <w:bookmarkEnd w:id="174"/>
          </w:p>
        </w:tc>
        <w:tc>
          <w:tcPr>
            <w:tcW w:w="0" w:type="auto"/>
            <w:shd w:val="clear" w:color="auto" w:fill="auto"/>
          </w:tcPr>
          <w:p w:rsidR="00B6184F" w:rsidRPr="00065BCE" w:rsidRDefault="00B6184F" w:rsidP="00F035E0">
            <w:pPr>
              <w:suppressAutoHyphens/>
              <w:spacing w:line="520" w:lineRule="exact"/>
              <w:rPr>
                <w:rFonts w:ascii="標楷體" w:eastAsia="標楷體" w:hAnsi="標楷體" w:cs="Calibri"/>
                <w:position w:val="-1"/>
                <w:szCs w:val="24"/>
              </w:rPr>
            </w:pPr>
            <w:bookmarkStart w:id="175" w:name="_Toc123716306"/>
            <w:r w:rsidRPr="00065BCE">
              <w:rPr>
                <w:rFonts w:ascii="標楷體" w:eastAsia="標楷體" w:hAnsi="標楷體" w:cs="Calibri" w:hint="eastAsia"/>
                <w:position w:val="-1"/>
                <w:szCs w:val="24"/>
              </w:rPr>
              <w:t>112年度</w:t>
            </w:r>
            <w:bookmarkEnd w:id="175"/>
          </w:p>
        </w:tc>
      </w:tr>
      <w:tr w:rsidR="00B6184F" w:rsidRPr="00065BCE" w:rsidTr="00F035E0">
        <w:tc>
          <w:tcPr>
            <w:tcW w:w="0" w:type="auto"/>
            <w:shd w:val="clear" w:color="auto" w:fill="auto"/>
          </w:tcPr>
          <w:p w:rsidR="00B6184F" w:rsidRPr="00065BCE" w:rsidRDefault="00B6184F" w:rsidP="00F035E0">
            <w:pPr>
              <w:suppressAutoHyphens/>
              <w:spacing w:line="520" w:lineRule="exact"/>
              <w:rPr>
                <w:rFonts w:ascii="標楷體" w:eastAsia="標楷體" w:hAnsi="標楷體" w:cs="Calibri"/>
                <w:position w:val="-1"/>
                <w:szCs w:val="24"/>
              </w:rPr>
            </w:pPr>
            <w:bookmarkStart w:id="176" w:name="_Toc123716307"/>
            <w:r w:rsidRPr="00065BCE">
              <w:rPr>
                <w:rFonts w:ascii="標楷體" w:eastAsia="標楷體" w:hAnsi="標楷體" w:cs="Calibri" w:hint="eastAsia"/>
                <w:position w:val="-1"/>
                <w:szCs w:val="24"/>
              </w:rPr>
              <w:t>預算數</w:t>
            </w:r>
            <w:bookmarkEnd w:id="176"/>
          </w:p>
        </w:tc>
        <w:tc>
          <w:tcPr>
            <w:tcW w:w="0" w:type="auto"/>
            <w:shd w:val="clear" w:color="auto" w:fill="auto"/>
          </w:tcPr>
          <w:p w:rsidR="00B6184F" w:rsidRPr="00065BCE" w:rsidRDefault="00B6184F" w:rsidP="00F035E0">
            <w:pPr>
              <w:suppressAutoHyphens/>
              <w:spacing w:line="520" w:lineRule="exact"/>
              <w:jc w:val="right"/>
              <w:rPr>
                <w:rFonts w:ascii="標楷體" w:eastAsia="標楷體" w:hAnsi="標楷體" w:cs="Calibri"/>
                <w:position w:val="-1"/>
                <w:szCs w:val="24"/>
              </w:rPr>
            </w:pPr>
            <w:bookmarkStart w:id="177" w:name="_Toc123716308"/>
            <w:r w:rsidRPr="00065BCE">
              <w:rPr>
                <w:rFonts w:ascii="標楷體" w:eastAsia="標楷體" w:hAnsi="標楷體" w:cs="Calibri"/>
                <w:position w:val="-1"/>
                <w:szCs w:val="24"/>
              </w:rPr>
              <w:t>85,000</w:t>
            </w:r>
            <w:bookmarkEnd w:id="177"/>
          </w:p>
        </w:tc>
        <w:tc>
          <w:tcPr>
            <w:tcW w:w="0" w:type="auto"/>
            <w:shd w:val="clear" w:color="auto" w:fill="auto"/>
          </w:tcPr>
          <w:p w:rsidR="00B6184F" w:rsidRPr="00065BCE" w:rsidRDefault="00B6184F" w:rsidP="00F035E0">
            <w:pPr>
              <w:suppressAutoHyphens/>
              <w:spacing w:line="520" w:lineRule="exact"/>
              <w:jc w:val="right"/>
              <w:rPr>
                <w:rFonts w:ascii="標楷體" w:eastAsia="標楷體" w:hAnsi="標楷體" w:cs="Calibri"/>
                <w:position w:val="-1"/>
                <w:szCs w:val="24"/>
              </w:rPr>
            </w:pPr>
            <w:bookmarkStart w:id="178" w:name="_Toc123716309"/>
            <w:r w:rsidRPr="00065BCE">
              <w:rPr>
                <w:rFonts w:ascii="標楷體" w:eastAsia="標楷體" w:hAnsi="標楷體" w:cs="Calibri"/>
                <w:position w:val="-1"/>
                <w:szCs w:val="24"/>
              </w:rPr>
              <w:t>92,500</w:t>
            </w:r>
            <w:bookmarkEnd w:id="178"/>
          </w:p>
        </w:tc>
        <w:tc>
          <w:tcPr>
            <w:tcW w:w="0" w:type="auto"/>
            <w:shd w:val="clear" w:color="auto" w:fill="auto"/>
          </w:tcPr>
          <w:p w:rsidR="00B6184F" w:rsidRPr="00065BCE" w:rsidRDefault="00B6184F" w:rsidP="00F035E0">
            <w:pPr>
              <w:suppressAutoHyphens/>
              <w:spacing w:line="520" w:lineRule="exact"/>
              <w:jc w:val="right"/>
              <w:rPr>
                <w:rFonts w:ascii="標楷體" w:eastAsia="標楷體" w:hAnsi="標楷體" w:cs="Calibri"/>
                <w:position w:val="-1"/>
                <w:szCs w:val="24"/>
              </w:rPr>
            </w:pPr>
            <w:bookmarkStart w:id="179" w:name="_Toc123716310"/>
            <w:r w:rsidRPr="00065BCE">
              <w:rPr>
                <w:rFonts w:ascii="標楷體" w:eastAsia="標楷體" w:hAnsi="標楷體" w:cs="Calibri" w:hint="eastAsia"/>
                <w:position w:val="-1"/>
                <w:szCs w:val="24"/>
              </w:rPr>
              <w:t>120,000</w:t>
            </w:r>
            <w:bookmarkEnd w:id="179"/>
          </w:p>
        </w:tc>
        <w:tc>
          <w:tcPr>
            <w:tcW w:w="0" w:type="auto"/>
            <w:shd w:val="clear" w:color="auto" w:fill="auto"/>
          </w:tcPr>
          <w:p w:rsidR="00B6184F" w:rsidRPr="00065BCE" w:rsidRDefault="00B6184F" w:rsidP="00F035E0">
            <w:pPr>
              <w:suppressAutoHyphens/>
              <w:spacing w:line="520" w:lineRule="exact"/>
              <w:jc w:val="right"/>
              <w:rPr>
                <w:rFonts w:ascii="標楷體" w:eastAsia="標楷體" w:hAnsi="標楷體" w:cs="Calibri"/>
                <w:position w:val="-1"/>
                <w:szCs w:val="24"/>
              </w:rPr>
            </w:pPr>
            <w:bookmarkStart w:id="180" w:name="_Toc123716311"/>
            <w:r w:rsidRPr="00065BCE">
              <w:rPr>
                <w:rFonts w:ascii="標楷體" w:eastAsia="標楷體" w:hAnsi="標楷體" w:cs="Calibri"/>
                <w:position w:val="-1"/>
                <w:szCs w:val="24"/>
              </w:rPr>
              <w:t>120,000</w:t>
            </w:r>
            <w:bookmarkEnd w:id="180"/>
          </w:p>
        </w:tc>
        <w:tc>
          <w:tcPr>
            <w:tcW w:w="0" w:type="auto"/>
            <w:shd w:val="clear" w:color="auto" w:fill="auto"/>
          </w:tcPr>
          <w:p w:rsidR="00B6184F" w:rsidRPr="00065BCE" w:rsidRDefault="00B6184F" w:rsidP="00F035E0">
            <w:pPr>
              <w:suppressAutoHyphens/>
              <w:spacing w:line="520" w:lineRule="exact"/>
              <w:jc w:val="right"/>
              <w:rPr>
                <w:rFonts w:ascii="標楷體" w:eastAsia="標楷體" w:hAnsi="標楷體" w:cs="Calibri"/>
                <w:position w:val="-1"/>
                <w:szCs w:val="24"/>
              </w:rPr>
            </w:pPr>
            <w:bookmarkStart w:id="181" w:name="_Toc123716312"/>
            <w:r w:rsidRPr="00065BCE">
              <w:rPr>
                <w:rFonts w:ascii="標楷體" w:eastAsia="標楷體" w:hAnsi="標楷體" w:cs="Calibri"/>
                <w:position w:val="-1"/>
                <w:szCs w:val="24"/>
              </w:rPr>
              <w:t>85,000</w:t>
            </w:r>
            <w:bookmarkEnd w:id="181"/>
          </w:p>
        </w:tc>
      </w:tr>
      <w:tr w:rsidR="00B6184F" w:rsidRPr="00065BCE" w:rsidTr="00F035E0">
        <w:tc>
          <w:tcPr>
            <w:tcW w:w="0" w:type="auto"/>
            <w:shd w:val="clear" w:color="auto" w:fill="auto"/>
          </w:tcPr>
          <w:p w:rsidR="00B6184F" w:rsidRPr="00065BCE" w:rsidRDefault="00B6184F" w:rsidP="00F035E0">
            <w:pPr>
              <w:suppressAutoHyphens/>
              <w:spacing w:line="520" w:lineRule="exact"/>
              <w:rPr>
                <w:rFonts w:ascii="標楷體" w:eastAsia="標楷體" w:hAnsi="標楷體" w:cs="Calibri"/>
                <w:position w:val="-1"/>
                <w:szCs w:val="24"/>
              </w:rPr>
            </w:pPr>
            <w:bookmarkStart w:id="182" w:name="_Toc123716313"/>
            <w:r w:rsidRPr="00065BCE">
              <w:rPr>
                <w:rFonts w:ascii="標楷體" w:eastAsia="標楷體" w:hAnsi="標楷體" w:cs="Calibri" w:hint="eastAsia"/>
                <w:position w:val="-1"/>
                <w:szCs w:val="24"/>
              </w:rPr>
              <w:t>較上一年度預算數增減率</w:t>
            </w:r>
            <w:bookmarkEnd w:id="182"/>
          </w:p>
        </w:tc>
        <w:tc>
          <w:tcPr>
            <w:tcW w:w="0" w:type="auto"/>
            <w:shd w:val="clear" w:color="auto" w:fill="auto"/>
          </w:tcPr>
          <w:p w:rsidR="00B6184F" w:rsidRPr="00065BCE" w:rsidRDefault="00B6184F" w:rsidP="00F035E0">
            <w:pPr>
              <w:suppressAutoHyphens/>
              <w:spacing w:line="520" w:lineRule="exact"/>
              <w:jc w:val="right"/>
              <w:rPr>
                <w:rFonts w:ascii="標楷體" w:eastAsia="標楷體" w:hAnsi="標楷體" w:cs="Calibri"/>
                <w:position w:val="-1"/>
                <w:szCs w:val="24"/>
              </w:rPr>
            </w:pPr>
            <w:bookmarkStart w:id="183" w:name="_Toc123716314"/>
            <w:r w:rsidRPr="00065BCE">
              <w:rPr>
                <w:rFonts w:ascii="標楷體" w:eastAsia="標楷體" w:hAnsi="標楷體" w:cs="Calibri" w:hint="eastAsia"/>
                <w:position w:val="-1"/>
                <w:szCs w:val="24"/>
              </w:rPr>
              <w:t>-</w:t>
            </w:r>
            <w:bookmarkEnd w:id="183"/>
          </w:p>
        </w:tc>
        <w:tc>
          <w:tcPr>
            <w:tcW w:w="0" w:type="auto"/>
            <w:shd w:val="clear" w:color="auto" w:fill="auto"/>
          </w:tcPr>
          <w:p w:rsidR="00B6184F" w:rsidRPr="00065BCE" w:rsidRDefault="00B6184F" w:rsidP="00F035E0">
            <w:pPr>
              <w:suppressAutoHyphens/>
              <w:spacing w:line="520" w:lineRule="exact"/>
              <w:jc w:val="right"/>
              <w:rPr>
                <w:rFonts w:ascii="標楷體" w:eastAsia="標楷體" w:hAnsi="標楷體" w:cs="Calibri"/>
                <w:position w:val="-1"/>
                <w:szCs w:val="24"/>
              </w:rPr>
            </w:pPr>
            <w:bookmarkStart w:id="184" w:name="_Toc123716315"/>
            <w:r w:rsidRPr="00065BCE">
              <w:rPr>
                <w:rFonts w:ascii="標楷體" w:eastAsia="標楷體" w:hAnsi="標楷體" w:cs="Calibri"/>
                <w:position w:val="-1"/>
                <w:szCs w:val="24"/>
              </w:rPr>
              <w:t>8.82</w:t>
            </w:r>
            <w:bookmarkEnd w:id="184"/>
          </w:p>
        </w:tc>
        <w:tc>
          <w:tcPr>
            <w:tcW w:w="0" w:type="auto"/>
            <w:shd w:val="clear" w:color="auto" w:fill="auto"/>
          </w:tcPr>
          <w:p w:rsidR="00B6184F" w:rsidRPr="00065BCE" w:rsidRDefault="00B6184F" w:rsidP="00F035E0">
            <w:pPr>
              <w:suppressAutoHyphens/>
              <w:spacing w:line="520" w:lineRule="exact"/>
              <w:jc w:val="right"/>
              <w:rPr>
                <w:rFonts w:ascii="標楷體" w:eastAsia="標楷體" w:hAnsi="標楷體" w:cs="Calibri"/>
                <w:position w:val="-1"/>
                <w:szCs w:val="24"/>
              </w:rPr>
            </w:pPr>
            <w:bookmarkStart w:id="185" w:name="_Toc123716316"/>
            <w:r w:rsidRPr="00065BCE">
              <w:rPr>
                <w:rFonts w:ascii="標楷體" w:eastAsia="標楷體" w:hAnsi="標楷體" w:cs="Calibri"/>
                <w:position w:val="-1"/>
                <w:szCs w:val="24"/>
              </w:rPr>
              <w:t>29.73</w:t>
            </w:r>
            <w:bookmarkEnd w:id="185"/>
          </w:p>
        </w:tc>
        <w:tc>
          <w:tcPr>
            <w:tcW w:w="0" w:type="auto"/>
            <w:shd w:val="clear" w:color="auto" w:fill="auto"/>
          </w:tcPr>
          <w:p w:rsidR="00B6184F" w:rsidRPr="00065BCE" w:rsidRDefault="00B6184F" w:rsidP="00F035E0">
            <w:pPr>
              <w:suppressAutoHyphens/>
              <w:spacing w:line="520" w:lineRule="exact"/>
              <w:jc w:val="right"/>
              <w:rPr>
                <w:rFonts w:ascii="標楷體" w:eastAsia="標楷體" w:hAnsi="標楷體" w:cs="Calibri"/>
                <w:position w:val="-1"/>
                <w:szCs w:val="24"/>
              </w:rPr>
            </w:pPr>
            <w:bookmarkStart w:id="186" w:name="_Toc123716317"/>
            <w:r w:rsidRPr="00065BCE">
              <w:rPr>
                <w:rFonts w:ascii="標楷體" w:eastAsia="標楷體" w:hAnsi="標楷體" w:cs="Calibri" w:hint="eastAsia"/>
                <w:position w:val="-1"/>
                <w:szCs w:val="24"/>
              </w:rPr>
              <w:t>0</w:t>
            </w:r>
            <w:bookmarkEnd w:id="186"/>
          </w:p>
        </w:tc>
        <w:tc>
          <w:tcPr>
            <w:tcW w:w="0" w:type="auto"/>
            <w:shd w:val="clear" w:color="auto" w:fill="auto"/>
          </w:tcPr>
          <w:p w:rsidR="00B6184F" w:rsidRPr="00065BCE" w:rsidRDefault="00B6184F" w:rsidP="00F035E0">
            <w:pPr>
              <w:suppressAutoHyphens/>
              <w:spacing w:line="520" w:lineRule="exact"/>
              <w:jc w:val="right"/>
              <w:rPr>
                <w:rFonts w:ascii="標楷體" w:eastAsia="標楷體" w:hAnsi="標楷體" w:cs="Calibri"/>
                <w:position w:val="-1"/>
                <w:szCs w:val="24"/>
              </w:rPr>
            </w:pPr>
            <w:bookmarkStart w:id="187" w:name="_Toc123716318"/>
            <w:r w:rsidRPr="00065BCE">
              <w:rPr>
                <w:rFonts w:ascii="標楷體" w:eastAsia="標楷體" w:hAnsi="標楷體" w:cs="Calibri"/>
                <w:position w:val="-1"/>
                <w:szCs w:val="24"/>
              </w:rPr>
              <w:t>-29.17</w:t>
            </w:r>
            <w:bookmarkEnd w:id="187"/>
          </w:p>
        </w:tc>
      </w:tr>
    </w:tbl>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 xml:space="preserve">        國境已於111年10月13日逐步解封，外國觀光客來臺後，國立故宮博物院入館及消費之人數理應提升，故宮文物基金收入亦應有所提升，112年度賸餘繳庫預算數不應少於尚</w:t>
      </w:r>
      <w:r>
        <w:rPr>
          <w:rFonts w:ascii="標楷體" w:eastAsia="標楷體" w:hAnsi="標楷體" w:hint="eastAsia"/>
          <w:sz w:val="32"/>
          <w:szCs w:val="32"/>
        </w:rPr>
        <w:t>未解封前之數額，故宮宜研議強化基金業務績效相關方案。綜上，</w:t>
      </w:r>
      <w:r w:rsidRPr="00B70493">
        <w:rPr>
          <w:rFonts w:ascii="標楷體" w:eastAsia="標楷體" w:hAnsi="標楷體" w:hint="eastAsia"/>
          <w:sz w:val="32"/>
          <w:szCs w:val="32"/>
        </w:rPr>
        <w:t>請國立故宮博物院於3個月內向立法院教育及文化委員會提出書面報告，以期故宮於國境疫情管制措施鬆綁後，強化故宮商品行銷及文物基金業務績效，以增裕國庫收入。16</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提案人：黃國書</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連署人：林宜瑾  陳秀寳  張廖萬堅</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(二十一)112年度國立故宮博物院「業務費」預算編列5億6,118萬8千元，其中「保險費」預算編列合計僅有65萬3千元，惟查111年度「保險費」預算編列共計1,872萬5千元，意</w:t>
      </w:r>
      <w:r w:rsidRPr="00B70493">
        <w:rPr>
          <w:rFonts w:ascii="標楷體" w:eastAsia="標楷體" w:hAnsi="標楷體" w:hint="eastAsia"/>
          <w:sz w:val="32"/>
          <w:szCs w:val="32"/>
        </w:rPr>
        <w:lastRenderedPageBreak/>
        <w:t>即1</w:t>
      </w:r>
      <w:r w:rsidRPr="00B70493">
        <w:rPr>
          <w:rFonts w:ascii="標楷體" w:eastAsia="標楷體" w:hAnsi="標楷體"/>
          <w:sz w:val="32"/>
          <w:szCs w:val="32"/>
        </w:rPr>
        <w:t>12</w:t>
      </w:r>
      <w:r w:rsidRPr="00B70493">
        <w:rPr>
          <w:rFonts w:ascii="標楷體" w:eastAsia="標楷體" w:hAnsi="標楷體" w:hint="eastAsia"/>
          <w:sz w:val="32"/>
          <w:szCs w:val="32"/>
        </w:rPr>
        <w:t>年度保險費大降九成六。深究112</w:t>
      </w:r>
      <w:r>
        <w:rPr>
          <w:rFonts w:ascii="標楷體" w:eastAsia="標楷體" w:hAnsi="標楷體" w:hint="eastAsia"/>
          <w:sz w:val="32"/>
          <w:szCs w:val="32"/>
        </w:rPr>
        <w:t>年度保險費遽降原因有：111</w:t>
      </w:r>
      <w:r w:rsidRPr="00B70493">
        <w:rPr>
          <w:rFonts w:ascii="標楷體" w:eastAsia="標楷體" w:hAnsi="標楷體" w:hint="eastAsia"/>
          <w:sz w:val="32"/>
          <w:szCs w:val="32"/>
        </w:rPr>
        <w:t>年度「遊客公共意外險」經費16萬2千元，但112年度僅剩6萬元；另外1</w:t>
      </w:r>
      <w:r w:rsidRPr="00B70493">
        <w:rPr>
          <w:rFonts w:ascii="標楷體" w:eastAsia="標楷體" w:hAnsi="標楷體"/>
          <w:sz w:val="32"/>
          <w:szCs w:val="32"/>
        </w:rPr>
        <w:t>11</w:t>
      </w:r>
      <w:r w:rsidRPr="00B70493">
        <w:rPr>
          <w:rFonts w:ascii="標楷體" w:eastAsia="標楷體" w:hAnsi="標楷體" w:hint="eastAsia"/>
          <w:sz w:val="32"/>
          <w:szCs w:val="32"/>
        </w:rPr>
        <w:t>年度針對文物包裝、國內外運輸之保險費1,760萬元，1</w:t>
      </w:r>
      <w:r w:rsidRPr="00B70493">
        <w:rPr>
          <w:rFonts w:ascii="標楷體" w:eastAsia="標楷體" w:hAnsi="標楷體"/>
          <w:sz w:val="32"/>
          <w:szCs w:val="32"/>
        </w:rPr>
        <w:t>12</w:t>
      </w:r>
      <w:r w:rsidRPr="00B70493">
        <w:rPr>
          <w:rFonts w:ascii="標楷體" w:eastAsia="標楷體" w:hAnsi="標楷體" w:hint="eastAsia"/>
          <w:sz w:val="32"/>
          <w:szCs w:val="32"/>
        </w:rPr>
        <w:t>年度刪除。公共意外險是博物館對於來訪旅客最重要的保障，而文物之包裝和國內外運輸的保險乃是維護館藏文物所必須</w:t>
      </w:r>
      <w:r>
        <w:rPr>
          <w:rFonts w:ascii="標楷體" w:eastAsia="標楷體" w:hAnsi="標楷體" w:hint="eastAsia"/>
          <w:sz w:val="32"/>
          <w:szCs w:val="32"/>
        </w:rPr>
        <w:t>，</w:t>
      </w:r>
      <w:r w:rsidRPr="00B70493">
        <w:rPr>
          <w:rFonts w:ascii="標楷體" w:eastAsia="標楷體" w:hAnsi="標楷體" w:hint="eastAsia"/>
          <w:sz w:val="32"/>
          <w:szCs w:val="32"/>
        </w:rPr>
        <w:t>1</w:t>
      </w:r>
      <w:r w:rsidRPr="00B70493">
        <w:rPr>
          <w:rFonts w:ascii="標楷體" w:eastAsia="標楷體" w:hAnsi="標楷體"/>
          <w:sz w:val="32"/>
          <w:szCs w:val="32"/>
        </w:rPr>
        <w:t>12</w:t>
      </w:r>
      <w:r w:rsidRPr="00B70493">
        <w:rPr>
          <w:rFonts w:ascii="標楷體" w:eastAsia="標楷體" w:hAnsi="標楷體" w:hint="eastAsia"/>
          <w:sz w:val="32"/>
          <w:szCs w:val="32"/>
        </w:rPr>
        <w:t>年度卻將之刪除，有違博物館職</w:t>
      </w:r>
      <w:r>
        <w:rPr>
          <w:rFonts w:ascii="標楷體" w:eastAsia="標楷體" w:hAnsi="標楷體" w:hint="eastAsia"/>
          <w:sz w:val="32"/>
          <w:szCs w:val="32"/>
        </w:rPr>
        <w:t>責。爰此，要求國立故宮博物院就文物運輸之保險制度及經費編列方式</w:t>
      </w:r>
      <w:r w:rsidRPr="00B70493">
        <w:rPr>
          <w:rFonts w:ascii="標楷體" w:eastAsia="標楷體" w:hAnsi="標楷體" w:hint="eastAsia"/>
          <w:sz w:val="32"/>
          <w:szCs w:val="32"/>
        </w:rPr>
        <w:t>於3個月內向立法院教育及文化委員會提出書面報告。</w:t>
      </w:r>
      <w:r w:rsidRPr="00B70493">
        <w:rPr>
          <w:rFonts w:ascii="標楷體" w:eastAsia="標楷體" w:hAnsi="標楷體"/>
          <w:sz w:val="32"/>
          <w:szCs w:val="32"/>
        </w:rPr>
        <w:t>17</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提案人：張廖萬堅</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連署人：何欣純  林宜瑾  陳秀寳</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二十二)國立故宮博物院屬於我國重要文化場館之一，基於文化平權之原則，故宮博物院院區應提供對於各族群之友善場館空間，然北部院區對於親子族群友善仍有加強空間。據內政部營建署所提供之資料，國立故宮博物院北部院區並未依「公共場所親子廁所盥洗室設置辦法」設置親子廁所，不符合法規要求，亦不利於親子族群參觀館區。爰此，國立故宮博物院應於</w:t>
      </w:r>
      <w:r>
        <w:rPr>
          <w:rFonts w:ascii="標楷體" w:eastAsia="標楷體" w:hAnsi="標楷體" w:hint="eastAsia"/>
          <w:sz w:val="32"/>
          <w:szCs w:val="32"/>
        </w:rPr>
        <w:t>「</w:t>
      </w:r>
      <w:r w:rsidRPr="00B70493">
        <w:rPr>
          <w:rFonts w:ascii="標楷體" w:eastAsia="標楷體" w:hAnsi="標楷體" w:hint="eastAsia"/>
          <w:sz w:val="32"/>
          <w:szCs w:val="32"/>
        </w:rPr>
        <w:t>新故宮計畫</w:t>
      </w:r>
      <w:r>
        <w:rPr>
          <w:rFonts w:ascii="標楷體" w:eastAsia="標楷體" w:hAnsi="標楷體" w:hint="eastAsia"/>
          <w:sz w:val="32"/>
          <w:szCs w:val="32"/>
        </w:rPr>
        <w:t>」</w:t>
      </w:r>
      <w:r w:rsidRPr="00B70493">
        <w:rPr>
          <w:rFonts w:ascii="標楷體" w:eastAsia="標楷體" w:hAnsi="標楷體" w:hint="eastAsia"/>
          <w:sz w:val="32"/>
          <w:szCs w:val="32"/>
        </w:rPr>
        <w:t>，完備所有展覽場館之親子廁所設置，以符合「公共場所親子廁所盥洗室設置辦法」之法規要求，友善親子族群。</w:t>
      </w:r>
      <w:r w:rsidRPr="00B70493">
        <w:rPr>
          <w:rFonts w:ascii="標楷體" w:eastAsia="標楷體" w:hAnsi="標楷體"/>
          <w:sz w:val="32"/>
          <w:szCs w:val="32"/>
        </w:rPr>
        <w:t>18</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提案人：王婉諭</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連署人：黃國書  陳秀寳  高金素梅</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(二十三)111年度國立故宮博物院</w:t>
      </w:r>
      <w:r>
        <w:rPr>
          <w:rFonts w:ascii="標楷體" w:eastAsia="標楷體" w:hAnsi="標楷體" w:hint="eastAsia"/>
          <w:sz w:val="32"/>
          <w:szCs w:val="32"/>
        </w:rPr>
        <w:t>「一般行政」項下「</w:t>
      </w:r>
      <w:r w:rsidRPr="00B70493">
        <w:rPr>
          <w:rFonts w:ascii="標楷體" w:eastAsia="標楷體" w:hAnsi="標楷體" w:hint="eastAsia"/>
          <w:sz w:val="32"/>
          <w:szCs w:val="32"/>
        </w:rPr>
        <w:t>人員維持費</w:t>
      </w:r>
      <w:r>
        <w:rPr>
          <w:rFonts w:ascii="標楷體" w:eastAsia="標楷體" w:hAnsi="標楷體" w:hint="eastAsia"/>
          <w:sz w:val="32"/>
          <w:szCs w:val="32"/>
        </w:rPr>
        <w:t>」</w:t>
      </w:r>
      <w:r w:rsidRPr="00B70493">
        <w:rPr>
          <w:rFonts w:ascii="標楷體" w:eastAsia="標楷體" w:hAnsi="標楷體" w:hint="eastAsia"/>
          <w:sz w:val="32"/>
          <w:szCs w:val="32"/>
        </w:rPr>
        <w:t>預算編列5億6,397萬3千元，包括職員351人、駐衛警66人、工友5人、技工44人、駕駛2人、聘用人員5人、約僱人員21人，共494人。112年度</w:t>
      </w:r>
      <w:r>
        <w:rPr>
          <w:rFonts w:ascii="標楷體" w:eastAsia="標楷體" w:hAnsi="標楷體" w:hint="eastAsia"/>
          <w:sz w:val="32"/>
          <w:szCs w:val="32"/>
        </w:rPr>
        <w:t>「</w:t>
      </w:r>
      <w:r w:rsidRPr="00B70493">
        <w:rPr>
          <w:rFonts w:ascii="標楷體" w:eastAsia="標楷體" w:hAnsi="標楷體" w:hint="eastAsia"/>
          <w:sz w:val="32"/>
          <w:szCs w:val="32"/>
        </w:rPr>
        <w:t>人員維持費</w:t>
      </w:r>
      <w:r>
        <w:rPr>
          <w:rFonts w:ascii="標楷體" w:eastAsia="標楷體" w:hAnsi="標楷體" w:hint="eastAsia"/>
          <w:sz w:val="32"/>
          <w:szCs w:val="32"/>
        </w:rPr>
        <w:t>」</w:t>
      </w:r>
      <w:r w:rsidRPr="00B70493">
        <w:rPr>
          <w:rFonts w:ascii="標楷體" w:eastAsia="標楷體" w:hAnsi="標楷體" w:hint="eastAsia"/>
          <w:sz w:val="32"/>
          <w:szCs w:val="32"/>
        </w:rPr>
        <w:t>預算編列5億8,682萬元，本計畫包括職員351人、駐衛警66人、工友4人、技工42人、駕駛2人、聘用人員5人、約僱人員</w:t>
      </w:r>
      <w:r w:rsidRPr="00B70493">
        <w:rPr>
          <w:rFonts w:ascii="標楷體" w:eastAsia="標楷體" w:hAnsi="標楷體" w:hint="eastAsia"/>
          <w:sz w:val="32"/>
          <w:szCs w:val="32"/>
        </w:rPr>
        <w:lastRenderedPageBreak/>
        <w:t>21人，共491人。112較111年度減少3人之人事支出，</w:t>
      </w:r>
      <w:r>
        <w:rPr>
          <w:rFonts w:ascii="標楷體" w:eastAsia="標楷體" w:hAnsi="標楷體" w:hint="eastAsia"/>
          <w:sz w:val="32"/>
          <w:szCs w:val="32"/>
        </w:rPr>
        <w:t>預算</w:t>
      </w:r>
      <w:r w:rsidRPr="00B70493">
        <w:rPr>
          <w:rFonts w:ascii="標楷體" w:eastAsia="標楷體" w:hAnsi="標楷體" w:hint="eastAsia"/>
          <w:sz w:val="32"/>
          <w:szCs w:val="32"/>
        </w:rPr>
        <w:t>卻增加2,284萬7千元，爰要求國立故宮博物院應撙節國家開支，並考量人員待遇合理調整之彈性。</w:t>
      </w:r>
      <w:r w:rsidRPr="00B70493">
        <w:rPr>
          <w:rFonts w:ascii="標楷體" w:eastAsia="標楷體" w:hAnsi="標楷體"/>
          <w:sz w:val="32"/>
          <w:szCs w:val="32"/>
        </w:rPr>
        <w:t>19</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提案人：賴品妤</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連署人：黃國書  林宜瑾  陳秀寳</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二十四)國立故宮博物院是國內少數博物館可和國外專業博物館一樣由館內研究員策展，而博物館的研究員(策展人)是賦予展覽的靈魂人物，展覽對公眾展示前皆需投入無限心力及數年的時間來籌備及實踐。惟查根據「國立故宮博物院組織法」以及最新</w:t>
      </w:r>
      <w:r>
        <w:rPr>
          <w:rFonts w:ascii="標楷體" w:eastAsia="標楷體" w:hAnsi="標楷體" w:hint="eastAsia"/>
          <w:sz w:val="32"/>
          <w:szCs w:val="32"/>
        </w:rPr>
        <w:t>「</w:t>
      </w:r>
      <w:r w:rsidRPr="00B70493">
        <w:rPr>
          <w:rFonts w:ascii="標楷體" w:eastAsia="標楷體" w:hAnsi="標楷體" w:hint="eastAsia"/>
          <w:sz w:val="32"/>
          <w:szCs w:val="32"/>
        </w:rPr>
        <w:t>國立故宮博物院編制表</w:t>
      </w:r>
      <w:r>
        <w:rPr>
          <w:rFonts w:ascii="標楷體" w:eastAsia="標楷體" w:hAnsi="標楷體" w:hint="eastAsia"/>
          <w:sz w:val="32"/>
          <w:szCs w:val="32"/>
        </w:rPr>
        <w:t>」</w:t>
      </w:r>
      <w:r w:rsidRPr="00B70493">
        <w:rPr>
          <w:rFonts w:ascii="標楷體" w:eastAsia="標楷體" w:hAnsi="標楷體" w:hint="eastAsia"/>
          <w:sz w:val="32"/>
          <w:szCs w:val="32"/>
        </w:rPr>
        <w:t>，關於研究員、副研究員及助理研究員額編制應有122人，但實際上僅有108</w:t>
      </w:r>
      <w:r>
        <w:rPr>
          <w:rFonts w:ascii="標楷體" w:eastAsia="標楷體" w:hAnsi="標楷體" w:hint="eastAsia"/>
          <w:sz w:val="32"/>
          <w:szCs w:val="32"/>
        </w:rPr>
        <w:t>人，應及早達到員額編制，提升展覽品質。惟查</w:t>
      </w:r>
      <w:r w:rsidRPr="00B70493">
        <w:rPr>
          <w:rFonts w:ascii="標楷體" w:eastAsia="標楷體" w:hAnsi="標楷體" w:hint="eastAsia"/>
          <w:sz w:val="32"/>
          <w:szCs w:val="32"/>
        </w:rPr>
        <w:t>國立故宮博物院於109、110年度連續2年因尚未補實員額導致預算賸餘繳庫(109年度賸餘6</w:t>
      </w:r>
      <w:r w:rsidRPr="00B70493">
        <w:rPr>
          <w:rFonts w:ascii="標楷體" w:eastAsia="標楷體" w:hAnsi="標楷體"/>
          <w:sz w:val="32"/>
          <w:szCs w:val="32"/>
        </w:rPr>
        <w:t>,</w:t>
      </w:r>
      <w:r w:rsidRPr="00B70493">
        <w:rPr>
          <w:rFonts w:ascii="標楷體" w:eastAsia="標楷體" w:hAnsi="標楷體" w:hint="eastAsia"/>
          <w:sz w:val="32"/>
          <w:szCs w:val="32"/>
        </w:rPr>
        <w:t>500多萬元、110年度賸餘5</w:t>
      </w:r>
      <w:r w:rsidRPr="00B70493">
        <w:rPr>
          <w:rFonts w:ascii="標楷體" w:eastAsia="標楷體" w:hAnsi="標楷體"/>
          <w:sz w:val="32"/>
          <w:szCs w:val="32"/>
        </w:rPr>
        <w:t>,</w:t>
      </w:r>
      <w:r w:rsidRPr="00B70493">
        <w:rPr>
          <w:rFonts w:ascii="標楷體" w:eastAsia="標楷體" w:hAnsi="標楷體" w:hint="eastAsia"/>
          <w:sz w:val="32"/>
          <w:szCs w:val="32"/>
        </w:rPr>
        <w:t>100多萬元)，然而在112年度編列人事費預算5億8,682萬元較1</w:t>
      </w:r>
      <w:r w:rsidRPr="00B70493">
        <w:rPr>
          <w:rFonts w:ascii="標楷體" w:eastAsia="標楷體" w:hAnsi="標楷體"/>
          <w:sz w:val="32"/>
          <w:szCs w:val="32"/>
        </w:rPr>
        <w:t>11</w:t>
      </w:r>
      <w:r w:rsidRPr="00B70493">
        <w:rPr>
          <w:rFonts w:ascii="標楷體" w:eastAsia="標楷體" w:hAnsi="標楷體" w:hint="eastAsia"/>
          <w:sz w:val="32"/>
          <w:szCs w:val="32"/>
        </w:rPr>
        <w:t>年度增列2,284萬7千元用以調整待遇，卻未思考如何補足所需人力，並不利博物館事務推動</w:t>
      </w:r>
      <w:r>
        <w:rPr>
          <w:rFonts w:ascii="標楷體" w:eastAsia="標楷體" w:hAnsi="標楷體" w:hint="eastAsia"/>
          <w:sz w:val="32"/>
          <w:szCs w:val="32"/>
        </w:rPr>
        <w:t>。</w:t>
      </w:r>
      <w:r w:rsidRPr="00B70493">
        <w:rPr>
          <w:rFonts w:ascii="標楷體" w:eastAsia="標楷體" w:hAnsi="標楷體" w:hint="eastAsia"/>
          <w:sz w:val="32"/>
          <w:szCs w:val="32"/>
        </w:rPr>
        <w:t>爰此，要求國立故宮博物院積極遴補研究人力。</w:t>
      </w:r>
      <w:r w:rsidRPr="00B70493">
        <w:rPr>
          <w:rFonts w:ascii="標楷體" w:eastAsia="標楷體" w:hAnsi="標楷體"/>
          <w:sz w:val="32"/>
          <w:szCs w:val="32"/>
        </w:rPr>
        <w:t>20</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提案人：張廖萬堅</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連署人：林宜瑾  何欣純</w:t>
      </w:r>
      <w:r w:rsidRPr="00B70493">
        <w:rPr>
          <w:rFonts w:ascii="標楷體" w:eastAsia="標楷體" w:hAnsi="標楷體"/>
          <w:sz w:val="32"/>
          <w:szCs w:val="32"/>
        </w:rPr>
        <w:t xml:space="preserve">  </w:t>
      </w:r>
      <w:r w:rsidRPr="00B70493">
        <w:rPr>
          <w:rFonts w:ascii="標楷體" w:eastAsia="標楷體" w:hAnsi="標楷體" w:hint="eastAsia"/>
          <w:sz w:val="32"/>
          <w:szCs w:val="32"/>
        </w:rPr>
        <w:t>陳秀寳</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(二十五)1</w:t>
      </w:r>
      <w:r w:rsidRPr="00B70493">
        <w:rPr>
          <w:rFonts w:ascii="標楷體" w:eastAsia="標楷體" w:hAnsi="標楷體"/>
          <w:sz w:val="32"/>
          <w:szCs w:val="32"/>
        </w:rPr>
        <w:t>12</w:t>
      </w:r>
      <w:r w:rsidRPr="00B70493">
        <w:rPr>
          <w:rFonts w:ascii="標楷體" w:eastAsia="標楷體" w:hAnsi="標楷體" w:hint="eastAsia"/>
          <w:sz w:val="32"/>
          <w:szCs w:val="32"/>
        </w:rPr>
        <w:t>年度</w:t>
      </w:r>
      <w:r>
        <w:rPr>
          <w:rFonts w:ascii="標楷體" w:eastAsia="標楷體" w:hAnsi="標楷體" w:hint="eastAsia"/>
          <w:sz w:val="32"/>
          <w:szCs w:val="32"/>
        </w:rPr>
        <w:t>國立故宮博物院「一般行政」</w:t>
      </w:r>
      <w:r w:rsidRPr="00B70493">
        <w:rPr>
          <w:rFonts w:ascii="標楷體" w:eastAsia="標楷體" w:hAnsi="標楷體" w:hint="eastAsia"/>
          <w:sz w:val="32"/>
          <w:szCs w:val="32"/>
        </w:rPr>
        <w:t>整體預算編列增加3,666萬1千元，其中增列最多者在辦理南部院區橋樑裂損修復、主館建築外牆鋼構維護工程等費用，是否南院安全檢修或環境安全又出問題?111年3月南院才發生前所未有的大跳電事件，如今又編列外牆維修、橋樑斷裂等預算，令人質疑其展場是否安全無虞?爰請國立故宮博物院於3個月內向立法院教育及文化委員會提出南部院區整體公共安全維護與主體檢修檢討書面報告。</w:t>
      </w:r>
      <w:r w:rsidRPr="00B70493">
        <w:rPr>
          <w:rFonts w:ascii="標楷體" w:eastAsia="標楷體" w:hAnsi="標楷體"/>
          <w:sz w:val="32"/>
          <w:szCs w:val="32"/>
        </w:rPr>
        <w:t>21</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lastRenderedPageBreak/>
        <w:t>提案人：林奕華</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連署人：吳怡玎</w:t>
      </w:r>
      <w:r w:rsidRPr="00B70493">
        <w:rPr>
          <w:rFonts w:ascii="標楷體" w:eastAsia="標楷體" w:hAnsi="標楷體"/>
          <w:sz w:val="32"/>
          <w:szCs w:val="32"/>
        </w:rPr>
        <w:t xml:space="preserve">  </w:t>
      </w:r>
      <w:r w:rsidRPr="00B70493">
        <w:rPr>
          <w:rFonts w:ascii="標楷體" w:eastAsia="標楷體" w:hAnsi="標楷體" w:hint="eastAsia"/>
          <w:sz w:val="32"/>
          <w:szCs w:val="32"/>
        </w:rPr>
        <w:t>陳秀寳  高金素梅</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二十六)國立故宮博物院南部院區於111年3月6日因館內第6供電迴路跳脫，造成部分區域停電，停電2小時後故宮南院始宣布閉館，5小時後始確認故障原因，10小時後始修復完成，停電時間自當日9時38分至19時30分，長達約10小時。雖故宮具備緊急電源，然過長的停電時間仍易引發院區內文物保存或安全之疑慮，此非世界級博物館應當發生之現象，故宮應檢討各項危機應變流程，以減少意外發生時應變或處理時間，維護民眾參觀品質與確保館藏文物安全。爰請國立故宮博物院於3個月內就精進危機應變措施向立法院教育及文化委員會提出書面報告。</w:t>
      </w:r>
      <w:r w:rsidRPr="00B70493">
        <w:rPr>
          <w:rFonts w:ascii="標楷體" w:eastAsia="標楷體" w:hAnsi="標楷體"/>
          <w:sz w:val="32"/>
          <w:szCs w:val="32"/>
        </w:rPr>
        <w:t>22</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提案人：黃國書</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連署人：林宜瑾</w:t>
      </w:r>
      <w:r w:rsidRPr="00B70493">
        <w:rPr>
          <w:rFonts w:ascii="標楷體" w:eastAsia="標楷體" w:hAnsi="標楷體"/>
          <w:sz w:val="32"/>
          <w:szCs w:val="32"/>
        </w:rPr>
        <w:t xml:space="preserve">  </w:t>
      </w:r>
      <w:r w:rsidRPr="00B70493">
        <w:rPr>
          <w:rFonts w:ascii="標楷體" w:eastAsia="標楷體" w:hAnsi="標楷體" w:hint="eastAsia"/>
          <w:sz w:val="32"/>
          <w:szCs w:val="32"/>
        </w:rPr>
        <w:t>陳秀寳  賴品妤</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(二十七)2022年3月6日，國立故宮博物院南部院區因館內第6供電迴路跳脫，釀部分區域停電，致閉館歷時長達10小時。　　雖據故宮表示，該次停電未對文物造成影響，然故宮為我國重要文物典藏機構，亦是世界級博物館，電力等基礎設施實不容許出現差錯。該次停電事故，不但使國人心驚，亦有損一流博物館的專業形象。為鞭策故宮改善，爰請國立故宮博物院於3個月內針對設備、維修備援機制進行改善，並向立法院教育及文化委員會提出書面報告。</w:t>
      </w:r>
      <w:r w:rsidRPr="00B70493">
        <w:rPr>
          <w:rFonts w:ascii="標楷體" w:eastAsia="標楷體" w:hAnsi="標楷體"/>
          <w:sz w:val="32"/>
          <w:szCs w:val="32"/>
        </w:rPr>
        <w:t>23</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提案人：林宜瑾</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連署人：何欣純</w:t>
      </w:r>
      <w:r w:rsidRPr="00B70493">
        <w:rPr>
          <w:rFonts w:ascii="標楷體" w:eastAsia="標楷體" w:hAnsi="標楷體"/>
          <w:sz w:val="32"/>
          <w:szCs w:val="32"/>
        </w:rPr>
        <w:t xml:space="preserve">  </w:t>
      </w:r>
      <w:r w:rsidRPr="00B70493">
        <w:rPr>
          <w:rFonts w:ascii="標楷體" w:eastAsia="標楷體" w:hAnsi="標楷體" w:hint="eastAsia"/>
          <w:sz w:val="32"/>
          <w:szCs w:val="32"/>
        </w:rPr>
        <w:t>陳秀寳  張廖萬堅</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二十八)有鑑於國立故宮博物院南部院區於111年3月6日發生停電情事長達約10小時。經查因電力匯流排發生絕緣破壞，供電線迴路跳脫，導致南院部分區域(行政區、一樓走廊、二樓走廊)停電。所幸停電區域未擴及致南院全館、亦未對</w:t>
      </w:r>
      <w:r w:rsidRPr="00B70493">
        <w:rPr>
          <w:rFonts w:ascii="標楷體" w:eastAsia="標楷體" w:hAnsi="標楷體" w:hint="eastAsia"/>
          <w:sz w:val="32"/>
          <w:szCs w:val="32"/>
        </w:rPr>
        <w:lastRenderedPageBreak/>
        <w:t>故宮文物儲放造成影響。惟整體維修時間過長，停電2小時後宣布閉館、5小時後始確認故障原因、共歷經10小時後方修復完成，足顯示機電設施維護不足，其危機應變流程及電力備品機制皆有檢討精進空間。為防範此情形再次發生，衍生參觀品質與公共安全之虞，更可能危及文物保全作業，應提升故宮基礎設施安全防護量能，爰請國立故宮博物院於3個月內向立法院教育及文化委員會提出書面報告。</w:t>
      </w:r>
      <w:r w:rsidRPr="00B70493">
        <w:rPr>
          <w:rFonts w:ascii="標楷體" w:eastAsia="標楷體" w:hAnsi="標楷體"/>
          <w:sz w:val="32"/>
          <w:szCs w:val="32"/>
        </w:rPr>
        <w:t>26</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提案人：吳思瑤</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連署人：陳秀寳  何欣純  張廖萬堅</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(二十九)112年度國立故宮博物院「文物研究與展覽」項下「器物研究與展覽」及「書畫文獻研究與展覽」預算編列共計2,601萬9千元，「南部院區文物研究與展覽」預算編列867萬5千元，北部院區</w:t>
      </w:r>
      <w:r>
        <w:rPr>
          <w:rFonts w:ascii="標楷體" w:eastAsia="標楷體" w:hAnsi="標楷體" w:hint="eastAsia"/>
          <w:sz w:val="32"/>
          <w:szCs w:val="32"/>
        </w:rPr>
        <w:t>多於</w:t>
      </w:r>
      <w:r w:rsidRPr="00B70493">
        <w:rPr>
          <w:rFonts w:ascii="標楷體" w:eastAsia="標楷體" w:hAnsi="標楷體" w:hint="eastAsia"/>
          <w:sz w:val="32"/>
          <w:szCs w:val="32"/>
        </w:rPr>
        <w:t>南部院區1,734萬4千元。然而北部院區實際參觀購票人次110年12萬4千人次、111年迄8月底止11萬4千人次;南部院區實際參觀購票人次110年13萬4千人次、111年度迄8月底止14萬6千人次，南部院區實際參觀購票人次已超越北部院區。北部院區編列較高之策展相關經費，卻無法帶來較多之實際參觀購票人次，應當檢討策展內容或展覽行銷策略。綜</w:t>
      </w:r>
      <w:r>
        <w:rPr>
          <w:rFonts w:ascii="標楷體" w:eastAsia="標楷體" w:hAnsi="標楷體" w:hint="eastAsia"/>
          <w:sz w:val="32"/>
          <w:szCs w:val="32"/>
        </w:rPr>
        <w:t>上，</w:t>
      </w:r>
      <w:r w:rsidRPr="00B70493">
        <w:rPr>
          <w:rFonts w:ascii="標楷體" w:eastAsia="標楷體" w:hAnsi="標楷體" w:hint="eastAsia"/>
          <w:sz w:val="32"/>
          <w:szCs w:val="32"/>
        </w:rPr>
        <w:t>請國立故宮博物院就精進展覽內容、行銷及宣傳策略於3個月內向立法院教育及文化委員會提出書面報告。</w:t>
      </w:r>
      <w:r w:rsidRPr="00B70493">
        <w:rPr>
          <w:rFonts w:ascii="標楷體" w:eastAsia="標楷體" w:hAnsi="標楷體"/>
          <w:sz w:val="32"/>
          <w:szCs w:val="32"/>
        </w:rPr>
        <w:t>28</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提案人：黃國書</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連署人：何欣純</w:t>
      </w:r>
      <w:r w:rsidRPr="00B70493">
        <w:rPr>
          <w:rFonts w:ascii="標楷體" w:eastAsia="標楷體" w:hAnsi="標楷體"/>
          <w:sz w:val="32"/>
          <w:szCs w:val="32"/>
        </w:rPr>
        <w:t xml:space="preserve">  </w:t>
      </w:r>
      <w:r w:rsidRPr="00B70493">
        <w:rPr>
          <w:rFonts w:ascii="標楷體" w:eastAsia="標楷體" w:hAnsi="標楷體" w:hint="eastAsia"/>
          <w:sz w:val="32"/>
          <w:szCs w:val="32"/>
        </w:rPr>
        <w:t>陳秀寳  張廖萬堅</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(三十)國立故宮博物院為辦理北部院區、南部院區之專題特展、常設展、例行展及國際借展等工作，於</w:t>
      </w:r>
      <w:r w:rsidRPr="00B70493">
        <w:rPr>
          <w:rFonts w:ascii="標楷體" w:eastAsia="標楷體" w:hAnsi="標楷體"/>
          <w:sz w:val="32"/>
          <w:szCs w:val="32"/>
        </w:rPr>
        <w:t>112</w:t>
      </w:r>
      <w:r w:rsidRPr="00B70493">
        <w:rPr>
          <w:rFonts w:ascii="標楷體" w:eastAsia="標楷體" w:hAnsi="標楷體" w:hint="eastAsia"/>
          <w:sz w:val="32"/>
          <w:szCs w:val="32"/>
        </w:rPr>
        <w:t>年度國立故宮博物院「文物研究與展覽」預算編列</w:t>
      </w:r>
      <w:r w:rsidRPr="00B70493">
        <w:rPr>
          <w:rFonts w:ascii="標楷體" w:eastAsia="標楷體" w:hAnsi="標楷體"/>
          <w:sz w:val="32"/>
          <w:szCs w:val="32"/>
        </w:rPr>
        <w:t>3,469</w:t>
      </w:r>
      <w:r w:rsidRPr="00B70493">
        <w:rPr>
          <w:rFonts w:ascii="標楷體" w:eastAsia="標楷體" w:hAnsi="標楷體" w:hint="eastAsia"/>
          <w:sz w:val="32"/>
          <w:szCs w:val="32"/>
        </w:rPr>
        <w:t>萬</w:t>
      </w:r>
      <w:r w:rsidRPr="00B70493">
        <w:rPr>
          <w:rFonts w:ascii="標楷體" w:eastAsia="標楷體" w:hAnsi="標楷體"/>
          <w:sz w:val="32"/>
          <w:szCs w:val="32"/>
        </w:rPr>
        <w:t>4</w:t>
      </w:r>
      <w:r w:rsidRPr="00B70493">
        <w:rPr>
          <w:rFonts w:ascii="標楷體" w:eastAsia="標楷體" w:hAnsi="標楷體" w:hint="eastAsia"/>
          <w:sz w:val="32"/>
          <w:szCs w:val="32"/>
        </w:rPr>
        <w:t>千元，惟查該策展預算不僅較1</w:t>
      </w:r>
      <w:r w:rsidRPr="00B70493">
        <w:rPr>
          <w:rFonts w:ascii="標楷體" w:eastAsia="標楷體" w:hAnsi="標楷體"/>
          <w:sz w:val="32"/>
          <w:szCs w:val="32"/>
        </w:rPr>
        <w:t>11</w:t>
      </w:r>
      <w:r w:rsidRPr="00B70493">
        <w:rPr>
          <w:rFonts w:ascii="標楷體" w:eastAsia="標楷體" w:hAnsi="標楷體" w:hint="eastAsia"/>
          <w:sz w:val="32"/>
          <w:szCs w:val="32"/>
        </w:rPr>
        <w:t>年度</w:t>
      </w:r>
      <w:r>
        <w:rPr>
          <w:rFonts w:ascii="標楷體" w:eastAsia="標楷體" w:hAnsi="標楷體" w:hint="eastAsia"/>
          <w:sz w:val="32"/>
          <w:szCs w:val="32"/>
        </w:rPr>
        <w:t>減</w:t>
      </w:r>
      <w:r w:rsidRPr="00B70493">
        <w:rPr>
          <w:rFonts w:ascii="標楷體" w:eastAsia="標楷體" w:hAnsi="標楷體" w:hint="eastAsia"/>
          <w:sz w:val="32"/>
          <w:szCs w:val="32"/>
        </w:rPr>
        <w:t>少</w:t>
      </w:r>
      <w:r w:rsidRPr="00B70493">
        <w:rPr>
          <w:rFonts w:ascii="標楷體" w:eastAsia="標楷體" w:hAnsi="標楷體"/>
          <w:sz w:val="32"/>
          <w:szCs w:val="32"/>
        </w:rPr>
        <w:t>25.5%</w:t>
      </w:r>
      <w:r w:rsidRPr="00B70493">
        <w:rPr>
          <w:rFonts w:ascii="標楷體" w:eastAsia="標楷體" w:hAnsi="標楷體" w:hint="eastAsia"/>
          <w:sz w:val="32"/>
          <w:szCs w:val="32"/>
        </w:rPr>
        <w:t>，其中南院之研究策展經費更較1</w:t>
      </w:r>
      <w:r w:rsidRPr="00B70493">
        <w:rPr>
          <w:rFonts w:ascii="標楷體" w:eastAsia="標楷體" w:hAnsi="標楷體"/>
          <w:sz w:val="32"/>
          <w:szCs w:val="32"/>
        </w:rPr>
        <w:t>11</w:t>
      </w:r>
      <w:r w:rsidRPr="00B70493">
        <w:rPr>
          <w:rFonts w:ascii="標楷體" w:eastAsia="標楷體" w:hAnsi="標楷體" w:hint="eastAsia"/>
          <w:sz w:val="32"/>
          <w:szCs w:val="32"/>
        </w:rPr>
        <w:t>年度大減</w:t>
      </w:r>
      <w:r w:rsidRPr="00B70493">
        <w:rPr>
          <w:rFonts w:ascii="標楷體" w:eastAsia="標楷體" w:hAnsi="標楷體"/>
          <w:sz w:val="32"/>
          <w:szCs w:val="32"/>
        </w:rPr>
        <w:t>46%</w:t>
      </w:r>
      <w:r w:rsidRPr="00B70493">
        <w:rPr>
          <w:rFonts w:ascii="標楷體" w:eastAsia="標楷體" w:hAnsi="標楷體" w:hint="eastAsia"/>
          <w:sz w:val="32"/>
          <w:szCs w:val="32"/>
        </w:rPr>
        <w:t>，鑑於嚴重特殊傳染性肺炎疫情</w:t>
      </w:r>
      <w:r w:rsidRPr="00B70493">
        <w:rPr>
          <w:rFonts w:ascii="標楷體" w:eastAsia="標楷體" w:hAnsi="標楷體" w:hint="eastAsia"/>
          <w:sz w:val="32"/>
          <w:szCs w:val="32"/>
        </w:rPr>
        <w:lastRenderedPageBreak/>
        <w:t>逐漸穩定，國境即將於</w:t>
      </w:r>
      <w:r w:rsidRPr="00B70493">
        <w:rPr>
          <w:rFonts w:ascii="標楷體" w:eastAsia="標楷體" w:hAnsi="標楷體"/>
          <w:sz w:val="32"/>
          <w:szCs w:val="32"/>
        </w:rPr>
        <w:t>111</w:t>
      </w:r>
      <w:r w:rsidRPr="00B70493">
        <w:rPr>
          <w:rFonts w:ascii="標楷體" w:eastAsia="標楷體" w:hAnsi="標楷體" w:hint="eastAsia"/>
          <w:sz w:val="32"/>
          <w:szCs w:val="32"/>
        </w:rPr>
        <w:t>年</w:t>
      </w:r>
      <w:r w:rsidRPr="00B70493">
        <w:rPr>
          <w:rFonts w:ascii="標楷體" w:eastAsia="標楷體" w:hAnsi="標楷體"/>
          <w:sz w:val="32"/>
          <w:szCs w:val="32"/>
        </w:rPr>
        <w:t>10</w:t>
      </w:r>
      <w:r w:rsidRPr="00B70493">
        <w:rPr>
          <w:rFonts w:ascii="標楷體" w:eastAsia="標楷體" w:hAnsi="標楷體" w:hint="eastAsia"/>
          <w:sz w:val="32"/>
          <w:szCs w:val="32"/>
        </w:rPr>
        <w:t>月</w:t>
      </w:r>
      <w:r w:rsidRPr="00B70493">
        <w:rPr>
          <w:rFonts w:ascii="標楷體" w:eastAsia="標楷體" w:hAnsi="標楷體"/>
          <w:sz w:val="32"/>
          <w:szCs w:val="32"/>
        </w:rPr>
        <w:t>13</w:t>
      </w:r>
      <w:r w:rsidRPr="00B70493">
        <w:rPr>
          <w:rFonts w:ascii="標楷體" w:eastAsia="標楷體" w:hAnsi="標楷體" w:hint="eastAsia"/>
          <w:sz w:val="32"/>
          <w:szCs w:val="32"/>
        </w:rPr>
        <w:t>日解封，以國際觀光客為主之北院應積極提出更好展覽使外籍遊客回流，然而</w:t>
      </w:r>
      <w:r w:rsidRPr="00B70493">
        <w:rPr>
          <w:rFonts w:ascii="標楷體" w:eastAsia="標楷體" w:hAnsi="標楷體"/>
          <w:sz w:val="32"/>
          <w:szCs w:val="32"/>
        </w:rPr>
        <w:t>112</w:t>
      </w:r>
      <w:r w:rsidRPr="00B70493">
        <w:rPr>
          <w:rFonts w:ascii="標楷體" w:eastAsia="標楷體" w:hAnsi="標楷體" w:hint="eastAsia"/>
          <w:sz w:val="32"/>
          <w:szCs w:val="32"/>
        </w:rPr>
        <w:t>年度的策展經費卻比</w:t>
      </w:r>
      <w:r w:rsidRPr="00B70493">
        <w:rPr>
          <w:rFonts w:ascii="標楷體" w:eastAsia="標楷體" w:hAnsi="標楷體"/>
          <w:sz w:val="32"/>
          <w:szCs w:val="32"/>
        </w:rPr>
        <w:t>111</w:t>
      </w:r>
      <w:r w:rsidRPr="00B70493">
        <w:rPr>
          <w:rFonts w:ascii="標楷體" w:eastAsia="標楷體" w:hAnsi="標楷體" w:hint="eastAsia"/>
          <w:sz w:val="32"/>
          <w:szCs w:val="32"/>
        </w:rPr>
        <w:t>年減少近四分之一</w:t>
      </w:r>
      <w:r w:rsidRPr="00B70493">
        <w:rPr>
          <w:rFonts w:ascii="標楷體" w:eastAsia="標楷體" w:hAnsi="標楷體"/>
          <w:sz w:val="32"/>
          <w:szCs w:val="32"/>
        </w:rPr>
        <w:t>?!</w:t>
      </w:r>
      <w:r w:rsidRPr="00B70493">
        <w:rPr>
          <w:rFonts w:ascii="標楷體" w:eastAsia="標楷體" w:hAnsi="標楷體" w:hint="eastAsia"/>
          <w:sz w:val="32"/>
          <w:szCs w:val="32"/>
        </w:rPr>
        <w:t>此外，參觀南院者有九成是國人，即便疫情影響國人出遊意願將近3年，但南院參觀人數未減反增，但南院策展預算卻未增反減，明顯失當。綜上，要求國立故宮博物院於3個月內向立法院教育及文化委員會就國境開放後故宮策展規劃、如何吸引國際觀光客回流以及增加故宮南院入館參觀率等提出書面報告。</w:t>
      </w:r>
      <w:r w:rsidRPr="00B70493">
        <w:rPr>
          <w:rFonts w:ascii="標楷體" w:eastAsia="標楷體" w:hAnsi="標楷體"/>
          <w:sz w:val="32"/>
          <w:szCs w:val="32"/>
        </w:rPr>
        <w:t>31</w:t>
      </w:r>
    </w:p>
    <w:p w:rsidR="00B6184F" w:rsidRPr="00B70493" w:rsidRDefault="00B6184F" w:rsidP="00B6184F">
      <w:pPr>
        <w:suppressAutoHyphens/>
        <w:spacing w:line="520" w:lineRule="exact"/>
        <w:ind w:left="3" w:hangingChars="1" w:hanging="3"/>
        <w:jc w:val="center"/>
        <w:rPr>
          <w:rFonts w:ascii="標楷體" w:eastAsia="標楷體" w:hAnsi="標楷體"/>
          <w:position w:val="-1"/>
          <w:sz w:val="32"/>
          <w:szCs w:val="28"/>
          <w:lang w:eastAsia="zh-HK"/>
        </w:rPr>
      </w:pPr>
      <w:r w:rsidRPr="00B70493">
        <w:rPr>
          <w:rFonts w:ascii="標楷體" w:eastAsia="標楷體" w:hAnsi="標楷體"/>
          <w:position w:val="-1"/>
          <w:sz w:val="32"/>
          <w:szCs w:val="28"/>
          <w:lang w:eastAsia="zh-HK"/>
        </w:rPr>
        <w:t>111</w:t>
      </w:r>
      <w:r>
        <w:rPr>
          <w:rFonts w:ascii="標楷體" w:eastAsia="標楷體" w:hAnsi="標楷體" w:hint="eastAsia"/>
          <w:position w:val="-1"/>
          <w:sz w:val="32"/>
          <w:szCs w:val="28"/>
        </w:rPr>
        <w:t>、</w:t>
      </w:r>
      <w:r w:rsidRPr="00B70493">
        <w:rPr>
          <w:rFonts w:ascii="標楷體" w:eastAsia="標楷體" w:hAnsi="標楷體"/>
          <w:position w:val="-1"/>
          <w:sz w:val="32"/>
          <w:szCs w:val="28"/>
          <w:lang w:eastAsia="zh-HK"/>
        </w:rPr>
        <w:t>112</w:t>
      </w:r>
      <w:r w:rsidRPr="00B70493">
        <w:rPr>
          <w:rFonts w:ascii="標楷體" w:eastAsia="標楷體" w:hAnsi="標楷體" w:hint="eastAsia"/>
          <w:position w:val="-1"/>
          <w:sz w:val="32"/>
          <w:szCs w:val="28"/>
          <w:lang w:eastAsia="zh-HK"/>
        </w:rPr>
        <w:t>年</w:t>
      </w:r>
      <w:r w:rsidRPr="00B70493">
        <w:rPr>
          <w:rFonts w:ascii="標楷體" w:eastAsia="標楷體" w:hAnsi="標楷體" w:hint="eastAsia"/>
          <w:position w:val="-1"/>
          <w:sz w:val="32"/>
          <w:szCs w:val="28"/>
        </w:rPr>
        <w:t>度</w:t>
      </w:r>
      <w:r w:rsidRPr="00B70493">
        <w:rPr>
          <w:rFonts w:ascii="標楷體" w:eastAsia="標楷體" w:hAnsi="標楷體" w:hint="eastAsia"/>
          <w:position w:val="-1"/>
          <w:sz w:val="32"/>
          <w:szCs w:val="28"/>
          <w:lang w:eastAsia="zh-HK"/>
        </w:rPr>
        <w:t>故宮「文物研究與展覽」預算比較表</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7"/>
        <w:gridCol w:w="1560"/>
        <w:gridCol w:w="1701"/>
        <w:gridCol w:w="1689"/>
        <w:gridCol w:w="1854"/>
      </w:tblGrid>
      <w:tr w:rsidR="00B6184F" w:rsidRPr="00065BCE" w:rsidTr="00F035E0">
        <w:tc>
          <w:tcPr>
            <w:tcW w:w="1417" w:type="dxa"/>
            <w:shd w:val="clear" w:color="auto" w:fill="auto"/>
          </w:tcPr>
          <w:p w:rsidR="00B6184F" w:rsidRPr="00065BCE" w:rsidRDefault="00B6184F" w:rsidP="00F035E0">
            <w:pPr>
              <w:suppressAutoHyphens/>
              <w:spacing w:line="360" w:lineRule="exact"/>
              <w:rPr>
                <w:rFonts w:ascii="標楷體" w:eastAsia="標楷體" w:hAnsi="標楷體"/>
                <w:position w:val="-1"/>
                <w:szCs w:val="24"/>
                <w:lang w:eastAsia="zh-HK"/>
              </w:rPr>
            </w:pPr>
            <w:bookmarkStart w:id="188" w:name="_Toc123716319"/>
            <w:r w:rsidRPr="00065BCE">
              <w:rPr>
                <w:rFonts w:ascii="標楷體" w:eastAsia="標楷體" w:hAnsi="標楷體" w:hint="eastAsia"/>
                <w:position w:val="-1"/>
                <w:szCs w:val="24"/>
                <w:lang w:eastAsia="zh-HK"/>
              </w:rPr>
              <w:t>年度(單位:千元)</w:t>
            </w:r>
            <w:bookmarkEnd w:id="188"/>
          </w:p>
        </w:tc>
        <w:tc>
          <w:tcPr>
            <w:tcW w:w="1560" w:type="dxa"/>
            <w:shd w:val="clear" w:color="auto" w:fill="auto"/>
          </w:tcPr>
          <w:p w:rsidR="00B6184F" w:rsidRPr="00065BCE" w:rsidRDefault="00B6184F" w:rsidP="00F035E0">
            <w:pPr>
              <w:suppressAutoHyphens/>
              <w:spacing w:line="360" w:lineRule="exact"/>
              <w:rPr>
                <w:rFonts w:ascii="標楷體" w:eastAsia="標楷體" w:hAnsi="標楷體"/>
                <w:position w:val="-1"/>
                <w:szCs w:val="24"/>
                <w:lang w:eastAsia="zh-HK"/>
              </w:rPr>
            </w:pPr>
            <w:bookmarkStart w:id="189" w:name="_Toc123716320"/>
            <w:r w:rsidRPr="00065BCE">
              <w:rPr>
                <w:rFonts w:ascii="標楷體" w:eastAsia="標楷體" w:hAnsi="標楷體" w:hint="eastAsia"/>
                <w:position w:val="-1"/>
                <w:szCs w:val="24"/>
                <w:lang w:eastAsia="zh-HK"/>
              </w:rPr>
              <w:t>文物研究與展覽</w:t>
            </w:r>
            <w:bookmarkEnd w:id="189"/>
          </w:p>
        </w:tc>
        <w:tc>
          <w:tcPr>
            <w:tcW w:w="1701" w:type="dxa"/>
            <w:shd w:val="clear" w:color="auto" w:fill="auto"/>
          </w:tcPr>
          <w:p w:rsidR="00B6184F" w:rsidRPr="00065BCE" w:rsidRDefault="00B6184F" w:rsidP="00DF652F">
            <w:pPr>
              <w:suppressAutoHyphens/>
              <w:spacing w:line="360" w:lineRule="exact"/>
              <w:rPr>
                <w:rFonts w:ascii="標楷體" w:eastAsia="標楷體" w:hAnsi="標楷體"/>
                <w:position w:val="-1"/>
                <w:szCs w:val="24"/>
                <w:lang w:eastAsia="zh-HK"/>
              </w:rPr>
            </w:pPr>
            <w:bookmarkStart w:id="190" w:name="_Toc123716321"/>
            <w:r w:rsidRPr="00065BCE">
              <w:rPr>
                <w:rFonts w:ascii="標楷體" w:eastAsia="標楷體" w:hAnsi="標楷體" w:hint="eastAsia"/>
                <w:position w:val="-1"/>
                <w:szCs w:val="24"/>
                <w:lang w:eastAsia="zh-HK"/>
              </w:rPr>
              <w:t>器物研究與展覧</w:t>
            </w:r>
            <w:bookmarkEnd w:id="190"/>
          </w:p>
        </w:tc>
        <w:tc>
          <w:tcPr>
            <w:tcW w:w="1689" w:type="dxa"/>
            <w:shd w:val="clear" w:color="auto" w:fill="auto"/>
          </w:tcPr>
          <w:p w:rsidR="00B6184F" w:rsidRPr="00065BCE" w:rsidRDefault="00B6184F" w:rsidP="00F035E0">
            <w:pPr>
              <w:suppressAutoHyphens/>
              <w:spacing w:line="360" w:lineRule="exact"/>
              <w:ind w:left="2" w:hangingChars="1" w:hanging="2"/>
              <w:rPr>
                <w:rFonts w:ascii="標楷體" w:eastAsia="標楷體" w:hAnsi="標楷體"/>
                <w:position w:val="-1"/>
                <w:szCs w:val="24"/>
                <w:lang w:eastAsia="zh-HK"/>
              </w:rPr>
            </w:pPr>
            <w:bookmarkStart w:id="191" w:name="_Toc123716322"/>
            <w:r w:rsidRPr="00065BCE">
              <w:rPr>
                <w:rFonts w:ascii="標楷體" w:eastAsia="標楷體" w:hAnsi="標楷體" w:hint="eastAsia"/>
                <w:position w:val="-1"/>
                <w:szCs w:val="24"/>
                <w:lang w:eastAsia="zh-HK"/>
              </w:rPr>
              <w:t>書畫文獻研究與展覽</w:t>
            </w:r>
            <w:bookmarkEnd w:id="191"/>
          </w:p>
        </w:tc>
        <w:tc>
          <w:tcPr>
            <w:tcW w:w="1854" w:type="dxa"/>
            <w:shd w:val="clear" w:color="auto" w:fill="auto"/>
          </w:tcPr>
          <w:p w:rsidR="00B6184F" w:rsidRPr="00065BCE" w:rsidRDefault="00B6184F" w:rsidP="00F035E0">
            <w:pPr>
              <w:suppressAutoHyphens/>
              <w:spacing w:line="360" w:lineRule="exact"/>
              <w:ind w:left="2" w:hangingChars="1" w:hanging="2"/>
              <w:rPr>
                <w:rFonts w:ascii="標楷體" w:eastAsia="標楷體" w:hAnsi="標楷體"/>
                <w:position w:val="-1"/>
                <w:szCs w:val="24"/>
                <w:lang w:eastAsia="zh-HK"/>
              </w:rPr>
            </w:pPr>
            <w:bookmarkStart w:id="192" w:name="_Toc123716323"/>
            <w:r w:rsidRPr="00065BCE">
              <w:rPr>
                <w:rFonts w:ascii="標楷體" w:eastAsia="標楷體" w:hAnsi="標楷體" w:hint="eastAsia"/>
                <w:position w:val="-1"/>
                <w:szCs w:val="24"/>
                <w:lang w:eastAsia="zh-HK"/>
              </w:rPr>
              <w:t>南院院區文物研究與展覽</w:t>
            </w:r>
            <w:bookmarkEnd w:id="192"/>
          </w:p>
        </w:tc>
      </w:tr>
      <w:tr w:rsidR="00B6184F" w:rsidRPr="00065BCE" w:rsidTr="00F035E0">
        <w:tc>
          <w:tcPr>
            <w:tcW w:w="1417" w:type="dxa"/>
            <w:shd w:val="clear" w:color="auto" w:fill="auto"/>
          </w:tcPr>
          <w:p w:rsidR="00B6184F" w:rsidRPr="00065BCE" w:rsidRDefault="00B6184F" w:rsidP="00F035E0">
            <w:pPr>
              <w:suppressAutoHyphens/>
              <w:spacing w:line="520" w:lineRule="exact"/>
              <w:rPr>
                <w:rFonts w:ascii="標楷體" w:eastAsia="標楷體" w:hAnsi="標楷體"/>
                <w:position w:val="-1"/>
                <w:szCs w:val="24"/>
                <w:lang w:eastAsia="zh-HK"/>
              </w:rPr>
            </w:pPr>
            <w:bookmarkStart w:id="193" w:name="_Toc123716324"/>
            <w:r w:rsidRPr="00065BCE">
              <w:rPr>
                <w:rFonts w:ascii="標楷體" w:eastAsia="標楷體" w:hAnsi="標楷體" w:hint="eastAsia"/>
                <w:position w:val="-1"/>
                <w:szCs w:val="24"/>
                <w:lang w:eastAsia="zh-HK"/>
              </w:rPr>
              <w:t>111年</w:t>
            </w:r>
            <w:bookmarkEnd w:id="193"/>
          </w:p>
        </w:tc>
        <w:tc>
          <w:tcPr>
            <w:tcW w:w="1560" w:type="dxa"/>
            <w:shd w:val="clear" w:color="auto" w:fill="auto"/>
          </w:tcPr>
          <w:p w:rsidR="00B6184F" w:rsidRPr="00065BCE" w:rsidRDefault="00B6184F" w:rsidP="00F035E0">
            <w:pPr>
              <w:suppressAutoHyphens/>
              <w:spacing w:line="520" w:lineRule="exact"/>
              <w:rPr>
                <w:rFonts w:ascii="標楷體" w:eastAsia="標楷體" w:hAnsi="標楷體"/>
                <w:position w:val="-1"/>
                <w:szCs w:val="24"/>
                <w:lang w:eastAsia="zh-HK"/>
              </w:rPr>
            </w:pPr>
            <w:bookmarkStart w:id="194" w:name="_Toc123716325"/>
            <w:r w:rsidRPr="00065BCE">
              <w:rPr>
                <w:rFonts w:ascii="標楷體" w:eastAsia="標楷體" w:hAnsi="標楷體"/>
                <w:position w:val="-1"/>
                <w:szCs w:val="24"/>
                <w:lang w:eastAsia="zh-HK"/>
              </w:rPr>
              <w:t>46,587</w:t>
            </w:r>
            <w:bookmarkEnd w:id="194"/>
          </w:p>
        </w:tc>
        <w:tc>
          <w:tcPr>
            <w:tcW w:w="1701" w:type="dxa"/>
            <w:shd w:val="clear" w:color="auto" w:fill="auto"/>
          </w:tcPr>
          <w:p w:rsidR="00B6184F" w:rsidRPr="00065BCE" w:rsidRDefault="00B6184F" w:rsidP="00F035E0">
            <w:pPr>
              <w:suppressAutoHyphens/>
              <w:spacing w:line="520" w:lineRule="exact"/>
              <w:rPr>
                <w:rFonts w:ascii="標楷體" w:eastAsia="標楷體" w:hAnsi="標楷體"/>
                <w:position w:val="-1"/>
                <w:szCs w:val="24"/>
                <w:lang w:eastAsia="zh-HK"/>
              </w:rPr>
            </w:pPr>
            <w:bookmarkStart w:id="195" w:name="_Toc123716326"/>
            <w:r w:rsidRPr="00065BCE">
              <w:rPr>
                <w:rFonts w:ascii="標楷體" w:eastAsia="標楷體" w:hAnsi="標楷體"/>
                <w:position w:val="-1"/>
                <w:szCs w:val="24"/>
                <w:lang w:eastAsia="zh-HK"/>
              </w:rPr>
              <w:t>17,837</w:t>
            </w:r>
            <w:bookmarkEnd w:id="195"/>
          </w:p>
        </w:tc>
        <w:tc>
          <w:tcPr>
            <w:tcW w:w="1689" w:type="dxa"/>
            <w:shd w:val="clear" w:color="auto" w:fill="auto"/>
          </w:tcPr>
          <w:p w:rsidR="00B6184F" w:rsidRPr="00065BCE" w:rsidRDefault="00B6184F" w:rsidP="00F035E0">
            <w:pPr>
              <w:suppressAutoHyphens/>
              <w:spacing w:line="520" w:lineRule="exact"/>
              <w:rPr>
                <w:rFonts w:ascii="標楷體" w:eastAsia="標楷體" w:hAnsi="標楷體"/>
                <w:position w:val="-1"/>
                <w:szCs w:val="24"/>
                <w:lang w:eastAsia="zh-HK"/>
              </w:rPr>
            </w:pPr>
            <w:bookmarkStart w:id="196" w:name="_Toc123716327"/>
            <w:r w:rsidRPr="00065BCE">
              <w:rPr>
                <w:rFonts w:ascii="標楷體" w:eastAsia="標楷體" w:hAnsi="標楷體"/>
                <w:position w:val="-1"/>
                <w:szCs w:val="24"/>
                <w:lang w:eastAsia="zh-HK"/>
              </w:rPr>
              <w:t>12,792</w:t>
            </w:r>
            <w:bookmarkEnd w:id="196"/>
          </w:p>
        </w:tc>
        <w:tc>
          <w:tcPr>
            <w:tcW w:w="1854" w:type="dxa"/>
            <w:shd w:val="clear" w:color="auto" w:fill="auto"/>
          </w:tcPr>
          <w:p w:rsidR="00B6184F" w:rsidRPr="00065BCE" w:rsidRDefault="00B6184F" w:rsidP="00F035E0">
            <w:pPr>
              <w:suppressAutoHyphens/>
              <w:spacing w:line="520" w:lineRule="exact"/>
              <w:ind w:left="2" w:hangingChars="1" w:hanging="2"/>
              <w:rPr>
                <w:rFonts w:ascii="標楷體" w:eastAsia="標楷體" w:hAnsi="標楷體"/>
                <w:position w:val="-1"/>
                <w:szCs w:val="24"/>
                <w:lang w:eastAsia="zh-HK"/>
              </w:rPr>
            </w:pPr>
            <w:bookmarkStart w:id="197" w:name="_Toc123716328"/>
            <w:r w:rsidRPr="00065BCE">
              <w:rPr>
                <w:rFonts w:ascii="標楷體" w:eastAsia="標楷體" w:hAnsi="標楷體"/>
                <w:position w:val="-1"/>
                <w:szCs w:val="24"/>
                <w:lang w:eastAsia="zh-HK"/>
              </w:rPr>
              <w:t>15,958</w:t>
            </w:r>
            <w:bookmarkEnd w:id="197"/>
          </w:p>
        </w:tc>
      </w:tr>
      <w:tr w:rsidR="00B6184F" w:rsidRPr="00065BCE" w:rsidTr="00F035E0">
        <w:tc>
          <w:tcPr>
            <w:tcW w:w="1417" w:type="dxa"/>
            <w:shd w:val="clear" w:color="auto" w:fill="auto"/>
          </w:tcPr>
          <w:p w:rsidR="00B6184F" w:rsidRPr="00065BCE" w:rsidRDefault="00B6184F" w:rsidP="00F035E0">
            <w:pPr>
              <w:suppressAutoHyphens/>
              <w:spacing w:line="520" w:lineRule="exact"/>
              <w:rPr>
                <w:rFonts w:ascii="標楷體" w:eastAsia="標楷體" w:hAnsi="標楷體"/>
                <w:position w:val="-1"/>
                <w:szCs w:val="24"/>
                <w:lang w:eastAsia="zh-HK"/>
              </w:rPr>
            </w:pPr>
            <w:bookmarkStart w:id="198" w:name="_Toc123716329"/>
            <w:r w:rsidRPr="00065BCE">
              <w:rPr>
                <w:rFonts w:ascii="標楷體" w:eastAsia="標楷體" w:hAnsi="標楷體" w:hint="eastAsia"/>
                <w:position w:val="-1"/>
                <w:szCs w:val="24"/>
                <w:lang w:eastAsia="zh-HK"/>
              </w:rPr>
              <w:t>112年</w:t>
            </w:r>
            <w:bookmarkEnd w:id="198"/>
          </w:p>
        </w:tc>
        <w:tc>
          <w:tcPr>
            <w:tcW w:w="1560" w:type="dxa"/>
            <w:shd w:val="clear" w:color="auto" w:fill="auto"/>
          </w:tcPr>
          <w:p w:rsidR="00B6184F" w:rsidRPr="00065BCE" w:rsidRDefault="00B6184F" w:rsidP="00F035E0">
            <w:pPr>
              <w:suppressAutoHyphens/>
              <w:spacing w:line="520" w:lineRule="exact"/>
              <w:rPr>
                <w:rFonts w:ascii="標楷體" w:eastAsia="標楷體" w:hAnsi="標楷體"/>
                <w:position w:val="-1"/>
                <w:szCs w:val="24"/>
                <w:lang w:eastAsia="zh-HK"/>
              </w:rPr>
            </w:pPr>
            <w:bookmarkStart w:id="199" w:name="_Toc123716330"/>
            <w:r w:rsidRPr="00065BCE">
              <w:rPr>
                <w:rFonts w:ascii="標楷體" w:eastAsia="標楷體" w:hAnsi="標楷體"/>
                <w:position w:val="-1"/>
                <w:szCs w:val="24"/>
                <w:lang w:eastAsia="zh-HK"/>
              </w:rPr>
              <w:t>34,694</w:t>
            </w:r>
            <w:bookmarkEnd w:id="199"/>
          </w:p>
        </w:tc>
        <w:tc>
          <w:tcPr>
            <w:tcW w:w="1701" w:type="dxa"/>
            <w:shd w:val="clear" w:color="auto" w:fill="auto"/>
          </w:tcPr>
          <w:p w:rsidR="00B6184F" w:rsidRPr="00065BCE" w:rsidRDefault="00B6184F" w:rsidP="00F035E0">
            <w:pPr>
              <w:suppressAutoHyphens/>
              <w:spacing w:line="520" w:lineRule="exact"/>
              <w:rPr>
                <w:rFonts w:ascii="標楷體" w:eastAsia="標楷體" w:hAnsi="標楷體"/>
                <w:position w:val="-1"/>
                <w:szCs w:val="24"/>
                <w:lang w:eastAsia="zh-HK"/>
              </w:rPr>
            </w:pPr>
            <w:bookmarkStart w:id="200" w:name="_Toc123716331"/>
            <w:r w:rsidRPr="00065BCE">
              <w:rPr>
                <w:rFonts w:ascii="標楷體" w:eastAsia="標楷體" w:hAnsi="標楷體"/>
                <w:position w:val="-1"/>
                <w:szCs w:val="24"/>
                <w:lang w:eastAsia="zh-HK"/>
              </w:rPr>
              <w:t>16,878</w:t>
            </w:r>
            <w:bookmarkEnd w:id="200"/>
          </w:p>
        </w:tc>
        <w:tc>
          <w:tcPr>
            <w:tcW w:w="1689" w:type="dxa"/>
            <w:shd w:val="clear" w:color="auto" w:fill="auto"/>
          </w:tcPr>
          <w:p w:rsidR="00B6184F" w:rsidRPr="00065BCE" w:rsidRDefault="00B6184F" w:rsidP="00F035E0">
            <w:pPr>
              <w:suppressAutoHyphens/>
              <w:spacing w:line="520" w:lineRule="exact"/>
              <w:ind w:left="2" w:hangingChars="1" w:hanging="2"/>
              <w:rPr>
                <w:rFonts w:ascii="標楷體" w:eastAsia="標楷體" w:hAnsi="標楷體"/>
                <w:position w:val="-1"/>
                <w:szCs w:val="24"/>
                <w:lang w:eastAsia="zh-HK"/>
              </w:rPr>
            </w:pPr>
            <w:bookmarkStart w:id="201" w:name="_Toc123716332"/>
            <w:r w:rsidRPr="00065BCE">
              <w:rPr>
                <w:rFonts w:ascii="標楷體" w:eastAsia="標楷體" w:hAnsi="標楷體"/>
                <w:position w:val="-1"/>
                <w:szCs w:val="24"/>
                <w:lang w:eastAsia="zh-HK"/>
              </w:rPr>
              <w:t>9,141</w:t>
            </w:r>
            <w:bookmarkEnd w:id="201"/>
          </w:p>
        </w:tc>
        <w:tc>
          <w:tcPr>
            <w:tcW w:w="1854" w:type="dxa"/>
            <w:shd w:val="clear" w:color="auto" w:fill="auto"/>
          </w:tcPr>
          <w:p w:rsidR="00B6184F" w:rsidRPr="00065BCE" w:rsidRDefault="00B6184F" w:rsidP="00F035E0">
            <w:pPr>
              <w:suppressAutoHyphens/>
              <w:spacing w:line="520" w:lineRule="exact"/>
              <w:rPr>
                <w:rFonts w:ascii="標楷體" w:eastAsia="標楷體" w:hAnsi="標楷體"/>
                <w:position w:val="-1"/>
                <w:szCs w:val="24"/>
                <w:lang w:eastAsia="zh-HK"/>
              </w:rPr>
            </w:pPr>
            <w:bookmarkStart w:id="202" w:name="_Toc123716333"/>
            <w:r w:rsidRPr="00065BCE">
              <w:rPr>
                <w:rFonts w:ascii="標楷體" w:eastAsia="標楷體" w:hAnsi="標楷體"/>
                <w:position w:val="-1"/>
                <w:szCs w:val="24"/>
                <w:lang w:eastAsia="zh-HK"/>
              </w:rPr>
              <w:t>8,675</w:t>
            </w:r>
            <w:bookmarkEnd w:id="202"/>
          </w:p>
        </w:tc>
      </w:tr>
      <w:tr w:rsidR="00B6184F" w:rsidRPr="00065BCE" w:rsidTr="00F035E0">
        <w:tc>
          <w:tcPr>
            <w:tcW w:w="1417" w:type="dxa"/>
            <w:shd w:val="clear" w:color="auto" w:fill="auto"/>
          </w:tcPr>
          <w:p w:rsidR="00B6184F" w:rsidRPr="00065BCE" w:rsidRDefault="00B6184F" w:rsidP="00F035E0">
            <w:pPr>
              <w:suppressAutoHyphens/>
              <w:spacing w:line="520" w:lineRule="exact"/>
              <w:rPr>
                <w:rFonts w:ascii="標楷體" w:eastAsia="標楷體" w:hAnsi="標楷體"/>
                <w:position w:val="-1"/>
                <w:szCs w:val="24"/>
                <w:lang w:eastAsia="zh-HK"/>
              </w:rPr>
            </w:pPr>
            <w:bookmarkStart w:id="203" w:name="_Toc123716334"/>
            <w:r w:rsidRPr="00065BCE">
              <w:rPr>
                <w:rFonts w:ascii="標楷體" w:eastAsia="標楷體" w:hAnsi="標楷體" w:hint="eastAsia"/>
                <w:position w:val="-1"/>
                <w:szCs w:val="24"/>
                <w:lang w:eastAsia="zh-HK"/>
              </w:rPr>
              <w:t>(增減)</w:t>
            </w:r>
            <w:bookmarkEnd w:id="203"/>
          </w:p>
        </w:tc>
        <w:tc>
          <w:tcPr>
            <w:tcW w:w="1560" w:type="dxa"/>
            <w:shd w:val="clear" w:color="auto" w:fill="auto"/>
          </w:tcPr>
          <w:p w:rsidR="00B6184F" w:rsidRPr="00065BCE" w:rsidRDefault="00B6184F" w:rsidP="00F035E0">
            <w:pPr>
              <w:suppressAutoHyphens/>
              <w:spacing w:line="520" w:lineRule="exact"/>
              <w:rPr>
                <w:rFonts w:ascii="標楷體" w:eastAsia="標楷體" w:hAnsi="標楷體"/>
                <w:position w:val="-1"/>
                <w:szCs w:val="24"/>
                <w:lang w:eastAsia="zh-HK"/>
              </w:rPr>
            </w:pPr>
            <w:bookmarkStart w:id="204" w:name="_Toc123716335"/>
            <w:r w:rsidRPr="00065BCE">
              <w:rPr>
                <w:rFonts w:ascii="標楷體" w:eastAsia="標楷體" w:hAnsi="標楷體"/>
                <w:position w:val="-1"/>
                <w:szCs w:val="24"/>
                <w:lang w:eastAsia="zh-HK"/>
              </w:rPr>
              <w:t>-25.5%</w:t>
            </w:r>
            <w:bookmarkEnd w:id="204"/>
          </w:p>
        </w:tc>
        <w:tc>
          <w:tcPr>
            <w:tcW w:w="1701" w:type="dxa"/>
            <w:shd w:val="clear" w:color="auto" w:fill="auto"/>
          </w:tcPr>
          <w:p w:rsidR="00B6184F" w:rsidRPr="00065BCE" w:rsidRDefault="00B6184F" w:rsidP="00F035E0">
            <w:pPr>
              <w:suppressAutoHyphens/>
              <w:spacing w:line="520" w:lineRule="exact"/>
              <w:rPr>
                <w:rFonts w:ascii="標楷體" w:eastAsia="標楷體" w:hAnsi="標楷體"/>
                <w:position w:val="-1"/>
                <w:szCs w:val="24"/>
                <w:lang w:eastAsia="zh-HK"/>
              </w:rPr>
            </w:pPr>
            <w:bookmarkStart w:id="205" w:name="_Toc123716336"/>
            <w:r w:rsidRPr="00065BCE">
              <w:rPr>
                <w:rFonts w:ascii="標楷體" w:eastAsia="標楷體" w:hAnsi="標楷體"/>
                <w:position w:val="-1"/>
                <w:szCs w:val="24"/>
                <w:lang w:eastAsia="zh-HK"/>
              </w:rPr>
              <w:t>-5.38%</w:t>
            </w:r>
            <w:bookmarkEnd w:id="205"/>
          </w:p>
        </w:tc>
        <w:tc>
          <w:tcPr>
            <w:tcW w:w="1689" w:type="dxa"/>
            <w:shd w:val="clear" w:color="auto" w:fill="auto"/>
          </w:tcPr>
          <w:p w:rsidR="00B6184F" w:rsidRPr="00065BCE" w:rsidRDefault="00B6184F" w:rsidP="00F035E0">
            <w:pPr>
              <w:suppressAutoHyphens/>
              <w:spacing w:line="520" w:lineRule="exact"/>
              <w:rPr>
                <w:rFonts w:ascii="標楷體" w:eastAsia="標楷體" w:hAnsi="標楷體"/>
                <w:position w:val="-1"/>
                <w:szCs w:val="24"/>
                <w:lang w:eastAsia="zh-HK"/>
              </w:rPr>
            </w:pPr>
            <w:bookmarkStart w:id="206" w:name="_Toc123716337"/>
            <w:r w:rsidRPr="00065BCE">
              <w:rPr>
                <w:rFonts w:ascii="標楷體" w:eastAsia="標楷體" w:hAnsi="標楷體"/>
                <w:position w:val="-1"/>
                <w:szCs w:val="24"/>
                <w:lang w:eastAsia="zh-HK"/>
              </w:rPr>
              <w:t>-28.54%</w:t>
            </w:r>
            <w:bookmarkEnd w:id="206"/>
          </w:p>
        </w:tc>
        <w:tc>
          <w:tcPr>
            <w:tcW w:w="1854" w:type="dxa"/>
            <w:shd w:val="clear" w:color="auto" w:fill="auto"/>
          </w:tcPr>
          <w:p w:rsidR="00B6184F" w:rsidRPr="00065BCE" w:rsidRDefault="00B6184F" w:rsidP="00F035E0">
            <w:pPr>
              <w:suppressAutoHyphens/>
              <w:spacing w:line="520" w:lineRule="exact"/>
              <w:rPr>
                <w:rFonts w:ascii="標楷體" w:eastAsia="標楷體" w:hAnsi="標楷體"/>
                <w:position w:val="-1"/>
                <w:szCs w:val="24"/>
                <w:lang w:eastAsia="zh-HK"/>
              </w:rPr>
            </w:pPr>
            <w:bookmarkStart w:id="207" w:name="_Toc123716338"/>
            <w:r w:rsidRPr="00065BCE">
              <w:rPr>
                <w:rFonts w:ascii="標楷體" w:eastAsia="標楷體" w:hAnsi="標楷體"/>
                <w:position w:val="-1"/>
                <w:szCs w:val="24"/>
                <w:lang w:eastAsia="zh-HK"/>
              </w:rPr>
              <w:t>-45.64%</w:t>
            </w:r>
            <w:bookmarkEnd w:id="207"/>
          </w:p>
        </w:tc>
      </w:tr>
    </w:tbl>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提案人：張廖萬堅</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連署人：林宜瑾  何欣純</w:t>
      </w:r>
      <w:r w:rsidRPr="00B70493">
        <w:rPr>
          <w:rFonts w:ascii="標楷體" w:eastAsia="標楷體" w:hAnsi="標楷體"/>
          <w:sz w:val="32"/>
          <w:szCs w:val="32"/>
        </w:rPr>
        <w:t xml:space="preserve">  </w:t>
      </w:r>
      <w:r w:rsidRPr="00B70493">
        <w:rPr>
          <w:rFonts w:ascii="標楷體" w:eastAsia="標楷體" w:hAnsi="標楷體" w:hint="eastAsia"/>
          <w:sz w:val="32"/>
          <w:szCs w:val="32"/>
        </w:rPr>
        <w:t>陳秀寳</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三十一)國立故宮博物院作為世界級博物館，典藏文物數量豐富，高達69萬8,856件，然文物展示率不論南北院皆偏低。110年度僅有南院器物類文物展示率超過10%，且南部院區在器物類、書畫類及圖書文獻類展示率皆較北部院區更高。故宮空有豐富的文物，卻難以使其映入民眾的眼中，實屬可惜，故宮應於策展時</w:t>
      </w:r>
      <w:r>
        <w:rPr>
          <w:rFonts w:ascii="標楷體" w:eastAsia="標楷體" w:hAnsi="標楷體" w:hint="eastAsia"/>
          <w:sz w:val="32"/>
          <w:szCs w:val="32"/>
        </w:rPr>
        <w:t>儘量</w:t>
      </w:r>
      <w:r w:rsidRPr="00B70493">
        <w:rPr>
          <w:rFonts w:ascii="標楷體" w:eastAsia="標楷體" w:hAnsi="標楷體" w:hint="eastAsia"/>
          <w:sz w:val="32"/>
          <w:szCs w:val="32"/>
        </w:rPr>
        <w:t>使鮮少問世之文物得以</w:t>
      </w:r>
      <w:r>
        <w:rPr>
          <w:rFonts w:ascii="標楷體" w:eastAsia="標楷體" w:hAnsi="標楷體" w:hint="eastAsia"/>
          <w:sz w:val="32"/>
          <w:szCs w:val="32"/>
        </w:rPr>
        <w:t>搭配策展，或透過線上影像資料庫，讓民眾得以了解多元文物。綜上，</w:t>
      </w:r>
      <w:r w:rsidRPr="00B70493">
        <w:rPr>
          <w:rFonts w:ascii="標楷體" w:eastAsia="標楷體" w:hAnsi="標楷體" w:hint="eastAsia"/>
          <w:sz w:val="32"/>
          <w:szCs w:val="32"/>
        </w:rPr>
        <w:t>請國立故宮博物院於3個月內就提高典藏文物展示率向立法院教育及文化會提出書面報告。</w:t>
      </w:r>
      <w:r w:rsidRPr="00B70493">
        <w:rPr>
          <w:rFonts w:ascii="標楷體" w:eastAsia="標楷體" w:hAnsi="標楷體"/>
          <w:sz w:val="32"/>
          <w:szCs w:val="32"/>
        </w:rPr>
        <w:t>33</w:t>
      </w:r>
    </w:p>
    <w:p w:rsidR="00A563FA" w:rsidRDefault="00A563FA">
      <w:pPr>
        <w:widowControl/>
        <w:rPr>
          <w:rFonts w:ascii="標楷體" w:eastAsia="標楷體" w:hAnsi="標楷體"/>
          <w:position w:val="-1"/>
          <w:szCs w:val="24"/>
          <w:lang w:eastAsia="zh-HK"/>
        </w:rPr>
      </w:pPr>
      <w:r>
        <w:rPr>
          <w:rFonts w:ascii="標楷體" w:eastAsia="標楷體" w:hAnsi="標楷體"/>
          <w:position w:val="-1"/>
          <w:szCs w:val="24"/>
          <w:lang w:eastAsia="zh-HK"/>
        </w:rPr>
        <w:br w:type="page"/>
      </w:r>
    </w:p>
    <w:p w:rsidR="00B6184F" w:rsidRPr="00B70493" w:rsidRDefault="00B6184F" w:rsidP="00A52DD2">
      <w:pPr>
        <w:suppressAutoHyphens/>
        <w:spacing w:line="520" w:lineRule="exact"/>
        <w:ind w:left="2" w:hangingChars="1" w:hanging="2"/>
        <w:jc w:val="right"/>
        <w:rPr>
          <w:rFonts w:ascii="標楷體" w:eastAsia="標楷體" w:hAnsi="標楷體"/>
          <w:position w:val="-1"/>
          <w:szCs w:val="24"/>
          <w:lang w:eastAsia="zh-HK"/>
        </w:rPr>
      </w:pPr>
      <w:r w:rsidRPr="00B70493">
        <w:rPr>
          <w:rFonts w:ascii="標楷體" w:eastAsia="標楷體" w:hAnsi="標楷體" w:hint="eastAsia"/>
          <w:position w:val="-1"/>
          <w:szCs w:val="24"/>
          <w:lang w:eastAsia="zh-HK"/>
        </w:rPr>
        <w:lastRenderedPageBreak/>
        <w:t>故宮</w:t>
      </w:r>
      <w:r w:rsidRPr="00B70493">
        <w:rPr>
          <w:rFonts w:ascii="標楷體" w:eastAsia="標楷體" w:hAnsi="標楷體"/>
          <w:position w:val="-1"/>
          <w:szCs w:val="24"/>
          <w:lang w:eastAsia="zh-HK"/>
        </w:rPr>
        <w:t>106</w:t>
      </w:r>
      <w:r w:rsidRPr="00B70493">
        <w:rPr>
          <w:rFonts w:ascii="標楷體" w:eastAsia="標楷體" w:hAnsi="標楷體" w:hint="eastAsia"/>
          <w:position w:val="-1"/>
          <w:szCs w:val="24"/>
          <w:lang w:eastAsia="zh-HK"/>
        </w:rPr>
        <w:t>至</w:t>
      </w:r>
      <w:r w:rsidRPr="00B70493">
        <w:rPr>
          <w:rFonts w:ascii="標楷體" w:eastAsia="標楷體" w:hAnsi="標楷體"/>
          <w:position w:val="-1"/>
          <w:szCs w:val="24"/>
          <w:lang w:eastAsia="zh-HK"/>
        </w:rPr>
        <w:t>110</w:t>
      </w:r>
      <w:r w:rsidRPr="00B70493">
        <w:rPr>
          <w:rFonts w:ascii="標楷體" w:eastAsia="標楷體" w:hAnsi="標楷體" w:hint="eastAsia"/>
          <w:position w:val="-1"/>
          <w:szCs w:val="24"/>
          <w:lang w:eastAsia="zh-HK"/>
        </w:rPr>
        <w:t>年度典藏文物展示率情形表　　　單位:%</w:t>
      </w:r>
    </w:p>
    <w:tbl>
      <w:tblPr>
        <w:tblW w:w="0" w:type="auto"/>
        <w:tblInd w:w="10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3"/>
        <w:gridCol w:w="1184"/>
        <w:gridCol w:w="1185"/>
        <w:gridCol w:w="1185"/>
        <w:gridCol w:w="1185"/>
        <w:gridCol w:w="1185"/>
        <w:gridCol w:w="1186"/>
      </w:tblGrid>
      <w:tr w:rsidR="00B6184F" w:rsidRPr="00065BCE" w:rsidTr="00F035E0">
        <w:tc>
          <w:tcPr>
            <w:tcW w:w="1183" w:type="dxa"/>
            <w:shd w:val="clear" w:color="auto" w:fill="auto"/>
          </w:tcPr>
          <w:p w:rsidR="00B6184F" w:rsidRPr="00065BCE" w:rsidRDefault="00B6184F" w:rsidP="00AB7220">
            <w:pPr>
              <w:suppressAutoHyphens/>
              <w:spacing w:line="380" w:lineRule="exact"/>
              <w:rPr>
                <w:rFonts w:ascii="標楷體" w:eastAsia="標楷體" w:hAnsi="標楷體"/>
                <w:position w:val="-1"/>
                <w:szCs w:val="24"/>
                <w:lang w:eastAsia="zh-HK"/>
              </w:rPr>
            </w:pPr>
            <w:bookmarkStart w:id="208" w:name="_Toc123716339"/>
            <w:r w:rsidRPr="00065BCE">
              <w:rPr>
                <w:rFonts w:ascii="標楷體" w:eastAsia="標楷體" w:hAnsi="標楷體" w:hint="eastAsia"/>
                <w:position w:val="-1"/>
                <w:szCs w:val="24"/>
                <w:lang w:eastAsia="zh-HK"/>
              </w:rPr>
              <w:t>院區</w:t>
            </w:r>
            <w:bookmarkEnd w:id="208"/>
          </w:p>
        </w:tc>
        <w:tc>
          <w:tcPr>
            <w:tcW w:w="1184" w:type="dxa"/>
            <w:shd w:val="clear" w:color="auto" w:fill="auto"/>
          </w:tcPr>
          <w:p w:rsidR="00B6184F" w:rsidRPr="00065BCE" w:rsidRDefault="00B6184F" w:rsidP="00AB7220">
            <w:pPr>
              <w:suppressAutoHyphens/>
              <w:spacing w:line="380" w:lineRule="exact"/>
              <w:rPr>
                <w:rFonts w:ascii="標楷體" w:eastAsia="標楷體" w:hAnsi="標楷體"/>
                <w:position w:val="-1"/>
                <w:szCs w:val="24"/>
                <w:lang w:eastAsia="zh-HK"/>
              </w:rPr>
            </w:pPr>
            <w:bookmarkStart w:id="209" w:name="_Toc123716340"/>
            <w:r w:rsidRPr="00065BCE">
              <w:rPr>
                <w:rFonts w:ascii="標楷體" w:eastAsia="標楷體" w:hAnsi="標楷體" w:hint="eastAsia"/>
                <w:position w:val="-1"/>
                <w:szCs w:val="24"/>
                <w:lang w:eastAsia="zh-HK"/>
              </w:rPr>
              <w:t>展示品</w:t>
            </w:r>
            <w:bookmarkEnd w:id="209"/>
          </w:p>
        </w:tc>
        <w:tc>
          <w:tcPr>
            <w:tcW w:w="1185" w:type="dxa"/>
            <w:shd w:val="clear" w:color="auto" w:fill="auto"/>
          </w:tcPr>
          <w:p w:rsidR="00B6184F" w:rsidRPr="00065BCE" w:rsidRDefault="00B6184F" w:rsidP="00AB7220">
            <w:pPr>
              <w:suppressAutoHyphens/>
              <w:spacing w:line="380" w:lineRule="exact"/>
              <w:rPr>
                <w:rFonts w:ascii="標楷體" w:eastAsia="標楷體" w:hAnsi="標楷體"/>
                <w:position w:val="-1"/>
                <w:szCs w:val="24"/>
                <w:lang w:eastAsia="zh-HK"/>
              </w:rPr>
            </w:pPr>
            <w:bookmarkStart w:id="210" w:name="_Toc123716341"/>
            <w:r w:rsidRPr="00065BCE">
              <w:rPr>
                <w:rFonts w:ascii="標楷體" w:eastAsia="標楷體" w:hAnsi="標楷體" w:hint="eastAsia"/>
                <w:position w:val="-1"/>
                <w:szCs w:val="24"/>
                <w:lang w:eastAsia="zh-HK"/>
              </w:rPr>
              <w:t>106年度展示率</w:t>
            </w:r>
            <w:bookmarkEnd w:id="210"/>
          </w:p>
        </w:tc>
        <w:tc>
          <w:tcPr>
            <w:tcW w:w="1185" w:type="dxa"/>
            <w:shd w:val="clear" w:color="auto" w:fill="auto"/>
          </w:tcPr>
          <w:p w:rsidR="00B6184F" w:rsidRPr="00065BCE" w:rsidRDefault="00B6184F" w:rsidP="00AB7220">
            <w:pPr>
              <w:suppressAutoHyphens/>
              <w:spacing w:line="380" w:lineRule="exact"/>
              <w:rPr>
                <w:rFonts w:ascii="標楷體" w:eastAsia="標楷體" w:hAnsi="標楷體"/>
                <w:position w:val="-1"/>
                <w:szCs w:val="24"/>
                <w:lang w:eastAsia="zh-HK"/>
              </w:rPr>
            </w:pPr>
            <w:bookmarkStart w:id="211" w:name="_Toc123716342"/>
            <w:r w:rsidRPr="00065BCE">
              <w:rPr>
                <w:rFonts w:ascii="標楷體" w:eastAsia="標楷體" w:hAnsi="標楷體" w:hint="eastAsia"/>
                <w:position w:val="-1"/>
                <w:szCs w:val="24"/>
                <w:lang w:eastAsia="zh-HK"/>
              </w:rPr>
              <w:t>107年度展示率</w:t>
            </w:r>
            <w:bookmarkEnd w:id="211"/>
          </w:p>
        </w:tc>
        <w:tc>
          <w:tcPr>
            <w:tcW w:w="1185" w:type="dxa"/>
            <w:shd w:val="clear" w:color="auto" w:fill="auto"/>
          </w:tcPr>
          <w:p w:rsidR="00B6184F" w:rsidRPr="00065BCE" w:rsidRDefault="00B6184F" w:rsidP="00AB7220">
            <w:pPr>
              <w:suppressAutoHyphens/>
              <w:spacing w:line="380" w:lineRule="exact"/>
              <w:rPr>
                <w:rFonts w:ascii="標楷體" w:eastAsia="標楷體" w:hAnsi="標楷體"/>
                <w:position w:val="-1"/>
                <w:szCs w:val="24"/>
                <w:lang w:eastAsia="zh-HK"/>
              </w:rPr>
            </w:pPr>
            <w:bookmarkStart w:id="212" w:name="_Toc123716343"/>
            <w:r w:rsidRPr="00065BCE">
              <w:rPr>
                <w:rFonts w:ascii="標楷體" w:eastAsia="標楷體" w:hAnsi="標楷體" w:hint="eastAsia"/>
                <w:position w:val="-1"/>
                <w:szCs w:val="24"/>
                <w:lang w:eastAsia="zh-HK"/>
              </w:rPr>
              <w:t>108年度展示率</w:t>
            </w:r>
            <w:bookmarkEnd w:id="212"/>
          </w:p>
        </w:tc>
        <w:tc>
          <w:tcPr>
            <w:tcW w:w="1185" w:type="dxa"/>
            <w:shd w:val="clear" w:color="auto" w:fill="auto"/>
          </w:tcPr>
          <w:p w:rsidR="00B6184F" w:rsidRPr="00065BCE" w:rsidRDefault="00B6184F" w:rsidP="00AB7220">
            <w:pPr>
              <w:suppressAutoHyphens/>
              <w:spacing w:line="380" w:lineRule="exact"/>
              <w:rPr>
                <w:rFonts w:ascii="標楷體" w:eastAsia="標楷體" w:hAnsi="標楷體"/>
                <w:position w:val="-1"/>
                <w:szCs w:val="24"/>
                <w:lang w:eastAsia="zh-HK"/>
              </w:rPr>
            </w:pPr>
            <w:bookmarkStart w:id="213" w:name="_Toc123716344"/>
            <w:r w:rsidRPr="00065BCE">
              <w:rPr>
                <w:rFonts w:ascii="標楷體" w:eastAsia="標楷體" w:hAnsi="標楷體" w:hint="eastAsia"/>
                <w:position w:val="-1"/>
                <w:szCs w:val="24"/>
                <w:lang w:eastAsia="zh-HK"/>
              </w:rPr>
              <w:t>109年度展示率</w:t>
            </w:r>
            <w:bookmarkEnd w:id="213"/>
          </w:p>
        </w:tc>
        <w:tc>
          <w:tcPr>
            <w:tcW w:w="1186" w:type="dxa"/>
            <w:shd w:val="clear" w:color="auto" w:fill="auto"/>
          </w:tcPr>
          <w:p w:rsidR="00B6184F" w:rsidRPr="00065BCE" w:rsidRDefault="00B6184F" w:rsidP="00AB7220">
            <w:pPr>
              <w:suppressAutoHyphens/>
              <w:spacing w:line="380" w:lineRule="exact"/>
              <w:rPr>
                <w:rFonts w:ascii="標楷體" w:eastAsia="標楷體" w:hAnsi="標楷體"/>
                <w:position w:val="-1"/>
                <w:szCs w:val="24"/>
                <w:lang w:eastAsia="zh-HK"/>
              </w:rPr>
            </w:pPr>
            <w:bookmarkStart w:id="214" w:name="_Toc123716345"/>
            <w:r w:rsidRPr="00065BCE">
              <w:rPr>
                <w:rFonts w:ascii="標楷體" w:eastAsia="標楷體" w:hAnsi="標楷體" w:hint="eastAsia"/>
                <w:position w:val="-1"/>
                <w:szCs w:val="24"/>
                <w:lang w:eastAsia="zh-HK"/>
              </w:rPr>
              <w:t>110年度展示率</w:t>
            </w:r>
            <w:bookmarkEnd w:id="214"/>
          </w:p>
        </w:tc>
      </w:tr>
      <w:tr w:rsidR="00B6184F" w:rsidRPr="00065BCE" w:rsidTr="00F035E0">
        <w:tc>
          <w:tcPr>
            <w:tcW w:w="1183" w:type="dxa"/>
            <w:vMerge w:val="restart"/>
            <w:shd w:val="clear" w:color="auto" w:fill="auto"/>
          </w:tcPr>
          <w:p w:rsidR="00B6184F" w:rsidRPr="00065BCE" w:rsidRDefault="00B6184F" w:rsidP="00AB7220">
            <w:pPr>
              <w:suppressAutoHyphens/>
              <w:spacing w:line="520" w:lineRule="exact"/>
              <w:rPr>
                <w:rFonts w:ascii="標楷體" w:eastAsia="標楷體" w:hAnsi="標楷體"/>
                <w:position w:val="-1"/>
                <w:szCs w:val="24"/>
                <w:lang w:eastAsia="zh-HK"/>
              </w:rPr>
            </w:pPr>
            <w:bookmarkStart w:id="215" w:name="_Toc123716346"/>
            <w:r w:rsidRPr="00065BCE">
              <w:rPr>
                <w:rFonts w:ascii="標楷體" w:eastAsia="標楷體" w:hAnsi="標楷體" w:hint="eastAsia"/>
                <w:position w:val="-1"/>
                <w:szCs w:val="24"/>
                <w:lang w:eastAsia="zh-HK"/>
              </w:rPr>
              <w:t>北部院區</w:t>
            </w:r>
            <w:bookmarkEnd w:id="215"/>
          </w:p>
        </w:tc>
        <w:tc>
          <w:tcPr>
            <w:tcW w:w="1184" w:type="dxa"/>
            <w:shd w:val="clear" w:color="auto" w:fill="auto"/>
          </w:tcPr>
          <w:p w:rsidR="00B6184F" w:rsidRPr="00065BCE" w:rsidRDefault="00B6184F" w:rsidP="00AB7220">
            <w:pPr>
              <w:suppressAutoHyphens/>
              <w:spacing w:line="520" w:lineRule="exact"/>
              <w:rPr>
                <w:rFonts w:ascii="標楷體" w:eastAsia="標楷體" w:hAnsi="標楷體"/>
                <w:position w:val="-1"/>
                <w:szCs w:val="24"/>
                <w:lang w:eastAsia="zh-HK"/>
              </w:rPr>
            </w:pPr>
            <w:bookmarkStart w:id="216" w:name="_Toc123716347"/>
            <w:r w:rsidRPr="00065BCE">
              <w:rPr>
                <w:rFonts w:ascii="標楷體" w:eastAsia="標楷體" w:hAnsi="標楷體" w:hint="eastAsia"/>
                <w:position w:val="-1"/>
                <w:szCs w:val="24"/>
                <w:lang w:eastAsia="zh-HK"/>
              </w:rPr>
              <w:t>器物類</w:t>
            </w:r>
            <w:bookmarkEnd w:id="216"/>
          </w:p>
        </w:tc>
        <w:tc>
          <w:tcPr>
            <w:tcW w:w="1185" w:type="dxa"/>
            <w:shd w:val="clear" w:color="auto" w:fill="auto"/>
          </w:tcPr>
          <w:p w:rsidR="00B6184F" w:rsidRPr="00065BCE" w:rsidRDefault="00B6184F" w:rsidP="00AB7220">
            <w:pPr>
              <w:suppressAutoHyphens/>
              <w:spacing w:line="520" w:lineRule="exact"/>
              <w:jc w:val="right"/>
              <w:rPr>
                <w:rFonts w:ascii="標楷體" w:eastAsia="標楷體" w:hAnsi="標楷體"/>
                <w:position w:val="-1"/>
                <w:szCs w:val="24"/>
                <w:lang w:eastAsia="zh-HK"/>
              </w:rPr>
            </w:pPr>
            <w:bookmarkStart w:id="217" w:name="_Toc123716348"/>
            <w:r w:rsidRPr="00065BCE">
              <w:rPr>
                <w:rFonts w:ascii="標楷體" w:eastAsia="標楷體" w:hAnsi="標楷體"/>
                <w:position w:val="-1"/>
                <w:szCs w:val="24"/>
                <w:lang w:eastAsia="zh-HK"/>
              </w:rPr>
              <w:t>4.4</w:t>
            </w:r>
            <w:bookmarkEnd w:id="217"/>
          </w:p>
        </w:tc>
        <w:tc>
          <w:tcPr>
            <w:tcW w:w="1185" w:type="dxa"/>
            <w:shd w:val="clear" w:color="auto" w:fill="auto"/>
          </w:tcPr>
          <w:p w:rsidR="00B6184F" w:rsidRPr="00065BCE" w:rsidRDefault="00B6184F" w:rsidP="00AB7220">
            <w:pPr>
              <w:suppressAutoHyphens/>
              <w:spacing w:line="520" w:lineRule="exact"/>
              <w:jc w:val="right"/>
              <w:rPr>
                <w:rFonts w:ascii="標楷體" w:eastAsia="標楷體" w:hAnsi="標楷體"/>
                <w:position w:val="-1"/>
                <w:szCs w:val="24"/>
                <w:lang w:eastAsia="zh-HK"/>
              </w:rPr>
            </w:pPr>
            <w:bookmarkStart w:id="218" w:name="_Toc123716349"/>
            <w:r w:rsidRPr="00065BCE">
              <w:rPr>
                <w:rFonts w:ascii="標楷體" w:eastAsia="標楷體" w:hAnsi="標楷體"/>
                <w:position w:val="-1"/>
                <w:szCs w:val="24"/>
                <w:lang w:eastAsia="zh-HK"/>
              </w:rPr>
              <w:t>5.1</w:t>
            </w:r>
            <w:bookmarkEnd w:id="218"/>
          </w:p>
        </w:tc>
        <w:tc>
          <w:tcPr>
            <w:tcW w:w="1185" w:type="dxa"/>
            <w:shd w:val="clear" w:color="auto" w:fill="auto"/>
          </w:tcPr>
          <w:p w:rsidR="00B6184F" w:rsidRPr="00065BCE" w:rsidRDefault="00B6184F" w:rsidP="00AB7220">
            <w:pPr>
              <w:suppressAutoHyphens/>
              <w:spacing w:line="520" w:lineRule="exact"/>
              <w:jc w:val="right"/>
              <w:rPr>
                <w:rFonts w:ascii="標楷體" w:eastAsia="標楷體" w:hAnsi="標楷體"/>
                <w:position w:val="-1"/>
                <w:szCs w:val="24"/>
                <w:lang w:eastAsia="zh-HK"/>
              </w:rPr>
            </w:pPr>
            <w:bookmarkStart w:id="219" w:name="_Toc123716350"/>
            <w:r w:rsidRPr="00065BCE">
              <w:rPr>
                <w:rFonts w:ascii="標楷體" w:eastAsia="標楷體" w:hAnsi="標楷體" w:hint="eastAsia"/>
                <w:position w:val="-1"/>
                <w:szCs w:val="24"/>
                <w:lang w:eastAsia="zh-HK"/>
              </w:rPr>
              <w:t>5</w:t>
            </w:r>
            <w:bookmarkEnd w:id="219"/>
          </w:p>
        </w:tc>
        <w:tc>
          <w:tcPr>
            <w:tcW w:w="1185" w:type="dxa"/>
            <w:shd w:val="clear" w:color="auto" w:fill="auto"/>
          </w:tcPr>
          <w:p w:rsidR="00B6184F" w:rsidRPr="00065BCE" w:rsidRDefault="00B6184F" w:rsidP="00AB7220">
            <w:pPr>
              <w:suppressAutoHyphens/>
              <w:spacing w:line="520" w:lineRule="exact"/>
              <w:jc w:val="right"/>
              <w:rPr>
                <w:rFonts w:ascii="標楷體" w:eastAsia="標楷體" w:hAnsi="標楷體"/>
                <w:position w:val="-1"/>
                <w:szCs w:val="24"/>
                <w:lang w:eastAsia="zh-HK"/>
              </w:rPr>
            </w:pPr>
            <w:bookmarkStart w:id="220" w:name="_Toc123716351"/>
            <w:r w:rsidRPr="00065BCE">
              <w:rPr>
                <w:rFonts w:ascii="標楷體" w:eastAsia="標楷體" w:hAnsi="標楷體"/>
                <w:position w:val="-1"/>
                <w:szCs w:val="24"/>
                <w:lang w:eastAsia="zh-HK"/>
              </w:rPr>
              <w:t>6.5</w:t>
            </w:r>
            <w:bookmarkEnd w:id="220"/>
          </w:p>
        </w:tc>
        <w:tc>
          <w:tcPr>
            <w:tcW w:w="1186" w:type="dxa"/>
            <w:shd w:val="clear" w:color="auto" w:fill="auto"/>
          </w:tcPr>
          <w:p w:rsidR="00B6184F" w:rsidRPr="00065BCE" w:rsidRDefault="00B6184F" w:rsidP="00AB7220">
            <w:pPr>
              <w:suppressAutoHyphens/>
              <w:spacing w:line="520" w:lineRule="exact"/>
              <w:jc w:val="right"/>
              <w:rPr>
                <w:rFonts w:ascii="標楷體" w:eastAsia="標楷體" w:hAnsi="標楷體"/>
                <w:position w:val="-1"/>
                <w:szCs w:val="24"/>
                <w:lang w:eastAsia="zh-HK"/>
              </w:rPr>
            </w:pPr>
            <w:bookmarkStart w:id="221" w:name="_Toc123716352"/>
            <w:r w:rsidRPr="00065BCE">
              <w:rPr>
                <w:rFonts w:ascii="標楷體" w:eastAsia="標楷體" w:hAnsi="標楷體"/>
                <w:position w:val="-1"/>
                <w:szCs w:val="24"/>
                <w:lang w:eastAsia="zh-HK"/>
              </w:rPr>
              <w:t>5.6</w:t>
            </w:r>
            <w:bookmarkEnd w:id="221"/>
          </w:p>
        </w:tc>
      </w:tr>
      <w:tr w:rsidR="00B6184F" w:rsidRPr="00065BCE" w:rsidTr="00F035E0">
        <w:tc>
          <w:tcPr>
            <w:tcW w:w="1183" w:type="dxa"/>
            <w:vMerge/>
            <w:shd w:val="clear" w:color="auto" w:fill="auto"/>
          </w:tcPr>
          <w:p w:rsidR="00B6184F" w:rsidRPr="00065BCE" w:rsidRDefault="00B6184F" w:rsidP="00F035E0">
            <w:pPr>
              <w:suppressAutoHyphens/>
              <w:spacing w:line="520" w:lineRule="exact"/>
              <w:outlineLvl w:val="0"/>
              <w:rPr>
                <w:rFonts w:ascii="標楷體" w:eastAsia="標楷體" w:hAnsi="標楷體"/>
                <w:position w:val="-1"/>
                <w:szCs w:val="24"/>
                <w:lang w:eastAsia="zh-HK"/>
              </w:rPr>
            </w:pPr>
          </w:p>
        </w:tc>
        <w:tc>
          <w:tcPr>
            <w:tcW w:w="1184" w:type="dxa"/>
            <w:shd w:val="clear" w:color="auto" w:fill="auto"/>
          </w:tcPr>
          <w:p w:rsidR="00B6184F" w:rsidRPr="00065BCE" w:rsidRDefault="00B6184F" w:rsidP="00AB7220">
            <w:pPr>
              <w:suppressAutoHyphens/>
              <w:spacing w:line="520" w:lineRule="exact"/>
              <w:rPr>
                <w:rFonts w:ascii="標楷體" w:eastAsia="標楷體" w:hAnsi="標楷體"/>
                <w:position w:val="-1"/>
                <w:szCs w:val="24"/>
                <w:lang w:eastAsia="zh-HK"/>
              </w:rPr>
            </w:pPr>
            <w:bookmarkStart w:id="222" w:name="_Toc123716353"/>
            <w:r w:rsidRPr="00065BCE">
              <w:rPr>
                <w:rFonts w:ascii="標楷體" w:eastAsia="標楷體" w:hAnsi="標楷體" w:hint="eastAsia"/>
                <w:position w:val="-1"/>
                <w:szCs w:val="24"/>
                <w:lang w:eastAsia="zh-HK"/>
              </w:rPr>
              <w:t>書畫類</w:t>
            </w:r>
            <w:bookmarkEnd w:id="222"/>
          </w:p>
        </w:tc>
        <w:tc>
          <w:tcPr>
            <w:tcW w:w="1185" w:type="dxa"/>
            <w:shd w:val="clear" w:color="auto" w:fill="auto"/>
          </w:tcPr>
          <w:p w:rsidR="00B6184F" w:rsidRPr="00065BCE" w:rsidRDefault="00B6184F" w:rsidP="00AB7220">
            <w:pPr>
              <w:suppressAutoHyphens/>
              <w:spacing w:line="520" w:lineRule="exact"/>
              <w:jc w:val="right"/>
              <w:rPr>
                <w:rFonts w:ascii="標楷體" w:eastAsia="標楷體" w:hAnsi="標楷體"/>
                <w:position w:val="-1"/>
                <w:szCs w:val="24"/>
                <w:lang w:eastAsia="zh-HK"/>
              </w:rPr>
            </w:pPr>
            <w:bookmarkStart w:id="223" w:name="_Toc123716354"/>
            <w:r w:rsidRPr="00065BCE">
              <w:rPr>
                <w:rFonts w:ascii="標楷體" w:eastAsia="標楷體" w:hAnsi="標楷體"/>
                <w:position w:val="-1"/>
                <w:szCs w:val="24"/>
                <w:lang w:eastAsia="zh-HK"/>
              </w:rPr>
              <w:t>2.76</w:t>
            </w:r>
            <w:bookmarkEnd w:id="223"/>
          </w:p>
        </w:tc>
        <w:tc>
          <w:tcPr>
            <w:tcW w:w="1185" w:type="dxa"/>
            <w:shd w:val="clear" w:color="auto" w:fill="auto"/>
          </w:tcPr>
          <w:p w:rsidR="00B6184F" w:rsidRPr="00065BCE" w:rsidRDefault="00B6184F" w:rsidP="00AB7220">
            <w:pPr>
              <w:suppressAutoHyphens/>
              <w:spacing w:line="520" w:lineRule="exact"/>
              <w:jc w:val="right"/>
              <w:rPr>
                <w:rFonts w:ascii="標楷體" w:eastAsia="標楷體" w:hAnsi="標楷體"/>
                <w:position w:val="-1"/>
                <w:szCs w:val="24"/>
                <w:lang w:eastAsia="zh-HK"/>
              </w:rPr>
            </w:pPr>
            <w:bookmarkStart w:id="224" w:name="_Toc123716355"/>
            <w:r w:rsidRPr="00065BCE">
              <w:rPr>
                <w:rFonts w:ascii="標楷體" w:eastAsia="標楷體" w:hAnsi="標楷體"/>
                <w:position w:val="-1"/>
                <w:szCs w:val="24"/>
                <w:lang w:eastAsia="zh-HK"/>
              </w:rPr>
              <w:t>2.29</w:t>
            </w:r>
            <w:bookmarkEnd w:id="224"/>
          </w:p>
        </w:tc>
        <w:tc>
          <w:tcPr>
            <w:tcW w:w="1185" w:type="dxa"/>
            <w:shd w:val="clear" w:color="auto" w:fill="auto"/>
          </w:tcPr>
          <w:p w:rsidR="00B6184F" w:rsidRPr="00065BCE" w:rsidRDefault="00B6184F" w:rsidP="00AB7220">
            <w:pPr>
              <w:suppressAutoHyphens/>
              <w:spacing w:line="520" w:lineRule="exact"/>
              <w:jc w:val="right"/>
              <w:rPr>
                <w:rFonts w:ascii="標楷體" w:eastAsia="標楷體" w:hAnsi="標楷體"/>
                <w:position w:val="-1"/>
                <w:szCs w:val="24"/>
              </w:rPr>
            </w:pPr>
            <w:bookmarkStart w:id="225" w:name="_Toc123716356"/>
            <w:r w:rsidRPr="00065BCE">
              <w:rPr>
                <w:rFonts w:ascii="標楷體" w:eastAsia="標楷體" w:hAnsi="標楷體" w:hint="eastAsia"/>
                <w:position w:val="-1"/>
                <w:szCs w:val="24"/>
              </w:rPr>
              <w:t>2</w:t>
            </w:r>
            <w:r w:rsidRPr="00065BCE">
              <w:rPr>
                <w:rFonts w:ascii="標楷體" w:eastAsia="標楷體" w:hAnsi="標楷體"/>
                <w:position w:val="-1"/>
                <w:szCs w:val="24"/>
              </w:rPr>
              <w:t>.</w:t>
            </w:r>
            <w:r w:rsidRPr="00065BCE">
              <w:rPr>
                <w:rFonts w:ascii="標楷體" w:eastAsia="標楷體" w:hAnsi="標楷體"/>
                <w:position w:val="-1"/>
                <w:szCs w:val="24"/>
                <w:lang w:eastAsia="zh-HK"/>
              </w:rPr>
              <w:t>31</w:t>
            </w:r>
            <w:bookmarkEnd w:id="225"/>
          </w:p>
        </w:tc>
        <w:tc>
          <w:tcPr>
            <w:tcW w:w="1185" w:type="dxa"/>
            <w:shd w:val="clear" w:color="auto" w:fill="auto"/>
          </w:tcPr>
          <w:p w:rsidR="00B6184F" w:rsidRPr="00065BCE" w:rsidRDefault="00B6184F" w:rsidP="00AB7220">
            <w:pPr>
              <w:suppressAutoHyphens/>
              <w:spacing w:line="520" w:lineRule="exact"/>
              <w:jc w:val="right"/>
              <w:rPr>
                <w:rFonts w:ascii="標楷體" w:eastAsia="標楷體" w:hAnsi="標楷體"/>
                <w:position w:val="-1"/>
                <w:szCs w:val="24"/>
                <w:lang w:eastAsia="zh-HK"/>
              </w:rPr>
            </w:pPr>
            <w:bookmarkStart w:id="226" w:name="_Toc123716357"/>
            <w:r w:rsidRPr="00065BCE">
              <w:rPr>
                <w:rFonts w:ascii="標楷體" w:eastAsia="標楷體" w:hAnsi="標楷體"/>
                <w:position w:val="-1"/>
                <w:szCs w:val="24"/>
                <w:lang w:eastAsia="zh-HK"/>
              </w:rPr>
              <w:t>2.61</w:t>
            </w:r>
            <w:bookmarkEnd w:id="226"/>
          </w:p>
        </w:tc>
        <w:tc>
          <w:tcPr>
            <w:tcW w:w="1186" w:type="dxa"/>
            <w:shd w:val="clear" w:color="auto" w:fill="auto"/>
          </w:tcPr>
          <w:p w:rsidR="00B6184F" w:rsidRPr="00065BCE" w:rsidRDefault="00B6184F" w:rsidP="00AB7220">
            <w:pPr>
              <w:suppressAutoHyphens/>
              <w:spacing w:line="520" w:lineRule="exact"/>
              <w:jc w:val="right"/>
              <w:rPr>
                <w:rFonts w:ascii="標楷體" w:eastAsia="標楷體" w:hAnsi="標楷體"/>
                <w:position w:val="-1"/>
                <w:szCs w:val="24"/>
                <w:lang w:eastAsia="zh-HK"/>
              </w:rPr>
            </w:pPr>
            <w:bookmarkStart w:id="227" w:name="_Toc123716358"/>
            <w:r w:rsidRPr="00065BCE">
              <w:rPr>
                <w:rFonts w:ascii="標楷體" w:eastAsia="標楷體" w:hAnsi="標楷體"/>
                <w:position w:val="-1"/>
                <w:szCs w:val="24"/>
                <w:lang w:eastAsia="zh-HK"/>
              </w:rPr>
              <w:t>3.1</w:t>
            </w:r>
            <w:bookmarkEnd w:id="227"/>
          </w:p>
        </w:tc>
      </w:tr>
      <w:tr w:rsidR="00B6184F" w:rsidRPr="00065BCE" w:rsidTr="00F035E0">
        <w:tc>
          <w:tcPr>
            <w:tcW w:w="1183" w:type="dxa"/>
            <w:vMerge/>
            <w:shd w:val="clear" w:color="auto" w:fill="auto"/>
          </w:tcPr>
          <w:p w:rsidR="00B6184F" w:rsidRPr="00065BCE" w:rsidRDefault="00B6184F" w:rsidP="00F035E0">
            <w:pPr>
              <w:suppressAutoHyphens/>
              <w:spacing w:line="520" w:lineRule="exact"/>
              <w:outlineLvl w:val="0"/>
              <w:rPr>
                <w:rFonts w:ascii="標楷體" w:eastAsia="標楷體" w:hAnsi="標楷體"/>
                <w:position w:val="-1"/>
                <w:szCs w:val="24"/>
                <w:lang w:eastAsia="zh-HK"/>
              </w:rPr>
            </w:pPr>
          </w:p>
        </w:tc>
        <w:tc>
          <w:tcPr>
            <w:tcW w:w="1184" w:type="dxa"/>
            <w:shd w:val="clear" w:color="auto" w:fill="auto"/>
          </w:tcPr>
          <w:p w:rsidR="00B6184F" w:rsidRPr="00065BCE" w:rsidRDefault="00B6184F" w:rsidP="00AB7220">
            <w:pPr>
              <w:suppressAutoHyphens/>
              <w:spacing w:line="520" w:lineRule="exact"/>
              <w:rPr>
                <w:rFonts w:ascii="標楷體" w:eastAsia="標楷體" w:hAnsi="標楷體"/>
                <w:position w:val="-1"/>
                <w:szCs w:val="24"/>
                <w:lang w:eastAsia="zh-HK"/>
              </w:rPr>
            </w:pPr>
            <w:bookmarkStart w:id="228" w:name="_Toc123716359"/>
            <w:r w:rsidRPr="00065BCE">
              <w:rPr>
                <w:rFonts w:ascii="標楷體" w:eastAsia="標楷體" w:hAnsi="標楷體" w:hint="eastAsia"/>
                <w:position w:val="-1"/>
                <w:szCs w:val="24"/>
                <w:lang w:eastAsia="zh-HK"/>
              </w:rPr>
              <w:t>圖書文獻</w:t>
            </w:r>
            <w:bookmarkEnd w:id="228"/>
          </w:p>
        </w:tc>
        <w:tc>
          <w:tcPr>
            <w:tcW w:w="1185" w:type="dxa"/>
            <w:shd w:val="clear" w:color="auto" w:fill="auto"/>
          </w:tcPr>
          <w:p w:rsidR="00B6184F" w:rsidRPr="00065BCE" w:rsidRDefault="00B6184F" w:rsidP="00AB7220">
            <w:pPr>
              <w:suppressAutoHyphens/>
              <w:spacing w:line="520" w:lineRule="exact"/>
              <w:jc w:val="right"/>
              <w:rPr>
                <w:rFonts w:ascii="標楷體" w:eastAsia="標楷體" w:hAnsi="標楷體"/>
                <w:position w:val="-1"/>
                <w:szCs w:val="24"/>
                <w:lang w:eastAsia="zh-HK"/>
              </w:rPr>
            </w:pPr>
            <w:bookmarkStart w:id="229" w:name="_Toc123716360"/>
            <w:r w:rsidRPr="00065BCE">
              <w:rPr>
                <w:rFonts w:ascii="標楷體" w:eastAsia="標楷體" w:hAnsi="標楷體"/>
                <w:position w:val="-1"/>
                <w:szCs w:val="24"/>
                <w:lang w:eastAsia="zh-HK"/>
              </w:rPr>
              <w:t>0.15</w:t>
            </w:r>
            <w:bookmarkEnd w:id="229"/>
          </w:p>
        </w:tc>
        <w:tc>
          <w:tcPr>
            <w:tcW w:w="1185" w:type="dxa"/>
            <w:shd w:val="clear" w:color="auto" w:fill="auto"/>
          </w:tcPr>
          <w:p w:rsidR="00B6184F" w:rsidRPr="00065BCE" w:rsidRDefault="00B6184F" w:rsidP="00AB7220">
            <w:pPr>
              <w:suppressAutoHyphens/>
              <w:spacing w:line="520" w:lineRule="exact"/>
              <w:jc w:val="right"/>
              <w:rPr>
                <w:rFonts w:ascii="標楷體" w:eastAsia="標楷體" w:hAnsi="標楷體"/>
                <w:position w:val="-1"/>
                <w:szCs w:val="24"/>
                <w:lang w:eastAsia="zh-HK"/>
              </w:rPr>
            </w:pPr>
            <w:bookmarkStart w:id="230" w:name="_Toc123716361"/>
            <w:r w:rsidRPr="00065BCE">
              <w:rPr>
                <w:rFonts w:ascii="標楷體" w:eastAsia="標楷體" w:hAnsi="標楷體"/>
                <w:position w:val="-1"/>
                <w:szCs w:val="24"/>
                <w:lang w:eastAsia="zh-HK"/>
              </w:rPr>
              <w:t>0.28</w:t>
            </w:r>
            <w:bookmarkEnd w:id="230"/>
          </w:p>
        </w:tc>
        <w:tc>
          <w:tcPr>
            <w:tcW w:w="1185" w:type="dxa"/>
            <w:shd w:val="clear" w:color="auto" w:fill="auto"/>
          </w:tcPr>
          <w:p w:rsidR="00B6184F" w:rsidRPr="00065BCE" w:rsidRDefault="00B6184F" w:rsidP="00AB7220">
            <w:pPr>
              <w:suppressAutoHyphens/>
              <w:spacing w:line="520" w:lineRule="exact"/>
              <w:jc w:val="right"/>
              <w:rPr>
                <w:rFonts w:ascii="標楷體" w:eastAsia="標楷體" w:hAnsi="標楷體"/>
                <w:position w:val="-1"/>
                <w:szCs w:val="24"/>
              </w:rPr>
            </w:pPr>
            <w:bookmarkStart w:id="231" w:name="_Toc123716362"/>
            <w:r w:rsidRPr="00065BCE">
              <w:rPr>
                <w:rFonts w:ascii="標楷體" w:eastAsia="標楷體" w:hAnsi="標楷體" w:hint="eastAsia"/>
                <w:position w:val="-1"/>
                <w:szCs w:val="24"/>
              </w:rPr>
              <w:t>0</w:t>
            </w:r>
            <w:r w:rsidRPr="00065BCE">
              <w:rPr>
                <w:rFonts w:ascii="標楷體" w:eastAsia="標楷體" w:hAnsi="標楷體"/>
                <w:position w:val="-1"/>
                <w:szCs w:val="24"/>
              </w:rPr>
              <w:t>.12</w:t>
            </w:r>
            <w:bookmarkEnd w:id="231"/>
          </w:p>
        </w:tc>
        <w:tc>
          <w:tcPr>
            <w:tcW w:w="1185" w:type="dxa"/>
            <w:shd w:val="clear" w:color="auto" w:fill="auto"/>
          </w:tcPr>
          <w:p w:rsidR="00B6184F" w:rsidRPr="00065BCE" w:rsidRDefault="00B6184F" w:rsidP="00AB7220">
            <w:pPr>
              <w:suppressAutoHyphens/>
              <w:spacing w:line="520" w:lineRule="exact"/>
              <w:jc w:val="right"/>
              <w:rPr>
                <w:rFonts w:ascii="標楷體" w:eastAsia="標楷體" w:hAnsi="標楷體"/>
                <w:position w:val="-1"/>
                <w:szCs w:val="24"/>
                <w:lang w:eastAsia="zh-HK"/>
              </w:rPr>
            </w:pPr>
            <w:bookmarkStart w:id="232" w:name="_Toc123716363"/>
            <w:r w:rsidRPr="00065BCE">
              <w:rPr>
                <w:rFonts w:ascii="標楷體" w:eastAsia="標楷體" w:hAnsi="標楷體"/>
                <w:position w:val="-1"/>
                <w:szCs w:val="24"/>
                <w:lang w:eastAsia="zh-HK"/>
              </w:rPr>
              <w:t>0.10</w:t>
            </w:r>
            <w:bookmarkEnd w:id="232"/>
          </w:p>
        </w:tc>
        <w:tc>
          <w:tcPr>
            <w:tcW w:w="1186" w:type="dxa"/>
            <w:shd w:val="clear" w:color="auto" w:fill="auto"/>
          </w:tcPr>
          <w:p w:rsidR="00B6184F" w:rsidRPr="00065BCE" w:rsidRDefault="00B6184F" w:rsidP="00AB7220">
            <w:pPr>
              <w:suppressAutoHyphens/>
              <w:spacing w:line="520" w:lineRule="exact"/>
              <w:jc w:val="right"/>
              <w:rPr>
                <w:rFonts w:ascii="標楷體" w:eastAsia="標楷體" w:hAnsi="標楷體"/>
                <w:position w:val="-1"/>
                <w:szCs w:val="24"/>
                <w:lang w:eastAsia="zh-HK"/>
              </w:rPr>
            </w:pPr>
            <w:bookmarkStart w:id="233" w:name="_Toc123716364"/>
            <w:r w:rsidRPr="00065BCE">
              <w:rPr>
                <w:rFonts w:ascii="標楷體" w:eastAsia="標楷體" w:hAnsi="標楷體"/>
                <w:position w:val="-1"/>
                <w:szCs w:val="24"/>
                <w:lang w:eastAsia="zh-HK"/>
              </w:rPr>
              <w:t>0.11</w:t>
            </w:r>
            <w:bookmarkEnd w:id="233"/>
          </w:p>
        </w:tc>
      </w:tr>
      <w:tr w:rsidR="00B6184F" w:rsidRPr="00065BCE" w:rsidTr="00F035E0">
        <w:tc>
          <w:tcPr>
            <w:tcW w:w="1183" w:type="dxa"/>
            <w:vMerge w:val="restart"/>
            <w:shd w:val="clear" w:color="auto" w:fill="auto"/>
          </w:tcPr>
          <w:p w:rsidR="00B6184F" w:rsidRPr="00065BCE" w:rsidRDefault="00B6184F" w:rsidP="00AB7220">
            <w:pPr>
              <w:suppressAutoHyphens/>
              <w:spacing w:line="520" w:lineRule="exact"/>
              <w:rPr>
                <w:rFonts w:ascii="標楷體" w:eastAsia="標楷體" w:hAnsi="標楷體"/>
                <w:position w:val="-1"/>
                <w:szCs w:val="24"/>
                <w:lang w:eastAsia="zh-HK"/>
              </w:rPr>
            </w:pPr>
            <w:bookmarkStart w:id="234" w:name="_Toc123716365"/>
            <w:r w:rsidRPr="00065BCE">
              <w:rPr>
                <w:rFonts w:ascii="標楷體" w:eastAsia="標楷體" w:hAnsi="標楷體" w:hint="eastAsia"/>
                <w:position w:val="-1"/>
                <w:szCs w:val="24"/>
                <w:lang w:eastAsia="zh-HK"/>
              </w:rPr>
              <w:t>南部院區</w:t>
            </w:r>
            <w:bookmarkEnd w:id="234"/>
          </w:p>
        </w:tc>
        <w:tc>
          <w:tcPr>
            <w:tcW w:w="1184" w:type="dxa"/>
            <w:shd w:val="clear" w:color="auto" w:fill="auto"/>
          </w:tcPr>
          <w:p w:rsidR="00B6184F" w:rsidRPr="00065BCE" w:rsidRDefault="00B6184F" w:rsidP="00AB7220">
            <w:pPr>
              <w:suppressAutoHyphens/>
              <w:spacing w:line="520" w:lineRule="exact"/>
              <w:rPr>
                <w:rFonts w:ascii="標楷體" w:eastAsia="標楷體" w:hAnsi="標楷體"/>
                <w:position w:val="-1"/>
                <w:szCs w:val="24"/>
                <w:lang w:eastAsia="zh-HK"/>
              </w:rPr>
            </w:pPr>
            <w:bookmarkStart w:id="235" w:name="_Toc123716366"/>
            <w:r w:rsidRPr="00065BCE">
              <w:rPr>
                <w:rFonts w:ascii="標楷體" w:eastAsia="標楷體" w:hAnsi="標楷體" w:hint="eastAsia"/>
                <w:position w:val="-1"/>
                <w:szCs w:val="24"/>
                <w:lang w:eastAsia="zh-HK"/>
              </w:rPr>
              <w:t>器物類</w:t>
            </w:r>
            <w:bookmarkEnd w:id="235"/>
          </w:p>
        </w:tc>
        <w:tc>
          <w:tcPr>
            <w:tcW w:w="1185" w:type="dxa"/>
            <w:shd w:val="clear" w:color="auto" w:fill="auto"/>
          </w:tcPr>
          <w:p w:rsidR="00B6184F" w:rsidRPr="00065BCE" w:rsidRDefault="00B6184F" w:rsidP="00AB7220">
            <w:pPr>
              <w:suppressAutoHyphens/>
              <w:spacing w:line="520" w:lineRule="exact"/>
              <w:jc w:val="right"/>
              <w:rPr>
                <w:rFonts w:ascii="標楷體" w:eastAsia="標楷體" w:hAnsi="標楷體"/>
                <w:position w:val="-1"/>
                <w:szCs w:val="24"/>
                <w:lang w:eastAsia="zh-HK"/>
              </w:rPr>
            </w:pPr>
            <w:bookmarkStart w:id="236" w:name="_Toc123716367"/>
            <w:r w:rsidRPr="00065BCE">
              <w:rPr>
                <w:rFonts w:ascii="標楷體" w:eastAsia="標楷體" w:hAnsi="標楷體"/>
                <w:position w:val="-1"/>
                <w:szCs w:val="24"/>
                <w:lang w:eastAsia="zh-HK"/>
              </w:rPr>
              <w:t>11.48</w:t>
            </w:r>
            <w:bookmarkEnd w:id="236"/>
          </w:p>
        </w:tc>
        <w:tc>
          <w:tcPr>
            <w:tcW w:w="1185" w:type="dxa"/>
            <w:shd w:val="clear" w:color="auto" w:fill="auto"/>
          </w:tcPr>
          <w:p w:rsidR="00B6184F" w:rsidRPr="00065BCE" w:rsidRDefault="00B6184F" w:rsidP="00AB7220">
            <w:pPr>
              <w:suppressAutoHyphens/>
              <w:spacing w:line="520" w:lineRule="exact"/>
              <w:jc w:val="right"/>
              <w:rPr>
                <w:rFonts w:ascii="標楷體" w:eastAsia="標楷體" w:hAnsi="標楷體"/>
                <w:position w:val="-1"/>
                <w:szCs w:val="24"/>
                <w:lang w:eastAsia="zh-HK"/>
              </w:rPr>
            </w:pPr>
            <w:bookmarkStart w:id="237" w:name="_Toc123716368"/>
            <w:r w:rsidRPr="00065BCE">
              <w:rPr>
                <w:rFonts w:ascii="標楷體" w:eastAsia="標楷體" w:hAnsi="標楷體"/>
                <w:position w:val="-1"/>
                <w:szCs w:val="24"/>
                <w:lang w:eastAsia="zh-HK"/>
              </w:rPr>
              <w:t>11.19</w:t>
            </w:r>
            <w:bookmarkEnd w:id="237"/>
          </w:p>
        </w:tc>
        <w:tc>
          <w:tcPr>
            <w:tcW w:w="1185" w:type="dxa"/>
            <w:shd w:val="clear" w:color="auto" w:fill="auto"/>
          </w:tcPr>
          <w:p w:rsidR="00B6184F" w:rsidRPr="00065BCE" w:rsidRDefault="00B6184F" w:rsidP="00AB7220">
            <w:pPr>
              <w:suppressAutoHyphens/>
              <w:spacing w:line="520" w:lineRule="exact"/>
              <w:jc w:val="right"/>
              <w:rPr>
                <w:rFonts w:ascii="標楷體" w:eastAsia="標楷體" w:hAnsi="標楷體"/>
                <w:position w:val="-1"/>
                <w:szCs w:val="24"/>
                <w:lang w:eastAsia="zh-HK"/>
              </w:rPr>
            </w:pPr>
            <w:bookmarkStart w:id="238" w:name="_Toc123716369"/>
            <w:r w:rsidRPr="00065BCE">
              <w:rPr>
                <w:rFonts w:ascii="標楷體" w:eastAsia="標楷體" w:hAnsi="標楷體"/>
                <w:position w:val="-1"/>
                <w:szCs w:val="24"/>
                <w:lang w:eastAsia="zh-HK"/>
              </w:rPr>
              <w:t>61.15</w:t>
            </w:r>
            <w:bookmarkEnd w:id="238"/>
          </w:p>
        </w:tc>
        <w:tc>
          <w:tcPr>
            <w:tcW w:w="1185" w:type="dxa"/>
            <w:shd w:val="clear" w:color="auto" w:fill="auto"/>
          </w:tcPr>
          <w:p w:rsidR="00B6184F" w:rsidRPr="00065BCE" w:rsidRDefault="00B6184F" w:rsidP="00AB7220">
            <w:pPr>
              <w:suppressAutoHyphens/>
              <w:spacing w:line="520" w:lineRule="exact"/>
              <w:jc w:val="right"/>
              <w:rPr>
                <w:rFonts w:ascii="標楷體" w:eastAsia="標楷體" w:hAnsi="標楷體"/>
                <w:position w:val="-1"/>
                <w:szCs w:val="24"/>
                <w:lang w:eastAsia="zh-HK"/>
              </w:rPr>
            </w:pPr>
            <w:bookmarkStart w:id="239" w:name="_Toc123716370"/>
            <w:r w:rsidRPr="00065BCE">
              <w:rPr>
                <w:rFonts w:ascii="標楷體" w:eastAsia="標楷體" w:hAnsi="標楷體"/>
                <w:position w:val="-1"/>
                <w:szCs w:val="24"/>
                <w:lang w:eastAsia="zh-HK"/>
              </w:rPr>
              <w:t>31.70</w:t>
            </w:r>
            <w:bookmarkEnd w:id="239"/>
          </w:p>
        </w:tc>
        <w:tc>
          <w:tcPr>
            <w:tcW w:w="1186" w:type="dxa"/>
            <w:shd w:val="clear" w:color="auto" w:fill="auto"/>
          </w:tcPr>
          <w:p w:rsidR="00B6184F" w:rsidRPr="00065BCE" w:rsidRDefault="00B6184F" w:rsidP="00AB7220">
            <w:pPr>
              <w:suppressAutoHyphens/>
              <w:spacing w:line="520" w:lineRule="exact"/>
              <w:jc w:val="right"/>
              <w:rPr>
                <w:rFonts w:ascii="標楷體" w:eastAsia="標楷體" w:hAnsi="標楷體"/>
                <w:position w:val="-1"/>
                <w:szCs w:val="24"/>
                <w:lang w:eastAsia="zh-HK"/>
              </w:rPr>
            </w:pPr>
            <w:bookmarkStart w:id="240" w:name="_Toc123716371"/>
            <w:r w:rsidRPr="00065BCE">
              <w:rPr>
                <w:rFonts w:ascii="標楷體" w:eastAsia="標楷體" w:hAnsi="標楷體"/>
                <w:position w:val="-1"/>
                <w:szCs w:val="24"/>
                <w:lang w:eastAsia="zh-HK"/>
              </w:rPr>
              <w:t>18.16</w:t>
            </w:r>
            <w:bookmarkEnd w:id="240"/>
          </w:p>
        </w:tc>
      </w:tr>
      <w:tr w:rsidR="00B6184F" w:rsidRPr="00065BCE" w:rsidTr="00F035E0">
        <w:tc>
          <w:tcPr>
            <w:tcW w:w="1183" w:type="dxa"/>
            <w:vMerge/>
            <w:shd w:val="clear" w:color="auto" w:fill="auto"/>
          </w:tcPr>
          <w:p w:rsidR="00B6184F" w:rsidRPr="00065BCE" w:rsidRDefault="00B6184F" w:rsidP="00F035E0">
            <w:pPr>
              <w:suppressAutoHyphens/>
              <w:spacing w:line="520" w:lineRule="exact"/>
              <w:outlineLvl w:val="0"/>
              <w:rPr>
                <w:rFonts w:ascii="標楷體" w:eastAsia="標楷體" w:hAnsi="標楷體"/>
                <w:position w:val="-1"/>
                <w:szCs w:val="24"/>
                <w:lang w:eastAsia="zh-HK"/>
              </w:rPr>
            </w:pPr>
          </w:p>
        </w:tc>
        <w:tc>
          <w:tcPr>
            <w:tcW w:w="1184" w:type="dxa"/>
            <w:shd w:val="clear" w:color="auto" w:fill="auto"/>
          </w:tcPr>
          <w:p w:rsidR="00B6184F" w:rsidRPr="00065BCE" w:rsidRDefault="00B6184F" w:rsidP="00AB7220">
            <w:pPr>
              <w:suppressAutoHyphens/>
              <w:spacing w:line="520" w:lineRule="exact"/>
              <w:rPr>
                <w:rFonts w:ascii="標楷體" w:eastAsia="標楷體" w:hAnsi="標楷體"/>
                <w:position w:val="-1"/>
                <w:szCs w:val="24"/>
                <w:lang w:eastAsia="zh-HK"/>
              </w:rPr>
            </w:pPr>
            <w:bookmarkStart w:id="241" w:name="_Toc123716372"/>
            <w:r w:rsidRPr="00065BCE">
              <w:rPr>
                <w:rFonts w:ascii="標楷體" w:eastAsia="標楷體" w:hAnsi="標楷體" w:hint="eastAsia"/>
                <w:position w:val="-1"/>
                <w:szCs w:val="24"/>
                <w:lang w:eastAsia="zh-HK"/>
              </w:rPr>
              <w:t>書畫類</w:t>
            </w:r>
            <w:bookmarkEnd w:id="241"/>
          </w:p>
        </w:tc>
        <w:tc>
          <w:tcPr>
            <w:tcW w:w="1185" w:type="dxa"/>
            <w:shd w:val="clear" w:color="auto" w:fill="auto"/>
          </w:tcPr>
          <w:p w:rsidR="00B6184F" w:rsidRPr="00065BCE" w:rsidRDefault="00B6184F" w:rsidP="00AB7220">
            <w:pPr>
              <w:suppressAutoHyphens/>
              <w:spacing w:line="520" w:lineRule="exact"/>
              <w:jc w:val="right"/>
              <w:rPr>
                <w:rFonts w:ascii="標楷體" w:eastAsia="標楷體" w:hAnsi="標楷體"/>
                <w:position w:val="-1"/>
                <w:szCs w:val="24"/>
                <w:lang w:eastAsia="zh-HK"/>
              </w:rPr>
            </w:pPr>
            <w:bookmarkStart w:id="242" w:name="_Toc123716373"/>
            <w:r w:rsidRPr="00065BCE">
              <w:rPr>
                <w:rFonts w:ascii="標楷體" w:eastAsia="標楷體" w:hAnsi="標楷體"/>
                <w:position w:val="-1"/>
                <w:szCs w:val="24"/>
                <w:lang w:eastAsia="zh-HK"/>
              </w:rPr>
              <w:t>6.9</w:t>
            </w:r>
            <w:bookmarkEnd w:id="242"/>
          </w:p>
        </w:tc>
        <w:tc>
          <w:tcPr>
            <w:tcW w:w="1185" w:type="dxa"/>
            <w:shd w:val="clear" w:color="auto" w:fill="auto"/>
          </w:tcPr>
          <w:p w:rsidR="00B6184F" w:rsidRPr="00065BCE" w:rsidRDefault="00B6184F" w:rsidP="00AB7220">
            <w:pPr>
              <w:suppressAutoHyphens/>
              <w:spacing w:line="520" w:lineRule="exact"/>
              <w:jc w:val="right"/>
              <w:rPr>
                <w:rFonts w:ascii="標楷體" w:eastAsia="標楷體" w:hAnsi="標楷體"/>
                <w:position w:val="-1"/>
                <w:szCs w:val="24"/>
                <w:lang w:eastAsia="zh-HK"/>
              </w:rPr>
            </w:pPr>
            <w:bookmarkStart w:id="243" w:name="_Toc123716374"/>
            <w:r w:rsidRPr="00065BCE">
              <w:rPr>
                <w:rFonts w:ascii="標楷體" w:eastAsia="標楷體" w:hAnsi="標楷體"/>
                <w:position w:val="-1"/>
                <w:szCs w:val="24"/>
                <w:lang w:eastAsia="zh-HK"/>
              </w:rPr>
              <w:t>0</w:t>
            </w:r>
            <w:bookmarkEnd w:id="243"/>
          </w:p>
        </w:tc>
        <w:tc>
          <w:tcPr>
            <w:tcW w:w="1185" w:type="dxa"/>
            <w:shd w:val="clear" w:color="auto" w:fill="auto"/>
          </w:tcPr>
          <w:p w:rsidR="00B6184F" w:rsidRPr="00065BCE" w:rsidRDefault="00B6184F" w:rsidP="00AB7220">
            <w:pPr>
              <w:suppressAutoHyphens/>
              <w:spacing w:line="520" w:lineRule="exact"/>
              <w:jc w:val="right"/>
              <w:rPr>
                <w:rFonts w:ascii="標楷體" w:eastAsia="標楷體" w:hAnsi="標楷體"/>
                <w:position w:val="-1"/>
                <w:szCs w:val="24"/>
                <w:lang w:eastAsia="zh-HK"/>
              </w:rPr>
            </w:pPr>
            <w:bookmarkStart w:id="244" w:name="_Toc123716375"/>
            <w:r w:rsidRPr="00065BCE">
              <w:rPr>
                <w:rFonts w:ascii="標楷體" w:eastAsia="標楷體" w:hAnsi="標楷體"/>
                <w:position w:val="-1"/>
                <w:szCs w:val="24"/>
                <w:lang w:eastAsia="zh-HK"/>
              </w:rPr>
              <w:t>11.2</w:t>
            </w:r>
            <w:bookmarkEnd w:id="244"/>
          </w:p>
        </w:tc>
        <w:tc>
          <w:tcPr>
            <w:tcW w:w="1185" w:type="dxa"/>
            <w:shd w:val="clear" w:color="auto" w:fill="auto"/>
          </w:tcPr>
          <w:p w:rsidR="00B6184F" w:rsidRPr="00065BCE" w:rsidRDefault="00B6184F" w:rsidP="00AB7220">
            <w:pPr>
              <w:suppressAutoHyphens/>
              <w:spacing w:line="520" w:lineRule="exact"/>
              <w:jc w:val="right"/>
              <w:rPr>
                <w:rFonts w:ascii="標楷體" w:eastAsia="標楷體" w:hAnsi="標楷體"/>
                <w:position w:val="-1"/>
                <w:szCs w:val="24"/>
                <w:lang w:eastAsia="zh-HK"/>
              </w:rPr>
            </w:pPr>
            <w:bookmarkStart w:id="245" w:name="_Toc123716376"/>
            <w:r w:rsidRPr="00065BCE">
              <w:rPr>
                <w:rFonts w:ascii="標楷體" w:eastAsia="標楷體" w:hAnsi="標楷體"/>
                <w:position w:val="-1"/>
                <w:szCs w:val="24"/>
                <w:lang w:eastAsia="zh-HK"/>
              </w:rPr>
              <w:t>11.2</w:t>
            </w:r>
            <w:bookmarkEnd w:id="245"/>
          </w:p>
        </w:tc>
        <w:tc>
          <w:tcPr>
            <w:tcW w:w="1186" w:type="dxa"/>
            <w:shd w:val="clear" w:color="auto" w:fill="auto"/>
          </w:tcPr>
          <w:p w:rsidR="00B6184F" w:rsidRPr="00065BCE" w:rsidRDefault="00B6184F" w:rsidP="00AB7220">
            <w:pPr>
              <w:suppressAutoHyphens/>
              <w:spacing w:line="520" w:lineRule="exact"/>
              <w:jc w:val="right"/>
              <w:rPr>
                <w:rFonts w:ascii="標楷體" w:eastAsia="標楷體" w:hAnsi="標楷體"/>
                <w:position w:val="-1"/>
                <w:szCs w:val="24"/>
                <w:lang w:eastAsia="zh-HK"/>
              </w:rPr>
            </w:pPr>
            <w:bookmarkStart w:id="246" w:name="_Toc123716377"/>
            <w:r w:rsidRPr="00065BCE">
              <w:rPr>
                <w:rFonts w:ascii="標楷體" w:eastAsia="標楷體" w:hAnsi="標楷體"/>
                <w:position w:val="-1"/>
                <w:szCs w:val="24"/>
                <w:lang w:eastAsia="zh-HK"/>
              </w:rPr>
              <w:t>7.20</w:t>
            </w:r>
            <w:bookmarkEnd w:id="246"/>
          </w:p>
        </w:tc>
      </w:tr>
      <w:tr w:rsidR="00B6184F" w:rsidRPr="00065BCE" w:rsidTr="00F035E0">
        <w:tc>
          <w:tcPr>
            <w:tcW w:w="1183" w:type="dxa"/>
            <w:vMerge/>
            <w:shd w:val="clear" w:color="auto" w:fill="auto"/>
          </w:tcPr>
          <w:p w:rsidR="00B6184F" w:rsidRPr="00065BCE" w:rsidRDefault="00B6184F" w:rsidP="00F035E0">
            <w:pPr>
              <w:suppressAutoHyphens/>
              <w:spacing w:line="520" w:lineRule="exact"/>
              <w:outlineLvl w:val="0"/>
              <w:rPr>
                <w:rFonts w:ascii="標楷體" w:eastAsia="標楷體" w:hAnsi="標楷體"/>
                <w:position w:val="-1"/>
                <w:szCs w:val="24"/>
                <w:lang w:eastAsia="zh-HK"/>
              </w:rPr>
            </w:pPr>
          </w:p>
        </w:tc>
        <w:tc>
          <w:tcPr>
            <w:tcW w:w="1184" w:type="dxa"/>
            <w:shd w:val="clear" w:color="auto" w:fill="auto"/>
          </w:tcPr>
          <w:p w:rsidR="00B6184F" w:rsidRPr="00065BCE" w:rsidRDefault="00B6184F" w:rsidP="00AB7220">
            <w:pPr>
              <w:suppressAutoHyphens/>
              <w:spacing w:line="520" w:lineRule="exact"/>
              <w:rPr>
                <w:rFonts w:ascii="標楷體" w:eastAsia="標楷體" w:hAnsi="標楷體"/>
                <w:position w:val="-1"/>
                <w:szCs w:val="24"/>
                <w:lang w:eastAsia="zh-HK"/>
              </w:rPr>
            </w:pPr>
            <w:bookmarkStart w:id="247" w:name="_Toc123716378"/>
            <w:r w:rsidRPr="00065BCE">
              <w:rPr>
                <w:rFonts w:ascii="標楷體" w:eastAsia="標楷體" w:hAnsi="標楷體" w:hint="eastAsia"/>
                <w:position w:val="-1"/>
                <w:szCs w:val="24"/>
                <w:lang w:eastAsia="zh-HK"/>
              </w:rPr>
              <w:t>圖書文獻</w:t>
            </w:r>
            <w:bookmarkEnd w:id="247"/>
          </w:p>
        </w:tc>
        <w:tc>
          <w:tcPr>
            <w:tcW w:w="1185" w:type="dxa"/>
            <w:shd w:val="clear" w:color="auto" w:fill="auto"/>
          </w:tcPr>
          <w:p w:rsidR="00B6184F" w:rsidRPr="00065BCE" w:rsidRDefault="00B6184F" w:rsidP="00AB7220">
            <w:pPr>
              <w:suppressAutoHyphens/>
              <w:spacing w:line="520" w:lineRule="exact"/>
              <w:jc w:val="right"/>
              <w:rPr>
                <w:rFonts w:ascii="標楷體" w:eastAsia="標楷體" w:hAnsi="標楷體"/>
                <w:position w:val="-1"/>
                <w:szCs w:val="24"/>
                <w:lang w:eastAsia="zh-HK"/>
              </w:rPr>
            </w:pPr>
            <w:bookmarkStart w:id="248" w:name="_Toc123716379"/>
            <w:r w:rsidRPr="00065BCE">
              <w:rPr>
                <w:rFonts w:ascii="標楷體" w:eastAsia="標楷體" w:hAnsi="標楷體"/>
                <w:position w:val="-1"/>
                <w:szCs w:val="24"/>
                <w:lang w:eastAsia="zh-HK"/>
              </w:rPr>
              <w:t>0</w:t>
            </w:r>
            <w:bookmarkEnd w:id="248"/>
          </w:p>
        </w:tc>
        <w:tc>
          <w:tcPr>
            <w:tcW w:w="1185" w:type="dxa"/>
            <w:shd w:val="clear" w:color="auto" w:fill="auto"/>
          </w:tcPr>
          <w:p w:rsidR="00B6184F" w:rsidRPr="00065BCE" w:rsidRDefault="00B6184F" w:rsidP="00AB7220">
            <w:pPr>
              <w:suppressAutoHyphens/>
              <w:spacing w:line="520" w:lineRule="exact"/>
              <w:jc w:val="right"/>
              <w:rPr>
                <w:rFonts w:ascii="標楷體" w:eastAsia="標楷體" w:hAnsi="標楷體"/>
                <w:position w:val="-1"/>
                <w:szCs w:val="24"/>
                <w:lang w:eastAsia="zh-HK"/>
              </w:rPr>
            </w:pPr>
            <w:bookmarkStart w:id="249" w:name="_Toc123716380"/>
            <w:r w:rsidRPr="00065BCE">
              <w:rPr>
                <w:rFonts w:ascii="標楷體" w:eastAsia="標楷體" w:hAnsi="標楷體"/>
                <w:position w:val="-1"/>
                <w:szCs w:val="24"/>
                <w:lang w:eastAsia="zh-HK"/>
              </w:rPr>
              <w:t>0</w:t>
            </w:r>
            <w:bookmarkEnd w:id="249"/>
          </w:p>
        </w:tc>
        <w:tc>
          <w:tcPr>
            <w:tcW w:w="1185" w:type="dxa"/>
            <w:shd w:val="clear" w:color="auto" w:fill="auto"/>
          </w:tcPr>
          <w:p w:rsidR="00B6184F" w:rsidRPr="00065BCE" w:rsidRDefault="00B6184F" w:rsidP="00AB7220">
            <w:pPr>
              <w:suppressAutoHyphens/>
              <w:spacing w:line="520" w:lineRule="exact"/>
              <w:jc w:val="right"/>
              <w:rPr>
                <w:rFonts w:ascii="標楷體" w:eastAsia="標楷體" w:hAnsi="標楷體"/>
                <w:position w:val="-1"/>
                <w:szCs w:val="24"/>
              </w:rPr>
            </w:pPr>
            <w:bookmarkStart w:id="250" w:name="_Toc123716381"/>
            <w:r w:rsidRPr="00065BCE">
              <w:rPr>
                <w:rFonts w:ascii="標楷體" w:eastAsia="標楷體" w:hAnsi="標楷體" w:hint="eastAsia"/>
                <w:position w:val="-1"/>
                <w:szCs w:val="24"/>
              </w:rPr>
              <w:t>1</w:t>
            </w:r>
            <w:r w:rsidRPr="00065BCE">
              <w:rPr>
                <w:rFonts w:ascii="標楷體" w:eastAsia="標楷體" w:hAnsi="標楷體"/>
                <w:position w:val="-1"/>
                <w:szCs w:val="24"/>
              </w:rPr>
              <w:t>.08</w:t>
            </w:r>
            <w:bookmarkEnd w:id="250"/>
          </w:p>
        </w:tc>
        <w:tc>
          <w:tcPr>
            <w:tcW w:w="1185" w:type="dxa"/>
            <w:shd w:val="clear" w:color="auto" w:fill="auto"/>
          </w:tcPr>
          <w:p w:rsidR="00B6184F" w:rsidRPr="00065BCE" w:rsidRDefault="00B6184F" w:rsidP="00AB7220">
            <w:pPr>
              <w:suppressAutoHyphens/>
              <w:spacing w:line="520" w:lineRule="exact"/>
              <w:jc w:val="right"/>
              <w:rPr>
                <w:rFonts w:ascii="標楷體" w:eastAsia="標楷體" w:hAnsi="標楷體"/>
                <w:position w:val="-1"/>
                <w:szCs w:val="24"/>
              </w:rPr>
            </w:pPr>
            <w:bookmarkStart w:id="251" w:name="_Toc123716382"/>
            <w:r w:rsidRPr="00065BCE">
              <w:rPr>
                <w:rFonts w:ascii="標楷體" w:eastAsia="標楷體" w:hAnsi="標楷體" w:hint="eastAsia"/>
                <w:position w:val="-1"/>
                <w:szCs w:val="24"/>
              </w:rPr>
              <w:t>1</w:t>
            </w:r>
            <w:r w:rsidRPr="00065BCE">
              <w:rPr>
                <w:rFonts w:ascii="標楷體" w:eastAsia="標楷體" w:hAnsi="標楷體"/>
                <w:position w:val="-1"/>
                <w:szCs w:val="24"/>
              </w:rPr>
              <w:t>.72</w:t>
            </w:r>
            <w:bookmarkEnd w:id="251"/>
          </w:p>
        </w:tc>
        <w:tc>
          <w:tcPr>
            <w:tcW w:w="1186" w:type="dxa"/>
            <w:shd w:val="clear" w:color="auto" w:fill="auto"/>
          </w:tcPr>
          <w:p w:rsidR="00B6184F" w:rsidRPr="00065BCE" w:rsidRDefault="00B6184F" w:rsidP="00AB7220">
            <w:pPr>
              <w:suppressAutoHyphens/>
              <w:spacing w:line="520" w:lineRule="exact"/>
              <w:jc w:val="right"/>
              <w:rPr>
                <w:rFonts w:ascii="標楷體" w:eastAsia="標楷體" w:hAnsi="標楷體"/>
                <w:position w:val="-1"/>
                <w:szCs w:val="24"/>
              </w:rPr>
            </w:pPr>
            <w:bookmarkStart w:id="252" w:name="_Toc123716383"/>
            <w:r w:rsidRPr="00065BCE">
              <w:rPr>
                <w:rFonts w:ascii="標楷體" w:eastAsia="標楷體" w:hAnsi="標楷體" w:hint="eastAsia"/>
                <w:position w:val="-1"/>
                <w:szCs w:val="24"/>
              </w:rPr>
              <w:t>1</w:t>
            </w:r>
            <w:r w:rsidRPr="00065BCE">
              <w:rPr>
                <w:rFonts w:ascii="標楷體" w:eastAsia="標楷體" w:hAnsi="標楷體"/>
                <w:position w:val="-1"/>
                <w:szCs w:val="24"/>
              </w:rPr>
              <w:t>.09</w:t>
            </w:r>
            <w:bookmarkEnd w:id="252"/>
          </w:p>
        </w:tc>
      </w:tr>
      <w:tr w:rsidR="00B6184F" w:rsidRPr="00065BCE" w:rsidTr="00F035E0">
        <w:tc>
          <w:tcPr>
            <w:tcW w:w="1183" w:type="dxa"/>
            <w:vMerge/>
            <w:shd w:val="clear" w:color="auto" w:fill="auto"/>
          </w:tcPr>
          <w:p w:rsidR="00B6184F" w:rsidRPr="00065BCE" w:rsidRDefault="00B6184F" w:rsidP="00F035E0">
            <w:pPr>
              <w:suppressAutoHyphens/>
              <w:spacing w:line="520" w:lineRule="exact"/>
              <w:outlineLvl w:val="0"/>
              <w:rPr>
                <w:rFonts w:ascii="標楷體" w:eastAsia="標楷體" w:hAnsi="標楷體"/>
                <w:position w:val="-1"/>
                <w:szCs w:val="24"/>
                <w:lang w:eastAsia="zh-HK"/>
              </w:rPr>
            </w:pPr>
          </w:p>
        </w:tc>
        <w:tc>
          <w:tcPr>
            <w:tcW w:w="1184" w:type="dxa"/>
            <w:shd w:val="clear" w:color="auto" w:fill="auto"/>
          </w:tcPr>
          <w:p w:rsidR="00B6184F" w:rsidRPr="00065BCE" w:rsidRDefault="00B6184F" w:rsidP="00AB7220">
            <w:pPr>
              <w:suppressAutoHyphens/>
              <w:spacing w:line="520" w:lineRule="exact"/>
              <w:rPr>
                <w:rFonts w:ascii="標楷體" w:eastAsia="標楷體" w:hAnsi="標楷體"/>
                <w:position w:val="-1"/>
                <w:szCs w:val="24"/>
                <w:lang w:eastAsia="zh-HK"/>
              </w:rPr>
            </w:pPr>
            <w:bookmarkStart w:id="253" w:name="_Toc123716384"/>
            <w:r w:rsidRPr="00065BCE">
              <w:rPr>
                <w:rFonts w:ascii="標楷體" w:eastAsia="標楷體" w:hAnsi="標楷體" w:hint="eastAsia"/>
                <w:position w:val="-1"/>
                <w:szCs w:val="24"/>
                <w:lang w:eastAsia="zh-HK"/>
              </w:rPr>
              <w:t>織品類</w:t>
            </w:r>
            <w:bookmarkEnd w:id="253"/>
          </w:p>
        </w:tc>
        <w:tc>
          <w:tcPr>
            <w:tcW w:w="1185" w:type="dxa"/>
            <w:shd w:val="clear" w:color="auto" w:fill="auto"/>
          </w:tcPr>
          <w:p w:rsidR="00B6184F" w:rsidRPr="00065BCE" w:rsidRDefault="00B6184F" w:rsidP="00AB7220">
            <w:pPr>
              <w:suppressAutoHyphens/>
              <w:spacing w:line="520" w:lineRule="exact"/>
              <w:jc w:val="right"/>
              <w:rPr>
                <w:rFonts w:ascii="標楷體" w:eastAsia="標楷體" w:hAnsi="標楷體"/>
                <w:position w:val="-1"/>
                <w:szCs w:val="24"/>
              </w:rPr>
            </w:pPr>
            <w:bookmarkStart w:id="254" w:name="_Toc123716385"/>
            <w:r w:rsidRPr="00065BCE">
              <w:rPr>
                <w:rFonts w:ascii="標楷體" w:eastAsia="標楷體" w:hAnsi="標楷體" w:hint="eastAsia"/>
                <w:position w:val="-1"/>
                <w:szCs w:val="24"/>
              </w:rPr>
              <w:t>1</w:t>
            </w:r>
            <w:r w:rsidRPr="00065BCE">
              <w:rPr>
                <w:rFonts w:ascii="標楷體" w:eastAsia="標楷體" w:hAnsi="標楷體"/>
                <w:position w:val="-1"/>
                <w:szCs w:val="24"/>
              </w:rPr>
              <w:t>8.98</w:t>
            </w:r>
            <w:bookmarkEnd w:id="254"/>
          </w:p>
        </w:tc>
        <w:tc>
          <w:tcPr>
            <w:tcW w:w="1185" w:type="dxa"/>
            <w:shd w:val="clear" w:color="auto" w:fill="auto"/>
          </w:tcPr>
          <w:p w:rsidR="00B6184F" w:rsidRPr="00065BCE" w:rsidRDefault="00B6184F" w:rsidP="00AB7220">
            <w:pPr>
              <w:suppressAutoHyphens/>
              <w:spacing w:line="520" w:lineRule="exact"/>
              <w:jc w:val="right"/>
              <w:rPr>
                <w:rFonts w:ascii="標楷體" w:eastAsia="標楷體" w:hAnsi="標楷體"/>
                <w:position w:val="-1"/>
                <w:szCs w:val="24"/>
              </w:rPr>
            </w:pPr>
            <w:bookmarkStart w:id="255" w:name="_Toc123716386"/>
            <w:r w:rsidRPr="00065BCE">
              <w:rPr>
                <w:rFonts w:ascii="標楷體" w:eastAsia="標楷體" w:hAnsi="標楷體" w:hint="eastAsia"/>
                <w:position w:val="-1"/>
                <w:szCs w:val="24"/>
              </w:rPr>
              <w:t>8</w:t>
            </w:r>
            <w:r w:rsidRPr="00065BCE">
              <w:rPr>
                <w:rFonts w:ascii="標楷體" w:eastAsia="標楷體" w:hAnsi="標楷體"/>
                <w:position w:val="-1"/>
                <w:szCs w:val="24"/>
              </w:rPr>
              <w:t>.51</w:t>
            </w:r>
            <w:bookmarkEnd w:id="255"/>
          </w:p>
        </w:tc>
        <w:tc>
          <w:tcPr>
            <w:tcW w:w="1185" w:type="dxa"/>
            <w:shd w:val="clear" w:color="auto" w:fill="auto"/>
          </w:tcPr>
          <w:p w:rsidR="00B6184F" w:rsidRPr="00065BCE" w:rsidRDefault="00B6184F" w:rsidP="00AB7220">
            <w:pPr>
              <w:suppressAutoHyphens/>
              <w:spacing w:line="520" w:lineRule="exact"/>
              <w:jc w:val="right"/>
              <w:rPr>
                <w:rFonts w:ascii="標楷體" w:eastAsia="標楷體" w:hAnsi="標楷體"/>
                <w:position w:val="-1"/>
                <w:szCs w:val="24"/>
              </w:rPr>
            </w:pPr>
            <w:bookmarkStart w:id="256" w:name="_Toc123716387"/>
            <w:r w:rsidRPr="00065BCE">
              <w:rPr>
                <w:rFonts w:ascii="標楷體" w:eastAsia="標楷體" w:hAnsi="標楷體" w:hint="eastAsia"/>
                <w:position w:val="-1"/>
                <w:szCs w:val="24"/>
              </w:rPr>
              <w:t>1</w:t>
            </w:r>
            <w:r w:rsidRPr="00065BCE">
              <w:rPr>
                <w:rFonts w:ascii="標楷體" w:eastAsia="標楷體" w:hAnsi="標楷體"/>
                <w:position w:val="-1"/>
                <w:szCs w:val="24"/>
              </w:rPr>
              <w:t>1.63</w:t>
            </w:r>
            <w:bookmarkEnd w:id="256"/>
          </w:p>
        </w:tc>
        <w:tc>
          <w:tcPr>
            <w:tcW w:w="1185" w:type="dxa"/>
            <w:shd w:val="clear" w:color="auto" w:fill="auto"/>
          </w:tcPr>
          <w:p w:rsidR="00B6184F" w:rsidRPr="00065BCE" w:rsidRDefault="00B6184F" w:rsidP="00AB7220">
            <w:pPr>
              <w:suppressAutoHyphens/>
              <w:spacing w:line="520" w:lineRule="exact"/>
              <w:jc w:val="right"/>
              <w:rPr>
                <w:rFonts w:ascii="標楷體" w:eastAsia="標楷體" w:hAnsi="標楷體"/>
                <w:position w:val="-1"/>
                <w:szCs w:val="24"/>
                <w:lang w:eastAsia="zh-HK"/>
              </w:rPr>
            </w:pPr>
            <w:bookmarkStart w:id="257" w:name="_Toc123716388"/>
            <w:r w:rsidRPr="00065BCE">
              <w:rPr>
                <w:rFonts w:ascii="標楷體" w:eastAsia="標楷體" w:hAnsi="標楷體" w:hint="eastAsia"/>
                <w:position w:val="-1"/>
                <w:szCs w:val="24"/>
                <w:lang w:eastAsia="zh-HK"/>
              </w:rPr>
              <w:t>3</w:t>
            </w:r>
            <w:r w:rsidRPr="00065BCE">
              <w:rPr>
                <w:rFonts w:ascii="標楷體" w:eastAsia="標楷體" w:hAnsi="標楷體"/>
                <w:position w:val="-1"/>
                <w:szCs w:val="24"/>
                <w:lang w:eastAsia="zh-HK"/>
              </w:rPr>
              <w:t>.76</w:t>
            </w:r>
            <w:bookmarkEnd w:id="257"/>
          </w:p>
        </w:tc>
        <w:tc>
          <w:tcPr>
            <w:tcW w:w="1186" w:type="dxa"/>
            <w:shd w:val="clear" w:color="auto" w:fill="auto"/>
          </w:tcPr>
          <w:p w:rsidR="00B6184F" w:rsidRPr="00065BCE" w:rsidRDefault="00B6184F" w:rsidP="00AB7220">
            <w:pPr>
              <w:suppressAutoHyphens/>
              <w:spacing w:line="520" w:lineRule="exact"/>
              <w:jc w:val="right"/>
              <w:rPr>
                <w:rFonts w:ascii="標楷體" w:eastAsia="標楷體" w:hAnsi="標楷體"/>
                <w:position w:val="-1"/>
                <w:szCs w:val="24"/>
              </w:rPr>
            </w:pPr>
            <w:bookmarkStart w:id="258" w:name="_Toc123716389"/>
            <w:r w:rsidRPr="00065BCE">
              <w:rPr>
                <w:rFonts w:ascii="標楷體" w:eastAsia="標楷體" w:hAnsi="標楷體" w:hint="eastAsia"/>
                <w:position w:val="-1"/>
                <w:szCs w:val="24"/>
              </w:rPr>
              <w:t>7</w:t>
            </w:r>
            <w:r w:rsidRPr="00065BCE">
              <w:rPr>
                <w:rFonts w:ascii="標楷體" w:eastAsia="標楷體" w:hAnsi="標楷體"/>
                <w:position w:val="-1"/>
                <w:szCs w:val="24"/>
              </w:rPr>
              <w:t>.39</w:t>
            </w:r>
            <w:bookmarkEnd w:id="258"/>
          </w:p>
        </w:tc>
      </w:tr>
    </w:tbl>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提案人：黃國書  林宜瑾</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連署人：何欣純</w:t>
      </w:r>
      <w:r w:rsidRPr="00B70493">
        <w:rPr>
          <w:rFonts w:ascii="標楷體" w:eastAsia="標楷體" w:hAnsi="標楷體"/>
          <w:sz w:val="32"/>
          <w:szCs w:val="32"/>
        </w:rPr>
        <w:t xml:space="preserve">  </w:t>
      </w:r>
      <w:r w:rsidRPr="00B70493">
        <w:rPr>
          <w:rFonts w:ascii="標楷體" w:eastAsia="標楷體" w:hAnsi="標楷體" w:hint="eastAsia"/>
          <w:sz w:val="32"/>
          <w:szCs w:val="32"/>
        </w:rPr>
        <w:t>陳秀寳</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三十二)經查112年度國立故宮博物院「文物研究與展覽」項下「書畫文獻研究與展覽」，包含辦理書畫文獻展覽，強化書畫文獻相關學術交流與研究之經費。故宮博物院已與捷克國家博物館簽署合作備忘錄，故宮博物院允宜積極與捷克研擬後續展出事宜。故宮博物院亦應致力規劃與外國博物館洽談故宮文物至外國展覽之事宜，使國際間能透過文物交流，增進合作情誼。爰此，要求國立故宮博物院於3個月內向立法院教育及文化委員會提出書面報告。</w:t>
      </w:r>
      <w:r w:rsidRPr="00B70493">
        <w:rPr>
          <w:rFonts w:ascii="標楷體" w:eastAsia="標楷體" w:hAnsi="標楷體"/>
          <w:sz w:val="32"/>
          <w:szCs w:val="32"/>
        </w:rPr>
        <w:t>36</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提案人：陳秀寳</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連署人：何欣純  林宜瑾 張廖萬堅</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(三十三)</w:t>
      </w:r>
      <w:r w:rsidRPr="00B70493">
        <w:rPr>
          <w:rFonts w:ascii="標楷體" w:eastAsia="標楷體" w:hAnsi="標楷體"/>
          <w:sz w:val="32"/>
          <w:szCs w:val="32"/>
        </w:rPr>
        <w:t>112</w:t>
      </w:r>
      <w:r w:rsidRPr="00B70493">
        <w:rPr>
          <w:rFonts w:ascii="標楷體" w:eastAsia="標楷體" w:hAnsi="標楷體" w:hint="eastAsia"/>
          <w:sz w:val="32"/>
          <w:szCs w:val="32"/>
        </w:rPr>
        <w:t>年度國立故宮博物院「綜合規劃與推廣行銷」預算編列1億6</w:t>
      </w:r>
      <w:r w:rsidRPr="00B70493">
        <w:rPr>
          <w:rFonts w:ascii="標楷體" w:eastAsia="標楷體" w:hAnsi="標楷體"/>
          <w:sz w:val="32"/>
          <w:szCs w:val="32"/>
        </w:rPr>
        <w:t>,</w:t>
      </w:r>
      <w:r w:rsidRPr="00B70493">
        <w:rPr>
          <w:rFonts w:ascii="標楷體" w:eastAsia="標楷體" w:hAnsi="標楷體" w:hint="eastAsia"/>
          <w:sz w:val="32"/>
          <w:szCs w:val="32"/>
        </w:rPr>
        <w:t>459萬元。故宮典藏文物數量達69萬8,856件，而典藏文物之展出皆有一定之數量及期限，雖因展示空間不足，可展出數量受限，導致展示率偏低。但故宮典藏文物展出不應只侷限於南北院區內，在確保文物安全的前提下，應規劃將展品走出故宮之可行性，積極辦理相關策展及建置線</w:t>
      </w:r>
      <w:r w:rsidRPr="00B70493">
        <w:rPr>
          <w:rFonts w:ascii="標楷體" w:eastAsia="標楷體" w:hAnsi="標楷體" w:hint="eastAsia"/>
          <w:sz w:val="32"/>
          <w:szCs w:val="32"/>
        </w:rPr>
        <w:lastRenderedPageBreak/>
        <w:t>上影像資料庫，除提升典藏文物展示率外，也可讓更多民眾認識故宮、了解故宮，並達到社教推廣與博物館行銷目的，故為督促故宮充分發揮典藏文物資源展覽功能及教育推廣效果，加強辦理策展及建置線上影像資料庫，提供多元管道供民眾體驗故宮藏文物，爰要求國立故宮博物院於3個月內向立法院教育及文化委員會提出書面報告。</w:t>
      </w:r>
      <w:r w:rsidRPr="00B70493">
        <w:rPr>
          <w:rFonts w:ascii="標楷體" w:eastAsia="標楷體" w:hAnsi="標楷體"/>
          <w:sz w:val="32"/>
          <w:szCs w:val="32"/>
        </w:rPr>
        <w:t>38</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提案人：何欣純</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連署人：林宜瑾</w:t>
      </w:r>
      <w:r w:rsidRPr="00B70493">
        <w:rPr>
          <w:rFonts w:ascii="標楷體" w:eastAsia="標楷體" w:hAnsi="標楷體"/>
          <w:sz w:val="32"/>
          <w:szCs w:val="32"/>
        </w:rPr>
        <w:t xml:space="preserve">  </w:t>
      </w:r>
      <w:r w:rsidRPr="00B70493">
        <w:rPr>
          <w:rFonts w:ascii="標楷體" w:eastAsia="標楷體" w:hAnsi="標楷體" w:hint="eastAsia"/>
          <w:sz w:val="32"/>
          <w:szCs w:val="32"/>
        </w:rPr>
        <w:t>陳秀寳  張廖萬堅</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(三十四)112年度國立故宮博物院「綜合規劃與推廣行銷」項下「博物館開放資料深度運用計畫」預算編列667萬元，全計畫期程5年，主要工作目標為以運算思維優化故宮資料供師生利用、以 STEAM 結合藝術教育資源並巡迴各縣市、介接各縣市教育體系、擴大故宮資料受眾。111年度故宮預計辦理博物館創客魔幻列車貼心到校服務82校、故宮教育頻道暨開放平台之學習人數達7萬1千人、新增數位內容及新型態開放資料集數22集、辦理工作坊或推廣活動2場及回訪學校6校，迄111年8月底止之執行情形，除辦理工作坊或推廣活動3場已逾目標值外，其他績效指標距年度目標值，有待努力。為提升預算效能、確保該項計畫確實有效執行，請國立故宮博物院針對「博物館開放資料深度運用計畫執行問題與對策」於3個月內向立法院教育及文化委員會提出書面報告。</w:t>
      </w:r>
      <w:r w:rsidRPr="00B70493">
        <w:rPr>
          <w:rFonts w:ascii="標楷體" w:eastAsia="標楷體" w:hAnsi="標楷體"/>
          <w:sz w:val="32"/>
          <w:szCs w:val="32"/>
        </w:rPr>
        <w:t>39</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提案人：賴品妤</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連署人：黃國書  林宜瑾</w:t>
      </w:r>
      <w:r w:rsidRPr="00B70493">
        <w:rPr>
          <w:rFonts w:ascii="標楷體" w:eastAsia="標楷體" w:hAnsi="標楷體"/>
          <w:sz w:val="32"/>
          <w:szCs w:val="32"/>
        </w:rPr>
        <w:t xml:space="preserve">  </w:t>
      </w:r>
      <w:r w:rsidRPr="00B70493">
        <w:rPr>
          <w:rFonts w:ascii="標楷體" w:eastAsia="標楷體" w:hAnsi="標楷體" w:hint="eastAsia"/>
          <w:sz w:val="32"/>
          <w:szCs w:val="32"/>
        </w:rPr>
        <w:t>陳秀寳</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三十五)112年度國立故宮博物院「綜合規劃與推廣行銷」預算編列1億6,459萬元，係用於辦理廣告媒體行銷等媒體政策及業務宣導，並辦理對外服務及行政所需各項資訊系統管理維護等相關經費。國立故宮博物院屬於我國重要文化場館之</w:t>
      </w:r>
      <w:r w:rsidRPr="00B70493">
        <w:rPr>
          <w:rFonts w:ascii="標楷體" w:eastAsia="標楷體" w:hAnsi="標楷體" w:hint="eastAsia"/>
          <w:sz w:val="32"/>
          <w:szCs w:val="32"/>
        </w:rPr>
        <w:lastRenderedPageBreak/>
        <w:t>一，基於文化平權之原則，故宮博物院院區應提供對於各族群之友善場館空間，然故宮之新媒體平台經營對聽障族群友善仍有加強空間。國立故宮博物院之Youtube頻道，係屬於故宮「充實數位內容並發展線上應用」所經營平台之一，現已有6.4萬人訂閱。惟頻道之手語導覽影片僅製作50則，且上次更新為110年12月，為促進故宮文化平權，應加強手語導覽影片之製作及宣傳。</w:t>
      </w:r>
      <w:r w:rsidRPr="00B70493">
        <w:rPr>
          <w:rFonts w:ascii="標楷體" w:eastAsia="標楷體" w:hAnsi="標楷體"/>
          <w:sz w:val="32"/>
          <w:szCs w:val="32"/>
        </w:rPr>
        <w:t>42</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提案人：王婉諭</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連署人：黃國書</w:t>
      </w:r>
      <w:r w:rsidRPr="00B70493">
        <w:rPr>
          <w:rFonts w:ascii="標楷體" w:eastAsia="標楷體" w:hAnsi="標楷體"/>
          <w:sz w:val="32"/>
          <w:szCs w:val="32"/>
        </w:rPr>
        <w:t xml:space="preserve">  </w:t>
      </w:r>
      <w:r w:rsidRPr="00B70493">
        <w:rPr>
          <w:rFonts w:ascii="標楷體" w:eastAsia="標楷體" w:hAnsi="標楷體" w:hint="eastAsia"/>
          <w:sz w:val="32"/>
          <w:szCs w:val="32"/>
        </w:rPr>
        <w:t>陳秀寳  高金素梅</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(三十六)</w:t>
      </w:r>
      <w:r w:rsidRPr="00B70493">
        <w:rPr>
          <w:rFonts w:ascii="標楷體" w:eastAsia="標楷體" w:hAnsi="標楷體"/>
          <w:sz w:val="32"/>
          <w:szCs w:val="32"/>
        </w:rPr>
        <w:t>111</w:t>
      </w:r>
      <w:r w:rsidRPr="00B70493">
        <w:rPr>
          <w:rFonts w:ascii="標楷體" w:eastAsia="標楷體" w:hAnsi="標楷體" w:hint="eastAsia"/>
          <w:sz w:val="32"/>
          <w:szCs w:val="32"/>
        </w:rPr>
        <w:t>年度國立故宮博物院原列有</w:t>
      </w:r>
      <w:r w:rsidRPr="00B70493">
        <w:rPr>
          <w:rFonts w:ascii="標楷體" w:eastAsia="標楷體" w:hAnsi="標楷體"/>
          <w:sz w:val="32"/>
          <w:szCs w:val="32"/>
        </w:rPr>
        <w:t>9</w:t>
      </w:r>
      <w:r w:rsidRPr="00B70493">
        <w:rPr>
          <w:rFonts w:ascii="標楷體" w:eastAsia="標楷體" w:hAnsi="標楷體" w:hint="eastAsia"/>
          <w:sz w:val="32"/>
          <w:szCs w:val="32"/>
        </w:rPr>
        <w:t>項出國計畫，其中</w:t>
      </w:r>
      <w:r w:rsidRPr="00B70493">
        <w:rPr>
          <w:rFonts w:ascii="標楷體" w:eastAsia="標楷體" w:hAnsi="標楷體"/>
          <w:sz w:val="32"/>
          <w:szCs w:val="32"/>
        </w:rPr>
        <w:t>5</w:t>
      </w:r>
      <w:r w:rsidRPr="00B70493">
        <w:rPr>
          <w:rFonts w:ascii="標楷體" w:eastAsia="標楷體" w:hAnsi="標楷體" w:hint="eastAsia"/>
          <w:sz w:val="32"/>
          <w:szCs w:val="32"/>
        </w:rPr>
        <w:t>項出國計畫因國内外疫情升溫而取消，原預算編列共</w:t>
      </w:r>
      <w:r w:rsidRPr="00B70493">
        <w:rPr>
          <w:rFonts w:ascii="標楷體" w:eastAsia="標楷體" w:hAnsi="標楷體"/>
          <w:sz w:val="32"/>
          <w:szCs w:val="32"/>
        </w:rPr>
        <w:t>133</w:t>
      </w:r>
      <w:r w:rsidRPr="00B70493">
        <w:rPr>
          <w:rFonts w:ascii="標楷體" w:eastAsia="標楷體" w:hAnsi="標楷體" w:hint="eastAsia"/>
          <w:sz w:val="32"/>
          <w:szCs w:val="32"/>
        </w:rPr>
        <w:t>萬</w:t>
      </w:r>
      <w:r w:rsidRPr="00B70493">
        <w:rPr>
          <w:rFonts w:ascii="標楷體" w:eastAsia="標楷體" w:hAnsi="標楷體"/>
          <w:sz w:val="32"/>
          <w:szCs w:val="32"/>
        </w:rPr>
        <w:t>7</w:t>
      </w:r>
      <w:r w:rsidRPr="00B70493">
        <w:rPr>
          <w:rFonts w:ascii="標楷體" w:eastAsia="標楷體" w:hAnsi="標楷體" w:hint="eastAsia"/>
          <w:sz w:val="32"/>
          <w:szCs w:val="32"/>
        </w:rPr>
        <w:t>千元，其中「美國紐約大都會博物館考察」、「北美原住民國際特展選件目驗」、「早稻田大學數位展」僅取消執行，並未有後續聯絡或轉成線上會議之因應作為，目前1</w:t>
      </w:r>
      <w:r w:rsidRPr="00B70493">
        <w:rPr>
          <w:rFonts w:ascii="標楷體" w:eastAsia="標楷體" w:hAnsi="標楷體"/>
          <w:sz w:val="32"/>
          <w:szCs w:val="32"/>
        </w:rPr>
        <w:t>12</w:t>
      </w:r>
      <w:r w:rsidRPr="00B70493">
        <w:rPr>
          <w:rFonts w:ascii="標楷體" w:eastAsia="標楷體" w:hAnsi="標楷體" w:hint="eastAsia"/>
          <w:sz w:val="32"/>
          <w:szCs w:val="32"/>
        </w:rPr>
        <w:t>年度預定有</w:t>
      </w:r>
      <w:r w:rsidRPr="00B70493">
        <w:rPr>
          <w:rFonts w:ascii="標楷體" w:eastAsia="標楷體" w:hAnsi="標楷體"/>
          <w:sz w:val="32"/>
          <w:szCs w:val="32"/>
        </w:rPr>
        <w:t>3</w:t>
      </w:r>
      <w:r w:rsidRPr="00B70493">
        <w:rPr>
          <w:rFonts w:ascii="標楷體" w:eastAsia="標楷體" w:hAnsi="標楷體" w:hint="eastAsia"/>
          <w:sz w:val="32"/>
          <w:szCs w:val="32"/>
        </w:rPr>
        <w:t>項出國計畫，疫情仍詭譎多變，若未及早規劃相關之因應作為，恐影響後續展覽及博物館交流規劃事宜。爰請國立故宮博物院就出國計畫之因應計畫於3個月內向立法院教育及文化委員會提出書面報告。</w:t>
      </w:r>
      <w:r w:rsidRPr="00B70493">
        <w:rPr>
          <w:rFonts w:ascii="標楷體" w:eastAsia="標楷體" w:hAnsi="標楷體"/>
          <w:sz w:val="32"/>
          <w:szCs w:val="32"/>
        </w:rPr>
        <w:t>46</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提案人：張廖萬堅  黃國書</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連署人：何欣純  林宜瑾</w:t>
      </w:r>
      <w:r w:rsidRPr="00B70493">
        <w:rPr>
          <w:rFonts w:ascii="標楷體" w:eastAsia="標楷體" w:hAnsi="標楷體"/>
          <w:sz w:val="32"/>
          <w:szCs w:val="32"/>
        </w:rPr>
        <w:t xml:space="preserve">  </w:t>
      </w:r>
      <w:r w:rsidRPr="00B70493">
        <w:rPr>
          <w:rFonts w:ascii="標楷體" w:eastAsia="標楷體" w:hAnsi="標楷體" w:hint="eastAsia"/>
          <w:sz w:val="32"/>
          <w:szCs w:val="32"/>
        </w:rPr>
        <w:t>陳秀寳</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三十七)國立故宮博物院為一世界級博物館，於我國承擔研究、展覽、文物保存，乃至於文化外交之重責大任，應有一流的專業水準，針對上述業務之精進思索組織改革策略，減少非專業因素干擾，在法律及實務面皆成一專業化博物館。故宮綜合規劃處業已辦理完成「最適組織型態委託研究計畫」，應進一步依據各項政策研擬與評估，訂定未來施政方針，與相關單位積極溝通，早日完成最適組織型態轉型。為督促故宮積極辦理上述業務，爰要求國立故宮博物院於3個月內向</w:t>
      </w:r>
      <w:r w:rsidRPr="00B70493">
        <w:rPr>
          <w:rFonts w:ascii="標楷體" w:eastAsia="標楷體" w:hAnsi="標楷體" w:hint="eastAsia"/>
          <w:sz w:val="32"/>
          <w:szCs w:val="32"/>
        </w:rPr>
        <w:lastRenderedPageBreak/>
        <w:t>立法院教育及文化委員會提出改革書面報告。</w:t>
      </w:r>
      <w:r w:rsidRPr="00B70493">
        <w:rPr>
          <w:rFonts w:ascii="標楷體" w:eastAsia="標楷體" w:hAnsi="標楷體"/>
          <w:sz w:val="32"/>
          <w:szCs w:val="32"/>
        </w:rPr>
        <w:t>47</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提案人：林宜瑾</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連署人：何欣純</w:t>
      </w:r>
      <w:r w:rsidRPr="00B70493">
        <w:rPr>
          <w:rFonts w:ascii="標楷體" w:eastAsia="標楷體" w:hAnsi="標楷體"/>
          <w:sz w:val="32"/>
          <w:szCs w:val="32"/>
        </w:rPr>
        <w:t xml:space="preserve">  </w:t>
      </w:r>
      <w:r w:rsidRPr="00B70493">
        <w:rPr>
          <w:rFonts w:ascii="標楷體" w:eastAsia="標楷體" w:hAnsi="標楷體" w:hint="eastAsia"/>
          <w:sz w:val="32"/>
          <w:szCs w:val="32"/>
        </w:rPr>
        <w:t>陳秀寳  張廖萬堅</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(三十八)因應醫學界逐漸重視樂齡失智預防及延緩、憂鬱及自閉、現代人壓力身心症候群等健康問題，英國積極推動「社會處方箋」，將藝術、音樂、運動視為醫療處方取代單純用藥。　　博物館作為社會支援系統的一環，由於館舍豐富的文化資源及放鬆和緩的氛圍極具療癒潛能，博物館處方箋的概念因此應運而生。因應人口老化趨勢及國際脈動，臺灣近年也開始發展博物館處方箋。國立臺灣博物館與臺北市立聯合醫院在108年簽署合作備忘錄，針對失智長者共同推行「博物館處方箋」服務，110年11</w:t>
      </w:r>
      <w:r>
        <w:rPr>
          <w:rFonts w:ascii="標楷體" w:eastAsia="標楷體" w:hAnsi="標楷體" w:hint="eastAsia"/>
          <w:sz w:val="32"/>
          <w:szCs w:val="32"/>
        </w:rPr>
        <w:t>月中央研究院邀請</w:t>
      </w:r>
      <w:r w:rsidRPr="008E6E25">
        <w:rPr>
          <w:rFonts w:ascii="標楷體" w:eastAsia="標楷體" w:hAnsi="標楷體" w:hint="eastAsia"/>
          <w:sz w:val="32"/>
          <w:szCs w:val="32"/>
        </w:rPr>
        <w:t>臺北市立聯合醫院</w:t>
      </w:r>
      <w:r>
        <w:rPr>
          <w:rFonts w:ascii="標楷體" w:eastAsia="標楷體" w:hAnsi="標楷體" w:hint="eastAsia"/>
          <w:sz w:val="32"/>
          <w:szCs w:val="32"/>
        </w:rPr>
        <w:t>失智症中心共同合作社會處方箋，策劃</w:t>
      </w:r>
      <w:r w:rsidRPr="00B70493">
        <w:rPr>
          <w:rFonts w:ascii="標楷體" w:eastAsia="標楷體" w:hAnsi="標楷體" w:hint="eastAsia"/>
          <w:sz w:val="32"/>
          <w:szCs w:val="32"/>
        </w:rPr>
        <w:t>失智友善活動。國立故宮博物院北部院區為落實文化平權的社會責任，已針對樂齡者推動「藝術陪伴」計畫服務樂齡族群，然其實際計畫僅多以與臺北市士林區健康服務中心合作設計之「國寶動動操」進行相</w:t>
      </w:r>
      <w:r>
        <w:rPr>
          <w:rFonts w:ascii="標楷體" w:eastAsia="標楷體" w:hAnsi="標楷體" w:hint="eastAsia"/>
          <w:sz w:val="32"/>
          <w:szCs w:val="32"/>
        </w:rPr>
        <w:t>關活動。</w:t>
      </w:r>
      <w:r w:rsidRPr="00B70493">
        <w:rPr>
          <w:rFonts w:ascii="標楷體" w:eastAsia="標楷體" w:hAnsi="標楷體" w:hint="eastAsia"/>
          <w:sz w:val="32"/>
          <w:szCs w:val="32"/>
        </w:rPr>
        <w:t>請故宮強化推動社會處方箋相關計畫，並</w:t>
      </w:r>
      <w:r>
        <w:rPr>
          <w:rFonts w:ascii="標楷體" w:eastAsia="標楷體" w:hAnsi="標楷體" w:hint="eastAsia"/>
          <w:sz w:val="32"/>
          <w:szCs w:val="32"/>
        </w:rPr>
        <w:t>將</w:t>
      </w:r>
      <w:r w:rsidRPr="00B70493">
        <w:rPr>
          <w:rFonts w:ascii="標楷體" w:eastAsia="標楷體" w:hAnsi="標楷體" w:hint="eastAsia"/>
          <w:sz w:val="32"/>
          <w:szCs w:val="32"/>
        </w:rPr>
        <w:t>故宮南院作為社會處方箋場域，擴大服務南部民眾，以及將111年10月故宮北院辦理之「樂齡月」常態化，以達文化平權與醫療平權之效。爰要求國立故宮博物院於3個月內向立法院教育及文化委員會提出書面報告。49</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提案人：吳思瑤</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連署人：何欣純</w:t>
      </w:r>
      <w:r w:rsidRPr="00B70493">
        <w:rPr>
          <w:rFonts w:ascii="標楷體" w:eastAsia="標楷體" w:hAnsi="標楷體"/>
          <w:sz w:val="32"/>
          <w:szCs w:val="32"/>
        </w:rPr>
        <w:t xml:space="preserve">  </w:t>
      </w:r>
      <w:r w:rsidRPr="00B70493">
        <w:rPr>
          <w:rFonts w:ascii="標楷體" w:eastAsia="標楷體" w:hAnsi="標楷體" w:hint="eastAsia"/>
          <w:sz w:val="32"/>
          <w:szCs w:val="32"/>
        </w:rPr>
        <w:t>陳秀寳  張廖萬堅</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(三十九)為向低度參與觀眾推廣行銷，國立故宮博物院辦理低度參與觀眾平權教育推廣活動，其中樂齡教育推廣項目編列200萬元經費，目標參與人次僅設定1</w:t>
      </w:r>
      <w:r w:rsidRPr="00B70493">
        <w:rPr>
          <w:rFonts w:ascii="標楷體" w:eastAsia="標楷體" w:hAnsi="標楷體"/>
          <w:sz w:val="32"/>
          <w:szCs w:val="32"/>
        </w:rPr>
        <w:t>,</w:t>
      </w:r>
      <w:r w:rsidRPr="00B70493">
        <w:rPr>
          <w:rFonts w:ascii="標楷體" w:eastAsia="標楷體" w:hAnsi="標楷體" w:hint="eastAsia"/>
          <w:sz w:val="32"/>
          <w:szCs w:val="32"/>
        </w:rPr>
        <w:t>450人，仍有提升之空間。且於「安排樂齡長者來院參觀」活動中，111年度預計目標達到500人次，截至目前僅安排長者來院參觀67人</w:t>
      </w:r>
      <w:r w:rsidRPr="00B70493">
        <w:rPr>
          <w:rFonts w:ascii="標楷體" w:eastAsia="標楷體" w:hAnsi="標楷體" w:hint="eastAsia"/>
          <w:sz w:val="32"/>
          <w:szCs w:val="32"/>
        </w:rPr>
        <w:lastRenderedPageBreak/>
        <w:t>次，達成率僅13%，活動辦理效率亦有提升之空間。綜上，請國立故宮博物院就加強推廣樂齡長者來訪故宮，並得使低度參與觀眾</w:t>
      </w:r>
      <w:r>
        <w:rPr>
          <w:rFonts w:ascii="標楷體" w:eastAsia="標楷體" w:hAnsi="標楷體" w:hint="eastAsia"/>
          <w:sz w:val="32"/>
          <w:szCs w:val="32"/>
        </w:rPr>
        <w:t>近</w:t>
      </w:r>
      <w:r w:rsidRPr="00B70493">
        <w:rPr>
          <w:rFonts w:ascii="標楷體" w:eastAsia="標楷體" w:hAnsi="標楷體" w:hint="eastAsia"/>
          <w:sz w:val="32"/>
          <w:szCs w:val="32"/>
        </w:rPr>
        <w:t>用故宮之資源，並於3個月內向立法院教育及文化委員會提出書面報告。</w:t>
      </w:r>
      <w:r w:rsidRPr="00B70493">
        <w:rPr>
          <w:rFonts w:ascii="標楷體" w:eastAsia="標楷體" w:hAnsi="標楷體"/>
          <w:sz w:val="32"/>
          <w:szCs w:val="32"/>
        </w:rPr>
        <w:t>50</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提案人：張廖萬堅  黃國書</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連署人：何欣純  林宜瑾</w:t>
      </w:r>
      <w:r w:rsidRPr="00B70493">
        <w:rPr>
          <w:rFonts w:ascii="標楷體" w:eastAsia="標楷體" w:hAnsi="標楷體"/>
          <w:sz w:val="32"/>
          <w:szCs w:val="32"/>
        </w:rPr>
        <w:t xml:space="preserve">  </w:t>
      </w:r>
      <w:r w:rsidRPr="00B70493">
        <w:rPr>
          <w:rFonts w:ascii="標楷體" w:eastAsia="標楷體" w:hAnsi="標楷體" w:hint="eastAsia"/>
          <w:sz w:val="32"/>
          <w:szCs w:val="32"/>
        </w:rPr>
        <w:t>陳秀寳</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(四十)112年度國立故宮博物院「綜合規劃與推廣行銷」項下「展場管理及觀眾服務」預算編列3,720萬1千元，其中1</w:t>
      </w:r>
      <w:r w:rsidRPr="00B70493">
        <w:rPr>
          <w:rFonts w:ascii="標楷體" w:eastAsia="標楷體" w:hAnsi="標楷體"/>
          <w:sz w:val="32"/>
          <w:szCs w:val="32"/>
        </w:rPr>
        <w:t>12</w:t>
      </w:r>
      <w:r w:rsidRPr="00B70493">
        <w:rPr>
          <w:rFonts w:ascii="標楷體" w:eastAsia="標楷體" w:hAnsi="標楷體" w:hint="eastAsia"/>
          <w:sz w:val="32"/>
          <w:szCs w:val="32"/>
        </w:rPr>
        <w:t>年度新增「</w:t>
      </w:r>
      <w:r>
        <w:rPr>
          <w:rFonts w:ascii="標楷體" w:eastAsia="標楷體" w:hAnsi="標楷體" w:hint="eastAsia"/>
          <w:sz w:val="32"/>
          <w:szCs w:val="32"/>
        </w:rPr>
        <w:t>辦理本院『</w:t>
      </w:r>
      <w:r w:rsidRPr="00B70493">
        <w:rPr>
          <w:rFonts w:ascii="標楷體" w:eastAsia="標楷體" w:hAnsi="標楷體" w:hint="eastAsia"/>
          <w:sz w:val="32"/>
          <w:szCs w:val="32"/>
        </w:rPr>
        <w:t>票務電子化服務建置與整合委託專業服務案</w:t>
      </w:r>
      <w:r>
        <w:rPr>
          <w:rFonts w:ascii="標楷體" w:eastAsia="標楷體" w:hAnsi="標楷體" w:hint="eastAsia"/>
          <w:sz w:val="32"/>
          <w:szCs w:val="32"/>
        </w:rPr>
        <w:t>』</w:t>
      </w:r>
      <w:r w:rsidRPr="00B70493">
        <w:rPr>
          <w:rFonts w:ascii="標楷體" w:eastAsia="標楷體" w:hAnsi="標楷體" w:hint="eastAsia"/>
          <w:sz w:val="32"/>
          <w:szCs w:val="32"/>
        </w:rPr>
        <w:t>」</w:t>
      </w:r>
      <w:r>
        <w:rPr>
          <w:rFonts w:ascii="標楷體" w:eastAsia="標楷體" w:hAnsi="標楷體" w:hint="eastAsia"/>
          <w:sz w:val="32"/>
          <w:szCs w:val="32"/>
        </w:rPr>
        <w:t>預算</w:t>
      </w:r>
      <w:r w:rsidRPr="00B70493">
        <w:rPr>
          <w:rFonts w:ascii="標楷體" w:eastAsia="標楷體" w:hAnsi="標楷體" w:hint="eastAsia"/>
          <w:sz w:val="32"/>
          <w:szCs w:val="32"/>
        </w:rPr>
        <w:t>200萬元，惟查，關於</w:t>
      </w:r>
      <w:r>
        <w:rPr>
          <w:rFonts w:ascii="標楷體" w:eastAsia="標楷體" w:hAnsi="標楷體" w:hint="eastAsia"/>
          <w:sz w:val="32"/>
          <w:szCs w:val="32"/>
        </w:rPr>
        <w:t>「</w:t>
      </w:r>
      <w:r w:rsidRPr="00B70493">
        <w:rPr>
          <w:rFonts w:ascii="標楷體" w:eastAsia="標楷體" w:hAnsi="標楷體" w:hint="eastAsia"/>
          <w:sz w:val="32"/>
          <w:szCs w:val="32"/>
        </w:rPr>
        <w:t>票務電子化服務建置與整合委託專業服務案</w:t>
      </w:r>
      <w:r>
        <w:rPr>
          <w:rFonts w:ascii="標楷體" w:eastAsia="標楷體" w:hAnsi="標楷體" w:hint="eastAsia"/>
          <w:sz w:val="32"/>
          <w:szCs w:val="32"/>
        </w:rPr>
        <w:t>」</w:t>
      </w:r>
      <w:r w:rsidRPr="00B70493">
        <w:rPr>
          <w:rFonts w:ascii="標楷體" w:eastAsia="標楷體" w:hAnsi="標楷體" w:hint="eastAsia"/>
          <w:sz w:val="32"/>
          <w:szCs w:val="32"/>
        </w:rPr>
        <w:t>已於109年8月以6,172萬元決標</w:t>
      </w:r>
      <w:r>
        <w:rPr>
          <w:rFonts w:ascii="標楷體" w:eastAsia="標楷體" w:hAnsi="標楷體" w:hint="eastAsia"/>
          <w:sz w:val="32"/>
          <w:szCs w:val="32"/>
        </w:rPr>
        <w:t>，</w:t>
      </w:r>
      <w:r w:rsidRPr="00B70493">
        <w:rPr>
          <w:rFonts w:ascii="標楷體" w:eastAsia="標楷體" w:hAnsi="標楷體" w:hint="eastAsia"/>
          <w:sz w:val="32"/>
          <w:szCs w:val="32"/>
        </w:rPr>
        <w:t>履約日期為109年7月24日至113年12月31日(標案案號NPM109068)，1</w:t>
      </w:r>
      <w:r w:rsidRPr="00B70493">
        <w:rPr>
          <w:rFonts w:ascii="標楷體" w:eastAsia="標楷體" w:hAnsi="標楷體"/>
          <w:sz w:val="32"/>
          <w:szCs w:val="32"/>
        </w:rPr>
        <w:t>12</w:t>
      </w:r>
      <w:r w:rsidRPr="00B70493">
        <w:rPr>
          <w:rFonts w:ascii="標楷體" w:eastAsia="標楷體" w:hAnsi="標楷體" w:hint="eastAsia"/>
          <w:sz w:val="32"/>
          <w:szCs w:val="32"/>
        </w:rPr>
        <w:t>年度卻又重複編列經費，預算顯有浮編</w:t>
      </w:r>
      <w:r>
        <w:rPr>
          <w:rFonts w:ascii="標楷體" w:eastAsia="標楷體" w:hAnsi="標楷體" w:hint="eastAsia"/>
          <w:sz w:val="32"/>
          <w:szCs w:val="32"/>
        </w:rPr>
        <w:t>。</w:t>
      </w:r>
      <w:r w:rsidRPr="00B70493">
        <w:rPr>
          <w:rFonts w:ascii="標楷體" w:eastAsia="標楷體" w:hAnsi="標楷體" w:hint="eastAsia"/>
          <w:sz w:val="32"/>
          <w:szCs w:val="32"/>
        </w:rPr>
        <w:t>爰要求國立故宮博物院於3個月內向立法院教育及文化委員會提出書面報告。</w:t>
      </w:r>
      <w:r w:rsidRPr="00B70493">
        <w:rPr>
          <w:rFonts w:ascii="標楷體" w:eastAsia="標楷體" w:hAnsi="標楷體"/>
          <w:sz w:val="32"/>
          <w:szCs w:val="32"/>
        </w:rPr>
        <w:t>52</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提案人：張廖萬堅</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連署人：林宜瑾  陳秀寳</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四十一)針對兒童友善之推動，經查國立故宮博物院北部院區已設置了兒童學藝中心，南部院區亦有兒童創意中心，並分別設置1至2名展場管理工作人員。然2場館年齡限制皆專為5至12歲兒童設計，且10歲以下兒童需要家長陪伴。故仍有年齡限制、人力不足、對0至4歲育兒家長不友善等問題。　　綜觀國際經驗，如以法國博物館為例，法國博物館兒童教育將館內兒童活動區分為</w:t>
      </w:r>
      <w:r>
        <w:rPr>
          <w:rFonts w:ascii="標楷體" w:eastAsia="標楷體" w:hAnsi="標楷體" w:hint="eastAsia"/>
          <w:sz w:val="32"/>
          <w:szCs w:val="32"/>
        </w:rPr>
        <w:t>三</w:t>
      </w:r>
      <w:r w:rsidRPr="00B70493">
        <w:rPr>
          <w:rFonts w:ascii="標楷體" w:eastAsia="標楷體" w:hAnsi="標楷體" w:hint="eastAsia"/>
          <w:sz w:val="32"/>
          <w:szCs w:val="32"/>
        </w:rPr>
        <w:t>大年齡層，分別為4至6歲、7至9歲及10至12歲。針對4至6歲學齡前幼童，設定之目標為刺激其對博物館展出物件的好奇心，培養對博物館的喜愛度；7至9歲兒童則將活動目標訂為培養兒童「觀看」展出物品的能力；至於10歲以上兒童，係因瞭解博物館展品的功</w:t>
      </w:r>
      <w:r w:rsidRPr="00B70493">
        <w:rPr>
          <w:rFonts w:ascii="標楷體" w:eastAsia="標楷體" w:hAnsi="標楷體" w:hint="eastAsia"/>
          <w:sz w:val="32"/>
          <w:szCs w:val="32"/>
        </w:rPr>
        <w:lastRenderedPageBreak/>
        <w:t>能與作品造型，且已具備分析及瞭解展品背後抽象的社會、政治意涵</w:t>
      </w:r>
      <w:r>
        <w:rPr>
          <w:rFonts w:ascii="標楷體" w:eastAsia="標楷體" w:hAnsi="標楷體" w:hint="eastAsia"/>
          <w:sz w:val="32"/>
          <w:szCs w:val="32"/>
        </w:rPr>
        <w:t>能力，故其教育活動規劃可較為深入，探討作品象徵意義。綜上所述，</w:t>
      </w:r>
      <w:r w:rsidRPr="00B70493">
        <w:rPr>
          <w:rFonts w:ascii="標楷體" w:eastAsia="標楷體" w:hAnsi="標楷體" w:hint="eastAsia"/>
          <w:sz w:val="32"/>
          <w:szCs w:val="32"/>
        </w:rPr>
        <w:t>請故宮放寬兒童學藝中心「兒童友善年齡限制」及展示規劃「兒童觀眾分齡化」，並推出符合各年齡層兒童興趣的教育推廣活動，研議進行：1.以人為本設計導入，進行故宮空間及設施友善化，營造全齡皆可參與、跨世代共融學習的互動空間；2.兒藝中心正館常設展設、互動設計依兒童觀眾分齡化，因應各年齡層觀眾的興趣與需求提供不同導覽方式，提供具體業務規劃。爰請國立故宮博物院於3個月內向立法院教育及文化委員會提出書面報告。</w:t>
      </w:r>
      <w:r w:rsidRPr="00B70493">
        <w:rPr>
          <w:rFonts w:ascii="標楷體" w:eastAsia="標楷體" w:hAnsi="標楷體"/>
          <w:sz w:val="32"/>
          <w:szCs w:val="32"/>
        </w:rPr>
        <w:t>54</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提案人：吳思瑤</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連署人：何欣純</w:t>
      </w:r>
      <w:r w:rsidRPr="00B70493">
        <w:rPr>
          <w:rFonts w:ascii="標楷體" w:eastAsia="標楷體" w:hAnsi="標楷體"/>
          <w:sz w:val="32"/>
          <w:szCs w:val="32"/>
        </w:rPr>
        <w:t xml:space="preserve">  </w:t>
      </w:r>
      <w:r w:rsidRPr="00B70493">
        <w:rPr>
          <w:rFonts w:ascii="標楷體" w:eastAsia="標楷體" w:hAnsi="標楷體" w:hint="eastAsia"/>
          <w:sz w:val="32"/>
          <w:szCs w:val="32"/>
        </w:rPr>
        <w:t>陳秀寳  張廖萬堅</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四十二)在數位時代趨勢下，民眾生活與網路息息相關，各項資訊大多透過網路或社群媒體獲得，不論行政部門或民間企業皆將行銷部分側重在網路社群媒體，作為世界級博物館的國立故宮博物院也不例外。然110年度</w:t>
      </w:r>
      <w:r>
        <w:rPr>
          <w:rFonts w:ascii="標楷體" w:eastAsia="標楷體" w:hAnsi="標楷體" w:hint="eastAsia"/>
          <w:sz w:val="32"/>
          <w:szCs w:val="32"/>
        </w:rPr>
        <w:t>「</w:t>
      </w:r>
      <w:r w:rsidRPr="00B70493">
        <w:rPr>
          <w:rFonts w:ascii="標楷體" w:eastAsia="標楷體" w:hAnsi="標楷體" w:hint="eastAsia"/>
          <w:sz w:val="32"/>
          <w:szCs w:val="32"/>
        </w:rPr>
        <w:t>故宮數位資源網路調查報告</w:t>
      </w:r>
      <w:r>
        <w:rPr>
          <w:rFonts w:ascii="標楷體" w:eastAsia="標楷體" w:hAnsi="標楷體" w:hint="eastAsia"/>
          <w:sz w:val="32"/>
          <w:szCs w:val="32"/>
        </w:rPr>
        <w:t>」</w:t>
      </w:r>
      <w:r w:rsidRPr="00B70493">
        <w:rPr>
          <w:rFonts w:ascii="標楷體" w:eastAsia="標楷體" w:hAnsi="標楷體" w:hint="eastAsia"/>
          <w:sz w:val="32"/>
          <w:szCs w:val="32"/>
        </w:rPr>
        <w:t>，對於曾瀏覽過故宮數位平臺者進行調查。故宮北院與南院Instagram、故宮Podcast、故宮電子報、故宮教育頻道等計5個平臺知悉度未達三成；且逾半數之數位平臺使用率未達二成，顯示部分數位平臺對於民眾來說知悉度不高，且民眾雖然聽聞多數數位平臺，但普遍未予使用，故宮宜加強推廣，以提升民眾數位平臺使用率，未來對於展覽或商品之行銷方能產生助益，使資源發揮最大效益。爰要求國立故宮博物院於3個月內向立法院教育及文化委員會提出書面報告，以督促故宮加強民眾對於部分數位平臺之知悉度，且提高民眾對數位平臺之使用率，促使數位資源對故宮行銷發揮更大效益。</w:t>
      </w:r>
      <w:r w:rsidRPr="00B70493">
        <w:rPr>
          <w:rFonts w:ascii="標楷體" w:eastAsia="標楷體" w:hAnsi="標楷體"/>
          <w:sz w:val="32"/>
          <w:szCs w:val="32"/>
        </w:rPr>
        <w:t>57</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提案人：吳思瑤  黃國書</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lastRenderedPageBreak/>
        <w:t>連署人：何欣純  林宜瑾</w:t>
      </w:r>
      <w:r w:rsidRPr="00B70493">
        <w:rPr>
          <w:rFonts w:ascii="標楷體" w:eastAsia="標楷體" w:hAnsi="標楷體"/>
          <w:sz w:val="32"/>
          <w:szCs w:val="32"/>
        </w:rPr>
        <w:t xml:space="preserve">  </w:t>
      </w:r>
      <w:r w:rsidRPr="00B70493">
        <w:rPr>
          <w:rFonts w:ascii="標楷體" w:eastAsia="標楷體" w:hAnsi="標楷體" w:hint="eastAsia"/>
          <w:sz w:val="32"/>
          <w:szCs w:val="32"/>
        </w:rPr>
        <w:t>陳秀寳</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(四十三)國立故宮博物院線上故宮數位內容共有典藏精選、主題網站、</w:t>
      </w:r>
      <w:r w:rsidRPr="00B70493">
        <w:rPr>
          <w:rFonts w:ascii="標楷體" w:eastAsia="標楷體" w:hAnsi="標楷體"/>
          <w:sz w:val="32"/>
          <w:szCs w:val="32"/>
        </w:rPr>
        <w:t>3D</w:t>
      </w:r>
      <w:r w:rsidRPr="00B70493">
        <w:rPr>
          <w:rFonts w:ascii="標楷體" w:eastAsia="標楷體" w:hAnsi="標楷體" w:hint="eastAsia"/>
          <w:sz w:val="32"/>
          <w:szCs w:val="32"/>
        </w:rPr>
        <w:t>文物賞析、</w:t>
      </w:r>
      <w:r w:rsidRPr="00B70493">
        <w:rPr>
          <w:rFonts w:ascii="標楷體" w:eastAsia="標楷體" w:hAnsi="標楷體"/>
          <w:sz w:val="32"/>
          <w:szCs w:val="32"/>
        </w:rPr>
        <w:t>Open Data</w:t>
      </w:r>
      <w:r w:rsidRPr="00B70493">
        <w:rPr>
          <w:rFonts w:ascii="標楷體" w:eastAsia="標楷體" w:hAnsi="標楷體" w:hint="eastAsia"/>
          <w:sz w:val="32"/>
          <w:szCs w:val="32"/>
        </w:rPr>
        <w:t>、</w:t>
      </w:r>
      <w:r w:rsidRPr="00B70493">
        <w:rPr>
          <w:rFonts w:ascii="標楷體" w:eastAsia="標楷體" w:hAnsi="標楷體"/>
          <w:sz w:val="32"/>
          <w:szCs w:val="32"/>
        </w:rPr>
        <w:t>YouTube</w:t>
      </w:r>
      <w:r w:rsidRPr="00B70493">
        <w:rPr>
          <w:rFonts w:ascii="標楷體" w:eastAsia="標楷體" w:hAnsi="標楷體" w:hint="eastAsia"/>
          <w:sz w:val="32"/>
          <w:szCs w:val="32"/>
        </w:rPr>
        <w:t>、</w:t>
      </w:r>
      <w:r w:rsidRPr="00B70493">
        <w:rPr>
          <w:rFonts w:ascii="標楷體" w:eastAsia="標楷體" w:hAnsi="標楷體"/>
          <w:sz w:val="32"/>
          <w:szCs w:val="32"/>
        </w:rPr>
        <w:t>720°</w:t>
      </w:r>
      <w:r w:rsidRPr="00B70493">
        <w:rPr>
          <w:rFonts w:ascii="標楷體" w:eastAsia="標楷體" w:hAnsi="標楷體" w:hint="eastAsia"/>
          <w:sz w:val="32"/>
          <w:szCs w:val="32"/>
        </w:rPr>
        <w:t>走進故宮等</w:t>
      </w:r>
      <w:r>
        <w:rPr>
          <w:rFonts w:ascii="標楷體" w:eastAsia="標楷體" w:hAnsi="標楷體" w:hint="eastAsia"/>
          <w:sz w:val="32"/>
          <w:szCs w:val="32"/>
        </w:rPr>
        <w:t>6</w:t>
      </w:r>
      <w:r w:rsidRPr="00B70493">
        <w:rPr>
          <w:rFonts w:ascii="標楷體" w:eastAsia="標楷體" w:hAnsi="標楷體" w:hint="eastAsia"/>
          <w:sz w:val="32"/>
          <w:szCs w:val="32"/>
        </w:rPr>
        <w:t>大主題平台。然</w:t>
      </w:r>
      <w:r w:rsidRPr="00B70493">
        <w:rPr>
          <w:rFonts w:ascii="標楷體" w:eastAsia="標楷體" w:hAnsi="標楷體"/>
          <w:sz w:val="32"/>
          <w:szCs w:val="32"/>
        </w:rPr>
        <w:t>109</w:t>
      </w:r>
      <w:r w:rsidRPr="00B70493">
        <w:rPr>
          <w:rFonts w:ascii="標楷體" w:eastAsia="標楷體" w:hAnsi="標楷體" w:hint="eastAsia"/>
          <w:sz w:val="32"/>
          <w:szCs w:val="32"/>
        </w:rPr>
        <w:t>至</w:t>
      </w:r>
      <w:r w:rsidRPr="00B70493">
        <w:rPr>
          <w:rFonts w:ascii="標楷體" w:eastAsia="標楷體" w:hAnsi="標楷體"/>
          <w:sz w:val="32"/>
          <w:szCs w:val="32"/>
        </w:rPr>
        <w:t>110</w:t>
      </w:r>
      <w:r w:rsidRPr="00B70493">
        <w:rPr>
          <w:rFonts w:ascii="標楷體" w:eastAsia="標楷體" w:hAnsi="標楷體" w:hint="eastAsia"/>
          <w:sz w:val="32"/>
          <w:szCs w:val="32"/>
        </w:rPr>
        <w:t>年間各平台之瀏覽人次，除主題網站外，其餘網頁瀏覽人次皆呈下降趨勢：典藏精選下降</w:t>
      </w:r>
      <w:r w:rsidRPr="00B70493">
        <w:rPr>
          <w:rFonts w:ascii="標楷體" w:eastAsia="標楷體" w:hAnsi="標楷體"/>
          <w:sz w:val="32"/>
          <w:szCs w:val="32"/>
        </w:rPr>
        <w:t>10%</w:t>
      </w:r>
      <w:r w:rsidRPr="00B70493">
        <w:rPr>
          <w:rFonts w:ascii="標楷體" w:eastAsia="標楷體" w:hAnsi="標楷體" w:hint="eastAsia"/>
          <w:sz w:val="32"/>
          <w:szCs w:val="32"/>
        </w:rPr>
        <w:t>、</w:t>
      </w:r>
      <w:r w:rsidRPr="00B70493">
        <w:rPr>
          <w:rFonts w:ascii="標楷體" w:eastAsia="標楷體" w:hAnsi="標楷體"/>
          <w:sz w:val="32"/>
          <w:szCs w:val="32"/>
        </w:rPr>
        <w:t>YouTube</w:t>
      </w:r>
      <w:r w:rsidRPr="00B70493">
        <w:rPr>
          <w:rFonts w:ascii="標楷體" w:eastAsia="標楷體" w:hAnsi="標楷體" w:hint="eastAsia"/>
          <w:sz w:val="32"/>
          <w:szCs w:val="32"/>
        </w:rPr>
        <w:t>下降</w:t>
      </w:r>
      <w:r w:rsidRPr="00B70493">
        <w:rPr>
          <w:rFonts w:ascii="標楷體" w:eastAsia="標楷體" w:hAnsi="標楷體"/>
          <w:sz w:val="32"/>
          <w:szCs w:val="32"/>
        </w:rPr>
        <w:t>17%</w:t>
      </w:r>
      <w:r w:rsidRPr="00B70493">
        <w:rPr>
          <w:rFonts w:ascii="標楷體" w:eastAsia="標楷體" w:hAnsi="標楷體" w:hint="eastAsia"/>
          <w:sz w:val="32"/>
          <w:szCs w:val="32"/>
        </w:rPr>
        <w:t>、</w:t>
      </w:r>
      <w:r w:rsidRPr="00B70493">
        <w:rPr>
          <w:rFonts w:ascii="標楷體" w:eastAsia="標楷體" w:hAnsi="標楷體"/>
          <w:sz w:val="32"/>
          <w:szCs w:val="32"/>
        </w:rPr>
        <w:t>Open Data</w:t>
      </w:r>
      <w:r w:rsidRPr="00B70493">
        <w:rPr>
          <w:rFonts w:ascii="標楷體" w:eastAsia="標楷體" w:hAnsi="標楷體" w:hint="eastAsia"/>
          <w:sz w:val="32"/>
          <w:szCs w:val="32"/>
        </w:rPr>
        <w:t>下降</w:t>
      </w:r>
      <w:r w:rsidRPr="00B70493">
        <w:rPr>
          <w:rFonts w:ascii="標楷體" w:eastAsia="標楷體" w:hAnsi="標楷體"/>
          <w:sz w:val="32"/>
          <w:szCs w:val="32"/>
        </w:rPr>
        <w:t>0.18%</w:t>
      </w:r>
      <w:r w:rsidRPr="00B70493">
        <w:rPr>
          <w:rFonts w:ascii="標楷體" w:eastAsia="標楷體" w:hAnsi="標楷體" w:hint="eastAsia"/>
          <w:sz w:val="32"/>
          <w:szCs w:val="32"/>
        </w:rPr>
        <w:t>、</w:t>
      </w:r>
      <w:r w:rsidRPr="00B70493">
        <w:rPr>
          <w:rFonts w:ascii="標楷體" w:eastAsia="標楷體" w:hAnsi="標楷體"/>
          <w:sz w:val="32"/>
          <w:szCs w:val="32"/>
        </w:rPr>
        <w:t>720°</w:t>
      </w:r>
      <w:r w:rsidRPr="00B70493">
        <w:rPr>
          <w:rFonts w:ascii="標楷體" w:eastAsia="標楷體" w:hAnsi="標楷體" w:hint="eastAsia"/>
          <w:sz w:val="32"/>
          <w:szCs w:val="32"/>
        </w:rPr>
        <w:t>走進故宮下降</w:t>
      </w:r>
      <w:r w:rsidRPr="00B70493">
        <w:rPr>
          <w:rFonts w:ascii="標楷體" w:eastAsia="標楷體" w:hAnsi="標楷體"/>
          <w:sz w:val="32"/>
          <w:szCs w:val="32"/>
        </w:rPr>
        <w:t>16%</w:t>
      </w:r>
      <w:r w:rsidRPr="00B70493">
        <w:rPr>
          <w:rFonts w:ascii="標楷體" w:eastAsia="標楷體" w:hAnsi="標楷體" w:hint="eastAsia"/>
          <w:sz w:val="32"/>
          <w:szCs w:val="32"/>
        </w:rPr>
        <w:t>，且線上故宮平台之網頁瀏覽平均停留時間僅約落在</w:t>
      </w:r>
      <w:r w:rsidRPr="00B70493">
        <w:rPr>
          <w:rFonts w:ascii="標楷體" w:eastAsia="標楷體" w:hAnsi="標楷體"/>
          <w:sz w:val="32"/>
          <w:szCs w:val="32"/>
        </w:rPr>
        <w:t>46</w:t>
      </w:r>
      <w:r w:rsidRPr="00B70493">
        <w:rPr>
          <w:rFonts w:ascii="標楷體" w:eastAsia="標楷體" w:hAnsi="標楷體" w:hint="eastAsia"/>
          <w:sz w:val="32"/>
          <w:szCs w:val="32"/>
        </w:rPr>
        <w:t>秒至</w:t>
      </w:r>
      <w:r w:rsidRPr="00B70493">
        <w:rPr>
          <w:rFonts w:ascii="標楷體" w:eastAsia="標楷體" w:hAnsi="標楷體"/>
          <w:sz w:val="32"/>
          <w:szCs w:val="32"/>
        </w:rPr>
        <w:t>1</w:t>
      </w:r>
      <w:r w:rsidRPr="00B70493">
        <w:rPr>
          <w:rFonts w:ascii="標楷體" w:eastAsia="標楷體" w:hAnsi="標楷體" w:hint="eastAsia"/>
          <w:sz w:val="32"/>
          <w:szCs w:val="32"/>
        </w:rPr>
        <w:t>分</w:t>
      </w:r>
      <w:r w:rsidRPr="00B70493">
        <w:rPr>
          <w:rFonts w:ascii="標楷體" w:eastAsia="標楷體" w:hAnsi="標楷體"/>
          <w:sz w:val="32"/>
          <w:szCs w:val="32"/>
        </w:rPr>
        <w:t>39</w:t>
      </w:r>
      <w:r w:rsidRPr="00B70493">
        <w:rPr>
          <w:rFonts w:ascii="標楷體" w:eastAsia="標楷體" w:hAnsi="標楷體" w:hint="eastAsia"/>
          <w:sz w:val="32"/>
          <w:szCs w:val="32"/>
        </w:rPr>
        <w:t>秒，足顯見數位教育推廣之績效不彰。　　由上述線上訪客人數低落及快閃且走馬看花式的瀏覽方式可見，故宮雖積極扮演資料之生產者、提供者，然線上故宮眾多平台之數位內容無法吸引訪客使用。惟112年度國立故宮博物院預算案中，卻未見針對此類情形之具體改善規劃，似有怠忽職守之嫌。請故宮強化數位行銷、優化數位資訊可用性，並積極研議如何吸引各界使用線上故宮數位資源。爰請國立故宮博物院於3個月內向立法院教育及文化委員會提出書面報告。</w:t>
      </w:r>
      <w:r w:rsidRPr="00B70493">
        <w:rPr>
          <w:rFonts w:ascii="標楷體" w:eastAsia="標楷體" w:hAnsi="標楷體"/>
          <w:sz w:val="32"/>
          <w:szCs w:val="32"/>
        </w:rPr>
        <w:t>58</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提案人：吳思瑤</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連署人：陳秀寳  林宜瑾</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四十四)經查112年度國立故宮博物院「綜合規劃與推廣行銷」項下「數位教推與服務維運」中「辦理數位巡展」預算編列464萬5千元。故宮博物院自疫情開始後，推行720°VR走進故宮，然而參觀人次一直都很低迷。109年僅有15萬1,785人次、110年僅有11萬9,510人次；111年1至8月僅有6萬6,756人次；代表720°VR走進故宮無法有效吸引民眾進入參觀。故宮博物院允宜檢討720°VR走進故宮是否有不足之處，並進而調整，俾利民眾使用。爰此，要求國立故宮博物院於3個月內向立法院教育及文化委員會提出書面改善報告。</w:t>
      </w:r>
      <w:r w:rsidRPr="00B70493">
        <w:rPr>
          <w:rFonts w:ascii="標楷體" w:eastAsia="標楷體" w:hAnsi="標楷體"/>
          <w:sz w:val="32"/>
          <w:szCs w:val="32"/>
        </w:rPr>
        <w:t>59</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lastRenderedPageBreak/>
        <w:t>提案人：陳秀寳</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連署人：林宜瑾  何欣純</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(四十五)112年度國立故宮博物院「綜合規劃與推廣行銷」項下「數位教推與服務維運」預算編列</w:t>
      </w:r>
      <w:r w:rsidRPr="00B70493">
        <w:rPr>
          <w:rFonts w:ascii="標楷體" w:eastAsia="標楷體" w:hAnsi="標楷體"/>
          <w:sz w:val="32"/>
          <w:szCs w:val="32"/>
        </w:rPr>
        <w:t>3,120</w:t>
      </w:r>
      <w:r w:rsidRPr="00B70493">
        <w:rPr>
          <w:rFonts w:ascii="標楷體" w:eastAsia="標楷體" w:hAnsi="標楷體" w:hint="eastAsia"/>
          <w:sz w:val="32"/>
          <w:szCs w:val="32"/>
        </w:rPr>
        <w:t>萬</w:t>
      </w:r>
      <w:r w:rsidRPr="00B70493">
        <w:rPr>
          <w:rFonts w:ascii="標楷體" w:eastAsia="標楷體" w:hAnsi="標楷體"/>
          <w:sz w:val="32"/>
          <w:szCs w:val="32"/>
        </w:rPr>
        <w:t>2</w:t>
      </w:r>
      <w:r w:rsidRPr="00B70493">
        <w:rPr>
          <w:rFonts w:ascii="標楷體" w:eastAsia="標楷體" w:hAnsi="標楷體" w:hint="eastAsia"/>
          <w:sz w:val="32"/>
          <w:szCs w:val="32"/>
        </w:rPr>
        <w:t>千元。近年故宮為因應數位時代趨勢，推動故宮數位轉型，包含建置數位典藏、庫房管理系統、線上線下新媒體數位展、智慧導覽等工作，其中數位典藏品數量由</w:t>
      </w:r>
      <w:r w:rsidRPr="00B70493">
        <w:rPr>
          <w:rFonts w:ascii="標楷體" w:eastAsia="標楷體" w:hAnsi="標楷體"/>
          <w:sz w:val="32"/>
          <w:szCs w:val="32"/>
        </w:rPr>
        <w:t>106</w:t>
      </w:r>
      <w:r w:rsidRPr="00B70493">
        <w:rPr>
          <w:rFonts w:ascii="標楷體" w:eastAsia="標楷體" w:hAnsi="標楷體" w:hint="eastAsia"/>
          <w:sz w:val="32"/>
          <w:szCs w:val="32"/>
        </w:rPr>
        <w:t>年之</w:t>
      </w:r>
      <w:r w:rsidRPr="00B70493">
        <w:rPr>
          <w:rFonts w:ascii="標楷體" w:eastAsia="標楷體" w:hAnsi="標楷體"/>
          <w:sz w:val="32"/>
          <w:szCs w:val="32"/>
        </w:rPr>
        <w:t>5</w:t>
      </w:r>
      <w:r w:rsidRPr="00B70493">
        <w:rPr>
          <w:rFonts w:ascii="標楷體" w:eastAsia="標楷體" w:hAnsi="標楷體" w:hint="eastAsia"/>
          <w:sz w:val="32"/>
          <w:szCs w:val="32"/>
        </w:rPr>
        <w:t>萬</w:t>
      </w:r>
      <w:r w:rsidRPr="00B70493">
        <w:rPr>
          <w:rFonts w:ascii="標楷體" w:eastAsia="標楷體" w:hAnsi="標楷體"/>
          <w:sz w:val="32"/>
          <w:szCs w:val="32"/>
        </w:rPr>
        <w:t>4</w:t>
      </w:r>
      <w:r w:rsidRPr="00B70493">
        <w:rPr>
          <w:rFonts w:ascii="標楷體" w:eastAsia="標楷體" w:hAnsi="標楷體" w:hint="eastAsia"/>
          <w:sz w:val="32"/>
          <w:szCs w:val="32"/>
        </w:rPr>
        <w:t>千餘件，成長至</w:t>
      </w:r>
      <w:r w:rsidRPr="00B70493">
        <w:rPr>
          <w:rFonts w:ascii="標楷體" w:eastAsia="標楷體" w:hAnsi="標楷體"/>
          <w:sz w:val="32"/>
          <w:szCs w:val="32"/>
        </w:rPr>
        <w:t>110</w:t>
      </w:r>
      <w:r w:rsidRPr="00B70493">
        <w:rPr>
          <w:rFonts w:ascii="標楷體" w:eastAsia="標楷體" w:hAnsi="標楷體" w:hint="eastAsia"/>
          <w:sz w:val="32"/>
          <w:szCs w:val="32"/>
        </w:rPr>
        <w:t>年之</w:t>
      </w:r>
      <w:r w:rsidRPr="00B70493">
        <w:rPr>
          <w:rFonts w:ascii="標楷體" w:eastAsia="標楷體" w:hAnsi="標楷體"/>
          <w:sz w:val="32"/>
          <w:szCs w:val="32"/>
        </w:rPr>
        <w:t>7</w:t>
      </w:r>
      <w:r w:rsidRPr="00B70493">
        <w:rPr>
          <w:rFonts w:ascii="標楷體" w:eastAsia="標楷體" w:hAnsi="標楷體" w:hint="eastAsia"/>
          <w:sz w:val="32"/>
          <w:szCs w:val="32"/>
        </w:rPr>
        <w:t>萬</w:t>
      </w:r>
      <w:r w:rsidRPr="00B70493">
        <w:rPr>
          <w:rFonts w:ascii="標楷體" w:eastAsia="標楷體" w:hAnsi="標楷體"/>
          <w:sz w:val="32"/>
          <w:szCs w:val="32"/>
        </w:rPr>
        <w:t>8</w:t>
      </w:r>
      <w:r w:rsidRPr="00B70493">
        <w:rPr>
          <w:rFonts w:ascii="標楷體" w:eastAsia="標楷體" w:hAnsi="標楷體" w:hint="eastAsia"/>
          <w:sz w:val="32"/>
          <w:szCs w:val="32"/>
        </w:rPr>
        <w:t>千餘件，呈逐年成長趨勢。但細查數位典藏內容仍多以平面為主，</w:t>
      </w:r>
      <w:r w:rsidRPr="00B70493">
        <w:rPr>
          <w:rFonts w:ascii="標楷體" w:eastAsia="標楷體" w:hAnsi="標楷體"/>
          <w:sz w:val="32"/>
          <w:szCs w:val="32"/>
        </w:rPr>
        <w:t>3D</w:t>
      </w:r>
      <w:r w:rsidRPr="00B70493">
        <w:rPr>
          <w:rFonts w:ascii="標楷體" w:eastAsia="標楷體" w:hAnsi="標楷體" w:hint="eastAsia"/>
          <w:sz w:val="32"/>
          <w:szCs w:val="32"/>
        </w:rPr>
        <w:t>立體文物賞析至目前為止僅有</w:t>
      </w:r>
      <w:r w:rsidRPr="00B70493">
        <w:rPr>
          <w:rFonts w:ascii="標楷體" w:eastAsia="標楷體" w:hAnsi="標楷體"/>
          <w:sz w:val="32"/>
          <w:szCs w:val="32"/>
        </w:rPr>
        <w:t>70</w:t>
      </w:r>
      <w:r w:rsidRPr="00B70493">
        <w:rPr>
          <w:rFonts w:ascii="標楷體" w:eastAsia="標楷體" w:hAnsi="標楷體" w:hint="eastAsia"/>
          <w:sz w:val="32"/>
          <w:szCs w:val="32"/>
        </w:rPr>
        <w:t>件上線。另故宮雖已建置720°VR走進故宮的線上虛擬展廳，但實際點選進入後發現，其所展示的精選路線展品呈現方式仍以平面為主，並未以</w:t>
      </w:r>
      <w:r w:rsidRPr="00B70493">
        <w:rPr>
          <w:rFonts w:ascii="標楷體" w:eastAsia="標楷體" w:hAnsi="標楷體"/>
          <w:sz w:val="32"/>
          <w:szCs w:val="32"/>
        </w:rPr>
        <w:t xml:space="preserve">3D </w:t>
      </w:r>
      <w:r w:rsidRPr="00B70493">
        <w:rPr>
          <w:rFonts w:ascii="標楷體" w:eastAsia="標楷體" w:hAnsi="標楷體" w:hint="eastAsia"/>
          <w:sz w:val="32"/>
          <w:szCs w:val="32"/>
        </w:rPr>
        <w:t>立體呈現，難以讓觀眾有全方位品味展件，彷彿身歷其境的感覺。因應數位轉型趨勢，提供線上觀展服務已是世界各大博物館發展趨勢，惟故宮數位轉型進度仍不如預期，故為督促故宮提升數位轉型速度，促使資源發揮最大效益，爰此要求國立故宮博物院於3個月內向立法院教育及文化委員會提出書面報告。</w:t>
      </w:r>
      <w:r w:rsidRPr="00B70493">
        <w:rPr>
          <w:rFonts w:ascii="標楷體" w:eastAsia="標楷體" w:hAnsi="標楷體"/>
          <w:sz w:val="32"/>
          <w:szCs w:val="32"/>
        </w:rPr>
        <w:t>60</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提案人：何欣純  陳秀寳  林宜瑾</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(四十六)根據立法院預算中心評估報告指出，</w:t>
      </w:r>
      <w:r w:rsidRPr="00FE1C97">
        <w:rPr>
          <w:rFonts w:ascii="標楷體" w:eastAsia="標楷體" w:hAnsi="標楷體" w:hint="eastAsia"/>
          <w:sz w:val="32"/>
          <w:szCs w:val="32"/>
        </w:rPr>
        <w:t>國立故宮博物院</w:t>
      </w:r>
      <w:r w:rsidRPr="00B70493">
        <w:rPr>
          <w:rFonts w:ascii="標楷體" w:eastAsia="標楷體" w:hAnsi="標楷體" w:hint="eastAsia"/>
          <w:sz w:val="32"/>
          <w:szCs w:val="32"/>
        </w:rPr>
        <w:t>部分數位平臺知悉度不高，逾半數平臺使用率低落。以110年度使用情形觀之，僅有故宮官網的使用率達51.4%，其餘使用率皆落在4.5%至42.2%，其中擁有12.9%的知悉度的「故宮教育頻道」僅有4.5%的使用率。故宮自建影音服務並加以應用於教育用途的初衷良善，但低落的使用率意即此平臺無法滿足受眾的教育目標，且博物館受到COVID-19疫情衝擊讓觀展型態，甚至連教學場域的授課方式也隨之轉變，疫情間各式線上授課平臺、遠距教學宅也迅速崛起，可見學習模式已由線下轉為線上授課，然故宮也未能把握在疫情期間將推</w:t>
      </w:r>
      <w:r w:rsidRPr="00B70493">
        <w:rPr>
          <w:rFonts w:ascii="標楷體" w:eastAsia="標楷體" w:hAnsi="標楷體" w:hint="eastAsia"/>
          <w:sz w:val="32"/>
          <w:szCs w:val="32"/>
        </w:rPr>
        <w:lastRenderedPageBreak/>
        <w:t>廣其數位教育內容，將受疫情影響未能入館參觀之民眾與學生轉移至數位故宮的平臺。請故宮強化數位行銷、加強與地方文化及教育團體或學校，辦理數位教育内容合作推廣、盤點故宮各數位教育平臺的使用率與流量統計，藉由數據統計分析</w:t>
      </w:r>
      <w:r w:rsidRPr="00B70493">
        <w:rPr>
          <w:rFonts w:ascii="標楷體" w:eastAsia="標楷體" w:hAnsi="標楷體"/>
          <w:sz w:val="32"/>
          <w:szCs w:val="32"/>
        </w:rPr>
        <w:t>(</w:t>
      </w:r>
      <w:r w:rsidRPr="00B70493">
        <w:rPr>
          <w:rFonts w:ascii="標楷體" w:eastAsia="標楷體" w:hAnsi="標楷體" w:hint="eastAsia"/>
          <w:sz w:val="32"/>
          <w:szCs w:val="32"/>
        </w:rPr>
        <w:t>如使用者之族群、年齡、性別等</w:t>
      </w:r>
      <w:r w:rsidRPr="00B70493">
        <w:rPr>
          <w:rFonts w:ascii="標楷體" w:eastAsia="標楷體" w:hAnsi="標楷體"/>
          <w:sz w:val="32"/>
          <w:szCs w:val="32"/>
        </w:rPr>
        <w:t>)</w:t>
      </w:r>
      <w:r w:rsidRPr="00B70493">
        <w:rPr>
          <w:rFonts w:ascii="標楷體" w:eastAsia="標楷體" w:hAnsi="標楷體" w:hint="eastAsia"/>
          <w:sz w:val="32"/>
          <w:szCs w:val="32"/>
        </w:rPr>
        <w:t>來持</w:t>
      </w:r>
      <w:r>
        <w:rPr>
          <w:rFonts w:ascii="標楷體" w:eastAsia="標楷體" w:hAnsi="標楷體" w:hint="eastAsia"/>
          <w:sz w:val="32"/>
          <w:szCs w:val="32"/>
        </w:rPr>
        <w:t>續</w:t>
      </w:r>
      <w:r w:rsidRPr="00B70493">
        <w:rPr>
          <w:rFonts w:ascii="標楷體" w:eastAsia="標楷體" w:hAnsi="標楷體" w:hint="eastAsia"/>
          <w:sz w:val="32"/>
          <w:szCs w:val="32"/>
        </w:rPr>
        <w:t>提升競爭力，並推動具備可行性之數位營運計畫。爰要求國立故宮博物院於3個月內向立法院教育及文化委員會提出書面報告。</w:t>
      </w:r>
      <w:r w:rsidRPr="00B70493">
        <w:rPr>
          <w:rFonts w:ascii="標楷體" w:eastAsia="標楷體" w:hAnsi="標楷體"/>
          <w:sz w:val="32"/>
          <w:szCs w:val="32"/>
        </w:rPr>
        <w:t>61</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提案人：吳思瑤</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連署人：林宜瑾  何欣純</w:t>
      </w:r>
      <w:r w:rsidRPr="00B70493">
        <w:rPr>
          <w:rFonts w:ascii="標楷體" w:eastAsia="標楷體" w:hAnsi="標楷體"/>
          <w:sz w:val="32"/>
          <w:szCs w:val="32"/>
        </w:rPr>
        <w:t xml:space="preserve">  </w:t>
      </w:r>
      <w:r w:rsidRPr="00B70493">
        <w:rPr>
          <w:rFonts w:ascii="標楷體" w:eastAsia="標楷體" w:hAnsi="標楷體" w:hint="eastAsia"/>
          <w:sz w:val="32"/>
          <w:szCs w:val="32"/>
        </w:rPr>
        <w:t>陳秀寳</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(四十七)</w:t>
      </w:r>
      <w:r w:rsidRPr="00B70493">
        <w:rPr>
          <w:rFonts w:ascii="標楷體" w:eastAsia="標楷體" w:hAnsi="標楷體"/>
          <w:sz w:val="32"/>
          <w:szCs w:val="32"/>
        </w:rPr>
        <w:t>112</w:t>
      </w:r>
      <w:r w:rsidRPr="00B70493">
        <w:rPr>
          <w:rFonts w:ascii="標楷體" w:eastAsia="標楷體" w:hAnsi="標楷體" w:hint="eastAsia"/>
          <w:sz w:val="32"/>
          <w:szCs w:val="32"/>
        </w:rPr>
        <w:t>年度國立故宮博物院「綜合規劃與推廣行銷」項下「博物館開放資料深度運用</w:t>
      </w:r>
      <w:r>
        <w:rPr>
          <w:rFonts w:ascii="標楷體" w:eastAsia="標楷體" w:hAnsi="標楷體" w:hint="eastAsia"/>
          <w:sz w:val="32"/>
          <w:szCs w:val="32"/>
        </w:rPr>
        <w:t>計畫</w:t>
      </w:r>
      <w:r w:rsidRPr="00B70493">
        <w:rPr>
          <w:rFonts w:ascii="標楷體" w:eastAsia="標楷體" w:hAnsi="標楷體" w:hint="eastAsia"/>
          <w:sz w:val="32"/>
          <w:szCs w:val="32"/>
        </w:rPr>
        <w:t>」係為行政院「服務型智慧政府</w:t>
      </w:r>
      <w:r w:rsidRPr="00B70493">
        <w:rPr>
          <w:rFonts w:ascii="標楷體" w:eastAsia="標楷體" w:hAnsi="標楷體"/>
          <w:sz w:val="32"/>
          <w:szCs w:val="32"/>
        </w:rPr>
        <w:t>2.0</w:t>
      </w:r>
      <w:r w:rsidRPr="00B70493">
        <w:rPr>
          <w:rFonts w:ascii="標楷體" w:eastAsia="標楷體" w:hAnsi="標楷體" w:hint="eastAsia"/>
          <w:sz w:val="32"/>
          <w:szCs w:val="32"/>
        </w:rPr>
        <w:t>推動計畫</w:t>
      </w:r>
      <w:r w:rsidRPr="00B70493">
        <w:rPr>
          <w:rFonts w:ascii="標楷體" w:eastAsia="標楷體" w:hAnsi="標楷體"/>
          <w:sz w:val="32"/>
          <w:szCs w:val="32"/>
        </w:rPr>
        <w:t>(110</w:t>
      </w:r>
      <w:r w:rsidRPr="00B70493">
        <w:rPr>
          <w:rFonts w:ascii="標楷體" w:eastAsia="標楷體" w:hAnsi="標楷體" w:hint="eastAsia"/>
          <w:sz w:val="32"/>
          <w:szCs w:val="32"/>
        </w:rPr>
        <w:t>年至</w:t>
      </w:r>
      <w:r w:rsidRPr="00B70493">
        <w:rPr>
          <w:rFonts w:ascii="標楷體" w:eastAsia="標楷體" w:hAnsi="標楷體"/>
          <w:sz w:val="32"/>
          <w:szCs w:val="32"/>
        </w:rPr>
        <w:t>114</w:t>
      </w:r>
      <w:r w:rsidRPr="00B70493">
        <w:rPr>
          <w:rFonts w:ascii="標楷體" w:eastAsia="標楷體" w:hAnsi="標楷體" w:hint="eastAsia"/>
          <w:sz w:val="32"/>
          <w:szCs w:val="32"/>
        </w:rPr>
        <w:t>年</w:t>
      </w:r>
      <w:r w:rsidRPr="00B70493">
        <w:rPr>
          <w:rFonts w:ascii="標楷體" w:eastAsia="標楷體" w:hAnsi="標楷體"/>
          <w:sz w:val="32"/>
          <w:szCs w:val="32"/>
        </w:rPr>
        <w:t>)</w:t>
      </w:r>
      <w:r w:rsidRPr="00B70493">
        <w:rPr>
          <w:rFonts w:ascii="標楷體" w:eastAsia="標楷體" w:hAnsi="標楷體" w:hint="eastAsia"/>
          <w:sz w:val="32"/>
          <w:szCs w:val="32"/>
        </w:rPr>
        <w:t>」工作項目之一，主要為建置故宮資料深度運用，應辦理項目有4：</w:t>
      </w:r>
      <w:r w:rsidRPr="00B70493">
        <w:rPr>
          <w:rFonts w:ascii="標楷體" w:eastAsia="標楷體" w:hAnsi="標楷體" w:cs="新細明體" w:hint="eastAsia"/>
          <w:sz w:val="32"/>
          <w:szCs w:val="32"/>
        </w:rPr>
        <w:t>1</w:t>
      </w:r>
      <w:r w:rsidRPr="00B70493">
        <w:rPr>
          <w:rFonts w:ascii="標楷體" w:eastAsia="標楷體" w:hAnsi="標楷體" w:cs="新細明體"/>
          <w:sz w:val="32"/>
          <w:szCs w:val="32"/>
        </w:rPr>
        <w:t>.</w:t>
      </w:r>
      <w:r w:rsidRPr="00B70493">
        <w:rPr>
          <w:rFonts w:ascii="標楷體" w:eastAsia="標楷體" w:hAnsi="標楷體" w:cs="標楷體" w:hint="eastAsia"/>
          <w:sz w:val="32"/>
          <w:szCs w:val="32"/>
        </w:rPr>
        <w:t>建置</w:t>
      </w:r>
      <w:r w:rsidRPr="00B70493">
        <w:rPr>
          <w:rFonts w:ascii="標楷體" w:eastAsia="標楷體" w:hAnsi="標楷體"/>
          <w:sz w:val="32"/>
          <w:szCs w:val="32"/>
        </w:rPr>
        <w:t>AI</w:t>
      </w:r>
      <w:r w:rsidRPr="00B70493">
        <w:rPr>
          <w:rFonts w:ascii="標楷體" w:eastAsia="標楷體" w:hAnsi="標楷體" w:hint="eastAsia"/>
          <w:sz w:val="32"/>
          <w:szCs w:val="32"/>
        </w:rPr>
        <w:t>化藝術教育資源並導入藝術教育現場；2.</w:t>
      </w:r>
      <w:r w:rsidRPr="00B70493">
        <w:rPr>
          <w:rFonts w:ascii="標楷體" w:eastAsia="標楷體" w:hAnsi="標楷體" w:cs="標楷體" w:hint="eastAsia"/>
          <w:sz w:val="32"/>
          <w:szCs w:val="32"/>
        </w:rPr>
        <w:t>擴大故宮資料開放樣態、途徑及受眾；3.建立故宮教育頻道暨開放平臺；4.</w:t>
      </w:r>
      <w:r>
        <w:rPr>
          <w:rFonts w:ascii="標楷體" w:eastAsia="標楷體" w:hAnsi="標楷體" w:cs="標楷體" w:hint="eastAsia"/>
          <w:sz w:val="32"/>
          <w:szCs w:val="32"/>
        </w:rPr>
        <w:t>資料之數據分析。惟</w:t>
      </w:r>
      <w:r w:rsidRPr="00B70493">
        <w:rPr>
          <w:rFonts w:ascii="標楷體" w:eastAsia="標楷體" w:hAnsi="標楷體" w:cs="標楷體" w:hint="eastAsia"/>
          <w:sz w:val="32"/>
          <w:szCs w:val="32"/>
        </w:rPr>
        <w:t>根據故宮說明其實施成果，僅有達成第</w:t>
      </w:r>
      <w:r w:rsidRPr="00B70493">
        <w:rPr>
          <w:rFonts w:ascii="標楷體" w:eastAsia="標楷體" w:hAnsi="標楷體" w:cs="新細明體" w:hint="eastAsia"/>
          <w:sz w:val="32"/>
          <w:szCs w:val="32"/>
        </w:rPr>
        <w:t>1</w:t>
      </w:r>
      <w:r w:rsidRPr="00B70493">
        <w:rPr>
          <w:rFonts w:ascii="標楷體" w:eastAsia="標楷體" w:hAnsi="標楷體" w:cs="標楷體" w:hint="eastAsia"/>
          <w:sz w:val="32"/>
          <w:szCs w:val="32"/>
        </w:rPr>
        <w:t>項</w:t>
      </w:r>
      <w:r w:rsidRPr="00B70493">
        <w:rPr>
          <w:rFonts w:ascii="標楷體" w:eastAsia="標楷體" w:hAnsi="標楷體"/>
          <w:sz w:val="32"/>
          <w:szCs w:val="32"/>
        </w:rPr>
        <w:t>(</w:t>
      </w:r>
      <w:r w:rsidRPr="00B70493">
        <w:rPr>
          <w:rFonts w:ascii="標楷體" w:eastAsia="標楷體" w:hAnsi="標楷體" w:hint="eastAsia"/>
          <w:sz w:val="32"/>
          <w:szCs w:val="32"/>
        </w:rPr>
        <w:t>透過創客魔幻列車執行博物館</w:t>
      </w:r>
      <w:r w:rsidRPr="00B70493">
        <w:rPr>
          <w:rFonts w:ascii="標楷體" w:eastAsia="標楷體" w:hAnsi="標楷體"/>
          <w:sz w:val="32"/>
          <w:szCs w:val="32"/>
        </w:rPr>
        <w:t>STEAM</w:t>
      </w:r>
      <w:r w:rsidRPr="00B70493">
        <w:rPr>
          <w:rFonts w:ascii="標楷體" w:eastAsia="標楷體" w:hAnsi="標楷體" w:hint="eastAsia"/>
          <w:sz w:val="32"/>
          <w:szCs w:val="32"/>
        </w:rPr>
        <w:t>教育實地推廣</w:t>
      </w:r>
      <w:r w:rsidRPr="00B70493">
        <w:rPr>
          <w:rFonts w:ascii="標楷體" w:eastAsia="標楷體" w:hAnsi="標楷體"/>
          <w:sz w:val="32"/>
          <w:szCs w:val="32"/>
        </w:rPr>
        <w:t>)</w:t>
      </w:r>
      <w:r w:rsidRPr="00B70493">
        <w:rPr>
          <w:rFonts w:ascii="標楷體" w:eastAsia="標楷體" w:hAnsi="標楷體" w:hint="eastAsia"/>
          <w:sz w:val="32"/>
          <w:szCs w:val="32"/>
        </w:rPr>
        <w:t>，其他鼓勵民眾使用故宮之開放資料之實施成果付之闕如，而且有益於推動故宮</w:t>
      </w:r>
      <w:r w:rsidRPr="00B70493">
        <w:rPr>
          <w:rFonts w:ascii="標楷體" w:eastAsia="標楷體" w:hAnsi="標楷體"/>
          <w:sz w:val="32"/>
          <w:szCs w:val="32"/>
        </w:rPr>
        <w:t>Open Data</w:t>
      </w:r>
      <w:r w:rsidRPr="00B70493">
        <w:rPr>
          <w:rFonts w:ascii="標楷體" w:eastAsia="標楷體" w:hAnsi="標楷體" w:hint="eastAsia"/>
          <w:sz w:val="32"/>
          <w:szCs w:val="32"/>
        </w:rPr>
        <w:t>資料開放之「線上策展人」活動僅實施2屆後(</w:t>
      </w:r>
      <w:r w:rsidRPr="00B70493">
        <w:rPr>
          <w:rFonts w:ascii="標楷體" w:eastAsia="標楷體" w:hAnsi="標楷體"/>
          <w:sz w:val="32"/>
          <w:szCs w:val="32"/>
        </w:rPr>
        <w:t>109</w:t>
      </w:r>
      <w:r w:rsidRPr="00B70493">
        <w:rPr>
          <w:rFonts w:ascii="標楷體" w:eastAsia="標楷體" w:hAnsi="標楷體" w:hint="eastAsia"/>
          <w:sz w:val="32"/>
          <w:szCs w:val="32"/>
        </w:rPr>
        <w:t>與</w:t>
      </w:r>
      <w:r w:rsidRPr="00B70493">
        <w:rPr>
          <w:rFonts w:ascii="標楷體" w:eastAsia="標楷體" w:hAnsi="標楷體"/>
          <w:sz w:val="32"/>
          <w:szCs w:val="32"/>
        </w:rPr>
        <w:t>110</w:t>
      </w:r>
      <w:r w:rsidRPr="00B70493">
        <w:rPr>
          <w:rFonts w:ascii="標楷體" w:eastAsia="標楷體" w:hAnsi="標楷體" w:hint="eastAsia"/>
          <w:sz w:val="32"/>
          <w:szCs w:val="32"/>
        </w:rPr>
        <w:t>年)旋即停辦，顯示其在擴大故宮資料開放政策執行上成效不彰</w:t>
      </w:r>
      <w:r>
        <w:rPr>
          <w:rFonts w:ascii="標楷體" w:eastAsia="標楷體" w:hAnsi="標楷體" w:hint="eastAsia"/>
          <w:sz w:val="32"/>
          <w:szCs w:val="32"/>
        </w:rPr>
        <w:t>。</w:t>
      </w:r>
      <w:r w:rsidRPr="00B70493">
        <w:rPr>
          <w:rFonts w:ascii="標楷體" w:eastAsia="標楷體" w:hAnsi="標楷體" w:hint="eastAsia"/>
          <w:sz w:val="32"/>
          <w:szCs w:val="32"/>
        </w:rPr>
        <w:t>爰此要求國立故宮博物院於3個月內向立法院教育及文化委員會提出書面報告。</w:t>
      </w:r>
      <w:r w:rsidRPr="00B70493">
        <w:rPr>
          <w:rFonts w:ascii="標楷體" w:eastAsia="標楷體" w:hAnsi="標楷體"/>
          <w:sz w:val="32"/>
          <w:szCs w:val="32"/>
        </w:rPr>
        <w:t>67</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提案人：張廖萬堅</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連署人：何欣純  林宜瑾</w:t>
      </w:r>
      <w:r w:rsidRPr="00B70493">
        <w:rPr>
          <w:rFonts w:ascii="標楷體" w:eastAsia="標楷體" w:hAnsi="標楷體"/>
          <w:sz w:val="32"/>
          <w:szCs w:val="32"/>
        </w:rPr>
        <w:t xml:space="preserve">  </w:t>
      </w:r>
      <w:r w:rsidRPr="00B70493">
        <w:rPr>
          <w:rFonts w:ascii="標楷體" w:eastAsia="標楷體" w:hAnsi="標楷體" w:hint="eastAsia"/>
          <w:sz w:val="32"/>
          <w:szCs w:val="32"/>
        </w:rPr>
        <w:t>陳秀寳</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(四十八)經查112 年度國立故宮博物院「綜合規劃與推廣行銷」項下「博物館開放資料深度運用計畫」中「優化故宮開放資料，提供跨領域教學及藝術教育資源等作業所需之軟硬體設備及系統開發」預算編列226萬元。惟故宮博物院線上資源</w:t>
      </w:r>
      <w:r w:rsidRPr="00B70493">
        <w:rPr>
          <w:rFonts w:ascii="標楷體" w:eastAsia="標楷體" w:hAnsi="標楷體" w:hint="eastAsia"/>
          <w:sz w:val="32"/>
          <w:szCs w:val="32"/>
        </w:rPr>
        <w:lastRenderedPageBreak/>
        <w:t>之平均停留時間皆很短暫，以111年1至8月資料統計，展覽搶先看平均停留113秒、典藏精選平均停留69秒、720°VR走進故宮平均停留99秒、故宮O</w:t>
      </w:r>
      <w:r>
        <w:rPr>
          <w:rFonts w:ascii="標楷體" w:eastAsia="標楷體" w:hAnsi="標楷體"/>
          <w:sz w:val="32"/>
          <w:szCs w:val="32"/>
        </w:rPr>
        <w:t xml:space="preserve">pen </w:t>
      </w:r>
      <w:r>
        <w:rPr>
          <w:rFonts w:ascii="標楷體" w:eastAsia="標楷體" w:hAnsi="標楷體" w:hint="eastAsia"/>
          <w:sz w:val="32"/>
          <w:szCs w:val="32"/>
        </w:rPr>
        <w:t>Data</w:t>
      </w:r>
      <w:r w:rsidRPr="00B70493">
        <w:rPr>
          <w:rFonts w:ascii="標楷體" w:eastAsia="標楷體" w:hAnsi="標楷體" w:hint="eastAsia"/>
          <w:sz w:val="32"/>
          <w:szCs w:val="32"/>
        </w:rPr>
        <w:t>平均停留48秒。故宮博物院建置線上資源本就應維護優質之平台供民眾使用；線上資源民眾平均停留時間過低，故宮博物院應檢討如何改善俾能使民眾更加願意使用線上資源，使其發揮最大效益。爰要求國立故宮博物院於3個月內向立法院教育及文化委員會提出書面報告。</w:t>
      </w:r>
      <w:r w:rsidRPr="00B70493">
        <w:rPr>
          <w:rFonts w:ascii="標楷體" w:eastAsia="標楷體" w:hAnsi="標楷體"/>
          <w:sz w:val="32"/>
          <w:szCs w:val="32"/>
        </w:rPr>
        <w:t>68</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提案人：陳秀寳</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連署人：吳思瑤  何欣純</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(四十九)</w:t>
      </w:r>
      <w:r>
        <w:rPr>
          <w:rFonts w:ascii="標楷體" w:eastAsia="標楷體" w:hAnsi="標楷體"/>
          <w:sz w:val="32"/>
          <w:szCs w:val="32"/>
        </w:rPr>
        <w:t>112</w:t>
      </w:r>
      <w:r>
        <w:rPr>
          <w:rFonts w:ascii="標楷體" w:eastAsia="標楷體" w:hAnsi="標楷體" w:hint="eastAsia"/>
          <w:sz w:val="32"/>
          <w:szCs w:val="32"/>
        </w:rPr>
        <w:t>年度國立故宮博物院「綜合規劃與推廣行銷」項下</w:t>
      </w:r>
      <w:r w:rsidRPr="00B70493">
        <w:rPr>
          <w:rFonts w:ascii="標楷體" w:eastAsia="標楷體" w:hAnsi="標楷體" w:hint="eastAsia"/>
          <w:sz w:val="32"/>
          <w:szCs w:val="32"/>
        </w:rPr>
        <w:t>「博物館開放資料深度運用計畫」係因應國家發展委員會「服務型智慧政府 2.0 推動計畫」產生，目的為擴大故宮資料之使用，使資料得以轉換成教學資源，協助學校藝術教育現場使用。由於疫情影響，計畫中各項績效皆不如預期，111 年度故宮預計辦理博物館創客魔幻列車貼心到校服務 82 校、故宮教育頻道暨開放平台之學習人數達7萬1千人、新增數位內容及新型態開放資料集數22集、辦理工作坊或推廣活動2場及回訪學校6校，統計截至111年8月底之執行情形，實際值與目標值存在不小差距，故宮應於疫情期間尋求可行之替代方案，並於疫情趨緩後加速運作，使學童能接觸故宮文物，激發藝術創作能力。爰此，請國立故宮博物院於3個月內向立法院教育及文化委員會提出書面報告。</w:t>
      </w:r>
      <w:r w:rsidRPr="00B70493">
        <w:rPr>
          <w:rFonts w:ascii="標楷體" w:eastAsia="標楷體" w:hAnsi="標楷體"/>
          <w:sz w:val="32"/>
          <w:szCs w:val="32"/>
        </w:rPr>
        <w:t>69</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提案人：吳思瑤  黃國書</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連署人：林宜瑾</w:t>
      </w:r>
      <w:r w:rsidRPr="00B70493">
        <w:rPr>
          <w:rFonts w:ascii="標楷體" w:eastAsia="標楷體" w:hAnsi="標楷體"/>
          <w:sz w:val="32"/>
          <w:szCs w:val="32"/>
        </w:rPr>
        <w:t xml:space="preserve">  </w:t>
      </w:r>
      <w:r w:rsidRPr="00B70493">
        <w:rPr>
          <w:rFonts w:ascii="標楷體" w:eastAsia="標楷體" w:hAnsi="標楷體" w:hint="eastAsia"/>
          <w:sz w:val="32"/>
          <w:szCs w:val="32"/>
        </w:rPr>
        <w:t>陳秀寳  何欣純</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(五十)為因應數位政府資料開放政策，國立故宮博物院截至111年10月已完成書畫類藏品文物數位化件數總數計1萬5,698組件，完成度99.6%</w:t>
      </w:r>
      <w:r>
        <w:rPr>
          <w:rFonts w:ascii="標楷體" w:eastAsia="標楷體" w:hAnsi="標楷體" w:hint="eastAsia"/>
          <w:sz w:val="32"/>
          <w:szCs w:val="32"/>
        </w:rPr>
        <w:t>；</w:t>
      </w:r>
      <w:r w:rsidRPr="00B70493">
        <w:rPr>
          <w:rFonts w:ascii="標楷體" w:eastAsia="標楷體" w:hAnsi="標楷體" w:hint="eastAsia"/>
          <w:sz w:val="32"/>
          <w:szCs w:val="32"/>
        </w:rPr>
        <w:t>器物類藏品文物總數7萬1,117件，完</w:t>
      </w:r>
      <w:r w:rsidRPr="00B70493">
        <w:rPr>
          <w:rFonts w:ascii="標楷體" w:eastAsia="標楷體" w:hAnsi="標楷體" w:hint="eastAsia"/>
          <w:sz w:val="32"/>
          <w:szCs w:val="32"/>
        </w:rPr>
        <w:lastRenderedPageBreak/>
        <w:t>成度95.22%。文物圖像低階圖檔已完成開放40萬張文物圖像，中階圖檔目前已開放25萬張，並預計於111年底可完成40萬張中階圖檔，高階圖檔採授權收費方式，不在釋出範圍。基於故宮文物圖像為國家型數位典</w:t>
      </w:r>
      <w:r>
        <w:rPr>
          <w:rFonts w:ascii="標楷體" w:eastAsia="標楷體" w:hAnsi="標楷體" w:hint="eastAsia"/>
          <w:sz w:val="32"/>
          <w:szCs w:val="32"/>
        </w:rPr>
        <w:t>藏計畫之重要成果，為有利資料數位運用，並擴大博物館公共化效益，</w:t>
      </w:r>
      <w:r w:rsidRPr="00B70493">
        <w:rPr>
          <w:rFonts w:ascii="標楷體" w:eastAsia="標楷體" w:hAnsi="標楷體" w:hint="eastAsia"/>
          <w:sz w:val="32"/>
          <w:szCs w:val="32"/>
        </w:rPr>
        <w:t>請故宮除持續擴充</w:t>
      </w:r>
      <w:r>
        <w:rPr>
          <w:rFonts w:ascii="標楷體" w:eastAsia="標楷體" w:hAnsi="標楷體" w:hint="eastAsia"/>
          <w:sz w:val="32"/>
          <w:szCs w:val="32"/>
        </w:rPr>
        <w:t>Open Data</w:t>
      </w:r>
      <w:r w:rsidRPr="00B70493">
        <w:rPr>
          <w:rFonts w:ascii="標楷體" w:eastAsia="標楷體" w:hAnsi="標楷體" w:hint="eastAsia"/>
          <w:sz w:val="32"/>
          <w:szCs w:val="32"/>
        </w:rPr>
        <w:t>資料庫圖像外，應積極研謀加速數位圖檔開放。爰此，請國立故宮博物院於3個月內向立法院教育及文化委員會提出書面報告。</w:t>
      </w:r>
      <w:r w:rsidRPr="00B70493">
        <w:rPr>
          <w:rFonts w:ascii="標楷體" w:eastAsia="標楷體" w:hAnsi="標楷體"/>
          <w:sz w:val="32"/>
          <w:szCs w:val="32"/>
        </w:rPr>
        <w:t>70</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提案人：吳思瑤</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連署人：林宜瑾  何欣純</w:t>
      </w:r>
      <w:r w:rsidRPr="00B70493">
        <w:rPr>
          <w:rFonts w:ascii="標楷體" w:eastAsia="標楷體" w:hAnsi="標楷體"/>
          <w:sz w:val="32"/>
          <w:szCs w:val="32"/>
        </w:rPr>
        <w:t xml:space="preserve">  </w:t>
      </w:r>
      <w:r w:rsidRPr="00B70493">
        <w:rPr>
          <w:rFonts w:ascii="標楷體" w:eastAsia="標楷體" w:hAnsi="標楷體" w:hint="eastAsia"/>
          <w:sz w:val="32"/>
          <w:szCs w:val="32"/>
        </w:rPr>
        <w:t>陳秀寳</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(五十一)1</w:t>
      </w:r>
      <w:r w:rsidRPr="00B70493">
        <w:rPr>
          <w:rFonts w:ascii="標楷體" w:eastAsia="標楷體" w:hAnsi="標楷體"/>
          <w:sz w:val="32"/>
          <w:szCs w:val="32"/>
        </w:rPr>
        <w:t>12</w:t>
      </w:r>
      <w:r w:rsidRPr="00B70493">
        <w:rPr>
          <w:rFonts w:ascii="標楷體" w:eastAsia="標楷體" w:hAnsi="標楷體" w:hint="eastAsia"/>
          <w:sz w:val="32"/>
          <w:szCs w:val="32"/>
        </w:rPr>
        <w:t>年度國立故宮博物院「綜合規劃與推廣行銷」項下「博物館開放資料深度運用計畫」預算編列</w:t>
      </w:r>
      <w:r w:rsidRPr="00B70493">
        <w:rPr>
          <w:rFonts w:ascii="標楷體" w:eastAsia="標楷體" w:hAnsi="標楷體"/>
          <w:sz w:val="32"/>
          <w:szCs w:val="32"/>
        </w:rPr>
        <w:t>667</w:t>
      </w:r>
      <w:r w:rsidRPr="00B70493">
        <w:rPr>
          <w:rFonts w:ascii="標楷體" w:eastAsia="標楷體" w:hAnsi="標楷體" w:hint="eastAsia"/>
          <w:sz w:val="32"/>
          <w:szCs w:val="32"/>
        </w:rPr>
        <w:t>萬元。該計畫期程</w:t>
      </w:r>
      <w:r w:rsidRPr="00B70493">
        <w:rPr>
          <w:rFonts w:ascii="標楷體" w:eastAsia="標楷體" w:hAnsi="標楷體"/>
          <w:sz w:val="32"/>
          <w:szCs w:val="32"/>
        </w:rPr>
        <w:t>110</w:t>
      </w:r>
      <w:r w:rsidRPr="00B70493">
        <w:rPr>
          <w:rFonts w:ascii="標楷體" w:eastAsia="標楷體" w:hAnsi="標楷體" w:hint="eastAsia"/>
          <w:sz w:val="32"/>
          <w:szCs w:val="32"/>
        </w:rPr>
        <w:t>至</w:t>
      </w:r>
      <w:r w:rsidRPr="00B70493">
        <w:rPr>
          <w:rFonts w:ascii="標楷體" w:eastAsia="標楷體" w:hAnsi="標楷體"/>
          <w:sz w:val="32"/>
          <w:szCs w:val="32"/>
        </w:rPr>
        <w:t>114</w:t>
      </w:r>
      <w:r w:rsidRPr="00B70493">
        <w:rPr>
          <w:rFonts w:ascii="標楷體" w:eastAsia="標楷體" w:hAnsi="標楷體" w:hint="eastAsia"/>
          <w:sz w:val="32"/>
          <w:szCs w:val="32"/>
        </w:rPr>
        <w:t>年，總經費</w:t>
      </w:r>
      <w:r w:rsidRPr="00B70493">
        <w:rPr>
          <w:rFonts w:ascii="標楷體" w:eastAsia="標楷體" w:hAnsi="標楷體"/>
          <w:sz w:val="32"/>
          <w:szCs w:val="32"/>
        </w:rPr>
        <w:t>6,</w:t>
      </w:r>
      <w:r w:rsidRPr="00B70493">
        <w:rPr>
          <w:rFonts w:ascii="標楷體" w:eastAsia="標楷體" w:hAnsi="標楷體" w:hint="eastAsia"/>
          <w:sz w:val="32"/>
          <w:szCs w:val="32"/>
        </w:rPr>
        <w:t>0</w:t>
      </w:r>
      <w:r w:rsidRPr="00B70493">
        <w:rPr>
          <w:rFonts w:ascii="標楷體" w:eastAsia="標楷體" w:hAnsi="標楷體"/>
          <w:sz w:val="32"/>
          <w:szCs w:val="32"/>
        </w:rPr>
        <w:t>00</w:t>
      </w:r>
      <w:r w:rsidRPr="00B70493">
        <w:rPr>
          <w:rFonts w:ascii="標楷體" w:eastAsia="標楷體" w:hAnsi="標楷體" w:hint="eastAsia"/>
          <w:sz w:val="32"/>
          <w:szCs w:val="32"/>
        </w:rPr>
        <w:t>萬元，係因應國家發展委員會「服務型智慧政府</w:t>
      </w:r>
      <w:r w:rsidRPr="00B70493">
        <w:rPr>
          <w:rFonts w:ascii="標楷體" w:eastAsia="標楷體" w:hAnsi="標楷體"/>
          <w:sz w:val="32"/>
          <w:szCs w:val="32"/>
        </w:rPr>
        <w:t>2.0</w:t>
      </w:r>
      <w:r w:rsidRPr="00B70493">
        <w:rPr>
          <w:rFonts w:ascii="標楷體" w:eastAsia="標楷體" w:hAnsi="標楷體" w:hint="eastAsia"/>
          <w:sz w:val="32"/>
          <w:szCs w:val="32"/>
        </w:rPr>
        <w:t>推動計畫｣，擴大故宮資料之使用受眾並同步推廣教育資源，主要辦理方式為透過</w:t>
      </w:r>
      <w:r w:rsidRPr="00B70493">
        <w:rPr>
          <w:rFonts w:ascii="標楷體" w:eastAsia="標楷體" w:hAnsi="標楷體"/>
          <w:sz w:val="32"/>
          <w:szCs w:val="32"/>
        </w:rPr>
        <w:t xml:space="preserve">STEAM </w:t>
      </w:r>
      <w:r w:rsidRPr="00B70493">
        <w:rPr>
          <w:rFonts w:ascii="標楷體" w:eastAsia="標楷體" w:hAnsi="標楷體" w:hint="eastAsia"/>
          <w:sz w:val="32"/>
          <w:szCs w:val="32"/>
        </w:rPr>
        <w:t>教育精神，與各級學校、文化機構共同辦理適才適性的數位教案，並執行「創客魔幻列車」，將開放資料之資源導入學校教育現場，協助學生深入了解故宮文物。經查該計畫</w:t>
      </w:r>
      <w:r>
        <w:rPr>
          <w:rFonts w:ascii="標楷體" w:eastAsia="標楷體" w:hAnsi="標楷體" w:hint="eastAsia"/>
          <w:sz w:val="32"/>
          <w:szCs w:val="32"/>
        </w:rPr>
        <w:t>在</w:t>
      </w:r>
      <w:r w:rsidRPr="00B70493">
        <w:rPr>
          <w:rFonts w:ascii="標楷體" w:eastAsia="標楷體" w:hAnsi="標楷體"/>
          <w:sz w:val="32"/>
          <w:szCs w:val="32"/>
        </w:rPr>
        <w:t>109</w:t>
      </w:r>
      <w:r w:rsidRPr="00B70493">
        <w:rPr>
          <w:rFonts w:ascii="標楷體" w:eastAsia="標楷體" w:hAnsi="標楷體" w:hint="eastAsia"/>
          <w:sz w:val="32"/>
          <w:szCs w:val="32"/>
        </w:rPr>
        <w:t>年</w:t>
      </w:r>
      <w:r>
        <w:rPr>
          <w:rFonts w:ascii="標楷體" w:eastAsia="標楷體" w:hAnsi="標楷體" w:hint="eastAsia"/>
          <w:sz w:val="32"/>
          <w:szCs w:val="32"/>
        </w:rPr>
        <w:t>度</w:t>
      </w:r>
      <w:r w:rsidRPr="00B70493">
        <w:rPr>
          <w:rFonts w:ascii="標楷體" w:eastAsia="標楷體" w:hAnsi="標楷體" w:hint="eastAsia"/>
          <w:sz w:val="32"/>
          <w:szCs w:val="32"/>
        </w:rPr>
        <w:t>屬</w:t>
      </w:r>
      <w:r>
        <w:rPr>
          <w:rFonts w:ascii="標楷體" w:eastAsia="標楷體" w:hAnsi="標楷體" w:hint="eastAsia"/>
          <w:sz w:val="32"/>
          <w:szCs w:val="32"/>
        </w:rPr>
        <w:t>於</w:t>
      </w:r>
      <w:r w:rsidRPr="00B70493">
        <w:rPr>
          <w:rFonts w:ascii="標楷體" w:eastAsia="標楷體" w:hAnsi="標楷體"/>
          <w:sz w:val="32"/>
          <w:szCs w:val="32"/>
        </w:rPr>
        <w:t>106</w:t>
      </w:r>
      <w:r w:rsidRPr="00B70493">
        <w:rPr>
          <w:rFonts w:ascii="標楷體" w:eastAsia="標楷體" w:hAnsi="標楷體" w:hint="eastAsia"/>
          <w:sz w:val="32"/>
          <w:szCs w:val="32"/>
        </w:rPr>
        <w:t>年度國家發展委員會提出「第五階段電子化政府計畫</w:t>
      </w:r>
      <w:r w:rsidRPr="00B70493">
        <w:rPr>
          <w:rFonts w:ascii="標楷體" w:eastAsia="標楷體" w:hAnsi="標楷體"/>
          <w:sz w:val="32"/>
          <w:szCs w:val="32"/>
        </w:rPr>
        <w:t>-</w:t>
      </w:r>
      <w:r>
        <w:rPr>
          <w:rFonts w:ascii="標楷體" w:eastAsia="標楷體" w:hAnsi="標楷體" w:hint="eastAsia"/>
          <w:sz w:val="32"/>
          <w:szCs w:val="32"/>
        </w:rPr>
        <w:t>數位政府｣</w:t>
      </w:r>
      <w:r w:rsidRPr="00B70493">
        <w:rPr>
          <w:rFonts w:ascii="標楷體" w:eastAsia="標楷體" w:hAnsi="標楷體" w:hint="eastAsia"/>
          <w:sz w:val="32"/>
          <w:szCs w:val="32"/>
        </w:rPr>
        <w:t>其中一項子計畫，當時故宮同樣以辦理創客列車方式，透過開發遊戲學習、虛擬實境教學應用與學校作為連結。但無論是現階段「博物館開放資料深度運用計畫」或是前階段「第五階段電子化政府計畫-數位政府」，都未看見故宮針對該項計畫預計達到怎樣的效益?也沒有清楚績效指標可供檢視。且實際上，全國中小學校數超過3千所，多數學校並不清楚該計畫內容、參與方式等，恐難達到融合故宮開放資料，達到推動藝術教育服務之目標。故為督促故宮實踐將數位科技應用於教育推廣，落實教學資源導入</w:t>
      </w:r>
      <w:r w:rsidRPr="00B70493">
        <w:rPr>
          <w:rFonts w:ascii="標楷體" w:eastAsia="標楷體" w:hAnsi="標楷體" w:hint="eastAsia"/>
          <w:sz w:val="32"/>
          <w:szCs w:val="32"/>
        </w:rPr>
        <w:lastRenderedPageBreak/>
        <w:t>及達到文化平權，請國立故宮博物院於3個月內向立法院教育及文化委員會提出書面報告。</w:t>
      </w:r>
      <w:r w:rsidRPr="00B70493">
        <w:rPr>
          <w:rFonts w:ascii="標楷體" w:eastAsia="標楷體" w:hAnsi="標楷體"/>
          <w:sz w:val="32"/>
          <w:szCs w:val="32"/>
        </w:rPr>
        <w:t>71</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提案人：吳思瑤</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連署人：何欣純  林宜瑾</w:t>
      </w:r>
      <w:r w:rsidRPr="00B70493">
        <w:rPr>
          <w:rFonts w:ascii="標楷體" w:eastAsia="標楷體" w:hAnsi="標楷體"/>
          <w:sz w:val="32"/>
          <w:szCs w:val="32"/>
        </w:rPr>
        <w:t xml:space="preserve">  </w:t>
      </w:r>
      <w:r w:rsidRPr="00B70493">
        <w:rPr>
          <w:rFonts w:ascii="標楷體" w:eastAsia="標楷體" w:hAnsi="標楷體" w:hint="eastAsia"/>
          <w:sz w:val="32"/>
          <w:szCs w:val="32"/>
        </w:rPr>
        <w:t>陳秀寳</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(五十二)經查 112 年國立故宮博物院「文物安全、管理與修護」項下「器物典藏與庫房管理」中「器物中、英文詮釋資料優化計畫」預算編列168萬元。故宮博物院自疫情開始後，推行720°VR走進故宮，然而720°VR網頁所提供之文物資料介紹，僅有中文。故宮博物院允宜將實體展覽中之英文同步更新至720°VR走進故宮，以吸引外國遊客透過網路欣賞故宮博物院之文物，並進而增加到故宮博物院實地參訪之誘因。爰請國立故宮博物院於3個月內向立法院教育及文化委員會提出書面報告。</w:t>
      </w:r>
      <w:r w:rsidRPr="00B70493">
        <w:rPr>
          <w:rFonts w:ascii="標楷體" w:eastAsia="標楷體" w:hAnsi="標楷體"/>
          <w:sz w:val="32"/>
          <w:szCs w:val="32"/>
        </w:rPr>
        <w:t>79</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提案人：陳秀寳  黃國書</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連署人：何欣純</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(五十三)112年度國立故宮博物院「新故宮計畫」預算編列7億1,374萬4千元，111年度預算編列</w:t>
      </w:r>
      <w:r w:rsidRPr="006720E0">
        <w:rPr>
          <w:rFonts w:ascii="標楷體" w:eastAsia="標楷體" w:hAnsi="標楷體" w:hint="eastAsia"/>
          <w:sz w:val="32"/>
          <w:szCs w:val="32"/>
        </w:rPr>
        <w:t>4億9,254萬1千元，增幅44.9%。</w:t>
      </w:r>
    </w:p>
    <w:tbl>
      <w:tblPr>
        <w:tblW w:w="8494" w:type="dxa"/>
        <w:tblInd w:w="9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gridCol w:w="1981"/>
        <w:gridCol w:w="2832"/>
      </w:tblGrid>
      <w:tr w:rsidR="00B6184F" w:rsidRPr="00065BCE" w:rsidTr="00F035E0">
        <w:tc>
          <w:tcPr>
            <w:tcW w:w="3681" w:type="dxa"/>
            <w:shd w:val="clear" w:color="auto" w:fill="auto"/>
          </w:tcPr>
          <w:p w:rsidR="00B6184F" w:rsidRPr="00065BCE" w:rsidRDefault="00B6184F" w:rsidP="00DF652F">
            <w:pPr>
              <w:suppressAutoHyphens/>
              <w:spacing w:line="400" w:lineRule="exact"/>
              <w:ind w:leftChars="-1" w:left="1" w:hangingChars="1" w:hanging="3"/>
              <w:jc w:val="center"/>
              <w:rPr>
                <w:rFonts w:ascii="標楷體" w:eastAsia="標楷體" w:hAnsi="標楷體" w:cs="Courier New"/>
                <w:b/>
                <w:position w:val="-1"/>
                <w:sz w:val="28"/>
                <w:szCs w:val="28"/>
              </w:rPr>
            </w:pPr>
          </w:p>
        </w:tc>
        <w:tc>
          <w:tcPr>
            <w:tcW w:w="1981" w:type="dxa"/>
            <w:shd w:val="clear" w:color="auto" w:fill="auto"/>
          </w:tcPr>
          <w:p w:rsidR="00B6184F" w:rsidRPr="00065BCE" w:rsidRDefault="00B6184F" w:rsidP="00DF652F">
            <w:pPr>
              <w:suppressAutoHyphens/>
              <w:spacing w:line="400" w:lineRule="exact"/>
              <w:ind w:leftChars="-1" w:left="1" w:hangingChars="1" w:hanging="3"/>
              <w:jc w:val="center"/>
              <w:rPr>
                <w:rFonts w:ascii="標楷體" w:eastAsia="標楷體" w:hAnsi="標楷體" w:cs="Courier New"/>
                <w:b/>
                <w:position w:val="-1"/>
                <w:sz w:val="28"/>
                <w:szCs w:val="28"/>
              </w:rPr>
            </w:pPr>
            <w:bookmarkStart w:id="259" w:name="_Toc123716390"/>
            <w:r w:rsidRPr="00065BCE">
              <w:rPr>
                <w:rFonts w:ascii="標楷體" w:eastAsia="標楷體" w:hAnsi="標楷體" w:cs="Courier New" w:hint="eastAsia"/>
                <w:b/>
                <w:position w:val="-1"/>
                <w:sz w:val="28"/>
                <w:szCs w:val="28"/>
              </w:rPr>
              <w:t>107年預估</w:t>
            </w:r>
            <w:bookmarkEnd w:id="259"/>
          </w:p>
        </w:tc>
        <w:tc>
          <w:tcPr>
            <w:tcW w:w="2832" w:type="dxa"/>
            <w:shd w:val="clear" w:color="auto" w:fill="auto"/>
          </w:tcPr>
          <w:p w:rsidR="00B6184F" w:rsidRPr="00065BCE" w:rsidRDefault="00B6184F" w:rsidP="00DF652F">
            <w:pPr>
              <w:suppressAutoHyphens/>
              <w:spacing w:line="400" w:lineRule="exact"/>
              <w:ind w:leftChars="-1" w:left="1" w:hangingChars="1" w:hanging="3"/>
              <w:jc w:val="center"/>
              <w:rPr>
                <w:rFonts w:ascii="標楷體" w:eastAsia="標楷體" w:hAnsi="標楷體" w:cs="Courier New"/>
                <w:b/>
                <w:position w:val="-1"/>
                <w:sz w:val="28"/>
                <w:szCs w:val="28"/>
              </w:rPr>
            </w:pPr>
            <w:bookmarkStart w:id="260" w:name="_Toc123716391"/>
            <w:r w:rsidRPr="00065BCE">
              <w:rPr>
                <w:rFonts w:ascii="標楷體" w:eastAsia="標楷體" w:hAnsi="標楷體" w:cs="Courier New" w:hint="eastAsia"/>
                <w:b/>
                <w:position w:val="-1"/>
                <w:sz w:val="28"/>
                <w:szCs w:val="28"/>
              </w:rPr>
              <w:t>1</w:t>
            </w:r>
            <w:r w:rsidRPr="00065BCE">
              <w:rPr>
                <w:rFonts w:ascii="標楷體" w:eastAsia="標楷體" w:hAnsi="標楷體" w:cs="Courier New"/>
                <w:b/>
                <w:position w:val="-1"/>
                <w:sz w:val="28"/>
                <w:szCs w:val="28"/>
              </w:rPr>
              <w:t>10</w:t>
            </w:r>
            <w:r w:rsidRPr="00065BCE">
              <w:rPr>
                <w:rFonts w:ascii="標楷體" w:eastAsia="標楷體" w:hAnsi="標楷體" w:cs="Courier New" w:hint="eastAsia"/>
                <w:b/>
                <w:position w:val="-1"/>
                <w:sz w:val="28"/>
                <w:szCs w:val="28"/>
              </w:rPr>
              <w:t>年預估</w:t>
            </w:r>
            <w:bookmarkEnd w:id="260"/>
          </w:p>
        </w:tc>
      </w:tr>
      <w:tr w:rsidR="00B6184F" w:rsidRPr="00065BCE" w:rsidTr="00F035E0">
        <w:tc>
          <w:tcPr>
            <w:tcW w:w="3681" w:type="dxa"/>
            <w:shd w:val="clear" w:color="auto" w:fill="auto"/>
          </w:tcPr>
          <w:p w:rsidR="00B6184F" w:rsidRPr="00065BCE" w:rsidRDefault="00B6184F" w:rsidP="00DF652F">
            <w:pPr>
              <w:suppressAutoHyphens/>
              <w:spacing w:line="400" w:lineRule="exact"/>
              <w:ind w:leftChars="-1" w:left="1" w:hangingChars="1" w:hanging="3"/>
              <w:jc w:val="center"/>
              <w:rPr>
                <w:rFonts w:ascii="標楷體" w:eastAsia="標楷體" w:hAnsi="標楷體" w:cs="Courier New"/>
                <w:b/>
                <w:position w:val="-1"/>
                <w:sz w:val="28"/>
                <w:szCs w:val="28"/>
              </w:rPr>
            </w:pPr>
            <w:bookmarkStart w:id="261" w:name="_Toc123716392"/>
            <w:r w:rsidRPr="00065BCE">
              <w:rPr>
                <w:rFonts w:ascii="標楷體" w:eastAsia="標楷體" w:hAnsi="標楷體" w:cs="Courier New" w:hint="eastAsia"/>
                <w:b/>
                <w:position w:val="-1"/>
                <w:sz w:val="28"/>
                <w:szCs w:val="28"/>
              </w:rPr>
              <w:t>20年後參觀人數成長</w:t>
            </w:r>
            <w:bookmarkEnd w:id="261"/>
          </w:p>
        </w:tc>
        <w:tc>
          <w:tcPr>
            <w:tcW w:w="1981" w:type="dxa"/>
            <w:shd w:val="clear" w:color="auto" w:fill="auto"/>
          </w:tcPr>
          <w:p w:rsidR="00B6184F" w:rsidRPr="00065BCE" w:rsidRDefault="00B6184F" w:rsidP="00DF652F">
            <w:pPr>
              <w:suppressAutoHyphens/>
              <w:spacing w:line="400" w:lineRule="exact"/>
              <w:ind w:leftChars="-1" w:left="1" w:hangingChars="1" w:hanging="3"/>
              <w:jc w:val="center"/>
              <w:rPr>
                <w:rFonts w:ascii="標楷體" w:eastAsia="標楷體" w:hAnsi="標楷體" w:cs="Courier New"/>
                <w:b/>
                <w:position w:val="-1"/>
                <w:sz w:val="28"/>
                <w:szCs w:val="28"/>
              </w:rPr>
            </w:pPr>
            <w:bookmarkStart w:id="262" w:name="_Toc123716393"/>
            <w:r w:rsidRPr="00065BCE">
              <w:rPr>
                <w:rFonts w:ascii="標楷體" w:eastAsia="標楷體" w:hAnsi="標楷體" w:cs="Courier New" w:hint="eastAsia"/>
                <w:b/>
                <w:position w:val="-1"/>
                <w:sz w:val="28"/>
                <w:szCs w:val="28"/>
              </w:rPr>
              <w:t>5</w:t>
            </w:r>
            <w:r w:rsidRPr="00065BCE">
              <w:rPr>
                <w:rFonts w:ascii="標楷體" w:eastAsia="標楷體" w:hAnsi="標楷體" w:cs="Courier New"/>
                <w:b/>
                <w:position w:val="-1"/>
                <w:sz w:val="28"/>
                <w:szCs w:val="28"/>
              </w:rPr>
              <w:t>,140</w:t>
            </w:r>
            <w:r w:rsidRPr="00065BCE">
              <w:rPr>
                <w:rFonts w:ascii="標楷體" w:eastAsia="標楷體" w:hAnsi="標楷體" w:cs="Courier New" w:hint="eastAsia"/>
                <w:b/>
                <w:position w:val="-1"/>
                <w:sz w:val="28"/>
                <w:szCs w:val="28"/>
              </w:rPr>
              <w:t>萬人次</w:t>
            </w:r>
            <w:bookmarkEnd w:id="262"/>
          </w:p>
        </w:tc>
        <w:tc>
          <w:tcPr>
            <w:tcW w:w="2832" w:type="dxa"/>
            <w:shd w:val="clear" w:color="auto" w:fill="auto"/>
          </w:tcPr>
          <w:p w:rsidR="00B6184F" w:rsidRPr="00065BCE" w:rsidRDefault="00B6184F" w:rsidP="00DF652F">
            <w:pPr>
              <w:suppressAutoHyphens/>
              <w:spacing w:line="400" w:lineRule="exact"/>
              <w:ind w:leftChars="-1" w:left="1" w:hangingChars="1" w:hanging="3"/>
              <w:jc w:val="center"/>
              <w:rPr>
                <w:rFonts w:ascii="標楷體" w:eastAsia="標楷體" w:hAnsi="標楷體" w:cs="Courier New"/>
                <w:b/>
                <w:position w:val="-1"/>
                <w:sz w:val="28"/>
                <w:szCs w:val="28"/>
              </w:rPr>
            </w:pPr>
            <w:bookmarkStart w:id="263" w:name="_Toc123716394"/>
            <w:r w:rsidRPr="00065BCE">
              <w:rPr>
                <w:rFonts w:ascii="標楷體" w:eastAsia="標楷體" w:hAnsi="標楷體" w:cs="Courier New" w:hint="eastAsia"/>
                <w:b/>
                <w:position w:val="-1"/>
                <w:sz w:val="28"/>
                <w:szCs w:val="28"/>
              </w:rPr>
              <w:t>南部院區預估增加近0</w:t>
            </w:r>
            <w:r w:rsidRPr="00065BCE">
              <w:rPr>
                <w:rFonts w:ascii="標楷體" w:eastAsia="標楷體" w:hAnsi="標楷體" w:cs="Courier New"/>
                <w:b/>
                <w:position w:val="-1"/>
                <w:sz w:val="28"/>
                <w:szCs w:val="28"/>
              </w:rPr>
              <w:t>.22</w:t>
            </w:r>
            <w:r w:rsidRPr="00065BCE">
              <w:rPr>
                <w:rFonts w:ascii="標楷體" w:eastAsia="標楷體" w:hAnsi="標楷體" w:cs="Courier New" w:hint="eastAsia"/>
                <w:b/>
                <w:position w:val="-1"/>
                <w:sz w:val="28"/>
                <w:szCs w:val="28"/>
              </w:rPr>
              <w:t>倍參觀人次</w:t>
            </w:r>
            <w:bookmarkEnd w:id="263"/>
          </w:p>
        </w:tc>
      </w:tr>
      <w:tr w:rsidR="00B6184F" w:rsidRPr="00065BCE" w:rsidTr="00F035E0">
        <w:tc>
          <w:tcPr>
            <w:tcW w:w="3681" w:type="dxa"/>
            <w:shd w:val="clear" w:color="auto" w:fill="auto"/>
          </w:tcPr>
          <w:p w:rsidR="00B6184F" w:rsidRPr="00065BCE" w:rsidRDefault="00B6184F" w:rsidP="00DF652F">
            <w:pPr>
              <w:suppressAutoHyphens/>
              <w:spacing w:line="400" w:lineRule="exact"/>
              <w:ind w:leftChars="-1" w:left="1" w:hangingChars="1" w:hanging="3"/>
              <w:jc w:val="center"/>
              <w:rPr>
                <w:rFonts w:ascii="標楷體" w:eastAsia="標楷體" w:hAnsi="標楷體" w:cs="Courier New"/>
                <w:b/>
                <w:position w:val="-1"/>
                <w:sz w:val="28"/>
                <w:szCs w:val="28"/>
              </w:rPr>
            </w:pPr>
            <w:bookmarkStart w:id="264" w:name="_Toc123716395"/>
            <w:r w:rsidRPr="00065BCE">
              <w:rPr>
                <w:rFonts w:ascii="標楷體" w:eastAsia="標楷體" w:hAnsi="標楷體" w:cs="Courier New" w:hint="eastAsia"/>
                <w:b/>
                <w:position w:val="-1"/>
                <w:sz w:val="28"/>
                <w:szCs w:val="28"/>
              </w:rPr>
              <w:t>2</w:t>
            </w:r>
            <w:r w:rsidRPr="00065BCE">
              <w:rPr>
                <w:rFonts w:ascii="標楷體" w:eastAsia="標楷體" w:hAnsi="標楷體" w:cs="Courier New"/>
                <w:b/>
                <w:position w:val="-1"/>
                <w:sz w:val="28"/>
                <w:szCs w:val="28"/>
              </w:rPr>
              <w:t>0</w:t>
            </w:r>
            <w:r w:rsidRPr="00065BCE">
              <w:rPr>
                <w:rFonts w:ascii="標楷體" w:eastAsia="標楷體" w:hAnsi="標楷體" w:cs="Courier New" w:hint="eastAsia"/>
                <w:b/>
                <w:position w:val="-1"/>
                <w:sz w:val="28"/>
                <w:szCs w:val="28"/>
              </w:rPr>
              <w:t>年後門票收入成長</w:t>
            </w:r>
            <w:bookmarkEnd w:id="264"/>
          </w:p>
        </w:tc>
        <w:tc>
          <w:tcPr>
            <w:tcW w:w="1981" w:type="dxa"/>
            <w:shd w:val="clear" w:color="auto" w:fill="auto"/>
          </w:tcPr>
          <w:p w:rsidR="00B6184F" w:rsidRPr="00065BCE" w:rsidRDefault="00B6184F" w:rsidP="00DF652F">
            <w:pPr>
              <w:suppressAutoHyphens/>
              <w:spacing w:line="400" w:lineRule="exact"/>
              <w:ind w:leftChars="-1" w:left="1" w:hangingChars="1" w:hanging="3"/>
              <w:jc w:val="center"/>
              <w:rPr>
                <w:rFonts w:ascii="標楷體" w:eastAsia="標楷體" w:hAnsi="標楷體" w:cs="Courier New"/>
                <w:b/>
                <w:position w:val="-1"/>
                <w:sz w:val="28"/>
                <w:szCs w:val="28"/>
              </w:rPr>
            </w:pPr>
            <w:bookmarkStart w:id="265" w:name="_Toc123716396"/>
            <w:r w:rsidRPr="00065BCE">
              <w:rPr>
                <w:rFonts w:ascii="標楷體" w:eastAsia="標楷體" w:hAnsi="標楷體" w:cs="Courier New" w:hint="eastAsia"/>
                <w:b/>
                <w:position w:val="-1"/>
                <w:sz w:val="28"/>
                <w:szCs w:val="28"/>
              </w:rPr>
              <w:t>7</w:t>
            </w:r>
            <w:r w:rsidRPr="00065BCE">
              <w:rPr>
                <w:rFonts w:ascii="標楷體" w:eastAsia="標楷體" w:hAnsi="標楷體" w:cs="Courier New"/>
                <w:b/>
                <w:position w:val="-1"/>
                <w:sz w:val="28"/>
                <w:szCs w:val="28"/>
              </w:rPr>
              <w:t>6</w:t>
            </w:r>
            <w:r w:rsidRPr="00065BCE">
              <w:rPr>
                <w:rFonts w:ascii="標楷體" w:eastAsia="標楷體" w:hAnsi="標楷體" w:cs="Courier New" w:hint="eastAsia"/>
                <w:b/>
                <w:position w:val="-1"/>
                <w:sz w:val="28"/>
                <w:szCs w:val="28"/>
              </w:rPr>
              <w:t>億元</w:t>
            </w:r>
            <w:bookmarkEnd w:id="265"/>
          </w:p>
        </w:tc>
        <w:tc>
          <w:tcPr>
            <w:tcW w:w="2832" w:type="dxa"/>
            <w:shd w:val="clear" w:color="auto" w:fill="auto"/>
          </w:tcPr>
          <w:p w:rsidR="00B6184F" w:rsidRPr="00065BCE" w:rsidRDefault="00B6184F" w:rsidP="00DF652F">
            <w:pPr>
              <w:suppressAutoHyphens/>
              <w:spacing w:line="400" w:lineRule="exact"/>
              <w:ind w:leftChars="-1" w:left="1" w:hangingChars="1" w:hanging="3"/>
              <w:jc w:val="center"/>
              <w:rPr>
                <w:rFonts w:ascii="標楷體" w:eastAsia="標楷體" w:hAnsi="標楷體" w:cs="Courier New"/>
                <w:b/>
                <w:position w:val="-1"/>
                <w:sz w:val="28"/>
                <w:szCs w:val="28"/>
              </w:rPr>
            </w:pPr>
            <w:bookmarkStart w:id="266" w:name="_Toc123716397"/>
            <w:r w:rsidRPr="00065BCE">
              <w:rPr>
                <w:rFonts w:ascii="標楷體" w:eastAsia="標楷體" w:hAnsi="標楷體" w:cs="Courier New" w:hint="eastAsia"/>
                <w:b/>
                <w:position w:val="-1"/>
                <w:sz w:val="28"/>
                <w:szCs w:val="28"/>
              </w:rPr>
              <w:t>4</w:t>
            </w:r>
            <w:r w:rsidRPr="00065BCE">
              <w:rPr>
                <w:rFonts w:ascii="標楷體" w:eastAsia="標楷體" w:hAnsi="標楷體" w:cs="Courier New"/>
                <w:b/>
                <w:position w:val="-1"/>
                <w:sz w:val="28"/>
                <w:szCs w:val="28"/>
              </w:rPr>
              <w:t>0</w:t>
            </w:r>
            <w:r w:rsidRPr="00065BCE">
              <w:rPr>
                <w:rFonts w:ascii="標楷體" w:eastAsia="標楷體" w:hAnsi="標楷體" w:cs="Courier New" w:hint="eastAsia"/>
                <w:b/>
                <w:position w:val="-1"/>
                <w:sz w:val="28"/>
                <w:szCs w:val="28"/>
              </w:rPr>
              <w:t>億</w:t>
            </w:r>
            <w:r w:rsidRPr="00065BCE">
              <w:rPr>
                <w:rFonts w:ascii="標楷體" w:eastAsia="標楷體" w:hAnsi="標楷體" w:cs="Courier New"/>
                <w:b/>
                <w:position w:val="-1"/>
                <w:sz w:val="28"/>
                <w:szCs w:val="28"/>
              </w:rPr>
              <w:t>7</w:t>
            </w:r>
            <w:r w:rsidRPr="00065BCE">
              <w:rPr>
                <w:rFonts w:ascii="標楷體" w:eastAsia="標楷體" w:hAnsi="標楷體" w:cs="Courier New" w:hint="eastAsia"/>
                <w:b/>
                <w:position w:val="-1"/>
                <w:sz w:val="28"/>
                <w:szCs w:val="28"/>
              </w:rPr>
              <w:t>,</w:t>
            </w:r>
            <w:r w:rsidRPr="00065BCE">
              <w:rPr>
                <w:rFonts w:ascii="標楷體" w:eastAsia="標楷體" w:hAnsi="標楷體" w:cs="Courier New"/>
                <w:b/>
                <w:position w:val="-1"/>
                <w:sz w:val="28"/>
                <w:szCs w:val="28"/>
              </w:rPr>
              <w:t>800</w:t>
            </w:r>
            <w:r w:rsidRPr="00065BCE">
              <w:rPr>
                <w:rFonts w:ascii="標楷體" w:eastAsia="標楷體" w:hAnsi="標楷體" w:cs="Courier New" w:hint="eastAsia"/>
                <w:b/>
                <w:position w:val="-1"/>
                <w:sz w:val="28"/>
                <w:szCs w:val="28"/>
              </w:rPr>
              <w:t>萬元</w:t>
            </w:r>
            <w:bookmarkEnd w:id="266"/>
          </w:p>
        </w:tc>
      </w:tr>
      <w:tr w:rsidR="00B6184F" w:rsidRPr="00065BCE" w:rsidTr="00F035E0">
        <w:tc>
          <w:tcPr>
            <w:tcW w:w="3681" w:type="dxa"/>
            <w:shd w:val="clear" w:color="auto" w:fill="auto"/>
          </w:tcPr>
          <w:p w:rsidR="00B6184F" w:rsidRPr="00065BCE" w:rsidRDefault="00B6184F" w:rsidP="00DF652F">
            <w:pPr>
              <w:suppressAutoHyphens/>
              <w:spacing w:line="400" w:lineRule="exact"/>
              <w:ind w:leftChars="-1" w:left="1" w:hangingChars="1" w:hanging="3"/>
              <w:jc w:val="center"/>
              <w:rPr>
                <w:rFonts w:ascii="標楷體" w:eastAsia="標楷體" w:hAnsi="標楷體" w:cs="Courier New"/>
                <w:b/>
                <w:position w:val="-1"/>
                <w:sz w:val="28"/>
                <w:szCs w:val="28"/>
              </w:rPr>
            </w:pPr>
            <w:bookmarkStart w:id="267" w:name="_Toc123716398"/>
            <w:r w:rsidRPr="00065BCE">
              <w:rPr>
                <w:rFonts w:ascii="標楷體" w:eastAsia="標楷體" w:hAnsi="標楷體" w:cs="Courier New" w:hint="eastAsia"/>
                <w:b/>
                <w:position w:val="-1"/>
                <w:sz w:val="28"/>
                <w:szCs w:val="28"/>
              </w:rPr>
              <w:t>2</w:t>
            </w:r>
            <w:r w:rsidRPr="00065BCE">
              <w:rPr>
                <w:rFonts w:ascii="標楷體" w:eastAsia="標楷體" w:hAnsi="標楷體" w:cs="Courier New"/>
                <w:b/>
                <w:position w:val="-1"/>
                <w:sz w:val="28"/>
                <w:szCs w:val="28"/>
              </w:rPr>
              <w:t>0</w:t>
            </w:r>
            <w:r w:rsidRPr="00065BCE">
              <w:rPr>
                <w:rFonts w:ascii="標楷體" w:eastAsia="標楷體" w:hAnsi="標楷體" w:cs="Courier New" w:hint="eastAsia"/>
                <w:b/>
                <w:position w:val="-1"/>
                <w:sz w:val="28"/>
                <w:szCs w:val="28"/>
              </w:rPr>
              <w:t>年後文創收入成長</w:t>
            </w:r>
            <w:bookmarkEnd w:id="267"/>
          </w:p>
        </w:tc>
        <w:tc>
          <w:tcPr>
            <w:tcW w:w="1981" w:type="dxa"/>
            <w:shd w:val="clear" w:color="auto" w:fill="auto"/>
          </w:tcPr>
          <w:p w:rsidR="00B6184F" w:rsidRPr="00065BCE" w:rsidRDefault="00B6184F" w:rsidP="00DF652F">
            <w:pPr>
              <w:suppressAutoHyphens/>
              <w:spacing w:line="400" w:lineRule="exact"/>
              <w:ind w:leftChars="-1" w:left="1" w:hangingChars="1" w:hanging="3"/>
              <w:jc w:val="center"/>
              <w:rPr>
                <w:rFonts w:ascii="標楷體" w:eastAsia="標楷體" w:hAnsi="標楷體" w:cs="Courier New"/>
                <w:b/>
                <w:position w:val="-1"/>
                <w:sz w:val="28"/>
                <w:szCs w:val="28"/>
              </w:rPr>
            </w:pPr>
            <w:bookmarkStart w:id="268" w:name="_Toc123716399"/>
            <w:r w:rsidRPr="00065BCE">
              <w:rPr>
                <w:rFonts w:ascii="標楷體" w:eastAsia="標楷體" w:hAnsi="標楷體" w:cs="Courier New" w:hint="eastAsia"/>
                <w:b/>
                <w:position w:val="-1"/>
                <w:sz w:val="28"/>
                <w:szCs w:val="28"/>
              </w:rPr>
              <w:t>1</w:t>
            </w:r>
            <w:r w:rsidRPr="00065BCE">
              <w:rPr>
                <w:rFonts w:ascii="標楷體" w:eastAsia="標楷體" w:hAnsi="標楷體" w:cs="Courier New"/>
                <w:b/>
                <w:position w:val="-1"/>
                <w:sz w:val="28"/>
                <w:szCs w:val="28"/>
              </w:rPr>
              <w:t>12</w:t>
            </w:r>
            <w:r w:rsidRPr="00065BCE">
              <w:rPr>
                <w:rFonts w:ascii="標楷體" w:eastAsia="標楷體" w:hAnsi="標楷體" w:cs="Courier New" w:hint="eastAsia"/>
                <w:b/>
                <w:position w:val="-1"/>
                <w:sz w:val="28"/>
                <w:szCs w:val="28"/>
              </w:rPr>
              <w:t>億元</w:t>
            </w:r>
            <w:bookmarkEnd w:id="268"/>
          </w:p>
        </w:tc>
        <w:tc>
          <w:tcPr>
            <w:tcW w:w="2832" w:type="dxa"/>
            <w:shd w:val="clear" w:color="auto" w:fill="auto"/>
          </w:tcPr>
          <w:p w:rsidR="00B6184F" w:rsidRPr="00065BCE" w:rsidRDefault="00B6184F" w:rsidP="00DF652F">
            <w:pPr>
              <w:suppressAutoHyphens/>
              <w:spacing w:line="400" w:lineRule="exact"/>
              <w:ind w:leftChars="-1" w:left="1" w:hangingChars="1" w:hanging="3"/>
              <w:jc w:val="center"/>
              <w:rPr>
                <w:rFonts w:ascii="標楷體" w:eastAsia="標楷體" w:hAnsi="標楷體" w:cs="Courier New"/>
                <w:b/>
                <w:position w:val="-1"/>
                <w:sz w:val="28"/>
                <w:szCs w:val="28"/>
              </w:rPr>
            </w:pPr>
            <w:bookmarkStart w:id="269" w:name="_Toc123716400"/>
            <w:r w:rsidRPr="00065BCE">
              <w:rPr>
                <w:rFonts w:ascii="標楷體" w:eastAsia="標楷體" w:hAnsi="標楷體" w:cs="Courier New" w:hint="eastAsia"/>
                <w:b/>
                <w:position w:val="-1"/>
                <w:sz w:val="28"/>
                <w:szCs w:val="28"/>
              </w:rPr>
              <w:t>南部院區增加2億</w:t>
            </w:r>
            <w:r w:rsidRPr="00065BCE">
              <w:rPr>
                <w:rFonts w:ascii="標楷體" w:eastAsia="標楷體" w:hAnsi="標楷體" w:cs="Courier New"/>
                <w:b/>
                <w:position w:val="-1"/>
                <w:sz w:val="28"/>
                <w:szCs w:val="28"/>
              </w:rPr>
              <w:t>5,8</w:t>
            </w:r>
            <w:r w:rsidRPr="00065BCE">
              <w:rPr>
                <w:rFonts w:ascii="標楷體" w:eastAsia="標楷體" w:hAnsi="標楷體" w:cs="Courier New" w:hint="eastAsia"/>
                <w:b/>
                <w:position w:val="-1"/>
                <w:sz w:val="28"/>
                <w:szCs w:val="28"/>
              </w:rPr>
              <w:t>0</w:t>
            </w:r>
            <w:r w:rsidRPr="00065BCE">
              <w:rPr>
                <w:rFonts w:ascii="標楷體" w:eastAsia="標楷體" w:hAnsi="標楷體" w:cs="Courier New"/>
                <w:b/>
                <w:position w:val="-1"/>
                <w:sz w:val="28"/>
                <w:szCs w:val="28"/>
              </w:rPr>
              <w:t>0</w:t>
            </w:r>
            <w:r w:rsidRPr="00065BCE">
              <w:rPr>
                <w:rFonts w:ascii="標楷體" w:eastAsia="標楷體" w:hAnsi="標楷體" w:cs="Courier New" w:hint="eastAsia"/>
                <w:b/>
                <w:position w:val="-1"/>
                <w:sz w:val="28"/>
                <w:szCs w:val="28"/>
              </w:rPr>
              <w:t>萬元</w:t>
            </w:r>
            <w:bookmarkEnd w:id="269"/>
          </w:p>
        </w:tc>
      </w:tr>
      <w:tr w:rsidR="00B6184F" w:rsidRPr="00065BCE" w:rsidTr="00F035E0">
        <w:tc>
          <w:tcPr>
            <w:tcW w:w="3681" w:type="dxa"/>
            <w:shd w:val="clear" w:color="auto" w:fill="auto"/>
          </w:tcPr>
          <w:p w:rsidR="00B6184F" w:rsidRPr="00065BCE" w:rsidRDefault="00B6184F" w:rsidP="00DF652F">
            <w:pPr>
              <w:suppressAutoHyphens/>
              <w:spacing w:line="400" w:lineRule="exact"/>
              <w:ind w:leftChars="-1" w:left="1" w:hangingChars="1" w:hanging="3"/>
              <w:jc w:val="center"/>
              <w:rPr>
                <w:rFonts w:ascii="標楷體" w:eastAsia="標楷體" w:hAnsi="標楷體" w:cs="Courier New"/>
                <w:b/>
                <w:position w:val="-1"/>
                <w:sz w:val="28"/>
                <w:szCs w:val="28"/>
              </w:rPr>
            </w:pPr>
            <w:bookmarkStart w:id="270" w:name="_Toc123716401"/>
            <w:r w:rsidRPr="00065BCE">
              <w:rPr>
                <w:rFonts w:ascii="標楷體" w:eastAsia="標楷體" w:hAnsi="標楷體" w:cs="Courier New" w:hint="eastAsia"/>
                <w:b/>
                <w:position w:val="-1"/>
                <w:sz w:val="28"/>
                <w:szCs w:val="28"/>
              </w:rPr>
              <w:t>國際及國內參觀者消費產值</w:t>
            </w:r>
            <w:bookmarkEnd w:id="270"/>
          </w:p>
        </w:tc>
        <w:tc>
          <w:tcPr>
            <w:tcW w:w="1981" w:type="dxa"/>
            <w:shd w:val="clear" w:color="auto" w:fill="auto"/>
          </w:tcPr>
          <w:p w:rsidR="00B6184F" w:rsidRPr="00065BCE" w:rsidRDefault="00B6184F" w:rsidP="00DF652F">
            <w:pPr>
              <w:suppressAutoHyphens/>
              <w:spacing w:line="400" w:lineRule="exact"/>
              <w:ind w:leftChars="-1" w:left="1" w:hangingChars="1" w:hanging="3"/>
              <w:jc w:val="center"/>
              <w:rPr>
                <w:rFonts w:ascii="標楷體" w:eastAsia="標楷體" w:hAnsi="標楷體" w:cs="Courier New"/>
                <w:b/>
                <w:position w:val="-1"/>
                <w:sz w:val="28"/>
                <w:szCs w:val="28"/>
              </w:rPr>
            </w:pPr>
            <w:bookmarkStart w:id="271" w:name="_Toc123716402"/>
            <w:r w:rsidRPr="00065BCE">
              <w:rPr>
                <w:rFonts w:ascii="標楷體" w:eastAsia="標楷體" w:hAnsi="標楷體" w:cs="Courier New" w:hint="eastAsia"/>
                <w:b/>
                <w:position w:val="-1"/>
                <w:sz w:val="28"/>
                <w:szCs w:val="28"/>
              </w:rPr>
              <w:t>8</w:t>
            </w:r>
            <w:r w:rsidRPr="00065BCE">
              <w:rPr>
                <w:rFonts w:ascii="標楷體" w:eastAsia="標楷體" w:hAnsi="標楷體" w:cs="Courier New"/>
                <w:b/>
                <w:position w:val="-1"/>
                <w:sz w:val="28"/>
                <w:szCs w:val="28"/>
              </w:rPr>
              <w:t>,220</w:t>
            </w:r>
            <w:r w:rsidRPr="00065BCE">
              <w:rPr>
                <w:rFonts w:ascii="標楷體" w:eastAsia="標楷體" w:hAnsi="標楷體" w:cs="Courier New" w:hint="eastAsia"/>
                <w:b/>
                <w:position w:val="-1"/>
                <w:sz w:val="28"/>
                <w:szCs w:val="28"/>
              </w:rPr>
              <w:t>億元</w:t>
            </w:r>
            <w:bookmarkEnd w:id="271"/>
          </w:p>
        </w:tc>
        <w:tc>
          <w:tcPr>
            <w:tcW w:w="2832" w:type="dxa"/>
            <w:shd w:val="clear" w:color="auto" w:fill="auto"/>
          </w:tcPr>
          <w:p w:rsidR="00B6184F" w:rsidRPr="00065BCE" w:rsidRDefault="00B6184F" w:rsidP="00DF652F">
            <w:pPr>
              <w:suppressAutoHyphens/>
              <w:spacing w:line="400" w:lineRule="exact"/>
              <w:ind w:leftChars="-1" w:left="1" w:hangingChars="1" w:hanging="3"/>
              <w:jc w:val="center"/>
              <w:rPr>
                <w:rFonts w:ascii="標楷體" w:eastAsia="標楷體" w:hAnsi="標楷體" w:cs="Courier New"/>
                <w:b/>
                <w:position w:val="-1"/>
                <w:sz w:val="28"/>
                <w:szCs w:val="28"/>
              </w:rPr>
            </w:pPr>
          </w:p>
        </w:tc>
      </w:tr>
      <w:tr w:rsidR="00B6184F" w:rsidRPr="00065BCE" w:rsidTr="00F035E0">
        <w:tc>
          <w:tcPr>
            <w:tcW w:w="3681" w:type="dxa"/>
            <w:shd w:val="clear" w:color="auto" w:fill="auto"/>
          </w:tcPr>
          <w:p w:rsidR="00B6184F" w:rsidRPr="00065BCE" w:rsidRDefault="00B6184F" w:rsidP="00DF652F">
            <w:pPr>
              <w:suppressAutoHyphens/>
              <w:spacing w:line="400" w:lineRule="exact"/>
              <w:ind w:leftChars="-1" w:left="1" w:hangingChars="1" w:hanging="3"/>
              <w:jc w:val="center"/>
              <w:rPr>
                <w:rFonts w:ascii="標楷體" w:eastAsia="標楷體" w:hAnsi="標楷體" w:cs="Courier New"/>
                <w:b/>
                <w:position w:val="-1"/>
                <w:sz w:val="28"/>
                <w:szCs w:val="28"/>
              </w:rPr>
            </w:pPr>
            <w:bookmarkStart w:id="272" w:name="_Toc123716403"/>
            <w:r w:rsidRPr="00065BCE">
              <w:rPr>
                <w:rFonts w:ascii="標楷體" w:eastAsia="標楷體" w:hAnsi="標楷體" w:cs="Courier New" w:hint="eastAsia"/>
                <w:b/>
                <w:position w:val="-1"/>
                <w:sz w:val="28"/>
                <w:szCs w:val="28"/>
              </w:rPr>
              <w:t>基金預估盈餘繳庫數</w:t>
            </w:r>
            <w:bookmarkEnd w:id="272"/>
          </w:p>
        </w:tc>
        <w:tc>
          <w:tcPr>
            <w:tcW w:w="1981" w:type="dxa"/>
            <w:shd w:val="clear" w:color="auto" w:fill="auto"/>
          </w:tcPr>
          <w:p w:rsidR="00B6184F" w:rsidRPr="00065BCE" w:rsidRDefault="00B6184F" w:rsidP="00DF652F">
            <w:pPr>
              <w:suppressAutoHyphens/>
              <w:spacing w:line="400" w:lineRule="exact"/>
              <w:ind w:leftChars="-1" w:left="1" w:hangingChars="1" w:hanging="3"/>
              <w:jc w:val="center"/>
              <w:rPr>
                <w:rFonts w:ascii="標楷體" w:eastAsia="標楷體" w:hAnsi="標楷體" w:cs="Courier New"/>
                <w:b/>
                <w:position w:val="-1"/>
                <w:sz w:val="28"/>
                <w:szCs w:val="28"/>
              </w:rPr>
            </w:pPr>
          </w:p>
        </w:tc>
        <w:tc>
          <w:tcPr>
            <w:tcW w:w="2832" w:type="dxa"/>
            <w:shd w:val="clear" w:color="auto" w:fill="auto"/>
          </w:tcPr>
          <w:p w:rsidR="00B6184F" w:rsidRPr="00065BCE" w:rsidRDefault="00B6184F" w:rsidP="00DF652F">
            <w:pPr>
              <w:suppressAutoHyphens/>
              <w:spacing w:line="400" w:lineRule="exact"/>
              <w:ind w:leftChars="-1" w:left="1" w:hangingChars="1" w:hanging="3"/>
              <w:jc w:val="center"/>
              <w:rPr>
                <w:rFonts w:ascii="標楷體" w:eastAsia="標楷體" w:hAnsi="標楷體" w:cs="Courier New"/>
                <w:b/>
                <w:position w:val="-1"/>
                <w:sz w:val="28"/>
                <w:szCs w:val="28"/>
              </w:rPr>
            </w:pPr>
            <w:bookmarkStart w:id="273" w:name="_Toc123716404"/>
            <w:r w:rsidRPr="00065BCE">
              <w:rPr>
                <w:rFonts w:ascii="標楷體" w:eastAsia="標楷體" w:hAnsi="標楷體" w:cs="Courier New" w:hint="eastAsia"/>
                <w:b/>
                <w:position w:val="-1"/>
                <w:sz w:val="28"/>
                <w:szCs w:val="28"/>
              </w:rPr>
              <w:t>9億</w:t>
            </w:r>
            <w:r w:rsidRPr="00065BCE">
              <w:rPr>
                <w:rFonts w:ascii="標楷體" w:eastAsia="標楷體" w:hAnsi="標楷體" w:cs="Courier New"/>
                <w:b/>
                <w:position w:val="-1"/>
                <w:sz w:val="28"/>
                <w:szCs w:val="28"/>
              </w:rPr>
              <w:t>8,1</w:t>
            </w:r>
            <w:r w:rsidRPr="00065BCE">
              <w:rPr>
                <w:rFonts w:ascii="標楷體" w:eastAsia="標楷體" w:hAnsi="標楷體" w:cs="Courier New" w:hint="eastAsia"/>
                <w:b/>
                <w:position w:val="-1"/>
                <w:sz w:val="28"/>
                <w:szCs w:val="28"/>
              </w:rPr>
              <w:t>00萬元</w:t>
            </w:r>
            <w:bookmarkEnd w:id="273"/>
          </w:p>
        </w:tc>
      </w:tr>
      <w:tr w:rsidR="00B6184F" w:rsidRPr="00065BCE" w:rsidTr="00F035E0">
        <w:tc>
          <w:tcPr>
            <w:tcW w:w="3681" w:type="dxa"/>
            <w:shd w:val="clear" w:color="auto" w:fill="auto"/>
          </w:tcPr>
          <w:p w:rsidR="00B6184F" w:rsidRPr="00065BCE" w:rsidRDefault="00B6184F" w:rsidP="00DF652F">
            <w:pPr>
              <w:suppressAutoHyphens/>
              <w:spacing w:line="400" w:lineRule="exact"/>
              <w:ind w:leftChars="-1" w:left="1" w:hangingChars="1" w:hanging="3"/>
              <w:jc w:val="center"/>
              <w:rPr>
                <w:rFonts w:ascii="標楷體" w:eastAsia="標楷體" w:hAnsi="標楷體" w:cs="Courier New"/>
                <w:b/>
                <w:position w:val="-1"/>
                <w:sz w:val="28"/>
                <w:szCs w:val="28"/>
              </w:rPr>
            </w:pPr>
            <w:bookmarkStart w:id="274" w:name="_Toc123716405"/>
            <w:r w:rsidRPr="00065BCE">
              <w:rPr>
                <w:rFonts w:ascii="標楷體" w:eastAsia="標楷體" w:hAnsi="標楷體" w:cs="Courier New" w:hint="eastAsia"/>
                <w:b/>
                <w:position w:val="-1"/>
                <w:sz w:val="28"/>
                <w:szCs w:val="28"/>
              </w:rPr>
              <w:t>預期收益成長總額</w:t>
            </w:r>
            <w:bookmarkEnd w:id="274"/>
          </w:p>
        </w:tc>
        <w:tc>
          <w:tcPr>
            <w:tcW w:w="1981" w:type="dxa"/>
            <w:shd w:val="clear" w:color="auto" w:fill="auto"/>
          </w:tcPr>
          <w:p w:rsidR="00B6184F" w:rsidRPr="00065BCE" w:rsidRDefault="00B6184F" w:rsidP="00DF652F">
            <w:pPr>
              <w:suppressAutoHyphens/>
              <w:spacing w:line="400" w:lineRule="exact"/>
              <w:ind w:leftChars="-1" w:left="1" w:hangingChars="1" w:hanging="3"/>
              <w:jc w:val="center"/>
              <w:rPr>
                <w:rFonts w:ascii="標楷體" w:eastAsia="標楷體" w:hAnsi="標楷體" w:cs="Courier New"/>
                <w:b/>
                <w:position w:val="-1"/>
                <w:sz w:val="28"/>
                <w:szCs w:val="28"/>
              </w:rPr>
            </w:pPr>
            <w:bookmarkStart w:id="275" w:name="_Toc123716406"/>
            <w:r w:rsidRPr="00065BCE">
              <w:rPr>
                <w:rFonts w:ascii="標楷體" w:eastAsia="標楷體" w:hAnsi="標楷體" w:cs="Courier New" w:hint="eastAsia"/>
                <w:b/>
                <w:position w:val="-1"/>
                <w:sz w:val="28"/>
                <w:szCs w:val="28"/>
              </w:rPr>
              <w:t>8</w:t>
            </w:r>
            <w:r w:rsidRPr="00065BCE">
              <w:rPr>
                <w:rFonts w:ascii="標楷體" w:eastAsia="標楷體" w:hAnsi="標楷體" w:cs="Courier New"/>
                <w:b/>
                <w:position w:val="-1"/>
                <w:sz w:val="28"/>
                <w:szCs w:val="28"/>
              </w:rPr>
              <w:t>,408</w:t>
            </w:r>
            <w:r w:rsidRPr="00065BCE">
              <w:rPr>
                <w:rFonts w:ascii="標楷體" w:eastAsia="標楷體" w:hAnsi="標楷體" w:cs="Courier New" w:hint="eastAsia"/>
                <w:b/>
                <w:position w:val="-1"/>
                <w:sz w:val="28"/>
                <w:szCs w:val="28"/>
              </w:rPr>
              <w:t>億元</w:t>
            </w:r>
            <w:bookmarkEnd w:id="275"/>
          </w:p>
        </w:tc>
        <w:tc>
          <w:tcPr>
            <w:tcW w:w="2832" w:type="dxa"/>
            <w:shd w:val="clear" w:color="auto" w:fill="auto"/>
          </w:tcPr>
          <w:p w:rsidR="00B6184F" w:rsidRPr="00065BCE" w:rsidRDefault="00B6184F" w:rsidP="00DF652F">
            <w:pPr>
              <w:suppressAutoHyphens/>
              <w:spacing w:line="400" w:lineRule="exact"/>
              <w:ind w:leftChars="-1" w:left="1" w:hangingChars="1" w:hanging="3"/>
              <w:jc w:val="center"/>
              <w:rPr>
                <w:rFonts w:ascii="標楷體" w:eastAsia="標楷體" w:hAnsi="標楷體" w:cs="Courier New"/>
                <w:b/>
                <w:position w:val="-1"/>
                <w:sz w:val="28"/>
                <w:szCs w:val="28"/>
              </w:rPr>
            </w:pPr>
            <w:bookmarkStart w:id="276" w:name="_Toc123716407"/>
            <w:r w:rsidRPr="00065BCE">
              <w:rPr>
                <w:rFonts w:ascii="標楷體" w:eastAsia="標楷體" w:hAnsi="標楷體" w:cs="Courier New" w:hint="eastAsia"/>
                <w:b/>
                <w:position w:val="-1"/>
                <w:sz w:val="28"/>
                <w:szCs w:val="28"/>
              </w:rPr>
              <w:t>5</w:t>
            </w:r>
            <w:r w:rsidRPr="00065BCE">
              <w:rPr>
                <w:rFonts w:ascii="標楷體" w:eastAsia="標楷體" w:hAnsi="標楷體" w:cs="Courier New"/>
                <w:b/>
                <w:position w:val="-1"/>
                <w:sz w:val="28"/>
                <w:szCs w:val="28"/>
              </w:rPr>
              <w:t>3</w:t>
            </w:r>
            <w:r w:rsidRPr="00065BCE">
              <w:rPr>
                <w:rFonts w:ascii="標楷體" w:eastAsia="標楷體" w:hAnsi="標楷體" w:cs="Courier New" w:hint="eastAsia"/>
                <w:b/>
                <w:position w:val="-1"/>
                <w:sz w:val="28"/>
                <w:szCs w:val="28"/>
              </w:rPr>
              <w:t>億</w:t>
            </w:r>
            <w:r w:rsidRPr="00065BCE">
              <w:rPr>
                <w:rFonts w:ascii="標楷體" w:eastAsia="標楷體" w:hAnsi="標楷體" w:cs="Courier New"/>
                <w:b/>
                <w:position w:val="-1"/>
                <w:sz w:val="28"/>
                <w:szCs w:val="28"/>
              </w:rPr>
              <w:t>1,700</w:t>
            </w:r>
            <w:r w:rsidRPr="00065BCE">
              <w:rPr>
                <w:rFonts w:ascii="標楷體" w:eastAsia="標楷體" w:hAnsi="標楷體" w:cs="Courier New" w:hint="eastAsia"/>
                <w:b/>
                <w:position w:val="-1"/>
                <w:sz w:val="28"/>
                <w:szCs w:val="28"/>
              </w:rPr>
              <w:t>萬元</w:t>
            </w:r>
            <w:bookmarkEnd w:id="276"/>
          </w:p>
        </w:tc>
      </w:tr>
    </w:tbl>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 xml:space="preserve">        107年行政院核定</w:t>
      </w:r>
      <w:r>
        <w:rPr>
          <w:rFonts w:ascii="標楷體" w:eastAsia="標楷體" w:hAnsi="標楷體" w:hint="eastAsia"/>
          <w:sz w:val="32"/>
          <w:szCs w:val="32"/>
        </w:rPr>
        <w:t>「</w:t>
      </w:r>
      <w:r w:rsidRPr="00B70493">
        <w:rPr>
          <w:rFonts w:ascii="標楷體" w:eastAsia="標楷體" w:hAnsi="標楷體" w:hint="eastAsia"/>
          <w:sz w:val="32"/>
          <w:szCs w:val="32"/>
        </w:rPr>
        <w:t>新故宮計畫</w:t>
      </w:r>
      <w:r>
        <w:rPr>
          <w:rFonts w:ascii="標楷體" w:eastAsia="標楷體" w:hAnsi="標楷體" w:hint="eastAsia"/>
          <w:sz w:val="32"/>
          <w:szCs w:val="32"/>
        </w:rPr>
        <w:t>」</w:t>
      </w:r>
      <w:r w:rsidRPr="00B70493">
        <w:rPr>
          <w:rFonts w:ascii="標楷體" w:eastAsia="標楷體" w:hAnsi="標楷體" w:hint="eastAsia"/>
          <w:sz w:val="32"/>
          <w:szCs w:val="32"/>
        </w:rPr>
        <w:t>，將以6年為期，全案總計投入101億元經費，以提升故宮公共性為核心，從景觀優化、展覽創新、活動整合、交通串連、行銷國際等5大</w:t>
      </w:r>
      <w:r w:rsidRPr="00B70493">
        <w:rPr>
          <w:rFonts w:ascii="標楷體" w:eastAsia="標楷體" w:hAnsi="標楷體" w:hint="eastAsia"/>
          <w:sz w:val="32"/>
          <w:szCs w:val="32"/>
        </w:rPr>
        <w:lastRenderedPageBreak/>
        <w:t>面向全面強化故宮北部及南部院區軟硬體設施及服務品質，並預期完工後20年可能達到超過8</w:t>
      </w:r>
      <w:r w:rsidRPr="00B70493">
        <w:rPr>
          <w:rFonts w:ascii="標楷體" w:eastAsia="標楷體" w:hAnsi="標楷體"/>
          <w:sz w:val="32"/>
          <w:szCs w:val="32"/>
        </w:rPr>
        <w:t>,</w:t>
      </w:r>
      <w:r w:rsidRPr="00B70493">
        <w:rPr>
          <w:rFonts w:ascii="標楷體" w:eastAsia="標楷體" w:hAnsi="標楷體" w:hint="eastAsia"/>
          <w:sz w:val="32"/>
          <w:szCs w:val="32"/>
        </w:rPr>
        <w:t>000億元的收益成長。然而110年再度重新評估</w:t>
      </w:r>
      <w:r>
        <w:rPr>
          <w:rFonts w:ascii="標楷體" w:eastAsia="標楷體" w:hAnsi="標楷體" w:hint="eastAsia"/>
          <w:sz w:val="32"/>
          <w:szCs w:val="32"/>
        </w:rPr>
        <w:t>「</w:t>
      </w:r>
      <w:r w:rsidRPr="00B70493">
        <w:rPr>
          <w:rFonts w:ascii="標楷體" w:eastAsia="標楷體" w:hAnsi="標楷體" w:hint="eastAsia"/>
          <w:sz w:val="32"/>
          <w:szCs w:val="32"/>
        </w:rPr>
        <w:t>新故宮計畫</w:t>
      </w:r>
      <w:r>
        <w:rPr>
          <w:rFonts w:ascii="標楷體" w:eastAsia="標楷體" w:hAnsi="標楷體" w:hint="eastAsia"/>
          <w:sz w:val="32"/>
          <w:szCs w:val="32"/>
        </w:rPr>
        <w:t>」</w:t>
      </w:r>
      <w:r w:rsidRPr="00B70493">
        <w:rPr>
          <w:rFonts w:ascii="標楷體" w:eastAsia="標楷體" w:hAnsi="標楷體" w:hint="eastAsia"/>
          <w:sz w:val="32"/>
          <w:szCs w:val="32"/>
        </w:rPr>
        <w:t>完成後20年的預期收益成長，僅估算能獲得53億1</w:t>
      </w:r>
      <w:r w:rsidRPr="00B70493">
        <w:rPr>
          <w:rFonts w:ascii="標楷體" w:eastAsia="標楷體" w:hAnsi="標楷體"/>
          <w:sz w:val="32"/>
          <w:szCs w:val="32"/>
        </w:rPr>
        <w:t>,</w:t>
      </w:r>
      <w:r w:rsidRPr="00B70493">
        <w:rPr>
          <w:rFonts w:ascii="標楷體" w:eastAsia="標楷體" w:hAnsi="標楷體" w:hint="eastAsia"/>
          <w:sz w:val="32"/>
          <w:szCs w:val="32"/>
        </w:rPr>
        <w:t>7</w:t>
      </w:r>
      <w:r w:rsidRPr="00B70493">
        <w:rPr>
          <w:rFonts w:ascii="標楷體" w:eastAsia="標楷體" w:hAnsi="標楷體"/>
          <w:sz w:val="32"/>
          <w:szCs w:val="32"/>
        </w:rPr>
        <w:t>00</w:t>
      </w:r>
      <w:r w:rsidRPr="00B70493">
        <w:rPr>
          <w:rFonts w:ascii="標楷體" w:eastAsia="標楷體" w:hAnsi="標楷體" w:hint="eastAsia"/>
          <w:sz w:val="32"/>
          <w:szCs w:val="32"/>
        </w:rPr>
        <w:t>萬元之效益，然由於國際缺工缺料，故宮不斷追加預算來完成</w:t>
      </w:r>
      <w:r>
        <w:rPr>
          <w:rFonts w:ascii="標楷體" w:eastAsia="標楷體" w:hAnsi="標楷體" w:hint="eastAsia"/>
          <w:sz w:val="32"/>
          <w:szCs w:val="32"/>
        </w:rPr>
        <w:t>「</w:t>
      </w:r>
      <w:r w:rsidRPr="00B70493">
        <w:rPr>
          <w:rFonts w:ascii="標楷體" w:eastAsia="標楷體" w:hAnsi="標楷體" w:hint="eastAsia"/>
          <w:sz w:val="32"/>
          <w:szCs w:val="32"/>
        </w:rPr>
        <w:t>新故宮計畫</w:t>
      </w:r>
      <w:r>
        <w:rPr>
          <w:rFonts w:ascii="標楷體" w:eastAsia="標楷體" w:hAnsi="標楷體" w:hint="eastAsia"/>
          <w:sz w:val="32"/>
          <w:szCs w:val="32"/>
        </w:rPr>
        <w:t>」</w:t>
      </w:r>
      <w:r w:rsidRPr="00B70493">
        <w:rPr>
          <w:rFonts w:ascii="標楷體" w:eastAsia="標楷體" w:hAnsi="標楷體" w:hint="eastAsia"/>
          <w:sz w:val="32"/>
          <w:szCs w:val="32"/>
        </w:rPr>
        <w:t>中的建築興建或修復計畫，投入成本已超過100億元，預期收益卻僅能得到53億1</w:t>
      </w:r>
      <w:r w:rsidRPr="00B70493">
        <w:rPr>
          <w:rFonts w:ascii="標楷體" w:eastAsia="標楷體" w:hAnsi="標楷體"/>
          <w:sz w:val="32"/>
          <w:szCs w:val="32"/>
        </w:rPr>
        <w:t>,</w:t>
      </w:r>
      <w:r w:rsidRPr="00B70493">
        <w:rPr>
          <w:rFonts w:ascii="標楷體" w:eastAsia="標楷體" w:hAnsi="標楷體" w:hint="eastAsia"/>
          <w:sz w:val="32"/>
          <w:szCs w:val="32"/>
        </w:rPr>
        <w:t>7</w:t>
      </w:r>
      <w:r w:rsidRPr="00B70493">
        <w:rPr>
          <w:rFonts w:ascii="標楷體" w:eastAsia="標楷體" w:hAnsi="標楷體"/>
          <w:sz w:val="32"/>
          <w:szCs w:val="32"/>
        </w:rPr>
        <w:t>00</w:t>
      </w:r>
      <w:r w:rsidRPr="00B70493">
        <w:rPr>
          <w:rFonts w:ascii="標楷體" w:eastAsia="標楷體" w:hAnsi="標楷體" w:hint="eastAsia"/>
          <w:sz w:val="32"/>
          <w:szCs w:val="32"/>
        </w:rPr>
        <w:t>萬元，恐使</w:t>
      </w:r>
      <w:r>
        <w:rPr>
          <w:rFonts w:ascii="標楷體" w:eastAsia="標楷體" w:hAnsi="標楷體" w:hint="eastAsia"/>
          <w:sz w:val="32"/>
          <w:szCs w:val="32"/>
        </w:rPr>
        <w:t>「</w:t>
      </w:r>
      <w:r w:rsidRPr="00B70493">
        <w:rPr>
          <w:rFonts w:ascii="標楷體" w:eastAsia="標楷體" w:hAnsi="標楷體" w:hint="eastAsia"/>
          <w:sz w:val="32"/>
          <w:szCs w:val="32"/>
        </w:rPr>
        <w:t>新故宮計畫</w:t>
      </w:r>
      <w:r>
        <w:rPr>
          <w:rFonts w:ascii="標楷體" w:eastAsia="標楷體" w:hAnsi="標楷體" w:hint="eastAsia"/>
          <w:sz w:val="32"/>
          <w:szCs w:val="32"/>
        </w:rPr>
        <w:t>」</w:t>
      </w:r>
      <w:r w:rsidRPr="00B70493">
        <w:rPr>
          <w:rFonts w:ascii="標楷體" w:eastAsia="標楷體" w:hAnsi="標楷體" w:hint="eastAsia"/>
          <w:sz w:val="32"/>
          <w:szCs w:val="32"/>
        </w:rPr>
        <w:t>變成賠本的投資。綜上，請國立故宮博物院於3個月內向立法院教育及文化委員會提出書面報告。</w:t>
      </w:r>
      <w:r w:rsidRPr="00B70493">
        <w:rPr>
          <w:rFonts w:ascii="標楷體" w:eastAsia="標楷體" w:hAnsi="標楷體"/>
          <w:sz w:val="32"/>
          <w:szCs w:val="32"/>
        </w:rPr>
        <w:t>85</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提案人：吳思瑤</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連署人：何欣純  林宜瑾</w:t>
      </w:r>
      <w:r w:rsidRPr="00B70493">
        <w:rPr>
          <w:rFonts w:ascii="標楷體" w:eastAsia="標楷體" w:hAnsi="標楷體"/>
          <w:sz w:val="32"/>
          <w:szCs w:val="32"/>
        </w:rPr>
        <w:t xml:space="preserve">  </w:t>
      </w:r>
      <w:r w:rsidRPr="00B70493">
        <w:rPr>
          <w:rFonts w:ascii="標楷體" w:eastAsia="標楷體" w:hAnsi="標楷體" w:hint="eastAsia"/>
          <w:sz w:val="32"/>
          <w:szCs w:val="32"/>
        </w:rPr>
        <w:t>陳秀寳</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(五十四)112年度國立故宮博物院「新故宮計畫」項下「新故宮-故宮公共化帶動觀光產業發展中程計畫」中「辦理博物館群國際觀光網絡系統建置</w:t>
      </w:r>
      <w:r>
        <w:rPr>
          <w:rFonts w:ascii="標楷體" w:eastAsia="標楷體" w:hAnsi="標楷體" w:hint="eastAsia"/>
          <w:sz w:val="32"/>
          <w:szCs w:val="32"/>
        </w:rPr>
        <w:t>計畫</w:t>
      </w:r>
      <w:r w:rsidRPr="00B70493">
        <w:rPr>
          <w:rFonts w:ascii="標楷體" w:eastAsia="標楷體" w:hAnsi="標楷體" w:hint="eastAsia"/>
          <w:sz w:val="32"/>
          <w:szCs w:val="32"/>
        </w:rPr>
        <w:t>」預算編列6</w:t>
      </w:r>
      <w:r w:rsidRPr="00B70493">
        <w:rPr>
          <w:rFonts w:ascii="標楷體" w:eastAsia="標楷體" w:hAnsi="標楷體"/>
          <w:sz w:val="32"/>
          <w:szCs w:val="32"/>
        </w:rPr>
        <w:t>,</w:t>
      </w:r>
      <w:r w:rsidRPr="00B70493">
        <w:rPr>
          <w:rFonts w:ascii="標楷體" w:eastAsia="標楷體" w:hAnsi="標楷體" w:hint="eastAsia"/>
          <w:sz w:val="32"/>
          <w:szCs w:val="32"/>
        </w:rPr>
        <w:t>844萬4千元。該計畫為透過故宮資源建置博物館國際觀光協力平台，藉由國內各博物館群的串連及資源整合，讓台灣博物館群分享故宮觀光能量及資源，強化國際觀光各項服務設施，整體發展台灣博物館群文化觀光事業。串聯博物館群聯合行銷國際，共同建構台灣多元文化系統。其中為推廣文化藝術教育，讓更多民眾欣賞故宮典藏文物，自107年度編有「故宮國寶出遊去」相關預算，該計畫係由中央或地方政府及行政法人於展覽舉辦前6個月，向故宮提出合作意向書及合作計畫，但檢視歷年「故宮國寶出遊去」參觀人次情形，107年度</w:t>
      </w:r>
      <w:r>
        <w:rPr>
          <w:rFonts w:ascii="標楷體" w:eastAsia="標楷體" w:hAnsi="標楷體" w:hint="eastAsia"/>
          <w:sz w:val="32"/>
          <w:szCs w:val="32"/>
        </w:rPr>
        <w:t>台</w:t>
      </w:r>
      <w:r w:rsidRPr="008E6E25">
        <w:rPr>
          <w:rFonts w:ascii="標楷體" w:eastAsia="標楷體" w:hAnsi="標楷體" w:hint="eastAsia"/>
          <w:sz w:val="32"/>
          <w:szCs w:val="32"/>
        </w:rPr>
        <w:t>中世界花卉博覽會</w:t>
      </w:r>
      <w:r w:rsidRPr="00B70493">
        <w:rPr>
          <w:rFonts w:ascii="標楷體" w:eastAsia="標楷體" w:hAnsi="標楷體" w:hint="eastAsia"/>
          <w:sz w:val="32"/>
          <w:szCs w:val="32"/>
        </w:rPr>
        <w:t>約89萬人次、108年度故宮南院赤壁及三國群英形象特展約20萬人</w:t>
      </w:r>
      <w:r>
        <w:rPr>
          <w:rFonts w:ascii="標楷體" w:eastAsia="標楷體" w:hAnsi="標楷體" w:hint="eastAsia"/>
          <w:sz w:val="32"/>
          <w:szCs w:val="32"/>
        </w:rPr>
        <w:t>次</w:t>
      </w:r>
      <w:r w:rsidRPr="00B70493">
        <w:rPr>
          <w:rFonts w:ascii="標楷體" w:eastAsia="標楷體" w:hAnsi="標楷體" w:hint="eastAsia"/>
          <w:sz w:val="32"/>
          <w:szCs w:val="32"/>
        </w:rPr>
        <w:t>、107年度國立臺灣美術館</w:t>
      </w:r>
      <w:r w:rsidRPr="008E6E25">
        <w:rPr>
          <w:rFonts w:ascii="標楷體" w:eastAsia="標楷體" w:hAnsi="標楷體" w:hint="eastAsia"/>
          <w:sz w:val="32"/>
          <w:szCs w:val="32"/>
        </w:rPr>
        <w:t>花之禮讚—</w:t>
      </w:r>
      <w:r>
        <w:rPr>
          <w:rFonts w:ascii="標楷體" w:eastAsia="標楷體" w:hAnsi="標楷體" w:hint="eastAsia"/>
          <w:sz w:val="32"/>
          <w:szCs w:val="32"/>
        </w:rPr>
        <w:t>四大美術館</w:t>
      </w:r>
      <w:r w:rsidRPr="00B70493">
        <w:rPr>
          <w:rFonts w:ascii="標楷體" w:eastAsia="標楷體" w:hAnsi="標楷體" w:hint="eastAsia"/>
          <w:sz w:val="32"/>
          <w:szCs w:val="32"/>
        </w:rPr>
        <w:t>聯合大展13萬餘人次、109年度故宮國寶遊彰化2萬餘人</w:t>
      </w:r>
      <w:r>
        <w:rPr>
          <w:rFonts w:ascii="標楷體" w:eastAsia="標楷體" w:hAnsi="標楷體" w:hint="eastAsia"/>
          <w:sz w:val="32"/>
          <w:szCs w:val="32"/>
        </w:rPr>
        <w:t>次</w:t>
      </w:r>
      <w:r w:rsidRPr="00B70493">
        <w:rPr>
          <w:rFonts w:ascii="標楷體" w:eastAsia="標楷體" w:hAnsi="標楷體" w:hint="eastAsia"/>
          <w:sz w:val="32"/>
          <w:szCs w:val="32"/>
        </w:rPr>
        <w:t>、110年度則無任何申請案。由於參觀人次變化甚大，恐未能達成該計畫預期成效，故為督促故宮積極廣</w:t>
      </w:r>
      <w:r w:rsidRPr="00B70493">
        <w:rPr>
          <w:rFonts w:ascii="標楷體" w:eastAsia="標楷體" w:hAnsi="標楷體" w:hint="eastAsia"/>
          <w:sz w:val="32"/>
          <w:szCs w:val="32"/>
        </w:rPr>
        <w:lastRenderedPageBreak/>
        <w:t>拓合作申請對象並有效提升參觀人次，也應研擬將不同文物結合各地方民俗節慶，在台灣各地舉辦各類「互動式展覽」，利用互動的過程中引起民眾參訪興趣。爰此，請國立故宮博物院於3個月內向立法院教育及文化委員會提出書面報告。</w:t>
      </w:r>
      <w:r w:rsidRPr="00B70493">
        <w:rPr>
          <w:rFonts w:ascii="標楷體" w:eastAsia="標楷體" w:hAnsi="標楷體"/>
          <w:sz w:val="32"/>
          <w:szCs w:val="32"/>
        </w:rPr>
        <w:t>96</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提案人：何欣純</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連署人：吳思瑤  陳秀寳</w:t>
      </w:r>
    </w:p>
    <w:p w:rsidR="00B6184F" w:rsidRPr="00B70493" w:rsidRDefault="00B6184F" w:rsidP="00F035E0">
      <w:pPr>
        <w:overflowPunct w:val="0"/>
        <w:spacing w:line="500" w:lineRule="exact"/>
        <w:ind w:leftChars="150" w:left="1000" w:hangingChars="200" w:hanging="640"/>
        <w:jc w:val="both"/>
        <w:rPr>
          <w:rFonts w:ascii="標楷體" w:eastAsia="標楷體" w:hAnsi="標楷體"/>
          <w:sz w:val="32"/>
          <w:szCs w:val="32"/>
        </w:rPr>
      </w:pPr>
      <w:r w:rsidRPr="00B70493">
        <w:rPr>
          <w:rFonts w:ascii="標楷體" w:eastAsia="標楷體" w:hAnsi="標楷體" w:hint="eastAsia"/>
          <w:sz w:val="32"/>
          <w:szCs w:val="32"/>
        </w:rPr>
        <w:t>(五十五)112年度國立故宮博物院「新故宮計畫」項下「新故宮-故宮公共化帶動觀光產業發展中程計畫」中「辦理博物館群國際觀光網絡系統建置」之「故宮國寶出遊去」預算編列 175 萬元，然此一子計畫5年內僅成功合作4案，未來預定有2案，宜積極推廣及尋覓合作對象。「故宮國寶出遊去」計畫以推廣文化藝術教育，提供民眾近距離體驗院藏文物之多元管道為目的。然過往成功合作的展覽中，109年度故宮國寶遊彰化僅2萬餘人觀光人次，110年度更是無任何申請案，雖疫情可能為申請案件數或參觀人次不理想之原因，然台灣已邁入後疫情時代且國境逐步解封，故宮宜主動開發合作對象，並研議宣傳對策，以提供民眾多元途徑接觸故宮文物。爰此，請國立故宮博物院於3個月內向立法院教育及文化委員會提出書面報告。</w:t>
      </w:r>
      <w:r w:rsidRPr="00B70493">
        <w:rPr>
          <w:rFonts w:ascii="標楷體" w:eastAsia="標楷體" w:hAnsi="標楷體"/>
          <w:sz w:val="32"/>
          <w:szCs w:val="32"/>
        </w:rPr>
        <w:t>97</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提案人：吳思瑤  黃國書</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連署人：陳秀寳  何欣純</w:t>
      </w:r>
    </w:p>
    <w:p w:rsidR="00B6184F" w:rsidRPr="00B70493" w:rsidRDefault="00B6184F" w:rsidP="00F035E0">
      <w:pPr>
        <w:snapToGrid w:val="0"/>
        <w:spacing w:beforeLines="50" w:before="180" w:afterLines="50" w:after="180" w:line="500" w:lineRule="exact"/>
        <w:ind w:leftChars="1" w:left="642" w:hangingChars="200" w:hanging="640"/>
        <w:contextualSpacing/>
        <w:jc w:val="both"/>
        <w:rPr>
          <w:rFonts w:ascii="標楷體" w:eastAsia="標楷體" w:hAnsi="標楷體"/>
          <w:sz w:val="32"/>
          <w:szCs w:val="32"/>
        </w:rPr>
      </w:pPr>
      <w:r w:rsidRPr="00B70493">
        <w:rPr>
          <w:rFonts w:ascii="標楷體" w:eastAsia="標楷體" w:hAnsi="標楷體" w:hint="eastAsia"/>
          <w:sz w:val="32"/>
          <w:szCs w:val="32"/>
        </w:rPr>
        <w:t>二、11</w:t>
      </w:r>
      <w:r w:rsidRPr="00B70493">
        <w:rPr>
          <w:rFonts w:ascii="標楷體" w:eastAsia="標楷體" w:hAnsi="標楷體"/>
          <w:sz w:val="32"/>
          <w:szCs w:val="32"/>
        </w:rPr>
        <w:t>2</w:t>
      </w:r>
      <w:r w:rsidRPr="00B70493">
        <w:rPr>
          <w:rFonts w:ascii="標楷體" w:eastAsia="標楷體" w:hAnsi="標楷體" w:hint="eastAsia"/>
          <w:sz w:val="32"/>
          <w:szCs w:val="32"/>
        </w:rPr>
        <w:t>年度中央政府總預算案有關國立故宮博物院主管故宮文物藝術發展基金</w:t>
      </w:r>
      <w:r w:rsidRPr="00B70493">
        <w:rPr>
          <w:rFonts w:ascii="標楷體" w:eastAsia="標楷體" w:hAnsi="標楷體" w:hint="eastAsia"/>
          <w:bCs/>
          <w:sz w:val="32"/>
          <w:szCs w:val="32"/>
        </w:rPr>
        <w:t>附屬</w:t>
      </w:r>
      <w:r w:rsidRPr="00B70493">
        <w:rPr>
          <w:rFonts w:ascii="標楷體" w:eastAsia="標楷體" w:hAnsi="標楷體" w:hint="eastAsia"/>
          <w:sz w:val="32"/>
          <w:szCs w:val="32"/>
        </w:rPr>
        <w:t>單位預算案，審查完竣。審查結果如下：</w:t>
      </w:r>
    </w:p>
    <w:p w:rsidR="00B6184F" w:rsidRPr="00B70493" w:rsidRDefault="00B6184F" w:rsidP="00F035E0">
      <w:pPr>
        <w:kinsoku w:val="0"/>
        <w:overflowPunct w:val="0"/>
        <w:autoSpaceDN w:val="0"/>
        <w:snapToGrid w:val="0"/>
        <w:spacing w:beforeLines="50" w:before="180" w:line="500" w:lineRule="exact"/>
        <w:ind w:leftChars="200" w:left="1120" w:hangingChars="200" w:hanging="640"/>
        <w:contextualSpacing/>
        <w:jc w:val="both"/>
        <w:textAlignment w:val="center"/>
        <w:rPr>
          <w:rFonts w:ascii="標楷體" w:eastAsia="標楷體" w:hAnsi="標楷體"/>
          <w:snapToGrid w:val="0"/>
          <w:sz w:val="32"/>
          <w:szCs w:val="32"/>
        </w:rPr>
      </w:pPr>
      <w:r w:rsidRPr="00B70493">
        <w:rPr>
          <w:rFonts w:ascii="標楷體" w:eastAsia="標楷體" w:hAnsi="標楷體" w:hint="eastAsia"/>
          <w:snapToGrid w:val="0"/>
          <w:sz w:val="32"/>
          <w:szCs w:val="32"/>
        </w:rPr>
        <w:t>(一)業務計畫：應依據業務收支、轉投資、固定資產建設改良擴充及資金運用等項之審查結果，隨同調整。</w:t>
      </w:r>
    </w:p>
    <w:p w:rsidR="00B6184F" w:rsidRPr="00B70493" w:rsidRDefault="00B6184F" w:rsidP="00F035E0">
      <w:pPr>
        <w:kinsoku w:val="0"/>
        <w:overflowPunct w:val="0"/>
        <w:autoSpaceDN w:val="0"/>
        <w:snapToGrid w:val="0"/>
        <w:spacing w:line="500" w:lineRule="exact"/>
        <w:ind w:leftChars="200" w:left="1120" w:hangingChars="200" w:hanging="640"/>
        <w:contextualSpacing/>
        <w:jc w:val="both"/>
        <w:textAlignment w:val="center"/>
        <w:rPr>
          <w:rFonts w:ascii="標楷體" w:eastAsia="標楷體" w:hAnsi="標楷體"/>
          <w:snapToGrid w:val="0"/>
          <w:sz w:val="32"/>
          <w:szCs w:val="32"/>
        </w:rPr>
      </w:pPr>
      <w:r w:rsidRPr="00B70493">
        <w:rPr>
          <w:rFonts w:ascii="標楷體" w:eastAsia="標楷體" w:hAnsi="標楷體" w:hint="eastAsia"/>
          <w:snapToGrid w:val="0"/>
          <w:sz w:val="32"/>
          <w:szCs w:val="32"/>
        </w:rPr>
        <w:t>(二)業務收支：</w:t>
      </w:r>
    </w:p>
    <w:p w:rsidR="00B6184F" w:rsidRPr="00B70493" w:rsidRDefault="00B6184F" w:rsidP="00F035E0">
      <w:pPr>
        <w:kinsoku w:val="0"/>
        <w:overflowPunct w:val="0"/>
        <w:autoSpaceDN w:val="0"/>
        <w:snapToGrid w:val="0"/>
        <w:spacing w:line="500" w:lineRule="exact"/>
        <w:ind w:leftChars="472" w:left="1453" w:hangingChars="100" w:hanging="320"/>
        <w:contextualSpacing/>
        <w:jc w:val="both"/>
        <w:textAlignment w:val="center"/>
        <w:rPr>
          <w:rFonts w:ascii="標楷體" w:eastAsia="標楷體" w:hAnsi="標楷體"/>
          <w:snapToGrid w:val="0"/>
          <w:sz w:val="32"/>
          <w:szCs w:val="32"/>
        </w:rPr>
      </w:pPr>
      <w:r w:rsidRPr="00B70493">
        <w:rPr>
          <w:rFonts w:ascii="標楷體" w:eastAsia="標楷體" w:hAnsi="標楷體" w:hint="eastAsia"/>
          <w:snapToGrid w:val="0"/>
          <w:sz w:val="32"/>
          <w:szCs w:val="32"/>
        </w:rPr>
        <w:t>1.業務總收入：原列2億9,565萬8千元，增列5,0</w:t>
      </w:r>
      <w:r w:rsidRPr="00B70493">
        <w:rPr>
          <w:rFonts w:ascii="標楷體" w:eastAsia="標楷體" w:hAnsi="標楷體"/>
          <w:snapToGrid w:val="0"/>
          <w:sz w:val="32"/>
          <w:szCs w:val="32"/>
        </w:rPr>
        <w:t>0</w:t>
      </w:r>
      <w:r w:rsidRPr="00B70493">
        <w:rPr>
          <w:rFonts w:ascii="標楷體" w:eastAsia="標楷體" w:hAnsi="標楷體" w:hint="eastAsia"/>
          <w:snapToGrid w:val="0"/>
          <w:sz w:val="32"/>
          <w:szCs w:val="32"/>
        </w:rPr>
        <w:t>0萬元，改</w:t>
      </w:r>
      <w:r w:rsidRPr="00B70493">
        <w:rPr>
          <w:rFonts w:ascii="標楷體" w:eastAsia="標楷體" w:hAnsi="標楷體" w:hint="eastAsia"/>
          <w:snapToGrid w:val="0"/>
          <w:sz w:val="32"/>
          <w:szCs w:val="32"/>
        </w:rPr>
        <w:lastRenderedPageBreak/>
        <w:t>列為</w:t>
      </w:r>
      <w:r w:rsidRPr="00B70493">
        <w:rPr>
          <w:rFonts w:ascii="標楷體" w:eastAsia="標楷體" w:hAnsi="標楷體"/>
          <w:snapToGrid w:val="0"/>
          <w:sz w:val="32"/>
          <w:szCs w:val="32"/>
        </w:rPr>
        <w:t>3</w:t>
      </w:r>
      <w:r w:rsidRPr="00B70493">
        <w:rPr>
          <w:rFonts w:ascii="標楷體" w:eastAsia="標楷體" w:hAnsi="標楷體" w:hint="eastAsia"/>
          <w:snapToGrid w:val="0"/>
          <w:sz w:val="32"/>
          <w:szCs w:val="32"/>
        </w:rPr>
        <w:t>億</w:t>
      </w:r>
      <w:r w:rsidRPr="00B70493">
        <w:rPr>
          <w:rFonts w:ascii="標楷體" w:eastAsia="標楷體" w:hAnsi="標楷體"/>
          <w:snapToGrid w:val="0"/>
          <w:sz w:val="32"/>
          <w:szCs w:val="32"/>
        </w:rPr>
        <w:t>4</w:t>
      </w:r>
      <w:r w:rsidRPr="00B70493">
        <w:rPr>
          <w:rFonts w:ascii="標楷體" w:eastAsia="標楷體" w:hAnsi="標楷體" w:hint="eastAsia"/>
          <w:snapToGrid w:val="0"/>
          <w:sz w:val="32"/>
          <w:szCs w:val="32"/>
        </w:rPr>
        <w:t>,5</w:t>
      </w:r>
      <w:r w:rsidRPr="00B70493">
        <w:rPr>
          <w:rFonts w:ascii="標楷體" w:eastAsia="標楷體" w:hAnsi="標楷體"/>
          <w:snapToGrid w:val="0"/>
          <w:sz w:val="32"/>
          <w:szCs w:val="32"/>
        </w:rPr>
        <w:t>65</w:t>
      </w:r>
      <w:r w:rsidRPr="00B70493">
        <w:rPr>
          <w:rFonts w:ascii="標楷體" w:eastAsia="標楷體" w:hAnsi="標楷體" w:hint="eastAsia"/>
          <w:snapToGrid w:val="0"/>
          <w:sz w:val="32"/>
          <w:szCs w:val="32"/>
        </w:rPr>
        <w:t>萬</w:t>
      </w:r>
      <w:r w:rsidRPr="00B70493">
        <w:rPr>
          <w:rFonts w:ascii="標楷體" w:eastAsia="標楷體" w:hAnsi="標楷體"/>
          <w:snapToGrid w:val="0"/>
          <w:sz w:val="32"/>
          <w:szCs w:val="32"/>
        </w:rPr>
        <w:t>8</w:t>
      </w:r>
      <w:r w:rsidRPr="00B70493">
        <w:rPr>
          <w:rFonts w:ascii="標楷體" w:eastAsia="標楷體" w:hAnsi="標楷體" w:hint="eastAsia"/>
          <w:snapToGrid w:val="0"/>
          <w:sz w:val="32"/>
          <w:szCs w:val="32"/>
        </w:rPr>
        <w:t>千元。</w:t>
      </w:r>
    </w:p>
    <w:p w:rsidR="00B6184F" w:rsidRPr="00B70493" w:rsidRDefault="00B6184F" w:rsidP="00F035E0">
      <w:pPr>
        <w:kinsoku w:val="0"/>
        <w:overflowPunct w:val="0"/>
        <w:autoSpaceDN w:val="0"/>
        <w:snapToGrid w:val="0"/>
        <w:spacing w:line="500" w:lineRule="exact"/>
        <w:ind w:leftChars="472" w:left="1453" w:hangingChars="100" w:hanging="320"/>
        <w:contextualSpacing/>
        <w:jc w:val="both"/>
        <w:textAlignment w:val="center"/>
        <w:rPr>
          <w:rFonts w:ascii="標楷體" w:eastAsia="標楷體" w:hAnsi="標楷體"/>
          <w:snapToGrid w:val="0"/>
          <w:sz w:val="32"/>
          <w:szCs w:val="32"/>
        </w:rPr>
      </w:pPr>
      <w:r w:rsidRPr="00B70493">
        <w:rPr>
          <w:rFonts w:ascii="標楷體" w:eastAsia="標楷體" w:hAnsi="標楷體" w:hint="eastAsia"/>
          <w:snapToGrid w:val="0"/>
          <w:sz w:val="32"/>
          <w:szCs w:val="32"/>
        </w:rPr>
        <w:t>2.業務總支出：2億8,948萬4千元，照列。</w:t>
      </w:r>
    </w:p>
    <w:p w:rsidR="00B6184F" w:rsidRPr="00B70493" w:rsidRDefault="00B6184F" w:rsidP="00F035E0">
      <w:pPr>
        <w:kinsoku w:val="0"/>
        <w:overflowPunct w:val="0"/>
        <w:autoSpaceDN w:val="0"/>
        <w:snapToGrid w:val="0"/>
        <w:spacing w:line="500" w:lineRule="exact"/>
        <w:ind w:leftChars="472" w:left="1453" w:hangingChars="100" w:hanging="320"/>
        <w:contextualSpacing/>
        <w:jc w:val="both"/>
        <w:textAlignment w:val="center"/>
        <w:rPr>
          <w:rFonts w:ascii="標楷體" w:eastAsia="標楷體" w:hAnsi="標楷體"/>
          <w:snapToGrid w:val="0"/>
          <w:sz w:val="32"/>
          <w:szCs w:val="32"/>
        </w:rPr>
      </w:pPr>
      <w:r w:rsidRPr="00B70493">
        <w:rPr>
          <w:rFonts w:ascii="標楷體" w:eastAsia="標楷體" w:hAnsi="標楷體" w:hint="eastAsia"/>
          <w:snapToGrid w:val="0"/>
          <w:sz w:val="32"/>
          <w:szCs w:val="32"/>
        </w:rPr>
        <w:t>3.本期賸餘：原列617萬4千元，增列5</w:t>
      </w:r>
      <w:r w:rsidRPr="00B70493">
        <w:rPr>
          <w:rFonts w:ascii="標楷體" w:eastAsia="標楷體" w:hAnsi="標楷體"/>
          <w:snapToGrid w:val="0"/>
          <w:sz w:val="32"/>
          <w:szCs w:val="32"/>
        </w:rPr>
        <w:t>,0</w:t>
      </w:r>
      <w:r w:rsidRPr="00B70493">
        <w:rPr>
          <w:rFonts w:ascii="標楷體" w:eastAsia="標楷體" w:hAnsi="標楷體" w:hint="eastAsia"/>
          <w:snapToGrid w:val="0"/>
          <w:sz w:val="32"/>
          <w:szCs w:val="32"/>
        </w:rPr>
        <w:t>00萬元，改列為5,</w:t>
      </w:r>
      <w:r w:rsidRPr="00B70493">
        <w:rPr>
          <w:rFonts w:ascii="標楷體" w:eastAsia="標楷體" w:hAnsi="標楷體"/>
          <w:snapToGrid w:val="0"/>
          <w:sz w:val="32"/>
          <w:szCs w:val="32"/>
        </w:rPr>
        <w:t>617</w:t>
      </w:r>
      <w:r w:rsidRPr="00B70493">
        <w:rPr>
          <w:rFonts w:ascii="標楷體" w:eastAsia="標楷體" w:hAnsi="標楷體" w:hint="eastAsia"/>
          <w:snapToGrid w:val="0"/>
          <w:sz w:val="32"/>
          <w:szCs w:val="32"/>
        </w:rPr>
        <w:t>萬</w:t>
      </w:r>
      <w:r w:rsidRPr="00B70493">
        <w:rPr>
          <w:rFonts w:ascii="標楷體" w:eastAsia="標楷體" w:hAnsi="標楷體"/>
          <w:snapToGrid w:val="0"/>
          <w:sz w:val="32"/>
          <w:szCs w:val="32"/>
        </w:rPr>
        <w:t>4</w:t>
      </w:r>
      <w:r w:rsidRPr="00B70493">
        <w:rPr>
          <w:rFonts w:ascii="標楷體" w:eastAsia="標楷體" w:hAnsi="標楷體" w:hint="eastAsia"/>
          <w:snapToGrid w:val="0"/>
          <w:sz w:val="32"/>
          <w:szCs w:val="32"/>
        </w:rPr>
        <w:t>千元。</w:t>
      </w:r>
    </w:p>
    <w:p w:rsidR="00B6184F" w:rsidRPr="00B70493" w:rsidRDefault="00B6184F" w:rsidP="00F035E0">
      <w:pPr>
        <w:kinsoku w:val="0"/>
        <w:overflowPunct w:val="0"/>
        <w:autoSpaceDN w:val="0"/>
        <w:snapToGrid w:val="0"/>
        <w:spacing w:line="500" w:lineRule="exact"/>
        <w:ind w:leftChars="200" w:left="1120" w:hangingChars="200" w:hanging="640"/>
        <w:contextualSpacing/>
        <w:jc w:val="both"/>
        <w:textAlignment w:val="center"/>
        <w:rPr>
          <w:rFonts w:ascii="標楷體" w:eastAsia="標楷體" w:hAnsi="標楷體"/>
          <w:snapToGrid w:val="0"/>
          <w:sz w:val="32"/>
          <w:szCs w:val="32"/>
        </w:rPr>
      </w:pPr>
      <w:r w:rsidRPr="00B70493">
        <w:rPr>
          <w:rFonts w:ascii="標楷體" w:eastAsia="標楷體" w:hAnsi="標楷體" w:hint="eastAsia"/>
          <w:snapToGrid w:val="0"/>
          <w:sz w:val="32"/>
          <w:szCs w:val="32"/>
        </w:rPr>
        <w:t>(三)解繳公庫：8,500萬元，照列。</w:t>
      </w:r>
    </w:p>
    <w:p w:rsidR="00B6184F" w:rsidRPr="00B70493" w:rsidRDefault="00B6184F" w:rsidP="00F035E0">
      <w:pPr>
        <w:kinsoku w:val="0"/>
        <w:overflowPunct w:val="0"/>
        <w:autoSpaceDN w:val="0"/>
        <w:snapToGrid w:val="0"/>
        <w:spacing w:line="500" w:lineRule="exact"/>
        <w:ind w:leftChars="200" w:left="1120" w:hangingChars="200" w:hanging="640"/>
        <w:contextualSpacing/>
        <w:jc w:val="both"/>
        <w:textAlignment w:val="center"/>
        <w:rPr>
          <w:rFonts w:ascii="標楷體" w:eastAsia="標楷體" w:hAnsi="標楷體"/>
          <w:snapToGrid w:val="0"/>
          <w:sz w:val="32"/>
          <w:szCs w:val="32"/>
        </w:rPr>
      </w:pPr>
      <w:r w:rsidRPr="00B70493">
        <w:rPr>
          <w:rFonts w:ascii="標楷體" w:eastAsia="標楷體" w:hAnsi="標楷體" w:hint="eastAsia"/>
          <w:snapToGrid w:val="0"/>
          <w:sz w:val="32"/>
          <w:szCs w:val="32"/>
        </w:rPr>
        <w:t>(四)轉投資計畫：無列數。</w:t>
      </w:r>
    </w:p>
    <w:p w:rsidR="00B6184F" w:rsidRPr="00B70493" w:rsidRDefault="00B6184F" w:rsidP="00F035E0">
      <w:pPr>
        <w:kinsoku w:val="0"/>
        <w:overflowPunct w:val="0"/>
        <w:autoSpaceDN w:val="0"/>
        <w:snapToGrid w:val="0"/>
        <w:spacing w:line="500" w:lineRule="exact"/>
        <w:ind w:leftChars="200" w:left="1120" w:hangingChars="200" w:hanging="640"/>
        <w:contextualSpacing/>
        <w:jc w:val="both"/>
        <w:textAlignment w:val="center"/>
        <w:rPr>
          <w:rFonts w:ascii="標楷體" w:eastAsia="標楷體" w:hAnsi="標楷體"/>
          <w:snapToGrid w:val="0"/>
          <w:sz w:val="32"/>
          <w:szCs w:val="32"/>
        </w:rPr>
      </w:pPr>
      <w:r w:rsidRPr="00B70493">
        <w:rPr>
          <w:rFonts w:ascii="標楷體" w:eastAsia="標楷體" w:hAnsi="標楷體" w:hint="eastAsia"/>
          <w:snapToGrid w:val="0"/>
          <w:sz w:val="32"/>
          <w:szCs w:val="32"/>
        </w:rPr>
        <w:t>(五)固定資產建設改良擴充：1,220萬元，照列。</w:t>
      </w:r>
      <w:r w:rsidRPr="00B70493">
        <w:rPr>
          <w:rFonts w:ascii="標楷體" w:eastAsia="標楷體" w:hAnsi="標楷體" w:hint="eastAsia"/>
          <w:bCs/>
          <w:sz w:val="32"/>
          <w:szCs w:val="32"/>
        </w:rPr>
        <w:t xml:space="preserve">    </w:t>
      </w:r>
    </w:p>
    <w:p w:rsidR="00B6184F" w:rsidRPr="00B70493" w:rsidRDefault="00B6184F" w:rsidP="00F035E0">
      <w:pPr>
        <w:kinsoku w:val="0"/>
        <w:overflowPunct w:val="0"/>
        <w:autoSpaceDN w:val="0"/>
        <w:snapToGrid w:val="0"/>
        <w:spacing w:line="500" w:lineRule="exact"/>
        <w:ind w:leftChars="200" w:left="1120" w:hangingChars="200" w:hanging="640"/>
        <w:contextualSpacing/>
        <w:jc w:val="both"/>
        <w:textAlignment w:val="center"/>
        <w:rPr>
          <w:rFonts w:ascii="標楷體" w:eastAsia="標楷體" w:hAnsi="標楷體"/>
          <w:snapToGrid w:val="0"/>
          <w:sz w:val="32"/>
          <w:szCs w:val="32"/>
        </w:rPr>
      </w:pPr>
      <w:r w:rsidRPr="00B70493">
        <w:rPr>
          <w:rFonts w:ascii="標楷體" w:eastAsia="標楷體" w:hAnsi="標楷體" w:hint="eastAsia"/>
          <w:snapToGrid w:val="0"/>
          <w:sz w:val="32"/>
          <w:szCs w:val="32"/>
        </w:rPr>
        <w:t>(六)國庫增撥基金額：無列數。</w:t>
      </w:r>
    </w:p>
    <w:p w:rsidR="00B6184F" w:rsidRPr="00272F83" w:rsidRDefault="00B6184F" w:rsidP="00F035E0">
      <w:pPr>
        <w:kinsoku w:val="0"/>
        <w:overflowPunct w:val="0"/>
        <w:autoSpaceDN w:val="0"/>
        <w:snapToGrid w:val="0"/>
        <w:spacing w:line="500" w:lineRule="exact"/>
        <w:ind w:leftChars="200" w:left="1120" w:hangingChars="200" w:hanging="640"/>
        <w:contextualSpacing/>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(七)</w:t>
      </w:r>
      <w:r w:rsidRPr="00272F83">
        <w:rPr>
          <w:rFonts w:ascii="標楷體" w:eastAsia="標楷體" w:hAnsi="標楷體" w:hint="eastAsia"/>
          <w:snapToGrid w:val="0"/>
          <w:sz w:val="32"/>
          <w:szCs w:val="32"/>
        </w:rPr>
        <w:t>提案1案，保留，送院會處理：</w:t>
      </w:r>
    </w:p>
    <w:p w:rsidR="00B6184F" w:rsidRPr="00272F83" w:rsidRDefault="00B6184F" w:rsidP="00F035E0">
      <w:pPr>
        <w:kinsoku w:val="0"/>
        <w:overflowPunct w:val="0"/>
        <w:autoSpaceDN w:val="0"/>
        <w:spacing w:line="500" w:lineRule="exact"/>
        <w:ind w:leftChars="200" w:left="1120" w:hangingChars="200" w:hanging="640"/>
        <w:jc w:val="both"/>
        <w:textAlignment w:val="center"/>
        <w:rPr>
          <w:rFonts w:ascii="標楷體" w:eastAsia="標楷體" w:hAnsi="標楷體"/>
          <w:snapToGrid w:val="0"/>
          <w:sz w:val="32"/>
          <w:szCs w:val="32"/>
        </w:rPr>
      </w:pPr>
      <w:r w:rsidRPr="00272F83">
        <w:rPr>
          <w:rFonts w:ascii="標楷體" w:eastAsia="標楷體" w:hAnsi="標楷體" w:hint="eastAsia"/>
          <w:snapToGrid w:val="0"/>
          <w:sz w:val="32"/>
          <w:szCs w:val="32"/>
        </w:rPr>
        <w:t xml:space="preserve">        故宮文物藝術發展基金112年度預算案「固定資產之建設改良擴充-一般建築及設備計畫-文物收購」項下編列1,200萬元，該項預算數係辦理文物收購，收購標的為亞洲織品；然查，故宮現有典藏品龐大但展示率低，而如何將典藏數位化、策展和行銷才是要務，然卻未經評估展覽效益就編列預算收購藏亞洲藝術文物預算，實有浪費公帑之虞；爰提案刪除故宮文物藝術發展基金「固定資產之建設改良擴充-一般建築及設備計畫-文物收購」預算1,200萬元。</w:t>
      </w:r>
    </w:p>
    <w:p w:rsidR="00B6184F" w:rsidRDefault="00B6184F" w:rsidP="00F035E0">
      <w:pPr>
        <w:overflowPunct w:val="0"/>
        <w:spacing w:line="500" w:lineRule="exact"/>
        <w:ind w:leftChars="1250" w:left="3000"/>
        <w:jc w:val="both"/>
        <w:rPr>
          <w:rFonts w:ascii="標楷體" w:eastAsia="標楷體" w:hAnsi="標楷體"/>
          <w:snapToGrid w:val="0"/>
          <w:sz w:val="32"/>
          <w:szCs w:val="32"/>
        </w:rPr>
      </w:pPr>
      <w:r w:rsidRPr="00272F83">
        <w:rPr>
          <w:rFonts w:ascii="標楷體" w:eastAsia="標楷體" w:hAnsi="標楷體" w:hint="eastAsia"/>
          <w:snapToGrid w:val="0"/>
          <w:sz w:val="32"/>
          <w:szCs w:val="32"/>
        </w:rPr>
        <w:t>提案人：吳怡玎  林奕華  萬美玲</w:t>
      </w:r>
    </w:p>
    <w:p w:rsidR="00B6184F" w:rsidRPr="00B70493" w:rsidRDefault="00B6184F" w:rsidP="00F035E0">
      <w:pPr>
        <w:kinsoku w:val="0"/>
        <w:overflowPunct w:val="0"/>
        <w:autoSpaceDN w:val="0"/>
        <w:spacing w:line="500" w:lineRule="exact"/>
        <w:ind w:leftChars="200" w:left="1120" w:hangingChars="200" w:hanging="640"/>
        <w:jc w:val="both"/>
        <w:textAlignment w:val="center"/>
        <w:rPr>
          <w:rFonts w:ascii="標楷體" w:eastAsia="標楷體" w:hAnsi="標楷體"/>
          <w:snapToGrid w:val="0"/>
          <w:sz w:val="32"/>
          <w:szCs w:val="32"/>
        </w:rPr>
      </w:pPr>
      <w:r w:rsidRPr="00B70493">
        <w:rPr>
          <w:rFonts w:ascii="標楷體" w:eastAsia="標楷體" w:hAnsi="標楷體" w:hint="eastAsia"/>
          <w:snapToGrid w:val="0"/>
          <w:sz w:val="32"/>
          <w:szCs w:val="32"/>
        </w:rPr>
        <w:t>(</w:t>
      </w:r>
      <w:r>
        <w:rPr>
          <w:rFonts w:ascii="標楷體" w:eastAsia="標楷體" w:hAnsi="標楷體" w:hint="eastAsia"/>
          <w:snapToGrid w:val="0"/>
          <w:sz w:val="32"/>
          <w:szCs w:val="32"/>
        </w:rPr>
        <w:t>八</w:t>
      </w:r>
      <w:r w:rsidRPr="00B70493">
        <w:rPr>
          <w:rFonts w:ascii="標楷體" w:eastAsia="標楷體" w:hAnsi="標楷體" w:hint="eastAsia"/>
          <w:snapToGrid w:val="0"/>
          <w:sz w:val="32"/>
          <w:szCs w:val="32"/>
        </w:rPr>
        <w:t>)通過決議</w:t>
      </w:r>
      <w:r>
        <w:rPr>
          <w:rFonts w:ascii="標楷體" w:eastAsia="標楷體" w:hAnsi="標楷體"/>
          <w:snapToGrid w:val="0"/>
          <w:sz w:val="32"/>
          <w:szCs w:val="32"/>
        </w:rPr>
        <w:t>8</w:t>
      </w:r>
      <w:r w:rsidRPr="00B70493">
        <w:rPr>
          <w:rFonts w:ascii="標楷體" w:eastAsia="標楷體" w:hAnsi="標楷體" w:hint="eastAsia"/>
          <w:snapToGrid w:val="0"/>
          <w:sz w:val="32"/>
          <w:szCs w:val="32"/>
        </w:rPr>
        <w:t>項：</w:t>
      </w:r>
    </w:p>
    <w:p w:rsidR="00B6184F" w:rsidRPr="00B70493" w:rsidRDefault="00B6184F" w:rsidP="00F035E0">
      <w:pPr>
        <w:kinsoku w:val="0"/>
        <w:overflowPunct w:val="0"/>
        <w:autoSpaceDN w:val="0"/>
        <w:spacing w:line="500" w:lineRule="exact"/>
        <w:ind w:leftChars="450" w:left="1400" w:hangingChars="100" w:hanging="320"/>
        <w:jc w:val="both"/>
        <w:textAlignment w:val="center"/>
        <w:rPr>
          <w:rFonts w:ascii="標楷體" w:eastAsia="標楷體" w:hAnsi="標楷體"/>
          <w:sz w:val="32"/>
          <w:szCs w:val="32"/>
        </w:rPr>
      </w:pPr>
      <w:r w:rsidRPr="00B70493">
        <w:rPr>
          <w:rFonts w:ascii="標楷體" w:eastAsia="標楷體" w:hAnsi="標楷體" w:hint="eastAsia"/>
          <w:snapToGrid w:val="0"/>
          <w:sz w:val="32"/>
          <w:szCs w:val="32"/>
        </w:rPr>
        <w:t>1.</w:t>
      </w:r>
      <w:r w:rsidRPr="00B70493">
        <w:rPr>
          <w:rFonts w:ascii="標楷體" w:eastAsia="標楷體" w:hAnsi="標楷體" w:hint="eastAsia"/>
          <w:sz w:val="32"/>
          <w:szCs w:val="32"/>
        </w:rPr>
        <w:t>112年度故宮文物藝術發展基金「固定資產建設改良擴充」項下「一般建築及設備計畫」中「一次性項目」預算編列1,220萬元，其中1,200萬元預計收購亞洲藝術文物。惟國立故宮博物院在110及111年度，從本項收購藏物預算，分別調整28萬8千元、176萬8千元去汰換資通設備。本項預算原為購藏預算，故宮博物院允宜於預算編列後，妥善規劃購藏項目；而非將預算挪為他用，進而影響故宮博物院購藏計畫。為督促故宮博物院妥善利用購藏預算，爰要求國立故宮博物院就112年度購藏預算之預計收購類型、</w:t>
      </w:r>
      <w:r w:rsidRPr="00B70493">
        <w:rPr>
          <w:rFonts w:ascii="標楷體" w:eastAsia="標楷體" w:hAnsi="標楷體" w:hint="eastAsia"/>
          <w:sz w:val="32"/>
          <w:szCs w:val="32"/>
        </w:rPr>
        <w:lastRenderedPageBreak/>
        <w:t>內容、時程等研擬年度購藏計畫於3個月內向立法院教育及文化委員會提出書面報告。18</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提案人：陳秀寳</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連署人：黃國書  張廖萬堅</w:t>
      </w:r>
    </w:p>
    <w:p w:rsidR="00B6184F" w:rsidRPr="00B70493" w:rsidRDefault="00B6184F" w:rsidP="00F035E0">
      <w:pPr>
        <w:kinsoku w:val="0"/>
        <w:overflowPunct w:val="0"/>
        <w:autoSpaceDN w:val="0"/>
        <w:spacing w:line="500" w:lineRule="exact"/>
        <w:ind w:leftChars="450" w:left="1400" w:hangingChars="100" w:hanging="320"/>
        <w:jc w:val="both"/>
        <w:textAlignment w:val="center"/>
        <w:rPr>
          <w:rFonts w:ascii="標楷體" w:eastAsia="標楷體" w:hAnsi="標楷體"/>
          <w:sz w:val="32"/>
          <w:szCs w:val="32"/>
        </w:rPr>
      </w:pPr>
      <w:r w:rsidRPr="00B70493">
        <w:rPr>
          <w:rFonts w:ascii="標楷體" w:eastAsia="標楷體" w:hAnsi="標楷體" w:hint="eastAsia"/>
          <w:sz w:val="32"/>
          <w:szCs w:val="32"/>
        </w:rPr>
        <w:t>2.根據民間機構調查110至111年各類商品於網路上銷售之營業額均有成長，即便在疫情期間，網購營業額不減反增。反觀國立故宮博物院網路商店的營業額在疫情期間卻少了4.6%，深究其原因，除了合作開發的商品每年減少，在105年開發出3</w:t>
      </w:r>
      <w:r w:rsidRPr="00B70493">
        <w:rPr>
          <w:rFonts w:ascii="標楷體" w:eastAsia="標楷體" w:hAnsi="標楷體"/>
          <w:sz w:val="32"/>
          <w:szCs w:val="32"/>
        </w:rPr>
        <w:t>,</w:t>
      </w:r>
      <w:r w:rsidRPr="00B70493">
        <w:rPr>
          <w:rFonts w:ascii="標楷體" w:eastAsia="標楷體" w:hAnsi="標楷體" w:hint="eastAsia"/>
          <w:sz w:val="32"/>
          <w:szCs w:val="32"/>
        </w:rPr>
        <w:t>100</w:t>
      </w:r>
      <w:r>
        <w:rPr>
          <w:rFonts w:ascii="標楷體" w:eastAsia="標楷體" w:hAnsi="標楷體" w:hint="eastAsia"/>
          <w:sz w:val="32"/>
          <w:szCs w:val="32"/>
        </w:rPr>
        <w:t>件的創意商品</w:t>
      </w:r>
      <w:r w:rsidRPr="00B70493">
        <w:rPr>
          <w:rFonts w:ascii="標楷體" w:eastAsia="標楷體" w:hAnsi="標楷體" w:hint="eastAsia"/>
          <w:sz w:val="32"/>
          <w:szCs w:val="32"/>
        </w:rPr>
        <w:t>之後每年遞減，到110年開發之創意</w:t>
      </w:r>
      <w:r>
        <w:rPr>
          <w:rFonts w:ascii="標楷體" w:eastAsia="標楷體" w:hAnsi="標楷體" w:hint="eastAsia"/>
          <w:sz w:val="32"/>
          <w:szCs w:val="32"/>
        </w:rPr>
        <w:t>商</w:t>
      </w:r>
      <w:r w:rsidRPr="00B70493">
        <w:rPr>
          <w:rFonts w:ascii="標楷體" w:eastAsia="標楷體" w:hAnsi="標楷體" w:hint="eastAsia"/>
          <w:sz w:val="32"/>
          <w:szCs w:val="32"/>
        </w:rPr>
        <w:t>品僅剩2</w:t>
      </w:r>
      <w:r w:rsidRPr="00B70493">
        <w:rPr>
          <w:rFonts w:ascii="標楷體" w:eastAsia="標楷體" w:hAnsi="標楷體"/>
          <w:sz w:val="32"/>
          <w:szCs w:val="32"/>
        </w:rPr>
        <w:t>,</w:t>
      </w:r>
      <w:r w:rsidRPr="00B70493">
        <w:rPr>
          <w:rFonts w:ascii="標楷體" w:eastAsia="標楷體" w:hAnsi="標楷體" w:hint="eastAsia"/>
          <w:sz w:val="32"/>
          <w:szCs w:val="32"/>
        </w:rPr>
        <w:t>098件，合作開發商品數減少，連帶影響銷售量。此外，故宮選任文創商品委託承銷廠商，仍然侷限在「實體商店」，與當今很多商店都從實體商店轉成「電商」的趨勢，背道而馳，難怪銷售量不佳。綜上，要求國立故宮博物院應於1個月內向立法院教育及文化委員會提出檢討書面報告，並據以改善。19</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提案人：張廖萬堅</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連署人：陳秀寳  范  雲</w:t>
      </w:r>
    </w:p>
    <w:p w:rsidR="00B6184F" w:rsidRPr="00B70493" w:rsidRDefault="00B6184F" w:rsidP="00F035E0">
      <w:pPr>
        <w:kinsoku w:val="0"/>
        <w:overflowPunct w:val="0"/>
        <w:autoSpaceDN w:val="0"/>
        <w:spacing w:line="500" w:lineRule="exact"/>
        <w:ind w:leftChars="450" w:left="1400" w:hangingChars="100" w:hanging="320"/>
        <w:jc w:val="both"/>
        <w:textAlignment w:val="center"/>
        <w:rPr>
          <w:rFonts w:ascii="標楷體" w:eastAsia="標楷體" w:hAnsi="標楷體"/>
          <w:sz w:val="32"/>
          <w:szCs w:val="32"/>
        </w:rPr>
      </w:pPr>
      <w:r w:rsidRPr="00B70493">
        <w:rPr>
          <w:rFonts w:ascii="標楷體" w:eastAsia="標楷體" w:hAnsi="標楷體"/>
          <w:sz w:val="32"/>
          <w:szCs w:val="32"/>
        </w:rPr>
        <w:t>3.</w:t>
      </w:r>
      <w:r w:rsidRPr="00B70493">
        <w:rPr>
          <w:rFonts w:ascii="標楷體" w:eastAsia="標楷體" w:hAnsi="標楷體" w:hint="eastAsia"/>
          <w:sz w:val="32"/>
          <w:szCs w:val="32"/>
        </w:rPr>
        <w:t>112年度故宮文物藝術發展基金「業務成本與費用」項下「業務費用」中「會費、捐助、補助、分攤、救助(濟)與交流活動費」之「競賽及交流活動費」預算編列170萬5千元，主要是作會費、捐助、補助、分攤、救助(濟)與交流活動費。惟查該費用每年均有編列，但每年都沒詳列捐助或活動細目，不利外界監督，請國立故宮博物院依規定按期公告故宮文物藝術發展基金接受外界捐贈支用明細表，以利監督。20</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提案人：張廖萬堅</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連署人：陳秀寳  范  雲</w:t>
      </w:r>
    </w:p>
    <w:p w:rsidR="00B6184F" w:rsidRPr="00B70493" w:rsidRDefault="00B6184F" w:rsidP="00F035E0">
      <w:pPr>
        <w:kinsoku w:val="0"/>
        <w:overflowPunct w:val="0"/>
        <w:autoSpaceDN w:val="0"/>
        <w:spacing w:line="500" w:lineRule="exact"/>
        <w:ind w:leftChars="450" w:left="1400" w:hangingChars="100" w:hanging="320"/>
        <w:jc w:val="both"/>
        <w:textAlignment w:val="center"/>
        <w:rPr>
          <w:rFonts w:ascii="標楷體" w:eastAsia="標楷體" w:hAnsi="標楷體"/>
          <w:sz w:val="32"/>
          <w:szCs w:val="32"/>
        </w:rPr>
      </w:pPr>
      <w:r w:rsidRPr="00B70493">
        <w:rPr>
          <w:rFonts w:ascii="標楷體" w:eastAsia="標楷體" w:hAnsi="標楷體" w:hint="eastAsia"/>
          <w:sz w:val="32"/>
          <w:szCs w:val="32"/>
        </w:rPr>
        <w:t>4.根據國立故宮博物院預算說明會資料，112年度文物收購</w:t>
      </w:r>
      <w:r w:rsidRPr="00B70493">
        <w:rPr>
          <w:rFonts w:ascii="標楷體" w:eastAsia="標楷體" w:hAnsi="標楷體" w:hint="eastAsia"/>
          <w:sz w:val="32"/>
          <w:szCs w:val="32"/>
        </w:rPr>
        <w:lastRenderedPageBreak/>
        <w:t>預算編列1</w:t>
      </w:r>
      <w:r w:rsidRPr="00B70493">
        <w:rPr>
          <w:rFonts w:ascii="標楷體" w:eastAsia="標楷體" w:hAnsi="標楷體"/>
          <w:sz w:val="32"/>
          <w:szCs w:val="32"/>
        </w:rPr>
        <w:t>,</w:t>
      </w:r>
      <w:r w:rsidRPr="00B70493">
        <w:rPr>
          <w:rFonts w:ascii="標楷體" w:eastAsia="標楷體" w:hAnsi="標楷體" w:hint="eastAsia"/>
          <w:sz w:val="32"/>
          <w:szCs w:val="32"/>
        </w:rPr>
        <w:t>200萬元，較111年度增加30萬元。究其原因，乃為改善過往預算執行不佳之情況，故先</w:t>
      </w:r>
      <w:r>
        <w:rPr>
          <w:rFonts w:ascii="標楷體" w:eastAsia="標楷體" w:hAnsi="標楷體" w:hint="eastAsia"/>
          <w:sz w:val="32"/>
          <w:szCs w:val="32"/>
        </w:rPr>
        <w:t>匡</w:t>
      </w:r>
      <w:r w:rsidRPr="00B70493">
        <w:rPr>
          <w:rFonts w:ascii="標楷體" w:eastAsia="標楷體" w:hAnsi="標楷體" w:hint="eastAsia"/>
          <w:sz w:val="32"/>
          <w:szCs w:val="32"/>
        </w:rPr>
        <w:t>定預計未來將進入採購程序之文物，始編列預算。然進一步了解文物實際收購狀況後，發現故宮並無收購計畫。另外，博物館之經營，與行政院各部會運作差距極大，以文物收購工作為例，便不適合透過年度預算編列的形式為之。具價值文物可遇不可求，且審核程序嚴謹、繁複，變數相當大，實難事先</w:t>
      </w:r>
      <w:r>
        <w:rPr>
          <w:rFonts w:ascii="標楷體" w:eastAsia="標楷體" w:hAnsi="標楷體" w:hint="eastAsia"/>
          <w:sz w:val="32"/>
          <w:szCs w:val="32"/>
        </w:rPr>
        <w:t>匡</w:t>
      </w:r>
      <w:r w:rsidRPr="00B70493">
        <w:rPr>
          <w:rFonts w:ascii="標楷體" w:eastAsia="標楷體" w:hAnsi="標楷體" w:hint="eastAsia"/>
          <w:sz w:val="32"/>
          <w:szCs w:val="32"/>
        </w:rPr>
        <w:t>定下年度相關預算。故宮最適組織型態委託研究計畫業已出爐，故宮應積極協調、溝通，早日轉型導入博物館專業治理模式。國立故宮博物院應針對文物收購以及故宮轉型規劃進行檢討，並於1個月內向立法院教育及文化委員會提出書面檢討報告。21</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提案人：林宜瑾</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連署人：陳秀寳  張廖萬堅</w:t>
      </w:r>
    </w:p>
    <w:p w:rsidR="00B6184F" w:rsidRPr="00B70493" w:rsidRDefault="00B6184F" w:rsidP="00F035E0">
      <w:pPr>
        <w:kinsoku w:val="0"/>
        <w:overflowPunct w:val="0"/>
        <w:autoSpaceDN w:val="0"/>
        <w:spacing w:line="500" w:lineRule="exact"/>
        <w:ind w:leftChars="450" w:left="1400" w:hangingChars="100" w:hanging="320"/>
        <w:jc w:val="both"/>
        <w:textAlignment w:val="center"/>
        <w:rPr>
          <w:rFonts w:ascii="標楷體" w:eastAsia="標楷體" w:hAnsi="標楷體"/>
          <w:sz w:val="32"/>
          <w:szCs w:val="32"/>
        </w:rPr>
      </w:pPr>
      <w:r w:rsidRPr="00B70493">
        <w:rPr>
          <w:rFonts w:ascii="標楷體" w:eastAsia="標楷體" w:hAnsi="標楷體" w:hint="eastAsia"/>
          <w:sz w:val="32"/>
          <w:szCs w:val="32"/>
        </w:rPr>
        <w:t>5.鑑於國立故宮博物院受限於預算編列原則規定，預算無法跨年使用，易發生</w:t>
      </w:r>
      <w:r>
        <w:rPr>
          <w:rFonts w:ascii="標楷體" w:eastAsia="標楷體" w:hAnsi="標楷體" w:hint="eastAsia"/>
          <w:sz w:val="32"/>
          <w:szCs w:val="32"/>
        </w:rPr>
        <w:t>預算執行率不彰的問題，或因無法預測下一年度國際文物拍賣市場情勢</w:t>
      </w:r>
      <w:r w:rsidRPr="00B70493">
        <w:rPr>
          <w:rFonts w:ascii="標楷體" w:eastAsia="標楷體" w:hAnsi="標楷體" w:hint="eastAsia"/>
          <w:sz w:val="32"/>
          <w:szCs w:val="32"/>
        </w:rPr>
        <w:t>，僅能保守編列預算，致使拍賣市場出現適合我國館所收藏展出之文物時無足夠預算參與競拍之情況。又查，行政院已於111年6月10日同意文化部於112年度設立文化發展基金，其核心業務先以辦理公共藝術相關計畫，以及購藏畫作、工藝品、傳統藝術等作品為主要支出項目，以支</w:t>
      </w:r>
      <w:r>
        <w:rPr>
          <w:rFonts w:ascii="標楷體" w:eastAsia="標楷體" w:hAnsi="標楷體" w:hint="eastAsia"/>
          <w:sz w:val="32"/>
          <w:szCs w:val="32"/>
        </w:rPr>
        <w:t>持台灣藝術家，與故宮文物藝術發展基金下之收購文物業務不謀而合。</w:t>
      </w:r>
      <w:r w:rsidRPr="00B70493">
        <w:rPr>
          <w:rFonts w:ascii="標楷體" w:eastAsia="標楷體" w:hAnsi="標楷體" w:hint="eastAsia"/>
          <w:sz w:val="32"/>
          <w:szCs w:val="32"/>
        </w:rPr>
        <w:t>請國立故宮博物院積極與文化部進行跨部會合作，以國家級戰略之視野打造「文物購藏國家隊」，建構文化發展基金與故宮文物藝術發展基金的資源整合及分享機制，強化賦予典藏預算使用之彈性，壯大台灣國家博物館典藏之整備，並於3個月內向立法院教育及文化委員會提出書面報告。22</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lastRenderedPageBreak/>
        <w:t>提案人：吳思瑤</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連署人：黃國書  何欣純</w:t>
      </w:r>
    </w:p>
    <w:p w:rsidR="00B6184F" w:rsidRPr="00B70493" w:rsidRDefault="00B6184F" w:rsidP="00F035E0">
      <w:pPr>
        <w:kinsoku w:val="0"/>
        <w:overflowPunct w:val="0"/>
        <w:autoSpaceDN w:val="0"/>
        <w:spacing w:line="500" w:lineRule="exact"/>
        <w:ind w:leftChars="450" w:left="1400" w:hangingChars="100" w:hanging="320"/>
        <w:jc w:val="both"/>
        <w:textAlignment w:val="center"/>
        <w:rPr>
          <w:rFonts w:ascii="標楷體" w:eastAsia="標楷體" w:hAnsi="標楷體"/>
          <w:sz w:val="32"/>
          <w:szCs w:val="32"/>
        </w:rPr>
      </w:pPr>
      <w:r w:rsidRPr="00B70493">
        <w:rPr>
          <w:rFonts w:ascii="標楷體" w:eastAsia="標楷體" w:hAnsi="標楷體" w:hint="eastAsia"/>
          <w:sz w:val="32"/>
          <w:szCs w:val="32"/>
        </w:rPr>
        <w:t>6.國立故宮博物院作為我國最具代表性之國立博物館，亦是國內外觀光客人流量最多之場館。然紀念品中，仍有部分標示為「中國/大陸製造」。尤其故宮最為標誌性的翠玉白菜相關系列商品，幾乎都是Made in China。雖有標明為臺灣設計，但仍容易造成購買者尤其外國觀光客之混亂。針對此問題，故宮曾說明紀念商品之製造地取決於故宮委外廠商之設廠決定，非故宮之管轄範圍。然而故宮於委託廠商時，應可挑選在地生產製造的廠商來合作，或者在合約中直接載明對於製造地的要求。爰請國立故宮博物院檢討紀念商品於中國製造之問題，作為國家級之博物館，儘可能委託臺灣在地廠商設計製造，彰顯臺灣精神、支持臺灣產業，並於1個月內向立法院教育及文化委員會提出如何改進之書面報告。23</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提案人：范  雲</w:t>
      </w:r>
    </w:p>
    <w:p w:rsidR="00B6184F" w:rsidRPr="00B70493" w:rsidRDefault="00B6184F" w:rsidP="00F035E0">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連署人：林宜瑾  張廖萬堅</w:t>
      </w:r>
    </w:p>
    <w:p w:rsidR="00A563FA" w:rsidRDefault="00B6184F" w:rsidP="00F035E0">
      <w:pPr>
        <w:kinsoku w:val="0"/>
        <w:overflowPunct w:val="0"/>
        <w:autoSpaceDN w:val="0"/>
        <w:spacing w:line="500" w:lineRule="exact"/>
        <w:ind w:leftChars="450" w:left="1400" w:hangingChars="100" w:hanging="320"/>
        <w:jc w:val="both"/>
        <w:textAlignment w:val="center"/>
        <w:rPr>
          <w:rFonts w:ascii="標楷體" w:eastAsia="標楷體" w:hAnsi="標楷體"/>
          <w:sz w:val="32"/>
          <w:szCs w:val="32"/>
        </w:rPr>
      </w:pPr>
      <w:r w:rsidRPr="00B70493">
        <w:rPr>
          <w:rFonts w:ascii="標楷體" w:eastAsia="標楷體" w:hAnsi="標楷體"/>
          <w:sz w:val="32"/>
          <w:szCs w:val="32"/>
        </w:rPr>
        <w:t>7.</w:t>
      </w:r>
      <w:r w:rsidRPr="00B70493">
        <w:rPr>
          <w:rFonts w:ascii="標楷體" w:eastAsia="標楷體" w:hAnsi="標楷體" w:hint="eastAsia"/>
          <w:sz w:val="32"/>
          <w:szCs w:val="32"/>
        </w:rPr>
        <w:t>112年度故宮文物藝術發展基金</w:t>
      </w:r>
      <w:r>
        <w:rPr>
          <w:rFonts w:ascii="標楷體" w:eastAsia="標楷體" w:hAnsi="標楷體" w:hint="eastAsia"/>
          <w:sz w:val="32"/>
          <w:szCs w:val="32"/>
        </w:rPr>
        <w:t>「勞務成本與費用」項下「銷貨成本」中</w:t>
      </w:r>
      <w:r w:rsidRPr="00B70493">
        <w:rPr>
          <w:rFonts w:ascii="標楷體" w:eastAsia="標楷體" w:hAnsi="標楷體" w:hint="eastAsia"/>
          <w:sz w:val="32"/>
          <w:szCs w:val="32"/>
        </w:rPr>
        <w:t>「製成品銷貨成本」預算編列1億6,072萬6千元，此乃針對出版品與文化創意衍生商品其製作成本經費=數量乘以</w:t>
      </w:r>
      <w:r>
        <w:rPr>
          <w:rFonts w:ascii="標楷體" w:eastAsia="標楷體" w:hAnsi="標楷體" w:hint="eastAsia"/>
          <w:sz w:val="32"/>
          <w:szCs w:val="32"/>
        </w:rPr>
        <w:t>平均單位成本。惟查</w:t>
      </w:r>
      <w:r w:rsidRPr="00B70493">
        <w:rPr>
          <w:rFonts w:ascii="標楷體" w:eastAsia="標楷體" w:hAnsi="標楷體" w:hint="eastAsia"/>
          <w:sz w:val="32"/>
          <w:szCs w:val="32"/>
        </w:rPr>
        <w:t>近3年出版品之單位成本逐年減少，但文化創意衍生商品卻大幅增加，112年度單位成本比111年度大幅增加近2倍、也比1</w:t>
      </w:r>
      <w:r w:rsidRPr="00B70493">
        <w:rPr>
          <w:rFonts w:ascii="標楷體" w:eastAsia="標楷體" w:hAnsi="標楷體"/>
          <w:sz w:val="32"/>
          <w:szCs w:val="32"/>
        </w:rPr>
        <w:t>10</w:t>
      </w:r>
      <w:r w:rsidRPr="00B70493">
        <w:rPr>
          <w:rFonts w:ascii="標楷體" w:eastAsia="標楷體" w:hAnsi="標楷體" w:hint="eastAsia"/>
          <w:sz w:val="32"/>
          <w:szCs w:val="32"/>
        </w:rPr>
        <w:t>年度增加1.6倍，其商品成本高於物價漲幅，已屬不合理上漲。爰此，要求國立故宮博物院應確實檢討製成品銷貨成本之合理性。</w:t>
      </w:r>
      <w:r w:rsidRPr="00B70493">
        <w:rPr>
          <w:rFonts w:ascii="標楷體" w:eastAsia="標楷體" w:hAnsi="標楷體"/>
          <w:sz w:val="32"/>
          <w:szCs w:val="32"/>
        </w:rPr>
        <w:t>9</w:t>
      </w:r>
    </w:p>
    <w:p w:rsidR="00A563FA" w:rsidRDefault="00A563FA">
      <w:pPr>
        <w:widowControl/>
        <w:rPr>
          <w:rFonts w:ascii="標楷體" w:eastAsia="標楷體" w:hAnsi="標楷體"/>
          <w:sz w:val="32"/>
          <w:szCs w:val="32"/>
        </w:rPr>
      </w:pPr>
      <w:r>
        <w:rPr>
          <w:rFonts w:ascii="標楷體" w:eastAsia="標楷體" w:hAnsi="標楷體"/>
          <w:sz w:val="32"/>
          <w:szCs w:val="32"/>
        </w:rPr>
        <w:br w:type="page"/>
      </w:r>
    </w:p>
    <w:p w:rsidR="00B6184F" w:rsidRPr="00B70493" w:rsidRDefault="00B6184F" w:rsidP="00F035E0">
      <w:pPr>
        <w:kinsoku w:val="0"/>
        <w:overflowPunct w:val="0"/>
        <w:autoSpaceDN w:val="0"/>
        <w:spacing w:line="500" w:lineRule="exact"/>
        <w:ind w:leftChars="450" w:left="1400" w:hangingChars="100" w:hanging="320"/>
        <w:jc w:val="both"/>
        <w:textAlignment w:val="center"/>
        <w:rPr>
          <w:rFonts w:ascii="標楷體" w:eastAsia="標楷體" w:hAnsi="標楷體"/>
          <w:sz w:val="32"/>
          <w:szCs w:val="32"/>
        </w:rPr>
      </w:pPr>
    </w:p>
    <w:p w:rsidR="00B6184F" w:rsidRPr="00B70493" w:rsidRDefault="00B6184F" w:rsidP="00F035E0">
      <w:pPr>
        <w:spacing w:line="480" w:lineRule="exact"/>
        <w:jc w:val="center"/>
        <w:rPr>
          <w:rFonts w:ascii="標楷體" w:eastAsia="標楷體" w:hAnsi="標楷體" w:cs="Courier New"/>
          <w:sz w:val="28"/>
          <w:szCs w:val="28"/>
        </w:rPr>
      </w:pPr>
      <w:r w:rsidRPr="00B70493">
        <w:rPr>
          <w:rFonts w:ascii="標楷體" w:eastAsia="標楷體" w:hAnsi="標楷體" w:cs="Courier New" w:hint="eastAsia"/>
          <w:sz w:val="28"/>
          <w:szCs w:val="28"/>
        </w:rPr>
        <w:t>銷貨成本明細表</w:t>
      </w:r>
    </w:p>
    <w:tbl>
      <w:tblPr>
        <w:tblW w:w="9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
        <w:gridCol w:w="986"/>
        <w:gridCol w:w="976"/>
        <w:gridCol w:w="876"/>
        <w:gridCol w:w="986"/>
        <w:gridCol w:w="983"/>
        <w:gridCol w:w="986"/>
        <w:gridCol w:w="986"/>
        <w:gridCol w:w="937"/>
        <w:gridCol w:w="986"/>
      </w:tblGrid>
      <w:tr w:rsidR="00B6184F" w:rsidRPr="00B70493" w:rsidTr="00F035E0">
        <w:tc>
          <w:tcPr>
            <w:tcW w:w="796" w:type="dxa"/>
            <w:vMerge w:val="restart"/>
            <w:shd w:val="clear" w:color="auto" w:fill="auto"/>
            <w:vAlign w:val="center"/>
          </w:tcPr>
          <w:p w:rsidR="00B6184F" w:rsidRPr="00065BCE" w:rsidRDefault="00B6184F" w:rsidP="00F035E0">
            <w:pPr>
              <w:jc w:val="center"/>
              <w:rPr>
                <w:rFonts w:ascii="標楷體" w:eastAsia="標楷體" w:hAnsi="標楷體" w:cs="Courier New"/>
                <w:sz w:val="20"/>
              </w:rPr>
            </w:pPr>
          </w:p>
        </w:tc>
        <w:tc>
          <w:tcPr>
            <w:tcW w:w="2838" w:type="dxa"/>
            <w:gridSpan w:val="3"/>
            <w:shd w:val="clear" w:color="auto" w:fill="auto"/>
            <w:vAlign w:val="center"/>
          </w:tcPr>
          <w:p w:rsidR="00B6184F" w:rsidRPr="00065BCE" w:rsidRDefault="00B6184F" w:rsidP="00F035E0">
            <w:pPr>
              <w:jc w:val="center"/>
              <w:rPr>
                <w:rFonts w:ascii="標楷體" w:eastAsia="標楷體" w:hAnsi="標楷體" w:cs="Courier New"/>
                <w:sz w:val="22"/>
              </w:rPr>
            </w:pPr>
            <w:r w:rsidRPr="00065BCE">
              <w:rPr>
                <w:rFonts w:ascii="標楷體" w:eastAsia="標楷體" w:hAnsi="標楷體" w:cs="Courier New"/>
                <w:sz w:val="22"/>
              </w:rPr>
              <w:t>110</w:t>
            </w:r>
            <w:r w:rsidRPr="00065BCE">
              <w:rPr>
                <w:rFonts w:ascii="標楷體" w:eastAsia="標楷體" w:hAnsi="標楷體" w:cs="Courier New" w:hint="eastAsia"/>
                <w:sz w:val="22"/>
              </w:rPr>
              <w:t>年</w:t>
            </w:r>
          </w:p>
        </w:tc>
        <w:tc>
          <w:tcPr>
            <w:tcW w:w="2955" w:type="dxa"/>
            <w:gridSpan w:val="3"/>
            <w:shd w:val="clear" w:color="auto" w:fill="auto"/>
            <w:vAlign w:val="center"/>
          </w:tcPr>
          <w:p w:rsidR="00B6184F" w:rsidRPr="00065BCE" w:rsidRDefault="00B6184F" w:rsidP="00F035E0">
            <w:pPr>
              <w:jc w:val="center"/>
              <w:rPr>
                <w:rFonts w:ascii="標楷體" w:eastAsia="標楷體" w:hAnsi="標楷體" w:cs="Courier New"/>
                <w:sz w:val="22"/>
              </w:rPr>
            </w:pPr>
            <w:r w:rsidRPr="00065BCE">
              <w:rPr>
                <w:rFonts w:ascii="標楷體" w:eastAsia="標楷體" w:hAnsi="標楷體" w:cs="Courier New"/>
                <w:sz w:val="22"/>
              </w:rPr>
              <w:t>111</w:t>
            </w:r>
            <w:r w:rsidRPr="00065BCE">
              <w:rPr>
                <w:rFonts w:ascii="標楷體" w:eastAsia="標楷體" w:hAnsi="標楷體" w:cs="Courier New" w:hint="eastAsia"/>
                <w:sz w:val="22"/>
              </w:rPr>
              <w:t>年</w:t>
            </w:r>
          </w:p>
        </w:tc>
        <w:tc>
          <w:tcPr>
            <w:tcW w:w="2909" w:type="dxa"/>
            <w:gridSpan w:val="3"/>
            <w:shd w:val="clear" w:color="auto" w:fill="auto"/>
            <w:vAlign w:val="center"/>
          </w:tcPr>
          <w:p w:rsidR="00B6184F" w:rsidRPr="00065BCE" w:rsidRDefault="00B6184F" w:rsidP="00F035E0">
            <w:pPr>
              <w:jc w:val="center"/>
              <w:rPr>
                <w:rFonts w:ascii="標楷體" w:eastAsia="標楷體" w:hAnsi="標楷體" w:cs="Courier New"/>
                <w:sz w:val="22"/>
              </w:rPr>
            </w:pPr>
            <w:r w:rsidRPr="00065BCE">
              <w:rPr>
                <w:rFonts w:ascii="標楷體" w:eastAsia="標楷體" w:hAnsi="標楷體" w:cs="Courier New"/>
                <w:sz w:val="22"/>
              </w:rPr>
              <w:t>112</w:t>
            </w:r>
            <w:r w:rsidRPr="00065BCE">
              <w:rPr>
                <w:rFonts w:ascii="標楷體" w:eastAsia="標楷體" w:hAnsi="標楷體" w:cs="Courier New" w:hint="eastAsia"/>
                <w:sz w:val="22"/>
              </w:rPr>
              <w:t>年</w:t>
            </w:r>
          </w:p>
        </w:tc>
      </w:tr>
      <w:tr w:rsidR="00B6184F" w:rsidRPr="00B70493" w:rsidTr="00F035E0">
        <w:trPr>
          <w:trHeight w:val="299"/>
        </w:trPr>
        <w:tc>
          <w:tcPr>
            <w:tcW w:w="796" w:type="dxa"/>
            <w:vMerge/>
            <w:shd w:val="clear" w:color="auto" w:fill="auto"/>
            <w:vAlign w:val="center"/>
          </w:tcPr>
          <w:p w:rsidR="00B6184F" w:rsidRPr="00065BCE" w:rsidRDefault="00B6184F" w:rsidP="00F035E0">
            <w:pPr>
              <w:jc w:val="center"/>
              <w:rPr>
                <w:rFonts w:ascii="標楷體" w:eastAsia="標楷體" w:hAnsi="標楷體" w:cs="Courier New"/>
                <w:sz w:val="20"/>
              </w:rPr>
            </w:pPr>
            <w:bookmarkStart w:id="277" w:name="_Hlk120647527"/>
          </w:p>
        </w:tc>
        <w:tc>
          <w:tcPr>
            <w:tcW w:w="986" w:type="dxa"/>
            <w:shd w:val="clear" w:color="auto" w:fill="auto"/>
            <w:vAlign w:val="center"/>
          </w:tcPr>
          <w:p w:rsidR="00B6184F" w:rsidRPr="00065BCE" w:rsidRDefault="00B6184F" w:rsidP="00F035E0">
            <w:pPr>
              <w:spacing w:line="240" w:lineRule="exact"/>
              <w:jc w:val="center"/>
              <w:rPr>
                <w:rFonts w:ascii="標楷體" w:eastAsia="標楷體" w:hAnsi="標楷體" w:cs="Courier New"/>
                <w:sz w:val="22"/>
              </w:rPr>
            </w:pPr>
            <w:r w:rsidRPr="00065BCE">
              <w:rPr>
                <w:rFonts w:ascii="標楷體" w:eastAsia="標楷體" w:hAnsi="標楷體" w:cs="Courier New" w:hint="eastAsia"/>
                <w:sz w:val="22"/>
              </w:rPr>
              <w:t>數量</w:t>
            </w:r>
          </w:p>
        </w:tc>
        <w:tc>
          <w:tcPr>
            <w:tcW w:w="976" w:type="dxa"/>
            <w:shd w:val="clear" w:color="auto" w:fill="auto"/>
            <w:vAlign w:val="center"/>
          </w:tcPr>
          <w:p w:rsidR="00B6184F" w:rsidRPr="00065BCE" w:rsidRDefault="00B6184F" w:rsidP="00F035E0">
            <w:pPr>
              <w:spacing w:line="240" w:lineRule="exact"/>
              <w:jc w:val="center"/>
              <w:rPr>
                <w:rFonts w:ascii="標楷體" w:eastAsia="標楷體" w:hAnsi="標楷體" w:cs="Courier New"/>
                <w:w w:val="80"/>
                <w:sz w:val="22"/>
              </w:rPr>
            </w:pPr>
            <w:r w:rsidRPr="00065BCE">
              <w:rPr>
                <w:rFonts w:ascii="標楷體" w:eastAsia="標楷體" w:hAnsi="標楷體" w:cs="Courier New" w:hint="eastAsia"/>
                <w:w w:val="80"/>
                <w:sz w:val="22"/>
              </w:rPr>
              <w:t>單位成本</w:t>
            </w:r>
          </w:p>
        </w:tc>
        <w:tc>
          <w:tcPr>
            <w:tcW w:w="876" w:type="dxa"/>
            <w:shd w:val="clear" w:color="auto" w:fill="auto"/>
            <w:vAlign w:val="center"/>
          </w:tcPr>
          <w:p w:rsidR="00B6184F" w:rsidRPr="00065BCE" w:rsidRDefault="00B6184F" w:rsidP="00F035E0">
            <w:pPr>
              <w:spacing w:line="240" w:lineRule="exact"/>
              <w:jc w:val="center"/>
              <w:rPr>
                <w:rFonts w:ascii="標楷體" w:eastAsia="標楷體" w:hAnsi="標楷體" w:cs="Courier New"/>
                <w:sz w:val="22"/>
              </w:rPr>
            </w:pPr>
            <w:r w:rsidRPr="00065BCE">
              <w:rPr>
                <w:rFonts w:ascii="標楷體" w:eastAsia="標楷體" w:hAnsi="標楷體" w:cs="Courier New" w:hint="eastAsia"/>
                <w:sz w:val="22"/>
              </w:rPr>
              <w:t>金額</w:t>
            </w:r>
          </w:p>
        </w:tc>
        <w:tc>
          <w:tcPr>
            <w:tcW w:w="986" w:type="dxa"/>
            <w:shd w:val="clear" w:color="auto" w:fill="auto"/>
            <w:vAlign w:val="center"/>
          </w:tcPr>
          <w:p w:rsidR="00B6184F" w:rsidRPr="00065BCE" w:rsidRDefault="00B6184F" w:rsidP="00F035E0">
            <w:pPr>
              <w:spacing w:line="240" w:lineRule="exact"/>
              <w:jc w:val="center"/>
              <w:rPr>
                <w:rFonts w:ascii="標楷體" w:eastAsia="標楷體" w:hAnsi="標楷體" w:cs="Courier New"/>
                <w:sz w:val="22"/>
              </w:rPr>
            </w:pPr>
            <w:r w:rsidRPr="00065BCE">
              <w:rPr>
                <w:rFonts w:ascii="標楷體" w:eastAsia="標楷體" w:hAnsi="標楷體" w:cs="Courier New" w:hint="eastAsia"/>
                <w:sz w:val="22"/>
              </w:rPr>
              <w:t>數量</w:t>
            </w:r>
          </w:p>
        </w:tc>
        <w:tc>
          <w:tcPr>
            <w:tcW w:w="983" w:type="dxa"/>
            <w:shd w:val="clear" w:color="auto" w:fill="auto"/>
            <w:vAlign w:val="center"/>
          </w:tcPr>
          <w:p w:rsidR="00B6184F" w:rsidRPr="00065BCE" w:rsidRDefault="00B6184F" w:rsidP="00F035E0">
            <w:pPr>
              <w:spacing w:line="240" w:lineRule="exact"/>
              <w:jc w:val="center"/>
              <w:rPr>
                <w:rFonts w:ascii="標楷體" w:eastAsia="標楷體" w:hAnsi="標楷體" w:cs="Courier New"/>
                <w:w w:val="80"/>
                <w:sz w:val="22"/>
              </w:rPr>
            </w:pPr>
            <w:r w:rsidRPr="00065BCE">
              <w:rPr>
                <w:rFonts w:ascii="標楷體" w:eastAsia="標楷體" w:hAnsi="標楷體" w:cs="Courier New" w:hint="eastAsia"/>
                <w:w w:val="80"/>
                <w:sz w:val="22"/>
              </w:rPr>
              <w:t>單位成本</w:t>
            </w:r>
          </w:p>
        </w:tc>
        <w:tc>
          <w:tcPr>
            <w:tcW w:w="986" w:type="dxa"/>
            <w:shd w:val="clear" w:color="auto" w:fill="auto"/>
            <w:vAlign w:val="center"/>
          </w:tcPr>
          <w:p w:rsidR="00B6184F" w:rsidRPr="00065BCE" w:rsidRDefault="00B6184F" w:rsidP="00F035E0">
            <w:pPr>
              <w:spacing w:line="240" w:lineRule="exact"/>
              <w:jc w:val="center"/>
              <w:rPr>
                <w:rFonts w:ascii="標楷體" w:eastAsia="標楷體" w:hAnsi="標楷體" w:cs="Courier New"/>
                <w:sz w:val="22"/>
              </w:rPr>
            </w:pPr>
            <w:r w:rsidRPr="00065BCE">
              <w:rPr>
                <w:rFonts w:ascii="標楷體" w:eastAsia="標楷體" w:hAnsi="標楷體" w:cs="Courier New" w:hint="eastAsia"/>
                <w:sz w:val="22"/>
              </w:rPr>
              <w:t>金額</w:t>
            </w:r>
          </w:p>
        </w:tc>
        <w:tc>
          <w:tcPr>
            <w:tcW w:w="986" w:type="dxa"/>
            <w:shd w:val="clear" w:color="auto" w:fill="auto"/>
            <w:vAlign w:val="center"/>
          </w:tcPr>
          <w:p w:rsidR="00B6184F" w:rsidRPr="00065BCE" w:rsidRDefault="00B6184F" w:rsidP="00F035E0">
            <w:pPr>
              <w:spacing w:line="240" w:lineRule="exact"/>
              <w:jc w:val="center"/>
              <w:rPr>
                <w:rFonts w:ascii="標楷體" w:eastAsia="標楷體" w:hAnsi="標楷體" w:cs="Courier New"/>
                <w:sz w:val="22"/>
              </w:rPr>
            </w:pPr>
            <w:r w:rsidRPr="00065BCE">
              <w:rPr>
                <w:rFonts w:ascii="標楷體" w:eastAsia="標楷體" w:hAnsi="標楷體" w:cs="Courier New" w:hint="eastAsia"/>
                <w:sz w:val="22"/>
              </w:rPr>
              <w:t>數量</w:t>
            </w:r>
          </w:p>
        </w:tc>
        <w:tc>
          <w:tcPr>
            <w:tcW w:w="937" w:type="dxa"/>
            <w:shd w:val="clear" w:color="auto" w:fill="auto"/>
            <w:vAlign w:val="center"/>
          </w:tcPr>
          <w:p w:rsidR="00B6184F" w:rsidRPr="00065BCE" w:rsidRDefault="00B6184F" w:rsidP="00F035E0">
            <w:pPr>
              <w:spacing w:line="240" w:lineRule="exact"/>
              <w:jc w:val="center"/>
              <w:rPr>
                <w:rFonts w:ascii="標楷體" w:eastAsia="標楷體" w:hAnsi="標楷體" w:cs="Courier New"/>
                <w:w w:val="80"/>
                <w:sz w:val="22"/>
              </w:rPr>
            </w:pPr>
            <w:r w:rsidRPr="00065BCE">
              <w:rPr>
                <w:rFonts w:ascii="標楷體" w:eastAsia="標楷體" w:hAnsi="標楷體" w:cs="Courier New" w:hint="eastAsia"/>
                <w:w w:val="80"/>
                <w:sz w:val="22"/>
              </w:rPr>
              <w:t>單位成本</w:t>
            </w:r>
          </w:p>
        </w:tc>
        <w:tc>
          <w:tcPr>
            <w:tcW w:w="986" w:type="dxa"/>
            <w:shd w:val="clear" w:color="auto" w:fill="auto"/>
            <w:vAlign w:val="center"/>
          </w:tcPr>
          <w:p w:rsidR="00B6184F" w:rsidRPr="00065BCE" w:rsidRDefault="00B6184F" w:rsidP="00F035E0">
            <w:pPr>
              <w:spacing w:line="240" w:lineRule="exact"/>
              <w:jc w:val="center"/>
              <w:rPr>
                <w:rFonts w:ascii="標楷體" w:eastAsia="標楷體" w:hAnsi="標楷體" w:cs="Courier New"/>
                <w:sz w:val="22"/>
              </w:rPr>
            </w:pPr>
            <w:r w:rsidRPr="00065BCE">
              <w:rPr>
                <w:rFonts w:ascii="標楷體" w:eastAsia="標楷體" w:hAnsi="標楷體" w:cs="Courier New" w:hint="eastAsia"/>
                <w:sz w:val="22"/>
              </w:rPr>
              <w:t>金額</w:t>
            </w:r>
          </w:p>
        </w:tc>
      </w:tr>
      <w:bookmarkEnd w:id="277"/>
      <w:tr w:rsidR="00B6184F" w:rsidRPr="00B70493" w:rsidTr="00F035E0">
        <w:trPr>
          <w:trHeight w:val="700"/>
        </w:trPr>
        <w:tc>
          <w:tcPr>
            <w:tcW w:w="796" w:type="dxa"/>
            <w:shd w:val="clear" w:color="auto" w:fill="auto"/>
            <w:vAlign w:val="center"/>
          </w:tcPr>
          <w:p w:rsidR="00B6184F" w:rsidRPr="00065BCE" w:rsidRDefault="00B6184F" w:rsidP="00F035E0">
            <w:pPr>
              <w:spacing w:line="240" w:lineRule="exact"/>
              <w:rPr>
                <w:rFonts w:ascii="標楷體" w:eastAsia="標楷體" w:hAnsi="標楷體" w:cs="Courier New"/>
                <w:sz w:val="22"/>
              </w:rPr>
            </w:pPr>
            <w:r w:rsidRPr="00065BCE">
              <w:rPr>
                <w:rFonts w:ascii="標楷體" w:eastAsia="標楷體" w:hAnsi="標楷體" w:cs="Courier New" w:hint="eastAsia"/>
                <w:sz w:val="22"/>
              </w:rPr>
              <w:t>出版品</w:t>
            </w:r>
          </w:p>
        </w:tc>
        <w:tc>
          <w:tcPr>
            <w:tcW w:w="986" w:type="dxa"/>
            <w:shd w:val="clear" w:color="auto" w:fill="auto"/>
            <w:vAlign w:val="center"/>
          </w:tcPr>
          <w:p w:rsidR="00B6184F" w:rsidRPr="00065BCE" w:rsidRDefault="00B6184F" w:rsidP="00F035E0">
            <w:pPr>
              <w:spacing w:line="280" w:lineRule="exact"/>
              <w:jc w:val="center"/>
              <w:rPr>
                <w:rFonts w:ascii="標楷體" w:eastAsia="標楷體" w:hAnsi="標楷體" w:cs="Courier New"/>
                <w:sz w:val="22"/>
              </w:rPr>
            </w:pPr>
            <w:r w:rsidRPr="00065BCE">
              <w:rPr>
                <w:rFonts w:ascii="標楷體" w:eastAsia="標楷體" w:hAnsi="標楷體" w:cs="Courier New"/>
                <w:sz w:val="22"/>
              </w:rPr>
              <w:t>89,023</w:t>
            </w:r>
          </w:p>
          <w:p w:rsidR="00B6184F" w:rsidRPr="00065BCE" w:rsidRDefault="00B6184F" w:rsidP="00F035E0">
            <w:pPr>
              <w:spacing w:line="280" w:lineRule="exact"/>
              <w:jc w:val="center"/>
              <w:rPr>
                <w:rFonts w:ascii="標楷體" w:eastAsia="標楷體" w:hAnsi="標楷體" w:cs="Courier New"/>
                <w:sz w:val="22"/>
              </w:rPr>
            </w:pPr>
            <w:r w:rsidRPr="00065BCE">
              <w:rPr>
                <w:rFonts w:ascii="標楷體" w:eastAsia="標楷體" w:hAnsi="標楷體" w:cs="Courier New" w:hint="eastAsia"/>
                <w:sz w:val="22"/>
              </w:rPr>
              <w:t>件</w:t>
            </w:r>
          </w:p>
        </w:tc>
        <w:tc>
          <w:tcPr>
            <w:tcW w:w="976" w:type="dxa"/>
            <w:shd w:val="clear" w:color="auto" w:fill="auto"/>
            <w:vAlign w:val="center"/>
          </w:tcPr>
          <w:p w:rsidR="00B6184F" w:rsidRPr="00065BCE" w:rsidRDefault="00B6184F" w:rsidP="00F035E0">
            <w:pPr>
              <w:spacing w:line="280" w:lineRule="exact"/>
              <w:jc w:val="center"/>
              <w:rPr>
                <w:rFonts w:ascii="標楷體" w:eastAsia="標楷體" w:hAnsi="標楷體" w:cs="Courier New"/>
                <w:sz w:val="22"/>
              </w:rPr>
            </w:pPr>
            <w:r w:rsidRPr="00065BCE">
              <w:rPr>
                <w:rFonts w:ascii="標楷體" w:eastAsia="標楷體" w:hAnsi="標楷體" w:cs="Courier New"/>
                <w:sz w:val="22"/>
              </w:rPr>
              <w:t>194</w:t>
            </w:r>
            <w:r w:rsidRPr="00065BCE">
              <w:rPr>
                <w:rFonts w:ascii="標楷體" w:eastAsia="標楷體" w:hAnsi="標楷體" w:cs="Courier New" w:hint="eastAsia"/>
                <w:sz w:val="22"/>
              </w:rPr>
              <w:t>元</w:t>
            </w:r>
          </w:p>
          <w:p w:rsidR="00B6184F" w:rsidRPr="00065BCE" w:rsidRDefault="00B6184F" w:rsidP="00F035E0">
            <w:pPr>
              <w:spacing w:line="280" w:lineRule="exact"/>
              <w:jc w:val="center"/>
              <w:rPr>
                <w:rFonts w:ascii="標楷體" w:eastAsia="標楷體" w:hAnsi="標楷體" w:cs="Courier New"/>
                <w:sz w:val="22"/>
              </w:rPr>
            </w:pPr>
          </w:p>
        </w:tc>
        <w:tc>
          <w:tcPr>
            <w:tcW w:w="876" w:type="dxa"/>
            <w:shd w:val="clear" w:color="auto" w:fill="auto"/>
            <w:vAlign w:val="center"/>
          </w:tcPr>
          <w:p w:rsidR="00B6184F" w:rsidRPr="00065BCE" w:rsidRDefault="00B6184F" w:rsidP="00F035E0">
            <w:pPr>
              <w:spacing w:line="280" w:lineRule="exact"/>
              <w:jc w:val="center"/>
              <w:rPr>
                <w:rFonts w:ascii="標楷體" w:eastAsia="標楷體" w:hAnsi="標楷體" w:cs="Courier New"/>
                <w:sz w:val="22"/>
              </w:rPr>
            </w:pPr>
            <w:r w:rsidRPr="00065BCE">
              <w:rPr>
                <w:rFonts w:ascii="標楷體" w:eastAsia="標楷體" w:hAnsi="標楷體" w:cs="Courier New"/>
                <w:sz w:val="22"/>
              </w:rPr>
              <w:t>17,303</w:t>
            </w:r>
          </w:p>
          <w:p w:rsidR="00B6184F" w:rsidRPr="00065BCE" w:rsidRDefault="00B6184F" w:rsidP="00F035E0">
            <w:pPr>
              <w:spacing w:line="280" w:lineRule="exact"/>
              <w:jc w:val="center"/>
              <w:rPr>
                <w:rFonts w:ascii="標楷體" w:eastAsia="標楷體" w:hAnsi="標楷體" w:cs="Courier New"/>
                <w:sz w:val="22"/>
              </w:rPr>
            </w:pPr>
            <w:r w:rsidRPr="00065BCE">
              <w:rPr>
                <w:rFonts w:ascii="標楷體" w:eastAsia="標楷體" w:hAnsi="標楷體" w:cs="Courier New" w:hint="eastAsia"/>
                <w:sz w:val="22"/>
              </w:rPr>
              <w:t>千元</w:t>
            </w:r>
          </w:p>
        </w:tc>
        <w:tc>
          <w:tcPr>
            <w:tcW w:w="986" w:type="dxa"/>
            <w:shd w:val="clear" w:color="auto" w:fill="auto"/>
            <w:vAlign w:val="center"/>
          </w:tcPr>
          <w:p w:rsidR="00B6184F" w:rsidRPr="00065BCE" w:rsidRDefault="00B6184F" w:rsidP="00F035E0">
            <w:pPr>
              <w:spacing w:line="280" w:lineRule="exact"/>
              <w:jc w:val="center"/>
              <w:rPr>
                <w:rFonts w:ascii="標楷體" w:eastAsia="標楷體" w:hAnsi="標楷體" w:cs="Courier New"/>
                <w:sz w:val="22"/>
              </w:rPr>
            </w:pPr>
            <w:r w:rsidRPr="00065BCE">
              <w:rPr>
                <w:rFonts w:ascii="標楷體" w:eastAsia="標楷體" w:hAnsi="標楷體" w:cs="Courier New"/>
                <w:sz w:val="22"/>
              </w:rPr>
              <w:t>151,300</w:t>
            </w:r>
          </w:p>
          <w:p w:rsidR="00B6184F" w:rsidRPr="00065BCE" w:rsidRDefault="00B6184F" w:rsidP="00F035E0">
            <w:pPr>
              <w:spacing w:line="280" w:lineRule="exact"/>
              <w:jc w:val="center"/>
              <w:rPr>
                <w:rFonts w:ascii="標楷體" w:eastAsia="標楷體" w:hAnsi="標楷體" w:cs="Courier New"/>
                <w:sz w:val="22"/>
              </w:rPr>
            </w:pPr>
            <w:r w:rsidRPr="00065BCE">
              <w:rPr>
                <w:rFonts w:ascii="標楷體" w:eastAsia="標楷體" w:hAnsi="標楷體" w:cs="Courier New" w:hint="eastAsia"/>
                <w:sz w:val="22"/>
              </w:rPr>
              <w:t>件</w:t>
            </w:r>
          </w:p>
        </w:tc>
        <w:tc>
          <w:tcPr>
            <w:tcW w:w="983" w:type="dxa"/>
            <w:shd w:val="clear" w:color="auto" w:fill="auto"/>
            <w:vAlign w:val="center"/>
          </w:tcPr>
          <w:p w:rsidR="00B6184F" w:rsidRPr="00065BCE" w:rsidRDefault="00B6184F" w:rsidP="00F035E0">
            <w:pPr>
              <w:spacing w:line="280" w:lineRule="exact"/>
              <w:jc w:val="center"/>
              <w:rPr>
                <w:rFonts w:ascii="標楷體" w:eastAsia="標楷體" w:hAnsi="標楷體" w:cs="Courier New"/>
                <w:sz w:val="22"/>
              </w:rPr>
            </w:pPr>
            <w:r w:rsidRPr="00065BCE">
              <w:rPr>
                <w:rFonts w:ascii="標楷體" w:eastAsia="標楷體" w:hAnsi="標楷體" w:cs="Courier New"/>
                <w:sz w:val="22"/>
              </w:rPr>
              <w:t>191</w:t>
            </w:r>
            <w:r w:rsidRPr="00065BCE">
              <w:rPr>
                <w:rFonts w:ascii="標楷體" w:eastAsia="標楷體" w:hAnsi="標楷體" w:cs="Courier New" w:hint="eastAsia"/>
                <w:sz w:val="22"/>
              </w:rPr>
              <w:t>元</w:t>
            </w:r>
          </w:p>
          <w:p w:rsidR="00B6184F" w:rsidRPr="00065BCE" w:rsidRDefault="00B6184F" w:rsidP="00F035E0">
            <w:pPr>
              <w:spacing w:line="280" w:lineRule="exact"/>
              <w:jc w:val="center"/>
              <w:rPr>
                <w:rFonts w:ascii="標楷體" w:eastAsia="標楷體" w:hAnsi="標楷體" w:cs="Courier New"/>
                <w:sz w:val="22"/>
              </w:rPr>
            </w:pPr>
          </w:p>
        </w:tc>
        <w:tc>
          <w:tcPr>
            <w:tcW w:w="986" w:type="dxa"/>
            <w:shd w:val="clear" w:color="auto" w:fill="auto"/>
            <w:vAlign w:val="center"/>
          </w:tcPr>
          <w:p w:rsidR="00B6184F" w:rsidRPr="00065BCE" w:rsidRDefault="00B6184F" w:rsidP="00F035E0">
            <w:pPr>
              <w:spacing w:line="280" w:lineRule="exact"/>
              <w:jc w:val="center"/>
              <w:rPr>
                <w:rFonts w:ascii="標楷體" w:eastAsia="標楷體" w:hAnsi="標楷體" w:cs="Courier New"/>
                <w:sz w:val="22"/>
              </w:rPr>
            </w:pPr>
            <w:r w:rsidRPr="00065BCE">
              <w:rPr>
                <w:rFonts w:ascii="標楷體" w:eastAsia="標楷體" w:hAnsi="標楷體" w:cs="Courier New"/>
                <w:sz w:val="22"/>
              </w:rPr>
              <w:t>28,870</w:t>
            </w:r>
          </w:p>
          <w:p w:rsidR="00B6184F" w:rsidRPr="00065BCE" w:rsidRDefault="00B6184F" w:rsidP="00F035E0">
            <w:pPr>
              <w:spacing w:line="280" w:lineRule="exact"/>
              <w:jc w:val="center"/>
              <w:rPr>
                <w:rFonts w:ascii="標楷體" w:eastAsia="標楷體" w:hAnsi="標楷體" w:cs="Courier New"/>
                <w:sz w:val="22"/>
              </w:rPr>
            </w:pPr>
            <w:r w:rsidRPr="00065BCE">
              <w:rPr>
                <w:rFonts w:ascii="標楷體" w:eastAsia="標楷體" w:hAnsi="標楷體" w:cs="Courier New" w:hint="eastAsia"/>
                <w:sz w:val="22"/>
              </w:rPr>
              <w:t>千元</w:t>
            </w:r>
          </w:p>
        </w:tc>
        <w:tc>
          <w:tcPr>
            <w:tcW w:w="986" w:type="dxa"/>
            <w:shd w:val="clear" w:color="auto" w:fill="auto"/>
            <w:vAlign w:val="center"/>
          </w:tcPr>
          <w:p w:rsidR="00B6184F" w:rsidRPr="00065BCE" w:rsidRDefault="00B6184F" w:rsidP="00F035E0">
            <w:pPr>
              <w:spacing w:line="280" w:lineRule="exact"/>
              <w:jc w:val="center"/>
              <w:rPr>
                <w:rFonts w:ascii="標楷體" w:eastAsia="標楷體" w:hAnsi="標楷體" w:cs="Courier New"/>
                <w:sz w:val="22"/>
              </w:rPr>
            </w:pPr>
            <w:r w:rsidRPr="00065BCE">
              <w:rPr>
                <w:rFonts w:ascii="標楷體" w:eastAsia="標楷體" w:hAnsi="標楷體" w:cs="Courier New"/>
                <w:sz w:val="22"/>
              </w:rPr>
              <w:t>101,200</w:t>
            </w:r>
          </w:p>
          <w:p w:rsidR="00B6184F" w:rsidRPr="00065BCE" w:rsidRDefault="00B6184F" w:rsidP="00F035E0">
            <w:pPr>
              <w:spacing w:line="280" w:lineRule="exact"/>
              <w:jc w:val="center"/>
              <w:rPr>
                <w:rFonts w:ascii="標楷體" w:eastAsia="標楷體" w:hAnsi="標楷體" w:cs="Courier New"/>
                <w:sz w:val="22"/>
              </w:rPr>
            </w:pPr>
            <w:r w:rsidRPr="00065BCE">
              <w:rPr>
                <w:rFonts w:ascii="標楷體" w:eastAsia="標楷體" w:hAnsi="標楷體" w:cs="Courier New" w:hint="eastAsia"/>
                <w:sz w:val="22"/>
              </w:rPr>
              <w:t>件</w:t>
            </w:r>
          </w:p>
        </w:tc>
        <w:tc>
          <w:tcPr>
            <w:tcW w:w="937" w:type="dxa"/>
            <w:shd w:val="clear" w:color="auto" w:fill="auto"/>
            <w:vAlign w:val="center"/>
          </w:tcPr>
          <w:p w:rsidR="00B6184F" w:rsidRPr="00065BCE" w:rsidRDefault="00B6184F" w:rsidP="00F035E0">
            <w:pPr>
              <w:spacing w:line="280" w:lineRule="exact"/>
              <w:jc w:val="center"/>
              <w:rPr>
                <w:rFonts w:ascii="標楷體" w:eastAsia="標楷體" w:hAnsi="標楷體" w:cs="Courier New"/>
                <w:sz w:val="22"/>
              </w:rPr>
            </w:pPr>
            <w:r w:rsidRPr="00065BCE">
              <w:rPr>
                <w:rFonts w:ascii="標楷體" w:eastAsia="標楷體" w:hAnsi="標楷體" w:cs="Courier New"/>
                <w:sz w:val="22"/>
              </w:rPr>
              <w:t>183</w:t>
            </w:r>
            <w:r w:rsidRPr="00065BCE">
              <w:rPr>
                <w:rFonts w:ascii="標楷體" w:eastAsia="標楷體" w:hAnsi="標楷體" w:cs="Courier New" w:hint="eastAsia"/>
                <w:sz w:val="22"/>
              </w:rPr>
              <w:t>元</w:t>
            </w:r>
          </w:p>
          <w:p w:rsidR="00B6184F" w:rsidRPr="00065BCE" w:rsidRDefault="00B6184F" w:rsidP="00F035E0">
            <w:pPr>
              <w:spacing w:line="280" w:lineRule="exact"/>
              <w:jc w:val="center"/>
              <w:rPr>
                <w:rFonts w:ascii="標楷體" w:eastAsia="標楷體" w:hAnsi="標楷體" w:cs="Courier New"/>
                <w:sz w:val="22"/>
              </w:rPr>
            </w:pPr>
          </w:p>
        </w:tc>
        <w:tc>
          <w:tcPr>
            <w:tcW w:w="986" w:type="dxa"/>
            <w:shd w:val="clear" w:color="auto" w:fill="auto"/>
            <w:vAlign w:val="center"/>
          </w:tcPr>
          <w:p w:rsidR="00B6184F" w:rsidRPr="00065BCE" w:rsidRDefault="00B6184F" w:rsidP="00F035E0">
            <w:pPr>
              <w:spacing w:line="280" w:lineRule="exact"/>
              <w:jc w:val="center"/>
              <w:rPr>
                <w:rFonts w:ascii="標楷體" w:eastAsia="標楷體" w:hAnsi="標楷體" w:cs="Courier New"/>
                <w:sz w:val="22"/>
              </w:rPr>
            </w:pPr>
            <w:r w:rsidRPr="00065BCE">
              <w:rPr>
                <w:rFonts w:ascii="標楷體" w:eastAsia="標楷體" w:hAnsi="標楷體" w:cs="Courier New"/>
                <w:sz w:val="22"/>
              </w:rPr>
              <w:t>18,514</w:t>
            </w:r>
          </w:p>
          <w:p w:rsidR="00B6184F" w:rsidRPr="00065BCE" w:rsidRDefault="00B6184F" w:rsidP="00F035E0">
            <w:pPr>
              <w:spacing w:line="280" w:lineRule="exact"/>
              <w:jc w:val="center"/>
              <w:rPr>
                <w:rFonts w:ascii="標楷體" w:eastAsia="標楷體" w:hAnsi="標楷體" w:cs="Courier New"/>
                <w:sz w:val="22"/>
              </w:rPr>
            </w:pPr>
            <w:r w:rsidRPr="00065BCE">
              <w:rPr>
                <w:rFonts w:ascii="標楷體" w:eastAsia="標楷體" w:hAnsi="標楷體" w:cs="Courier New" w:hint="eastAsia"/>
                <w:sz w:val="22"/>
              </w:rPr>
              <w:t>千元</w:t>
            </w:r>
          </w:p>
        </w:tc>
      </w:tr>
      <w:tr w:rsidR="00B6184F" w:rsidRPr="00B70493" w:rsidTr="00F035E0">
        <w:trPr>
          <w:trHeight w:val="981"/>
        </w:trPr>
        <w:tc>
          <w:tcPr>
            <w:tcW w:w="796" w:type="dxa"/>
            <w:shd w:val="clear" w:color="auto" w:fill="auto"/>
            <w:vAlign w:val="center"/>
          </w:tcPr>
          <w:p w:rsidR="00B6184F" w:rsidRPr="00065BCE" w:rsidRDefault="00B6184F" w:rsidP="00F035E0">
            <w:pPr>
              <w:spacing w:line="240" w:lineRule="exact"/>
              <w:rPr>
                <w:rFonts w:ascii="標楷體" w:eastAsia="標楷體" w:hAnsi="標楷體" w:cs="Courier New"/>
                <w:sz w:val="22"/>
              </w:rPr>
            </w:pPr>
            <w:r w:rsidRPr="00065BCE">
              <w:rPr>
                <w:rFonts w:ascii="標楷體" w:eastAsia="標楷體" w:hAnsi="標楷體" w:cs="Courier New" w:hint="eastAsia"/>
                <w:sz w:val="22"/>
              </w:rPr>
              <w:t>文化創意衍生商品</w:t>
            </w:r>
          </w:p>
        </w:tc>
        <w:tc>
          <w:tcPr>
            <w:tcW w:w="986" w:type="dxa"/>
            <w:shd w:val="clear" w:color="auto" w:fill="auto"/>
            <w:vAlign w:val="center"/>
          </w:tcPr>
          <w:p w:rsidR="00B6184F" w:rsidRPr="00065BCE" w:rsidRDefault="00B6184F" w:rsidP="00F035E0">
            <w:pPr>
              <w:spacing w:line="280" w:lineRule="exact"/>
              <w:jc w:val="center"/>
              <w:rPr>
                <w:rFonts w:ascii="標楷體" w:eastAsia="標楷體" w:hAnsi="標楷體" w:cs="Courier New"/>
                <w:sz w:val="22"/>
              </w:rPr>
            </w:pPr>
            <w:r w:rsidRPr="00065BCE">
              <w:rPr>
                <w:rFonts w:ascii="標楷體" w:eastAsia="標楷體" w:hAnsi="標楷體" w:cs="Courier New"/>
                <w:sz w:val="22"/>
              </w:rPr>
              <w:t>227,526</w:t>
            </w:r>
          </w:p>
          <w:p w:rsidR="00B6184F" w:rsidRPr="00065BCE" w:rsidRDefault="00B6184F" w:rsidP="00F035E0">
            <w:pPr>
              <w:spacing w:line="280" w:lineRule="exact"/>
              <w:jc w:val="center"/>
              <w:rPr>
                <w:rFonts w:ascii="標楷體" w:eastAsia="標楷體" w:hAnsi="標楷體" w:cs="Courier New"/>
                <w:sz w:val="22"/>
              </w:rPr>
            </w:pPr>
            <w:r w:rsidRPr="00065BCE">
              <w:rPr>
                <w:rFonts w:ascii="標楷體" w:eastAsia="標楷體" w:hAnsi="標楷體" w:cs="Courier New" w:hint="eastAsia"/>
                <w:sz w:val="22"/>
              </w:rPr>
              <w:t>件</w:t>
            </w:r>
          </w:p>
        </w:tc>
        <w:tc>
          <w:tcPr>
            <w:tcW w:w="976" w:type="dxa"/>
            <w:shd w:val="clear" w:color="auto" w:fill="auto"/>
            <w:vAlign w:val="center"/>
          </w:tcPr>
          <w:p w:rsidR="00B6184F" w:rsidRPr="00065BCE" w:rsidRDefault="00B6184F" w:rsidP="00F035E0">
            <w:pPr>
              <w:spacing w:line="280" w:lineRule="exact"/>
              <w:jc w:val="center"/>
              <w:rPr>
                <w:rFonts w:ascii="標楷體" w:eastAsia="標楷體" w:hAnsi="標楷體" w:cs="Courier New"/>
                <w:sz w:val="22"/>
              </w:rPr>
            </w:pPr>
            <w:r w:rsidRPr="00065BCE">
              <w:rPr>
                <w:rFonts w:ascii="標楷體" w:eastAsia="標楷體" w:hAnsi="標楷體" w:cs="Courier New"/>
                <w:sz w:val="22"/>
              </w:rPr>
              <w:t>213</w:t>
            </w:r>
            <w:r w:rsidRPr="00065BCE">
              <w:rPr>
                <w:rFonts w:ascii="標楷體" w:eastAsia="標楷體" w:hAnsi="標楷體" w:cs="Courier New" w:hint="eastAsia"/>
                <w:sz w:val="22"/>
              </w:rPr>
              <w:t>元</w:t>
            </w:r>
          </w:p>
          <w:p w:rsidR="00B6184F" w:rsidRPr="00065BCE" w:rsidRDefault="00B6184F" w:rsidP="00F035E0">
            <w:pPr>
              <w:spacing w:line="280" w:lineRule="exact"/>
              <w:jc w:val="center"/>
              <w:rPr>
                <w:rFonts w:ascii="標楷體" w:eastAsia="標楷體" w:hAnsi="標楷體" w:cs="Courier New"/>
                <w:sz w:val="22"/>
              </w:rPr>
            </w:pPr>
          </w:p>
        </w:tc>
        <w:tc>
          <w:tcPr>
            <w:tcW w:w="876" w:type="dxa"/>
            <w:shd w:val="clear" w:color="auto" w:fill="auto"/>
            <w:vAlign w:val="center"/>
          </w:tcPr>
          <w:p w:rsidR="00B6184F" w:rsidRPr="00065BCE" w:rsidRDefault="00B6184F" w:rsidP="00F035E0">
            <w:pPr>
              <w:spacing w:line="280" w:lineRule="exact"/>
              <w:jc w:val="center"/>
              <w:rPr>
                <w:rFonts w:ascii="標楷體" w:eastAsia="標楷體" w:hAnsi="標楷體" w:cs="Courier New"/>
                <w:sz w:val="22"/>
              </w:rPr>
            </w:pPr>
            <w:r w:rsidRPr="00065BCE">
              <w:rPr>
                <w:rFonts w:ascii="標楷體" w:eastAsia="標楷體" w:hAnsi="標楷體" w:cs="Courier New"/>
                <w:sz w:val="22"/>
              </w:rPr>
              <w:t>48,555</w:t>
            </w:r>
          </w:p>
          <w:p w:rsidR="00B6184F" w:rsidRPr="00065BCE" w:rsidRDefault="00B6184F" w:rsidP="00F035E0">
            <w:pPr>
              <w:spacing w:line="280" w:lineRule="exact"/>
              <w:jc w:val="center"/>
              <w:rPr>
                <w:rFonts w:ascii="標楷體" w:eastAsia="標楷體" w:hAnsi="標楷體" w:cs="Courier New"/>
                <w:sz w:val="22"/>
              </w:rPr>
            </w:pPr>
            <w:r w:rsidRPr="00065BCE">
              <w:rPr>
                <w:rFonts w:ascii="標楷體" w:eastAsia="標楷體" w:hAnsi="標楷體" w:cs="Courier New" w:hint="eastAsia"/>
                <w:sz w:val="22"/>
              </w:rPr>
              <w:t>千元</w:t>
            </w:r>
          </w:p>
        </w:tc>
        <w:tc>
          <w:tcPr>
            <w:tcW w:w="986" w:type="dxa"/>
            <w:shd w:val="clear" w:color="auto" w:fill="auto"/>
            <w:vAlign w:val="center"/>
          </w:tcPr>
          <w:p w:rsidR="00B6184F" w:rsidRPr="00065BCE" w:rsidRDefault="00B6184F" w:rsidP="00F035E0">
            <w:pPr>
              <w:spacing w:line="280" w:lineRule="exact"/>
              <w:jc w:val="center"/>
              <w:rPr>
                <w:rFonts w:ascii="標楷體" w:eastAsia="標楷體" w:hAnsi="標楷體" w:cs="Courier New"/>
                <w:sz w:val="22"/>
              </w:rPr>
            </w:pPr>
            <w:r w:rsidRPr="00065BCE">
              <w:rPr>
                <w:rFonts w:ascii="標楷體" w:eastAsia="標楷體" w:hAnsi="標楷體" w:cs="Courier New"/>
                <w:sz w:val="22"/>
              </w:rPr>
              <w:t>785,407</w:t>
            </w:r>
          </w:p>
          <w:p w:rsidR="00B6184F" w:rsidRPr="00065BCE" w:rsidRDefault="00B6184F" w:rsidP="00F035E0">
            <w:pPr>
              <w:spacing w:line="280" w:lineRule="exact"/>
              <w:jc w:val="center"/>
              <w:rPr>
                <w:rFonts w:ascii="標楷體" w:eastAsia="標楷體" w:hAnsi="標楷體" w:cs="Courier New"/>
                <w:sz w:val="22"/>
              </w:rPr>
            </w:pPr>
            <w:r w:rsidRPr="00065BCE">
              <w:rPr>
                <w:rFonts w:ascii="標楷體" w:eastAsia="標楷體" w:hAnsi="標楷體" w:cs="Courier New" w:hint="eastAsia"/>
                <w:sz w:val="22"/>
              </w:rPr>
              <w:t>件</w:t>
            </w:r>
          </w:p>
        </w:tc>
        <w:tc>
          <w:tcPr>
            <w:tcW w:w="983" w:type="dxa"/>
            <w:shd w:val="clear" w:color="auto" w:fill="auto"/>
            <w:vAlign w:val="center"/>
          </w:tcPr>
          <w:p w:rsidR="00B6184F" w:rsidRPr="00065BCE" w:rsidRDefault="00B6184F" w:rsidP="00F035E0">
            <w:pPr>
              <w:spacing w:line="280" w:lineRule="exact"/>
              <w:jc w:val="center"/>
              <w:rPr>
                <w:rFonts w:ascii="標楷體" w:eastAsia="標楷體" w:hAnsi="標楷體" w:cs="Courier New"/>
                <w:sz w:val="22"/>
              </w:rPr>
            </w:pPr>
            <w:r w:rsidRPr="00065BCE">
              <w:rPr>
                <w:rFonts w:ascii="標楷體" w:eastAsia="標楷體" w:hAnsi="標楷體" w:cs="Courier New"/>
                <w:sz w:val="22"/>
              </w:rPr>
              <w:t>180</w:t>
            </w:r>
            <w:r w:rsidRPr="00065BCE">
              <w:rPr>
                <w:rFonts w:ascii="標楷體" w:eastAsia="標楷體" w:hAnsi="標楷體" w:cs="Courier New" w:hint="eastAsia"/>
                <w:sz w:val="22"/>
              </w:rPr>
              <w:t>元</w:t>
            </w:r>
          </w:p>
          <w:p w:rsidR="00B6184F" w:rsidRPr="00065BCE" w:rsidRDefault="00B6184F" w:rsidP="00F035E0">
            <w:pPr>
              <w:spacing w:line="280" w:lineRule="exact"/>
              <w:jc w:val="center"/>
              <w:rPr>
                <w:rFonts w:ascii="標楷體" w:eastAsia="標楷體" w:hAnsi="標楷體" w:cs="Courier New"/>
                <w:sz w:val="22"/>
              </w:rPr>
            </w:pPr>
          </w:p>
        </w:tc>
        <w:tc>
          <w:tcPr>
            <w:tcW w:w="986" w:type="dxa"/>
            <w:shd w:val="clear" w:color="auto" w:fill="auto"/>
            <w:vAlign w:val="center"/>
          </w:tcPr>
          <w:p w:rsidR="00B6184F" w:rsidRPr="00065BCE" w:rsidRDefault="00B6184F" w:rsidP="00F035E0">
            <w:pPr>
              <w:spacing w:line="280" w:lineRule="exact"/>
              <w:jc w:val="center"/>
              <w:rPr>
                <w:rFonts w:ascii="標楷體" w:eastAsia="標楷體" w:hAnsi="標楷體" w:cs="Courier New"/>
                <w:sz w:val="22"/>
              </w:rPr>
            </w:pPr>
            <w:r w:rsidRPr="00065BCE">
              <w:rPr>
                <w:rFonts w:ascii="標楷體" w:eastAsia="標楷體" w:hAnsi="標楷體" w:cs="Courier New"/>
                <w:sz w:val="22"/>
              </w:rPr>
              <w:t>141,069</w:t>
            </w:r>
          </w:p>
          <w:p w:rsidR="00B6184F" w:rsidRPr="00065BCE" w:rsidRDefault="00B6184F" w:rsidP="00F035E0">
            <w:pPr>
              <w:spacing w:line="280" w:lineRule="exact"/>
              <w:jc w:val="center"/>
              <w:rPr>
                <w:rFonts w:ascii="標楷體" w:eastAsia="標楷體" w:hAnsi="標楷體" w:cs="Courier New"/>
                <w:sz w:val="22"/>
              </w:rPr>
            </w:pPr>
            <w:r w:rsidRPr="00065BCE">
              <w:rPr>
                <w:rFonts w:ascii="標楷體" w:eastAsia="標楷體" w:hAnsi="標楷體" w:cs="Courier New" w:hint="eastAsia"/>
                <w:sz w:val="22"/>
              </w:rPr>
              <w:t>千元</w:t>
            </w:r>
          </w:p>
        </w:tc>
        <w:tc>
          <w:tcPr>
            <w:tcW w:w="986" w:type="dxa"/>
            <w:shd w:val="clear" w:color="auto" w:fill="auto"/>
            <w:vAlign w:val="center"/>
          </w:tcPr>
          <w:p w:rsidR="00B6184F" w:rsidRPr="00065BCE" w:rsidRDefault="00B6184F" w:rsidP="00F035E0">
            <w:pPr>
              <w:spacing w:line="280" w:lineRule="exact"/>
              <w:jc w:val="center"/>
              <w:rPr>
                <w:rFonts w:ascii="標楷體" w:eastAsia="標楷體" w:hAnsi="標楷體" w:cs="Courier New"/>
                <w:sz w:val="22"/>
              </w:rPr>
            </w:pPr>
            <w:r w:rsidRPr="00065BCE">
              <w:rPr>
                <w:rFonts w:ascii="標楷體" w:eastAsia="標楷體" w:hAnsi="標楷體" w:cs="Courier New"/>
                <w:sz w:val="22"/>
              </w:rPr>
              <w:t>409,565</w:t>
            </w:r>
          </w:p>
          <w:p w:rsidR="00B6184F" w:rsidRPr="00065BCE" w:rsidRDefault="00B6184F" w:rsidP="00F035E0">
            <w:pPr>
              <w:spacing w:line="280" w:lineRule="exact"/>
              <w:jc w:val="center"/>
              <w:rPr>
                <w:rFonts w:ascii="標楷體" w:eastAsia="標楷體" w:hAnsi="標楷體" w:cs="Courier New"/>
                <w:sz w:val="22"/>
              </w:rPr>
            </w:pPr>
            <w:r w:rsidRPr="00065BCE">
              <w:rPr>
                <w:rFonts w:ascii="標楷體" w:eastAsia="標楷體" w:hAnsi="標楷體" w:cs="Courier New" w:hint="eastAsia"/>
                <w:sz w:val="22"/>
              </w:rPr>
              <w:t>件</w:t>
            </w:r>
          </w:p>
        </w:tc>
        <w:tc>
          <w:tcPr>
            <w:tcW w:w="937" w:type="dxa"/>
            <w:shd w:val="clear" w:color="auto" w:fill="auto"/>
            <w:vAlign w:val="center"/>
          </w:tcPr>
          <w:p w:rsidR="00B6184F" w:rsidRPr="00065BCE" w:rsidRDefault="00B6184F" w:rsidP="00F035E0">
            <w:pPr>
              <w:spacing w:line="280" w:lineRule="exact"/>
              <w:jc w:val="center"/>
              <w:rPr>
                <w:rFonts w:ascii="標楷體" w:eastAsia="標楷體" w:hAnsi="標楷體" w:cs="Courier New"/>
                <w:sz w:val="22"/>
              </w:rPr>
            </w:pPr>
            <w:r w:rsidRPr="00065BCE">
              <w:rPr>
                <w:rFonts w:ascii="標楷體" w:eastAsia="標楷體" w:hAnsi="標楷體" w:cs="Courier New"/>
                <w:sz w:val="22"/>
              </w:rPr>
              <w:t>347</w:t>
            </w:r>
            <w:r w:rsidRPr="00065BCE">
              <w:rPr>
                <w:rFonts w:ascii="標楷體" w:eastAsia="標楷體" w:hAnsi="標楷體" w:cs="Courier New" w:hint="eastAsia"/>
                <w:sz w:val="22"/>
              </w:rPr>
              <w:t>元</w:t>
            </w:r>
          </w:p>
          <w:p w:rsidR="00B6184F" w:rsidRPr="00065BCE" w:rsidRDefault="00B6184F" w:rsidP="00F035E0">
            <w:pPr>
              <w:spacing w:line="280" w:lineRule="exact"/>
              <w:jc w:val="center"/>
              <w:rPr>
                <w:rFonts w:ascii="標楷體" w:eastAsia="標楷體" w:hAnsi="標楷體" w:cs="Courier New"/>
                <w:sz w:val="22"/>
              </w:rPr>
            </w:pPr>
          </w:p>
        </w:tc>
        <w:tc>
          <w:tcPr>
            <w:tcW w:w="986" w:type="dxa"/>
            <w:shd w:val="clear" w:color="auto" w:fill="auto"/>
            <w:vAlign w:val="center"/>
          </w:tcPr>
          <w:p w:rsidR="00B6184F" w:rsidRPr="00065BCE" w:rsidRDefault="00B6184F" w:rsidP="00F035E0">
            <w:pPr>
              <w:spacing w:line="280" w:lineRule="exact"/>
              <w:jc w:val="center"/>
              <w:rPr>
                <w:rFonts w:ascii="標楷體" w:eastAsia="標楷體" w:hAnsi="標楷體" w:cs="Courier New"/>
                <w:sz w:val="22"/>
              </w:rPr>
            </w:pPr>
            <w:r w:rsidRPr="00065BCE">
              <w:rPr>
                <w:rFonts w:ascii="標楷體" w:eastAsia="標楷體" w:hAnsi="標楷體" w:cs="Courier New"/>
                <w:sz w:val="22"/>
              </w:rPr>
              <w:t>142,212</w:t>
            </w:r>
          </w:p>
          <w:p w:rsidR="00B6184F" w:rsidRPr="00065BCE" w:rsidRDefault="00B6184F" w:rsidP="00F035E0">
            <w:pPr>
              <w:spacing w:line="280" w:lineRule="exact"/>
              <w:jc w:val="center"/>
              <w:rPr>
                <w:rFonts w:ascii="標楷體" w:eastAsia="標楷體" w:hAnsi="標楷體" w:cs="Courier New"/>
                <w:sz w:val="22"/>
              </w:rPr>
            </w:pPr>
            <w:r w:rsidRPr="00065BCE">
              <w:rPr>
                <w:rFonts w:ascii="標楷體" w:eastAsia="標楷體" w:hAnsi="標楷體" w:cs="Courier New" w:hint="eastAsia"/>
                <w:sz w:val="22"/>
              </w:rPr>
              <w:t>千元</w:t>
            </w:r>
          </w:p>
        </w:tc>
      </w:tr>
    </w:tbl>
    <w:p w:rsidR="00B6184F" w:rsidRPr="00B70493" w:rsidRDefault="00B6184F" w:rsidP="00F035E0">
      <w:pPr>
        <w:snapToGrid w:val="0"/>
        <w:spacing w:line="460" w:lineRule="exact"/>
        <w:ind w:leftChars="1300" w:left="4400" w:hangingChars="400" w:hanging="1280"/>
        <w:jc w:val="both"/>
        <w:rPr>
          <w:rFonts w:ascii="標楷體" w:eastAsia="標楷體" w:hAnsi="標楷體"/>
          <w:bCs/>
          <w:sz w:val="32"/>
          <w:szCs w:val="32"/>
        </w:rPr>
      </w:pPr>
      <w:r w:rsidRPr="00B70493">
        <w:rPr>
          <w:rFonts w:ascii="標楷體" w:eastAsia="標楷體" w:hAnsi="標楷體" w:hint="eastAsia"/>
          <w:bCs/>
          <w:sz w:val="32"/>
          <w:szCs w:val="32"/>
        </w:rPr>
        <w:t>提案人：吳思瑤</w:t>
      </w:r>
    </w:p>
    <w:p w:rsidR="00B6184F" w:rsidRPr="00B70493" w:rsidRDefault="00B6184F" w:rsidP="00F035E0">
      <w:pPr>
        <w:snapToGrid w:val="0"/>
        <w:spacing w:line="460" w:lineRule="exact"/>
        <w:ind w:leftChars="1300" w:left="4400" w:hangingChars="400" w:hanging="1280"/>
        <w:jc w:val="both"/>
        <w:rPr>
          <w:rFonts w:ascii="標楷體" w:eastAsia="標楷體" w:hAnsi="標楷體"/>
          <w:sz w:val="32"/>
          <w:szCs w:val="32"/>
        </w:rPr>
      </w:pPr>
      <w:r w:rsidRPr="00B70493">
        <w:rPr>
          <w:rFonts w:ascii="標楷體" w:eastAsia="標楷體" w:hAnsi="標楷體" w:hint="eastAsia"/>
          <w:bCs/>
          <w:sz w:val="32"/>
          <w:szCs w:val="32"/>
        </w:rPr>
        <w:t>連署人：林宜瑾  陳秀寳</w:t>
      </w:r>
    </w:p>
    <w:p w:rsidR="00B6184F" w:rsidRPr="00B70493" w:rsidRDefault="00B6184F" w:rsidP="00F035E0">
      <w:pPr>
        <w:kinsoku w:val="0"/>
        <w:overflowPunct w:val="0"/>
        <w:autoSpaceDN w:val="0"/>
        <w:spacing w:line="500" w:lineRule="exact"/>
        <w:ind w:leftChars="450" w:left="1400" w:hangingChars="100" w:hanging="320"/>
        <w:jc w:val="both"/>
        <w:textAlignment w:val="center"/>
        <w:rPr>
          <w:rFonts w:ascii="標楷體" w:eastAsia="標楷體" w:hAnsi="標楷體"/>
          <w:bCs/>
          <w:sz w:val="32"/>
          <w:szCs w:val="32"/>
        </w:rPr>
      </w:pPr>
      <w:r w:rsidRPr="00B70493">
        <w:rPr>
          <w:rFonts w:ascii="標楷體" w:eastAsia="標楷體" w:hAnsi="標楷體"/>
          <w:bCs/>
          <w:sz w:val="32"/>
          <w:szCs w:val="32"/>
        </w:rPr>
        <w:t>8.</w:t>
      </w:r>
      <w:r w:rsidRPr="00B70493">
        <w:rPr>
          <w:rFonts w:ascii="標楷體" w:eastAsia="標楷體" w:hAnsi="標楷體" w:hint="eastAsia"/>
          <w:bCs/>
          <w:sz w:val="32"/>
          <w:szCs w:val="32"/>
        </w:rPr>
        <w:t>根據立法院預算中心評估報告指出，112年度故宮文物藝術發展基金「業務收入」項下</w:t>
      </w:r>
      <w:r>
        <w:rPr>
          <w:rFonts w:ascii="標楷體" w:eastAsia="標楷體" w:hAnsi="標楷體" w:hint="eastAsia"/>
          <w:bCs/>
          <w:sz w:val="32"/>
          <w:szCs w:val="32"/>
        </w:rPr>
        <w:t>「銷貨收入</w:t>
      </w:r>
      <w:r w:rsidRPr="00FE1C97">
        <w:rPr>
          <w:rFonts w:ascii="標楷體" w:eastAsia="標楷體" w:hAnsi="標楷體" w:hint="eastAsia"/>
          <w:bCs/>
          <w:sz w:val="32"/>
          <w:szCs w:val="32"/>
        </w:rPr>
        <w:t>」中</w:t>
      </w:r>
      <w:r w:rsidRPr="00B70493">
        <w:rPr>
          <w:rFonts w:ascii="標楷體" w:eastAsia="標楷體" w:hAnsi="標楷體" w:hint="eastAsia"/>
          <w:bCs/>
          <w:sz w:val="32"/>
          <w:szCs w:val="32"/>
        </w:rPr>
        <w:t>「製成品銷貨收入」預算編列2億9,031萬6千元，較111年度預算3億4,946萬3千元減少5,914萬7千元，減幅16.93%。經查故宮文物基金分別委託承銷商與透過網路商城推廣與行銷故宮典藏相關之出版品及文化創意衍生商品，惟委託之合作承銷商皆過度集中於單一縣市，其中台北市計10家，其餘新北市、桃園市、台中市、南投縣、台南市、高雄市、宜蘭縣及嘉義縣各1家，實屬違背提升商品能見度及多元化購買管道的初衷。再者，108至110年度故宮文物藝術發展基金委託合作通路承銷商銷售額呈逐年下降，其中單一年度銷售績效佳者也集中於少數家數，且111年度迄8月底止營業額828萬餘元，僅約為110年度之半數。為鞭策國立故宮博物院積極開發合作承銷商，拓展行銷通路、輔導改善合作通路承銷商，以提升營運績效，爰要求國立故宮博物院於3個月內向立法院教育及文化委員會提出書面報告。1</w:t>
      </w:r>
      <w:r w:rsidRPr="00B70493">
        <w:rPr>
          <w:rFonts w:ascii="標楷體" w:eastAsia="標楷體" w:hAnsi="標楷體"/>
          <w:bCs/>
          <w:sz w:val="32"/>
          <w:szCs w:val="32"/>
        </w:rPr>
        <w:t>1</w:t>
      </w:r>
    </w:p>
    <w:p w:rsidR="00B6184F" w:rsidRPr="00B70493" w:rsidRDefault="00B6184F" w:rsidP="00F035E0">
      <w:pPr>
        <w:snapToGrid w:val="0"/>
        <w:spacing w:line="460" w:lineRule="exact"/>
        <w:ind w:leftChars="1300" w:left="4400" w:hangingChars="400" w:hanging="1280"/>
        <w:jc w:val="both"/>
        <w:rPr>
          <w:rFonts w:ascii="標楷體" w:eastAsia="標楷體" w:hAnsi="標楷體"/>
          <w:bCs/>
          <w:sz w:val="32"/>
          <w:szCs w:val="32"/>
        </w:rPr>
      </w:pPr>
      <w:r w:rsidRPr="00B70493">
        <w:rPr>
          <w:rFonts w:ascii="標楷體" w:eastAsia="標楷體" w:hAnsi="標楷體" w:hint="eastAsia"/>
          <w:bCs/>
          <w:sz w:val="32"/>
          <w:szCs w:val="32"/>
        </w:rPr>
        <w:t>提案人：吳思瑤</w:t>
      </w:r>
    </w:p>
    <w:p w:rsidR="00B6184F" w:rsidRPr="00B70493" w:rsidRDefault="00B6184F" w:rsidP="00F035E0">
      <w:pPr>
        <w:snapToGrid w:val="0"/>
        <w:spacing w:line="460" w:lineRule="exact"/>
        <w:ind w:leftChars="1300" w:left="4400" w:hangingChars="400" w:hanging="1280"/>
        <w:jc w:val="both"/>
        <w:rPr>
          <w:rFonts w:ascii="標楷體" w:eastAsia="標楷體" w:hAnsi="標楷體"/>
          <w:bCs/>
          <w:sz w:val="32"/>
          <w:szCs w:val="32"/>
        </w:rPr>
      </w:pPr>
      <w:r w:rsidRPr="00B70493">
        <w:rPr>
          <w:rFonts w:ascii="標楷體" w:eastAsia="標楷體" w:hAnsi="標楷體" w:hint="eastAsia"/>
          <w:bCs/>
          <w:sz w:val="32"/>
          <w:szCs w:val="32"/>
        </w:rPr>
        <w:t>連署人：何欣純</w:t>
      </w:r>
      <w:r w:rsidRPr="00B70493">
        <w:rPr>
          <w:rFonts w:ascii="標楷體" w:eastAsia="標楷體" w:hAnsi="標楷體"/>
          <w:sz w:val="32"/>
          <w:szCs w:val="32"/>
        </w:rPr>
        <w:t xml:space="preserve">  </w:t>
      </w:r>
      <w:r w:rsidRPr="00B70493">
        <w:rPr>
          <w:rFonts w:ascii="標楷體" w:eastAsia="標楷體" w:hAnsi="標楷體" w:hint="eastAsia"/>
          <w:sz w:val="32"/>
          <w:szCs w:val="32"/>
        </w:rPr>
        <w:t>陳秀寳  張廖萬堅</w:t>
      </w:r>
    </w:p>
    <w:p w:rsidR="00B6184F" w:rsidRPr="00B70493" w:rsidRDefault="00B6184F" w:rsidP="00F035E0">
      <w:pPr>
        <w:spacing w:line="460" w:lineRule="exact"/>
        <w:ind w:left="640" w:hangingChars="200" w:hanging="640"/>
        <w:jc w:val="both"/>
        <w:rPr>
          <w:rFonts w:ascii="標楷體" w:eastAsia="標楷體" w:hAnsi="標楷體"/>
          <w:sz w:val="32"/>
          <w:szCs w:val="32"/>
        </w:rPr>
      </w:pPr>
      <w:r w:rsidRPr="00B70493">
        <w:rPr>
          <w:rFonts w:ascii="標楷體" w:eastAsia="標楷體" w:hAnsi="標楷體" w:hint="eastAsia"/>
          <w:sz w:val="32"/>
          <w:szCs w:val="32"/>
        </w:rPr>
        <w:t>三、對於委員質詢要求提供相關資料或未及答復部分，請相關機關儘速以書面答復。</w:t>
      </w:r>
    </w:p>
    <w:p w:rsidR="00B6184F" w:rsidRPr="00B70493" w:rsidRDefault="00B6184F" w:rsidP="00F035E0">
      <w:pPr>
        <w:spacing w:line="460" w:lineRule="exact"/>
        <w:ind w:left="640" w:hangingChars="200" w:hanging="640"/>
        <w:jc w:val="both"/>
        <w:rPr>
          <w:rFonts w:ascii="標楷體" w:eastAsia="標楷體" w:hAnsi="標楷體"/>
          <w:bCs/>
          <w:sz w:val="32"/>
          <w:szCs w:val="32"/>
        </w:rPr>
      </w:pPr>
      <w:r w:rsidRPr="00B70493">
        <w:rPr>
          <w:rFonts w:ascii="標楷體" w:eastAsia="標楷體" w:hAnsi="標楷體" w:hint="eastAsia"/>
          <w:sz w:val="32"/>
          <w:szCs w:val="32"/>
        </w:rPr>
        <w:lastRenderedPageBreak/>
        <w:t>四、在不影響文意前提下，授權議事人員依「112年度中央政府總預算案審查報告與黨團協商之範例」整理。</w:t>
      </w:r>
    </w:p>
    <w:p w:rsidR="00B6184F" w:rsidRPr="00B70493" w:rsidRDefault="00B6184F" w:rsidP="00F035E0">
      <w:pPr>
        <w:snapToGrid w:val="0"/>
        <w:spacing w:beforeLines="50" w:before="180" w:after="240" w:line="500" w:lineRule="exact"/>
        <w:ind w:leftChars="1" w:left="642" w:hangingChars="200" w:hanging="640"/>
        <w:contextualSpacing/>
        <w:jc w:val="both"/>
        <w:rPr>
          <w:rFonts w:ascii="標楷體" w:eastAsia="標楷體" w:hAnsi="標楷體"/>
          <w:bCs/>
          <w:sz w:val="32"/>
          <w:szCs w:val="32"/>
        </w:rPr>
      </w:pPr>
      <w:r w:rsidRPr="00B70493">
        <w:rPr>
          <w:rFonts w:ascii="標楷體" w:eastAsia="標楷體" w:hAnsi="標楷體" w:hint="eastAsia"/>
          <w:bCs/>
          <w:sz w:val="32"/>
          <w:szCs w:val="32"/>
        </w:rPr>
        <w:t>五、112年度中央政府總預算案有關國立故宮博物院單位預算案及國立故宮博物院主管故宮文物藝術發展基金附屬單位預算案，全部審查完竣。</w:t>
      </w:r>
    </w:p>
    <w:p w:rsidR="00B6184F" w:rsidRPr="00B70493" w:rsidRDefault="00B6184F" w:rsidP="00F035E0">
      <w:pPr>
        <w:snapToGrid w:val="0"/>
        <w:spacing w:before="240" w:line="500" w:lineRule="exact"/>
        <w:rPr>
          <w:rFonts w:ascii="標楷體" w:eastAsia="標楷體" w:hAnsi="標楷體"/>
          <w:b/>
          <w:bCs/>
          <w:sz w:val="32"/>
          <w:szCs w:val="32"/>
        </w:rPr>
      </w:pPr>
      <w:r w:rsidRPr="00B70493">
        <w:rPr>
          <w:rFonts w:ascii="標楷體" w:eastAsia="標楷體" w:hAnsi="標楷體" w:hint="eastAsia"/>
          <w:b/>
          <w:bCs/>
          <w:sz w:val="32"/>
          <w:szCs w:val="32"/>
        </w:rPr>
        <w:t>通過臨時提案1項：</w:t>
      </w:r>
    </w:p>
    <w:p w:rsidR="00B6184F" w:rsidRDefault="00B6184F" w:rsidP="00F035E0">
      <w:pPr>
        <w:snapToGrid w:val="0"/>
        <w:spacing w:beforeLines="50" w:before="180" w:after="240" w:line="500" w:lineRule="exact"/>
        <w:contextualSpacing/>
        <w:jc w:val="both"/>
        <w:rPr>
          <w:rFonts w:ascii="標楷體" w:eastAsia="標楷體" w:hAnsi="標楷體"/>
          <w:bCs/>
          <w:sz w:val="32"/>
          <w:szCs w:val="32"/>
        </w:rPr>
      </w:pPr>
      <w:r w:rsidRPr="00B70493">
        <w:rPr>
          <w:rFonts w:ascii="標楷體" w:eastAsia="標楷體" w:hAnsi="標楷體" w:hint="eastAsia"/>
          <w:bCs/>
          <w:sz w:val="32"/>
          <w:szCs w:val="32"/>
        </w:rPr>
        <w:t xml:space="preserve">    </w:t>
      </w:r>
      <w:r>
        <w:rPr>
          <w:rFonts w:ascii="標楷體" w:eastAsia="標楷體" w:hAnsi="標楷體" w:hint="eastAsia"/>
          <w:bCs/>
          <w:sz w:val="32"/>
          <w:szCs w:val="32"/>
        </w:rPr>
        <w:t>國立</w:t>
      </w:r>
      <w:r w:rsidRPr="00434E4C">
        <w:rPr>
          <w:rFonts w:ascii="標楷體" w:eastAsia="標楷體" w:hAnsi="標楷體" w:hint="eastAsia"/>
          <w:bCs/>
          <w:sz w:val="32"/>
          <w:szCs w:val="32"/>
        </w:rPr>
        <w:t>故宮</w:t>
      </w:r>
      <w:r>
        <w:rPr>
          <w:rFonts w:ascii="標楷體" w:eastAsia="標楷體" w:hAnsi="標楷體" w:hint="eastAsia"/>
          <w:bCs/>
          <w:sz w:val="32"/>
          <w:szCs w:val="32"/>
        </w:rPr>
        <w:t>博物院</w:t>
      </w:r>
      <w:r w:rsidRPr="00434E4C">
        <w:rPr>
          <w:rFonts w:ascii="標楷體" w:eastAsia="標楷體" w:hAnsi="標楷體" w:hint="eastAsia"/>
          <w:bCs/>
          <w:sz w:val="32"/>
          <w:szCs w:val="32"/>
        </w:rPr>
        <w:t>文物因人為疏失毀損，引發各界高度關注，一改長期積累老朽惡習正是時候。就瓷器類易碎文物而言，包裝與收藏方式應採一物一盒、改箱為櫃。另外，故宮亦應跟上時代腳步，利用資訊化系統取代過往仰賴紙本作業的文物提取紀錄，同時逐步追蹤、補正過往文物的提取狀況。並且，故宮應檢討、修正</w:t>
      </w:r>
      <w:r>
        <w:rPr>
          <w:rFonts w:ascii="標楷體" w:eastAsia="標楷體" w:hAnsi="標楷體" w:hint="eastAsia"/>
          <w:bCs/>
          <w:sz w:val="32"/>
          <w:szCs w:val="32"/>
        </w:rPr>
        <w:t>「</w:t>
      </w:r>
      <w:r w:rsidRPr="00434E4C">
        <w:rPr>
          <w:rFonts w:ascii="標楷體" w:eastAsia="標楷體" w:hAnsi="標楷體" w:hint="eastAsia"/>
          <w:bCs/>
          <w:sz w:val="32"/>
          <w:szCs w:val="32"/>
        </w:rPr>
        <w:t>國立故宮博物院典藏文物管理作業要點</w:t>
      </w:r>
      <w:r>
        <w:rPr>
          <w:rFonts w:ascii="標楷體" w:eastAsia="標楷體" w:hAnsi="標楷體" w:hint="eastAsia"/>
          <w:bCs/>
          <w:sz w:val="32"/>
          <w:szCs w:val="32"/>
        </w:rPr>
        <w:t>」</w:t>
      </w:r>
      <w:r w:rsidRPr="00434E4C">
        <w:rPr>
          <w:rFonts w:ascii="標楷體" w:eastAsia="標楷體" w:hAnsi="標楷體" w:hint="eastAsia"/>
          <w:bCs/>
          <w:sz w:val="32"/>
          <w:szCs w:val="32"/>
        </w:rPr>
        <w:t>，讓文物整理作業流程、工作分配更為細緻、完整。作為世界級博物館，故宮承擔著守護人類重要文化資產的任務，應當強化可問責性，建置完整的文物毀損通報程序，於內，第一時間讓最高主管，也就是院長知道文物毀損狀況；於外，則應明定公開向國人報告文物毀損的機制，導入全民監督。最重要的，</w:t>
      </w:r>
      <w:r>
        <w:rPr>
          <w:rFonts w:ascii="標楷體" w:eastAsia="標楷體" w:hAnsi="標楷體" w:hint="eastAsia"/>
          <w:bCs/>
          <w:sz w:val="32"/>
          <w:szCs w:val="32"/>
        </w:rPr>
        <w:t>國立</w:t>
      </w:r>
      <w:r w:rsidRPr="00434E4C">
        <w:rPr>
          <w:rFonts w:ascii="標楷體" w:eastAsia="標楷體" w:hAnsi="標楷體" w:hint="eastAsia"/>
          <w:bCs/>
          <w:sz w:val="32"/>
          <w:szCs w:val="32"/>
        </w:rPr>
        <w:t>故宮</w:t>
      </w:r>
      <w:r>
        <w:rPr>
          <w:rFonts w:ascii="標楷體" w:eastAsia="標楷體" w:hAnsi="標楷體" w:hint="eastAsia"/>
          <w:bCs/>
          <w:sz w:val="32"/>
          <w:szCs w:val="32"/>
        </w:rPr>
        <w:t>博物院</w:t>
      </w:r>
      <w:r w:rsidRPr="00434E4C">
        <w:rPr>
          <w:rFonts w:ascii="標楷體" w:eastAsia="標楷體" w:hAnsi="標楷體" w:hint="eastAsia"/>
          <w:bCs/>
          <w:sz w:val="32"/>
          <w:szCs w:val="32"/>
        </w:rPr>
        <w:t>作為我國博物館龍頭應沒有包袱亦無所畏懼，以開誠布公姿態面對全民，將1959年來數千密件做最大程度解密，不分年份亦不論執政黨派，以期杜絕隱匿、文過飾非等弊端。</w:t>
      </w:r>
    </w:p>
    <w:p w:rsidR="00B6184F" w:rsidRPr="00B70493" w:rsidRDefault="00B6184F" w:rsidP="00F035E0">
      <w:pPr>
        <w:snapToGrid w:val="0"/>
        <w:spacing w:line="460" w:lineRule="exact"/>
        <w:ind w:leftChars="1300" w:left="4400" w:hangingChars="400" w:hanging="1280"/>
        <w:jc w:val="both"/>
        <w:rPr>
          <w:rFonts w:ascii="標楷體" w:eastAsia="標楷體" w:hAnsi="標楷體"/>
          <w:bCs/>
          <w:sz w:val="32"/>
          <w:szCs w:val="32"/>
        </w:rPr>
      </w:pPr>
      <w:r w:rsidRPr="00B70493">
        <w:rPr>
          <w:rFonts w:ascii="標楷體" w:eastAsia="標楷體" w:hAnsi="標楷體" w:hint="eastAsia"/>
          <w:bCs/>
          <w:sz w:val="32"/>
          <w:szCs w:val="32"/>
        </w:rPr>
        <w:t>提案人：</w:t>
      </w:r>
      <w:r>
        <w:rPr>
          <w:rFonts w:ascii="標楷體" w:eastAsia="標楷體" w:hAnsi="標楷體" w:hint="eastAsia"/>
          <w:bCs/>
          <w:sz w:val="32"/>
          <w:szCs w:val="32"/>
        </w:rPr>
        <w:t>林宜瑾</w:t>
      </w:r>
    </w:p>
    <w:p w:rsidR="00B6184F" w:rsidRPr="002B0538" w:rsidRDefault="00B6184F" w:rsidP="00F035E0">
      <w:pPr>
        <w:snapToGrid w:val="0"/>
        <w:spacing w:line="460" w:lineRule="exact"/>
        <w:ind w:leftChars="1300" w:left="4400" w:hangingChars="400" w:hanging="1280"/>
        <w:jc w:val="both"/>
        <w:rPr>
          <w:rFonts w:ascii="標楷體" w:eastAsia="標楷體" w:hAnsi="標楷體"/>
          <w:bCs/>
          <w:sz w:val="32"/>
          <w:szCs w:val="32"/>
        </w:rPr>
      </w:pPr>
      <w:r w:rsidRPr="00B70493">
        <w:rPr>
          <w:rFonts w:ascii="標楷體" w:eastAsia="標楷體" w:hAnsi="標楷體" w:hint="eastAsia"/>
          <w:bCs/>
          <w:sz w:val="32"/>
          <w:szCs w:val="32"/>
        </w:rPr>
        <w:t>連署人：吳思瑤</w:t>
      </w:r>
      <w:r>
        <w:rPr>
          <w:rFonts w:ascii="標楷體" w:eastAsia="標楷體" w:hAnsi="標楷體" w:hint="eastAsia"/>
          <w:bCs/>
          <w:sz w:val="32"/>
          <w:szCs w:val="32"/>
        </w:rPr>
        <w:t xml:space="preserve">  </w:t>
      </w:r>
      <w:r w:rsidRPr="00B70493">
        <w:rPr>
          <w:rFonts w:ascii="標楷體" w:eastAsia="標楷體" w:hAnsi="標楷體" w:hint="eastAsia"/>
          <w:bCs/>
          <w:sz w:val="32"/>
          <w:szCs w:val="32"/>
        </w:rPr>
        <w:t>何欣純</w:t>
      </w:r>
      <w:r w:rsidRPr="00B70493">
        <w:rPr>
          <w:rFonts w:ascii="標楷體" w:eastAsia="標楷體" w:hAnsi="標楷體"/>
          <w:sz w:val="32"/>
          <w:szCs w:val="32"/>
        </w:rPr>
        <w:t xml:space="preserve">  </w:t>
      </w:r>
      <w:r w:rsidRPr="00B70493">
        <w:rPr>
          <w:rFonts w:ascii="標楷體" w:eastAsia="標楷體" w:hAnsi="標楷體" w:hint="eastAsia"/>
          <w:sz w:val="32"/>
          <w:szCs w:val="32"/>
        </w:rPr>
        <w:t>陳秀寳 張廖萬堅</w:t>
      </w:r>
    </w:p>
    <w:p w:rsidR="00B6184F" w:rsidRPr="00B70493" w:rsidRDefault="00B6184F" w:rsidP="00F035E0">
      <w:pPr>
        <w:snapToGrid w:val="0"/>
        <w:spacing w:line="460" w:lineRule="exact"/>
        <w:jc w:val="both"/>
        <w:rPr>
          <w:rFonts w:ascii="標楷體" w:eastAsia="標楷體" w:hAnsi="標楷體" w:cs="新細明體"/>
          <w:bCs/>
          <w:kern w:val="0"/>
          <w:sz w:val="32"/>
          <w:szCs w:val="32"/>
        </w:rPr>
      </w:pPr>
      <w:r w:rsidRPr="00B70493">
        <w:rPr>
          <w:rFonts w:ascii="標楷體" w:eastAsia="標楷體" w:hint="eastAsia"/>
          <w:sz w:val="32"/>
          <w:szCs w:val="32"/>
        </w:rPr>
        <w:t>（12月1日）</w:t>
      </w:r>
    </w:p>
    <w:p w:rsidR="00B6184F" w:rsidRPr="00B70493" w:rsidRDefault="00B6184F" w:rsidP="00F035E0">
      <w:pPr>
        <w:snapToGrid w:val="0"/>
        <w:spacing w:line="460" w:lineRule="exact"/>
        <w:ind w:left="975" w:hanging="964"/>
        <w:jc w:val="both"/>
        <w:rPr>
          <w:rFonts w:ascii="標楷體" w:eastAsia="標楷體" w:hAnsi="標楷體"/>
          <w:b/>
          <w:sz w:val="32"/>
          <w:szCs w:val="32"/>
        </w:rPr>
      </w:pPr>
      <w:r w:rsidRPr="00B70493">
        <w:rPr>
          <w:rFonts w:ascii="標楷體" w:eastAsia="標楷體" w:hAnsi="標楷體" w:hint="eastAsia"/>
          <w:b/>
          <w:sz w:val="32"/>
          <w:szCs w:val="32"/>
        </w:rPr>
        <w:t>討  論  事  項</w:t>
      </w:r>
    </w:p>
    <w:p w:rsidR="00B6184F" w:rsidRPr="00B70493" w:rsidRDefault="00B6184F" w:rsidP="006934DD">
      <w:pPr>
        <w:numPr>
          <w:ilvl w:val="0"/>
          <w:numId w:val="27"/>
        </w:numPr>
        <w:snapToGrid w:val="0"/>
        <w:spacing w:line="460" w:lineRule="exact"/>
        <w:jc w:val="both"/>
        <w:rPr>
          <w:rFonts w:ascii="標楷體" w:eastAsia="標楷體"/>
          <w:b/>
          <w:sz w:val="32"/>
          <w:szCs w:val="32"/>
        </w:rPr>
      </w:pPr>
      <w:r w:rsidRPr="00B70493">
        <w:rPr>
          <w:rFonts w:ascii="標楷體" w:eastAsia="標楷體" w:hint="eastAsia"/>
          <w:b/>
          <w:sz w:val="32"/>
          <w:szCs w:val="32"/>
        </w:rPr>
        <w:t>審查</w:t>
      </w:r>
    </w:p>
    <w:p w:rsidR="00B6184F" w:rsidRPr="00B70493" w:rsidRDefault="00B6184F" w:rsidP="006934DD">
      <w:pPr>
        <w:numPr>
          <w:ilvl w:val="0"/>
          <w:numId w:val="17"/>
        </w:numPr>
        <w:snapToGrid w:val="0"/>
        <w:spacing w:line="500" w:lineRule="exact"/>
        <w:ind w:left="942" w:hanging="624"/>
        <w:jc w:val="both"/>
        <w:rPr>
          <w:rFonts w:ascii="標楷體" w:eastAsia="標楷體"/>
          <w:b/>
          <w:bCs/>
          <w:sz w:val="32"/>
          <w:szCs w:val="32"/>
        </w:rPr>
      </w:pPr>
      <w:r w:rsidRPr="00B70493">
        <w:rPr>
          <w:rFonts w:ascii="標楷體" w:eastAsia="標楷體" w:hint="eastAsia"/>
          <w:b/>
          <w:bCs/>
          <w:sz w:val="32"/>
          <w:szCs w:val="32"/>
        </w:rPr>
        <w:t>行政院函請審議「國民教育法修正草案」案。</w:t>
      </w:r>
    </w:p>
    <w:p w:rsidR="00B6184F" w:rsidRPr="00B70493" w:rsidRDefault="00B6184F" w:rsidP="006934DD">
      <w:pPr>
        <w:numPr>
          <w:ilvl w:val="0"/>
          <w:numId w:val="17"/>
        </w:numPr>
        <w:snapToGrid w:val="0"/>
        <w:spacing w:line="500" w:lineRule="exact"/>
        <w:ind w:left="942" w:hanging="624"/>
        <w:jc w:val="both"/>
        <w:rPr>
          <w:rFonts w:ascii="標楷體" w:eastAsia="標楷體"/>
          <w:b/>
          <w:bCs/>
          <w:sz w:val="32"/>
          <w:szCs w:val="32"/>
        </w:rPr>
      </w:pPr>
      <w:r w:rsidRPr="00B70493">
        <w:rPr>
          <w:rFonts w:ascii="標楷體" w:eastAsia="標楷體" w:hint="eastAsia"/>
          <w:b/>
          <w:bCs/>
          <w:sz w:val="32"/>
          <w:szCs w:val="32"/>
        </w:rPr>
        <w:t>委員張育美等17人擬具「國民教育法第二條、第三條及第六條條文修正草案」案。</w:t>
      </w:r>
    </w:p>
    <w:p w:rsidR="00B6184F" w:rsidRPr="00B70493" w:rsidRDefault="00B6184F" w:rsidP="006934DD">
      <w:pPr>
        <w:numPr>
          <w:ilvl w:val="0"/>
          <w:numId w:val="17"/>
        </w:numPr>
        <w:snapToGrid w:val="0"/>
        <w:spacing w:line="500" w:lineRule="exact"/>
        <w:ind w:left="942" w:hanging="624"/>
        <w:jc w:val="both"/>
        <w:rPr>
          <w:rFonts w:ascii="標楷體" w:eastAsia="標楷體"/>
          <w:b/>
          <w:bCs/>
          <w:sz w:val="32"/>
          <w:szCs w:val="32"/>
        </w:rPr>
      </w:pPr>
      <w:r w:rsidRPr="00B70493">
        <w:rPr>
          <w:rFonts w:ascii="標楷體" w:eastAsia="標楷體" w:hint="eastAsia"/>
          <w:b/>
          <w:bCs/>
          <w:sz w:val="32"/>
          <w:szCs w:val="32"/>
        </w:rPr>
        <w:t>委員廖婉汝等22人擬具「國民教育法第二條、第三條及第六條條文修正草案」案。</w:t>
      </w:r>
    </w:p>
    <w:p w:rsidR="00B6184F" w:rsidRPr="00B70493" w:rsidRDefault="00B6184F" w:rsidP="006934DD">
      <w:pPr>
        <w:numPr>
          <w:ilvl w:val="0"/>
          <w:numId w:val="17"/>
        </w:numPr>
        <w:snapToGrid w:val="0"/>
        <w:spacing w:line="500" w:lineRule="exact"/>
        <w:ind w:left="942" w:hanging="624"/>
        <w:jc w:val="both"/>
        <w:rPr>
          <w:rFonts w:ascii="標楷體" w:eastAsia="標楷體"/>
          <w:b/>
          <w:bCs/>
          <w:sz w:val="32"/>
          <w:szCs w:val="32"/>
        </w:rPr>
      </w:pPr>
      <w:r w:rsidRPr="00B70493">
        <w:rPr>
          <w:rFonts w:ascii="標楷體" w:eastAsia="標楷體" w:hint="eastAsia"/>
          <w:b/>
          <w:bCs/>
          <w:sz w:val="32"/>
          <w:szCs w:val="32"/>
        </w:rPr>
        <w:lastRenderedPageBreak/>
        <w:t>委員賴品妤等16人擬具「國民教育法第八條之二及第八條之三條文修正草案」案。</w:t>
      </w:r>
    </w:p>
    <w:p w:rsidR="00B6184F" w:rsidRPr="00B70493" w:rsidRDefault="00B6184F" w:rsidP="006934DD">
      <w:pPr>
        <w:numPr>
          <w:ilvl w:val="0"/>
          <w:numId w:val="17"/>
        </w:numPr>
        <w:snapToGrid w:val="0"/>
        <w:spacing w:line="500" w:lineRule="exact"/>
        <w:ind w:left="942" w:hanging="624"/>
        <w:jc w:val="both"/>
        <w:rPr>
          <w:rFonts w:ascii="標楷體" w:eastAsia="標楷體"/>
          <w:b/>
          <w:bCs/>
          <w:sz w:val="32"/>
          <w:szCs w:val="32"/>
        </w:rPr>
      </w:pPr>
      <w:r w:rsidRPr="00B70493">
        <w:rPr>
          <w:rFonts w:ascii="標楷體" w:eastAsia="標楷體" w:hint="eastAsia"/>
          <w:b/>
          <w:bCs/>
          <w:sz w:val="32"/>
          <w:szCs w:val="32"/>
        </w:rPr>
        <w:t>委員賴品妤等16人擬具「國民教育法第二十條之一條文修正草案」案。</w:t>
      </w:r>
    </w:p>
    <w:p w:rsidR="00B6184F" w:rsidRPr="00B70493" w:rsidRDefault="00B6184F" w:rsidP="006934DD">
      <w:pPr>
        <w:numPr>
          <w:ilvl w:val="0"/>
          <w:numId w:val="17"/>
        </w:numPr>
        <w:snapToGrid w:val="0"/>
        <w:spacing w:line="500" w:lineRule="exact"/>
        <w:ind w:left="942" w:hanging="624"/>
        <w:jc w:val="both"/>
        <w:rPr>
          <w:rFonts w:ascii="標楷體" w:eastAsia="標楷體"/>
          <w:b/>
          <w:bCs/>
          <w:sz w:val="32"/>
          <w:szCs w:val="32"/>
        </w:rPr>
      </w:pPr>
      <w:r w:rsidRPr="00B70493">
        <w:rPr>
          <w:rFonts w:ascii="標楷體" w:eastAsia="標楷體" w:hint="eastAsia"/>
          <w:b/>
          <w:bCs/>
          <w:sz w:val="32"/>
          <w:szCs w:val="32"/>
        </w:rPr>
        <w:t>委員陳玉珍等18人擬具「國民教育法第二條、第三條及第六條條文修正草案」案。</w:t>
      </w:r>
    </w:p>
    <w:p w:rsidR="00B6184F" w:rsidRPr="00B70493" w:rsidRDefault="00B6184F" w:rsidP="006934DD">
      <w:pPr>
        <w:numPr>
          <w:ilvl w:val="0"/>
          <w:numId w:val="17"/>
        </w:numPr>
        <w:snapToGrid w:val="0"/>
        <w:spacing w:line="500" w:lineRule="exact"/>
        <w:ind w:left="942" w:hanging="624"/>
        <w:jc w:val="both"/>
        <w:rPr>
          <w:rFonts w:ascii="標楷體" w:eastAsia="標楷體"/>
          <w:b/>
          <w:bCs/>
          <w:sz w:val="32"/>
          <w:szCs w:val="32"/>
        </w:rPr>
      </w:pPr>
      <w:r w:rsidRPr="00B70493">
        <w:rPr>
          <w:rFonts w:ascii="標楷體" w:eastAsia="標楷體" w:hint="eastAsia"/>
          <w:b/>
          <w:bCs/>
          <w:sz w:val="32"/>
          <w:szCs w:val="32"/>
        </w:rPr>
        <w:t>委員何志偉等22人擬具「國民教育法修正草案」案。</w:t>
      </w:r>
    </w:p>
    <w:p w:rsidR="00B6184F" w:rsidRPr="00B70493" w:rsidRDefault="00B6184F" w:rsidP="006934DD">
      <w:pPr>
        <w:numPr>
          <w:ilvl w:val="0"/>
          <w:numId w:val="17"/>
        </w:numPr>
        <w:snapToGrid w:val="0"/>
        <w:spacing w:line="500" w:lineRule="exact"/>
        <w:ind w:left="942" w:hanging="624"/>
        <w:jc w:val="both"/>
        <w:rPr>
          <w:rFonts w:ascii="標楷體" w:eastAsia="標楷體"/>
          <w:b/>
          <w:bCs/>
          <w:sz w:val="32"/>
          <w:szCs w:val="32"/>
        </w:rPr>
      </w:pPr>
      <w:r w:rsidRPr="00B70493">
        <w:rPr>
          <w:rFonts w:ascii="標楷體" w:eastAsia="標楷體" w:hint="eastAsia"/>
          <w:b/>
          <w:bCs/>
          <w:sz w:val="32"/>
          <w:szCs w:val="32"/>
        </w:rPr>
        <w:t>委員陳秀寳等</w:t>
      </w:r>
      <w:r w:rsidRPr="00B70493">
        <w:rPr>
          <w:rFonts w:ascii="標楷體" w:eastAsia="標楷體"/>
          <w:b/>
          <w:bCs/>
          <w:sz w:val="32"/>
          <w:szCs w:val="32"/>
        </w:rPr>
        <w:t>20</w:t>
      </w:r>
      <w:r w:rsidRPr="00B70493">
        <w:rPr>
          <w:rFonts w:ascii="標楷體" w:eastAsia="標楷體" w:hint="eastAsia"/>
          <w:b/>
          <w:bCs/>
          <w:sz w:val="32"/>
          <w:szCs w:val="32"/>
        </w:rPr>
        <w:t>人擬具「國民教育法修正草案」案。</w:t>
      </w:r>
    </w:p>
    <w:p w:rsidR="00B6184F" w:rsidRPr="00B70493" w:rsidRDefault="00B6184F" w:rsidP="006934DD">
      <w:pPr>
        <w:numPr>
          <w:ilvl w:val="0"/>
          <w:numId w:val="17"/>
        </w:numPr>
        <w:snapToGrid w:val="0"/>
        <w:spacing w:line="500" w:lineRule="exact"/>
        <w:ind w:left="942" w:hanging="624"/>
        <w:jc w:val="both"/>
        <w:rPr>
          <w:rFonts w:ascii="標楷體" w:eastAsia="標楷體"/>
          <w:b/>
          <w:bCs/>
          <w:sz w:val="32"/>
          <w:szCs w:val="32"/>
        </w:rPr>
      </w:pPr>
      <w:r w:rsidRPr="00B70493">
        <w:rPr>
          <w:rFonts w:ascii="標楷體" w:eastAsia="標楷體" w:hint="eastAsia"/>
          <w:b/>
          <w:bCs/>
          <w:sz w:val="32"/>
          <w:szCs w:val="32"/>
        </w:rPr>
        <w:t>委員林文瑞等16人擬具「國民教育法第八條之一條文修正草案」案。</w:t>
      </w:r>
    </w:p>
    <w:p w:rsidR="00B6184F" w:rsidRPr="00B70493" w:rsidRDefault="00B6184F" w:rsidP="006934DD">
      <w:pPr>
        <w:numPr>
          <w:ilvl w:val="0"/>
          <w:numId w:val="17"/>
        </w:numPr>
        <w:snapToGrid w:val="0"/>
        <w:spacing w:line="500" w:lineRule="exact"/>
        <w:ind w:left="942" w:hanging="624"/>
        <w:jc w:val="both"/>
        <w:rPr>
          <w:rFonts w:ascii="標楷體" w:eastAsia="標楷體"/>
          <w:b/>
          <w:bCs/>
          <w:sz w:val="32"/>
          <w:szCs w:val="32"/>
        </w:rPr>
      </w:pPr>
      <w:r w:rsidRPr="00B70493">
        <w:rPr>
          <w:rFonts w:ascii="標楷體" w:eastAsia="標楷體" w:hint="eastAsia"/>
          <w:b/>
          <w:bCs/>
          <w:sz w:val="32"/>
          <w:szCs w:val="32"/>
        </w:rPr>
        <w:t>委員黃國書等17人擬具「國民教育法修正草案」案。</w:t>
      </w:r>
    </w:p>
    <w:p w:rsidR="00B6184F" w:rsidRPr="00B70493" w:rsidRDefault="00B6184F" w:rsidP="006934DD">
      <w:pPr>
        <w:numPr>
          <w:ilvl w:val="0"/>
          <w:numId w:val="17"/>
        </w:numPr>
        <w:snapToGrid w:val="0"/>
        <w:spacing w:line="500" w:lineRule="exact"/>
        <w:ind w:left="942" w:hanging="624"/>
        <w:jc w:val="both"/>
        <w:rPr>
          <w:rFonts w:ascii="標楷體" w:eastAsia="標楷體"/>
          <w:b/>
          <w:bCs/>
          <w:sz w:val="32"/>
          <w:szCs w:val="32"/>
        </w:rPr>
      </w:pPr>
      <w:r w:rsidRPr="00B70493">
        <w:rPr>
          <w:rFonts w:ascii="標楷體" w:eastAsia="標楷體" w:hint="eastAsia"/>
          <w:b/>
          <w:bCs/>
          <w:sz w:val="32"/>
          <w:szCs w:val="32"/>
        </w:rPr>
        <w:t>委員馬文君等16人擬具「國民教育法第八條之三條文修正草案」案。</w:t>
      </w:r>
    </w:p>
    <w:p w:rsidR="00B6184F" w:rsidRPr="00B70493" w:rsidRDefault="00B6184F" w:rsidP="006934DD">
      <w:pPr>
        <w:numPr>
          <w:ilvl w:val="0"/>
          <w:numId w:val="17"/>
        </w:numPr>
        <w:snapToGrid w:val="0"/>
        <w:spacing w:line="500" w:lineRule="exact"/>
        <w:ind w:left="942" w:hanging="624"/>
        <w:jc w:val="both"/>
        <w:rPr>
          <w:rFonts w:ascii="標楷體" w:eastAsia="標楷體"/>
          <w:b/>
          <w:bCs/>
          <w:sz w:val="32"/>
          <w:szCs w:val="32"/>
        </w:rPr>
      </w:pPr>
      <w:r w:rsidRPr="00B70493">
        <w:rPr>
          <w:rFonts w:ascii="標楷體" w:eastAsia="標楷體" w:hint="eastAsia"/>
          <w:b/>
          <w:bCs/>
          <w:sz w:val="32"/>
          <w:szCs w:val="32"/>
        </w:rPr>
        <w:t>委員吳思瑤等16人</w:t>
      </w:r>
      <w:r w:rsidRPr="00B70493">
        <w:rPr>
          <w:rFonts w:ascii="標楷體" w:eastAsia="標楷體"/>
          <w:b/>
          <w:bCs/>
          <w:sz w:val="32"/>
          <w:szCs w:val="32"/>
        </w:rPr>
        <w:t>擬具「</w:t>
      </w:r>
      <w:r w:rsidRPr="00B70493">
        <w:rPr>
          <w:rFonts w:ascii="標楷體" w:eastAsia="標楷體" w:hint="eastAsia"/>
          <w:b/>
          <w:bCs/>
          <w:sz w:val="32"/>
          <w:szCs w:val="32"/>
        </w:rPr>
        <w:t>國民教育法第二十條之一條文修正草案</w:t>
      </w:r>
      <w:r w:rsidRPr="00B70493">
        <w:rPr>
          <w:rFonts w:ascii="標楷體" w:eastAsia="標楷體"/>
          <w:b/>
          <w:bCs/>
          <w:sz w:val="32"/>
          <w:szCs w:val="32"/>
        </w:rPr>
        <w:t>」案。</w:t>
      </w:r>
    </w:p>
    <w:p w:rsidR="00B6184F" w:rsidRPr="00DD3F96" w:rsidRDefault="00B6184F" w:rsidP="00F035E0">
      <w:pPr>
        <w:snapToGrid w:val="0"/>
        <w:spacing w:line="460" w:lineRule="exact"/>
        <w:ind w:left="941"/>
        <w:jc w:val="both"/>
        <w:rPr>
          <w:rFonts w:ascii="標楷體" w:eastAsia="標楷體"/>
          <w:bCs/>
          <w:sz w:val="32"/>
          <w:szCs w:val="32"/>
        </w:rPr>
      </w:pPr>
      <w:r w:rsidRPr="00DD3F96">
        <w:rPr>
          <w:rFonts w:ascii="標楷體" w:eastAsia="標楷體" w:hAnsi="標楷體" w:cs="新細明體" w:hint="eastAsia"/>
          <w:bCs/>
          <w:kern w:val="0"/>
          <w:sz w:val="32"/>
          <w:szCs w:val="32"/>
        </w:rPr>
        <w:t>(僅進行詢答</w:t>
      </w:r>
      <w:r w:rsidRPr="00DD3F96">
        <w:rPr>
          <w:rFonts w:ascii="標楷體" w:eastAsia="標楷體" w:hAnsi="標楷體" w:cs="新細明體"/>
          <w:bCs/>
          <w:kern w:val="0"/>
          <w:sz w:val="32"/>
          <w:szCs w:val="32"/>
        </w:rPr>
        <w:t>)</w:t>
      </w:r>
    </w:p>
    <w:p w:rsidR="00B6184F" w:rsidRPr="00B70493" w:rsidRDefault="00B6184F" w:rsidP="006934DD">
      <w:pPr>
        <w:widowControl/>
        <w:numPr>
          <w:ilvl w:val="0"/>
          <w:numId w:val="27"/>
        </w:numPr>
        <w:snapToGrid w:val="0"/>
        <w:spacing w:line="460" w:lineRule="exact"/>
        <w:ind w:rightChars="-60" w:right="-144"/>
        <w:jc w:val="both"/>
        <w:rPr>
          <w:rFonts w:ascii="標楷體" w:eastAsia="標楷體" w:hAnsi="標楷體" w:cs="新細明體"/>
          <w:b/>
          <w:bCs/>
          <w:kern w:val="0"/>
          <w:sz w:val="32"/>
          <w:szCs w:val="32"/>
        </w:rPr>
      </w:pPr>
      <w:r w:rsidRPr="00B70493">
        <w:rPr>
          <w:rFonts w:ascii="標楷體" w:eastAsia="標楷體" w:hint="eastAsia"/>
          <w:b/>
          <w:bCs/>
          <w:sz w:val="32"/>
          <w:szCs w:val="32"/>
        </w:rPr>
        <w:t>處理教育部函為111年度中央政府總預算決議，檢送國民及學前教育署「國民及學前教育」繼續凍結1,000萬元專案報告，請查照案。</w:t>
      </w:r>
      <w:r w:rsidRPr="00B70493">
        <w:rPr>
          <w:rFonts w:ascii="標楷體" w:eastAsia="標楷體" w:hAnsi="標楷體" w:cs="新細明體" w:hint="eastAsia"/>
          <w:b/>
          <w:bCs/>
          <w:kern w:val="0"/>
          <w:sz w:val="32"/>
          <w:szCs w:val="32"/>
        </w:rPr>
        <w:t xml:space="preserve"> </w:t>
      </w:r>
    </w:p>
    <w:p w:rsidR="00B6184F" w:rsidRPr="00B70493" w:rsidRDefault="00B6184F" w:rsidP="00F035E0">
      <w:pPr>
        <w:pStyle w:val="a4"/>
        <w:snapToGrid w:val="0"/>
        <w:spacing w:line="500" w:lineRule="exact"/>
        <w:ind w:leftChars="0" w:left="0"/>
        <w:jc w:val="both"/>
        <w:rPr>
          <w:rFonts w:ascii="標楷體" w:eastAsia="標楷體" w:hAnsi="標楷體"/>
          <w:sz w:val="32"/>
          <w:szCs w:val="32"/>
        </w:rPr>
      </w:pPr>
      <w:r w:rsidRPr="00B70493">
        <w:rPr>
          <w:rFonts w:ascii="標楷體" w:eastAsia="標楷體" w:hAnsi="標楷體"/>
          <w:sz w:val="32"/>
          <w:szCs w:val="32"/>
        </w:rPr>
        <w:t>（本</w:t>
      </w:r>
      <w:r w:rsidRPr="00B70493">
        <w:rPr>
          <w:rFonts w:ascii="標楷體" w:eastAsia="標楷體" w:hAnsi="標楷體" w:hint="eastAsia"/>
          <w:sz w:val="32"/>
          <w:szCs w:val="32"/>
        </w:rPr>
        <w:t>次</w:t>
      </w:r>
      <w:r w:rsidRPr="00B70493">
        <w:rPr>
          <w:rFonts w:ascii="標楷體" w:eastAsia="標楷體" w:hAnsi="標楷體"/>
          <w:sz w:val="32"/>
          <w:szCs w:val="32"/>
        </w:rPr>
        <w:t>議程</w:t>
      </w:r>
      <w:r w:rsidRPr="00B70493">
        <w:rPr>
          <w:rFonts w:ascii="標楷體" w:eastAsia="標楷體" w:hAnsi="標楷體" w:hint="eastAsia"/>
          <w:sz w:val="32"/>
          <w:szCs w:val="32"/>
        </w:rPr>
        <w:t>採綜合詢答，有委員萬美玲、黃國書、林奕華、陳秀寳、王婉諭、林宜瑾、何欣純、邱志偉、高金素梅、吳思瑤、范雲、</w:t>
      </w:r>
      <w:r>
        <w:rPr>
          <w:rFonts w:ascii="標楷體" w:eastAsia="標楷體" w:hAnsi="標楷體" w:hint="eastAsia"/>
          <w:sz w:val="32"/>
          <w:szCs w:val="32"/>
        </w:rPr>
        <w:t>賴品妤</w:t>
      </w:r>
      <w:r w:rsidRPr="00B70493">
        <w:rPr>
          <w:rFonts w:ascii="標楷體" w:eastAsia="標楷體" w:hAnsi="標楷體" w:hint="eastAsia"/>
          <w:sz w:val="32"/>
          <w:szCs w:val="32"/>
        </w:rPr>
        <w:t>、林德福、張廖萬堅、</w:t>
      </w:r>
      <w:r>
        <w:rPr>
          <w:rFonts w:ascii="標楷體" w:eastAsia="標楷體" w:hAnsi="標楷體" w:hint="eastAsia"/>
          <w:sz w:val="32"/>
          <w:szCs w:val="32"/>
        </w:rPr>
        <w:t>陳椒華、鄭正鈐</w:t>
      </w:r>
      <w:r w:rsidRPr="00B70493">
        <w:rPr>
          <w:rFonts w:ascii="標楷體" w:eastAsia="標楷體" w:hAnsi="標楷體" w:hint="eastAsia"/>
          <w:sz w:val="32"/>
          <w:szCs w:val="32"/>
        </w:rPr>
        <w:t>、張其祿</w:t>
      </w:r>
      <w:r>
        <w:rPr>
          <w:rFonts w:ascii="標楷體" w:eastAsia="標楷體" w:hAnsi="標楷體" w:hint="eastAsia"/>
          <w:sz w:val="32"/>
          <w:szCs w:val="32"/>
        </w:rPr>
        <w:t>、游毓蘭、楊瓊瓔、羅美玲</w:t>
      </w:r>
      <w:r w:rsidRPr="00B70493">
        <w:rPr>
          <w:rFonts w:ascii="標楷體" w:eastAsia="標楷體" w:hAnsi="標楷體" w:hint="eastAsia"/>
          <w:sz w:val="32"/>
          <w:szCs w:val="32"/>
        </w:rPr>
        <w:t>等</w:t>
      </w:r>
      <w:r w:rsidRPr="00B70493">
        <w:rPr>
          <w:rFonts w:ascii="標楷體" w:eastAsia="標楷體" w:hAnsi="標楷體"/>
          <w:sz w:val="32"/>
          <w:szCs w:val="32"/>
        </w:rPr>
        <w:t>2</w:t>
      </w:r>
      <w:r>
        <w:rPr>
          <w:rFonts w:ascii="標楷體" w:eastAsia="標楷體" w:hAnsi="標楷體" w:hint="eastAsia"/>
          <w:sz w:val="32"/>
          <w:szCs w:val="32"/>
        </w:rPr>
        <w:t>0</w:t>
      </w:r>
      <w:r w:rsidRPr="00B70493">
        <w:rPr>
          <w:rFonts w:ascii="標楷體" w:eastAsia="標楷體" w:hAnsi="標楷體"/>
          <w:sz w:val="32"/>
          <w:szCs w:val="32"/>
        </w:rPr>
        <w:t>人提出質詢，均經</w:t>
      </w:r>
      <w:r w:rsidRPr="00B70493">
        <w:rPr>
          <w:rFonts w:ascii="標楷體" w:eastAsia="標楷體" w:hAnsi="標楷體" w:hint="eastAsia"/>
          <w:sz w:val="32"/>
          <w:szCs w:val="32"/>
        </w:rPr>
        <w:t>教育部部長潘文忠</w:t>
      </w:r>
      <w:r w:rsidRPr="00B70493">
        <w:rPr>
          <w:rFonts w:ascii="標楷體" w:eastAsia="標楷體" w:hAnsi="標楷體"/>
          <w:sz w:val="32"/>
          <w:szCs w:val="32"/>
        </w:rPr>
        <w:t>及相關人員即席答</w:t>
      </w:r>
      <w:r w:rsidRPr="00B70493">
        <w:rPr>
          <w:rFonts w:ascii="標楷體" w:eastAsia="標楷體" w:hAnsi="標楷體" w:hint="eastAsia"/>
          <w:sz w:val="32"/>
          <w:szCs w:val="32"/>
        </w:rPr>
        <w:t>復</w:t>
      </w:r>
      <w:r w:rsidRPr="00B70493">
        <w:rPr>
          <w:rFonts w:ascii="標楷體" w:eastAsia="標楷體" w:hAnsi="標楷體"/>
          <w:sz w:val="32"/>
          <w:szCs w:val="32"/>
        </w:rPr>
        <w:t>說明。</w:t>
      </w:r>
      <w:r w:rsidRPr="00B70493">
        <w:rPr>
          <w:rFonts w:ascii="標楷體" w:eastAsia="標楷體" w:hAnsi="標楷體" w:hint="eastAsia"/>
          <w:sz w:val="32"/>
          <w:szCs w:val="32"/>
        </w:rPr>
        <w:t>另有委員</w:t>
      </w:r>
      <w:r>
        <w:rPr>
          <w:rFonts w:ascii="標楷體" w:eastAsia="標楷體" w:hAnsi="標楷體" w:hint="eastAsia"/>
          <w:sz w:val="32"/>
          <w:szCs w:val="32"/>
        </w:rPr>
        <w:t>吳怡玎</w:t>
      </w:r>
      <w:r w:rsidRPr="00B70493">
        <w:rPr>
          <w:rFonts w:ascii="標楷體" w:eastAsia="標楷體" w:hAnsi="標楷體" w:hint="eastAsia"/>
          <w:sz w:val="32"/>
          <w:szCs w:val="32"/>
        </w:rPr>
        <w:t>提出書面質詢。</w:t>
      </w:r>
      <w:r w:rsidRPr="00B70493">
        <w:rPr>
          <w:rFonts w:ascii="標楷體" w:eastAsia="標楷體" w:hAnsi="標楷體"/>
          <w:sz w:val="32"/>
          <w:szCs w:val="32"/>
        </w:rPr>
        <w:t>）</w:t>
      </w:r>
    </w:p>
    <w:p w:rsidR="00B6184F" w:rsidRPr="00B70493" w:rsidRDefault="00B6184F" w:rsidP="00F035E0">
      <w:pPr>
        <w:snapToGrid w:val="0"/>
        <w:spacing w:line="500" w:lineRule="exact"/>
        <w:ind w:left="641" w:hangingChars="200" w:hanging="641"/>
        <w:contextualSpacing/>
        <w:rPr>
          <w:rFonts w:ascii="標楷體" w:eastAsia="標楷體" w:hAnsi="標楷體"/>
          <w:b/>
          <w:bCs/>
          <w:sz w:val="32"/>
          <w:szCs w:val="32"/>
        </w:rPr>
      </w:pPr>
      <w:r w:rsidRPr="00B70493">
        <w:rPr>
          <w:rFonts w:ascii="標楷體" w:eastAsia="標楷體" w:hAnsi="標楷體" w:hint="eastAsia"/>
          <w:b/>
          <w:sz w:val="32"/>
          <w:szCs w:val="32"/>
        </w:rPr>
        <w:t>決議</w:t>
      </w:r>
      <w:r w:rsidRPr="00B70493">
        <w:rPr>
          <w:rFonts w:ascii="標楷體" w:eastAsia="標楷體" w:hAnsi="標楷體"/>
          <w:b/>
          <w:bCs/>
          <w:sz w:val="32"/>
          <w:szCs w:val="32"/>
        </w:rPr>
        <w:t>：</w:t>
      </w:r>
    </w:p>
    <w:p w:rsidR="00B6184F" w:rsidRPr="00B70493" w:rsidRDefault="00B6184F" w:rsidP="00F035E0">
      <w:pPr>
        <w:snapToGrid w:val="0"/>
        <w:spacing w:beforeLines="50" w:before="180" w:line="500" w:lineRule="exact"/>
        <w:ind w:left="640" w:hangingChars="200" w:hanging="640"/>
        <w:contextualSpacing/>
        <w:jc w:val="both"/>
        <w:rPr>
          <w:rFonts w:ascii="標楷體" w:eastAsia="標楷體" w:hAnsi="標楷體"/>
          <w:bCs/>
          <w:sz w:val="32"/>
          <w:szCs w:val="32"/>
        </w:rPr>
      </w:pPr>
      <w:r w:rsidRPr="00B70493">
        <w:rPr>
          <w:rFonts w:ascii="標楷體" w:eastAsia="標楷體" w:hAnsi="標楷體" w:hint="eastAsia"/>
          <w:bCs/>
          <w:sz w:val="32"/>
          <w:szCs w:val="32"/>
        </w:rPr>
        <w:t>一、</w:t>
      </w:r>
      <w:r w:rsidRPr="00B70493">
        <w:rPr>
          <w:rFonts w:ascii="標楷體" w:eastAsia="標楷體" w:hAnsi="標楷體"/>
          <w:bCs/>
          <w:sz w:val="32"/>
          <w:szCs w:val="32"/>
        </w:rPr>
        <w:t>報告及詢答</w:t>
      </w:r>
      <w:r w:rsidRPr="00B70493">
        <w:rPr>
          <w:rFonts w:ascii="標楷體" w:eastAsia="標楷體" w:hAnsi="標楷體" w:hint="eastAsia"/>
          <w:bCs/>
          <w:sz w:val="32"/>
          <w:szCs w:val="32"/>
        </w:rPr>
        <w:t>完畢</w:t>
      </w:r>
      <w:r w:rsidRPr="00B70493">
        <w:rPr>
          <w:rFonts w:ascii="標楷體" w:eastAsia="標楷體" w:hAnsi="標楷體"/>
          <w:bCs/>
          <w:sz w:val="32"/>
          <w:szCs w:val="32"/>
        </w:rPr>
        <w:t>。</w:t>
      </w:r>
    </w:p>
    <w:p w:rsidR="00B6184F" w:rsidRPr="00B70493" w:rsidRDefault="00B6184F" w:rsidP="00F035E0">
      <w:pPr>
        <w:snapToGrid w:val="0"/>
        <w:spacing w:beforeLines="50" w:before="180" w:line="500" w:lineRule="exact"/>
        <w:ind w:left="640" w:hangingChars="200" w:hanging="640"/>
        <w:contextualSpacing/>
        <w:jc w:val="both"/>
        <w:rPr>
          <w:rFonts w:ascii="標楷體" w:eastAsia="標楷體" w:hAnsi="標楷體"/>
          <w:bCs/>
          <w:sz w:val="32"/>
          <w:szCs w:val="32"/>
        </w:rPr>
      </w:pPr>
      <w:r w:rsidRPr="00B70493">
        <w:rPr>
          <w:rFonts w:ascii="標楷體" w:eastAsia="標楷體" w:hAnsi="標楷體"/>
          <w:bCs/>
          <w:sz w:val="32"/>
          <w:szCs w:val="32"/>
        </w:rPr>
        <w:t>二</w:t>
      </w:r>
      <w:r w:rsidRPr="00B70493">
        <w:rPr>
          <w:rFonts w:ascii="標楷體" w:eastAsia="標楷體" w:hAnsi="標楷體" w:hint="eastAsia"/>
          <w:bCs/>
          <w:sz w:val="32"/>
          <w:szCs w:val="32"/>
        </w:rPr>
        <w:t>、</w:t>
      </w:r>
      <w:r w:rsidRPr="00B70493">
        <w:rPr>
          <w:rFonts w:ascii="標楷體" w:eastAsia="標楷體" w:hAnsi="標楷體"/>
          <w:bCs/>
          <w:sz w:val="32"/>
          <w:szCs w:val="32"/>
        </w:rPr>
        <w:t>委員</w:t>
      </w:r>
      <w:r w:rsidRPr="00B70493">
        <w:rPr>
          <w:rFonts w:ascii="標楷體" w:eastAsia="標楷體" w:hAnsi="標楷體" w:hint="eastAsia"/>
          <w:bCs/>
          <w:sz w:val="32"/>
          <w:szCs w:val="32"/>
        </w:rPr>
        <w:t>所提</w:t>
      </w:r>
      <w:r w:rsidRPr="00B70493">
        <w:rPr>
          <w:rFonts w:ascii="標楷體" w:eastAsia="標楷體" w:hAnsi="標楷體"/>
          <w:bCs/>
          <w:sz w:val="32"/>
          <w:szCs w:val="32"/>
        </w:rPr>
        <w:t>書面質詢</w:t>
      </w:r>
      <w:r w:rsidRPr="00B70493">
        <w:rPr>
          <w:rFonts w:ascii="標楷體" w:eastAsia="標楷體" w:hAnsi="標楷體" w:hint="eastAsia"/>
          <w:bCs/>
          <w:sz w:val="32"/>
          <w:szCs w:val="32"/>
        </w:rPr>
        <w:t>或相關資料，</w:t>
      </w:r>
      <w:r w:rsidRPr="00B70493">
        <w:rPr>
          <w:rFonts w:ascii="標楷體" w:eastAsia="標楷體" w:hAnsi="標楷體"/>
          <w:bCs/>
          <w:sz w:val="32"/>
          <w:szCs w:val="32"/>
        </w:rPr>
        <w:t>列入紀錄</w:t>
      </w:r>
      <w:r w:rsidRPr="00B70493">
        <w:rPr>
          <w:rFonts w:ascii="標楷體" w:eastAsia="標楷體" w:hAnsi="標楷體" w:hint="eastAsia"/>
          <w:bCs/>
          <w:sz w:val="32"/>
          <w:szCs w:val="32"/>
        </w:rPr>
        <w:t>並</w:t>
      </w:r>
      <w:r w:rsidRPr="00B70493">
        <w:rPr>
          <w:rFonts w:ascii="標楷體" w:eastAsia="標楷體" w:hAnsi="標楷體"/>
          <w:bCs/>
          <w:sz w:val="32"/>
          <w:szCs w:val="32"/>
        </w:rPr>
        <w:t>刊登公報。</w:t>
      </w:r>
    </w:p>
    <w:p w:rsidR="00B6184F" w:rsidRPr="00B70493" w:rsidRDefault="00B6184F" w:rsidP="00F035E0">
      <w:pPr>
        <w:snapToGrid w:val="0"/>
        <w:spacing w:beforeLines="50" w:before="180" w:line="500" w:lineRule="exact"/>
        <w:ind w:left="640" w:hangingChars="200" w:hanging="640"/>
        <w:contextualSpacing/>
        <w:jc w:val="both"/>
        <w:rPr>
          <w:rFonts w:ascii="標楷體" w:eastAsia="標楷體" w:hAnsi="標楷體"/>
          <w:bCs/>
          <w:sz w:val="32"/>
          <w:szCs w:val="32"/>
        </w:rPr>
      </w:pPr>
      <w:r w:rsidRPr="00B70493">
        <w:rPr>
          <w:rFonts w:ascii="標楷體" w:eastAsia="標楷體" w:hAnsi="標楷體" w:hint="eastAsia"/>
          <w:bCs/>
          <w:sz w:val="32"/>
          <w:szCs w:val="32"/>
        </w:rPr>
        <w:t>三、對於</w:t>
      </w:r>
      <w:r w:rsidRPr="00B70493">
        <w:rPr>
          <w:rFonts w:ascii="標楷體" w:eastAsia="標楷體" w:hAnsi="標楷體"/>
          <w:bCs/>
          <w:sz w:val="32"/>
          <w:szCs w:val="32"/>
        </w:rPr>
        <w:t>委員質詢要求提供相關資料或</w:t>
      </w:r>
      <w:r w:rsidRPr="00B70493">
        <w:rPr>
          <w:rFonts w:ascii="標楷體" w:eastAsia="標楷體" w:hAnsi="標楷體" w:hint="eastAsia"/>
          <w:bCs/>
          <w:sz w:val="32"/>
          <w:szCs w:val="32"/>
        </w:rPr>
        <w:t>未及</w:t>
      </w:r>
      <w:r w:rsidRPr="00B70493">
        <w:rPr>
          <w:rFonts w:ascii="標楷體" w:eastAsia="標楷體" w:hAnsi="標楷體"/>
          <w:bCs/>
          <w:sz w:val="32"/>
          <w:szCs w:val="32"/>
        </w:rPr>
        <w:t>答</w:t>
      </w:r>
      <w:r w:rsidRPr="00B70493">
        <w:rPr>
          <w:rFonts w:ascii="標楷體" w:eastAsia="標楷體" w:hAnsi="標楷體" w:hint="eastAsia"/>
          <w:bCs/>
          <w:sz w:val="32"/>
          <w:szCs w:val="32"/>
        </w:rPr>
        <w:t>復部分</w:t>
      </w:r>
      <w:r w:rsidRPr="00B70493">
        <w:rPr>
          <w:rFonts w:ascii="標楷體" w:eastAsia="標楷體" w:hAnsi="標楷體"/>
          <w:bCs/>
          <w:sz w:val="32"/>
          <w:szCs w:val="32"/>
        </w:rPr>
        <w:t>，請相關機關</w:t>
      </w:r>
      <w:r w:rsidRPr="00B70493">
        <w:rPr>
          <w:rFonts w:ascii="標楷體" w:eastAsia="標楷體" w:hAnsi="標楷體" w:hint="eastAsia"/>
          <w:bCs/>
          <w:sz w:val="32"/>
          <w:szCs w:val="32"/>
        </w:rPr>
        <w:lastRenderedPageBreak/>
        <w:t>儘速以書面答復</w:t>
      </w:r>
      <w:r w:rsidRPr="00B70493">
        <w:rPr>
          <w:rFonts w:ascii="標楷體" w:eastAsia="標楷體" w:hAnsi="標楷體"/>
          <w:bCs/>
          <w:sz w:val="32"/>
          <w:szCs w:val="32"/>
        </w:rPr>
        <w:t>。</w:t>
      </w:r>
    </w:p>
    <w:p w:rsidR="00B6184F" w:rsidRPr="00B70493" w:rsidRDefault="00B6184F" w:rsidP="00F035E0">
      <w:pPr>
        <w:snapToGrid w:val="0"/>
        <w:spacing w:beforeLines="50" w:before="180" w:line="500" w:lineRule="exact"/>
        <w:ind w:left="640" w:hangingChars="200" w:hanging="640"/>
        <w:contextualSpacing/>
        <w:jc w:val="both"/>
        <w:rPr>
          <w:rFonts w:ascii="標楷體" w:eastAsia="標楷體" w:hAnsi="標楷體"/>
          <w:bCs/>
          <w:sz w:val="32"/>
          <w:szCs w:val="32"/>
        </w:rPr>
      </w:pPr>
      <w:r w:rsidRPr="00B70493">
        <w:rPr>
          <w:rFonts w:ascii="標楷體" w:eastAsia="標楷體" w:hAnsi="標楷體" w:hint="eastAsia"/>
          <w:bCs/>
          <w:sz w:val="32"/>
          <w:szCs w:val="32"/>
        </w:rPr>
        <w:t>四、「國民教育法」相關</w:t>
      </w:r>
      <w:r w:rsidRPr="002C524E">
        <w:rPr>
          <w:rFonts w:ascii="標楷體" w:eastAsia="標楷體" w:hAnsi="標楷體" w:hint="eastAsia"/>
          <w:bCs/>
          <w:sz w:val="32"/>
          <w:szCs w:val="32"/>
        </w:rPr>
        <w:t>修正</w:t>
      </w:r>
      <w:r w:rsidRPr="00B70493">
        <w:rPr>
          <w:rFonts w:ascii="標楷體" w:eastAsia="標楷體" w:hAnsi="標楷體" w:hint="eastAsia"/>
          <w:bCs/>
          <w:sz w:val="32"/>
          <w:szCs w:val="32"/>
        </w:rPr>
        <w:t>草案，另定期繼續審查。</w:t>
      </w:r>
    </w:p>
    <w:p w:rsidR="00B6184F" w:rsidRPr="00B70493" w:rsidRDefault="00B6184F" w:rsidP="00F035E0">
      <w:pPr>
        <w:snapToGrid w:val="0"/>
        <w:spacing w:beforeLines="50" w:before="180" w:line="500" w:lineRule="exact"/>
        <w:ind w:left="640" w:hangingChars="200" w:hanging="640"/>
        <w:contextualSpacing/>
        <w:jc w:val="both"/>
        <w:rPr>
          <w:rFonts w:ascii="標楷體" w:eastAsia="標楷體" w:hAnsi="標楷體"/>
          <w:b/>
          <w:bCs/>
          <w:sz w:val="32"/>
          <w:szCs w:val="32"/>
        </w:rPr>
      </w:pPr>
      <w:r w:rsidRPr="00B70493">
        <w:rPr>
          <w:rFonts w:ascii="標楷體" w:eastAsia="標楷體" w:hAnsi="標楷體" w:hint="eastAsia"/>
          <w:bCs/>
          <w:sz w:val="32"/>
          <w:szCs w:val="32"/>
        </w:rPr>
        <w:t>五、111年度中央政府總預算有關教育部主管預算（公務預算）解凍案1案</w:t>
      </w:r>
      <w:r>
        <w:rPr>
          <w:rFonts w:ascii="標楷體" w:eastAsia="標楷體" w:hAnsi="標楷體" w:hint="eastAsia"/>
          <w:bCs/>
          <w:sz w:val="32"/>
          <w:szCs w:val="32"/>
        </w:rPr>
        <w:t>，處理</w:t>
      </w:r>
      <w:r w:rsidRPr="00B70493">
        <w:rPr>
          <w:rFonts w:ascii="標楷體" w:eastAsia="標楷體" w:hAnsi="標楷體" w:hint="eastAsia"/>
          <w:bCs/>
          <w:sz w:val="32"/>
          <w:szCs w:val="32"/>
        </w:rPr>
        <w:t>完竣，准予動支，提報院會。</w:t>
      </w:r>
    </w:p>
    <w:p w:rsidR="00B6184F" w:rsidRPr="00B70493" w:rsidRDefault="00B6184F" w:rsidP="00F035E0">
      <w:pPr>
        <w:snapToGrid w:val="0"/>
        <w:spacing w:line="460" w:lineRule="exact"/>
        <w:ind w:rightChars="9" w:right="22"/>
        <w:jc w:val="both"/>
        <w:rPr>
          <w:rFonts w:ascii="標楷體" w:eastAsia="標楷體" w:hAnsi="標楷體"/>
          <w:b/>
          <w:bCs/>
          <w:sz w:val="32"/>
          <w:szCs w:val="32"/>
        </w:rPr>
      </w:pPr>
      <w:r w:rsidRPr="00B70493">
        <w:rPr>
          <w:rFonts w:ascii="標楷體" w:eastAsia="標楷體" w:hAnsi="標楷體" w:hint="eastAsia"/>
          <w:b/>
          <w:bCs/>
          <w:sz w:val="32"/>
          <w:szCs w:val="32"/>
        </w:rPr>
        <w:t>散會</w:t>
      </w:r>
    </w:p>
    <w:p w:rsidR="00A52DD2" w:rsidRDefault="00A52DD2">
      <w:pPr>
        <w:widowControl/>
        <w:rPr>
          <w:rFonts w:ascii="標楷體" w:eastAsia="標楷體" w:hAnsi="標楷體"/>
          <w:b/>
          <w:bCs/>
          <w:sz w:val="32"/>
          <w:szCs w:val="32"/>
        </w:rPr>
      </w:pPr>
      <w:r>
        <w:rPr>
          <w:rFonts w:ascii="標楷體" w:eastAsia="標楷體" w:hAnsi="標楷體"/>
          <w:b/>
          <w:bCs/>
          <w:sz w:val="32"/>
          <w:szCs w:val="32"/>
        </w:rPr>
        <w:br w:type="page"/>
      </w:r>
    </w:p>
    <w:p w:rsidR="00A52DD2" w:rsidRPr="00D92739" w:rsidRDefault="00A52DD2" w:rsidP="00A52DD2">
      <w:pPr>
        <w:pStyle w:val="01-45"/>
        <w:rPr>
          <w:position w:val="2"/>
        </w:rPr>
      </w:pPr>
      <w:bookmarkStart w:id="278" w:name="_Toc126068186"/>
      <w:r w:rsidRPr="00D92739">
        <w:rPr>
          <w:rFonts w:hint="eastAsia"/>
        </w:rPr>
        <w:lastRenderedPageBreak/>
        <w:t>立法院第</w:t>
      </w:r>
      <w:r>
        <w:rPr>
          <w:rFonts w:hint="eastAsia"/>
        </w:rPr>
        <w:t>10</w:t>
      </w:r>
      <w:r w:rsidRPr="00D92739">
        <w:rPr>
          <w:rFonts w:hint="eastAsia"/>
        </w:rPr>
        <w:t>屆第</w:t>
      </w:r>
      <w:r>
        <w:t>6</w:t>
      </w:r>
      <w:r w:rsidRPr="00D92739">
        <w:rPr>
          <w:rFonts w:hint="eastAsia"/>
        </w:rPr>
        <w:t>會期教育及文化委員會第</w:t>
      </w:r>
      <w:r>
        <w:rPr>
          <w:rFonts w:hint="eastAsia"/>
        </w:rPr>
        <w:t>13</w:t>
      </w:r>
      <w:r w:rsidRPr="00D92739">
        <w:rPr>
          <w:rFonts w:hint="eastAsia"/>
        </w:rPr>
        <w:t>次全體委員會議議事錄</w:t>
      </w:r>
      <w:bookmarkEnd w:id="278"/>
    </w:p>
    <w:p w:rsidR="00A52DD2" w:rsidRDefault="00A52DD2" w:rsidP="00F035E0">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F45B16">
        <w:rPr>
          <w:rFonts w:ascii="標楷體" w:eastAsia="標楷體" w:hAnsi="標楷體"/>
          <w:kern w:val="0"/>
          <w:sz w:val="32"/>
          <w:szCs w:val="32"/>
          <w:fitText w:val="1600" w:id="-1323543040"/>
        </w:rPr>
        <w:t>時    間：</w:t>
      </w:r>
      <w:r w:rsidRPr="00214CF8">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11</w:t>
      </w:r>
      <w:r w:rsidRPr="00214CF8">
        <w:rPr>
          <w:rFonts w:ascii="標楷體" w:eastAsia="標楷體" w:hAnsi="標楷體" w:hint="eastAsia"/>
          <w:spacing w:val="-32"/>
          <w:kern w:val="0"/>
          <w:sz w:val="32"/>
          <w:szCs w:val="32"/>
        </w:rPr>
        <w:t>年</w:t>
      </w:r>
      <w:r>
        <w:rPr>
          <w:rFonts w:ascii="標楷體" w:eastAsia="標楷體" w:hAnsi="標楷體"/>
          <w:spacing w:val="-32"/>
          <w:kern w:val="0"/>
          <w:sz w:val="32"/>
          <w:szCs w:val="32"/>
        </w:rPr>
        <w:t>1</w:t>
      </w:r>
      <w:r>
        <w:rPr>
          <w:rFonts w:ascii="標楷體" w:eastAsia="標楷體" w:hAnsi="標楷體" w:hint="eastAsia"/>
          <w:spacing w:val="-32"/>
          <w:kern w:val="0"/>
          <w:sz w:val="32"/>
          <w:szCs w:val="32"/>
        </w:rPr>
        <w:t>2</w:t>
      </w:r>
      <w:r w:rsidRPr="00214CF8">
        <w:rPr>
          <w:rFonts w:ascii="標楷體" w:eastAsia="標楷體" w:hAnsi="標楷體" w:hint="eastAsia"/>
          <w:spacing w:val="-32"/>
          <w:kern w:val="0"/>
          <w:sz w:val="32"/>
          <w:szCs w:val="32"/>
        </w:rPr>
        <w:t>月</w:t>
      </w:r>
      <w:r>
        <w:rPr>
          <w:rFonts w:ascii="標楷體" w:eastAsia="標楷體" w:hAnsi="標楷體" w:hint="eastAsia"/>
          <w:spacing w:val="-32"/>
          <w:kern w:val="0"/>
          <w:sz w:val="32"/>
          <w:szCs w:val="32"/>
        </w:rPr>
        <w:t>7日（星期三</w:t>
      </w:r>
      <w:r w:rsidRPr="00214CF8">
        <w:rPr>
          <w:rFonts w:ascii="標楷體" w:eastAsia="標楷體" w:hAnsi="標楷體" w:hint="eastAsia"/>
          <w:spacing w:val="-32"/>
          <w:kern w:val="0"/>
          <w:sz w:val="32"/>
          <w:szCs w:val="32"/>
        </w:rPr>
        <w:t>）上午9時</w:t>
      </w:r>
      <w:r>
        <w:rPr>
          <w:rFonts w:ascii="標楷體" w:eastAsia="標楷體" w:hAnsi="標楷體"/>
          <w:spacing w:val="-32"/>
          <w:kern w:val="0"/>
          <w:sz w:val="32"/>
          <w:szCs w:val="32"/>
        </w:rPr>
        <w:t>3</w:t>
      </w:r>
      <w:r>
        <w:rPr>
          <w:rFonts w:ascii="標楷體" w:eastAsia="標楷體" w:hAnsi="標楷體" w:hint="eastAsia"/>
          <w:spacing w:val="-32"/>
          <w:kern w:val="0"/>
          <w:sz w:val="32"/>
          <w:szCs w:val="32"/>
        </w:rPr>
        <w:t>分</w:t>
      </w:r>
      <w:r w:rsidRPr="00214CF8">
        <w:rPr>
          <w:rFonts w:ascii="標楷體" w:eastAsia="標楷體" w:hAnsi="標楷體" w:hint="eastAsia"/>
          <w:spacing w:val="-32"/>
          <w:kern w:val="0"/>
          <w:sz w:val="32"/>
          <w:szCs w:val="32"/>
        </w:rPr>
        <w:t>至</w:t>
      </w:r>
      <w:r>
        <w:rPr>
          <w:rFonts w:ascii="標楷體" w:eastAsia="標楷體" w:hAnsi="標楷體"/>
          <w:spacing w:val="-32"/>
          <w:kern w:val="0"/>
          <w:sz w:val="32"/>
          <w:szCs w:val="32"/>
        </w:rPr>
        <w:t>1</w:t>
      </w:r>
      <w:r>
        <w:rPr>
          <w:rFonts w:ascii="標楷體" w:eastAsia="標楷體" w:hAnsi="標楷體" w:hint="eastAsia"/>
          <w:spacing w:val="-32"/>
          <w:kern w:val="0"/>
          <w:sz w:val="32"/>
          <w:szCs w:val="32"/>
        </w:rPr>
        <w:t>2</w:t>
      </w:r>
      <w:r w:rsidRPr="00214CF8">
        <w:rPr>
          <w:rFonts w:ascii="標楷體" w:eastAsia="標楷體" w:hAnsi="標楷體" w:hint="eastAsia"/>
          <w:spacing w:val="-32"/>
          <w:kern w:val="0"/>
          <w:sz w:val="32"/>
          <w:szCs w:val="32"/>
        </w:rPr>
        <w:t>時</w:t>
      </w:r>
      <w:r>
        <w:rPr>
          <w:rFonts w:ascii="標楷體" w:eastAsia="標楷體" w:hAnsi="標楷體"/>
          <w:spacing w:val="-32"/>
          <w:kern w:val="0"/>
          <w:sz w:val="32"/>
          <w:szCs w:val="32"/>
        </w:rPr>
        <w:t>5</w:t>
      </w:r>
      <w:r>
        <w:rPr>
          <w:rFonts w:ascii="標楷體" w:eastAsia="標楷體" w:hAnsi="標楷體" w:hint="eastAsia"/>
          <w:spacing w:val="-32"/>
          <w:kern w:val="0"/>
          <w:sz w:val="32"/>
          <w:szCs w:val="32"/>
        </w:rPr>
        <w:t>8</w:t>
      </w:r>
      <w:r w:rsidRPr="00214CF8">
        <w:rPr>
          <w:rFonts w:ascii="標楷體" w:eastAsia="標楷體" w:hAnsi="標楷體" w:hint="eastAsia"/>
          <w:spacing w:val="-32"/>
          <w:kern w:val="0"/>
          <w:sz w:val="32"/>
          <w:szCs w:val="32"/>
        </w:rPr>
        <w:t>分</w:t>
      </w:r>
    </w:p>
    <w:p w:rsidR="00A52DD2" w:rsidRPr="00034B21" w:rsidRDefault="00A52DD2" w:rsidP="00F035E0">
      <w:pPr>
        <w:snapToGrid w:val="0"/>
        <w:spacing w:line="460" w:lineRule="exact"/>
        <w:ind w:left="1280" w:rightChars="9" w:right="22" w:hangingChars="500" w:hanging="1280"/>
        <w:jc w:val="distribute"/>
        <w:rPr>
          <w:rFonts w:ascii="標楷體" w:eastAsia="標楷體" w:hAnsi="標楷體"/>
          <w:spacing w:val="-32"/>
          <w:kern w:val="0"/>
          <w:sz w:val="32"/>
          <w:szCs w:val="32"/>
        </w:rPr>
      </w:pPr>
      <w:r>
        <w:rPr>
          <w:rFonts w:ascii="標楷體" w:eastAsia="標楷體" w:hAnsi="標楷體" w:hint="eastAsia"/>
          <w:spacing w:val="-32"/>
          <w:kern w:val="0"/>
          <w:sz w:val="32"/>
          <w:szCs w:val="32"/>
        </w:rPr>
        <w:t xml:space="preserve">               </w:t>
      </w:r>
      <w:r w:rsidRPr="0082061E">
        <w:rPr>
          <w:rFonts w:ascii="標楷體" w:eastAsia="標楷體" w:hAnsi="標楷體" w:hint="eastAsia"/>
          <w:spacing w:val="-32"/>
          <w:kern w:val="0"/>
          <w:sz w:val="44"/>
          <w:szCs w:val="32"/>
        </w:rPr>
        <w:t xml:space="preserve"> </w:t>
      </w:r>
      <w:r w:rsidRPr="00712764">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11</w:t>
      </w:r>
      <w:r w:rsidRPr="00712764">
        <w:rPr>
          <w:rFonts w:ascii="標楷體" w:eastAsia="標楷體" w:hAnsi="標楷體" w:hint="eastAsia"/>
          <w:spacing w:val="-32"/>
          <w:kern w:val="0"/>
          <w:sz w:val="32"/>
          <w:szCs w:val="32"/>
        </w:rPr>
        <w:t>年</w:t>
      </w:r>
      <w:r>
        <w:rPr>
          <w:rFonts w:ascii="標楷體" w:eastAsia="標楷體" w:hAnsi="標楷體"/>
          <w:spacing w:val="-32"/>
          <w:kern w:val="0"/>
          <w:sz w:val="32"/>
          <w:szCs w:val="32"/>
        </w:rPr>
        <w:t>1</w:t>
      </w:r>
      <w:r>
        <w:rPr>
          <w:rFonts w:ascii="標楷體" w:eastAsia="標楷體" w:hAnsi="標楷體" w:hint="eastAsia"/>
          <w:spacing w:val="-32"/>
          <w:kern w:val="0"/>
          <w:sz w:val="32"/>
          <w:szCs w:val="32"/>
        </w:rPr>
        <w:t>2</w:t>
      </w:r>
      <w:r w:rsidRPr="00712764">
        <w:rPr>
          <w:rFonts w:ascii="標楷體" w:eastAsia="標楷體" w:hAnsi="標楷體" w:hint="eastAsia"/>
          <w:spacing w:val="-32"/>
          <w:kern w:val="0"/>
          <w:sz w:val="32"/>
          <w:szCs w:val="32"/>
        </w:rPr>
        <w:t>月</w:t>
      </w:r>
      <w:r>
        <w:rPr>
          <w:rFonts w:ascii="標楷體" w:eastAsia="標楷體" w:hAnsi="標楷體" w:hint="eastAsia"/>
          <w:spacing w:val="-32"/>
          <w:kern w:val="0"/>
          <w:sz w:val="32"/>
          <w:szCs w:val="32"/>
        </w:rPr>
        <w:t>8</w:t>
      </w:r>
      <w:r w:rsidRPr="00712764">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四</w:t>
      </w:r>
      <w:r w:rsidRPr="00712764">
        <w:rPr>
          <w:rFonts w:ascii="標楷體" w:eastAsia="標楷體" w:hAnsi="標楷體" w:hint="eastAsia"/>
          <w:spacing w:val="-32"/>
          <w:kern w:val="0"/>
          <w:sz w:val="32"/>
          <w:szCs w:val="32"/>
        </w:rPr>
        <w:t>）上午9時</w:t>
      </w:r>
      <w:r>
        <w:rPr>
          <w:rFonts w:ascii="標楷體" w:eastAsia="標楷體" w:hAnsi="標楷體" w:hint="eastAsia"/>
          <w:spacing w:val="-32"/>
          <w:kern w:val="0"/>
          <w:sz w:val="32"/>
          <w:szCs w:val="32"/>
        </w:rPr>
        <w:t>2分</w:t>
      </w:r>
      <w:r w:rsidRPr="00712764">
        <w:rPr>
          <w:rFonts w:ascii="標楷體" w:eastAsia="標楷體" w:hAnsi="標楷體" w:hint="eastAsia"/>
          <w:spacing w:val="-32"/>
          <w:kern w:val="0"/>
          <w:sz w:val="32"/>
          <w:szCs w:val="32"/>
        </w:rPr>
        <w:t>至</w:t>
      </w:r>
      <w:r>
        <w:rPr>
          <w:rFonts w:ascii="標楷體" w:eastAsia="標楷體" w:hAnsi="標楷體" w:hint="eastAsia"/>
          <w:spacing w:val="-32"/>
          <w:kern w:val="0"/>
          <w:sz w:val="32"/>
          <w:szCs w:val="32"/>
        </w:rPr>
        <w:t>下午</w:t>
      </w:r>
      <w:r>
        <w:rPr>
          <w:rFonts w:ascii="標楷體" w:eastAsia="標楷體" w:hAnsi="標楷體"/>
          <w:spacing w:val="-32"/>
          <w:kern w:val="0"/>
          <w:sz w:val="32"/>
          <w:szCs w:val="32"/>
        </w:rPr>
        <w:t>2</w:t>
      </w:r>
      <w:r w:rsidRPr="00712764">
        <w:rPr>
          <w:rFonts w:ascii="標楷體" w:eastAsia="標楷體" w:hAnsi="標楷體" w:hint="eastAsia"/>
          <w:spacing w:val="-32"/>
          <w:kern w:val="0"/>
          <w:sz w:val="32"/>
          <w:szCs w:val="32"/>
        </w:rPr>
        <w:t>時</w:t>
      </w:r>
      <w:r>
        <w:rPr>
          <w:rFonts w:ascii="標楷體" w:eastAsia="標楷體" w:hAnsi="標楷體"/>
          <w:spacing w:val="-32"/>
          <w:kern w:val="0"/>
          <w:sz w:val="32"/>
          <w:szCs w:val="32"/>
        </w:rPr>
        <w:t>34</w:t>
      </w:r>
      <w:r w:rsidRPr="00712764">
        <w:rPr>
          <w:rFonts w:ascii="標楷體" w:eastAsia="標楷體" w:hAnsi="標楷體" w:hint="eastAsia"/>
          <w:spacing w:val="-32"/>
          <w:kern w:val="0"/>
          <w:sz w:val="32"/>
          <w:szCs w:val="32"/>
        </w:rPr>
        <w:t>分</w:t>
      </w:r>
    </w:p>
    <w:p w:rsidR="00A52DD2" w:rsidRDefault="00A52DD2" w:rsidP="00F035E0">
      <w:pPr>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A52DD2" w:rsidRDefault="00A52DD2" w:rsidP="00F035E0">
      <w:pPr>
        <w:snapToGrid w:val="0"/>
        <w:spacing w:line="46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：何欣純  鄭正鈐  范  雲  萬美玲  黃國書  陳秀寳</w:t>
      </w:r>
    </w:p>
    <w:p w:rsidR="00A52DD2" w:rsidRDefault="00A52DD2" w:rsidP="00F035E0">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林宜瑾  王婉諭  吳思瑤  賴品妤  吳怡玎  張廖萬堅</w:t>
      </w:r>
    </w:p>
    <w:p w:rsidR="00A52DD2" w:rsidRDefault="00A52DD2" w:rsidP="00F035E0">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林奕華  高金素梅</w:t>
      </w:r>
    </w:p>
    <w:p w:rsidR="00A52DD2" w:rsidRDefault="00A52DD2" w:rsidP="00F035E0">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委員出席</w:t>
      </w:r>
      <w:r>
        <w:rPr>
          <w:rFonts w:ascii="標楷體" w:eastAsia="標楷體" w:hAnsi="標楷體"/>
          <w:sz w:val="32"/>
          <w:szCs w:val="32"/>
        </w:rPr>
        <w:t>14</w:t>
      </w:r>
      <w:r w:rsidRPr="008C78CE">
        <w:rPr>
          <w:rFonts w:ascii="標楷體" w:eastAsia="標楷體" w:hAnsi="標楷體" w:hint="eastAsia"/>
          <w:sz w:val="32"/>
          <w:szCs w:val="32"/>
        </w:rPr>
        <w:t>人</w:t>
      </w:r>
    </w:p>
    <w:p w:rsidR="00A52DD2" w:rsidRDefault="00A52DD2" w:rsidP="00F035E0">
      <w:pPr>
        <w:snapToGrid w:val="0"/>
        <w:spacing w:line="46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蘇巧慧  李貴敏  吳秉叡  游毓蘭  劉世芳  洪孟楷</w:t>
      </w:r>
    </w:p>
    <w:p w:rsidR="00A52DD2" w:rsidRDefault="00A52DD2" w:rsidP="00F035E0">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陳椒華  陳亭妃  林德福  張其祿  楊瓊瓔  羅明才</w:t>
      </w:r>
    </w:p>
    <w:p w:rsidR="00A52DD2" w:rsidRDefault="00A52DD2" w:rsidP="00F035E0">
      <w:pPr>
        <w:snapToGrid w:val="0"/>
        <w:spacing w:line="46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李德維</w:t>
      </w:r>
    </w:p>
    <w:p w:rsidR="00A52DD2" w:rsidRPr="008C78CE" w:rsidRDefault="00A52DD2" w:rsidP="00F035E0">
      <w:pPr>
        <w:snapToGrid w:val="0"/>
        <w:spacing w:line="460" w:lineRule="exact"/>
        <w:ind w:left="1920" w:rightChars="9" w:right="22" w:hangingChars="600" w:hanging="1920"/>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hint="eastAsia"/>
          <w:position w:val="2"/>
          <w:sz w:val="32"/>
          <w:szCs w:val="32"/>
        </w:rPr>
        <w:t>13</w:t>
      </w:r>
      <w:r w:rsidRPr="00BD716F">
        <w:rPr>
          <w:rFonts w:ascii="標楷體" w:eastAsia="標楷體" w:hAnsi="標楷體" w:hint="eastAsia"/>
          <w:position w:val="2"/>
          <w:sz w:val="32"/>
          <w:szCs w:val="32"/>
        </w:rPr>
        <w:t>人</w:t>
      </w:r>
    </w:p>
    <w:p w:rsidR="00A52DD2" w:rsidRPr="00ED0FE7" w:rsidRDefault="00A52DD2" w:rsidP="00F035E0">
      <w:pPr>
        <w:pStyle w:val="ac"/>
        <w:spacing w:line="500" w:lineRule="exact"/>
        <w:ind w:left="975" w:hanging="964"/>
        <w:contextualSpacing/>
        <w:rPr>
          <w:sz w:val="32"/>
          <w:szCs w:val="32"/>
        </w:rPr>
      </w:pPr>
      <w:r w:rsidRPr="00ED0FE7">
        <w:rPr>
          <w:sz w:val="32"/>
          <w:szCs w:val="32"/>
        </w:rPr>
        <w:t>列席人員</w:t>
      </w:r>
      <w:r w:rsidRPr="00ED0FE7">
        <w:rPr>
          <w:rFonts w:hint="eastAsia"/>
          <w:sz w:val="32"/>
          <w:szCs w:val="32"/>
        </w:rPr>
        <w:t>：(</w:t>
      </w:r>
      <w:r>
        <w:rPr>
          <w:sz w:val="32"/>
          <w:szCs w:val="32"/>
        </w:rPr>
        <w:t>1</w:t>
      </w:r>
      <w:r>
        <w:rPr>
          <w:rFonts w:hint="eastAsia"/>
          <w:sz w:val="32"/>
          <w:szCs w:val="32"/>
        </w:rPr>
        <w:t>2</w:t>
      </w:r>
      <w:r w:rsidRPr="00ED0FE7">
        <w:rPr>
          <w:rFonts w:hint="eastAsia"/>
          <w:sz w:val="32"/>
          <w:szCs w:val="32"/>
        </w:rPr>
        <w:t>月</w:t>
      </w:r>
      <w:r>
        <w:rPr>
          <w:rFonts w:hint="eastAsia"/>
          <w:sz w:val="32"/>
          <w:szCs w:val="32"/>
        </w:rPr>
        <w:t>7</w:t>
      </w:r>
      <w:r w:rsidRPr="00ED0FE7">
        <w:rPr>
          <w:rFonts w:hint="eastAsia"/>
          <w:sz w:val="32"/>
          <w:szCs w:val="32"/>
        </w:rPr>
        <w:t>日)</w:t>
      </w:r>
    </w:p>
    <w:p w:rsidR="00A52DD2" w:rsidRDefault="00A52DD2" w:rsidP="00F035E0">
      <w:pPr>
        <w:pStyle w:val="ac"/>
        <w:tabs>
          <w:tab w:val="left" w:pos="1418"/>
        </w:tabs>
        <w:spacing w:line="500" w:lineRule="exact"/>
        <w:ind w:left="975" w:hanging="964"/>
        <w:contextualSpacing/>
        <w:rPr>
          <w:spacing w:val="-2"/>
          <w:position w:val="2"/>
          <w:sz w:val="32"/>
          <w:szCs w:val="32"/>
        </w:rPr>
      </w:pPr>
      <w:r w:rsidRPr="00ED0FE7">
        <w:rPr>
          <w:rFonts w:hint="eastAsia"/>
          <w:sz w:val="32"/>
          <w:szCs w:val="32"/>
        </w:rPr>
        <w:t xml:space="preserve">        </w:t>
      </w:r>
      <w:r w:rsidRPr="001E3A9A">
        <w:rPr>
          <w:rFonts w:hint="eastAsia"/>
          <w:sz w:val="56"/>
          <w:szCs w:val="32"/>
        </w:rPr>
        <w:t xml:space="preserve"> </w:t>
      </w:r>
      <w:r>
        <w:rPr>
          <w:rFonts w:hint="eastAsia"/>
          <w:sz w:val="32"/>
          <w:szCs w:val="32"/>
        </w:rPr>
        <w:t>中央研究院院長</w:t>
      </w:r>
      <w:r w:rsidRPr="0036491E">
        <w:rPr>
          <w:rFonts w:hint="eastAsia"/>
          <w:sz w:val="44"/>
          <w:szCs w:val="32"/>
        </w:rPr>
        <w:t xml:space="preserve"> </w:t>
      </w:r>
      <w:r>
        <w:rPr>
          <w:rFonts w:hint="eastAsia"/>
          <w:sz w:val="32"/>
          <w:szCs w:val="32"/>
        </w:rPr>
        <w:t xml:space="preserve">               廖俊智</w:t>
      </w:r>
      <w:r w:rsidRPr="00ED0FE7">
        <w:rPr>
          <w:rFonts w:hint="eastAsia"/>
          <w:spacing w:val="-2"/>
          <w:position w:val="2"/>
          <w:sz w:val="32"/>
          <w:szCs w:val="32"/>
        </w:rPr>
        <w:t>率同有關人員</w:t>
      </w:r>
    </w:p>
    <w:p w:rsidR="00A52DD2" w:rsidRDefault="00A52DD2" w:rsidP="00F035E0">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行政院主計總處公務預算處</w:t>
      </w:r>
      <w:r w:rsidRPr="0021150E">
        <w:rPr>
          <w:rFonts w:hint="eastAsia"/>
          <w:spacing w:val="-2"/>
          <w:position w:val="2"/>
          <w:sz w:val="32"/>
          <w:szCs w:val="32"/>
        </w:rPr>
        <w:t>專門委員</w:t>
      </w:r>
      <w:r>
        <w:rPr>
          <w:rFonts w:hint="eastAsia"/>
          <w:spacing w:val="-2"/>
          <w:position w:val="2"/>
          <w:sz w:val="32"/>
          <w:szCs w:val="32"/>
        </w:rPr>
        <w:t xml:space="preserve">           廖玉琳</w:t>
      </w:r>
    </w:p>
    <w:p w:rsidR="00A52DD2" w:rsidRDefault="00A52DD2" w:rsidP="00F035E0">
      <w:pPr>
        <w:pStyle w:val="ac"/>
        <w:tabs>
          <w:tab w:val="left" w:pos="1418"/>
        </w:tabs>
        <w:spacing w:line="500" w:lineRule="exact"/>
        <w:ind w:left="975" w:hanging="964"/>
        <w:contextualSpacing/>
        <w:rPr>
          <w:sz w:val="40"/>
          <w:szCs w:val="32"/>
        </w:rPr>
      </w:pPr>
      <w:r>
        <w:rPr>
          <w:rFonts w:hint="eastAsia"/>
          <w:spacing w:val="-2"/>
          <w:position w:val="2"/>
          <w:sz w:val="32"/>
          <w:szCs w:val="32"/>
        </w:rPr>
        <w:t xml:space="preserve">          </w:t>
      </w:r>
      <w:r w:rsidRPr="0021150E">
        <w:rPr>
          <w:rFonts w:hint="eastAsia"/>
          <w:spacing w:val="-2"/>
          <w:position w:val="2"/>
          <w:sz w:val="32"/>
          <w:szCs w:val="32"/>
        </w:rPr>
        <w:t>行政院主計總處基金預算處</w:t>
      </w:r>
      <w:r>
        <w:rPr>
          <w:rFonts w:hint="eastAsia"/>
          <w:spacing w:val="-2"/>
          <w:position w:val="2"/>
          <w:sz w:val="32"/>
          <w:szCs w:val="32"/>
        </w:rPr>
        <w:t>專門委員           吳婉玉</w:t>
      </w:r>
    </w:p>
    <w:p w:rsidR="00A52DD2" w:rsidRPr="00ED0FE7" w:rsidRDefault="00A52DD2" w:rsidP="00F035E0">
      <w:pPr>
        <w:pStyle w:val="ac"/>
        <w:spacing w:line="500" w:lineRule="exact"/>
        <w:ind w:left="975" w:hanging="964"/>
        <w:contextualSpacing/>
        <w:rPr>
          <w:spacing w:val="-2"/>
          <w:position w:val="2"/>
          <w:sz w:val="32"/>
          <w:szCs w:val="32"/>
        </w:rPr>
      </w:pPr>
      <w:r w:rsidRPr="00ED0FE7">
        <w:rPr>
          <w:rFonts w:hint="eastAsia"/>
          <w:spacing w:val="-2"/>
          <w:position w:val="2"/>
          <w:sz w:val="32"/>
          <w:szCs w:val="32"/>
        </w:rPr>
        <w:t xml:space="preserve">          (</w:t>
      </w:r>
      <w:r>
        <w:rPr>
          <w:spacing w:val="-2"/>
          <w:position w:val="2"/>
          <w:sz w:val="32"/>
          <w:szCs w:val="32"/>
        </w:rPr>
        <w:t>1</w:t>
      </w:r>
      <w:r>
        <w:rPr>
          <w:rFonts w:hint="eastAsia"/>
          <w:spacing w:val="-2"/>
          <w:position w:val="2"/>
          <w:sz w:val="32"/>
          <w:szCs w:val="32"/>
        </w:rPr>
        <w:t>2</w:t>
      </w:r>
      <w:r w:rsidRPr="00ED0FE7">
        <w:rPr>
          <w:rFonts w:hint="eastAsia"/>
          <w:spacing w:val="-2"/>
          <w:position w:val="2"/>
          <w:sz w:val="32"/>
          <w:szCs w:val="32"/>
        </w:rPr>
        <w:t>月</w:t>
      </w:r>
      <w:r>
        <w:rPr>
          <w:rFonts w:hint="eastAsia"/>
          <w:spacing w:val="-2"/>
          <w:position w:val="2"/>
          <w:sz w:val="32"/>
          <w:szCs w:val="32"/>
        </w:rPr>
        <w:t>8</w:t>
      </w:r>
      <w:r w:rsidRPr="00ED0FE7">
        <w:rPr>
          <w:rFonts w:hint="eastAsia"/>
          <w:spacing w:val="-2"/>
          <w:position w:val="2"/>
          <w:sz w:val="32"/>
          <w:szCs w:val="32"/>
        </w:rPr>
        <w:t>日)</w:t>
      </w:r>
    </w:p>
    <w:p w:rsidR="00A52DD2" w:rsidRDefault="00A52DD2" w:rsidP="00F035E0">
      <w:pPr>
        <w:pStyle w:val="ac"/>
        <w:tabs>
          <w:tab w:val="left" w:pos="1418"/>
        </w:tabs>
        <w:spacing w:line="500" w:lineRule="exact"/>
        <w:ind w:left="975" w:hanging="964"/>
        <w:contextualSpacing/>
        <w:rPr>
          <w:spacing w:val="-2"/>
          <w:position w:val="2"/>
          <w:sz w:val="32"/>
          <w:szCs w:val="32"/>
        </w:rPr>
      </w:pPr>
      <w:r w:rsidRPr="00ED0FE7">
        <w:rPr>
          <w:rFonts w:hint="eastAsia"/>
          <w:spacing w:val="-2"/>
          <w:position w:val="2"/>
          <w:sz w:val="32"/>
          <w:szCs w:val="32"/>
        </w:rPr>
        <w:t xml:space="preserve"> </w:t>
      </w:r>
      <w:r w:rsidRPr="00B71736">
        <w:rPr>
          <w:rFonts w:hint="eastAsia"/>
          <w:spacing w:val="-2"/>
          <w:position w:val="2"/>
          <w:sz w:val="36"/>
          <w:szCs w:val="32"/>
        </w:rPr>
        <w:t xml:space="preserve"> </w:t>
      </w:r>
      <w:r w:rsidRPr="00ED0FE7">
        <w:rPr>
          <w:rFonts w:hint="eastAsia"/>
          <w:spacing w:val="-2"/>
          <w:position w:val="2"/>
          <w:sz w:val="32"/>
          <w:szCs w:val="32"/>
        </w:rPr>
        <w:t xml:space="preserve">    </w:t>
      </w:r>
      <w:r w:rsidRPr="00B71736">
        <w:rPr>
          <w:rFonts w:hint="eastAsia"/>
          <w:spacing w:val="-2"/>
          <w:position w:val="2"/>
          <w:sz w:val="40"/>
          <w:szCs w:val="32"/>
        </w:rPr>
        <w:t xml:space="preserve"> </w:t>
      </w:r>
      <w:r w:rsidRPr="00ED0FE7">
        <w:rPr>
          <w:rFonts w:hint="eastAsia"/>
          <w:spacing w:val="-2"/>
          <w:position w:val="2"/>
          <w:sz w:val="32"/>
          <w:szCs w:val="32"/>
        </w:rPr>
        <w:t xml:space="preserve"> </w:t>
      </w:r>
      <w:r w:rsidRPr="00B71736">
        <w:rPr>
          <w:rFonts w:hint="eastAsia"/>
          <w:spacing w:val="-2"/>
          <w:position w:val="2"/>
          <w:sz w:val="56"/>
          <w:szCs w:val="32"/>
        </w:rPr>
        <w:t xml:space="preserve"> </w:t>
      </w:r>
      <w:r>
        <w:rPr>
          <w:rFonts w:hint="eastAsia"/>
          <w:sz w:val="32"/>
          <w:szCs w:val="32"/>
        </w:rPr>
        <w:t>國家科學及技術委員會主任委員</w:t>
      </w:r>
      <w:r w:rsidRPr="0036491E">
        <w:rPr>
          <w:rFonts w:hint="eastAsia"/>
          <w:sz w:val="44"/>
          <w:szCs w:val="32"/>
        </w:rPr>
        <w:t xml:space="preserve"> </w:t>
      </w:r>
      <w:r>
        <w:rPr>
          <w:rFonts w:hint="eastAsia"/>
          <w:sz w:val="32"/>
          <w:szCs w:val="32"/>
        </w:rPr>
        <w:t xml:space="preserve"> </w:t>
      </w:r>
      <w:r w:rsidRPr="0036491E">
        <w:rPr>
          <w:rFonts w:hint="eastAsia"/>
          <w:sz w:val="32"/>
          <w:szCs w:val="32"/>
        </w:rPr>
        <w:t>吳政忠</w:t>
      </w:r>
      <w:r w:rsidRPr="00ED0FE7">
        <w:rPr>
          <w:rFonts w:hint="eastAsia"/>
          <w:spacing w:val="-2"/>
          <w:position w:val="2"/>
          <w:sz w:val="32"/>
          <w:szCs w:val="32"/>
        </w:rPr>
        <w:t>率同有關人員</w:t>
      </w:r>
    </w:p>
    <w:p w:rsidR="00A52DD2" w:rsidRDefault="00A52DD2" w:rsidP="00F035E0">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行政法人國家災害防救科技中心董事長         陳宗權</w:t>
      </w:r>
    </w:p>
    <w:p w:rsidR="00A52DD2" w:rsidRDefault="00A52DD2" w:rsidP="00F035E0">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行政院主計總處公務預算處科長               </w:t>
      </w:r>
      <w:r w:rsidRPr="00880EBF">
        <w:rPr>
          <w:rFonts w:hint="eastAsia"/>
          <w:spacing w:val="-2"/>
          <w:position w:val="2"/>
          <w:sz w:val="32"/>
          <w:szCs w:val="32"/>
        </w:rPr>
        <w:t>嚴于屏</w:t>
      </w:r>
    </w:p>
    <w:p w:rsidR="00A52DD2" w:rsidRDefault="00A52DD2" w:rsidP="00F035E0">
      <w:pPr>
        <w:pStyle w:val="ac"/>
        <w:tabs>
          <w:tab w:val="left" w:pos="1418"/>
        </w:tabs>
        <w:spacing w:line="500" w:lineRule="exact"/>
        <w:ind w:left="975" w:hanging="964"/>
        <w:contextualSpacing/>
        <w:rPr>
          <w:sz w:val="40"/>
          <w:szCs w:val="32"/>
        </w:rPr>
      </w:pPr>
      <w:r>
        <w:rPr>
          <w:rFonts w:hint="eastAsia"/>
          <w:spacing w:val="-2"/>
          <w:position w:val="2"/>
          <w:sz w:val="32"/>
          <w:szCs w:val="32"/>
        </w:rPr>
        <w:t xml:space="preserve">          </w:t>
      </w:r>
      <w:r w:rsidRPr="0021150E">
        <w:rPr>
          <w:rFonts w:hint="eastAsia"/>
          <w:spacing w:val="-2"/>
          <w:position w:val="2"/>
          <w:sz w:val="32"/>
          <w:szCs w:val="32"/>
        </w:rPr>
        <w:t>行政院主計總處基金預算處科長</w:t>
      </w:r>
      <w:r>
        <w:rPr>
          <w:rFonts w:hint="eastAsia"/>
          <w:spacing w:val="-2"/>
          <w:position w:val="2"/>
          <w:sz w:val="32"/>
          <w:szCs w:val="32"/>
        </w:rPr>
        <w:t xml:space="preserve">               柳雅斐</w:t>
      </w:r>
    </w:p>
    <w:p w:rsidR="00A52DD2" w:rsidRPr="006C6684" w:rsidRDefault="00A52DD2" w:rsidP="00F035E0">
      <w:pPr>
        <w:pStyle w:val="ac"/>
        <w:tabs>
          <w:tab w:val="left" w:pos="1418"/>
        </w:tabs>
        <w:spacing w:line="500" w:lineRule="exact"/>
        <w:ind w:left="975" w:hanging="964"/>
        <w:contextualSpacing/>
        <w:rPr>
          <w:sz w:val="32"/>
          <w:szCs w:val="32"/>
        </w:rPr>
      </w:pPr>
      <w:r w:rsidRPr="00C2349A">
        <w:rPr>
          <w:sz w:val="32"/>
          <w:szCs w:val="32"/>
        </w:rPr>
        <w:t>主    席</w:t>
      </w:r>
      <w:r w:rsidRPr="00C2349A">
        <w:rPr>
          <w:rFonts w:hint="eastAsia"/>
          <w:sz w:val="32"/>
          <w:szCs w:val="32"/>
        </w:rPr>
        <w:t>：</w:t>
      </w:r>
      <w:r>
        <w:rPr>
          <w:rFonts w:hint="eastAsia"/>
          <w:sz w:val="32"/>
          <w:szCs w:val="32"/>
        </w:rPr>
        <w:t>鄭</w:t>
      </w:r>
      <w:r w:rsidRPr="00C2349A">
        <w:rPr>
          <w:sz w:val="32"/>
          <w:szCs w:val="32"/>
        </w:rPr>
        <w:t>召集委員</w:t>
      </w:r>
      <w:r>
        <w:rPr>
          <w:rFonts w:hint="eastAsia"/>
          <w:sz w:val="32"/>
          <w:szCs w:val="32"/>
        </w:rPr>
        <w:t>正鈐</w:t>
      </w:r>
    </w:p>
    <w:p w:rsidR="00A52DD2" w:rsidRDefault="00A52DD2" w:rsidP="00F035E0">
      <w:pPr>
        <w:snapToGrid w:val="0"/>
        <w:spacing w:line="500" w:lineRule="exact"/>
        <w:ind w:rightChars="9" w:right="22"/>
        <w:jc w:val="both"/>
        <w:rPr>
          <w:rFonts w:ascii="標楷體" w:eastAsia="標楷體" w:hAnsi="標楷體"/>
          <w:sz w:val="32"/>
          <w:szCs w:val="32"/>
        </w:rPr>
      </w:pPr>
      <w:r w:rsidRPr="00073979">
        <w:rPr>
          <w:rFonts w:ascii="標楷體" w:eastAsia="標楷體" w:hAnsi="標楷體" w:hint="eastAsia"/>
          <w:sz w:val="32"/>
          <w:szCs w:val="32"/>
        </w:rPr>
        <w:t>主任秘書：陳錫欽</w:t>
      </w:r>
    </w:p>
    <w:p w:rsidR="00A52DD2" w:rsidRPr="008C78CE" w:rsidRDefault="00A52DD2" w:rsidP="00F035E0">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朱蔚菁</w:t>
      </w:r>
    </w:p>
    <w:p w:rsidR="00A52DD2" w:rsidRDefault="00A52DD2" w:rsidP="00F035E0">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林素惠  簡任編審  蔡月秋  科長  蔡國治</w:t>
      </w:r>
    </w:p>
    <w:p w:rsidR="00A52DD2" w:rsidRPr="00121576" w:rsidRDefault="00A52DD2" w:rsidP="00F035E0">
      <w:pPr>
        <w:snapToGrid w:val="0"/>
        <w:spacing w:line="50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A52DD2" w:rsidRPr="00E94241" w:rsidRDefault="00A52DD2" w:rsidP="00F035E0">
      <w:pPr>
        <w:snapToGrid w:val="0"/>
        <w:spacing w:line="460" w:lineRule="exact"/>
        <w:rPr>
          <w:rFonts w:ascii="標楷體" w:eastAsia="標楷體"/>
          <w:sz w:val="32"/>
          <w:szCs w:val="32"/>
        </w:rPr>
      </w:pPr>
      <w:r w:rsidRPr="00E94241">
        <w:rPr>
          <w:rFonts w:ascii="標楷體" w:eastAsia="標楷體" w:hint="eastAsia"/>
          <w:sz w:val="32"/>
          <w:szCs w:val="32"/>
        </w:rPr>
        <w:t>（12月7日）</w:t>
      </w:r>
    </w:p>
    <w:p w:rsidR="00A52DD2" w:rsidRPr="00E94241" w:rsidRDefault="00A52DD2" w:rsidP="00F035E0">
      <w:pPr>
        <w:snapToGrid w:val="0"/>
        <w:spacing w:line="460" w:lineRule="exact"/>
        <w:rPr>
          <w:b/>
          <w:sz w:val="32"/>
          <w:szCs w:val="32"/>
        </w:rPr>
      </w:pPr>
      <w:r w:rsidRPr="00E94241">
        <w:rPr>
          <w:rFonts w:ascii="標楷體" w:eastAsia="標楷體" w:hAnsi="標楷體" w:hint="eastAsia"/>
          <w:b/>
          <w:sz w:val="32"/>
          <w:szCs w:val="32"/>
        </w:rPr>
        <w:t>報  告  事  項</w:t>
      </w:r>
    </w:p>
    <w:p w:rsidR="00A52DD2" w:rsidRPr="00E94241" w:rsidRDefault="00A52DD2" w:rsidP="00F035E0">
      <w:pPr>
        <w:snapToGrid w:val="0"/>
        <w:spacing w:line="460" w:lineRule="exact"/>
        <w:contextualSpacing/>
        <w:rPr>
          <w:rFonts w:ascii="標楷體" w:eastAsia="標楷體"/>
          <w:sz w:val="32"/>
          <w:szCs w:val="32"/>
        </w:rPr>
      </w:pPr>
      <w:r w:rsidRPr="00E94241">
        <w:rPr>
          <w:rFonts w:ascii="標楷體" w:eastAsia="標楷體" w:hint="eastAsia"/>
          <w:sz w:val="32"/>
          <w:szCs w:val="32"/>
        </w:rPr>
        <w:t>宣讀上次會議議事錄。</w:t>
      </w:r>
    </w:p>
    <w:p w:rsidR="00A52DD2" w:rsidRPr="00A813C6" w:rsidRDefault="00A52DD2" w:rsidP="00F035E0">
      <w:pPr>
        <w:snapToGrid w:val="0"/>
        <w:spacing w:afterLines="50" w:after="180" w:line="460" w:lineRule="exact"/>
        <w:rPr>
          <w:rFonts w:ascii="標楷體" w:eastAsia="標楷體" w:hAnsi="標楷體"/>
          <w:sz w:val="32"/>
          <w:szCs w:val="32"/>
        </w:rPr>
      </w:pPr>
      <w:r w:rsidRPr="00A813C6">
        <w:rPr>
          <w:rFonts w:ascii="標楷體" w:eastAsia="標楷體" w:hAnsi="標楷體" w:hint="eastAsia"/>
          <w:b/>
          <w:sz w:val="32"/>
          <w:szCs w:val="32"/>
        </w:rPr>
        <w:lastRenderedPageBreak/>
        <w:t>決定</w:t>
      </w:r>
      <w:r w:rsidRPr="00A813C6">
        <w:rPr>
          <w:rFonts w:ascii="標楷體" w:eastAsia="標楷體" w:hAnsi="標楷體" w:hint="eastAsia"/>
          <w:sz w:val="32"/>
          <w:szCs w:val="32"/>
        </w:rPr>
        <w:t>：議事錄確定</w:t>
      </w:r>
      <w:r>
        <w:rPr>
          <w:rFonts w:ascii="標楷體" w:eastAsia="標楷體" w:hAnsi="標楷體" w:hint="eastAsia"/>
          <w:sz w:val="32"/>
          <w:szCs w:val="32"/>
        </w:rPr>
        <w:t>。</w:t>
      </w:r>
    </w:p>
    <w:p w:rsidR="00A52DD2" w:rsidRPr="00E94241" w:rsidRDefault="00A52DD2" w:rsidP="00F035E0">
      <w:pPr>
        <w:snapToGrid w:val="0"/>
        <w:spacing w:before="120" w:afterLines="50" w:after="180" w:line="460" w:lineRule="exact"/>
        <w:rPr>
          <w:b/>
          <w:sz w:val="32"/>
          <w:szCs w:val="32"/>
        </w:rPr>
      </w:pPr>
      <w:r w:rsidRPr="00E94241">
        <w:rPr>
          <w:rFonts w:ascii="標楷體" w:eastAsia="標楷體" w:hAnsi="標楷體" w:hint="eastAsia"/>
          <w:b/>
          <w:sz w:val="32"/>
          <w:szCs w:val="32"/>
        </w:rPr>
        <w:t>討  論  事  項</w:t>
      </w:r>
    </w:p>
    <w:p w:rsidR="00A52DD2" w:rsidRPr="00E94241" w:rsidRDefault="00A52DD2" w:rsidP="006934DD">
      <w:pPr>
        <w:numPr>
          <w:ilvl w:val="0"/>
          <w:numId w:val="39"/>
        </w:numPr>
        <w:snapToGrid w:val="0"/>
        <w:spacing w:line="460" w:lineRule="exact"/>
        <w:rPr>
          <w:rFonts w:ascii="標楷體" w:eastAsia="標楷體"/>
          <w:b/>
          <w:sz w:val="32"/>
          <w:szCs w:val="32"/>
        </w:rPr>
      </w:pPr>
      <w:r w:rsidRPr="00E94241">
        <w:rPr>
          <w:rFonts w:ascii="標楷體" w:eastAsia="標楷體" w:hint="eastAsia"/>
          <w:b/>
          <w:sz w:val="32"/>
          <w:szCs w:val="32"/>
        </w:rPr>
        <w:t>繼續審查112年度中央政府總預算案有關中央研究院單位預算案。</w:t>
      </w:r>
    </w:p>
    <w:p w:rsidR="00A52DD2" w:rsidRPr="00E94241" w:rsidRDefault="00A52DD2" w:rsidP="006934DD">
      <w:pPr>
        <w:numPr>
          <w:ilvl w:val="0"/>
          <w:numId w:val="39"/>
        </w:numPr>
        <w:snapToGrid w:val="0"/>
        <w:spacing w:line="460" w:lineRule="exact"/>
        <w:rPr>
          <w:rFonts w:ascii="標楷體" w:eastAsia="標楷體"/>
          <w:b/>
          <w:sz w:val="32"/>
          <w:szCs w:val="32"/>
        </w:rPr>
      </w:pPr>
      <w:r w:rsidRPr="00E94241">
        <w:rPr>
          <w:rFonts w:ascii="標楷體" w:eastAsia="標楷體" w:hint="eastAsia"/>
          <w:b/>
          <w:sz w:val="32"/>
          <w:szCs w:val="32"/>
        </w:rPr>
        <w:t>繼續審查112年度中央政府總預算案有關中央研究院科學研究基金附屬單位預算案。</w:t>
      </w:r>
    </w:p>
    <w:p w:rsidR="00A52DD2" w:rsidRPr="0000524E" w:rsidRDefault="00A52DD2" w:rsidP="00F035E0">
      <w:pPr>
        <w:snapToGrid w:val="0"/>
        <w:spacing w:beforeLines="50" w:before="180" w:line="520" w:lineRule="exact"/>
        <w:ind w:left="641" w:hangingChars="200" w:hanging="641"/>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A52DD2" w:rsidRPr="00B90082" w:rsidRDefault="00A52DD2" w:rsidP="00F035E0">
      <w:pPr>
        <w:snapToGrid w:val="0"/>
        <w:spacing w:beforeLines="50" w:before="180" w:line="460" w:lineRule="exact"/>
        <w:ind w:left="640" w:hangingChars="200" w:hanging="640"/>
        <w:rPr>
          <w:rFonts w:ascii="標楷體" w:eastAsia="標楷體" w:hAnsi="標楷體"/>
          <w:bCs/>
          <w:sz w:val="32"/>
          <w:szCs w:val="32"/>
        </w:rPr>
      </w:pPr>
      <w:r w:rsidRPr="00B90082">
        <w:rPr>
          <w:rFonts w:ascii="標楷體" w:eastAsia="標楷體" w:hAnsi="標楷體" w:hint="eastAsia"/>
          <w:bCs/>
          <w:sz w:val="32"/>
          <w:szCs w:val="32"/>
        </w:rPr>
        <w:t>一、112年度中央政府總預算案有關中央研究院單位預算案，審查完竣。審查結果如下：</w:t>
      </w:r>
    </w:p>
    <w:p w:rsidR="00A52DD2" w:rsidRPr="00B90082" w:rsidRDefault="00A52DD2" w:rsidP="00F035E0">
      <w:pPr>
        <w:snapToGrid w:val="0"/>
        <w:spacing w:before="50" w:line="500" w:lineRule="exact"/>
        <w:rPr>
          <w:rFonts w:ascii="標楷體" w:eastAsia="標楷體" w:hAnsi="標楷體"/>
          <w:sz w:val="32"/>
          <w:szCs w:val="32"/>
        </w:rPr>
      </w:pPr>
      <w:r w:rsidRPr="00B90082">
        <w:rPr>
          <w:rFonts w:ascii="標楷體" w:eastAsia="標楷體" w:hAnsi="標楷體"/>
          <w:sz w:val="32"/>
          <w:szCs w:val="32"/>
        </w:rPr>
        <w:t>歲入部分</w:t>
      </w:r>
    </w:p>
    <w:p w:rsidR="00A52DD2" w:rsidRPr="00B90082" w:rsidRDefault="00A52DD2" w:rsidP="00F035E0">
      <w:pPr>
        <w:snapToGrid w:val="0"/>
        <w:spacing w:before="50" w:line="500" w:lineRule="exact"/>
        <w:rPr>
          <w:rFonts w:ascii="標楷體" w:eastAsia="標楷體" w:hAnsi="標楷體"/>
          <w:sz w:val="32"/>
          <w:szCs w:val="32"/>
        </w:rPr>
      </w:pPr>
      <w:r w:rsidRPr="00B90082">
        <w:rPr>
          <w:rFonts w:ascii="標楷體" w:eastAsia="標楷體" w:hAnsi="標楷體"/>
          <w:sz w:val="32"/>
          <w:szCs w:val="32"/>
        </w:rPr>
        <w:t>第2款　罰款及賠償收入</w:t>
      </w:r>
    </w:p>
    <w:p w:rsidR="00A52DD2" w:rsidRPr="00B90082" w:rsidRDefault="00A52DD2" w:rsidP="00F035E0">
      <w:pPr>
        <w:snapToGrid w:val="0"/>
        <w:spacing w:before="50" w:line="500" w:lineRule="exact"/>
        <w:ind w:leftChars="100" w:left="1520" w:hangingChars="400" w:hanging="1280"/>
        <w:rPr>
          <w:rFonts w:ascii="標楷體" w:eastAsia="標楷體" w:hAnsi="標楷體"/>
          <w:sz w:val="32"/>
          <w:szCs w:val="32"/>
        </w:rPr>
      </w:pPr>
      <w:r w:rsidRPr="00B90082">
        <w:rPr>
          <w:rFonts w:ascii="標楷體" w:eastAsia="標楷體" w:hAnsi="標楷體"/>
          <w:sz w:val="32"/>
          <w:szCs w:val="32"/>
        </w:rPr>
        <w:t>第4項　中央研究院5</w:t>
      </w:r>
      <w:r w:rsidRPr="00B90082">
        <w:rPr>
          <w:rFonts w:ascii="標楷體" w:eastAsia="標楷體" w:hAnsi="標楷體" w:hint="eastAsia"/>
          <w:sz w:val="32"/>
          <w:szCs w:val="32"/>
        </w:rPr>
        <w:t>0</w:t>
      </w:r>
      <w:r w:rsidRPr="00B90082">
        <w:rPr>
          <w:rFonts w:ascii="標楷體" w:eastAsia="標楷體" w:hAnsi="標楷體"/>
          <w:sz w:val="32"/>
          <w:szCs w:val="32"/>
        </w:rPr>
        <w:t>0萬元，</w:t>
      </w:r>
      <w:r w:rsidRPr="00B90082">
        <w:rPr>
          <w:rFonts w:ascii="標楷體" w:eastAsia="標楷體" w:hAnsi="標楷體" w:hint="eastAsia"/>
          <w:sz w:val="32"/>
          <w:szCs w:val="32"/>
        </w:rPr>
        <w:t>照列。</w:t>
      </w:r>
    </w:p>
    <w:p w:rsidR="00A52DD2" w:rsidRPr="00B90082" w:rsidRDefault="00A52DD2" w:rsidP="00F035E0">
      <w:pPr>
        <w:snapToGrid w:val="0"/>
        <w:spacing w:before="50" w:line="500" w:lineRule="exact"/>
        <w:rPr>
          <w:rFonts w:ascii="標楷體" w:eastAsia="標楷體" w:hAnsi="標楷體"/>
          <w:sz w:val="32"/>
          <w:szCs w:val="32"/>
        </w:rPr>
      </w:pPr>
      <w:r w:rsidRPr="00B90082">
        <w:rPr>
          <w:rFonts w:ascii="標楷體" w:eastAsia="標楷體" w:hAnsi="標楷體"/>
          <w:sz w:val="32"/>
          <w:szCs w:val="32"/>
        </w:rPr>
        <w:t>第4款　財產收入</w:t>
      </w:r>
    </w:p>
    <w:p w:rsidR="00A52DD2" w:rsidRPr="00B90082" w:rsidRDefault="00A52DD2" w:rsidP="00F035E0">
      <w:pPr>
        <w:snapToGrid w:val="0"/>
        <w:spacing w:before="50" w:line="500" w:lineRule="exact"/>
        <w:ind w:leftChars="100" w:left="1520" w:hangingChars="400" w:hanging="1280"/>
        <w:rPr>
          <w:rFonts w:ascii="標楷體" w:eastAsia="標楷體" w:hAnsi="標楷體"/>
          <w:sz w:val="32"/>
          <w:szCs w:val="32"/>
        </w:rPr>
      </w:pPr>
      <w:r w:rsidRPr="00B90082">
        <w:rPr>
          <w:rFonts w:ascii="標楷體" w:eastAsia="標楷體" w:hAnsi="標楷體"/>
          <w:sz w:val="32"/>
          <w:szCs w:val="32"/>
        </w:rPr>
        <w:t>第5項　中央研究院</w:t>
      </w:r>
      <w:r w:rsidRPr="00B90082">
        <w:rPr>
          <w:rFonts w:ascii="標楷體" w:eastAsia="標楷體" w:hAnsi="標楷體" w:hint="eastAsia"/>
          <w:sz w:val="32"/>
          <w:szCs w:val="32"/>
        </w:rPr>
        <w:t>523</w:t>
      </w:r>
      <w:r w:rsidRPr="00B90082">
        <w:rPr>
          <w:rFonts w:ascii="標楷體" w:eastAsia="標楷體" w:hAnsi="標楷體" w:hint="eastAsia"/>
          <w:sz w:val="32"/>
        </w:rPr>
        <w:t>萬4千元</w:t>
      </w:r>
      <w:r w:rsidRPr="00B90082">
        <w:rPr>
          <w:rFonts w:ascii="標楷體" w:eastAsia="標楷體" w:hAnsi="標楷體" w:hint="eastAsia"/>
          <w:sz w:val="32"/>
          <w:szCs w:val="32"/>
        </w:rPr>
        <w:t>，照列</w:t>
      </w:r>
      <w:r w:rsidRPr="00B90082">
        <w:rPr>
          <w:rFonts w:ascii="標楷體" w:eastAsia="標楷體" w:hAnsi="標楷體"/>
          <w:sz w:val="32"/>
          <w:szCs w:val="32"/>
        </w:rPr>
        <w:t>。</w:t>
      </w:r>
    </w:p>
    <w:p w:rsidR="00A52DD2" w:rsidRPr="00B90082" w:rsidRDefault="00A52DD2" w:rsidP="00F035E0">
      <w:pPr>
        <w:snapToGrid w:val="0"/>
        <w:spacing w:before="50" w:line="500" w:lineRule="exact"/>
        <w:rPr>
          <w:rFonts w:ascii="標楷體" w:eastAsia="標楷體" w:hAnsi="標楷體"/>
          <w:sz w:val="32"/>
          <w:szCs w:val="32"/>
        </w:rPr>
      </w:pPr>
      <w:r w:rsidRPr="00B90082">
        <w:rPr>
          <w:rFonts w:ascii="標楷體" w:eastAsia="標楷體" w:hAnsi="標楷體"/>
          <w:sz w:val="32"/>
          <w:szCs w:val="32"/>
        </w:rPr>
        <w:t>第7款　其他收入</w:t>
      </w:r>
    </w:p>
    <w:p w:rsidR="00A52DD2" w:rsidRPr="00B90082" w:rsidRDefault="00A52DD2" w:rsidP="00F035E0">
      <w:pPr>
        <w:snapToGrid w:val="0"/>
        <w:spacing w:before="50" w:line="500" w:lineRule="exact"/>
        <w:ind w:leftChars="100" w:left="1520" w:hangingChars="400" w:hanging="1280"/>
        <w:rPr>
          <w:rFonts w:ascii="標楷體" w:eastAsia="標楷體" w:hAnsi="標楷體"/>
          <w:sz w:val="32"/>
          <w:szCs w:val="32"/>
        </w:rPr>
      </w:pPr>
      <w:r w:rsidRPr="00B90082">
        <w:rPr>
          <w:rFonts w:ascii="標楷體" w:eastAsia="標楷體" w:hAnsi="標楷體"/>
          <w:sz w:val="32"/>
          <w:szCs w:val="32"/>
        </w:rPr>
        <w:t>第5項　中央研究院</w:t>
      </w:r>
      <w:r w:rsidRPr="00B90082">
        <w:rPr>
          <w:rFonts w:ascii="標楷體" w:eastAsia="標楷體" w:hAnsi="標楷體" w:hint="eastAsia"/>
          <w:sz w:val="32"/>
        </w:rPr>
        <w:t>1億</w:t>
      </w:r>
      <w:r w:rsidRPr="00B90082">
        <w:rPr>
          <w:rFonts w:ascii="標楷體" w:eastAsia="標楷體" w:hAnsi="標楷體"/>
          <w:sz w:val="32"/>
        </w:rPr>
        <w:t>3,</w:t>
      </w:r>
      <w:r w:rsidRPr="00B90082">
        <w:rPr>
          <w:rFonts w:ascii="標楷體" w:eastAsia="標楷體" w:hAnsi="標楷體" w:hint="eastAsia"/>
          <w:sz w:val="32"/>
        </w:rPr>
        <w:t>943萬7千元</w:t>
      </w:r>
      <w:r w:rsidRPr="00B90082">
        <w:rPr>
          <w:rFonts w:ascii="標楷體" w:eastAsia="標楷體" w:hAnsi="標楷體" w:hint="eastAsia"/>
          <w:sz w:val="32"/>
          <w:szCs w:val="32"/>
        </w:rPr>
        <w:t>，照列</w:t>
      </w:r>
      <w:r w:rsidRPr="00B90082">
        <w:rPr>
          <w:rFonts w:ascii="標楷體" w:eastAsia="標楷體" w:hAnsi="標楷體"/>
          <w:sz w:val="32"/>
          <w:szCs w:val="32"/>
        </w:rPr>
        <w:t>。</w:t>
      </w:r>
    </w:p>
    <w:p w:rsidR="00A52DD2" w:rsidRPr="00B90082" w:rsidRDefault="00A52DD2" w:rsidP="00F035E0">
      <w:pPr>
        <w:snapToGrid w:val="0"/>
        <w:spacing w:before="50" w:line="500" w:lineRule="exact"/>
        <w:rPr>
          <w:rFonts w:ascii="標楷體" w:eastAsia="標楷體" w:hAnsi="標楷體"/>
          <w:sz w:val="32"/>
          <w:szCs w:val="32"/>
        </w:rPr>
      </w:pPr>
      <w:r w:rsidRPr="00B90082">
        <w:rPr>
          <w:rFonts w:ascii="標楷體" w:eastAsia="標楷體" w:hAnsi="標楷體"/>
          <w:sz w:val="32"/>
          <w:szCs w:val="32"/>
        </w:rPr>
        <w:t>歲出部分</w:t>
      </w:r>
    </w:p>
    <w:p w:rsidR="00A52DD2" w:rsidRPr="00B90082" w:rsidRDefault="00A52DD2" w:rsidP="00F035E0">
      <w:pPr>
        <w:snapToGrid w:val="0"/>
        <w:spacing w:before="50" w:line="500" w:lineRule="exact"/>
        <w:jc w:val="both"/>
        <w:rPr>
          <w:rFonts w:ascii="標楷體" w:eastAsia="標楷體" w:hAnsi="標楷體"/>
          <w:sz w:val="32"/>
          <w:szCs w:val="32"/>
        </w:rPr>
      </w:pPr>
      <w:r w:rsidRPr="00B90082">
        <w:rPr>
          <w:rFonts w:ascii="標楷體" w:eastAsia="標楷體" w:hAnsi="標楷體"/>
          <w:sz w:val="32"/>
          <w:szCs w:val="32"/>
        </w:rPr>
        <w:t>第1款　總統府主管</w:t>
      </w:r>
    </w:p>
    <w:p w:rsidR="00A52DD2" w:rsidRPr="00B90082" w:rsidRDefault="00A52DD2" w:rsidP="00F035E0">
      <w:pPr>
        <w:snapToGrid w:val="0"/>
        <w:spacing w:before="50" w:line="500" w:lineRule="exact"/>
        <w:ind w:leftChars="100" w:left="1558" w:hangingChars="412" w:hanging="1318"/>
        <w:jc w:val="both"/>
        <w:rPr>
          <w:rFonts w:ascii="標楷體" w:eastAsia="標楷體" w:hAnsi="標楷體"/>
          <w:sz w:val="32"/>
          <w:szCs w:val="32"/>
        </w:rPr>
      </w:pPr>
      <w:r w:rsidRPr="00B90082">
        <w:rPr>
          <w:rFonts w:ascii="標楷體" w:eastAsia="標楷體" w:hAnsi="標楷體"/>
          <w:snapToGrid w:val="0"/>
          <w:sz w:val="32"/>
          <w:szCs w:val="32"/>
        </w:rPr>
        <w:t>第5項　中央研究院原列</w:t>
      </w:r>
      <w:r w:rsidRPr="00B90082">
        <w:rPr>
          <w:rFonts w:ascii="標楷體" w:eastAsia="標楷體" w:hAnsi="標楷體" w:hint="eastAsia"/>
          <w:snapToGrid w:val="0"/>
          <w:sz w:val="32"/>
          <w:szCs w:val="32"/>
        </w:rPr>
        <w:t>134億7,267萬3千元</w:t>
      </w:r>
      <w:r w:rsidRPr="00B90082">
        <w:rPr>
          <w:rFonts w:ascii="標楷體" w:eastAsia="標楷體" w:hAnsi="標楷體"/>
          <w:snapToGrid w:val="0"/>
          <w:sz w:val="32"/>
          <w:szCs w:val="32"/>
        </w:rPr>
        <w:t>，除第</w:t>
      </w:r>
      <w:r w:rsidRPr="00B90082">
        <w:rPr>
          <w:rFonts w:ascii="標楷體" w:eastAsia="標楷體" w:hAnsi="標楷體" w:hint="eastAsia"/>
          <w:snapToGrid w:val="0"/>
          <w:sz w:val="32"/>
          <w:szCs w:val="32"/>
        </w:rPr>
        <w:t>5</w:t>
      </w:r>
      <w:r w:rsidRPr="00B90082">
        <w:rPr>
          <w:rFonts w:ascii="標楷體" w:eastAsia="標楷體" w:hAnsi="標楷體"/>
          <w:snapToGrid w:val="0"/>
          <w:sz w:val="32"/>
          <w:szCs w:val="32"/>
        </w:rPr>
        <w:t>目「</w:t>
      </w:r>
      <w:r w:rsidRPr="00B90082">
        <w:rPr>
          <w:rFonts w:ascii="標楷體" w:eastAsia="標楷體" w:hAnsi="標楷體" w:hint="eastAsia"/>
          <w:snapToGrid w:val="0"/>
          <w:sz w:val="32"/>
          <w:szCs w:val="32"/>
        </w:rPr>
        <w:t>非營業特種基金</w:t>
      </w:r>
      <w:r w:rsidRPr="00B90082">
        <w:rPr>
          <w:rFonts w:ascii="標楷體" w:eastAsia="標楷體" w:hAnsi="標楷體"/>
          <w:snapToGrid w:val="0"/>
          <w:sz w:val="32"/>
          <w:szCs w:val="32"/>
        </w:rPr>
        <w:t>」第</w:t>
      </w:r>
      <w:r w:rsidRPr="00B90082">
        <w:rPr>
          <w:rFonts w:ascii="標楷體" w:eastAsia="標楷體" w:hAnsi="標楷體" w:hint="eastAsia"/>
          <w:snapToGrid w:val="0"/>
          <w:sz w:val="32"/>
          <w:szCs w:val="32"/>
        </w:rPr>
        <w:t>1</w:t>
      </w:r>
      <w:r w:rsidRPr="00B90082">
        <w:rPr>
          <w:rFonts w:ascii="標楷體" w:eastAsia="標楷體" w:hAnsi="標楷體"/>
          <w:snapToGrid w:val="0"/>
          <w:sz w:val="32"/>
          <w:szCs w:val="32"/>
        </w:rPr>
        <w:t>節「科學研究基金」</w:t>
      </w:r>
      <w:r w:rsidRPr="00B90082">
        <w:rPr>
          <w:rFonts w:ascii="標楷體" w:eastAsia="標楷體" w:hAnsi="標楷體" w:hint="eastAsia"/>
          <w:snapToGrid w:val="0"/>
          <w:sz w:val="32"/>
          <w:szCs w:val="32"/>
        </w:rPr>
        <w:t>14億8</w:t>
      </w:r>
      <w:r w:rsidRPr="00B90082">
        <w:rPr>
          <w:rFonts w:ascii="標楷體" w:eastAsia="標楷體" w:hAnsi="標楷體"/>
          <w:snapToGrid w:val="0"/>
          <w:sz w:val="32"/>
          <w:szCs w:val="32"/>
        </w:rPr>
        <w:t>,</w:t>
      </w:r>
      <w:r w:rsidRPr="00B90082">
        <w:rPr>
          <w:rFonts w:ascii="標楷體" w:eastAsia="標楷體" w:hAnsi="標楷體" w:hint="eastAsia"/>
          <w:snapToGrid w:val="0"/>
          <w:sz w:val="32"/>
          <w:szCs w:val="32"/>
        </w:rPr>
        <w:t>126萬3千</w:t>
      </w:r>
      <w:r w:rsidRPr="00B90082">
        <w:rPr>
          <w:rFonts w:ascii="標楷體" w:eastAsia="標楷體" w:hAnsi="標楷體"/>
          <w:snapToGrid w:val="0"/>
          <w:sz w:val="32"/>
          <w:szCs w:val="32"/>
        </w:rPr>
        <w:t>元，暫照列，俟所屬非營業特種基金審議確定，再行調整外，其餘均照列。</w:t>
      </w:r>
    </w:p>
    <w:p w:rsidR="00A52DD2" w:rsidRPr="00B90082" w:rsidRDefault="00A52DD2" w:rsidP="00F035E0">
      <w:pPr>
        <w:snapToGrid w:val="0"/>
        <w:spacing w:before="50" w:line="500" w:lineRule="exact"/>
        <w:ind w:leftChars="100" w:left="240"/>
        <w:rPr>
          <w:rFonts w:ascii="標楷體" w:eastAsia="標楷體" w:hAnsi="標楷體"/>
          <w:sz w:val="32"/>
          <w:szCs w:val="32"/>
        </w:rPr>
      </w:pPr>
      <w:r w:rsidRPr="00B90082">
        <w:rPr>
          <w:rFonts w:ascii="標楷體" w:eastAsia="標楷體" w:hAnsi="標楷體" w:hint="eastAsia"/>
          <w:sz w:val="32"/>
          <w:szCs w:val="32"/>
        </w:rPr>
        <w:t>本項通過決議</w:t>
      </w:r>
      <w:r>
        <w:rPr>
          <w:rFonts w:ascii="標楷體" w:eastAsia="標楷體" w:hAnsi="標楷體" w:hint="eastAsia"/>
          <w:sz w:val="32"/>
          <w:szCs w:val="32"/>
        </w:rPr>
        <w:t>55</w:t>
      </w:r>
      <w:r w:rsidRPr="00B90082">
        <w:rPr>
          <w:rFonts w:ascii="標楷體" w:eastAsia="標楷體" w:hAnsi="標楷體" w:hint="eastAsia"/>
          <w:sz w:val="32"/>
          <w:szCs w:val="32"/>
        </w:rPr>
        <w:t>項：</w:t>
      </w:r>
    </w:p>
    <w:p w:rsidR="00A52DD2" w:rsidRDefault="00A52DD2" w:rsidP="00F035E0">
      <w:pPr>
        <w:kinsoku w:val="0"/>
        <w:overflowPunct w:val="0"/>
        <w:spacing w:line="500" w:lineRule="exact"/>
        <w:ind w:leftChars="150" w:left="1000" w:hangingChars="200" w:hanging="640"/>
        <w:jc w:val="both"/>
        <w:textAlignment w:val="center"/>
        <w:rPr>
          <w:rFonts w:ascii="標楷體" w:eastAsia="標楷體" w:hAnsi="標楷體"/>
          <w:snapToGrid w:val="0"/>
          <w:sz w:val="32"/>
          <w:szCs w:val="32"/>
        </w:rPr>
      </w:pPr>
      <w:r w:rsidRPr="00E94241">
        <w:rPr>
          <w:rFonts w:ascii="標楷體" w:eastAsia="標楷體" w:hAnsi="標楷體" w:hint="eastAsia"/>
          <w:snapToGrid w:val="0"/>
          <w:color w:val="000000"/>
          <w:sz w:val="32"/>
          <w:szCs w:val="32"/>
        </w:rPr>
        <w:t>(一)</w:t>
      </w:r>
      <w:r w:rsidRPr="00F95518">
        <w:rPr>
          <w:rFonts w:ascii="標楷體" w:eastAsia="標楷體" w:hAnsi="標楷體" w:hint="eastAsia"/>
          <w:snapToGrid w:val="0"/>
          <w:sz w:val="32"/>
          <w:szCs w:val="32"/>
        </w:rPr>
        <w:t>11</w:t>
      </w:r>
      <w:r>
        <w:rPr>
          <w:rFonts w:ascii="標楷體" w:eastAsia="標楷體" w:hAnsi="標楷體"/>
          <w:snapToGrid w:val="0"/>
          <w:sz w:val="32"/>
          <w:szCs w:val="32"/>
        </w:rPr>
        <w:t>2</w:t>
      </w:r>
      <w:r w:rsidRPr="00F95518">
        <w:rPr>
          <w:rFonts w:ascii="標楷體" w:eastAsia="標楷體" w:hAnsi="標楷體" w:hint="eastAsia"/>
          <w:snapToGrid w:val="0"/>
          <w:sz w:val="32"/>
          <w:szCs w:val="32"/>
        </w:rPr>
        <w:t>年度</w:t>
      </w:r>
      <w:r>
        <w:rPr>
          <w:rFonts w:ascii="標楷體" w:eastAsia="標楷體" w:hAnsi="標楷體" w:hint="eastAsia"/>
          <w:snapToGrid w:val="0"/>
          <w:sz w:val="32"/>
          <w:szCs w:val="32"/>
        </w:rPr>
        <w:t>中央研究院</w:t>
      </w:r>
      <w:r w:rsidRPr="00F95518">
        <w:rPr>
          <w:rFonts w:ascii="標楷體" w:eastAsia="標楷體" w:hAnsi="標楷體" w:hint="eastAsia"/>
          <w:snapToGrid w:val="0"/>
          <w:sz w:val="32"/>
          <w:szCs w:val="32"/>
        </w:rPr>
        <w:t>第</w:t>
      </w:r>
      <w:r>
        <w:rPr>
          <w:rFonts w:ascii="標楷體" w:eastAsia="標楷體" w:hAnsi="標楷體"/>
          <w:snapToGrid w:val="0"/>
          <w:sz w:val="32"/>
          <w:szCs w:val="32"/>
        </w:rPr>
        <w:t>1</w:t>
      </w:r>
      <w:r w:rsidRPr="00F95518">
        <w:rPr>
          <w:rFonts w:ascii="標楷體" w:eastAsia="標楷體" w:hAnsi="標楷體" w:hint="eastAsia"/>
          <w:snapToGrid w:val="0"/>
          <w:sz w:val="32"/>
          <w:szCs w:val="32"/>
        </w:rPr>
        <w:t>目「</w:t>
      </w:r>
      <w:r>
        <w:rPr>
          <w:rFonts w:ascii="標楷體" w:eastAsia="標楷體" w:hAnsi="標楷體" w:hint="eastAsia"/>
          <w:snapToGrid w:val="0"/>
          <w:sz w:val="32"/>
          <w:szCs w:val="32"/>
        </w:rPr>
        <w:t>一般行政</w:t>
      </w:r>
      <w:r w:rsidRPr="00F95518">
        <w:rPr>
          <w:rFonts w:ascii="標楷體" w:eastAsia="標楷體" w:hAnsi="標楷體" w:hint="eastAsia"/>
          <w:snapToGrid w:val="0"/>
          <w:sz w:val="32"/>
          <w:szCs w:val="32"/>
        </w:rPr>
        <w:t>」預算編列</w:t>
      </w:r>
      <w:r>
        <w:rPr>
          <w:rFonts w:ascii="標楷體" w:eastAsia="標楷體" w:hAnsi="標楷體"/>
          <w:snapToGrid w:val="0"/>
          <w:sz w:val="32"/>
          <w:szCs w:val="32"/>
        </w:rPr>
        <w:t>2</w:t>
      </w:r>
      <w:r>
        <w:rPr>
          <w:rFonts w:ascii="標楷體" w:eastAsia="標楷體" w:hAnsi="標楷體" w:hint="eastAsia"/>
          <w:snapToGrid w:val="0"/>
          <w:sz w:val="32"/>
          <w:szCs w:val="32"/>
        </w:rPr>
        <w:t>億</w:t>
      </w:r>
      <w:r>
        <w:rPr>
          <w:rFonts w:ascii="標楷體" w:eastAsia="標楷體" w:hAnsi="標楷體"/>
          <w:snapToGrid w:val="0"/>
          <w:sz w:val="32"/>
          <w:szCs w:val="32"/>
        </w:rPr>
        <w:t>7</w:t>
      </w:r>
      <w:r w:rsidRPr="00F95518">
        <w:rPr>
          <w:rFonts w:ascii="標楷體" w:eastAsia="標楷體" w:hAnsi="標楷體" w:hint="eastAsia"/>
          <w:snapToGrid w:val="0"/>
          <w:sz w:val="32"/>
          <w:szCs w:val="32"/>
        </w:rPr>
        <w:t>,</w:t>
      </w:r>
      <w:r>
        <w:rPr>
          <w:rFonts w:ascii="標楷體" w:eastAsia="標楷體" w:hAnsi="標楷體"/>
          <w:snapToGrid w:val="0"/>
          <w:sz w:val="32"/>
          <w:szCs w:val="32"/>
        </w:rPr>
        <w:t>350</w:t>
      </w:r>
      <w:r w:rsidRPr="00F95518">
        <w:rPr>
          <w:rFonts w:ascii="標楷體" w:eastAsia="標楷體" w:hAnsi="標楷體" w:hint="eastAsia"/>
          <w:snapToGrid w:val="0"/>
          <w:sz w:val="32"/>
          <w:szCs w:val="32"/>
        </w:rPr>
        <w:t>萬</w:t>
      </w:r>
      <w:r>
        <w:rPr>
          <w:rFonts w:ascii="標楷體" w:eastAsia="標楷體" w:hAnsi="標楷體"/>
          <w:snapToGrid w:val="0"/>
          <w:sz w:val="32"/>
          <w:szCs w:val="32"/>
        </w:rPr>
        <w:t>2</w:t>
      </w:r>
      <w:r w:rsidRPr="00F95518">
        <w:rPr>
          <w:rFonts w:ascii="標楷體" w:eastAsia="標楷體" w:hAnsi="標楷體" w:hint="eastAsia"/>
          <w:snapToGrid w:val="0"/>
          <w:sz w:val="32"/>
          <w:szCs w:val="32"/>
        </w:rPr>
        <w:t>千元，凍結</w:t>
      </w:r>
      <w:r>
        <w:rPr>
          <w:rFonts w:ascii="標楷體" w:eastAsia="標楷體" w:hAnsi="標楷體"/>
          <w:snapToGrid w:val="0"/>
          <w:sz w:val="32"/>
          <w:szCs w:val="32"/>
        </w:rPr>
        <w:t>5</w:t>
      </w:r>
      <w:r w:rsidRPr="00F95518">
        <w:rPr>
          <w:rFonts w:ascii="標楷體" w:eastAsia="標楷體" w:hAnsi="標楷體" w:hint="eastAsia"/>
          <w:snapToGrid w:val="0"/>
          <w:sz w:val="32"/>
          <w:szCs w:val="32"/>
        </w:rPr>
        <w:t>0</w:t>
      </w:r>
      <w:r>
        <w:rPr>
          <w:rFonts w:ascii="標楷體" w:eastAsia="標楷體" w:hAnsi="標楷體" w:hint="eastAsia"/>
          <w:snapToGrid w:val="0"/>
          <w:sz w:val="32"/>
          <w:szCs w:val="32"/>
        </w:rPr>
        <w:t>0</w:t>
      </w:r>
      <w:r w:rsidRPr="00F95518">
        <w:rPr>
          <w:rFonts w:ascii="標楷體" w:eastAsia="標楷體" w:hAnsi="標楷體" w:hint="eastAsia"/>
          <w:snapToGrid w:val="0"/>
          <w:sz w:val="32"/>
          <w:szCs w:val="32"/>
        </w:rPr>
        <w:t>萬元，俟</w:t>
      </w:r>
      <w:r>
        <w:rPr>
          <w:rFonts w:ascii="標楷體" w:eastAsia="標楷體" w:hAnsi="標楷體" w:hint="eastAsia"/>
          <w:snapToGrid w:val="0"/>
          <w:sz w:val="32"/>
          <w:szCs w:val="32"/>
        </w:rPr>
        <w:t>中央研究院</w:t>
      </w:r>
      <w:r w:rsidRPr="00F95518">
        <w:rPr>
          <w:rFonts w:ascii="標楷體" w:eastAsia="標楷體" w:hAnsi="標楷體" w:hint="eastAsia"/>
          <w:snapToGrid w:val="0"/>
          <w:sz w:val="32"/>
          <w:szCs w:val="32"/>
        </w:rPr>
        <w:t>向立法院教育及文化委員會提出書面報告後，始得動支。</w:t>
      </w:r>
      <w:r>
        <w:rPr>
          <w:rFonts w:ascii="標楷體" w:eastAsia="標楷體" w:hAnsi="標楷體" w:hint="eastAsia"/>
          <w:snapToGrid w:val="0"/>
          <w:sz w:val="32"/>
          <w:szCs w:val="32"/>
        </w:rPr>
        <w:t>3</w:t>
      </w:r>
      <w:r>
        <w:rPr>
          <w:rFonts w:ascii="標楷體" w:eastAsia="標楷體" w:hAnsi="標楷體"/>
          <w:snapToGrid w:val="0"/>
          <w:sz w:val="32"/>
          <w:szCs w:val="32"/>
        </w:rPr>
        <w:t>-5</w:t>
      </w:r>
    </w:p>
    <w:p w:rsidR="00A52DD2" w:rsidRDefault="00A52DD2" w:rsidP="00F035E0">
      <w:pPr>
        <w:kinsoku w:val="0"/>
        <w:overflowPunct w:val="0"/>
        <w:spacing w:line="500" w:lineRule="exact"/>
        <w:ind w:leftChars="1250" w:left="3640" w:hangingChars="200" w:hanging="640"/>
        <w:jc w:val="both"/>
        <w:textAlignment w:val="center"/>
        <w:rPr>
          <w:rFonts w:ascii="標楷體" w:eastAsia="標楷體" w:hAnsi="標楷體"/>
          <w:sz w:val="32"/>
          <w:szCs w:val="32"/>
        </w:rPr>
      </w:pPr>
      <w:r>
        <w:rPr>
          <w:rFonts w:ascii="標楷體" w:eastAsia="標楷體" w:hAnsi="標楷體" w:hint="eastAsia"/>
          <w:sz w:val="32"/>
          <w:szCs w:val="32"/>
        </w:rPr>
        <w:lastRenderedPageBreak/>
        <w:t>提案人：陳秀寳  吳思瑤  張廖萬堅</w:t>
      </w:r>
    </w:p>
    <w:p w:rsidR="00A52DD2" w:rsidRDefault="00A52DD2" w:rsidP="00F035E0">
      <w:pPr>
        <w:kinsoku w:val="0"/>
        <w:overflowPunct w:val="0"/>
        <w:spacing w:line="500" w:lineRule="exact"/>
        <w:ind w:leftChars="1250" w:left="364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連署人：黃國書  林宜瑾  何欣純  賴品妤</w:t>
      </w:r>
    </w:p>
    <w:p w:rsidR="00A52DD2" w:rsidRDefault="00A52DD2" w:rsidP="00F035E0">
      <w:pPr>
        <w:kinsoku w:val="0"/>
        <w:overflowPunct w:val="0"/>
        <w:spacing w:line="500" w:lineRule="exact"/>
        <w:ind w:leftChars="150" w:left="1000" w:hangingChars="200" w:hanging="640"/>
        <w:jc w:val="both"/>
        <w:textAlignment w:val="center"/>
        <w:rPr>
          <w:rFonts w:ascii="標楷體" w:eastAsia="標楷體" w:hAnsi="標楷體"/>
          <w:snapToGrid w:val="0"/>
          <w:sz w:val="32"/>
          <w:szCs w:val="32"/>
        </w:rPr>
      </w:pPr>
      <w:r>
        <w:rPr>
          <w:rFonts w:ascii="標楷體" w:eastAsia="標楷體" w:hAnsi="標楷體" w:hint="eastAsia"/>
          <w:bCs/>
          <w:sz w:val="32"/>
          <w:szCs w:val="32"/>
        </w:rPr>
        <w:t>(二)</w:t>
      </w:r>
      <w:r w:rsidRPr="00F95518">
        <w:rPr>
          <w:rFonts w:ascii="標楷體" w:eastAsia="標楷體" w:hAnsi="標楷體" w:hint="eastAsia"/>
          <w:snapToGrid w:val="0"/>
          <w:sz w:val="32"/>
          <w:szCs w:val="32"/>
        </w:rPr>
        <w:t>11</w:t>
      </w:r>
      <w:r>
        <w:rPr>
          <w:rFonts w:ascii="標楷體" w:eastAsia="標楷體" w:hAnsi="標楷體"/>
          <w:snapToGrid w:val="0"/>
          <w:sz w:val="32"/>
          <w:szCs w:val="32"/>
        </w:rPr>
        <w:t>2</w:t>
      </w:r>
      <w:r w:rsidRPr="00F95518">
        <w:rPr>
          <w:rFonts w:ascii="標楷體" w:eastAsia="標楷體" w:hAnsi="標楷體" w:hint="eastAsia"/>
          <w:snapToGrid w:val="0"/>
          <w:sz w:val="32"/>
          <w:szCs w:val="32"/>
        </w:rPr>
        <w:t>年度</w:t>
      </w:r>
      <w:r>
        <w:rPr>
          <w:rFonts w:ascii="標楷體" w:eastAsia="標楷體" w:hAnsi="標楷體" w:hint="eastAsia"/>
          <w:snapToGrid w:val="0"/>
          <w:sz w:val="32"/>
          <w:szCs w:val="32"/>
        </w:rPr>
        <w:t>中央研究院</w:t>
      </w:r>
      <w:r w:rsidRPr="00F95518">
        <w:rPr>
          <w:rFonts w:ascii="標楷體" w:eastAsia="標楷體" w:hAnsi="標楷體" w:hint="eastAsia"/>
          <w:snapToGrid w:val="0"/>
          <w:sz w:val="32"/>
          <w:szCs w:val="32"/>
        </w:rPr>
        <w:t>第</w:t>
      </w:r>
      <w:r>
        <w:rPr>
          <w:rFonts w:ascii="標楷體" w:eastAsia="標楷體" w:hAnsi="標楷體"/>
          <w:snapToGrid w:val="0"/>
          <w:sz w:val="32"/>
          <w:szCs w:val="32"/>
        </w:rPr>
        <w:t>2</w:t>
      </w:r>
      <w:r w:rsidRPr="00F95518">
        <w:rPr>
          <w:rFonts w:ascii="標楷體" w:eastAsia="標楷體" w:hAnsi="標楷體" w:hint="eastAsia"/>
          <w:snapToGrid w:val="0"/>
          <w:sz w:val="32"/>
          <w:szCs w:val="32"/>
        </w:rPr>
        <w:t>目「</w:t>
      </w:r>
      <w:r>
        <w:rPr>
          <w:rFonts w:ascii="標楷體" w:eastAsia="標楷體" w:hAnsi="標楷體" w:hint="eastAsia"/>
          <w:snapToGrid w:val="0"/>
          <w:sz w:val="32"/>
          <w:szCs w:val="32"/>
        </w:rPr>
        <w:t>一般學術研究及評議</w:t>
      </w:r>
      <w:r w:rsidRPr="00F95518">
        <w:rPr>
          <w:rFonts w:ascii="標楷體" w:eastAsia="標楷體" w:hAnsi="標楷體" w:hint="eastAsia"/>
          <w:snapToGrid w:val="0"/>
          <w:sz w:val="32"/>
          <w:szCs w:val="32"/>
        </w:rPr>
        <w:t>」預算編列</w:t>
      </w:r>
      <w:r>
        <w:rPr>
          <w:rFonts w:ascii="標楷體" w:eastAsia="標楷體" w:hAnsi="標楷體"/>
          <w:snapToGrid w:val="0"/>
          <w:sz w:val="32"/>
          <w:szCs w:val="32"/>
        </w:rPr>
        <w:t>63</w:t>
      </w:r>
      <w:r>
        <w:rPr>
          <w:rFonts w:ascii="標楷體" w:eastAsia="標楷體" w:hAnsi="標楷體" w:hint="eastAsia"/>
          <w:snapToGrid w:val="0"/>
          <w:sz w:val="32"/>
          <w:szCs w:val="32"/>
        </w:rPr>
        <w:t>億3</w:t>
      </w:r>
      <w:r w:rsidRPr="00F95518">
        <w:rPr>
          <w:rFonts w:ascii="標楷體" w:eastAsia="標楷體" w:hAnsi="標楷體" w:hint="eastAsia"/>
          <w:snapToGrid w:val="0"/>
          <w:sz w:val="32"/>
          <w:szCs w:val="32"/>
        </w:rPr>
        <w:t>,</w:t>
      </w:r>
      <w:r>
        <w:rPr>
          <w:rFonts w:ascii="標楷體" w:eastAsia="標楷體" w:hAnsi="標楷體"/>
          <w:snapToGrid w:val="0"/>
          <w:sz w:val="32"/>
          <w:szCs w:val="32"/>
        </w:rPr>
        <w:t>763</w:t>
      </w:r>
      <w:r w:rsidRPr="00F95518">
        <w:rPr>
          <w:rFonts w:ascii="標楷體" w:eastAsia="標楷體" w:hAnsi="標楷體" w:hint="eastAsia"/>
          <w:snapToGrid w:val="0"/>
          <w:sz w:val="32"/>
          <w:szCs w:val="32"/>
        </w:rPr>
        <w:t>萬</w:t>
      </w:r>
      <w:r>
        <w:rPr>
          <w:rFonts w:ascii="標楷體" w:eastAsia="標楷體" w:hAnsi="標楷體"/>
          <w:snapToGrid w:val="0"/>
          <w:sz w:val="32"/>
          <w:szCs w:val="32"/>
        </w:rPr>
        <w:t>9</w:t>
      </w:r>
      <w:r w:rsidRPr="00F95518">
        <w:rPr>
          <w:rFonts w:ascii="標楷體" w:eastAsia="標楷體" w:hAnsi="標楷體" w:hint="eastAsia"/>
          <w:snapToGrid w:val="0"/>
          <w:sz w:val="32"/>
          <w:szCs w:val="32"/>
        </w:rPr>
        <w:t>千元，凍結</w:t>
      </w:r>
      <w:r>
        <w:rPr>
          <w:rFonts w:ascii="標楷體" w:eastAsia="標楷體" w:hAnsi="標楷體"/>
          <w:snapToGrid w:val="0"/>
          <w:sz w:val="32"/>
          <w:szCs w:val="32"/>
        </w:rPr>
        <w:t>3,</w:t>
      </w:r>
      <w:r w:rsidRPr="00F95518">
        <w:rPr>
          <w:rFonts w:ascii="標楷體" w:eastAsia="標楷體" w:hAnsi="標楷體" w:hint="eastAsia"/>
          <w:snapToGrid w:val="0"/>
          <w:sz w:val="32"/>
          <w:szCs w:val="32"/>
        </w:rPr>
        <w:t>00</w:t>
      </w:r>
      <w:r>
        <w:rPr>
          <w:rFonts w:ascii="標楷體" w:eastAsia="標楷體" w:hAnsi="標楷體" w:hint="eastAsia"/>
          <w:snapToGrid w:val="0"/>
          <w:sz w:val="32"/>
          <w:szCs w:val="32"/>
        </w:rPr>
        <w:t>0</w:t>
      </w:r>
      <w:r w:rsidRPr="00F95518">
        <w:rPr>
          <w:rFonts w:ascii="標楷體" w:eastAsia="標楷體" w:hAnsi="標楷體" w:hint="eastAsia"/>
          <w:snapToGrid w:val="0"/>
          <w:sz w:val="32"/>
          <w:szCs w:val="32"/>
        </w:rPr>
        <w:t>萬元，俟</w:t>
      </w:r>
      <w:r>
        <w:rPr>
          <w:rFonts w:ascii="標楷體" w:eastAsia="標楷體" w:hAnsi="標楷體" w:hint="eastAsia"/>
          <w:snapToGrid w:val="0"/>
          <w:sz w:val="32"/>
          <w:szCs w:val="32"/>
        </w:rPr>
        <w:t>中央研究院</w:t>
      </w:r>
      <w:r w:rsidRPr="00F95518">
        <w:rPr>
          <w:rFonts w:ascii="標楷體" w:eastAsia="標楷體" w:hAnsi="標楷體" w:hint="eastAsia"/>
          <w:snapToGrid w:val="0"/>
          <w:sz w:val="32"/>
          <w:szCs w:val="32"/>
        </w:rPr>
        <w:t>向立法院教育及文化委員會提出書面報告後，始得動支。</w:t>
      </w:r>
      <w:r>
        <w:rPr>
          <w:rFonts w:ascii="標楷體" w:eastAsia="標楷體" w:hAnsi="標楷體" w:hint="eastAsia"/>
          <w:snapToGrid w:val="0"/>
          <w:sz w:val="32"/>
          <w:szCs w:val="32"/>
        </w:rPr>
        <w:t>6-57</w:t>
      </w:r>
    </w:p>
    <w:p w:rsidR="00A52DD2" w:rsidRDefault="00A52DD2" w:rsidP="00F035E0">
      <w:pPr>
        <w:kinsoku w:val="0"/>
        <w:overflowPunct w:val="0"/>
        <w:spacing w:line="500" w:lineRule="exact"/>
        <w:ind w:leftChars="1250" w:left="364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提案人：陳秀寳  賴品妤  王婉諭  黃國書</w:t>
      </w:r>
    </w:p>
    <w:p w:rsidR="00A52DD2" w:rsidRDefault="00A52DD2" w:rsidP="00F035E0">
      <w:pPr>
        <w:kinsoku w:val="0"/>
        <w:overflowPunct w:val="0"/>
        <w:spacing w:line="500" w:lineRule="exact"/>
        <w:ind w:leftChars="1250" w:left="364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 xml:space="preserve">        鄭正鈐  吳思瑤  范  雲 張廖萬堅</w:t>
      </w:r>
    </w:p>
    <w:p w:rsidR="00A52DD2" w:rsidRDefault="00A52DD2" w:rsidP="00F035E0">
      <w:pPr>
        <w:kinsoku w:val="0"/>
        <w:overflowPunct w:val="0"/>
        <w:spacing w:line="500" w:lineRule="exact"/>
        <w:ind w:leftChars="1250" w:left="364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 xml:space="preserve">        林宜瑾  何欣純  萬美玲  林奕華</w:t>
      </w:r>
    </w:p>
    <w:p w:rsidR="00A52DD2" w:rsidRPr="00D30FBC" w:rsidRDefault="00A52DD2" w:rsidP="00F035E0">
      <w:pPr>
        <w:kinsoku w:val="0"/>
        <w:overflowPunct w:val="0"/>
        <w:spacing w:line="500" w:lineRule="exact"/>
        <w:ind w:leftChars="1250" w:left="364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 xml:space="preserve">        吳怡玎  高金素梅</w:t>
      </w:r>
    </w:p>
    <w:p w:rsidR="00A52DD2" w:rsidRDefault="00A52DD2" w:rsidP="00F035E0">
      <w:pPr>
        <w:kinsoku w:val="0"/>
        <w:overflowPunct w:val="0"/>
        <w:spacing w:line="500" w:lineRule="exact"/>
        <w:ind w:leftChars="150" w:left="1000" w:hangingChars="200" w:hanging="640"/>
        <w:jc w:val="both"/>
        <w:textAlignment w:val="center"/>
        <w:rPr>
          <w:rFonts w:ascii="標楷體" w:eastAsia="標楷體" w:hAnsi="標楷體"/>
          <w:snapToGrid w:val="0"/>
          <w:sz w:val="32"/>
          <w:szCs w:val="32"/>
        </w:rPr>
      </w:pPr>
      <w:r>
        <w:rPr>
          <w:rFonts w:ascii="標楷體" w:eastAsia="標楷體" w:hAnsi="標楷體" w:hint="eastAsia"/>
          <w:bCs/>
          <w:sz w:val="32"/>
          <w:szCs w:val="32"/>
        </w:rPr>
        <w:t>(三)</w:t>
      </w:r>
      <w:r w:rsidRPr="00F95518">
        <w:rPr>
          <w:rFonts w:ascii="標楷體" w:eastAsia="標楷體" w:hAnsi="標楷體" w:hint="eastAsia"/>
          <w:snapToGrid w:val="0"/>
          <w:sz w:val="32"/>
          <w:szCs w:val="32"/>
        </w:rPr>
        <w:t>11</w:t>
      </w:r>
      <w:r>
        <w:rPr>
          <w:rFonts w:ascii="標楷體" w:eastAsia="標楷體" w:hAnsi="標楷體"/>
          <w:snapToGrid w:val="0"/>
          <w:sz w:val="32"/>
          <w:szCs w:val="32"/>
        </w:rPr>
        <w:t>2</w:t>
      </w:r>
      <w:r w:rsidRPr="00F95518">
        <w:rPr>
          <w:rFonts w:ascii="標楷體" w:eastAsia="標楷體" w:hAnsi="標楷體" w:hint="eastAsia"/>
          <w:snapToGrid w:val="0"/>
          <w:sz w:val="32"/>
          <w:szCs w:val="32"/>
        </w:rPr>
        <w:t>年度</w:t>
      </w:r>
      <w:r>
        <w:rPr>
          <w:rFonts w:ascii="標楷體" w:eastAsia="標楷體" w:hAnsi="標楷體" w:hint="eastAsia"/>
          <w:snapToGrid w:val="0"/>
          <w:sz w:val="32"/>
          <w:szCs w:val="32"/>
        </w:rPr>
        <w:t>中央研究院</w:t>
      </w:r>
      <w:r w:rsidRPr="00F95518">
        <w:rPr>
          <w:rFonts w:ascii="標楷體" w:eastAsia="標楷體" w:hAnsi="標楷體" w:hint="eastAsia"/>
          <w:snapToGrid w:val="0"/>
          <w:sz w:val="32"/>
          <w:szCs w:val="32"/>
        </w:rPr>
        <w:t>第</w:t>
      </w:r>
      <w:r>
        <w:rPr>
          <w:rFonts w:ascii="標楷體" w:eastAsia="標楷體" w:hAnsi="標楷體"/>
          <w:snapToGrid w:val="0"/>
          <w:sz w:val="32"/>
          <w:szCs w:val="32"/>
        </w:rPr>
        <w:t>3</w:t>
      </w:r>
      <w:r w:rsidRPr="00F95518">
        <w:rPr>
          <w:rFonts w:ascii="標楷體" w:eastAsia="標楷體" w:hAnsi="標楷體" w:hint="eastAsia"/>
          <w:snapToGrid w:val="0"/>
          <w:sz w:val="32"/>
          <w:szCs w:val="32"/>
        </w:rPr>
        <w:t>目「</w:t>
      </w:r>
      <w:r>
        <w:rPr>
          <w:rFonts w:ascii="標楷體" w:eastAsia="標楷體" w:hAnsi="標楷體" w:hint="eastAsia"/>
          <w:snapToGrid w:val="0"/>
          <w:sz w:val="32"/>
          <w:szCs w:val="32"/>
        </w:rPr>
        <w:t>自然及人文社會科學研究</w:t>
      </w:r>
      <w:r w:rsidRPr="00F95518">
        <w:rPr>
          <w:rFonts w:ascii="標楷體" w:eastAsia="標楷體" w:hAnsi="標楷體" w:hint="eastAsia"/>
          <w:snapToGrid w:val="0"/>
          <w:sz w:val="32"/>
          <w:szCs w:val="32"/>
        </w:rPr>
        <w:t>」預算編列</w:t>
      </w:r>
      <w:r>
        <w:rPr>
          <w:rFonts w:ascii="標楷體" w:eastAsia="標楷體" w:hAnsi="標楷體"/>
          <w:snapToGrid w:val="0"/>
          <w:sz w:val="32"/>
          <w:szCs w:val="32"/>
        </w:rPr>
        <w:t>44</w:t>
      </w:r>
      <w:r>
        <w:rPr>
          <w:rFonts w:ascii="標楷體" w:eastAsia="標楷體" w:hAnsi="標楷體" w:hint="eastAsia"/>
          <w:snapToGrid w:val="0"/>
          <w:sz w:val="32"/>
          <w:szCs w:val="32"/>
        </w:rPr>
        <w:t>億</w:t>
      </w:r>
      <w:r>
        <w:rPr>
          <w:rFonts w:ascii="標楷體" w:eastAsia="標楷體" w:hAnsi="標楷體"/>
          <w:snapToGrid w:val="0"/>
          <w:sz w:val="32"/>
          <w:szCs w:val="32"/>
        </w:rPr>
        <w:t>4</w:t>
      </w:r>
      <w:r w:rsidRPr="00F95518">
        <w:rPr>
          <w:rFonts w:ascii="標楷體" w:eastAsia="標楷體" w:hAnsi="標楷體" w:hint="eastAsia"/>
          <w:snapToGrid w:val="0"/>
          <w:sz w:val="32"/>
          <w:szCs w:val="32"/>
        </w:rPr>
        <w:t>,</w:t>
      </w:r>
      <w:r>
        <w:rPr>
          <w:rFonts w:ascii="標楷體" w:eastAsia="標楷體" w:hAnsi="標楷體"/>
          <w:snapToGrid w:val="0"/>
          <w:sz w:val="32"/>
          <w:szCs w:val="32"/>
        </w:rPr>
        <w:t>428</w:t>
      </w:r>
      <w:r w:rsidRPr="00F95518">
        <w:rPr>
          <w:rFonts w:ascii="標楷體" w:eastAsia="標楷體" w:hAnsi="標楷體" w:hint="eastAsia"/>
          <w:snapToGrid w:val="0"/>
          <w:sz w:val="32"/>
          <w:szCs w:val="32"/>
        </w:rPr>
        <w:t>萬</w:t>
      </w:r>
      <w:r>
        <w:rPr>
          <w:rFonts w:ascii="標楷體" w:eastAsia="標楷體" w:hAnsi="標楷體"/>
          <w:snapToGrid w:val="0"/>
          <w:sz w:val="32"/>
          <w:szCs w:val="32"/>
        </w:rPr>
        <w:t>8</w:t>
      </w:r>
      <w:r w:rsidRPr="00F95518">
        <w:rPr>
          <w:rFonts w:ascii="標楷體" w:eastAsia="標楷體" w:hAnsi="標楷體" w:hint="eastAsia"/>
          <w:snapToGrid w:val="0"/>
          <w:sz w:val="32"/>
          <w:szCs w:val="32"/>
        </w:rPr>
        <w:t>千元，凍結</w:t>
      </w:r>
      <w:r>
        <w:rPr>
          <w:rFonts w:ascii="標楷體" w:eastAsia="標楷體" w:hAnsi="標楷體"/>
          <w:snapToGrid w:val="0"/>
          <w:sz w:val="32"/>
          <w:szCs w:val="32"/>
        </w:rPr>
        <w:t>10</w:t>
      </w:r>
      <w:r>
        <w:rPr>
          <w:rFonts w:ascii="標楷體" w:eastAsia="標楷體" w:hAnsi="標楷體" w:hint="eastAsia"/>
          <w:snapToGrid w:val="0"/>
          <w:sz w:val="32"/>
          <w:szCs w:val="32"/>
        </w:rPr>
        <w:t>0</w:t>
      </w:r>
      <w:r w:rsidRPr="00F95518">
        <w:rPr>
          <w:rFonts w:ascii="標楷體" w:eastAsia="標楷體" w:hAnsi="標楷體" w:hint="eastAsia"/>
          <w:snapToGrid w:val="0"/>
          <w:sz w:val="32"/>
          <w:szCs w:val="32"/>
        </w:rPr>
        <w:t>萬元，俟</w:t>
      </w:r>
      <w:r>
        <w:rPr>
          <w:rFonts w:ascii="標楷體" w:eastAsia="標楷體" w:hAnsi="標楷體" w:hint="eastAsia"/>
          <w:snapToGrid w:val="0"/>
          <w:sz w:val="32"/>
          <w:szCs w:val="32"/>
        </w:rPr>
        <w:t>中央研究院</w:t>
      </w:r>
      <w:r w:rsidRPr="00F95518">
        <w:rPr>
          <w:rFonts w:ascii="標楷體" w:eastAsia="標楷體" w:hAnsi="標楷體" w:hint="eastAsia"/>
          <w:snapToGrid w:val="0"/>
          <w:sz w:val="32"/>
          <w:szCs w:val="32"/>
        </w:rPr>
        <w:t>向立法院教育及文化委員會提出書面報告後，始得動支。</w:t>
      </w:r>
      <w:r>
        <w:rPr>
          <w:rFonts w:ascii="標楷體" w:eastAsia="標楷體" w:hAnsi="標楷體" w:hint="eastAsia"/>
          <w:snapToGrid w:val="0"/>
          <w:sz w:val="32"/>
          <w:szCs w:val="32"/>
        </w:rPr>
        <w:t>58-102</w:t>
      </w:r>
    </w:p>
    <w:p w:rsidR="00A52DD2" w:rsidRDefault="00A52DD2" w:rsidP="00F035E0">
      <w:pPr>
        <w:kinsoku w:val="0"/>
        <w:overflowPunct w:val="0"/>
        <w:spacing w:line="500" w:lineRule="exact"/>
        <w:ind w:leftChars="1250" w:left="364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提案人：陳秀寳  鄭正鈐  林宜瑾  何欣純</w:t>
      </w:r>
    </w:p>
    <w:p w:rsidR="00A52DD2" w:rsidRDefault="00A52DD2" w:rsidP="00F035E0">
      <w:pPr>
        <w:kinsoku w:val="0"/>
        <w:overflowPunct w:val="0"/>
        <w:spacing w:line="500" w:lineRule="exact"/>
        <w:ind w:leftChars="1250" w:left="364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 xml:space="preserve">        吳怡玎  萬美玲  黃國書 高金素梅</w:t>
      </w:r>
    </w:p>
    <w:p w:rsidR="00A52DD2" w:rsidRDefault="00A52DD2" w:rsidP="00F035E0">
      <w:pPr>
        <w:kinsoku w:val="0"/>
        <w:overflowPunct w:val="0"/>
        <w:spacing w:line="500" w:lineRule="exact"/>
        <w:ind w:leftChars="1250" w:left="364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 xml:space="preserve">        吳思瑤</w:t>
      </w:r>
    </w:p>
    <w:p w:rsidR="00A52DD2" w:rsidRPr="00D30FBC" w:rsidRDefault="00A52DD2" w:rsidP="00F035E0">
      <w:pPr>
        <w:kinsoku w:val="0"/>
        <w:overflowPunct w:val="0"/>
        <w:spacing w:line="500" w:lineRule="exact"/>
        <w:ind w:leftChars="1250" w:left="364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連署人：林奕華  賴品妤  張廖萬堅</w:t>
      </w:r>
    </w:p>
    <w:p w:rsidR="00A52DD2" w:rsidRDefault="00A52DD2" w:rsidP="00F035E0">
      <w:pPr>
        <w:kinsoku w:val="0"/>
        <w:overflowPunct w:val="0"/>
        <w:spacing w:line="500" w:lineRule="exact"/>
        <w:ind w:leftChars="150" w:left="1000" w:hangingChars="200" w:hanging="640"/>
        <w:jc w:val="both"/>
        <w:textAlignment w:val="center"/>
        <w:rPr>
          <w:rFonts w:ascii="標楷體" w:eastAsia="標楷體" w:hAnsi="標楷體"/>
          <w:snapToGrid w:val="0"/>
          <w:sz w:val="32"/>
          <w:szCs w:val="32"/>
        </w:rPr>
      </w:pPr>
      <w:r>
        <w:rPr>
          <w:rFonts w:ascii="標楷體" w:eastAsia="標楷體" w:hAnsi="標楷體" w:hint="eastAsia"/>
          <w:bCs/>
          <w:sz w:val="32"/>
          <w:szCs w:val="32"/>
        </w:rPr>
        <w:t>(四)</w:t>
      </w:r>
      <w:r w:rsidRPr="00F95518">
        <w:rPr>
          <w:rFonts w:ascii="標楷體" w:eastAsia="標楷體" w:hAnsi="標楷體" w:hint="eastAsia"/>
          <w:snapToGrid w:val="0"/>
          <w:sz w:val="32"/>
          <w:szCs w:val="32"/>
        </w:rPr>
        <w:t>11</w:t>
      </w:r>
      <w:r>
        <w:rPr>
          <w:rFonts w:ascii="標楷體" w:eastAsia="標楷體" w:hAnsi="標楷體"/>
          <w:snapToGrid w:val="0"/>
          <w:sz w:val="32"/>
          <w:szCs w:val="32"/>
        </w:rPr>
        <w:t>2</w:t>
      </w:r>
      <w:r w:rsidRPr="00F95518">
        <w:rPr>
          <w:rFonts w:ascii="標楷體" w:eastAsia="標楷體" w:hAnsi="標楷體" w:hint="eastAsia"/>
          <w:snapToGrid w:val="0"/>
          <w:sz w:val="32"/>
          <w:szCs w:val="32"/>
        </w:rPr>
        <w:t>年度</w:t>
      </w:r>
      <w:r>
        <w:rPr>
          <w:rFonts w:ascii="標楷體" w:eastAsia="標楷體" w:hAnsi="標楷體" w:hint="eastAsia"/>
          <w:snapToGrid w:val="0"/>
          <w:sz w:val="32"/>
          <w:szCs w:val="32"/>
        </w:rPr>
        <w:t>中央研究院</w:t>
      </w:r>
      <w:r w:rsidRPr="00F95518">
        <w:rPr>
          <w:rFonts w:ascii="標楷體" w:eastAsia="標楷體" w:hAnsi="標楷體" w:hint="eastAsia"/>
          <w:snapToGrid w:val="0"/>
          <w:sz w:val="32"/>
          <w:szCs w:val="32"/>
        </w:rPr>
        <w:t>第</w:t>
      </w:r>
      <w:r>
        <w:rPr>
          <w:rFonts w:ascii="標楷體" w:eastAsia="標楷體" w:hAnsi="標楷體"/>
          <w:snapToGrid w:val="0"/>
          <w:sz w:val="32"/>
          <w:szCs w:val="32"/>
        </w:rPr>
        <w:t>4</w:t>
      </w:r>
      <w:r w:rsidRPr="00F95518">
        <w:rPr>
          <w:rFonts w:ascii="標楷體" w:eastAsia="標楷體" w:hAnsi="標楷體" w:hint="eastAsia"/>
          <w:snapToGrid w:val="0"/>
          <w:sz w:val="32"/>
          <w:szCs w:val="32"/>
        </w:rPr>
        <w:t>目「</w:t>
      </w:r>
      <w:r>
        <w:rPr>
          <w:rFonts w:ascii="標楷體" w:eastAsia="標楷體" w:hAnsi="標楷體" w:hint="eastAsia"/>
          <w:snapToGrid w:val="0"/>
          <w:sz w:val="32"/>
          <w:szCs w:val="32"/>
        </w:rPr>
        <w:t>南部院區</w:t>
      </w:r>
      <w:r w:rsidRPr="00F95518">
        <w:rPr>
          <w:rFonts w:ascii="標楷體" w:eastAsia="標楷體" w:hAnsi="標楷體" w:hint="eastAsia"/>
          <w:snapToGrid w:val="0"/>
          <w:sz w:val="32"/>
          <w:szCs w:val="32"/>
        </w:rPr>
        <w:t>」預算編列</w:t>
      </w:r>
      <w:r>
        <w:rPr>
          <w:rFonts w:ascii="標楷體" w:eastAsia="標楷體" w:hAnsi="標楷體" w:hint="eastAsia"/>
          <w:snapToGrid w:val="0"/>
          <w:sz w:val="32"/>
          <w:szCs w:val="32"/>
        </w:rPr>
        <w:t>9億</w:t>
      </w:r>
      <w:r>
        <w:rPr>
          <w:rFonts w:ascii="標楷體" w:eastAsia="標楷體" w:hAnsi="標楷體"/>
          <w:snapToGrid w:val="0"/>
          <w:sz w:val="32"/>
          <w:szCs w:val="32"/>
        </w:rPr>
        <w:t>2</w:t>
      </w:r>
      <w:r w:rsidRPr="00F95518">
        <w:rPr>
          <w:rFonts w:ascii="標楷體" w:eastAsia="標楷體" w:hAnsi="標楷體" w:hint="eastAsia"/>
          <w:snapToGrid w:val="0"/>
          <w:sz w:val="32"/>
          <w:szCs w:val="32"/>
        </w:rPr>
        <w:t>,</w:t>
      </w:r>
      <w:r>
        <w:rPr>
          <w:rFonts w:ascii="標楷體" w:eastAsia="標楷體" w:hAnsi="標楷體"/>
          <w:snapToGrid w:val="0"/>
          <w:sz w:val="32"/>
          <w:szCs w:val="32"/>
        </w:rPr>
        <w:t>506</w:t>
      </w:r>
      <w:r w:rsidRPr="00F95518">
        <w:rPr>
          <w:rFonts w:ascii="標楷體" w:eastAsia="標楷體" w:hAnsi="標楷體" w:hint="eastAsia"/>
          <w:snapToGrid w:val="0"/>
          <w:sz w:val="32"/>
          <w:szCs w:val="32"/>
        </w:rPr>
        <w:t>萬</w:t>
      </w:r>
      <w:r>
        <w:rPr>
          <w:rFonts w:ascii="標楷體" w:eastAsia="標楷體" w:hAnsi="標楷體"/>
          <w:snapToGrid w:val="0"/>
          <w:sz w:val="32"/>
          <w:szCs w:val="32"/>
        </w:rPr>
        <w:t>6</w:t>
      </w:r>
      <w:r w:rsidRPr="00F95518">
        <w:rPr>
          <w:rFonts w:ascii="標楷體" w:eastAsia="標楷體" w:hAnsi="標楷體" w:hint="eastAsia"/>
          <w:snapToGrid w:val="0"/>
          <w:sz w:val="32"/>
          <w:szCs w:val="32"/>
        </w:rPr>
        <w:t>千元，凍結</w:t>
      </w:r>
      <w:r>
        <w:rPr>
          <w:rFonts w:ascii="標楷體" w:eastAsia="標楷體" w:hAnsi="標楷體"/>
          <w:snapToGrid w:val="0"/>
          <w:sz w:val="32"/>
          <w:szCs w:val="32"/>
        </w:rPr>
        <w:t>10</w:t>
      </w:r>
      <w:r>
        <w:rPr>
          <w:rFonts w:ascii="標楷體" w:eastAsia="標楷體" w:hAnsi="標楷體" w:hint="eastAsia"/>
          <w:snapToGrid w:val="0"/>
          <w:sz w:val="32"/>
          <w:szCs w:val="32"/>
        </w:rPr>
        <w:t>0</w:t>
      </w:r>
      <w:r w:rsidRPr="00F95518">
        <w:rPr>
          <w:rFonts w:ascii="標楷體" w:eastAsia="標楷體" w:hAnsi="標楷體" w:hint="eastAsia"/>
          <w:snapToGrid w:val="0"/>
          <w:sz w:val="32"/>
          <w:szCs w:val="32"/>
        </w:rPr>
        <w:t>萬元，俟</w:t>
      </w:r>
      <w:r>
        <w:rPr>
          <w:rFonts w:ascii="標楷體" w:eastAsia="標楷體" w:hAnsi="標楷體" w:hint="eastAsia"/>
          <w:snapToGrid w:val="0"/>
          <w:sz w:val="32"/>
          <w:szCs w:val="32"/>
        </w:rPr>
        <w:t>中央研究院</w:t>
      </w:r>
      <w:r w:rsidRPr="00F95518">
        <w:rPr>
          <w:rFonts w:ascii="標楷體" w:eastAsia="標楷體" w:hAnsi="標楷體" w:hint="eastAsia"/>
          <w:snapToGrid w:val="0"/>
          <w:sz w:val="32"/>
          <w:szCs w:val="32"/>
        </w:rPr>
        <w:t>向立法院教育及文化委員會提出書面報告後，始得動支。</w:t>
      </w:r>
      <w:r>
        <w:rPr>
          <w:rFonts w:ascii="標楷體" w:eastAsia="標楷體" w:hAnsi="標楷體" w:hint="eastAsia"/>
          <w:snapToGrid w:val="0"/>
          <w:sz w:val="32"/>
          <w:szCs w:val="32"/>
        </w:rPr>
        <w:t>103-121</w:t>
      </w:r>
    </w:p>
    <w:p w:rsidR="00A52DD2" w:rsidRDefault="00A52DD2" w:rsidP="00F035E0">
      <w:pPr>
        <w:kinsoku w:val="0"/>
        <w:overflowPunct w:val="0"/>
        <w:spacing w:line="500" w:lineRule="exact"/>
        <w:ind w:leftChars="1250" w:left="364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提案人：林宜瑾  陳秀寳  黃國書  鄭正鈐</w:t>
      </w:r>
    </w:p>
    <w:p w:rsidR="00A52DD2" w:rsidRDefault="00A52DD2" w:rsidP="00F035E0">
      <w:pPr>
        <w:kinsoku w:val="0"/>
        <w:overflowPunct w:val="0"/>
        <w:spacing w:line="500" w:lineRule="exact"/>
        <w:ind w:leftChars="1250" w:left="364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 xml:space="preserve">        林奕華  萬美玲  吳思瑤  賴品妤</w:t>
      </w:r>
    </w:p>
    <w:p w:rsidR="00A52DD2" w:rsidRDefault="00A52DD2" w:rsidP="00F035E0">
      <w:pPr>
        <w:kinsoku w:val="0"/>
        <w:overflowPunct w:val="0"/>
        <w:spacing w:line="500" w:lineRule="exact"/>
        <w:ind w:leftChars="1250" w:left="364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 xml:space="preserve">        張廖萬堅</w:t>
      </w:r>
    </w:p>
    <w:p w:rsidR="00A52DD2" w:rsidRPr="00D30FBC" w:rsidRDefault="00A52DD2" w:rsidP="00F035E0">
      <w:pPr>
        <w:kinsoku w:val="0"/>
        <w:overflowPunct w:val="0"/>
        <w:spacing w:line="500" w:lineRule="exact"/>
        <w:ind w:leftChars="1250" w:left="364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連署人：何欣純  吳怡玎  高金素梅</w:t>
      </w:r>
    </w:p>
    <w:p w:rsidR="00A52DD2" w:rsidRPr="00014415"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bCs/>
          <w:sz w:val="32"/>
          <w:szCs w:val="32"/>
        </w:rPr>
        <w:t>(五)</w:t>
      </w:r>
      <w:r w:rsidRPr="00014415">
        <w:rPr>
          <w:rFonts w:ascii="標楷體" w:eastAsia="標楷體" w:hAnsi="標楷體" w:hint="eastAsia"/>
          <w:sz w:val="32"/>
          <w:szCs w:val="32"/>
        </w:rPr>
        <w:t>有鑑於中央研究院基因體研究中心P3實驗室先前染疫事件，經衛生福利部疾病管制署及臺北市勞動檢查處調查，該實驗室確實已違反多項規定並遭裁罰達21萬元，主因係研究人員對風險認知不足及未確實遵循實驗室生物安全相關管理規定</w:t>
      </w:r>
      <w:r w:rsidRPr="00014415">
        <w:rPr>
          <w:rFonts w:ascii="標楷體" w:eastAsia="標楷體" w:hAnsi="標楷體" w:hint="eastAsia"/>
          <w:sz w:val="32"/>
          <w:szCs w:val="32"/>
        </w:rPr>
        <w:lastRenderedPageBreak/>
        <w:t>所致。為確保研究安全，降低風險，爰要求中央研究院於3個月內向立法院教育及文化委員會提出強化實驗室相關人員訓練及稽核管理制度之相關辦法書面報告，避免實驗室再次發生高風險危機。126</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提案人：林奕華</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連署人：鄭正鈐  吳怡玎</w:t>
      </w:r>
    </w:p>
    <w:p w:rsidR="00A52DD2" w:rsidRPr="00014415"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(六)</w:t>
      </w:r>
      <w:r w:rsidRPr="00014415">
        <w:rPr>
          <w:rFonts w:ascii="標楷體" w:eastAsia="標楷體" w:hAnsi="標楷體" w:hint="eastAsia"/>
          <w:sz w:val="32"/>
          <w:szCs w:val="32"/>
        </w:rPr>
        <w:t>有鑑於近期國內論文抄襲爭議事件頻傳，不僅突顯高等教育學術倫理低落有待檢討，更嚴重傷害我國高等教育形象。考量中央研究院為我國最高等級之研究機構，在學術界具有指標地位，爰要求中央研究院於</w:t>
      </w:r>
      <w:r w:rsidRPr="00014415">
        <w:rPr>
          <w:rFonts w:ascii="標楷體" w:eastAsia="標楷體" w:hAnsi="標楷體"/>
          <w:sz w:val="32"/>
          <w:szCs w:val="32"/>
        </w:rPr>
        <w:t>2</w:t>
      </w:r>
      <w:r w:rsidRPr="00014415">
        <w:rPr>
          <w:rFonts w:ascii="標楷體" w:eastAsia="標楷體" w:hAnsi="標楷體" w:hint="eastAsia"/>
          <w:sz w:val="32"/>
          <w:szCs w:val="32"/>
        </w:rPr>
        <w:t>個月內向立法院教育及文化委員會提出如何強化國內高等教育學倫之書面建議報告，並將中央研究院進行誠信研究之成果推廣至高等教育機構，以維護學術倫理及國內高等教育形象。127</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提案人：林奕華</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連署人：鄭正鈐  吳怡玎</w:t>
      </w:r>
    </w:p>
    <w:p w:rsidR="00A52DD2" w:rsidRPr="00014415"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(七)</w:t>
      </w:r>
      <w:r w:rsidRPr="00014415">
        <w:rPr>
          <w:rFonts w:ascii="標楷體" w:eastAsia="標楷體" w:hAnsi="標楷體" w:hint="eastAsia"/>
          <w:sz w:val="32"/>
          <w:szCs w:val="32"/>
        </w:rPr>
        <w:t>有鑑於俄烏戰爭，各國陸續推出援助烏克蘭學者等相關措施，中央研究院亦利用「學術研究與人才培育」等相關經費，以實際行動援助烏克蘭。然考量烏國學者可能發生短期來臺後即離開之情形，對投入國內學術研究交流效益恐有限，爰要求中央研究院考量學術交流與人才培育效益，應於3個月內研議長期延攬烏國學者之對策，並向立法院教育及文化委員會提出書面報告，以符合相關獎學金之目的。128</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提案人：林奕華</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連署人：鄭正鈐  吳怡玎</w:t>
      </w:r>
    </w:p>
    <w:p w:rsidR="00A52DD2" w:rsidRPr="00014415"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(八)</w:t>
      </w:r>
      <w:r w:rsidRPr="00014415">
        <w:rPr>
          <w:rFonts w:ascii="標楷體" w:eastAsia="標楷體" w:hAnsi="標楷體" w:hint="eastAsia"/>
          <w:sz w:val="32"/>
          <w:szCs w:val="32"/>
        </w:rPr>
        <w:t>經查105至110年度中央研究院各工作計畫之經常門流用至資本門決算數合計介於1億0</w:t>
      </w:r>
      <w:r w:rsidRPr="00014415">
        <w:rPr>
          <w:rFonts w:ascii="標楷體" w:eastAsia="標楷體" w:hAnsi="標楷體"/>
          <w:sz w:val="32"/>
          <w:szCs w:val="32"/>
        </w:rPr>
        <w:t>,</w:t>
      </w:r>
      <w:r w:rsidRPr="00014415">
        <w:rPr>
          <w:rFonts w:ascii="標楷體" w:eastAsia="標楷體" w:hAnsi="標楷體" w:hint="eastAsia"/>
          <w:sz w:val="32"/>
          <w:szCs w:val="32"/>
        </w:rPr>
        <w:t>798萬5千元至2億3,774萬2千元之間，且近3年(108至110年度)各年度流用數均超過2億元，顯見近3年中研院之資本門預算都超過2億元未在</w:t>
      </w:r>
      <w:r w:rsidRPr="00014415">
        <w:rPr>
          <w:rFonts w:ascii="標楷體" w:eastAsia="標楷體" w:hAnsi="標楷體" w:hint="eastAsia"/>
          <w:sz w:val="32"/>
          <w:szCs w:val="32"/>
        </w:rPr>
        <w:lastRenderedPageBreak/>
        <w:t>預算中編列，而經常門有高編之情形。經常門科目之預算賸餘流用至資本門科目雖符合「預算法」規定，惟各工作計畫之預算編列顯然未與實際狀況相符。爰請中央研究院應更加確實評估經資門之實際預算需求覈實編列預算，並於2個月內向立法院教育及文化委員會提出書面報告。129</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提案人：張廖萬堅</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連署人：林宜瑾  何欣純</w:t>
      </w:r>
    </w:p>
    <w:p w:rsidR="00A52DD2" w:rsidRPr="00014415"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(九)</w:t>
      </w:r>
      <w:r w:rsidRPr="00014415">
        <w:rPr>
          <w:rFonts w:ascii="標楷體" w:eastAsia="標楷體" w:hAnsi="標楷體" w:hint="eastAsia"/>
          <w:sz w:val="32"/>
          <w:szCs w:val="32"/>
        </w:rPr>
        <w:t>中央研究院為全國學術研究最高機關，主要任務之一即為國家培養學術研究人才與延攬學術菁英，以促進人才交流與科技發展。依中研院官網公布之延攬研究人員人數統計資料顯示，106年延攬研究人員497人、107年421人、108年458人、109年323人、110年320人，而111年截至6月僅148人，人數明顯下降。其中近2年或受嚴重特殊傳染性肺炎疫情影響，然而現今全球各國紛紛解封，已逐步恢復正常生活。爰請中央研究院加強相關規劃與措施，積極延攬優秀人力，以利持續推動我國學術發展，並於2個月內向立法院教育及文化委員會提出書面報告。130</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提案人：張廖萬堅</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連署人：林宜瑾  何欣純</w:t>
      </w:r>
    </w:p>
    <w:p w:rsidR="00A52DD2" w:rsidRPr="00014415"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w:t>
      </w:r>
      <w:r w:rsidRPr="00014415">
        <w:rPr>
          <w:rFonts w:ascii="標楷體" w:eastAsia="標楷體" w:hAnsi="標楷體" w:hint="eastAsia"/>
          <w:sz w:val="32"/>
          <w:szCs w:val="32"/>
        </w:rPr>
        <w:t>臺灣少子女化問題已是重大國安議題，亦是政府重要之施政目標。其中，科研人員學術勞動與家庭責任衝突甚大，為推動及保障科研專業人才職涯及育兒的平衡，范委員雲2022年3月於立法院教育</w:t>
      </w:r>
      <w:r>
        <w:rPr>
          <w:rFonts w:ascii="標楷體" w:eastAsia="標楷體" w:hAnsi="標楷體" w:hint="eastAsia"/>
          <w:sz w:val="32"/>
          <w:szCs w:val="32"/>
        </w:rPr>
        <w:t>及</w:t>
      </w:r>
      <w:r w:rsidRPr="00014415">
        <w:rPr>
          <w:rFonts w:ascii="標楷體" w:eastAsia="標楷體" w:hAnsi="標楷體" w:hint="eastAsia"/>
          <w:sz w:val="32"/>
          <w:szCs w:val="32"/>
        </w:rPr>
        <w:t>文化委員會質詢要求中央研究院，提供有關女性研究人員職涯與家庭平衡的相關研究與推動方案。中研院於6月函覆范委員雲辦公室之研究報告中曾指出，國家科學及技術委員會已實行、中研院可跟進推行之「友善生育支持措施」，包含針對有懷孕、生育、照顧事實，育有3歲以下幼兒之研究人員，有隨到隨審、從優核給研究人力的</w:t>
      </w:r>
      <w:r w:rsidRPr="00014415">
        <w:rPr>
          <w:rFonts w:ascii="標楷體" w:eastAsia="標楷體" w:hAnsi="標楷體" w:hint="eastAsia"/>
          <w:sz w:val="32"/>
          <w:szCs w:val="32"/>
        </w:rPr>
        <w:lastRenderedPageBreak/>
        <w:t>方案等。惟中研院至今仍未提出相關規劃。爰要求中央研究院研擬適用前開「友善生育支持措施」之規劃與期程，並於2個月內向立法院教育及文化委員會提出書面報告。131</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提案人：范  雲</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連署人：何欣純  林宜瑾</w:t>
      </w:r>
    </w:p>
    <w:p w:rsidR="00A52DD2" w:rsidRPr="00014415"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(十一)</w:t>
      </w:r>
      <w:r w:rsidRPr="00014415">
        <w:rPr>
          <w:rFonts w:ascii="標楷體" w:eastAsia="標楷體" w:hAnsi="標楷體" w:hint="eastAsia"/>
          <w:sz w:val="32"/>
          <w:szCs w:val="32"/>
        </w:rPr>
        <w:t>為響應政府能源轉型政策，積極推動台灣綠能與減碳技術研發暨相關產業發展，中央研究院與台灣中油股份有限公司於111年6月簽署綠能發展合作備忘錄，該項合作除針對宜蘭地熱能源探勘開發外，也規劃未來在綠能、二氧化碳捕捉與封存等領域進行合作；然在二氧化碳捕捉與封存項目上，目前存在的問題是，台灣地理環境位於地震帶，碳儲存在地層也會受到地震的影響，惟目前我國對於碳儲存</w:t>
      </w:r>
      <w:r>
        <w:rPr>
          <w:rFonts w:ascii="標楷體" w:eastAsia="標楷體" w:hAnsi="標楷體" w:hint="eastAsia"/>
          <w:sz w:val="32"/>
          <w:szCs w:val="32"/>
        </w:rPr>
        <w:t>於</w:t>
      </w:r>
      <w:r w:rsidRPr="00014415">
        <w:rPr>
          <w:rFonts w:ascii="標楷體" w:eastAsia="標楷體" w:hAnsi="標楷體" w:hint="eastAsia"/>
          <w:sz w:val="32"/>
          <w:szCs w:val="32"/>
        </w:rPr>
        <w:t>地層中能承受的地震規模是多少，仍欠缺這方面相關資料。為確切了解碳儲存於地層的安全性，爰要求中央研究院協助國家科學及技術委員會與經濟部，在</w:t>
      </w:r>
      <w:r>
        <w:rPr>
          <w:rFonts w:ascii="標楷體" w:eastAsia="標楷體" w:hAnsi="標楷體" w:hint="eastAsia"/>
          <w:sz w:val="32"/>
          <w:szCs w:val="32"/>
        </w:rPr>
        <w:t>「</w:t>
      </w:r>
      <w:r w:rsidRPr="00014415">
        <w:rPr>
          <w:rFonts w:ascii="標楷體" w:eastAsia="標楷體" w:hAnsi="標楷體" w:hint="eastAsia"/>
          <w:sz w:val="32"/>
          <w:szCs w:val="32"/>
        </w:rPr>
        <w:t>12大關鍵戰略的CC</w:t>
      </w:r>
      <w:r>
        <w:rPr>
          <w:rFonts w:ascii="標楷體" w:eastAsia="標楷體" w:hAnsi="標楷體" w:hint="eastAsia"/>
          <w:sz w:val="32"/>
          <w:szCs w:val="32"/>
        </w:rPr>
        <w:t>U</w:t>
      </w:r>
      <w:r w:rsidRPr="00014415">
        <w:rPr>
          <w:rFonts w:ascii="標楷體" w:eastAsia="標楷體" w:hAnsi="標楷體" w:hint="eastAsia"/>
          <w:sz w:val="32"/>
          <w:szCs w:val="32"/>
        </w:rPr>
        <w:t>S方案</w:t>
      </w:r>
      <w:r>
        <w:rPr>
          <w:rFonts w:ascii="標楷體" w:eastAsia="標楷體" w:hAnsi="標楷體" w:hint="eastAsia"/>
          <w:sz w:val="32"/>
          <w:szCs w:val="32"/>
        </w:rPr>
        <w:t>」</w:t>
      </w:r>
      <w:r w:rsidRPr="00014415">
        <w:rPr>
          <w:rFonts w:ascii="標楷體" w:eastAsia="標楷體" w:hAnsi="標楷體" w:hint="eastAsia"/>
          <w:sz w:val="32"/>
          <w:szCs w:val="32"/>
        </w:rPr>
        <w:t>推動時，協同進行地震活動的監測，並於3個月內向立法院教育及文化委員會提出協助該方案之書面報告。132</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提案人：吳怡玎  萬美玲  高金素梅</w:t>
      </w:r>
    </w:p>
    <w:p w:rsidR="00A563FA"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(十二)</w:t>
      </w:r>
      <w:r w:rsidRPr="00014415">
        <w:rPr>
          <w:rFonts w:ascii="標楷體" w:eastAsia="標楷體" w:hAnsi="標楷體" w:hint="eastAsia"/>
          <w:sz w:val="32"/>
          <w:szCs w:val="32"/>
        </w:rPr>
        <w:t>109及110年度中央研究院</w:t>
      </w:r>
      <w:r>
        <w:rPr>
          <w:rFonts w:ascii="標楷體" w:eastAsia="標楷體" w:hAnsi="標楷體" w:hint="eastAsia"/>
          <w:sz w:val="32"/>
          <w:szCs w:val="32"/>
        </w:rPr>
        <w:t>「財產孳息」項下「</w:t>
      </w:r>
      <w:r w:rsidRPr="00014415">
        <w:rPr>
          <w:rFonts w:ascii="標楷體" w:eastAsia="標楷體" w:hAnsi="標楷體" w:hint="eastAsia"/>
          <w:sz w:val="32"/>
          <w:szCs w:val="32"/>
        </w:rPr>
        <w:t>租金收入</w:t>
      </w:r>
      <w:r>
        <w:rPr>
          <w:rFonts w:ascii="標楷體" w:eastAsia="標楷體" w:hAnsi="標楷體" w:hint="eastAsia"/>
          <w:sz w:val="32"/>
          <w:szCs w:val="32"/>
        </w:rPr>
        <w:t>」</w:t>
      </w:r>
      <w:r w:rsidRPr="00014415">
        <w:rPr>
          <w:rFonts w:ascii="標楷體" w:eastAsia="標楷體" w:hAnsi="標楷體" w:hint="eastAsia"/>
          <w:sz w:val="32"/>
          <w:szCs w:val="32"/>
        </w:rPr>
        <w:t>預算數分別為323萬元及333萬3千元，決算數分別為198萬5千元及248萬7千元，預算達成率均未達八成，其原因應為受嚴重特殊傳染性肺炎疫情影響，導致超商與餐廳租金減收五成。租金短收意即中研院所有之資產閒置，且對於中研院內部人員日常工作及研究環境便利性下降，中研院應掌握該等不動產周邊租金市場行情變化及稅費支出等因素，適時調整租金水準，並積極招商吸引，活化國有資產且充裕國庫收入。</w:t>
      </w:r>
    </w:p>
    <w:p w:rsidR="00A563FA" w:rsidRDefault="00A563FA">
      <w:pPr>
        <w:widowControl/>
        <w:rPr>
          <w:rFonts w:ascii="標楷體" w:eastAsia="標楷體" w:hAnsi="標楷體"/>
          <w:sz w:val="32"/>
          <w:szCs w:val="32"/>
        </w:rPr>
      </w:pPr>
      <w:r>
        <w:rPr>
          <w:rFonts w:ascii="標楷體" w:eastAsia="標楷體" w:hAnsi="標楷體"/>
          <w:sz w:val="32"/>
          <w:szCs w:val="32"/>
        </w:rPr>
        <w:br w:type="page"/>
      </w:r>
    </w:p>
    <w:p w:rsidR="00A52DD2" w:rsidRPr="00014415" w:rsidRDefault="00A52DD2" w:rsidP="00F035E0">
      <w:pPr>
        <w:overflowPunct w:val="0"/>
        <w:spacing w:line="500" w:lineRule="exact"/>
        <w:ind w:leftChars="150" w:left="1000" w:hangingChars="200" w:hanging="640"/>
        <w:jc w:val="both"/>
        <w:rPr>
          <w:rFonts w:ascii="標楷體" w:eastAsia="標楷體" w:hAnsi="標楷體"/>
          <w:sz w:val="32"/>
          <w:szCs w:val="32"/>
        </w:rPr>
      </w:pPr>
    </w:p>
    <w:p w:rsidR="00A52DD2" w:rsidRPr="00014415" w:rsidRDefault="00A52DD2" w:rsidP="00F035E0">
      <w:pPr>
        <w:spacing w:line="500" w:lineRule="exact"/>
        <w:jc w:val="right"/>
        <w:rPr>
          <w:rFonts w:ascii="標楷體" w:eastAsia="標楷體"/>
          <w:snapToGrid w:val="0"/>
          <w:sz w:val="28"/>
          <w:szCs w:val="28"/>
        </w:rPr>
      </w:pPr>
      <w:r w:rsidRPr="00014415">
        <w:rPr>
          <w:rFonts w:ascii="標楷體" w:eastAsia="標楷體" w:hint="eastAsia"/>
          <w:snapToGrid w:val="0"/>
          <w:sz w:val="28"/>
          <w:szCs w:val="28"/>
        </w:rPr>
        <w:t>1</w:t>
      </w:r>
      <w:r w:rsidRPr="00014415">
        <w:rPr>
          <w:rFonts w:ascii="標楷體" w:eastAsia="標楷體"/>
          <w:snapToGrid w:val="0"/>
          <w:sz w:val="28"/>
          <w:szCs w:val="28"/>
        </w:rPr>
        <w:t>08</w:t>
      </w:r>
      <w:r w:rsidRPr="00014415">
        <w:rPr>
          <w:rFonts w:ascii="標楷體" w:eastAsia="標楷體" w:hint="eastAsia"/>
          <w:snapToGrid w:val="0"/>
          <w:sz w:val="28"/>
          <w:szCs w:val="28"/>
        </w:rPr>
        <w:t>至1</w:t>
      </w:r>
      <w:r w:rsidRPr="00014415">
        <w:rPr>
          <w:rFonts w:ascii="標楷體" w:eastAsia="標楷體"/>
          <w:snapToGrid w:val="0"/>
          <w:sz w:val="28"/>
          <w:szCs w:val="28"/>
        </w:rPr>
        <w:t>12</w:t>
      </w:r>
      <w:r w:rsidRPr="00014415">
        <w:rPr>
          <w:rFonts w:ascii="標楷體" w:eastAsia="標楷體" w:hint="eastAsia"/>
          <w:snapToGrid w:val="0"/>
          <w:sz w:val="28"/>
          <w:szCs w:val="28"/>
        </w:rPr>
        <w:t>年度中研院租金收入預算編列及執行情形概況表</w:t>
      </w:r>
    </w:p>
    <w:p w:rsidR="00A52DD2" w:rsidRPr="00014415" w:rsidRDefault="00A52DD2" w:rsidP="00F035E0">
      <w:pPr>
        <w:spacing w:line="280" w:lineRule="exact"/>
        <w:jc w:val="right"/>
        <w:rPr>
          <w:rFonts w:ascii="標楷體" w:eastAsia="標楷體"/>
          <w:snapToGrid w:val="0"/>
          <w:szCs w:val="28"/>
        </w:rPr>
      </w:pPr>
      <w:r w:rsidRPr="00014415">
        <w:rPr>
          <w:rFonts w:ascii="標楷體" w:eastAsia="標楷體" w:hint="eastAsia"/>
          <w:snapToGrid w:val="0"/>
          <w:szCs w:val="28"/>
        </w:rPr>
        <w:t>單位：新臺幣千元；%</w:t>
      </w:r>
    </w:p>
    <w:tbl>
      <w:tblPr>
        <w:tblW w:w="0" w:type="auto"/>
        <w:jc w:val="righ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843"/>
        <w:gridCol w:w="886"/>
        <w:gridCol w:w="886"/>
        <w:gridCol w:w="850"/>
        <w:gridCol w:w="716"/>
        <w:gridCol w:w="850"/>
        <w:gridCol w:w="851"/>
        <w:gridCol w:w="850"/>
        <w:gridCol w:w="957"/>
      </w:tblGrid>
      <w:tr w:rsidR="00A52DD2" w:rsidRPr="00014415" w:rsidTr="00F035E0">
        <w:trPr>
          <w:trHeight w:val="20"/>
          <w:tblHeader/>
          <w:jc w:val="right"/>
        </w:trPr>
        <w:tc>
          <w:tcPr>
            <w:tcW w:w="1843" w:type="dxa"/>
            <w:vMerge w:val="restart"/>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項</w:t>
            </w:r>
            <w:r w:rsidRPr="00014415">
              <w:rPr>
                <w:rFonts w:ascii="標楷體" w:eastAsia="標楷體" w:hint="eastAsia"/>
                <w:snapToGrid w:val="0"/>
                <w:spacing w:val="-20"/>
                <w:szCs w:val="28"/>
              </w:rPr>
              <w:t xml:space="preserve">   </w:t>
            </w:r>
            <w:r w:rsidRPr="00014415">
              <w:rPr>
                <w:rFonts w:ascii="標楷體" w:eastAsia="標楷體"/>
                <w:snapToGrid w:val="0"/>
                <w:spacing w:val="-20"/>
                <w:szCs w:val="28"/>
              </w:rPr>
              <w:t>目</w:t>
            </w:r>
          </w:p>
        </w:tc>
        <w:tc>
          <w:tcPr>
            <w:tcW w:w="1772" w:type="dxa"/>
            <w:gridSpan w:val="2"/>
            <w:shd w:val="clear" w:color="auto" w:fill="auto"/>
            <w:vAlign w:val="center"/>
          </w:tcPr>
          <w:p w:rsidR="00A52DD2" w:rsidRPr="00014415" w:rsidRDefault="00A52DD2" w:rsidP="00F035E0">
            <w:pPr>
              <w:spacing w:line="280" w:lineRule="exact"/>
              <w:ind w:leftChars="-25" w:left="-60" w:rightChars="-25" w:right="-60"/>
              <w:jc w:val="center"/>
              <w:rPr>
                <w:rFonts w:ascii="標楷體" w:eastAsia="標楷體"/>
                <w:snapToGrid w:val="0"/>
                <w:spacing w:val="-20"/>
                <w:szCs w:val="28"/>
              </w:rPr>
            </w:pPr>
            <w:r w:rsidRPr="00014415">
              <w:rPr>
                <w:rFonts w:ascii="標楷體" w:eastAsia="標楷體" w:hint="eastAsia"/>
                <w:snapToGrid w:val="0"/>
                <w:spacing w:val="-20"/>
                <w:szCs w:val="28"/>
              </w:rPr>
              <w:t>1</w:t>
            </w:r>
            <w:r w:rsidRPr="00014415">
              <w:rPr>
                <w:rFonts w:ascii="標楷體" w:eastAsia="標楷體"/>
                <w:snapToGrid w:val="0"/>
                <w:spacing w:val="-20"/>
                <w:szCs w:val="28"/>
              </w:rPr>
              <w:t>08</w:t>
            </w:r>
            <w:r w:rsidRPr="00014415">
              <w:rPr>
                <w:rFonts w:ascii="標楷體" w:eastAsia="標楷體" w:hint="eastAsia"/>
                <w:snapToGrid w:val="0"/>
                <w:spacing w:val="-20"/>
                <w:szCs w:val="28"/>
              </w:rPr>
              <w:t>年度</w:t>
            </w:r>
          </w:p>
        </w:tc>
        <w:tc>
          <w:tcPr>
            <w:tcW w:w="1566" w:type="dxa"/>
            <w:gridSpan w:val="2"/>
            <w:shd w:val="clear" w:color="auto" w:fill="auto"/>
            <w:vAlign w:val="center"/>
          </w:tcPr>
          <w:p w:rsidR="00A52DD2" w:rsidRPr="00014415" w:rsidRDefault="00A52DD2" w:rsidP="00F035E0">
            <w:pPr>
              <w:spacing w:line="280" w:lineRule="exact"/>
              <w:ind w:leftChars="-25" w:left="-60" w:rightChars="-25" w:right="-60"/>
              <w:jc w:val="center"/>
              <w:rPr>
                <w:rFonts w:ascii="標楷體" w:eastAsia="標楷體"/>
                <w:snapToGrid w:val="0"/>
                <w:spacing w:val="-20"/>
                <w:szCs w:val="28"/>
              </w:rPr>
            </w:pPr>
            <w:r w:rsidRPr="00014415">
              <w:rPr>
                <w:rFonts w:ascii="標楷體" w:eastAsia="標楷體" w:hint="eastAsia"/>
                <w:snapToGrid w:val="0"/>
                <w:spacing w:val="-20"/>
                <w:szCs w:val="28"/>
              </w:rPr>
              <w:t>1</w:t>
            </w:r>
            <w:r w:rsidRPr="00014415">
              <w:rPr>
                <w:rFonts w:ascii="標楷體" w:eastAsia="標楷體"/>
                <w:snapToGrid w:val="0"/>
                <w:spacing w:val="-20"/>
                <w:szCs w:val="28"/>
              </w:rPr>
              <w:t>09</w:t>
            </w:r>
            <w:r w:rsidRPr="00014415">
              <w:rPr>
                <w:rFonts w:ascii="標楷體" w:eastAsia="標楷體" w:hint="eastAsia"/>
                <w:snapToGrid w:val="0"/>
                <w:spacing w:val="-20"/>
                <w:szCs w:val="28"/>
              </w:rPr>
              <w:t>年度</w:t>
            </w:r>
          </w:p>
        </w:tc>
        <w:tc>
          <w:tcPr>
            <w:tcW w:w="1701" w:type="dxa"/>
            <w:gridSpan w:val="2"/>
            <w:shd w:val="clear" w:color="auto" w:fill="auto"/>
            <w:vAlign w:val="center"/>
          </w:tcPr>
          <w:p w:rsidR="00A52DD2" w:rsidRPr="00014415" w:rsidRDefault="00A52DD2" w:rsidP="00F035E0">
            <w:pPr>
              <w:spacing w:line="280" w:lineRule="exact"/>
              <w:ind w:leftChars="-25" w:left="-60" w:rightChars="-25" w:right="-60"/>
              <w:jc w:val="center"/>
              <w:rPr>
                <w:rFonts w:ascii="標楷體" w:eastAsia="標楷體"/>
                <w:snapToGrid w:val="0"/>
                <w:spacing w:val="-20"/>
                <w:szCs w:val="28"/>
              </w:rPr>
            </w:pPr>
            <w:r w:rsidRPr="00014415">
              <w:rPr>
                <w:rFonts w:ascii="標楷體" w:eastAsia="標楷體" w:hint="eastAsia"/>
                <w:snapToGrid w:val="0"/>
                <w:spacing w:val="-20"/>
                <w:szCs w:val="28"/>
              </w:rPr>
              <w:t>1</w:t>
            </w:r>
            <w:r w:rsidRPr="00014415">
              <w:rPr>
                <w:rFonts w:ascii="標楷體" w:eastAsia="標楷體"/>
                <w:snapToGrid w:val="0"/>
                <w:spacing w:val="-20"/>
                <w:szCs w:val="28"/>
              </w:rPr>
              <w:t>10</w:t>
            </w:r>
            <w:r w:rsidRPr="00014415">
              <w:rPr>
                <w:rFonts w:ascii="標楷體" w:eastAsia="標楷體" w:hint="eastAsia"/>
                <w:snapToGrid w:val="0"/>
                <w:spacing w:val="-20"/>
                <w:szCs w:val="28"/>
              </w:rPr>
              <w:t>年度</w:t>
            </w:r>
          </w:p>
        </w:tc>
        <w:tc>
          <w:tcPr>
            <w:tcW w:w="850" w:type="dxa"/>
            <w:shd w:val="clear" w:color="auto" w:fill="auto"/>
            <w:vAlign w:val="center"/>
          </w:tcPr>
          <w:p w:rsidR="00A52DD2" w:rsidRPr="00014415" w:rsidRDefault="00A52DD2" w:rsidP="00F035E0">
            <w:pPr>
              <w:spacing w:line="280" w:lineRule="exact"/>
              <w:ind w:leftChars="-25" w:left="-60" w:rightChars="-25" w:right="-60"/>
              <w:jc w:val="center"/>
              <w:rPr>
                <w:rFonts w:ascii="標楷體" w:eastAsia="標楷體"/>
                <w:snapToGrid w:val="0"/>
                <w:spacing w:val="-20"/>
                <w:szCs w:val="28"/>
              </w:rPr>
            </w:pPr>
            <w:r w:rsidRPr="00014415">
              <w:rPr>
                <w:rFonts w:ascii="標楷體" w:eastAsia="標楷體" w:hint="eastAsia"/>
                <w:snapToGrid w:val="0"/>
                <w:spacing w:val="-20"/>
                <w:szCs w:val="28"/>
              </w:rPr>
              <w:t>1</w:t>
            </w:r>
            <w:r w:rsidRPr="00014415">
              <w:rPr>
                <w:rFonts w:ascii="標楷體" w:eastAsia="標楷體"/>
                <w:snapToGrid w:val="0"/>
                <w:spacing w:val="-20"/>
                <w:szCs w:val="28"/>
              </w:rPr>
              <w:t>11</w:t>
            </w:r>
            <w:r w:rsidRPr="00014415">
              <w:rPr>
                <w:rFonts w:ascii="標楷體" w:eastAsia="標楷體" w:hint="eastAsia"/>
                <w:snapToGrid w:val="0"/>
                <w:spacing w:val="-20"/>
                <w:szCs w:val="28"/>
              </w:rPr>
              <w:t>年度</w:t>
            </w:r>
          </w:p>
        </w:tc>
        <w:tc>
          <w:tcPr>
            <w:tcW w:w="957" w:type="dxa"/>
            <w:shd w:val="clear" w:color="auto" w:fill="auto"/>
            <w:vAlign w:val="center"/>
          </w:tcPr>
          <w:p w:rsidR="00A52DD2" w:rsidRPr="00014415" w:rsidRDefault="00A52DD2" w:rsidP="00F035E0">
            <w:pPr>
              <w:spacing w:line="280" w:lineRule="exact"/>
              <w:ind w:leftChars="-25" w:left="-60" w:rightChars="-25" w:right="-60"/>
              <w:jc w:val="center"/>
              <w:rPr>
                <w:rFonts w:ascii="標楷體" w:eastAsia="標楷體"/>
                <w:snapToGrid w:val="0"/>
                <w:spacing w:val="-20"/>
                <w:szCs w:val="28"/>
              </w:rPr>
            </w:pPr>
            <w:r w:rsidRPr="00014415">
              <w:rPr>
                <w:rFonts w:ascii="標楷體" w:eastAsia="標楷體" w:hint="eastAsia"/>
                <w:snapToGrid w:val="0"/>
                <w:spacing w:val="-20"/>
                <w:szCs w:val="28"/>
              </w:rPr>
              <w:t>1</w:t>
            </w:r>
            <w:r w:rsidRPr="00014415">
              <w:rPr>
                <w:rFonts w:ascii="標楷體" w:eastAsia="標楷體"/>
                <w:snapToGrid w:val="0"/>
                <w:spacing w:val="-20"/>
                <w:szCs w:val="28"/>
              </w:rPr>
              <w:t>12</w:t>
            </w:r>
            <w:r w:rsidRPr="00014415">
              <w:rPr>
                <w:rFonts w:ascii="標楷體" w:eastAsia="標楷體" w:hint="eastAsia"/>
                <w:snapToGrid w:val="0"/>
                <w:spacing w:val="-20"/>
                <w:szCs w:val="28"/>
              </w:rPr>
              <w:t>年度</w:t>
            </w:r>
          </w:p>
        </w:tc>
      </w:tr>
      <w:tr w:rsidR="00A52DD2" w:rsidRPr="00014415" w:rsidTr="00F035E0">
        <w:trPr>
          <w:trHeight w:val="20"/>
          <w:tblHeader/>
          <w:jc w:val="right"/>
        </w:trPr>
        <w:tc>
          <w:tcPr>
            <w:tcW w:w="1843" w:type="dxa"/>
            <w:vMerge/>
            <w:shd w:val="clear" w:color="auto" w:fill="auto"/>
            <w:vAlign w:val="center"/>
          </w:tcPr>
          <w:p w:rsidR="00A52DD2" w:rsidRPr="00014415" w:rsidRDefault="00A52DD2" w:rsidP="00F035E0">
            <w:pPr>
              <w:spacing w:line="280" w:lineRule="exact"/>
              <w:rPr>
                <w:rFonts w:ascii="標楷體" w:eastAsia="標楷體"/>
                <w:snapToGrid w:val="0"/>
                <w:spacing w:val="-20"/>
                <w:szCs w:val="28"/>
              </w:rPr>
            </w:pPr>
          </w:p>
        </w:tc>
        <w:tc>
          <w:tcPr>
            <w:tcW w:w="886" w:type="dxa"/>
            <w:shd w:val="clear" w:color="auto" w:fill="auto"/>
            <w:vAlign w:val="center"/>
          </w:tcPr>
          <w:p w:rsidR="00A52DD2" w:rsidRPr="00014415" w:rsidRDefault="00A52DD2" w:rsidP="00F035E0">
            <w:pPr>
              <w:spacing w:line="280" w:lineRule="exact"/>
              <w:ind w:leftChars="-25" w:left="-60" w:rightChars="-25" w:right="-60"/>
              <w:jc w:val="center"/>
              <w:rPr>
                <w:rFonts w:ascii="標楷體" w:eastAsia="標楷體"/>
                <w:snapToGrid w:val="0"/>
                <w:spacing w:val="-20"/>
                <w:szCs w:val="28"/>
              </w:rPr>
            </w:pPr>
            <w:r w:rsidRPr="00014415">
              <w:rPr>
                <w:rFonts w:ascii="標楷體" w:eastAsia="標楷體" w:hint="eastAsia"/>
                <w:snapToGrid w:val="0"/>
                <w:spacing w:val="-20"/>
                <w:szCs w:val="28"/>
              </w:rPr>
              <w:t>預算數</w:t>
            </w:r>
          </w:p>
        </w:tc>
        <w:tc>
          <w:tcPr>
            <w:tcW w:w="886" w:type="dxa"/>
            <w:shd w:val="clear" w:color="auto" w:fill="auto"/>
            <w:vAlign w:val="center"/>
          </w:tcPr>
          <w:p w:rsidR="00A52DD2" w:rsidRPr="00014415" w:rsidRDefault="00A52DD2" w:rsidP="00F035E0">
            <w:pPr>
              <w:spacing w:line="280" w:lineRule="exact"/>
              <w:ind w:leftChars="-25" w:left="-60" w:rightChars="-25" w:right="-60"/>
              <w:jc w:val="center"/>
              <w:rPr>
                <w:rFonts w:ascii="標楷體" w:eastAsia="標楷體"/>
                <w:snapToGrid w:val="0"/>
                <w:spacing w:val="-20"/>
                <w:szCs w:val="28"/>
              </w:rPr>
            </w:pPr>
            <w:r w:rsidRPr="00014415">
              <w:rPr>
                <w:rFonts w:ascii="標楷體" w:eastAsia="標楷體" w:hint="eastAsia"/>
                <w:snapToGrid w:val="0"/>
                <w:spacing w:val="-20"/>
                <w:szCs w:val="28"/>
              </w:rPr>
              <w:t>決算數</w:t>
            </w:r>
          </w:p>
        </w:tc>
        <w:tc>
          <w:tcPr>
            <w:tcW w:w="850" w:type="dxa"/>
            <w:shd w:val="clear" w:color="auto" w:fill="auto"/>
            <w:vAlign w:val="center"/>
          </w:tcPr>
          <w:p w:rsidR="00A52DD2" w:rsidRPr="00014415" w:rsidRDefault="00A52DD2" w:rsidP="00F035E0">
            <w:pPr>
              <w:spacing w:line="280" w:lineRule="exact"/>
              <w:ind w:leftChars="-25" w:left="-60" w:rightChars="-25" w:right="-60"/>
              <w:jc w:val="center"/>
              <w:rPr>
                <w:rFonts w:ascii="標楷體" w:eastAsia="標楷體"/>
                <w:snapToGrid w:val="0"/>
                <w:spacing w:val="-20"/>
                <w:szCs w:val="28"/>
              </w:rPr>
            </w:pPr>
            <w:r w:rsidRPr="00014415">
              <w:rPr>
                <w:rFonts w:ascii="標楷體" w:eastAsia="標楷體" w:hint="eastAsia"/>
                <w:snapToGrid w:val="0"/>
                <w:spacing w:val="-20"/>
                <w:szCs w:val="28"/>
              </w:rPr>
              <w:t>預算數</w:t>
            </w:r>
          </w:p>
        </w:tc>
        <w:tc>
          <w:tcPr>
            <w:tcW w:w="716" w:type="dxa"/>
            <w:shd w:val="clear" w:color="auto" w:fill="auto"/>
            <w:vAlign w:val="center"/>
          </w:tcPr>
          <w:p w:rsidR="00A52DD2" w:rsidRPr="00014415" w:rsidRDefault="00A52DD2" w:rsidP="00F035E0">
            <w:pPr>
              <w:spacing w:line="280" w:lineRule="exact"/>
              <w:ind w:leftChars="-25" w:left="-60" w:rightChars="-25" w:right="-60"/>
              <w:jc w:val="center"/>
              <w:rPr>
                <w:rFonts w:ascii="標楷體" w:eastAsia="標楷體"/>
                <w:snapToGrid w:val="0"/>
                <w:spacing w:val="-20"/>
                <w:szCs w:val="28"/>
              </w:rPr>
            </w:pPr>
            <w:r w:rsidRPr="00014415">
              <w:rPr>
                <w:rFonts w:ascii="標楷體" w:eastAsia="標楷體" w:hint="eastAsia"/>
                <w:snapToGrid w:val="0"/>
                <w:spacing w:val="-20"/>
                <w:szCs w:val="28"/>
              </w:rPr>
              <w:t>決算數</w:t>
            </w:r>
          </w:p>
        </w:tc>
        <w:tc>
          <w:tcPr>
            <w:tcW w:w="850" w:type="dxa"/>
            <w:shd w:val="clear" w:color="auto" w:fill="auto"/>
            <w:vAlign w:val="center"/>
          </w:tcPr>
          <w:p w:rsidR="00A52DD2" w:rsidRPr="00014415" w:rsidRDefault="00A52DD2" w:rsidP="00F035E0">
            <w:pPr>
              <w:spacing w:line="280" w:lineRule="exact"/>
              <w:ind w:leftChars="-25" w:left="-60" w:rightChars="-25" w:right="-60"/>
              <w:jc w:val="center"/>
              <w:rPr>
                <w:rFonts w:ascii="標楷體" w:eastAsia="標楷體"/>
                <w:snapToGrid w:val="0"/>
                <w:spacing w:val="-20"/>
                <w:szCs w:val="28"/>
              </w:rPr>
            </w:pPr>
            <w:r w:rsidRPr="00014415">
              <w:rPr>
                <w:rFonts w:ascii="標楷體" w:eastAsia="標楷體" w:hint="eastAsia"/>
                <w:snapToGrid w:val="0"/>
                <w:spacing w:val="-20"/>
                <w:szCs w:val="28"/>
              </w:rPr>
              <w:t>預算數</w:t>
            </w:r>
          </w:p>
        </w:tc>
        <w:tc>
          <w:tcPr>
            <w:tcW w:w="851" w:type="dxa"/>
            <w:shd w:val="clear" w:color="auto" w:fill="auto"/>
            <w:vAlign w:val="center"/>
          </w:tcPr>
          <w:p w:rsidR="00A52DD2" w:rsidRPr="00014415" w:rsidRDefault="00A52DD2" w:rsidP="00F035E0">
            <w:pPr>
              <w:spacing w:line="280" w:lineRule="exact"/>
              <w:ind w:leftChars="-25" w:left="-60" w:rightChars="-25" w:right="-60"/>
              <w:jc w:val="center"/>
              <w:rPr>
                <w:rFonts w:ascii="標楷體" w:eastAsia="標楷體"/>
                <w:snapToGrid w:val="0"/>
                <w:spacing w:val="-20"/>
                <w:szCs w:val="28"/>
              </w:rPr>
            </w:pPr>
            <w:r w:rsidRPr="00014415">
              <w:rPr>
                <w:rFonts w:ascii="標楷體" w:eastAsia="標楷體" w:hint="eastAsia"/>
                <w:snapToGrid w:val="0"/>
                <w:spacing w:val="-20"/>
                <w:szCs w:val="28"/>
              </w:rPr>
              <w:t>決算數</w:t>
            </w:r>
          </w:p>
        </w:tc>
        <w:tc>
          <w:tcPr>
            <w:tcW w:w="850" w:type="dxa"/>
            <w:shd w:val="clear" w:color="auto" w:fill="auto"/>
            <w:vAlign w:val="center"/>
          </w:tcPr>
          <w:p w:rsidR="00A52DD2" w:rsidRPr="00014415" w:rsidRDefault="00A52DD2" w:rsidP="00F035E0">
            <w:pPr>
              <w:spacing w:line="280" w:lineRule="exact"/>
              <w:ind w:leftChars="-25" w:left="-60" w:rightChars="-25" w:right="-60"/>
              <w:jc w:val="center"/>
              <w:rPr>
                <w:rFonts w:ascii="標楷體" w:eastAsia="標楷體"/>
                <w:snapToGrid w:val="0"/>
                <w:spacing w:val="-20"/>
                <w:szCs w:val="28"/>
              </w:rPr>
            </w:pPr>
            <w:r w:rsidRPr="00014415">
              <w:rPr>
                <w:rFonts w:ascii="標楷體" w:eastAsia="標楷體" w:hint="eastAsia"/>
                <w:snapToGrid w:val="0"/>
                <w:spacing w:val="-20"/>
                <w:szCs w:val="28"/>
              </w:rPr>
              <w:t>預算數</w:t>
            </w:r>
          </w:p>
        </w:tc>
        <w:tc>
          <w:tcPr>
            <w:tcW w:w="957" w:type="dxa"/>
            <w:shd w:val="clear" w:color="auto" w:fill="auto"/>
            <w:vAlign w:val="center"/>
          </w:tcPr>
          <w:p w:rsidR="00A52DD2" w:rsidRPr="00014415" w:rsidRDefault="00A52DD2" w:rsidP="00F035E0">
            <w:pPr>
              <w:spacing w:line="280" w:lineRule="exact"/>
              <w:ind w:leftChars="-25" w:left="-60" w:rightChars="-25" w:right="-60"/>
              <w:jc w:val="center"/>
              <w:rPr>
                <w:rFonts w:ascii="標楷體" w:eastAsia="標楷體"/>
                <w:snapToGrid w:val="0"/>
                <w:spacing w:val="-20"/>
                <w:szCs w:val="28"/>
              </w:rPr>
            </w:pPr>
            <w:r w:rsidRPr="00014415">
              <w:rPr>
                <w:rFonts w:ascii="標楷體" w:eastAsia="標楷體" w:hint="eastAsia"/>
                <w:snapToGrid w:val="0"/>
                <w:spacing w:val="-20"/>
                <w:szCs w:val="28"/>
              </w:rPr>
              <w:t>預算案數</w:t>
            </w:r>
          </w:p>
        </w:tc>
      </w:tr>
      <w:tr w:rsidR="00A52DD2" w:rsidRPr="00014415" w:rsidTr="00F035E0">
        <w:trPr>
          <w:trHeight w:val="20"/>
          <w:jc w:val="right"/>
        </w:trPr>
        <w:tc>
          <w:tcPr>
            <w:tcW w:w="1843" w:type="dxa"/>
            <w:shd w:val="clear" w:color="auto" w:fill="auto"/>
          </w:tcPr>
          <w:p w:rsidR="00A52DD2" w:rsidRPr="00014415" w:rsidRDefault="00A52DD2" w:rsidP="00F035E0">
            <w:pPr>
              <w:spacing w:line="280" w:lineRule="exact"/>
              <w:ind w:leftChars="-25" w:left="-60" w:rightChars="-25" w:right="-60"/>
              <w:rPr>
                <w:rFonts w:ascii="標楷體" w:eastAsia="標楷體"/>
                <w:snapToGrid w:val="0"/>
                <w:spacing w:val="-20"/>
                <w:szCs w:val="28"/>
              </w:rPr>
            </w:pPr>
            <w:r w:rsidRPr="00014415">
              <w:rPr>
                <w:rFonts w:ascii="標楷體" w:eastAsia="標楷體" w:hint="eastAsia"/>
                <w:snapToGrid w:val="0"/>
                <w:spacing w:val="-20"/>
                <w:szCs w:val="28"/>
              </w:rPr>
              <w:t>員工消費合作社</w:t>
            </w:r>
          </w:p>
        </w:tc>
        <w:tc>
          <w:tcPr>
            <w:tcW w:w="886"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195</w:t>
            </w:r>
          </w:p>
        </w:tc>
        <w:tc>
          <w:tcPr>
            <w:tcW w:w="886"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179</w:t>
            </w:r>
          </w:p>
        </w:tc>
        <w:tc>
          <w:tcPr>
            <w:tcW w:w="850"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179</w:t>
            </w:r>
          </w:p>
        </w:tc>
        <w:tc>
          <w:tcPr>
            <w:tcW w:w="716"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18</w:t>
            </w:r>
            <w:r w:rsidRPr="00014415">
              <w:rPr>
                <w:rFonts w:ascii="標楷體" w:eastAsia="標楷體" w:hint="eastAsia"/>
                <w:snapToGrid w:val="0"/>
                <w:spacing w:val="-20"/>
                <w:szCs w:val="28"/>
              </w:rPr>
              <w:t>4</w:t>
            </w:r>
          </w:p>
        </w:tc>
        <w:tc>
          <w:tcPr>
            <w:tcW w:w="850"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183</w:t>
            </w:r>
          </w:p>
        </w:tc>
        <w:tc>
          <w:tcPr>
            <w:tcW w:w="851"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100</w:t>
            </w:r>
          </w:p>
        </w:tc>
        <w:tc>
          <w:tcPr>
            <w:tcW w:w="850"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183</w:t>
            </w:r>
          </w:p>
        </w:tc>
        <w:tc>
          <w:tcPr>
            <w:tcW w:w="957"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190</w:t>
            </w:r>
          </w:p>
        </w:tc>
      </w:tr>
      <w:tr w:rsidR="00A52DD2" w:rsidRPr="00014415" w:rsidTr="00F035E0">
        <w:trPr>
          <w:trHeight w:val="20"/>
          <w:jc w:val="right"/>
        </w:trPr>
        <w:tc>
          <w:tcPr>
            <w:tcW w:w="1843" w:type="dxa"/>
            <w:shd w:val="clear" w:color="auto" w:fill="auto"/>
          </w:tcPr>
          <w:p w:rsidR="00A52DD2" w:rsidRPr="00014415" w:rsidRDefault="00A52DD2" w:rsidP="00F035E0">
            <w:pPr>
              <w:spacing w:line="280" w:lineRule="exact"/>
              <w:ind w:leftChars="-25" w:left="-60" w:rightChars="-25" w:right="-60"/>
              <w:rPr>
                <w:rFonts w:ascii="標楷體" w:eastAsia="標楷體"/>
                <w:snapToGrid w:val="0"/>
                <w:spacing w:val="-20"/>
                <w:szCs w:val="28"/>
              </w:rPr>
            </w:pPr>
            <w:r w:rsidRPr="00014415">
              <w:rPr>
                <w:rFonts w:ascii="標楷體" w:eastAsia="標楷體" w:hint="eastAsia"/>
                <w:snapToGrid w:val="0"/>
                <w:spacing w:val="-20"/>
                <w:szCs w:val="28"/>
              </w:rPr>
              <w:t>郵局及銀行</w:t>
            </w:r>
          </w:p>
        </w:tc>
        <w:tc>
          <w:tcPr>
            <w:tcW w:w="886"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304</w:t>
            </w:r>
          </w:p>
        </w:tc>
        <w:tc>
          <w:tcPr>
            <w:tcW w:w="886"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338</w:t>
            </w:r>
          </w:p>
        </w:tc>
        <w:tc>
          <w:tcPr>
            <w:tcW w:w="850"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305</w:t>
            </w:r>
          </w:p>
        </w:tc>
        <w:tc>
          <w:tcPr>
            <w:tcW w:w="716"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316</w:t>
            </w:r>
          </w:p>
        </w:tc>
        <w:tc>
          <w:tcPr>
            <w:tcW w:w="850"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316</w:t>
            </w:r>
          </w:p>
        </w:tc>
        <w:tc>
          <w:tcPr>
            <w:tcW w:w="851"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316</w:t>
            </w:r>
          </w:p>
        </w:tc>
        <w:tc>
          <w:tcPr>
            <w:tcW w:w="850"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316</w:t>
            </w:r>
          </w:p>
        </w:tc>
        <w:tc>
          <w:tcPr>
            <w:tcW w:w="957"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400</w:t>
            </w:r>
          </w:p>
        </w:tc>
      </w:tr>
      <w:tr w:rsidR="00A52DD2" w:rsidRPr="00014415" w:rsidTr="00F035E0">
        <w:trPr>
          <w:trHeight w:val="20"/>
          <w:jc w:val="right"/>
        </w:trPr>
        <w:tc>
          <w:tcPr>
            <w:tcW w:w="1843" w:type="dxa"/>
            <w:shd w:val="clear" w:color="auto" w:fill="auto"/>
          </w:tcPr>
          <w:p w:rsidR="00A52DD2" w:rsidRPr="00014415" w:rsidRDefault="00A52DD2" w:rsidP="00F035E0">
            <w:pPr>
              <w:spacing w:line="280" w:lineRule="exact"/>
              <w:ind w:leftChars="-25" w:left="-60" w:rightChars="-25" w:right="-60"/>
              <w:rPr>
                <w:rFonts w:ascii="標楷體" w:eastAsia="標楷體"/>
                <w:snapToGrid w:val="0"/>
                <w:spacing w:val="-20"/>
                <w:szCs w:val="28"/>
              </w:rPr>
            </w:pPr>
            <w:r w:rsidRPr="00014415">
              <w:rPr>
                <w:rFonts w:ascii="標楷體" w:eastAsia="標楷體" w:hint="eastAsia"/>
                <w:snapToGrid w:val="0"/>
                <w:spacing w:val="-20"/>
                <w:szCs w:val="28"/>
              </w:rPr>
              <w:t>電信基地台</w:t>
            </w:r>
          </w:p>
        </w:tc>
        <w:tc>
          <w:tcPr>
            <w:tcW w:w="886"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252</w:t>
            </w:r>
          </w:p>
        </w:tc>
        <w:tc>
          <w:tcPr>
            <w:tcW w:w="886"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w:t>
            </w:r>
          </w:p>
        </w:tc>
        <w:tc>
          <w:tcPr>
            <w:tcW w:w="850"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252</w:t>
            </w:r>
          </w:p>
        </w:tc>
        <w:tc>
          <w:tcPr>
            <w:tcW w:w="716"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624</w:t>
            </w:r>
          </w:p>
        </w:tc>
        <w:tc>
          <w:tcPr>
            <w:tcW w:w="850"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372</w:t>
            </w:r>
          </w:p>
        </w:tc>
        <w:tc>
          <w:tcPr>
            <w:tcW w:w="851"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372</w:t>
            </w:r>
          </w:p>
        </w:tc>
        <w:tc>
          <w:tcPr>
            <w:tcW w:w="850"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372</w:t>
            </w:r>
          </w:p>
        </w:tc>
        <w:tc>
          <w:tcPr>
            <w:tcW w:w="957"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372</w:t>
            </w:r>
          </w:p>
        </w:tc>
      </w:tr>
      <w:tr w:rsidR="00A52DD2" w:rsidRPr="00014415" w:rsidTr="00F035E0">
        <w:trPr>
          <w:trHeight w:val="20"/>
          <w:jc w:val="right"/>
        </w:trPr>
        <w:tc>
          <w:tcPr>
            <w:tcW w:w="1843" w:type="dxa"/>
            <w:shd w:val="clear" w:color="auto" w:fill="auto"/>
          </w:tcPr>
          <w:p w:rsidR="00A52DD2" w:rsidRPr="00014415" w:rsidRDefault="00A52DD2" w:rsidP="00F035E0">
            <w:pPr>
              <w:spacing w:line="280" w:lineRule="exact"/>
              <w:ind w:leftChars="-25" w:left="-60" w:rightChars="-25" w:right="-60"/>
              <w:rPr>
                <w:rFonts w:ascii="標楷體" w:eastAsia="標楷體"/>
                <w:snapToGrid w:val="0"/>
                <w:spacing w:val="-20"/>
                <w:szCs w:val="28"/>
              </w:rPr>
            </w:pPr>
            <w:r w:rsidRPr="00014415">
              <w:rPr>
                <w:rFonts w:ascii="標楷體" w:eastAsia="標楷體" w:hint="eastAsia"/>
                <w:snapToGrid w:val="0"/>
                <w:spacing w:val="-20"/>
                <w:szCs w:val="28"/>
              </w:rPr>
              <w:t>院友會</w:t>
            </w:r>
          </w:p>
        </w:tc>
        <w:tc>
          <w:tcPr>
            <w:tcW w:w="886"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w:t>
            </w:r>
          </w:p>
        </w:tc>
        <w:tc>
          <w:tcPr>
            <w:tcW w:w="886"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49</w:t>
            </w:r>
          </w:p>
        </w:tc>
        <w:tc>
          <w:tcPr>
            <w:tcW w:w="850"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w:t>
            </w:r>
          </w:p>
        </w:tc>
        <w:tc>
          <w:tcPr>
            <w:tcW w:w="716"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21</w:t>
            </w:r>
          </w:p>
        </w:tc>
        <w:tc>
          <w:tcPr>
            <w:tcW w:w="850"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w:t>
            </w:r>
          </w:p>
        </w:tc>
        <w:tc>
          <w:tcPr>
            <w:tcW w:w="851"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21</w:t>
            </w:r>
          </w:p>
        </w:tc>
        <w:tc>
          <w:tcPr>
            <w:tcW w:w="850"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w:t>
            </w:r>
          </w:p>
        </w:tc>
        <w:tc>
          <w:tcPr>
            <w:tcW w:w="957"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25</w:t>
            </w:r>
          </w:p>
        </w:tc>
      </w:tr>
      <w:tr w:rsidR="00A52DD2" w:rsidRPr="00014415" w:rsidTr="00F035E0">
        <w:trPr>
          <w:trHeight w:val="20"/>
          <w:jc w:val="right"/>
        </w:trPr>
        <w:tc>
          <w:tcPr>
            <w:tcW w:w="1843" w:type="dxa"/>
            <w:shd w:val="clear" w:color="auto" w:fill="auto"/>
          </w:tcPr>
          <w:p w:rsidR="00A52DD2" w:rsidRPr="00014415" w:rsidRDefault="00A52DD2" w:rsidP="00F035E0">
            <w:pPr>
              <w:spacing w:line="280" w:lineRule="exact"/>
              <w:ind w:leftChars="-25" w:left="-60" w:rightChars="-25" w:right="-60"/>
              <w:rPr>
                <w:rFonts w:ascii="標楷體" w:eastAsia="標楷體"/>
                <w:snapToGrid w:val="0"/>
                <w:spacing w:val="-20"/>
                <w:szCs w:val="28"/>
              </w:rPr>
            </w:pPr>
            <w:r w:rsidRPr="00014415">
              <w:rPr>
                <w:rFonts w:ascii="標楷體" w:eastAsia="標楷體" w:hint="eastAsia"/>
                <w:snapToGrid w:val="0"/>
                <w:spacing w:val="-20"/>
                <w:szCs w:val="28"/>
              </w:rPr>
              <w:t>超商及餐廳</w:t>
            </w:r>
          </w:p>
        </w:tc>
        <w:tc>
          <w:tcPr>
            <w:tcW w:w="886"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700</w:t>
            </w:r>
          </w:p>
        </w:tc>
        <w:tc>
          <w:tcPr>
            <w:tcW w:w="886"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707</w:t>
            </w:r>
          </w:p>
        </w:tc>
        <w:tc>
          <w:tcPr>
            <w:tcW w:w="850"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2,494</w:t>
            </w:r>
          </w:p>
        </w:tc>
        <w:tc>
          <w:tcPr>
            <w:tcW w:w="716"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653</w:t>
            </w:r>
          </w:p>
        </w:tc>
        <w:tc>
          <w:tcPr>
            <w:tcW w:w="850"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2,462</w:t>
            </w:r>
          </w:p>
        </w:tc>
        <w:tc>
          <w:tcPr>
            <w:tcW w:w="851"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1,572</w:t>
            </w:r>
          </w:p>
        </w:tc>
        <w:tc>
          <w:tcPr>
            <w:tcW w:w="850"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2,462</w:t>
            </w:r>
          </w:p>
        </w:tc>
        <w:tc>
          <w:tcPr>
            <w:tcW w:w="957"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2,462</w:t>
            </w:r>
          </w:p>
        </w:tc>
      </w:tr>
      <w:tr w:rsidR="00A52DD2" w:rsidRPr="00014415" w:rsidTr="00F035E0">
        <w:trPr>
          <w:trHeight w:val="20"/>
          <w:jc w:val="right"/>
        </w:trPr>
        <w:tc>
          <w:tcPr>
            <w:tcW w:w="1843" w:type="dxa"/>
            <w:shd w:val="clear" w:color="auto" w:fill="auto"/>
          </w:tcPr>
          <w:p w:rsidR="00A52DD2" w:rsidRPr="00014415" w:rsidRDefault="00A52DD2" w:rsidP="00F035E0">
            <w:pPr>
              <w:spacing w:line="280" w:lineRule="exact"/>
              <w:ind w:leftChars="-25" w:left="-60" w:rightChars="-25" w:right="-60"/>
              <w:rPr>
                <w:rFonts w:ascii="標楷體" w:eastAsia="標楷體"/>
                <w:snapToGrid w:val="0"/>
                <w:spacing w:val="-20"/>
                <w:szCs w:val="28"/>
              </w:rPr>
            </w:pPr>
            <w:r w:rsidRPr="00014415">
              <w:rPr>
                <w:rFonts w:ascii="標楷體" w:eastAsia="標楷體" w:hint="eastAsia"/>
                <w:snapToGrid w:val="0"/>
                <w:spacing w:val="-20"/>
                <w:szCs w:val="28"/>
              </w:rPr>
              <w:t>托嬰中心</w:t>
            </w:r>
          </w:p>
        </w:tc>
        <w:tc>
          <w:tcPr>
            <w:tcW w:w="886"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w:t>
            </w:r>
          </w:p>
        </w:tc>
        <w:tc>
          <w:tcPr>
            <w:tcW w:w="886"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w:t>
            </w:r>
          </w:p>
        </w:tc>
        <w:tc>
          <w:tcPr>
            <w:tcW w:w="850"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w:t>
            </w:r>
          </w:p>
        </w:tc>
        <w:tc>
          <w:tcPr>
            <w:tcW w:w="716"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w:t>
            </w:r>
          </w:p>
        </w:tc>
        <w:tc>
          <w:tcPr>
            <w:tcW w:w="850"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w:t>
            </w:r>
          </w:p>
        </w:tc>
        <w:tc>
          <w:tcPr>
            <w:tcW w:w="851"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79</w:t>
            </w:r>
          </w:p>
        </w:tc>
        <w:tc>
          <w:tcPr>
            <w:tcW w:w="850"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470</w:t>
            </w:r>
          </w:p>
        </w:tc>
        <w:tc>
          <w:tcPr>
            <w:tcW w:w="957"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470</w:t>
            </w:r>
          </w:p>
        </w:tc>
      </w:tr>
      <w:tr w:rsidR="00A52DD2" w:rsidRPr="00014415" w:rsidTr="00F035E0">
        <w:trPr>
          <w:trHeight w:val="20"/>
          <w:jc w:val="right"/>
        </w:trPr>
        <w:tc>
          <w:tcPr>
            <w:tcW w:w="1843" w:type="dxa"/>
            <w:shd w:val="clear" w:color="auto" w:fill="auto"/>
          </w:tcPr>
          <w:p w:rsidR="00A52DD2" w:rsidRPr="00014415" w:rsidRDefault="00A52DD2" w:rsidP="00F035E0">
            <w:pPr>
              <w:spacing w:line="280" w:lineRule="exact"/>
              <w:ind w:leftChars="-25" w:left="-60" w:rightChars="-25" w:right="-60"/>
              <w:rPr>
                <w:rFonts w:ascii="標楷體" w:eastAsia="標楷體"/>
                <w:snapToGrid w:val="0"/>
                <w:spacing w:val="-20"/>
                <w:szCs w:val="28"/>
              </w:rPr>
            </w:pPr>
            <w:r w:rsidRPr="00014415">
              <w:rPr>
                <w:rFonts w:ascii="標楷體" w:eastAsia="標楷體" w:hint="eastAsia"/>
                <w:snapToGrid w:val="0"/>
                <w:spacing w:val="-20"/>
                <w:szCs w:val="28"/>
              </w:rPr>
              <w:t>Ubike場地</w:t>
            </w:r>
          </w:p>
        </w:tc>
        <w:tc>
          <w:tcPr>
            <w:tcW w:w="886"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w:t>
            </w:r>
          </w:p>
        </w:tc>
        <w:tc>
          <w:tcPr>
            <w:tcW w:w="886"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w:t>
            </w:r>
          </w:p>
        </w:tc>
        <w:tc>
          <w:tcPr>
            <w:tcW w:w="850"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w:t>
            </w:r>
          </w:p>
        </w:tc>
        <w:tc>
          <w:tcPr>
            <w:tcW w:w="716"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w:t>
            </w:r>
          </w:p>
        </w:tc>
        <w:tc>
          <w:tcPr>
            <w:tcW w:w="850"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w:t>
            </w:r>
          </w:p>
        </w:tc>
        <w:tc>
          <w:tcPr>
            <w:tcW w:w="851"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w:t>
            </w:r>
          </w:p>
        </w:tc>
        <w:tc>
          <w:tcPr>
            <w:tcW w:w="850"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w:t>
            </w:r>
          </w:p>
        </w:tc>
        <w:tc>
          <w:tcPr>
            <w:tcW w:w="957"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7</w:t>
            </w:r>
          </w:p>
        </w:tc>
      </w:tr>
      <w:tr w:rsidR="00A52DD2" w:rsidRPr="00014415" w:rsidTr="00F035E0">
        <w:trPr>
          <w:trHeight w:val="20"/>
          <w:jc w:val="right"/>
        </w:trPr>
        <w:tc>
          <w:tcPr>
            <w:tcW w:w="1843" w:type="dxa"/>
            <w:shd w:val="clear" w:color="auto" w:fill="auto"/>
          </w:tcPr>
          <w:p w:rsidR="00A52DD2" w:rsidRPr="00014415" w:rsidRDefault="00A52DD2" w:rsidP="00F035E0">
            <w:pPr>
              <w:spacing w:line="280" w:lineRule="exact"/>
              <w:ind w:leftChars="-25" w:left="-60" w:rightChars="-25" w:right="-60"/>
              <w:rPr>
                <w:rFonts w:ascii="標楷體" w:eastAsia="標楷體"/>
                <w:snapToGrid w:val="0"/>
                <w:spacing w:val="-20"/>
                <w:szCs w:val="28"/>
              </w:rPr>
            </w:pPr>
            <w:r w:rsidRPr="00014415">
              <w:rPr>
                <w:rFonts w:ascii="標楷體" w:eastAsia="標楷體" w:hint="eastAsia"/>
                <w:snapToGrid w:val="0"/>
                <w:spacing w:val="-20"/>
                <w:szCs w:val="28"/>
              </w:rPr>
              <w:t>太陽能光電發電設備使用回饋金</w:t>
            </w:r>
          </w:p>
        </w:tc>
        <w:tc>
          <w:tcPr>
            <w:tcW w:w="886"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w:t>
            </w:r>
          </w:p>
        </w:tc>
        <w:tc>
          <w:tcPr>
            <w:tcW w:w="886"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w:t>
            </w:r>
          </w:p>
        </w:tc>
        <w:tc>
          <w:tcPr>
            <w:tcW w:w="850"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w:t>
            </w:r>
          </w:p>
        </w:tc>
        <w:tc>
          <w:tcPr>
            <w:tcW w:w="716"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w:t>
            </w:r>
          </w:p>
        </w:tc>
        <w:tc>
          <w:tcPr>
            <w:tcW w:w="850"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w:t>
            </w:r>
          </w:p>
        </w:tc>
        <w:tc>
          <w:tcPr>
            <w:tcW w:w="851"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w:t>
            </w:r>
          </w:p>
        </w:tc>
        <w:tc>
          <w:tcPr>
            <w:tcW w:w="850"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w:t>
            </w:r>
          </w:p>
        </w:tc>
        <w:tc>
          <w:tcPr>
            <w:tcW w:w="957"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308</w:t>
            </w:r>
          </w:p>
        </w:tc>
      </w:tr>
      <w:tr w:rsidR="00A52DD2" w:rsidRPr="00014415" w:rsidTr="00F035E0">
        <w:trPr>
          <w:trHeight w:val="20"/>
          <w:jc w:val="right"/>
        </w:trPr>
        <w:tc>
          <w:tcPr>
            <w:tcW w:w="1843" w:type="dxa"/>
            <w:shd w:val="clear" w:color="auto" w:fill="auto"/>
          </w:tcPr>
          <w:p w:rsidR="00A52DD2" w:rsidRPr="00014415" w:rsidRDefault="00A52DD2" w:rsidP="00F035E0">
            <w:pPr>
              <w:spacing w:line="280" w:lineRule="exact"/>
              <w:ind w:leftChars="-25" w:left="-60" w:rightChars="-25" w:right="-60"/>
              <w:rPr>
                <w:rFonts w:ascii="標楷體" w:eastAsia="標楷體"/>
                <w:snapToGrid w:val="0"/>
                <w:spacing w:val="-20"/>
                <w:szCs w:val="28"/>
              </w:rPr>
            </w:pPr>
            <w:r w:rsidRPr="00014415">
              <w:rPr>
                <w:rFonts w:ascii="標楷體" w:eastAsia="標楷體" w:hint="eastAsia"/>
                <w:snapToGrid w:val="0"/>
                <w:spacing w:val="-20"/>
                <w:szCs w:val="28"/>
              </w:rPr>
              <w:t>自動販賣機場地</w:t>
            </w:r>
          </w:p>
        </w:tc>
        <w:tc>
          <w:tcPr>
            <w:tcW w:w="886"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w:t>
            </w:r>
          </w:p>
        </w:tc>
        <w:tc>
          <w:tcPr>
            <w:tcW w:w="886"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7</w:t>
            </w:r>
          </w:p>
        </w:tc>
        <w:tc>
          <w:tcPr>
            <w:tcW w:w="850"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w:t>
            </w:r>
          </w:p>
        </w:tc>
        <w:tc>
          <w:tcPr>
            <w:tcW w:w="716"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187</w:t>
            </w:r>
          </w:p>
        </w:tc>
        <w:tc>
          <w:tcPr>
            <w:tcW w:w="850"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w:t>
            </w:r>
          </w:p>
        </w:tc>
        <w:tc>
          <w:tcPr>
            <w:tcW w:w="851"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27</w:t>
            </w:r>
          </w:p>
        </w:tc>
        <w:tc>
          <w:tcPr>
            <w:tcW w:w="850"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w:t>
            </w:r>
          </w:p>
        </w:tc>
        <w:tc>
          <w:tcPr>
            <w:tcW w:w="957"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w:t>
            </w:r>
          </w:p>
        </w:tc>
      </w:tr>
      <w:tr w:rsidR="00A52DD2" w:rsidRPr="00014415" w:rsidTr="00F035E0">
        <w:trPr>
          <w:trHeight w:val="20"/>
          <w:jc w:val="right"/>
        </w:trPr>
        <w:tc>
          <w:tcPr>
            <w:tcW w:w="1843" w:type="dxa"/>
            <w:shd w:val="clear" w:color="auto" w:fill="auto"/>
          </w:tcPr>
          <w:p w:rsidR="00A52DD2" w:rsidRPr="00014415" w:rsidRDefault="00A52DD2" w:rsidP="00F035E0">
            <w:pPr>
              <w:spacing w:line="280" w:lineRule="exact"/>
              <w:ind w:leftChars="-25" w:left="-60" w:rightChars="-25" w:right="-60"/>
              <w:rPr>
                <w:rFonts w:ascii="標楷體" w:eastAsia="標楷體"/>
                <w:snapToGrid w:val="0"/>
                <w:spacing w:val="-20"/>
                <w:szCs w:val="28"/>
              </w:rPr>
            </w:pPr>
            <w:r w:rsidRPr="00014415">
              <w:rPr>
                <w:rFonts w:ascii="標楷體" w:eastAsia="標楷體" w:hint="eastAsia"/>
                <w:snapToGrid w:val="0"/>
                <w:spacing w:val="-20"/>
                <w:szCs w:val="28"/>
              </w:rPr>
              <w:t>合計</w:t>
            </w:r>
          </w:p>
        </w:tc>
        <w:tc>
          <w:tcPr>
            <w:tcW w:w="886"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1,451</w:t>
            </w:r>
          </w:p>
        </w:tc>
        <w:tc>
          <w:tcPr>
            <w:tcW w:w="886"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1,280</w:t>
            </w:r>
          </w:p>
        </w:tc>
        <w:tc>
          <w:tcPr>
            <w:tcW w:w="850"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3,230</w:t>
            </w:r>
          </w:p>
        </w:tc>
        <w:tc>
          <w:tcPr>
            <w:tcW w:w="716"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1,98</w:t>
            </w:r>
            <w:r w:rsidRPr="00014415">
              <w:rPr>
                <w:rFonts w:ascii="標楷體" w:eastAsia="標楷體" w:hint="eastAsia"/>
                <w:snapToGrid w:val="0"/>
                <w:spacing w:val="-20"/>
                <w:szCs w:val="28"/>
              </w:rPr>
              <w:t>5</w:t>
            </w:r>
          </w:p>
        </w:tc>
        <w:tc>
          <w:tcPr>
            <w:tcW w:w="850"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3,333</w:t>
            </w:r>
          </w:p>
        </w:tc>
        <w:tc>
          <w:tcPr>
            <w:tcW w:w="851"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2,487</w:t>
            </w:r>
          </w:p>
        </w:tc>
        <w:tc>
          <w:tcPr>
            <w:tcW w:w="850"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3,803</w:t>
            </w:r>
          </w:p>
        </w:tc>
        <w:tc>
          <w:tcPr>
            <w:tcW w:w="957"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snapToGrid w:val="0"/>
                <w:spacing w:val="-20"/>
                <w:szCs w:val="28"/>
              </w:rPr>
              <w:t>4,234</w:t>
            </w:r>
          </w:p>
        </w:tc>
      </w:tr>
      <w:tr w:rsidR="00A52DD2" w:rsidRPr="00014415" w:rsidTr="00F035E0">
        <w:trPr>
          <w:trHeight w:val="20"/>
          <w:jc w:val="right"/>
        </w:trPr>
        <w:tc>
          <w:tcPr>
            <w:tcW w:w="1843" w:type="dxa"/>
            <w:shd w:val="clear" w:color="auto" w:fill="auto"/>
          </w:tcPr>
          <w:p w:rsidR="00A52DD2" w:rsidRPr="00014415" w:rsidRDefault="00A52DD2" w:rsidP="00F035E0">
            <w:pPr>
              <w:spacing w:line="280" w:lineRule="exact"/>
              <w:ind w:leftChars="-25" w:left="-60" w:rightChars="-25" w:right="-60"/>
              <w:rPr>
                <w:rFonts w:ascii="標楷體" w:eastAsia="標楷體"/>
                <w:snapToGrid w:val="0"/>
                <w:spacing w:val="-20"/>
                <w:szCs w:val="28"/>
              </w:rPr>
            </w:pPr>
            <w:r w:rsidRPr="00014415">
              <w:rPr>
                <w:rFonts w:ascii="標楷體" w:eastAsia="標楷體" w:hint="eastAsia"/>
                <w:snapToGrid w:val="0"/>
                <w:spacing w:val="-20"/>
                <w:szCs w:val="28"/>
              </w:rPr>
              <w:t>當年度達成率(</w:t>
            </w:r>
            <w:r w:rsidRPr="00014415">
              <w:rPr>
                <w:rFonts w:ascii="標楷體" w:eastAsia="標楷體"/>
                <w:snapToGrid w:val="0"/>
                <w:spacing w:val="-20"/>
                <w:szCs w:val="28"/>
              </w:rPr>
              <w:t>%</w:t>
            </w:r>
            <w:r w:rsidRPr="00014415">
              <w:rPr>
                <w:rFonts w:ascii="標楷體" w:eastAsia="標楷體" w:hint="eastAsia"/>
                <w:snapToGrid w:val="0"/>
                <w:spacing w:val="-20"/>
                <w:szCs w:val="28"/>
              </w:rPr>
              <w:t>)</w:t>
            </w:r>
          </w:p>
        </w:tc>
        <w:tc>
          <w:tcPr>
            <w:tcW w:w="1772" w:type="dxa"/>
            <w:gridSpan w:val="2"/>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hint="eastAsia"/>
                <w:snapToGrid w:val="0"/>
                <w:spacing w:val="-20"/>
                <w:szCs w:val="28"/>
              </w:rPr>
              <w:t>88.22</w:t>
            </w:r>
          </w:p>
        </w:tc>
        <w:tc>
          <w:tcPr>
            <w:tcW w:w="1566" w:type="dxa"/>
            <w:gridSpan w:val="2"/>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hint="eastAsia"/>
                <w:snapToGrid w:val="0"/>
                <w:spacing w:val="-20"/>
                <w:szCs w:val="28"/>
              </w:rPr>
              <w:t>6</w:t>
            </w:r>
            <w:r w:rsidRPr="00014415">
              <w:rPr>
                <w:rFonts w:ascii="標楷體" w:eastAsia="標楷體"/>
                <w:snapToGrid w:val="0"/>
                <w:spacing w:val="-20"/>
                <w:szCs w:val="28"/>
              </w:rPr>
              <w:t>1.46</w:t>
            </w:r>
          </w:p>
        </w:tc>
        <w:tc>
          <w:tcPr>
            <w:tcW w:w="1701" w:type="dxa"/>
            <w:gridSpan w:val="2"/>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hint="eastAsia"/>
                <w:snapToGrid w:val="0"/>
                <w:spacing w:val="-20"/>
                <w:szCs w:val="28"/>
              </w:rPr>
              <w:t>7</w:t>
            </w:r>
            <w:r w:rsidRPr="00014415">
              <w:rPr>
                <w:rFonts w:ascii="標楷體" w:eastAsia="標楷體"/>
                <w:snapToGrid w:val="0"/>
                <w:spacing w:val="-20"/>
                <w:szCs w:val="28"/>
              </w:rPr>
              <w:t>4.62</w:t>
            </w:r>
          </w:p>
        </w:tc>
        <w:tc>
          <w:tcPr>
            <w:tcW w:w="850"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hint="eastAsia"/>
                <w:snapToGrid w:val="0"/>
                <w:spacing w:val="-20"/>
                <w:szCs w:val="28"/>
              </w:rPr>
              <w:t>-</w:t>
            </w:r>
          </w:p>
        </w:tc>
        <w:tc>
          <w:tcPr>
            <w:tcW w:w="957" w:type="dxa"/>
            <w:shd w:val="clear" w:color="auto" w:fill="auto"/>
            <w:vAlign w:val="center"/>
          </w:tcPr>
          <w:p w:rsidR="00A52DD2" w:rsidRPr="00014415" w:rsidRDefault="00A52DD2" w:rsidP="00F035E0">
            <w:pPr>
              <w:spacing w:line="280" w:lineRule="exact"/>
              <w:jc w:val="center"/>
              <w:rPr>
                <w:rFonts w:ascii="標楷體" w:eastAsia="標楷體"/>
                <w:snapToGrid w:val="0"/>
                <w:spacing w:val="-20"/>
                <w:szCs w:val="28"/>
              </w:rPr>
            </w:pPr>
            <w:r w:rsidRPr="00014415">
              <w:rPr>
                <w:rFonts w:ascii="標楷體" w:eastAsia="標楷體" w:hint="eastAsia"/>
                <w:snapToGrid w:val="0"/>
                <w:spacing w:val="-20"/>
                <w:szCs w:val="28"/>
              </w:rPr>
              <w:t>-</w:t>
            </w:r>
          </w:p>
        </w:tc>
      </w:tr>
    </w:tbl>
    <w:p w:rsidR="00A52DD2" w:rsidRPr="00014415" w:rsidRDefault="00A52DD2" w:rsidP="00F035E0">
      <w:pPr>
        <w:overflowPunct w:val="0"/>
        <w:spacing w:line="500" w:lineRule="exact"/>
        <w:ind w:leftChars="150" w:left="1000" w:hangingChars="200" w:hanging="640"/>
        <w:jc w:val="both"/>
        <w:rPr>
          <w:rFonts w:ascii="標楷體" w:eastAsia="標楷體" w:hAnsi="標楷體"/>
          <w:sz w:val="32"/>
          <w:szCs w:val="32"/>
        </w:rPr>
      </w:pPr>
      <w:r w:rsidRPr="00014415">
        <w:rPr>
          <w:rFonts w:ascii="標楷體" w:eastAsia="標楷體" w:hAnsi="標楷體" w:hint="eastAsia"/>
          <w:sz w:val="32"/>
          <w:szCs w:val="32"/>
        </w:rPr>
        <w:t xml:space="preserve">        綜上，中央研究院允宜針對如何提升院內空間出租使用以達租金收入預算數，爰請中央研究院於1個月內向立法院教育及文化委員會提出書面報告。133</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提案人：黃國書</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連署人：林宜瑾  何欣純</w:t>
      </w:r>
    </w:p>
    <w:p w:rsidR="00A52DD2" w:rsidRPr="00014415"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(十三)</w:t>
      </w:r>
      <w:r w:rsidRPr="00014415">
        <w:rPr>
          <w:rFonts w:ascii="標楷體" w:eastAsia="標楷體" w:hAnsi="標楷體" w:hint="eastAsia"/>
          <w:sz w:val="32"/>
          <w:szCs w:val="32"/>
        </w:rPr>
        <w:t>中央研究院分別投入研究經費660萬元研發Omicron Hybrid mRNA疫苗及研究經費3,176萬元研發廣效C</w:t>
      </w:r>
      <w:r w:rsidRPr="00014415">
        <w:rPr>
          <w:rFonts w:ascii="標楷體" w:eastAsia="標楷體" w:hAnsi="標楷體"/>
          <w:sz w:val="32"/>
          <w:szCs w:val="32"/>
        </w:rPr>
        <w:t>OVID-19</w:t>
      </w:r>
      <w:r w:rsidRPr="00014415">
        <w:rPr>
          <w:rFonts w:ascii="標楷體" w:eastAsia="標楷體" w:hAnsi="標楷體" w:hint="eastAsia"/>
          <w:sz w:val="32"/>
          <w:szCs w:val="32"/>
        </w:rPr>
        <w:t>疫苗，其中廣效疫苗已由磐石醫藥生技股份有限公司取得中研院專屬授權，並進行疫苗開發，Omicron疫苗則與多家廠商洽談中。112年度中央流行疫情指揮中心編列190億元預算，預計採購2</w:t>
      </w:r>
      <w:r w:rsidRPr="00014415">
        <w:rPr>
          <w:rFonts w:ascii="標楷體" w:eastAsia="標楷體" w:hAnsi="標楷體"/>
          <w:sz w:val="32"/>
          <w:szCs w:val="32"/>
        </w:rPr>
        <w:t>,</w:t>
      </w:r>
      <w:r w:rsidRPr="00014415">
        <w:rPr>
          <w:rFonts w:ascii="標楷體" w:eastAsia="標楷體" w:hAnsi="標楷體" w:hint="eastAsia"/>
          <w:sz w:val="32"/>
          <w:szCs w:val="32"/>
        </w:rPr>
        <w:t>500萬劑COVID-19疫苗，然中研院於立法院答詢時表示，目前疫苗仍在研發階段，且還須經過臨床實驗，112年難以獲得中央流行疫情指揮中心採購並投入施打，中研院投入近4,0</w:t>
      </w:r>
      <w:r w:rsidRPr="00014415">
        <w:rPr>
          <w:rFonts w:ascii="標楷體" w:eastAsia="標楷體" w:hAnsi="標楷體"/>
          <w:sz w:val="32"/>
          <w:szCs w:val="32"/>
        </w:rPr>
        <w:t>00</w:t>
      </w:r>
      <w:r w:rsidRPr="00014415">
        <w:rPr>
          <w:rFonts w:ascii="標楷體" w:eastAsia="標楷體" w:hAnsi="標楷體" w:hint="eastAsia"/>
          <w:sz w:val="32"/>
          <w:szCs w:val="32"/>
        </w:rPr>
        <w:t>萬元進行COVID-19疫苗研究，卻無法投入防疫甚為可惜，應當提升與廠商授權及技術轉移之速度，並針對COVID-19疫苗未來定位及後續防疫使用加以研議。綜上，中央研究院允宜研議已開發之COVID-19疫苗後續</w:t>
      </w:r>
      <w:r w:rsidRPr="00014415">
        <w:rPr>
          <w:rFonts w:ascii="標楷體" w:eastAsia="標楷體" w:hAnsi="標楷體" w:hint="eastAsia"/>
          <w:sz w:val="32"/>
          <w:szCs w:val="32"/>
        </w:rPr>
        <w:lastRenderedPageBreak/>
        <w:t>定位及使用，並加強技術授權及轉移效率，爰請中央研究院於1個月內向立法院教育及文化委員會提出書面報告。134</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提案人：黃國書</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連署人：林宜瑾  張廖萬堅</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t>(十四)</w:t>
      </w:r>
      <w:r w:rsidRPr="00014415">
        <w:rPr>
          <w:rFonts w:ascii="標楷體" w:eastAsia="標楷體" w:hAnsi="標楷體" w:hint="eastAsia"/>
          <w:sz w:val="32"/>
          <w:szCs w:val="32"/>
        </w:rPr>
        <w:t>112年</w:t>
      </w:r>
      <w:r>
        <w:rPr>
          <w:rFonts w:ascii="標楷體" w:eastAsia="標楷體" w:hAnsi="標楷體" w:hint="eastAsia"/>
          <w:sz w:val="32"/>
          <w:szCs w:val="32"/>
        </w:rPr>
        <w:t>度中央研究院</w:t>
      </w:r>
      <w:r w:rsidRPr="00014415">
        <w:rPr>
          <w:rFonts w:ascii="標楷體" w:eastAsia="標楷體" w:hAnsi="標楷體" w:hint="eastAsia"/>
          <w:sz w:val="32"/>
          <w:szCs w:val="32"/>
        </w:rPr>
        <w:t>「一般行政」</w:t>
      </w:r>
      <w:r>
        <w:rPr>
          <w:rFonts w:ascii="標楷體" w:eastAsia="標楷體" w:hAnsi="標楷體" w:hint="eastAsia"/>
          <w:sz w:val="32"/>
          <w:szCs w:val="32"/>
        </w:rPr>
        <w:t>預算</w:t>
      </w:r>
      <w:r w:rsidRPr="00014415">
        <w:rPr>
          <w:rFonts w:ascii="標楷體" w:eastAsia="標楷體" w:hAnsi="標楷體" w:hint="eastAsia"/>
          <w:sz w:val="32"/>
          <w:szCs w:val="32"/>
        </w:rPr>
        <w:t>編列2億7,350萬2千元</w:t>
      </w:r>
      <w:r>
        <w:rPr>
          <w:rFonts w:ascii="標楷體" w:eastAsia="標楷體" w:hAnsi="標楷體" w:hint="eastAsia"/>
          <w:sz w:val="32"/>
          <w:szCs w:val="32"/>
        </w:rPr>
        <w:t>，辦理行政、出納及總務事務</w:t>
      </w:r>
      <w:r w:rsidRPr="00014415">
        <w:rPr>
          <w:rFonts w:ascii="標楷體" w:eastAsia="標楷體" w:hAnsi="標楷體" w:hint="eastAsia"/>
          <w:sz w:val="32"/>
          <w:szCs w:val="32"/>
        </w:rPr>
        <w:t>。經查105至110年度中研院各工作計畫之經常門流用至資本門決算數合計介於1億</w:t>
      </w:r>
      <w:r>
        <w:rPr>
          <w:rFonts w:ascii="標楷體" w:eastAsia="標楷體" w:hAnsi="標楷體" w:hint="eastAsia"/>
          <w:sz w:val="32"/>
          <w:szCs w:val="32"/>
        </w:rPr>
        <w:t>0</w:t>
      </w:r>
      <w:r>
        <w:rPr>
          <w:rFonts w:ascii="標楷體" w:eastAsia="標楷體" w:hAnsi="標楷體"/>
          <w:sz w:val="32"/>
          <w:szCs w:val="32"/>
        </w:rPr>
        <w:t>,</w:t>
      </w:r>
      <w:r w:rsidRPr="00014415">
        <w:rPr>
          <w:rFonts w:ascii="標楷體" w:eastAsia="標楷體" w:hAnsi="標楷體" w:hint="eastAsia"/>
          <w:sz w:val="32"/>
          <w:szCs w:val="32"/>
        </w:rPr>
        <w:t>798萬5千元至2億3,774萬2千元之間，且近3年(108至110年度)各年度流用數均超過2億元，顯見近3年中研院之資本門預算都超過2億元未在預算中編列，而經常門有高編之情形。經常門科目之預算賸餘流用至資本門科目雖符合</w:t>
      </w:r>
      <w:r>
        <w:rPr>
          <w:rFonts w:ascii="標楷體" w:eastAsia="標楷體" w:hAnsi="標楷體" w:hint="eastAsia"/>
          <w:sz w:val="32"/>
          <w:szCs w:val="32"/>
        </w:rPr>
        <w:t>「</w:t>
      </w:r>
      <w:r w:rsidRPr="00014415">
        <w:rPr>
          <w:rFonts w:ascii="標楷體" w:eastAsia="標楷體" w:hAnsi="標楷體" w:hint="eastAsia"/>
          <w:sz w:val="32"/>
          <w:szCs w:val="32"/>
        </w:rPr>
        <w:t>預算法</w:t>
      </w:r>
      <w:r>
        <w:rPr>
          <w:rFonts w:ascii="標楷體" w:eastAsia="標楷體" w:hAnsi="標楷體" w:hint="eastAsia"/>
          <w:sz w:val="32"/>
          <w:szCs w:val="32"/>
        </w:rPr>
        <w:t>」</w:t>
      </w:r>
      <w:r w:rsidRPr="00014415">
        <w:rPr>
          <w:rFonts w:ascii="標楷體" w:eastAsia="標楷體" w:hAnsi="標楷體" w:hint="eastAsia"/>
          <w:sz w:val="32"/>
          <w:szCs w:val="32"/>
        </w:rPr>
        <w:t>規定，惟各工作計畫之預算編列顯然未與實際狀況相符，</w:t>
      </w:r>
      <w:r>
        <w:rPr>
          <w:rFonts w:ascii="標楷體" w:eastAsia="標楷體" w:hAnsi="標楷體" w:hint="eastAsia"/>
          <w:sz w:val="32"/>
          <w:szCs w:val="32"/>
        </w:rPr>
        <w:t>中央研究院</w:t>
      </w:r>
      <w:r w:rsidRPr="00014415">
        <w:rPr>
          <w:rFonts w:ascii="標楷體" w:eastAsia="標楷體" w:hAnsi="標楷體" w:hint="eastAsia"/>
          <w:sz w:val="32"/>
          <w:szCs w:val="32"/>
        </w:rPr>
        <w:t>應更加確實</w:t>
      </w:r>
      <w:r>
        <w:rPr>
          <w:rFonts w:ascii="標楷體" w:eastAsia="標楷體" w:hAnsi="標楷體" w:hint="eastAsia"/>
          <w:sz w:val="32"/>
          <w:szCs w:val="32"/>
        </w:rPr>
        <w:t>評估經資門之實際預算需求覈實編列預算，並</w:t>
      </w:r>
      <w:r w:rsidRPr="00014415">
        <w:rPr>
          <w:rFonts w:ascii="標楷體" w:eastAsia="標楷體" w:hAnsi="標楷體" w:hint="eastAsia"/>
          <w:sz w:val="32"/>
          <w:szCs w:val="32"/>
        </w:rPr>
        <w:t>於1個月內</w:t>
      </w:r>
      <w:r>
        <w:rPr>
          <w:rFonts w:ascii="標楷體" w:eastAsia="標楷體" w:hAnsi="標楷體" w:hint="eastAsia"/>
          <w:sz w:val="32"/>
          <w:szCs w:val="32"/>
        </w:rPr>
        <w:t>向立法院教育及文化委員會</w:t>
      </w:r>
      <w:r w:rsidRPr="00014415">
        <w:rPr>
          <w:rFonts w:ascii="標楷體" w:eastAsia="標楷體" w:hAnsi="標楷體" w:hint="eastAsia"/>
          <w:sz w:val="32"/>
          <w:szCs w:val="32"/>
        </w:rPr>
        <w:t>提出書面報告。</w:t>
      </w:r>
      <w:r>
        <w:rPr>
          <w:rFonts w:ascii="標楷體" w:eastAsia="標楷體" w:hAnsi="標楷體" w:hint="eastAsia"/>
          <w:sz w:val="32"/>
          <w:szCs w:val="32"/>
        </w:rPr>
        <w:t>4</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張廖萬堅</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w:t>
      </w:r>
      <w:r>
        <w:rPr>
          <w:rFonts w:ascii="標楷體" w:eastAsia="標楷體" w:hAnsi="標楷體" w:hint="eastAsia"/>
          <w:sz w:val="32"/>
          <w:szCs w:val="32"/>
        </w:rPr>
        <w:t>陳秀寳  黃國書</w:t>
      </w:r>
    </w:p>
    <w:p w:rsidR="00A52DD2"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(十五)</w:t>
      </w:r>
      <w:r w:rsidRPr="00014415">
        <w:rPr>
          <w:rFonts w:ascii="標楷體" w:eastAsia="標楷體" w:hAnsi="標楷體" w:hint="eastAsia"/>
          <w:sz w:val="32"/>
          <w:szCs w:val="32"/>
        </w:rPr>
        <w:t>行政院於</w:t>
      </w:r>
      <w:r w:rsidRPr="00014415">
        <w:rPr>
          <w:rFonts w:ascii="標楷體" w:eastAsia="標楷體" w:hAnsi="標楷體"/>
          <w:sz w:val="32"/>
          <w:szCs w:val="32"/>
        </w:rPr>
        <w:t>2007</w:t>
      </w:r>
      <w:r w:rsidRPr="00014415">
        <w:rPr>
          <w:rFonts w:ascii="標楷體" w:eastAsia="標楷體" w:hAnsi="標楷體" w:hint="eastAsia"/>
          <w:sz w:val="32"/>
          <w:szCs w:val="32"/>
        </w:rPr>
        <w:t>年</w:t>
      </w:r>
      <w:r w:rsidRPr="00014415">
        <w:rPr>
          <w:rFonts w:ascii="標楷體" w:eastAsia="標楷體" w:hAnsi="標楷體"/>
          <w:sz w:val="32"/>
          <w:szCs w:val="32"/>
        </w:rPr>
        <w:t>12</w:t>
      </w:r>
      <w:r w:rsidRPr="00014415">
        <w:rPr>
          <w:rFonts w:ascii="標楷體" w:eastAsia="標楷體" w:hAnsi="標楷體" w:hint="eastAsia"/>
          <w:sz w:val="32"/>
          <w:szCs w:val="32"/>
        </w:rPr>
        <w:t>月</w:t>
      </w:r>
      <w:r w:rsidRPr="00014415">
        <w:rPr>
          <w:rFonts w:ascii="標楷體" w:eastAsia="標楷體" w:hAnsi="標楷體"/>
          <w:sz w:val="32"/>
          <w:szCs w:val="32"/>
        </w:rPr>
        <w:t>4</w:t>
      </w:r>
      <w:r>
        <w:rPr>
          <w:rFonts w:ascii="標楷體" w:eastAsia="標楷體" w:hAnsi="標楷體" w:hint="eastAsia"/>
          <w:sz w:val="32"/>
          <w:szCs w:val="32"/>
        </w:rPr>
        <w:t>日核定國家生技研究園區研究計畫</w:t>
      </w:r>
      <w:r w:rsidRPr="00014415">
        <w:rPr>
          <w:rFonts w:ascii="標楷體" w:eastAsia="標楷體" w:hAnsi="標楷體" w:hint="eastAsia"/>
          <w:sz w:val="32"/>
          <w:szCs w:val="32"/>
        </w:rPr>
        <w:t>，其開發經費係</w:t>
      </w:r>
      <w:r w:rsidRPr="00014415">
        <w:rPr>
          <w:rFonts w:ascii="標楷體" w:eastAsia="標楷體" w:hAnsi="標楷體"/>
          <w:sz w:val="32"/>
          <w:szCs w:val="32"/>
        </w:rPr>
        <w:t>225</w:t>
      </w:r>
      <w:r w:rsidRPr="00014415">
        <w:rPr>
          <w:rFonts w:ascii="標楷體" w:eastAsia="標楷體" w:hAnsi="標楷體" w:hint="eastAsia"/>
          <w:sz w:val="32"/>
          <w:szCs w:val="32"/>
        </w:rPr>
        <w:t>億</w:t>
      </w:r>
      <w:r w:rsidRPr="00014415">
        <w:rPr>
          <w:rFonts w:ascii="標楷體" w:eastAsia="標楷體" w:hAnsi="標楷體"/>
          <w:sz w:val="32"/>
          <w:szCs w:val="32"/>
        </w:rPr>
        <w:t>9,600</w:t>
      </w:r>
      <w:r w:rsidRPr="00014415">
        <w:rPr>
          <w:rFonts w:ascii="標楷體" w:eastAsia="標楷體" w:hAnsi="標楷體" w:hint="eastAsia"/>
          <w:sz w:val="32"/>
          <w:szCs w:val="32"/>
        </w:rPr>
        <w:t>萬元（第</w:t>
      </w:r>
      <w:r w:rsidRPr="00014415">
        <w:rPr>
          <w:rFonts w:ascii="標楷體" w:eastAsia="標楷體" w:hAnsi="標楷體"/>
          <w:sz w:val="32"/>
          <w:szCs w:val="32"/>
        </w:rPr>
        <w:t>2</w:t>
      </w:r>
      <w:r w:rsidRPr="00014415">
        <w:rPr>
          <w:rFonts w:ascii="標楷體" w:eastAsia="標楷體" w:hAnsi="標楷體" w:hint="eastAsia"/>
          <w:sz w:val="32"/>
          <w:szCs w:val="32"/>
        </w:rPr>
        <w:t>次修正計畫），該園區已於</w:t>
      </w:r>
      <w:r w:rsidRPr="00014415">
        <w:rPr>
          <w:rFonts w:ascii="標楷體" w:eastAsia="標楷體" w:hAnsi="標楷體"/>
          <w:sz w:val="32"/>
          <w:szCs w:val="32"/>
        </w:rPr>
        <w:t>2018</w:t>
      </w:r>
      <w:r w:rsidRPr="00014415">
        <w:rPr>
          <w:rFonts w:ascii="標楷體" w:eastAsia="標楷體" w:hAnsi="標楷體" w:hint="eastAsia"/>
          <w:sz w:val="32"/>
          <w:szCs w:val="32"/>
        </w:rPr>
        <w:t>年</w:t>
      </w:r>
      <w:r w:rsidRPr="00014415">
        <w:rPr>
          <w:rFonts w:ascii="標楷體" w:eastAsia="標楷體" w:hAnsi="標楷體"/>
          <w:sz w:val="32"/>
          <w:szCs w:val="32"/>
        </w:rPr>
        <w:t>10</w:t>
      </w:r>
      <w:r w:rsidRPr="00014415">
        <w:rPr>
          <w:rFonts w:ascii="標楷體" w:eastAsia="標楷體" w:hAnsi="標楷體" w:hint="eastAsia"/>
          <w:sz w:val="32"/>
          <w:szCs w:val="32"/>
        </w:rPr>
        <w:t>月</w:t>
      </w:r>
      <w:r w:rsidRPr="00014415">
        <w:rPr>
          <w:rFonts w:ascii="標楷體" w:eastAsia="標楷體" w:hAnsi="標楷體"/>
          <w:sz w:val="32"/>
          <w:szCs w:val="32"/>
        </w:rPr>
        <w:t>15</w:t>
      </w:r>
      <w:r w:rsidRPr="00014415">
        <w:rPr>
          <w:rFonts w:ascii="標楷體" w:eastAsia="標楷體" w:hAnsi="標楷體" w:hint="eastAsia"/>
          <w:sz w:val="32"/>
          <w:szCs w:val="32"/>
        </w:rPr>
        <w:t>日正式啟用。但查審計部</w:t>
      </w:r>
      <w:r>
        <w:rPr>
          <w:rFonts w:ascii="標楷體" w:eastAsia="標楷體" w:hAnsi="標楷體" w:hint="eastAsia"/>
          <w:sz w:val="32"/>
          <w:szCs w:val="32"/>
        </w:rPr>
        <w:t>「</w:t>
      </w:r>
      <w:r w:rsidRPr="00014415">
        <w:rPr>
          <w:rFonts w:ascii="標楷體" w:eastAsia="標楷體" w:hAnsi="標楷體"/>
          <w:sz w:val="32"/>
          <w:szCs w:val="32"/>
        </w:rPr>
        <w:t>110</w:t>
      </w:r>
      <w:r w:rsidRPr="00014415">
        <w:rPr>
          <w:rFonts w:ascii="標楷體" w:eastAsia="標楷體" w:hAnsi="標楷體" w:hint="eastAsia"/>
          <w:sz w:val="32"/>
          <w:szCs w:val="32"/>
        </w:rPr>
        <w:t>年度中央政府總決算暨附屬單位決算及綜計表審核報告</w:t>
      </w:r>
      <w:r>
        <w:rPr>
          <w:rFonts w:ascii="標楷體" w:eastAsia="標楷體" w:hAnsi="標楷體" w:hint="eastAsia"/>
          <w:sz w:val="32"/>
          <w:szCs w:val="32"/>
        </w:rPr>
        <w:t>」</w:t>
      </w:r>
      <w:r w:rsidRPr="00014415">
        <w:rPr>
          <w:rFonts w:ascii="標楷體" w:eastAsia="標楷體" w:hAnsi="標楷體" w:hint="eastAsia"/>
          <w:sz w:val="32"/>
          <w:szCs w:val="32"/>
        </w:rPr>
        <w:t>指出（詳見表一），該工程延宕之違約罰款，仍尚待收</w:t>
      </w:r>
      <w:r>
        <w:rPr>
          <w:rFonts w:ascii="標楷體" w:eastAsia="標楷體" w:hAnsi="標楷體" w:hint="eastAsia"/>
          <w:sz w:val="32"/>
          <w:szCs w:val="32"/>
        </w:rPr>
        <w:t>取</w:t>
      </w:r>
      <w:r w:rsidRPr="00014415">
        <w:rPr>
          <w:rFonts w:ascii="標楷體" w:eastAsia="標楷體" w:hAnsi="標楷體" w:hint="eastAsia"/>
          <w:sz w:val="32"/>
          <w:szCs w:val="32"/>
        </w:rPr>
        <w:t>，係因國家生技研究園區興建工程承攬廠商涉有逾期違約，然該廠商尚未繳納之逾期違約</w:t>
      </w:r>
      <w:r>
        <w:rPr>
          <w:rFonts w:ascii="標楷體" w:eastAsia="標楷體" w:hAnsi="標楷體" w:hint="eastAsia"/>
          <w:sz w:val="32"/>
          <w:szCs w:val="32"/>
        </w:rPr>
        <w:t>金</w:t>
      </w:r>
      <w:r w:rsidRPr="00014415">
        <w:rPr>
          <w:rFonts w:ascii="標楷體" w:eastAsia="標楷體" w:hAnsi="標楷體" w:hint="eastAsia"/>
          <w:sz w:val="32"/>
          <w:szCs w:val="32"/>
        </w:rPr>
        <w:t>高達</w:t>
      </w:r>
      <w:r w:rsidRPr="00014415">
        <w:rPr>
          <w:rFonts w:ascii="標楷體" w:eastAsia="標楷體" w:hAnsi="標楷體"/>
          <w:sz w:val="32"/>
          <w:szCs w:val="32"/>
        </w:rPr>
        <w:t>17</w:t>
      </w:r>
      <w:r w:rsidRPr="00014415">
        <w:rPr>
          <w:rFonts w:ascii="標楷體" w:eastAsia="標楷體" w:hAnsi="標楷體" w:hint="eastAsia"/>
          <w:sz w:val="32"/>
          <w:szCs w:val="32"/>
        </w:rPr>
        <w:t>億</w:t>
      </w:r>
      <w:r w:rsidRPr="00014415">
        <w:rPr>
          <w:rFonts w:ascii="標楷體" w:eastAsia="標楷體" w:hAnsi="標楷體"/>
          <w:sz w:val="32"/>
          <w:szCs w:val="32"/>
        </w:rPr>
        <w:t>7,517</w:t>
      </w:r>
      <w:r w:rsidRPr="00014415">
        <w:rPr>
          <w:rFonts w:ascii="標楷體" w:eastAsia="標楷體" w:hAnsi="標楷體" w:hint="eastAsia"/>
          <w:sz w:val="32"/>
          <w:szCs w:val="32"/>
        </w:rPr>
        <w:t>萬</w:t>
      </w:r>
      <w:r w:rsidRPr="00014415">
        <w:rPr>
          <w:rFonts w:ascii="標楷體" w:eastAsia="標楷體" w:hAnsi="標楷體"/>
          <w:sz w:val="32"/>
          <w:szCs w:val="32"/>
        </w:rPr>
        <w:t>9,392</w:t>
      </w:r>
      <w:r>
        <w:rPr>
          <w:rFonts w:ascii="標楷體" w:eastAsia="標楷體" w:hAnsi="標楷體" w:hint="eastAsia"/>
          <w:sz w:val="32"/>
          <w:szCs w:val="32"/>
        </w:rPr>
        <w:t>元，</w:t>
      </w:r>
      <w:r w:rsidRPr="00014415">
        <w:rPr>
          <w:rFonts w:ascii="標楷體" w:eastAsia="標楷體" w:hAnsi="標楷體" w:hint="eastAsia"/>
          <w:sz w:val="32"/>
          <w:szCs w:val="32"/>
        </w:rPr>
        <w:t>尚被審計部列入「以前年度應收保留數」。依</w:t>
      </w:r>
      <w:r>
        <w:rPr>
          <w:rFonts w:ascii="標楷體" w:eastAsia="標楷體" w:hAnsi="標楷體" w:hint="eastAsia"/>
          <w:sz w:val="32"/>
          <w:szCs w:val="32"/>
        </w:rPr>
        <w:t>「</w:t>
      </w:r>
      <w:r w:rsidRPr="00014415">
        <w:rPr>
          <w:rFonts w:ascii="標楷體" w:eastAsia="標楷體" w:hAnsi="標楷體" w:hint="eastAsia"/>
          <w:sz w:val="32"/>
          <w:szCs w:val="32"/>
        </w:rPr>
        <w:t>中央政府各機關單位預算財務收支處理注意事項</w:t>
      </w:r>
      <w:r>
        <w:rPr>
          <w:rFonts w:ascii="標楷體" w:eastAsia="標楷體" w:hAnsi="標楷體" w:hint="eastAsia"/>
          <w:sz w:val="32"/>
          <w:szCs w:val="32"/>
        </w:rPr>
        <w:t>」</w:t>
      </w:r>
      <w:r w:rsidRPr="00014415">
        <w:rPr>
          <w:rFonts w:ascii="標楷體" w:eastAsia="標楷體" w:hAnsi="標楷體" w:hint="eastAsia"/>
          <w:sz w:val="32"/>
          <w:szCs w:val="32"/>
        </w:rPr>
        <w:t>第17點規定，各機關帳列應收</w:t>
      </w:r>
      <w:r>
        <w:rPr>
          <w:rFonts w:ascii="標楷體" w:eastAsia="標楷體" w:hAnsi="標楷體" w:hint="eastAsia"/>
          <w:sz w:val="32"/>
          <w:szCs w:val="32"/>
        </w:rPr>
        <w:t>款項或收入待納庫等款項，除有特殊原因者外，應即清理催收及繳庫；吳委員思瑤</w:t>
      </w:r>
      <w:r w:rsidRPr="00014415">
        <w:rPr>
          <w:rFonts w:ascii="標楷體" w:eastAsia="標楷體" w:hAnsi="標楷體" w:hint="eastAsia"/>
          <w:sz w:val="32"/>
          <w:szCs w:val="32"/>
        </w:rPr>
        <w:t>於審議110年度預算案時，已</w:t>
      </w:r>
      <w:r w:rsidRPr="00014415">
        <w:rPr>
          <w:rFonts w:ascii="標楷體" w:eastAsia="標楷體" w:hAnsi="標楷體" w:hint="eastAsia"/>
          <w:sz w:val="32"/>
          <w:szCs w:val="32"/>
        </w:rPr>
        <w:lastRenderedPageBreak/>
        <w:t>要求中</w:t>
      </w:r>
      <w:r>
        <w:rPr>
          <w:rFonts w:ascii="標楷體" w:eastAsia="標楷體" w:hAnsi="標楷體" w:hint="eastAsia"/>
          <w:sz w:val="32"/>
          <w:szCs w:val="32"/>
        </w:rPr>
        <w:t>央研究院辦理核算與扣罰事宜，迄今卻尚未納為收入款項，似有欠妥，</w:t>
      </w:r>
      <w:r w:rsidRPr="00014415">
        <w:rPr>
          <w:rFonts w:ascii="標楷體" w:eastAsia="標楷體" w:hAnsi="標楷體" w:hint="eastAsia"/>
          <w:sz w:val="32"/>
          <w:szCs w:val="32"/>
        </w:rPr>
        <w:t>請中央研究院應</w:t>
      </w:r>
      <w:r>
        <w:rPr>
          <w:rFonts w:ascii="標楷體" w:eastAsia="標楷體" w:hAnsi="標楷體" w:hint="eastAsia"/>
          <w:sz w:val="32"/>
          <w:szCs w:val="32"/>
        </w:rPr>
        <w:t>儘</w:t>
      </w:r>
      <w:r w:rsidRPr="00014415">
        <w:rPr>
          <w:rFonts w:ascii="標楷體" w:eastAsia="標楷體" w:hAnsi="標楷體" w:hint="eastAsia"/>
          <w:sz w:val="32"/>
          <w:szCs w:val="32"/>
        </w:rPr>
        <w:t>速依契約妥適處理，追償承攬廠商賠償責任，俾維權益，</w:t>
      </w:r>
      <w:r>
        <w:rPr>
          <w:rFonts w:ascii="標楷體" w:eastAsia="標楷體" w:hAnsi="標楷體" w:hint="eastAsia"/>
          <w:sz w:val="32"/>
          <w:szCs w:val="32"/>
        </w:rPr>
        <w:t>並</w:t>
      </w:r>
      <w:r w:rsidRPr="00014415">
        <w:rPr>
          <w:rFonts w:ascii="標楷體" w:eastAsia="標楷體" w:hAnsi="標楷體" w:hint="eastAsia"/>
          <w:sz w:val="32"/>
          <w:szCs w:val="32"/>
        </w:rPr>
        <w:t>於1個月內</w:t>
      </w:r>
      <w:r>
        <w:rPr>
          <w:rFonts w:ascii="標楷體" w:eastAsia="標楷體" w:hAnsi="標楷體" w:hint="eastAsia"/>
          <w:sz w:val="32"/>
          <w:szCs w:val="32"/>
        </w:rPr>
        <w:t>向立法院教育及文化委員會</w:t>
      </w:r>
      <w:r w:rsidRPr="00014415">
        <w:rPr>
          <w:rFonts w:ascii="標楷體" w:eastAsia="標楷體" w:hAnsi="標楷體" w:hint="eastAsia"/>
          <w:sz w:val="32"/>
          <w:szCs w:val="32"/>
        </w:rPr>
        <w:t>提出書面報告。</w:t>
      </w:r>
      <w:r>
        <w:rPr>
          <w:rFonts w:ascii="標楷體" w:eastAsia="標楷體" w:hAnsi="標楷體" w:hint="eastAsia"/>
          <w:sz w:val="32"/>
          <w:szCs w:val="32"/>
        </w:rPr>
        <w:t>5</w:t>
      </w:r>
    </w:p>
    <w:p w:rsidR="00A52DD2" w:rsidRPr="00014415" w:rsidRDefault="00A52DD2" w:rsidP="00F035E0">
      <w:pPr>
        <w:snapToGrid w:val="0"/>
        <w:spacing w:line="360" w:lineRule="auto"/>
        <w:jc w:val="center"/>
        <w:rPr>
          <w:rFonts w:ascii="標楷體" w:eastAsia="標楷體" w:hAnsi="標楷體"/>
          <w:sz w:val="22"/>
          <w:szCs w:val="32"/>
        </w:rPr>
      </w:pPr>
      <w:r w:rsidRPr="00014415">
        <w:rPr>
          <w:rFonts w:ascii="標楷體" w:eastAsia="標楷體" w:hAnsi="標楷體" w:hint="eastAsia"/>
          <w:sz w:val="22"/>
          <w:szCs w:val="32"/>
        </w:rPr>
        <w:t>表1：110年度中央政府總決算暨附屬單位決算及綜計表審核報告－決算審定數及差異原因分析</w:t>
      </w:r>
    </w:p>
    <w:p w:rsidR="00A52DD2" w:rsidRPr="00014415" w:rsidRDefault="00A52DD2" w:rsidP="00F035E0">
      <w:pPr>
        <w:overflowPunct w:val="0"/>
        <w:spacing w:line="500" w:lineRule="exact"/>
        <w:ind w:leftChars="150" w:left="1000" w:hangingChars="200" w:hanging="640"/>
        <w:jc w:val="both"/>
        <w:rPr>
          <w:rFonts w:ascii="標楷體" w:eastAsia="標楷體" w:hAnsi="標楷體"/>
          <w:bCs/>
          <w:sz w:val="32"/>
          <w:szCs w:val="32"/>
        </w:rPr>
      </w:pPr>
    </w:p>
    <w:p w:rsidR="00A52DD2" w:rsidRDefault="00A52DD2" w:rsidP="00F035E0">
      <w:pPr>
        <w:overflowPunct w:val="0"/>
        <w:spacing w:line="500" w:lineRule="exact"/>
        <w:jc w:val="both"/>
        <w:rPr>
          <w:rFonts w:ascii="標楷體" w:eastAsia="標楷體" w:hAnsi="標楷體"/>
          <w:sz w:val="32"/>
          <w:szCs w:val="32"/>
        </w:rPr>
      </w:pPr>
      <w:r>
        <w:rPr>
          <w:rFonts w:ascii="標楷體" w:eastAsia="標楷體" w:hAnsi="標楷體" w:hint="eastAsia"/>
          <w:sz w:val="32"/>
          <w:szCs w:val="32"/>
        </w:rPr>
        <w:t xml:space="preserve">  </w:t>
      </w:r>
    </w:p>
    <w:p w:rsidR="00A52DD2" w:rsidRDefault="00A52DD2" w:rsidP="00F035E0">
      <w:pPr>
        <w:overflowPunct w:val="0"/>
        <w:spacing w:line="500" w:lineRule="exact"/>
        <w:jc w:val="both"/>
        <w:rPr>
          <w:rFonts w:ascii="標楷體" w:eastAsia="標楷體" w:hAnsi="標楷體"/>
          <w:sz w:val="32"/>
          <w:szCs w:val="32"/>
        </w:rPr>
      </w:pPr>
    </w:p>
    <w:p w:rsidR="00A52DD2" w:rsidRDefault="00A871B0" w:rsidP="00F035E0">
      <w:pPr>
        <w:overflowPunct w:val="0"/>
        <w:spacing w:line="500" w:lineRule="exact"/>
        <w:jc w:val="both"/>
        <w:rPr>
          <w:rFonts w:ascii="標楷體" w:eastAsia="標楷體" w:hAnsi="標楷體"/>
          <w:sz w:val="32"/>
          <w:szCs w:val="32"/>
        </w:rPr>
      </w:pPr>
      <w:r>
        <w:rPr>
          <w:rFonts w:ascii="標楷體" w:eastAsia="標楷體" w:hAnsi="標楷體"/>
          <w:bCs/>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1pt;height:94.8pt;mso-position-horizontal-relative:char;mso-position-vertical-relative:line">
            <v:imagedata r:id="rId314" o:title=""/>
            <o:lock v:ext="edit" aspectratio="f"/>
          </v:shape>
        </w:pic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吳思瑤</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w:t>
      </w:r>
      <w:r>
        <w:rPr>
          <w:rFonts w:ascii="標楷體" w:eastAsia="標楷體" w:hAnsi="標楷體" w:hint="eastAsia"/>
          <w:sz w:val="32"/>
          <w:szCs w:val="32"/>
        </w:rPr>
        <w:t>林宜瑾  何欣純</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t>(十六)</w:t>
      </w:r>
      <w:r w:rsidRPr="009F5591">
        <w:rPr>
          <w:rFonts w:ascii="標楷體" w:eastAsia="標楷體" w:hAnsi="標楷體" w:hint="eastAsia"/>
          <w:sz w:val="32"/>
          <w:szCs w:val="32"/>
        </w:rPr>
        <w:t>經查112年度</w:t>
      </w:r>
      <w:r>
        <w:rPr>
          <w:rFonts w:ascii="標楷體" w:eastAsia="標楷體" w:hAnsi="標楷體" w:hint="eastAsia"/>
          <w:sz w:val="32"/>
          <w:szCs w:val="32"/>
        </w:rPr>
        <w:t>中央研究院「一般學術研究及評議」項下</w:t>
      </w:r>
      <w:r w:rsidRPr="009F5591">
        <w:rPr>
          <w:rFonts w:ascii="標楷體" w:eastAsia="標楷體" w:hAnsi="標楷體" w:hint="eastAsia"/>
          <w:sz w:val="32"/>
          <w:szCs w:val="32"/>
        </w:rPr>
        <w:t>「人力資源」編列之預算包含聘任研究人員之相關費用。惟中研院</w:t>
      </w:r>
      <w:r>
        <w:rPr>
          <w:rFonts w:ascii="標楷體" w:eastAsia="標楷體" w:hAnsi="標楷體" w:hint="eastAsia"/>
          <w:sz w:val="32"/>
          <w:szCs w:val="32"/>
        </w:rPr>
        <w:t>111</w:t>
      </w:r>
      <w:r w:rsidRPr="009F5591">
        <w:rPr>
          <w:rFonts w:ascii="標楷體" w:eastAsia="標楷體" w:hAnsi="標楷體" w:hint="eastAsia"/>
          <w:sz w:val="32"/>
          <w:szCs w:val="32"/>
        </w:rPr>
        <w:t>年向法務部發函詢問當選中研院院士是否須具備台灣國籍；法務部函復，院士</w:t>
      </w:r>
      <w:r>
        <w:rPr>
          <w:rFonts w:ascii="標楷體" w:eastAsia="標楷體" w:hAnsi="標楷體" w:hint="eastAsia"/>
          <w:sz w:val="32"/>
          <w:szCs w:val="32"/>
        </w:rPr>
        <w:t>須</w:t>
      </w:r>
      <w:r w:rsidRPr="009F5591">
        <w:rPr>
          <w:rFonts w:ascii="標楷體" w:eastAsia="標楷體" w:hAnsi="標楷體" w:hint="eastAsia"/>
          <w:sz w:val="32"/>
          <w:szCs w:val="32"/>
        </w:rPr>
        <w:t>具有台灣國籍。中研院選任第33屆院士，於7月確認院士名單後，再行文內政部協助釐清院士是否具備台灣國籍，時至11月始確定院士名單。惟具備台灣國籍業已受法務部認定為該當中研院院士之客觀要件，中研院遴選院士過程應就院士之客觀要件進行形式認定後，再進入實質認定院士之適格性。是以，中</w:t>
      </w:r>
      <w:r>
        <w:rPr>
          <w:rFonts w:ascii="標楷體" w:eastAsia="標楷體" w:hAnsi="標楷體" w:hint="eastAsia"/>
          <w:sz w:val="32"/>
          <w:szCs w:val="32"/>
        </w:rPr>
        <w:t>央</w:t>
      </w:r>
      <w:r w:rsidRPr="009F5591">
        <w:rPr>
          <w:rFonts w:ascii="標楷體" w:eastAsia="標楷體" w:hAnsi="標楷體" w:hint="eastAsia"/>
          <w:sz w:val="32"/>
          <w:szCs w:val="32"/>
        </w:rPr>
        <w:t>研</w:t>
      </w:r>
      <w:r>
        <w:rPr>
          <w:rFonts w:ascii="標楷體" w:eastAsia="標楷體" w:hAnsi="標楷體" w:hint="eastAsia"/>
          <w:sz w:val="32"/>
          <w:szCs w:val="32"/>
        </w:rPr>
        <w:t>究</w:t>
      </w:r>
      <w:r w:rsidRPr="009F5591">
        <w:rPr>
          <w:rFonts w:ascii="標楷體" w:eastAsia="標楷體" w:hAnsi="標楷體" w:hint="eastAsia"/>
          <w:sz w:val="32"/>
          <w:szCs w:val="32"/>
        </w:rPr>
        <w:t>院允宜修正院士相關遴選辦法，於第</w:t>
      </w:r>
      <w:r>
        <w:rPr>
          <w:rFonts w:ascii="標楷體" w:eastAsia="標楷體" w:hAnsi="標楷體" w:hint="eastAsia"/>
          <w:sz w:val="32"/>
          <w:szCs w:val="32"/>
        </w:rPr>
        <w:t>1</w:t>
      </w:r>
      <w:r w:rsidRPr="009F5591">
        <w:rPr>
          <w:rFonts w:ascii="標楷體" w:eastAsia="標楷體" w:hAnsi="標楷體" w:hint="eastAsia"/>
          <w:sz w:val="32"/>
          <w:szCs w:val="32"/>
        </w:rPr>
        <w:t>階段收件時即審查該候選人是否客觀要件完備，俾利中研院</w:t>
      </w:r>
      <w:r>
        <w:rPr>
          <w:rFonts w:ascii="標楷體" w:eastAsia="標楷體" w:hAnsi="標楷體" w:hint="eastAsia"/>
          <w:sz w:val="32"/>
          <w:szCs w:val="32"/>
        </w:rPr>
        <w:t>院士遴選，亦不會有時程延宕之情事發生，並</w:t>
      </w:r>
      <w:r w:rsidRPr="009F5591">
        <w:rPr>
          <w:rFonts w:ascii="標楷體" w:eastAsia="標楷體" w:hAnsi="標楷體" w:hint="eastAsia"/>
          <w:sz w:val="32"/>
          <w:szCs w:val="32"/>
        </w:rPr>
        <w:t>於3個月</w:t>
      </w:r>
      <w:r>
        <w:rPr>
          <w:rFonts w:ascii="標楷體" w:eastAsia="標楷體" w:hAnsi="標楷體" w:hint="eastAsia"/>
          <w:sz w:val="32"/>
          <w:szCs w:val="32"/>
        </w:rPr>
        <w:t>內向</w:t>
      </w:r>
      <w:r w:rsidRPr="009F5591">
        <w:rPr>
          <w:rFonts w:ascii="標楷體" w:eastAsia="標楷體" w:hAnsi="標楷體" w:hint="eastAsia"/>
          <w:sz w:val="32"/>
          <w:szCs w:val="32"/>
        </w:rPr>
        <w:t>立法院教育及文化委員會提出書面報告。</w:t>
      </w:r>
      <w:r>
        <w:rPr>
          <w:rFonts w:ascii="標楷體" w:eastAsia="標楷體" w:hAnsi="標楷體" w:hint="eastAsia"/>
          <w:sz w:val="32"/>
          <w:szCs w:val="32"/>
        </w:rPr>
        <w:t>6</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陳秀寳</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w:t>
      </w:r>
      <w:r>
        <w:rPr>
          <w:rFonts w:ascii="標楷體" w:eastAsia="標楷體" w:hAnsi="標楷體" w:hint="eastAsia"/>
          <w:sz w:val="32"/>
          <w:szCs w:val="32"/>
        </w:rPr>
        <w:t>吳思瑤  鄭正鈐</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t>(十七)</w:t>
      </w:r>
      <w:r w:rsidRPr="009F5591">
        <w:rPr>
          <w:rFonts w:ascii="標楷體" w:eastAsia="標楷體" w:hAnsi="標楷體" w:hint="eastAsia"/>
          <w:sz w:val="32"/>
          <w:szCs w:val="32"/>
        </w:rPr>
        <w:t>據中</w:t>
      </w:r>
      <w:r>
        <w:rPr>
          <w:rFonts w:ascii="標楷體" w:eastAsia="標楷體" w:hAnsi="標楷體" w:hint="eastAsia"/>
          <w:sz w:val="32"/>
          <w:szCs w:val="32"/>
        </w:rPr>
        <w:t>央</w:t>
      </w:r>
      <w:r w:rsidRPr="009F5591">
        <w:rPr>
          <w:rFonts w:ascii="標楷體" w:eastAsia="標楷體" w:hAnsi="標楷體" w:hint="eastAsia"/>
          <w:sz w:val="32"/>
          <w:szCs w:val="32"/>
        </w:rPr>
        <w:t>研</w:t>
      </w:r>
      <w:r>
        <w:rPr>
          <w:rFonts w:ascii="標楷體" w:eastAsia="標楷體" w:hAnsi="標楷體" w:hint="eastAsia"/>
          <w:sz w:val="32"/>
          <w:szCs w:val="32"/>
        </w:rPr>
        <w:t>究</w:t>
      </w:r>
      <w:r w:rsidRPr="009F5591">
        <w:rPr>
          <w:rFonts w:ascii="標楷體" w:eastAsia="標楷體" w:hAnsi="標楷體" w:hint="eastAsia"/>
          <w:sz w:val="32"/>
          <w:szCs w:val="32"/>
        </w:rPr>
        <w:t>院資料顯示，迄111年8月已接納15位學生到院實習，並轉介35位學生至合作大學，預計多數學生會繼續</w:t>
      </w:r>
      <w:r w:rsidRPr="009F5591">
        <w:rPr>
          <w:rFonts w:ascii="標楷體" w:eastAsia="標楷體" w:hAnsi="標楷體" w:hint="eastAsia"/>
          <w:sz w:val="32"/>
          <w:szCs w:val="32"/>
        </w:rPr>
        <w:lastRenderedPageBreak/>
        <w:t>留在國內銜接學位，惟其中於該院實習之15位學生，其中4位成為國內大學之學生，7位則申請延長實習，其餘有3位於3個月實習期滿後返回烏克蘭及1</w:t>
      </w:r>
      <w:r>
        <w:rPr>
          <w:rFonts w:ascii="標楷體" w:eastAsia="標楷體" w:hAnsi="標楷體" w:hint="eastAsia"/>
          <w:sz w:val="32"/>
          <w:szCs w:val="32"/>
        </w:rPr>
        <w:t>位轉赴德國任職，顯示學者及學生留臺誘因恐有不足。</w:t>
      </w:r>
      <w:r w:rsidRPr="009F5591">
        <w:rPr>
          <w:rFonts w:ascii="標楷體" w:eastAsia="標楷體" w:hAnsi="標楷體" w:hint="eastAsia"/>
          <w:sz w:val="32"/>
          <w:szCs w:val="32"/>
        </w:rPr>
        <w:t>近年中研院獎學金之預、決算數，107至110年度決算數介於3億2,455萬1千元至3億3,805 萬5千元間，預算執行率介於82.6%至83.4%之間，顯示預算編列及執行存有相當之落差。為督促加強延攬優秀人才並提供留台誘因，以符該院「培養研究人才、厚植國家研究實力」之目標，請中央研究院於</w:t>
      </w:r>
      <w:r>
        <w:rPr>
          <w:rFonts w:ascii="標楷體" w:eastAsia="標楷體" w:hAnsi="標楷體" w:hint="eastAsia"/>
          <w:sz w:val="32"/>
          <w:szCs w:val="32"/>
        </w:rPr>
        <w:t>1</w:t>
      </w:r>
      <w:r w:rsidRPr="009F5591">
        <w:rPr>
          <w:rFonts w:ascii="標楷體" w:eastAsia="標楷體" w:hAnsi="標楷體" w:hint="eastAsia"/>
          <w:sz w:val="32"/>
          <w:szCs w:val="32"/>
        </w:rPr>
        <w:t>個月內向</w:t>
      </w:r>
      <w:r>
        <w:rPr>
          <w:rFonts w:ascii="標楷體" w:eastAsia="標楷體" w:hAnsi="標楷體" w:hint="eastAsia"/>
          <w:sz w:val="32"/>
          <w:szCs w:val="32"/>
        </w:rPr>
        <w:t>立法院</w:t>
      </w:r>
      <w:r w:rsidRPr="009F5591">
        <w:rPr>
          <w:rFonts w:ascii="標楷體" w:eastAsia="標楷體" w:hAnsi="標楷體" w:hint="eastAsia"/>
          <w:sz w:val="32"/>
          <w:szCs w:val="32"/>
        </w:rPr>
        <w:t>教育及文化委員會提出「檢討人才培育及延攬相關方案」之書面報告。</w:t>
      </w:r>
      <w:r>
        <w:rPr>
          <w:rFonts w:ascii="標楷體" w:eastAsia="標楷體" w:hAnsi="標楷體" w:hint="eastAsia"/>
          <w:sz w:val="32"/>
          <w:szCs w:val="32"/>
        </w:rPr>
        <w:t>7</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賴品妤  王婉諭</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w:t>
      </w:r>
      <w:r>
        <w:rPr>
          <w:rFonts w:ascii="標楷體" w:eastAsia="標楷體" w:hAnsi="標楷體" w:hint="eastAsia"/>
          <w:sz w:val="32"/>
          <w:szCs w:val="32"/>
        </w:rPr>
        <w:t>陳秀寳</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t>(十八)</w:t>
      </w:r>
      <w:r w:rsidRPr="009F5591">
        <w:rPr>
          <w:rFonts w:ascii="標楷體" w:eastAsia="標楷體" w:hAnsi="標楷體" w:hint="eastAsia"/>
          <w:sz w:val="32"/>
          <w:szCs w:val="32"/>
        </w:rPr>
        <w:t>中央研究院轄下各院所完成之研究多會進行科技移轉或授權予民間公司，將其研究成果公諸於世，開發智慧財產權以增進社會福祉</w:t>
      </w:r>
      <w:r>
        <w:rPr>
          <w:rFonts w:ascii="標楷體" w:eastAsia="標楷體" w:hAnsi="標楷體" w:hint="eastAsia"/>
          <w:sz w:val="32"/>
          <w:szCs w:val="32"/>
        </w:rPr>
        <w:t>，</w:t>
      </w:r>
      <w:r w:rsidRPr="009F5591">
        <w:rPr>
          <w:rFonts w:ascii="標楷體" w:eastAsia="標楷體" w:hAnsi="標楷體" w:hint="eastAsia"/>
          <w:sz w:val="32"/>
          <w:szCs w:val="32"/>
        </w:rPr>
        <w:t>並將科技移轉所得的收入，作為進一步推動其他研究之經費。然近期中研院與民間公司所發生之技術專屬授權爭議，突顯中研院專</w:t>
      </w:r>
      <w:r>
        <w:rPr>
          <w:rFonts w:ascii="標楷體" w:eastAsia="標楷體" w:hAnsi="標楷體" w:hint="eastAsia"/>
          <w:sz w:val="32"/>
          <w:szCs w:val="32"/>
        </w:rPr>
        <w:t>屬授權相關規範存在瑕疵，如：專屬授權合約範本中大部分條款為拘束</w:t>
      </w:r>
      <w:r w:rsidRPr="009F5591">
        <w:rPr>
          <w:rFonts w:ascii="標楷體" w:eastAsia="標楷體" w:hAnsi="標楷體" w:hint="eastAsia"/>
          <w:sz w:val="32"/>
          <w:szCs w:val="32"/>
        </w:rPr>
        <w:t>取得專屬授權之公司應該遵守事項，卻甚少提及中研院應遵守之規範，若於事後發生技術授權爭議，恐發生須賠償高額賠償金或失信於民間公司之情事，對日後中研院進行技術移轉及授權甚為不利。綜上，為督促中央研究院完善技術移轉及授權規範及合約範本，不應靜待法院提供見解</w:t>
      </w:r>
      <w:r>
        <w:rPr>
          <w:rFonts w:ascii="標楷體" w:eastAsia="標楷體" w:hAnsi="標楷體" w:hint="eastAsia"/>
          <w:sz w:val="32"/>
          <w:szCs w:val="32"/>
        </w:rPr>
        <w:t>，積極避免日後發生授權爭議無規定可循。爰請中央研究院就前述內容</w:t>
      </w:r>
      <w:r w:rsidRPr="009F5591">
        <w:rPr>
          <w:rFonts w:ascii="標楷體" w:eastAsia="標楷體" w:hAnsi="標楷體" w:hint="eastAsia"/>
          <w:sz w:val="32"/>
          <w:szCs w:val="32"/>
        </w:rPr>
        <w:t>於2個月內</w:t>
      </w:r>
      <w:r>
        <w:rPr>
          <w:rFonts w:ascii="標楷體" w:eastAsia="標楷體" w:hAnsi="標楷體" w:hint="eastAsia"/>
          <w:sz w:val="32"/>
          <w:szCs w:val="32"/>
        </w:rPr>
        <w:t>向</w:t>
      </w:r>
      <w:r w:rsidRPr="009F5591">
        <w:rPr>
          <w:rFonts w:ascii="標楷體" w:eastAsia="標楷體" w:hAnsi="標楷體" w:hint="eastAsia"/>
          <w:sz w:val="32"/>
          <w:szCs w:val="32"/>
        </w:rPr>
        <w:t>立法院教育及文化委員會提出書面報告。</w:t>
      </w:r>
      <w:r>
        <w:rPr>
          <w:rFonts w:ascii="標楷體" w:eastAsia="標楷體" w:hAnsi="標楷體" w:hint="eastAsia"/>
          <w:sz w:val="32"/>
          <w:szCs w:val="32"/>
        </w:rPr>
        <w:t>11</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黃國書</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w:t>
      </w:r>
      <w:r>
        <w:rPr>
          <w:rFonts w:ascii="標楷體" w:eastAsia="標楷體" w:hAnsi="標楷體" w:hint="eastAsia"/>
          <w:sz w:val="32"/>
          <w:szCs w:val="32"/>
        </w:rPr>
        <w:t>陳秀寳  賴品妤</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lastRenderedPageBreak/>
        <w:t>(十九)</w:t>
      </w:r>
      <w:r w:rsidRPr="009F5591">
        <w:rPr>
          <w:rFonts w:ascii="標楷體" w:eastAsia="標楷體" w:hAnsi="標楷體" w:hint="eastAsia"/>
          <w:sz w:val="32"/>
          <w:szCs w:val="32"/>
        </w:rPr>
        <w:t>中央研究院近年</w:t>
      </w:r>
      <w:r>
        <w:rPr>
          <w:rFonts w:ascii="標楷體" w:eastAsia="標楷體" w:hAnsi="標楷體" w:hint="eastAsia"/>
          <w:sz w:val="32"/>
          <w:szCs w:val="32"/>
        </w:rPr>
        <w:t>2</w:t>
      </w:r>
      <w:r w:rsidRPr="009F5591">
        <w:rPr>
          <w:rFonts w:ascii="標楷體" w:eastAsia="標楷體" w:hAnsi="標楷體" w:hint="eastAsia"/>
          <w:sz w:val="32"/>
          <w:szCs w:val="32"/>
        </w:rPr>
        <w:t>度發生誤將名稱類似之專利提報報廢，或誤提報放棄相似名稱之專利，且皆於數年後始發現錯誤之發生。依「國有公用財產管理手冊」第41點規定，各機關之財產，應每年度訂定盤點實施計畫，由財產管理單位及使用單位至少盤點1次，其中非屬不動產之其他財產應依財產資料逐一盤點，核對經管財產與產籍登記資料是否相符。然審計部發現中研院歷年均未正式辦理國有專利財產盤點作業，致未能及早發現錯誤並補救。中研院所持專利權應為國家重要之學術研究成果及公有資產，不應發生名稱相似誤將專利報廢之情事，理當定期專利盤點計畫，並對於專利報廢、放棄訂定詳盡之流程及內部查核機制，以避免疏漏再次發生。為督促中央研究院建立專利盤點及報廢、放棄相關流程內控機制，</w:t>
      </w:r>
      <w:r>
        <w:rPr>
          <w:rFonts w:ascii="標楷體" w:eastAsia="標楷體" w:hAnsi="標楷體" w:hint="eastAsia"/>
          <w:sz w:val="32"/>
          <w:szCs w:val="32"/>
        </w:rPr>
        <w:t>請</w:t>
      </w:r>
      <w:r w:rsidRPr="009F5591">
        <w:rPr>
          <w:rFonts w:ascii="標楷體" w:eastAsia="標楷體" w:hAnsi="標楷體" w:hint="eastAsia"/>
          <w:sz w:val="32"/>
          <w:szCs w:val="32"/>
        </w:rPr>
        <w:t>於1個月內</w:t>
      </w:r>
      <w:r>
        <w:rPr>
          <w:rFonts w:ascii="標楷體" w:eastAsia="標楷體" w:hAnsi="標楷體" w:hint="eastAsia"/>
          <w:sz w:val="32"/>
          <w:szCs w:val="32"/>
        </w:rPr>
        <w:t>向</w:t>
      </w:r>
      <w:r w:rsidRPr="009F5591">
        <w:rPr>
          <w:rFonts w:ascii="標楷體" w:eastAsia="標楷體" w:hAnsi="標楷體" w:hint="eastAsia"/>
          <w:sz w:val="32"/>
          <w:szCs w:val="32"/>
        </w:rPr>
        <w:t>立法院教育及文化委員會提出書面報告。</w:t>
      </w:r>
      <w:r>
        <w:rPr>
          <w:rFonts w:ascii="標楷體" w:eastAsia="標楷體" w:hAnsi="標楷體" w:hint="eastAsia"/>
          <w:sz w:val="32"/>
          <w:szCs w:val="32"/>
        </w:rPr>
        <w:t>15</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黃國書</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w:t>
      </w:r>
      <w:r>
        <w:rPr>
          <w:rFonts w:ascii="標楷體" w:eastAsia="標楷體" w:hAnsi="標楷體" w:hint="eastAsia"/>
          <w:sz w:val="32"/>
          <w:szCs w:val="32"/>
        </w:rPr>
        <w:t>陳秀寳  賴品妤</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t>(二十)</w:t>
      </w:r>
      <w:r w:rsidRPr="009F5591">
        <w:rPr>
          <w:rFonts w:ascii="標楷體" w:eastAsia="標楷體" w:hAnsi="標楷體" w:hint="eastAsia"/>
          <w:sz w:val="32"/>
          <w:szCs w:val="32"/>
        </w:rPr>
        <w:t>中央研究院參與之「事件視界望遠鏡國際合作計畫」串組全球共8座望遠鏡、形成一座規模等同地球一樣大的虛擬陣列式望遠鏡。其中最大的望遠鏡，是同為陣列所組成的 ALMA，並用其進行黑洞觀測。然</w:t>
      </w:r>
      <w:r>
        <w:rPr>
          <w:rFonts w:ascii="標楷體" w:eastAsia="標楷體" w:hAnsi="標楷體" w:hint="eastAsia"/>
          <w:sz w:val="32"/>
          <w:szCs w:val="32"/>
        </w:rPr>
        <w:t>111</w:t>
      </w:r>
      <w:r w:rsidRPr="009F5591">
        <w:rPr>
          <w:rFonts w:ascii="標楷體" w:eastAsia="標楷體" w:hAnsi="標楷體" w:hint="eastAsia"/>
          <w:sz w:val="32"/>
          <w:szCs w:val="32"/>
        </w:rPr>
        <w:t>年10月29日此計畫遭受網路攻擊，造成科學觀測與ALMA智利共同觀測所的官網同時停擺，自遭到網攻後，科學觀測已經</w:t>
      </w:r>
      <w:r>
        <w:rPr>
          <w:rFonts w:ascii="標楷體" w:eastAsia="標楷體" w:hAnsi="標楷體" w:hint="eastAsia"/>
          <w:sz w:val="32"/>
          <w:szCs w:val="32"/>
        </w:rPr>
        <w:t>1</w:t>
      </w:r>
      <w:r w:rsidRPr="009F5591">
        <w:rPr>
          <w:rFonts w:ascii="標楷體" w:eastAsia="標楷體" w:hAnsi="標楷體" w:hint="eastAsia"/>
          <w:sz w:val="32"/>
          <w:szCs w:val="32"/>
        </w:rPr>
        <w:t>個月以上都處於停止狀態，目前預計</w:t>
      </w:r>
      <w:r>
        <w:rPr>
          <w:rFonts w:ascii="標楷體" w:eastAsia="標楷體" w:hAnsi="標楷體" w:hint="eastAsia"/>
          <w:sz w:val="32"/>
          <w:szCs w:val="32"/>
        </w:rPr>
        <w:t>111</w:t>
      </w:r>
      <w:r w:rsidRPr="009F5591">
        <w:rPr>
          <w:rFonts w:ascii="標楷體" w:eastAsia="標楷體" w:hAnsi="標楷體" w:hint="eastAsia"/>
          <w:sz w:val="32"/>
          <w:szCs w:val="32"/>
        </w:rPr>
        <w:t>年底前重啟觀測。中</w:t>
      </w:r>
      <w:r>
        <w:rPr>
          <w:rFonts w:ascii="標楷體" w:eastAsia="標楷體" w:hAnsi="標楷體" w:hint="eastAsia"/>
          <w:sz w:val="32"/>
          <w:szCs w:val="32"/>
        </w:rPr>
        <w:t>央</w:t>
      </w:r>
      <w:r w:rsidRPr="009F5591">
        <w:rPr>
          <w:rFonts w:ascii="標楷體" w:eastAsia="標楷體" w:hAnsi="標楷體" w:hint="eastAsia"/>
          <w:sz w:val="32"/>
          <w:szCs w:val="32"/>
        </w:rPr>
        <w:t>研</w:t>
      </w:r>
      <w:r>
        <w:rPr>
          <w:rFonts w:ascii="標楷體" w:eastAsia="標楷體" w:hAnsi="標楷體" w:hint="eastAsia"/>
          <w:sz w:val="32"/>
          <w:szCs w:val="32"/>
        </w:rPr>
        <w:t>究</w:t>
      </w:r>
      <w:r w:rsidRPr="009F5591">
        <w:rPr>
          <w:rFonts w:ascii="標楷體" w:eastAsia="標楷體" w:hAnsi="標楷體" w:hint="eastAsia"/>
          <w:sz w:val="32"/>
          <w:szCs w:val="32"/>
        </w:rPr>
        <w:t>院應加強轄下其研究計畫資通安全防護，針對跨國之研究計畫更應進行縝密的防護作為，以避免研究長期停擺，不利於我國科學研究</w:t>
      </w:r>
      <w:r>
        <w:rPr>
          <w:rFonts w:ascii="標楷體" w:eastAsia="標楷體" w:hAnsi="標楷體" w:hint="eastAsia"/>
          <w:sz w:val="32"/>
          <w:szCs w:val="32"/>
        </w:rPr>
        <w:t>，並</w:t>
      </w:r>
      <w:r w:rsidRPr="009F5591">
        <w:rPr>
          <w:rFonts w:ascii="標楷體" w:eastAsia="標楷體" w:hAnsi="標楷體" w:hint="eastAsia"/>
          <w:sz w:val="32"/>
          <w:szCs w:val="32"/>
        </w:rPr>
        <w:t>於1個月內</w:t>
      </w:r>
      <w:r>
        <w:rPr>
          <w:rFonts w:ascii="標楷體" w:eastAsia="標楷體" w:hAnsi="標楷體" w:hint="eastAsia"/>
          <w:sz w:val="32"/>
          <w:szCs w:val="32"/>
        </w:rPr>
        <w:t>向</w:t>
      </w:r>
      <w:r w:rsidRPr="009F5591">
        <w:rPr>
          <w:rFonts w:ascii="標楷體" w:eastAsia="標楷體" w:hAnsi="標楷體" w:hint="eastAsia"/>
          <w:sz w:val="32"/>
          <w:szCs w:val="32"/>
        </w:rPr>
        <w:t>立法院教育及文化委員會提出書面報告。</w:t>
      </w:r>
      <w:r>
        <w:rPr>
          <w:rFonts w:ascii="標楷體" w:eastAsia="標楷體" w:hAnsi="標楷體" w:hint="eastAsia"/>
          <w:sz w:val="32"/>
          <w:szCs w:val="32"/>
        </w:rPr>
        <w:t>17</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黃國書</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lastRenderedPageBreak/>
        <w:t>連署人：</w:t>
      </w:r>
      <w:r>
        <w:rPr>
          <w:rFonts w:ascii="標楷體" w:eastAsia="標楷體" w:hAnsi="標楷體" w:hint="eastAsia"/>
          <w:sz w:val="32"/>
          <w:szCs w:val="32"/>
        </w:rPr>
        <w:t>陳秀寳  賴品妤</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t>(二十一)</w:t>
      </w:r>
      <w:r w:rsidRPr="009F5591">
        <w:rPr>
          <w:rFonts w:ascii="標楷體" w:eastAsia="標楷體" w:hAnsi="標楷體" w:hint="eastAsia"/>
          <w:sz w:val="32"/>
          <w:szCs w:val="32"/>
        </w:rPr>
        <w:t>中央研究院所轄應用科學中心、基因體研究中心、生物多樣性中心、經濟研究所之正副主管皆為代理，其中生物多樣性中心的正副主任，已從2020年10月1</w:t>
      </w:r>
      <w:r>
        <w:rPr>
          <w:rFonts w:ascii="標楷體" w:eastAsia="標楷體" w:hAnsi="標楷體" w:hint="eastAsia"/>
          <w:sz w:val="32"/>
          <w:szCs w:val="32"/>
        </w:rPr>
        <w:t>日代理迄今，</w:t>
      </w:r>
      <w:r w:rsidRPr="009F5591">
        <w:rPr>
          <w:rFonts w:ascii="標楷體" w:eastAsia="標楷體" w:hAnsi="標楷體" w:hint="eastAsia"/>
          <w:sz w:val="32"/>
          <w:szCs w:val="32"/>
        </w:rPr>
        <w:t>長達</w:t>
      </w:r>
      <w:r>
        <w:rPr>
          <w:rFonts w:ascii="標楷體" w:eastAsia="標楷體" w:hAnsi="標楷體" w:hint="eastAsia"/>
          <w:sz w:val="32"/>
          <w:szCs w:val="32"/>
        </w:rPr>
        <w:t>2</w:t>
      </w:r>
      <w:r w:rsidRPr="009F5591">
        <w:rPr>
          <w:rFonts w:ascii="標楷體" w:eastAsia="標楷體" w:hAnsi="標楷體" w:hint="eastAsia"/>
          <w:sz w:val="32"/>
          <w:szCs w:val="32"/>
        </w:rPr>
        <w:t>年以上，雖中研院已多次公開遴選徵才，卻仍未產生適合之人選。銓敘部於</w:t>
      </w:r>
      <w:r>
        <w:rPr>
          <w:rFonts w:ascii="標楷體" w:eastAsia="標楷體" w:hAnsi="標楷體" w:hint="eastAsia"/>
          <w:sz w:val="32"/>
          <w:szCs w:val="32"/>
        </w:rPr>
        <w:t>「</w:t>
      </w:r>
      <w:r w:rsidRPr="000370FA">
        <w:rPr>
          <w:rFonts w:ascii="標楷體" w:eastAsia="標楷體" w:hAnsi="標楷體" w:hint="eastAsia"/>
          <w:sz w:val="32"/>
          <w:szCs w:val="32"/>
        </w:rPr>
        <w:t>各機關職務代理應行注意事項</w:t>
      </w:r>
      <w:r>
        <w:rPr>
          <w:rFonts w:ascii="標楷體" w:eastAsia="標楷體" w:hAnsi="標楷體" w:hint="eastAsia"/>
          <w:sz w:val="32"/>
          <w:szCs w:val="32"/>
        </w:rPr>
        <w:t>」</w:t>
      </w:r>
      <w:r w:rsidRPr="009F5591">
        <w:rPr>
          <w:rFonts w:ascii="標楷體" w:eastAsia="標楷體" w:hAnsi="標楷體" w:hint="eastAsia"/>
          <w:sz w:val="32"/>
          <w:szCs w:val="32"/>
        </w:rPr>
        <w:t>中規定指出，出缺職務之代理最多僅能2年，雖中研院正副主管不受</w:t>
      </w:r>
      <w:r>
        <w:rPr>
          <w:rFonts w:ascii="標楷體" w:eastAsia="標楷體" w:hAnsi="標楷體" w:hint="eastAsia"/>
          <w:sz w:val="32"/>
          <w:szCs w:val="32"/>
        </w:rPr>
        <w:t>「</w:t>
      </w:r>
      <w:r w:rsidRPr="000370FA">
        <w:rPr>
          <w:rFonts w:ascii="標楷體" w:eastAsia="標楷體" w:hAnsi="標楷體" w:hint="eastAsia"/>
          <w:sz w:val="32"/>
          <w:szCs w:val="32"/>
        </w:rPr>
        <w:t>各機關職務代理應行注意事項</w:t>
      </w:r>
      <w:r>
        <w:rPr>
          <w:rFonts w:ascii="標楷體" w:eastAsia="標楷體" w:hAnsi="標楷體" w:hint="eastAsia"/>
          <w:sz w:val="32"/>
          <w:szCs w:val="32"/>
        </w:rPr>
        <w:t>」</w:t>
      </w:r>
      <w:r w:rsidRPr="009F5591">
        <w:rPr>
          <w:rFonts w:ascii="標楷體" w:eastAsia="標楷體" w:hAnsi="標楷體" w:hint="eastAsia"/>
          <w:sz w:val="32"/>
          <w:szCs w:val="32"/>
        </w:rPr>
        <w:t>規範，然研究中心正副主管長期處於代理狀態，對於學術研究及中心事務運作恐有耽誤，應</w:t>
      </w:r>
      <w:r>
        <w:rPr>
          <w:rFonts w:ascii="標楷體" w:eastAsia="標楷體" w:hAnsi="標楷體" w:hint="eastAsia"/>
          <w:sz w:val="32"/>
          <w:szCs w:val="32"/>
        </w:rPr>
        <w:t>儘</w:t>
      </w:r>
      <w:r w:rsidRPr="009F5591">
        <w:rPr>
          <w:rFonts w:ascii="標楷體" w:eastAsia="標楷體" w:hAnsi="標楷體" w:hint="eastAsia"/>
          <w:sz w:val="32"/>
          <w:szCs w:val="32"/>
        </w:rPr>
        <w:t>速將正副主管人選定案。綜上，中央研究院</w:t>
      </w:r>
      <w:r>
        <w:rPr>
          <w:rFonts w:ascii="標楷體" w:eastAsia="標楷體" w:hAnsi="標楷體" w:hint="eastAsia"/>
          <w:sz w:val="32"/>
          <w:szCs w:val="32"/>
        </w:rPr>
        <w:t>應儘</w:t>
      </w:r>
      <w:r w:rsidRPr="009F5591">
        <w:rPr>
          <w:rFonts w:ascii="標楷體" w:eastAsia="標楷體" w:hAnsi="標楷體" w:hint="eastAsia"/>
          <w:sz w:val="32"/>
          <w:szCs w:val="32"/>
        </w:rPr>
        <w:t>速針對正副主管仍為代理之研究單位尋覓人才，</w:t>
      </w:r>
      <w:r>
        <w:rPr>
          <w:rFonts w:ascii="標楷體" w:eastAsia="標楷體" w:hAnsi="標楷體" w:hint="eastAsia"/>
          <w:sz w:val="32"/>
          <w:szCs w:val="32"/>
        </w:rPr>
        <w:t>並</w:t>
      </w:r>
      <w:r w:rsidRPr="009F5591">
        <w:rPr>
          <w:rFonts w:ascii="標楷體" w:eastAsia="標楷體" w:hAnsi="標楷體" w:hint="eastAsia"/>
          <w:sz w:val="32"/>
          <w:szCs w:val="32"/>
        </w:rPr>
        <w:t>於3個月內向立法院教育及文化委員會提出書面報告。</w:t>
      </w:r>
      <w:r>
        <w:rPr>
          <w:rFonts w:ascii="標楷體" w:eastAsia="標楷體" w:hAnsi="標楷體" w:hint="eastAsia"/>
          <w:sz w:val="32"/>
          <w:szCs w:val="32"/>
        </w:rPr>
        <w:t>18</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黃國書</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w:t>
      </w:r>
      <w:r>
        <w:rPr>
          <w:rFonts w:ascii="標楷體" w:eastAsia="標楷體" w:hAnsi="標楷體" w:hint="eastAsia"/>
          <w:sz w:val="32"/>
          <w:szCs w:val="32"/>
        </w:rPr>
        <w:t>陳秀寳  林宜瑾</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t>(二十二)</w:t>
      </w:r>
      <w:r w:rsidRPr="003D535C">
        <w:rPr>
          <w:rFonts w:ascii="標楷體" w:eastAsia="標楷體" w:hAnsi="標楷體" w:hint="eastAsia"/>
          <w:sz w:val="32"/>
          <w:szCs w:val="32"/>
        </w:rPr>
        <w:t>中央研究院獎學金近</w:t>
      </w:r>
      <w:r>
        <w:rPr>
          <w:rFonts w:ascii="標楷體" w:eastAsia="標楷體" w:hAnsi="標楷體" w:hint="eastAsia"/>
          <w:sz w:val="32"/>
          <w:szCs w:val="32"/>
        </w:rPr>
        <w:t>4</w:t>
      </w:r>
      <w:r w:rsidRPr="003D535C">
        <w:rPr>
          <w:rFonts w:ascii="標楷體" w:eastAsia="標楷體" w:hAnsi="標楷體" w:hint="eastAsia"/>
          <w:sz w:val="32"/>
          <w:szCs w:val="32"/>
        </w:rPr>
        <w:t>年獎學金補助預算數編列約3億9</w:t>
      </w:r>
      <w:r>
        <w:rPr>
          <w:rFonts w:ascii="標楷體" w:eastAsia="標楷體" w:hAnsi="標楷體"/>
          <w:sz w:val="32"/>
          <w:szCs w:val="32"/>
        </w:rPr>
        <w:t>,</w:t>
      </w:r>
      <w:r>
        <w:rPr>
          <w:rFonts w:ascii="標楷體" w:eastAsia="標楷體" w:hAnsi="標楷體" w:hint="eastAsia"/>
          <w:sz w:val="32"/>
          <w:szCs w:val="32"/>
        </w:rPr>
        <w:t>000</w:t>
      </w:r>
      <w:r w:rsidRPr="003D535C">
        <w:rPr>
          <w:rFonts w:ascii="標楷體" w:eastAsia="標楷體" w:hAnsi="標楷體" w:hint="eastAsia"/>
          <w:sz w:val="32"/>
          <w:szCs w:val="32"/>
        </w:rPr>
        <w:t>萬至4</w:t>
      </w:r>
      <w:r>
        <w:rPr>
          <w:rFonts w:ascii="標楷體" w:eastAsia="標楷體" w:hAnsi="標楷體" w:hint="eastAsia"/>
          <w:sz w:val="32"/>
          <w:szCs w:val="32"/>
        </w:rPr>
        <w:t>億</w:t>
      </w:r>
      <w:r w:rsidRPr="003D535C">
        <w:rPr>
          <w:rFonts w:ascii="標楷體" w:eastAsia="標楷體" w:hAnsi="標楷體" w:hint="eastAsia"/>
          <w:sz w:val="32"/>
          <w:szCs w:val="32"/>
        </w:rPr>
        <w:t>1</w:t>
      </w:r>
      <w:r>
        <w:rPr>
          <w:rFonts w:ascii="標楷體" w:eastAsia="標楷體" w:hAnsi="標楷體" w:hint="eastAsia"/>
          <w:sz w:val="32"/>
          <w:szCs w:val="32"/>
        </w:rPr>
        <w:t>,</w:t>
      </w:r>
      <w:r>
        <w:rPr>
          <w:rFonts w:ascii="標楷體" w:eastAsia="標楷體" w:hAnsi="標楷體"/>
          <w:sz w:val="32"/>
          <w:szCs w:val="32"/>
        </w:rPr>
        <w:t>0</w:t>
      </w:r>
      <w:r>
        <w:rPr>
          <w:rFonts w:ascii="標楷體" w:eastAsia="標楷體" w:hAnsi="標楷體" w:hint="eastAsia"/>
          <w:sz w:val="32"/>
          <w:szCs w:val="32"/>
        </w:rPr>
        <w:t>00</w:t>
      </w:r>
      <w:r w:rsidRPr="003D535C">
        <w:rPr>
          <w:rFonts w:ascii="標楷體" w:eastAsia="標楷體" w:hAnsi="標楷體" w:hint="eastAsia"/>
          <w:sz w:val="32"/>
          <w:szCs w:val="32"/>
        </w:rPr>
        <w:t>萬</w:t>
      </w:r>
      <w:r>
        <w:rPr>
          <w:rFonts w:ascii="標楷體" w:eastAsia="標楷體" w:hAnsi="標楷體" w:hint="eastAsia"/>
          <w:sz w:val="32"/>
          <w:szCs w:val="32"/>
        </w:rPr>
        <w:t>元</w:t>
      </w:r>
      <w:r w:rsidRPr="003D535C">
        <w:rPr>
          <w:rFonts w:ascii="標楷體" w:eastAsia="標楷體" w:hAnsi="標楷體" w:hint="eastAsia"/>
          <w:sz w:val="32"/>
          <w:szCs w:val="32"/>
        </w:rPr>
        <w:t>之間，預算執行率皆落在82%至84%之間，顯示近</w:t>
      </w:r>
      <w:r>
        <w:rPr>
          <w:rFonts w:ascii="標楷體" w:eastAsia="標楷體" w:hAnsi="標楷體" w:hint="eastAsia"/>
          <w:sz w:val="32"/>
          <w:szCs w:val="32"/>
        </w:rPr>
        <w:t>4</w:t>
      </w:r>
      <w:r w:rsidRPr="003D535C">
        <w:rPr>
          <w:rFonts w:ascii="標楷體" w:eastAsia="標楷體" w:hAnsi="標楷體" w:hint="eastAsia"/>
          <w:sz w:val="32"/>
          <w:szCs w:val="32"/>
        </w:rPr>
        <w:t>年每年皆有</w:t>
      </w:r>
      <w:r>
        <w:rPr>
          <w:rFonts w:ascii="標楷體" w:eastAsia="標楷體" w:hAnsi="標楷體" w:hint="eastAsia"/>
          <w:sz w:val="32"/>
          <w:szCs w:val="32"/>
        </w:rPr>
        <w:t>二</w:t>
      </w:r>
      <w:r w:rsidRPr="003D535C">
        <w:rPr>
          <w:rFonts w:ascii="標楷體" w:eastAsia="標楷體" w:hAnsi="標楷體" w:hint="eastAsia"/>
          <w:sz w:val="32"/>
          <w:szCs w:val="32"/>
        </w:rPr>
        <w:t>成預算並未執行，預算編列及執行存有相當之落差。雖因各獎學金訂有不同獎助標準，故無法事前得知可能獲補助人數。然近</w:t>
      </w:r>
      <w:r>
        <w:rPr>
          <w:rFonts w:ascii="標楷體" w:eastAsia="標楷體" w:hAnsi="標楷體" w:hint="eastAsia"/>
          <w:sz w:val="32"/>
          <w:szCs w:val="32"/>
        </w:rPr>
        <w:t>4</w:t>
      </w:r>
      <w:r w:rsidRPr="003D535C">
        <w:rPr>
          <w:rFonts w:ascii="標楷體" w:eastAsia="標楷體" w:hAnsi="標楷體" w:hint="eastAsia"/>
          <w:sz w:val="32"/>
          <w:szCs w:val="32"/>
        </w:rPr>
        <w:t>年皆維持相似比例之預算未執行，中研院宜謹慎推估可能獎助員額檢討並</w:t>
      </w:r>
      <w:r>
        <w:rPr>
          <w:rFonts w:ascii="標楷體" w:eastAsia="標楷體" w:hAnsi="標楷體" w:hint="eastAsia"/>
          <w:sz w:val="32"/>
          <w:szCs w:val="32"/>
        </w:rPr>
        <w:t>覈</w:t>
      </w:r>
      <w:r w:rsidRPr="003D535C">
        <w:rPr>
          <w:rFonts w:ascii="標楷體" w:eastAsia="標楷體" w:hAnsi="標楷體" w:hint="eastAsia"/>
          <w:sz w:val="32"/>
          <w:szCs w:val="32"/>
        </w:rPr>
        <w:t>實編列預算。綜上，為督促中央研究院謹慎獎學</w:t>
      </w:r>
      <w:r>
        <w:rPr>
          <w:rFonts w:ascii="標楷體" w:eastAsia="標楷體" w:hAnsi="標楷體" w:hint="eastAsia"/>
          <w:sz w:val="32"/>
          <w:szCs w:val="32"/>
        </w:rPr>
        <w:t>金補助預算編列，避免每年存有未執行數，請中央研究院</w:t>
      </w:r>
      <w:r w:rsidRPr="003D535C">
        <w:rPr>
          <w:rFonts w:ascii="標楷體" w:eastAsia="標楷體" w:hAnsi="標楷體" w:hint="eastAsia"/>
          <w:sz w:val="32"/>
          <w:szCs w:val="32"/>
        </w:rPr>
        <w:t>於1個月內</w:t>
      </w:r>
      <w:r>
        <w:rPr>
          <w:rFonts w:ascii="標楷體" w:eastAsia="標楷體" w:hAnsi="標楷體" w:hint="eastAsia"/>
          <w:sz w:val="32"/>
          <w:szCs w:val="32"/>
        </w:rPr>
        <w:t>向</w:t>
      </w:r>
      <w:r w:rsidRPr="003D535C">
        <w:rPr>
          <w:rFonts w:ascii="標楷體" w:eastAsia="標楷體" w:hAnsi="標楷體" w:hint="eastAsia"/>
          <w:sz w:val="32"/>
          <w:szCs w:val="32"/>
        </w:rPr>
        <w:t>立法院教育及文化委員會提出書面報告。</w:t>
      </w:r>
      <w:r>
        <w:rPr>
          <w:rFonts w:ascii="標楷體" w:eastAsia="標楷體" w:hAnsi="標楷體" w:hint="eastAsia"/>
          <w:sz w:val="32"/>
          <w:szCs w:val="32"/>
        </w:rPr>
        <w:t>20</w:t>
      </w:r>
    </w:p>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t>107 至 110 年度中研院獎學金補助預決算數統計表</w:t>
      </w:r>
    </w:p>
    <w:p w:rsidR="00A52DD2" w:rsidRPr="00425CA0" w:rsidRDefault="00A52DD2" w:rsidP="00F035E0">
      <w:pPr>
        <w:spacing w:line="500" w:lineRule="exact"/>
        <w:jc w:val="right"/>
        <w:rPr>
          <w:rFonts w:ascii="標楷體" w:eastAsia="標楷體" w:hAnsi="標楷體"/>
          <w:sz w:val="28"/>
          <w:szCs w:val="32"/>
        </w:rPr>
      </w:pPr>
      <w:r w:rsidRPr="00425CA0">
        <w:rPr>
          <w:rFonts w:ascii="標楷體" w:eastAsia="標楷體" w:hAnsi="標楷體" w:hint="eastAsia"/>
          <w:sz w:val="28"/>
          <w:szCs w:val="32"/>
        </w:rPr>
        <w:t>單位:人;新臺幣千元;%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6"/>
        <w:gridCol w:w="1346"/>
        <w:gridCol w:w="1761"/>
        <w:gridCol w:w="1347"/>
        <w:gridCol w:w="1762"/>
        <w:gridCol w:w="1896"/>
      </w:tblGrid>
      <w:tr w:rsidR="00A52DD2" w:rsidRPr="00425CA0" w:rsidTr="00F035E0">
        <w:trPr>
          <w:jc w:val="center"/>
        </w:trPr>
        <w:tc>
          <w:tcPr>
            <w:tcW w:w="716" w:type="pct"/>
            <w:vMerge w:val="restart"/>
            <w:shd w:val="clear" w:color="auto" w:fill="auto"/>
            <w:vAlign w:val="center"/>
          </w:tcPr>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t>年度</w:t>
            </w:r>
          </w:p>
        </w:tc>
        <w:tc>
          <w:tcPr>
            <w:tcW w:w="1651" w:type="pct"/>
            <w:gridSpan w:val="2"/>
            <w:shd w:val="clear" w:color="auto" w:fill="auto"/>
            <w:vAlign w:val="center"/>
          </w:tcPr>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t>預算數</w:t>
            </w:r>
          </w:p>
        </w:tc>
        <w:tc>
          <w:tcPr>
            <w:tcW w:w="2634" w:type="pct"/>
            <w:gridSpan w:val="3"/>
            <w:shd w:val="clear" w:color="auto" w:fill="auto"/>
            <w:vAlign w:val="center"/>
          </w:tcPr>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t>決算數</w:t>
            </w:r>
          </w:p>
        </w:tc>
      </w:tr>
      <w:tr w:rsidR="00A52DD2" w:rsidRPr="00425CA0" w:rsidTr="00F035E0">
        <w:trPr>
          <w:jc w:val="center"/>
        </w:trPr>
        <w:tc>
          <w:tcPr>
            <w:tcW w:w="716" w:type="pct"/>
            <w:vMerge/>
            <w:shd w:val="clear" w:color="auto" w:fill="auto"/>
            <w:vAlign w:val="center"/>
          </w:tcPr>
          <w:p w:rsidR="00A52DD2" w:rsidRPr="00425CA0" w:rsidRDefault="00A52DD2" w:rsidP="00F035E0">
            <w:pPr>
              <w:spacing w:line="500" w:lineRule="exact"/>
              <w:jc w:val="center"/>
              <w:rPr>
                <w:rFonts w:ascii="標楷體" w:eastAsia="標楷體" w:hAnsi="標楷體"/>
                <w:sz w:val="28"/>
                <w:szCs w:val="32"/>
              </w:rPr>
            </w:pPr>
          </w:p>
        </w:tc>
        <w:tc>
          <w:tcPr>
            <w:tcW w:w="716" w:type="pct"/>
            <w:shd w:val="clear" w:color="auto" w:fill="auto"/>
            <w:vAlign w:val="center"/>
          </w:tcPr>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t>人數</w:t>
            </w:r>
          </w:p>
        </w:tc>
        <w:tc>
          <w:tcPr>
            <w:tcW w:w="935" w:type="pct"/>
            <w:shd w:val="clear" w:color="auto" w:fill="auto"/>
            <w:vAlign w:val="center"/>
          </w:tcPr>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t>金額</w:t>
            </w:r>
          </w:p>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t>(A)</w:t>
            </w:r>
          </w:p>
        </w:tc>
        <w:tc>
          <w:tcPr>
            <w:tcW w:w="716" w:type="pct"/>
            <w:shd w:val="clear" w:color="auto" w:fill="auto"/>
            <w:vAlign w:val="center"/>
          </w:tcPr>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t>人數</w:t>
            </w:r>
          </w:p>
        </w:tc>
        <w:tc>
          <w:tcPr>
            <w:tcW w:w="935" w:type="pct"/>
            <w:shd w:val="clear" w:color="auto" w:fill="auto"/>
            <w:vAlign w:val="center"/>
          </w:tcPr>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t>金額</w:t>
            </w:r>
          </w:p>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t>(B)</w:t>
            </w:r>
          </w:p>
        </w:tc>
        <w:tc>
          <w:tcPr>
            <w:tcW w:w="983" w:type="pct"/>
            <w:shd w:val="clear" w:color="auto" w:fill="auto"/>
            <w:vAlign w:val="center"/>
          </w:tcPr>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t>執行率</w:t>
            </w:r>
          </w:p>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t>(C=B/A*100%)</w:t>
            </w:r>
          </w:p>
        </w:tc>
      </w:tr>
      <w:tr w:rsidR="00A52DD2" w:rsidRPr="00425CA0" w:rsidTr="00F035E0">
        <w:trPr>
          <w:jc w:val="center"/>
        </w:trPr>
        <w:tc>
          <w:tcPr>
            <w:tcW w:w="716" w:type="pct"/>
            <w:shd w:val="clear" w:color="auto" w:fill="auto"/>
            <w:vAlign w:val="center"/>
          </w:tcPr>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lastRenderedPageBreak/>
              <w:t>107</w:t>
            </w:r>
          </w:p>
        </w:tc>
        <w:tc>
          <w:tcPr>
            <w:tcW w:w="716" w:type="pct"/>
            <w:shd w:val="clear" w:color="auto" w:fill="auto"/>
            <w:vAlign w:val="center"/>
          </w:tcPr>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t>2</w:t>
            </w:r>
            <w:r w:rsidRPr="00425CA0">
              <w:rPr>
                <w:rFonts w:ascii="標楷體" w:eastAsia="標楷體" w:hAnsi="標楷體"/>
                <w:sz w:val="28"/>
                <w:szCs w:val="32"/>
              </w:rPr>
              <w:t>,</w:t>
            </w:r>
            <w:r w:rsidRPr="00425CA0">
              <w:rPr>
                <w:rFonts w:ascii="標楷體" w:eastAsia="標楷體" w:hAnsi="標楷體" w:hint="eastAsia"/>
                <w:sz w:val="28"/>
                <w:szCs w:val="32"/>
              </w:rPr>
              <w:t>253</w:t>
            </w:r>
          </w:p>
        </w:tc>
        <w:tc>
          <w:tcPr>
            <w:tcW w:w="935" w:type="pct"/>
            <w:shd w:val="clear" w:color="auto" w:fill="auto"/>
            <w:vAlign w:val="center"/>
          </w:tcPr>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t>409</w:t>
            </w:r>
            <w:r w:rsidRPr="00425CA0">
              <w:rPr>
                <w:rFonts w:ascii="標楷體" w:eastAsia="標楷體" w:hAnsi="標楷體"/>
                <w:sz w:val="28"/>
                <w:szCs w:val="32"/>
              </w:rPr>
              <w:t>,</w:t>
            </w:r>
            <w:r w:rsidRPr="00425CA0">
              <w:rPr>
                <w:rFonts w:ascii="標楷體" w:eastAsia="標楷體" w:hAnsi="標楷體" w:hint="eastAsia"/>
                <w:sz w:val="28"/>
                <w:szCs w:val="32"/>
              </w:rPr>
              <w:t>502</w:t>
            </w:r>
          </w:p>
        </w:tc>
        <w:tc>
          <w:tcPr>
            <w:tcW w:w="716" w:type="pct"/>
            <w:shd w:val="clear" w:color="auto" w:fill="auto"/>
            <w:vAlign w:val="center"/>
          </w:tcPr>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t>1</w:t>
            </w:r>
            <w:r w:rsidRPr="00425CA0">
              <w:rPr>
                <w:rFonts w:ascii="標楷體" w:eastAsia="標楷體" w:hAnsi="標楷體"/>
                <w:sz w:val="28"/>
                <w:szCs w:val="32"/>
              </w:rPr>
              <w:t>,</w:t>
            </w:r>
            <w:r w:rsidRPr="00425CA0">
              <w:rPr>
                <w:rFonts w:ascii="標楷體" w:eastAsia="標楷體" w:hAnsi="標楷體" w:hint="eastAsia"/>
                <w:sz w:val="28"/>
                <w:szCs w:val="32"/>
              </w:rPr>
              <w:t>236</w:t>
            </w:r>
          </w:p>
        </w:tc>
        <w:tc>
          <w:tcPr>
            <w:tcW w:w="935" w:type="pct"/>
            <w:shd w:val="clear" w:color="auto" w:fill="auto"/>
            <w:vAlign w:val="center"/>
          </w:tcPr>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t>338</w:t>
            </w:r>
            <w:r w:rsidRPr="00425CA0">
              <w:rPr>
                <w:rFonts w:ascii="標楷體" w:eastAsia="標楷體" w:hAnsi="標楷體"/>
                <w:sz w:val="28"/>
                <w:szCs w:val="32"/>
              </w:rPr>
              <w:t>,</w:t>
            </w:r>
            <w:r w:rsidRPr="00425CA0">
              <w:rPr>
                <w:rFonts w:ascii="標楷體" w:eastAsia="標楷體" w:hAnsi="標楷體" w:hint="eastAsia"/>
                <w:sz w:val="28"/>
                <w:szCs w:val="32"/>
              </w:rPr>
              <w:t>055</w:t>
            </w:r>
          </w:p>
        </w:tc>
        <w:tc>
          <w:tcPr>
            <w:tcW w:w="983" w:type="pct"/>
            <w:shd w:val="clear" w:color="auto" w:fill="auto"/>
            <w:vAlign w:val="center"/>
          </w:tcPr>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t>82.6</w:t>
            </w:r>
          </w:p>
        </w:tc>
      </w:tr>
      <w:tr w:rsidR="00A52DD2" w:rsidRPr="00425CA0" w:rsidTr="00F035E0">
        <w:trPr>
          <w:jc w:val="center"/>
        </w:trPr>
        <w:tc>
          <w:tcPr>
            <w:tcW w:w="716" w:type="pct"/>
            <w:shd w:val="clear" w:color="auto" w:fill="auto"/>
            <w:vAlign w:val="center"/>
          </w:tcPr>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t>108</w:t>
            </w:r>
          </w:p>
        </w:tc>
        <w:tc>
          <w:tcPr>
            <w:tcW w:w="716" w:type="pct"/>
            <w:shd w:val="clear" w:color="auto" w:fill="auto"/>
            <w:vAlign w:val="center"/>
          </w:tcPr>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t>2</w:t>
            </w:r>
            <w:r w:rsidRPr="00425CA0">
              <w:rPr>
                <w:rFonts w:ascii="標楷體" w:eastAsia="標楷體" w:hAnsi="標楷體"/>
                <w:sz w:val="28"/>
                <w:szCs w:val="32"/>
              </w:rPr>
              <w:t>,</w:t>
            </w:r>
            <w:r w:rsidRPr="00425CA0">
              <w:rPr>
                <w:rFonts w:ascii="標楷體" w:eastAsia="標楷體" w:hAnsi="標楷體" w:hint="eastAsia"/>
                <w:sz w:val="28"/>
                <w:szCs w:val="32"/>
              </w:rPr>
              <w:t>141</w:t>
            </w:r>
          </w:p>
        </w:tc>
        <w:tc>
          <w:tcPr>
            <w:tcW w:w="935" w:type="pct"/>
            <w:shd w:val="clear" w:color="auto" w:fill="auto"/>
            <w:vAlign w:val="center"/>
          </w:tcPr>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t>398</w:t>
            </w:r>
            <w:r w:rsidRPr="00425CA0">
              <w:rPr>
                <w:rFonts w:ascii="標楷體" w:eastAsia="標楷體" w:hAnsi="標楷體"/>
                <w:sz w:val="28"/>
                <w:szCs w:val="32"/>
              </w:rPr>
              <w:t>,</w:t>
            </w:r>
            <w:r w:rsidRPr="00425CA0">
              <w:rPr>
                <w:rFonts w:ascii="標楷體" w:eastAsia="標楷體" w:hAnsi="標楷體" w:hint="eastAsia"/>
                <w:sz w:val="28"/>
                <w:szCs w:val="32"/>
              </w:rPr>
              <w:t>363</w:t>
            </w:r>
          </w:p>
        </w:tc>
        <w:tc>
          <w:tcPr>
            <w:tcW w:w="716" w:type="pct"/>
            <w:shd w:val="clear" w:color="auto" w:fill="auto"/>
            <w:vAlign w:val="center"/>
          </w:tcPr>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t>1</w:t>
            </w:r>
            <w:r w:rsidRPr="00425CA0">
              <w:rPr>
                <w:rFonts w:ascii="標楷體" w:eastAsia="標楷體" w:hAnsi="標楷體"/>
                <w:sz w:val="28"/>
                <w:szCs w:val="32"/>
              </w:rPr>
              <w:t>,</w:t>
            </w:r>
            <w:r w:rsidRPr="00425CA0">
              <w:rPr>
                <w:rFonts w:ascii="標楷體" w:eastAsia="標楷體" w:hAnsi="標楷體" w:hint="eastAsia"/>
                <w:sz w:val="28"/>
                <w:szCs w:val="32"/>
              </w:rPr>
              <w:t>264</w:t>
            </w:r>
          </w:p>
        </w:tc>
        <w:tc>
          <w:tcPr>
            <w:tcW w:w="935" w:type="pct"/>
            <w:shd w:val="clear" w:color="auto" w:fill="auto"/>
            <w:vAlign w:val="center"/>
          </w:tcPr>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t>332</w:t>
            </w:r>
            <w:r w:rsidRPr="00425CA0">
              <w:rPr>
                <w:rFonts w:ascii="標楷體" w:eastAsia="標楷體" w:hAnsi="標楷體"/>
                <w:sz w:val="28"/>
                <w:szCs w:val="32"/>
              </w:rPr>
              <w:t>,</w:t>
            </w:r>
            <w:r w:rsidRPr="00425CA0">
              <w:rPr>
                <w:rFonts w:ascii="標楷體" w:eastAsia="標楷體" w:hAnsi="標楷體" w:hint="eastAsia"/>
                <w:sz w:val="28"/>
                <w:szCs w:val="32"/>
              </w:rPr>
              <w:t>295</w:t>
            </w:r>
          </w:p>
        </w:tc>
        <w:tc>
          <w:tcPr>
            <w:tcW w:w="983" w:type="pct"/>
            <w:shd w:val="clear" w:color="auto" w:fill="auto"/>
            <w:vAlign w:val="center"/>
          </w:tcPr>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t>83.4</w:t>
            </w:r>
          </w:p>
        </w:tc>
      </w:tr>
      <w:tr w:rsidR="00A52DD2" w:rsidRPr="00425CA0" w:rsidTr="00F035E0">
        <w:trPr>
          <w:jc w:val="center"/>
        </w:trPr>
        <w:tc>
          <w:tcPr>
            <w:tcW w:w="716" w:type="pct"/>
            <w:shd w:val="clear" w:color="auto" w:fill="auto"/>
            <w:vAlign w:val="center"/>
          </w:tcPr>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t>109</w:t>
            </w:r>
          </w:p>
        </w:tc>
        <w:tc>
          <w:tcPr>
            <w:tcW w:w="716" w:type="pct"/>
            <w:shd w:val="clear" w:color="auto" w:fill="auto"/>
            <w:vAlign w:val="center"/>
          </w:tcPr>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t>2</w:t>
            </w:r>
            <w:r w:rsidRPr="00425CA0">
              <w:rPr>
                <w:rFonts w:ascii="標楷體" w:eastAsia="標楷體" w:hAnsi="標楷體"/>
                <w:sz w:val="28"/>
                <w:szCs w:val="32"/>
              </w:rPr>
              <w:t>,</w:t>
            </w:r>
            <w:r w:rsidRPr="00425CA0">
              <w:rPr>
                <w:rFonts w:ascii="標楷體" w:eastAsia="標楷體" w:hAnsi="標楷體" w:hint="eastAsia"/>
                <w:sz w:val="28"/>
                <w:szCs w:val="32"/>
              </w:rPr>
              <w:t>155</w:t>
            </w:r>
          </w:p>
        </w:tc>
        <w:tc>
          <w:tcPr>
            <w:tcW w:w="935" w:type="pct"/>
            <w:shd w:val="clear" w:color="auto" w:fill="auto"/>
            <w:vAlign w:val="center"/>
          </w:tcPr>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t>403</w:t>
            </w:r>
            <w:r w:rsidRPr="00425CA0">
              <w:rPr>
                <w:rFonts w:ascii="標楷體" w:eastAsia="標楷體" w:hAnsi="標楷體"/>
                <w:sz w:val="28"/>
                <w:szCs w:val="32"/>
              </w:rPr>
              <w:t>,</w:t>
            </w:r>
            <w:r w:rsidRPr="00425CA0">
              <w:rPr>
                <w:rFonts w:ascii="標楷體" w:eastAsia="標楷體" w:hAnsi="標楷體" w:hint="eastAsia"/>
                <w:sz w:val="28"/>
                <w:szCs w:val="32"/>
              </w:rPr>
              <w:t>324</w:t>
            </w:r>
          </w:p>
        </w:tc>
        <w:tc>
          <w:tcPr>
            <w:tcW w:w="716" w:type="pct"/>
            <w:shd w:val="clear" w:color="auto" w:fill="auto"/>
            <w:vAlign w:val="center"/>
          </w:tcPr>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t>1</w:t>
            </w:r>
            <w:r w:rsidRPr="00425CA0">
              <w:rPr>
                <w:rFonts w:ascii="標楷體" w:eastAsia="標楷體" w:hAnsi="標楷體"/>
                <w:sz w:val="28"/>
                <w:szCs w:val="32"/>
              </w:rPr>
              <w:t>,</w:t>
            </w:r>
            <w:r w:rsidRPr="00425CA0">
              <w:rPr>
                <w:rFonts w:ascii="標楷體" w:eastAsia="標楷體" w:hAnsi="標楷體" w:hint="eastAsia"/>
                <w:sz w:val="28"/>
                <w:szCs w:val="32"/>
              </w:rPr>
              <w:t>295</w:t>
            </w:r>
          </w:p>
        </w:tc>
        <w:tc>
          <w:tcPr>
            <w:tcW w:w="935" w:type="pct"/>
            <w:shd w:val="clear" w:color="auto" w:fill="auto"/>
            <w:vAlign w:val="center"/>
          </w:tcPr>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t>335</w:t>
            </w:r>
            <w:r w:rsidRPr="00425CA0">
              <w:rPr>
                <w:rFonts w:ascii="標楷體" w:eastAsia="標楷體" w:hAnsi="標楷體"/>
                <w:sz w:val="28"/>
                <w:szCs w:val="32"/>
              </w:rPr>
              <w:t>,</w:t>
            </w:r>
            <w:r w:rsidRPr="00425CA0">
              <w:rPr>
                <w:rFonts w:ascii="標楷體" w:eastAsia="標楷體" w:hAnsi="標楷體" w:hint="eastAsia"/>
                <w:sz w:val="28"/>
                <w:szCs w:val="32"/>
              </w:rPr>
              <w:t>080</w:t>
            </w:r>
          </w:p>
        </w:tc>
        <w:tc>
          <w:tcPr>
            <w:tcW w:w="983" w:type="pct"/>
            <w:shd w:val="clear" w:color="auto" w:fill="auto"/>
            <w:vAlign w:val="center"/>
          </w:tcPr>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t>83.1</w:t>
            </w:r>
          </w:p>
        </w:tc>
      </w:tr>
      <w:tr w:rsidR="00A52DD2" w:rsidRPr="00425CA0" w:rsidTr="00F035E0">
        <w:trPr>
          <w:jc w:val="center"/>
        </w:trPr>
        <w:tc>
          <w:tcPr>
            <w:tcW w:w="716" w:type="pct"/>
            <w:shd w:val="clear" w:color="auto" w:fill="auto"/>
            <w:vAlign w:val="center"/>
          </w:tcPr>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t>110</w:t>
            </w:r>
          </w:p>
        </w:tc>
        <w:tc>
          <w:tcPr>
            <w:tcW w:w="716" w:type="pct"/>
            <w:shd w:val="clear" w:color="auto" w:fill="auto"/>
            <w:vAlign w:val="center"/>
          </w:tcPr>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t>2</w:t>
            </w:r>
            <w:r w:rsidRPr="00425CA0">
              <w:rPr>
                <w:rFonts w:ascii="標楷體" w:eastAsia="標楷體" w:hAnsi="標楷體"/>
                <w:sz w:val="28"/>
                <w:szCs w:val="32"/>
              </w:rPr>
              <w:t>,</w:t>
            </w:r>
            <w:r w:rsidRPr="00425CA0">
              <w:rPr>
                <w:rFonts w:ascii="標楷體" w:eastAsia="標楷體" w:hAnsi="標楷體" w:hint="eastAsia"/>
                <w:sz w:val="28"/>
                <w:szCs w:val="32"/>
              </w:rPr>
              <w:t>161</w:t>
            </w:r>
          </w:p>
        </w:tc>
        <w:tc>
          <w:tcPr>
            <w:tcW w:w="935" w:type="pct"/>
            <w:shd w:val="clear" w:color="auto" w:fill="auto"/>
            <w:vAlign w:val="center"/>
          </w:tcPr>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t>392</w:t>
            </w:r>
            <w:r w:rsidRPr="00425CA0">
              <w:rPr>
                <w:rFonts w:ascii="標楷體" w:eastAsia="標楷體" w:hAnsi="標楷體"/>
                <w:sz w:val="28"/>
                <w:szCs w:val="32"/>
              </w:rPr>
              <w:t>,</w:t>
            </w:r>
            <w:r w:rsidRPr="00425CA0">
              <w:rPr>
                <w:rFonts w:ascii="標楷體" w:eastAsia="標楷體" w:hAnsi="標楷體" w:hint="eastAsia"/>
                <w:sz w:val="28"/>
                <w:szCs w:val="32"/>
              </w:rPr>
              <w:t>582</w:t>
            </w:r>
          </w:p>
        </w:tc>
        <w:tc>
          <w:tcPr>
            <w:tcW w:w="716" w:type="pct"/>
            <w:shd w:val="clear" w:color="auto" w:fill="auto"/>
            <w:vAlign w:val="center"/>
          </w:tcPr>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t>1</w:t>
            </w:r>
            <w:r w:rsidRPr="00425CA0">
              <w:rPr>
                <w:rFonts w:ascii="標楷體" w:eastAsia="標楷體" w:hAnsi="標楷體"/>
                <w:sz w:val="28"/>
                <w:szCs w:val="32"/>
              </w:rPr>
              <w:t>,</w:t>
            </w:r>
            <w:r w:rsidRPr="00425CA0">
              <w:rPr>
                <w:rFonts w:ascii="標楷體" w:eastAsia="標楷體" w:hAnsi="標楷體" w:hint="eastAsia"/>
                <w:sz w:val="28"/>
                <w:szCs w:val="32"/>
              </w:rPr>
              <w:t>284</w:t>
            </w:r>
          </w:p>
        </w:tc>
        <w:tc>
          <w:tcPr>
            <w:tcW w:w="935" w:type="pct"/>
            <w:shd w:val="clear" w:color="auto" w:fill="auto"/>
            <w:vAlign w:val="center"/>
          </w:tcPr>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t>324</w:t>
            </w:r>
            <w:r w:rsidRPr="00425CA0">
              <w:rPr>
                <w:rFonts w:ascii="標楷體" w:eastAsia="標楷體" w:hAnsi="標楷體"/>
                <w:sz w:val="28"/>
                <w:szCs w:val="32"/>
              </w:rPr>
              <w:t>,</w:t>
            </w:r>
            <w:r w:rsidRPr="00425CA0">
              <w:rPr>
                <w:rFonts w:ascii="標楷體" w:eastAsia="標楷體" w:hAnsi="標楷體" w:hint="eastAsia"/>
                <w:sz w:val="28"/>
                <w:szCs w:val="32"/>
              </w:rPr>
              <w:t>551</w:t>
            </w:r>
          </w:p>
        </w:tc>
        <w:tc>
          <w:tcPr>
            <w:tcW w:w="983" w:type="pct"/>
            <w:shd w:val="clear" w:color="auto" w:fill="auto"/>
            <w:vAlign w:val="center"/>
          </w:tcPr>
          <w:p w:rsidR="00A52DD2" w:rsidRPr="00425CA0" w:rsidRDefault="00A52DD2" w:rsidP="00F035E0">
            <w:pPr>
              <w:spacing w:line="500" w:lineRule="exact"/>
              <w:jc w:val="center"/>
              <w:rPr>
                <w:rFonts w:ascii="標楷體" w:eastAsia="標楷體" w:hAnsi="標楷體"/>
                <w:sz w:val="28"/>
                <w:szCs w:val="32"/>
              </w:rPr>
            </w:pPr>
            <w:r w:rsidRPr="00425CA0">
              <w:rPr>
                <w:rFonts w:ascii="標楷體" w:eastAsia="標楷體" w:hAnsi="標楷體" w:hint="eastAsia"/>
                <w:sz w:val="28"/>
                <w:szCs w:val="32"/>
              </w:rPr>
              <w:t>82.7</w:t>
            </w:r>
          </w:p>
        </w:tc>
      </w:tr>
    </w:tbl>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黃國書</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w:t>
      </w:r>
      <w:r>
        <w:rPr>
          <w:rFonts w:ascii="標楷體" w:eastAsia="標楷體" w:hAnsi="標楷體" w:hint="eastAsia"/>
          <w:sz w:val="32"/>
          <w:szCs w:val="32"/>
        </w:rPr>
        <w:t>陳秀寳  賴品妤</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t>(二十三)</w:t>
      </w:r>
      <w:r w:rsidRPr="003D535C">
        <w:rPr>
          <w:rFonts w:ascii="標楷體" w:eastAsia="標楷體" w:hAnsi="標楷體" w:hint="eastAsia"/>
          <w:sz w:val="32"/>
          <w:szCs w:val="32"/>
        </w:rPr>
        <w:t>自110年度起中央研究院對國際組織會費預算大幅增列，</w:t>
      </w:r>
      <w:r>
        <w:rPr>
          <w:rFonts w:ascii="標楷體" w:eastAsia="標楷體" w:hAnsi="標楷體" w:hint="eastAsia"/>
          <w:sz w:val="32"/>
          <w:szCs w:val="32"/>
        </w:rPr>
        <w:t>110</w:t>
      </w:r>
      <w:r w:rsidRPr="003D535C">
        <w:rPr>
          <w:rFonts w:ascii="標楷體" w:eastAsia="標楷體" w:hAnsi="標楷體" w:hint="eastAsia"/>
          <w:sz w:val="32"/>
          <w:szCs w:val="32"/>
        </w:rPr>
        <w:t>年度預算數1,003萬2千元，決算數519萬8千元，執行率僅51.81%，顯示對國際組織會費之執行情形均未如預期。爰請中央研究院探究各該年度國內團體未申請補助之原因並參酌以前年度執行情形</w:t>
      </w:r>
      <w:r>
        <w:rPr>
          <w:rFonts w:ascii="標楷體" w:eastAsia="標楷體" w:hAnsi="標楷體" w:hint="eastAsia"/>
          <w:sz w:val="32"/>
          <w:szCs w:val="32"/>
        </w:rPr>
        <w:t>覈實</w:t>
      </w:r>
      <w:r w:rsidRPr="003D535C">
        <w:rPr>
          <w:rFonts w:ascii="標楷體" w:eastAsia="標楷體" w:hAnsi="標楷體" w:hint="eastAsia"/>
          <w:sz w:val="32"/>
          <w:szCs w:val="32"/>
        </w:rPr>
        <w:t>編列預算，並於</w:t>
      </w:r>
      <w:r>
        <w:rPr>
          <w:rFonts w:ascii="標楷體" w:eastAsia="標楷體" w:hAnsi="標楷體" w:hint="eastAsia"/>
          <w:sz w:val="32"/>
          <w:szCs w:val="32"/>
        </w:rPr>
        <w:t>3</w:t>
      </w:r>
      <w:r w:rsidRPr="003D535C">
        <w:rPr>
          <w:rFonts w:ascii="標楷體" w:eastAsia="標楷體" w:hAnsi="標楷體" w:hint="eastAsia"/>
          <w:sz w:val="32"/>
          <w:szCs w:val="32"/>
        </w:rPr>
        <w:t>個月內向</w:t>
      </w:r>
      <w:r>
        <w:rPr>
          <w:rFonts w:ascii="標楷體" w:eastAsia="標楷體" w:hAnsi="標楷體" w:hint="eastAsia"/>
          <w:sz w:val="32"/>
          <w:szCs w:val="32"/>
        </w:rPr>
        <w:t>立法院</w:t>
      </w:r>
      <w:r w:rsidRPr="003D535C">
        <w:rPr>
          <w:rFonts w:ascii="標楷體" w:eastAsia="標楷體" w:hAnsi="標楷體" w:hint="eastAsia"/>
          <w:sz w:val="32"/>
          <w:szCs w:val="32"/>
        </w:rPr>
        <w:t>教育及文化委員會提出書面報告。</w:t>
      </w:r>
      <w:r>
        <w:rPr>
          <w:rFonts w:ascii="標楷體" w:eastAsia="標楷體" w:hAnsi="標楷體" w:hint="eastAsia"/>
          <w:sz w:val="32"/>
          <w:szCs w:val="32"/>
        </w:rPr>
        <w:t>22</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鄭正鈐</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w:t>
      </w:r>
      <w:r>
        <w:rPr>
          <w:rFonts w:ascii="標楷體" w:eastAsia="標楷體" w:hAnsi="標楷體" w:hint="eastAsia"/>
          <w:sz w:val="32"/>
          <w:szCs w:val="32"/>
        </w:rPr>
        <w:t>陳秀寳  黃國書</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t>(二十四)</w:t>
      </w:r>
      <w:r w:rsidRPr="003D535C">
        <w:rPr>
          <w:rFonts w:ascii="標楷體" w:eastAsia="標楷體" w:hAnsi="標楷體" w:hint="eastAsia"/>
          <w:sz w:val="32"/>
          <w:szCs w:val="32"/>
        </w:rPr>
        <w:t>聯合國為實現永續發展，於2015年9月召開「2015 永續發展高峰會」，會中一致通過「轉型我們的世界</w:t>
      </w:r>
      <w:r>
        <w:rPr>
          <w:rFonts w:ascii="標楷體" w:eastAsia="標楷體" w:hAnsi="標楷體" w:hint="eastAsia"/>
          <w:sz w:val="32"/>
          <w:szCs w:val="32"/>
        </w:rPr>
        <w:t>—</w:t>
      </w:r>
      <w:r w:rsidRPr="003D535C">
        <w:rPr>
          <w:rFonts w:ascii="標楷體" w:eastAsia="標楷體" w:hAnsi="標楷體" w:hint="eastAsia"/>
          <w:sz w:val="32"/>
          <w:szCs w:val="32"/>
        </w:rPr>
        <w:t>2030永續發展議程」（下簡稱SDGs)，作為各國共同推動永續發展指引，期待各國透過立法途徑促進政府實踐。為回應國際趨勢，我國行政院</w:t>
      </w:r>
      <w:r>
        <w:rPr>
          <w:rFonts w:ascii="標楷體" w:eastAsia="標楷體" w:hAnsi="標楷體" w:hint="eastAsia"/>
          <w:sz w:val="32"/>
          <w:szCs w:val="32"/>
        </w:rPr>
        <w:t>國家</w:t>
      </w:r>
      <w:r w:rsidRPr="003D535C">
        <w:rPr>
          <w:rFonts w:ascii="標楷體" w:eastAsia="標楷體" w:hAnsi="標楷體" w:hint="eastAsia"/>
          <w:sz w:val="32"/>
          <w:szCs w:val="32"/>
        </w:rPr>
        <w:t>永續發展委員會於2018年12月14</w:t>
      </w:r>
      <w:r>
        <w:rPr>
          <w:rFonts w:ascii="標楷體" w:eastAsia="標楷體" w:hAnsi="標楷體" w:hint="eastAsia"/>
          <w:sz w:val="32"/>
          <w:szCs w:val="32"/>
        </w:rPr>
        <w:t>日通過臺灣永續發展目標，</w:t>
      </w:r>
      <w:r w:rsidRPr="003D535C">
        <w:rPr>
          <w:rFonts w:ascii="標楷體" w:eastAsia="標楷體" w:hAnsi="標楷體" w:hint="eastAsia"/>
          <w:sz w:val="32"/>
          <w:szCs w:val="32"/>
        </w:rPr>
        <w:t>就各SDGs與永續會分組及各權責部會，完成初步對應，內容包括18項核心目標及143項具體目標，以作為我國推動永續發展目標之上位指導原則。依行政院永續會於2020年11月19日召開之第32次委員會議決議，行政院將自2022年起，每4年提出一次國家自願檢視報告，永續會為期國家自願檢視報告順利提出，已推動行政院所屬二級機關應編製部會自願檢視報告，以及要求各地方政府編製地方政府自願檢視報告，作為未來編製國家自願檢視報告之參考資料。根據行政院永續會網站公告之自願檢視報告清</w:t>
      </w:r>
      <w:r w:rsidRPr="003D535C">
        <w:rPr>
          <w:rFonts w:ascii="標楷體" w:eastAsia="標楷體" w:hAnsi="標楷體" w:hint="eastAsia"/>
          <w:sz w:val="32"/>
          <w:szCs w:val="32"/>
        </w:rPr>
        <w:lastRenderedPageBreak/>
        <w:t>單，並未見到中</w:t>
      </w:r>
      <w:r>
        <w:rPr>
          <w:rFonts w:ascii="標楷體" w:eastAsia="標楷體" w:hAnsi="標楷體" w:hint="eastAsia"/>
          <w:sz w:val="32"/>
          <w:szCs w:val="32"/>
        </w:rPr>
        <w:t>央</w:t>
      </w:r>
      <w:r w:rsidRPr="003D535C">
        <w:rPr>
          <w:rFonts w:ascii="標楷體" w:eastAsia="標楷體" w:hAnsi="標楷體" w:hint="eastAsia"/>
          <w:sz w:val="32"/>
          <w:szCs w:val="32"/>
        </w:rPr>
        <w:t>研</w:t>
      </w:r>
      <w:r>
        <w:rPr>
          <w:rFonts w:ascii="標楷體" w:eastAsia="標楷體" w:hAnsi="標楷體" w:hint="eastAsia"/>
          <w:sz w:val="32"/>
          <w:szCs w:val="32"/>
        </w:rPr>
        <w:t>究</w:t>
      </w:r>
      <w:r w:rsidRPr="003D535C">
        <w:rPr>
          <w:rFonts w:ascii="標楷體" w:eastAsia="標楷體" w:hAnsi="標楷體" w:hint="eastAsia"/>
          <w:sz w:val="32"/>
          <w:szCs w:val="32"/>
        </w:rPr>
        <w:t>院所編製之自願檢視報告，足顯見我國推動永續發展之跨部會橫向聯繫欠佳，中研院作為我國最高學術機關，卻未編製自願檢視報告，恐使國家自願檢視報告記載之內容未盡詳實、不夠周延。再者，</w:t>
      </w:r>
      <w:r>
        <w:rPr>
          <w:rFonts w:ascii="標楷體" w:eastAsia="標楷體" w:hAnsi="標楷體" w:hint="eastAsia"/>
          <w:sz w:val="32"/>
          <w:szCs w:val="32"/>
        </w:rPr>
        <w:t>吳委員思瑤</w:t>
      </w:r>
      <w:r w:rsidRPr="003D535C">
        <w:rPr>
          <w:rFonts w:ascii="標楷體" w:eastAsia="標楷體" w:hAnsi="標楷體" w:hint="eastAsia"/>
          <w:sz w:val="32"/>
          <w:szCs w:val="32"/>
        </w:rPr>
        <w:t>調閱監察院所轄之審計部網站，審計部已上網公告部會自願檢視報告，顯見若機關注重內部治理，即可接軌國際永續趨勢，惟中研院並未將實踐SDGs作為內部</w:t>
      </w:r>
      <w:r>
        <w:rPr>
          <w:rFonts w:ascii="標楷體" w:eastAsia="標楷體" w:hAnsi="標楷體" w:hint="eastAsia"/>
          <w:sz w:val="32"/>
          <w:szCs w:val="32"/>
        </w:rPr>
        <w:t>治理之願景，並將其融入各項施政作為。為回應世界環境變遷與挑戰，</w:t>
      </w:r>
      <w:r w:rsidRPr="003D535C">
        <w:rPr>
          <w:rFonts w:ascii="標楷體" w:eastAsia="標楷體" w:hAnsi="標楷體" w:hint="eastAsia"/>
          <w:sz w:val="32"/>
          <w:szCs w:val="32"/>
        </w:rPr>
        <w:t>請中央研究院應</w:t>
      </w:r>
      <w:r>
        <w:rPr>
          <w:rFonts w:ascii="標楷體" w:eastAsia="標楷體" w:hAnsi="標楷體" w:hint="eastAsia"/>
          <w:sz w:val="32"/>
          <w:szCs w:val="32"/>
        </w:rPr>
        <w:t>儘</w:t>
      </w:r>
      <w:r w:rsidRPr="003D535C">
        <w:rPr>
          <w:rFonts w:ascii="標楷體" w:eastAsia="標楷體" w:hAnsi="標楷體" w:hint="eastAsia"/>
          <w:sz w:val="32"/>
          <w:szCs w:val="32"/>
        </w:rPr>
        <w:t>速</w:t>
      </w:r>
      <w:r>
        <w:rPr>
          <w:rFonts w:ascii="標楷體" w:eastAsia="標楷體" w:hAnsi="標楷體" w:hint="eastAsia"/>
          <w:sz w:val="32"/>
          <w:szCs w:val="32"/>
        </w:rPr>
        <w:t>擘劃</w:t>
      </w:r>
      <w:r w:rsidRPr="003D535C">
        <w:rPr>
          <w:rFonts w:ascii="標楷體" w:eastAsia="標楷體" w:hAnsi="標楷體" w:hint="eastAsia"/>
          <w:sz w:val="32"/>
          <w:szCs w:val="32"/>
        </w:rPr>
        <w:t>永續發展策略藍圖，編製自願檢視報告並供行政院永續發展委員會做為國家自願檢視報告參考，以展示我國最高學術機關對於促進SDGs各項指標達成之貢獻，</w:t>
      </w:r>
      <w:r>
        <w:rPr>
          <w:rFonts w:ascii="標楷體" w:eastAsia="標楷體" w:hAnsi="標楷體" w:hint="eastAsia"/>
          <w:sz w:val="32"/>
          <w:szCs w:val="32"/>
        </w:rPr>
        <w:t>並</w:t>
      </w:r>
      <w:r w:rsidRPr="003D535C">
        <w:rPr>
          <w:rFonts w:ascii="標楷體" w:eastAsia="標楷體" w:hAnsi="標楷體" w:hint="eastAsia"/>
          <w:sz w:val="32"/>
          <w:szCs w:val="32"/>
        </w:rPr>
        <w:t>於1個月內</w:t>
      </w:r>
      <w:r>
        <w:rPr>
          <w:rFonts w:ascii="標楷體" w:eastAsia="標楷體" w:hAnsi="標楷體" w:hint="eastAsia"/>
          <w:sz w:val="32"/>
          <w:szCs w:val="32"/>
        </w:rPr>
        <w:t>向</w:t>
      </w:r>
      <w:r w:rsidRPr="003D535C">
        <w:rPr>
          <w:rFonts w:ascii="標楷體" w:eastAsia="標楷體" w:hAnsi="標楷體" w:hint="eastAsia"/>
          <w:sz w:val="32"/>
          <w:szCs w:val="32"/>
        </w:rPr>
        <w:t>立法院教育及文化委員會</w:t>
      </w:r>
      <w:r>
        <w:rPr>
          <w:rFonts w:ascii="標楷體" w:eastAsia="標楷體" w:hAnsi="標楷體" w:hint="eastAsia"/>
          <w:sz w:val="32"/>
          <w:szCs w:val="32"/>
        </w:rPr>
        <w:t>提出書面規劃報告</w:t>
      </w:r>
      <w:r w:rsidRPr="003D535C">
        <w:rPr>
          <w:rFonts w:ascii="標楷體" w:eastAsia="標楷體" w:hAnsi="標楷體" w:hint="eastAsia"/>
          <w:sz w:val="32"/>
          <w:szCs w:val="32"/>
        </w:rPr>
        <w:t>。</w:t>
      </w:r>
      <w:r>
        <w:rPr>
          <w:rFonts w:ascii="標楷體" w:eastAsia="標楷體" w:hAnsi="標楷體" w:hint="eastAsia"/>
          <w:sz w:val="32"/>
          <w:szCs w:val="32"/>
        </w:rPr>
        <w:t>24</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吳思瑤</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w:t>
      </w:r>
      <w:r>
        <w:rPr>
          <w:rFonts w:ascii="標楷體" w:eastAsia="標楷體" w:hAnsi="標楷體" w:hint="eastAsia"/>
          <w:sz w:val="32"/>
          <w:szCs w:val="32"/>
        </w:rPr>
        <w:t>林宜瑾  鄭正鈐</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t>(二十五)</w:t>
      </w:r>
      <w:r w:rsidRPr="003D535C">
        <w:rPr>
          <w:rFonts w:ascii="標楷體" w:eastAsia="標楷體" w:hAnsi="標楷體" w:hint="eastAsia"/>
          <w:sz w:val="32"/>
          <w:szCs w:val="32"/>
        </w:rPr>
        <w:t>有</w:t>
      </w:r>
      <w:r>
        <w:rPr>
          <w:rFonts w:ascii="標楷體" w:eastAsia="標楷體" w:hAnsi="標楷體" w:hint="eastAsia"/>
          <w:sz w:val="32"/>
          <w:szCs w:val="32"/>
        </w:rPr>
        <w:t>鑑</w:t>
      </w:r>
      <w:r w:rsidRPr="003D535C">
        <w:rPr>
          <w:rFonts w:ascii="標楷體" w:eastAsia="標楷體" w:hAnsi="標楷體" w:hint="eastAsia"/>
          <w:sz w:val="32"/>
          <w:szCs w:val="32"/>
        </w:rPr>
        <w:t>於我國政府為使其主管之目的事業重視永續發展議題，即推動相關政策引導，如金融監督管理委員會推動「綠色金融行動方案」、「公司治理 3.0永續發展藍圖」、教育部推動「大學社會責任實踐計畫」等，以同樣為學術為基礎之教育部為例，根據審計部之110</w:t>
      </w:r>
      <w:r>
        <w:rPr>
          <w:rFonts w:ascii="標楷體" w:eastAsia="標楷體" w:hAnsi="標楷體" w:hint="eastAsia"/>
          <w:sz w:val="32"/>
          <w:szCs w:val="32"/>
        </w:rPr>
        <w:t>年政府審計年報指出，經查其執行情</w:t>
      </w:r>
      <w:r w:rsidRPr="003D535C">
        <w:rPr>
          <w:rFonts w:ascii="標楷體" w:eastAsia="標楷體" w:hAnsi="標楷體" w:hint="eastAsia"/>
          <w:sz w:val="32"/>
          <w:szCs w:val="32"/>
        </w:rPr>
        <w:t>形如下：</w:t>
      </w:r>
      <w:r>
        <w:rPr>
          <w:rFonts w:ascii="標楷體" w:eastAsia="標楷體" w:hAnsi="標楷體" w:hint="eastAsia"/>
          <w:sz w:val="32"/>
          <w:szCs w:val="32"/>
        </w:rPr>
        <w:t>1.</w:t>
      </w:r>
      <w:r w:rsidRPr="003D535C">
        <w:rPr>
          <w:rFonts w:ascii="標楷體" w:eastAsia="標楷體" w:hAnsi="標楷體" w:hint="eastAsia"/>
          <w:sz w:val="32"/>
          <w:szCs w:val="32"/>
        </w:rPr>
        <w:t>逾</w:t>
      </w:r>
      <w:r>
        <w:rPr>
          <w:rFonts w:ascii="標楷體" w:eastAsia="標楷體" w:hAnsi="標楷體" w:hint="eastAsia"/>
          <w:sz w:val="32"/>
          <w:szCs w:val="32"/>
        </w:rPr>
        <w:t>六</w:t>
      </w:r>
      <w:r w:rsidRPr="003D535C">
        <w:rPr>
          <w:rFonts w:ascii="標楷體" w:eastAsia="標楷體" w:hAnsi="標楷體" w:hint="eastAsia"/>
          <w:sz w:val="32"/>
          <w:szCs w:val="32"/>
        </w:rPr>
        <w:t>成學校融合聯合國SDGs擬訂校務發展計畫或推動永續發展教育，有助引導校務永續經營與卓越發展</w:t>
      </w:r>
      <w:r>
        <w:rPr>
          <w:rFonts w:ascii="標楷體" w:eastAsia="標楷體" w:hAnsi="標楷體" w:hint="eastAsia"/>
          <w:sz w:val="32"/>
          <w:szCs w:val="32"/>
        </w:rPr>
        <w:t>；2.</w:t>
      </w:r>
      <w:r w:rsidRPr="003D535C">
        <w:rPr>
          <w:rFonts w:ascii="標楷體" w:eastAsia="標楷體" w:hAnsi="標楷體" w:hint="eastAsia"/>
          <w:sz w:val="32"/>
          <w:szCs w:val="32"/>
        </w:rPr>
        <w:t>32所大專校院已訂定相關ESG(Environm</w:t>
      </w:r>
      <w:r>
        <w:rPr>
          <w:rFonts w:ascii="標楷體" w:eastAsia="標楷體" w:hAnsi="標楷體" w:hint="eastAsia"/>
          <w:sz w:val="32"/>
          <w:szCs w:val="32"/>
        </w:rPr>
        <w:t>ental, Social, Governance, ESG)</w:t>
      </w:r>
      <w:r w:rsidRPr="003D535C">
        <w:rPr>
          <w:rFonts w:ascii="標楷體" w:eastAsia="標楷體" w:hAnsi="標楷體" w:hint="eastAsia"/>
          <w:sz w:val="32"/>
          <w:szCs w:val="32"/>
        </w:rPr>
        <w:t>投資規範，或投資決策已納入ESG概念</w:t>
      </w:r>
      <w:r>
        <w:rPr>
          <w:rFonts w:ascii="標楷體" w:eastAsia="標楷體" w:hAnsi="標楷體" w:hint="eastAsia"/>
          <w:sz w:val="32"/>
          <w:szCs w:val="32"/>
        </w:rPr>
        <w:t>；3.</w:t>
      </w:r>
      <w:r w:rsidRPr="003D535C">
        <w:rPr>
          <w:rFonts w:ascii="標楷體" w:eastAsia="標楷體" w:hAnsi="標楷體" w:hint="eastAsia"/>
          <w:sz w:val="32"/>
          <w:szCs w:val="32"/>
        </w:rPr>
        <w:t>國際間追求碳中和已形成普世價值及趨勢，我國13所大學率先承諾或宣告碳中和，以積極回應巴黎氣候協定</w:t>
      </w:r>
      <w:r>
        <w:rPr>
          <w:rFonts w:ascii="標楷體" w:eastAsia="標楷體" w:hAnsi="標楷體" w:hint="eastAsia"/>
          <w:sz w:val="32"/>
          <w:szCs w:val="32"/>
        </w:rPr>
        <w:t>；4.</w:t>
      </w:r>
      <w:r w:rsidRPr="003D535C">
        <w:rPr>
          <w:rFonts w:ascii="標楷體" w:eastAsia="標楷體" w:hAnsi="標楷體" w:hint="eastAsia"/>
          <w:sz w:val="32"/>
          <w:szCs w:val="32"/>
        </w:rPr>
        <w:t>近</w:t>
      </w:r>
      <w:r>
        <w:rPr>
          <w:rFonts w:ascii="標楷體" w:eastAsia="標楷體" w:hAnsi="標楷體" w:hint="eastAsia"/>
          <w:sz w:val="32"/>
          <w:szCs w:val="32"/>
        </w:rPr>
        <w:t>七</w:t>
      </w:r>
      <w:r w:rsidRPr="003D535C">
        <w:rPr>
          <w:rFonts w:ascii="標楷體" w:eastAsia="標楷體" w:hAnsi="標楷體" w:hint="eastAsia"/>
          <w:sz w:val="32"/>
          <w:szCs w:val="32"/>
        </w:rPr>
        <w:t>成大學已建置再生能源（綠電）發電設備系統，惟學校設置智慧能源管理、電梯電能回收系統或水資源再利用情形尚未普及，尚待加強</w:t>
      </w:r>
      <w:r>
        <w:rPr>
          <w:rFonts w:ascii="標楷體" w:eastAsia="標楷體" w:hAnsi="標楷體" w:hint="eastAsia"/>
          <w:sz w:val="32"/>
          <w:szCs w:val="32"/>
        </w:rPr>
        <w:t>；5.</w:t>
      </w:r>
      <w:r w:rsidRPr="003D535C">
        <w:rPr>
          <w:rFonts w:ascii="標楷體" w:eastAsia="標楷體" w:hAnsi="標楷體" w:hint="eastAsia"/>
          <w:sz w:val="32"/>
          <w:szCs w:val="32"/>
        </w:rPr>
        <w:t>部分大學已陸續出版永續報告</w:t>
      </w:r>
      <w:r w:rsidRPr="003D535C">
        <w:rPr>
          <w:rFonts w:ascii="標楷體" w:eastAsia="標楷體" w:hAnsi="標楷體" w:hint="eastAsia"/>
          <w:sz w:val="32"/>
          <w:szCs w:val="32"/>
        </w:rPr>
        <w:lastRenderedPageBreak/>
        <w:t>書，可展現大學治理、教學、研究、服務等具體行動成果。除上開審計部盤點之情況外，據悉我國大學如國立</w:t>
      </w:r>
      <w:r>
        <w:rPr>
          <w:rFonts w:ascii="標楷體" w:eastAsia="標楷體" w:hAnsi="標楷體" w:hint="eastAsia"/>
          <w:sz w:val="32"/>
          <w:szCs w:val="32"/>
        </w:rPr>
        <w:t>臺</w:t>
      </w:r>
      <w:r w:rsidRPr="003D535C">
        <w:rPr>
          <w:rFonts w:ascii="標楷體" w:eastAsia="標楷體" w:hAnsi="標楷體" w:hint="eastAsia"/>
          <w:sz w:val="32"/>
          <w:szCs w:val="32"/>
        </w:rPr>
        <w:t>灣大學</w:t>
      </w:r>
      <w:r w:rsidRPr="003D535C">
        <w:rPr>
          <w:rFonts w:ascii="標楷體" w:eastAsia="標楷體" w:hAnsi="標楷體"/>
          <w:sz w:val="32"/>
          <w:szCs w:val="32"/>
        </w:rPr>
        <w:t xml:space="preserve"> </w:t>
      </w:r>
      <w:r w:rsidRPr="003D535C">
        <w:rPr>
          <w:rFonts w:ascii="標楷體" w:eastAsia="標楷體" w:hAnsi="標楷體" w:hint="eastAsia"/>
          <w:sz w:val="32"/>
          <w:szCs w:val="32"/>
        </w:rPr>
        <w:t>、</w:t>
      </w:r>
      <w:r w:rsidRPr="000370FA">
        <w:rPr>
          <w:rFonts w:ascii="標楷體" w:eastAsia="標楷體" w:hAnsi="標楷體" w:hint="eastAsia"/>
          <w:sz w:val="32"/>
          <w:szCs w:val="32"/>
        </w:rPr>
        <w:t>國立臺灣師範大學</w:t>
      </w:r>
      <w:r w:rsidRPr="003D535C">
        <w:rPr>
          <w:rFonts w:ascii="標楷體" w:eastAsia="標楷體" w:hAnsi="標楷體" w:hint="eastAsia"/>
          <w:sz w:val="32"/>
          <w:szCs w:val="32"/>
        </w:rPr>
        <w:t>等校為推動永續發展，亦成立校內永續發展委員會</w:t>
      </w:r>
      <w:r>
        <w:rPr>
          <w:rFonts w:ascii="標楷體" w:eastAsia="標楷體" w:hAnsi="標楷體" w:hint="eastAsia"/>
          <w:sz w:val="32"/>
          <w:szCs w:val="32"/>
        </w:rPr>
        <w:t>、</w:t>
      </w:r>
      <w:r w:rsidRPr="003D535C">
        <w:rPr>
          <w:rFonts w:ascii="標楷體" w:eastAsia="標楷體" w:hAnsi="標楷體" w:hint="eastAsia"/>
          <w:sz w:val="32"/>
          <w:szCs w:val="32"/>
        </w:rPr>
        <w:t>永續</w:t>
      </w:r>
      <w:r>
        <w:rPr>
          <w:rFonts w:ascii="標楷體" w:eastAsia="標楷體" w:hAnsi="標楷體" w:hint="eastAsia"/>
          <w:sz w:val="32"/>
          <w:szCs w:val="32"/>
        </w:rPr>
        <w:t>辦</w:t>
      </w:r>
      <w:r w:rsidRPr="003D535C">
        <w:rPr>
          <w:rFonts w:ascii="標楷體" w:eastAsia="標楷體" w:hAnsi="標楷體" w:hint="eastAsia"/>
          <w:sz w:val="32"/>
          <w:szCs w:val="32"/>
        </w:rPr>
        <w:t>公室等專責單位，由校長擔任主任委員，以責成</w:t>
      </w:r>
      <w:r>
        <w:rPr>
          <w:rFonts w:ascii="標楷體" w:eastAsia="標楷體" w:hAnsi="標楷體" w:hint="eastAsia"/>
          <w:sz w:val="32"/>
          <w:szCs w:val="32"/>
        </w:rPr>
        <w:t>、</w:t>
      </w:r>
      <w:r w:rsidRPr="003D535C">
        <w:rPr>
          <w:rFonts w:ascii="標楷體" w:eastAsia="標楷體" w:hAnsi="標楷體" w:hint="eastAsia"/>
          <w:sz w:val="32"/>
          <w:szCs w:val="32"/>
        </w:rPr>
        <w:t>督導校內之永續發展；而中</w:t>
      </w:r>
      <w:r>
        <w:rPr>
          <w:rFonts w:ascii="標楷體" w:eastAsia="標楷體" w:hAnsi="標楷體" w:hint="eastAsia"/>
          <w:sz w:val="32"/>
          <w:szCs w:val="32"/>
        </w:rPr>
        <w:t>央</w:t>
      </w:r>
      <w:r w:rsidRPr="003D535C">
        <w:rPr>
          <w:rFonts w:ascii="標楷體" w:eastAsia="標楷體" w:hAnsi="標楷體" w:hint="eastAsia"/>
          <w:sz w:val="32"/>
          <w:szCs w:val="32"/>
        </w:rPr>
        <w:t>研</w:t>
      </w:r>
      <w:r>
        <w:rPr>
          <w:rFonts w:ascii="標楷體" w:eastAsia="標楷體" w:hAnsi="標楷體" w:hint="eastAsia"/>
          <w:sz w:val="32"/>
          <w:szCs w:val="32"/>
        </w:rPr>
        <w:t>究</w:t>
      </w:r>
      <w:r w:rsidRPr="003D535C">
        <w:rPr>
          <w:rFonts w:ascii="標楷體" w:eastAsia="標楷體" w:hAnsi="標楷體" w:hint="eastAsia"/>
          <w:sz w:val="32"/>
          <w:szCs w:val="32"/>
        </w:rPr>
        <w:t>院轄下之永續科學中心，係針對永續發展之跨學科研究計</w:t>
      </w:r>
      <w:r>
        <w:rPr>
          <w:rFonts w:ascii="標楷體" w:eastAsia="標楷體" w:hAnsi="標楷體" w:hint="eastAsia"/>
          <w:sz w:val="32"/>
          <w:szCs w:val="32"/>
        </w:rPr>
        <w:t>畫</w:t>
      </w:r>
      <w:r w:rsidRPr="003D535C">
        <w:rPr>
          <w:rFonts w:ascii="標楷體" w:eastAsia="標楷體" w:hAnsi="標楷體" w:hint="eastAsia"/>
          <w:sz w:val="32"/>
          <w:szCs w:val="32"/>
        </w:rPr>
        <w:t>，鼓勵院內數理科學、生命科學、人文社會科學</w:t>
      </w:r>
      <w:r>
        <w:rPr>
          <w:rFonts w:ascii="標楷體" w:eastAsia="標楷體" w:hAnsi="標楷體" w:hint="eastAsia"/>
          <w:sz w:val="32"/>
          <w:szCs w:val="32"/>
        </w:rPr>
        <w:t>3</w:t>
      </w:r>
      <w:r w:rsidRPr="003D535C">
        <w:rPr>
          <w:rFonts w:ascii="標楷體" w:eastAsia="標楷體" w:hAnsi="標楷體" w:hint="eastAsia"/>
          <w:sz w:val="32"/>
          <w:szCs w:val="32"/>
        </w:rPr>
        <w:t>個學部的研究人員參與之跨界研究項目，實與院內治理無干。綜上所述，中央研究院</w:t>
      </w:r>
      <w:r>
        <w:rPr>
          <w:rFonts w:ascii="標楷體" w:eastAsia="標楷體" w:hAnsi="標楷體" w:hint="eastAsia"/>
          <w:sz w:val="32"/>
          <w:szCs w:val="32"/>
        </w:rPr>
        <w:t>身為我國最高學術機關，其內部治理之永續發展尚有提升空間，</w:t>
      </w:r>
      <w:r w:rsidRPr="003D535C">
        <w:rPr>
          <w:rFonts w:ascii="標楷體" w:eastAsia="標楷體" w:hAnsi="標楷體" w:hint="eastAsia"/>
          <w:sz w:val="32"/>
          <w:szCs w:val="32"/>
        </w:rPr>
        <w:t>請中</w:t>
      </w:r>
      <w:r>
        <w:rPr>
          <w:rFonts w:ascii="標楷體" w:eastAsia="標楷體" w:hAnsi="標楷體" w:hint="eastAsia"/>
          <w:sz w:val="32"/>
          <w:szCs w:val="32"/>
        </w:rPr>
        <w:t>央</w:t>
      </w:r>
      <w:r w:rsidRPr="003D535C">
        <w:rPr>
          <w:rFonts w:ascii="標楷體" w:eastAsia="標楷體" w:hAnsi="標楷體" w:hint="eastAsia"/>
          <w:sz w:val="32"/>
          <w:szCs w:val="32"/>
        </w:rPr>
        <w:t>研</w:t>
      </w:r>
      <w:r>
        <w:rPr>
          <w:rFonts w:ascii="標楷體" w:eastAsia="標楷體" w:hAnsi="標楷體" w:hint="eastAsia"/>
          <w:sz w:val="32"/>
          <w:szCs w:val="32"/>
        </w:rPr>
        <w:t>究</w:t>
      </w:r>
      <w:r w:rsidRPr="003D535C">
        <w:rPr>
          <w:rFonts w:ascii="標楷體" w:eastAsia="標楷體" w:hAnsi="標楷體" w:hint="eastAsia"/>
          <w:sz w:val="32"/>
          <w:szCs w:val="32"/>
        </w:rPr>
        <w:t>院應積極檢</w:t>
      </w:r>
      <w:r>
        <w:rPr>
          <w:rFonts w:ascii="標楷體" w:eastAsia="標楷體" w:hAnsi="標楷體" w:hint="eastAsia"/>
          <w:sz w:val="32"/>
          <w:szCs w:val="32"/>
        </w:rPr>
        <w:t>討，提出以永續發展為核心之治理方案，並</w:t>
      </w:r>
      <w:r w:rsidRPr="003D535C">
        <w:rPr>
          <w:rFonts w:ascii="標楷體" w:eastAsia="標楷體" w:hAnsi="標楷體" w:hint="eastAsia"/>
          <w:sz w:val="32"/>
          <w:szCs w:val="32"/>
        </w:rPr>
        <w:t>於1個月內</w:t>
      </w:r>
      <w:r>
        <w:rPr>
          <w:rFonts w:ascii="標楷體" w:eastAsia="標楷體" w:hAnsi="標楷體" w:hint="eastAsia"/>
          <w:sz w:val="32"/>
          <w:szCs w:val="32"/>
        </w:rPr>
        <w:t>向</w:t>
      </w:r>
      <w:r w:rsidRPr="003D535C">
        <w:rPr>
          <w:rFonts w:ascii="標楷體" w:eastAsia="標楷體" w:hAnsi="標楷體" w:hint="eastAsia"/>
          <w:sz w:val="32"/>
          <w:szCs w:val="32"/>
        </w:rPr>
        <w:t>立法院教育及文化委員會提出書面規劃報告。</w:t>
      </w:r>
      <w:r>
        <w:rPr>
          <w:rFonts w:ascii="標楷體" w:eastAsia="標楷體" w:hAnsi="標楷體" w:hint="eastAsia"/>
          <w:sz w:val="32"/>
          <w:szCs w:val="32"/>
        </w:rPr>
        <w:t>25</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吳思瑤</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w:t>
      </w:r>
      <w:r>
        <w:rPr>
          <w:rFonts w:ascii="標楷體" w:eastAsia="標楷體" w:hAnsi="標楷體" w:hint="eastAsia"/>
          <w:sz w:val="32"/>
          <w:szCs w:val="32"/>
        </w:rPr>
        <w:t>林宜瑾  鄭正鈐</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t>(二十六)</w:t>
      </w:r>
      <w:r w:rsidRPr="003D535C">
        <w:rPr>
          <w:rFonts w:ascii="標楷體" w:eastAsia="標楷體" w:hAnsi="標楷體" w:hint="eastAsia"/>
          <w:sz w:val="32"/>
          <w:szCs w:val="32"/>
        </w:rPr>
        <w:t>為促進中</w:t>
      </w:r>
      <w:r>
        <w:rPr>
          <w:rFonts w:ascii="標楷體" w:eastAsia="標楷體" w:hAnsi="標楷體" w:hint="eastAsia"/>
          <w:sz w:val="32"/>
          <w:szCs w:val="32"/>
        </w:rPr>
        <w:t>央</w:t>
      </w:r>
      <w:r w:rsidRPr="003D535C">
        <w:rPr>
          <w:rFonts w:ascii="標楷體" w:eastAsia="標楷體" w:hAnsi="標楷體" w:hint="eastAsia"/>
          <w:sz w:val="32"/>
          <w:szCs w:val="32"/>
        </w:rPr>
        <w:t>研</w:t>
      </w:r>
      <w:r>
        <w:rPr>
          <w:rFonts w:ascii="標楷體" w:eastAsia="標楷體" w:hAnsi="標楷體" w:hint="eastAsia"/>
          <w:sz w:val="32"/>
          <w:szCs w:val="32"/>
        </w:rPr>
        <w:t>究</w:t>
      </w:r>
      <w:r w:rsidRPr="003D535C">
        <w:rPr>
          <w:rFonts w:ascii="標楷體" w:eastAsia="標楷體" w:hAnsi="標楷體" w:hint="eastAsia"/>
          <w:sz w:val="32"/>
          <w:szCs w:val="32"/>
        </w:rPr>
        <w:t>院南港院區之學術研究品質</w:t>
      </w:r>
      <w:r>
        <w:rPr>
          <w:rFonts w:ascii="標楷體" w:eastAsia="標楷體" w:hAnsi="標楷體" w:hint="eastAsia"/>
          <w:sz w:val="32"/>
          <w:szCs w:val="32"/>
        </w:rPr>
        <w:t>，</w:t>
      </w:r>
      <w:r w:rsidRPr="003D535C">
        <w:rPr>
          <w:rFonts w:ascii="標楷體" w:eastAsia="標楷體" w:hAnsi="標楷體" w:hint="eastAsia"/>
          <w:sz w:val="32"/>
          <w:szCs w:val="32"/>
        </w:rPr>
        <w:t>協助各單位空間設施之活化更新，</w:t>
      </w:r>
      <w:r>
        <w:rPr>
          <w:rFonts w:ascii="標楷體" w:eastAsia="標楷體" w:hAnsi="標楷體" w:hint="eastAsia"/>
          <w:sz w:val="32"/>
          <w:szCs w:val="32"/>
        </w:rPr>
        <w:t>吳委員思瑤</w:t>
      </w:r>
      <w:r w:rsidRPr="003D535C">
        <w:rPr>
          <w:rFonts w:ascii="標楷體" w:eastAsia="標楷體" w:hAnsi="標楷體" w:hint="eastAsia"/>
          <w:sz w:val="32"/>
          <w:szCs w:val="32"/>
        </w:rPr>
        <w:t>業於2020年10月22日質詢要求推動「中研院院區景觀計畫」，獲廖院長俊智正面允諾推動，據悉包含院區建築文資保存及空間利用事宜，中研院已錄案辦理，並已成立「中央研究院院區環境規</w:t>
      </w:r>
      <w:r>
        <w:rPr>
          <w:rFonts w:ascii="標楷體" w:eastAsia="標楷體" w:hAnsi="標楷體" w:hint="eastAsia"/>
          <w:sz w:val="32"/>
          <w:szCs w:val="32"/>
        </w:rPr>
        <w:t>劃</w:t>
      </w:r>
      <w:r w:rsidRPr="003D535C">
        <w:rPr>
          <w:rFonts w:ascii="標楷體" w:eastAsia="標楷體" w:hAnsi="標楷體" w:hint="eastAsia"/>
          <w:sz w:val="32"/>
          <w:szCs w:val="32"/>
        </w:rPr>
        <w:t>委員會」，盤點各單位空間使用現況，俾利後續院內環境與功能重新檢討調整之依據。根據中研院回覆資料，上開計畫原規劃於111及112年度分</w:t>
      </w:r>
      <w:r>
        <w:rPr>
          <w:rFonts w:ascii="標楷體" w:eastAsia="標楷體" w:hAnsi="標楷體" w:hint="eastAsia"/>
          <w:sz w:val="32"/>
          <w:szCs w:val="32"/>
        </w:rPr>
        <w:t>2</w:t>
      </w:r>
      <w:r w:rsidRPr="003D535C">
        <w:rPr>
          <w:rFonts w:ascii="標楷體" w:eastAsia="標楷體" w:hAnsi="標楷體" w:hint="eastAsia"/>
          <w:sz w:val="32"/>
          <w:szCs w:val="32"/>
        </w:rPr>
        <w:t>年編列院區環境整體規劃經費執行， 112年</w:t>
      </w:r>
      <w:r>
        <w:rPr>
          <w:rFonts w:ascii="標楷體" w:eastAsia="標楷體" w:hAnsi="標楷體" w:hint="eastAsia"/>
          <w:sz w:val="32"/>
          <w:szCs w:val="32"/>
        </w:rPr>
        <w:t>度</w:t>
      </w:r>
      <w:r w:rsidRPr="003D535C">
        <w:rPr>
          <w:rFonts w:ascii="標楷體" w:eastAsia="標楷體" w:hAnsi="標楷體" w:hint="eastAsia"/>
          <w:sz w:val="32"/>
          <w:szCs w:val="32"/>
        </w:rPr>
        <w:t>預算案亦編列400萬元，但查上開預算書，註明將執行期限由</w:t>
      </w:r>
      <w:r>
        <w:rPr>
          <w:rFonts w:ascii="標楷體" w:eastAsia="標楷體" w:hAnsi="標楷體" w:hint="eastAsia"/>
          <w:sz w:val="32"/>
          <w:szCs w:val="32"/>
        </w:rPr>
        <w:t>2</w:t>
      </w:r>
      <w:r w:rsidRPr="003D535C">
        <w:rPr>
          <w:rFonts w:ascii="標楷體" w:eastAsia="標楷體" w:hAnsi="標楷體" w:hint="eastAsia"/>
          <w:sz w:val="32"/>
          <w:szCs w:val="32"/>
        </w:rPr>
        <w:t>年改為</w:t>
      </w:r>
      <w:r>
        <w:rPr>
          <w:rFonts w:ascii="標楷體" w:eastAsia="標楷體" w:hAnsi="標楷體" w:hint="eastAsia"/>
          <w:sz w:val="32"/>
          <w:szCs w:val="32"/>
        </w:rPr>
        <w:t>3</w:t>
      </w:r>
      <w:r w:rsidRPr="003D535C">
        <w:rPr>
          <w:rFonts w:ascii="標楷體" w:eastAsia="標楷體" w:hAnsi="標楷體" w:hint="eastAsia"/>
          <w:sz w:val="32"/>
          <w:szCs w:val="32"/>
        </w:rPr>
        <w:t>年，請中研院應說明</w:t>
      </w:r>
      <w:r>
        <w:rPr>
          <w:rFonts w:ascii="標楷體" w:eastAsia="標楷體" w:hAnsi="標楷體" w:hint="eastAsia"/>
          <w:sz w:val="32"/>
          <w:szCs w:val="32"/>
        </w:rPr>
        <w:t>原由。再者，基於國際近年日益重視永續發展，有關中研院內部治理，吳委員思瑤</w:t>
      </w:r>
      <w:r w:rsidRPr="003D535C">
        <w:rPr>
          <w:rFonts w:ascii="標楷體" w:eastAsia="標楷體" w:hAnsi="標楷體" w:hint="eastAsia"/>
          <w:sz w:val="32"/>
          <w:szCs w:val="32"/>
        </w:rPr>
        <w:t>有下列建議：1.</w:t>
      </w:r>
      <w:r>
        <w:rPr>
          <w:rFonts w:ascii="標楷體" w:eastAsia="標楷體" w:hAnsi="標楷體" w:hint="eastAsia"/>
          <w:sz w:val="32"/>
          <w:szCs w:val="32"/>
        </w:rPr>
        <w:t>吳委員思瑤</w:t>
      </w:r>
      <w:r w:rsidRPr="003D535C">
        <w:rPr>
          <w:rFonts w:ascii="標楷體" w:eastAsia="標楷體" w:hAnsi="標楷體" w:hint="eastAsia"/>
          <w:sz w:val="32"/>
          <w:szCs w:val="32"/>
        </w:rPr>
        <w:t>業於110年</w:t>
      </w:r>
      <w:r>
        <w:rPr>
          <w:rFonts w:ascii="標楷體" w:eastAsia="標楷體" w:hAnsi="標楷體" w:hint="eastAsia"/>
          <w:sz w:val="32"/>
          <w:szCs w:val="32"/>
        </w:rPr>
        <w:t>度</w:t>
      </w:r>
      <w:r w:rsidRPr="003D535C">
        <w:rPr>
          <w:rFonts w:ascii="標楷體" w:eastAsia="標楷體" w:hAnsi="標楷體" w:hint="eastAsia"/>
          <w:sz w:val="32"/>
          <w:szCs w:val="32"/>
        </w:rPr>
        <w:t>預算案要求舉辦中研院建築展，可舉辦為</w:t>
      </w:r>
      <w:r>
        <w:rPr>
          <w:rFonts w:ascii="標楷體" w:eastAsia="標楷體" w:hAnsi="標楷體" w:hint="eastAsia"/>
          <w:sz w:val="32"/>
          <w:szCs w:val="32"/>
        </w:rPr>
        <w:t>具備</w:t>
      </w:r>
      <w:r w:rsidRPr="003D535C">
        <w:rPr>
          <w:rFonts w:ascii="標楷體" w:eastAsia="標楷體" w:hAnsi="標楷體" w:hint="eastAsia"/>
          <w:sz w:val="32"/>
          <w:szCs w:val="32"/>
        </w:rPr>
        <w:t>開放性、公眾性的永續建築展，俾利擴大院內永續治理與實踐</w:t>
      </w:r>
      <w:r>
        <w:rPr>
          <w:rFonts w:ascii="標楷體" w:eastAsia="標楷體" w:hAnsi="標楷體" w:hint="eastAsia"/>
          <w:sz w:val="32"/>
          <w:szCs w:val="32"/>
        </w:rPr>
        <w:t>；</w:t>
      </w:r>
      <w:r w:rsidRPr="003D535C">
        <w:rPr>
          <w:rFonts w:ascii="標楷體" w:eastAsia="標楷體" w:hAnsi="標楷體" w:hint="eastAsia"/>
          <w:sz w:val="32"/>
          <w:szCs w:val="32"/>
        </w:rPr>
        <w:t>2</w:t>
      </w:r>
      <w:r>
        <w:rPr>
          <w:rFonts w:ascii="標楷體" w:eastAsia="標楷體" w:hAnsi="標楷體" w:hint="eastAsia"/>
          <w:sz w:val="32"/>
          <w:szCs w:val="32"/>
        </w:rPr>
        <w:t>.</w:t>
      </w:r>
      <w:r w:rsidRPr="003D535C">
        <w:rPr>
          <w:rFonts w:ascii="標楷體" w:eastAsia="標楷體" w:hAnsi="標楷體" w:hint="eastAsia"/>
          <w:sz w:val="32"/>
          <w:szCs w:val="32"/>
        </w:rPr>
        <w:t>有關</w:t>
      </w:r>
      <w:r w:rsidRPr="00CD7B25">
        <w:rPr>
          <w:rFonts w:ascii="標楷體" w:eastAsia="標楷體" w:hAnsi="標楷體" w:hint="eastAsia"/>
          <w:sz w:val="32"/>
          <w:szCs w:val="32"/>
        </w:rPr>
        <w:t>環境規</w:t>
      </w:r>
      <w:r>
        <w:rPr>
          <w:rFonts w:ascii="標楷體" w:eastAsia="標楷體" w:hAnsi="標楷體" w:hint="eastAsia"/>
          <w:sz w:val="32"/>
          <w:szCs w:val="32"/>
        </w:rPr>
        <w:t>劃</w:t>
      </w:r>
      <w:r w:rsidRPr="00CD7B25">
        <w:rPr>
          <w:rFonts w:ascii="標楷體" w:eastAsia="標楷體" w:hAnsi="標楷體" w:hint="eastAsia"/>
          <w:sz w:val="32"/>
          <w:szCs w:val="32"/>
        </w:rPr>
        <w:t>委員</w:t>
      </w:r>
      <w:r w:rsidRPr="00CD7B25">
        <w:rPr>
          <w:rFonts w:ascii="標楷體" w:eastAsia="標楷體" w:hAnsi="標楷體" w:hint="eastAsia"/>
          <w:sz w:val="32"/>
          <w:szCs w:val="32"/>
        </w:rPr>
        <w:lastRenderedPageBreak/>
        <w:t>會</w:t>
      </w:r>
      <w:r w:rsidRPr="003D535C">
        <w:rPr>
          <w:rFonts w:ascii="標楷體" w:eastAsia="標楷體" w:hAnsi="標楷體" w:hint="eastAsia"/>
          <w:sz w:val="32"/>
          <w:szCs w:val="32"/>
        </w:rPr>
        <w:t>所推動之院內環境與功能重新檢討，可加入永續思維，俾利符合全球重視環境(Environmental)、社會(Social)及治理(Governance)等永續相關議題之趨勢，亦可借鏡由</w:t>
      </w:r>
      <w:r w:rsidRPr="00CD7B25">
        <w:rPr>
          <w:rFonts w:ascii="標楷體" w:eastAsia="標楷體" w:hAnsi="標楷體" w:hint="eastAsia"/>
          <w:sz w:val="32"/>
          <w:szCs w:val="32"/>
        </w:rPr>
        <w:t>金融監督管理委員會</w:t>
      </w:r>
      <w:r w:rsidRPr="003D535C">
        <w:rPr>
          <w:rFonts w:ascii="標楷體" w:eastAsia="標楷體" w:hAnsi="標楷體" w:hint="eastAsia"/>
          <w:sz w:val="32"/>
          <w:szCs w:val="32"/>
        </w:rPr>
        <w:t>所推動「公司治理3.0永續發展藍圖」之執行策略，作為中研院內部治理之參照</w:t>
      </w:r>
      <w:r>
        <w:rPr>
          <w:rFonts w:ascii="標楷體" w:eastAsia="標楷體" w:hAnsi="標楷體" w:hint="eastAsia"/>
          <w:sz w:val="32"/>
          <w:szCs w:val="32"/>
        </w:rPr>
        <w:t>；3.</w:t>
      </w:r>
      <w:r w:rsidRPr="003D535C">
        <w:rPr>
          <w:rFonts w:ascii="標楷體" w:eastAsia="標楷體" w:hAnsi="標楷體" w:hint="eastAsia"/>
          <w:sz w:val="32"/>
          <w:szCs w:val="32"/>
        </w:rPr>
        <w:t>為打造中研院之淨零基礎，亦可依照世界資源研究所（World Resources Institute）所公告之溫室氣體盤查議定書(GHG protocol)，其公告之組織內碳排查</w:t>
      </w:r>
      <w:r>
        <w:rPr>
          <w:rFonts w:ascii="標楷體" w:eastAsia="標楷體" w:hAnsi="標楷體" w:hint="eastAsia"/>
          <w:sz w:val="32"/>
          <w:szCs w:val="32"/>
        </w:rPr>
        <w:t>3</w:t>
      </w:r>
      <w:r w:rsidRPr="003D535C">
        <w:rPr>
          <w:rFonts w:ascii="標楷體" w:eastAsia="標楷體" w:hAnsi="標楷體" w:hint="eastAsia"/>
          <w:sz w:val="32"/>
          <w:szCs w:val="32"/>
        </w:rPr>
        <w:t>大範疇，針對各所、中心進行盤點碳排來源，接續執行「減量」與「移除」，俾利達到淨零</w:t>
      </w:r>
      <w:r>
        <w:rPr>
          <w:rFonts w:ascii="標楷體" w:eastAsia="標楷體" w:hAnsi="標楷體" w:hint="eastAsia"/>
          <w:sz w:val="32"/>
          <w:szCs w:val="32"/>
        </w:rPr>
        <w:t>；4.</w:t>
      </w:r>
      <w:r w:rsidRPr="003D535C">
        <w:rPr>
          <w:rFonts w:ascii="標楷體" w:eastAsia="標楷體" w:hAnsi="標楷體" w:hint="eastAsia"/>
          <w:sz w:val="32"/>
          <w:szCs w:val="32"/>
        </w:rPr>
        <w:t>針對各院區之電力、照明、空調、隔熱、水資源、區域降溫等硬體設備</w:t>
      </w:r>
      <w:r>
        <w:rPr>
          <w:rFonts w:ascii="標楷體" w:eastAsia="標楷體" w:hAnsi="標楷體" w:hint="eastAsia"/>
          <w:sz w:val="32"/>
          <w:szCs w:val="32"/>
        </w:rPr>
        <w:t>，</w:t>
      </w:r>
      <w:r w:rsidRPr="003D535C">
        <w:rPr>
          <w:rFonts w:ascii="標楷體" w:eastAsia="標楷體" w:hAnsi="標楷體" w:hint="eastAsia"/>
          <w:sz w:val="32"/>
          <w:szCs w:val="32"/>
        </w:rPr>
        <w:t>以及儲存、運輸、交通等需求允宜進行減碳之改善與落實。為符合國際重視永續發展趨勢，中</w:t>
      </w:r>
      <w:r>
        <w:rPr>
          <w:rFonts w:ascii="標楷體" w:eastAsia="標楷體" w:hAnsi="標楷體" w:hint="eastAsia"/>
          <w:sz w:val="32"/>
          <w:szCs w:val="32"/>
        </w:rPr>
        <w:t>央</w:t>
      </w:r>
      <w:r w:rsidRPr="003D535C">
        <w:rPr>
          <w:rFonts w:ascii="標楷體" w:eastAsia="標楷體" w:hAnsi="標楷體" w:hint="eastAsia"/>
          <w:sz w:val="32"/>
          <w:szCs w:val="32"/>
        </w:rPr>
        <w:t>研</w:t>
      </w:r>
      <w:r>
        <w:rPr>
          <w:rFonts w:ascii="標楷體" w:eastAsia="標楷體" w:hAnsi="標楷體" w:hint="eastAsia"/>
          <w:sz w:val="32"/>
          <w:szCs w:val="32"/>
        </w:rPr>
        <w:t>究</w:t>
      </w:r>
      <w:r w:rsidRPr="003D535C">
        <w:rPr>
          <w:rFonts w:ascii="標楷體" w:eastAsia="標楷體" w:hAnsi="標楷體" w:hint="eastAsia"/>
          <w:sz w:val="32"/>
          <w:szCs w:val="32"/>
        </w:rPr>
        <w:t>院應善用已成立之「</w:t>
      </w:r>
      <w:r w:rsidRPr="002837B4">
        <w:rPr>
          <w:rFonts w:ascii="標楷體" w:eastAsia="標楷體" w:hAnsi="標楷體" w:hint="eastAsia"/>
          <w:sz w:val="32"/>
          <w:szCs w:val="32"/>
        </w:rPr>
        <w:t>中央研究院</w:t>
      </w:r>
      <w:r w:rsidRPr="003D535C">
        <w:rPr>
          <w:rFonts w:ascii="標楷體" w:eastAsia="標楷體" w:hAnsi="標楷體" w:hint="eastAsia"/>
          <w:sz w:val="32"/>
          <w:szCs w:val="32"/>
        </w:rPr>
        <w:t>院區環境規</w:t>
      </w:r>
      <w:r>
        <w:rPr>
          <w:rFonts w:ascii="標楷體" w:eastAsia="標楷體" w:hAnsi="標楷體" w:hint="eastAsia"/>
          <w:sz w:val="32"/>
          <w:szCs w:val="32"/>
        </w:rPr>
        <w:t>劃</w:t>
      </w:r>
      <w:r w:rsidRPr="003D535C">
        <w:rPr>
          <w:rFonts w:ascii="標楷體" w:eastAsia="標楷體" w:hAnsi="標楷體" w:hint="eastAsia"/>
          <w:sz w:val="32"/>
          <w:szCs w:val="32"/>
        </w:rPr>
        <w:t>委員會」，進行符合永續之環境規劃，俾利接軌國</w:t>
      </w:r>
      <w:r>
        <w:rPr>
          <w:rFonts w:ascii="標楷體" w:eastAsia="標楷體" w:hAnsi="標楷體" w:hint="eastAsia"/>
          <w:sz w:val="32"/>
          <w:szCs w:val="32"/>
        </w:rPr>
        <w:t>際規範，同步引導轄下單位注重永續發展，並</w:t>
      </w:r>
      <w:r w:rsidRPr="003D535C">
        <w:rPr>
          <w:rFonts w:ascii="標楷體" w:eastAsia="標楷體" w:hAnsi="標楷體" w:hint="eastAsia"/>
          <w:sz w:val="32"/>
          <w:szCs w:val="32"/>
        </w:rPr>
        <w:t>於1個月內</w:t>
      </w:r>
      <w:r>
        <w:rPr>
          <w:rFonts w:ascii="標楷體" w:eastAsia="標楷體" w:hAnsi="標楷體" w:hint="eastAsia"/>
          <w:sz w:val="32"/>
          <w:szCs w:val="32"/>
        </w:rPr>
        <w:t>向</w:t>
      </w:r>
      <w:r w:rsidRPr="003D535C">
        <w:rPr>
          <w:rFonts w:ascii="標楷體" w:eastAsia="標楷體" w:hAnsi="標楷體" w:hint="eastAsia"/>
          <w:sz w:val="32"/>
          <w:szCs w:val="32"/>
        </w:rPr>
        <w:t>立法院教育及文化委員會</w:t>
      </w:r>
      <w:r>
        <w:rPr>
          <w:rFonts w:ascii="標楷體" w:eastAsia="標楷體" w:hAnsi="標楷體" w:hint="eastAsia"/>
          <w:sz w:val="32"/>
          <w:szCs w:val="32"/>
        </w:rPr>
        <w:t>提出書面報告</w:t>
      </w:r>
      <w:r w:rsidRPr="003D535C">
        <w:rPr>
          <w:rFonts w:ascii="標楷體" w:eastAsia="標楷體" w:hAnsi="標楷體" w:hint="eastAsia"/>
          <w:sz w:val="32"/>
          <w:szCs w:val="32"/>
        </w:rPr>
        <w:t>。</w:t>
      </w:r>
      <w:r>
        <w:rPr>
          <w:rFonts w:ascii="標楷體" w:eastAsia="標楷體" w:hAnsi="標楷體" w:hint="eastAsia"/>
          <w:sz w:val="32"/>
          <w:szCs w:val="32"/>
        </w:rPr>
        <w:t>31</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吳思瑤</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w:t>
      </w:r>
      <w:r>
        <w:rPr>
          <w:rFonts w:ascii="標楷體" w:eastAsia="標楷體" w:hAnsi="標楷體" w:hint="eastAsia"/>
          <w:sz w:val="32"/>
          <w:szCs w:val="32"/>
        </w:rPr>
        <w:t>林宜瑾  鄭正鈐</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t>(二十七)</w:t>
      </w:r>
      <w:r w:rsidRPr="00CD7B25">
        <w:rPr>
          <w:rFonts w:ascii="標楷體" w:eastAsia="標楷體" w:hAnsi="標楷體" w:hint="eastAsia"/>
          <w:sz w:val="32"/>
          <w:szCs w:val="32"/>
        </w:rPr>
        <w:t>112年度</w:t>
      </w:r>
      <w:r>
        <w:rPr>
          <w:rFonts w:ascii="標楷體" w:eastAsia="標楷體" w:hAnsi="標楷體" w:hint="eastAsia"/>
          <w:sz w:val="32"/>
          <w:szCs w:val="32"/>
        </w:rPr>
        <w:t>中央研究院「一般學術研究及評議」項下</w:t>
      </w:r>
      <w:r w:rsidRPr="00CD7B25">
        <w:rPr>
          <w:rFonts w:ascii="標楷體" w:eastAsia="標楷體" w:hAnsi="標楷體" w:hint="eastAsia"/>
          <w:sz w:val="32"/>
          <w:szCs w:val="32"/>
        </w:rPr>
        <w:t>「學術研究與人才培育」</w:t>
      </w:r>
      <w:r>
        <w:rPr>
          <w:rFonts w:ascii="標楷體" w:eastAsia="標楷體" w:hAnsi="標楷體" w:hint="eastAsia"/>
          <w:sz w:val="32"/>
          <w:szCs w:val="32"/>
        </w:rPr>
        <w:t>中</w:t>
      </w:r>
      <w:r w:rsidRPr="00CD7B25">
        <w:rPr>
          <w:rFonts w:ascii="標楷體" w:eastAsia="標楷體" w:hAnsi="標楷體" w:hint="eastAsia"/>
          <w:sz w:val="32"/>
          <w:szCs w:val="32"/>
        </w:rPr>
        <w:t>「學術規劃及交流合作」預算編列6,323萬元。經查，該筆預算項下編列對國內團體之捐助632萬4千元，然該預算於109年</w:t>
      </w:r>
      <w:r>
        <w:rPr>
          <w:rFonts w:ascii="標楷體" w:eastAsia="標楷體" w:hAnsi="標楷體" w:hint="eastAsia"/>
          <w:sz w:val="32"/>
          <w:szCs w:val="32"/>
        </w:rPr>
        <w:t>度</w:t>
      </w:r>
      <w:r w:rsidRPr="00CD7B25">
        <w:rPr>
          <w:rFonts w:ascii="標楷體" w:eastAsia="標楷體" w:hAnsi="標楷體" w:hint="eastAsia"/>
          <w:sz w:val="32"/>
          <w:szCs w:val="32"/>
        </w:rPr>
        <w:t>編列19萬2千元，決算數9萬2千元，執行率為47.92%；110年度編列19萬元，決算數6萬元，執行率為31.58%，執行率均低於</w:t>
      </w:r>
      <w:r>
        <w:rPr>
          <w:rFonts w:ascii="標楷體" w:eastAsia="標楷體" w:hAnsi="標楷體" w:hint="eastAsia"/>
          <w:sz w:val="32"/>
          <w:szCs w:val="32"/>
        </w:rPr>
        <w:t>五</w:t>
      </w:r>
      <w:r w:rsidRPr="00CD7B25">
        <w:rPr>
          <w:rFonts w:ascii="標楷體" w:eastAsia="標楷體" w:hAnsi="標楷體" w:hint="eastAsia"/>
          <w:sz w:val="32"/>
          <w:szCs w:val="32"/>
        </w:rPr>
        <w:t>成，甚111年</w:t>
      </w:r>
      <w:r>
        <w:rPr>
          <w:rFonts w:ascii="標楷體" w:eastAsia="標楷體" w:hAnsi="標楷體" w:hint="eastAsia"/>
          <w:sz w:val="32"/>
          <w:szCs w:val="32"/>
        </w:rPr>
        <w:t>度</w:t>
      </w:r>
      <w:r w:rsidRPr="00CD7B25">
        <w:rPr>
          <w:rFonts w:ascii="標楷體" w:eastAsia="標楷體" w:hAnsi="標楷體" w:hint="eastAsia"/>
          <w:sz w:val="32"/>
          <w:szCs w:val="32"/>
        </w:rPr>
        <w:t>編列19萬元，截至</w:t>
      </w:r>
      <w:r>
        <w:rPr>
          <w:rFonts w:ascii="標楷體" w:eastAsia="標楷體" w:hAnsi="標楷體" w:hint="eastAsia"/>
          <w:sz w:val="32"/>
          <w:szCs w:val="32"/>
        </w:rPr>
        <w:t>111年</w:t>
      </w:r>
      <w:r w:rsidRPr="00CD7B25">
        <w:rPr>
          <w:rFonts w:ascii="標楷體" w:eastAsia="標楷體" w:hAnsi="標楷體" w:hint="eastAsia"/>
          <w:sz w:val="32"/>
          <w:szCs w:val="32"/>
        </w:rPr>
        <w:t>11月3日均未執行，然112年度較111年度再增列613萬4千元，顯不合理。爰此，請中央研究院積極探究原因，審慎參酌以覈實編列預算，並於</w:t>
      </w:r>
      <w:r>
        <w:rPr>
          <w:rFonts w:ascii="標楷體" w:eastAsia="標楷體" w:hAnsi="標楷體" w:hint="eastAsia"/>
          <w:sz w:val="32"/>
          <w:szCs w:val="32"/>
        </w:rPr>
        <w:t>3</w:t>
      </w:r>
      <w:r w:rsidRPr="00CD7B25">
        <w:rPr>
          <w:rFonts w:ascii="標楷體" w:eastAsia="標楷體" w:hAnsi="標楷體" w:hint="eastAsia"/>
          <w:sz w:val="32"/>
          <w:szCs w:val="32"/>
        </w:rPr>
        <w:t>個月內向</w:t>
      </w:r>
      <w:r>
        <w:rPr>
          <w:rFonts w:ascii="標楷體" w:eastAsia="標楷體" w:hAnsi="標楷體" w:hint="eastAsia"/>
          <w:sz w:val="32"/>
          <w:szCs w:val="32"/>
        </w:rPr>
        <w:t>立法院</w:t>
      </w:r>
      <w:r w:rsidRPr="00CD7B25">
        <w:rPr>
          <w:rFonts w:ascii="標楷體" w:eastAsia="標楷體" w:hAnsi="標楷體" w:hint="eastAsia"/>
          <w:sz w:val="32"/>
          <w:szCs w:val="32"/>
        </w:rPr>
        <w:t>教育及文化委員會提出書面報告。</w:t>
      </w:r>
      <w:r>
        <w:rPr>
          <w:rFonts w:ascii="標楷體" w:eastAsia="標楷體" w:hAnsi="標楷體" w:hint="eastAsia"/>
          <w:sz w:val="32"/>
          <w:szCs w:val="32"/>
        </w:rPr>
        <w:t>33</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lastRenderedPageBreak/>
        <w:t>提案人：</w:t>
      </w:r>
      <w:r>
        <w:rPr>
          <w:rFonts w:ascii="標楷體" w:eastAsia="標楷體" w:hAnsi="標楷體" w:hint="eastAsia"/>
          <w:sz w:val="32"/>
          <w:szCs w:val="32"/>
        </w:rPr>
        <w:t>萬美玲</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w:t>
      </w:r>
      <w:r>
        <w:rPr>
          <w:rFonts w:ascii="標楷體" w:eastAsia="標楷體" w:hAnsi="標楷體" w:hint="eastAsia"/>
          <w:sz w:val="32"/>
          <w:szCs w:val="32"/>
        </w:rPr>
        <w:t>黃國書  陳秀寳  鄭正鈐</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t>(二十八)</w:t>
      </w:r>
      <w:r w:rsidRPr="00CD7B25">
        <w:rPr>
          <w:rFonts w:ascii="標楷體" w:eastAsia="標楷體" w:hAnsi="標楷體" w:hint="eastAsia"/>
          <w:sz w:val="32"/>
          <w:szCs w:val="32"/>
        </w:rPr>
        <w:t>為協助我國推動2050淨零碳排，中央研究院已於2022年11月29日發布</w:t>
      </w:r>
      <w:r>
        <w:rPr>
          <w:rFonts w:ascii="標楷體" w:eastAsia="標楷體" w:hAnsi="標楷體" w:hint="eastAsia"/>
          <w:sz w:val="32"/>
          <w:szCs w:val="32"/>
        </w:rPr>
        <w:t>「</w:t>
      </w:r>
      <w:r w:rsidRPr="00CD7B25">
        <w:rPr>
          <w:rFonts w:ascii="標楷體" w:eastAsia="標楷體" w:hAnsi="標楷體" w:hint="eastAsia"/>
          <w:sz w:val="32"/>
          <w:szCs w:val="32"/>
        </w:rPr>
        <w:t>臺灣淨零科技研發政策建議書</w:t>
      </w:r>
      <w:r>
        <w:rPr>
          <w:rFonts w:ascii="標楷體" w:eastAsia="標楷體" w:hAnsi="標楷體" w:hint="eastAsia"/>
          <w:sz w:val="32"/>
          <w:szCs w:val="32"/>
        </w:rPr>
        <w:t>」</w:t>
      </w:r>
      <w:r w:rsidRPr="00CD7B25">
        <w:rPr>
          <w:rFonts w:ascii="標楷體" w:eastAsia="標楷體" w:hAnsi="標楷體" w:hint="eastAsia"/>
          <w:sz w:val="32"/>
          <w:szCs w:val="32"/>
        </w:rPr>
        <w:t>，檢視我國相關排放來源，以及建議應</w:t>
      </w:r>
      <w:r>
        <w:rPr>
          <w:rFonts w:ascii="標楷體" w:eastAsia="標楷體" w:hAnsi="標楷體" w:hint="eastAsia"/>
          <w:sz w:val="32"/>
          <w:szCs w:val="32"/>
        </w:rPr>
        <w:t>儘</w:t>
      </w:r>
      <w:r w:rsidRPr="00CD7B25">
        <w:rPr>
          <w:rFonts w:ascii="標楷體" w:eastAsia="標楷體" w:hAnsi="標楷體" w:hint="eastAsia"/>
          <w:sz w:val="32"/>
          <w:szCs w:val="32"/>
        </w:rPr>
        <w:t>速推動的</w:t>
      </w:r>
      <w:r>
        <w:rPr>
          <w:rFonts w:ascii="標楷體" w:eastAsia="標楷體" w:hAnsi="標楷體" w:hint="eastAsia"/>
          <w:sz w:val="32"/>
          <w:szCs w:val="32"/>
        </w:rPr>
        <w:t>5</w:t>
      </w:r>
      <w:r w:rsidRPr="00CD7B25">
        <w:rPr>
          <w:rFonts w:ascii="標楷體" w:eastAsia="標楷體" w:hAnsi="標楷體" w:hint="eastAsia"/>
          <w:sz w:val="32"/>
          <w:szCs w:val="32"/>
        </w:rPr>
        <w:t>項尚未大力發展之關鍵淨零科技（去碳燃氫、次世代太陽光電系統、地熱、海洋能、生質碳匯）。上開政策建議書之前身，係2019年6月6日所發布之</w:t>
      </w:r>
      <w:r>
        <w:rPr>
          <w:rFonts w:ascii="標楷體" w:eastAsia="標楷體" w:hAnsi="標楷體" w:hint="eastAsia"/>
          <w:sz w:val="32"/>
          <w:szCs w:val="32"/>
        </w:rPr>
        <w:t>「</w:t>
      </w:r>
      <w:r w:rsidRPr="00CD7B25">
        <w:rPr>
          <w:rFonts w:ascii="標楷體" w:eastAsia="標楷體" w:hAnsi="標楷體" w:hint="eastAsia"/>
          <w:sz w:val="32"/>
          <w:szCs w:val="32"/>
        </w:rPr>
        <w:t>臺灣深度減碳政策建議書</w:t>
      </w:r>
      <w:r>
        <w:rPr>
          <w:rFonts w:ascii="標楷體" w:eastAsia="標楷體" w:hAnsi="標楷體" w:hint="eastAsia"/>
          <w:sz w:val="32"/>
          <w:szCs w:val="32"/>
        </w:rPr>
        <w:t>」</w:t>
      </w:r>
      <w:r w:rsidRPr="00CD7B25">
        <w:rPr>
          <w:rFonts w:ascii="標楷體" w:eastAsia="標楷體" w:hAnsi="標楷體" w:hint="eastAsia"/>
          <w:sz w:val="32"/>
          <w:szCs w:val="32"/>
        </w:rPr>
        <w:t>，經</w:t>
      </w:r>
      <w:r>
        <w:rPr>
          <w:rFonts w:ascii="標楷體" w:eastAsia="標楷體" w:hAnsi="標楷體" w:hint="eastAsia"/>
          <w:sz w:val="32"/>
          <w:szCs w:val="32"/>
        </w:rPr>
        <w:t>吳委員思瑤</w:t>
      </w:r>
      <w:r w:rsidRPr="00CD7B25">
        <w:rPr>
          <w:rFonts w:ascii="標楷體" w:eastAsia="標楷體" w:hAnsi="標楷體" w:hint="eastAsia"/>
          <w:sz w:val="32"/>
          <w:szCs w:val="32"/>
        </w:rPr>
        <w:t>調閱，查其中建議我國應參與「深度去碳路徑計畫」（Deep Decarbonization Pathways Project,下簡稱DDPP）平台，以取得更廣泛深遠的國際知識、資訊與資源，以建構具國際觀、長遠角度之深度減碳轉型方案，但距離該政策建議書之發布已逾</w:t>
      </w:r>
      <w:r>
        <w:rPr>
          <w:rFonts w:ascii="標楷體" w:eastAsia="標楷體" w:hAnsi="標楷體" w:hint="eastAsia"/>
          <w:sz w:val="32"/>
          <w:szCs w:val="32"/>
        </w:rPr>
        <w:t>3</w:t>
      </w:r>
      <w:r w:rsidRPr="00CD7B25">
        <w:rPr>
          <w:rFonts w:ascii="標楷體" w:eastAsia="標楷體" w:hAnsi="標楷體" w:hint="eastAsia"/>
          <w:sz w:val="32"/>
          <w:szCs w:val="32"/>
        </w:rPr>
        <w:t>年，該項建議迄今尚未落實。據查DDPP平台係由聯合國永續發展網絡（Sustainable Development Solutions Network,簡稱SDSN）與可持續發展和國際關係研究所（</w:t>
      </w:r>
      <w:r w:rsidRPr="00067544">
        <w:rPr>
          <w:rFonts w:ascii="標楷體" w:eastAsia="標楷體" w:hAnsi="標楷體" w:hint="eastAsia"/>
          <w:w w:val="80"/>
          <w:sz w:val="32"/>
          <w:szCs w:val="32"/>
        </w:rPr>
        <w:t>The Institute for Sustainable Development and International Relations,</w:t>
      </w:r>
      <w:r w:rsidRPr="00CD7B25">
        <w:rPr>
          <w:rFonts w:ascii="標楷體" w:eastAsia="標楷體" w:hAnsi="標楷體" w:hint="eastAsia"/>
          <w:sz w:val="32"/>
          <w:szCs w:val="32"/>
        </w:rPr>
        <w:t>簡稱IDDRI）於2013年10月所成立，該平台對資料分析工具共享持開放態度，且對會員無國家代表權之要求，對我國可說是目前最佳減碳政策之國際比對與交流平台。根據DDPP之官方網頁，目前已有36個國家之研究機構與科研團隊加入，如我國</w:t>
      </w:r>
      <w:r>
        <w:rPr>
          <w:rFonts w:ascii="標楷體" w:eastAsia="標楷體" w:hAnsi="標楷體" w:hint="eastAsia"/>
          <w:sz w:val="32"/>
          <w:szCs w:val="32"/>
        </w:rPr>
        <w:t>鄰近之中國、日本、韓國均有代表，卻未見我國有任何學術機關加入。</w:t>
      </w:r>
      <w:r w:rsidRPr="00CD7B25">
        <w:rPr>
          <w:rFonts w:ascii="標楷體" w:eastAsia="標楷體" w:hAnsi="標楷體" w:hint="eastAsia"/>
          <w:sz w:val="32"/>
          <w:szCs w:val="32"/>
        </w:rPr>
        <w:t>請中央研究院應依循</w:t>
      </w:r>
      <w:r>
        <w:rPr>
          <w:rFonts w:ascii="標楷體" w:eastAsia="標楷體" w:hAnsi="標楷體" w:hint="eastAsia"/>
          <w:sz w:val="32"/>
          <w:szCs w:val="32"/>
        </w:rPr>
        <w:t>「</w:t>
      </w:r>
      <w:r w:rsidRPr="00CD7B25">
        <w:rPr>
          <w:rFonts w:ascii="標楷體" w:eastAsia="標楷體" w:hAnsi="標楷體" w:hint="eastAsia"/>
          <w:sz w:val="32"/>
          <w:szCs w:val="32"/>
        </w:rPr>
        <w:t>臺灣深度減碳政策建議書</w:t>
      </w:r>
      <w:r>
        <w:rPr>
          <w:rFonts w:ascii="標楷體" w:eastAsia="標楷體" w:hAnsi="標楷體" w:hint="eastAsia"/>
          <w:sz w:val="32"/>
          <w:szCs w:val="32"/>
        </w:rPr>
        <w:t>」</w:t>
      </w:r>
      <w:r w:rsidRPr="00CD7B25">
        <w:rPr>
          <w:rFonts w:ascii="標楷體" w:eastAsia="標楷體" w:hAnsi="標楷體" w:hint="eastAsia"/>
          <w:sz w:val="32"/>
          <w:szCs w:val="32"/>
        </w:rPr>
        <w:t>之建議，評估加入DDPP平台之可行性，俾利取得國際知識、資訊與資源，亦可讓</w:t>
      </w:r>
      <w:r>
        <w:rPr>
          <w:rFonts w:ascii="標楷體" w:eastAsia="標楷體" w:hAnsi="標楷體" w:hint="eastAsia"/>
          <w:sz w:val="32"/>
          <w:szCs w:val="32"/>
        </w:rPr>
        <w:t>國際瞭解我國減碳之科研能力與努力成果，並</w:t>
      </w:r>
      <w:r w:rsidRPr="00CD7B25">
        <w:rPr>
          <w:rFonts w:ascii="標楷體" w:eastAsia="標楷體" w:hAnsi="標楷體" w:hint="eastAsia"/>
          <w:sz w:val="32"/>
          <w:szCs w:val="32"/>
        </w:rPr>
        <w:t>於3個月內</w:t>
      </w:r>
      <w:r>
        <w:rPr>
          <w:rFonts w:ascii="標楷體" w:eastAsia="標楷體" w:hAnsi="標楷體" w:hint="eastAsia"/>
          <w:sz w:val="32"/>
          <w:szCs w:val="32"/>
        </w:rPr>
        <w:t>向</w:t>
      </w:r>
      <w:r w:rsidRPr="00CD7B25">
        <w:rPr>
          <w:rFonts w:ascii="標楷體" w:eastAsia="標楷體" w:hAnsi="標楷體" w:hint="eastAsia"/>
          <w:sz w:val="32"/>
          <w:szCs w:val="32"/>
        </w:rPr>
        <w:t>立法院教育及文化委員會提出書面報告。</w:t>
      </w:r>
      <w:r>
        <w:rPr>
          <w:rFonts w:ascii="標楷體" w:eastAsia="標楷體" w:hAnsi="標楷體" w:hint="eastAsia"/>
          <w:sz w:val="32"/>
          <w:szCs w:val="32"/>
        </w:rPr>
        <w:t>34</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吳思瑤</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w:t>
      </w:r>
      <w:r>
        <w:rPr>
          <w:rFonts w:ascii="標楷體" w:eastAsia="標楷體" w:hAnsi="標楷體" w:hint="eastAsia"/>
          <w:sz w:val="32"/>
          <w:szCs w:val="32"/>
        </w:rPr>
        <w:t>林宜瑾  鄭正鈐</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lastRenderedPageBreak/>
        <w:t>(二十九)</w:t>
      </w:r>
      <w:r w:rsidRPr="00CD7B25">
        <w:rPr>
          <w:rFonts w:ascii="標楷體" w:eastAsia="標楷體" w:hAnsi="標楷體" w:hint="eastAsia"/>
          <w:sz w:val="32"/>
          <w:szCs w:val="32"/>
        </w:rPr>
        <w:t>有</w:t>
      </w:r>
      <w:r>
        <w:rPr>
          <w:rFonts w:ascii="標楷體" w:eastAsia="標楷體" w:hAnsi="標楷體" w:hint="eastAsia"/>
          <w:sz w:val="32"/>
          <w:szCs w:val="32"/>
        </w:rPr>
        <w:t>鑑</w:t>
      </w:r>
      <w:r w:rsidRPr="00CD7B25">
        <w:rPr>
          <w:rFonts w:ascii="標楷體" w:eastAsia="標楷體" w:hAnsi="標楷體" w:hint="eastAsia"/>
          <w:sz w:val="32"/>
          <w:szCs w:val="32"/>
        </w:rPr>
        <w:t>於捷克政府已於2022年11月中旬公告印太戰略政策架構文件</w:t>
      </w:r>
      <w:r>
        <w:rPr>
          <w:rFonts w:ascii="標楷體" w:eastAsia="標楷體" w:hAnsi="標楷體" w:hint="eastAsia"/>
          <w:sz w:val="32"/>
          <w:szCs w:val="32"/>
        </w:rPr>
        <w:t>：</w:t>
      </w:r>
      <w:r w:rsidRPr="00CD7B25">
        <w:rPr>
          <w:rFonts w:ascii="標楷體" w:eastAsia="標楷體" w:hAnsi="標楷體" w:hint="eastAsia"/>
          <w:sz w:val="32"/>
          <w:szCs w:val="32"/>
        </w:rPr>
        <w:t>「捷克共和國與印太地區合作戰略</w:t>
      </w:r>
      <w:r>
        <w:rPr>
          <w:rFonts w:ascii="標楷體" w:eastAsia="標楷體" w:hAnsi="標楷體" w:hint="eastAsia"/>
          <w:sz w:val="32"/>
          <w:szCs w:val="32"/>
        </w:rPr>
        <w:t>—</w:t>
      </w:r>
      <w:r w:rsidRPr="00CD7B25">
        <w:rPr>
          <w:rFonts w:ascii="標楷體" w:eastAsia="標楷體" w:hAnsi="標楷體" w:hint="eastAsia"/>
          <w:sz w:val="32"/>
          <w:szCs w:val="32"/>
        </w:rPr>
        <w:t>比我們想像的更接近」，陳述捷克與印太國家的合作願景，表示將深化與台灣等印太地區民主夥伴的合作往來，明確將台灣定位為捷克在印太地區的主要合作對象，充分展現對台捷關係的高度重視。據查中央研究院與捷克科學院長期保有密切學術合作關係，近年來雙方互動頻繁，2015年捷克科學院亞非中心於中研院歷史語言研究所設置亞非研究所</w:t>
      </w:r>
      <w:r>
        <w:rPr>
          <w:rFonts w:ascii="標楷體" w:eastAsia="標楷體" w:hAnsi="標楷體" w:hint="eastAsia"/>
          <w:sz w:val="32"/>
          <w:szCs w:val="32"/>
        </w:rPr>
        <w:t>台</w:t>
      </w:r>
      <w:r w:rsidRPr="00CD7B25">
        <w:rPr>
          <w:rFonts w:ascii="標楷體" w:eastAsia="標楷體" w:hAnsi="標楷體" w:hint="eastAsia"/>
          <w:sz w:val="32"/>
          <w:szCs w:val="32"/>
        </w:rPr>
        <w:t>北中心，並派駐訪問研究人員；2017年雙方更擴大合作，簽訂學術合作備忘錄。但除捷克之外，據悉國家發展委員會龔主委明鑫於2021年10月率領產官學研組成「中東歐經貿考察團」拜訪斯洛伐克、捷克、立陶宛等</w:t>
      </w:r>
      <w:r>
        <w:rPr>
          <w:rFonts w:ascii="標楷體" w:eastAsia="標楷體" w:hAnsi="標楷體" w:hint="eastAsia"/>
          <w:sz w:val="32"/>
          <w:szCs w:val="32"/>
        </w:rPr>
        <w:t>3</w:t>
      </w:r>
      <w:r w:rsidRPr="00CD7B25">
        <w:rPr>
          <w:rFonts w:ascii="標楷體" w:eastAsia="標楷體" w:hAnsi="標楷體" w:hint="eastAsia"/>
          <w:sz w:val="32"/>
          <w:szCs w:val="32"/>
        </w:rPr>
        <w:t>國，並與上開</w:t>
      </w:r>
      <w:r>
        <w:rPr>
          <w:rFonts w:ascii="標楷體" w:eastAsia="標楷體" w:hAnsi="標楷體" w:hint="eastAsia"/>
          <w:sz w:val="32"/>
          <w:szCs w:val="32"/>
        </w:rPr>
        <w:t>3</w:t>
      </w:r>
      <w:r w:rsidRPr="00CD7B25">
        <w:rPr>
          <w:rFonts w:ascii="標楷體" w:eastAsia="標楷體" w:hAnsi="標楷體" w:hint="eastAsia"/>
          <w:sz w:val="32"/>
          <w:szCs w:val="32"/>
        </w:rPr>
        <w:t>國簽署18項合作備忘錄，包括斯洛伐克7項、捷克5項、立陶宛6項，內容涵括科學園區、太空、電動車、智慧城市、機械、中小企業數位化、觀光、網路安全、半導體、教育科研、生技及金融合作等多元領域，卻未見我國最高學術機關中央研究院之參與，並趁勢與</w:t>
      </w:r>
      <w:r>
        <w:rPr>
          <w:rFonts w:ascii="標楷體" w:eastAsia="標楷體" w:hAnsi="標楷體" w:hint="eastAsia"/>
          <w:sz w:val="32"/>
          <w:szCs w:val="32"/>
        </w:rPr>
        <w:t>斯洛伐克</w:t>
      </w:r>
      <w:r w:rsidRPr="00CD7B25">
        <w:rPr>
          <w:rFonts w:ascii="標楷體" w:eastAsia="標楷體" w:hAnsi="標楷體" w:hint="eastAsia"/>
          <w:sz w:val="32"/>
          <w:szCs w:val="32"/>
        </w:rPr>
        <w:t>、立陶宛之最高學術機關展開學術合作，甚為可惜。在自由民主共享的價值基礎上發展全面合作，實乃</w:t>
      </w:r>
      <w:r>
        <w:rPr>
          <w:rFonts w:ascii="標楷體" w:eastAsia="標楷體" w:hAnsi="標楷體" w:hint="eastAsia"/>
          <w:sz w:val="32"/>
          <w:szCs w:val="32"/>
        </w:rPr>
        <w:t>各界所樂見，為持續與捷克等自由、民主理念相近國家建立夥伴關係，</w:t>
      </w:r>
      <w:r w:rsidRPr="00CD7B25">
        <w:rPr>
          <w:rFonts w:ascii="標楷體" w:eastAsia="標楷體" w:hAnsi="標楷體" w:hint="eastAsia"/>
          <w:sz w:val="32"/>
          <w:szCs w:val="32"/>
        </w:rPr>
        <w:t>請中央研究院應積極參與由行政院相關部會所組成之經貿考察團，俾利未來能在氣候變遷、能源永續、生醫研究、量子電腦、人工智慧、COVID-19等前瞻議題，與各國最高學術機關深化學術交流與合作，並於</w:t>
      </w:r>
      <w:r>
        <w:rPr>
          <w:rFonts w:ascii="標楷體" w:eastAsia="標楷體" w:hAnsi="標楷體" w:hint="eastAsia"/>
          <w:sz w:val="32"/>
          <w:szCs w:val="32"/>
        </w:rPr>
        <w:t>3</w:t>
      </w:r>
      <w:r w:rsidRPr="00CD7B25">
        <w:rPr>
          <w:rFonts w:ascii="標楷體" w:eastAsia="標楷體" w:hAnsi="標楷體" w:hint="eastAsia"/>
          <w:sz w:val="32"/>
          <w:szCs w:val="32"/>
        </w:rPr>
        <w:t>個月內向</w:t>
      </w:r>
      <w:r>
        <w:rPr>
          <w:rFonts w:ascii="標楷體" w:eastAsia="標楷體" w:hAnsi="標楷體" w:hint="eastAsia"/>
          <w:sz w:val="32"/>
          <w:szCs w:val="32"/>
        </w:rPr>
        <w:t>立法院</w:t>
      </w:r>
      <w:r w:rsidRPr="00CD7B25">
        <w:rPr>
          <w:rFonts w:ascii="標楷體" w:eastAsia="標楷體" w:hAnsi="標楷體" w:hint="eastAsia"/>
          <w:sz w:val="32"/>
          <w:szCs w:val="32"/>
        </w:rPr>
        <w:t>教育及文化委員會提出書面報告。</w:t>
      </w:r>
      <w:r>
        <w:rPr>
          <w:rFonts w:ascii="標楷體" w:eastAsia="標楷體" w:hAnsi="標楷體" w:hint="eastAsia"/>
          <w:sz w:val="32"/>
          <w:szCs w:val="32"/>
        </w:rPr>
        <w:t>35</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吳思瑤</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w:t>
      </w:r>
      <w:r>
        <w:rPr>
          <w:rFonts w:ascii="標楷體" w:eastAsia="標楷體" w:hAnsi="標楷體" w:hint="eastAsia"/>
          <w:sz w:val="32"/>
          <w:szCs w:val="32"/>
        </w:rPr>
        <w:t>林宜瑾  鄭正鈐</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t>(三十)</w:t>
      </w:r>
      <w:r w:rsidRPr="00CD7B25">
        <w:rPr>
          <w:rFonts w:ascii="標楷體" w:eastAsia="標楷體" w:hAnsi="標楷體" w:hint="eastAsia"/>
          <w:sz w:val="32"/>
          <w:szCs w:val="32"/>
        </w:rPr>
        <w:t>2021</w:t>
      </w:r>
      <w:r>
        <w:rPr>
          <w:rFonts w:ascii="標楷體" w:eastAsia="標楷體" w:hAnsi="標楷體" w:hint="eastAsia"/>
          <w:sz w:val="32"/>
          <w:szCs w:val="32"/>
        </w:rPr>
        <w:t>年</w:t>
      </w:r>
      <w:r w:rsidRPr="00CD7B25">
        <w:rPr>
          <w:rFonts w:ascii="標楷體" w:eastAsia="標楷體" w:hAnsi="標楷體" w:hint="eastAsia"/>
          <w:sz w:val="32"/>
          <w:szCs w:val="32"/>
        </w:rPr>
        <w:t>中</w:t>
      </w:r>
      <w:r>
        <w:rPr>
          <w:rFonts w:ascii="標楷體" w:eastAsia="標楷體" w:hAnsi="標楷體" w:hint="eastAsia"/>
          <w:sz w:val="32"/>
          <w:szCs w:val="32"/>
        </w:rPr>
        <w:t>央</w:t>
      </w:r>
      <w:r w:rsidRPr="00CD7B25">
        <w:rPr>
          <w:rFonts w:ascii="標楷體" w:eastAsia="標楷體" w:hAnsi="標楷體" w:hint="eastAsia"/>
          <w:sz w:val="32"/>
          <w:szCs w:val="32"/>
        </w:rPr>
        <w:t>研</w:t>
      </w:r>
      <w:r>
        <w:rPr>
          <w:rFonts w:ascii="標楷體" w:eastAsia="標楷體" w:hAnsi="標楷體" w:hint="eastAsia"/>
          <w:sz w:val="32"/>
          <w:szCs w:val="32"/>
        </w:rPr>
        <w:t>究</w:t>
      </w:r>
      <w:r w:rsidRPr="00CD7B25">
        <w:rPr>
          <w:rFonts w:ascii="標楷體" w:eastAsia="標楷體" w:hAnsi="標楷體" w:hint="eastAsia"/>
          <w:sz w:val="32"/>
          <w:szCs w:val="32"/>
        </w:rPr>
        <w:t>院P3實驗室發生實驗人員染疫事件，中研院雖提出通盤檢討，包含籌組生物安全辦公室、修訂相關</w:t>
      </w:r>
      <w:r w:rsidRPr="00CD7B25">
        <w:rPr>
          <w:rFonts w:ascii="標楷體" w:eastAsia="標楷體" w:hAnsi="標楷體" w:hint="eastAsia"/>
          <w:sz w:val="32"/>
          <w:szCs w:val="32"/>
        </w:rPr>
        <w:lastRenderedPageBreak/>
        <w:t>作業辦法、完善災害通報</w:t>
      </w:r>
      <w:r>
        <w:rPr>
          <w:rFonts w:ascii="標楷體" w:eastAsia="標楷體" w:hAnsi="標楷體" w:hint="eastAsia"/>
          <w:sz w:val="32"/>
          <w:szCs w:val="32"/>
        </w:rPr>
        <w:t>流程、改善實驗室相關設備等，以確保未來實驗場域安全無虞，然經查</w:t>
      </w:r>
      <w:r w:rsidRPr="00CD7B25">
        <w:rPr>
          <w:rFonts w:ascii="標楷體" w:eastAsia="標楷體" w:hAnsi="標楷體" w:hint="eastAsia"/>
          <w:sz w:val="32"/>
          <w:szCs w:val="32"/>
        </w:rPr>
        <w:t>事發迄今已逾</w:t>
      </w:r>
      <w:r>
        <w:rPr>
          <w:rFonts w:ascii="標楷體" w:eastAsia="標楷體" w:hAnsi="標楷體" w:hint="eastAsia"/>
          <w:sz w:val="32"/>
          <w:szCs w:val="32"/>
        </w:rPr>
        <w:t>1</w:t>
      </w:r>
      <w:r w:rsidRPr="00CD7B25">
        <w:rPr>
          <w:rFonts w:ascii="標楷體" w:eastAsia="標楷體" w:hAnsi="標楷體" w:hint="eastAsia"/>
          <w:sz w:val="32"/>
          <w:szCs w:val="32"/>
        </w:rPr>
        <w:t>年，實驗室竟尚未重啟。中央研究院應書面說明未重啟原因及解方、後續重新啟用期程規劃，</w:t>
      </w:r>
      <w:r>
        <w:rPr>
          <w:rFonts w:ascii="標楷體" w:eastAsia="標楷體" w:hAnsi="標楷體" w:hint="eastAsia"/>
          <w:sz w:val="32"/>
          <w:szCs w:val="32"/>
        </w:rPr>
        <w:t>並</w:t>
      </w:r>
      <w:r w:rsidRPr="00CD7B25">
        <w:rPr>
          <w:rFonts w:ascii="標楷體" w:eastAsia="標楷體" w:hAnsi="標楷體" w:hint="eastAsia"/>
          <w:sz w:val="32"/>
          <w:szCs w:val="32"/>
        </w:rPr>
        <w:t>於3個月內</w:t>
      </w:r>
      <w:r>
        <w:rPr>
          <w:rFonts w:ascii="標楷體" w:eastAsia="標楷體" w:hAnsi="標楷體" w:hint="eastAsia"/>
          <w:sz w:val="32"/>
          <w:szCs w:val="32"/>
        </w:rPr>
        <w:t>向</w:t>
      </w:r>
      <w:r w:rsidRPr="00CD7B25">
        <w:rPr>
          <w:rFonts w:ascii="標楷體" w:eastAsia="標楷體" w:hAnsi="標楷體" w:hint="eastAsia"/>
          <w:sz w:val="32"/>
          <w:szCs w:val="32"/>
        </w:rPr>
        <w:t>立法院教育及文化委員會提出書面報告。</w:t>
      </w:r>
      <w:r>
        <w:rPr>
          <w:rFonts w:ascii="標楷體" w:eastAsia="標楷體" w:hAnsi="標楷體" w:hint="eastAsia"/>
          <w:sz w:val="32"/>
          <w:szCs w:val="32"/>
        </w:rPr>
        <w:t>36</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范  雲</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w:t>
      </w:r>
      <w:r>
        <w:rPr>
          <w:rFonts w:ascii="標楷體" w:eastAsia="標楷體" w:hAnsi="標楷體" w:hint="eastAsia"/>
          <w:sz w:val="32"/>
          <w:szCs w:val="32"/>
        </w:rPr>
        <w:t>黃國書  陳秀寳</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t>(三十一)</w:t>
      </w:r>
      <w:r w:rsidRPr="00CD7B25">
        <w:rPr>
          <w:rFonts w:ascii="標楷體" w:eastAsia="標楷體" w:hAnsi="標楷體" w:hint="eastAsia"/>
          <w:sz w:val="32"/>
          <w:szCs w:val="32"/>
        </w:rPr>
        <w:t>俄羅斯入侵烏克蘭，造成學術工作者被迫離開。中</w:t>
      </w:r>
      <w:r>
        <w:rPr>
          <w:rFonts w:ascii="標楷體" w:eastAsia="標楷體" w:hAnsi="標楷體" w:hint="eastAsia"/>
          <w:sz w:val="32"/>
          <w:szCs w:val="32"/>
        </w:rPr>
        <w:t>央</w:t>
      </w:r>
      <w:r w:rsidRPr="00CD7B25">
        <w:rPr>
          <w:rFonts w:ascii="標楷體" w:eastAsia="標楷體" w:hAnsi="標楷體" w:hint="eastAsia"/>
          <w:sz w:val="32"/>
          <w:szCs w:val="32"/>
        </w:rPr>
        <w:t>研</w:t>
      </w:r>
      <w:r>
        <w:rPr>
          <w:rFonts w:ascii="標楷體" w:eastAsia="標楷體" w:hAnsi="標楷體" w:hint="eastAsia"/>
          <w:sz w:val="32"/>
          <w:szCs w:val="32"/>
        </w:rPr>
        <w:t>究</w:t>
      </w:r>
      <w:r w:rsidRPr="00CD7B25">
        <w:rPr>
          <w:rFonts w:ascii="標楷體" w:eastAsia="標楷體" w:hAnsi="標楷體" w:hint="eastAsia"/>
          <w:sz w:val="32"/>
          <w:szCs w:val="32"/>
        </w:rPr>
        <w:t>院為以實際行動援助烏克蘭，於111年3月16日公布「烏克蘭學人獎學金計畫」(Taiwan Scholarships for Ukrainian Students and Scholars)，提供來回機票、3個月之住宿及生活費等補助，獎助烏克蘭學者及學生至該院進行短期訪問與實習。具博士學位之學者比照國</w:t>
      </w:r>
      <w:r>
        <w:rPr>
          <w:rFonts w:ascii="標楷體" w:eastAsia="標楷體" w:hAnsi="標楷體" w:hint="eastAsia"/>
          <w:sz w:val="32"/>
          <w:szCs w:val="32"/>
        </w:rPr>
        <w:t>家</w:t>
      </w:r>
      <w:r w:rsidRPr="00CD7B25">
        <w:rPr>
          <w:rFonts w:ascii="標楷體" w:eastAsia="標楷體" w:hAnsi="標楷體" w:hint="eastAsia"/>
          <w:sz w:val="32"/>
          <w:szCs w:val="32"/>
        </w:rPr>
        <w:t>科</w:t>
      </w:r>
      <w:r>
        <w:rPr>
          <w:rFonts w:ascii="標楷體" w:eastAsia="標楷體" w:hAnsi="標楷體" w:hint="eastAsia"/>
          <w:sz w:val="32"/>
          <w:szCs w:val="32"/>
        </w:rPr>
        <w:t>學及技術委員</w:t>
      </w:r>
      <w:r w:rsidRPr="00CD7B25">
        <w:rPr>
          <w:rFonts w:ascii="標楷體" w:eastAsia="標楷體" w:hAnsi="標楷體" w:hint="eastAsia"/>
          <w:sz w:val="32"/>
          <w:szCs w:val="32"/>
        </w:rPr>
        <w:t>會「補助延攬客座科技人才作業要點」支給規定，依學者職位提供每月不低於6萬6,950元之生活費，其經費由</w:t>
      </w:r>
      <w:r>
        <w:rPr>
          <w:rFonts w:ascii="標楷體" w:eastAsia="標楷體" w:hAnsi="標楷體" w:hint="eastAsia"/>
          <w:sz w:val="32"/>
          <w:szCs w:val="32"/>
        </w:rPr>
        <w:t>「一般學術研究及評議」</w:t>
      </w:r>
      <w:r w:rsidRPr="00CD7B25">
        <w:rPr>
          <w:rFonts w:ascii="標楷體" w:eastAsia="標楷體" w:hAnsi="標楷體" w:hint="eastAsia"/>
          <w:sz w:val="32"/>
          <w:szCs w:val="32"/>
        </w:rPr>
        <w:t>項下「學術研究與人才培育」</w:t>
      </w:r>
      <w:r>
        <w:rPr>
          <w:rFonts w:ascii="標楷體" w:eastAsia="標楷體" w:hAnsi="標楷體" w:hint="eastAsia"/>
          <w:sz w:val="32"/>
          <w:szCs w:val="32"/>
        </w:rPr>
        <w:t>中「學術規劃及交流合作」之</w:t>
      </w:r>
      <w:r w:rsidRPr="00CD7B25">
        <w:rPr>
          <w:rFonts w:ascii="標楷體" w:eastAsia="標楷體" w:hAnsi="標楷體" w:hint="eastAsia"/>
          <w:sz w:val="32"/>
          <w:szCs w:val="32"/>
        </w:rPr>
        <w:t>「參加國際組織及出席國際會議」及「與國內外學術研究機構合辦學程及研究進修計畫」業務費支應。然其他國家如美國國家科學院、奥地利科學院等發起類似計畫，協助重新安置烏克蘭學者，使其可在波蘭或鄰近國家工作。且波蘭與鄰近國家如</w:t>
      </w:r>
      <w:r>
        <w:rPr>
          <w:rFonts w:ascii="標楷體" w:eastAsia="標楷體" w:hAnsi="標楷體" w:hint="eastAsia"/>
          <w:sz w:val="32"/>
          <w:szCs w:val="32"/>
        </w:rPr>
        <w:t>斯洛伐克</w:t>
      </w:r>
      <w:r w:rsidRPr="00CD7B25">
        <w:rPr>
          <w:rFonts w:ascii="標楷體" w:eastAsia="標楷體" w:hAnsi="標楷體" w:hint="eastAsia"/>
          <w:sz w:val="32"/>
          <w:szCs w:val="32"/>
        </w:rPr>
        <w:t>、羅馬尼亞、摩爾多瓦等國均對烏克蘭避難民眾敞開大門，歐盟並要求會員國提供烏克蘭難民居住權及工作</w:t>
      </w:r>
      <w:r w:rsidRPr="00CD7B25">
        <w:rPr>
          <w:rFonts w:ascii="標楷體" w:eastAsia="標楷體" w:hAnsi="標楷體"/>
          <w:sz w:val="32"/>
          <w:szCs w:val="32"/>
        </w:rPr>
        <w:t>3</w:t>
      </w:r>
      <w:r w:rsidRPr="00CD7B25">
        <w:rPr>
          <w:rFonts w:ascii="標楷體" w:eastAsia="標楷體" w:hAnsi="標楷體" w:hint="eastAsia"/>
          <w:sz w:val="32"/>
          <w:szCs w:val="32"/>
        </w:rPr>
        <w:t>年，並給予食物、醫療照顧與社會福利金。為避免國際學者及學生短期來臺後即返回，宜加強研謀延攬優秀學者及學生並提供留臺誘因，以符</w:t>
      </w:r>
      <w:r>
        <w:rPr>
          <w:rFonts w:ascii="標楷體" w:eastAsia="標楷體" w:hAnsi="標楷體" w:hint="eastAsia"/>
          <w:sz w:val="32"/>
          <w:szCs w:val="32"/>
        </w:rPr>
        <w:t>中央研究院</w:t>
      </w:r>
      <w:r w:rsidRPr="00CD7B25">
        <w:rPr>
          <w:rFonts w:ascii="標楷體" w:eastAsia="標楷體" w:hAnsi="標楷體" w:hint="eastAsia"/>
          <w:sz w:val="32"/>
          <w:szCs w:val="32"/>
        </w:rPr>
        <w:t>藉提供獎助學金，達到研究人才，厚植國家研究實力之目的。爰此，請中央研究院針對延攬人才加強留</w:t>
      </w:r>
      <w:r>
        <w:rPr>
          <w:rFonts w:ascii="標楷體" w:eastAsia="標楷體" w:hAnsi="標楷體" w:hint="eastAsia"/>
          <w:sz w:val="32"/>
          <w:szCs w:val="32"/>
        </w:rPr>
        <w:t>臺</w:t>
      </w:r>
      <w:r w:rsidRPr="00CD7B25">
        <w:rPr>
          <w:rFonts w:ascii="標楷體" w:eastAsia="標楷體" w:hAnsi="標楷體" w:hint="eastAsia"/>
          <w:sz w:val="32"/>
          <w:szCs w:val="32"/>
        </w:rPr>
        <w:t>誘因加以研議，並於</w:t>
      </w:r>
      <w:r>
        <w:rPr>
          <w:rFonts w:ascii="標楷體" w:eastAsia="標楷體" w:hAnsi="標楷體" w:hint="eastAsia"/>
          <w:sz w:val="32"/>
          <w:szCs w:val="32"/>
        </w:rPr>
        <w:t>3</w:t>
      </w:r>
      <w:r w:rsidRPr="00CD7B25">
        <w:rPr>
          <w:rFonts w:ascii="標楷體" w:eastAsia="標楷體" w:hAnsi="標楷體" w:hint="eastAsia"/>
          <w:sz w:val="32"/>
          <w:szCs w:val="32"/>
        </w:rPr>
        <w:t>個月內向</w:t>
      </w:r>
      <w:r>
        <w:rPr>
          <w:rFonts w:ascii="標楷體" w:eastAsia="標楷體" w:hAnsi="標楷體" w:hint="eastAsia"/>
          <w:sz w:val="32"/>
          <w:szCs w:val="32"/>
        </w:rPr>
        <w:t>立法院</w:t>
      </w:r>
      <w:r w:rsidRPr="00CD7B25">
        <w:rPr>
          <w:rFonts w:ascii="標楷體" w:eastAsia="標楷體" w:hAnsi="標楷體" w:hint="eastAsia"/>
          <w:sz w:val="32"/>
          <w:szCs w:val="32"/>
        </w:rPr>
        <w:t>教育及文化委員會提出書面</w:t>
      </w:r>
      <w:r w:rsidRPr="00CD7B25">
        <w:rPr>
          <w:rFonts w:ascii="標楷體" w:eastAsia="標楷體" w:hAnsi="標楷體" w:hint="eastAsia"/>
          <w:sz w:val="32"/>
          <w:szCs w:val="32"/>
        </w:rPr>
        <w:lastRenderedPageBreak/>
        <w:t>報告。</w:t>
      </w:r>
      <w:r>
        <w:rPr>
          <w:rFonts w:ascii="標楷體" w:eastAsia="標楷體" w:hAnsi="標楷體" w:hint="eastAsia"/>
          <w:sz w:val="32"/>
          <w:szCs w:val="32"/>
        </w:rPr>
        <w:t>40</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鄭正鈐</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w:t>
      </w:r>
      <w:r>
        <w:rPr>
          <w:rFonts w:ascii="標楷體" w:eastAsia="標楷體" w:hAnsi="標楷體" w:hint="eastAsia"/>
          <w:sz w:val="32"/>
          <w:szCs w:val="32"/>
        </w:rPr>
        <w:t>陳秀寳  黃國書</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sidRPr="006C06AB">
        <w:rPr>
          <w:rFonts w:ascii="標楷體" w:eastAsia="標楷體" w:hAnsi="標楷體" w:hint="eastAsia"/>
          <w:sz w:val="32"/>
          <w:szCs w:val="32"/>
        </w:rPr>
        <w:t>(三十二)112年度中央研究院「一般學術研究及評議」項下「學術研究與人才培育」中「人才培育及延攬計畫」之「2.子計畫2：與國內大學合作培育國際研究生計畫」預算編列1億4</w:t>
      </w:r>
      <w:r>
        <w:rPr>
          <w:rFonts w:ascii="標楷體" w:eastAsia="標楷體" w:hAnsi="標楷體"/>
          <w:sz w:val="32"/>
          <w:szCs w:val="32"/>
        </w:rPr>
        <w:t>,</w:t>
      </w:r>
      <w:r w:rsidRPr="006C06AB">
        <w:rPr>
          <w:rFonts w:ascii="標楷體" w:eastAsia="標楷體" w:hAnsi="標楷體" w:hint="eastAsia"/>
          <w:sz w:val="32"/>
          <w:szCs w:val="32"/>
        </w:rPr>
        <w:t>100萬元。</w:t>
      </w:r>
      <w:r w:rsidRPr="001E3538">
        <w:rPr>
          <w:rFonts w:ascii="標楷體" w:eastAsia="標楷體" w:hAnsi="標楷體" w:hint="eastAsia"/>
          <w:sz w:val="32"/>
          <w:szCs w:val="32"/>
        </w:rPr>
        <w:t>經查，因烏俄戰爭爆發，以致烏克蘭諸多學術工作者及學生被迫離開，中研院於111年公布烏克蘭學人獎學金計畫，提供來回機票及3個月之住宿及生活費等補助，獎助烏克蘭學者及學生至該院進行短期訪問與實習。據中研院提供資料顯示，該計畫至</w:t>
      </w:r>
      <w:r>
        <w:rPr>
          <w:rFonts w:ascii="標楷體" w:eastAsia="標楷體" w:hAnsi="標楷體" w:hint="eastAsia"/>
          <w:sz w:val="32"/>
          <w:szCs w:val="32"/>
        </w:rPr>
        <w:t>111</w:t>
      </w:r>
      <w:r w:rsidRPr="001E3538">
        <w:rPr>
          <w:rFonts w:ascii="標楷體" w:eastAsia="標楷體" w:hAnsi="標楷體" w:hint="eastAsia"/>
          <w:sz w:val="32"/>
          <w:szCs w:val="32"/>
        </w:rPr>
        <w:t>年8月，已接納15位學生至中研院實習，並轉介35位學生至合作大學，然於中研院實習之學生，4位成為我國大學學生，7位則申請延長實習，其餘3位於實習期滿後即返回烏克蘭，1位轉赴德國任職，共4位烏克蘭實習生未留</w:t>
      </w:r>
      <w:r>
        <w:rPr>
          <w:rFonts w:ascii="標楷體" w:eastAsia="標楷體" w:hAnsi="標楷體" w:hint="eastAsia"/>
          <w:sz w:val="32"/>
          <w:szCs w:val="32"/>
        </w:rPr>
        <w:t>臺</w:t>
      </w:r>
      <w:r w:rsidRPr="001E3538">
        <w:rPr>
          <w:rFonts w:ascii="標楷體" w:eastAsia="標楷體" w:hAnsi="標楷體" w:hint="eastAsia"/>
          <w:sz w:val="32"/>
          <w:szCs w:val="32"/>
        </w:rPr>
        <w:t>，顯見當前對烏克蘭學生留</w:t>
      </w:r>
      <w:r>
        <w:rPr>
          <w:rFonts w:ascii="標楷體" w:eastAsia="標楷體" w:hAnsi="標楷體" w:hint="eastAsia"/>
          <w:sz w:val="32"/>
          <w:szCs w:val="32"/>
        </w:rPr>
        <w:t>臺</w:t>
      </w:r>
      <w:r w:rsidRPr="001E3538">
        <w:rPr>
          <w:rFonts w:ascii="標楷體" w:eastAsia="標楷體" w:hAnsi="標楷體" w:hint="eastAsia"/>
          <w:sz w:val="32"/>
          <w:szCs w:val="32"/>
        </w:rPr>
        <w:t>誘因恐有不足之處，為加強我國延攬優秀學生留</w:t>
      </w:r>
      <w:r>
        <w:rPr>
          <w:rFonts w:ascii="標楷體" w:eastAsia="標楷體" w:hAnsi="標楷體" w:hint="eastAsia"/>
          <w:sz w:val="32"/>
          <w:szCs w:val="32"/>
        </w:rPr>
        <w:t>臺</w:t>
      </w:r>
      <w:r w:rsidRPr="001E3538">
        <w:rPr>
          <w:rFonts w:ascii="標楷體" w:eastAsia="標楷體" w:hAnsi="標楷體" w:hint="eastAsia"/>
          <w:sz w:val="32"/>
          <w:szCs w:val="32"/>
        </w:rPr>
        <w:t>發展，達成厚植國家研究實力之目的，中</w:t>
      </w:r>
      <w:r>
        <w:rPr>
          <w:rFonts w:ascii="標楷體" w:eastAsia="標楷體" w:hAnsi="標楷體" w:hint="eastAsia"/>
          <w:sz w:val="32"/>
          <w:szCs w:val="32"/>
        </w:rPr>
        <w:t>央</w:t>
      </w:r>
      <w:r w:rsidRPr="001E3538">
        <w:rPr>
          <w:rFonts w:ascii="標楷體" w:eastAsia="標楷體" w:hAnsi="標楷體" w:hint="eastAsia"/>
          <w:sz w:val="32"/>
          <w:szCs w:val="32"/>
        </w:rPr>
        <w:t>研</w:t>
      </w:r>
      <w:r>
        <w:rPr>
          <w:rFonts w:ascii="標楷體" w:eastAsia="標楷體" w:hAnsi="標楷體" w:hint="eastAsia"/>
          <w:sz w:val="32"/>
          <w:szCs w:val="32"/>
        </w:rPr>
        <w:t>究</w:t>
      </w:r>
      <w:r w:rsidRPr="001E3538">
        <w:rPr>
          <w:rFonts w:ascii="標楷體" w:eastAsia="標楷體" w:hAnsi="標楷體" w:hint="eastAsia"/>
          <w:sz w:val="32"/>
          <w:szCs w:val="32"/>
        </w:rPr>
        <w:t>院應重新檢視留</w:t>
      </w:r>
      <w:r>
        <w:rPr>
          <w:rFonts w:ascii="標楷體" w:eastAsia="標楷體" w:hAnsi="標楷體" w:hint="eastAsia"/>
          <w:sz w:val="32"/>
          <w:szCs w:val="32"/>
        </w:rPr>
        <w:t>臺</w:t>
      </w:r>
      <w:r w:rsidRPr="001E3538">
        <w:rPr>
          <w:rFonts w:ascii="標楷體" w:eastAsia="標楷體" w:hAnsi="標楷體" w:hint="eastAsia"/>
          <w:sz w:val="32"/>
          <w:szCs w:val="32"/>
        </w:rPr>
        <w:t>誘因並改善當前之計畫</w:t>
      </w:r>
      <w:r>
        <w:rPr>
          <w:rFonts w:ascii="標楷體" w:eastAsia="標楷體" w:hAnsi="標楷體" w:hint="eastAsia"/>
          <w:sz w:val="32"/>
          <w:szCs w:val="32"/>
        </w:rPr>
        <w:t>，並</w:t>
      </w:r>
      <w:r w:rsidRPr="001E3538">
        <w:rPr>
          <w:rFonts w:ascii="標楷體" w:eastAsia="標楷體" w:hAnsi="標楷體" w:hint="eastAsia"/>
          <w:sz w:val="32"/>
          <w:szCs w:val="32"/>
        </w:rPr>
        <w:t>於</w:t>
      </w:r>
      <w:r>
        <w:rPr>
          <w:rFonts w:ascii="標楷體" w:eastAsia="標楷體" w:hAnsi="標楷體" w:hint="eastAsia"/>
          <w:sz w:val="32"/>
          <w:szCs w:val="32"/>
        </w:rPr>
        <w:t>3</w:t>
      </w:r>
      <w:r w:rsidRPr="001E3538">
        <w:rPr>
          <w:rFonts w:ascii="標楷體" w:eastAsia="標楷體" w:hAnsi="標楷體" w:hint="eastAsia"/>
          <w:sz w:val="32"/>
          <w:szCs w:val="32"/>
        </w:rPr>
        <w:t>個月內向</w:t>
      </w:r>
      <w:r>
        <w:rPr>
          <w:rFonts w:ascii="標楷體" w:eastAsia="標楷體" w:hAnsi="標楷體" w:hint="eastAsia"/>
          <w:sz w:val="32"/>
          <w:szCs w:val="32"/>
        </w:rPr>
        <w:t>立法院</w:t>
      </w:r>
      <w:r w:rsidRPr="001E3538">
        <w:rPr>
          <w:rFonts w:ascii="標楷體" w:eastAsia="標楷體" w:hAnsi="標楷體" w:hint="eastAsia"/>
          <w:sz w:val="32"/>
          <w:szCs w:val="32"/>
        </w:rPr>
        <w:t>教育及文化委員會提出書面報告。</w:t>
      </w:r>
      <w:r>
        <w:rPr>
          <w:rFonts w:ascii="標楷體" w:eastAsia="標楷體" w:hAnsi="標楷體" w:hint="eastAsia"/>
          <w:sz w:val="32"/>
          <w:szCs w:val="32"/>
        </w:rPr>
        <w:t>43</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萬美玲</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w:t>
      </w:r>
      <w:r>
        <w:rPr>
          <w:rFonts w:ascii="標楷體" w:eastAsia="標楷體" w:hAnsi="標楷體" w:hint="eastAsia"/>
          <w:sz w:val="32"/>
          <w:szCs w:val="32"/>
        </w:rPr>
        <w:t>黃國書  陳秀寳  鄭正鈐</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t>(三十三)中央研究院</w:t>
      </w:r>
      <w:r w:rsidRPr="001E3538">
        <w:rPr>
          <w:rFonts w:ascii="標楷體" w:eastAsia="標楷體" w:hAnsi="標楷體" w:hint="eastAsia"/>
          <w:sz w:val="32"/>
          <w:szCs w:val="32"/>
        </w:rPr>
        <w:t>迄111年8月已接納15位學生到院實習，並轉介35位學生至合作大學，預計多數學生會繼續留在國內銜接學位，惟其中於該院實習之15位學生，其中4位成為國內大學之學生，7位則申請延長實習，其餘有3位於3個月實習期滿後返回烏克蘭及1位轉赴德國任職，顯示學者及學生留臺誘因恐有不足。請中央研究院針對延攬人才加強留</w:t>
      </w:r>
      <w:r>
        <w:rPr>
          <w:rFonts w:ascii="標楷體" w:eastAsia="標楷體" w:hAnsi="標楷體" w:hint="eastAsia"/>
          <w:sz w:val="32"/>
          <w:szCs w:val="32"/>
        </w:rPr>
        <w:t>臺</w:t>
      </w:r>
      <w:r w:rsidRPr="001E3538">
        <w:rPr>
          <w:rFonts w:ascii="標楷體" w:eastAsia="標楷體" w:hAnsi="標楷體" w:hint="eastAsia"/>
          <w:sz w:val="32"/>
          <w:szCs w:val="32"/>
        </w:rPr>
        <w:t>誘因，並於</w:t>
      </w:r>
      <w:r>
        <w:rPr>
          <w:rFonts w:ascii="標楷體" w:eastAsia="標楷體" w:hAnsi="標楷體" w:hint="eastAsia"/>
          <w:sz w:val="32"/>
          <w:szCs w:val="32"/>
        </w:rPr>
        <w:t>3</w:t>
      </w:r>
      <w:r w:rsidRPr="001E3538">
        <w:rPr>
          <w:rFonts w:ascii="標楷體" w:eastAsia="標楷體" w:hAnsi="標楷體" w:hint="eastAsia"/>
          <w:sz w:val="32"/>
          <w:szCs w:val="32"/>
        </w:rPr>
        <w:t>個月內向</w:t>
      </w:r>
      <w:r>
        <w:rPr>
          <w:rFonts w:ascii="標楷體" w:eastAsia="標楷體" w:hAnsi="標楷體" w:hint="eastAsia"/>
          <w:sz w:val="32"/>
          <w:szCs w:val="32"/>
        </w:rPr>
        <w:t>立法院</w:t>
      </w:r>
      <w:r w:rsidRPr="001E3538">
        <w:rPr>
          <w:rFonts w:ascii="標楷體" w:eastAsia="標楷體" w:hAnsi="標楷體" w:hint="eastAsia"/>
          <w:sz w:val="32"/>
          <w:szCs w:val="32"/>
        </w:rPr>
        <w:t>教育及文化委員會提出書面報</w:t>
      </w:r>
      <w:r w:rsidRPr="001E3538">
        <w:rPr>
          <w:rFonts w:ascii="標楷體" w:eastAsia="標楷體" w:hAnsi="標楷體" w:hint="eastAsia"/>
          <w:sz w:val="32"/>
          <w:szCs w:val="32"/>
        </w:rPr>
        <w:lastRenderedPageBreak/>
        <w:t>告。</w:t>
      </w:r>
      <w:r>
        <w:rPr>
          <w:rFonts w:ascii="標楷體" w:eastAsia="標楷體" w:hAnsi="標楷體" w:hint="eastAsia"/>
          <w:sz w:val="32"/>
          <w:szCs w:val="32"/>
        </w:rPr>
        <w:t>44</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鄭正鈐</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w:t>
      </w:r>
      <w:r>
        <w:rPr>
          <w:rFonts w:ascii="標楷體" w:eastAsia="標楷體" w:hAnsi="標楷體" w:hint="eastAsia"/>
          <w:sz w:val="32"/>
          <w:szCs w:val="32"/>
        </w:rPr>
        <w:t>陳秀寳  黃國書</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t>(三十四)</w:t>
      </w:r>
      <w:r w:rsidRPr="001E3538">
        <w:rPr>
          <w:rFonts w:ascii="標楷體" w:eastAsia="標楷體" w:hAnsi="標楷體" w:hint="eastAsia"/>
          <w:sz w:val="32"/>
          <w:szCs w:val="32"/>
        </w:rPr>
        <w:t>根據衛生福利部檢送中央流行疫情指揮中心之「中央研究院基因體研究中心ABSL-3實驗室人員感染COVID-19事件調查報告」指出，2021年12月9日所公布COVID-19本土案例l例，個案曾任中央研究院實驗人員，經指揮中心釐清感染來源，查證有下列情況：</w:t>
      </w:r>
      <w:r>
        <w:rPr>
          <w:rFonts w:ascii="標楷體" w:eastAsia="標楷體" w:hAnsi="標楷體" w:hint="eastAsia"/>
          <w:sz w:val="32"/>
          <w:szCs w:val="32"/>
        </w:rPr>
        <w:t>1.</w:t>
      </w:r>
      <w:r w:rsidRPr="001E3538">
        <w:rPr>
          <w:rFonts w:ascii="標楷體" w:eastAsia="標楷體" w:hAnsi="標楷體" w:hint="eastAsia"/>
          <w:sz w:val="32"/>
          <w:szCs w:val="32"/>
        </w:rPr>
        <w:t>該案感染之病毒核酸序列與</w:t>
      </w:r>
      <w:r>
        <w:rPr>
          <w:rFonts w:ascii="標楷體" w:eastAsia="標楷體" w:hAnsi="標楷體" w:hint="eastAsia"/>
          <w:sz w:val="32"/>
          <w:szCs w:val="32"/>
        </w:rPr>
        <w:t>衛生福利部</w:t>
      </w:r>
      <w:r w:rsidRPr="001E3538">
        <w:rPr>
          <w:rFonts w:ascii="標楷體" w:eastAsia="標楷體" w:hAnsi="標楷體" w:hint="eastAsia"/>
          <w:sz w:val="32"/>
          <w:szCs w:val="32"/>
        </w:rPr>
        <w:t>疾</w:t>
      </w:r>
      <w:r>
        <w:rPr>
          <w:rFonts w:ascii="標楷體" w:eastAsia="標楷體" w:hAnsi="標楷體" w:hint="eastAsia"/>
          <w:sz w:val="32"/>
          <w:szCs w:val="32"/>
        </w:rPr>
        <w:t>病</w:t>
      </w:r>
      <w:r w:rsidRPr="001E3538">
        <w:rPr>
          <w:rFonts w:ascii="標楷體" w:eastAsia="標楷體" w:hAnsi="標楷體" w:hint="eastAsia"/>
          <w:sz w:val="32"/>
          <w:szCs w:val="32"/>
        </w:rPr>
        <w:t>管</w:t>
      </w:r>
      <w:r>
        <w:rPr>
          <w:rFonts w:ascii="標楷體" w:eastAsia="標楷體" w:hAnsi="標楷體" w:hint="eastAsia"/>
          <w:sz w:val="32"/>
          <w:szCs w:val="32"/>
        </w:rPr>
        <w:t>制</w:t>
      </w:r>
      <w:r w:rsidRPr="001E3538">
        <w:rPr>
          <w:rFonts w:ascii="標楷體" w:eastAsia="標楷體" w:hAnsi="標楷體" w:hint="eastAsia"/>
          <w:sz w:val="32"/>
          <w:szCs w:val="32"/>
        </w:rPr>
        <w:t>署分讓予中</w:t>
      </w:r>
      <w:r>
        <w:rPr>
          <w:rFonts w:ascii="標楷體" w:eastAsia="標楷體" w:hAnsi="標楷體" w:hint="eastAsia"/>
          <w:sz w:val="32"/>
          <w:szCs w:val="32"/>
        </w:rPr>
        <w:t>央</w:t>
      </w:r>
      <w:r w:rsidRPr="001E3538">
        <w:rPr>
          <w:rFonts w:ascii="標楷體" w:eastAsia="標楷體" w:hAnsi="標楷體" w:hint="eastAsia"/>
          <w:sz w:val="32"/>
          <w:szCs w:val="32"/>
        </w:rPr>
        <w:t>研</w:t>
      </w:r>
      <w:r>
        <w:rPr>
          <w:rFonts w:ascii="標楷體" w:eastAsia="標楷體" w:hAnsi="標楷體" w:hint="eastAsia"/>
          <w:sz w:val="32"/>
          <w:szCs w:val="32"/>
        </w:rPr>
        <w:t>究</w:t>
      </w:r>
      <w:r w:rsidRPr="001E3538">
        <w:rPr>
          <w:rFonts w:ascii="標楷體" w:eastAsia="標楷體" w:hAnsi="標楷體" w:hint="eastAsia"/>
          <w:sz w:val="32"/>
          <w:szCs w:val="32"/>
        </w:rPr>
        <w:t>院病毒株序列最為接近</w:t>
      </w:r>
      <w:r>
        <w:rPr>
          <w:rFonts w:ascii="標楷體" w:eastAsia="標楷體" w:hAnsi="標楷體" w:hint="eastAsia"/>
          <w:sz w:val="32"/>
          <w:szCs w:val="32"/>
        </w:rPr>
        <w:t>；2.</w:t>
      </w:r>
      <w:r w:rsidRPr="001E3538">
        <w:rPr>
          <w:rFonts w:ascii="標楷體" w:eastAsia="標楷體" w:hAnsi="標楷體" w:hint="eastAsia"/>
          <w:sz w:val="32"/>
          <w:szCs w:val="32"/>
        </w:rPr>
        <w:t>該案於發病前2</w:t>
      </w:r>
      <w:r>
        <w:rPr>
          <w:rFonts w:ascii="標楷體" w:eastAsia="標楷體" w:hAnsi="標楷體" w:hint="eastAsia"/>
          <w:sz w:val="32"/>
          <w:szCs w:val="32"/>
        </w:rPr>
        <w:t>週</w:t>
      </w:r>
      <w:r w:rsidRPr="001E3538">
        <w:rPr>
          <w:rFonts w:ascii="標楷體" w:eastAsia="標楷體" w:hAnsi="標楷體" w:hint="eastAsia"/>
          <w:sz w:val="32"/>
          <w:szCs w:val="32"/>
        </w:rPr>
        <w:t>曾照顧感染病毒之相關實驗動物</w:t>
      </w:r>
      <w:r>
        <w:rPr>
          <w:rFonts w:ascii="標楷體" w:eastAsia="標楷體" w:hAnsi="標楷體" w:hint="eastAsia"/>
          <w:sz w:val="32"/>
          <w:szCs w:val="32"/>
        </w:rPr>
        <w:t>；3.</w:t>
      </w:r>
      <w:r w:rsidRPr="001E3538">
        <w:rPr>
          <w:rFonts w:ascii="標楷體" w:eastAsia="標楷體" w:hAnsi="標楷體" w:hint="eastAsia"/>
          <w:sz w:val="32"/>
          <w:szCs w:val="32"/>
        </w:rPr>
        <w:t>實驗室環境有檢出病毒核酸陽性，有環境</w:t>
      </w:r>
      <w:r>
        <w:rPr>
          <w:rFonts w:ascii="標楷體" w:eastAsia="標楷體" w:hAnsi="標楷體" w:hint="eastAsia"/>
          <w:sz w:val="32"/>
          <w:szCs w:val="32"/>
        </w:rPr>
        <w:t>污</w:t>
      </w:r>
      <w:r w:rsidRPr="001E3538">
        <w:rPr>
          <w:rFonts w:ascii="標楷體" w:eastAsia="標楷體" w:hAnsi="標楷體" w:hint="eastAsia"/>
          <w:sz w:val="32"/>
          <w:szCs w:val="32"/>
        </w:rPr>
        <w:t>染情況發生</w:t>
      </w:r>
      <w:r>
        <w:rPr>
          <w:rFonts w:ascii="標楷體" w:eastAsia="標楷體" w:hAnsi="標楷體" w:hint="eastAsia"/>
          <w:sz w:val="32"/>
          <w:szCs w:val="32"/>
        </w:rPr>
        <w:t>；4.</w:t>
      </w:r>
      <w:r w:rsidRPr="001E3538">
        <w:rPr>
          <w:rFonts w:ascii="標楷體" w:eastAsia="標楷體" w:hAnsi="標楷體" w:hint="eastAsia"/>
          <w:sz w:val="32"/>
          <w:szCs w:val="32"/>
        </w:rPr>
        <w:t>實驗室人員在個人防護裝備的使用、脫除以及操作上，並未符合該實驗室所訂定之生物安全規範。根據上開因素，指揮中心研判該案為實驗室內造成之感染，並提出建議改善事項如下：1.強化生物安全會之功能與職責</w:t>
      </w:r>
      <w:r>
        <w:rPr>
          <w:rFonts w:ascii="標楷體" w:eastAsia="標楷體" w:hAnsi="標楷體" w:hint="eastAsia"/>
          <w:sz w:val="32"/>
          <w:szCs w:val="32"/>
        </w:rPr>
        <w:t>；</w:t>
      </w:r>
      <w:r w:rsidRPr="001E3538">
        <w:rPr>
          <w:rFonts w:ascii="標楷體" w:eastAsia="標楷體" w:hAnsi="標楷體" w:hint="eastAsia"/>
          <w:sz w:val="32"/>
          <w:szCs w:val="32"/>
        </w:rPr>
        <w:t>2.檢討ABSL-3實驗室現行生物安全規範與標準作業程序適切性</w:t>
      </w:r>
      <w:r>
        <w:rPr>
          <w:rFonts w:ascii="標楷體" w:eastAsia="標楷體" w:hAnsi="標楷體" w:hint="eastAsia"/>
          <w:sz w:val="32"/>
          <w:szCs w:val="32"/>
        </w:rPr>
        <w:t>；</w:t>
      </w:r>
      <w:r w:rsidRPr="001E3538">
        <w:rPr>
          <w:rFonts w:ascii="標楷體" w:eastAsia="標楷體" w:hAnsi="標楷體" w:hint="eastAsia"/>
          <w:sz w:val="32"/>
          <w:szCs w:val="32"/>
        </w:rPr>
        <w:t>3.訂定生物安全內部稽核規範並落實執行</w:t>
      </w:r>
      <w:r>
        <w:rPr>
          <w:rFonts w:ascii="標楷體" w:eastAsia="標楷體" w:hAnsi="標楷體" w:hint="eastAsia"/>
          <w:sz w:val="32"/>
          <w:szCs w:val="32"/>
        </w:rPr>
        <w:t>；</w:t>
      </w:r>
      <w:r w:rsidRPr="001E3538">
        <w:rPr>
          <w:rFonts w:ascii="標楷體" w:eastAsia="標楷體" w:hAnsi="標楷體" w:hint="eastAsia"/>
          <w:sz w:val="32"/>
          <w:szCs w:val="32"/>
        </w:rPr>
        <w:t>4.建立實驗室人員適任性評核基準</w:t>
      </w:r>
      <w:r>
        <w:rPr>
          <w:rFonts w:ascii="標楷體" w:eastAsia="標楷體" w:hAnsi="標楷體" w:hint="eastAsia"/>
          <w:sz w:val="32"/>
          <w:szCs w:val="32"/>
        </w:rPr>
        <w:t>；</w:t>
      </w:r>
      <w:r w:rsidRPr="001E3538">
        <w:rPr>
          <w:rFonts w:ascii="標楷體" w:eastAsia="標楷體" w:hAnsi="標楷體" w:hint="eastAsia"/>
          <w:sz w:val="32"/>
          <w:szCs w:val="32"/>
        </w:rPr>
        <w:t>5.強化工作人員教育訓練情況查驗制度</w:t>
      </w:r>
      <w:r>
        <w:rPr>
          <w:rFonts w:ascii="標楷體" w:eastAsia="標楷體" w:hAnsi="標楷體" w:hint="eastAsia"/>
          <w:sz w:val="32"/>
          <w:szCs w:val="32"/>
        </w:rPr>
        <w:t>；</w:t>
      </w:r>
      <w:r w:rsidRPr="001E3538">
        <w:rPr>
          <w:rFonts w:ascii="標楷體" w:eastAsia="標楷體" w:hAnsi="標楷體" w:hint="eastAsia"/>
          <w:sz w:val="32"/>
          <w:szCs w:val="32"/>
        </w:rPr>
        <w:t>6.建立實驗室意外及異常事件主動追蹤監測機制</w:t>
      </w:r>
      <w:r>
        <w:rPr>
          <w:rFonts w:ascii="標楷體" w:eastAsia="標楷體" w:hAnsi="標楷體" w:hint="eastAsia"/>
          <w:sz w:val="32"/>
          <w:szCs w:val="32"/>
        </w:rPr>
        <w:t>；</w:t>
      </w:r>
      <w:r w:rsidRPr="001E3538">
        <w:rPr>
          <w:rFonts w:ascii="標楷體" w:eastAsia="標楷體" w:hAnsi="標楷體" w:hint="eastAsia"/>
          <w:sz w:val="32"/>
          <w:szCs w:val="32"/>
        </w:rPr>
        <w:t>7.訂定工作人員健康監測計畫。有</w:t>
      </w:r>
      <w:r>
        <w:rPr>
          <w:rFonts w:ascii="標楷體" w:eastAsia="標楷體" w:hAnsi="標楷體" w:hint="eastAsia"/>
          <w:sz w:val="32"/>
          <w:szCs w:val="32"/>
        </w:rPr>
        <w:t>鑑</w:t>
      </w:r>
      <w:r w:rsidRPr="001E3538">
        <w:rPr>
          <w:rFonts w:ascii="標楷體" w:eastAsia="標楷體" w:hAnsi="標楷體" w:hint="eastAsia"/>
          <w:sz w:val="32"/>
          <w:szCs w:val="32"/>
        </w:rPr>
        <w:t>於中央研究院基因體研究中心ABSL-3實驗室染疫事件，主因係研究人員對風險認知不足及未確實遵循實驗室生物安全相關管理規定所致，足顯見對實驗室相關人員訓練及</w:t>
      </w:r>
      <w:r>
        <w:rPr>
          <w:rFonts w:ascii="標楷體" w:eastAsia="標楷體" w:hAnsi="標楷體" w:hint="eastAsia"/>
          <w:sz w:val="32"/>
          <w:szCs w:val="32"/>
        </w:rPr>
        <w:t>稽核管理制度之落實容有精進空間。為避免實驗室感染事件再次發生，</w:t>
      </w:r>
      <w:r w:rsidRPr="001E3538">
        <w:rPr>
          <w:rFonts w:ascii="標楷體" w:eastAsia="標楷體" w:hAnsi="標楷體" w:hint="eastAsia"/>
          <w:sz w:val="32"/>
          <w:szCs w:val="32"/>
        </w:rPr>
        <w:t>請中央研究院應依照</w:t>
      </w:r>
      <w:r w:rsidRPr="002837B4">
        <w:rPr>
          <w:rFonts w:ascii="標楷體" w:eastAsia="標楷體" w:hAnsi="標楷體" w:hint="eastAsia"/>
          <w:sz w:val="32"/>
          <w:szCs w:val="32"/>
        </w:rPr>
        <w:t>中央流行疫情指揮中心</w:t>
      </w:r>
      <w:r w:rsidRPr="001E3538">
        <w:rPr>
          <w:rFonts w:ascii="標楷體" w:eastAsia="標楷體" w:hAnsi="標楷體" w:hint="eastAsia"/>
          <w:sz w:val="32"/>
          <w:szCs w:val="32"/>
        </w:rPr>
        <w:t>之調查報告建議事項進行改善措施，</w:t>
      </w:r>
      <w:r>
        <w:rPr>
          <w:rFonts w:ascii="標楷體" w:eastAsia="標楷體" w:hAnsi="標楷體" w:hint="eastAsia"/>
          <w:sz w:val="32"/>
          <w:szCs w:val="32"/>
        </w:rPr>
        <w:t>並</w:t>
      </w:r>
      <w:r w:rsidRPr="001E3538">
        <w:rPr>
          <w:rFonts w:ascii="標楷體" w:eastAsia="標楷體" w:hAnsi="標楷體" w:hint="eastAsia"/>
          <w:sz w:val="32"/>
          <w:szCs w:val="32"/>
        </w:rPr>
        <w:t>於3個月內</w:t>
      </w:r>
      <w:r>
        <w:rPr>
          <w:rFonts w:ascii="標楷體" w:eastAsia="標楷體" w:hAnsi="標楷體" w:hint="eastAsia"/>
          <w:sz w:val="32"/>
          <w:szCs w:val="32"/>
        </w:rPr>
        <w:t>向</w:t>
      </w:r>
      <w:r w:rsidRPr="001E3538">
        <w:rPr>
          <w:rFonts w:ascii="標楷體" w:eastAsia="標楷體" w:hAnsi="標楷體" w:hint="eastAsia"/>
          <w:sz w:val="32"/>
          <w:szCs w:val="32"/>
        </w:rPr>
        <w:t>立法院教育及文化委員會提出書面報告。</w:t>
      </w:r>
      <w:r>
        <w:rPr>
          <w:rFonts w:ascii="標楷體" w:eastAsia="標楷體" w:hAnsi="標楷體" w:hint="eastAsia"/>
          <w:sz w:val="32"/>
          <w:szCs w:val="32"/>
        </w:rPr>
        <w:t>46</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吳思瑤</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w:t>
      </w:r>
      <w:r>
        <w:rPr>
          <w:rFonts w:ascii="標楷體" w:eastAsia="標楷體" w:hAnsi="標楷體" w:hint="eastAsia"/>
          <w:sz w:val="32"/>
          <w:szCs w:val="32"/>
        </w:rPr>
        <w:t>林宜瑾  鄭正鈐</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lastRenderedPageBreak/>
        <w:t>(三十</w:t>
      </w:r>
      <w:r w:rsidRPr="006C06AB">
        <w:rPr>
          <w:rFonts w:ascii="標楷體" w:eastAsia="標楷體" w:hAnsi="標楷體" w:hint="eastAsia"/>
          <w:sz w:val="32"/>
          <w:szCs w:val="32"/>
        </w:rPr>
        <w:t>五)112年度中央研究院「一般學術研究及評議」項下「學術研究與人才培育」中「任務型專案研究計畫」之「3.子計畫3：任務導向生技研究計畫」預算編列1億4</w:t>
      </w:r>
      <w:r w:rsidRPr="006C06AB">
        <w:rPr>
          <w:rFonts w:ascii="標楷體" w:eastAsia="標楷體" w:hAnsi="標楷體"/>
          <w:sz w:val="32"/>
          <w:szCs w:val="32"/>
        </w:rPr>
        <w:t>,</w:t>
      </w:r>
      <w:r w:rsidRPr="006C06AB">
        <w:rPr>
          <w:rFonts w:ascii="標楷體" w:eastAsia="標楷體" w:hAnsi="標楷體" w:hint="eastAsia"/>
          <w:sz w:val="32"/>
          <w:szCs w:val="32"/>
        </w:rPr>
        <w:t>000萬元，</w:t>
      </w:r>
      <w:r w:rsidRPr="004C7D0A">
        <w:rPr>
          <w:rFonts w:ascii="標楷體" w:eastAsia="標楷體" w:hAnsi="標楷體" w:hint="eastAsia"/>
          <w:sz w:val="32"/>
          <w:szCs w:val="32"/>
        </w:rPr>
        <w:t>係用於徵求具有社會重要性及應用潛力之中研院生醫研發團隊進駐園區執行轉</w:t>
      </w:r>
      <w:r>
        <w:rPr>
          <w:rFonts w:ascii="標楷體" w:eastAsia="標楷體" w:hAnsi="標楷體" w:hint="eastAsia"/>
          <w:sz w:val="32"/>
          <w:szCs w:val="32"/>
        </w:rPr>
        <w:t>譯</w:t>
      </w:r>
      <w:r w:rsidRPr="004C7D0A">
        <w:rPr>
          <w:rFonts w:ascii="標楷體" w:eastAsia="標楷體" w:hAnsi="標楷體" w:hint="eastAsia"/>
          <w:sz w:val="32"/>
          <w:szCs w:val="32"/>
        </w:rPr>
        <w:t>研究，其中700萬元用於小型儀器設備、實驗用冰箱、辦公傢俱等。經查，中研院該筆預算於110年</w:t>
      </w:r>
      <w:r>
        <w:rPr>
          <w:rFonts w:ascii="標楷體" w:eastAsia="標楷體" w:hAnsi="標楷體" w:hint="eastAsia"/>
          <w:sz w:val="32"/>
          <w:szCs w:val="32"/>
        </w:rPr>
        <w:t>度</w:t>
      </w:r>
      <w:r w:rsidRPr="004C7D0A">
        <w:rPr>
          <w:rFonts w:ascii="標楷體" w:eastAsia="標楷體" w:hAnsi="標楷體" w:hint="eastAsia"/>
          <w:sz w:val="32"/>
          <w:szCs w:val="32"/>
        </w:rPr>
        <w:t>編列500萬元，決算數110萬3千元，執行率22%；111年</w:t>
      </w:r>
      <w:r>
        <w:rPr>
          <w:rFonts w:ascii="標楷體" w:eastAsia="標楷體" w:hAnsi="標楷體" w:hint="eastAsia"/>
          <w:sz w:val="32"/>
          <w:szCs w:val="32"/>
        </w:rPr>
        <w:t>度</w:t>
      </w:r>
      <w:r w:rsidRPr="004C7D0A">
        <w:rPr>
          <w:rFonts w:ascii="標楷體" w:eastAsia="標楷體" w:hAnsi="標楷體" w:hint="eastAsia"/>
          <w:sz w:val="32"/>
          <w:szCs w:val="32"/>
        </w:rPr>
        <w:t>編列50萬元，截至10月底僅執行7萬5千元，執行率僅15%，執行率均低於</w:t>
      </w:r>
      <w:r>
        <w:rPr>
          <w:rFonts w:ascii="標楷體" w:eastAsia="標楷體" w:hAnsi="標楷體" w:hint="eastAsia"/>
          <w:sz w:val="32"/>
          <w:szCs w:val="32"/>
        </w:rPr>
        <w:t>三</w:t>
      </w:r>
      <w:r w:rsidRPr="004C7D0A">
        <w:rPr>
          <w:rFonts w:ascii="標楷體" w:eastAsia="標楷體" w:hAnsi="標楷體" w:hint="eastAsia"/>
          <w:sz w:val="32"/>
          <w:szCs w:val="32"/>
        </w:rPr>
        <w:t>成，該筆經費於</w:t>
      </w:r>
      <w:r>
        <w:rPr>
          <w:rFonts w:ascii="標楷體" w:eastAsia="標楷體" w:hAnsi="標楷體" w:hint="eastAsia"/>
          <w:sz w:val="32"/>
          <w:szCs w:val="32"/>
        </w:rPr>
        <w:t>112</w:t>
      </w:r>
      <w:r w:rsidRPr="004C7D0A">
        <w:rPr>
          <w:rFonts w:ascii="標楷體" w:eastAsia="標楷體" w:hAnsi="標楷體" w:hint="eastAsia"/>
          <w:sz w:val="32"/>
          <w:szCs w:val="32"/>
        </w:rPr>
        <w:t>年編列700萬元，較111年度增650萬元，顯不合理。</w:t>
      </w:r>
      <w:r>
        <w:rPr>
          <w:rFonts w:ascii="標楷體" w:eastAsia="標楷體" w:hAnsi="標楷體" w:hint="eastAsia"/>
          <w:sz w:val="32"/>
          <w:szCs w:val="32"/>
        </w:rPr>
        <w:t>爰請中央研究院就前述內容</w:t>
      </w:r>
      <w:r w:rsidRPr="004C7D0A">
        <w:rPr>
          <w:rFonts w:ascii="標楷體" w:eastAsia="標楷體" w:hAnsi="標楷體" w:hint="eastAsia"/>
          <w:sz w:val="32"/>
          <w:szCs w:val="32"/>
        </w:rPr>
        <w:t>於1個月內</w:t>
      </w:r>
      <w:r>
        <w:rPr>
          <w:rFonts w:ascii="標楷體" w:eastAsia="標楷體" w:hAnsi="標楷體" w:hint="eastAsia"/>
          <w:sz w:val="32"/>
          <w:szCs w:val="32"/>
        </w:rPr>
        <w:t>向</w:t>
      </w:r>
      <w:r w:rsidRPr="004C7D0A">
        <w:rPr>
          <w:rFonts w:ascii="標楷體" w:eastAsia="標楷體" w:hAnsi="標楷體" w:hint="eastAsia"/>
          <w:sz w:val="32"/>
          <w:szCs w:val="32"/>
        </w:rPr>
        <w:t>立法院教育及文化委員會</w:t>
      </w:r>
      <w:r>
        <w:rPr>
          <w:rFonts w:ascii="標楷體" w:eastAsia="標楷體" w:hAnsi="標楷體" w:hint="eastAsia"/>
          <w:sz w:val="32"/>
          <w:szCs w:val="32"/>
        </w:rPr>
        <w:t>提出書面報告</w:t>
      </w:r>
      <w:r w:rsidRPr="004C7D0A">
        <w:rPr>
          <w:rFonts w:ascii="標楷體" w:eastAsia="標楷體" w:hAnsi="標楷體" w:hint="eastAsia"/>
          <w:sz w:val="32"/>
          <w:szCs w:val="32"/>
        </w:rPr>
        <w:t>。</w:t>
      </w:r>
      <w:r>
        <w:rPr>
          <w:rFonts w:ascii="標楷體" w:eastAsia="標楷體" w:hAnsi="標楷體" w:hint="eastAsia"/>
          <w:sz w:val="32"/>
          <w:szCs w:val="32"/>
        </w:rPr>
        <w:t>54</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萬美玲</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w:t>
      </w:r>
      <w:r>
        <w:rPr>
          <w:rFonts w:ascii="標楷體" w:eastAsia="標楷體" w:hAnsi="標楷體" w:hint="eastAsia"/>
          <w:sz w:val="32"/>
          <w:szCs w:val="32"/>
        </w:rPr>
        <w:t>黃國書  陳秀寳  鄭正鈐</w:t>
      </w:r>
    </w:p>
    <w:p w:rsidR="00A52DD2" w:rsidRPr="0060199D"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w:t>
      </w:r>
      <w:r w:rsidRPr="006C06AB">
        <w:rPr>
          <w:rFonts w:ascii="標楷體" w:eastAsia="標楷體" w:hAnsi="標楷體" w:hint="eastAsia"/>
          <w:sz w:val="32"/>
          <w:szCs w:val="32"/>
        </w:rPr>
        <w:t>六)經查112年度中央研究院「自然及人文社會科學研究」項下「數理科學研究」編列</w:t>
      </w:r>
      <w:r>
        <w:rPr>
          <w:rFonts w:ascii="標楷體" w:eastAsia="標楷體" w:hAnsi="標楷體" w:hint="eastAsia"/>
          <w:sz w:val="32"/>
          <w:szCs w:val="32"/>
        </w:rPr>
        <w:t>之</w:t>
      </w:r>
      <w:r w:rsidRPr="006C06AB">
        <w:rPr>
          <w:rFonts w:ascii="標楷體" w:eastAsia="標楷體" w:hAnsi="標楷體" w:hint="eastAsia"/>
          <w:sz w:val="32"/>
          <w:szCs w:val="32"/>
        </w:rPr>
        <w:t>預算包含辦理相關研究計畫之費用。根</w:t>
      </w:r>
      <w:r w:rsidRPr="004C7D0A">
        <w:rPr>
          <w:rFonts w:ascii="標楷體" w:eastAsia="標楷體" w:hAnsi="標楷體" w:hint="eastAsia"/>
          <w:sz w:val="32"/>
          <w:szCs w:val="32"/>
        </w:rPr>
        <w:t>據中研院提供的資料說明，目前正著手研究關於淨零排放之計畫有：去碳燃氫發電技術研發、地熱資源區位調查與探勘技術研發、海洋能環境調查與探勘技術研發、高轉化效率光電模組技術之研發與應用及生質碳匯技術研發與固碳效益研究；惟除去碳燃氫發電技術以外，其他技術尚在研發階段。為跟上國際淨零排放之時程，中</w:t>
      </w:r>
      <w:r>
        <w:rPr>
          <w:rFonts w:ascii="標楷體" w:eastAsia="標楷體" w:hAnsi="標楷體" w:hint="eastAsia"/>
          <w:sz w:val="32"/>
          <w:szCs w:val="32"/>
        </w:rPr>
        <w:t>央</w:t>
      </w:r>
      <w:r w:rsidRPr="004C7D0A">
        <w:rPr>
          <w:rFonts w:ascii="標楷體" w:eastAsia="標楷體" w:hAnsi="標楷體" w:hint="eastAsia"/>
          <w:sz w:val="32"/>
          <w:szCs w:val="32"/>
        </w:rPr>
        <w:t>研</w:t>
      </w:r>
      <w:r>
        <w:rPr>
          <w:rFonts w:ascii="標楷體" w:eastAsia="標楷體" w:hAnsi="標楷體" w:hint="eastAsia"/>
          <w:sz w:val="32"/>
          <w:szCs w:val="32"/>
        </w:rPr>
        <w:t>究</w:t>
      </w:r>
      <w:r w:rsidRPr="004C7D0A">
        <w:rPr>
          <w:rFonts w:ascii="標楷體" w:eastAsia="標楷體" w:hAnsi="標楷體" w:hint="eastAsia"/>
          <w:sz w:val="32"/>
          <w:szCs w:val="32"/>
        </w:rPr>
        <w:t>院允宜加速進行相關計畫之執行，已有技術成果之計畫亦應</w:t>
      </w:r>
      <w:r>
        <w:rPr>
          <w:rFonts w:ascii="標楷體" w:eastAsia="標楷體" w:hAnsi="標楷體" w:hint="eastAsia"/>
          <w:sz w:val="32"/>
          <w:szCs w:val="32"/>
        </w:rPr>
        <w:t>儘</w:t>
      </w:r>
      <w:r w:rsidRPr="004C7D0A">
        <w:rPr>
          <w:rFonts w:ascii="標楷體" w:eastAsia="標楷體" w:hAnsi="標楷體" w:hint="eastAsia"/>
          <w:sz w:val="32"/>
          <w:szCs w:val="32"/>
        </w:rPr>
        <w:t>速與產業合作技轉，俾利中研院投入研</w:t>
      </w:r>
      <w:r>
        <w:rPr>
          <w:rFonts w:ascii="標楷體" w:eastAsia="標楷體" w:hAnsi="標楷體" w:hint="eastAsia"/>
          <w:sz w:val="32"/>
          <w:szCs w:val="32"/>
        </w:rPr>
        <w:t>究計畫之目的，跟上國際淨零排放之時程，並</w:t>
      </w:r>
      <w:r w:rsidRPr="004C7D0A">
        <w:rPr>
          <w:rFonts w:ascii="標楷體" w:eastAsia="標楷體" w:hAnsi="標楷體" w:hint="eastAsia"/>
          <w:sz w:val="32"/>
          <w:szCs w:val="32"/>
        </w:rPr>
        <w:t>於3個月內</w:t>
      </w:r>
      <w:r>
        <w:rPr>
          <w:rFonts w:ascii="標楷體" w:eastAsia="標楷體" w:hAnsi="標楷體" w:hint="eastAsia"/>
          <w:sz w:val="32"/>
          <w:szCs w:val="32"/>
        </w:rPr>
        <w:t>向</w:t>
      </w:r>
      <w:r w:rsidRPr="004C7D0A">
        <w:rPr>
          <w:rFonts w:ascii="標楷體" w:eastAsia="標楷體" w:hAnsi="標楷體" w:hint="eastAsia"/>
          <w:sz w:val="32"/>
          <w:szCs w:val="32"/>
        </w:rPr>
        <w:t>立法院教育及文化委員會提出書面報告。</w:t>
      </w:r>
      <w:r>
        <w:rPr>
          <w:rFonts w:ascii="標楷體" w:eastAsia="標楷體" w:hAnsi="標楷體" w:hint="eastAsia"/>
          <w:sz w:val="32"/>
          <w:szCs w:val="32"/>
        </w:rPr>
        <w:t>58</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陳秀寳  賴品妤  范  雲</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t>(三十七)</w:t>
      </w:r>
      <w:r w:rsidRPr="004C7D0A">
        <w:rPr>
          <w:rFonts w:ascii="標楷體" w:eastAsia="標楷體" w:hAnsi="標楷體" w:hint="eastAsia"/>
          <w:sz w:val="32"/>
          <w:szCs w:val="32"/>
        </w:rPr>
        <w:t>自110年度起中央研究院對國際組織會費預算大幅增</w:t>
      </w:r>
      <w:r w:rsidRPr="004C7D0A">
        <w:rPr>
          <w:rFonts w:ascii="標楷體" w:eastAsia="標楷體" w:hAnsi="標楷體" w:hint="eastAsia"/>
          <w:sz w:val="32"/>
          <w:szCs w:val="32"/>
        </w:rPr>
        <w:lastRenderedPageBreak/>
        <w:t>列，</w:t>
      </w:r>
      <w:r>
        <w:rPr>
          <w:rFonts w:ascii="標楷體" w:eastAsia="標楷體" w:hAnsi="標楷體" w:hint="eastAsia"/>
          <w:sz w:val="32"/>
          <w:szCs w:val="32"/>
        </w:rPr>
        <w:t>110</w:t>
      </w:r>
      <w:r w:rsidRPr="004C7D0A">
        <w:rPr>
          <w:rFonts w:ascii="標楷體" w:eastAsia="標楷體" w:hAnsi="標楷體" w:hint="eastAsia"/>
          <w:sz w:val="32"/>
          <w:szCs w:val="32"/>
        </w:rPr>
        <w:t>年度預算數1,003萬2千元，決算數519萬8千元，執行率僅51.81%，顯示對國際組織會費之執行情形均未如預期，宜探究各該年度國內團體未申請補助之原因並參酌以前年度執行情形</w:t>
      </w:r>
      <w:r>
        <w:rPr>
          <w:rFonts w:ascii="標楷體" w:eastAsia="標楷體" w:hAnsi="標楷體" w:hint="eastAsia"/>
          <w:sz w:val="32"/>
          <w:szCs w:val="32"/>
        </w:rPr>
        <w:t>覈</w:t>
      </w:r>
      <w:r w:rsidRPr="004C7D0A">
        <w:rPr>
          <w:rFonts w:ascii="標楷體" w:eastAsia="標楷體" w:hAnsi="標楷體" w:hint="eastAsia"/>
          <w:sz w:val="32"/>
          <w:szCs w:val="32"/>
        </w:rPr>
        <w:t>實編列預算。爰請中央研究院就前述內容於1個月內</w:t>
      </w:r>
      <w:r>
        <w:rPr>
          <w:rFonts w:ascii="標楷體" w:eastAsia="標楷體" w:hAnsi="標楷體" w:hint="eastAsia"/>
          <w:sz w:val="32"/>
          <w:szCs w:val="32"/>
        </w:rPr>
        <w:t>向</w:t>
      </w:r>
      <w:r w:rsidRPr="004C7D0A">
        <w:rPr>
          <w:rFonts w:ascii="標楷體" w:eastAsia="標楷體" w:hAnsi="標楷體" w:hint="eastAsia"/>
          <w:sz w:val="32"/>
          <w:szCs w:val="32"/>
        </w:rPr>
        <w:t>立法院教育及文化委員會提出書面報告。</w:t>
      </w:r>
      <w:r>
        <w:rPr>
          <w:rFonts w:ascii="標楷體" w:eastAsia="標楷體" w:hAnsi="標楷體" w:hint="eastAsia"/>
          <w:sz w:val="32"/>
          <w:szCs w:val="32"/>
        </w:rPr>
        <w:t>60</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鄭正鈐</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w:t>
      </w:r>
      <w:r>
        <w:rPr>
          <w:rFonts w:ascii="標楷體" w:eastAsia="標楷體" w:hAnsi="標楷體" w:hint="eastAsia"/>
          <w:sz w:val="32"/>
          <w:szCs w:val="32"/>
        </w:rPr>
        <w:t>陳秀寳  黃國書</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t>(三十八)</w:t>
      </w:r>
      <w:r w:rsidRPr="004C7D0A">
        <w:rPr>
          <w:rFonts w:ascii="標楷體" w:eastAsia="標楷體" w:hAnsi="標楷體" w:hint="eastAsia"/>
          <w:sz w:val="32"/>
          <w:szCs w:val="32"/>
        </w:rPr>
        <w:t>自110年度起中央研究院對國際組織會費預算大幅增列，</w:t>
      </w:r>
      <w:r>
        <w:rPr>
          <w:rFonts w:ascii="標楷體" w:eastAsia="標楷體" w:hAnsi="標楷體" w:hint="eastAsia"/>
          <w:sz w:val="32"/>
          <w:szCs w:val="32"/>
        </w:rPr>
        <w:t>110</w:t>
      </w:r>
      <w:r w:rsidRPr="004C7D0A">
        <w:rPr>
          <w:rFonts w:ascii="標楷體" w:eastAsia="標楷體" w:hAnsi="標楷體" w:hint="eastAsia"/>
          <w:sz w:val="32"/>
          <w:szCs w:val="32"/>
        </w:rPr>
        <w:t>年度預算數1,003萬2千元，決算數519萬8千元，執行率僅51.81%，顯示對國際組織會費之執行情形均未如預期，宜探究各該年度國內團體未申請補助之原因並參酌以前年度執行情形</w:t>
      </w:r>
      <w:r>
        <w:rPr>
          <w:rFonts w:ascii="標楷體" w:eastAsia="標楷體" w:hAnsi="標楷體" w:hint="eastAsia"/>
          <w:sz w:val="32"/>
          <w:szCs w:val="32"/>
        </w:rPr>
        <w:t>覈</w:t>
      </w:r>
      <w:r w:rsidRPr="004C7D0A">
        <w:rPr>
          <w:rFonts w:ascii="標楷體" w:eastAsia="標楷體" w:hAnsi="標楷體" w:hint="eastAsia"/>
          <w:sz w:val="32"/>
          <w:szCs w:val="32"/>
        </w:rPr>
        <w:t>實編列預算。爰請中央研究院就前述內容於1個月內</w:t>
      </w:r>
      <w:r>
        <w:rPr>
          <w:rFonts w:ascii="標楷體" w:eastAsia="標楷體" w:hAnsi="標楷體" w:hint="eastAsia"/>
          <w:sz w:val="32"/>
          <w:szCs w:val="32"/>
        </w:rPr>
        <w:t>向</w:t>
      </w:r>
      <w:r w:rsidRPr="004C7D0A">
        <w:rPr>
          <w:rFonts w:ascii="標楷體" w:eastAsia="標楷體" w:hAnsi="標楷體" w:hint="eastAsia"/>
          <w:sz w:val="32"/>
          <w:szCs w:val="32"/>
        </w:rPr>
        <w:t>立法院教育及文化委員會提出書面報告。</w:t>
      </w:r>
      <w:r>
        <w:rPr>
          <w:rFonts w:ascii="標楷體" w:eastAsia="標楷體" w:hAnsi="標楷體" w:hint="eastAsia"/>
          <w:sz w:val="32"/>
          <w:szCs w:val="32"/>
        </w:rPr>
        <w:t>76</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鄭正鈐</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w:t>
      </w:r>
      <w:r>
        <w:rPr>
          <w:rFonts w:ascii="標楷體" w:eastAsia="標楷體" w:hAnsi="標楷體" w:hint="eastAsia"/>
          <w:sz w:val="32"/>
          <w:szCs w:val="32"/>
        </w:rPr>
        <w:t>陳秀寳  黃國書</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t>(三十九)</w:t>
      </w:r>
      <w:r w:rsidRPr="006C06AB">
        <w:rPr>
          <w:rFonts w:ascii="標楷體" w:eastAsia="標楷體" w:hAnsi="標楷體" w:hint="eastAsia"/>
          <w:sz w:val="32"/>
          <w:szCs w:val="32"/>
        </w:rPr>
        <w:t>112年度中央研究院</w:t>
      </w:r>
      <w:r w:rsidRPr="000E1957">
        <w:rPr>
          <w:rFonts w:ascii="標楷體" w:eastAsia="標楷體" w:hAnsi="標楷體" w:hint="eastAsia"/>
          <w:sz w:val="32"/>
          <w:szCs w:val="32"/>
        </w:rPr>
        <w:t>「自然及人文社會科學研究」</w:t>
      </w:r>
      <w:r>
        <w:rPr>
          <w:rFonts w:ascii="標楷體" w:eastAsia="標楷體" w:hAnsi="標楷體" w:hint="eastAsia"/>
          <w:sz w:val="32"/>
          <w:szCs w:val="32"/>
        </w:rPr>
        <w:t>項下</w:t>
      </w:r>
      <w:r w:rsidRPr="006C06AB">
        <w:rPr>
          <w:rFonts w:ascii="標楷體" w:eastAsia="標楷體" w:hAnsi="標楷體" w:hint="eastAsia"/>
          <w:sz w:val="32"/>
          <w:szCs w:val="32"/>
        </w:rPr>
        <w:t>「生命科學研究」</w:t>
      </w:r>
      <w:r>
        <w:rPr>
          <w:rFonts w:ascii="標楷體" w:eastAsia="標楷體" w:hAnsi="標楷體" w:hint="eastAsia"/>
          <w:sz w:val="32"/>
          <w:szCs w:val="32"/>
        </w:rPr>
        <w:t>中</w:t>
      </w:r>
      <w:r w:rsidRPr="006C06AB">
        <w:rPr>
          <w:rFonts w:ascii="標楷體" w:eastAsia="標楷體" w:hAnsi="標楷體" w:hint="eastAsia"/>
          <w:sz w:val="32"/>
          <w:szCs w:val="32"/>
        </w:rPr>
        <w:t>「生物化學研究」預算編列1億7,535萬元</w:t>
      </w:r>
      <w:r w:rsidRPr="004C7D0A">
        <w:rPr>
          <w:rFonts w:ascii="標楷體" w:eastAsia="標楷體" w:hAnsi="標楷體" w:hint="eastAsia"/>
          <w:sz w:val="32"/>
          <w:szCs w:val="32"/>
        </w:rPr>
        <w:t>，係致力於了解生物現象，尤其是疾病相關的分子機制；較111年度增列1,954萬7千元；</w:t>
      </w:r>
      <w:r>
        <w:rPr>
          <w:rFonts w:ascii="標楷體" w:eastAsia="標楷體" w:hAnsi="標楷體" w:hint="eastAsia"/>
          <w:sz w:val="32"/>
          <w:szCs w:val="32"/>
        </w:rPr>
        <w:t>然查，該項增列經費係用於生物化學研究所大樓外牆拉皮工程，而此大樓外牆拉皮總工程費為5,108萬元，中研院院本部雖補貼一部分工程費，惟大樓外牆整修之大部分費用係由該所研究經費中勻支，恐擠壓到生物化學研究所研究計畫之執行。為秉持預算覈實編列原則，爰要求中央研究院應全面檢討全院各所大樓修繕經費之編列方式，並於113年度依「預算法」覈實編列，不應再由各所分擔部分修繕經費。80</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吳怡玎  萬美玲  黃國書</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t>(四十)</w:t>
      </w:r>
      <w:r w:rsidRPr="006C06AB">
        <w:rPr>
          <w:rFonts w:ascii="標楷體" w:eastAsia="標楷體" w:hAnsi="標楷體" w:hint="eastAsia"/>
          <w:sz w:val="32"/>
          <w:szCs w:val="32"/>
        </w:rPr>
        <w:t>112年度中央研究院</w:t>
      </w:r>
      <w:r w:rsidRPr="000E1957">
        <w:rPr>
          <w:rFonts w:ascii="標楷體" w:eastAsia="標楷體" w:hAnsi="標楷體" w:hint="eastAsia"/>
          <w:sz w:val="32"/>
          <w:szCs w:val="32"/>
        </w:rPr>
        <w:t>「自然及人文社會科學研究」</w:t>
      </w:r>
      <w:r>
        <w:rPr>
          <w:rFonts w:ascii="標楷體" w:eastAsia="標楷體" w:hAnsi="標楷體" w:hint="eastAsia"/>
          <w:sz w:val="32"/>
          <w:szCs w:val="32"/>
        </w:rPr>
        <w:t>項下</w:t>
      </w:r>
      <w:r w:rsidRPr="006C06AB">
        <w:rPr>
          <w:rFonts w:ascii="標楷體" w:eastAsia="標楷體" w:hAnsi="標楷體" w:hint="eastAsia"/>
          <w:sz w:val="32"/>
          <w:szCs w:val="32"/>
        </w:rPr>
        <w:lastRenderedPageBreak/>
        <w:t>「生命科學研究」</w:t>
      </w:r>
      <w:r>
        <w:rPr>
          <w:rFonts w:ascii="標楷體" w:eastAsia="標楷體" w:hAnsi="標楷體" w:hint="eastAsia"/>
          <w:sz w:val="32"/>
          <w:szCs w:val="32"/>
        </w:rPr>
        <w:t>中</w:t>
      </w:r>
      <w:r w:rsidRPr="006C06AB">
        <w:rPr>
          <w:rFonts w:ascii="標楷體" w:eastAsia="標楷體" w:hAnsi="標楷體" w:hint="eastAsia"/>
          <w:sz w:val="32"/>
          <w:szCs w:val="32"/>
        </w:rPr>
        <w:t>「基因體研究」預算編列2億4</w:t>
      </w:r>
      <w:r w:rsidRPr="006C06AB">
        <w:rPr>
          <w:rFonts w:ascii="標楷體" w:eastAsia="標楷體" w:hAnsi="標楷體"/>
          <w:sz w:val="32"/>
          <w:szCs w:val="32"/>
        </w:rPr>
        <w:t>,</w:t>
      </w:r>
      <w:r w:rsidRPr="006C06AB">
        <w:rPr>
          <w:rFonts w:ascii="標楷體" w:eastAsia="標楷體" w:hAnsi="標楷體" w:hint="eastAsia"/>
          <w:sz w:val="32"/>
          <w:szCs w:val="32"/>
        </w:rPr>
        <w:t>200萬元，較111年度減列研究耗材及機械設備購置等經費3</w:t>
      </w:r>
      <w:r w:rsidRPr="006C06AB">
        <w:rPr>
          <w:rFonts w:ascii="標楷體" w:eastAsia="標楷體" w:hAnsi="標楷體"/>
          <w:sz w:val="32"/>
          <w:szCs w:val="32"/>
        </w:rPr>
        <w:t>,</w:t>
      </w:r>
      <w:r w:rsidRPr="006C06AB">
        <w:rPr>
          <w:rFonts w:ascii="標楷體" w:eastAsia="標楷體" w:hAnsi="標楷體" w:hint="eastAsia"/>
          <w:sz w:val="32"/>
          <w:szCs w:val="32"/>
        </w:rPr>
        <w:t>550萬7千元。110年12</w:t>
      </w:r>
      <w:r w:rsidRPr="00476A58">
        <w:rPr>
          <w:rFonts w:ascii="標楷體" w:eastAsia="標楷體" w:hAnsi="標楷體" w:hint="eastAsia"/>
          <w:sz w:val="32"/>
          <w:szCs w:val="32"/>
        </w:rPr>
        <w:t>月疫情期間，基因體研究中心P3實驗室因研究人員對風險認知不足及未確實遵循生物安全相關管理規範致感染疫情確診，違反法規遭裁罰，人員訓練及稽核管理制度容有精進空間。中央研究院應提出報告如何辦理檢討並進行改善作業</w:t>
      </w:r>
      <w:r>
        <w:rPr>
          <w:rFonts w:ascii="標楷體" w:eastAsia="標楷體" w:hAnsi="標楷體" w:hint="eastAsia"/>
          <w:sz w:val="32"/>
          <w:szCs w:val="32"/>
        </w:rPr>
        <w:t>，實驗室人員訓練及稽核管理制度精進，避免實驗室感染事件再次發生，並</w:t>
      </w:r>
      <w:r w:rsidRPr="00476A58">
        <w:rPr>
          <w:rFonts w:ascii="標楷體" w:eastAsia="標楷體" w:hAnsi="標楷體" w:hint="eastAsia"/>
          <w:sz w:val="32"/>
          <w:szCs w:val="32"/>
        </w:rPr>
        <w:t>於3個月內</w:t>
      </w:r>
      <w:r>
        <w:rPr>
          <w:rFonts w:ascii="標楷體" w:eastAsia="標楷體" w:hAnsi="標楷體" w:hint="eastAsia"/>
          <w:sz w:val="32"/>
          <w:szCs w:val="32"/>
        </w:rPr>
        <w:t>向</w:t>
      </w:r>
      <w:r w:rsidRPr="00476A58">
        <w:rPr>
          <w:rFonts w:ascii="標楷體" w:eastAsia="標楷體" w:hAnsi="標楷體" w:hint="eastAsia"/>
          <w:sz w:val="32"/>
          <w:szCs w:val="32"/>
        </w:rPr>
        <w:t>立法院教育及文化委員會</w:t>
      </w:r>
      <w:r>
        <w:rPr>
          <w:rFonts w:ascii="標楷體" w:eastAsia="標楷體" w:hAnsi="標楷體" w:hint="eastAsia"/>
          <w:sz w:val="32"/>
          <w:szCs w:val="32"/>
        </w:rPr>
        <w:t>提出書面報告</w:t>
      </w:r>
      <w:r w:rsidRPr="00476A58">
        <w:rPr>
          <w:rFonts w:ascii="標楷體" w:eastAsia="標楷體" w:hAnsi="標楷體" w:hint="eastAsia"/>
          <w:sz w:val="32"/>
          <w:szCs w:val="32"/>
        </w:rPr>
        <w:t>。</w:t>
      </w:r>
      <w:r>
        <w:rPr>
          <w:rFonts w:ascii="標楷體" w:eastAsia="標楷體" w:hAnsi="標楷體" w:hint="eastAsia"/>
          <w:sz w:val="32"/>
          <w:szCs w:val="32"/>
        </w:rPr>
        <w:t>89</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鄭正鈐</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w:t>
      </w:r>
      <w:r>
        <w:rPr>
          <w:rFonts w:ascii="標楷體" w:eastAsia="標楷體" w:hAnsi="標楷體" w:hint="eastAsia"/>
          <w:sz w:val="32"/>
          <w:szCs w:val="32"/>
        </w:rPr>
        <w:t>陳秀寳  黃國書</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t>(四十一)</w:t>
      </w:r>
      <w:r w:rsidRPr="006C06AB">
        <w:rPr>
          <w:rFonts w:ascii="標楷體" w:eastAsia="標楷體" w:hAnsi="標楷體" w:hint="eastAsia"/>
          <w:sz w:val="32"/>
          <w:szCs w:val="32"/>
        </w:rPr>
        <w:t>112年度中央研究院</w:t>
      </w:r>
      <w:r w:rsidRPr="000E1957">
        <w:rPr>
          <w:rFonts w:ascii="標楷體" w:eastAsia="標楷體" w:hAnsi="標楷體" w:hint="eastAsia"/>
          <w:sz w:val="32"/>
          <w:szCs w:val="32"/>
        </w:rPr>
        <w:t>「自然及人文社會科學研究」</w:t>
      </w:r>
      <w:r>
        <w:rPr>
          <w:rFonts w:ascii="標楷體" w:eastAsia="標楷體" w:hAnsi="標楷體" w:hint="eastAsia"/>
          <w:sz w:val="32"/>
          <w:szCs w:val="32"/>
        </w:rPr>
        <w:t>項下</w:t>
      </w:r>
      <w:r w:rsidRPr="006C06AB">
        <w:rPr>
          <w:rFonts w:ascii="標楷體" w:eastAsia="標楷體" w:hAnsi="標楷體" w:hint="eastAsia"/>
          <w:sz w:val="32"/>
          <w:szCs w:val="32"/>
        </w:rPr>
        <w:t>「生命科學研究」</w:t>
      </w:r>
      <w:r>
        <w:rPr>
          <w:rFonts w:ascii="標楷體" w:eastAsia="標楷體" w:hAnsi="標楷體" w:hint="eastAsia"/>
          <w:sz w:val="32"/>
          <w:szCs w:val="32"/>
        </w:rPr>
        <w:t>中</w:t>
      </w:r>
      <w:r w:rsidRPr="000E1957">
        <w:rPr>
          <w:rFonts w:ascii="標楷體" w:eastAsia="標楷體" w:hAnsi="標楷體" w:hint="eastAsia"/>
          <w:sz w:val="32"/>
          <w:szCs w:val="32"/>
        </w:rPr>
        <w:t>「生醫轉譯研究」之「房屋建築及設備費」之「生物安全第三等級實驗室（BSL-3/ABSL-3）優化工程（統包）案，提升實驗室氣密性需求之變更設計項目及其相關衍生費用」預算編列4</w:t>
      </w:r>
      <w:r w:rsidRPr="000E1957">
        <w:rPr>
          <w:rFonts w:ascii="標楷體" w:eastAsia="標楷體" w:hAnsi="標楷體"/>
          <w:sz w:val="32"/>
          <w:szCs w:val="32"/>
        </w:rPr>
        <w:t>,</w:t>
      </w:r>
      <w:r w:rsidRPr="000E1957">
        <w:rPr>
          <w:rFonts w:ascii="標楷體" w:eastAsia="標楷體" w:hAnsi="標楷體" w:hint="eastAsia"/>
          <w:sz w:val="32"/>
          <w:szCs w:val="32"/>
        </w:rPr>
        <w:t>220萬元。</w:t>
      </w:r>
      <w:r w:rsidRPr="00476A58">
        <w:rPr>
          <w:rFonts w:ascii="標楷體" w:eastAsia="標楷體" w:hAnsi="標楷體" w:hint="eastAsia"/>
          <w:sz w:val="32"/>
          <w:szCs w:val="32"/>
        </w:rPr>
        <w:t>110年12月疫情期間，基因體研究中心P3實驗室因研究人員對風險認知不足及未確實遵循生物安全相關管理規範致感染疫情確診，違反法規遭裁罰，人員訓練及稽核管理制度容有精進空間。中央研究院應提出報告如何辦理檢討並進行改善作業</w:t>
      </w:r>
      <w:r>
        <w:rPr>
          <w:rFonts w:ascii="標楷體" w:eastAsia="標楷體" w:hAnsi="標楷體" w:hint="eastAsia"/>
          <w:sz w:val="32"/>
          <w:szCs w:val="32"/>
        </w:rPr>
        <w:t>，實驗室人員訓練及稽核管理制度精進，避免實驗室感染事件再次發生，並</w:t>
      </w:r>
      <w:r w:rsidRPr="00476A58">
        <w:rPr>
          <w:rFonts w:ascii="標楷體" w:eastAsia="標楷體" w:hAnsi="標楷體" w:hint="eastAsia"/>
          <w:sz w:val="32"/>
          <w:szCs w:val="32"/>
        </w:rPr>
        <w:t>於3個月內</w:t>
      </w:r>
      <w:r>
        <w:rPr>
          <w:rFonts w:ascii="標楷體" w:eastAsia="標楷體" w:hAnsi="標楷體" w:hint="eastAsia"/>
          <w:sz w:val="32"/>
          <w:szCs w:val="32"/>
        </w:rPr>
        <w:t>向</w:t>
      </w:r>
      <w:r w:rsidRPr="00476A58">
        <w:rPr>
          <w:rFonts w:ascii="標楷體" w:eastAsia="標楷體" w:hAnsi="標楷體" w:hint="eastAsia"/>
          <w:sz w:val="32"/>
          <w:szCs w:val="32"/>
        </w:rPr>
        <w:t>立法院教育及文化委員會提出書面報告。</w:t>
      </w:r>
      <w:r>
        <w:rPr>
          <w:rFonts w:ascii="標楷體" w:eastAsia="標楷體" w:hAnsi="標楷體" w:hint="eastAsia"/>
          <w:sz w:val="32"/>
          <w:szCs w:val="32"/>
        </w:rPr>
        <w:t>92</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鄭正鈐</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w:t>
      </w:r>
      <w:r>
        <w:rPr>
          <w:rFonts w:ascii="標楷體" w:eastAsia="標楷體" w:hAnsi="標楷體" w:hint="eastAsia"/>
          <w:sz w:val="32"/>
          <w:szCs w:val="32"/>
        </w:rPr>
        <w:t>陳秀寳  黃國書</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t>(四十二)</w:t>
      </w:r>
      <w:r w:rsidRPr="00476A58">
        <w:rPr>
          <w:rFonts w:ascii="標楷體" w:eastAsia="標楷體" w:hAnsi="標楷體" w:hint="eastAsia"/>
          <w:sz w:val="32"/>
          <w:szCs w:val="32"/>
        </w:rPr>
        <w:t>自110年度起中央研究院對國際組織會費預算大幅增列，</w:t>
      </w:r>
      <w:r>
        <w:rPr>
          <w:rFonts w:ascii="標楷體" w:eastAsia="標楷體" w:hAnsi="標楷體" w:hint="eastAsia"/>
          <w:sz w:val="32"/>
          <w:szCs w:val="32"/>
        </w:rPr>
        <w:t>110</w:t>
      </w:r>
      <w:r w:rsidRPr="00476A58">
        <w:rPr>
          <w:rFonts w:ascii="標楷體" w:eastAsia="標楷體" w:hAnsi="標楷體" w:hint="eastAsia"/>
          <w:sz w:val="32"/>
          <w:szCs w:val="32"/>
        </w:rPr>
        <w:t>年度預算數1,003萬2千元，決算數519萬8千元，執行率僅51.81%，顯示對國際組織會費之執行情形均未如預期，宜探究各該年度國內團體未申請補助之原因並參酌以前</w:t>
      </w:r>
      <w:r w:rsidRPr="00476A58">
        <w:rPr>
          <w:rFonts w:ascii="標楷體" w:eastAsia="標楷體" w:hAnsi="標楷體" w:hint="eastAsia"/>
          <w:sz w:val="32"/>
          <w:szCs w:val="32"/>
        </w:rPr>
        <w:lastRenderedPageBreak/>
        <w:t>年度執行情形</w:t>
      </w:r>
      <w:r>
        <w:rPr>
          <w:rFonts w:ascii="標楷體" w:eastAsia="標楷體" w:hAnsi="標楷體" w:hint="eastAsia"/>
          <w:sz w:val="32"/>
          <w:szCs w:val="32"/>
        </w:rPr>
        <w:t>覈</w:t>
      </w:r>
      <w:r w:rsidRPr="00476A58">
        <w:rPr>
          <w:rFonts w:ascii="標楷體" w:eastAsia="標楷體" w:hAnsi="標楷體" w:hint="eastAsia"/>
          <w:sz w:val="32"/>
          <w:szCs w:val="32"/>
        </w:rPr>
        <w:t>實編列預算。爰請中央研究院就前述內容於1個月內</w:t>
      </w:r>
      <w:r>
        <w:rPr>
          <w:rFonts w:ascii="標楷體" w:eastAsia="標楷體" w:hAnsi="標楷體" w:hint="eastAsia"/>
          <w:sz w:val="32"/>
          <w:szCs w:val="32"/>
        </w:rPr>
        <w:t>向</w:t>
      </w:r>
      <w:r w:rsidRPr="00476A58">
        <w:rPr>
          <w:rFonts w:ascii="標楷體" w:eastAsia="標楷體" w:hAnsi="標楷體" w:hint="eastAsia"/>
          <w:sz w:val="32"/>
          <w:szCs w:val="32"/>
        </w:rPr>
        <w:t>立法院教育及文化委員會提出書面報告。</w:t>
      </w:r>
      <w:r>
        <w:rPr>
          <w:rFonts w:ascii="標楷體" w:eastAsia="標楷體" w:hAnsi="標楷體" w:hint="eastAsia"/>
          <w:sz w:val="32"/>
          <w:szCs w:val="32"/>
        </w:rPr>
        <w:t>93</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鄭正鈐</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w:t>
      </w:r>
      <w:r>
        <w:rPr>
          <w:rFonts w:ascii="標楷體" w:eastAsia="標楷體" w:hAnsi="標楷體" w:hint="eastAsia"/>
          <w:sz w:val="32"/>
          <w:szCs w:val="32"/>
        </w:rPr>
        <w:t>陳秀寳  黃國書</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t>(四十三)吳委員思瑤</w:t>
      </w:r>
      <w:r w:rsidRPr="00476A58">
        <w:rPr>
          <w:rFonts w:ascii="標楷體" w:eastAsia="標楷體" w:hAnsi="標楷體" w:hint="eastAsia"/>
          <w:sz w:val="32"/>
          <w:szCs w:val="32"/>
        </w:rPr>
        <w:t>於</w:t>
      </w:r>
      <w:r>
        <w:rPr>
          <w:rFonts w:ascii="標楷體" w:eastAsia="標楷體" w:hAnsi="標楷體" w:hint="eastAsia"/>
          <w:sz w:val="32"/>
          <w:szCs w:val="32"/>
        </w:rPr>
        <w:t>110</w:t>
      </w:r>
      <w:r w:rsidRPr="00476A58">
        <w:rPr>
          <w:rFonts w:ascii="標楷體" w:eastAsia="標楷體" w:hAnsi="標楷體" w:hint="eastAsia"/>
          <w:sz w:val="32"/>
          <w:szCs w:val="32"/>
        </w:rPr>
        <w:t>年11月3日質詢中</w:t>
      </w:r>
      <w:r>
        <w:rPr>
          <w:rFonts w:ascii="標楷體" w:eastAsia="標楷體" w:hAnsi="標楷體" w:hint="eastAsia"/>
          <w:sz w:val="32"/>
          <w:szCs w:val="32"/>
        </w:rPr>
        <w:t>央</w:t>
      </w:r>
      <w:r w:rsidRPr="00476A58">
        <w:rPr>
          <w:rFonts w:ascii="標楷體" w:eastAsia="標楷體" w:hAnsi="標楷體" w:hint="eastAsia"/>
          <w:sz w:val="32"/>
          <w:szCs w:val="32"/>
        </w:rPr>
        <w:t>研</w:t>
      </w:r>
      <w:r>
        <w:rPr>
          <w:rFonts w:ascii="標楷體" w:eastAsia="標楷體" w:hAnsi="標楷體" w:hint="eastAsia"/>
          <w:sz w:val="32"/>
          <w:szCs w:val="32"/>
        </w:rPr>
        <w:t>究</w:t>
      </w:r>
      <w:r w:rsidRPr="00476A58">
        <w:rPr>
          <w:rFonts w:ascii="標楷體" w:eastAsia="標楷體" w:hAnsi="標楷體" w:hint="eastAsia"/>
          <w:sz w:val="32"/>
          <w:szCs w:val="32"/>
        </w:rPr>
        <w:t>院廖院長俊智，以及審查111年度預算案時，均要求中研院推動「社會處方箋─藝術輔療方案」，評估轄下適當藝文館舍與試辦醫院夥伴。經查在</w:t>
      </w:r>
      <w:r>
        <w:rPr>
          <w:rFonts w:ascii="標楷體" w:eastAsia="標楷體" w:hAnsi="標楷體" w:hint="eastAsia"/>
          <w:sz w:val="32"/>
          <w:szCs w:val="32"/>
        </w:rPr>
        <w:t>吳委員思瑤</w:t>
      </w:r>
      <w:r w:rsidRPr="00476A58">
        <w:rPr>
          <w:rFonts w:ascii="標楷體" w:eastAsia="標楷體" w:hAnsi="標楷體" w:hint="eastAsia"/>
          <w:sz w:val="32"/>
          <w:szCs w:val="32"/>
        </w:rPr>
        <w:t>的要求下，中研院旋即邀請臺北市立聯合醫院失智症中心和忠孝院區共同合作社會處方箋計</w:t>
      </w:r>
      <w:r>
        <w:rPr>
          <w:rFonts w:ascii="標楷體" w:eastAsia="標楷體" w:hAnsi="標楷體" w:hint="eastAsia"/>
          <w:sz w:val="32"/>
          <w:szCs w:val="32"/>
        </w:rPr>
        <w:t>畫</w:t>
      </w:r>
      <w:r w:rsidRPr="00476A58">
        <w:rPr>
          <w:rFonts w:ascii="標楷體" w:eastAsia="標楷體" w:hAnsi="標楷體" w:hint="eastAsia"/>
          <w:sz w:val="32"/>
          <w:szCs w:val="32"/>
        </w:rPr>
        <w:t>，並於</w:t>
      </w:r>
      <w:r>
        <w:rPr>
          <w:rFonts w:ascii="標楷體" w:eastAsia="標楷體" w:hAnsi="標楷體" w:hint="eastAsia"/>
          <w:sz w:val="32"/>
          <w:szCs w:val="32"/>
        </w:rPr>
        <w:t>111</w:t>
      </w:r>
      <w:r w:rsidRPr="00476A58">
        <w:rPr>
          <w:rFonts w:ascii="標楷體" w:eastAsia="標楷體" w:hAnsi="標楷體" w:hint="eastAsia"/>
          <w:sz w:val="32"/>
          <w:szCs w:val="32"/>
        </w:rPr>
        <w:t>年8月簽署失智照護服務合作備忘錄，並擇選民族學研究所博物館、歷史文物陳列館及胡適紀念館3處場館，作為辦理藝術輔療之場址，預期效應如下：</w:t>
      </w:r>
      <w:r>
        <w:rPr>
          <w:rFonts w:ascii="標楷體" w:eastAsia="標楷體" w:hAnsi="標楷體" w:hint="eastAsia"/>
          <w:sz w:val="32"/>
          <w:szCs w:val="32"/>
        </w:rPr>
        <w:t>1.</w:t>
      </w:r>
      <w:r w:rsidRPr="00476A58">
        <w:rPr>
          <w:rFonts w:ascii="標楷體" w:eastAsia="標楷體" w:hAnsi="標楷體" w:hint="eastAsia"/>
          <w:sz w:val="32"/>
          <w:szCs w:val="32"/>
        </w:rPr>
        <w:t>博物館身為社會支援系統的一環，且館舍豐富的文化資源及放鬆和緩的氛圍極具療癒潛能，可協助延緩長者衰退、活化記憶，並期降低照護者的心理壓力</w:t>
      </w:r>
      <w:r>
        <w:rPr>
          <w:rFonts w:ascii="標楷體" w:eastAsia="標楷體" w:hAnsi="標楷體" w:hint="eastAsia"/>
          <w:sz w:val="32"/>
          <w:szCs w:val="32"/>
        </w:rPr>
        <w:t>；2.</w:t>
      </w:r>
      <w:r w:rsidRPr="00476A58">
        <w:rPr>
          <w:rFonts w:ascii="標楷體" w:eastAsia="標楷體" w:hAnsi="標楷體" w:hint="eastAsia"/>
          <w:sz w:val="32"/>
          <w:szCs w:val="32"/>
        </w:rPr>
        <w:t>有利促進「文化平權」，不僅提高失智者及家庭之社會參與率，鼓勵失智者與家庭成員共同出行，亦能協助中央研究院下的博物館化研為用。但經查國際推動社會處方箋之種類、執行方案相當多元，以英國為例，社會處方箋是英國國民保健署的長期計畫項目之一，處方箋開立者不限於醫師，還包含護理師和專業照顧者，依據專業判斷，選擇特定活動並有目標、計畫性地開立處方箋，持有該處方箋者可依據開立的項目參與文化、藝術、運動等兼具建立社交關係等活動。反</w:t>
      </w:r>
      <w:r>
        <w:rPr>
          <w:rFonts w:ascii="標楷體" w:eastAsia="標楷體" w:hAnsi="標楷體" w:hint="eastAsia"/>
          <w:sz w:val="32"/>
          <w:szCs w:val="32"/>
        </w:rPr>
        <w:t>觀我國目前長照政策與相關心理衛生治療，並未正式納入社會處方箋，</w:t>
      </w:r>
      <w:r w:rsidRPr="00476A58">
        <w:rPr>
          <w:rFonts w:ascii="標楷體" w:eastAsia="標楷體" w:hAnsi="標楷體" w:hint="eastAsia"/>
          <w:sz w:val="32"/>
          <w:szCs w:val="32"/>
        </w:rPr>
        <w:t>請中</w:t>
      </w:r>
      <w:r>
        <w:rPr>
          <w:rFonts w:ascii="標楷體" w:eastAsia="標楷體" w:hAnsi="標楷體" w:hint="eastAsia"/>
          <w:sz w:val="32"/>
          <w:szCs w:val="32"/>
        </w:rPr>
        <w:t>央</w:t>
      </w:r>
      <w:r w:rsidRPr="00476A58">
        <w:rPr>
          <w:rFonts w:ascii="標楷體" w:eastAsia="標楷體" w:hAnsi="標楷體" w:hint="eastAsia"/>
          <w:sz w:val="32"/>
          <w:szCs w:val="32"/>
        </w:rPr>
        <w:t>研</w:t>
      </w:r>
      <w:r>
        <w:rPr>
          <w:rFonts w:ascii="標楷體" w:eastAsia="標楷體" w:hAnsi="標楷體" w:hint="eastAsia"/>
          <w:sz w:val="32"/>
          <w:szCs w:val="32"/>
        </w:rPr>
        <w:t>究</w:t>
      </w:r>
      <w:r w:rsidRPr="00476A58">
        <w:rPr>
          <w:rFonts w:ascii="標楷體" w:eastAsia="標楷體" w:hAnsi="標楷體" w:hint="eastAsia"/>
          <w:sz w:val="32"/>
          <w:szCs w:val="32"/>
        </w:rPr>
        <w:t>院應就我國執行社會處方箋的可行模式進行研究，俾利擴大社會各界對於社會處方箋之推動與採用，</w:t>
      </w:r>
      <w:r>
        <w:rPr>
          <w:rFonts w:ascii="標楷體" w:eastAsia="標楷體" w:hAnsi="標楷體" w:hint="eastAsia"/>
          <w:sz w:val="32"/>
          <w:szCs w:val="32"/>
        </w:rPr>
        <w:t>並</w:t>
      </w:r>
      <w:r w:rsidRPr="00476A58">
        <w:rPr>
          <w:rFonts w:ascii="標楷體" w:eastAsia="標楷體" w:hAnsi="標楷體" w:hint="eastAsia"/>
          <w:sz w:val="32"/>
          <w:szCs w:val="32"/>
        </w:rPr>
        <w:t>於2個月內</w:t>
      </w:r>
      <w:r>
        <w:rPr>
          <w:rFonts w:ascii="標楷體" w:eastAsia="標楷體" w:hAnsi="標楷體" w:hint="eastAsia"/>
          <w:sz w:val="32"/>
          <w:szCs w:val="32"/>
        </w:rPr>
        <w:t>向</w:t>
      </w:r>
      <w:r w:rsidRPr="00476A58">
        <w:rPr>
          <w:rFonts w:ascii="標楷體" w:eastAsia="標楷體" w:hAnsi="標楷體" w:hint="eastAsia"/>
          <w:sz w:val="32"/>
          <w:szCs w:val="32"/>
        </w:rPr>
        <w:t>立法院教育及文化委員會提出書面報告。</w:t>
      </w:r>
      <w:r>
        <w:rPr>
          <w:rFonts w:ascii="標楷體" w:eastAsia="標楷體" w:hAnsi="標楷體" w:hint="eastAsia"/>
          <w:sz w:val="32"/>
          <w:szCs w:val="32"/>
        </w:rPr>
        <w:t>99</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吳思瑤  林宜瑾</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lastRenderedPageBreak/>
        <w:t>連署人：</w:t>
      </w:r>
      <w:r>
        <w:rPr>
          <w:rFonts w:ascii="標楷體" w:eastAsia="標楷體" w:hAnsi="標楷體" w:hint="eastAsia"/>
          <w:sz w:val="32"/>
          <w:szCs w:val="32"/>
        </w:rPr>
        <w:t>黃國書</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t>(四十四)</w:t>
      </w:r>
      <w:r w:rsidRPr="00476A58">
        <w:rPr>
          <w:rFonts w:ascii="標楷體" w:eastAsia="標楷體" w:hAnsi="標楷體" w:hint="eastAsia"/>
          <w:sz w:val="32"/>
          <w:szCs w:val="32"/>
        </w:rPr>
        <w:t>中</w:t>
      </w:r>
      <w:r>
        <w:rPr>
          <w:rFonts w:ascii="標楷體" w:eastAsia="標楷體" w:hAnsi="標楷體" w:hint="eastAsia"/>
          <w:sz w:val="32"/>
          <w:szCs w:val="32"/>
        </w:rPr>
        <w:t>央</w:t>
      </w:r>
      <w:r w:rsidRPr="00476A58">
        <w:rPr>
          <w:rFonts w:ascii="標楷體" w:eastAsia="標楷體" w:hAnsi="標楷體" w:hint="eastAsia"/>
          <w:sz w:val="32"/>
          <w:szCs w:val="32"/>
        </w:rPr>
        <w:t>研</w:t>
      </w:r>
      <w:r>
        <w:rPr>
          <w:rFonts w:ascii="標楷體" w:eastAsia="標楷體" w:hAnsi="標楷體" w:hint="eastAsia"/>
          <w:sz w:val="32"/>
          <w:szCs w:val="32"/>
        </w:rPr>
        <w:t>究</w:t>
      </w:r>
      <w:r w:rsidRPr="00476A58">
        <w:rPr>
          <w:rFonts w:ascii="標楷體" w:eastAsia="標楷體" w:hAnsi="標楷體" w:hint="eastAsia"/>
          <w:sz w:val="32"/>
          <w:szCs w:val="32"/>
        </w:rPr>
        <w:t>院於南部院區發展量子科技相關計畫，據中研院提供資料，南部院區第2階段興建工程之跨領域研究大樓II及綜合大樓將於112年中竣工，陸續完成驗收。量子科技為我國科技發展重要目標之一，且南部院區亦肩負平衡南北科研資源之重要任務，實應積極進行相關工程與人才招募。為敦促中</w:t>
      </w:r>
      <w:r>
        <w:rPr>
          <w:rFonts w:ascii="標楷體" w:eastAsia="標楷體" w:hAnsi="標楷體" w:hint="eastAsia"/>
          <w:sz w:val="32"/>
          <w:szCs w:val="32"/>
        </w:rPr>
        <w:t>央</w:t>
      </w:r>
      <w:r w:rsidRPr="00476A58">
        <w:rPr>
          <w:rFonts w:ascii="標楷體" w:eastAsia="標楷體" w:hAnsi="標楷體" w:hint="eastAsia"/>
          <w:sz w:val="32"/>
          <w:szCs w:val="32"/>
        </w:rPr>
        <w:t>研</w:t>
      </w:r>
      <w:r>
        <w:rPr>
          <w:rFonts w:ascii="標楷體" w:eastAsia="標楷體" w:hAnsi="標楷體" w:hint="eastAsia"/>
          <w:sz w:val="32"/>
          <w:szCs w:val="32"/>
        </w:rPr>
        <w:t>究</w:t>
      </w:r>
      <w:r w:rsidRPr="00476A58">
        <w:rPr>
          <w:rFonts w:ascii="標楷體" w:eastAsia="標楷體" w:hAnsi="標楷體" w:hint="eastAsia"/>
          <w:sz w:val="32"/>
          <w:szCs w:val="32"/>
        </w:rPr>
        <w:t>院積極進行南部院區之相關計畫，</w:t>
      </w:r>
      <w:r>
        <w:rPr>
          <w:rFonts w:ascii="標楷體" w:eastAsia="標楷體" w:hAnsi="標楷體" w:hint="eastAsia"/>
          <w:sz w:val="32"/>
          <w:szCs w:val="32"/>
        </w:rPr>
        <w:t>並</w:t>
      </w:r>
      <w:r w:rsidRPr="00476A58">
        <w:rPr>
          <w:rFonts w:ascii="標楷體" w:eastAsia="標楷體" w:hAnsi="標楷體" w:hint="eastAsia"/>
          <w:sz w:val="32"/>
          <w:szCs w:val="32"/>
        </w:rPr>
        <w:t>於1個月內</w:t>
      </w:r>
      <w:r>
        <w:rPr>
          <w:rFonts w:ascii="標楷體" w:eastAsia="標楷體" w:hAnsi="標楷體" w:hint="eastAsia"/>
          <w:sz w:val="32"/>
          <w:szCs w:val="32"/>
        </w:rPr>
        <w:t>向</w:t>
      </w:r>
      <w:r w:rsidRPr="00476A58">
        <w:rPr>
          <w:rFonts w:ascii="標楷體" w:eastAsia="標楷體" w:hAnsi="標楷體" w:hint="eastAsia"/>
          <w:sz w:val="32"/>
          <w:szCs w:val="32"/>
        </w:rPr>
        <w:t>立法院教育及文化委員會</w:t>
      </w:r>
      <w:r>
        <w:rPr>
          <w:rFonts w:ascii="標楷體" w:eastAsia="標楷體" w:hAnsi="標楷體" w:hint="eastAsia"/>
          <w:sz w:val="32"/>
          <w:szCs w:val="32"/>
        </w:rPr>
        <w:t>提出書面報告</w:t>
      </w:r>
      <w:r w:rsidRPr="00476A58">
        <w:rPr>
          <w:rFonts w:ascii="標楷體" w:eastAsia="標楷體" w:hAnsi="標楷體" w:hint="eastAsia"/>
          <w:sz w:val="32"/>
          <w:szCs w:val="32"/>
        </w:rPr>
        <w:t>。</w:t>
      </w:r>
      <w:r>
        <w:rPr>
          <w:rFonts w:ascii="標楷體" w:eastAsia="標楷體" w:hAnsi="標楷體" w:hint="eastAsia"/>
          <w:sz w:val="32"/>
          <w:szCs w:val="32"/>
        </w:rPr>
        <w:t>103</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林宜瑾</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w:t>
      </w:r>
      <w:r>
        <w:rPr>
          <w:rFonts w:ascii="標楷體" w:eastAsia="標楷體" w:hAnsi="標楷體" w:hint="eastAsia"/>
          <w:sz w:val="32"/>
          <w:szCs w:val="32"/>
        </w:rPr>
        <w:t>黃國書  鄭正鈐</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t>(四十五)</w:t>
      </w:r>
      <w:r w:rsidRPr="00476A58">
        <w:rPr>
          <w:rFonts w:ascii="標楷體" w:eastAsia="標楷體" w:hAnsi="標楷體" w:hint="eastAsia"/>
          <w:sz w:val="32"/>
          <w:szCs w:val="32"/>
        </w:rPr>
        <w:t>112年度</w:t>
      </w:r>
      <w:r>
        <w:rPr>
          <w:rFonts w:ascii="標楷體" w:eastAsia="標楷體" w:hAnsi="標楷體" w:hint="eastAsia"/>
          <w:sz w:val="32"/>
          <w:szCs w:val="32"/>
        </w:rPr>
        <w:t>中央研究院</w:t>
      </w:r>
      <w:r w:rsidRPr="00476A58">
        <w:rPr>
          <w:rFonts w:ascii="標楷體" w:eastAsia="標楷體" w:hAnsi="標楷體" w:hint="eastAsia"/>
          <w:sz w:val="32"/>
          <w:szCs w:val="32"/>
        </w:rPr>
        <w:t>「南部院區」編列</w:t>
      </w:r>
      <w:r>
        <w:rPr>
          <w:rFonts w:ascii="標楷體" w:eastAsia="標楷體" w:hAnsi="標楷體" w:hint="eastAsia"/>
          <w:sz w:val="32"/>
          <w:szCs w:val="32"/>
        </w:rPr>
        <w:t>之預算</w:t>
      </w:r>
      <w:r w:rsidRPr="00476A58">
        <w:rPr>
          <w:rFonts w:ascii="標楷體" w:eastAsia="標楷體" w:hAnsi="標楷體" w:hint="eastAsia"/>
          <w:sz w:val="32"/>
          <w:szCs w:val="32"/>
        </w:rPr>
        <w:t>包含相關科學研究計畫之獎補助經費。惟根據中研院之資料顯示，110年度南部院區計畫之獎補助費預算執行率僅有39.4%，為中研院各科目編列之獎補助費執行率最低。南部院區獎補助費執行不佳係因博士生招收人數低，中</w:t>
      </w:r>
      <w:r>
        <w:rPr>
          <w:rFonts w:ascii="標楷體" w:eastAsia="標楷體" w:hAnsi="標楷體" w:hint="eastAsia"/>
          <w:sz w:val="32"/>
          <w:szCs w:val="32"/>
        </w:rPr>
        <w:t>央</w:t>
      </w:r>
      <w:r w:rsidRPr="00476A58">
        <w:rPr>
          <w:rFonts w:ascii="標楷體" w:eastAsia="標楷體" w:hAnsi="標楷體" w:hint="eastAsia"/>
          <w:sz w:val="32"/>
          <w:szCs w:val="32"/>
        </w:rPr>
        <w:t>研</w:t>
      </w:r>
      <w:r>
        <w:rPr>
          <w:rFonts w:ascii="標楷體" w:eastAsia="標楷體" w:hAnsi="標楷體" w:hint="eastAsia"/>
          <w:sz w:val="32"/>
          <w:szCs w:val="32"/>
        </w:rPr>
        <w:t>究</w:t>
      </w:r>
      <w:r w:rsidRPr="00476A58">
        <w:rPr>
          <w:rFonts w:ascii="標楷體" w:eastAsia="標楷體" w:hAnsi="標楷體" w:hint="eastAsia"/>
          <w:sz w:val="32"/>
          <w:szCs w:val="32"/>
        </w:rPr>
        <w:t>院允宜加強研謀改善，積極推廣招攬優秀研究人才，提高優秀人才申請獎助計畫之意願，為台灣培育優秀科研人才，厚植台灣科研實力</w:t>
      </w:r>
      <w:r>
        <w:rPr>
          <w:rFonts w:ascii="標楷體" w:eastAsia="標楷體" w:hAnsi="標楷體" w:hint="eastAsia"/>
          <w:sz w:val="32"/>
          <w:szCs w:val="32"/>
        </w:rPr>
        <w:t>，並</w:t>
      </w:r>
      <w:r w:rsidRPr="00476A58">
        <w:rPr>
          <w:rFonts w:ascii="標楷體" w:eastAsia="標楷體" w:hAnsi="標楷體" w:hint="eastAsia"/>
          <w:sz w:val="32"/>
          <w:szCs w:val="32"/>
        </w:rPr>
        <w:t>於1個月內</w:t>
      </w:r>
      <w:r>
        <w:rPr>
          <w:rFonts w:ascii="標楷體" w:eastAsia="標楷體" w:hAnsi="標楷體" w:hint="eastAsia"/>
          <w:sz w:val="32"/>
          <w:szCs w:val="32"/>
        </w:rPr>
        <w:t>向</w:t>
      </w:r>
      <w:r w:rsidRPr="00476A58">
        <w:rPr>
          <w:rFonts w:ascii="標楷體" w:eastAsia="標楷體" w:hAnsi="標楷體" w:hint="eastAsia"/>
          <w:sz w:val="32"/>
          <w:szCs w:val="32"/>
        </w:rPr>
        <w:t>立法院教育及文化委員會提出書面報告。</w:t>
      </w:r>
      <w:r>
        <w:rPr>
          <w:rFonts w:ascii="標楷體" w:eastAsia="標楷體" w:hAnsi="標楷體" w:hint="eastAsia"/>
          <w:sz w:val="32"/>
          <w:szCs w:val="32"/>
        </w:rPr>
        <w:t>104</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陳秀寳</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w:t>
      </w:r>
      <w:r>
        <w:rPr>
          <w:rFonts w:ascii="標楷體" w:eastAsia="標楷體" w:hAnsi="標楷體" w:hint="eastAsia"/>
          <w:sz w:val="32"/>
          <w:szCs w:val="32"/>
        </w:rPr>
        <w:t>黃國書  林宜瑾</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t>(四十六)南部科學園區</w:t>
      </w:r>
      <w:r w:rsidRPr="001E6D91">
        <w:rPr>
          <w:rFonts w:ascii="標楷體" w:eastAsia="標楷體" w:hAnsi="標楷體" w:hint="eastAsia"/>
          <w:sz w:val="32"/>
          <w:szCs w:val="32"/>
        </w:rPr>
        <w:t>建有基因轉殖溫室與</w:t>
      </w:r>
      <w:r>
        <w:rPr>
          <w:rFonts w:ascii="標楷體" w:eastAsia="標楷體" w:hAnsi="標楷體" w:hint="eastAsia"/>
          <w:sz w:val="32"/>
          <w:szCs w:val="32"/>
        </w:rPr>
        <w:t>中央研究院南</w:t>
      </w:r>
      <w:r w:rsidRPr="001E6D91">
        <w:rPr>
          <w:rFonts w:ascii="標楷體" w:eastAsia="標楷體" w:hAnsi="標楷體" w:hint="eastAsia"/>
          <w:sz w:val="32"/>
          <w:szCs w:val="32"/>
        </w:rPr>
        <w:t>部院區</w:t>
      </w:r>
      <w:r>
        <w:rPr>
          <w:rFonts w:ascii="標楷體" w:eastAsia="標楷體" w:hAnsi="標楷體" w:hint="eastAsia"/>
          <w:sz w:val="32"/>
          <w:szCs w:val="32"/>
        </w:rPr>
        <w:t>精密溫室及玻璃溫室，</w:t>
      </w:r>
      <w:r w:rsidRPr="001E6D91">
        <w:rPr>
          <w:rFonts w:ascii="標楷體" w:eastAsia="標楷體" w:hAnsi="標楷體" w:hint="eastAsia"/>
          <w:sz w:val="32"/>
          <w:szCs w:val="32"/>
        </w:rPr>
        <w:t>提供南部地區之農業生技學研及業界付費使用。然據中研院統計，迄110年11月南部科學園區基因轉殖溫室之玻璃空調溫室出租率約75%、田區網室出租率約60%、生長箱出租率約52%；南部院區精密溫室生長箱出租率約80%，玻璃空調溫室出租率約35%，病理空調區出租率約83%，出租率尚有提升空間。</w:t>
      </w:r>
      <w:r w:rsidRPr="000E1957">
        <w:rPr>
          <w:rFonts w:ascii="標楷體" w:eastAsia="標楷體" w:hAnsi="標楷體" w:hint="eastAsia"/>
          <w:sz w:val="32"/>
          <w:szCs w:val="32"/>
        </w:rPr>
        <w:t>112年度中央研究院「南部院</w:t>
      </w:r>
      <w:r w:rsidRPr="000E1957">
        <w:rPr>
          <w:rFonts w:ascii="標楷體" w:eastAsia="標楷體" w:hAnsi="標楷體" w:hint="eastAsia"/>
          <w:sz w:val="32"/>
          <w:szCs w:val="32"/>
        </w:rPr>
        <w:lastRenderedPageBreak/>
        <w:t>區」項下「核心溫室」計畫編列維持溫室基本營運所需費用中，水電費、臨時人員酬金及土地租金總計已花費1,016萬元</w:t>
      </w:r>
      <w:r>
        <w:rPr>
          <w:rFonts w:ascii="標楷體" w:eastAsia="標楷體" w:hAnsi="標楷體" w:hint="eastAsia"/>
          <w:sz w:val="32"/>
          <w:szCs w:val="32"/>
        </w:rPr>
        <w:t>。</w:t>
      </w:r>
      <w:r w:rsidRPr="001E6D91">
        <w:rPr>
          <w:rFonts w:ascii="標楷體" w:eastAsia="標楷體" w:hAnsi="標楷體" w:hint="eastAsia"/>
          <w:sz w:val="32"/>
          <w:szCs w:val="32"/>
        </w:rPr>
        <w:t>中</w:t>
      </w:r>
      <w:r>
        <w:rPr>
          <w:rFonts w:ascii="標楷體" w:eastAsia="標楷體" w:hAnsi="標楷體" w:hint="eastAsia"/>
          <w:sz w:val="32"/>
          <w:szCs w:val="32"/>
        </w:rPr>
        <w:t>央</w:t>
      </w:r>
      <w:r w:rsidRPr="001E6D91">
        <w:rPr>
          <w:rFonts w:ascii="標楷體" w:eastAsia="標楷體" w:hAnsi="標楷體" w:hint="eastAsia"/>
          <w:sz w:val="32"/>
          <w:szCs w:val="32"/>
        </w:rPr>
        <w:t>研</w:t>
      </w:r>
      <w:r>
        <w:rPr>
          <w:rFonts w:ascii="標楷體" w:eastAsia="標楷體" w:hAnsi="標楷體" w:hint="eastAsia"/>
          <w:sz w:val="32"/>
          <w:szCs w:val="32"/>
        </w:rPr>
        <w:t>究</w:t>
      </w:r>
      <w:r w:rsidRPr="001E6D91">
        <w:rPr>
          <w:rFonts w:ascii="標楷體" w:eastAsia="標楷體" w:hAnsi="標楷體" w:hint="eastAsia"/>
          <w:sz w:val="32"/>
          <w:szCs w:val="32"/>
        </w:rPr>
        <w:t>院應提升預算使用效能</w:t>
      </w:r>
      <w:r>
        <w:rPr>
          <w:rFonts w:ascii="標楷體" w:eastAsia="標楷體" w:hAnsi="標楷體" w:hint="eastAsia"/>
          <w:sz w:val="32"/>
          <w:szCs w:val="32"/>
        </w:rPr>
        <w:t>，</w:t>
      </w:r>
      <w:r w:rsidRPr="001E6D91">
        <w:rPr>
          <w:rFonts w:ascii="標楷體" w:eastAsia="標楷體" w:hAnsi="標楷體" w:hint="eastAsia"/>
          <w:sz w:val="32"/>
          <w:szCs w:val="32"/>
        </w:rPr>
        <w:t>積極推廣宣傳，加強溫室設備使用率，以增加設施使用費收入</w:t>
      </w:r>
      <w:r>
        <w:rPr>
          <w:rFonts w:ascii="標楷體" w:eastAsia="標楷體" w:hAnsi="標楷體" w:hint="eastAsia"/>
          <w:sz w:val="32"/>
          <w:szCs w:val="32"/>
        </w:rPr>
        <w:t>，並</w:t>
      </w:r>
      <w:r w:rsidRPr="001E6D91">
        <w:rPr>
          <w:rFonts w:ascii="標楷體" w:eastAsia="標楷體" w:hAnsi="標楷體" w:hint="eastAsia"/>
          <w:sz w:val="32"/>
          <w:szCs w:val="32"/>
        </w:rPr>
        <w:t>於3個月內</w:t>
      </w:r>
      <w:r>
        <w:rPr>
          <w:rFonts w:ascii="標楷體" w:eastAsia="標楷體" w:hAnsi="標楷體" w:hint="eastAsia"/>
          <w:sz w:val="32"/>
          <w:szCs w:val="32"/>
        </w:rPr>
        <w:t>向</w:t>
      </w:r>
      <w:r w:rsidRPr="001E6D91">
        <w:rPr>
          <w:rFonts w:ascii="標楷體" w:eastAsia="標楷體" w:hAnsi="標楷體" w:hint="eastAsia"/>
          <w:sz w:val="32"/>
          <w:szCs w:val="32"/>
        </w:rPr>
        <w:t>立法院教育及文化委員會提出書面報告。</w:t>
      </w:r>
      <w:r>
        <w:rPr>
          <w:rFonts w:ascii="標楷體" w:eastAsia="標楷體" w:hAnsi="標楷體" w:hint="eastAsia"/>
          <w:sz w:val="32"/>
          <w:szCs w:val="32"/>
        </w:rPr>
        <w:t>106</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黃國書  陳秀寳  林宜瑾</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t>(四十七)</w:t>
      </w:r>
      <w:r w:rsidRPr="001E6D91">
        <w:rPr>
          <w:rFonts w:ascii="標楷體" w:eastAsia="標楷體" w:hAnsi="標楷體" w:hint="eastAsia"/>
          <w:sz w:val="32"/>
          <w:szCs w:val="32"/>
        </w:rPr>
        <w:t>量子科技為近代科技發展重中之重，各國皆戮力進行量子科技研究，中</w:t>
      </w:r>
      <w:r>
        <w:rPr>
          <w:rFonts w:ascii="標楷體" w:eastAsia="標楷體" w:hAnsi="標楷體" w:hint="eastAsia"/>
          <w:sz w:val="32"/>
          <w:szCs w:val="32"/>
        </w:rPr>
        <w:t>央</w:t>
      </w:r>
      <w:r w:rsidRPr="001E6D91">
        <w:rPr>
          <w:rFonts w:ascii="標楷體" w:eastAsia="標楷體" w:hAnsi="標楷體" w:hint="eastAsia"/>
          <w:sz w:val="32"/>
          <w:szCs w:val="32"/>
        </w:rPr>
        <w:t>研</w:t>
      </w:r>
      <w:r>
        <w:rPr>
          <w:rFonts w:ascii="標楷體" w:eastAsia="標楷體" w:hAnsi="標楷體" w:hint="eastAsia"/>
          <w:sz w:val="32"/>
          <w:szCs w:val="32"/>
        </w:rPr>
        <w:t>究</w:t>
      </w:r>
      <w:r w:rsidRPr="001E6D91">
        <w:rPr>
          <w:rFonts w:ascii="標楷體" w:eastAsia="標楷體" w:hAnsi="標楷體" w:hint="eastAsia"/>
          <w:sz w:val="32"/>
          <w:szCs w:val="32"/>
        </w:rPr>
        <w:t>院已著手建置量子核心設施基地及購置基礎研究之特殊實驗設備，規劃在南部院區建置量子科技發展基地，研究團隊預計於112年下半年進駐。然我國科研人才是否足夠尚有疑慮，依中研院公布之延攬研究人員人數統計資料顯示，106</w:t>
      </w:r>
      <w:r>
        <w:rPr>
          <w:rFonts w:ascii="標楷體" w:eastAsia="標楷體" w:hAnsi="標楷體" w:hint="eastAsia"/>
          <w:sz w:val="32"/>
          <w:szCs w:val="32"/>
        </w:rPr>
        <w:t>年度</w:t>
      </w:r>
      <w:r w:rsidRPr="001E6D91">
        <w:rPr>
          <w:rFonts w:ascii="標楷體" w:eastAsia="標楷體" w:hAnsi="標楷體" w:hint="eastAsia"/>
          <w:sz w:val="32"/>
          <w:szCs w:val="32"/>
        </w:rPr>
        <w:t>延攬研究人員497人，而110</w:t>
      </w:r>
      <w:r>
        <w:rPr>
          <w:rFonts w:ascii="標楷體" w:eastAsia="標楷體" w:hAnsi="標楷體" w:hint="eastAsia"/>
          <w:sz w:val="32"/>
          <w:szCs w:val="32"/>
        </w:rPr>
        <w:t>年度</w:t>
      </w:r>
      <w:r w:rsidRPr="001E6D91">
        <w:rPr>
          <w:rFonts w:ascii="標楷體" w:eastAsia="標楷體" w:hAnsi="標楷體" w:hint="eastAsia"/>
          <w:sz w:val="32"/>
          <w:szCs w:val="32"/>
        </w:rPr>
        <w:t>延攬人數僅320人，人數明顯下降，雖</w:t>
      </w:r>
      <w:r>
        <w:rPr>
          <w:rFonts w:ascii="標楷體" w:eastAsia="標楷體" w:hAnsi="標楷體" w:hint="eastAsia"/>
          <w:sz w:val="32"/>
          <w:szCs w:val="32"/>
        </w:rPr>
        <w:t>因</w:t>
      </w:r>
      <w:r w:rsidRPr="001E6D91">
        <w:rPr>
          <w:rFonts w:ascii="標楷體" w:eastAsia="標楷體" w:hAnsi="標楷體" w:hint="eastAsia"/>
          <w:sz w:val="32"/>
          <w:szCs w:val="32"/>
        </w:rPr>
        <w:t>嚴重特殊傳染性肺炎疫情影響，對於優秀人才招募實屬不易。在全球化趨勢下國際人才競逐不易，為推動臺灣量子科技發展，中</w:t>
      </w:r>
      <w:r>
        <w:rPr>
          <w:rFonts w:ascii="標楷體" w:eastAsia="標楷體" w:hAnsi="標楷體" w:hint="eastAsia"/>
          <w:sz w:val="32"/>
          <w:szCs w:val="32"/>
        </w:rPr>
        <w:t>央</w:t>
      </w:r>
      <w:r w:rsidRPr="001E6D91">
        <w:rPr>
          <w:rFonts w:ascii="標楷體" w:eastAsia="標楷體" w:hAnsi="標楷體" w:hint="eastAsia"/>
          <w:sz w:val="32"/>
          <w:szCs w:val="32"/>
        </w:rPr>
        <w:t>研</w:t>
      </w:r>
      <w:r>
        <w:rPr>
          <w:rFonts w:ascii="標楷體" w:eastAsia="標楷體" w:hAnsi="標楷體" w:hint="eastAsia"/>
          <w:sz w:val="32"/>
          <w:szCs w:val="32"/>
        </w:rPr>
        <w:t>究</w:t>
      </w:r>
      <w:r w:rsidRPr="001E6D91">
        <w:rPr>
          <w:rFonts w:ascii="標楷體" w:eastAsia="標楷體" w:hAnsi="標楷體" w:hint="eastAsia"/>
          <w:sz w:val="32"/>
          <w:szCs w:val="32"/>
        </w:rPr>
        <w:t>院</w:t>
      </w:r>
      <w:r>
        <w:rPr>
          <w:rFonts w:ascii="標楷體" w:eastAsia="標楷體" w:hAnsi="標楷體" w:hint="eastAsia"/>
          <w:sz w:val="32"/>
          <w:szCs w:val="32"/>
        </w:rPr>
        <w:t>應</w:t>
      </w:r>
      <w:r w:rsidRPr="001E6D91">
        <w:rPr>
          <w:rFonts w:ascii="標楷體" w:eastAsia="標楷體" w:hAnsi="標楷體" w:hint="eastAsia"/>
          <w:sz w:val="32"/>
          <w:szCs w:val="32"/>
        </w:rPr>
        <w:t>於研究團隊進駐基地前，積極籌劃延攬優秀人才進駐</w:t>
      </w:r>
      <w:r>
        <w:rPr>
          <w:rFonts w:ascii="標楷體" w:eastAsia="標楷體" w:hAnsi="標楷體" w:hint="eastAsia"/>
          <w:sz w:val="32"/>
          <w:szCs w:val="32"/>
        </w:rPr>
        <w:t>，並</w:t>
      </w:r>
      <w:r w:rsidRPr="001E6D91">
        <w:rPr>
          <w:rFonts w:ascii="標楷體" w:eastAsia="標楷體" w:hAnsi="標楷體" w:hint="eastAsia"/>
          <w:sz w:val="32"/>
          <w:szCs w:val="32"/>
        </w:rPr>
        <w:t>於1個月內</w:t>
      </w:r>
      <w:r>
        <w:rPr>
          <w:rFonts w:ascii="標楷體" w:eastAsia="標楷體" w:hAnsi="標楷體" w:hint="eastAsia"/>
          <w:sz w:val="32"/>
          <w:szCs w:val="32"/>
        </w:rPr>
        <w:t>向</w:t>
      </w:r>
      <w:r w:rsidRPr="001E6D91">
        <w:rPr>
          <w:rFonts w:ascii="標楷體" w:eastAsia="標楷體" w:hAnsi="標楷體" w:hint="eastAsia"/>
          <w:sz w:val="32"/>
          <w:szCs w:val="32"/>
        </w:rPr>
        <w:t>立法院教育及文化委員會提出書面報告。</w:t>
      </w:r>
      <w:r>
        <w:rPr>
          <w:rFonts w:ascii="標楷體" w:eastAsia="標楷體" w:hAnsi="標楷體" w:hint="eastAsia"/>
          <w:sz w:val="32"/>
          <w:szCs w:val="32"/>
        </w:rPr>
        <w:t>107</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黃國書  陳秀寳  林宜瑾</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t>(四十八)</w:t>
      </w:r>
      <w:r w:rsidRPr="001E6D91">
        <w:rPr>
          <w:rFonts w:ascii="標楷體" w:eastAsia="標楷體" w:hAnsi="標楷體" w:hint="eastAsia"/>
          <w:sz w:val="32"/>
          <w:szCs w:val="32"/>
        </w:rPr>
        <w:t>自110年度起中央研究院對國際組織會費預算大幅增列，110年度預算數1,003萬2千元，決算數519萬8千元，執行率僅51.81%，顯示對國際組織會費之執行情形均未如預期，宜探究各該年度國內團體未申請補助之原因並參酌以前年度執行情形</w:t>
      </w:r>
      <w:r>
        <w:rPr>
          <w:rFonts w:ascii="標楷體" w:eastAsia="標楷體" w:hAnsi="標楷體" w:hint="eastAsia"/>
          <w:sz w:val="32"/>
          <w:szCs w:val="32"/>
        </w:rPr>
        <w:t>覈</w:t>
      </w:r>
      <w:r w:rsidRPr="001E6D91">
        <w:rPr>
          <w:rFonts w:ascii="標楷體" w:eastAsia="標楷體" w:hAnsi="標楷體" w:hint="eastAsia"/>
          <w:sz w:val="32"/>
          <w:szCs w:val="32"/>
        </w:rPr>
        <w:t>實編列預算。爰請中央研究院就前述內容於1個月內向立法院教育及文化委員會提出書面報告。</w:t>
      </w:r>
      <w:r>
        <w:rPr>
          <w:rFonts w:ascii="標楷體" w:eastAsia="標楷體" w:hAnsi="標楷體" w:hint="eastAsia"/>
          <w:sz w:val="32"/>
          <w:szCs w:val="32"/>
        </w:rPr>
        <w:t>108</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鄭正鈐</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w:t>
      </w:r>
      <w:r>
        <w:rPr>
          <w:rFonts w:ascii="標楷體" w:eastAsia="標楷體" w:hAnsi="標楷體" w:hint="eastAsia"/>
          <w:sz w:val="32"/>
          <w:szCs w:val="32"/>
        </w:rPr>
        <w:t>黃國書  林宜瑾</w:t>
      </w:r>
    </w:p>
    <w:p w:rsidR="00A52DD2"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(四十九)</w:t>
      </w:r>
      <w:r w:rsidRPr="000E1957">
        <w:rPr>
          <w:rFonts w:ascii="標楷體" w:eastAsia="標楷體" w:hAnsi="標楷體" w:hint="eastAsia"/>
          <w:sz w:val="32"/>
          <w:szCs w:val="32"/>
        </w:rPr>
        <w:t>112</w:t>
      </w:r>
      <w:r>
        <w:rPr>
          <w:rFonts w:ascii="標楷體" w:eastAsia="標楷體" w:hAnsi="標楷體" w:hint="eastAsia"/>
          <w:sz w:val="32"/>
          <w:szCs w:val="32"/>
        </w:rPr>
        <w:t>年度中央研究院</w:t>
      </w:r>
      <w:r w:rsidRPr="000E1957">
        <w:rPr>
          <w:rFonts w:ascii="標楷體" w:eastAsia="標楷體" w:hAnsi="標楷體" w:hint="eastAsia"/>
          <w:sz w:val="32"/>
          <w:szCs w:val="32"/>
        </w:rPr>
        <w:t>「南部院區」項下「量子科技」預算編列1億7,767萬9千元及中央研究院科學研究基金「基</w:t>
      </w:r>
      <w:r w:rsidRPr="000E1957">
        <w:rPr>
          <w:rFonts w:ascii="標楷體" w:eastAsia="標楷體" w:hAnsi="標楷體" w:hint="eastAsia"/>
          <w:sz w:val="32"/>
          <w:szCs w:val="32"/>
        </w:rPr>
        <w:lastRenderedPageBreak/>
        <w:t>金用途」項下「科研環境領航計畫」預算編列3億1,000萬元，合計4億8,767萬9千元，</w:t>
      </w:r>
      <w:r w:rsidRPr="001E6D91">
        <w:rPr>
          <w:rFonts w:ascii="標楷體" w:eastAsia="標楷體" w:hAnsi="標楷體" w:hint="eastAsia"/>
          <w:sz w:val="32"/>
          <w:szCs w:val="32"/>
        </w:rPr>
        <w:t>用以建置量子科技發展場域，發展相關高精密製程及設備，推動量子研究。中研院為全國學術研究最高機關，主要任務之一係為國家培養學術研究人才與延攬學術菁英，以促進人才交流與科技發展。依中研院官網公布之延攬研究人員人數統計資料顯示，106</w:t>
      </w:r>
      <w:r>
        <w:rPr>
          <w:rFonts w:ascii="標楷體" w:eastAsia="標楷體" w:hAnsi="標楷體" w:hint="eastAsia"/>
          <w:sz w:val="32"/>
          <w:szCs w:val="32"/>
        </w:rPr>
        <w:t>年度</w:t>
      </w:r>
      <w:r w:rsidRPr="001E6D91">
        <w:rPr>
          <w:rFonts w:ascii="標楷體" w:eastAsia="標楷體" w:hAnsi="標楷體" w:hint="eastAsia"/>
          <w:sz w:val="32"/>
          <w:szCs w:val="32"/>
        </w:rPr>
        <w:t>延攬研究人員497人，而110</w:t>
      </w:r>
      <w:r>
        <w:rPr>
          <w:rFonts w:ascii="標楷體" w:eastAsia="標楷體" w:hAnsi="標楷體" w:hint="eastAsia"/>
          <w:sz w:val="32"/>
          <w:szCs w:val="32"/>
        </w:rPr>
        <w:t>年度</w:t>
      </w:r>
      <w:r w:rsidRPr="001E6D91">
        <w:rPr>
          <w:rFonts w:ascii="標楷體" w:eastAsia="標楷體" w:hAnsi="標楷體" w:hint="eastAsia"/>
          <w:sz w:val="32"/>
          <w:szCs w:val="32"/>
        </w:rPr>
        <w:t>延攬人數僅320人，人數明顯下降。按該院規劃量子研究實驗室及辦公空間裝修完成後，研究團隊預計於112年底進駐，在全球化趨勢下國際人才競逐困難，為加速臺灣量子科技發展，宜持續控管工程進度，並同時預為籌劃延攬優秀人才進駐。爰請中央研究院針對延攬人才加強誘因，於1個月內</w:t>
      </w:r>
      <w:r>
        <w:rPr>
          <w:rFonts w:ascii="標楷體" w:eastAsia="標楷體" w:hAnsi="標楷體" w:hint="eastAsia"/>
          <w:sz w:val="32"/>
          <w:szCs w:val="32"/>
        </w:rPr>
        <w:t>向</w:t>
      </w:r>
      <w:r w:rsidRPr="001E6D91">
        <w:rPr>
          <w:rFonts w:ascii="標楷體" w:eastAsia="標楷體" w:hAnsi="標楷體" w:hint="eastAsia"/>
          <w:sz w:val="32"/>
          <w:szCs w:val="32"/>
        </w:rPr>
        <w:t>立法院教育及文化委員會提出書面報告。</w:t>
      </w:r>
      <w:r>
        <w:rPr>
          <w:rFonts w:ascii="標楷體" w:eastAsia="標楷體" w:hAnsi="標楷體" w:hint="eastAsia"/>
          <w:sz w:val="32"/>
          <w:szCs w:val="32"/>
        </w:rPr>
        <w:t>113</w:t>
      </w:r>
    </w:p>
    <w:p w:rsidR="00A52DD2" w:rsidRPr="00425CA0" w:rsidRDefault="00A52DD2" w:rsidP="00F035E0">
      <w:pPr>
        <w:widowControl/>
        <w:spacing w:before="50" w:line="440" w:lineRule="exact"/>
        <w:jc w:val="right"/>
        <w:rPr>
          <w:rFonts w:ascii="標楷體" w:eastAsia="標楷體" w:hAnsi="標楷體" w:cs="新細明體"/>
          <w:kern w:val="0"/>
          <w:sz w:val="28"/>
          <w:szCs w:val="28"/>
        </w:rPr>
      </w:pPr>
      <w:r w:rsidRPr="00425CA0">
        <w:rPr>
          <w:rFonts w:ascii="標楷體" w:eastAsia="標楷體" w:hAnsi="標楷體" w:cs="Arial"/>
          <w:color w:val="000000"/>
          <w:kern w:val="0"/>
          <w:sz w:val="28"/>
          <w:szCs w:val="28"/>
        </w:rPr>
        <w:t>106至111年度中研院研究人員延攬人數統計表       單位：人</w:t>
      </w:r>
    </w:p>
    <w:tbl>
      <w:tblPr>
        <w:tblW w:w="8640" w:type="dxa"/>
        <w:jc w:val="righ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080"/>
        <w:gridCol w:w="1080"/>
        <w:gridCol w:w="1080"/>
        <w:gridCol w:w="1080"/>
        <w:gridCol w:w="1080"/>
        <w:gridCol w:w="1080"/>
        <w:gridCol w:w="1080"/>
        <w:gridCol w:w="1080"/>
      </w:tblGrid>
      <w:tr w:rsidR="00A52DD2" w:rsidRPr="00425CA0" w:rsidTr="00F035E0">
        <w:trPr>
          <w:trHeight w:val="330"/>
          <w:tblHeader/>
          <w:jc w:val="right"/>
        </w:trPr>
        <w:tc>
          <w:tcPr>
            <w:tcW w:w="1080" w:type="dxa"/>
            <w:vMerge w:val="restart"/>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年度</w:t>
            </w:r>
          </w:p>
        </w:tc>
        <w:tc>
          <w:tcPr>
            <w:tcW w:w="2160" w:type="dxa"/>
            <w:gridSpan w:val="2"/>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cs="Courier New"/>
                <w:sz w:val="28"/>
                <w:szCs w:val="28"/>
              </w:rPr>
            </w:pPr>
            <w:r w:rsidRPr="00425CA0">
              <w:rPr>
                <w:rFonts w:ascii="標楷體" w:eastAsia="標楷體" w:hAnsi="標楷體" w:hint="eastAsia"/>
                <w:sz w:val="28"/>
                <w:szCs w:val="28"/>
              </w:rPr>
              <w:t>國內</w:t>
            </w:r>
          </w:p>
        </w:tc>
        <w:tc>
          <w:tcPr>
            <w:tcW w:w="2160" w:type="dxa"/>
            <w:gridSpan w:val="2"/>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大陸</w:t>
            </w:r>
          </w:p>
        </w:tc>
        <w:tc>
          <w:tcPr>
            <w:tcW w:w="2160" w:type="dxa"/>
            <w:gridSpan w:val="2"/>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國外</w:t>
            </w:r>
          </w:p>
        </w:tc>
        <w:tc>
          <w:tcPr>
            <w:tcW w:w="1080" w:type="dxa"/>
            <w:vMerge w:val="restart"/>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合計</w:t>
            </w:r>
          </w:p>
        </w:tc>
      </w:tr>
      <w:tr w:rsidR="00A52DD2" w:rsidRPr="00425CA0" w:rsidTr="00F035E0">
        <w:trPr>
          <w:trHeight w:val="330"/>
          <w:tblHeader/>
          <w:jc w:val="right"/>
        </w:trPr>
        <w:tc>
          <w:tcPr>
            <w:tcW w:w="1080" w:type="dxa"/>
            <w:vMerge/>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1-6月</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7-12月</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1-6月</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7-12月</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1-6月</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7-12月</w:t>
            </w:r>
          </w:p>
        </w:tc>
        <w:tc>
          <w:tcPr>
            <w:tcW w:w="1080" w:type="dxa"/>
            <w:vMerge/>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p>
        </w:tc>
      </w:tr>
      <w:tr w:rsidR="00A52DD2" w:rsidRPr="00425CA0" w:rsidTr="00F035E0">
        <w:trPr>
          <w:trHeight w:val="330"/>
          <w:jc w:val="right"/>
        </w:trPr>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106</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145</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144</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13</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17</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89</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89</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497</w:t>
            </w:r>
          </w:p>
        </w:tc>
      </w:tr>
      <w:tr w:rsidR="00A52DD2" w:rsidRPr="00425CA0" w:rsidTr="00F035E0">
        <w:trPr>
          <w:trHeight w:val="330"/>
          <w:jc w:val="right"/>
        </w:trPr>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107</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76</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148</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12</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26</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64</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95</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421</w:t>
            </w:r>
          </w:p>
        </w:tc>
      </w:tr>
      <w:tr w:rsidR="00A52DD2" w:rsidRPr="00425CA0" w:rsidTr="00F035E0">
        <w:trPr>
          <w:trHeight w:val="330"/>
          <w:jc w:val="right"/>
        </w:trPr>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108</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142</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115</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17</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17</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87</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80</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458</w:t>
            </w:r>
          </w:p>
        </w:tc>
      </w:tr>
      <w:tr w:rsidR="00A52DD2" w:rsidRPr="00425CA0" w:rsidTr="00F035E0">
        <w:trPr>
          <w:trHeight w:val="330"/>
          <w:jc w:val="right"/>
        </w:trPr>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109</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125</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118</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1</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1</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40</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38</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323</w:t>
            </w:r>
          </w:p>
        </w:tc>
      </w:tr>
      <w:tr w:rsidR="00A52DD2" w:rsidRPr="00425CA0" w:rsidTr="00F035E0">
        <w:trPr>
          <w:trHeight w:val="330"/>
          <w:jc w:val="right"/>
        </w:trPr>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110</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111</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116</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2</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1</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45</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45</w:t>
            </w:r>
          </w:p>
        </w:tc>
        <w:tc>
          <w:tcPr>
            <w:tcW w:w="1080" w:type="dxa"/>
            <w:shd w:val="clear" w:color="auto" w:fill="auto"/>
            <w:noWrap/>
            <w:vAlign w:val="center"/>
            <w:hideMark/>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320</w:t>
            </w:r>
          </w:p>
        </w:tc>
      </w:tr>
      <w:tr w:rsidR="00A52DD2" w:rsidRPr="00425CA0" w:rsidTr="00F035E0">
        <w:trPr>
          <w:trHeight w:val="330"/>
          <w:jc w:val="right"/>
        </w:trPr>
        <w:tc>
          <w:tcPr>
            <w:tcW w:w="1080" w:type="dxa"/>
            <w:shd w:val="clear" w:color="auto" w:fill="auto"/>
            <w:noWrap/>
            <w:vAlign w:val="center"/>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1</w:t>
            </w:r>
            <w:r w:rsidRPr="00425CA0">
              <w:rPr>
                <w:rFonts w:ascii="標楷體" w:eastAsia="標楷體" w:hAnsi="標楷體"/>
                <w:sz w:val="28"/>
                <w:szCs w:val="28"/>
              </w:rPr>
              <w:t>11</w:t>
            </w:r>
          </w:p>
        </w:tc>
        <w:tc>
          <w:tcPr>
            <w:tcW w:w="1080" w:type="dxa"/>
            <w:shd w:val="clear" w:color="auto" w:fill="auto"/>
            <w:noWrap/>
            <w:vAlign w:val="center"/>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1</w:t>
            </w:r>
            <w:r w:rsidRPr="00425CA0">
              <w:rPr>
                <w:rFonts w:ascii="標楷體" w:eastAsia="標楷體" w:hAnsi="標楷體"/>
                <w:sz w:val="28"/>
                <w:szCs w:val="28"/>
              </w:rPr>
              <w:t>04</w:t>
            </w:r>
          </w:p>
        </w:tc>
        <w:tc>
          <w:tcPr>
            <w:tcW w:w="1080" w:type="dxa"/>
            <w:shd w:val="clear" w:color="auto" w:fill="auto"/>
            <w:noWrap/>
            <w:vAlign w:val="center"/>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w:t>
            </w:r>
          </w:p>
        </w:tc>
        <w:tc>
          <w:tcPr>
            <w:tcW w:w="1080" w:type="dxa"/>
            <w:shd w:val="clear" w:color="auto" w:fill="auto"/>
            <w:noWrap/>
            <w:vAlign w:val="center"/>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2</w:t>
            </w:r>
          </w:p>
        </w:tc>
        <w:tc>
          <w:tcPr>
            <w:tcW w:w="1080" w:type="dxa"/>
            <w:shd w:val="clear" w:color="auto" w:fill="auto"/>
            <w:noWrap/>
            <w:vAlign w:val="center"/>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w:t>
            </w:r>
          </w:p>
        </w:tc>
        <w:tc>
          <w:tcPr>
            <w:tcW w:w="1080" w:type="dxa"/>
            <w:shd w:val="clear" w:color="auto" w:fill="auto"/>
            <w:noWrap/>
            <w:vAlign w:val="center"/>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4</w:t>
            </w:r>
            <w:r w:rsidRPr="00425CA0">
              <w:rPr>
                <w:rFonts w:ascii="標楷體" w:eastAsia="標楷體" w:hAnsi="標楷體"/>
                <w:sz w:val="28"/>
                <w:szCs w:val="28"/>
              </w:rPr>
              <w:t>2</w:t>
            </w:r>
          </w:p>
        </w:tc>
        <w:tc>
          <w:tcPr>
            <w:tcW w:w="1080" w:type="dxa"/>
            <w:shd w:val="clear" w:color="auto" w:fill="auto"/>
            <w:noWrap/>
            <w:vAlign w:val="center"/>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hint="eastAsia"/>
                <w:sz w:val="28"/>
                <w:szCs w:val="28"/>
              </w:rPr>
              <w:t>-</w:t>
            </w:r>
          </w:p>
        </w:tc>
        <w:tc>
          <w:tcPr>
            <w:tcW w:w="1080" w:type="dxa"/>
            <w:shd w:val="clear" w:color="auto" w:fill="auto"/>
            <w:noWrap/>
            <w:vAlign w:val="center"/>
          </w:tcPr>
          <w:p w:rsidR="00A52DD2" w:rsidRPr="00425CA0" w:rsidRDefault="00A52DD2" w:rsidP="00F035E0">
            <w:pPr>
              <w:spacing w:before="50" w:line="440" w:lineRule="exact"/>
              <w:jc w:val="center"/>
              <w:rPr>
                <w:rFonts w:ascii="標楷體" w:eastAsia="標楷體" w:hAnsi="標楷體"/>
                <w:sz w:val="28"/>
                <w:szCs w:val="28"/>
              </w:rPr>
            </w:pPr>
            <w:r w:rsidRPr="00425CA0">
              <w:rPr>
                <w:rFonts w:ascii="標楷體" w:eastAsia="標楷體" w:hAnsi="標楷體"/>
                <w:sz w:val="28"/>
                <w:szCs w:val="28"/>
              </w:rPr>
              <w:t>148</w:t>
            </w:r>
          </w:p>
        </w:tc>
      </w:tr>
    </w:tbl>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鄭正鈐</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w:t>
      </w:r>
      <w:r>
        <w:rPr>
          <w:rFonts w:ascii="標楷體" w:eastAsia="標楷體" w:hAnsi="標楷體" w:hint="eastAsia"/>
          <w:sz w:val="32"/>
          <w:szCs w:val="32"/>
        </w:rPr>
        <w:t>林宜瑾  吳思瑤</w:t>
      </w:r>
    </w:p>
    <w:p w:rsidR="00A52DD2"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(五十)</w:t>
      </w:r>
      <w:r w:rsidRPr="001E6D91">
        <w:rPr>
          <w:rFonts w:ascii="標楷體" w:eastAsia="標楷體" w:hAnsi="標楷體" w:hint="eastAsia"/>
          <w:sz w:val="32"/>
          <w:szCs w:val="32"/>
        </w:rPr>
        <w:t>我國為發展量子科技研究，在跨部會合作上，國</w:t>
      </w:r>
      <w:r>
        <w:rPr>
          <w:rFonts w:ascii="標楷體" w:eastAsia="標楷體" w:hAnsi="標楷體" w:hint="eastAsia"/>
          <w:sz w:val="32"/>
          <w:szCs w:val="32"/>
        </w:rPr>
        <w:t>家</w:t>
      </w:r>
      <w:r w:rsidRPr="001E6D91">
        <w:rPr>
          <w:rFonts w:ascii="標楷體" w:eastAsia="標楷體" w:hAnsi="標楷體" w:hint="eastAsia"/>
          <w:sz w:val="32"/>
          <w:szCs w:val="32"/>
        </w:rPr>
        <w:t>科</w:t>
      </w:r>
      <w:r>
        <w:rPr>
          <w:rFonts w:ascii="標楷體" w:eastAsia="標楷體" w:hAnsi="標楷體" w:hint="eastAsia"/>
          <w:sz w:val="32"/>
          <w:szCs w:val="32"/>
        </w:rPr>
        <w:t>學及技術委員</w:t>
      </w:r>
      <w:r w:rsidRPr="001E6D91">
        <w:rPr>
          <w:rFonts w:ascii="標楷體" w:eastAsia="標楷體" w:hAnsi="標楷體" w:hint="eastAsia"/>
          <w:sz w:val="32"/>
          <w:szCs w:val="32"/>
        </w:rPr>
        <w:t>會科技辦公室整合中央研究院、經濟部、國</w:t>
      </w:r>
      <w:r>
        <w:rPr>
          <w:rFonts w:ascii="標楷體" w:eastAsia="標楷體" w:hAnsi="標楷體" w:hint="eastAsia"/>
          <w:sz w:val="32"/>
          <w:szCs w:val="32"/>
        </w:rPr>
        <w:t>家</w:t>
      </w:r>
      <w:r w:rsidRPr="001E6D91">
        <w:rPr>
          <w:rFonts w:ascii="標楷體" w:eastAsia="標楷體" w:hAnsi="標楷體" w:hint="eastAsia"/>
          <w:sz w:val="32"/>
          <w:szCs w:val="32"/>
        </w:rPr>
        <w:t>科</w:t>
      </w:r>
      <w:r>
        <w:rPr>
          <w:rFonts w:ascii="標楷體" w:eastAsia="標楷體" w:hAnsi="標楷體" w:hint="eastAsia"/>
          <w:sz w:val="32"/>
          <w:szCs w:val="32"/>
        </w:rPr>
        <w:t>學及技術委員</w:t>
      </w:r>
      <w:r w:rsidRPr="001E6D91">
        <w:rPr>
          <w:rFonts w:ascii="標楷體" w:eastAsia="標楷體" w:hAnsi="標楷體" w:hint="eastAsia"/>
          <w:sz w:val="32"/>
          <w:szCs w:val="32"/>
        </w:rPr>
        <w:t>會與產業界組成「量子國家隊」；其中由中研院主責建構量子核心設施基地與購置基礎研究之特殊實驗設</w:t>
      </w:r>
      <w:r w:rsidRPr="001E6D91">
        <w:rPr>
          <w:rFonts w:ascii="標楷體" w:eastAsia="標楷體" w:hAnsi="標楷體" w:hint="eastAsia"/>
          <w:sz w:val="32"/>
          <w:szCs w:val="32"/>
        </w:rPr>
        <w:lastRenderedPageBreak/>
        <w:t>備，並規劃於南部院區建置量子科技發展基地。南部院區綜合規劃計畫之第2、3棟研究大樓興建工程預計於</w:t>
      </w:r>
      <w:r>
        <w:rPr>
          <w:rFonts w:ascii="標楷體" w:eastAsia="標楷體" w:hAnsi="標楷體" w:hint="eastAsia"/>
          <w:sz w:val="32"/>
          <w:szCs w:val="32"/>
        </w:rPr>
        <w:t>111</w:t>
      </w:r>
      <w:r w:rsidRPr="001E6D91">
        <w:rPr>
          <w:rFonts w:ascii="標楷體" w:eastAsia="標楷體" w:hAnsi="標楷體" w:hint="eastAsia"/>
          <w:sz w:val="32"/>
          <w:szCs w:val="32"/>
        </w:rPr>
        <w:t>年12月竣工，部分空間擬作為量子電腦與量子光電研究實驗室使用，研究團隊預計於</w:t>
      </w:r>
      <w:r>
        <w:rPr>
          <w:rFonts w:ascii="標楷體" w:eastAsia="標楷體" w:hAnsi="標楷體" w:hint="eastAsia"/>
          <w:sz w:val="32"/>
          <w:szCs w:val="32"/>
        </w:rPr>
        <w:t>112</w:t>
      </w:r>
      <w:r w:rsidRPr="001E6D91">
        <w:rPr>
          <w:rFonts w:ascii="標楷體" w:eastAsia="標楷體" w:hAnsi="標楷體" w:hint="eastAsia"/>
          <w:sz w:val="32"/>
          <w:szCs w:val="32"/>
        </w:rPr>
        <w:t>年底</w:t>
      </w:r>
      <w:r>
        <w:rPr>
          <w:rFonts w:ascii="標楷體" w:eastAsia="標楷體" w:hAnsi="標楷體" w:hint="eastAsia"/>
          <w:sz w:val="32"/>
          <w:szCs w:val="32"/>
        </w:rPr>
        <w:t>進駐；此外</w:t>
      </w:r>
      <w:r w:rsidRPr="001E6D91">
        <w:rPr>
          <w:rFonts w:ascii="標楷體" w:eastAsia="標楷體" w:hAnsi="標楷體" w:hint="eastAsia"/>
          <w:sz w:val="32"/>
          <w:szCs w:val="32"/>
        </w:rPr>
        <w:t>中研院亦規劃興建量子實驗大樓，預計於</w:t>
      </w:r>
      <w:r>
        <w:rPr>
          <w:rFonts w:ascii="標楷體" w:eastAsia="標楷體" w:hAnsi="標楷體" w:hint="eastAsia"/>
          <w:sz w:val="32"/>
          <w:szCs w:val="32"/>
        </w:rPr>
        <w:t>114</w:t>
      </w:r>
      <w:r w:rsidRPr="001E6D91">
        <w:rPr>
          <w:rFonts w:ascii="標楷體" w:eastAsia="標楷體" w:hAnsi="標楷體" w:hint="eastAsia"/>
          <w:sz w:val="32"/>
          <w:szCs w:val="32"/>
        </w:rPr>
        <w:t>年底竣工，其透過高精密之一流研究設施與環境，延攬國內外量子人才，並預期可與南</w:t>
      </w:r>
      <w:r>
        <w:rPr>
          <w:rFonts w:ascii="標楷體" w:eastAsia="標楷體" w:hAnsi="標楷體" w:hint="eastAsia"/>
          <w:sz w:val="32"/>
          <w:szCs w:val="32"/>
        </w:rPr>
        <w:t>部</w:t>
      </w:r>
      <w:r w:rsidRPr="001E6D91">
        <w:rPr>
          <w:rFonts w:ascii="標楷體" w:eastAsia="標楷體" w:hAnsi="標楷體" w:hint="eastAsia"/>
          <w:sz w:val="32"/>
          <w:szCs w:val="32"/>
        </w:rPr>
        <w:t>科學園區形成群聚效應，整合我國半導體與資通訊科技等相關領域，加速發展量子科技。在延攬國內外量子人才的部分，根據中研院官網公布之延攬研究人員人數統計資料顯示(詳表1)，106年度延攬研究人員497人，而110年度延攬人數僅320人，人數明顯呈下降趨勢，其中近2年或受COVID-19疫情影響，更致優秀人才爭取不易。故按中研院所規劃量子科研進程，首批研究團隊預計於</w:t>
      </w:r>
      <w:r>
        <w:rPr>
          <w:rFonts w:ascii="標楷體" w:eastAsia="標楷體" w:hAnsi="標楷體" w:hint="eastAsia"/>
          <w:sz w:val="32"/>
          <w:szCs w:val="32"/>
        </w:rPr>
        <w:t>112</w:t>
      </w:r>
      <w:r w:rsidRPr="001E6D91">
        <w:rPr>
          <w:rFonts w:ascii="標楷體" w:eastAsia="標楷體" w:hAnsi="標楷體" w:hint="eastAsia"/>
          <w:sz w:val="32"/>
          <w:szCs w:val="32"/>
        </w:rPr>
        <w:t>年底進駐</w:t>
      </w:r>
      <w:r>
        <w:rPr>
          <w:rFonts w:ascii="標楷體" w:eastAsia="標楷體" w:hAnsi="標楷體" w:hint="eastAsia"/>
          <w:sz w:val="32"/>
          <w:szCs w:val="32"/>
        </w:rPr>
        <w:t>，但在疫情影響下恐使國際人才競逐困難，為加速我國量子科技發展，請中央研究院積極籌劃延攬優秀人才進駐之相關配套措施，並</w:t>
      </w:r>
      <w:r w:rsidRPr="001E6D91">
        <w:rPr>
          <w:rFonts w:ascii="標楷體" w:eastAsia="標楷體" w:hAnsi="標楷體" w:hint="eastAsia"/>
          <w:sz w:val="32"/>
          <w:szCs w:val="32"/>
        </w:rPr>
        <w:t>於 1 個月內</w:t>
      </w:r>
      <w:r>
        <w:rPr>
          <w:rFonts w:ascii="標楷體" w:eastAsia="標楷體" w:hAnsi="標楷體" w:hint="eastAsia"/>
          <w:sz w:val="32"/>
          <w:szCs w:val="32"/>
        </w:rPr>
        <w:t>向</w:t>
      </w:r>
      <w:r w:rsidRPr="001E6D91">
        <w:rPr>
          <w:rFonts w:ascii="標楷體" w:eastAsia="標楷體" w:hAnsi="標楷體" w:hint="eastAsia"/>
          <w:sz w:val="32"/>
          <w:szCs w:val="32"/>
        </w:rPr>
        <w:t>立法院教育及文化委員會</w:t>
      </w:r>
      <w:r>
        <w:rPr>
          <w:rFonts w:ascii="標楷體" w:eastAsia="標楷體" w:hAnsi="標楷體" w:hint="eastAsia"/>
          <w:sz w:val="32"/>
          <w:szCs w:val="32"/>
        </w:rPr>
        <w:t>提出書面報告</w:t>
      </w:r>
      <w:r w:rsidRPr="001E6D91">
        <w:rPr>
          <w:rFonts w:ascii="標楷體" w:eastAsia="標楷體" w:hAnsi="標楷體" w:hint="eastAsia"/>
          <w:sz w:val="32"/>
          <w:szCs w:val="32"/>
        </w:rPr>
        <w:t>。</w:t>
      </w:r>
      <w:r>
        <w:rPr>
          <w:rFonts w:ascii="標楷體" w:eastAsia="標楷體" w:hAnsi="標楷體" w:hint="eastAsia"/>
          <w:sz w:val="32"/>
          <w:szCs w:val="32"/>
        </w:rPr>
        <w:t>114</w:t>
      </w:r>
    </w:p>
    <w:p w:rsidR="00A52DD2" w:rsidRPr="00FA4CA2" w:rsidRDefault="00A52DD2" w:rsidP="00F035E0">
      <w:pPr>
        <w:jc w:val="right"/>
        <w:rPr>
          <w:rFonts w:ascii="標楷體" w:eastAsia="標楷體" w:hAnsi="標楷體"/>
          <w:sz w:val="28"/>
          <w:szCs w:val="28"/>
        </w:rPr>
      </w:pPr>
      <w:r w:rsidRPr="00FA4CA2">
        <w:rPr>
          <w:rFonts w:ascii="標楷體" w:eastAsia="標楷體" w:hAnsi="標楷體"/>
          <w:sz w:val="28"/>
          <w:szCs w:val="28"/>
        </w:rPr>
        <w:t>表</w:t>
      </w:r>
      <w:r w:rsidRPr="00FA4CA2">
        <w:rPr>
          <w:rFonts w:ascii="標楷體" w:eastAsia="標楷體" w:hAnsi="標楷體" w:hint="eastAsia"/>
          <w:sz w:val="28"/>
          <w:szCs w:val="28"/>
        </w:rPr>
        <w:t>1  1</w:t>
      </w:r>
      <w:r w:rsidRPr="00FA4CA2">
        <w:rPr>
          <w:rFonts w:ascii="標楷體" w:eastAsia="標楷體" w:hAnsi="標楷體"/>
          <w:sz w:val="28"/>
          <w:szCs w:val="28"/>
        </w:rPr>
        <w:t>06</w:t>
      </w:r>
      <w:r w:rsidRPr="00FA4CA2">
        <w:rPr>
          <w:rFonts w:ascii="標楷體" w:eastAsia="標楷體" w:hAnsi="標楷體" w:hint="eastAsia"/>
          <w:sz w:val="28"/>
          <w:szCs w:val="28"/>
        </w:rPr>
        <w:t>至11</w:t>
      </w:r>
      <w:r w:rsidRPr="00FA4CA2">
        <w:rPr>
          <w:rFonts w:ascii="標楷體" w:eastAsia="標楷體" w:hAnsi="標楷體"/>
          <w:sz w:val="28"/>
          <w:szCs w:val="28"/>
        </w:rPr>
        <w:t>1</w:t>
      </w:r>
      <w:r w:rsidRPr="00FA4CA2">
        <w:rPr>
          <w:rFonts w:ascii="標楷體" w:eastAsia="標楷體" w:hAnsi="標楷體" w:hint="eastAsia"/>
          <w:sz w:val="28"/>
          <w:szCs w:val="28"/>
        </w:rPr>
        <w:t>年度中研院研究人員延攬人數統計表</w:t>
      </w:r>
      <w:r w:rsidRPr="00FA4CA2">
        <w:rPr>
          <w:rFonts w:ascii="標楷體" w:eastAsia="標楷體" w:hAnsi="標楷體"/>
          <w:sz w:val="28"/>
          <w:szCs w:val="28"/>
        </w:rPr>
        <w:t xml:space="preserve">       </w:t>
      </w:r>
      <w:r w:rsidRPr="00FA4CA2">
        <w:rPr>
          <w:rFonts w:ascii="標楷體" w:eastAsia="標楷體" w:hAnsi="標楷體" w:hint="eastAsia"/>
          <w:sz w:val="28"/>
          <w:szCs w:val="28"/>
        </w:rPr>
        <w:t>單位：人</w:t>
      </w:r>
    </w:p>
    <w:tbl>
      <w:tblPr>
        <w:tblW w:w="8640" w:type="dxa"/>
        <w:jc w:val="righ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080"/>
        <w:gridCol w:w="1080"/>
        <w:gridCol w:w="1080"/>
        <w:gridCol w:w="1080"/>
        <w:gridCol w:w="1080"/>
        <w:gridCol w:w="1080"/>
        <w:gridCol w:w="1080"/>
        <w:gridCol w:w="1080"/>
      </w:tblGrid>
      <w:tr w:rsidR="00A52DD2" w:rsidRPr="00FA4CA2" w:rsidTr="00F035E0">
        <w:trPr>
          <w:trHeight w:val="330"/>
          <w:tblHeader/>
          <w:jc w:val="right"/>
        </w:trPr>
        <w:tc>
          <w:tcPr>
            <w:tcW w:w="1080" w:type="dxa"/>
            <w:vMerge w:val="restart"/>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年度</w:t>
            </w:r>
          </w:p>
        </w:tc>
        <w:tc>
          <w:tcPr>
            <w:tcW w:w="2160" w:type="dxa"/>
            <w:gridSpan w:val="2"/>
            <w:shd w:val="clear" w:color="auto" w:fill="auto"/>
            <w:noWrap/>
            <w:vAlign w:val="center"/>
            <w:hideMark/>
          </w:tcPr>
          <w:p w:rsidR="00A52DD2" w:rsidRPr="00FA4CA2" w:rsidRDefault="00A52DD2" w:rsidP="00F035E0">
            <w:pPr>
              <w:spacing w:line="280" w:lineRule="exact"/>
              <w:jc w:val="center"/>
              <w:rPr>
                <w:rFonts w:ascii="標楷體" w:eastAsia="標楷體" w:hAnsi="標楷體" w:cs="Courier New"/>
                <w:sz w:val="28"/>
                <w:szCs w:val="28"/>
              </w:rPr>
            </w:pPr>
            <w:r w:rsidRPr="00FA4CA2">
              <w:rPr>
                <w:rFonts w:ascii="標楷體" w:eastAsia="標楷體" w:hAnsi="標楷體" w:hint="eastAsia"/>
                <w:sz w:val="28"/>
                <w:szCs w:val="28"/>
              </w:rPr>
              <w:t>國內</w:t>
            </w:r>
          </w:p>
        </w:tc>
        <w:tc>
          <w:tcPr>
            <w:tcW w:w="2160" w:type="dxa"/>
            <w:gridSpan w:val="2"/>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中國</w:t>
            </w:r>
          </w:p>
        </w:tc>
        <w:tc>
          <w:tcPr>
            <w:tcW w:w="2160" w:type="dxa"/>
            <w:gridSpan w:val="2"/>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國外</w:t>
            </w:r>
          </w:p>
        </w:tc>
        <w:tc>
          <w:tcPr>
            <w:tcW w:w="1080" w:type="dxa"/>
            <w:vMerge w:val="restart"/>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合計</w:t>
            </w:r>
          </w:p>
        </w:tc>
      </w:tr>
      <w:tr w:rsidR="00A52DD2" w:rsidRPr="00FA4CA2" w:rsidTr="00F035E0">
        <w:trPr>
          <w:trHeight w:val="330"/>
          <w:tblHeader/>
          <w:jc w:val="right"/>
        </w:trPr>
        <w:tc>
          <w:tcPr>
            <w:tcW w:w="1080" w:type="dxa"/>
            <w:vMerge/>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1-6月</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7-12月</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1-6月</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7-12月</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1-6月</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7-12月</w:t>
            </w:r>
          </w:p>
        </w:tc>
        <w:tc>
          <w:tcPr>
            <w:tcW w:w="1080" w:type="dxa"/>
            <w:vMerge/>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p>
        </w:tc>
      </w:tr>
      <w:tr w:rsidR="00A52DD2" w:rsidRPr="00FA4CA2" w:rsidTr="00F035E0">
        <w:trPr>
          <w:trHeight w:val="330"/>
          <w:jc w:val="right"/>
        </w:trPr>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106</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145</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144</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13</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17</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89</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89</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497</w:t>
            </w:r>
          </w:p>
        </w:tc>
      </w:tr>
      <w:tr w:rsidR="00A52DD2" w:rsidRPr="00FA4CA2" w:rsidTr="00F035E0">
        <w:trPr>
          <w:trHeight w:val="330"/>
          <w:jc w:val="right"/>
        </w:trPr>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107</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76</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148</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12</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26</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64</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95</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421</w:t>
            </w:r>
          </w:p>
        </w:tc>
      </w:tr>
      <w:tr w:rsidR="00A52DD2" w:rsidRPr="00FA4CA2" w:rsidTr="00F035E0">
        <w:trPr>
          <w:trHeight w:val="330"/>
          <w:jc w:val="right"/>
        </w:trPr>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108</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142</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115</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17</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17</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87</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80</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458</w:t>
            </w:r>
          </w:p>
        </w:tc>
      </w:tr>
      <w:tr w:rsidR="00A52DD2" w:rsidRPr="00FA4CA2" w:rsidTr="00F035E0">
        <w:trPr>
          <w:trHeight w:val="330"/>
          <w:jc w:val="right"/>
        </w:trPr>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109</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125</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118</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1</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1</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40</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38</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323</w:t>
            </w:r>
          </w:p>
        </w:tc>
      </w:tr>
      <w:tr w:rsidR="00A52DD2" w:rsidRPr="00FA4CA2" w:rsidTr="00F035E0">
        <w:trPr>
          <w:trHeight w:val="330"/>
          <w:jc w:val="right"/>
        </w:trPr>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110</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111</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116</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2</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1</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45</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45</w:t>
            </w:r>
          </w:p>
        </w:tc>
        <w:tc>
          <w:tcPr>
            <w:tcW w:w="1080" w:type="dxa"/>
            <w:shd w:val="clear" w:color="auto" w:fill="auto"/>
            <w:noWrap/>
            <w:vAlign w:val="center"/>
            <w:hideMark/>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320</w:t>
            </w:r>
          </w:p>
        </w:tc>
      </w:tr>
      <w:tr w:rsidR="00A52DD2" w:rsidRPr="00FA4CA2" w:rsidTr="00F035E0">
        <w:trPr>
          <w:trHeight w:val="330"/>
          <w:jc w:val="right"/>
        </w:trPr>
        <w:tc>
          <w:tcPr>
            <w:tcW w:w="1080" w:type="dxa"/>
            <w:shd w:val="clear" w:color="auto" w:fill="auto"/>
            <w:noWrap/>
            <w:vAlign w:val="center"/>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1</w:t>
            </w:r>
            <w:r w:rsidRPr="00FA4CA2">
              <w:rPr>
                <w:rFonts w:ascii="標楷體" w:eastAsia="標楷體" w:hAnsi="標楷體"/>
                <w:sz w:val="28"/>
                <w:szCs w:val="28"/>
              </w:rPr>
              <w:t>11</w:t>
            </w:r>
          </w:p>
        </w:tc>
        <w:tc>
          <w:tcPr>
            <w:tcW w:w="1080" w:type="dxa"/>
            <w:shd w:val="clear" w:color="auto" w:fill="auto"/>
            <w:noWrap/>
            <w:vAlign w:val="center"/>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1</w:t>
            </w:r>
            <w:r w:rsidRPr="00FA4CA2">
              <w:rPr>
                <w:rFonts w:ascii="標楷體" w:eastAsia="標楷體" w:hAnsi="標楷體"/>
                <w:sz w:val="28"/>
                <w:szCs w:val="28"/>
              </w:rPr>
              <w:t>04</w:t>
            </w:r>
          </w:p>
        </w:tc>
        <w:tc>
          <w:tcPr>
            <w:tcW w:w="1080" w:type="dxa"/>
            <w:shd w:val="clear" w:color="auto" w:fill="auto"/>
            <w:noWrap/>
            <w:vAlign w:val="center"/>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w:t>
            </w:r>
          </w:p>
        </w:tc>
        <w:tc>
          <w:tcPr>
            <w:tcW w:w="1080" w:type="dxa"/>
            <w:shd w:val="clear" w:color="auto" w:fill="auto"/>
            <w:noWrap/>
            <w:vAlign w:val="center"/>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2</w:t>
            </w:r>
          </w:p>
        </w:tc>
        <w:tc>
          <w:tcPr>
            <w:tcW w:w="1080" w:type="dxa"/>
            <w:shd w:val="clear" w:color="auto" w:fill="auto"/>
            <w:noWrap/>
            <w:vAlign w:val="center"/>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w:t>
            </w:r>
          </w:p>
        </w:tc>
        <w:tc>
          <w:tcPr>
            <w:tcW w:w="1080" w:type="dxa"/>
            <w:shd w:val="clear" w:color="auto" w:fill="auto"/>
            <w:noWrap/>
            <w:vAlign w:val="center"/>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4</w:t>
            </w:r>
            <w:r w:rsidRPr="00FA4CA2">
              <w:rPr>
                <w:rFonts w:ascii="標楷體" w:eastAsia="標楷體" w:hAnsi="標楷體"/>
                <w:sz w:val="28"/>
                <w:szCs w:val="28"/>
              </w:rPr>
              <w:t>2</w:t>
            </w:r>
          </w:p>
        </w:tc>
        <w:tc>
          <w:tcPr>
            <w:tcW w:w="1080" w:type="dxa"/>
            <w:shd w:val="clear" w:color="auto" w:fill="auto"/>
            <w:noWrap/>
            <w:vAlign w:val="center"/>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hint="eastAsia"/>
                <w:sz w:val="28"/>
                <w:szCs w:val="28"/>
              </w:rPr>
              <w:t>-</w:t>
            </w:r>
          </w:p>
        </w:tc>
        <w:tc>
          <w:tcPr>
            <w:tcW w:w="1080" w:type="dxa"/>
            <w:shd w:val="clear" w:color="auto" w:fill="auto"/>
            <w:noWrap/>
            <w:vAlign w:val="center"/>
          </w:tcPr>
          <w:p w:rsidR="00A52DD2" w:rsidRPr="00FA4CA2" w:rsidRDefault="00A52DD2" w:rsidP="00F035E0">
            <w:pPr>
              <w:spacing w:line="280" w:lineRule="exact"/>
              <w:jc w:val="center"/>
              <w:rPr>
                <w:rFonts w:ascii="標楷體" w:eastAsia="標楷體" w:hAnsi="標楷體"/>
                <w:sz w:val="28"/>
                <w:szCs w:val="28"/>
              </w:rPr>
            </w:pPr>
            <w:r w:rsidRPr="00FA4CA2">
              <w:rPr>
                <w:rFonts w:ascii="標楷體" w:eastAsia="標楷體" w:hAnsi="標楷體"/>
                <w:sz w:val="28"/>
                <w:szCs w:val="28"/>
              </w:rPr>
              <w:t>148</w:t>
            </w:r>
          </w:p>
        </w:tc>
      </w:tr>
    </w:tbl>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吳思瑤  林宜瑾</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w:t>
      </w:r>
      <w:r>
        <w:rPr>
          <w:rFonts w:ascii="標楷體" w:eastAsia="標楷體" w:hAnsi="標楷體" w:hint="eastAsia"/>
          <w:sz w:val="32"/>
          <w:szCs w:val="32"/>
        </w:rPr>
        <w:t>黃國書</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t>(五十一)</w:t>
      </w:r>
      <w:r w:rsidRPr="000E1957">
        <w:rPr>
          <w:rFonts w:ascii="標楷體" w:eastAsia="標楷體" w:hAnsi="標楷體" w:hint="eastAsia"/>
          <w:sz w:val="32"/>
          <w:szCs w:val="32"/>
        </w:rPr>
        <w:t>112年度中央研究院「南部院區」項下「核心溫室」預算編列1,300萬元，辦理新設立南部院區核心溫室設施之維運管理，以提供院內研</w:t>
      </w:r>
      <w:r w:rsidRPr="00C026C4">
        <w:rPr>
          <w:rFonts w:ascii="標楷體" w:eastAsia="標楷體" w:hAnsi="標楷體" w:hint="eastAsia"/>
          <w:sz w:val="32"/>
          <w:szCs w:val="32"/>
        </w:rPr>
        <w:t>究人員及院外業界人員租借使用。迄</w:t>
      </w:r>
      <w:r w:rsidRPr="00C026C4">
        <w:rPr>
          <w:rFonts w:ascii="標楷體" w:eastAsia="標楷體" w:hAnsi="標楷體" w:hint="eastAsia"/>
          <w:sz w:val="32"/>
          <w:szCs w:val="32"/>
        </w:rPr>
        <w:lastRenderedPageBreak/>
        <w:t>110年11月南部科學園區基因轉殖溫室之玻璃空調溫室出租率約75%、田區網室出租率約60%、生長箱出租率約52%；南部院區精密溫室生長箱出租率約80%，玻璃空調溫室出租率約35%，病理空調區出租率約83%，出租率尚有提升空間。宜向外或周邊國家地區推展溫室租借業務，促進空間使用率</w:t>
      </w:r>
      <w:r>
        <w:rPr>
          <w:rFonts w:ascii="標楷體" w:eastAsia="標楷體" w:hAnsi="標楷體" w:hint="eastAsia"/>
          <w:sz w:val="32"/>
          <w:szCs w:val="32"/>
        </w:rPr>
        <w:t>。爰請中央研究院就前述內容</w:t>
      </w:r>
      <w:r w:rsidRPr="00C026C4">
        <w:rPr>
          <w:rFonts w:ascii="標楷體" w:eastAsia="標楷體" w:hAnsi="標楷體" w:hint="eastAsia"/>
          <w:sz w:val="32"/>
          <w:szCs w:val="32"/>
        </w:rPr>
        <w:t>於3個月內</w:t>
      </w:r>
      <w:r>
        <w:rPr>
          <w:rFonts w:ascii="標楷體" w:eastAsia="標楷體" w:hAnsi="標楷體" w:hint="eastAsia"/>
          <w:sz w:val="32"/>
          <w:szCs w:val="32"/>
        </w:rPr>
        <w:t>向</w:t>
      </w:r>
      <w:r w:rsidRPr="00C026C4">
        <w:rPr>
          <w:rFonts w:ascii="標楷體" w:eastAsia="標楷體" w:hAnsi="標楷體" w:hint="eastAsia"/>
          <w:sz w:val="32"/>
          <w:szCs w:val="32"/>
        </w:rPr>
        <w:t>立法院教育及文化委員會提出書面報告。</w:t>
      </w:r>
      <w:r>
        <w:rPr>
          <w:rFonts w:ascii="標楷體" w:eastAsia="標楷體" w:hAnsi="標楷體" w:hint="eastAsia"/>
          <w:sz w:val="32"/>
          <w:szCs w:val="32"/>
        </w:rPr>
        <w:t>120</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鄭正鈐</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w:t>
      </w:r>
      <w:r>
        <w:rPr>
          <w:rFonts w:ascii="標楷體" w:eastAsia="標楷體" w:hAnsi="標楷體" w:hint="eastAsia"/>
          <w:sz w:val="32"/>
          <w:szCs w:val="32"/>
        </w:rPr>
        <w:t>林宜瑾  吳思瑤</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t>(五十二)中央研究院</w:t>
      </w:r>
      <w:r w:rsidRPr="00C026C4">
        <w:rPr>
          <w:rFonts w:ascii="標楷體" w:eastAsia="標楷體" w:hAnsi="標楷體" w:hint="eastAsia"/>
          <w:sz w:val="32"/>
          <w:szCs w:val="32"/>
        </w:rPr>
        <w:t>南部院區核心溫室位處臺南，陽光充足，氣候少雨，適合大多數植物生長，為重要農作物生產地。其營運包含南部科學園區之基因轉殖溫室與中研院南部院區之精密溫室及玻璃溫室。基因轉殖溫室為全國唯一可實際進行基因轉殖性狀調查之設施，而南部院區溫室可研究植物在高二氧化碳濃度環境，其營養運用及固碳效率等之應用等，有利進行新興研究。另為提供臺北院區研究人員使用需要，接受委託種植代管服務，且溫室附設簡易實驗區域，以便非該院區研究人員進行採樣、觀測等需求，並提供南部地區之農業生技學研及業界付費使用，以促進多方研究交流，達成發展農業生技之目標。據中研院資料顯示，迄110年11月南部科學園區基因轉殖溫室之玻璃空調溫室出租率約75%、田區網室出租率約60%、生長箱出租率約52%；南部院區精密溫室生長箱出租率約80%，玻璃空調溫室出租率約35%，病理空調區出租率約83%，出租率尚有提升空間。復南部院區精密溫室及玻璃溫室雖於110年中啟用，進駐初期尚待進行區域電力、空調及門禁管理之調整，嗣111年3月底完成精密溫室電力施作，並完成建置4 間可排程調光及溫度之步入型生長室，於</w:t>
      </w:r>
      <w:r>
        <w:rPr>
          <w:rFonts w:ascii="標楷體" w:eastAsia="標楷體" w:hAnsi="標楷體" w:hint="eastAsia"/>
          <w:sz w:val="32"/>
          <w:szCs w:val="32"/>
        </w:rPr>
        <w:t>111</w:t>
      </w:r>
      <w:r w:rsidRPr="00C026C4">
        <w:rPr>
          <w:rFonts w:ascii="標楷體" w:eastAsia="標楷體" w:hAnsi="標楷體" w:hint="eastAsia"/>
          <w:sz w:val="32"/>
          <w:szCs w:val="32"/>
        </w:rPr>
        <w:t>年6</w:t>
      </w:r>
      <w:r>
        <w:rPr>
          <w:rFonts w:ascii="標楷體" w:eastAsia="標楷體" w:hAnsi="標楷體" w:hint="eastAsia"/>
          <w:sz w:val="32"/>
          <w:szCs w:val="32"/>
        </w:rPr>
        <w:t>月以後逐步開放，</w:t>
      </w:r>
      <w:r w:rsidRPr="00C026C4">
        <w:rPr>
          <w:rFonts w:ascii="標楷體" w:eastAsia="標楷體" w:hAnsi="標楷體" w:hint="eastAsia"/>
          <w:sz w:val="32"/>
          <w:szCs w:val="32"/>
        </w:rPr>
        <w:t>亦大幅增加可供出租空</w:t>
      </w:r>
      <w:r w:rsidRPr="00C026C4">
        <w:rPr>
          <w:rFonts w:ascii="標楷體" w:eastAsia="標楷體" w:hAnsi="標楷體" w:hint="eastAsia"/>
          <w:sz w:val="32"/>
          <w:szCs w:val="32"/>
        </w:rPr>
        <w:lastRenderedPageBreak/>
        <w:t>間，宜加強推廣，儘速提升溫室使用量能。為增加經費使用效益，加強溫室設備使用率，爰請中央研究院於3個月內</w:t>
      </w:r>
      <w:r>
        <w:rPr>
          <w:rFonts w:ascii="標楷體" w:eastAsia="標楷體" w:hAnsi="標楷體" w:hint="eastAsia"/>
          <w:sz w:val="32"/>
          <w:szCs w:val="32"/>
        </w:rPr>
        <w:t>向</w:t>
      </w:r>
      <w:r w:rsidRPr="00C026C4">
        <w:rPr>
          <w:rFonts w:ascii="標楷體" w:eastAsia="標楷體" w:hAnsi="標楷體" w:hint="eastAsia"/>
          <w:sz w:val="32"/>
          <w:szCs w:val="32"/>
        </w:rPr>
        <w:t>立法院教育及文化委員會提出書面報告。</w:t>
      </w:r>
      <w:r>
        <w:rPr>
          <w:rFonts w:ascii="標楷體" w:eastAsia="標楷體" w:hAnsi="標楷體" w:hint="eastAsia"/>
          <w:sz w:val="32"/>
          <w:szCs w:val="32"/>
        </w:rPr>
        <w:t>121</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賴品妤</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w:t>
      </w:r>
      <w:r>
        <w:rPr>
          <w:rFonts w:ascii="標楷體" w:eastAsia="標楷體" w:hAnsi="標楷體" w:hint="eastAsia"/>
          <w:sz w:val="32"/>
          <w:szCs w:val="32"/>
        </w:rPr>
        <w:t>黃國書  范  雲</w:t>
      </w:r>
    </w:p>
    <w:p w:rsidR="00A52DD2" w:rsidRPr="00AA12F9"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(五十三)</w:t>
      </w:r>
      <w:r w:rsidRPr="000E1957">
        <w:rPr>
          <w:rFonts w:ascii="標楷體" w:eastAsia="標楷體" w:hAnsi="標楷體"/>
          <w:sz w:val="32"/>
          <w:szCs w:val="32"/>
        </w:rPr>
        <w:t>112</w:t>
      </w:r>
      <w:r w:rsidRPr="000E1957">
        <w:rPr>
          <w:rFonts w:ascii="標楷體" w:eastAsia="標楷體" w:hAnsi="標楷體" w:hint="eastAsia"/>
          <w:sz w:val="32"/>
          <w:szCs w:val="32"/>
        </w:rPr>
        <w:t>年度中央研究院「非營業特種基金」項下「科學研究基金」</w:t>
      </w:r>
      <w:r>
        <w:rPr>
          <w:rFonts w:ascii="標楷體" w:eastAsia="標楷體" w:hAnsi="標楷體" w:hint="eastAsia"/>
          <w:sz w:val="32"/>
          <w:szCs w:val="32"/>
        </w:rPr>
        <w:t>計畫</w:t>
      </w:r>
      <w:r w:rsidRPr="00C026C4">
        <w:rPr>
          <w:rFonts w:ascii="標楷體" w:eastAsia="標楷體" w:hAnsi="標楷體" w:hint="eastAsia"/>
          <w:sz w:val="32"/>
          <w:szCs w:val="32"/>
        </w:rPr>
        <w:t>主要係由公務預算撥補中央研究院科學研究基金辦理資料安全研發及人才培育計畫、建構動植物健康安全防護網絡、循環技術暨材料創新研發平台推動計畫、關鍵新穎疾病治療技術開發計畫、大數據導向之精準育種計畫、臺灣人體生物資料庫計畫、國家生技研究園區計畫、開創蛋白質醫學及生技產業計畫、量子科技研究基地核心設施建置計畫、「淨零排放」基於</w:t>
      </w:r>
      <w:r w:rsidRPr="00C026C4">
        <w:rPr>
          <w:rFonts w:ascii="標楷體" w:eastAsia="標楷體" w:hAnsi="標楷體"/>
          <w:sz w:val="32"/>
          <w:szCs w:val="32"/>
        </w:rPr>
        <w:t>2050</w:t>
      </w:r>
      <w:r w:rsidRPr="00C026C4">
        <w:rPr>
          <w:rFonts w:ascii="標楷體" w:eastAsia="標楷體" w:hAnsi="標楷體" w:hint="eastAsia"/>
          <w:sz w:val="32"/>
          <w:szCs w:val="32"/>
        </w:rPr>
        <w:t>淨零減碳之前瞻性科技開發與實踐規劃等。</w:t>
      </w:r>
      <w:r w:rsidRPr="00C026C4">
        <w:rPr>
          <w:rFonts w:ascii="標楷體" w:eastAsia="標楷體" w:hAnsi="標楷體"/>
          <w:sz w:val="32"/>
          <w:szCs w:val="32"/>
        </w:rPr>
        <w:t>112</w:t>
      </w:r>
      <w:r w:rsidRPr="00C026C4">
        <w:rPr>
          <w:rFonts w:ascii="標楷體" w:eastAsia="標楷體" w:hAnsi="標楷體" w:hint="eastAsia"/>
          <w:sz w:val="32"/>
          <w:szCs w:val="32"/>
        </w:rPr>
        <w:t>年度</w:t>
      </w:r>
      <w:r>
        <w:rPr>
          <w:rFonts w:ascii="標楷體" w:eastAsia="標楷體" w:hAnsi="標楷體" w:hint="eastAsia"/>
          <w:sz w:val="32"/>
          <w:szCs w:val="32"/>
        </w:rPr>
        <w:t>中央研究院</w:t>
      </w:r>
      <w:r w:rsidRPr="008C3DB7">
        <w:rPr>
          <w:rFonts w:ascii="標楷體" w:eastAsia="標楷體" w:hAnsi="標楷體" w:hint="eastAsia"/>
          <w:sz w:val="32"/>
          <w:szCs w:val="32"/>
        </w:rPr>
        <w:t>「非營業特種基金」項下「科學研究基金」中「設備及投資」之「投資」預算編列5億0</w:t>
      </w:r>
      <w:r w:rsidRPr="008C3DB7">
        <w:rPr>
          <w:rFonts w:ascii="標楷體" w:eastAsia="標楷體" w:hAnsi="標楷體"/>
          <w:sz w:val="32"/>
          <w:szCs w:val="32"/>
        </w:rPr>
        <w:t>,</w:t>
      </w:r>
      <w:r w:rsidRPr="008C3DB7">
        <w:rPr>
          <w:rFonts w:ascii="標楷體" w:eastAsia="標楷體" w:hAnsi="標楷體" w:hint="eastAsia"/>
          <w:sz w:val="32"/>
          <w:szCs w:val="32"/>
        </w:rPr>
        <w:t>395萬7千元(包含「</w:t>
      </w:r>
      <w:r w:rsidRPr="00C026C4">
        <w:rPr>
          <w:rFonts w:ascii="標楷體" w:eastAsia="標楷體" w:hAnsi="標楷體" w:hint="eastAsia"/>
          <w:sz w:val="32"/>
          <w:szCs w:val="32"/>
        </w:rPr>
        <w:t>研發能量提升」、「科研環境領航」及「國家生技研究園區」等分支計畫</w:t>
      </w:r>
      <w:r>
        <w:rPr>
          <w:rFonts w:ascii="標楷體" w:eastAsia="標楷體" w:hAnsi="標楷體" w:hint="eastAsia"/>
          <w:sz w:val="32"/>
          <w:szCs w:val="32"/>
        </w:rPr>
        <w:t>)</w:t>
      </w:r>
      <w:r w:rsidRPr="00C026C4">
        <w:rPr>
          <w:rFonts w:ascii="標楷體" w:eastAsia="標楷體" w:hAnsi="標楷體" w:hint="eastAsia"/>
          <w:sz w:val="32"/>
          <w:szCs w:val="32"/>
        </w:rPr>
        <w:t>，然編列於「投資」項下恐未臻妥，宜按所執行之費用性質，妥適歸類預算科目，並區分經資門。對</w:t>
      </w:r>
      <w:r>
        <w:rPr>
          <w:rFonts w:ascii="標楷體" w:eastAsia="標楷體" w:hAnsi="標楷體" w:hint="eastAsia"/>
          <w:sz w:val="32"/>
          <w:szCs w:val="32"/>
        </w:rPr>
        <w:t>中央研究院</w:t>
      </w:r>
      <w:r w:rsidRPr="00C026C4">
        <w:rPr>
          <w:rFonts w:ascii="標楷體" w:eastAsia="標楷體" w:hAnsi="標楷體" w:hint="eastAsia"/>
          <w:sz w:val="32"/>
          <w:szCs w:val="32"/>
        </w:rPr>
        <w:t>科學研究基金提供研究計畫相關經費之補助，宜按所執行之經費性質，妥適歸類預算科目，爰請中央研究院就前述內容於1個月內</w:t>
      </w:r>
      <w:r>
        <w:rPr>
          <w:rFonts w:ascii="標楷體" w:eastAsia="標楷體" w:hAnsi="標楷體" w:hint="eastAsia"/>
          <w:sz w:val="32"/>
          <w:szCs w:val="32"/>
        </w:rPr>
        <w:t>向</w:t>
      </w:r>
      <w:r w:rsidRPr="00C026C4">
        <w:rPr>
          <w:rFonts w:ascii="標楷體" w:eastAsia="標楷體" w:hAnsi="標楷體" w:hint="eastAsia"/>
          <w:sz w:val="32"/>
          <w:szCs w:val="32"/>
        </w:rPr>
        <w:t>立法院教育及文化委員會</w:t>
      </w:r>
      <w:r>
        <w:rPr>
          <w:rFonts w:ascii="標楷體" w:eastAsia="標楷體" w:hAnsi="標楷體" w:hint="eastAsia"/>
          <w:sz w:val="32"/>
          <w:szCs w:val="32"/>
        </w:rPr>
        <w:t>提出書面報告</w:t>
      </w:r>
      <w:r w:rsidRPr="00C026C4">
        <w:rPr>
          <w:rFonts w:ascii="標楷體" w:eastAsia="標楷體" w:hAnsi="標楷體" w:hint="eastAsia"/>
          <w:sz w:val="32"/>
          <w:szCs w:val="32"/>
        </w:rPr>
        <w:t>。</w:t>
      </w:r>
      <w:r>
        <w:rPr>
          <w:rFonts w:ascii="標楷體" w:eastAsia="標楷體" w:hAnsi="標楷體" w:hint="eastAsia"/>
          <w:sz w:val="32"/>
          <w:szCs w:val="32"/>
        </w:rPr>
        <w:t>122</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鄭正鈐</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w:t>
      </w:r>
      <w:r>
        <w:rPr>
          <w:rFonts w:ascii="標楷體" w:eastAsia="標楷體" w:hAnsi="標楷體" w:hint="eastAsia"/>
          <w:sz w:val="32"/>
          <w:szCs w:val="32"/>
        </w:rPr>
        <w:t>林宜瑾  黃國書</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t>(五十四)</w:t>
      </w:r>
      <w:r w:rsidRPr="00C026C4">
        <w:rPr>
          <w:rFonts w:ascii="標楷體" w:eastAsia="標楷體" w:hAnsi="標楷體" w:hint="eastAsia"/>
          <w:sz w:val="32"/>
          <w:szCs w:val="32"/>
        </w:rPr>
        <w:t>中央研究院針對2050淨零減碳之目標，從</w:t>
      </w:r>
      <w:r>
        <w:rPr>
          <w:rFonts w:ascii="標楷體" w:eastAsia="標楷體" w:hAnsi="標楷體" w:hint="eastAsia"/>
          <w:sz w:val="32"/>
          <w:szCs w:val="32"/>
        </w:rPr>
        <w:t>去</w:t>
      </w:r>
      <w:r w:rsidRPr="00C026C4">
        <w:rPr>
          <w:rFonts w:ascii="標楷體" w:eastAsia="標楷體" w:hAnsi="標楷體" w:hint="eastAsia"/>
          <w:sz w:val="32"/>
          <w:szCs w:val="32"/>
        </w:rPr>
        <w:t>碳燃氫、地熱、海洋能、生質碳匯、光電效率等5大淨零關鍵減碳科技領域進行技術研發。參</w:t>
      </w:r>
      <w:r>
        <w:rPr>
          <w:rFonts w:ascii="標楷體" w:eastAsia="標楷體" w:hAnsi="標楷體" w:hint="eastAsia"/>
          <w:sz w:val="32"/>
          <w:szCs w:val="32"/>
        </w:rPr>
        <w:t>考</w:t>
      </w:r>
      <w:r w:rsidRPr="00C026C4">
        <w:rPr>
          <w:rFonts w:ascii="標楷體" w:eastAsia="標楷體" w:hAnsi="標楷體" w:hint="eastAsia"/>
          <w:sz w:val="32"/>
          <w:szCs w:val="32"/>
        </w:rPr>
        <w:t>淨零排放計畫書自評評審委員之審查意見，其中建議如：本計畫可加上該5項關鍵技術預估對</w:t>
      </w:r>
      <w:r>
        <w:rPr>
          <w:rFonts w:ascii="標楷體" w:eastAsia="標楷體" w:hAnsi="標楷體" w:hint="eastAsia"/>
          <w:sz w:val="32"/>
          <w:szCs w:val="32"/>
        </w:rPr>
        <w:lastRenderedPageBreak/>
        <w:t>台</w:t>
      </w:r>
      <w:r w:rsidRPr="00C026C4">
        <w:rPr>
          <w:rFonts w:ascii="標楷體" w:eastAsia="標楷體" w:hAnsi="標楷體" w:hint="eastAsia"/>
          <w:sz w:val="32"/>
          <w:szCs w:val="32"/>
        </w:rPr>
        <w:t>灣之減排百分比；去碳燃氫、地熱、海洋能3項建議與台灣電力公司、台灣中油股份有限公司或民間電廠之具體合作規劃成效納入管理指標；建議遴選計畫時宜考量具實用性之技術，並遴選合適團隊進行技術研發推動。</w:t>
      </w:r>
      <w:r>
        <w:rPr>
          <w:rFonts w:ascii="標楷體" w:eastAsia="標楷體" w:hAnsi="標楷體" w:hint="eastAsia"/>
          <w:sz w:val="32"/>
          <w:szCs w:val="32"/>
        </w:rPr>
        <w:t>鑑</w:t>
      </w:r>
      <w:r w:rsidRPr="00C026C4">
        <w:rPr>
          <w:rFonts w:ascii="標楷體" w:eastAsia="標楷體" w:hAnsi="標楷體" w:hint="eastAsia"/>
          <w:sz w:val="32"/>
          <w:szCs w:val="32"/>
        </w:rPr>
        <w:t>於本計畫係攸關我國達成2050淨零排放目標之關鍵，面對有研究人員推斷我國難以達成淨零碳排之目標，中</w:t>
      </w:r>
      <w:r>
        <w:rPr>
          <w:rFonts w:ascii="標楷體" w:eastAsia="標楷體" w:hAnsi="標楷體" w:hint="eastAsia"/>
          <w:sz w:val="32"/>
          <w:szCs w:val="32"/>
        </w:rPr>
        <w:t>央</w:t>
      </w:r>
      <w:r w:rsidRPr="00C026C4">
        <w:rPr>
          <w:rFonts w:ascii="標楷體" w:eastAsia="標楷體" w:hAnsi="標楷體" w:hint="eastAsia"/>
          <w:sz w:val="32"/>
          <w:szCs w:val="32"/>
        </w:rPr>
        <w:t>研</w:t>
      </w:r>
      <w:r>
        <w:rPr>
          <w:rFonts w:ascii="標楷體" w:eastAsia="標楷體" w:hAnsi="標楷體" w:hint="eastAsia"/>
          <w:sz w:val="32"/>
          <w:szCs w:val="32"/>
        </w:rPr>
        <w:t>究</w:t>
      </w:r>
      <w:r w:rsidRPr="00C026C4">
        <w:rPr>
          <w:rFonts w:ascii="標楷體" w:eastAsia="標楷體" w:hAnsi="標楷體" w:hint="eastAsia"/>
          <w:sz w:val="32"/>
          <w:szCs w:val="32"/>
        </w:rPr>
        <w:t xml:space="preserve">院更應參考自評評審委員之意見，將5項關鍵技術預估對我國之減排百分比等意見納入審查及管理項目辦理，強化計畫執行成效評估，以利我國達成 2050 </w:t>
      </w:r>
      <w:r>
        <w:rPr>
          <w:rFonts w:ascii="標楷體" w:eastAsia="標楷體" w:hAnsi="標楷體" w:hint="eastAsia"/>
          <w:sz w:val="32"/>
          <w:szCs w:val="32"/>
        </w:rPr>
        <w:t>淨零減碳，並</w:t>
      </w:r>
      <w:r w:rsidRPr="00C026C4">
        <w:rPr>
          <w:rFonts w:ascii="標楷體" w:eastAsia="標楷體" w:hAnsi="標楷體" w:hint="eastAsia"/>
          <w:sz w:val="32"/>
          <w:szCs w:val="32"/>
        </w:rPr>
        <w:t>於3個月內</w:t>
      </w:r>
      <w:r>
        <w:rPr>
          <w:rFonts w:ascii="標楷體" w:eastAsia="標楷體" w:hAnsi="標楷體" w:hint="eastAsia"/>
          <w:sz w:val="32"/>
          <w:szCs w:val="32"/>
        </w:rPr>
        <w:t>向</w:t>
      </w:r>
      <w:r w:rsidRPr="00C026C4">
        <w:rPr>
          <w:rFonts w:ascii="標楷體" w:eastAsia="標楷體" w:hAnsi="標楷體" w:hint="eastAsia"/>
          <w:sz w:val="32"/>
          <w:szCs w:val="32"/>
        </w:rPr>
        <w:t>立法院教育及文化委員會提出書面報告。</w:t>
      </w:r>
      <w:r>
        <w:rPr>
          <w:rFonts w:ascii="標楷體" w:eastAsia="標楷體" w:hAnsi="標楷體" w:hint="eastAsia"/>
          <w:sz w:val="32"/>
          <w:szCs w:val="32"/>
        </w:rPr>
        <w:t>123</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黃國書  吳思瑤  林宜瑾</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Pr>
          <w:rFonts w:ascii="標楷體" w:eastAsia="標楷體" w:hAnsi="標楷體" w:hint="eastAsia"/>
          <w:sz w:val="32"/>
          <w:szCs w:val="32"/>
        </w:rPr>
        <w:t>(五十五)</w:t>
      </w:r>
      <w:r w:rsidRPr="001842E9">
        <w:rPr>
          <w:rFonts w:ascii="標楷體" w:eastAsia="標楷體" w:hAnsi="標楷體" w:hint="eastAsia"/>
          <w:sz w:val="32"/>
          <w:szCs w:val="32"/>
        </w:rPr>
        <w:t>面對氣候變遷，淨零碳排已成全球趨勢，中</w:t>
      </w:r>
      <w:r>
        <w:rPr>
          <w:rFonts w:ascii="標楷體" w:eastAsia="標楷體" w:hAnsi="標楷體" w:hint="eastAsia"/>
          <w:sz w:val="32"/>
          <w:szCs w:val="32"/>
        </w:rPr>
        <w:t>央</w:t>
      </w:r>
      <w:r w:rsidRPr="001842E9">
        <w:rPr>
          <w:rFonts w:ascii="標楷體" w:eastAsia="標楷體" w:hAnsi="標楷體" w:hint="eastAsia"/>
          <w:sz w:val="32"/>
          <w:szCs w:val="32"/>
        </w:rPr>
        <w:t>研</w:t>
      </w:r>
      <w:r>
        <w:rPr>
          <w:rFonts w:ascii="標楷體" w:eastAsia="標楷體" w:hAnsi="標楷體" w:hint="eastAsia"/>
          <w:sz w:val="32"/>
          <w:szCs w:val="32"/>
        </w:rPr>
        <w:t>究</w:t>
      </w:r>
      <w:r w:rsidRPr="001842E9">
        <w:rPr>
          <w:rFonts w:ascii="標楷體" w:eastAsia="標楷體" w:hAnsi="標楷體" w:hint="eastAsia"/>
          <w:sz w:val="32"/>
          <w:szCs w:val="32"/>
        </w:rPr>
        <w:t>院廖院長俊智指出零碳電力是我國淨零碳排關鍵，零碳電力除大家耳熟能詳的太陽光電、風力發電外，具有潛力選項包括去碳燃氫、地熱能、海洋能，中研院已開始積極發展各項零碳科技突破研發。有關上開地熱能，我國位處環太平洋火山帶，火山活動與板塊擠壓造就蘊含豐富地熱資源，但相關探勘開發相對少數，如</w:t>
      </w:r>
      <w:r>
        <w:rPr>
          <w:rFonts w:ascii="標楷體" w:eastAsia="標楷體" w:hAnsi="標楷體" w:hint="eastAsia"/>
          <w:sz w:val="32"/>
          <w:szCs w:val="32"/>
        </w:rPr>
        <w:t>吳委員思瑤</w:t>
      </w:r>
      <w:r w:rsidRPr="001842E9">
        <w:rPr>
          <w:rFonts w:ascii="標楷體" w:eastAsia="標楷體" w:hAnsi="標楷體" w:hint="eastAsia"/>
          <w:sz w:val="32"/>
          <w:szCs w:val="32"/>
        </w:rPr>
        <w:t>選區內之大屯山火山群，範圍於從新北投到金山區間，總長約18公里的地熱區域內，分布著</w:t>
      </w:r>
      <w:r>
        <w:rPr>
          <w:rFonts w:ascii="標楷體" w:eastAsia="標楷體" w:hAnsi="標楷體" w:hint="eastAsia"/>
          <w:sz w:val="32"/>
          <w:szCs w:val="32"/>
        </w:rPr>
        <w:t>4</w:t>
      </w:r>
      <w:r w:rsidRPr="001842E9">
        <w:rPr>
          <w:rFonts w:ascii="標楷體" w:eastAsia="標楷體" w:hAnsi="標楷體" w:hint="eastAsia"/>
          <w:sz w:val="32"/>
          <w:szCs w:val="32"/>
        </w:rPr>
        <w:t>個主要地熱徵兆區：大磺嘴、馬槽、四磺子坪及金山，有20多處具有高溫溫泉露頭及火山噴汽孔。根據第</w:t>
      </w:r>
      <w:r>
        <w:rPr>
          <w:rFonts w:ascii="標楷體" w:eastAsia="標楷體" w:hAnsi="標楷體" w:hint="eastAsia"/>
          <w:sz w:val="32"/>
          <w:szCs w:val="32"/>
        </w:rPr>
        <w:t>2</w:t>
      </w:r>
      <w:r w:rsidRPr="001842E9">
        <w:rPr>
          <w:rFonts w:ascii="標楷體" w:eastAsia="標楷體" w:hAnsi="標楷體" w:hint="eastAsia"/>
          <w:sz w:val="32"/>
          <w:szCs w:val="32"/>
        </w:rPr>
        <w:t>期能源國家型科技計畫所評估之地熱發電潛能，大屯火山群的地熱潛能約有2,886 MWe，惟目前無法進行大規模的開發利用，有下列原因：</w:t>
      </w:r>
      <w:r>
        <w:rPr>
          <w:rFonts w:ascii="標楷體" w:eastAsia="標楷體" w:hAnsi="標楷體" w:hint="eastAsia"/>
          <w:sz w:val="32"/>
          <w:szCs w:val="32"/>
        </w:rPr>
        <w:t>1.</w:t>
      </w:r>
      <w:r w:rsidRPr="001842E9">
        <w:rPr>
          <w:rFonts w:ascii="標楷體" w:eastAsia="標楷體" w:hAnsi="標楷體" w:hint="eastAsia"/>
          <w:sz w:val="32"/>
          <w:szCs w:val="32"/>
        </w:rPr>
        <w:t>該處地下流體屬於酸性泉，富含對於金屬具腐蝕性之氯離子、硫酸根與銨根，管線酸蝕成為此區地熱開發技術上最大的挑戰。嚴重酸鏽蝕使一般鋼鐵材料無法使用，若採用特殊金屬材料則須考慮成本過高的問題</w:t>
      </w:r>
      <w:r>
        <w:rPr>
          <w:rFonts w:ascii="標楷體" w:eastAsia="標楷體" w:hAnsi="標楷體" w:hint="eastAsia"/>
          <w:sz w:val="32"/>
          <w:szCs w:val="32"/>
        </w:rPr>
        <w:t>；2.</w:t>
      </w:r>
      <w:r w:rsidRPr="001842E9">
        <w:rPr>
          <w:rFonts w:ascii="標楷體" w:eastAsia="標楷體" w:hAnsi="標楷體" w:hint="eastAsia"/>
          <w:sz w:val="32"/>
          <w:szCs w:val="32"/>
        </w:rPr>
        <w:t>大屯火山群地熱區大部分已被劃入國家公園範圍，目前無法進</w:t>
      </w:r>
      <w:r w:rsidRPr="001842E9">
        <w:rPr>
          <w:rFonts w:ascii="標楷體" w:eastAsia="標楷體" w:hAnsi="標楷體" w:hint="eastAsia"/>
          <w:sz w:val="32"/>
          <w:szCs w:val="32"/>
        </w:rPr>
        <w:lastRenderedPageBreak/>
        <w:t>行大規模開發利用，須有解套法源。據悉為協助我國能源轉型、改善現今發電網結構，中研院與台灣中油股份有限公司已於2022年6月17日簽署綠能發</w:t>
      </w:r>
      <w:r>
        <w:rPr>
          <w:rFonts w:ascii="標楷體" w:eastAsia="標楷體" w:hAnsi="標楷體" w:hint="eastAsia"/>
          <w:sz w:val="32"/>
          <w:szCs w:val="32"/>
        </w:rPr>
        <w:t>展合作備忘錄，雙方優先選定宜蘭地區地熱能源探勘開發為合作起點。</w:t>
      </w:r>
      <w:r w:rsidRPr="001842E9">
        <w:rPr>
          <w:rFonts w:ascii="標楷體" w:eastAsia="標楷體" w:hAnsi="標楷體" w:hint="eastAsia"/>
          <w:sz w:val="32"/>
          <w:szCs w:val="32"/>
        </w:rPr>
        <w:t>請中央研究院未來推動相關地熱能源計畫，應進行下列事項：</w:t>
      </w:r>
      <w:r>
        <w:rPr>
          <w:rFonts w:ascii="標楷體" w:eastAsia="標楷體" w:hAnsi="標楷體" w:hint="eastAsia"/>
          <w:sz w:val="32"/>
          <w:szCs w:val="32"/>
        </w:rPr>
        <w:t>1.</w:t>
      </w:r>
      <w:r w:rsidRPr="001842E9">
        <w:rPr>
          <w:rFonts w:ascii="標楷體" w:eastAsia="標楷體" w:hAnsi="標楷體" w:hint="eastAsia"/>
          <w:sz w:val="32"/>
          <w:szCs w:val="32"/>
        </w:rPr>
        <w:t>善用科學技術協助突破因管線遭火山泉體腐蝕，以致開發成本提升之困境</w:t>
      </w:r>
      <w:r>
        <w:rPr>
          <w:rFonts w:ascii="標楷體" w:eastAsia="標楷體" w:hAnsi="標楷體" w:hint="eastAsia"/>
          <w:sz w:val="32"/>
          <w:szCs w:val="32"/>
        </w:rPr>
        <w:t>；</w:t>
      </w:r>
      <w:r w:rsidRPr="001842E9">
        <w:rPr>
          <w:rFonts w:ascii="標楷體" w:eastAsia="標楷體" w:hAnsi="標楷體" w:hint="eastAsia"/>
          <w:sz w:val="32"/>
          <w:szCs w:val="32"/>
        </w:rPr>
        <w:t>2.除我國之外，世界各國之高地熱潛能區往往與國家公園重疊，應啟動世界各國有關國家公園地熱發電經驗之研究，以協助能源政策與法令訂定，達到綠能與永續雙贏。</w:t>
      </w:r>
      <w:r>
        <w:rPr>
          <w:rFonts w:ascii="標楷體" w:eastAsia="標楷體" w:hAnsi="標楷體" w:hint="eastAsia"/>
          <w:sz w:val="32"/>
          <w:szCs w:val="32"/>
        </w:rPr>
        <w:t>爰請中央研究院就前述內容</w:t>
      </w:r>
      <w:r w:rsidRPr="001842E9">
        <w:rPr>
          <w:rFonts w:ascii="標楷體" w:eastAsia="標楷體" w:hAnsi="標楷體" w:hint="eastAsia"/>
          <w:sz w:val="32"/>
          <w:szCs w:val="32"/>
        </w:rPr>
        <w:t>於3個月內</w:t>
      </w:r>
      <w:r>
        <w:rPr>
          <w:rFonts w:ascii="標楷體" w:eastAsia="標楷體" w:hAnsi="標楷體" w:hint="eastAsia"/>
          <w:sz w:val="32"/>
          <w:szCs w:val="32"/>
        </w:rPr>
        <w:t>向</w:t>
      </w:r>
      <w:r w:rsidRPr="001842E9">
        <w:rPr>
          <w:rFonts w:ascii="標楷體" w:eastAsia="標楷體" w:hAnsi="標楷體" w:hint="eastAsia"/>
          <w:sz w:val="32"/>
          <w:szCs w:val="32"/>
        </w:rPr>
        <w:t>立法院教育及文化委員會提出書面報告。</w:t>
      </w:r>
      <w:r>
        <w:rPr>
          <w:rFonts w:ascii="標楷體" w:eastAsia="標楷體" w:hAnsi="標楷體" w:hint="eastAsia"/>
          <w:sz w:val="32"/>
          <w:szCs w:val="32"/>
        </w:rPr>
        <w:t>125</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提案人：</w:t>
      </w:r>
      <w:r>
        <w:rPr>
          <w:rFonts w:ascii="標楷體" w:eastAsia="標楷體" w:hAnsi="標楷體" w:hint="eastAsia"/>
          <w:sz w:val="32"/>
          <w:szCs w:val="32"/>
        </w:rPr>
        <w:t>吳思瑤  林宜瑾</w:t>
      </w:r>
    </w:p>
    <w:p w:rsidR="00A52DD2" w:rsidRPr="00014415" w:rsidRDefault="00A52DD2" w:rsidP="00F035E0">
      <w:pPr>
        <w:overflowPunct w:val="0"/>
        <w:spacing w:line="500" w:lineRule="exact"/>
        <w:ind w:leftChars="1250" w:left="3000"/>
        <w:jc w:val="both"/>
        <w:rPr>
          <w:rFonts w:ascii="標楷體" w:eastAsia="標楷體" w:hAnsi="標楷體"/>
          <w:sz w:val="32"/>
          <w:szCs w:val="32"/>
        </w:rPr>
      </w:pPr>
      <w:r w:rsidRPr="00014415">
        <w:rPr>
          <w:rFonts w:ascii="標楷體" w:eastAsia="標楷體" w:hAnsi="標楷體" w:hint="eastAsia"/>
          <w:sz w:val="32"/>
          <w:szCs w:val="32"/>
        </w:rPr>
        <w:t>連署人：</w:t>
      </w:r>
      <w:r>
        <w:rPr>
          <w:rFonts w:ascii="標楷體" w:eastAsia="標楷體" w:hAnsi="標楷體" w:hint="eastAsia"/>
          <w:sz w:val="32"/>
          <w:szCs w:val="32"/>
        </w:rPr>
        <w:t>黃國書</w:t>
      </w:r>
    </w:p>
    <w:p w:rsidR="00A52DD2" w:rsidRPr="00E94241" w:rsidRDefault="00A52DD2" w:rsidP="00F035E0">
      <w:pPr>
        <w:snapToGrid w:val="0"/>
        <w:spacing w:beforeLines="50" w:before="180" w:line="500" w:lineRule="exact"/>
        <w:ind w:left="640" w:hangingChars="200" w:hanging="640"/>
        <w:rPr>
          <w:rFonts w:ascii="標楷體" w:eastAsia="標楷體" w:hAnsi="標楷體"/>
          <w:color w:val="000000"/>
          <w:sz w:val="32"/>
          <w:szCs w:val="32"/>
        </w:rPr>
      </w:pPr>
      <w:r w:rsidRPr="00E94241">
        <w:rPr>
          <w:rFonts w:ascii="標楷體" w:eastAsia="標楷體" w:hAnsi="標楷體"/>
          <w:bCs/>
          <w:sz w:val="32"/>
          <w:szCs w:val="32"/>
        </w:rPr>
        <w:t>二</w:t>
      </w:r>
      <w:r w:rsidRPr="00E94241">
        <w:rPr>
          <w:rFonts w:ascii="標楷體" w:eastAsia="標楷體" w:hAnsi="標楷體" w:hint="eastAsia"/>
          <w:bCs/>
          <w:sz w:val="32"/>
          <w:szCs w:val="32"/>
        </w:rPr>
        <w:t>、</w:t>
      </w:r>
      <w:r w:rsidRPr="00E94241">
        <w:rPr>
          <w:rFonts w:ascii="標楷體" w:eastAsia="標楷體" w:hAnsi="標楷體" w:hint="eastAsia"/>
          <w:color w:val="000000"/>
          <w:sz w:val="32"/>
          <w:szCs w:val="32"/>
        </w:rPr>
        <w:t>11</w:t>
      </w:r>
      <w:r w:rsidRPr="00E94241">
        <w:rPr>
          <w:rFonts w:ascii="標楷體" w:eastAsia="標楷體" w:hAnsi="標楷體"/>
          <w:color w:val="000000"/>
          <w:sz w:val="32"/>
          <w:szCs w:val="32"/>
        </w:rPr>
        <w:t>2</w:t>
      </w:r>
      <w:r w:rsidRPr="00E94241">
        <w:rPr>
          <w:rFonts w:ascii="標楷體" w:eastAsia="標楷體" w:hAnsi="標楷體" w:hint="eastAsia"/>
          <w:color w:val="000000"/>
          <w:sz w:val="32"/>
          <w:szCs w:val="32"/>
        </w:rPr>
        <w:t>年度中央</w:t>
      </w:r>
      <w:r w:rsidRPr="00E94241">
        <w:rPr>
          <w:rFonts w:ascii="標楷體" w:eastAsia="標楷體" w:hAnsi="標楷體" w:hint="eastAsia"/>
          <w:bCs/>
          <w:color w:val="000000"/>
          <w:sz w:val="32"/>
          <w:szCs w:val="32"/>
        </w:rPr>
        <w:t>研究院</w:t>
      </w:r>
      <w:r w:rsidRPr="00E94241">
        <w:rPr>
          <w:rFonts w:ascii="標楷體" w:eastAsia="標楷體" w:hAnsi="標楷體" w:hint="eastAsia"/>
          <w:color w:val="000000"/>
          <w:sz w:val="32"/>
          <w:szCs w:val="32"/>
        </w:rPr>
        <w:t>科學研究基金附屬單位預算案</w:t>
      </w:r>
      <w:r w:rsidRPr="00E94241">
        <w:rPr>
          <w:rFonts w:ascii="新細明體" w:hAnsi="新細明體" w:hint="eastAsia"/>
          <w:color w:val="000000"/>
          <w:sz w:val="32"/>
          <w:szCs w:val="32"/>
        </w:rPr>
        <w:t>，</w:t>
      </w:r>
      <w:r w:rsidRPr="00E94241">
        <w:rPr>
          <w:rFonts w:ascii="標楷體" w:eastAsia="標楷體" w:hAnsi="標楷體" w:hint="eastAsia"/>
          <w:color w:val="000000"/>
          <w:sz w:val="32"/>
          <w:szCs w:val="32"/>
        </w:rPr>
        <w:t>審查完竣。審查結果如下：</w:t>
      </w:r>
    </w:p>
    <w:p w:rsidR="00A52DD2" w:rsidRPr="00E94241" w:rsidRDefault="00A52DD2" w:rsidP="00F035E0">
      <w:pPr>
        <w:kinsoku w:val="0"/>
        <w:overflowPunct w:val="0"/>
        <w:spacing w:before="120" w:line="500" w:lineRule="exact"/>
        <w:ind w:leftChars="149" w:left="678" w:hangingChars="100" w:hanging="320"/>
        <w:jc w:val="both"/>
        <w:textAlignment w:val="center"/>
        <w:rPr>
          <w:rFonts w:ascii="標楷體" w:eastAsia="標楷體" w:hAnsi="標楷體"/>
          <w:snapToGrid w:val="0"/>
          <w:color w:val="000000"/>
          <w:sz w:val="32"/>
          <w:szCs w:val="32"/>
        </w:rPr>
      </w:pPr>
      <w:r w:rsidRPr="00E94241">
        <w:rPr>
          <w:rFonts w:ascii="標楷體" w:eastAsia="標楷體" w:hAnsi="標楷體" w:hint="eastAsia"/>
          <w:snapToGrid w:val="0"/>
          <w:color w:val="000000"/>
          <w:sz w:val="32"/>
          <w:szCs w:val="32"/>
        </w:rPr>
        <w:t>(一)業務計畫：應依據基金來源與用途審查結果，隨同調整。</w:t>
      </w:r>
    </w:p>
    <w:p w:rsidR="00A52DD2" w:rsidRPr="00B90082" w:rsidRDefault="00A52DD2" w:rsidP="00F035E0">
      <w:pPr>
        <w:kinsoku w:val="0"/>
        <w:overflowPunct w:val="0"/>
        <w:spacing w:before="120" w:line="500" w:lineRule="exact"/>
        <w:ind w:leftChars="149" w:left="678" w:hangingChars="100" w:hanging="320"/>
        <w:jc w:val="both"/>
        <w:textAlignment w:val="center"/>
        <w:rPr>
          <w:rFonts w:ascii="標楷體" w:eastAsia="標楷體" w:hAnsi="標楷體"/>
          <w:snapToGrid w:val="0"/>
          <w:sz w:val="32"/>
          <w:szCs w:val="32"/>
        </w:rPr>
      </w:pPr>
      <w:r w:rsidRPr="00E94241">
        <w:rPr>
          <w:rFonts w:ascii="標楷體" w:eastAsia="標楷體" w:hAnsi="標楷體" w:hint="eastAsia"/>
          <w:snapToGrid w:val="0"/>
          <w:color w:val="000000"/>
          <w:sz w:val="32"/>
          <w:szCs w:val="32"/>
        </w:rPr>
        <w:t>(二)</w:t>
      </w:r>
      <w:r w:rsidRPr="00B90082">
        <w:rPr>
          <w:rFonts w:ascii="標楷體" w:eastAsia="標楷體" w:hAnsi="標楷體" w:hint="eastAsia"/>
          <w:snapToGrid w:val="0"/>
          <w:sz w:val="32"/>
          <w:szCs w:val="32"/>
        </w:rPr>
        <w:t>基金來源、用途及餘絀：</w:t>
      </w:r>
    </w:p>
    <w:p w:rsidR="00A52DD2" w:rsidRPr="00B90082" w:rsidRDefault="00A52DD2" w:rsidP="00F035E0">
      <w:pPr>
        <w:kinsoku w:val="0"/>
        <w:overflowPunct w:val="0"/>
        <w:spacing w:before="120" w:line="500" w:lineRule="exact"/>
        <w:ind w:leftChars="398" w:left="1275" w:hangingChars="100" w:hanging="320"/>
        <w:jc w:val="both"/>
        <w:textAlignment w:val="center"/>
        <w:rPr>
          <w:rFonts w:ascii="標楷體" w:eastAsia="標楷體" w:hAnsi="標楷體"/>
          <w:snapToGrid w:val="0"/>
          <w:sz w:val="32"/>
          <w:szCs w:val="32"/>
        </w:rPr>
      </w:pPr>
      <w:r w:rsidRPr="00B90082">
        <w:rPr>
          <w:rFonts w:ascii="標楷體" w:eastAsia="標楷體" w:hAnsi="標楷體" w:hint="eastAsia"/>
          <w:snapToGrid w:val="0"/>
          <w:sz w:val="32"/>
          <w:szCs w:val="32"/>
        </w:rPr>
        <w:t>1.基金來源：43億5,196萬6千元，照列。</w:t>
      </w:r>
    </w:p>
    <w:p w:rsidR="00A52DD2" w:rsidRPr="00B90082" w:rsidRDefault="00A52DD2" w:rsidP="00F035E0">
      <w:pPr>
        <w:kinsoku w:val="0"/>
        <w:overflowPunct w:val="0"/>
        <w:spacing w:before="120" w:line="500" w:lineRule="exact"/>
        <w:ind w:leftChars="398" w:left="1275" w:hangingChars="100" w:hanging="320"/>
        <w:jc w:val="both"/>
        <w:textAlignment w:val="center"/>
        <w:rPr>
          <w:rFonts w:ascii="標楷體" w:eastAsia="標楷體" w:hAnsi="標楷體"/>
          <w:snapToGrid w:val="0"/>
          <w:sz w:val="32"/>
          <w:szCs w:val="32"/>
        </w:rPr>
      </w:pPr>
      <w:r w:rsidRPr="00B90082">
        <w:rPr>
          <w:rFonts w:ascii="標楷體" w:eastAsia="標楷體" w:hAnsi="標楷體" w:hint="eastAsia"/>
          <w:snapToGrid w:val="0"/>
          <w:sz w:val="32"/>
          <w:szCs w:val="32"/>
        </w:rPr>
        <w:t>2.基金用途：43億2,010萬8千元，</w:t>
      </w:r>
      <w:r>
        <w:rPr>
          <w:rFonts w:ascii="標楷體" w:eastAsia="標楷體" w:hAnsi="標楷體" w:hint="eastAsia"/>
          <w:snapToGrid w:val="0"/>
          <w:sz w:val="32"/>
          <w:szCs w:val="32"/>
        </w:rPr>
        <w:t>照列</w:t>
      </w:r>
      <w:r w:rsidRPr="00B90082">
        <w:rPr>
          <w:rFonts w:ascii="標楷體" w:eastAsia="標楷體" w:hAnsi="標楷體" w:hint="eastAsia"/>
          <w:snapToGrid w:val="0"/>
          <w:sz w:val="32"/>
          <w:szCs w:val="32"/>
        </w:rPr>
        <w:t>。</w:t>
      </w:r>
    </w:p>
    <w:p w:rsidR="00A52DD2" w:rsidRPr="00B90082" w:rsidRDefault="00A52DD2" w:rsidP="00F035E0">
      <w:pPr>
        <w:kinsoku w:val="0"/>
        <w:overflowPunct w:val="0"/>
        <w:spacing w:before="120" w:line="500" w:lineRule="exact"/>
        <w:ind w:leftChars="398" w:left="1275" w:hangingChars="100" w:hanging="320"/>
        <w:jc w:val="both"/>
        <w:textAlignment w:val="center"/>
        <w:rPr>
          <w:rFonts w:ascii="標楷體" w:eastAsia="標楷體" w:hAnsi="標楷體"/>
          <w:snapToGrid w:val="0"/>
          <w:sz w:val="32"/>
          <w:szCs w:val="32"/>
        </w:rPr>
      </w:pPr>
      <w:r w:rsidRPr="00B90082">
        <w:rPr>
          <w:rFonts w:ascii="標楷體" w:eastAsia="標楷體" w:hAnsi="標楷體" w:hint="eastAsia"/>
          <w:snapToGrid w:val="0"/>
          <w:sz w:val="32"/>
          <w:szCs w:val="32"/>
        </w:rPr>
        <w:t>3.</w:t>
      </w:r>
      <w:r>
        <w:rPr>
          <w:rFonts w:ascii="標楷體" w:eastAsia="標楷體" w:hAnsi="標楷體" w:hint="eastAsia"/>
          <w:snapToGrid w:val="0"/>
          <w:sz w:val="32"/>
          <w:szCs w:val="32"/>
        </w:rPr>
        <w:t>本期賸餘：</w:t>
      </w:r>
      <w:r w:rsidRPr="00B90082">
        <w:rPr>
          <w:rFonts w:ascii="標楷體" w:eastAsia="標楷體" w:hAnsi="標楷體" w:hint="eastAsia"/>
          <w:snapToGrid w:val="0"/>
          <w:sz w:val="32"/>
          <w:szCs w:val="32"/>
        </w:rPr>
        <w:t>3,185萬8千元，</w:t>
      </w:r>
      <w:r>
        <w:rPr>
          <w:rFonts w:ascii="標楷體" w:eastAsia="標楷體" w:hAnsi="標楷體" w:hint="eastAsia"/>
          <w:snapToGrid w:val="0"/>
          <w:sz w:val="32"/>
          <w:szCs w:val="32"/>
        </w:rPr>
        <w:t>照列</w:t>
      </w:r>
      <w:r w:rsidRPr="00B90082">
        <w:rPr>
          <w:rFonts w:ascii="標楷體" w:eastAsia="標楷體" w:hAnsi="標楷體" w:hint="eastAsia"/>
          <w:snapToGrid w:val="0"/>
          <w:sz w:val="32"/>
          <w:szCs w:val="32"/>
        </w:rPr>
        <w:t>。</w:t>
      </w:r>
    </w:p>
    <w:p w:rsidR="00A52DD2" w:rsidRPr="00B90082" w:rsidRDefault="00A52DD2" w:rsidP="00F035E0">
      <w:pPr>
        <w:kinsoku w:val="0"/>
        <w:overflowPunct w:val="0"/>
        <w:spacing w:before="120" w:line="500" w:lineRule="exact"/>
        <w:ind w:leftChars="149" w:left="678" w:hangingChars="100" w:hanging="320"/>
        <w:jc w:val="both"/>
        <w:textAlignment w:val="center"/>
        <w:rPr>
          <w:rFonts w:ascii="標楷體" w:eastAsia="標楷體" w:hAnsi="標楷體"/>
          <w:snapToGrid w:val="0"/>
          <w:sz w:val="32"/>
          <w:szCs w:val="32"/>
        </w:rPr>
      </w:pPr>
      <w:r w:rsidRPr="00B90082">
        <w:rPr>
          <w:rFonts w:ascii="標楷體" w:eastAsia="標楷體" w:hAnsi="標楷體" w:hint="eastAsia"/>
          <w:snapToGrid w:val="0"/>
          <w:sz w:val="32"/>
          <w:szCs w:val="32"/>
        </w:rPr>
        <w:t>(三)解繳公庫：無列數。</w:t>
      </w:r>
    </w:p>
    <w:p w:rsidR="00A52DD2" w:rsidRPr="00B90082" w:rsidRDefault="00A52DD2" w:rsidP="00F035E0">
      <w:pPr>
        <w:kinsoku w:val="0"/>
        <w:overflowPunct w:val="0"/>
        <w:spacing w:before="120" w:line="500" w:lineRule="exact"/>
        <w:ind w:leftChars="149" w:left="678" w:hangingChars="100" w:hanging="320"/>
        <w:jc w:val="both"/>
        <w:textAlignment w:val="center"/>
        <w:rPr>
          <w:rFonts w:ascii="標楷體" w:eastAsia="標楷體" w:hAnsi="標楷體"/>
          <w:snapToGrid w:val="0"/>
          <w:sz w:val="32"/>
          <w:szCs w:val="32"/>
        </w:rPr>
      </w:pPr>
      <w:r w:rsidRPr="00B90082">
        <w:rPr>
          <w:rFonts w:ascii="標楷體" w:eastAsia="標楷體" w:hAnsi="標楷體" w:hint="eastAsia"/>
          <w:snapToGrid w:val="0"/>
          <w:sz w:val="32"/>
          <w:szCs w:val="32"/>
        </w:rPr>
        <w:t>(四)補辦預算：固定資產建設改良擴充7,919萬1千元，照列。</w:t>
      </w:r>
    </w:p>
    <w:p w:rsidR="00A52DD2" w:rsidRDefault="00A52DD2" w:rsidP="00F035E0">
      <w:pPr>
        <w:kinsoku w:val="0"/>
        <w:overflowPunct w:val="0"/>
        <w:spacing w:before="120" w:line="500" w:lineRule="exact"/>
        <w:ind w:leftChars="149" w:left="678" w:hangingChars="100" w:hanging="320"/>
        <w:jc w:val="both"/>
        <w:textAlignment w:val="center"/>
        <w:rPr>
          <w:rFonts w:ascii="標楷體" w:eastAsia="標楷體" w:hAnsi="標楷體"/>
          <w:snapToGrid w:val="0"/>
          <w:sz w:val="32"/>
          <w:szCs w:val="32"/>
        </w:rPr>
      </w:pPr>
      <w:r w:rsidRPr="00B90082">
        <w:rPr>
          <w:rFonts w:ascii="標楷體" w:eastAsia="標楷體" w:hAnsi="標楷體" w:hint="eastAsia"/>
          <w:snapToGrid w:val="0"/>
          <w:sz w:val="32"/>
          <w:szCs w:val="32"/>
        </w:rPr>
        <w:t>(五)通過決議</w:t>
      </w:r>
      <w:r>
        <w:rPr>
          <w:rFonts w:ascii="標楷體" w:eastAsia="標楷體" w:hAnsi="標楷體" w:hint="eastAsia"/>
          <w:snapToGrid w:val="0"/>
          <w:sz w:val="32"/>
          <w:szCs w:val="32"/>
        </w:rPr>
        <w:t>9</w:t>
      </w:r>
      <w:r w:rsidRPr="00B90082">
        <w:rPr>
          <w:rFonts w:ascii="標楷體" w:eastAsia="標楷體" w:hAnsi="標楷體" w:hint="eastAsia"/>
          <w:snapToGrid w:val="0"/>
          <w:sz w:val="32"/>
          <w:szCs w:val="32"/>
        </w:rPr>
        <w:t>項：</w:t>
      </w:r>
    </w:p>
    <w:p w:rsidR="00A52DD2" w:rsidRPr="00204F60" w:rsidRDefault="00A52DD2" w:rsidP="00F035E0">
      <w:pPr>
        <w:overflowPunct w:val="0"/>
        <w:spacing w:line="500" w:lineRule="exact"/>
        <w:ind w:leftChars="200" w:left="800" w:hangingChars="100" w:hanging="320"/>
        <w:jc w:val="both"/>
        <w:rPr>
          <w:rFonts w:ascii="標楷體" w:eastAsia="標楷體" w:hAnsi="標楷體"/>
          <w:sz w:val="32"/>
          <w:szCs w:val="32"/>
        </w:rPr>
      </w:pPr>
      <w:r>
        <w:rPr>
          <w:rFonts w:ascii="標楷體" w:eastAsia="標楷體" w:hAnsi="標楷體" w:hint="eastAsia"/>
          <w:snapToGrid w:val="0"/>
          <w:sz w:val="32"/>
          <w:szCs w:val="32"/>
        </w:rPr>
        <w:t>1.</w:t>
      </w:r>
      <w:r w:rsidRPr="00204F60">
        <w:rPr>
          <w:rFonts w:ascii="標楷體" w:eastAsia="標楷體" w:hAnsi="標楷體" w:hint="eastAsia"/>
          <w:sz w:val="32"/>
          <w:szCs w:val="32"/>
        </w:rPr>
        <w:t>中央研究院為積極推動國際化，與國外頂尖大學及研究機構合作培育人才，以儲備國家科技人才，爰辦理「培育科技菁英計畫」，依中研院提供資料，106至110年度培育科技菁英計畫</w:t>
      </w:r>
      <w:r w:rsidRPr="00204F60">
        <w:rPr>
          <w:rFonts w:ascii="標楷體" w:eastAsia="標楷體" w:hAnsi="標楷體" w:hint="eastAsia"/>
          <w:sz w:val="32"/>
          <w:szCs w:val="32"/>
        </w:rPr>
        <w:lastRenderedPageBreak/>
        <w:t>之預算執行率介於22.9%至84.62%間，近2年(109及110年)或受嚴重特殊傳染性肺炎疫情影響執行率均未達四成。</w:t>
      </w:r>
    </w:p>
    <w:tbl>
      <w:tblPr>
        <w:tblW w:w="6240" w:type="dxa"/>
        <w:jc w:val="center"/>
        <w:tblCellMar>
          <w:left w:w="0" w:type="dxa"/>
          <w:right w:w="0" w:type="dxa"/>
        </w:tblCellMar>
        <w:tblLook w:val="04A0" w:firstRow="1" w:lastRow="0" w:firstColumn="1" w:lastColumn="0" w:noHBand="0" w:noVBand="1"/>
      </w:tblPr>
      <w:tblGrid>
        <w:gridCol w:w="1140"/>
        <w:gridCol w:w="1700"/>
        <w:gridCol w:w="1700"/>
        <w:gridCol w:w="1700"/>
      </w:tblGrid>
      <w:tr w:rsidR="00A52DD2" w:rsidRPr="00425CA0" w:rsidTr="00F035E0">
        <w:trPr>
          <w:trHeight w:val="510"/>
          <w:jc w:val="center"/>
        </w:trPr>
        <w:tc>
          <w:tcPr>
            <w:tcW w:w="6240" w:type="dxa"/>
            <w:gridSpan w:val="4"/>
            <w:tcBorders>
              <w:top w:val="single" w:sz="8" w:space="0" w:color="000000"/>
              <w:left w:val="single" w:sz="8" w:space="0" w:color="000000"/>
              <w:bottom w:val="single" w:sz="8" w:space="0" w:color="000000"/>
              <w:right w:val="single" w:sz="8" w:space="0" w:color="000000"/>
            </w:tcBorders>
            <w:shd w:val="clear" w:color="auto" w:fill="CBD9E2"/>
            <w:tcMar>
              <w:top w:w="15" w:type="dxa"/>
              <w:left w:w="108" w:type="dxa"/>
              <w:bottom w:w="0" w:type="dxa"/>
              <w:right w:w="108" w:type="dxa"/>
            </w:tcMar>
            <w:vAlign w:val="cente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hint="eastAsia"/>
                <w:b/>
                <w:bCs/>
                <w:szCs w:val="24"/>
              </w:rPr>
              <w:t>培育科技菁英計畫 預算及執行狀況</w:t>
            </w:r>
          </w:p>
          <w:p w:rsidR="00A52DD2" w:rsidRPr="00425CA0" w:rsidRDefault="00A52DD2" w:rsidP="00F035E0">
            <w:pPr>
              <w:widowControl/>
              <w:spacing w:line="360" w:lineRule="exact"/>
              <w:jc w:val="right"/>
              <w:rPr>
                <w:rFonts w:ascii="標楷體" w:eastAsia="標楷體" w:hAnsi="標楷體" w:cs="Arial"/>
                <w:kern w:val="0"/>
                <w:szCs w:val="24"/>
              </w:rPr>
            </w:pPr>
            <w:r w:rsidRPr="00425CA0">
              <w:rPr>
                <w:rFonts w:ascii="標楷體" w:eastAsia="標楷體" w:hAnsi="標楷體" w:hint="eastAsia"/>
                <w:b/>
                <w:bCs/>
                <w:szCs w:val="24"/>
              </w:rPr>
              <w:t>單位：千元</w:t>
            </w:r>
          </w:p>
        </w:tc>
      </w:tr>
      <w:tr w:rsidR="00A52DD2" w:rsidRPr="00425CA0" w:rsidTr="00F035E0">
        <w:trPr>
          <w:trHeight w:val="454"/>
          <w:jc w:val="center"/>
        </w:trPr>
        <w:tc>
          <w:tcPr>
            <w:tcW w:w="1140" w:type="dxa"/>
            <w:tcBorders>
              <w:top w:val="single" w:sz="8" w:space="0" w:color="000000"/>
              <w:left w:val="single" w:sz="8" w:space="0" w:color="000000"/>
              <w:bottom w:val="single" w:sz="8" w:space="0" w:color="000000"/>
              <w:right w:val="single" w:sz="8" w:space="0" w:color="000000"/>
            </w:tcBorders>
            <w:shd w:val="clear" w:color="auto" w:fill="CBD9E2"/>
            <w:tcMar>
              <w:top w:w="15" w:type="dxa"/>
              <w:left w:w="108" w:type="dxa"/>
              <w:bottom w:w="0" w:type="dxa"/>
              <w:right w:w="108" w:type="dxa"/>
            </w:tcMar>
            <w:vAlign w:val="cente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hint="eastAsia"/>
                <w:b/>
                <w:bCs/>
                <w:szCs w:val="24"/>
              </w:rPr>
              <w:t>年度</w:t>
            </w:r>
          </w:p>
        </w:tc>
        <w:tc>
          <w:tcPr>
            <w:tcW w:w="1700" w:type="dxa"/>
            <w:tcBorders>
              <w:top w:val="single" w:sz="8" w:space="0" w:color="000000"/>
              <w:left w:val="single" w:sz="8" w:space="0" w:color="000000"/>
              <w:bottom w:val="single" w:sz="8" w:space="0" w:color="000000"/>
              <w:right w:val="single" w:sz="8" w:space="0" w:color="000000"/>
            </w:tcBorders>
            <w:shd w:val="clear" w:color="auto" w:fill="CBD9E2"/>
            <w:tcMar>
              <w:top w:w="15" w:type="dxa"/>
              <w:left w:w="108" w:type="dxa"/>
              <w:bottom w:w="0" w:type="dxa"/>
              <w:right w:w="108" w:type="dxa"/>
            </w:tcMar>
            <w:vAlign w:val="cente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hint="eastAsia"/>
                <w:b/>
                <w:bCs/>
                <w:szCs w:val="24"/>
              </w:rPr>
              <w:t>預算數</w:t>
            </w:r>
          </w:p>
        </w:tc>
        <w:tc>
          <w:tcPr>
            <w:tcW w:w="1700" w:type="dxa"/>
            <w:tcBorders>
              <w:top w:val="single" w:sz="8" w:space="0" w:color="000000"/>
              <w:left w:val="single" w:sz="8" w:space="0" w:color="000000"/>
              <w:bottom w:val="single" w:sz="8" w:space="0" w:color="000000"/>
              <w:right w:val="single" w:sz="8" w:space="0" w:color="000000"/>
            </w:tcBorders>
            <w:shd w:val="clear" w:color="auto" w:fill="CBD9E2"/>
            <w:tcMar>
              <w:top w:w="15" w:type="dxa"/>
              <w:left w:w="108" w:type="dxa"/>
              <w:bottom w:w="0" w:type="dxa"/>
              <w:right w:w="108" w:type="dxa"/>
            </w:tcMar>
            <w:vAlign w:val="cente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hint="eastAsia"/>
                <w:b/>
                <w:bCs/>
                <w:szCs w:val="24"/>
              </w:rPr>
              <w:t>決算數</w:t>
            </w:r>
          </w:p>
        </w:tc>
        <w:tc>
          <w:tcPr>
            <w:tcW w:w="1700" w:type="dxa"/>
            <w:tcBorders>
              <w:top w:val="single" w:sz="8" w:space="0" w:color="000000"/>
              <w:left w:val="single" w:sz="8" w:space="0" w:color="000000"/>
              <w:bottom w:val="single" w:sz="8" w:space="0" w:color="000000"/>
              <w:right w:val="single" w:sz="8" w:space="0" w:color="000000"/>
            </w:tcBorders>
            <w:shd w:val="clear" w:color="auto" w:fill="CBD9E2"/>
            <w:tcMar>
              <w:top w:w="15" w:type="dxa"/>
              <w:left w:w="108" w:type="dxa"/>
              <w:bottom w:w="0" w:type="dxa"/>
              <w:right w:w="108" w:type="dxa"/>
            </w:tcMar>
            <w:vAlign w:val="cente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hint="eastAsia"/>
                <w:b/>
                <w:bCs/>
                <w:szCs w:val="24"/>
              </w:rPr>
              <w:t>執行率</w:t>
            </w:r>
          </w:p>
        </w:tc>
      </w:tr>
      <w:tr w:rsidR="00A52DD2" w:rsidRPr="00425CA0" w:rsidTr="00F035E0">
        <w:trPr>
          <w:trHeight w:val="336"/>
          <w:jc w:val="center"/>
        </w:trPr>
        <w:tc>
          <w:tcPr>
            <w:tcW w:w="1140" w:type="dxa"/>
            <w:tcBorders>
              <w:top w:val="single" w:sz="8" w:space="0" w:color="000000"/>
              <w:left w:val="single" w:sz="8" w:space="0" w:color="000000"/>
              <w:bottom w:val="single" w:sz="8" w:space="0" w:color="000000"/>
              <w:right w:val="single" w:sz="8" w:space="0" w:color="000000"/>
            </w:tcBorders>
            <w:shd w:val="clear" w:color="auto" w:fill="CBD9E2"/>
            <w:tcMar>
              <w:top w:w="15" w:type="dxa"/>
              <w:left w:w="108" w:type="dxa"/>
              <w:bottom w:w="0" w:type="dxa"/>
              <w:right w:w="108" w:type="dxa"/>
            </w:tcMar>
            <w:vAlign w:val="cente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szCs w:val="24"/>
              </w:rPr>
              <w:t>112</w:t>
            </w: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szCs w:val="24"/>
              </w:rPr>
              <w:t>4,863</w:t>
            </w: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52DD2" w:rsidRPr="00425CA0" w:rsidRDefault="00A52DD2" w:rsidP="00F035E0">
            <w:pPr>
              <w:widowControl/>
              <w:spacing w:line="360" w:lineRule="exact"/>
              <w:jc w:val="center"/>
              <w:rPr>
                <w:rFonts w:ascii="標楷體" w:eastAsia="標楷體" w:hAnsi="標楷體" w:cs="Arial"/>
                <w:kern w:val="0"/>
                <w:szCs w:val="24"/>
              </w:rPr>
            </w:pP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52DD2" w:rsidRPr="00425CA0" w:rsidRDefault="00A52DD2" w:rsidP="00F035E0">
            <w:pPr>
              <w:widowControl/>
              <w:spacing w:line="360" w:lineRule="exact"/>
              <w:jc w:val="center"/>
              <w:rPr>
                <w:rFonts w:ascii="標楷體" w:eastAsia="標楷體" w:hAnsi="標楷體" w:cs="Arial"/>
                <w:kern w:val="0"/>
                <w:szCs w:val="24"/>
              </w:rPr>
            </w:pPr>
          </w:p>
        </w:tc>
      </w:tr>
      <w:tr w:rsidR="00A52DD2" w:rsidRPr="00425CA0" w:rsidTr="00F035E0">
        <w:trPr>
          <w:trHeight w:val="336"/>
          <w:jc w:val="center"/>
        </w:trPr>
        <w:tc>
          <w:tcPr>
            <w:tcW w:w="1140" w:type="dxa"/>
            <w:tcBorders>
              <w:top w:val="single" w:sz="8" w:space="0" w:color="000000"/>
              <w:left w:val="single" w:sz="8" w:space="0" w:color="000000"/>
              <w:bottom w:val="single" w:sz="8" w:space="0" w:color="000000"/>
              <w:right w:val="single" w:sz="8" w:space="0" w:color="000000"/>
            </w:tcBorders>
            <w:shd w:val="clear" w:color="auto" w:fill="CBD9E2"/>
            <w:tcMar>
              <w:top w:w="15" w:type="dxa"/>
              <w:left w:w="108" w:type="dxa"/>
              <w:bottom w:w="0" w:type="dxa"/>
              <w:right w:w="108" w:type="dxa"/>
            </w:tcMar>
            <w:vAlign w:val="cente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szCs w:val="24"/>
              </w:rPr>
              <w:t>111</w:t>
            </w: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szCs w:val="24"/>
              </w:rPr>
              <w:t>8,000</w:t>
            </w: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52DD2" w:rsidRPr="00425CA0" w:rsidRDefault="00A52DD2" w:rsidP="00F035E0">
            <w:pPr>
              <w:widowControl/>
              <w:spacing w:line="360" w:lineRule="exact"/>
              <w:jc w:val="center"/>
              <w:rPr>
                <w:rFonts w:ascii="標楷體" w:eastAsia="標楷體" w:hAnsi="標楷體" w:cs="Arial"/>
                <w:kern w:val="0"/>
                <w:szCs w:val="24"/>
              </w:rPr>
            </w:pP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52DD2" w:rsidRPr="00425CA0" w:rsidRDefault="00A52DD2" w:rsidP="00F035E0">
            <w:pPr>
              <w:widowControl/>
              <w:spacing w:line="360" w:lineRule="exact"/>
              <w:jc w:val="center"/>
              <w:rPr>
                <w:rFonts w:ascii="標楷體" w:eastAsia="標楷體" w:hAnsi="標楷體" w:cs="Arial"/>
                <w:kern w:val="0"/>
                <w:szCs w:val="24"/>
              </w:rPr>
            </w:pPr>
          </w:p>
        </w:tc>
      </w:tr>
      <w:tr w:rsidR="00A52DD2" w:rsidRPr="00425CA0" w:rsidTr="00F035E0">
        <w:trPr>
          <w:trHeight w:val="336"/>
          <w:jc w:val="center"/>
        </w:trPr>
        <w:tc>
          <w:tcPr>
            <w:tcW w:w="1140" w:type="dxa"/>
            <w:tcBorders>
              <w:top w:val="single" w:sz="8" w:space="0" w:color="000000"/>
              <w:left w:val="single" w:sz="8" w:space="0" w:color="000000"/>
              <w:bottom w:val="single" w:sz="8" w:space="0" w:color="000000"/>
              <w:right w:val="single" w:sz="8" w:space="0" w:color="000000"/>
            </w:tcBorders>
            <w:shd w:val="clear" w:color="auto" w:fill="CBD9E2"/>
            <w:tcMar>
              <w:top w:w="15" w:type="dxa"/>
              <w:left w:w="108" w:type="dxa"/>
              <w:bottom w:w="0" w:type="dxa"/>
              <w:right w:w="108" w:type="dxa"/>
            </w:tcMar>
            <w:vAlign w:val="cente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szCs w:val="24"/>
              </w:rPr>
              <w:t>110</w:t>
            </w: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hint="eastAsia"/>
                <w:szCs w:val="24"/>
              </w:rPr>
              <w:t>8</w:t>
            </w:r>
            <w:r w:rsidRPr="00425CA0">
              <w:rPr>
                <w:rFonts w:ascii="標楷體" w:eastAsia="標楷體" w:hAnsi="標楷體" w:cs="Courier New"/>
                <w:szCs w:val="24"/>
              </w:rPr>
              <w:t>,000</w:t>
            </w: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szCs w:val="24"/>
              </w:rPr>
              <w:t>2,</w:t>
            </w:r>
            <w:r w:rsidRPr="00425CA0">
              <w:rPr>
                <w:rFonts w:ascii="標楷體" w:eastAsia="標楷體" w:hAnsi="標楷體" w:cs="Courier New" w:hint="eastAsia"/>
                <w:szCs w:val="24"/>
              </w:rPr>
              <w:t>729</w:t>
            </w: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hint="eastAsia"/>
                <w:bCs/>
                <w:szCs w:val="24"/>
              </w:rPr>
              <w:t>34</w:t>
            </w:r>
            <w:r w:rsidRPr="00425CA0">
              <w:rPr>
                <w:rFonts w:ascii="標楷體" w:eastAsia="標楷體" w:hAnsi="標楷體" w:cs="Courier New"/>
                <w:bCs/>
                <w:szCs w:val="24"/>
              </w:rPr>
              <w:t>.</w:t>
            </w:r>
            <w:r w:rsidRPr="00425CA0">
              <w:rPr>
                <w:rFonts w:ascii="標楷體" w:eastAsia="標楷體" w:hAnsi="標楷體" w:cs="Courier New" w:hint="eastAsia"/>
                <w:bCs/>
                <w:szCs w:val="24"/>
              </w:rPr>
              <w:t>1</w:t>
            </w:r>
          </w:p>
        </w:tc>
      </w:tr>
      <w:tr w:rsidR="00A52DD2" w:rsidRPr="00425CA0" w:rsidTr="00F035E0">
        <w:trPr>
          <w:trHeight w:val="336"/>
          <w:jc w:val="center"/>
        </w:trPr>
        <w:tc>
          <w:tcPr>
            <w:tcW w:w="1140" w:type="dxa"/>
            <w:tcBorders>
              <w:top w:val="single" w:sz="8" w:space="0" w:color="000000"/>
              <w:left w:val="single" w:sz="8" w:space="0" w:color="000000"/>
              <w:bottom w:val="single" w:sz="8" w:space="0" w:color="000000"/>
              <w:right w:val="single" w:sz="8" w:space="0" w:color="000000"/>
            </w:tcBorders>
            <w:shd w:val="clear" w:color="auto" w:fill="CBD9E2"/>
            <w:tcMar>
              <w:top w:w="15" w:type="dxa"/>
              <w:left w:w="108" w:type="dxa"/>
              <w:bottom w:w="0" w:type="dxa"/>
              <w:right w:w="108" w:type="dxa"/>
            </w:tcMar>
            <w:vAlign w:val="cente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szCs w:val="24"/>
              </w:rPr>
              <w:t>109</w:t>
            </w: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szCs w:val="24"/>
              </w:rPr>
              <w:t>12,000</w:t>
            </w: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szCs w:val="24"/>
              </w:rPr>
              <w:t>2,748</w:t>
            </w: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bCs/>
                <w:szCs w:val="24"/>
              </w:rPr>
              <w:t>22.9</w:t>
            </w:r>
          </w:p>
        </w:tc>
      </w:tr>
      <w:tr w:rsidR="00A52DD2" w:rsidRPr="00425CA0" w:rsidTr="00F035E0">
        <w:trPr>
          <w:trHeight w:val="336"/>
          <w:jc w:val="center"/>
        </w:trPr>
        <w:tc>
          <w:tcPr>
            <w:tcW w:w="1140" w:type="dxa"/>
            <w:tcBorders>
              <w:top w:val="single" w:sz="8" w:space="0" w:color="000000"/>
              <w:left w:val="single" w:sz="8" w:space="0" w:color="000000"/>
              <w:bottom w:val="single" w:sz="8" w:space="0" w:color="000000"/>
              <w:right w:val="single" w:sz="8" w:space="0" w:color="000000"/>
            </w:tcBorders>
            <w:shd w:val="clear" w:color="auto" w:fill="CBD9E2"/>
            <w:tcMar>
              <w:top w:w="15" w:type="dxa"/>
              <w:left w:w="108" w:type="dxa"/>
              <w:bottom w:w="0" w:type="dxa"/>
              <w:right w:w="108" w:type="dxa"/>
            </w:tcMar>
            <w:vAlign w:val="cente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szCs w:val="24"/>
              </w:rPr>
              <w:t>108</w:t>
            </w: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szCs w:val="24"/>
              </w:rPr>
              <w:t>12,000</w:t>
            </w: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szCs w:val="24"/>
              </w:rPr>
              <w:t>10,154</w:t>
            </w: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szCs w:val="24"/>
              </w:rPr>
              <w:t>84.6</w:t>
            </w:r>
          </w:p>
        </w:tc>
      </w:tr>
      <w:tr w:rsidR="00A52DD2" w:rsidRPr="00425CA0" w:rsidTr="00F035E0">
        <w:trPr>
          <w:trHeight w:val="336"/>
          <w:jc w:val="center"/>
        </w:trPr>
        <w:tc>
          <w:tcPr>
            <w:tcW w:w="1140" w:type="dxa"/>
            <w:tcBorders>
              <w:top w:val="single" w:sz="8" w:space="0" w:color="000000"/>
              <w:left w:val="single" w:sz="8" w:space="0" w:color="000000"/>
              <w:bottom w:val="single" w:sz="8" w:space="0" w:color="000000"/>
              <w:right w:val="single" w:sz="8" w:space="0" w:color="000000"/>
            </w:tcBorders>
            <w:shd w:val="clear" w:color="auto" w:fill="CBD9E2"/>
            <w:tcMar>
              <w:top w:w="15" w:type="dxa"/>
              <w:left w:w="108" w:type="dxa"/>
              <w:bottom w:w="0" w:type="dxa"/>
              <w:right w:w="108" w:type="dxa"/>
            </w:tcMar>
            <w:vAlign w:val="cente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szCs w:val="24"/>
              </w:rPr>
              <w:t>107</w:t>
            </w: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szCs w:val="24"/>
              </w:rPr>
              <w:t>13,000</w:t>
            </w: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szCs w:val="24"/>
              </w:rPr>
              <w:t>5,288</w:t>
            </w: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bCs/>
                <w:szCs w:val="24"/>
              </w:rPr>
              <w:t>40.6</w:t>
            </w:r>
          </w:p>
        </w:tc>
      </w:tr>
      <w:tr w:rsidR="00A52DD2" w:rsidRPr="00425CA0" w:rsidTr="00F035E0">
        <w:trPr>
          <w:trHeight w:val="336"/>
          <w:jc w:val="center"/>
        </w:trPr>
        <w:tc>
          <w:tcPr>
            <w:tcW w:w="1140" w:type="dxa"/>
            <w:tcBorders>
              <w:top w:val="single" w:sz="8" w:space="0" w:color="000000"/>
              <w:left w:val="single" w:sz="8" w:space="0" w:color="000000"/>
              <w:bottom w:val="single" w:sz="8" w:space="0" w:color="000000"/>
              <w:right w:val="single" w:sz="8" w:space="0" w:color="000000"/>
            </w:tcBorders>
            <w:shd w:val="clear" w:color="auto" w:fill="CBD9E2"/>
            <w:tcMar>
              <w:top w:w="15" w:type="dxa"/>
              <w:left w:w="108" w:type="dxa"/>
              <w:bottom w:w="0" w:type="dxa"/>
              <w:right w:w="108" w:type="dxa"/>
            </w:tcMar>
            <w:vAlign w:val="cente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szCs w:val="24"/>
              </w:rPr>
              <w:t>106</w:t>
            </w: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szCs w:val="24"/>
              </w:rPr>
              <w:t>13,179</w:t>
            </w: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szCs w:val="24"/>
              </w:rPr>
              <w:t>9,888</w:t>
            </w: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szCs w:val="24"/>
              </w:rPr>
              <w:t>75.0</w:t>
            </w:r>
          </w:p>
        </w:tc>
      </w:tr>
      <w:tr w:rsidR="00A52DD2" w:rsidRPr="00425CA0" w:rsidTr="00F035E0">
        <w:trPr>
          <w:trHeight w:val="336"/>
          <w:jc w:val="center"/>
        </w:trPr>
        <w:tc>
          <w:tcPr>
            <w:tcW w:w="1140" w:type="dxa"/>
            <w:tcBorders>
              <w:top w:val="single" w:sz="8" w:space="0" w:color="000000"/>
              <w:left w:val="single" w:sz="8" w:space="0" w:color="000000"/>
              <w:bottom w:val="single" w:sz="8" w:space="0" w:color="000000"/>
              <w:right w:val="single" w:sz="8" w:space="0" w:color="000000"/>
            </w:tcBorders>
            <w:shd w:val="clear" w:color="auto" w:fill="CBD9E2"/>
            <w:tcMar>
              <w:top w:w="15" w:type="dxa"/>
              <w:left w:w="108" w:type="dxa"/>
              <w:bottom w:w="0" w:type="dxa"/>
              <w:right w:w="108" w:type="dxa"/>
            </w:tcMar>
            <w:vAlign w:val="cente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szCs w:val="24"/>
              </w:rPr>
              <w:t>105</w:t>
            </w: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szCs w:val="24"/>
              </w:rPr>
              <w:t>13,800</w:t>
            </w: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szCs w:val="24"/>
              </w:rPr>
              <w:t>11,456</w:t>
            </w: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szCs w:val="24"/>
              </w:rPr>
              <w:t>83.0</w:t>
            </w:r>
          </w:p>
        </w:tc>
      </w:tr>
      <w:tr w:rsidR="00A52DD2" w:rsidRPr="00425CA0" w:rsidTr="00F035E0">
        <w:trPr>
          <w:trHeight w:val="336"/>
          <w:jc w:val="center"/>
        </w:trPr>
        <w:tc>
          <w:tcPr>
            <w:tcW w:w="1140" w:type="dxa"/>
            <w:tcBorders>
              <w:top w:val="single" w:sz="8" w:space="0" w:color="000000"/>
              <w:left w:val="single" w:sz="8" w:space="0" w:color="000000"/>
              <w:bottom w:val="single" w:sz="8" w:space="0" w:color="000000"/>
              <w:right w:val="single" w:sz="8" w:space="0" w:color="000000"/>
            </w:tcBorders>
            <w:shd w:val="clear" w:color="auto" w:fill="CBD9E2"/>
            <w:tcMar>
              <w:top w:w="15" w:type="dxa"/>
              <w:left w:w="108" w:type="dxa"/>
              <w:bottom w:w="0" w:type="dxa"/>
              <w:right w:w="108" w:type="dxa"/>
            </w:tcMar>
            <w:vAlign w:val="cente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szCs w:val="24"/>
              </w:rPr>
              <w:t>104</w:t>
            </w: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szCs w:val="24"/>
              </w:rPr>
              <w:t>14,200</w:t>
            </w: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szCs w:val="24"/>
              </w:rPr>
              <w:t>7,771</w:t>
            </w: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bCs/>
                <w:szCs w:val="24"/>
              </w:rPr>
              <w:t>54.7</w:t>
            </w:r>
          </w:p>
        </w:tc>
      </w:tr>
      <w:tr w:rsidR="00A52DD2" w:rsidRPr="00425CA0" w:rsidTr="00F035E0">
        <w:trPr>
          <w:trHeight w:val="336"/>
          <w:jc w:val="center"/>
        </w:trPr>
        <w:tc>
          <w:tcPr>
            <w:tcW w:w="1140" w:type="dxa"/>
            <w:tcBorders>
              <w:top w:val="single" w:sz="8" w:space="0" w:color="000000"/>
              <w:left w:val="single" w:sz="8" w:space="0" w:color="000000"/>
              <w:bottom w:val="single" w:sz="8" w:space="0" w:color="000000"/>
              <w:right w:val="single" w:sz="8" w:space="0" w:color="000000"/>
            </w:tcBorders>
            <w:shd w:val="clear" w:color="auto" w:fill="CBD9E2"/>
            <w:tcMar>
              <w:top w:w="15" w:type="dxa"/>
              <w:left w:w="108" w:type="dxa"/>
              <w:bottom w:w="0" w:type="dxa"/>
              <w:right w:w="108" w:type="dxa"/>
            </w:tcMar>
            <w:vAlign w:val="cente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szCs w:val="24"/>
              </w:rPr>
              <w:t>103</w:t>
            </w: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szCs w:val="24"/>
              </w:rPr>
              <w:t>6,700</w:t>
            </w: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szCs w:val="24"/>
              </w:rPr>
              <w:t>444</w:t>
            </w:r>
          </w:p>
        </w:tc>
        <w:tc>
          <w:tcPr>
            <w:tcW w:w="170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A52DD2" w:rsidRPr="00425CA0" w:rsidRDefault="00A52DD2" w:rsidP="00F035E0">
            <w:pPr>
              <w:widowControl/>
              <w:spacing w:line="360" w:lineRule="exact"/>
              <w:jc w:val="center"/>
              <w:rPr>
                <w:rFonts w:ascii="標楷體" w:eastAsia="標楷體" w:hAnsi="標楷體" w:cs="Arial"/>
                <w:kern w:val="0"/>
                <w:szCs w:val="24"/>
              </w:rPr>
            </w:pPr>
            <w:r w:rsidRPr="00425CA0">
              <w:rPr>
                <w:rFonts w:ascii="標楷體" w:eastAsia="標楷體" w:hAnsi="標楷體" w:cs="Courier New"/>
                <w:bCs/>
                <w:szCs w:val="24"/>
              </w:rPr>
              <w:t>6.6</w:t>
            </w:r>
          </w:p>
        </w:tc>
      </w:tr>
    </w:tbl>
    <w:p w:rsidR="00A52DD2" w:rsidRPr="00204F60" w:rsidRDefault="00A52DD2" w:rsidP="00F035E0">
      <w:pPr>
        <w:overflowPunct w:val="0"/>
        <w:spacing w:line="500" w:lineRule="exact"/>
        <w:ind w:leftChars="200" w:left="800" w:hangingChars="100" w:hanging="320"/>
        <w:jc w:val="both"/>
        <w:rPr>
          <w:rFonts w:ascii="標楷體" w:eastAsia="標楷體" w:hAnsi="標楷體"/>
          <w:sz w:val="32"/>
          <w:szCs w:val="32"/>
        </w:rPr>
      </w:pPr>
      <w:r w:rsidRPr="00425CA0">
        <w:rPr>
          <w:rFonts w:ascii="標楷體" w:eastAsia="標楷體" w:hAnsi="標楷體" w:hint="eastAsia"/>
          <w:sz w:val="32"/>
          <w:szCs w:val="32"/>
        </w:rPr>
        <w:t xml:space="preserve">      惟112年度該計畫雖大幅下修預算，但比照疫</w:t>
      </w:r>
      <w:r w:rsidRPr="00204F60">
        <w:rPr>
          <w:rFonts w:ascii="標楷體" w:eastAsia="標楷體" w:hAnsi="標楷體" w:hint="eastAsia"/>
          <w:sz w:val="32"/>
          <w:szCs w:val="32"/>
        </w:rPr>
        <w:t>情前各該年度決算數，此項修正有影響人才培育之虞。為確保國家人才培育及經費利用效益，中央研究院應探究計畫實際執行情形及調整方向覈實編列預算，以利政策推動與發展。1</w:t>
      </w:r>
      <w:r w:rsidRPr="00204F60">
        <w:rPr>
          <w:rFonts w:ascii="標楷體" w:eastAsia="標楷體" w:hAnsi="標楷體"/>
          <w:sz w:val="32"/>
          <w:szCs w:val="32"/>
        </w:rPr>
        <w:t>4</w:t>
      </w:r>
    </w:p>
    <w:p w:rsidR="00A52DD2" w:rsidRPr="00204F60" w:rsidRDefault="00A52DD2" w:rsidP="00F035E0">
      <w:pPr>
        <w:overflowPunct w:val="0"/>
        <w:spacing w:line="500" w:lineRule="exact"/>
        <w:ind w:leftChars="1250" w:left="3000"/>
        <w:jc w:val="both"/>
        <w:rPr>
          <w:rFonts w:ascii="標楷體" w:eastAsia="標楷體" w:hAnsi="標楷體"/>
          <w:sz w:val="32"/>
          <w:szCs w:val="32"/>
        </w:rPr>
      </w:pPr>
      <w:r w:rsidRPr="00204F60">
        <w:rPr>
          <w:rFonts w:ascii="標楷體" w:eastAsia="標楷體" w:hAnsi="標楷體" w:hint="eastAsia"/>
          <w:sz w:val="32"/>
          <w:szCs w:val="32"/>
        </w:rPr>
        <w:t>提案人：賴品妤</w:t>
      </w:r>
    </w:p>
    <w:p w:rsidR="00A52DD2" w:rsidRPr="00204F60" w:rsidRDefault="00A52DD2" w:rsidP="00F035E0">
      <w:pPr>
        <w:overflowPunct w:val="0"/>
        <w:spacing w:line="500" w:lineRule="exact"/>
        <w:ind w:leftChars="1250" w:left="3000"/>
        <w:jc w:val="both"/>
        <w:rPr>
          <w:rFonts w:ascii="標楷體" w:eastAsia="標楷體" w:hAnsi="標楷體"/>
          <w:sz w:val="32"/>
          <w:szCs w:val="32"/>
        </w:rPr>
      </w:pPr>
      <w:r w:rsidRPr="00204F60">
        <w:rPr>
          <w:rFonts w:ascii="標楷體" w:eastAsia="標楷體" w:hAnsi="標楷體" w:hint="eastAsia"/>
          <w:sz w:val="32"/>
          <w:szCs w:val="32"/>
        </w:rPr>
        <w:t>連署人：何欣純  陳秀寳</w:t>
      </w:r>
    </w:p>
    <w:p w:rsidR="00A52DD2" w:rsidRPr="00204F60" w:rsidRDefault="00A52DD2" w:rsidP="00F035E0">
      <w:pPr>
        <w:overflowPunct w:val="0"/>
        <w:spacing w:line="500" w:lineRule="exact"/>
        <w:ind w:leftChars="200" w:left="800" w:hangingChars="100" w:hanging="320"/>
        <w:jc w:val="both"/>
        <w:rPr>
          <w:rFonts w:ascii="標楷體" w:eastAsia="標楷體" w:hAnsi="標楷體"/>
          <w:sz w:val="32"/>
          <w:szCs w:val="32"/>
        </w:rPr>
      </w:pPr>
      <w:r>
        <w:rPr>
          <w:rFonts w:ascii="標楷體" w:eastAsia="標楷體" w:hAnsi="標楷體" w:hint="eastAsia"/>
          <w:sz w:val="32"/>
          <w:szCs w:val="32"/>
        </w:rPr>
        <w:t>2.</w:t>
      </w:r>
      <w:r w:rsidRPr="00204F60">
        <w:rPr>
          <w:rFonts w:ascii="標楷體" w:eastAsia="標楷體" w:hAnsi="標楷體" w:hint="eastAsia"/>
          <w:sz w:val="32"/>
          <w:szCs w:val="32"/>
        </w:rPr>
        <w:t>我國在自然環境與地緣政治等因素影響下，淨零路徑勢必與其他國家有所不同，僅依賴現有科技幾乎無法於2050年達成目標。112年度中央研究院科學研究基金「『淨零排放』基於2050淨零減碳之前瞻性科技開發與實踐規劃計畫」預算編列3億元，將針對去碳燃氫、地熱、海洋能、生質碳匯、光電效率等5大淨零關鍵減碳科技領域進行研發，以協助我國達成2050淨零排放之目標。爰請中央研究院周延規劃及審慎考量相關設備購置，避免資源浪費。同時亦應納入相關審查及管理項目，以強化計畫執行成效與進度之管考，並於2個月內向立法院教育及文化委員會提出書面報告。15</w:t>
      </w:r>
    </w:p>
    <w:p w:rsidR="00A52DD2" w:rsidRPr="00204F60" w:rsidRDefault="00A52DD2" w:rsidP="00F035E0">
      <w:pPr>
        <w:overflowPunct w:val="0"/>
        <w:spacing w:line="500" w:lineRule="exact"/>
        <w:ind w:leftChars="1250" w:left="3000"/>
        <w:jc w:val="both"/>
        <w:rPr>
          <w:rFonts w:ascii="標楷體" w:eastAsia="標楷體" w:hAnsi="標楷體"/>
          <w:sz w:val="32"/>
          <w:szCs w:val="32"/>
        </w:rPr>
      </w:pPr>
      <w:r w:rsidRPr="00204F60">
        <w:rPr>
          <w:rFonts w:ascii="標楷體" w:eastAsia="標楷體" w:hAnsi="標楷體" w:hint="eastAsia"/>
          <w:sz w:val="32"/>
          <w:szCs w:val="32"/>
        </w:rPr>
        <w:lastRenderedPageBreak/>
        <w:t>提案人：張廖萬堅</w:t>
      </w:r>
    </w:p>
    <w:p w:rsidR="00A52DD2" w:rsidRPr="00204F60" w:rsidRDefault="00A52DD2" w:rsidP="00F035E0">
      <w:pPr>
        <w:overflowPunct w:val="0"/>
        <w:spacing w:line="500" w:lineRule="exact"/>
        <w:ind w:leftChars="1250" w:left="3000"/>
        <w:jc w:val="both"/>
        <w:rPr>
          <w:rFonts w:ascii="標楷體" w:eastAsia="標楷體" w:hAnsi="標楷體"/>
          <w:sz w:val="32"/>
          <w:szCs w:val="32"/>
        </w:rPr>
      </w:pPr>
      <w:r w:rsidRPr="00204F60">
        <w:rPr>
          <w:rFonts w:ascii="標楷體" w:eastAsia="標楷體" w:hAnsi="標楷體" w:hint="eastAsia"/>
          <w:sz w:val="32"/>
          <w:szCs w:val="32"/>
        </w:rPr>
        <w:t>連署人：林宜瑾  何欣純</w:t>
      </w:r>
    </w:p>
    <w:p w:rsidR="00A52DD2" w:rsidRPr="00204F60" w:rsidRDefault="00A52DD2" w:rsidP="00F035E0">
      <w:pPr>
        <w:overflowPunct w:val="0"/>
        <w:spacing w:line="500" w:lineRule="exact"/>
        <w:ind w:leftChars="200" w:left="800" w:hangingChars="100" w:hanging="320"/>
        <w:jc w:val="both"/>
        <w:rPr>
          <w:rFonts w:ascii="標楷體" w:eastAsia="標楷體" w:hAnsi="標楷體"/>
          <w:sz w:val="32"/>
          <w:szCs w:val="32"/>
        </w:rPr>
      </w:pPr>
      <w:r>
        <w:rPr>
          <w:rFonts w:ascii="標楷體" w:eastAsia="標楷體" w:hAnsi="標楷體" w:hint="eastAsia"/>
          <w:sz w:val="32"/>
          <w:szCs w:val="32"/>
        </w:rPr>
        <w:t>3.</w:t>
      </w:r>
      <w:r w:rsidRPr="00204F60">
        <w:rPr>
          <w:rFonts w:ascii="標楷體" w:eastAsia="標楷體" w:hAnsi="標楷體" w:hint="eastAsia"/>
          <w:sz w:val="32"/>
          <w:szCs w:val="32"/>
        </w:rPr>
        <w:t>中央研究院科學研究基金預算編列有「修理保養及保固費」，然預算執行率自106年度以來從未高於65%，111年度預算執行率更僅有22%，顯見預算編列及使用效率有待提升。112年度「修理保養及保固費」預算編列8,836萬3千元，雖較111年度預算數減少，惟遠高於以前年度決算數。預算編列理應妥善規劃整體財務資源，將資源使用效率最大化，並覈實編列預算，衡酌實際執行量能，避免過於寬列，中央研究院應參酌過去之預算實際執行效率確實編列預算。</w:t>
      </w:r>
    </w:p>
    <w:p w:rsidR="00A52DD2" w:rsidRPr="00204F60" w:rsidRDefault="00A52DD2" w:rsidP="00F035E0">
      <w:pPr>
        <w:spacing w:line="500" w:lineRule="exact"/>
        <w:jc w:val="center"/>
        <w:rPr>
          <w:rFonts w:ascii="標楷體" w:eastAsia="標楷體"/>
          <w:snapToGrid w:val="0"/>
          <w:sz w:val="28"/>
          <w:szCs w:val="28"/>
        </w:rPr>
      </w:pPr>
      <w:r w:rsidRPr="00204F60">
        <w:rPr>
          <w:rFonts w:ascii="標楷體" w:eastAsia="標楷體" w:hint="eastAsia"/>
          <w:snapToGrid w:val="0"/>
          <w:sz w:val="28"/>
          <w:szCs w:val="28"/>
        </w:rPr>
        <w:t>106至11</w:t>
      </w:r>
      <w:r w:rsidRPr="00204F60">
        <w:rPr>
          <w:rFonts w:ascii="標楷體" w:eastAsia="標楷體"/>
          <w:snapToGrid w:val="0"/>
          <w:sz w:val="28"/>
          <w:szCs w:val="28"/>
        </w:rPr>
        <w:t>2</w:t>
      </w:r>
      <w:r w:rsidRPr="00204F60">
        <w:rPr>
          <w:rFonts w:ascii="標楷體" w:eastAsia="標楷體" w:hint="eastAsia"/>
          <w:snapToGrid w:val="0"/>
          <w:sz w:val="28"/>
          <w:szCs w:val="28"/>
        </w:rPr>
        <w:t>年度科研基金修理保養及保固費預決算表</w:t>
      </w:r>
    </w:p>
    <w:p w:rsidR="00A52DD2" w:rsidRPr="00204F60" w:rsidRDefault="00A52DD2" w:rsidP="00F035E0">
      <w:pPr>
        <w:spacing w:line="280" w:lineRule="exact"/>
        <w:ind w:left="560" w:firstLine="560"/>
        <w:jc w:val="center"/>
        <w:rPr>
          <w:rFonts w:ascii="標楷體" w:eastAsia="標楷體"/>
          <w:snapToGrid w:val="0"/>
          <w:szCs w:val="28"/>
        </w:rPr>
      </w:pPr>
      <w:r w:rsidRPr="00204F60">
        <w:rPr>
          <w:rFonts w:ascii="標楷體" w:eastAsia="標楷體" w:hint="eastAsia"/>
          <w:snapToGrid w:val="0"/>
          <w:szCs w:val="28"/>
        </w:rPr>
        <w:t>單位：新臺幣千元；%</w:t>
      </w:r>
    </w:p>
    <w:tbl>
      <w:tblPr>
        <w:tblW w:w="783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259"/>
        <w:gridCol w:w="1753"/>
        <w:gridCol w:w="1843"/>
        <w:gridCol w:w="2977"/>
      </w:tblGrid>
      <w:tr w:rsidR="00A52DD2" w:rsidRPr="00204F60" w:rsidTr="00F035E0">
        <w:trPr>
          <w:tblHeader/>
          <w:jc w:val="center"/>
        </w:trPr>
        <w:tc>
          <w:tcPr>
            <w:tcW w:w="1259" w:type="dxa"/>
            <w:shd w:val="clear" w:color="auto" w:fill="auto"/>
            <w:vAlign w:val="center"/>
          </w:tcPr>
          <w:p w:rsidR="00A52DD2" w:rsidRPr="00204F60" w:rsidRDefault="00A52DD2" w:rsidP="00F035E0">
            <w:pPr>
              <w:spacing w:line="280" w:lineRule="exact"/>
              <w:jc w:val="center"/>
              <w:rPr>
                <w:rFonts w:ascii="標楷體" w:eastAsia="標楷體" w:hAnsi="標楷體"/>
                <w:snapToGrid w:val="0"/>
                <w:szCs w:val="28"/>
                <w:lang w:val="x-none"/>
              </w:rPr>
            </w:pPr>
            <w:r w:rsidRPr="00204F60">
              <w:rPr>
                <w:rFonts w:ascii="標楷體" w:eastAsia="標楷體" w:hAnsi="標楷體" w:hint="eastAsia"/>
                <w:snapToGrid w:val="0"/>
                <w:szCs w:val="28"/>
                <w:lang w:val="x-none"/>
              </w:rPr>
              <w:t>年 度</w:t>
            </w:r>
          </w:p>
        </w:tc>
        <w:tc>
          <w:tcPr>
            <w:tcW w:w="1753" w:type="dxa"/>
            <w:vAlign w:val="center"/>
          </w:tcPr>
          <w:p w:rsidR="00A52DD2" w:rsidRPr="00204F60" w:rsidRDefault="00A52DD2" w:rsidP="00F035E0">
            <w:pPr>
              <w:spacing w:line="280" w:lineRule="exact"/>
              <w:jc w:val="center"/>
              <w:rPr>
                <w:rFonts w:ascii="標楷體" w:eastAsia="標楷體"/>
                <w:snapToGrid w:val="0"/>
                <w:szCs w:val="28"/>
              </w:rPr>
            </w:pPr>
            <w:r w:rsidRPr="00204F60">
              <w:rPr>
                <w:rFonts w:ascii="標楷體" w:eastAsia="標楷體" w:hint="eastAsia"/>
                <w:snapToGrid w:val="0"/>
                <w:szCs w:val="28"/>
              </w:rPr>
              <w:t>預算(案)數</w:t>
            </w:r>
          </w:p>
          <w:p w:rsidR="00A52DD2" w:rsidRPr="00204F60" w:rsidRDefault="00A52DD2" w:rsidP="00F035E0">
            <w:pPr>
              <w:spacing w:line="280" w:lineRule="exact"/>
              <w:jc w:val="center"/>
              <w:rPr>
                <w:rFonts w:ascii="標楷體" w:eastAsia="標楷體"/>
                <w:snapToGrid w:val="0"/>
                <w:szCs w:val="28"/>
              </w:rPr>
            </w:pPr>
            <w:r w:rsidRPr="00204F60">
              <w:rPr>
                <w:rFonts w:ascii="標楷體" w:eastAsia="標楷體" w:hint="eastAsia"/>
                <w:snapToGrid w:val="0"/>
                <w:szCs w:val="28"/>
              </w:rPr>
              <w:t>(A)</w:t>
            </w:r>
          </w:p>
        </w:tc>
        <w:tc>
          <w:tcPr>
            <w:tcW w:w="1843" w:type="dxa"/>
            <w:shd w:val="clear" w:color="auto" w:fill="auto"/>
            <w:vAlign w:val="center"/>
          </w:tcPr>
          <w:p w:rsidR="00A52DD2" w:rsidRPr="00204F60" w:rsidRDefault="00A52DD2" w:rsidP="00F035E0">
            <w:pPr>
              <w:spacing w:line="280" w:lineRule="exact"/>
              <w:jc w:val="center"/>
              <w:rPr>
                <w:rFonts w:ascii="標楷體" w:eastAsia="標楷體"/>
                <w:snapToGrid w:val="0"/>
                <w:szCs w:val="28"/>
              </w:rPr>
            </w:pPr>
            <w:r w:rsidRPr="00204F60">
              <w:rPr>
                <w:rFonts w:ascii="標楷體" w:eastAsia="標楷體" w:hint="eastAsia"/>
                <w:snapToGrid w:val="0"/>
                <w:szCs w:val="28"/>
              </w:rPr>
              <w:t>決算數</w:t>
            </w:r>
          </w:p>
          <w:p w:rsidR="00A52DD2" w:rsidRPr="00204F60" w:rsidRDefault="00A52DD2" w:rsidP="00F035E0">
            <w:pPr>
              <w:spacing w:line="280" w:lineRule="exact"/>
              <w:jc w:val="center"/>
              <w:rPr>
                <w:rFonts w:ascii="標楷體" w:eastAsia="標楷體"/>
                <w:snapToGrid w:val="0"/>
                <w:szCs w:val="28"/>
              </w:rPr>
            </w:pPr>
            <w:r w:rsidRPr="00204F60">
              <w:rPr>
                <w:rFonts w:ascii="標楷體" w:eastAsia="標楷體" w:hint="eastAsia"/>
                <w:snapToGrid w:val="0"/>
                <w:szCs w:val="28"/>
              </w:rPr>
              <w:t>(</w:t>
            </w:r>
            <w:r w:rsidRPr="00204F60">
              <w:rPr>
                <w:rFonts w:ascii="標楷體" w:eastAsia="標楷體"/>
                <w:snapToGrid w:val="0"/>
                <w:szCs w:val="28"/>
              </w:rPr>
              <w:t>B</w:t>
            </w:r>
            <w:r w:rsidRPr="00204F60">
              <w:rPr>
                <w:rFonts w:ascii="標楷體" w:eastAsia="標楷體" w:hint="eastAsia"/>
                <w:snapToGrid w:val="0"/>
                <w:szCs w:val="28"/>
              </w:rPr>
              <w:t>)</w:t>
            </w:r>
          </w:p>
        </w:tc>
        <w:tc>
          <w:tcPr>
            <w:tcW w:w="2977" w:type="dxa"/>
            <w:shd w:val="clear" w:color="auto" w:fill="auto"/>
            <w:vAlign w:val="center"/>
          </w:tcPr>
          <w:p w:rsidR="00A52DD2" w:rsidRPr="00204F60" w:rsidRDefault="00A52DD2" w:rsidP="00F035E0">
            <w:pPr>
              <w:spacing w:line="280" w:lineRule="exact"/>
              <w:jc w:val="center"/>
              <w:rPr>
                <w:rFonts w:ascii="標楷體" w:eastAsia="標楷體"/>
                <w:snapToGrid w:val="0"/>
                <w:szCs w:val="28"/>
              </w:rPr>
            </w:pPr>
            <w:r w:rsidRPr="00204F60">
              <w:rPr>
                <w:rFonts w:ascii="標楷體" w:eastAsia="標楷體" w:hint="eastAsia"/>
                <w:snapToGrid w:val="0"/>
                <w:szCs w:val="28"/>
              </w:rPr>
              <w:t xml:space="preserve">預算執行率 </w:t>
            </w:r>
            <w:r w:rsidRPr="00204F60">
              <w:rPr>
                <w:rFonts w:ascii="標楷體" w:eastAsia="標楷體"/>
                <w:snapToGrid w:val="0"/>
                <w:szCs w:val="28"/>
              </w:rPr>
              <w:t>(C=B/A</w:t>
            </w:r>
            <w:r w:rsidRPr="00204F60">
              <w:rPr>
                <w:rFonts w:ascii="標楷體" w:eastAsia="標楷體"/>
                <w:snapToGrid w:val="0"/>
                <w:szCs w:val="28"/>
              </w:rPr>
              <w:t>×</w:t>
            </w:r>
            <w:r w:rsidRPr="00204F60">
              <w:rPr>
                <w:rFonts w:ascii="標楷體" w:eastAsia="標楷體"/>
                <w:snapToGrid w:val="0"/>
                <w:szCs w:val="28"/>
              </w:rPr>
              <w:t>100%)</w:t>
            </w:r>
          </w:p>
        </w:tc>
      </w:tr>
      <w:tr w:rsidR="00A52DD2" w:rsidRPr="00204F60" w:rsidTr="00F035E0">
        <w:trPr>
          <w:jc w:val="center"/>
        </w:trPr>
        <w:tc>
          <w:tcPr>
            <w:tcW w:w="1259" w:type="dxa"/>
            <w:shd w:val="clear" w:color="auto" w:fill="auto"/>
          </w:tcPr>
          <w:p w:rsidR="00A52DD2" w:rsidRPr="00204F60" w:rsidRDefault="00A52DD2" w:rsidP="00F035E0">
            <w:pPr>
              <w:spacing w:line="280" w:lineRule="exact"/>
              <w:jc w:val="center"/>
              <w:rPr>
                <w:rFonts w:ascii="標楷體" w:eastAsia="標楷體" w:hAnsi="標楷體"/>
                <w:snapToGrid w:val="0"/>
                <w:szCs w:val="28"/>
                <w:lang w:val="x-none"/>
              </w:rPr>
            </w:pPr>
            <w:r w:rsidRPr="00204F60">
              <w:rPr>
                <w:rFonts w:ascii="標楷體" w:eastAsia="標楷體" w:hAnsi="標楷體" w:hint="eastAsia"/>
                <w:snapToGrid w:val="0"/>
                <w:szCs w:val="28"/>
                <w:lang w:val="x-none"/>
              </w:rPr>
              <w:t>106</w:t>
            </w:r>
          </w:p>
        </w:tc>
        <w:tc>
          <w:tcPr>
            <w:tcW w:w="1753" w:type="dxa"/>
            <w:vAlign w:val="center"/>
          </w:tcPr>
          <w:p w:rsidR="00A52DD2" w:rsidRPr="00204F60" w:rsidRDefault="00A52DD2" w:rsidP="00F035E0">
            <w:pPr>
              <w:spacing w:line="280" w:lineRule="exact"/>
              <w:jc w:val="center"/>
              <w:rPr>
                <w:rFonts w:ascii="標楷體" w:eastAsia="標楷體" w:hAnsi="標楷體"/>
                <w:snapToGrid w:val="0"/>
                <w:szCs w:val="28"/>
                <w:lang w:val="x-none"/>
              </w:rPr>
            </w:pPr>
            <w:r w:rsidRPr="00204F60">
              <w:rPr>
                <w:rFonts w:ascii="標楷體" w:eastAsia="標楷體" w:hAnsi="標楷體" w:hint="eastAsia"/>
                <w:snapToGrid w:val="0"/>
                <w:szCs w:val="28"/>
                <w:lang w:val="x-none"/>
              </w:rPr>
              <w:t>77,474</w:t>
            </w:r>
          </w:p>
        </w:tc>
        <w:tc>
          <w:tcPr>
            <w:tcW w:w="1843" w:type="dxa"/>
            <w:shd w:val="clear" w:color="auto" w:fill="auto"/>
            <w:vAlign w:val="center"/>
          </w:tcPr>
          <w:p w:rsidR="00A52DD2" w:rsidRPr="00204F60" w:rsidRDefault="00A52DD2" w:rsidP="00F035E0">
            <w:pPr>
              <w:spacing w:line="280" w:lineRule="exact"/>
              <w:jc w:val="center"/>
              <w:rPr>
                <w:rFonts w:ascii="標楷體" w:eastAsia="標楷體" w:hAnsi="標楷體"/>
                <w:snapToGrid w:val="0"/>
                <w:szCs w:val="28"/>
                <w:lang w:val="x-none"/>
              </w:rPr>
            </w:pPr>
            <w:r w:rsidRPr="00204F60">
              <w:rPr>
                <w:rFonts w:ascii="標楷體" w:eastAsia="標楷體" w:hAnsi="標楷體" w:hint="eastAsia"/>
                <w:snapToGrid w:val="0"/>
                <w:szCs w:val="28"/>
                <w:lang w:val="x-none"/>
              </w:rPr>
              <w:t>39,837</w:t>
            </w:r>
          </w:p>
        </w:tc>
        <w:tc>
          <w:tcPr>
            <w:tcW w:w="2977" w:type="dxa"/>
            <w:shd w:val="clear" w:color="auto" w:fill="auto"/>
            <w:vAlign w:val="center"/>
          </w:tcPr>
          <w:p w:rsidR="00A52DD2" w:rsidRPr="00204F60" w:rsidRDefault="00A52DD2" w:rsidP="00F035E0">
            <w:pPr>
              <w:spacing w:line="280" w:lineRule="exact"/>
              <w:jc w:val="center"/>
              <w:rPr>
                <w:rFonts w:ascii="標楷體" w:eastAsia="標楷體" w:hAnsi="標楷體"/>
                <w:snapToGrid w:val="0"/>
                <w:szCs w:val="28"/>
                <w:lang w:val="x-none"/>
              </w:rPr>
            </w:pPr>
            <w:r w:rsidRPr="00204F60">
              <w:rPr>
                <w:rFonts w:ascii="標楷體" w:eastAsia="標楷體" w:hAnsi="標楷體" w:hint="eastAsia"/>
                <w:snapToGrid w:val="0"/>
                <w:szCs w:val="28"/>
                <w:lang w:val="x-none"/>
              </w:rPr>
              <w:t>51.42</w:t>
            </w:r>
          </w:p>
        </w:tc>
      </w:tr>
      <w:tr w:rsidR="00A52DD2" w:rsidRPr="00204F60" w:rsidTr="00F035E0">
        <w:trPr>
          <w:jc w:val="center"/>
        </w:trPr>
        <w:tc>
          <w:tcPr>
            <w:tcW w:w="1259" w:type="dxa"/>
            <w:shd w:val="clear" w:color="auto" w:fill="auto"/>
          </w:tcPr>
          <w:p w:rsidR="00A52DD2" w:rsidRPr="00204F60" w:rsidRDefault="00A52DD2" w:rsidP="00F035E0">
            <w:pPr>
              <w:spacing w:line="280" w:lineRule="exact"/>
              <w:jc w:val="center"/>
              <w:rPr>
                <w:rFonts w:ascii="標楷體" w:eastAsia="標楷體" w:hAnsi="標楷體"/>
                <w:snapToGrid w:val="0"/>
                <w:szCs w:val="28"/>
                <w:lang w:val="x-none"/>
              </w:rPr>
            </w:pPr>
            <w:r w:rsidRPr="00204F60">
              <w:rPr>
                <w:rFonts w:ascii="標楷體" w:eastAsia="標楷體" w:hAnsi="標楷體" w:hint="eastAsia"/>
                <w:snapToGrid w:val="0"/>
                <w:szCs w:val="28"/>
                <w:lang w:val="x-none"/>
              </w:rPr>
              <w:t>107</w:t>
            </w:r>
          </w:p>
        </w:tc>
        <w:tc>
          <w:tcPr>
            <w:tcW w:w="1753" w:type="dxa"/>
            <w:vAlign w:val="center"/>
          </w:tcPr>
          <w:p w:rsidR="00A52DD2" w:rsidRPr="00204F60" w:rsidRDefault="00A52DD2" w:rsidP="00F035E0">
            <w:pPr>
              <w:spacing w:line="280" w:lineRule="exact"/>
              <w:jc w:val="center"/>
              <w:rPr>
                <w:rFonts w:ascii="標楷體" w:eastAsia="標楷體" w:hAnsi="標楷體"/>
                <w:snapToGrid w:val="0"/>
                <w:szCs w:val="28"/>
                <w:lang w:val="x-none"/>
              </w:rPr>
            </w:pPr>
            <w:r w:rsidRPr="00204F60">
              <w:rPr>
                <w:rFonts w:ascii="標楷體" w:eastAsia="標楷體" w:hAnsi="標楷體" w:hint="eastAsia"/>
                <w:snapToGrid w:val="0"/>
                <w:szCs w:val="28"/>
                <w:lang w:val="x-none"/>
              </w:rPr>
              <w:t>95,720</w:t>
            </w:r>
          </w:p>
        </w:tc>
        <w:tc>
          <w:tcPr>
            <w:tcW w:w="1843" w:type="dxa"/>
            <w:shd w:val="clear" w:color="auto" w:fill="auto"/>
            <w:vAlign w:val="center"/>
          </w:tcPr>
          <w:p w:rsidR="00A52DD2" w:rsidRPr="00204F60" w:rsidRDefault="00A52DD2" w:rsidP="00F035E0">
            <w:pPr>
              <w:spacing w:line="280" w:lineRule="exact"/>
              <w:jc w:val="center"/>
              <w:rPr>
                <w:rFonts w:ascii="標楷體" w:eastAsia="標楷體" w:hAnsi="標楷體"/>
                <w:snapToGrid w:val="0"/>
                <w:szCs w:val="28"/>
                <w:lang w:val="x-none"/>
              </w:rPr>
            </w:pPr>
            <w:r w:rsidRPr="00204F60">
              <w:rPr>
                <w:rFonts w:ascii="標楷體" w:eastAsia="標楷體" w:hAnsi="標楷體" w:hint="eastAsia"/>
                <w:snapToGrid w:val="0"/>
                <w:szCs w:val="28"/>
                <w:lang w:val="x-none"/>
              </w:rPr>
              <w:t>48,283</w:t>
            </w:r>
          </w:p>
        </w:tc>
        <w:tc>
          <w:tcPr>
            <w:tcW w:w="2977" w:type="dxa"/>
            <w:shd w:val="clear" w:color="auto" w:fill="auto"/>
            <w:vAlign w:val="center"/>
          </w:tcPr>
          <w:p w:rsidR="00A52DD2" w:rsidRPr="00204F60" w:rsidRDefault="00A52DD2" w:rsidP="00F035E0">
            <w:pPr>
              <w:spacing w:line="280" w:lineRule="exact"/>
              <w:jc w:val="center"/>
              <w:rPr>
                <w:rFonts w:ascii="標楷體" w:eastAsia="標楷體" w:hAnsi="標楷體"/>
                <w:snapToGrid w:val="0"/>
                <w:szCs w:val="28"/>
                <w:lang w:val="x-none"/>
              </w:rPr>
            </w:pPr>
            <w:r w:rsidRPr="00204F60">
              <w:rPr>
                <w:rFonts w:ascii="標楷體" w:eastAsia="標楷體" w:hAnsi="標楷體" w:hint="eastAsia"/>
                <w:snapToGrid w:val="0"/>
                <w:szCs w:val="28"/>
                <w:lang w:val="x-none"/>
              </w:rPr>
              <w:t>50.44</w:t>
            </w:r>
          </w:p>
        </w:tc>
      </w:tr>
      <w:tr w:rsidR="00A52DD2" w:rsidRPr="00204F60" w:rsidTr="00F035E0">
        <w:trPr>
          <w:jc w:val="center"/>
        </w:trPr>
        <w:tc>
          <w:tcPr>
            <w:tcW w:w="1259" w:type="dxa"/>
            <w:shd w:val="clear" w:color="auto" w:fill="auto"/>
          </w:tcPr>
          <w:p w:rsidR="00A52DD2" w:rsidRPr="00204F60" w:rsidRDefault="00A52DD2" w:rsidP="00F035E0">
            <w:pPr>
              <w:spacing w:line="280" w:lineRule="exact"/>
              <w:jc w:val="center"/>
              <w:rPr>
                <w:rFonts w:ascii="標楷體" w:eastAsia="標楷體" w:hAnsi="標楷體"/>
                <w:snapToGrid w:val="0"/>
                <w:szCs w:val="28"/>
                <w:lang w:val="x-none"/>
              </w:rPr>
            </w:pPr>
            <w:r w:rsidRPr="00204F60">
              <w:rPr>
                <w:rFonts w:ascii="標楷體" w:eastAsia="標楷體" w:hAnsi="標楷體" w:hint="eastAsia"/>
                <w:snapToGrid w:val="0"/>
                <w:szCs w:val="28"/>
                <w:lang w:val="x-none"/>
              </w:rPr>
              <w:t>108</w:t>
            </w:r>
          </w:p>
        </w:tc>
        <w:tc>
          <w:tcPr>
            <w:tcW w:w="1753" w:type="dxa"/>
            <w:vAlign w:val="center"/>
          </w:tcPr>
          <w:p w:rsidR="00A52DD2" w:rsidRPr="00204F60" w:rsidRDefault="00A52DD2" w:rsidP="00F035E0">
            <w:pPr>
              <w:spacing w:line="280" w:lineRule="exact"/>
              <w:jc w:val="center"/>
              <w:rPr>
                <w:rFonts w:ascii="標楷體" w:eastAsia="標楷體" w:hAnsi="標楷體"/>
                <w:snapToGrid w:val="0"/>
                <w:szCs w:val="28"/>
                <w:lang w:val="x-none"/>
              </w:rPr>
            </w:pPr>
            <w:r w:rsidRPr="00204F60">
              <w:rPr>
                <w:rFonts w:ascii="標楷體" w:eastAsia="標楷體" w:hAnsi="標楷體" w:hint="eastAsia"/>
                <w:snapToGrid w:val="0"/>
                <w:szCs w:val="28"/>
                <w:lang w:val="x-none"/>
              </w:rPr>
              <w:t>81,400</w:t>
            </w:r>
          </w:p>
        </w:tc>
        <w:tc>
          <w:tcPr>
            <w:tcW w:w="1843" w:type="dxa"/>
            <w:shd w:val="clear" w:color="auto" w:fill="auto"/>
            <w:vAlign w:val="center"/>
          </w:tcPr>
          <w:p w:rsidR="00A52DD2" w:rsidRPr="00204F60" w:rsidRDefault="00A52DD2" w:rsidP="00F035E0">
            <w:pPr>
              <w:spacing w:line="280" w:lineRule="exact"/>
              <w:jc w:val="center"/>
              <w:rPr>
                <w:rFonts w:ascii="標楷體" w:eastAsia="標楷體" w:hAnsi="標楷體"/>
                <w:snapToGrid w:val="0"/>
                <w:szCs w:val="28"/>
                <w:lang w:val="x-none"/>
              </w:rPr>
            </w:pPr>
            <w:r w:rsidRPr="00204F60">
              <w:rPr>
                <w:rFonts w:ascii="標楷體" w:eastAsia="標楷體" w:hAnsi="標楷體" w:hint="eastAsia"/>
                <w:snapToGrid w:val="0"/>
                <w:szCs w:val="28"/>
                <w:lang w:val="x-none"/>
              </w:rPr>
              <w:t>52,110</w:t>
            </w:r>
          </w:p>
        </w:tc>
        <w:tc>
          <w:tcPr>
            <w:tcW w:w="2977" w:type="dxa"/>
            <w:shd w:val="clear" w:color="auto" w:fill="auto"/>
            <w:vAlign w:val="center"/>
          </w:tcPr>
          <w:p w:rsidR="00A52DD2" w:rsidRPr="00204F60" w:rsidRDefault="00A52DD2" w:rsidP="00F035E0">
            <w:pPr>
              <w:spacing w:line="280" w:lineRule="exact"/>
              <w:jc w:val="center"/>
              <w:rPr>
                <w:rFonts w:ascii="標楷體" w:eastAsia="標楷體" w:hAnsi="標楷體"/>
                <w:snapToGrid w:val="0"/>
                <w:szCs w:val="28"/>
                <w:lang w:val="x-none"/>
              </w:rPr>
            </w:pPr>
            <w:r w:rsidRPr="00204F60">
              <w:rPr>
                <w:rFonts w:ascii="標楷體" w:eastAsia="標楷體" w:hAnsi="標楷體" w:hint="eastAsia"/>
                <w:snapToGrid w:val="0"/>
                <w:szCs w:val="28"/>
                <w:lang w:val="x-none"/>
              </w:rPr>
              <w:t>64.02</w:t>
            </w:r>
          </w:p>
        </w:tc>
      </w:tr>
      <w:tr w:rsidR="00A52DD2" w:rsidRPr="00204F60" w:rsidTr="00F035E0">
        <w:trPr>
          <w:jc w:val="center"/>
        </w:trPr>
        <w:tc>
          <w:tcPr>
            <w:tcW w:w="1259" w:type="dxa"/>
            <w:shd w:val="clear" w:color="auto" w:fill="auto"/>
          </w:tcPr>
          <w:p w:rsidR="00A52DD2" w:rsidRPr="00204F60" w:rsidRDefault="00A52DD2" w:rsidP="00F035E0">
            <w:pPr>
              <w:spacing w:line="280" w:lineRule="exact"/>
              <w:jc w:val="center"/>
              <w:rPr>
                <w:rFonts w:ascii="標楷體" w:eastAsia="標楷體" w:hAnsi="標楷體"/>
                <w:snapToGrid w:val="0"/>
                <w:szCs w:val="28"/>
                <w:lang w:val="x-none"/>
              </w:rPr>
            </w:pPr>
            <w:r w:rsidRPr="00204F60">
              <w:rPr>
                <w:rFonts w:ascii="標楷體" w:eastAsia="標楷體" w:hAnsi="標楷體" w:hint="eastAsia"/>
                <w:snapToGrid w:val="0"/>
                <w:szCs w:val="28"/>
                <w:lang w:val="x-none"/>
              </w:rPr>
              <w:t>109</w:t>
            </w:r>
          </w:p>
        </w:tc>
        <w:tc>
          <w:tcPr>
            <w:tcW w:w="1753" w:type="dxa"/>
            <w:vAlign w:val="center"/>
          </w:tcPr>
          <w:p w:rsidR="00A52DD2" w:rsidRPr="00204F60" w:rsidRDefault="00A52DD2" w:rsidP="00F035E0">
            <w:pPr>
              <w:spacing w:line="280" w:lineRule="exact"/>
              <w:jc w:val="center"/>
              <w:rPr>
                <w:rFonts w:ascii="標楷體" w:eastAsia="標楷體" w:hAnsi="標楷體"/>
                <w:snapToGrid w:val="0"/>
                <w:szCs w:val="28"/>
                <w:lang w:val="x-none"/>
              </w:rPr>
            </w:pPr>
            <w:r w:rsidRPr="00204F60">
              <w:rPr>
                <w:rFonts w:ascii="標楷體" w:eastAsia="標楷體" w:hAnsi="標楷體" w:hint="eastAsia"/>
                <w:snapToGrid w:val="0"/>
                <w:szCs w:val="28"/>
                <w:lang w:val="x-none"/>
              </w:rPr>
              <w:t>106,000</w:t>
            </w:r>
          </w:p>
        </w:tc>
        <w:tc>
          <w:tcPr>
            <w:tcW w:w="1843" w:type="dxa"/>
            <w:shd w:val="clear" w:color="auto" w:fill="auto"/>
            <w:vAlign w:val="center"/>
          </w:tcPr>
          <w:p w:rsidR="00A52DD2" w:rsidRPr="00204F60" w:rsidRDefault="00A52DD2" w:rsidP="00F035E0">
            <w:pPr>
              <w:spacing w:line="280" w:lineRule="exact"/>
              <w:jc w:val="center"/>
              <w:rPr>
                <w:rFonts w:ascii="標楷體" w:eastAsia="標楷體" w:hAnsi="標楷體"/>
                <w:snapToGrid w:val="0"/>
                <w:szCs w:val="28"/>
                <w:lang w:val="x-none"/>
              </w:rPr>
            </w:pPr>
            <w:r w:rsidRPr="00204F60">
              <w:rPr>
                <w:rFonts w:ascii="標楷體" w:eastAsia="標楷體" w:hAnsi="標楷體" w:hint="eastAsia"/>
                <w:snapToGrid w:val="0"/>
                <w:szCs w:val="28"/>
                <w:lang w:val="x-none"/>
              </w:rPr>
              <w:t>57,369</w:t>
            </w:r>
          </w:p>
        </w:tc>
        <w:tc>
          <w:tcPr>
            <w:tcW w:w="2977" w:type="dxa"/>
            <w:shd w:val="clear" w:color="auto" w:fill="auto"/>
            <w:vAlign w:val="center"/>
          </w:tcPr>
          <w:p w:rsidR="00A52DD2" w:rsidRPr="00204F60" w:rsidRDefault="00A52DD2" w:rsidP="00F035E0">
            <w:pPr>
              <w:spacing w:line="280" w:lineRule="exact"/>
              <w:jc w:val="center"/>
              <w:rPr>
                <w:rFonts w:ascii="標楷體" w:eastAsia="標楷體" w:hAnsi="標楷體"/>
                <w:snapToGrid w:val="0"/>
                <w:szCs w:val="28"/>
                <w:lang w:val="x-none"/>
              </w:rPr>
            </w:pPr>
            <w:r w:rsidRPr="00204F60">
              <w:rPr>
                <w:rFonts w:ascii="標楷體" w:eastAsia="標楷體" w:hAnsi="標楷體" w:hint="eastAsia"/>
                <w:snapToGrid w:val="0"/>
                <w:szCs w:val="28"/>
                <w:lang w:val="x-none"/>
              </w:rPr>
              <w:t>54.12</w:t>
            </w:r>
          </w:p>
        </w:tc>
      </w:tr>
      <w:tr w:rsidR="00A52DD2" w:rsidRPr="00204F60" w:rsidTr="00F035E0">
        <w:trPr>
          <w:jc w:val="center"/>
        </w:trPr>
        <w:tc>
          <w:tcPr>
            <w:tcW w:w="1259" w:type="dxa"/>
            <w:shd w:val="clear" w:color="auto" w:fill="auto"/>
          </w:tcPr>
          <w:p w:rsidR="00A52DD2" w:rsidRPr="00204F60" w:rsidRDefault="00A52DD2" w:rsidP="00F035E0">
            <w:pPr>
              <w:spacing w:line="280" w:lineRule="exact"/>
              <w:jc w:val="center"/>
              <w:rPr>
                <w:rFonts w:ascii="標楷體" w:eastAsia="標楷體" w:hAnsi="標楷體"/>
                <w:snapToGrid w:val="0"/>
                <w:szCs w:val="28"/>
                <w:lang w:val="x-none"/>
              </w:rPr>
            </w:pPr>
            <w:r w:rsidRPr="00204F60">
              <w:rPr>
                <w:rFonts w:ascii="標楷體" w:eastAsia="標楷體" w:hAnsi="標楷體" w:hint="eastAsia"/>
                <w:snapToGrid w:val="0"/>
                <w:szCs w:val="28"/>
                <w:lang w:val="x-none"/>
              </w:rPr>
              <w:t>110</w:t>
            </w:r>
          </w:p>
        </w:tc>
        <w:tc>
          <w:tcPr>
            <w:tcW w:w="1753" w:type="dxa"/>
            <w:vAlign w:val="center"/>
          </w:tcPr>
          <w:p w:rsidR="00A52DD2" w:rsidRPr="00204F60" w:rsidRDefault="00A52DD2" w:rsidP="00F035E0">
            <w:pPr>
              <w:spacing w:line="280" w:lineRule="exact"/>
              <w:jc w:val="center"/>
              <w:rPr>
                <w:rFonts w:ascii="標楷體" w:eastAsia="標楷體" w:hAnsi="標楷體"/>
                <w:snapToGrid w:val="0"/>
                <w:szCs w:val="28"/>
                <w:lang w:val="x-none"/>
              </w:rPr>
            </w:pPr>
            <w:r w:rsidRPr="00204F60">
              <w:rPr>
                <w:rFonts w:ascii="標楷體" w:eastAsia="標楷體" w:hAnsi="標楷體" w:hint="eastAsia"/>
                <w:snapToGrid w:val="0"/>
                <w:szCs w:val="28"/>
                <w:lang w:val="x-none"/>
              </w:rPr>
              <w:t>87,480</w:t>
            </w:r>
          </w:p>
        </w:tc>
        <w:tc>
          <w:tcPr>
            <w:tcW w:w="1843" w:type="dxa"/>
            <w:shd w:val="clear" w:color="auto" w:fill="auto"/>
            <w:vAlign w:val="center"/>
          </w:tcPr>
          <w:p w:rsidR="00A52DD2" w:rsidRPr="00204F60" w:rsidRDefault="00A52DD2" w:rsidP="00F035E0">
            <w:pPr>
              <w:spacing w:line="280" w:lineRule="exact"/>
              <w:jc w:val="center"/>
              <w:rPr>
                <w:rFonts w:ascii="標楷體" w:eastAsia="標楷體" w:hAnsi="標楷體"/>
                <w:snapToGrid w:val="0"/>
                <w:szCs w:val="28"/>
                <w:lang w:val="x-none"/>
              </w:rPr>
            </w:pPr>
            <w:r w:rsidRPr="00204F60">
              <w:rPr>
                <w:rFonts w:ascii="標楷體" w:eastAsia="標楷體" w:hAnsi="標楷體"/>
                <w:snapToGrid w:val="0"/>
                <w:szCs w:val="28"/>
                <w:lang w:val="x-none"/>
              </w:rPr>
              <w:t>44</w:t>
            </w:r>
            <w:r w:rsidRPr="00204F60">
              <w:rPr>
                <w:rFonts w:ascii="標楷體" w:eastAsia="標楷體" w:hAnsi="標楷體" w:hint="eastAsia"/>
                <w:snapToGrid w:val="0"/>
                <w:szCs w:val="28"/>
                <w:lang w:val="x-none"/>
              </w:rPr>
              <w:t>,</w:t>
            </w:r>
            <w:r w:rsidRPr="00204F60">
              <w:rPr>
                <w:rFonts w:ascii="標楷體" w:eastAsia="標楷體" w:hAnsi="標楷體"/>
                <w:snapToGrid w:val="0"/>
                <w:szCs w:val="28"/>
                <w:lang w:val="x-none"/>
              </w:rPr>
              <w:t>328</w:t>
            </w:r>
          </w:p>
        </w:tc>
        <w:tc>
          <w:tcPr>
            <w:tcW w:w="2977" w:type="dxa"/>
            <w:shd w:val="clear" w:color="auto" w:fill="auto"/>
            <w:vAlign w:val="center"/>
          </w:tcPr>
          <w:p w:rsidR="00A52DD2" w:rsidRPr="00204F60" w:rsidRDefault="00A52DD2" w:rsidP="00F035E0">
            <w:pPr>
              <w:spacing w:line="280" w:lineRule="exact"/>
              <w:jc w:val="center"/>
              <w:rPr>
                <w:rFonts w:ascii="標楷體" w:eastAsia="標楷體" w:hAnsi="標楷體"/>
                <w:snapToGrid w:val="0"/>
                <w:szCs w:val="28"/>
                <w:lang w:val="x-none"/>
              </w:rPr>
            </w:pPr>
            <w:r w:rsidRPr="00204F60">
              <w:rPr>
                <w:rFonts w:ascii="標楷體" w:eastAsia="標楷體" w:hAnsi="標楷體" w:hint="eastAsia"/>
                <w:snapToGrid w:val="0"/>
                <w:szCs w:val="28"/>
                <w:lang w:val="x-none"/>
              </w:rPr>
              <w:t>50.67</w:t>
            </w:r>
          </w:p>
        </w:tc>
      </w:tr>
      <w:tr w:rsidR="00A52DD2" w:rsidRPr="00204F60" w:rsidTr="00F035E0">
        <w:trPr>
          <w:jc w:val="center"/>
        </w:trPr>
        <w:tc>
          <w:tcPr>
            <w:tcW w:w="1259" w:type="dxa"/>
            <w:shd w:val="clear" w:color="auto" w:fill="auto"/>
          </w:tcPr>
          <w:p w:rsidR="00A52DD2" w:rsidRPr="00204F60" w:rsidRDefault="00A52DD2" w:rsidP="00F035E0">
            <w:pPr>
              <w:spacing w:line="280" w:lineRule="exact"/>
              <w:jc w:val="center"/>
              <w:rPr>
                <w:rFonts w:ascii="標楷體" w:eastAsia="標楷體" w:hAnsi="標楷體"/>
                <w:snapToGrid w:val="0"/>
                <w:szCs w:val="28"/>
                <w:lang w:val="x-none"/>
              </w:rPr>
            </w:pPr>
            <w:r w:rsidRPr="00204F60">
              <w:rPr>
                <w:rFonts w:ascii="標楷體" w:eastAsia="標楷體" w:hAnsi="標楷體" w:hint="eastAsia"/>
                <w:snapToGrid w:val="0"/>
                <w:szCs w:val="28"/>
                <w:lang w:val="x-none"/>
              </w:rPr>
              <w:t>111</w:t>
            </w:r>
          </w:p>
        </w:tc>
        <w:tc>
          <w:tcPr>
            <w:tcW w:w="1753" w:type="dxa"/>
            <w:vAlign w:val="center"/>
          </w:tcPr>
          <w:p w:rsidR="00A52DD2" w:rsidRPr="00204F60" w:rsidRDefault="00A52DD2" w:rsidP="00F035E0">
            <w:pPr>
              <w:spacing w:line="280" w:lineRule="exact"/>
              <w:jc w:val="center"/>
              <w:rPr>
                <w:rFonts w:ascii="標楷體" w:eastAsia="標楷體" w:hAnsi="標楷體"/>
                <w:snapToGrid w:val="0"/>
                <w:szCs w:val="28"/>
                <w:lang w:val="x-none"/>
              </w:rPr>
            </w:pPr>
            <w:r w:rsidRPr="00204F60">
              <w:rPr>
                <w:rFonts w:ascii="標楷體" w:eastAsia="標楷體" w:hAnsi="標楷體" w:hint="eastAsia"/>
                <w:snapToGrid w:val="0"/>
                <w:szCs w:val="28"/>
                <w:lang w:val="x-none"/>
              </w:rPr>
              <w:t>92,266</w:t>
            </w:r>
          </w:p>
        </w:tc>
        <w:tc>
          <w:tcPr>
            <w:tcW w:w="1843" w:type="dxa"/>
            <w:shd w:val="clear" w:color="auto" w:fill="auto"/>
            <w:vAlign w:val="center"/>
          </w:tcPr>
          <w:p w:rsidR="00A52DD2" w:rsidRPr="00204F60" w:rsidRDefault="00A52DD2" w:rsidP="00F035E0">
            <w:pPr>
              <w:spacing w:line="280" w:lineRule="exact"/>
              <w:jc w:val="center"/>
              <w:rPr>
                <w:rFonts w:ascii="標楷體" w:eastAsia="標楷體" w:hAnsi="標楷體"/>
                <w:snapToGrid w:val="0"/>
                <w:szCs w:val="28"/>
                <w:lang w:val="x-none"/>
              </w:rPr>
            </w:pPr>
            <w:r w:rsidRPr="00204F60">
              <w:rPr>
                <w:rFonts w:ascii="標楷體" w:eastAsia="標楷體" w:hAnsi="標楷體"/>
                <w:snapToGrid w:val="0"/>
                <w:szCs w:val="28"/>
                <w:lang w:val="x-none"/>
              </w:rPr>
              <w:t>20,866</w:t>
            </w:r>
          </w:p>
        </w:tc>
        <w:tc>
          <w:tcPr>
            <w:tcW w:w="2977" w:type="dxa"/>
            <w:shd w:val="clear" w:color="auto" w:fill="auto"/>
            <w:vAlign w:val="center"/>
          </w:tcPr>
          <w:p w:rsidR="00A52DD2" w:rsidRPr="00204F60" w:rsidRDefault="00A52DD2" w:rsidP="00F035E0">
            <w:pPr>
              <w:spacing w:line="280" w:lineRule="exact"/>
              <w:jc w:val="center"/>
              <w:rPr>
                <w:rFonts w:ascii="標楷體" w:eastAsia="標楷體" w:hAnsi="標楷體"/>
                <w:snapToGrid w:val="0"/>
                <w:szCs w:val="28"/>
                <w:lang w:val="x-none"/>
              </w:rPr>
            </w:pPr>
            <w:r w:rsidRPr="00204F60">
              <w:rPr>
                <w:rFonts w:ascii="標楷體" w:eastAsia="標楷體" w:hAnsi="標楷體"/>
                <w:snapToGrid w:val="0"/>
                <w:szCs w:val="28"/>
                <w:lang w:val="x-none"/>
              </w:rPr>
              <w:t>22.62</w:t>
            </w:r>
          </w:p>
        </w:tc>
      </w:tr>
      <w:tr w:rsidR="00A52DD2" w:rsidRPr="00204F60" w:rsidTr="00F035E0">
        <w:trPr>
          <w:jc w:val="center"/>
        </w:trPr>
        <w:tc>
          <w:tcPr>
            <w:tcW w:w="1259" w:type="dxa"/>
            <w:shd w:val="clear" w:color="auto" w:fill="auto"/>
          </w:tcPr>
          <w:p w:rsidR="00A52DD2" w:rsidRPr="00204F60" w:rsidRDefault="00A52DD2" w:rsidP="00F035E0">
            <w:pPr>
              <w:spacing w:line="280" w:lineRule="exact"/>
              <w:jc w:val="center"/>
              <w:rPr>
                <w:rFonts w:ascii="標楷體" w:eastAsia="標楷體" w:hAnsi="標楷體"/>
                <w:snapToGrid w:val="0"/>
                <w:szCs w:val="28"/>
                <w:lang w:val="x-none"/>
              </w:rPr>
            </w:pPr>
            <w:r w:rsidRPr="00204F60">
              <w:rPr>
                <w:rFonts w:ascii="標楷體" w:eastAsia="標楷體" w:hAnsi="標楷體" w:hint="eastAsia"/>
                <w:snapToGrid w:val="0"/>
                <w:szCs w:val="28"/>
                <w:lang w:val="x-none"/>
              </w:rPr>
              <w:t>1</w:t>
            </w:r>
            <w:r w:rsidRPr="00204F60">
              <w:rPr>
                <w:rFonts w:ascii="標楷體" w:eastAsia="標楷體" w:hAnsi="標楷體"/>
                <w:snapToGrid w:val="0"/>
                <w:szCs w:val="28"/>
                <w:lang w:val="x-none"/>
              </w:rPr>
              <w:t>12</w:t>
            </w:r>
          </w:p>
        </w:tc>
        <w:tc>
          <w:tcPr>
            <w:tcW w:w="1753" w:type="dxa"/>
            <w:vAlign w:val="center"/>
          </w:tcPr>
          <w:p w:rsidR="00A52DD2" w:rsidRPr="00204F60" w:rsidRDefault="00A52DD2" w:rsidP="00F035E0">
            <w:pPr>
              <w:spacing w:line="280" w:lineRule="exact"/>
              <w:jc w:val="center"/>
              <w:rPr>
                <w:rFonts w:ascii="標楷體" w:eastAsia="標楷體" w:hAnsi="標楷體"/>
                <w:snapToGrid w:val="0"/>
                <w:szCs w:val="28"/>
                <w:lang w:val="x-none"/>
              </w:rPr>
            </w:pPr>
            <w:r w:rsidRPr="00204F60">
              <w:rPr>
                <w:rFonts w:ascii="標楷體" w:eastAsia="標楷體" w:hAnsi="標楷體" w:hint="eastAsia"/>
                <w:snapToGrid w:val="0"/>
                <w:szCs w:val="28"/>
                <w:lang w:val="x-none"/>
              </w:rPr>
              <w:t>8</w:t>
            </w:r>
            <w:r w:rsidRPr="00204F60">
              <w:rPr>
                <w:rFonts w:ascii="標楷體" w:eastAsia="標楷體" w:hAnsi="標楷體"/>
                <w:snapToGrid w:val="0"/>
                <w:szCs w:val="28"/>
                <w:lang w:val="x-none"/>
              </w:rPr>
              <w:t>8,363</w:t>
            </w:r>
          </w:p>
        </w:tc>
        <w:tc>
          <w:tcPr>
            <w:tcW w:w="1843" w:type="dxa"/>
            <w:shd w:val="clear" w:color="auto" w:fill="auto"/>
            <w:vAlign w:val="center"/>
          </w:tcPr>
          <w:p w:rsidR="00A52DD2" w:rsidRPr="00204F60" w:rsidRDefault="00A52DD2" w:rsidP="00F035E0">
            <w:pPr>
              <w:spacing w:line="280" w:lineRule="exact"/>
              <w:jc w:val="center"/>
              <w:rPr>
                <w:rFonts w:ascii="標楷體" w:eastAsia="標楷體" w:hAnsi="標楷體"/>
                <w:snapToGrid w:val="0"/>
                <w:szCs w:val="28"/>
                <w:lang w:val="x-none"/>
              </w:rPr>
            </w:pPr>
            <w:r w:rsidRPr="00204F60">
              <w:rPr>
                <w:rFonts w:ascii="標楷體" w:eastAsia="標楷體" w:hAnsi="標楷體" w:hint="eastAsia"/>
                <w:snapToGrid w:val="0"/>
                <w:szCs w:val="28"/>
                <w:lang w:val="x-none"/>
              </w:rPr>
              <w:t>-</w:t>
            </w:r>
          </w:p>
        </w:tc>
        <w:tc>
          <w:tcPr>
            <w:tcW w:w="2977" w:type="dxa"/>
            <w:shd w:val="clear" w:color="auto" w:fill="auto"/>
            <w:vAlign w:val="center"/>
          </w:tcPr>
          <w:p w:rsidR="00A52DD2" w:rsidRPr="00204F60" w:rsidRDefault="00A52DD2" w:rsidP="00F035E0">
            <w:pPr>
              <w:spacing w:line="280" w:lineRule="exact"/>
              <w:jc w:val="center"/>
              <w:rPr>
                <w:rFonts w:ascii="標楷體" w:eastAsia="標楷體" w:hAnsi="標楷體"/>
                <w:snapToGrid w:val="0"/>
                <w:szCs w:val="28"/>
                <w:lang w:val="x-none"/>
              </w:rPr>
            </w:pPr>
            <w:r w:rsidRPr="00204F60">
              <w:rPr>
                <w:rFonts w:ascii="標楷體" w:eastAsia="標楷體" w:hAnsi="標楷體" w:hint="eastAsia"/>
                <w:snapToGrid w:val="0"/>
                <w:szCs w:val="28"/>
                <w:lang w:val="x-none"/>
              </w:rPr>
              <w:t>-</w:t>
            </w:r>
          </w:p>
        </w:tc>
      </w:tr>
    </w:tbl>
    <w:p w:rsidR="00A52DD2" w:rsidRPr="00204F60" w:rsidRDefault="00A52DD2" w:rsidP="00F035E0">
      <w:pPr>
        <w:overflowPunct w:val="0"/>
        <w:spacing w:line="500" w:lineRule="exact"/>
        <w:ind w:leftChars="200" w:left="800" w:hangingChars="100" w:hanging="320"/>
        <w:jc w:val="both"/>
        <w:rPr>
          <w:rFonts w:ascii="標楷體" w:eastAsia="標楷體" w:hAnsi="標楷體"/>
          <w:sz w:val="32"/>
          <w:szCs w:val="32"/>
        </w:rPr>
      </w:pPr>
      <w:r>
        <w:rPr>
          <w:rFonts w:ascii="標楷體" w:eastAsia="標楷體" w:hAnsi="標楷體" w:hint="eastAsia"/>
          <w:sz w:val="32"/>
          <w:szCs w:val="32"/>
        </w:rPr>
        <w:t xml:space="preserve">      </w:t>
      </w:r>
      <w:r w:rsidRPr="00204F60">
        <w:rPr>
          <w:rFonts w:ascii="標楷體" w:eastAsia="標楷體" w:hAnsi="標楷體" w:hint="eastAsia"/>
          <w:sz w:val="32"/>
          <w:szCs w:val="32"/>
        </w:rPr>
        <w:t>綜上，中央研究院允宜檢討「修理保養及保固費」預算編列情形或提高預算使用效率。爰請中央研究院於1個月內向立法院教育及文化委員會提出書面報告。16</w:t>
      </w:r>
    </w:p>
    <w:p w:rsidR="00A52DD2" w:rsidRPr="00204F60" w:rsidRDefault="00A52DD2" w:rsidP="00F035E0">
      <w:pPr>
        <w:overflowPunct w:val="0"/>
        <w:spacing w:line="500" w:lineRule="exact"/>
        <w:ind w:leftChars="1250" w:left="3000"/>
        <w:jc w:val="both"/>
        <w:rPr>
          <w:rFonts w:ascii="標楷體" w:eastAsia="標楷體" w:hAnsi="標楷體"/>
          <w:sz w:val="32"/>
          <w:szCs w:val="32"/>
        </w:rPr>
      </w:pPr>
      <w:r w:rsidRPr="00204F60">
        <w:rPr>
          <w:rFonts w:ascii="標楷體" w:eastAsia="標楷體" w:hAnsi="標楷體" w:hint="eastAsia"/>
          <w:sz w:val="32"/>
          <w:szCs w:val="32"/>
        </w:rPr>
        <w:t>提案人：黃國書</w:t>
      </w:r>
    </w:p>
    <w:p w:rsidR="00A52DD2" w:rsidRPr="00204F60" w:rsidRDefault="00A52DD2" w:rsidP="00F035E0">
      <w:pPr>
        <w:overflowPunct w:val="0"/>
        <w:spacing w:line="500" w:lineRule="exact"/>
        <w:ind w:leftChars="1250" w:left="3000"/>
        <w:jc w:val="both"/>
        <w:rPr>
          <w:rFonts w:ascii="標楷體" w:eastAsia="標楷體" w:hAnsi="標楷體"/>
          <w:sz w:val="32"/>
          <w:szCs w:val="32"/>
        </w:rPr>
      </w:pPr>
      <w:r w:rsidRPr="00204F60">
        <w:rPr>
          <w:rFonts w:ascii="標楷體" w:eastAsia="標楷體" w:hAnsi="標楷體" w:hint="eastAsia"/>
          <w:sz w:val="32"/>
          <w:szCs w:val="32"/>
        </w:rPr>
        <w:t>連署人：林宜瑾  何欣純</w:t>
      </w:r>
    </w:p>
    <w:p w:rsidR="00A52DD2" w:rsidRPr="00204F60" w:rsidRDefault="00A52DD2" w:rsidP="00F035E0">
      <w:pPr>
        <w:overflowPunct w:val="0"/>
        <w:spacing w:line="500" w:lineRule="exact"/>
        <w:ind w:leftChars="200" w:left="800" w:hangingChars="100" w:hanging="320"/>
        <w:jc w:val="both"/>
        <w:rPr>
          <w:rFonts w:ascii="標楷體" w:eastAsia="標楷體" w:hAnsi="標楷體"/>
          <w:sz w:val="32"/>
          <w:szCs w:val="32"/>
        </w:rPr>
      </w:pPr>
      <w:r>
        <w:rPr>
          <w:rFonts w:ascii="標楷體" w:eastAsia="標楷體" w:hAnsi="標楷體" w:hint="eastAsia"/>
          <w:sz w:val="32"/>
          <w:szCs w:val="32"/>
        </w:rPr>
        <w:t>4.</w:t>
      </w:r>
      <w:r w:rsidRPr="00204F60">
        <w:rPr>
          <w:rFonts w:ascii="標楷體" w:eastAsia="標楷體" w:hAnsi="標楷體" w:hint="eastAsia"/>
          <w:sz w:val="32"/>
          <w:szCs w:val="32"/>
        </w:rPr>
        <w:t>為提供生物科技產業相關政府單位及研究機構所需之空間、軟硬體設施及儀器設備，中央研究院預算編列</w:t>
      </w:r>
      <w:r w:rsidRPr="00204F60">
        <w:rPr>
          <w:rFonts w:ascii="標楷體" w:eastAsia="標楷體" w:hAnsi="標楷體"/>
          <w:sz w:val="32"/>
          <w:szCs w:val="32"/>
        </w:rPr>
        <w:t>19</w:t>
      </w:r>
      <w:r w:rsidRPr="00204F60">
        <w:rPr>
          <w:rFonts w:ascii="標楷體" w:eastAsia="標楷體" w:hAnsi="標楷體" w:hint="eastAsia"/>
          <w:sz w:val="32"/>
          <w:szCs w:val="32"/>
        </w:rPr>
        <w:t>億</w:t>
      </w:r>
      <w:r w:rsidRPr="00204F60">
        <w:rPr>
          <w:rFonts w:ascii="標楷體" w:eastAsia="標楷體" w:hAnsi="標楷體"/>
          <w:sz w:val="32"/>
          <w:szCs w:val="32"/>
        </w:rPr>
        <w:t>9,368</w:t>
      </w:r>
      <w:r w:rsidRPr="00204F60">
        <w:rPr>
          <w:rFonts w:ascii="標楷體" w:eastAsia="標楷體" w:hAnsi="標楷體" w:hint="eastAsia"/>
          <w:sz w:val="32"/>
          <w:szCs w:val="32"/>
        </w:rPr>
        <w:t>萬</w:t>
      </w:r>
      <w:r w:rsidRPr="00204F60">
        <w:rPr>
          <w:rFonts w:ascii="標楷體" w:eastAsia="標楷體" w:hAnsi="標楷體"/>
          <w:sz w:val="32"/>
          <w:szCs w:val="32"/>
        </w:rPr>
        <w:t>3</w:t>
      </w:r>
      <w:r w:rsidRPr="00204F60">
        <w:rPr>
          <w:rFonts w:ascii="標楷體" w:eastAsia="標楷體" w:hAnsi="標楷體" w:hint="eastAsia"/>
          <w:sz w:val="32"/>
          <w:szCs w:val="32"/>
        </w:rPr>
        <w:t>千元建置國家生技研究園區，然迄</w:t>
      </w:r>
      <w:r w:rsidRPr="00204F60">
        <w:rPr>
          <w:rFonts w:ascii="標楷體" w:eastAsia="標楷體" w:hAnsi="標楷體"/>
          <w:sz w:val="32"/>
          <w:szCs w:val="32"/>
        </w:rPr>
        <w:t>110</w:t>
      </w:r>
      <w:r w:rsidRPr="00204F60">
        <w:rPr>
          <w:rFonts w:ascii="標楷體" w:eastAsia="標楷體" w:hAnsi="標楷體" w:hint="eastAsia"/>
          <w:sz w:val="32"/>
          <w:szCs w:val="32"/>
        </w:rPr>
        <w:t>年底預算保留數高達</w:t>
      </w:r>
      <w:r w:rsidRPr="00204F60">
        <w:rPr>
          <w:rFonts w:ascii="標楷體" w:eastAsia="標楷體" w:hAnsi="標楷體"/>
          <w:sz w:val="32"/>
          <w:szCs w:val="32"/>
        </w:rPr>
        <w:t>3</w:t>
      </w:r>
      <w:r w:rsidRPr="00204F60">
        <w:rPr>
          <w:rFonts w:ascii="標楷體" w:eastAsia="標楷體" w:hAnsi="標楷體" w:hint="eastAsia"/>
          <w:sz w:val="32"/>
          <w:szCs w:val="32"/>
        </w:rPr>
        <w:t>億元，顯見園區興建時程多有延宕，雖因國內外工程人力及原物料短缺，各工程多有進度延宕之情形，中研院仍應宜加強督導，提升預算之使用效率，以期我國得以早日完成國家生技研</w:t>
      </w:r>
      <w:r w:rsidRPr="00204F60">
        <w:rPr>
          <w:rFonts w:ascii="標楷體" w:eastAsia="標楷體" w:hAnsi="標楷體" w:hint="eastAsia"/>
          <w:sz w:val="32"/>
          <w:szCs w:val="32"/>
        </w:rPr>
        <w:lastRenderedPageBreak/>
        <w:t>究園區之建置，協助整合我國高水準之醫療研發與資訊通訊技術優勢，創造具競爭力之關鍵產業。綜上，中央研究院允宜加強督導生技園區之興建，並於1個月內向立法院教育及文化委員會提出書面報告。17</w:t>
      </w:r>
    </w:p>
    <w:p w:rsidR="00A52DD2" w:rsidRPr="00204F60" w:rsidRDefault="00A52DD2" w:rsidP="00F035E0">
      <w:pPr>
        <w:overflowPunct w:val="0"/>
        <w:spacing w:line="500" w:lineRule="exact"/>
        <w:ind w:leftChars="1250" w:left="3000"/>
        <w:jc w:val="both"/>
        <w:rPr>
          <w:rFonts w:ascii="標楷體" w:eastAsia="標楷體" w:hAnsi="標楷體"/>
          <w:sz w:val="32"/>
          <w:szCs w:val="32"/>
        </w:rPr>
      </w:pPr>
      <w:r w:rsidRPr="00204F60">
        <w:rPr>
          <w:rFonts w:ascii="標楷體" w:eastAsia="標楷體" w:hAnsi="標楷體" w:hint="eastAsia"/>
          <w:sz w:val="32"/>
          <w:szCs w:val="32"/>
        </w:rPr>
        <w:t>提案人：黃國書</w:t>
      </w:r>
    </w:p>
    <w:p w:rsidR="00A52DD2" w:rsidRPr="00204F60" w:rsidRDefault="00A52DD2" w:rsidP="00F035E0">
      <w:pPr>
        <w:overflowPunct w:val="0"/>
        <w:spacing w:line="500" w:lineRule="exact"/>
        <w:ind w:leftChars="1250" w:left="3000"/>
        <w:jc w:val="both"/>
        <w:rPr>
          <w:rFonts w:ascii="標楷體" w:eastAsia="標楷體" w:hAnsi="標楷體"/>
          <w:sz w:val="32"/>
          <w:szCs w:val="32"/>
        </w:rPr>
      </w:pPr>
      <w:r w:rsidRPr="00204F60">
        <w:rPr>
          <w:rFonts w:ascii="標楷體" w:eastAsia="標楷體" w:hAnsi="標楷體" w:hint="eastAsia"/>
          <w:sz w:val="32"/>
          <w:szCs w:val="32"/>
        </w:rPr>
        <w:t>連署人：林宜瑾  何欣純</w:t>
      </w:r>
    </w:p>
    <w:p w:rsidR="00A52DD2" w:rsidRPr="00204F60" w:rsidRDefault="00A52DD2" w:rsidP="00F035E0">
      <w:pPr>
        <w:overflowPunct w:val="0"/>
        <w:spacing w:line="500" w:lineRule="exact"/>
        <w:ind w:leftChars="200" w:left="800" w:hangingChars="100" w:hanging="320"/>
        <w:jc w:val="both"/>
        <w:rPr>
          <w:rFonts w:ascii="標楷體" w:eastAsia="標楷體" w:hAnsi="標楷體"/>
          <w:sz w:val="32"/>
          <w:szCs w:val="32"/>
        </w:rPr>
      </w:pPr>
      <w:r>
        <w:rPr>
          <w:rFonts w:ascii="標楷體" w:eastAsia="標楷體" w:hAnsi="標楷體" w:hint="eastAsia"/>
          <w:sz w:val="32"/>
          <w:szCs w:val="32"/>
        </w:rPr>
        <w:t>5.</w:t>
      </w:r>
      <w:r w:rsidRPr="00204F60">
        <w:rPr>
          <w:rFonts w:ascii="標楷體" w:eastAsia="標楷體" w:hAnsi="標楷體" w:hint="eastAsia"/>
          <w:sz w:val="32"/>
          <w:szCs w:val="32"/>
        </w:rPr>
        <w:t>中央研究院透過技術移轉將政府編列預算資助之研發成果，透過商業化過程，謀求中研院研究經費，順帶增加就業及提升國家競爭力。然現行中研院將技術移轉民間廠商後，鮮少過問研究成果是否成功投入市場，恐對於後續之研究如何實際投入民間應用了解不足，中研院不應認為技轉滿意度非評估技術是否充分應用之適當工作，遂未辦理技轉滿意度之調查。中研院宜研議辦理受技轉廠商滿意度調查之可行性，以瞭解廠商未來參與技術移轉意願，以利將各學術單位所產出之研究成果效益最大化，為學術成果創造更大社會價值，並充裕中研院之研究經費。綜上，中央研究院允宜研議進行技轉後之開發進度及意見回饋調查，並於</w:t>
      </w:r>
      <w:r w:rsidRPr="00204F60">
        <w:rPr>
          <w:rFonts w:ascii="標楷體" w:eastAsia="標楷體" w:hAnsi="標楷體"/>
          <w:sz w:val="32"/>
          <w:szCs w:val="32"/>
        </w:rPr>
        <w:t>3</w:t>
      </w:r>
      <w:r w:rsidRPr="00204F60">
        <w:rPr>
          <w:rFonts w:ascii="標楷體" w:eastAsia="標楷體" w:hAnsi="標楷體" w:hint="eastAsia"/>
          <w:sz w:val="32"/>
          <w:szCs w:val="32"/>
        </w:rPr>
        <w:t>個月內向立法院教育及文化委員會</w:t>
      </w:r>
      <w:r w:rsidRPr="00204F60">
        <w:rPr>
          <w:rFonts w:ascii="標楷體" w:eastAsia="標楷體" w:hAnsi="標楷體" w:hint="eastAsia"/>
          <w:snapToGrid w:val="0"/>
          <w:sz w:val="32"/>
          <w:szCs w:val="32"/>
        </w:rPr>
        <w:t>提出</w:t>
      </w:r>
      <w:r w:rsidRPr="00204F60">
        <w:rPr>
          <w:rFonts w:ascii="標楷體" w:eastAsia="標楷體" w:hAnsi="標楷體" w:hint="eastAsia"/>
          <w:sz w:val="32"/>
          <w:szCs w:val="32"/>
        </w:rPr>
        <w:t>書面報告。18</w:t>
      </w:r>
    </w:p>
    <w:p w:rsidR="00A52DD2" w:rsidRPr="00204F60" w:rsidRDefault="00A52DD2" w:rsidP="00F035E0">
      <w:pPr>
        <w:overflowPunct w:val="0"/>
        <w:spacing w:line="500" w:lineRule="exact"/>
        <w:ind w:leftChars="1250" w:left="3000"/>
        <w:jc w:val="both"/>
        <w:rPr>
          <w:rFonts w:ascii="標楷體" w:eastAsia="標楷體" w:hAnsi="標楷體"/>
          <w:sz w:val="32"/>
          <w:szCs w:val="32"/>
        </w:rPr>
      </w:pPr>
      <w:r w:rsidRPr="00204F60">
        <w:rPr>
          <w:rFonts w:ascii="標楷體" w:eastAsia="標楷體" w:hAnsi="標楷體" w:hint="eastAsia"/>
          <w:sz w:val="32"/>
          <w:szCs w:val="32"/>
        </w:rPr>
        <w:t>提案人：黃國書</w:t>
      </w:r>
    </w:p>
    <w:p w:rsidR="00A52DD2" w:rsidRPr="00204F60" w:rsidRDefault="00A52DD2" w:rsidP="00F035E0">
      <w:pPr>
        <w:overflowPunct w:val="0"/>
        <w:spacing w:line="500" w:lineRule="exact"/>
        <w:ind w:leftChars="1250" w:left="3000"/>
        <w:jc w:val="both"/>
        <w:rPr>
          <w:rFonts w:ascii="標楷體" w:eastAsia="標楷體" w:hAnsi="標楷體"/>
          <w:sz w:val="32"/>
          <w:szCs w:val="32"/>
        </w:rPr>
      </w:pPr>
      <w:r w:rsidRPr="00204F60">
        <w:rPr>
          <w:rFonts w:ascii="標楷體" w:eastAsia="標楷體" w:hAnsi="標楷體" w:hint="eastAsia"/>
          <w:sz w:val="32"/>
          <w:szCs w:val="32"/>
        </w:rPr>
        <w:t>連署人：林宜瑾  何欣純</w:t>
      </w:r>
    </w:p>
    <w:p w:rsidR="00A52DD2" w:rsidRDefault="00A52DD2" w:rsidP="00F035E0">
      <w:pPr>
        <w:overflowPunct w:val="0"/>
        <w:spacing w:line="500" w:lineRule="exact"/>
        <w:ind w:leftChars="200" w:left="800" w:hangingChars="100" w:hanging="320"/>
        <w:jc w:val="both"/>
        <w:rPr>
          <w:rFonts w:ascii="標楷體" w:eastAsia="標楷體" w:hAnsi="標楷體"/>
          <w:snapToGrid w:val="0"/>
          <w:sz w:val="32"/>
          <w:szCs w:val="32"/>
        </w:rPr>
      </w:pPr>
      <w:r>
        <w:rPr>
          <w:rFonts w:ascii="標楷體" w:eastAsia="標楷體" w:hAnsi="標楷體" w:hint="eastAsia"/>
          <w:snapToGrid w:val="0"/>
          <w:sz w:val="32"/>
          <w:szCs w:val="32"/>
        </w:rPr>
        <w:t>6.</w:t>
      </w:r>
      <w:r w:rsidRPr="00AA12F9">
        <w:rPr>
          <w:rFonts w:ascii="標楷體" w:eastAsia="標楷體" w:hAnsi="標楷體" w:hint="eastAsia"/>
          <w:snapToGrid w:val="0"/>
          <w:sz w:val="32"/>
          <w:szCs w:val="32"/>
        </w:rPr>
        <w:t>112年度中央研究院科學研究基金「基金用途」項下「培育科技菁英計畫」預算編列486萬3千元，較111</w:t>
      </w:r>
      <w:r w:rsidRPr="00204F60">
        <w:rPr>
          <w:rFonts w:ascii="標楷體" w:eastAsia="標楷體" w:hAnsi="標楷體" w:hint="eastAsia"/>
          <w:snapToGrid w:val="0"/>
          <w:sz w:val="32"/>
          <w:szCs w:val="32"/>
        </w:rPr>
        <w:t>年</w:t>
      </w:r>
      <w:r>
        <w:rPr>
          <w:rFonts w:ascii="標楷體" w:eastAsia="標楷體" w:hAnsi="標楷體" w:hint="eastAsia"/>
          <w:snapToGrid w:val="0"/>
          <w:sz w:val="32"/>
          <w:szCs w:val="32"/>
        </w:rPr>
        <w:t>度</w:t>
      </w:r>
      <w:r w:rsidRPr="00204F60">
        <w:rPr>
          <w:rFonts w:ascii="標楷體" w:eastAsia="標楷體" w:hAnsi="標楷體" w:hint="eastAsia"/>
          <w:snapToGrid w:val="0"/>
          <w:sz w:val="32"/>
          <w:szCs w:val="32"/>
        </w:rPr>
        <w:t>預算800萬元減少313萬7千元，該預算係辦理中研院為積極推動國際化，與國外頂尖大學及研究機構合作培育人才，以儲備國家科技人才。然查，該計畫106至110年度預算執行率介於22.9%至84.62%間，且110年度僅1人申請赴國外參加國際學術會議補助，顯見該計畫執行成效有待加強。為儲備國家科技人才，請中央研究院確實檢討該計畫無人申請原因及研擬改善配套方</w:t>
      </w:r>
      <w:r w:rsidRPr="00204F60">
        <w:rPr>
          <w:rFonts w:ascii="標楷體" w:eastAsia="標楷體" w:hAnsi="標楷體" w:hint="eastAsia"/>
          <w:snapToGrid w:val="0"/>
          <w:sz w:val="32"/>
          <w:szCs w:val="32"/>
        </w:rPr>
        <w:lastRenderedPageBreak/>
        <w:t>案，並於3個月內向立法院教育及文化委員會提出檢討改善之書面報告。</w:t>
      </w:r>
      <w:r>
        <w:rPr>
          <w:rFonts w:ascii="標楷體" w:eastAsia="標楷體" w:hAnsi="標楷體" w:hint="eastAsia"/>
          <w:snapToGrid w:val="0"/>
          <w:sz w:val="32"/>
          <w:szCs w:val="32"/>
        </w:rPr>
        <w:t>1</w:t>
      </w:r>
    </w:p>
    <w:p w:rsidR="00A52DD2" w:rsidRPr="00204F60" w:rsidRDefault="00A52DD2" w:rsidP="00F035E0">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提案人：吳怡玎  萬美玲  黃國書</w:t>
      </w:r>
    </w:p>
    <w:p w:rsidR="00A52DD2" w:rsidRDefault="00A52DD2" w:rsidP="00F035E0">
      <w:pPr>
        <w:overflowPunct w:val="0"/>
        <w:spacing w:line="500" w:lineRule="exact"/>
        <w:ind w:leftChars="200" w:left="800" w:hangingChars="100" w:hanging="320"/>
        <w:jc w:val="both"/>
        <w:rPr>
          <w:rFonts w:ascii="標楷體" w:eastAsia="標楷體" w:hAnsi="標楷體"/>
          <w:snapToGrid w:val="0"/>
          <w:sz w:val="32"/>
          <w:szCs w:val="32"/>
        </w:rPr>
      </w:pPr>
      <w:r>
        <w:rPr>
          <w:rFonts w:ascii="標楷體" w:eastAsia="標楷體" w:hAnsi="標楷體" w:hint="eastAsia"/>
          <w:snapToGrid w:val="0"/>
          <w:sz w:val="32"/>
          <w:szCs w:val="32"/>
        </w:rPr>
        <w:t>7.中</w:t>
      </w:r>
      <w:r w:rsidRPr="00204F60">
        <w:rPr>
          <w:rFonts w:ascii="標楷體" w:eastAsia="標楷體" w:hAnsi="標楷體" w:hint="eastAsia"/>
          <w:snapToGrid w:val="0"/>
          <w:sz w:val="32"/>
          <w:szCs w:val="32"/>
        </w:rPr>
        <w:t>央研究院辦理培育科技菁英計畫，透過與國外頂尖大學及研究機構合作培育人才，以拓展我國學術人才國際視野，儲備國家科技人才。然109及110年因受嚴重特殊傳染性肺炎疫情影響，預算執行率均未達</w:t>
      </w:r>
      <w:r>
        <w:rPr>
          <w:rFonts w:ascii="標楷體" w:eastAsia="標楷體" w:hAnsi="標楷體" w:hint="eastAsia"/>
          <w:snapToGrid w:val="0"/>
          <w:sz w:val="32"/>
          <w:szCs w:val="32"/>
        </w:rPr>
        <w:t>四</w:t>
      </w:r>
      <w:r w:rsidRPr="00204F60">
        <w:rPr>
          <w:rFonts w:ascii="標楷體" w:eastAsia="標楷體" w:hAnsi="標楷體" w:hint="eastAsia"/>
          <w:snapToGrid w:val="0"/>
          <w:sz w:val="32"/>
          <w:szCs w:val="32"/>
        </w:rPr>
        <w:t>成。110年度僅1人自培育科技菁英計畫申請赴國外參加國際學術會議之補助，國際上疫情多以採取共存之態度，並進行邊境解封，中研院應當積極謀求我國科技人才赴國外參與國際學術交流，以確保我國科研得與國際接軌。爰此，請中央研究院於112年度積極推廣培育科技菁英計畫，以協助我國科技人才進行國際交流，並於</w:t>
      </w:r>
      <w:r>
        <w:rPr>
          <w:rFonts w:ascii="標楷體" w:eastAsia="標楷體" w:hAnsi="標楷體" w:hint="eastAsia"/>
          <w:snapToGrid w:val="0"/>
          <w:sz w:val="32"/>
          <w:szCs w:val="32"/>
        </w:rPr>
        <w:t>3</w:t>
      </w:r>
      <w:r w:rsidRPr="00204F60">
        <w:rPr>
          <w:rFonts w:ascii="標楷體" w:eastAsia="標楷體" w:hAnsi="標楷體" w:hint="eastAsia"/>
          <w:snapToGrid w:val="0"/>
          <w:sz w:val="32"/>
          <w:szCs w:val="32"/>
        </w:rPr>
        <w:t>個月內向</w:t>
      </w:r>
      <w:r>
        <w:rPr>
          <w:rFonts w:ascii="標楷體" w:eastAsia="標楷體" w:hAnsi="標楷體" w:hint="eastAsia"/>
          <w:snapToGrid w:val="0"/>
          <w:sz w:val="32"/>
          <w:szCs w:val="32"/>
        </w:rPr>
        <w:t>立法院</w:t>
      </w:r>
      <w:r w:rsidRPr="00204F60">
        <w:rPr>
          <w:rFonts w:ascii="標楷體" w:eastAsia="標楷體" w:hAnsi="標楷體" w:hint="eastAsia"/>
          <w:snapToGrid w:val="0"/>
          <w:sz w:val="32"/>
          <w:szCs w:val="32"/>
        </w:rPr>
        <w:t>教育及文化委員會提出書面報告。</w:t>
      </w:r>
      <w:r>
        <w:rPr>
          <w:rFonts w:ascii="標楷體" w:eastAsia="標楷體" w:hAnsi="標楷體" w:hint="eastAsia"/>
          <w:snapToGrid w:val="0"/>
          <w:sz w:val="32"/>
          <w:szCs w:val="32"/>
        </w:rPr>
        <w:t>2</w:t>
      </w:r>
    </w:p>
    <w:p w:rsidR="00A52DD2" w:rsidRPr="00204F60" w:rsidRDefault="00A52DD2" w:rsidP="00F035E0">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提案人：黃國書  林宜瑾  鄭正鈐</w:t>
      </w:r>
    </w:p>
    <w:p w:rsidR="00A52DD2" w:rsidRDefault="00A52DD2" w:rsidP="00F035E0">
      <w:pPr>
        <w:overflowPunct w:val="0"/>
        <w:spacing w:line="500" w:lineRule="exact"/>
        <w:ind w:leftChars="200" w:left="800" w:hangingChars="100" w:hanging="320"/>
        <w:jc w:val="both"/>
        <w:rPr>
          <w:rFonts w:ascii="標楷體" w:eastAsia="標楷體" w:hAnsi="標楷體"/>
          <w:snapToGrid w:val="0"/>
          <w:sz w:val="32"/>
          <w:szCs w:val="32"/>
        </w:rPr>
      </w:pPr>
      <w:r>
        <w:rPr>
          <w:rFonts w:ascii="標楷體" w:eastAsia="標楷體" w:hAnsi="標楷體" w:hint="eastAsia"/>
          <w:snapToGrid w:val="0"/>
          <w:sz w:val="32"/>
          <w:szCs w:val="32"/>
        </w:rPr>
        <w:t>8.</w:t>
      </w:r>
      <w:r w:rsidRPr="00204F60">
        <w:rPr>
          <w:rFonts w:ascii="標楷體" w:eastAsia="標楷體" w:hAnsi="標楷體" w:hint="eastAsia"/>
          <w:snapToGrid w:val="0"/>
          <w:sz w:val="32"/>
          <w:szCs w:val="32"/>
        </w:rPr>
        <w:t>中央研究院作為我國最高學術研究機關，其重要目的係為培養學術研究人才與延攬國際學術菁英，遂擬定「頂尖人才延攬計畫」與國內外大學共聘頂尖學者及延聘國際跨領域菁英人才。    然中央研究院科學研究基金</w:t>
      </w:r>
      <w:r>
        <w:rPr>
          <w:rFonts w:ascii="標楷體" w:eastAsia="標楷體" w:hAnsi="標楷體" w:hint="eastAsia"/>
          <w:snapToGrid w:val="0"/>
          <w:sz w:val="32"/>
          <w:szCs w:val="32"/>
        </w:rPr>
        <w:t>1</w:t>
      </w:r>
      <w:r w:rsidRPr="00204F60">
        <w:rPr>
          <w:rFonts w:ascii="標楷體" w:eastAsia="標楷體" w:hAnsi="標楷體" w:hint="eastAsia"/>
          <w:snapToGrid w:val="0"/>
          <w:sz w:val="32"/>
          <w:szCs w:val="32"/>
        </w:rPr>
        <w:t>0</w:t>
      </w:r>
      <w:r>
        <w:rPr>
          <w:rFonts w:ascii="標楷體" w:eastAsia="標楷體" w:hAnsi="標楷體" w:hint="eastAsia"/>
          <w:snapToGrid w:val="0"/>
          <w:sz w:val="32"/>
          <w:szCs w:val="32"/>
        </w:rPr>
        <w:t>7</w:t>
      </w:r>
      <w:r w:rsidRPr="00204F60">
        <w:rPr>
          <w:rFonts w:ascii="標楷體" w:eastAsia="標楷體" w:hAnsi="標楷體" w:hint="eastAsia"/>
          <w:snapToGrid w:val="0"/>
          <w:sz w:val="32"/>
          <w:szCs w:val="32"/>
        </w:rPr>
        <w:t>年度起規劃辦理「頂尖人才延攬計畫」，其計畫目標設定為延攬或共聘學者人數1至3人，並於108及109年度各共聘1名學者，計畫年年編列預算施行5年卻有3年為毫無成果，雖因受嚴重特殊傳染性肺炎疫情影響，致延攬人才難度提高，然疫情逐步趨緩，中</w:t>
      </w:r>
      <w:r>
        <w:rPr>
          <w:rFonts w:ascii="標楷體" w:eastAsia="標楷體" w:hAnsi="標楷體" w:hint="eastAsia"/>
          <w:snapToGrid w:val="0"/>
          <w:sz w:val="32"/>
          <w:szCs w:val="32"/>
        </w:rPr>
        <w:t>央</w:t>
      </w:r>
      <w:r w:rsidRPr="00204F60">
        <w:rPr>
          <w:rFonts w:ascii="標楷體" w:eastAsia="標楷體" w:hAnsi="標楷體" w:hint="eastAsia"/>
          <w:snapToGrid w:val="0"/>
          <w:sz w:val="32"/>
          <w:szCs w:val="32"/>
        </w:rPr>
        <w:t>研</w:t>
      </w:r>
      <w:r>
        <w:rPr>
          <w:rFonts w:ascii="標楷體" w:eastAsia="標楷體" w:hAnsi="標楷體" w:hint="eastAsia"/>
          <w:snapToGrid w:val="0"/>
          <w:sz w:val="32"/>
          <w:szCs w:val="32"/>
        </w:rPr>
        <w:t>究</w:t>
      </w:r>
      <w:r w:rsidRPr="00204F60">
        <w:rPr>
          <w:rFonts w:ascii="標楷體" w:eastAsia="標楷體" w:hAnsi="標楷體" w:hint="eastAsia"/>
          <w:snapToGrid w:val="0"/>
          <w:sz w:val="32"/>
          <w:szCs w:val="32"/>
        </w:rPr>
        <w:t>院應當檢討我國無法吸引國內外頂尖學者之原因，並提高計畫應達成之目標，為我國尋覓更多學術人才，以促進學術交流，提升國內學術研究水準，</w:t>
      </w:r>
      <w:r>
        <w:rPr>
          <w:rFonts w:ascii="標楷體" w:eastAsia="標楷體" w:hAnsi="標楷體" w:hint="eastAsia"/>
          <w:snapToGrid w:val="0"/>
          <w:sz w:val="32"/>
          <w:szCs w:val="32"/>
        </w:rPr>
        <w:t>並</w:t>
      </w:r>
      <w:r w:rsidRPr="00204F60">
        <w:rPr>
          <w:rFonts w:ascii="標楷體" w:eastAsia="標楷體" w:hAnsi="標楷體" w:hint="eastAsia"/>
          <w:snapToGrid w:val="0"/>
          <w:sz w:val="32"/>
          <w:szCs w:val="32"/>
        </w:rPr>
        <w:t>於1個月內</w:t>
      </w:r>
      <w:r>
        <w:rPr>
          <w:rFonts w:ascii="標楷體" w:eastAsia="標楷體" w:hAnsi="標楷體" w:hint="eastAsia"/>
          <w:snapToGrid w:val="0"/>
          <w:sz w:val="32"/>
          <w:szCs w:val="32"/>
        </w:rPr>
        <w:t>向</w:t>
      </w:r>
      <w:r w:rsidRPr="00204F60">
        <w:rPr>
          <w:rFonts w:ascii="標楷體" w:eastAsia="標楷體" w:hAnsi="標楷體" w:hint="eastAsia"/>
          <w:snapToGrid w:val="0"/>
          <w:sz w:val="32"/>
          <w:szCs w:val="32"/>
        </w:rPr>
        <w:t>立法院教育及文化委員會提出書面報告。</w:t>
      </w:r>
      <w:r>
        <w:rPr>
          <w:rFonts w:ascii="標楷體" w:eastAsia="標楷體" w:hAnsi="標楷體" w:hint="eastAsia"/>
          <w:snapToGrid w:val="0"/>
          <w:sz w:val="32"/>
          <w:szCs w:val="32"/>
        </w:rPr>
        <w:t>3</w:t>
      </w:r>
    </w:p>
    <w:p w:rsidR="00A52DD2" w:rsidRPr="00204F60" w:rsidRDefault="00A52DD2" w:rsidP="00F035E0">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提案人：黃國書  林宜瑾  鄭正鈐</w:t>
      </w:r>
    </w:p>
    <w:p w:rsidR="00A52DD2" w:rsidRDefault="00A52DD2" w:rsidP="00F035E0">
      <w:pPr>
        <w:overflowPunct w:val="0"/>
        <w:spacing w:line="500" w:lineRule="exact"/>
        <w:ind w:leftChars="200" w:left="800" w:hangingChars="100" w:hanging="320"/>
        <w:jc w:val="both"/>
        <w:rPr>
          <w:rFonts w:ascii="標楷體" w:eastAsia="標楷體" w:hAnsi="標楷體"/>
          <w:snapToGrid w:val="0"/>
          <w:sz w:val="32"/>
          <w:szCs w:val="32"/>
        </w:rPr>
      </w:pPr>
      <w:r>
        <w:rPr>
          <w:rFonts w:ascii="標楷體" w:eastAsia="標楷體" w:hAnsi="標楷體" w:hint="eastAsia"/>
          <w:snapToGrid w:val="0"/>
          <w:sz w:val="32"/>
          <w:szCs w:val="32"/>
        </w:rPr>
        <w:t>9.</w:t>
      </w:r>
      <w:r w:rsidRPr="00AA12F9">
        <w:rPr>
          <w:rFonts w:ascii="標楷體" w:eastAsia="標楷體" w:hAnsi="標楷體" w:hint="eastAsia"/>
          <w:snapToGrid w:val="0"/>
          <w:sz w:val="32"/>
          <w:szCs w:val="32"/>
        </w:rPr>
        <w:t>112年度中央研究院科學研究基金「基金用途」項下「科研環</w:t>
      </w:r>
      <w:r w:rsidRPr="00AA12F9">
        <w:rPr>
          <w:rFonts w:ascii="標楷體" w:eastAsia="標楷體" w:hAnsi="標楷體" w:hint="eastAsia"/>
          <w:snapToGrid w:val="0"/>
          <w:sz w:val="32"/>
          <w:szCs w:val="32"/>
        </w:rPr>
        <w:lastRenderedPageBreak/>
        <w:t>境領航計畫」中「臺灣人體生物資料庫計畫」預算編列2億5,683萬8千元，建</w:t>
      </w:r>
      <w:r w:rsidRPr="006D0070">
        <w:rPr>
          <w:rFonts w:ascii="標楷體" w:eastAsia="標楷體" w:hAnsi="標楷體" w:hint="eastAsia"/>
          <w:snapToGrid w:val="0"/>
          <w:sz w:val="32"/>
          <w:szCs w:val="32"/>
        </w:rPr>
        <w:t>構及維護該資料庫。惟查臺灣人體生物資料庫截至110年度止，所投入之累計支出數達36億7,565萬8千元，但累計收入數僅為6,992萬7千元，累計收支比僅1.9%，顯示中研院花費高昂之經費維護資料庫之運作，其數據運用效益卻有待加強。臺灣人體生物資料庫具有重要之價值，理應投入學術及臨床應用，提供國人更好之醫學分析，中</w:t>
      </w:r>
      <w:r>
        <w:rPr>
          <w:rFonts w:ascii="標楷體" w:eastAsia="標楷體" w:hAnsi="標楷體" w:hint="eastAsia"/>
          <w:snapToGrid w:val="0"/>
          <w:sz w:val="32"/>
          <w:szCs w:val="32"/>
        </w:rPr>
        <w:t>央</w:t>
      </w:r>
      <w:r w:rsidRPr="006D0070">
        <w:rPr>
          <w:rFonts w:ascii="標楷體" w:eastAsia="標楷體" w:hAnsi="標楷體" w:hint="eastAsia"/>
          <w:snapToGrid w:val="0"/>
          <w:sz w:val="32"/>
          <w:szCs w:val="32"/>
        </w:rPr>
        <w:t>研</w:t>
      </w:r>
      <w:r>
        <w:rPr>
          <w:rFonts w:ascii="標楷體" w:eastAsia="標楷體" w:hAnsi="標楷體" w:hint="eastAsia"/>
          <w:snapToGrid w:val="0"/>
          <w:sz w:val="32"/>
          <w:szCs w:val="32"/>
        </w:rPr>
        <w:t>究</w:t>
      </w:r>
      <w:r w:rsidRPr="006D0070">
        <w:rPr>
          <w:rFonts w:ascii="標楷體" w:eastAsia="標楷體" w:hAnsi="標楷體" w:hint="eastAsia"/>
          <w:snapToGrid w:val="0"/>
          <w:sz w:val="32"/>
          <w:szCs w:val="32"/>
        </w:rPr>
        <w:t>院宜加強推廣民間將其投入相關醫學研究，以期加速我國醫療之發展</w:t>
      </w:r>
      <w:r>
        <w:rPr>
          <w:rFonts w:ascii="標楷體" w:eastAsia="標楷體" w:hAnsi="標楷體" w:hint="eastAsia"/>
          <w:snapToGrid w:val="0"/>
          <w:sz w:val="32"/>
          <w:szCs w:val="32"/>
        </w:rPr>
        <w:t>，並</w:t>
      </w:r>
      <w:r w:rsidRPr="006D0070">
        <w:rPr>
          <w:rFonts w:ascii="標楷體" w:eastAsia="標楷體" w:hAnsi="標楷體" w:hint="eastAsia"/>
          <w:snapToGrid w:val="0"/>
          <w:sz w:val="32"/>
          <w:szCs w:val="32"/>
        </w:rPr>
        <w:t>於3個月內</w:t>
      </w:r>
      <w:r>
        <w:rPr>
          <w:rFonts w:ascii="標楷體" w:eastAsia="標楷體" w:hAnsi="標楷體" w:hint="eastAsia"/>
          <w:snapToGrid w:val="0"/>
          <w:sz w:val="32"/>
          <w:szCs w:val="32"/>
        </w:rPr>
        <w:t>向</w:t>
      </w:r>
      <w:r w:rsidRPr="006D0070">
        <w:rPr>
          <w:rFonts w:ascii="標楷體" w:eastAsia="標楷體" w:hAnsi="標楷體" w:hint="eastAsia"/>
          <w:snapToGrid w:val="0"/>
          <w:sz w:val="32"/>
          <w:szCs w:val="32"/>
        </w:rPr>
        <w:t>立法院教育及文化委員會提出書面報告。</w:t>
      </w:r>
      <w:r>
        <w:rPr>
          <w:rFonts w:ascii="標楷體" w:eastAsia="標楷體" w:hAnsi="標楷體" w:hint="eastAsia"/>
          <w:snapToGrid w:val="0"/>
          <w:sz w:val="32"/>
          <w:szCs w:val="32"/>
        </w:rPr>
        <w:t>9</w:t>
      </w:r>
    </w:p>
    <w:p w:rsidR="00A52DD2" w:rsidRPr="00204F60" w:rsidRDefault="00A52DD2" w:rsidP="00F035E0">
      <w:pPr>
        <w:overflowPunct w:val="0"/>
        <w:spacing w:line="500" w:lineRule="exact"/>
        <w:ind w:leftChars="1250" w:left="3000"/>
        <w:jc w:val="both"/>
        <w:rPr>
          <w:rFonts w:ascii="標楷體" w:eastAsia="標楷體" w:hAnsi="標楷體"/>
          <w:snapToGrid w:val="0"/>
          <w:sz w:val="32"/>
          <w:szCs w:val="32"/>
        </w:rPr>
      </w:pPr>
      <w:r>
        <w:rPr>
          <w:rFonts w:ascii="標楷體" w:eastAsia="標楷體" w:hAnsi="標楷體" w:hint="eastAsia"/>
          <w:sz w:val="32"/>
          <w:szCs w:val="32"/>
        </w:rPr>
        <w:t>提案人：黃國書  林宜瑾  鄭正鈐</w:t>
      </w:r>
    </w:p>
    <w:p w:rsidR="00A52DD2" w:rsidRDefault="00A52DD2" w:rsidP="00F035E0">
      <w:pPr>
        <w:snapToGrid w:val="0"/>
        <w:spacing w:beforeLines="50" w:before="180" w:line="52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A52DD2" w:rsidRDefault="00A52DD2" w:rsidP="00F035E0">
      <w:pPr>
        <w:snapToGrid w:val="0"/>
        <w:spacing w:beforeLines="50" w:before="180" w:line="52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四、</w:t>
      </w:r>
      <w:r w:rsidRPr="001C5DBE">
        <w:rPr>
          <w:rFonts w:ascii="標楷體" w:eastAsia="標楷體" w:hAnsi="標楷體" w:hint="eastAsia"/>
          <w:bCs/>
          <w:sz w:val="32"/>
          <w:szCs w:val="32"/>
        </w:rPr>
        <w:t>在不影響文意前提下，授權議事人員依「112年度中央政府總預算案審查報告與黨團協商之範例」整理。</w:t>
      </w:r>
    </w:p>
    <w:p w:rsidR="00A52DD2" w:rsidRDefault="00A52DD2" w:rsidP="00F035E0">
      <w:pPr>
        <w:snapToGrid w:val="0"/>
        <w:spacing w:beforeLines="50" w:before="180" w:line="520" w:lineRule="exact"/>
        <w:ind w:left="640" w:hangingChars="200" w:hanging="640"/>
        <w:contextualSpacing/>
        <w:jc w:val="both"/>
        <w:rPr>
          <w:rFonts w:ascii="標楷體" w:eastAsia="標楷體" w:hAnsi="標楷體"/>
          <w:spacing w:val="-2"/>
          <w:position w:val="2"/>
          <w:sz w:val="32"/>
          <w:szCs w:val="32"/>
        </w:rPr>
      </w:pPr>
      <w:r>
        <w:rPr>
          <w:rFonts w:ascii="標楷體" w:eastAsia="標楷體" w:hAnsi="標楷體" w:hint="eastAsia"/>
          <w:bCs/>
          <w:sz w:val="32"/>
          <w:szCs w:val="32"/>
        </w:rPr>
        <w:t>五、</w:t>
      </w:r>
      <w:r w:rsidRPr="00E94241">
        <w:rPr>
          <w:rFonts w:ascii="標楷體" w:eastAsia="標楷體" w:hAnsi="標楷體" w:hint="eastAsia"/>
          <w:bCs/>
          <w:sz w:val="32"/>
          <w:szCs w:val="32"/>
        </w:rPr>
        <w:t>112年度中央政府總預算案有關中央研究院單位預算案及科學研究基金附屬單位預算案，</w:t>
      </w:r>
      <w:r>
        <w:rPr>
          <w:rFonts w:ascii="標楷體" w:eastAsia="標楷體" w:hAnsi="標楷體" w:hint="eastAsia"/>
          <w:bCs/>
          <w:sz w:val="32"/>
          <w:szCs w:val="32"/>
        </w:rPr>
        <w:t>全部審查完竣。</w:t>
      </w:r>
    </w:p>
    <w:p w:rsidR="00A52DD2" w:rsidRPr="00324B24" w:rsidRDefault="00A52DD2" w:rsidP="00F035E0">
      <w:pPr>
        <w:pStyle w:val="ac"/>
        <w:spacing w:line="460" w:lineRule="exact"/>
        <w:ind w:left="0" w:firstLine="0"/>
        <w:rPr>
          <w:rFonts w:cs="新細明體"/>
          <w:bCs/>
          <w:kern w:val="0"/>
          <w:sz w:val="32"/>
          <w:szCs w:val="32"/>
        </w:rPr>
      </w:pPr>
      <w:r w:rsidRPr="00595AAF">
        <w:rPr>
          <w:rFonts w:hAnsi="Times New Roman" w:hint="eastAsia"/>
          <w:sz w:val="32"/>
          <w:szCs w:val="32"/>
        </w:rPr>
        <w:t>（</w:t>
      </w:r>
      <w:r>
        <w:rPr>
          <w:rFonts w:hAnsi="Times New Roman" w:hint="eastAsia"/>
          <w:sz w:val="32"/>
          <w:szCs w:val="32"/>
        </w:rPr>
        <w:t>12</w:t>
      </w:r>
      <w:r w:rsidRPr="00595AAF">
        <w:rPr>
          <w:rFonts w:hAnsi="Times New Roman" w:hint="eastAsia"/>
          <w:sz w:val="32"/>
          <w:szCs w:val="32"/>
        </w:rPr>
        <w:t>月</w:t>
      </w:r>
      <w:r>
        <w:rPr>
          <w:rFonts w:hAnsi="Times New Roman" w:hint="eastAsia"/>
          <w:sz w:val="32"/>
          <w:szCs w:val="32"/>
        </w:rPr>
        <w:t>8日</w:t>
      </w:r>
      <w:r w:rsidRPr="00595AAF">
        <w:rPr>
          <w:rFonts w:hAnsi="Times New Roman" w:hint="eastAsia"/>
          <w:sz w:val="32"/>
          <w:szCs w:val="32"/>
        </w:rPr>
        <w:t>）</w:t>
      </w:r>
    </w:p>
    <w:p w:rsidR="00A52DD2" w:rsidRDefault="00A52DD2" w:rsidP="00F035E0">
      <w:pPr>
        <w:pStyle w:val="a4"/>
        <w:snapToGrid w:val="0"/>
        <w:spacing w:before="120" w:afterLines="50" w:after="180" w:line="460" w:lineRule="exact"/>
        <w:ind w:leftChars="0" w:left="0"/>
        <w:rPr>
          <w:rFonts w:ascii="標楷體" w:eastAsia="標楷體" w:hAnsi="標楷體"/>
          <w:b/>
          <w:sz w:val="32"/>
          <w:szCs w:val="32"/>
        </w:rPr>
      </w:pPr>
      <w:r w:rsidRPr="00AE0707">
        <w:rPr>
          <w:rFonts w:ascii="標楷體" w:eastAsia="標楷體" w:hAnsi="標楷體" w:hint="eastAsia"/>
          <w:b/>
          <w:sz w:val="32"/>
          <w:szCs w:val="32"/>
        </w:rPr>
        <w:t>討  論  事  項</w:t>
      </w:r>
    </w:p>
    <w:p w:rsidR="00A52DD2" w:rsidRPr="00E94241" w:rsidRDefault="00A52DD2" w:rsidP="006934DD">
      <w:pPr>
        <w:widowControl/>
        <w:numPr>
          <w:ilvl w:val="0"/>
          <w:numId w:val="40"/>
        </w:numPr>
        <w:snapToGrid w:val="0"/>
        <w:spacing w:before="120"/>
        <w:jc w:val="both"/>
        <w:rPr>
          <w:rFonts w:ascii="標楷體" w:eastAsia="標楷體" w:hAnsi="標楷體" w:cs="新細明體"/>
          <w:b/>
          <w:bCs/>
          <w:kern w:val="0"/>
          <w:sz w:val="32"/>
          <w:szCs w:val="32"/>
        </w:rPr>
      </w:pPr>
      <w:r w:rsidRPr="00E94241">
        <w:rPr>
          <w:rFonts w:ascii="標楷體" w:eastAsia="標楷體" w:hAnsi="標楷體" w:cs="新細明體" w:hint="eastAsia"/>
          <w:b/>
          <w:bCs/>
          <w:kern w:val="0"/>
          <w:sz w:val="32"/>
          <w:szCs w:val="32"/>
        </w:rPr>
        <w:t>繼續審查112年度中央政府總預算案有關國家科學及技術委員會與所屬單位預算案。</w:t>
      </w:r>
    </w:p>
    <w:p w:rsidR="00A52DD2" w:rsidRPr="00E94241" w:rsidRDefault="00A52DD2" w:rsidP="006934DD">
      <w:pPr>
        <w:widowControl/>
        <w:numPr>
          <w:ilvl w:val="0"/>
          <w:numId w:val="40"/>
        </w:numPr>
        <w:snapToGrid w:val="0"/>
        <w:spacing w:before="120"/>
        <w:jc w:val="both"/>
        <w:rPr>
          <w:rFonts w:ascii="標楷體" w:eastAsia="標楷體" w:hAnsi="標楷體" w:cs="新細明體"/>
          <w:b/>
          <w:bCs/>
          <w:kern w:val="0"/>
          <w:sz w:val="32"/>
          <w:szCs w:val="32"/>
        </w:rPr>
      </w:pPr>
      <w:r w:rsidRPr="00E94241">
        <w:rPr>
          <w:rFonts w:ascii="標楷體" w:eastAsia="標楷體" w:hAnsi="標楷體" w:cs="新細明體" w:hint="eastAsia"/>
          <w:b/>
          <w:bCs/>
          <w:kern w:val="0"/>
          <w:sz w:val="32"/>
          <w:szCs w:val="32"/>
        </w:rPr>
        <w:t>繼續審查112年度中央政府總預算案有關行政院主管行政院國家科學技術發展基金附屬單位預算案。</w:t>
      </w:r>
    </w:p>
    <w:p w:rsidR="00A52DD2" w:rsidRPr="00E94241" w:rsidRDefault="00A52DD2" w:rsidP="006934DD">
      <w:pPr>
        <w:widowControl/>
        <w:numPr>
          <w:ilvl w:val="0"/>
          <w:numId w:val="40"/>
        </w:numPr>
        <w:snapToGrid w:val="0"/>
        <w:spacing w:before="120"/>
        <w:jc w:val="both"/>
        <w:rPr>
          <w:rFonts w:ascii="標楷體" w:eastAsia="標楷體" w:hAnsi="標楷體" w:cs="新細明體"/>
          <w:b/>
          <w:bCs/>
          <w:kern w:val="0"/>
          <w:sz w:val="32"/>
          <w:szCs w:val="32"/>
        </w:rPr>
      </w:pPr>
      <w:r w:rsidRPr="00E94241">
        <w:rPr>
          <w:rFonts w:ascii="標楷體" w:eastAsia="標楷體" w:hAnsi="標楷體" w:cs="新細明體" w:hint="eastAsia"/>
          <w:b/>
          <w:bCs/>
          <w:kern w:val="0"/>
          <w:sz w:val="32"/>
          <w:szCs w:val="32"/>
        </w:rPr>
        <w:t>繼續審查112年度中央政府總預算案有關國家科學及技術委員會主管科學園區管理局作業基金附屬單位預算案。</w:t>
      </w:r>
    </w:p>
    <w:p w:rsidR="00A52DD2" w:rsidRPr="00E94241" w:rsidRDefault="00A52DD2" w:rsidP="006934DD">
      <w:pPr>
        <w:widowControl/>
        <w:numPr>
          <w:ilvl w:val="0"/>
          <w:numId w:val="40"/>
        </w:numPr>
        <w:snapToGrid w:val="0"/>
        <w:spacing w:before="120"/>
        <w:jc w:val="both"/>
        <w:rPr>
          <w:rFonts w:ascii="標楷體" w:eastAsia="標楷體" w:hAnsi="標楷體" w:cs="新細明體"/>
          <w:b/>
          <w:bCs/>
          <w:kern w:val="0"/>
          <w:sz w:val="32"/>
          <w:szCs w:val="32"/>
        </w:rPr>
      </w:pPr>
      <w:r w:rsidRPr="00E94241">
        <w:rPr>
          <w:rFonts w:ascii="標楷體" w:eastAsia="標楷體" w:hAnsi="標楷體" w:cs="新細明體" w:hint="eastAsia"/>
          <w:b/>
          <w:bCs/>
          <w:kern w:val="0"/>
          <w:sz w:val="32"/>
          <w:szCs w:val="32"/>
        </w:rPr>
        <w:t>繼續審查112年度行政法人國家災害防救科技中心預算案。</w:t>
      </w:r>
    </w:p>
    <w:p w:rsidR="00A52DD2" w:rsidRPr="0000524E" w:rsidRDefault="00A52DD2" w:rsidP="00F035E0">
      <w:pPr>
        <w:snapToGrid w:val="0"/>
        <w:spacing w:beforeLines="50" w:before="180" w:line="500" w:lineRule="exact"/>
        <w:ind w:left="641" w:hangingChars="200" w:hanging="641"/>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A52DD2" w:rsidRPr="00E94241" w:rsidRDefault="00A52DD2" w:rsidP="00F035E0">
      <w:pPr>
        <w:snapToGrid w:val="0"/>
        <w:spacing w:beforeLines="50" w:before="180" w:line="460" w:lineRule="exact"/>
        <w:ind w:left="640" w:hangingChars="200" w:hanging="640"/>
        <w:jc w:val="both"/>
        <w:rPr>
          <w:rFonts w:ascii="標楷體" w:eastAsia="標楷體" w:hAnsi="標楷體"/>
          <w:sz w:val="32"/>
          <w:szCs w:val="32"/>
        </w:rPr>
      </w:pPr>
      <w:r w:rsidRPr="00E94241">
        <w:rPr>
          <w:rFonts w:ascii="標楷體" w:eastAsia="標楷體" w:hAnsi="標楷體" w:hint="eastAsia"/>
          <w:bCs/>
          <w:sz w:val="32"/>
          <w:szCs w:val="32"/>
        </w:rPr>
        <w:lastRenderedPageBreak/>
        <w:t>一、</w:t>
      </w:r>
      <w:r w:rsidRPr="00E94241">
        <w:rPr>
          <w:rFonts w:ascii="標楷體" w:eastAsia="標楷體" w:hAnsi="標楷體" w:hint="eastAsia"/>
          <w:sz w:val="32"/>
          <w:szCs w:val="32"/>
        </w:rPr>
        <w:t>112年度中央政府總預算案有關國家科學及技術委員會及所屬單位預算案，審查完竣。審查結果如下：</w:t>
      </w:r>
    </w:p>
    <w:p w:rsidR="00A52DD2" w:rsidRPr="00E94241" w:rsidRDefault="00A52DD2" w:rsidP="00F035E0">
      <w:pPr>
        <w:snapToGrid w:val="0"/>
        <w:spacing w:beforeLines="50" w:before="180" w:line="460" w:lineRule="exact"/>
        <w:rPr>
          <w:rFonts w:ascii="標楷體" w:eastAsia="標楷體" w:hAnsi="標楷體"/>
          <w:sz w:val="32"/>
          <w:szCs w:val="32"/>
        </w:rPr>
      </w:pPr>
      <w:r w:rsidRPr="00E94241">
        <w:rPr>
          <w:rFonts w:ascii="標楷體" w:eastAsia="標楷體" w:hAnsi="標楷體"/>
          <w:sz w:val="32"/>
          <w:szCs w:val="32"/>
        </w:rPr>
        <w:t>歲入部分</w:t>
      </w:r>
    </w:p>
    <w:p w:rsidR="00A52DD2" w:rsidRPr="00E94241" w:rsidRDefault="00A52DD2" w:rsidP="00F035E0">
      <w:pPr>
        <w:snapToGrid w:val="0"/>
        <w:spacing w:beforeLines="50" w:before="180" w:line="460" w:lineRule="exact"/>
        <w:rPr>
          <w:rFonts w:ascii="標楷體" w:eastAsia="標楷體" w:hAnsi="標楷體"/>
          <w:sz w:val="32"/>
          <w:szCs w:val="32"/>
        </w:rPr>
      </w:pPr>
      <w:r w:rsidRPr="00E94241">
        <w:rPr>
          <w:rFonts w:ascii="標楷體" w:eastAsia="標楷體" w:hAnsi="標楷體"/>
          <w:sz w:val="32"/>
          <w:szCs w:val="32"/>
        </w:rPr>
        <w:t>第2款　罰款及賠償收入</w:t>
      </w:r>
    </w:p>
    <w:p w:rsidR="00A52DD2" w:rsidRPr="00E94241" w:rsidRDefault="00A52DD2" w:rsidP="00F035E0">
      <w:pPr>
        <w:snapToGrid w:val="0"/>
        <w:spacing w:before="50" w:line="500" w:lineRule="exact"/>
        <w:ind w:leftChars="100" w:left="1520" w:hangingChars="400" w:hanging="1280"/>
        <w:rPr>
          <w:rFonts w:ascii="標楷體" w:eastAsia="標楷體" w:hAnsi="標楷體"/>
          <w:sz w:val="32"/>
          <w:szCs w:val="32"/>
        </w:rPr>
      </w:pPr>
      <w:r w:rsidRPr="00E94241">
        <w:rPr>
          <w:rFonts w:ascii="標楷體" w:eastAsia="標楷體" w:hAnsi="標楷體" w:hint="eastAsia"/>
          <w:sz w:val="32"/>
          <w:szCs w:val="32"/>
        </w:rPr>
        <w:t>第209項　國家</w:t>
      </w:r>
      <w:r w:rsidRPr="00E94241">
        <w:rPr>
          <w:rFonts w:ascii="標楷體" w:eastAsia="標楷體" w:hAnsi="標楷體" w:hint="eastAsia"/>
          <w:color w:val="000000"/>
          <w:sz w:val="32"/>
          <w:szCs w:val="32"/>
        </w:rPr>
        <w:t>科學</w:t>
      </w:r>
      <w:r w:rsidRPr="00E94241">
        <w:rPr>
          <w:rFonts w:ascii="標楷體" w:eastAsia="標楷體" w:hAnsi="標楷體" w:hint="eastAsia"/>
          <w:sz w:val="32"/>
          <w:szCs w:val="32"/>
        </w:rPr>
        <w:t>及技術委員會1,934萬5千元，照列。</w:t>
      </w:r>
    </w:p>
    <w:p w:rsidR="00A52DD2" w:rsidRPr="00E94241" w:rsidRDefault="00A52DD2" w:rsidP="00F035E0">
      <w:pPr>
        <w:snapToGrid w:val="0"/>
        <w:spacing w:before="50" w:line="500" w:lineRule="exact"/>
        <w:ind w:leftChars="100" w:left="1840" w:hangingChars="500" w:hanging="1600"/>
        <w:jc w:val="both"/>
        <w:rPr>
          <w:rFonts w:ascii="標楷體" w:eastAsia="標楷體" w:hAnsi="標楷體"/>
          <w:sz w:val="32"/>
          <w:szCs w:val="32"/>
        </w:rPr>
      </w:pPr>
      <w:r w:rsidRPr="00881FFF">
        <w:rPr>
          <w:rFonts w:ascii="標楷體" w:eastAsia="標楷體" w:hAnsi="標楷體" w:hint="eastAsia"/>
          <w:sz w:val="32"/>
          <w:szCs w:val="32"/>
        </w:rPr>
        <w:t>第210項  新竹</w:t>
      </w:r>
      <w:r w:rsidRPr="00881FFF">
        <w:rPr>
          <w:rFonts w:ascii="標楷體" w:eastAsia="標楷體" w:hAnsi="標楷體" w:hint="eastAsia"/>
          <w:color w:val="000000"/>
          <w:sz w:val="32"/>
          <w:szCs w:val="32"/>
        </w:rPr>
        <w:t>科學</w:t>
      </w:r>
      <w:r w:rsidRPr="00881FFF">
        <w:rPr>
          <w:rFonts w:ascii="標楷體" w:eastAsia="標楷體" w:hAnsi="標楷體" w:hint="eastAsia"/>
          <w:sz w:val="32"/>
          <w:szCs w:val="32"/>
        </w:rPr>
        <w:t>園區管理局原列242萬6千元，增列第1目「罰金罰鍰及怠金」第1節「罰金罰鍰」60萬元，</w:t>
      </w:r>
      <w:r>
        <w:rPr>
          <w:rFonts w:ascii="標楷體" w:eastAsia="標楷體" w:hAnsi="標楷體" w:hint="eastAsia"/>
          <w:sz w:val="32"/>
          <w:szCs w:val="32"/>
        </w:rPr>
        <w:t>其餘均照列，</w:t>
      </w:r>
      <w:r w:rsidRPr="00881FFF">
        <w:rPr>
          <w:rFonts w:ascii="標楷體" w:eastAsia="標楷體" w:hAnsi="標楷體" w:hint="eastAsia"/>
          <w:sz w:val="32"/>
          <w:szCs w:val="32"/>
        </w:rPr>
        <w:t>改列為302萬6千元。</w:t>
      </w:r>
    </w:p>
    <w:p w:rsidR="00A52DD2" w:rsidRPr="00E94241" w:rsidRDefault="00A52DD2" w:rsidP="00F035E0">
      <w:pPr>
        <w:snapToGrid w:val="0"/>
        <w:spacing w:before="120" w:line="460" w:lineRule="exact"/>
        <w:ind w:leftChars="100" w:left="1888" w:hangingChars="515" w:hanging="1648"/>
        <w:rPr>
          <w:rFonts w:ascii="標楷體" w:eastAsia="標楷體" w:hAnsi="標楷體"/>
          <w:sz w:val="32"/>
          <w:szCs w:val="32"/>
        </w:rPr>
      </w:pPr>
      <w:r w:rsidRPr="00E94241">
        <w:rPr>
          <w:rFonts w:ascii="標楷體" w:eastAsia="標楷體" w:hAnsi="標楷體" w:hint="eastAsia"/>
          <w:sz w:val="32"/>
          <w:szCs w:val="32"/>
        </w:rPr>
        <w:t>第211項　中部科學園區管理局344萬元，照列。</w:t>
      </w:r>
    </w:p>
    <w:p w:rsidR="00A52DD2" w:rsidRPr="00E94241" w:rsidRDefault="00A52DD2" w:rsidP="00F035E0">
      <w:pPr>
        <w:snapToGrid w:val="0"/>
        <w:spacing w:before="120" w:line="460" w:lineRule="exact"/>
        <w:ind w:leftChars="100" w:left="1888" w:hangingChars="515" w:hanging="1648"/>
        <w:rPr>
          <w:rFonts w:ascii="標楷體" w:eastAsia="標楷體" w:hAnsi="標楷體"/>
          <w:sz w:val="32"/>
          <w:szCs w:val="32"/>
        </w:rPr>
      </w:pPr>
      <w:r w:rsidRPr="00E94241">
        <w:rPr>
          <w:rFonts w:ascii="標楷體" w:eastAsia="標楷體" w:hAnsi="標楷體" w:hint="eastAsia"/>
          <w:sz w:val="32"/>
          <w:szCs w:val="32"/>
        </w:rPr>
        <w:t>第212項　南部科學園區管理局349萬4千元，照列</w:t>
      </w:r>
      <w:r w:rsidRPr="00E94241">
        <w:rPr>
          <w:rFonts w:ascii="標楷體" w:eastAsia="標楷體" w:hAnsi="標楷體"/>
          <w:sz w:val="32"/>
          <w:szCs w:val="32"/>
        </w:rPr>
        <w:t>。</w:t>
      </w:r>
    </w:p>
    <w:p w:rsidR="00A52DD2" w:rsidRPr="00E94241" w:rsidRDefault="00A52DD2" w:rsidP="00F035E0">
      <w:pPr>
        <w:snapToGrid w:val="0"/>
        <w:spacing w:beforeLines="50" w:before="180" w:line="460" w:lineRule="exact"/>
        <w:rPr>
          <w:rFonts w:ascii="標楷體" w:eastAsia="標楷體" w:hAnsi="標楷體"/>
          <w:sz w:val="32"/>
          <w:szCs w:val="32"/>
        </w:rPr>
      </w:pPr>
      <w:r w:rsidRPr="00E94241">
        <w:rPr>
          <w:rFonts w:ascii="標楷體" w:eastAsia="標楷體" w:hAnsi="標楷體"/>
          <w:sz w:val="32"/>
          <w:szCs w:val="32"/>
        </w:rPr>
        <w:t>第3款　規費收入</w:t>
      </w:r>
    </w:p>
    <w:p w:rsidR="00A52DD2" w:rsidRPr="00881FFF" w:rsidRDefault="00A52DD2" w:rsidP="00F035E0">
      <w:pPr>
        <w:snapToGrid w:val="0"/>
        <w:spacing w:before="50" w:line="500" w:lineRule="exact"/>
        <w:ind w:leftChars="100" w:left="1840" w:hangingChars="500" w:hanging="1600"/>
        <w:jc w:val="both"/>
        <w:rPr>
          <w:rFonts w:ascii="標楷體" w:eastAsia="標楷體" w:hAnsi="標楷體"/>
          <w:sz w:val="32"/>
          <w:szCs w:val="32"/>
        </w:rPr>
      </w:pPr>
      <w:r w:rsidRPr="00881FFF">
        <w:rPr>
          <w:rFonts w:ascii="標楷體" w:eastAsia="標楷體" w:hAnsi="標楷體" w:hint="eastAsia"/>
          <w:sz w:val="32"/>
          <w:szCs w:val="32"/>
        </w:rPr>
        <w:t>第172項  新竹科學園區管理局原列</w:t>
      </w:r>
      <w:r w:rsidRPr="00881FFF">
        <w:rPr>
          <w:rFonts w:ascii="標楷體" w:eastAsia="標楷體" w:hAnsi="標楷體" w:hint="eastAsia"/>
          <w:color w:val="000000"/>
          <w:sz w:val="32"/>
        </w:rPr>
        <w:t>963萬4千元，增列第1目「行政規費收入」第2節「證照費」50萬元</w:t>
      </w:r>
      <w:r w:rsidRPr="00CB5B0C">
        <w:rPr>
          <w:rFonts w:ascii="標楷體" w:eastAsia="標楷體" w:hAnsi="標楷體" w:hint="eastAsia"/>
          <w:color w:val="000000"/>
          <w:sz w:val="32"/>
        </w:rPr>
        <w:t>，其餘均照列</w:t>
      </w:r>
      <w:r w:rsidRPr="00881FFF">
        <w:rPr>
          <w:rFonts w:ascii="標楷體" w:eastAsia="標楷體" w:hAnsi="標楷體" w:hint="eastAsia"/>
          <w:color w:val="000000"/>
          <w:sz w:val="32"/>
        </w:rPr>
        <w:t>，改列為1</w:t>
      </w:r>
      <w:r w:rsidRPr="00881FFF">
        <w:rPr>
          <w:rFonts w:ascii="標楷體" w:eastAsia="標楷體" w:hAnsi="標楷體"/>
          <w:color w:val="000000"/>
          <w:sz w:val="32"/>
        </w:rPr>
        <w:t>,</w:t>
      </w:r>
      <w:r w:rsidRPr="00881FFF">
        <w:rPr>
          <w:rFonts w:ascii="標楷體" w:eastAsia="標楷體" w:hAnsi="標楷體" w:hint="eastAsia"/>
          <w:color w:val="000000"/>
          <w:sz w:val="32"/>
        </w:rPr>
        <w:t>013萬4千元</w:t>
      </w:r>
      <w:r w:rsidRPr="00881FFF">
        <w:rPr>
          <w:rFonts w:ascii="標楷體" w:eastAsia="標楷體" w:hAnsi="標楷體" w:hint="eastAsia"/>
          <w:sz w:val="32"/>
          <w:szCs w:val="32"/>
        </w:rPr>
        <w:t>。</w:t>
      </w:r>
    </w:p>
    <w:p w:rsidR="00A52DD2" w:rsidRPr="00881FFF" w:rsidRDefault="00A52DD2" w:rsidP="00F035E0">
      <w:pPr>
        <w:snapToGrid w:val="0"/>
        <w:spacing w:before="120" w:line="460" w:lineRule="exact"/>
        <w:ind w:leftChars="100" w:left="1888" w:hangingChars="515" w:hanging="1648"/>
        <w:jc w:val="both"/>
        <w:rPr>
          <w:rFonts w:ascii="標楷體" w:eastAsia="標楷體" w:hAnsi="標楷體"/>
          <w:sz w:val="32"/>
          <w:szCs w:val="32"/>
        </w:rPr>
      </w:pPr>
      <w:r w:rsidRPr="00881FFF">
        <w:rPr>
          <w:rFonts w:ascii="標楷體" w:eastAsia="標楷體" w:hAnsi="標楷體" w:hint="eastAsia"/>
          <w:sz w:val="32"/>
          <w:szCs w:val="32"/>
        </w:rPr>
        <w:t>第173項　中部科學園區管理局原列321萬8千元，增列第1目「行政規費收入」第</w:t>
      </w:r>
      <w:r w:rsidRPr="00881FFF">
        <w:rPr>
          <w:rFonts w:ascii="標楷體" w:eastAsia="標楷體" w:hAnsi="標楷體"/>
          <w:sz w:val="32"/>
          <w:szCs w:val="32"/>
        </w:rPr>
        <w:t>3</w:t>
      </w:r>
      <w:r w:rsidRPr="00881FFF">
        <w:rPr>
          <w:rFonts w:ascii="標楷體" w:eastAsia="標楷體" w:hAnsi="標楷體" w:hint="eastAsia"/>
          <w:sz w:val="32"/>
          <w:szCs w:val="32"/>
        </w:rPr>
        <w:t>節「登記費」50萬元</w:t>
      </w:r>
      <w:r w:rsidRPr="00CB5B0C">
        <w:rPr>
          <w:rFonts w:ascii="標楷體" w:eastAsia="標楷體" w:hAnsi="標楷體" w:hint="eastAsia"/>
          <w:sz w:val="32"/>
          <w:szCs w:val="32"/>
        </w:rPr>
        <w:t>，其餘均照列</w:t>
      </w:r>
      <w:r w:rsidRPr="00881FFF">
        <w:rPr>
          <w:rFonts w:ascii="標楷體" w:eastAsia="標楷體" w:hAnsi="標楷體" w:hint="eastAsia"/>
          <w:sz w:val="32"/>
          <w:szCs w:val="32"/>
        </w:rPr>
        <w:t>，改列為371萬8千元。</w:t>
      </w:r>
    </w:p>
    <w:p w:rsidR="00A52DD2" w:rsidRPr="00881FFF" w:rsidRDefault="00A52DD2" w:rsidP="00F035E0">
      <w:pPr>
        <w:snapToGrid w:val="0"/>
        <w:spacing w:before="120" w:line="460" w:lineRule="exact"/>
        <w:ind w:leftChars="100" w:left="1888" w:hangingChars="515" w:hanging="1648"/>
        <w:rPr>
          <w:rFonts w:ascii="標楷體" w:eastAsia="標楷體" w:hAnsi="標楷體"/>
          <w:sz w:val="32"/>
          <w:szCs w:val="32"/>
        </w:rPr>
      </w:pPr>
      <w:r w:rsidRPr="00881FFF">
        <w:rPr>
          <w:rFonts w:ascii="標楷體" w:eastAsia="標楷體" w:hAnsi="標楷體" w:hint="eastAsia"/>
          <w:sz w:val="32"/>
          <w:szCs w:val="32"/>
        </w:rPr>
        <w:t>第174項　南部科學園區管理局原列562萬6千元，增列第1目「行政規費收入」第</w:t>
      </w:r>
      <w:r w:rsidRPr="00881FFF">
        <w:rPr>
          <w:rFonts w:ascii="標楷體" w:eastAsia="標楷體" w:hAnsi="標楷體"/>
          <w:sz w:val="32"/>
          <w:szCs w:val="32"/>
        </w:rPr>
        <w:t>2</w:t>
      </w:r>
      <w:r w:rsidRPr="00881FFF">
        <w:rPr>
          <w:rFonts w:ascii="標楷體" w:eastAsia="標楷體" w:hAnsi="標楷體" w:hint="eastAsia"/>
          <w:sz w:val="32"/>
          <w:szCs w:val="32"/>
        </w:rPr>
        <w:t>節「證照費」50萬元</w:t>
      </w:r>
      <w:r w:rsidRPr="00CB5B0C">
        <w:rPr>
          <w:rFonts w:ascii="標楷體" w:eastAsia="標楷體" w:hAnsi="標楷體" w:hint="eastAsia"/>
          <w:sz w:val="32"/>
          <w:szCs w:val="32"/>
        </w:rPr>
        <w:t>，其餘均照列</w:t>
      </w:r>
      <w:r w:rsidRPr="00881FFF">
        <w:rPr>
          <w:rFonts w:ascii="標楷體" w:eastAsia="標楷體" w:hAnsi="標楷體" w:hint="eastAsia"/>
          <w:sz w:val="32"/>
          <w:szCs w:val="32"/>
        </w:rPr>
        <w:t>，改列為612萬6千元</w:t>
      </w:r>
      <w:r w:rsidRPr="00881FFF">
        <w:rPr>
          <w:rFonts w:ascii="標楷體" w:eastAsia="標楷體" w:hAnsi="標楷體"/>
          <w:sz w:val="32"/>
          <w:szCs w:val="32"/>
        </w:rPr>
        <w:t>。</w:t>
      </w:r>
    </w:p>
    <w:p w:rsidR="00A52DD2" w:rsidRPr="00E94241" w:rsidRDefault="00A52DD2" w:rsidP="00F035E0">
      <w:pPr>
        <w:snapToGrid w:val="0"/>
        <w:spacing w:beforeLines="50" w:before="180" w:line="460" w:lineRule="exact"/>
        <w:rPr>
          <w:rFonts w:ascii="標楷體" w:eastAsia="標楷體" w:hAnsi="標楷體"/>
          <w:sz w:val="32"/>
          <w:szCs w:val="32"/>
        </w:rPr>
      </w:pPr>
      <w:r w:rsidRPr="00881FFF">
        <w:rPr>
          <w:rFonts w:ascii="標楷體" w:eastAsia="標楷體" w:hAnsi="標楷體"/>
          <w:sz w:val="32"/>
          <w:szCs w:val="32"/>
        </w:rPr>
        <w:t>第4款　財產收入</w:t>
      </w:r>
    </w:p>
    <w:p w:rsidR="00A52DD2" w:rsidRPr="00E94241" w:rsidRDefault="00A52DD2" w:rsidP="00F035E0">
      <w:pPr>
        <w:snapToGrid w:val="0"/>
        <w:spacing w:before="120" w:line="460" w:lineRule="exact"/>
        <w:ind w:leftChars="100" w:left="1888" w:hangingChars="515" w:hanging="1648"/>
        <w:rPr>
          <w:rFonts w:ascii="標楷體" w:eastAsia="標楷體" w:hAnsi="標楷體"/>
          <w:sz w:val="32"/>
          <w:szCs w:val="32"/>
        </w:rPr>
      </w:pPr>
      <w:r w:rsidRPr="00E94241">
        <w:rPr>
          <w:rFonts w:ascii="標楷體" w:eastAsia="標楷體" w:hAnsi="標楷體" w:hint="eastAsia"/>
          <w:sz w:val="32"/>
          <w:szCs w:val="32"/>
        </w:rPr>
        <w:t>第220項　國家科學及技術委員會1,202萬9千元，照列。</w:t>
      </w:r>
    </w:p>
    <w:p w:rsidR="00A52DD2" w:rsidRPr="00E94241" w:rsidRDefault="00A52DD2" w:rsidP="00F035E0">
      <w:pPr>
        <w:snapToGrid w:val="0"/>
        <w:spacing w:before="120" w:line="460" w:lineRule="exact"/>
        <w:ind w:leftChars="100" w:left="1888" w:hangingChars="515" w:hanging="1648"/>
        <w:rPr>
          <w:rFonts w:ascii="標楷體" w:eastAsia="標楷體" w:hAnsi="標楷體"/>
          <w:sz w:val="32"/>
          <w:szCs w:val="32"/>
        </w:rPr>
      </w:pPr>
      <w:r w:rsidRPr="00E94241">
        <w:rPr>
          <w:rFonts w:ascii="標楷體" w:eastAsia="標楷體" w:hAnsi="標楷體" w:hint="eastAsia"/>
          <w:sz w:val="32"/>
          <w:szCs w:val="32"/>
        </w:rPr>
        <w:t>第221項　新竹科學園區管理局1億7,524萬2千元，照列。</w:t>
      </w:r>
    </w:p>
    <w:p w:rsidR="00A52DD2" w:rsidRPr="00E94241" w:rsidRDefault="00A52DD2" w:rsidP="00F035E0">
      <w:pPr>
        <w:snapToGrid w:val="0"/>
        <w:spacing w:before="120" w:line="460" w:lineRule="exact"/>
        <w:ind w:leftChars="100" w:left="1888" w:hangingChars="515" w:hanging="1648"/>
        <w:rPr>
          <w:rFonts w:ascii="標楷體" w:eastAsia="標楷體" w:hAnsi="標楷體"/>
          <w:sz w:val="32"/>
          <w:szCs w:val="32"/>
        </w:rPr>
      </w:pPr>
      <w:r w:rsidRPr="00E94241">
        <w:rPr>
          <w:rFonts w:ascii="標楷體" w:eastAsia="標楷體" w:hAnsi="標楷體" w:hint="eastAsia"/>
          <w:sz w:val="32"/>
          <w:szCs w:val="32"/>
        </w:rPr>
        <w:t>第222項　中部科學園區管理局2萬5千元，照列。</w:t>
      </w:r>
    </w:p>
    <w:p w:rsidR="00A52DD2" w:rsidRPr="00E94241" w:rsidRDefault="00A52DD2" w:rsidP="00F035E0">
      <w:pPr>
        <w:snapToGrid w:val="0"/>
        <w:spacing w:before="120" w:line="460" w:lineRule="exact"/>
        <w:ind w:leftChars="100" w:left="1888" w:hangingChars="515" w:hanging="1648"/>
        <w:rPr>
          <w:rFonts w:ascii="標楷體" w:eastAsia="標楷體" w:hAnsi="標楷體"/>
          <w:sz w:val="32"/>
          <w:szCs w:val="32"/>
        </w:rPr>
      </w:pPr>
      <w:r w:rsidRPr="00E94241">
        <w:rPr>
          <w:rFonts w:ascii="標楷體" w:eastAsia="標楷體" w:hAnsi="標楷體" w:hint="eastAsia"/>
          <w:sz w:val="32"/>
          <w:szCs w:val="32"/>
        </w:rPr>
        <w:t>第223項　南部科學園區管理局21萬6千元，照列</w:t>
      </w:r>
      <w:r w:rsidRPr="00E94241">
        <w:rPr>
          <w:rFonts w:ascii="標楷體" w:eastAsia="標楷體" w:hAnsi="標楷體"/>
          <w:sz w:val="32"/>
          <w:szCs w:val="32"/>
        </w:rPr>
        <w:t>。</w:t>
      </w:r>
    </w:p>
    <w:p w:rsidR="00A52DD2" w:rsidRPr="00E94241" w:rsidRDefault="00A52DD2" w:rsidP="00F035E0">
      <w:pPr>
        <w:snapToGrid w:val="0"/>
        <w:spacing w:beforeLines="50" w:before="180" w:line="460" w:lineRule="exact"/>
        <w:rPr>
          <w:rFonts w:ascii="標楷體" w:eastAsia="標楷體" w:hAnsi="標楷體"/>
          <w:sz w:val="32"/>
          <w:szCs w:val="32"/>
        </w:rPr>
      </w:pPr>
      <w:r w:rsidRPr="00E94241">
        <w:rPr>
          <w:rFonts w:ascii="標楷體" w:eastAsia="標楷體" w:hAnsi="標楷體"/>
          <w:sz w:val="32"/>
          <w:szCs w:val="32"/>
        </w:rPr>
        <w:t>第7款　其他收入</w:t>
      </w:r>
    </w:p>
    <w:p w:rsidR="00A52DD2" w:rsidRPr="00E94241" w:rsidRDefault="00A52DD2" w:rsidP="00F035E0">
      <w:pPr>
        <w:snapToGrid w:val="0"/>
        <w:spacing w:before="120" w:line="460" w:lineRule="exact"/>
        <w:ind w:leftChars="100" w:left="1888" w:hangingChars="515" w:hanging="1648"/>
        <w:rPr>
          <w:rFonts w:ascii="標楷體" w:eastAsia="標楷體" w:hAnsi="標楷體"/>
          <w:sz w:val="32"/>
          <w:szCs w:val="32"/>
        </w:rPr>
      </w:pPr>
      <w:r w:rsidRPr="00E94241">
        <w:rPr>
          <w:rFonts w:ascii="標楷體" w:eastAsia="標楷體" w:hAnsi="標楷體" w:hint="eastAsia"/>
          <w:sz w:val="32"/>
          <w:szCs w:val="32"/>
        </w:rPr>
        <w:lastRenderedPageBreak/>
        <w:t>第215項　國家科學及技術委員會301萬1千元，照列。</w:t>
      </w:r>
    </w:p>
    <w:p w:rsidR="00A52DD2" w:rsidRPr="00E94241" w:rsidRDefault="00A52DD2" w:rsidP="00F035E0">
      <w:pPr>
        <w:snapToGrid w:val="0"/>
        <w:spacing w:before="120" w:line="460" w:lineRule="exact"/>
        <w:ind w:leftChars="100" w:left="1888" w:hangingChars="515" w:hanging="1648"/>
        <w:rPr>
          <w:rFonts w:ascii="標楷體" w:eastAsia="標楷體" w:hAnsi="標楷體"/>
          <w:sz w:val="32"/>
          <w:szCs w:val="32"/>
        </w:rPr>
      </w:pPr>
      <w:r w:rsidRPr="00E94241">
        <w:rPr>
          <w:rFonts w:ascii="標楷體" w:eastAsia="標楷體" w:hAnsi="標楷體" w:hint="eastAsia"/>
          <w:sz w:val="32"/>
          <w:szCs w:val="32"/>
        </w:rPr>
        <w:t>第216項　新竹科學園區管理局1萬7千元，照列。</w:t>
      </w:r>
    </w:p>
    <w:p w:rsidR="00A52DD2" w:rsidRPr="00E94241" w:rsidRDefault="00A52DD2" w:rsidP="00F035E0">
      <w:pPr>
        <w:snapToGrid w:val="0"/>
        <w:spacing w:before="120" w:line="460" w:lineRule="exact"/>
        <w:ind w:leftChars="100" w:left="1888" w:hangingChars="515" w:hanging="1648"/>
        <w:rPr>
          <w:rFonts w:ascii="標楷體" w:eastAsia="標楷體" w:hAnsi="標楷體"/>
          <w:sz w:val="32"/>
          <w:szCs w:val="32"/>
        </w:rPr>
      </w:pPr>
      <w:r w:rsidRPr="00E94241">
        <w:rPr>
          <w:rFonts w:ascii="標楷體" w:eastAsia="標楷體" w:hAnsi="標楷體" w:hint="eastAsia"/>
          <w:sz w:val="32"/>
          <w:szCs w:val="32"/>
        </w:rPr>
        <w:t>第217項　中部科學園區管理局7萬8千元，照列。</w:t>
      </w:r>
    </w:p>
    <w:p w:rsidR="00A52DD2" w:rsidRPr="00E94241" w:rsidRDefault="00A52DD2" w:rsidP="00F035E0">
      <w:pPr>
        <w:snapToGrid w:val="0"/>
        <w:spacing w:before="120" w:line="460" w:lineRule="exact"/>
        <w:ind w:leftChars="100" w:left="1888" w:hangingChars="515" w:hanging="1648"/>
        <w:rPr>
          <w:rFonts w:ascii="標楷體" w:eastAsia="標楷體" w:hAnsi="標楷體"/>
          <w:sz w:val="32"/>
          <w:szCs w:val="32"/>
        </w:rPr>
      </w:pPr>
      <w:r w:rsidRPr="00E94241">
        <w:rPr>
          <w:rFonts w:ascii="標楷體" w:eastAsia="標楷體" w:hAnsi="標楷體" w:hint="eastAsia"/>
          <w:sz w:val="32"/>
          <w:szCs w:val="32"/>
        </w:rPr>
        <w:t>第218項　南部科學園區管理局1萬4千元，照列</w:t>
      </w:r>
      <w:r w:rsidRPr="00E94241">
        <w:rPr>
          <w:rFonts w:ascii="標楷體" w:eastAsia="標楷體" w:hAnsi="標楷體"/>
          <w:sz w:val="32"/>
          <w:szCs w:val="32"/>
        </w:rPr>
        <w:t>。</w:t>
      </w:r>
    </w:p>
    <w:p w:rsidR="00A52DD2" w:rsidRPr="00E94241" w:rsidRDefault="00A52DD2" w:rsidP="00F035E0">
      <w:pPr>
        <w:snapToGrid w:val="0"/>
        <w:spacing w:beforeLines="50" w:before="180" w:line="460" w:lineRule="exact"/>
        <w:rPr>
          <w:rFonts w:ascii="標楷體" w:eastAsia="標楷體" w:hAnsi="標楷體"/>
          <w:sz w:val="32"/>
          <w:szCs w:val="32"/>
        </w:rPr>
      </w:pPr>
      <w:r w:rsidRPr="00E94241">
        <w:rPr>
          <w:rFonts w:ascii="標楷體" w:eastAsia="標楷體" w:hAnsi="標楷體"/>
          <w:sz w:val="32"/>
          <w:szCs w:val="32"/>
        </w:rPr>
        <w:t>歲出部分</w:t>
      </w:r>
    </w:p>
    <w:p w:rsidR="00A52DD2" w:rsidRPr="00E94241" w:rsidRDefault="00A52DD2" w:rsidP="00F035E0">
      <w:pPr>
        <w:snapToGrid w:val="0"/>
        <w:spacing w:beforeLines="50" w:before="180" w:line="460" w:lineRule="exact"/>
        <w:rPr>
          <w:rFonts w:ascii="標楷體" w:eastAsia="標楷體" w:hAnsi="標楷體"/>
          <w:sz w:val="32"/>
          <w:szCs w:val="32"/>
        </w:rPr>
      </w:pPr>
      <w:r w:rsidRPr="00E94241">
        <w:rPr>
          <w:rFonts w:ascii="標楷體" w:eastAsia="標楷體" w:hAnsi="標楷體"/>
          <w:sz w:val="32"/>
          <w:szCs w:val="32"/>
        </w:rPr>
        <w:t>第2</w:t>
      </w:r>
      <w:r w:rsidRPr="00E94241">
        <w:rPr>
          <w:rFonts w:ascii="標楷體" w:eastAsia="標楷體" w:hAnsi="標楷體" w:hint="eastAsia"/>
          <w:sz w:val="32"/>
          <w:szCs w:val="32"/>
        </w:rPr>
        <w:t>3</w:t>
      </w:r>
      <w:r w:rsidRPr="00E94241">
        <w:rPr>
          <w:rFonts w:ascii="標楷體" w:eastAsia="標楷體" w:hAnsi="標楷體"/>
          <w:sz w:val="32"/>
          <w:szCs w:val="32"/>
        </w:rPr>
        <w:t xml:space="preserve">款　</w:t>
      </w:r>
      <w:r w:rsidRPr="00E94241">
        <w:rPr>
          <w:rFonts w:ascii="標楷體" w:eastAsia="標楷體" w:hAnsi="標楷體" w:hint="eastAsia"/>
          <w:sz w:val="32"/>
          <w:szCs w:val="32"/>
        </w:rPr>
        <w:t>國家科學及技術委員會</w:t>
      </w:r>
      <w:r w:rsidRPr="00E94241">
        <w:rPr>
          <w:rFonts w:ascii="標楷體" w:eastAsia="標楷體" w:hAnsi="標楷體"/>
          <w:sz w:val="32"/>
          <w:szCs w:val="32"/>
        </w:rPr>
        <w:t>主管</w:t>
      </w:r>
    </w:p>
    <w:p w:rsidR="00A52DD2" w:rsidRPr="00E94241" w:rsidRDefault="00A52DD2" w:rsidP="00F035E0">
      <w:pPr>
        <w:snapToGrid w:val="0"/>
        <w:spacing w:beforeLines="50" w:before="180" w:line="460" w:lineRule="exact"/>
        <w:ind w:leftChars="100" w:left="1520" w:hangingChars="400" w:hanging="1280"/>
        <w:jc w:val="both"/>
        <w:rPr>
          <w:rFonts w:ascii="標楷體" w:eastAsia="標楷體" w:hAnsi="標楷體"/>
          <w:snapToGrid w:val="0"/>
          <w:sz w:val="32"/>
          <w:szCs w:val="32"/>
        </w:rPr>
      </w:pPr>
      <w:r w:rsidRPr="00E94241">
        <w:rPr>
          <w:rFonts w:ascii="標楷體" w:eastAsia="標楷體" w:hAnsi="標楷體"/>
          <w:snapToGrid w:val="0"/>
          <w:sz w:val="32"/>
          <w:szCs w:val="32"/>
        </w:rPr>
        <w:t xml:space="preserve">第1項　</w:t>
      </w:r>
      <w:r w:rsidRPr="00832EEC">
        <w:rPr>
          <w:rFonts w:ascii="標楷體" w:eastAsia="標楷體" w:hAnsi="標楷體" w:hint="eastAsia"/>
          <w:snapToGrid w:val="0"/>
          <w:sz w:val="32"/>
          <w:szCs w:val="32"/>
        </w:rPr>
        <w:t>國家科學及技術委員會原列515億7,854萬3千元，除第6目「非營業特種基金」第1節「國家科學技術發展基金」</w:t>
      </w:r>
      <w:r w:rsidRPr="00832EEC">
        <w:rPr>
          <w:rFonts w:ascii="標楷體" w:eastAsia="標楷體" w:hAnsi="標楷體" w:hint="eastAsia"/>
          <w:sz w:val="32"/>
          <w:szCs w:val="40"/>
        </w:rPr>
        <w:t>396億3,321萬1千元</w:t>
      </w:r>
      <w:r w:rsidRPr="00832EEC">
        <w:rPr>
          <w:rFonts w:ascii="標楷體" w:eastAsia="標楷體" w:hAnsi="標楷體" w:hint="eastAsia"/>
          <w:snapToGrid w:val="0"/>
          <w:sz w:val="32"/>
          <w:szCs w:val="32"/>
        </w:rPr>
        <w:t>，暫照列，俟所屬非營業特種基金審議確定，再行調整外，其餘均照列。</w:t>
      </w:r>
    </w:p>
    <w:p w:rsidR="00A52DD2" w:rsidRPr="00E94241" w:rsidRDefault="00A52DD2" w:rsidP="00F035E0">
      <w:pPr>
        <w:snapToGrid w:val="0"/>
        <w:spacing w:beforeLines="50" w:before="180" w:line="460" w:lineRule="exact"/>
        <w:ind w:leftChars="100" w:left="1558" w:hangingChars="412" w:hanging="1318"/>
        <w:rPr>
          <w:rFonts w:ascii="標楷體" w:eastAsia="標楷體" w:hAnsi="標楷體"/>
          <w:snapToGrid w:val="0"/>
          <w:sz w:val="32"/>
          <w:szCs w:val="32"/>
        </w:rPr>
      </w:pPr>
      <w:r w:rsidRPr="00FA4CA2">
        <w:rPr>
          <w:rFonts w:ascii="標楷體" w:eastAsia="標楷體" w:hAnsi="標楷體" w:hint="eastAsia"/>
          <w:snapToGrid w:val="0"/>
          <w:sz w:val="32"/>
          <w:szCs w:val="32"/>
        </w:rPr>
        <w:t>本項通過決議91項：</w:t>
      </w:r>
    </w:p>
    <w:p w:rsidR="00A52DD2" w:rsidRPr="00E94241"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E94241">
        <w:rPr>
          <w:rFonts w:ascii="標楷體" w:eastAsia="標楷體" w:hAnsi="標楷體" w:hint="eastAsia"/>
          <w:snapToGrid w:val="0"/>
          <w:sz w:val="32"/>
          <w:szCs w:val="32"/>
        </w:rPr>
        <w:t>(一)</w:t>
      </w:r>
      <w:r w:rsidRPr="00E94241">
        <w:rPr>
          <w:rFonts w:ascii="標楷體" w:eastAsia="標楷體" w:hAnsi="標楷體"/>
          <w:snapToGrid w:val="0"/>
          <w:sz w:val="32"/>
          <w:szCs w:val="32"/>
        </w:rPr>
        <w:t>11</w:t>
      </w:r>
      <w:r w:rsidRPr="00E94241">
        <w:rPr>
          <w:rFonts w:ascii="標楷體" w:eastAsia="標楷體" w:hAnsi="標楷體" w:hint="eastAsia"/>
          <w:snapToGrid w:val="0"/>
          <w:sz w:val="32"/>
          <w:szCs w:val="32"/>
        </w:rPr>
        <w:t>2年度</w:t>
      </w:r>
      <w:r w:rsidRPr="00E94241">
        <w:rPr>
          <w:rFonts w:ascii="標楷體" w:eastAsia="標楷體" w:hAnsi="標楷體" w:hint="eastAsia"/>
          <w:sz w:val="32"/>
          <w:szCs w:val="32"/>
        </w:rPr>
        <w:t>國家科學及技術委員會</w:t>
      </w:r>
      <w:r w:rsidRPr="00E94241">
        <w:rPr>
          <w:rFonts w:ascii="標楷體" w:eastAsia="標楷體" w:hAnsi="標楷體" w:hint="eastAsia"/>
          <w:snapToGrid w:val="0"/>
          <w:sz w:val="32"/>
          <w:szCs w:val="32"/>
        </w:rPr>
        <w:t>第</w:t>
      </w:r>
      <w:r>
        <w:rPr>
          <w:rFonts w:ascii="標楷體" w:eastAsia="標楷體" w:hAnsi="標楷體"/>
          <w:snapToGrid w:val="0"/>
          <w:sz w:val="32"/>
          <w:szCs w:val="32"/>
        </w:rPr>
        <w:t>1</w:t>
      </w:r>
      <w:r w:rsidRPr="00E94241">
        <w:rPr>
          <w:rFonts w:ascii="標楷體" w:eastAsia="標楷體" w:hAnsi="標楷體" w:hint="eastAsia"/>
          <w:snapToGrid w:val="0"/>
          <w:sz w:val="32"/>
          <w:szCs w:val="32"/>
        </w:rPr>
        <w:t>目「</w:t>
      </w:r>
      <w:r>
        <w:rPr>
          <w:rFonts w:ascii="標楷體" w:eastAsia="標楷體" w:hAnsi="標楷體" w:hint="eastAsia"/>
          <w:snapToGrid w:val="0"/>
          <w:sz w:val="32"/>
          <w:szCs w:val="32"/>
        </w:rPr>
        <w:t>一般行政</w:t>
      </w:r>
      <w:r w:rsidRPr="00E94241">
        <w:rPr>
          <w:rFonts w:ascii="標楷體" w:eastAsia="標楷體" w:hAnsi="標楷體" w:hint="eastAsia"/>
          <w:snapToGrid w:val="0"/>
          <w:sz w:val="32"/>
          <w:szCs w:val="32"/>
        </w:rPr>
        <w:t>」預算編列</w:t>
      </w:r>
      <w:r w:rsidRPr="002A5C35">
        <w:rPr>
          <w:rFonts w:ascii="標楷體" w:eastAsia="標楷體" w:hAnsi="標楷體" w:hint="eastAsia"/>
          <w:snapToGrid w:val="0"/>
          <w:sz w:val="32"/>
          <w:szCs w:val="32"/>
        </w:rPr>
        <w:t>5億</w:t>
      </w:r>
      <w:r w:rsidRPr="002A5C35">
        <w:rPr>
          <w:rFonts w:ascii="標楷體" w:eastAsia="標楷體" w:hAnsi="標楷體"/>
          <w:snapToGrid w:val="0"/>
          <w:sz w:val="32"/>
          <w:szCs w:val="32"/>
        </w:rPr>
        <w:t>7</w:t>
      </w:r>
      <w:r w:rsidRPr="002A5C35">
        <w:rPr>
          <w:rFonts w:ascii="標楷體" w:eastAsia="標楷體" w:hAnsi="標楷體" w:hint="eastAsia"/>
          <w:snapToGrid w:val="0"/>
          <w:sz w:val="32"/>
          <w:szCs w:val="32"/>
        </w:rPr>
        <w:t>,</w:t>
      </w:r>
      <w:r w:rsidRPr="002A5C35">
        <w:rPr>
          <w:rFonts w:ascii="標楷體" w:eastAsia="標楷體" w:hAnsi="標楷體"/>
          <w:snapToGrid w:val="0"/>
          <w:sz w:val="32"/>
          <w:szCs w:val="32"/>
        </w:rPr>
        <w:t>406</w:t>
      </w:r>
      <w:r w:rsidRPr="002A5C35">
        <w:rPr>
          <w:rFonts w:ascii="標楷體" w:eastAsia="標楷體" w:hAnsi="標楷體" w:hint="eastAsia"/>
          <w:snapToGrid w:val="0"/>
          <w:sz w:val="32"/>
          <w:szCs w:val="32"/>
        </w:rPr>
        <w:t>萬4千元，凍結1,000萬元</w:t>
      </w:r>
      <w:r w:rsidRPr="00E94241">
        <w:rPr>
          <w:rFonts w:ascii="標楷體" w:eastAsia="標楷體" w:hAnsi="標楷體" w:hint="eastAsia"/>
          <w:snapToGrid w:val="0"/>
          <w:sz w:val="32"/>
          <w:szCs w:val="32"/>
        </w:rPr>
        <w:t>，俟</w:t>
      </w:r>
      <w:r w:rsidRPr="00E94241">
        <w:rPr>
          <w:rFonts w:ascii="標楷體" w:eastAsia="標楷體" w:hAnsi="標楷體" w:hint="eastAsia"/>
          <w:sz w:val="32"/>
          <w:szCs w:val="32"/>
        </w:rPr>
        <w:t>國家科學及技術委員會</w:t>
      </w:r>
      <w:r w:rsidRPr="00E94241">
        <w:rPr>
          <w:rFonts w:ascii="標楷體" w:eastAsia="標楷體" w:hAnsi="標楷體" w:hint="eastAsia"/>
          <w:snapToGrid w:val="0"/>
          <w:sz w:val="32"/>
          <w:szCs w:val="32"/>
        </w:rPr>
        <w:t>向立法院教育及文化委員會提出書面報告後，始得動支。</w:t>
      </w:r>
      <w:r>
        <w:rPr>
          <w:rFonts w:ascii="標楷體" w:eastAsia="標楷體" w:hAnsi="標楷體" w:hint="eastAsia"/>
          <w:snapToGrid w:val="0"/>
          <w:sz w:val="32"/>
          <w:szCs w:val="32"/>
        </w:rPr>
        <w:t>2-15</w:t>
      </w:r>
    </w:p>
    <w:p w:rsidR="00A52DD2"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萬美玲  賴品妤  鄭正鈐  吳思瑤</w:t>
      </w:r>
    </w:p>
    <w:p w:rsidR="00A52DD2" w:rsidRDefault="00A52DD2" w:rsidP="00F035E0">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陳秀寳  范  雲  吳怡玎  黃國書</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林宜瑾  何欣純  張廖萬堅</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林奕華</w:t>
      </w:r>
    </w:p>
    <w:p w:rsidR="00A52DD2" w:rsidRPr="00E94241"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E94241">
        <w:rPr>
          <w:rFonts w:ascii="標楷體" w:eastAsia="標楷體" w:hAnsi="標楷體" w:hint="eastAsia"/>
          <w:snapToGrid w:val="0"/>
          <w:sz w:val="32"/>
          <w:szCs w:val="32"/>
        </w:rPr>
        <w:t>(二)</w:t>
      </w:r>
      <w:r w:rsidRPr="00E94241">
        <w:rPr>
          <w:rFonts w:ascii="標楷體" w:eastAsia="標楷體" w:hAnsi="標楷體"/>
          <w:snapToGrid w:val="0"/>
          <w:sz w:val="32"/>
          <w:szCs w:val="32"/>
        </w:rPr>
        <w:t>11</w:t>
      </w:r>
      <w:r w:rsidRPr="00E94241">
        <w:rPr>
          <w:rFonts w:ascii="標楷體" w:eastAsia="標楷體" w:hAnsi="標楷體" w:hint="eastAsia"/>
          <w:snapToGrid w:val="0"/>
          <w:sz w:val="32"/>
          <w:szCs w:val="32"/>
        </w:rPr>
        <w:t>2年度</w:t>
      </w:r>
      <w:r w:rsidRPr="00E94241">
        <w:rPr>
          <w:rFonts w:ascii="標楷體" w:eastAsia="標楷體" w:hAnsi="標楷體" w:hint="eastAsia"/>
          <w:sz w:val="32"/>
          <w:szCs w:val="32"/>
        </w:rPr>
        <w:t>國家科學及技術委員會</w:t>
      </w:r>
      <w:r w:rsidRPr="00E94241">
        <w:rPr>
          <w:rFonts w:ascii="標楷體" w:eastAsia="標楷體" w:hAnsi="標楷體" w:hint="eastAsia"/>
          <w:snapToGrid w:val="0"/>
          <w:sz w:val="32"/>
          <w:szCs w:val="32"/>
        </w:rPr>
        <w:t>第</w:t>
      </w:r>
      <w:r>
        <w:rPr>
          <w:rFonts w:ascii="標楷體" w:eastAsia="標楷體" w:hAnsi="標楷體" w:hint="eastAsia"/>
          <w:snapToGrid w:val="0"/>
          <w:sz w:val="32"/>
          <w:szCs w:val="32"/>
        </w:rPr>
        <w:t>3</w:t>
      </w:r>
      <w:r w:rsidRPr="00E94241">
        <w:rPr>
          <w:rFonts w:ascii="標楷體" w:eastAsia="標楷體" w:hAnsi="標楷體" w:hint="eastAsia"/>
          <w:snapToGrid w:val="0"/>
          <w:sz w:val="32"/>
          <w:szCs w:val="32"/>
        </w:rPr>
        <w:t>目「</w:t>
      </w:r>
      <w:r>
        <w:rPr>
          <w:rFonts w:ascii="標楷體" w:eastAsia="標楷體" w:hAnsi="標楷體" w:hint="eastAsia"/>
          <w:snapToGrid w:val="0"/>
          <w:sz w:val="32"/>
          <w:szCs w:val="32"/>
        </w:rPr>
        <w:t>國家太空中心發展計畫</w:t>
      </w:r>
      <w:r w:rsidRPr="00E94241">
        <w:rPr>
          <w:rFonts w:ascii="標楷體" w:eastAsia="標楷體" w:hAnsi="標楷體" w:hint="eastAsia"/>
          <w:snapToGrid w:val="0"/>
          <w:sz w:val="32"/>
          <w:szCs w:val="32"/>
        </w:rPr>
        <w:t>」預算編列</w:t>
      </w:r>
      <w:r w:rsidRPr="002A5C35">
        <w:rPr>
          <w:rFonts w:ascii="標楷體" w:eastAsia="標楷體" w:hAnsi="標楷體" w:hint="eastAsia"/>
          <w:snapToGrid w:val="0"/>
          <w:sz w:val="32"/>
          <w:szCs w:val="32"/>
        </w:rPr>
        <w:t>5</w:t>
      </w:r>
      <w:r>
        <w:rPr>
          <w:rFonts w:ascii="標楷體" w:eastAsia="標楷體" w:hAnsi="標楷體"/>
          <w:snapToGrid w:val="0"/>
          <w:sz w:val="32"/>
          <w:szCs w:val="32"/>
        </w:rPr>
        <w:t>5</w:t>
      </w:r>
      <w:r w:rsidRPr="002A5C35">
        <w:rPr>
          <w:rFonts w:ascii="標楷體" w:eastAsia="標楷體" w:hAnsi="標楷體" w:hint="eastAsia"/>
          <w:snapToGrid w:val="0"/>
          <w:sz w:val="32"/>
          <w:szCs w:val="32"/>
        </w:rPr>
        <w:t>億</w:t>
      </w:r>
      <w:r>
        <w:rPr>
          <w:rFonts w:ascii="標楷體" w:eastAsia="標楷體" w:hAnsi="標楷體"/>
          <w:snapToGrid w:val="0"/>
          <w:sz w:val="32"/>
          <w:szCs w:val="32"/>
        </w:rPr>
        <w:t>3</w:t>
      </w:r>
      <w:r w:rsidRPr="002A5C35">
        <w:rPr>
          <w:rFonts w:ascii="標楷體" w:eastAsia="標楷體" w:hAnsi="標楷體" w:hint="eastAsia"/>
          <w:snapToGrid w:val="0"/>
          <w:sz w:val="32"/>
          <w:szCs w:val="32"/>
        </w:rPr>
        <w:t>,</w:t>
      </w:r>
      <w:r>
        <w:rPr>
          <w:rFonts w:ascii="標楷體" w:eastAsia="標楷體" w:hAnsi="標楷體"/>
          <w:snapToGrid w:val="0"/>
          <w:sz w:val="32"/>
          <w:szCs w:val="32"/>
        </w:rPr>
        <w:t>023</w:t>
      </w:r>
      <w:r w:rsidRPr="002A5C35">
        <w:rPr>
          <w:rFonts w:ascii="標楷體" w:eastAsia="標楷體" w:hAnsi="標楷體" w:hint="eastAsia"/>
          <w:snapToGrid w:val="0"/>
          <w:sz w:val="32"/>
          <w:szCs w:val="32"/>
        </w:rPr>
        <w:t>萬元，凍結</w:t>
      </w:r>
      <w:r>
        <w:rPr>
          <w:rFonts w:ascii="標楷體" w:eastAsia="標楷體" w:hAnsi="標楷體" w:hint="eastAsia"/>
          <w:snapToGrid w:val="0"/>
          <w:sz w:val="32"/>
          <w:szCs w:val="32"/>
        </w:rPr>
        <w:t>5</w:t>
      </w:r>
      <w:r w:rsidRPr="002A5C35">
        <w:rPr>
          <w:rFonts w:ascii="標楷體" w:eastAsia="標楷體" w:hAnsi="標楷體" w:hint="eastAsia"/>
          <w:snapToGrid w:val="0"/>
          <w:sz w:val="32"/>
          <w:szCs w:val="32"/>
        </w:rPr>
        <w:t>,000萬元</w:t>
      </w:r>
      <w:r w:rsidRPr="00E94241">
        <w:rPr>
          <w:rFonts w:ascii="標楷體" w:eastAsia="標楷體" w:hAnsi="標楷體" w:hint="eastAsia"/>
          <w:snapToGrid w:val="0"/>
          <w:sz w:val="32"/>
          <w:szCs w:val="32"/>
        </w:rPr>
        <w:t>，俟</w:t>
      </w:r>
      <w:r w:rsidRPr="00E94241">
        <w:rPr>
          <w:rFonts w:ascii="標楷體" w:eastAsia="標楷體" w:hAnsi="標楷體" w:hint="eastAsia"/>
          <w:sz w:val="32"/>
          <w:szCs w:val="32"/>
        </w:rPr>
        <w:t>國家科學及技術委員會</w:t>
      </w:r>
      <w:r w:rsidRPr="00E94241">
        <w:rPr>
          <w:rFonts w:ascii="標楷體" w:eastAsia="標楷體" w:hAnsi="標楷體" w:hint="eastAsia"/>
          <w:snapToGrid w:val="0"/>
          <w:sz w:val="32"/>
          <w:szCs w:val="32"/>
        </w:rPr>
        <w:t>向立法院教育及文化委員會提出書面報告後，始得動支。</w:t>
      </w:r>
      <w:r>
        <w:rPr>
          <w:rFonts w:ascii="標楷體" w:eastAsia="標楷體" w:hAnsi="標楷體" w:hint="eastAsia"/>
          <w:snapToGrid w:val="0"/>
          <w:sz w:val="32"/>
          <w:szCs w:val="32"/>
        </w:rPr>
        <w:t>2</w:t>
      </w:r>
      <w:r>
        <w:rPr>
          <w:rFonts w:ascii="標楷體" w:eastAsia="標楷體" w:hAnsi="標楷體"/>
          <w:snapToGrid w:val="0"/>
          <w:sz w:val="32"/>
          <w:szCs w:val="32"/>
        </w:rPr>
        <w:t>7-48</w:t>
      </w:r>
    </w:p>
    <w:p w:rsidR="00A52DD2"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林宜瑾  吳思瑤  陳秀寳  范  雲</w:t>
      </w:r>
    </w:p>
    <w:p w:rsidR="00A52DD2" w:rsidRDefault="00A52DD2" w:rsidP="00F035E0">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林奕華  何欣純  黃國書 張廖萬堅</w:t>
      </w:r>
    </w:p>
    <w:p w:rsidR="00A52DD2" w:rsidRPr="00ED1CFB" w:rsidRDefault="00A52DD2" w:rsidP="00F035E0">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萬美玲  吳怡玎  鄭正鈐 高金素梅</w:t>
      </w:r>
    </w:p>
    <w:p w:rsidR="00A52DD2"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賴品妤</w:t>
      </w:r>
    </w:p>
    <w:p w:rsidR="00A52DD2" w:rsidRPr="00E94241"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lastRenderedPageBreak/>
        <w:t>(三)</w:t>
      </w:r>
      <w:r w:rsidRPr="00E94241">
        <w:rPr>
          <w:rFonts w:ascii="標楷體" w:eastAsia="標楷體" w:hAnsi="標楷體"/>
          <w:snapToGrid w:val="0"/>
          <w:sz w:val="32"/>
          <w:szCs w:val="32"/>
        </w:rPr>
        <w:t>11</w:t>
      </w:r>
      <w:r w:rsidRPr="00E94241">
        <w:rPr>
          <w:rFonts w:ascii="標楷體" w:eastAsia="標楷體" w:hAnsi="標楷體" w:hint="eastAsia"/>
          <w:snapToGrid w:val="0"/>
          <w:sz w:val="32"/>
          <w:szCs w:val="32"/>
        </w:rPr>
        <w:t>2年度</w:t>
      </w:r>
      <w:r w:rsidRPr="00E94241">
        <w:rPr>
          <w:rFonts w:ascii="標楷體" w:eastAsia="標楷體" w:hAnsi="標楷體" w:hint="eastAsia"/>
          <w:sz w:val="32"/>
          <w:szCs w:val="32"/>
        </w:rPr>
        <w:t>國家科學及技術委員會</w:t>
      </w:r>
      <w:r w:rsidRPr="00E94241">
        <w:rPr>
          <w:rFonts w:ascii="標楷體" w:eastAsia="標楷體" w:hAnsi="標楷體" w:hint="eastAsia"/>
          <w:snapToGrid w:val="0"/>
          <w:sz w:val="32"/>
          <w:szCs w:val="32"/>
        </w:rPr>
        <w:t>第</w:t>
      </w:r>
      <w:r>
        <w:rPr>
          <w:rFonts w:ascii="標楷體" w:eastAsia="標楷體" w:hAnsi="標楷體"/>
          <w:snapToGrid w:val="0"/>
          <w:sz w:val="32"/>
          <w:szCs w:val="32"/>
        </w:rPr>
        <w:t>4</w:t>
      </w:r>
      <w:r w:rsidRPr="00E94241">
        <w:rPr>
          <w:rFonts w:ascii="標楷體" w:eastAsia="標楷體" w:hAnsi="標楷體" w:hint="eastAsia"/>
          <w:snapToGrid w:val="0"/>
          <w:sz w:val="32"/>
          <w:szCs w:val="32"/>
        </w:rPr>
        <w:t>目「</w:t>
      </w:r>
      <w:r>
        <w:rPr>
          <w:rFonts w:ascii="標楷體" w:eastAsia="標楷體" w:hAnsi="標楷體" w:hint="eastAsia"/>
          <w:snapToGrid w:val="0"/>
          <w:sz w:val="32"/>
          <w:szCs w:val="32"/>
        </w:rPr>
        <w:t>財團法人國家實驗研究院發展計畫</w:t>
      </w:r>
      <w:r w:rsidRPr="00E94241">
        <w:rPr>
          <w:rFonts w:ascii="標楷體" w:eastAsia="標楷體" w:hAnsi="標楷體" w:hint="eastAsia"/>
          <w:snapToGrid w:val="0"/>
          <w:sz w:val="32"/>
          <w:szCs w:val="32"/>
        </w:rPr>
        <w:t>」預算編列</w:t>
      </w:r>
      <w:r>
        <w:rPr>
          <w:rFonts w:ascii="標楷體" w:eastAsia="標楷體" w:hAnsi="標楷體"/>
          <w:snapToGrid w:val="0"/>
          <w:sz w:val="32"/>
          <w:szCs w:val="32"/>
        </w:rPr>
        <w:t>35</w:t>
      </w:r>
      <w:r w:rsidRPr="002A5C35">
        <w:rPr>
          <w:rFonts w:ascii="標楷體" w:eastAsia="標楷體" w:hAnsi="標楷體" w:hint="eastAsia"/>
          <w:snapToGrid w:val="0"/>
          <w:sz w:val="32"/>
          <w:szCs w:val="32"/>
        </w:rPr>
        <w:t>億</w:t>
      </w:r>
      <w:r>
        <w:rPr>
          <w:rFonts w:ascii="標楷體" w:eastAsia="標楷體" w:hAnsi="標楷體"/>
          <w:snapToGrid w:val="0"/>
          <w:sz w:val="32"/>
          <w:szCs w:val="32"/>
        </w:rPr>
        <w:t>6</w:t>
      </w:r>
      <w:r w:rsidRPr="002A5C35">
        <w:rPr>
          <w:rFonts w:ascii="標楷體" w:eastAsia="標楷體" w:hAnsi="標楷體" w:hint="eastAsia"/>
          <w:snapToGrid w:val="0"/>
          <w:sz w:val="32"/>
          <w:szCs w:val="32"/>
        </w:rPr>
        <w:t>,</w:t>
      </w:r>
      <w:r>
        <w:rPr>
          <w:rFonts w:ascii="標楷體" w:eastAsia="標楷體" w:hAnsi="標楷體"/>
          <w:snapToGrid w:val="0"/>
          <w:sz w:val="32"/>
          <w:szCs w:val="32"/>
        </w:rPr>
        <w:t>444</w:t>
      </w:r>
      <w:r w:rsidRPr="002A5C35">
        <w:rPr>
          <w:rFonts w:ascii="標楷體" w:eastAsia="標楷體" w:hAnsi="標楷體" w:hint="eastAsia"/>
          <w:snapToGrid w:val="0"/>
          <w:sz w:val="32"/>
          <w:szCs w:val="32"/>
        </w:rPr>
        <w:t>萬</w:t>
      </w:r>
      <w:r>
        <w:rPr>
          <w:rFonts w:ascii="標楷體" w:eastAsia="標楷體" w:hAnsi="標楷體" w:hint="eastAsia"/>
          <w:snapToGrid w:val="0"/>
          <w:sz w:val="32"/>
          <w:szCs w:val="32"/>
        </w:rPr>
        <w:t>3千</w:t>
      </w:r>
      <w:r w:rsidRPr="002A5C35">
        <w:rPr>
          <w:rFonts w:ascii="標楷體" w:eastAsia="標楷體" w:hAnsi="標楷體" w:hint="eastAsia"/>
          <w:snapToGrid w:val="0"/>
          <w:sz w:val="32"/>
          <w:szCs w:val="32"/>
        </w:rPr>
        <w:t>元，凍結</w:t>
      </w:r>
      <w:r>
        <w:rPr>
          <w:rFonts w:ascii="標楷體" w:eastAsia="標楷體" w:hAnsi="標楷體" w:hint="eastAsia"/>
          <w:snapToGrid w:val="0"/>
          <w:sz w:val="32"/>
          <w:szCs w:val="32"/>
        </w:rPr>
        <w:t>3</w:t>
      </w:r>
      <w:r w:rsidRPr="002A5C35">
        <w:rPr>
          <w:rFonts w:ascii="標楷體" w:eastAsia="標楷體" w:hAnsi="標楷體" w:hint="eastAsia"/>
          <w:snapToGrid w:val="0"/>
          <w:sz w:val="32"/>
          <w:szCs w:val="32"/>
        </w:rPr>
        <w:t>,000萬元</w:t>
      </w:r>
      <w:r w:rsidRPr="00E94241">
        <w:rPr>
          <w:rFonts w:ascii="標楷體" w:eastAsia="標楷體" w:hAnsi="標楷體" w:hint="eastAsia"/>
          <w:snapToGrid w:val="0"/>
          <w:sz w:val="32"/>
          <w:szCs w:val="32"/>
        </w:rPr>
        <w:t>，俟</w:t>
      </w:r>
      <w:r w:rsidRPr="00E94241">
        <w:rPr>
          <w:rFonts w:ascii="標楷體" w:eastAsia="標楷體" w:hAnsi="標楷體" w:hint="eastAsia"/>
          <w:sz w:val="32"/>
          <w:szCs w:val="32"/>
        </w:rPr>
        <w:t>國家科學及技術委員會</w:t>
      </w:r>
      <w:r w:rsidRPr="00E94241">
        <w:rPr>
          <w:rFonts w:ascii="標楷體" w:eastAsia="標楷體" w:hAnsi="標楷體" w:hint="eastAsia"/>
          <w:snapToGrid w:val="0"/>
          <w:sz w:val="32"/>
          <w:szCs w:val="32"/>
        </w:rPr>
        <w:t>向立法院教育及文化委員會提出書面報告後，始得動支。</w:t>
      </w:r>
      <w:r>
        <w:rPr>
          <w:rFonts w:ascii="標楷體" w:eastAsia="標楷體" w:hAnsi="標楷體" w:hint="eastAsia"/>
          <w:snapToGrid w:val="0"/>
          <w:sz w:val="32"/>
          <w:szCs w:val="32"/>
        </w:rPr>
        <w:t>4</w:t>
      </w:r>
      <w:r>
        <w:rPr>
          <w:rFonts w:ascii="標楷體" w:eastAsia="標楷體" w:hAnsi="標楷體"/>
          <w:snapToGrid w:val="0"/>
          <w:sz w:val="32"/>
          <w:szCs w:val="32"/>
        </w:rPr>
        <w:t>9-65</w:t>
      </w:r>
    </w:p>
    <w:p w:rsidR="00A52DD2"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吳思瑤  陳秀寳  林奕華  黃國書</w:t>
      </w:r>
    </w:p>
    <w:p w:rsidR="00A52DD2" w:rsidRDefault="00A52DD2" w:rsidP="00F035E0">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林宜瑾  萬美玲  何欣純 張廖萬堅</w:t>
      </w:r>
    </w:p>
    <w:p w:rsidR="00A52DD2" w:rsidRPr="00ED1CFB" w:rsidRDefault="00A52DD2" w:rsidP="00F035E0">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鄭正鈐</w:t>
      </w:r>
    </w:p>
    <w:p w:rsidR="00A52DD2"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賴品妤  范  雲  吳怡玎</w:t>
      </w:r>
    </w:p>
    <w:p w:rsidR="00A52DD2" w:rsidRPr="00881FFF"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(四</w:t>
      </w:r>
      <w:r w:rsidRPr="00881FFF">
        <w:rPr>
          <w:rFonts w:ascii="標楷體" w:eastAsia="標楷體" w:hAnsi="標楷體" w:hint="eastAsia"/>
          <w:snapToGrid w:val="0"/>
          <w:sz w:val="32"/>
          <w:szCs w:val="32"/>
        </w:rPr>
        <w:t>)</w:t>
      </w:r>
      <w:r w:rsidRPr="00881FFF">
        <w:rPr>
          <w:rFonts w:ascii="標楷體" w:eastAsia="標楷體" w:hAnsi="標楷體"/>
          <w:snapToGrid w:val="0"/>
          <w:sz w:val="32"/>
          <w:szCs w:val="32"/>
        </w:rPr>
        <w:t>11</w:t>
      </w:r>
      <w:r w:rsidRPr="00881FFF">
        <w:rPr>
          <w:rFonts w:ascii="標楷體" w:eastAsia="標楷體" w:hAnsi="標楷體" w:hint="eastAsia"/>
          <w:snapToGrid w:val="0"/>
          <w:sz w:val="32"/>
          <w:szCs w:val="32"/>
        </w:rPr>
        <w:t>2年度</w:t>
      </w:r>
      <w:r w:rsidRPr="00881FFF">
        <w:rPr>
          <w:rFonts w:ascii="標楷體" w:eastAsia="標楷體" w:hAnsi="標楷體" w:hint="eastAsia"/>
          <w:sz w:val="32"/>
          <w:szCs w:val="32"/>
        </w:rPr>
        <w:t>國家科學及技術委員會</w:t>
      </w:r>
      <w:r w:rsidRPr="00881FFF">
        <w:rPr>
          <w:rFonts w:ascii="標楷體" w:eastAsia="標楷體" w:hAnsi="標楷體" w:hint="eastAsia"/>
          <w:snapToGrid w:val="0"/>
          <w:sz w:val="32"/>
          <w:szCs w:val="32"/>
        </w:rPr>
        <w:t>第</w:t>
      </w:r>
      <w:r w:rsidRPr="00881FFF">
        <w:rPr>
          <w:rFonts w:ascii="標楷體" w:eastAsia="標楷體" w:hAnsi="標楷體"/>
          <w:snapToGrid w:val="0"/>
          <w:sz w:val="32"/>
          <w:szCs w:val="32"/>
        </w:rPr>
        <w:t>5</w:t>
      </w:r>
      <w:r w:rsidRPr="00881FFF">
        <w:rPr>
          <w:rFonts w:ascii="標楷體" w:eastAsia="標楷體" w:hAnsi="標楷體" w:hint="eastAsia"/>
          <w:snapToGrid w:val="0"/>
          <w:sz w:val="32"/>
          <w:szCs w:val="32"/>
        </w:rPr>
        <w:t>目「財團法人國家同步輻射研究中心發展計畫」預算編列</w:t>
      </w:r>
      <w:r w:rsidRPr="00881FFF">
        <w:rPr>
          <w:rFonts w:ascii="標楷體" w:eastAsia="標楷體" w:hAnsi="標楷體"/>
          <w:snapToGrid w:val="0"/>
          <w:sz w:val="32"/>
          <w:szCs w:val="32"/>
        </w:rPr>
        <w:t>20</w:t>
      </w:r>
      <w:r w:rsidRPr="00881FFF">
        <w:rPr>
          <w:rFonts w:ascii="標楷體" w:eastAsia="標楷體" w:hAnsi="標楷體" w:hint="eastAsia"/>
          <w:snapToGrid w:val="0"/>
          <w:sz w:val="32"/>
          <w:szCs w:val="32"/>
        </w:rPr>
        <w:t>億</w:t>
      </w:r>
      <w:r w:rsidRPr="00881FFF">
        <w:rPr>
          <w:rFonts w:ascii="標楷體" w:eastAsia="標楷體" w:hAnsi="標楷體"/>
          <w:snapToGrid w:val="0"/>
          <w:sz w:val="32"/>
          <w:szCs w:val="32"/>
        </w:rPr>
        <w:t>2</w:t>
      </w:r>
      <w:r w:rsidRPr="00881FFF">
        <w:rPr>
          <w:rFonts w:ascii="標楷體" w:eastAsia="標楷體" w:hAnsi="標楷體" w:hint="eastAsia"/>
          <w:snapToGrid w:val="0"/>
          <w:sz w:val="32"/>
          <w:szCs w:val="32"/>
        </w:rPr>
        <w:t>,</w:t>
      </w:r>
      <w:r w:rsidRPr="00881FFF">
        <w:rPr>
          <w:rFonts w:ascii="標楷體" w:eastAsia="標楷體" w:hAnsi="標楷體"/>
          <w:snapToGrid w:val="0"/>
          <w:sz w:val="32"/>
          <w:szCs w:val="32"/>
        </w:rPr>
        <w:t>208</w:t>
      </w:r>
      <w:r w:rsidRPr="00881FFF">
        <w:rPr>
          <w:rFonts w:ascii="標楷體" w:eastAsia="標楷體" w:hAnsi="標楷體" w:hint="eastAsia"/>
          <w:snapToGrid w:val="0"/>
          <w:sz w:val="32"/>
          <w:szCs w:val="32"/>
        </w:rPr>
        <w:t>萬</w:t>
      </w:r>
      <w:r w:rsidRPr="00881FFF">
        <w:rPr>
          <w:rFonts w:ascii="標楷體" w:eastAsia="標楷體" w:hAnsi="標楷體"/>
          <w:snapToGrid w:val="0"/>
          <w:sz w:val="32"/>
          <w:szCs w:val="32"/>
        </w:rPr>
        <w:t>5</w:t>
      </w:r>
      <w:r w:rsidRPr="00881FFF">
        <w:rPr>
          <w:rFonts w:ascii="標楷體" w:eastAsia="標楷體" w:hAnsi="標楷體" w:hint="eastAsia"/>
          <w:snapToGrid w:val="0"/>
          <w:sz w:val="32"/>
          <w:szCs w:val="32"/>
        </w:rPr>
        <w:t>千元，凍結500萬元，俟</w:t>
      </w:r>
      <w:r w:rsidRPr="00881FFF">
        <w:rPr>
          <w:rFonts w:ascii="標楷體" w:eastAsia="標楷體" w:hAnsi="標楷體" w:hint="eastAsia"/>
          <w:sz w:val="32"/>
          <w:szCs w:val="32"/>
        </w:rPr>
        <w:t>國家科學及技術委員會</w:t>
      </w:r>
      <w:r w:rsidRPr="00881FFF">
        <w:rPr>
          <w:rFonts w:ascii="標楷體" w:eastAsia="標楷體" w:hAnsi="標楷體" w:hint="eastAsia"/>
          <w:snapToGrid w:val="0"/>
          <w:sz w:val="32"/>
          <w:szCs w:val="32"/>
        </w:rPr>
        <w:t>向立法院教育及文化委員會提出書面報告後，始得動支。66-77</w:t>
      </w:r>
    </w:p>
    <w:p w:rsidR="00A52DD2" w:rsidRDefault="00A52DD2" w:rsidP="00F035E0">
      <w:pPr>
        <w:snapToGrid w:val="0"/>
        <w:spacing w:line="460" w:lineRule="exact"/>
        <w:ind w:leftChars="1250" w:left="4280" w:hangingChars="400" w:hanging="1280"/>
        <w:jc w:val="both"/>
        <w:rPr>
          <w:rFonts w:ascii="標楷體" w:eastAsia="標楷體" w:hAnsi="標楷體"/>
          <w:sz w:val="32"/>
          <w:szCs w:val="32"/>
        </w:rPr>
      </w:pPr>
      <w:r w:rsidRPr="00881FFF">
        <w:rPr>
          <w:rFonts w:ascii="標楷體" w:eastAsia="標楷體" w:hAnsi="標楷體" w:hint="eastAsia"/>
          <w:sz w:val="32"/>
          <w:szCs w:val="32"/>
        </w:rPr>
        <w:t>提案人：萬</w:t>
      </w:r>
      <w:r>
        <w:rPr>
          <w:rFonts w:ascii="標楷體" w:eastAsia="標楷體" w:hAnsi="標楷體" w:hint="eastAsia"/>
          <w:sz w:val="32"/>
          <w:szCs w:val="32"/>
        </w:rPr>
        <w:t>美玲  林宜瑾  吳思瑤  陳秀寳</w:t>
      </w:r>
    </w:p>
    <w:p w:rsidR="00A52DD2" w:rsidRDefault="00A52DD2" w:rsidP="00F035E0">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何欣純  林奕華  黃國書 張廖萬堅</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鄭正鈐</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 xml:space="preserve">吳怡玎  賴品妤  范  雲  </w:t>
      </w:r>
    </w:p>
    <w:p w:rsidR="00A52DD2" w:rsidRPr="00881FFF"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(五</w:t>
      </w:r>
      <w:r w:rsidRPr="00881FFF">
        <w:rPr>
          <w:rFonts w:ascii="標楷體" w:eastAsia="標楷體" w:hAnsi="標楷體" w:hint="eastAsia"/>
          <w:snapToGrid w:val="0"/>
          <w:sz w:val="32"/>
          <w:szCs w:val="32"/>
        </w:rPr>
        <w:t>)</w:t>
      </w:r>
      <w:r w:rsidRPr="00881FFF">
        <w:rPr>
          <w:rFonts w:ascii="標楷體" w:eastAsia="標楷體" w:hAnsi="標楷體"/>
          <w:snapToGrid w:val="0"/>
          <w:sz w:val="32"/>
          <w:szCs w:val="32"/>
        </w:rPr>
        <w:t>11</w:t>
      </w:r>
      <w:r w:rsidRPr="00881FFF">
        <w:rPr>
          <w:rFonts w:ascii="標楷體" w:eastAsia="標楷體" w:hAnsi="標楷體" w:hint="eastAsia"/>
          <w:snapToGrid w:val="0"/>
          <w:sz w:val="32"/>
          <w:szCs w:val="32"/>
        </w:rPr>
        <w:t>2年度</w:t>
      </w:r>
      <w:r w:rsidRPr="00881FFF">
        <w:rPr>
          <w:rFonts w:ascii="標楷體" w:eastAsia="標楷體" w:hAnsi="標楷體" w:hint="eastAsia"/>
          <w:sz w:val="32"/>
          <w:szCs w:val="32"/>
        </w:rPr>
        <w:t>國家科學及技術委員會</w:t>
      </w:r>
      <w:r w:rsidRPr="00881FFF">
        <w:rPr>
          <w:rFonts w:ascii="標楷體" w:eastAsia="標楷體" w:hAnsi="標楷體" w:hint="eastAsia"/>
          <w:snapToGrid w:val="0"/>
          <w:sz w:val="32"/>
          <w:szCs w:val="32"/>
        </w:rPr>
        <w:t>第6目「非營業特種基金」預算編列396億3,321萬1千元，凍結</w:t>
      </w:r>
      <w:r w:rsidRPr="00881FFF">
        <w:rPr>
          <w:rFonts w:ascii="標楷體" w:eastAsia="標楷體" w:hAnsi="標楷體"/>
          <w:snapToGrid w:val="0"/>
          <w:sz w:val="32"/>
          <w:szCs w:val="32"/>
        </w:rPr>
        <w:t>7,0</w:t>
      </w:r>
      <w:r w:rsidRPr="00881FFF">
        <w:rPr>
          <w:rFonts w:ascii="標楷體" w:eastAsia="標楷體" w:hAnsi="標楷體" w:hint="eastAsia"/>
          <w:snapToGrid w:val="0"/>
          <w:sz w:val="32"/>
          <w:szCs w:val="32"/>
        </w:rPr>
        <w:t>00萬元，俟</w:t>
      </w:r>
      <w:r w:rsidRPr="00881FFF">
        <w:rPr>
          <w:rFonts w:ascii="標楷體" w:eastAsia="標楷體" w:hAnsi="標楷體" w:hint="eastAsia"/>
          <w:sz w:val="32"/>
          <w:szCs w:val="32"/>
        </w:rPr>
        <w:t>國家科學及技術委員會</w:t>
      </w:r>
      <w:r w:rsidRPr="00881FFF">
        <w:rPr>
          <w:rFonts w:ascii="標楷體" w:eastAsia="標楷體" w:hAnsi="標楷體" w:hint="eastAsia"/>
          <w:snapToGrid w:val="0"/>
          <w:sz w:val="32"/>
          <w:szCs w:val="32"/>
        </w:rPr>
        <w:t>向立法院教育及文化委員會提出書面報告後，始得動支。78-114</w:t>
      </w:r>
    </w:p>
    <w:p w:rsidR="00A52DD2" w:rsidRPr="00881FFF" w:rsidRDefault="00A52DD2" w:rsidP="00F035E0">
      <w:pPr>
        <w:snapToGrid w:val="0"/>
        <w:spacing w:line="460" w:lineRule="exact"/>
        <w:ind w:leftChars="1250" w:left="4280" w:hangingChars="400" w:hanging="1280"/>
        <w:jc w:val="both"/>
        <w:rPr>
          <w:rFonts w:ascii="標楷體" w:eastAsia="標楷體" w:hAnsi="標楷體"/>
          <w:sz w:val="32"/>
          <w:szCs w:val="32"/>
        </w:rPr>
      </w:pPr>
      <w:r w:rsidRPr="00881FFF">
        <w:rPr>
          <w:rFonts w:ascii="標楷體" w:eastAsia="標楷體" w:hAnsi="標楷體" w:hint="eastAsia"/>
          <w:sz w:val="32"/>
          <w:szCs w:val="32"/>
        </w:rPr>
        <w:t>提案人：吳怡玎  鄭正鈐  萬美玲  陳秀寳</w:t>
      </w:r>
    </w:p>
    <w:p w:rsidR="00A52DD2" w:rsidRPr="00881FFF" w:rsidRDefault="00A52DD2" w:rsidP="00F035E0">
      <w:pPr>
        <w:snapToGrid w:val="0"/>
        <w:spacing w:line="460" w:lineRule="exact"/>
        <w:ind w:leftChars="1250" w:left="4280" w:hangingChars="400" w:hanging="1280"/>
        <w:jc w:val="both"/>
        <w:rPr>
          <w:rFonts w:ascii="標楷體" w:eastAsia="標楷體" w:hAnsi="標楷體"/>
          <w:sz w:val="32"/>
          <w:szCs w:val="32"/>
        </w:rPr>
      </w:pPr>
      <w:r w:rsidRPr="00881FFF">
        <w:rPr>
          <w:rFonts w:ascii="標楷體" w:eastAsia="標楷體" w:hAnsi="標楷體" w:hint="eastAsia"/>
          <w:sz w:val="32"/>
          <w:szCs w:val="32"/>
        </w:rPr>
        <w:t xml:space="preserve">        林奕華  王婉諭  吳思瑤  林宜瑾</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881FFF">
        <w:rPr>
          <w:rFonts w:ascii="標楷體" w:eastAsia="標楷體" w:hAnsi="標楷體" w:hint="eastAsia"/>
          <w:sz w:val="32"/>
          <w:szCs w:val="32"/>
        </w:rPr>
        <w:t xml:space="preserve">        賴品妤  黃國</w:t>
      </w:r>
      <w:r>
        <w:rPr>
          <w:rFonts w:ascii="標楷體" w:eastAsia="標楷體" w:hAnsi="標楷體" w:hint="eastAsia"/>
          <w:sz w:val="32"/>
          <w:szCs w:val="32"/>
        </w:rPr>
        <w:t xml:space="preserve">書  林宜瑾 張廖萬堅        </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范  雲</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sidRPr="00E94241">
        <w:rPr>
          <w:rFonts w:ascii="標楷體" w:eastAsia="標楷體" w:hAnsi="標楷體" w:hint="eastAsia"/>
          <w:snapToGrid w:val="0"/>
          <w:sz w:val="32"/>
          <w:szCs w:val="32"/>
        </w:rPr>
        <w:t>(</w:t>
      </w:r>
      <w:r>
        <w:rPr>
          <w:rFonts w:ascii="標楷體" w:eastAsia="標楷體" w:hAnsi="標楷體" w:hint="eastAsia"/>
          <w:snapToGrid w:val="0"/>
          <w:sz w:val="32"/>
          <w:szCs w:val="32"/>
        </w:rPr>
        <w:t>六</w:t>
      </w:r>
      <w:r w:rsidRPr="00E94241">
        <w:rPr>
          <w:rFonts w:ascii="標楷體" w:eastAsia="標楷體" w:hAnsi="標楷體" w:hint="eastAsia"/>
          <w:snapToGrid w:val="0"/>
          <w:sz w:val="32"/>
          <w:szCs w:val="32"/>
        </w:rPr>
        <w:t>)</w:t>
      </w:r>
      <w:r w:rsidRPr="00535340">
        <w:rPr>
          <w:rFonts w:ascii="標楷體" w:eastAsia="標楷體" w:hAnsi="標楷體" w:hint="eastAsia"/>
          <w:sz w:val="32"/>
          <w:szCs w:val="32"/>
        </w:rPr>
        <w:t>氣候變遷對人類社會及自然環境造成的影響愈來愈嚴重，全球各地的極端天氣事件導致破紀錄的災害，高溫、暴雨漸漸成為日常。聯合國氣候變遷小組 (IPCC)於2021至2022年間發布第6次評估報告 (AR6)，嚴正提醒氣候變遷已經比預期</w:t>
      </w:r>
      <w:r w:rsidRPr="00535340">
        <w:rPr>
          <w:rFonts w:ascii="標楷體" w:eastAsia="標楷體" w:hAnsi="標楷體" w:hint="eastAsia"/>
          <w:sz w:val="32"/>
          <w:szCs w:val="32"/>
        </w:rPr>
        <w:lastRenderedPageBreak/>
        <w:t>的還要更廣泛且嚴重，未來10年內，我們會面臨非常重大、無可避免的影響。為了解一地氣候變化的趨勢，以及對各領域所造成的風險，氣候變遷科學研究是關鍵基礎，包括自然科學、社會科學、模式模擬、衝擊分析及因應對策等。爰此，請國家科學及技術委員會針對氣候變遷調適科學研究課題與治理任務，以及所需科技預算等，協調行政院環境保護署、中央研究院或其他研究中心等相關業務主責部會，整合與規劃跨部會研究能量，以建立面臨氣候變遷挑戰議題的科學研究生態圈。115</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提案人：吳思瑤  賴品妤  范  雲  洪申翰</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(七)</w:t>
      </w:r>
      <w:r w:rsidRPr="00535340">
        <w:rPr>
          <w:rFonts w:ascii="標楷體" w:eastAsia="標楷體" w:hAnsi="標楷體" w:hint="eastAsia"/>
          <w:sz w:val="32"/>
          <w:szCs w:val="32"/>
        </w:rPr>
        <w:t>台灣自101年起推動氣候變遷調適政策已屆10年，若細究第1期及第2期國家氣候變遷調適行動計畫及各部會提出之成果報告，便會發現大多數的部會缺乏對調適概念的理解及認識，且尚未發展出能夠落實衝擊評估與風險分析的方法學，導致所提出之調適計畫多為部會原有之業務計畫加上「調適」名稱，反而造成目標錯置及不當調適。國家科學及技術委員會於111年推動4年期「建構面對氣候緊急狀態下之韌性臺灣」中程綱要計畫，系統性建構氣候緊急狀態下之韌性臺灣永續發展策略，其中氣候變遷調適應為關鍵政策，111年更逢第3期「國家氣候變遷調適行動計畫（112至117年）」制訂，應把握國際轉型趨勢及因應氣候變遷的決心，重行檢視調適政策，在氣候風險不斷升高的同時，提升</w:t>
      </w:r>
      <w:r>
        <w:rPr>
          <w:rFonts w:ascii="標楷體" w:eastAsia="標楷體" w:hAnsi="標楷體" w:hint="eastAsia"/>
          <w:sz w:val="32"/>
          <w:szCs w:val="32"/>
        </w:rPr>
        <w:t>臺</w:t>
      </w:r>
      <w:r w:rsidRPr="00535340">
        <w:rPr>
          <w:rFonts w:ascii="標楷體" w:eastAsia="標楷體" w:hAnsi="標楷體" w:hint="eastAsia"/>
          <w:sz w:val="32"/>
          <w:szCs w:val="32"/>
        </w:rPr>
        <w:t>灣的韌性。爰此，請國家科學</w:t>
      </w:r>
      <w:r>
        <w:rPr>
          <w:rFonts w:ascii="標楷體" w:eastAsia="標楷體" w:hAnsi="標楷體" w:hint="eastAsia"/>
          <w:sz w:val="32"/>
          <w:szCs w:val="32"/>
        </w:rPr>
        <w:t>及</w:t>
      </w:r>
      <w:r w:rsidRPr="00535340">
        <w:rPr>
          <w:rFonts w:ascii="標楷體" w:eastAsia="標楷體" w:hAnsi="標楷體" w:hint="eastAsia"/>
          <w:sz w:val="32"/>
          <w:szCs w:val="32"/>
        </w:rPr>
        <w:t>技術委員會協助行政院環境保護署研擬氣候變遷風險評估之方法學，供各部會辨識其主責業務在氣候變遷危害下之暴露度及脆弱度，進行風險評估及分析，以納入第3期國家氣候變遷調適行動方案。116</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提案人：吳思瑤  賴品妤  范  雲  洪申翰</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(八)</w:t>
      </w:r>
      <w:r w:rsidRPr="00535340">
        <w:rPr>
          <w:rFonts w:ascii="標楷體" w:eastAsia="標楷體" w:hAnsi="標楷體" w:hint="eastAsia"/>
          <w:sz w:val="32"/>
          <w:szCs w:val="32"/>
        </w:rPr>
        <w:t>2022年聯合國氣候變遷大會（COP27）於埃及舉行，以「共</w:t>
      </w:r>
      <w:r w:rsidRPr="00535340">
        <w:rPr>
          <w:rFonts w:ascii="標楷體" w:eastAsia="標楷體" w:hAnsi="標楷體" w:hint="eastAsia"/>
          <w:sz w:val="32"/>
          <w:szCs w:val="32"/>
        </w:rPr>
        <w:lastRenderedPageBreak/>
        <w:t>同落實」（Together For Implementation）為號召，透過減緩（Mitigation）、調適（Adaptation）、賠償（Reparation）3大機制落實減碳承諾。111年全球極端氣候事件頻繁，歐洲極端熱浪、中國旱災、巴基斯坦洪災接連發生，因此，</w:t>
      </w:r>
      <w:r w:rsidRPr="00FF46E8">
        <w:rPr>
          <w:rFonts w:ascii="標楷體" w:eastAsia="標楷體" w:hAnsi="標楷體" w:hint="eastAsia"/>
          <w:sz w:val="32"/>
          <w:szCs w:val="32"/>
        </w:rPr>
        <w:t>2022年聯合國氣候變遷大會</w:t>
      </w:r>
      <w:r>
        <w:rPr>
          <w:rFonts w:ascii="標楷體" w:eastAsia="標楷體" w:hAnsi="標楷體" w:hint="eastAsia"/>
          <w:sz w:val="32"/>
          <w:szCs w:val="32"/>
        </w:rPr>
        <w:t>將更強調「調適」及「賠償」議題。聚焦全球暖化之下生活在高度脆弱</w:t>
      </w:r>
      <w:r w:rsidRPr="00535340">
        <w:rPr>
          <w:rFonts w:ascii="標楷體" w:eastAsia="標楷體" w:hAnsi="標楷體" w:hint="eastAsia"/>
          <w:sz w:val="32"/>
          <w:szCs w:val="32"/>
        </w:rPr>
        <w:t>環境中的開發中國家，雖然碳排低，卻受害最深，應如何協助其面對風險。強化台灣調適科學及治理研究，除了協助國人面對日益提升的氣候風險，更是台灣建立氣候外交的機會。爰此，請國家科學及技術委員會研擬針對氣候變遷調適自然及社會科學研究，加強投入相關資源，作為台灣調適治理及策略提升的基石。117</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提案人：吳思瑤  賴品妤  范  雲  洪申翰</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(九)</w:t>
      </w:r>
      <w:r w:rsidRPr="00535340">
        <w:rPr>
          <w:rFonts w:ascii="標楷體" w:eastAsia="標楷體" w:hAnsi="標楷體" w:hint="eastAsia"/>
          <w:sz w:val="32"/>
          <w:szCs w:val="32"/>
        </w:rPr>
        <w:t>為因應臺商回流所衍生之建廠用地需求，科學園區自107年起陸續辦理新設及擴建園區計畫，112年度園區擴建及籌設計畫共計8項；然國內各地大舉開發之際，供電恐有不足之虞，經查，國家科學及技術委員會於112年規劃開發「南部科學園區嘉義園區」，該園區於111年11月初環評初審結果，因供電、污染等問題而未通過，其中有環評委員表示：「雖然台電同意供電，但現在國內電力供給有限，很多縣市也在開發相關園區，應自行開源節流、自籌更高比率電力，先前審查中科時，開發單位稱電力不夠會自用發電機，但如此一來會產生更多空</w:t>
      </w:r>
      <w:r>
        <w:rPr>
          <w:rFonts w:ascii="標楷體" w:eastAsia="標楷體" w:hAnsi="標楷體" w:hint="eastAsia"/>
          <w:sz w:val="32"/>
          <w:szCs w:val="32"/>
        </w:rPr>
        <w:t>污。」</w:t>
      </w:r>
      <w:r w:rsidRPr="00535340">
        <w:rPr>
          <w:rFonts w:ascii="標楷體" w:eastAsia="標楷體" w:hAnsi="標楷體" w:hint="eastAsia"/>
          <w:sz w:val="32"/>
          <w:szCs w:val="32"/>
        </w:rPr>
        <w:t>由此顯見，現在科學園區的供電已經非常吃緊了，對於國科會112年園區要辦理擴建及籌設計畫等8項，供電不充足將會是一大隱憂。爰要求國家科學及技術委員會於3個月內向立法院教育及文化委員會提出未來推動8處新設及擴建科學園區之電力供應規劃方案書面報告(包含台灣電力股份有限公司「直供各園區」之電力供應</w:t>
      </w:r>
      <w:r w:rsidRPr="00535340">
        <w:rPr>
          <w:rFonts w:ascii="標楷體" w:eastAsia="標楷體" w:hAnsi="標楷體" w:hint="eastAsia"/>
          <w:sz w:val="32"/>
          <w:szCs w:val="32"/>
        </w:rPr>
        <w:lastRenderedPageBreak/>
        <w:t>規劃及綠電比例)。118</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提案人：吳怡玎  鄭正鈐  萬美玲</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w:t>
      </w:r>
      <w:r w:rsidRPr="00535340">
        <w:rPr>
          <w:rFonts w:ascii="標楷體" w:eastAsia="標楷體" w:hAnsi="標楷體" w:hint="eastAsia"/>
          <w:sz w:val="32"/>
          <w:szCs w:val="32"/>
        </w:rPr>
        <w:t>112年度國家科學及技術委員會「非營業特種基金」項下「國家科學技術發展基金」預算編列396億3</w:t>
      </w:r>
      <w:r w:rsidRPr="00535340">
        <w:rPr>
          <w:rFonts w:ascii="標楷體" w:eastAsia="標楷體" w:hAnsi="標楷體"/>
          <w:sz w:val="32"/>
          <w:szCs w:val="32"/>
        </w:rPr>
        <w:t>,</w:t>
      </w:r>
      <w:r w:rsidRPr="00535340">
        <w:rPr>
          <w:rFonts w:ascii="標楷體" w:eastAsia="標楷體" w:hAnsi="標楷體" w:hint="eastAsia"/>
          <w:sz w:val="32"/>
          <w:szCs w:val="32"/>
        </w:rPr>
        <w:t>321萬1千元，以支應國家發展委員會各項科技發展計畫。經查，每年皆會補助各大學校院及學研機構執行科學研究相關工作，並為提升研究計畫審查效率，降低人工檢視研究計畫申請書之負荷及避免疏漏，自109年起辦理專題研究計畫申請書比對系統建置委外服務案。又查國家科學及技術委員會於111</w:t>
      </w:r>
      <w:r>
        <w:rPr>
          <w:rFonts w:ascii="標楷體" w:eastAsia="標楷體" w:hAnsi="標楷體" w:hint="eastAsia"/>
          <w:sz w:val="32"/>
          <w:szCs w:val="32"/>
        </w:rPr>
        <w:t>年</w:t>
      </w:r>
      <w:r w:rsidRPr="00535340">
        <w:rPr>
          <w:rFonts w:ascii="標楷體" w:eastAsia="標楷體" w:hAnsi="標楷體" w:hint="eastAsia"/>
          <w:sz w:val="32"/>
          <w:szCs w:val="32"/>
        </w:rPr>
        <w:t>提供專題研究計畫申請書比對系統運作結果，其中20件涉及違反學術倫理之計畫，國科會業依「國家科學及技術委員會學術倫理案件處理及審議要點」之規定，啟動學術倫理審議程序進行調查及處理。綜上所述，為提醒受補助單位注意避免違反學術倫理，間接提升整體補助專題研究計畫的品質，爰要求國家科學及技術委員會應積極推廣專題研究申請書比對系統之使用，定期精進其比對機制，並於1個月內向立法院教育及文化委員會提出書面報告。119</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提案人：萬美玲</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連署人：吳怡玎  鄭正鈐</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(十一)</w:t>
      </w:r>
      <w:r w:rsidRPr="00535340">
        <w:rPr>
          <w:rFonts w:ascii="標楷體" w:eastAsia="標楷體" w:hAnsi="標楷體" w:hint="eastAsia"/>
          <w:sz w:val="32"/>
          <w:szCs w:val="32"/>
        </w:rPr>
        <w:t>「國家太空中心設置條例」已於111年5月4日制定公布，有鑑於「行政法人法」及「國家太空中心設置條例」之規定，財團法人國家實驗研究院國家太空中心轉型為行政法人後應訂定相關作業管理</w:t>
      </w:r>
      <w:r>
        <w:rPr>
          <w:rFonts w:ascii="標楷體" w:eastAsia="標楷體" w:hAnsi="標楷體" w:hint="eastAsia"/>
          <w:sz w:val="32"/>
          <w:szCs w:val="32"/>
        </w:rPr>
        <w:t>規章，考量相關作業管理規章項數甚多，爰要求國家科學及技術委員會</w:t>
      </w:r>
      <w:r w:rsidRPr="00535340">
        <w:rPr>
          <w:rFonts w:ascii="標楷體" w:eastAsia="標楷體" w:hAnsi="標楷體" w:hint="eastAsia"/>
          <w:sz w:val="32"/>
          <w:szCs w:val="32"/>
        </w:rPr>
        <w:t>應於6個月內完備相關規章，並依「行政法人法」規定將預算送立法院審議，以利行政法人國家太空中心運作。120</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提案人：林奕華</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連署人：鄭正鈐  吳怡玎</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lastRenderedPageBreak/>
        <w:t>(十二)</w:t>
      </w:r>
      <w:r w:rsidRPr="00535340">
        <w:rPr>
          <w:rFonts w:ascii="標楷體" w:eastAsia="標楷體" w:hAnsi="標楷體" w:hint="eastAsia"/>
          <w:sz w:val="32"/>
          <w:szCs w:val="32"/>
        </w:rPr>
        <w:t>建構太空產業完善發展環境為我國太空政策之重要課題，且我國短期科研太空火箭發射場域已於111年1月13日正式啟用，並於同年7月完成首場發射任務。為加速推動我國火箭與衛星產業之發展，健全良善之環境，爰要求國家科學及技術委員會及</w:t>
      </w:r>
      <w:r>
        <w:rPr>
          <w:rFonts w:ascii="標楷體" w:eastAsia="標楷體" w:hAnsi="標楷體" w:hint="eastAsia"/>
          <w:sz w:val="32"/>
          <w:szCs w:val="32"/>
        </w:rPr>
        <w:t>行政法人</w:t>
      </w:r>
      <w:r w:rsidRPr="00535340">
        <w:rPr>
          <w:rFonts w:ascii="標楷體" w:eastAsia="標楷體" w:hAnsi="標楷體" w:hint="eastAsia"/>
          <w:sz w:val="32"/>
          <w:szCs w:val="32"/>
        </w:rPr>
        <w:t>國家太空中心於3個月內針對國家發射場域潛在場址展開可行性評估作業，俾利後續辦理相關場址規劃及興建事宜。121</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提案人：林奕華</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連署人：鄭正鈐  吳怡玎</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(十三)</w:t>
      </w:r>
      <w:r w:rsidRPr="00535340">
        <w:rPr>
          <w:rFonts w:ascii="標楷體" w:eastAsia="標楷體" w:hAnsi="標楷體" w:hint="eastAsia"/>
          <w:sz w:val="32"/>
          <w:szCs w:val="32"/>
        </w:rPr>
        <w:t>112年度國家科學及技術委員會補助</w:t>
      </w:r>
      <w:r>
        <w:rPr>
          <w:rFonts w:ascii="標楷體" w:eastAsia="標楷體" w:hAnsi="標楷體" w:hint="eastAsia"/>
          <w:sz w:val="32"/>
          <w:szCs w:val="32"/>
        </w:rPr>
        <w:t>行政法人</w:t>
      </w:r>
      <w:r w:rsidRPr="00535340">
        <w:rPr>
          <w:rFonts w:ascii="標楷體" w:eastAsia="標楷體" w:hAnsi="標楷體" w:hint="eastAsia"/>
          <w:sz w:val="32"/>
          <w:szCs w:val="32"/>
        </w:rPr>
        <w:t>國家太空中心辦理「遙測衛星星系計畫」，主要發展先導型高解析度光學遙測衛星、超高解析度智能遙測衛星及合成孔徑雷達衛星共計10枚遙測衛星，組成完整衛星星系。此亦為建立台灣太空產業之重要元件，然據查，截至111年7月底，福爾摩沙衛星八號第1枚衛星15項自主關鍵元件之研發時程落後，導致衛星發射時程將延至114及115年。考量該計畫攸關我國衛星關鍵技術及未來太空產業發展，爰要求國家科學及技術委員會，應加速自主關鍵衛星零組件之研發進度，俾利如期執行發射任務。122</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提案人：林奕華</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連署人：鄭正鈐  吳怡玎</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(十四)</w:t>
      </w:r>
      <w:r w:rsidRPr="00535340">
        <w:rPr>
          <w:rFonts w:ascii="標楷體" w:eastAsia="標楷體" w:hAnsi="標楷體" w:hint="eastAsia"/>
          <w:sz w:val="32"/>
          <w:szCs w:val="32"/>
        </w:rPr>
        <w:t>中央政府近年來科技發展支出遽增，109年度全國研發經費占國內生產毛額比率達3.63%，雖產官學各界持續投入科技研發資源，</w:t>
      </w:r>
      <w:r>
        <w:rPr>
          <w:rFonts w:ascii="標楷體" w:eastAsia="標楷體" w:hAnsi="標楷體" w:hint="eastAsia"/>
          <w:sz w:val="32"/>
          <w:szCs w:val="32"/>
        </w:rPr>
        <w:t>以</w:t>
      </w:r>
      <w:r w:rsidRPr="00535340">
        <w:rPr>
          <w:rFonts w:ascii="標楷體" w:eastAsia="標楷體" w:hAnsi="標楷體" w:hint="eastAsia"/>
          <w:sz w:val="32"/>
          <w:szCs w:val="32"/>
        </w:rPr>
        <w:t>期提升我國科技產業技術水準，然高科技產業仍有技術貿易逆差，產業技術自主性仍顯不足。爰要求國家科學及技術委員會於3個月內針對如何強</w:t>
      </w:r>
      <w:r>
        <w:rPr>
          <w:rFonts w:ascii="標楷體" w:eastAsia="標楷體" w:hAnsi="標楷體" w:hint="eastAsia"/>
          <w:sz w:val="32"/>
          <w:szCs w:val="32"/>
        </w:rPr>
        <w:t>化國家科技研發運用量能，</w:t>
      </w:r>
      <w:r w:rsidRPr="00535340">
        <w:rPr>
          <w:rFonts w:ascii="標楷體" w:eastAsia="標楷體" w:hAnsi="標楷體" w:hint="eastAsia"/>
          <w:sz w:val="32"/>
          <w:szCs w:val="32"/>
        </w:rPr>
        <w:t>契合產業發展需求</w:t>
      </w:r>
      <w:r>
        <w:rPr>
          <w:rFonts w:ascii="標楷體" w:eastAsia="標楷體" w:hAnsi="標楷體" w:hint="eastAsia"/>
          <w:sz w:val="32"/>
          <w:szCs w:val="32"/>
        </w:rPr>
        <w:t>，並</w:t>
      </w:r>
      <w:r w:rsidRPr="00535340">
        <w:rPr>
          <w:rFonts w:ascii="標楷體" w:eastAsia="標楷體" w:hAnsi="標楷體" w:hint="eastAsia"/>
          <w:sz w:val="32"/>
          <w:szCs w:val="32"/>
        </w:rPr>
        <w:t>向立法院教育及文化委員會提出具體政策書面報告，以逐步提高我國產業技術自主</w:t>
      </w:r>
      <w:r w:rsidRPr="00535340">
        <w:rPr>
          <w:rFonts w:ascii="標楷體" w:eastAsia="標楷體" w:hAnsi="標楷體" w:hint="eastAsia"/>
          <w:sz w:val="32"/>
          <w:szCs w:val="32"/>
        </w:rPr>
        <w:lastRenderedPageBreak/>
        <w:t>性。123</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提案人：林奕華</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連署人：鄭正鈐  吳怡玎</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(十五)</w:t>
      </w:r>
      <w:r w:rsidRPr="00535340">
        <w:rPr>
          <w:rFonts w:ascii="標楷體" w:eastAsia="標楷體" w:hAnsi="標楷體" w:hint="eastAsia"/>
          <w:sz w:val="32"/>
          <w:szCs w:val="32"/>
        </w:rPr>
        <w:t>有鑑於行政院蘇院長貞昌日前宣布，龍潭科學園區將進行3期擴建計畫，台灣積體電路製造股份有限公司亦將在龍潭設立1奈米廠。然龍潭3期擴建計畫相關事項並未列入立法院第10屆第6會期國家科學及技術委員會業務報告中，亦未編列相關預算，新竹科學園區管理局相關業務報告也未見說明，擴建決策不透明令外界懷疑此計畫是否為拉抬選情之政策支票?爰要求國家科學及技術委員會於1個月內向立法院教育及文化委員會提出龍潭3期擴建計畫評估、規劃期程具體說明書面報告。1</w:t>
      </w:r>
      <w:r w:rsidRPr="00535340">
        <w:rPr>
          <w:rFonts w:ascii="標楷體" w:eastAsia="標楷體" w:hAnsi="標楷體"/>
          <w:sz w:val="32"/>
          <w:szCs w:val="32"/>
        </w:rPr>
        <w:t>24</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提案人：林奕華</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連署人：鄭正鈐  吳怡玎</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(十六)</w:t>
      </w:r>
      <w:r w:rsidRPr="00535340">
        <w:rPr>
          <w:rFonts w:ascii="標楷體" w:eastAsia="標楷體" w:hAnsi="標楷體" w:hint="eastAsia"/>
          <w:sz w:val="32"/>
          <w:szCs w:val="32"/>
        </w:rPr>
        <w:t>依據國家科學及技術委員會提供2016至2022年7月份間學術倫理案件統計數據共275件，其中234件屬具名或未具名之檢舉，僅41件為職權發現案件，可知目前國科會相關之學術倫理案件主要仍由外部檢舉發現。惟2022年間發生檢舉人具名向國科會提出檢舉，並具體指出某國科會補助研究計畫之成果報告恐涉抄襲該計畫主持人之某指導學生早於計畫執行期間就已完成之碩士論文。縱僅單就該篇成果報告及該篇碩士論文之摘要部分進行檢視，即可發現成果報告摘要所用文字、研究成果數據及研究發現等，均與碩士論文摘要百分之百相同，惟國科會於收受該檢舉案件後，仍發函要求檢舉人應「提供碩士論文全文，並補充有關抄襲之具體事證」始得周延審查，顯見國科會對於受理學術倫理檢舉案件之態度消極，允宜持續改進，以使各界對於國家科學及技術委員會處理學術倫理案件審議程序更加信服。125</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lastRenderedPageBreak/>
        <w:t>提案人：王婉諭</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連署人：林宜瑾  張廖萬堅</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(十七)</w:t>
      </w:r>
      <w:r w:rsidRPr="00535340">
        <w:rPr>
          <w:rFonts w:ascii="標楷體" w:eastAsia="標楷體" w:hAnsi="標楷體" w:hint="eastAsia"/>
          <w:sz w:val="32"/>
          <w:szCs w:val="32"/>
        </w:rPr>
        <w:t>我國「太空發展法」於2021年6月16日制定公布，並於2022年1月20日施行。依據「太空發展法」第</w:t>
      </w:r>
      <w:r>
        <w:rPr>
          <w:rFonts w:ascii="標楷體" w:eastAsia="標楷體" w:hAnsi="標楷體" w:hint="eastAsia"/>
          <w:sz w:val="32"/>
          <w:szCs w:val="32"/>
        </w:rPr>
        <w:t>12</w:t>
      </w:r>
      <w:r w:rsidRPr="00535340">
        <w:rPr>
          <w:rFonts w:ascii="標楷體" w:eastAsia="標楷體" w:hAnsi="標楷體" w:hint="eastAsia"/>
          <w:sz w:val="32"/>
          <w:szCs w:val="32"/>
        </w:rPr>
        <w:t>條，主管機關國家科學及技術委員會掌理包含國家發射場域之設置事項。據國科會說法，目前持續辦理前揭國家發射場域選址作業規劃，並朝2024、2025年完成場域設置，2026年發射台灣第1顆自主衛星目標努力。鑑於國人對我國發展太空產業殷切期盼，如2022年間屏東旭海短期科研探空火箭發射場辦理2次發射作業，皆吸引許多民眾前往觀看。爰請國家科學及技術委員會於辦理上揭國家發射場域規劃時，除考量環保、安全與用地等問題，應會同交通部觀光局與地方政府，一併就國家發射場域周遭發展太空相關觀光產業可行性進行研議，以提前部署觀光規劃。126</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提案人：王婉諭</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連署人：林宜瑾  張廖萬堅</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(十八)</w:t>
      </w:r>
      <w:r w:rsidRPr="00535340">
        <w:rPr>
          <w:rFonts w:ascii="標楷體" w:eastAsia="標楷體" w:hAnsi="標楷體" w:hint="eastAsia"/>
          <w:sz w:val="32"/>
          <w:szCs w:val="32"/>
        </w:rPr>
        <w:t>國家科學及技術委員會因應國際科技趨勢及擘劃國家未來科技發展策略，辦理國家科學技術各項研究及發展，並協助統籌協調國家整體科技資源。國家刻正推動「資安即國安」政策，尤其新國科會組織改組、</w:t>
      </w:r>
      <w:r>
        <w:rPr>
          <w:rFonts w:ascii="標楷體" w:eastAsia="標楷體" w:hAnsi="標楷體" w:hint="eastAsia"/>
          <w:sz w:val="32"/>
          <w:szCs w:val="32"/>
        </w:rPr>
        <w:t>數位發展部</w:t>
      </w:r>
      <w:r w:rsidRPr="00535340">
        <w:rPr>
          <w:rFonts w:ascii="標楷體" w:eastAsia="標楷體" w:hAnsi="標楷體" w:hint="eastAsia"/>
          <w:sz w:val="32"/>
          <w:szCs w:val="32"/>
        </w:rPr>
        <w:t>成立，皆以確保國家整體資通訊安全，以及培育資安人才與產業永續為國家長遠發展重要目標，國家科學技術發展基金在110年度即有跨部會署執行之科技計畫，並推動資安旗艦計畫-國家資安防護前導計畫，其重點成果包含強化資訊資源向上集中政府機關之主動威脅偵蒐機制、推動機關聯防監控情資整合及資通安全弱點通報等資安縱深防禦架構、推動網路攻防實兵演練、資安技術檢測主動防制工作等；雖已有初步研究，但卻缺乏架構性的執行方案，例如雖訂有「資通安全管理法」，</w:t>
      </w:r>
      <w:r w:rsidRPr="00535340">
        <w:rPr>
          <w:rFonts w:ascii="標楷體" w:eastAsia="標楷體" w:hAnsi="標楷體" w:hint="eastAsia"/>
          <w:sz w:val="32"/>
          <w:szCs w:val="32"/>
        </w:rPr>
        <w:lastRenderedPageBreak/>
        <w:t>但政府各組織並無配置編制相關資安專職人員職缺；雖律定各單位須設置資安長，但專業資安專責單位亦付之闕如，對於資安產業界相關人才及資源需求更是缺乏相關盤點，雖數位發展部成立，但缺乏能夠跨部會整合盤點之機關平台，況且國科會主委由政務委員兼任，具有協調整合高度，</w:t>
      </w:r>
      <w:r>
        <w:rPr>
          <w:rFonts w:ascii="標楷體" w:eastAsia="標楷體" w:hAnsi="標楷體" w:hint="eastAsia"/>
          <w:sz w:val="32"/>
          <w:szCs w:val="32"/>
        </w:rPr>
        <w:t>爰</w:t>
      </w:r>
      <w:r w:rsidRPr="00535340">
        <w:rPr>
          <w:rFonts w:ascii="標楷體" w:eastAsia="標楷體" w:hAnsi="標楷體" w:hint="eastAsia"/>
          <w:sz w:val="32"/>
          <w:szCs w:val="32"/>
        </w:rPr>
        <w:t>請國家科學及技術委員會於2個月內，跨部會協調整合盤點政府資安人員編制及配置現況、以及國內各資安產業現況，作為政府推動「資安即國安」各項措施之執行基礎。127</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提案人：何欣純</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連署人：吳思瑤  范  雲</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(十九)</w:t>
      </w:r>
      <w:r w:rsidRPr="00535340">
        <w:rPr>
          <w:rFonts w:ascii="標楷體" w:eastAsia="標楷體" w:hAnsi="標楷體" w:hint="eastAsia"/>
          <w:sz w:val="32"/>
          <w:szCs w:val="32"/>
        </w:rPr>
        <w:t>關於國家科學及技術委員會</w:t>
      </w:r>
      <w:r>
        <w:rPr>
          <w:rFonts w:ascii="標楷體" w:eastAsia="標楷體" w:hAnsi="標楷體" w:hint="eastAsia"/>
          <w:sz w:val="32"/>
          <w:szCs w:val="32"/>
        </w:rPr>
        <w:t>於</w:t>
      </w:r>
      <w:r w:rsidRPr="00535340">
        <w:rPr>
          <w:rFonts w:ascii="標楷體" w:eastAsia="標楷體" w:hAnsi="標楷體" w:hint="eastAsia"/>
          <w:sz w:val="32"/>
          <w:szCs w:val="32"/>
        </w:rPr>
        <w:t>111年</w:t>
      </w:r>
      <w:r w:rsidRPr="00535340">
        <w:rPr>
          <w:rFonts w:ascii="標楷體" w:eastAsia="標楷體" w:hAnsi="標楷體"/>
          <w:sz w:val="32"/>
          <w:szCs w:val="32"/>
        </w:rPr>
        <w:t>10</w:t>
      </w:r>
      <w:r w:rsidRPr="00535340">
        <w:rPr>
          <w:rFonts w:ascii="標楷體" w:eastAsia="標楷體" w:hAnsi="標楷體" w:hint="eastAsia"/>
          <w:sz w:val="32"/>
          <w:szCs w:val="32"/>
        </w:rPr>
        <w:t>月</w:t>
      </w:r>
      <w:r w:rsidRPr="00535340">
        <w:rPr>
          <w:rFonts w:ascii="標楷體" w:eastAsia="標楷體" w:hAnsi="標楷體"/>
          <w:sz w:val="32"/>
          <w:szCs w:val="32"/>
        </w:rPr>
        <w:t>31</w:t>
      </w:r>
      <w:r w:rsidRPr="00535340">
        <w:rPr>
          <w:rFonts w:ascii="標楷體" w:eastAsia="標楷體" w:hAnsi="標楷體" w:hint="eastAsia"/>
          <w:sz w:val="32"/>
          <w:szCs w:val="32"/>
        </w:rPr>
        <w:t>日回復高金委員素梅問政所需資料，說明</w:t>
      </w:r>
      <w:r w:rsidRPr="00535340">
        <w:rPr>
          <w:rFonts w:ascii="標楷體" w:eastAsia="標楷體" w:hAnsi="標楷體"/>
          <w:sz w:val="32"/>
          <w:szCs w:val="32"/>
        </w:rPr>
        <w:t>111</w:t>
      </w:r>
      <w:r w:rsidRPr="00535340">
        <w:rPr>
          <w:rFonts w:ascii="標楷體" w:eastAsia="標楷體" w:hAnsi="標楷體" w:hint="eastAsia"/>
          <w:sz w:val="32"/>
          <w:szCs w:val="32"/>
        </w:rPr>
        <w:t>年度「短期科研探空火箭發射場域」經費使用及執行情形，總支出為1</w:t>
      </w:r>
      <w:r w:rsidRPr="00535340">
        <w:rPr>
          <w:rFonts w:ascii="標楷體" w:eastAsia="標楷體" w:hAnsi="標楷體"/>
          <w:sz w:val="32"/>
          <w:szCs w:val="32"/>
        </w:rPr>
        <w:t>,</w:t>
      </w:r>
      <w:r w:rsidRPr="00535340">
        <w:rPr>
          <w:rFonts w:ascii="標楷體" w:eastAsia="標楷體" w:hAnsi="標楷體" w:hint="eastAsia"/>
          <w:sz w:val="32"/>
          <w:szCs w:val="32"/>
        </w:rPr>
        <w:t>437萬5</w:t>
      </w:r>
      <w:r>
        <w:rPr>
          <w:rFonts w:ascii="標楷體" w:eastAsia="標楷體" w:hAnsi="標楷體"/>
          <w:sz w:val="32"/>
          <w:szCs w:val="32"/>
        </w:rPr>
        <w:t>,</w:t>
      </w:r>
      <w:r w:rsidRPr="00535340">
        <w:rPr>
          <w:rFonts w:ascii="標楷體" w:eastAsia="標楷體" w:hAnsi="標楷體" w:hint="eastAsia"/>
          <w:sz w:val="32"/>
          <w:szCs w:val="32"/>
        </w:rPr>
        <w:t>906元。其中，「利益分享補助費」為600萬元整補助旭海部落，並於</w:t>
      </w:r>
      <w:r w:rsidRPr="00535340">
        <w:rPr>
          <w:rFonts w:ascii="標楷體" w:eastAsia="標楷體" w:hAnsi="標楷體"/>
          <w:sz w:val="32"/>
          <w:szCs w:val="32"/>
        </w:rPr>
        <w:t>111</w:t>
      </w:r>
      <w:r w:rsidRPr="00535340">
        <w:rPr>
          <w:rFonts w:ascii="標楷體" w:eastAsia="標楷體" w:hAnsi="標楷體" w:hint="eastAsia"/>
          <w:sz w:val="32"/>
          <w:szCs w:val="32"/>
        </w:rPr>
        <w:t>年</w:t>
      </w:r>
      <w:r w:rsidRPr="00535340">
        <w:rPr>
          <w:rFonts w:ascii="標楷體" w:eastAsia="標楷體" w:hAnsi="標楷體"/>
          <w:sz w:val="32"/>
          <w:szCs w:val="32"/>
        </w:rPr>
        <w:t>10</w:t>
      </w:r>
      <w:r w:rsidRPr="00535340">
        <w:rPr>
          <w:rFonts w:ascii="標楷體" w:eastAsia="標楷體" w:hAnsi="標楷體" w:hint="eastAsia"/>
          <w:sz w:val="32"/>
          <w:szCs w:val="32"/>
        </w:rPr>
        <w:t>月</w:t>
      </w:r>
      <w:r w:rsidRPr="00535340">
        <w:rPr>
          <w:rFonts w:ascii="標楷體" w:eastAsia="標楷體" w:hAnsi="標楷體"/>
          <w:sz w:val="32"/>
          <w:szCs w:val="32"/>
        </w:rPr>
        <w:t>20</w:t>
      </w:r>
      <w:r w:rsidRPr="00535340">
        <w:rPr>
          <w:rFonts w:ascii="標楷體" w:eastAsia="標楷體" w:hAnsi="標楷體" w:hint="eastAsia"/>
          <w:sz w:val="32"/>
          <w:szCs w:val="32"/>
        </w:rPr>
        <w:t>日全數核撥至鄉公所。為避免屏東縣牡丹鄉公所背上濫用經費、浮編預算等黑鍋，請國家科學及技術委員會促請牡丹鄉公所將其利益分享補助費公開透明並檢附支用明細，並於</w:t>
      </w:r>
      <w:r w:rsidRPr="00535340">
        <w:rPr>
          <w:rFonts w:ascii="標楷體" w:eastAsia="標楷體" w:hAnsi="標楷體"/>
          <w:sz w:val="32"/>
          <w:szCs w:val="32"/>
        </w:rPr>
        <w:t>112</w:t>
      </w:r>
      <w:r w:rsidRPr="00535340">
        <w:rPr>
          <w:rFonts w:ascii="標楷體" w:eastAsia="標楷體" w:hAnsi="標楷體" w:hint="eastAsia"/>
          <w:sz w:val="32"/>
          <w:szCs w:val="32"/>
        </w:rPr>
        <w:t>年2月28日前向立法院教育及文化委員會提出書面報告。128</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提案人：高金素梅</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連署人：林奕華  鄭正鈐</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w:t>
      </w:r>
      <w:r w:rsidRPr="00535340">
        <w:rPr>
          <w:rFonts w:ascii="標楷體" w:eastAsia="標楷體" w:hAnsi="標楷體" w:hint="eastAsia"/>
          <w:sz w:val="32"/>
          <w:szCs w:val="32"/>
        </w:rPr>
        <w:t>國家科學及技術委員會長年支持學術研究界進行原住民族相關研究，依類別分為專案計畫、導向性研究計畫。其研究計畫成果報告/結案報告，詳載研究成果、研究價值、具體建議、執行困境等，國家科學及技術委員</w:t>
      </w:r>
      <w:r>
        <w:rPr>
          <w:rFonts w:ascii="標楷體" w:eastAsia="標楷體" w:hAnsi="標楷體" w:hint="eastAsia"/>
          <w:sz w:val="32"/>
          <w:szCs w:val="32"/>
        </w:rPr>
        <w:t>會</w:t>
      </w:r>
      <w:r w:rsidRPr="00535340">
        <w:rPr>
          <w:rFonts w:ascii="標楷體" w:eastAsia="標楷體" w:hAnsi="標楷體" w:hint="eastAsia"/>
          <w:sz w:val="32"/>
          <w:szCs w:val="32"/>
        </w:rPr>
        <w:t>是否將成果具體提供給相關單位來研擬規劃，且應用在滾動式修正之政策上。請國家科學及技術委員會提供完善規劃報告，並於2個月內向立法院教育及文化委員會提出書面報告。129</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lastRenderedPageBreak/>
        <w:t>提案人：高金素梅</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連署人：林奕華  鄭正鈐</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(二十一)</w:t>
      </w:r>
      <w:r w:rsidRPr="00535340">
        <w:rPr>
          <w:rFonts w:ascii="標楷體" w:eastAsia="標楷體" w:hAnsi="標楷體" w:hint="eastAsia"/>
          <w:sz w:val="32"/>
          <w:szCs w:val="32"/>
        </w:rPr>
        <w:t>國家科學及技術委員會長期支持學術界進行原住民族相關研究是值得肯定，但在生科研究上，發現相關機制未完善，故請國家科學及技術委員會檢討修正。「原住民族基本法」、「人體研究法」、「人體研究計畫諮詢取得原住民族同意與約定商業利益及其應用辦法」保障的是「原住民族」及「部落」權益，也就是集體權益。但隨著世代遷移，多數原住民已移徙都會區，設籍都會區的原住民人口也已高達50%，這些都會區原住民之「個人」權益常被漠視。因此，請國家科學及技術委員會儘速研議完善學術研究政策，以保障原住民、原住民族、部落、都會區、個人、族群等各面向權益，讓研究者安心、族人們放心，並於2個月內向立法院教育及文化委員會提出書面報告。130</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提案人：高金素梅</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連署人：林奕華  鄭正鈐</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(二十二)</w:t>
      </w:r>
      <w:r w:rsidRPr="00535340">
        <w:rPr>
          <w:rFonts w:ascii="標楷體" w:eastAsia="標楷體" w:hAnsi="標楷體" w:hint="eastAsia"/>
          <w:sz w:val="32"/>
          <w:szCs w:val="32"/>
        </w:rPr>
        <w:t>解決臺灣少子女化問題是政府重要施政目標。其中，為推動及保障科研專業人才職涯及育兒的平衡，國家科學及技術委員會自2021年起，實施女性計畫主持人生育期間支持措施，補助懷孕及育有3歲以下兒童之女性科研人員相關人力支持，並得以隨到隨審方式提出專題研究計畫申請。然育兒及家庭分工應不分性別參與，此措施原先僅適用女性，恐強化女性育兒照顧責任之刻板印象。為落實實質性別平等，國科會於2022年7月，擴大「友善生育支持措施」適用對象，將實質育兒男性亦納入生育期間支持措施之適用對象，以達到雙親照顧責任平等。惟根據2021年國科會</w:t>
      </w:r>
      <w:r>
        <w:rPr>
          <w:rFonts w:ascii="標楷體" w:eastAsia="標楷體" w:hAnsi="標楷體" w:hint="eastAsia"/>
          <w:sz w:val="32"/>
          <w:szCs w:val="32"/>
        </w:rPr>
        <w:t>補助</w:t>
      </w:r>
      <w:r w:rsidRPr="00535340">
        <w:rPr>
          <w:rFonts w:ascii="標楷體" w:eastAsia="標楷體" w:hAnsi="標楷體" w:hint="eastAsia"/>
          <w:sz w:val="32"/>
          <w:szCs w:val="32"/>
        </w:rPr>
        <w:t>人文社會研究中心委託研究計畫指出，科研人員學術勞動與家庭責任衝突甚大，調查建議應擴充適用對象為育有6歲以下學齡前兒</w:t>
      </w:r>
      <w:r w:rsidRPr="00535340">
        <w:rPr>
          <w:rFonts w:ascii="標楷體" w:eastAsia="標楷體" w:hAnsi="標楷體" w:hint="eastAsia"/>
          <w:sz w:val="32"/>
          <w:szCs w:val="32"/>
        </w:rPr>
        <w:lastRenderedPageBreak/>
        <w:t>童家庭，以減少雙親育兒的負擔，完善育兒與研究生涯不衝突的友善職場。爰要求國家科學及技術委員會研議擴大前開「友善生育支持措施」適用對象至育有6歲以下學齡前兒童之不分性別科研人員，並於2023年1月31日前向立法院教育及文化委員會提出書面報告。131</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提案人：范  雲</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連署人：賴品妤  陳秀寳</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(二十三)</w:t>
      </w:r>
      <w:r w:rsidRPr="00535340">
        <w:rPr>
          <w:rFonts w:ascii="標楷體" w:eastAsia="標楷體" w:hAnsi="標楷體" w:hint="eastAsia"/>
          <w:sz w:val="32"/>
          <w:szCs w:val="32"/>
        </w:rPr>
        <w:t>推廣科普教育為國家科學及技術委員會重要目標，自2016年起，國科會每年舉辦「科普環島列車活動」，串聯各縣市科普活動計畫主持人的成果與教育局處資源，將列車佈置為科學實驗室，以創新多元的方式推廣科普教育到各地，是極具意義且優質的科學推廣活動。優質科學推廣活動應增加參與學校的覆蓋率，國科會111年亦有擴大參與規模，包含增設站點、安排偏鄉學校參訪。然而現行參與學校決定方式，採取邀請制而非公開報名，加上列車停靠站點有限，並考量學校距離站點之遠近等交通因素，並非所有學生都有公平機會參與。惟科普推廣活動初衷為拓展科普活動觸及範圍，彌平城鄉科學學習落差，國科會應以「增加參與學校的覆蓋率」以及「觸及更多偏鄉學生」為目標，妥善規劃每年參與學校，避免有學校被長期遺漏，並評估改以開放各校主動報名，以擴展科普活動觸及範圍，讓更多學生能參與優質科學活動。爰要求國家科學及技術委員會針對「科普環島列車活動」，改進規劃及執行方式以達成上述目標，並於2023年1月31日前向立法院教育及文化委員會提出書面報告。132</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提案人：范  雲</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連署人：賴品妤  陳秀寳</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(二十四)</w:t>
      </w:r>
      <w:r w:rsidRPr="00535340">
        <w:rPr>
          <w:rFonts w:ascii="標楷體" w:eastAsia="標楷體" w:hAnsi="標楷體" w:hint="eastAsia"/>
          <w:sz w:val="32"/>
          <w:szCs w:val="32"/>
        </w:rPr>
        <w:t>為提升我國太空科技研發能力，立法院於111年4月三</w:t>
      </w:r>
      <w:r w:rsidRPr="00535340">
        <w:rPr>
          <w:rFonts w:ascii="標楷體" w:eastAsia="標楷體" w:hAnsi="標楷體" w:hint="eastAsia"/>
          <w:sz w:val="32"/>
          <w:szCs w:val="32"/>
        </w:rPr>
        <w:lastRenderedPageBreak/>
        <w:t>讀通過「國家太空中心設置條例」。行政院於111年10月核定該法將自112年1月1日施行。財團法人國家實驗研究院國家太空中心將全面轉型為行政法人，職掌研擬與執行國家太空科技計畫、太空科技研發等重要業務。據立法院通過「國家太空中心設置條例」附帶決議之規定，國家科學及技術委員會應於該法三讀後5個月內訂定利益迴避及績效評鑑相關規定。惟查，「國家太空中心董事長董事與監事遴聘解聘及補聘辦法」、「國家太空中心董事監事主任或與該等職務相當之人違反利益迴避處置準則」、「國家太空中心績效評鑑辦法」及「國家太空中心公有財產管理使用收益辦法」等子法，均尚未完成法制作業程序，國科會應儘速完成子法訂定，以利監督並提高管理效率。另查，國家太空中心將於112年轉型行政法人，惟相關待研擬及待通過之作業管理規章甚多，包含經國家太空中心董事會通過後，報請國科會備查之作業管理規章20項、報請該中心董事會通過後報國科會核定5項、報請該中心董事會通過2項，及由該中心自行核定內部規章84項等均尚未完備，國科會允宜督導國家太空中心籌備小組儘速辦理，以利營運。爰請國家科學及技術委員會於3個月內針對財團法人國家實驗研究院國家太空中心轉型行政法人籌備進度、相關子法訂定進度及作業管理規章研擬進度，向立法院教育及文化委員會提出書面報告。133</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提案人：黃國書</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連署人：林宜瑾  鄭正鈐</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(二十五)</w:t>
      </w:r>
      <w:r w:rsidRPr="00535340">
        <w:rPr>
          <w:rFonts w:ascii="標楷體" w:eastAsia="標楷體" w:hAnsi="標楷體" w:hint="eastAsia"/>
          <w:sz w:val="32"/>
          <w:szCs w:val="32"/>
        </w:rPr>
        <w:t>為維持國家長期競爭力，國家科學及技術委員會長期投入基礎科學研究經費，109至111年度預算自281億8</w:t>
      </w:r>
      <w:r w:rsidRPr="00535340">
        <w:rPr>
          <w:rFonts w:ascii="標楷體" w:eastAsia="標楷體" w:hAnsi="標楷體"/>
          <w:sz w:val="32"/>
          <w:szCs w:val="32"/>
        </w:rPr>
        <w:t>,</w:t>
      </w:r>
      <w:r w:rsidRPr="00535340">
        <w:rPr>
          <w:rFonts w:ascii="標楷體" w:eastAsia="標楷體" w:hAnsi="標楷體" w:hint="eastAsia"/>
          <w:sz w:val="32"/>
          <w:szCs w:val="32"/>
        </w:rPr>
        <w:t>629萬餘元增加至310億3</w:t>
      </w:r>
      <w:r w:rsidRPr="00535340">
        <w:rPr>
          <w:rFonts w:ascii="標楷體" w:eastAsia="標楷體" w:hAnsi="標楷體"/>
          <w:sz w:val="32"/>
          <w:szCs w:val="32"/>
        </w:rPr>
        <w:t>,</w:t>
      </w:r>
      <w:r w:rsidRPr="00535340">
        <w:rPr>
          <w:rFonts w:ascii="標楷體" w:eastAsia="標楷體" w:hAnsi="標楷體" w:hint="eastAsia"/>
          <w:sz w:val="32"/>
          <w:szCs w:val="32"/>
        </w:rPr>
        <w:t>020萬餘元。經查基礎科學研究110年度預期目標為產生破壞性創新科研成果5項、補助延攬科技人才總數2</w:t>
      </w:r>
      <w:r w:rsidRPr="00535340">
        <w:rPr>
          <w:rFonts w:ascii="標楷體" w:eastAsia="標楷體" w:hAnsi="標楷體"/>
          <w:sz w:val="32"/>
          <w:szCs w:val="32"/>
        </w:rPr>
        <w:t>,</w:t>
      </w:r>
      <w:r w:rsidRPr="00535340">
        <w:rPr>
          <w:rFonts w:ascii="標楷體" w:eastAsia="標楷體" w:hAnsi="標楷體" w:hint="eastAsia"/>
          <w:sz w:val="32"/>
          <w:szCs w:val="32"/>
        </w:rPr>
        <w:t>000人、獎勵科技人才國際交流3</w:t>
      </w:r>
      <w:r w:rsidRPr="00535340">
        <w:rPr>
          <w:rFonts w:ascii="標楷體" w:eastAsia="標楷體" w:hAnsi="標楷體"/>
          <w:sz w:val="32"/>
          <w:szCs w:val="32"/>
        </w:rPr>
        <w:t>,</w:t>
      </w:r>
      <w:r w:rsidRPr="00535340">
        <w:rPr>
          <w:rFonts w:ascii="標楷體" w:eastAsia="標楷體" w:hAnsi="標楷體" w:hint="eastAsia"/>
          <w:sz w:val="32"/>
          <w:szCs w:val="32"/>
        </w:rPr>
        <w:t>000人。其績</w:t>
      </w:r>
      <w:r w:rsidRPr="00535340">
        <w:rPr>
          <w:rFonts w:ascii="標楷體" w:eastAsia="標楷體" w:hAnsi="標楷體" w:hint="eastAsia"/>
          <w:sz w:val="32"/>
          <w:szCs w:val="32"/>
        </w:rPr>
        <w:lastRenderedPageBreak/>
        <w:t>效指標達成情形，雖產生破壞性科研成果與補助延攬科技人才已達標，但獎勵科技人才國際交流僅715人，達成率23.8%。另查，好奇探索型計畫係推動補助自然科學、工程科學、生命科學及人才科學等領域之專題研究計畫，107至110年度補助執行件數介於1萬3,614至1萬3,884件之間。補助金額自107年度138億6</w:t>
      </w:r>
      <w:r w:rsidRPr="00535340">
        <w:rPr>
          <w:rFonts w:ascii="標楷體" w:eastAsia="標楷體" w:hAnsi="標楷體"/>
          <w:sz w:val="32"/>
          <w:szCs w:val="32"/>
        </w:rPr>
        <w:t>,</w:t>
      </w:r>
      <w:r w:rsidRPr="00535340">
        <w:rPr>
          <w:rFonts w:ascii="標楷體" w:eastAsia="標楷體" w:hAnsi="標楷體" w:hint="eastAsia"/>
          <w:sz w:val="32"/>
          <w:szCs w:val="32"/>
        </w:rPr>
        <w:t>785萬餘元成長至110年度143億8</w:t>
      </w:r>
      <w:r w:rsidRPr="00535340">
        <w:rPr>
          <w:rFonts w:ascii="標楷體" w:eastAsia="標楷體" w:hAnsi="標楷體"/>
          <w:sz w:val="32"/>
          <w:szCs w:val="32"/>
        </w:rPr>
        <w:t>,</w:t>
      </w:r>
      <w:r w:rsidRPr="00535340">
        <w:rPr>
          <w:rFonts w:ascii="標楷體" w:eastAsia="標楷體" w:hAnsi="標楷體" w:hint="eastAsia"/>
          <w:sz w:val="32"/>
          <w:szCs w:val="32"/>
        </w:rPr>
        <w:t>698萬餘元(增加3.74%)。惟研發成果部分，109年度除學術論文期刊2萬3,785篇較107年2萬2,029篇有所上升之外，各領域之專利獲得、專利移轉之件數均較107年度下降。國家科學及技術委員會應持續強化基礎科學研究成果，提升科學創新能量，並配合邊境開放，鼓勵學者進行國際交流，並於3個月內向立法院教育及文化委員會提出書面報告。134</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提案人：黃國書</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連署人：林宜瑾  鄭正鈐</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(二十六)</w:t>
      </w:r>
      <w:r w:rsidRPr="00535340">
        <w:rPr>
          <w:rFonts w:ascii="標楷體" w:eastAsia="標楷體" w:hAnsi="標楷體" w:hint="eastAsia"/>
          <w:sz w:val="32"/>
          <w:szCs w:val="32"/>
        </w:rPr>
        <w:t>查國家科學及技術委員會對「掠奪性期刊及研討會議題之聲明」，學術期刊為學術界發表研究議題與成果之重要管道，透過期刊論文之傳播，研究人員不僅能夠即時掌握科學發展趨勢，亦可與學術社群溝通交流。然而，近來掠奪性期刊與研討會之出現，不僅無法保證長期、定期出版，亦鮮少收錄於知名期刊索引，以致難以產生正面影響力。且掠奪性期刊因缺乏嚴謹學術審查過程，難以提供投稿者精進改善研究機制，此類期刊與研討會所發表論文品質遭到學術界之質疑。然而，國科會</w:t>
      </w:r>
      <w:r>
        <w:rPr>
          <w:rFonts w:ascii="標楷體" w:eastAsia="標楷體" w:hAnsi="標楷體" w:hint="eastAsia"/>
          <w:sz w:val="32"/>
          <w:szCs w:val="32"/>
        </w:rPr>
        <w:t>於</w:t>
      </w:r>
      <w:r w:rsidRPr="00535340">
        <w:rPr>
          <w:rFonts w:ascii="標楷體" w:eastAsia="標楷體" w:hAnsi="標楷體" w:hint="eastAsia"/>
          <w:sz w:val="32"/>
          <w:szCs w:val="32"/>
        </w:rPr>
        <w:t>108至110年9月執行1萬2,446件專題研究計畫產出之國外期刊論文中，有49件投稿至</w:t>
      </w:r>
      <w:r w:rsidRPr="00535340">
        <w:rPr>
          <w:rFonts w:ascii="標楷體" w:eastAsia="標楷體" w:hAnsi="標楷體"/>
          <w:sz w:val="32"/>
          <w:szCs w:val="32"/>
        </w:rPr>
        <w:t>Beall's List</w:t>
      </w:r>
      <w:r w:rsidRPr="00535340">
        <w:rPr>
          <w:rFonts w:ascii="標楷體" w:eastAsia="標楷體" w:hAnsi="標楷體" w:hint="eastAsia"/>
          <w:sz w:val="32"/>
          <w:szCs w:val="32"/>
        </w:rPr>
        <w:t>所列潛在或可能之掠奪性期刊；另有52件曾投稿至JCR警告期刊清單。鑑於掠奪性期刊造成之低學術價值投稿不僅無法落實學術交流目的，亦恐危害個人學術聲望及浪費國家</w:t>
      </w:r>
      <w:r w:rsidRPr="00535340">
        <w:rPr>
          <w:rFonts w:ascii="標楷體" w:eastAsia="標楷體" w:hAnsi="標楷體" w:hint="eastAsia"/>
          <w:sz w:val="32"/>
          <w:szCs w:val="32"/>
        </w:rPr>
        <w:lastRenderedPageBreak/>
        <w:t>投入學術資源。國家科學及技術委員會應審慎評估投稿期刊之品質及風險，並於3個月內向立法院教育及文化委員會提出書面報告。135</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提案人：黃國書</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連署人：林宜瑾  鄭正鈐</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(二十七)</w:t>
      </w:r>
      <w:r w:rsidRPr="00535340">
        <w:rPr>
          <w:rFonts w:ascii="標楷體" w:eastAsia="標楷體" w:hAnsi="標楷體" w:hint="eastAsia"/>
          <w:sz w:val="32"/>
          <w:szCs w:val="32"/>
        </w:rPr>
        <w:t>國家科學及技術委員會編列「國家科學技術發展基金」預算，其中包含協助產業創新發展，並於台南沙崙設立「台灣科技新創基地(TTA)南部據點」，已開始接受團隊申請進駐。由於過往數十年來南北資源發展不均之情形，台南近年的科研發展亟需政府投入資源，</w:t>
      </w:r>
      <w:r>
        <w:rPr>
          <w:rFonts w:ascii="標楷體" w:eastAsia="標楷體" w:hAnsi="標楷體" w:hint="eastAsia"/>
          <w:sz w:val="32"/>
          <w:szCs w:val="32"/>
        </w:rPr>
        <w:t>以</w:t>
      </w:r>
      <w:r w:rsidRPr="00535340">
        <w:rPr>
          <w:rFonts w:ascii="標楷體" w:eastAsia="標楷體" w:hAnsi="標楷體" w:hint="eastAsia"/>
          <w:sz w:val="32"/>
          <w:szCs w:val="32"/>
        </w:rPr>
        <w:t>彌補過往的南北資源落差。國家科學及技術委員會設立「台灣科技新創基地(TTA)</w:t>
      </w:r>
      <w:r>
        <w:rPr>
          <w:rFonts w:ascii="標楷體" w:eastAsia="標楷體" w:hAnsi="標楷體" w:hint="eastAsia"/>
          <w:sz w:val="32"/>
          <w:szCs w:val="32"/>
        </w:rPr>
        <w:t>南部據點」，應積極協助人才培育與招募，媒合學研團隊與廠</w:t>
      </w:r>
      <w:r w:rsidRPr="00535340">
        <w:rPr>
          <w:rFonts w:ascii="標楷體" w:eastAsia="標楷體" w:hAnsi="標楷體" w:hint="eastAsia"/>
          <w:sz w:val="32"/>
          <w:szCs w:val="32"/>
        </w:rPr>
        <w:t>商，推動台南科研發展，完善台南科研聚落。136</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提案人：林宜瑾</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連署人：黃國書  張廖萬堅</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(二十八)</w:t>
      </w:r>
      <w:r w:rsidRPr="00535340">
        <w:rPr>
          <w:rFonts w:ascii="標楷體" w:eastAsia="標楷體" w:hAnsi="標楷體" w:hint="eastAsia"/>
          <w:sz w:val="32"/>
          <w:szCs w:val="32"/>
        </w:rPr>
        <w:t>近日因財團法人資訊工業策進會事件，導致社會各界對於政府機關及政府法人所屬人員，</w:t>
      </w:r>
      <w:r>
        <w:rPr>
          <w:rFonts w:ascii="標楷體" w:eastAsia="標楷體" w:hAnsi="標楷體" w:hint="eastAsia"/>
          <w:sz w:val="32"/>
          <w:szCs w:val="32"/>
        </w:rPr>
        <w:t>占</w:t>
      </w:r>
      <w:r w:rsidRPr="00535340">
        <w:rPr>
          <w:rFonts w:ascii="標楷體" w:eastAsia="標楷體" w:hAnsi="標楷體" w:hint="eastAsia"/>
          <w:sz w:val="32"/>
          <w:szCs w:val="32"/>
        </w:rPr>
        <w:t>政府有關職缺、領取國家薪資的同時，卻將時間私用於個人學位進修相關議題，極度關注。考量主管人員已需額外負擔管理、規劃、領導之責，應無餘力進修學位，若仍允許該員在職/帶職進修，除非當事人個人能力極端突出、傲視群倫、無法取代，實屬該機關(構)不可或缺之</w:t>
      </w:r>
      <w:r>
        <w:rPr>
          <w:rFonts w:ascii="標楷體" w:eastAsia="標楷體" w:hAnsi="標楷體" w:hint="eastAsia"/>
          <w:sz w:val="32"/>
          <w:szCs w:val="32"/>
        </w:rPr>
        <w:t>棟樑</w:t>
      </w:r>
      <w:r w:rsidRPr="00535340">
        <w:rPr>
          <w:rFonts w:ascii="標楷體" w:eastAsia="標楷體" w:hAnsi="標楷體" w:hint="eastAsia"/>
          <w:sz w:val="32"/>
          <w:szCs w:val="32"/>
        </w:rPr>
        <w:t>，否則應排除擔任主管職或領取主管加給/津貼者在職/帶職進修。爰此，國家科學及技術委員會應於1個月內針對下列人員，向立法院教育及文化委員會提出在職/帶職進修之書面報告(應包含但不限於人數、職稱職等、是否領有主管加給/津貼、進修系所、進修學位別、公費/自費、公假/私假、相對義務等項目)，並針對人員在職/帶職進修學位之妥適性、合理性、必要性，向立法院教</w:t>
      </w:r>
      <w:r w:rsidRPr="00535340">
        <w:rPr>
          <w:rFonts w:ascii="標楷體" w:eastAsia="標楷體" w:hAnsi="標楷體" w:hint="eastAsia"/>
          <w:sz w:val="32"/>
          <w:szCs w:val="32"/>
        </w:rPr>
        <w:lastRenderedPageBreak/>
        <w:t>育及文化委員會及社會大眾公開說明：1.國家科學及技術委員會內科長(含)以上之人員；2.各</w:t>
      </w:r>
      <w:r>
        <w:rPr>
          <w:rFonts w:ascii="標楷體" w:eastAsia="標楷體" w:hAnsi="標楷體" w:hint="eastAsia"/>
          <w:sz w:val="32"/>
          <w:szCs w:val="32"/>
        </w:rPr>
        <w:t>科學</w:t>
      </w:r>
      <w:r w:rsidRPr="00535340">
        <w:rPr>
          <w:rFonts w:ascii="標楷體" w:eastAsia="標楷體" w:hAnsi="標楷體" w:hint="eastAsia"/>
          <w:sz w:val="32"/>
          <w:szCs w:val="32"/>
        </w:rPr>
        <w:t>園區管理局內科長(含)以上之人員；3.行政法人國家災害防救科技中心副組長(含)以上之人員；4.</w:t>
      </w:r>
      <w:r>
        <w:rPr>
          <w:rFonts w:ascii="標楷體" w:eastAsia="標楷體" w:hAnsi="標楷體" w:hint="eastAsia"/>
          <w:sz w:val="32"/>
          <w:szCs w:val="32"/>
        </w:rPr>
        <w:t>行政法人</w:t>
      </w:r>
      <w:r w:rsidRPr="00535340">
        <w:rPr>
          <w:rFonts w:ascii="標楷體" w:eastAsia="標楷體" w:hAnsi="標楷體" w:hint="eastAsia"/>
          <w:sz w:val="32"/>
          <w:szCs w:val="32"/>
        </w:rPr>
        <w:t>國家太空中心副組長(含)以上之人員；5.財團法人國家實驗研究院(院本部及所屬各中心)副組長(含)以上之人員；6.財團法人國家同步輻射研究中心副組長(含)以上之人員。137</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提案人：鄭正鈐</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連署人：萬美玲  吳怡玎</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(二十九)</w:t>
      </w:r>
      <w:r w:rsidRPr="00535340">
        <w:rPr>
          <w:rFonts w:ascii="標楷體" w:eastAsia="標楷體" w:hAnsi="標楷體" w:hint="eastAsia"/>
          <w:sz w:val="32"/>
          <w:szCs w:val="32"/>
        </w:rPr>
        <w:t>根據「國家科學及技術委員會處務規程」第19條以及「國家科學及技術委員會科技辦公室設置要點」規定</w:t>
      </w:r>
      <w:r>
        <w:rPr>
          <w:rFonts w:ascii="標楷體" w:eastAsia="標楷體" w:hAnsi="標楷體" w:hint="eastAsia"/>
          <w:sz w:val="32"/>
          <w:szCs w:val="32"/>
        </w:rPr>
        <w:t>，</w:t>
      </w:r>
      <w:r w:rsidRPr="00535340">
        <w:rPr>
          <w:rFonts w:ascii="標楷體" w:eastAsia="標楷體" w:hAnsi="標楷體" w:hint="eastAsia"/>
          <w:sz w:val="32"/>
          <w:szCs w:val="32"/>
        </w:rPr>
        <w:t>…得由本會人員、相關機關(構)人員或</w:t>
      </w:r>
      <w:r>
        <w:rPr>
          <w:rFonts w:ascii="標楷體" w:eastAsia="標楷體" w:hAnsi="標楷體" w:hint="eastAsia"/>
          <w:sz w:val="32"/>
          <w:szCs w:val="32"/>
        </w:rPr>
        <w:t>依行政院科技會報設置要點聘任之科技會報委員借調、充任或兼任之。</w:t>
      </w:r>
      <w:r w:rsidRPr="00535340">
        <w:rPr>
          <w:rFonts w:ascii="標楷體" w:eastAsia="標楷體" w:hAnsi="標楷體" w:hint="eastAsia"/>
          <w:sz w:val="32"/>
          <w:szCs w:val="32"/>
        </w:rPr>
        <w:t>國家科學及技術委員會科技辦公室前身為行政院科技會報辦公室，科會辦自成立以來屢屢因為疊床架屋、有權無責、運用法人借調人力而備受批評，經立法院跨黨派委員齊心齊力督促後，始於此次科技部改組國家科學及技術委員會之際，併入國科會成立常設任務編組科技辦。</w:t>
      </w:r>
      <w:r>
        <w:rPr>
          <w:rFonts w:ascii="標楷體" w:eastAsia="標楷體" w:hAnsi="標楷體" w:hint="eastAsia"/>
          <w:sz w:val="32"/>
          <w:szCs w:val="32"/>
        </w:rPr>
        <w:t>惟</w:t>
      </w:r>
      <w:r w:rsidRPr="00535340">
        <w:rPr>
          <w:rFonts w:ascii="標楷體" w:eastAsia="標楷體" w:hAnsi="標楷體" w:hint="eastAsia"/>
          <w:sz w:val="32"/>
          <w:szCs w:val="32"/>
        </w:rPr>
        <w:t>此番組改，既然科技辦已隸屬國科會，應整體檢討人力配置情形，避免大量借調法人人才，以符合組改後新組織定位及外界期待。爰此，國家科學及技術委員會應於1個月內，提出科技辦公室之任務規劃與人力配置說明</w:t>
      </w:r>
      <w:r>
        <w:rPr>
          <w:rFonts w:ascii="標楷體" w:eastAsia="標楷體" w:hAnsi="標楷體" w:hint="eastAsia"/>
          <w:sz w:val="32"/>
          <w:szCs w:val="32"/>
        </w:rPr>
        <w:t>，始符法制</w:t>
      </w:r>
      <w:r w:rsidRPr="00535340">
        <w:rPr>
          <w:rFonts w:ascii="標楷體" w:eastAsia="標楷體" w:hAnsi="標楷體" w:hint="eastAsia"/>
          <w:sz w:val="32"/>
          <w:szCs w:val="32"/>
        </w:rPr>
        <w:t>。138</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提案人：鄭正鈐</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連署人：萬美玲  吳怡玎</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w:t>
      </w:r>
      <w:r w:rsidRPr="00535340">
        <w:rPr>
          <w:rFonts w:ascii="標楷體" w:eastAsia="標楷體" w:hAnsi="標楷體" w:hint="eastAsia"/>
          <w:sz w:val="32"/>
          <w:szCs w:val="32"/>
        </w:rPr>
        <w:t>美中晶片戰開打，我國恐成最大受害者。像是Google前董事長施密特（Eric Schmidt），在111年中便曾投書「華爾街日報」指出，美國企業所需的半導體先進製程，已經太嚴重依賴台灣，倘若台灣晶片產能落到中國手中，將引發嚴重</w:t>
      </w:r>
      <w:r w:rsidRPr="00535340">
        <w:rPr>
          <w:rFonts w:ascii="標楷體" w:eastAsia="標楷體" w:hAnsi="標楷體" w:hint="eastAsia"/>
          <w:sz w:val="32"/>
          <w:szCs w:val="32"/>
        </w:rPr>
        <w:lastRenderedPageBreak/>
        <w:t>危機。這說明了，美中台的晶片競合議題，早已讓美國政府與民間無法坐視台灣積體電路製造股份有限公司在半導體鏈上占據過重地位，這也正是從川普以來，基於美國優先思</w:t>
      </w:r>
      <w:r>
        <w:rPr>
          <w:rFonts w:ascii="標楷體" w:eastAsia="標楷體" w:hAnsi="標楷體" w:hint="eastAsia"/>
          <w:sz w:val="32"/>
          <w:szCs w:val="32"/>
        </w:rPr>
        <w:t>維</w:t>
      </w:r>
      <w:r w:rsidRPr="00535340">
        <w:rPr>
          <w:rFonts w:ascii="標楷體" w:eastAsia="標楷體" w:hAnsi="標楷體" w:hint="eastAsia"/>
          <w:sz w:val="32"/>
          <w:szCs w:val="32"/>
        </w:rPr>
        <w:t>，運用政策工具來瓦解台灣矽島影響力。爰此，國家科學及技術委員會應於1個月內，針對美、日等國逐步侵蝕台灣半導體產業能量，以及國際</w:t>
      </w:r>
      <w:r>
        <w:rPr>
          <w:rFonts w:ascii="標楷體" w:eastAsia="標楷體" w:hAnsi="標楷體" w:hint="eastAsia"/>
          <w:sz w:val="32"/>
          <w:szCs w:val="32"/>
        </w:rPr>
        <w:t>晶片戰爭下對台灣的衝擊影響，向立法院教育及文化委員會提出</w:t>
      </w:r>
      <w:r w:rsidRPr="00535340">
        <w:rPr>
          <w:rFonts w:ascii="標楷體" w:eastAsia="標楷體" w:hAnsi="標楷體" w:hint="eastAsia"/>
          <w:sz w:val="32"/>
          <w:szCs w:val="32"/>
        </w:rPr>
        <w:t>書面報告。139</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提案人：鄭正鈐</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連署人：萬美玲  吳怡玎</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(三十一)</w:t>
      </w:r>
      <w:r w:rsidRPr="00535340">
        <w:rPr>
          <w:rFonts w:ascii="標楷體" w:eastAsia="標楷體" w:hAnsi="標楷體" w:hint="eastAsia"/>
          <w:sz w:val="32"/>
          <w:szCs w:val="32"/>
        </w:rPr>
        <w:t>國家科學及技術委員會所屬財團法人國家實驗研究院聘用假博士事件已嚴重傷害國人、甚至國際間對於國科會、國研院、以及我國高階人才質量之信賴!</w:t>
      </w:r>
      <w:r>
        <w:rPr>
          <w:rFonts w:ascii="標楷體" w:eastAsia="標楷體" w:hAnsi="標楷體" w:hint="eastAsia"/>
          <w:sz w:val="32"/>
          <w:szCs w:val="32"/>
        </w:rPr>
        <w:t>惟</w:t>
      </w:r>
      <w:r w:rsidRPr="00535340">
        <w:rPr>
          <w:rFonts w:ascii="標楷體" w:eastAsia="標楷體" w:hAnsi="標楷體" w:hint="eastAsia"/>
          <w:sz w:val="32"/>
          <w:szCs w:val="32"/>
        </w:rPr>
        <w:t>國科會至今仍未針對接獲舉報年餘卻無動於衷之隱匿行為進行調查，僅在鄭委員正鈐質詢後企圖以當年承辦人員疏失移花接木，完全無視接獲檢舉後之隱匿包庇惡行!爰此，國家科學及技術委員會及財團法人國家實驗研究院應於1個月內向立法院教育及文化委員會提出書面報告，敘明財團法人國家實驗研究院院長、副院長等各級主管，逐一釐清是否有知情不報情事，找出隱匿斷點與環節，進行監督失職之責任追究，以昭公信。140</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提案人：鄭正鈐</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連署人：萬美玲  吳怡玎</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(三十二)行政院</w:t>
      </w:r>
      <w:r w:rsidRPr="00535340">
        <w:rPr>
          <w:rFonts w:ascii="標楷體" w:eastAsia="標楷體" w:hAnsi="標楷體" w:hint="eastAsia"/>
          <w:sz w:val="32"/>
          <w:szCs w:val="32"/>
        </w:rPr>
        <w:t>國家科學技術發展基金以國家科學及技術委員會</w:t>
      </w:r>
      <w:r>
        <w:rPr>
          <w:rFonts w:ascii="標楷體" w:eastAsia="標楷體" w:hAnsi="標楷體" w:hint="eastAsia"/>
          <w:sz w:val="32"/>
          <w:szCs w:val="32"/>
        </w:rPr>
        <w:t>為</w:t>
      </w:r>
      <w:r w:rsidRPr="00535340">
        <w:rPr>
          <w:rFonts w:ascii="標楷體" w:eastAsia="標楷體" w:hAnsi="標楷體" w:hint="eastAsia"/>
          <w:sz w:val="32"/>
          <w:szCs w:val="32"/>
        </w:rPr>
        <w:t>管</w:t>
      </w:r>
      <w:r>
        <w:rPr>
          <w:rFonts w:ascii="標楷體" w:eastAsia="標楷體" w:hAnsi="標楷體" w:hint="eastAsia"/>
          <w:sz w:val="32"/>
          <w:szCs w:val="32"/>
        </w:rPr>
        <w:t>理</w:t>
      </w:r>
      <w:r w:rsidRPr="00535340">
        <w:rPr>
          <w:rFonts w:ascii="標楷體" w:eastAsia="標楷體" w:hAnsi="標楷體" w:hint="eastAsia"/>
          <w:sz w:val="32"/>
          <w:szCs w:val="32"/>
        </w:rPr>
        <w:t>機關。112年度預算書中，國家科學技術發展基金施政重點：(一)統合國家科技前瞻布局，建構跨部會治理新典範下2.擘劃前沿科技，提前部署全球關鍵課題， 提升臺灣科技戰略地位之(3)扣合國家2050年淨零目標，布局未來淨零科技領域包括永續能源、低碳、循環、負碳、社會科學等</w:t>
      </w:r>
      <w:r w:rsidRPr="00535340">
        <w:rPr>
          <w:rFonts w:ascii="標楷體" w:eastAsia="標楷體" w:hAnsi="標楷體" w:hint="eastAsia"/>
          <w:sz w:val="32"/>
          <w:szCs w:val="32"/>
        </w:rPr>
        <w:lastRenderedPageBreak/>
        <w:t>面向，並成立淨零科技研究中心，聚焦具前瞻性或突破性等須長期投入之淨零科技，期於2030年後可達驗證或示範階段。淨零是永續發展趨勢，值得</w:t>
      </w:r>
      <w:r>
        <w:rPr>
          <w:rFonts w:ascii="標楷體" w:eastAsia="標楷體" w:hAnsi="標楷體" w:hint="eastAsia"/>
          <w:sz w:val="32"/>
          <w:szCs w:val="32"/>
        </w:rPr>
        <w:t>布</w:t>
      </w:r>
      <w:r w:rsidRPr="00535340">
        <w:rPr>
          <w:rFonts w:ascii="標楷體" w:eastAsia="標楷體" w:hAnsi="標楷體" w:hint="eastAsia"/>
          <w:sz w:val="32"/>
          <w:szCs w:val="32"/>
        </w:rPr>
        <w:t>局、關注。爰此國家科學及技術委員會應於1個月內向立法院教育及文化委員會提出淨零科技方案規劃說明之書面報告。141</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提案人：鄭正鈐</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連署人：萬美玲  吳怡玎</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(三十三)</w:t>
      </w:r>
      <w:r w:rsidRPr="00535340">
        <w:rPr>
          <w:rFonts w:ascii="標楷體" w:eastAsia="標楷體" w:hAnsi="標楷體" w:hint="eastAsia"/>
          <w:sz w:val="32"/>
          <w:szCs w:val="32"/>
        </w:rPr>
        <w:t>依「國家太空中心設置條例」第3條規定，行政法人國家太空中心業務範圍即包含培育太空科技人才。經查112年度國家科學及技術委員會「國家太空中心發展計畫」項下「太空產業推動與人才培育計畫」預算編列14億8,635萬元，其中「太空科技人才培育計畫」預算編列1,249萬元。惟培育太空科技人才為國家太空中心業務範圍，又依「國家太空中心設置條例」國科會為國家太空中心之監管機關，而國科會本身根據「太空發展法」又為我國太空發展的主管機關。因此</w:t>
      </w:r>
      <w:r>
        <w:rPr>
          <w:rFonts w:ascii="標楷體" w:eastAsia="標楷體" w:hAnsi="標楷體" w:hint="eastAsia"/>
          <w:sz w:val="32"/>
          <w:szCs w:val="32"/>
        </w:rPr>
        <w:t>「</w:t>
      </w:r>
      <w:r w:rsidRPr="00535340">
        <w:rPr>
          <w:rFonts w:ascii="標楷體" w:eastAsia="標楷體" w:hAnsi="標楷體" w:hint="eastAsia"/>
          <w:sz w:val="32"/>
          <w:szCs w:val="32"/>
        </w:rPr>
        <w:t>太空科技人才培育計畫</w:t>
      </w:r>
      <w:r>
        <w:rPr>
          <w:rFonts w:ascii="標楷體" w:eastAsia="標楷體" w:hAnsi="標楷體" w:hint="eastAsia"/>
          <w:sz w:val="32"/>
          <w:szCs w:val="32"/>
        </w:rPr>
        <w:t>」</w:t>
      </w:r>
      <w:r w:rsidRPr="00535340">
        <w:rPr>
          <w:rFonts w:ascii="標楷體" w:eastAsia="標楷體" w:hAnsi="標楷體" w:hint="eastAsia"/>
          <w:sz w:val="32"/>
          <w:szCs w:val="32"/>
        </w:rPr>
        <w:t>預算僅編列1,249萬元，似有不符行政法人國家太空中心、國科會之法定地位與外界期待。爰請國家科學及技術委員會多加投入培育相關人才之資源，以促加速我國太空活動及太空產業之發展，並於2個月內向立法院教育及文化委員會提出書面報告。142</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提案人：張廖萬堅</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連署人：吳思瑤  林宜瑾</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(三十四)</w:t>
      </w:r>
      <w:r w:rsidRPr="00535340">
        <w:rPr>
          <w:rFonts w:ascii="標楷體" w:eastAsia="標楷體" w:hAnsi="標楷體" w:hint="eastAsia"/>
          <w:sz w:val="32"/>
          <w:szCs w:val="32"/>
        </w:rPr>
        <w:t>行政院環境保護署在111年10月3日召開中部科學園區擴建2期環境影響評估案審查會，中科已主動降低開發強度，開發面積由94.62公頃縮減為89.75公頃，保留大規模的公園綠地，並降低用水、用電量。但仍被質疑用水、用電只減5%降幅太小，有加重台中市整體的環境負載之虞。環評委員即要求加嚴空污排放限值，與加強廢棄物能自主處理，</w:t>
      </w:r>
      <w:r w:rsidRPr="00535340">
        <w:rPr>
          <w:rFonts w:ascii="標楷體" w:eastAsia="標楷體" w:hAnsi="標楷體" w:hint="eastAsia"/>
          <w:sz w:val="32"/>
          <w:szCs w:val="32"/>
        </w:rPr>
        <w:lastRenderedPageBreak/>
        <w:t>並於會議結論請中科在111年12月31日前補正後再審。惟中部科學園區擴建2期攸關半導體及上中下游產業在中台灣的布局，更為擴大台灣整體科技發展動能，以維持我國半導體產業的全球競爭力。爰請國家科學及技術委員會應督促儘速完成環評等相關程序，與加強對外說明，協助大眾釐清相關疑慮，以兼顧環境永續與產業發展，並於</w:t>
      </w:r>
      <w:r w:rsidRPr="00535340">
        <w:rPr>
          <w:rFonts w:ascii="標楷體" w:eastAsia="標楷體" w:hAnsi="標楷體"/>
          <w:sz w:val="32"/>
          <w:szCs w:val="32"/>
        </w:rPr>
        <w:t>3</w:t>
      </w:r>
      <w:r w:rsidRPr="00535340">
        <w:rPr>
          <w:rFonts w:ascii="標楷體" w:eastAsia="標楷體" w:hAnsi="標楷體" w:hint="eastAsia"/>
          <w:sz w:val="32"/>
          <w:szCs w:val="32"/>
        </w:rPr>
        <w:t>個月內向立法院教育及文化委員會提出書面報告。143</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提案人：張廖萬堅</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w:t>
      </w:r>
      <w:r>
        <w:rPr>
          <w:rFonts w:ascii="標楷體" w:eastAsia="標楷體" w:hAnsi="標楷體" w:hint="eastAsia"/>
          <w:sz w:val="32"/>
          <w:szCs w:val="32"/>
        </w:rPr>
        <w:t>黃國書</w:t>
      </w:r>
      <w:r w:rsidRPr="00535340">
        <w:rPr>
          <w:rFonts w:ascii="標楷體" w:eastAsia="標楷體" w:hAnsi="標楷體" w:hint="eastAsia"/>
          <w:sz w:val="32"/>
          <w:szCs w:val="32"/>
        </w:rPr>
        <w:t xml:space="preserve">  林宜瑾</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(三十五)</w:t>
      </w:r>
      <w:r w:rsidRPr="00535340">
        <w:rPr>
          <w:rFonts w:ascii="標楷體" w:eastAsia="標楷體" w:hAnsi="標楷體" w:hint="eastAsia"/>
          <w:sz w:val="32"/>
          <w:szCs w:val="32"/>
        </w:rPr>
        <w:t>台灣在2021上半年遭逢嚴重旱災，科學園區亦配合辦理限水，如台灣積體電路製造股份有限公司中部科學園區廠當時就啟動水車，前往建築工地載運工地施工所需排放的地下水。而我國為全球重要半導體生產重鎮，缺水危機甚至引起國際高度關注。另外，歐盟、英國、美國、日本及韓國皆宣示以2050年達到碳中和的目標，且蘋果等科技大廠亦帶頭要求供應鏈在2050年前達到全數使用再生能源的目標，顯見再生能源發展已成為全球趨勢。我國也在111年3月公布2050淨零排放路徑，以促進關鍵領域之技術、研究與創新，引導產業綠色轉型。不論是現有園區或未來將設置之園區，國家科學及技術委員會除持續推動節水、節能措施外，更應秉持超前</w:t>
      </w:r>
      <w:r>
        <w:rPr>
          <w:rFonts w:ascii="標楷體" w:eastAsia="標楷體" w:hAnsi="標楷體" w:hint="eastAsia"/>
          <w:sz w:val="32"/>
          <w:szCs w:val="32"/>
        </w:rPr>
        <w:t>部</w:t>
      </w:r>
      <w:r w:rsidRPr="00535340">
        <w:rPr>
          <w:rFonts w:ascii="標楷體" w:eastAsia="標楷體" w:hAnsi="標楷體" w:hint="eastAsia"/>
          <w:sz w:val="32"/>
          <w:szCs w:val="32"/>
        </w:rPr>
        <w:t>署之前瞻思惟，審慎規劃有效誘因及相關配套，如訂定低耗水、低耗能及鼓勵使用再生能源的管考標準，推動產業轉型，並於2個月內向立法院教育及文化委員會提出書面報告。144</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提案人：張廖萬堅</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w:t>
      </w:r>
      <w:r>
        <w:rPr>
          <w:rFonts w:ascii="標楷體" w:eastAsia="標楷體" w:hAnsi="標楷體" w:hint="eastAsia"/>
          <w:sz w:val="32"/>
          <w:szCs w:val="32"/>
        </w:rPr>
        <w:t>黃國書</w:t>
      </w:r>
      <w:r w:rsidRPr="00535340">
        <w:rPr>
          <w:rFonts w:ascii="標楷體" w:eastAsia="標楷體" w:hAnsi="標楷體" w:hint="eastAsia"/>
          <w:sz w:val="32"/>
          <w:szCs w:val="32"/>
        </w:rPr>
        <w:t xml:space="preserve">  林宜瑾</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(三十六)</w:t>
      </w:r>
      <w:r w:rsidRPr="00535340">
        <w:rPr>
          <w:rFonts w:ascii="標楷體" w:eastAsia="標楷體" w:hAnsi="標楷體" w:hint="eastAsia"/>
          <w:sz w:val="32"/>
          <w:szCs w:val="32"/>
        </w:rPr>
        <w:t>台中擁有中部科學園區、台中精密科學園區與台中工業區等產業聚落，在半導體、精密機械、智慧製造，甚至航</w:t>
      </w:r>
      <w:r w:rsidRPr="00535340">
        <w:rPr>
          <w:rFonts w:ascii="標楷體" w:eastAsia="標楷體" w:hAnsi="標楷體" w:hint="eastAsia"/>
          <w:sz w:val="32"/>
          <w:szCs w:val="32"/>
        </w:rPr>
        <w:lastRenderedPageBreak/>
        <w:t>太、醫材等領域都有非常突出的表現，且距離台中市區也近。大專院校的部分，國立中興大學、國立台中科技大學、國立台中教育大學等校也都設有創新創業的相關單位。而在交通上，除了雙鐵與公路網之外，更有台中港及台中國際機場「雙港」之優勢。爰請國家科學及技術委員會研議規劃在台中設置</w:t>
      </w:r>
      <w:r w:rsidRPr="00FF46E8">
        <w:rPr>
          <w:rFonts w:ascii="標楷體" w:eastAsia="標楷體" w:hAnsi="標楷體" w:hint="eastAsia"/>
          <w:sz w:val="32"/>
          <w:szCs w:val="32"/>
        </w:rPr>
        <w:t>台灣科技新創基地</w:t>
      </w:r>
      <w:r w:rsidRPr="00535340">
        <w:rPr>
          <w:rFonts w:ascii="標楷體" w:eastAsia="標楷體" w:hAnsi="標楷體" w:hint="eastAsia"/>
          <w:sz w:val="32"/>
          <w:szCs w:val="32"/>
        </w:rPr>
        <w:t>，發揮台中產學環境之優勢，以促進中部產業創新之發展，並於2個月內向立法院教育及文化委員會提出書面報告。145</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提案人：張廖萬堅</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連署人：吳思瑤  林宜瑾</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(三十七)</w:t>
      </w:r>
      <w:r w:rsidRPr="00535340">
        <w:rPr>
          <w:rFonts w:ascii="標楷體" w:eastAsia="標楷體" w:hAnsi="標楷體" w:hint="eastAsia"/>
          <w:sz w:val="32"/>
          <w:szCs w:val="32"/>
        </w:rPr>
        <w:t>依「國家安全法」、「兩岸人民關係條例」，國家科學及技術委員會負責研擬子法以規範國家關鍵核心技術的認定機制與程序。吳主任委員政忠亦於111年10月26日立法院教育及文化委員會詢答中表示，相關子法將在111年年底公告，將請產官學研共組委員會審議，以兼顧保障台灣核心關鍵技術與產業利益。又美國晶片禁令實施後，有加速中國挖角台灣相關人才、技術力道之虞。爰請國家科學及技術委員會儘速完成相關子法，以保護國家關鍵核心技術，防止其外流到境外敵對勢力，損及國家安全，並於2個月內向立法院教育及文化委員會提出書面報告。146</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提案人：張廖萬堅</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連署人：吳思瑤  林宜瑾</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(三十八)</w:t>
      </w:r>
      <w:r w:rsidRPr="00535340">
        <w:rPr>
          <w:rFonts w:ascii="標楷體" w:eastAsia="標楷體" w:hAnsi="標楷體" w:hint="eastAsia"/>
          <w:sz w:val="32"/>
          <w:szCs w:val="32"/>
        </w:rPr>
        <w:t>112年度國家科學及技術委員會派員出國計畫預算編列12萬1千元，與111年度預算數相同，然與前2年受疫情影響相比，近來國際疫情逐漸解封，臺灣陸續鬆綁管制措施並開放國境，可見未來相關國際交流之計畫、研究會議、研討會議應當密集舉辦、擴大規模。臺灣作為科技產業前瞻的中心，國家科學及技術委員會扮演推動科學技術研究推展的關</w:t>
      </w:r>
      <w:r w:rsidRPr="00535340">
        <w:rPr>
          <w:rFonts w:ascii="標楷體" w:eastAsia="標楷體" w:hAnsi="標楷體" w:hint="eastAsia"/>
          <w:sz w:val="32"/>
          <w:szCs w:val="32"/>
        </w:rPr>
        <w:lastRenderedPageBreak/>
        <w:t>鍵角色，應當積極推進，增加國際交流之機會，強化我國與國際之間的科技研究合作。147</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提案人：吳思瑤</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連署人：賴品妤  范  雲</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(三十九)</w:t>
      </w:r>
      <w:r w:rsidRPr="00535340">
        <w:rPr>
          <w:rFonts w:ascii="標楷體" w:eastAsia="標楷體" w:hAnsi="標楷體" w:hint="eastAsia"/>
          <w:sz w:val="32"/>
          <w:szCs w:val="32"/>
        </w:rPr>
        <w:t>面對全球氣候變遷之影響，臺灣近年如強降雨洪災、高溫、乾旱缺水等極端災害頻繁發生，為面對氣候緊急狀態，推動「韌性城鄉」與「防災調適」以為重要課題，國家科學及技術委員會應針對在地災害情資研判、情資數據掌控、災害風險管理等面向，發展「地方災害調適策略」，並針對建置跨領域氣候科學及調適服務，邀集跨部會合作，整合研究量能，推動自然科學、社會科學、風險治理與因應對策研究，以支撐國內氣候調適政策之推動。綜上所述，國家科學及技術委員會應於3個月內向立法院教育及文化委員會提出政策改善方案之書面報告。148</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提案人：吳思瑤</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連署人：賴品妤  范  雲</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(四十)</w:t>
      </w:r>
      <w:r w:rsidRPr="00535340">
        <w:rPr>
          <w:rFonts w:ascii="標楷體" w:eastAsia="標楷體" w:hAnsi="標楷體" w:hint="eastAsia"/>
          <w:sz w:val="32"/>
          <w:szCs w:val="32"/>
        </w:rPr>
        <w:t>為防範外國及境外敵對勢力以竊取、侵占、詐術、脅迫、擅自重製等不正方法，取得我國核心關鍵技術之營業秘密，或取得後進而使用、洩漏，行政院擬具「國家安全法部分條文修正草案」，於111年5月20日三讀通過，針對中國或境外敵對勢力竊取國家核心關鍵技術之營業秘密，或取得後使用、洩漏，最重可處12年、罰金1億元，其針對「國家核心關鍵技術」之認定程序及其他應遵行事項辦法，須由國家科學及技術委員會會商有關機關定之，然迄今尚未訂定。此外，美國晶片禁令實施後，恐有加速中國挖角台灣相關人才、技術力道之虞。守護國家核心關鍵技術刻不容緩，國家科學及技術委員會應儘速研商「國家核心關鍵技術」認定程序及應遵行事項辦法，以保護國家關鍵核心技術，防止其外</w:t>
      </w:r>
      <w:r w:rsidRPr="00535340">
        <w:rPr>
          <w:rFonts w:ascii="標楷體" w:eastAsia="標楷體" w:hAnsi="標楷體" w:hint="eastAsia"/>
          <w:sz w:val="32"/>
          <w:szCs w:val="32"/>
        </w:rPr>
        <w:lastRenderedPageBreak/>
        <w:t>流至境外敵對勢力，損及國家安全。綜上所述，國家科學及技術委員會應於3個月內向立法院教育及文化委員會提出政策改善方案之書面報告。149</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提案人：吳思瑤</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連署人：賴品妤  范  雲</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(四十一)</w:t>
      </w:r>
      <w:r w:rsidRPr="00535340">
        <w:rPr>
          <w:rFonts w:ascii="標楷體" w:eastAsia="標楷體" w:hAnsi="標楷體" w:hint="eastAsia"/>
          <w:sz w:val="32"/>
          <w:szCs w:val="32"/>
        </w:rPr>
        <w:t>教育部為推廣科學知識，自2020年起，主辦「臺灣科學節」系列活動，由旗下轄5大博物館舍</w:t>
      </w:r>
      <w:r>
        <w:rPr>
          <w:rFonts w:ascii="標楷體" w:eastAsia="標楷體" w:hAnsi="標楷體" w:hint="eastAsia"/>
          <w:sz w:val="32"/>
          <w:szCs w:val="32"/>
        </w:rPr>
        <w:t>：</w:t>
      </w:r>
      <w:r w:rsidRPr="00535340">
        <w:rPr>
          <w:rFonts w:ascii="標楷體" w:eastAsia="標楷體" w:hAnsi="標楷體" w:hint="eastAsia"/>
          <w:sz w:val="32"/>
          <w:szCs w:val="32"/>
        </w:rPr>
        <w:t>國立海洋科技博物館、國立臺灣科學教育館、國立自然科學博物館、國立科學工藝博物館、國立海洋生物博物館承辦，邀集各級學校參與，透過辦理各類科學活動，吸引民眾一同參與，傳遞臺灣科學創新傳播之能量。過往臺灣科學節由科技部協辦，111年則與國家科學及技術委員會共同主辦，引介科學及科技的發展與創新，惟為擴大科學研究專業知識之普及，應加強國科會所轄相關研究單位如</w:t>
      </w:r>
      <w:r>
        <w:rPr>
          <w:rFonts w:ascii="標楷體" w:eastAsia="標楷體" w:hAnsi="標楷體" w:hint="eastAsia"/>
          <w:sz w:val="32"/>
          <w:szCs w:val="32"/>
        </w:rPr>
        <w:t>行政法人</w:t>
      </w:r>
      <w:r w:rsidRPr="00535340">
        <w:rPr>
          <w:rFonts w:ascii="標楷體" w:eastAsia="標楷體" w:hAnsi="標楷體" w:hint="eastAsia"/>
          <w:sz w:val="32"/>
          <w:szCs w:val="32"/>
        </w:rPr>
        <w:t>國家太空中心暨國家地震工程研究中心、行政法人國家災害防救科技中心等共同籌畫之角色，並研議加入中央研究院、行政院原子能委員會等相關部會參與籌劃，打造科普國家隊，展現臺灣科研能量。綜上所述，國家科學及技術委員會應於3個月內向立法院教育及文化委員會提出政策改善方案之書面報告。150</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提案人：吳思瑤</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連署人：賴品妤  范  雲</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(四十二)</w:t>
      </w:r>
      <w:r w:rsidRPr="00535340">
        <w:rPr>
          <w:rFonts w:ascii="標楷體" w:eastAsia="標楷體" w:hAnsi="標楷體" w:hint="eastAsia"/>
          <w:sz w:val="32"/>
          <w:szCs w:val="32"/>
        </w:rPr>
        <w:t>太空產業為我國六大核心戰略產業之國防及戰略產業推動一環，台灣不僅具備衛星與火箭之自主研製能量，也有堅實的半導體、資通訊、機密機械等產業基礎，其目標為結合國內產學研的能量，精進本土太空技術，培育太空科技人才，建立我國自主太空產業。為促進太空科技人才培育及科普教育之推動，國家科學及技術委員會應與教育部合作，整合教育機關、研究機構與所屬博物館資源，推廣太空科普知</w:t>
      </w:r>
      <w:r w:rsidRPr="00535340">
        <w:rPr>
          <w:rFonts w:ascii="標楷體" w:eastAsia="標楷體" w:hAnsi="標楷體" w:hint="eastAsia"/>
          <w:sz w:val="32"/>
          <w:szCs w:val="32"/>
        </w:rPr>
        <w:lastRenderedPageBreak/>
        <w:t>識與科學教育，並置入科技體驗與人文思維，培養學生對太空科技之興趣，吸引人才投入太空科技領域。綜上所述，國家科學及技術委員會應於3個月內向立法院教育及文化委員會提出政策改善方案之書面報告。151</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提案人：吳思瑤</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連署人：賴品妤  范  雲</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(四十三)</w:t>
      </w:r>
      <w:r w:rsidRPr="00535340">
        <w:rPr>
          <w:rFonts w:ascii="標楷體" w:eastAsia="標楷體" w:hAnsi="標楷體" w:hint="eastAsia"/>
          <w:sz w:val="32"/>
          <w:szCs w:val="32"/>
        </w:rPr>
        <w:t>依據財團法人國家同步輻射研究中心之決算書資料顯示，其106至110年度之結算結果皆為短絀，金額介於9,263萬至1億1,442萬元，其111及112年度收支餘絀預算數分別編列短絀1億1,910萬1千元及1億1,231萬7千元，顯示該中心長期入不敷出。另查該中心自97至110年度所取得之77件專利，其中僅應用件數為3件，顯示其應持續加強推廣產業應用，以增加收益改善短絀。綜上所述，國家科學及技術委員會應於3個月內向立法院教育及文化委員會提出政策改善方案之書面報告。152</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提案人：吳思瑤</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連署人：賴品妤  范  雲</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(四十四)行政院</w:t>
      </w:r>
      <w:r w:rsidRPr="00535340">
        <w:rPr>
          <w:rFonts w:ascii="標楷體" w:eastAsia="標楷體" w:hAnsi="標楷體" w:hint="eastAsia"/>
          <w:sz w:val="32"/>
          <w:szCs w:val="32"/>
        </w:rPr>
        <w:t>國家科學技術發展基金之人文及社會科學領域研究係推動人文學、社會科學、管理學、科學教育等領域之基礎研究，橫跨人文社會、科技藝術、族群、文化等面向。自2017年起，文化部與科技部共同舉辦「文化科技論壇」，並提出「文化科技施政綱領」。擬以文化帶動科技創新，開展文化未來，創造文化科技、跨域共創共享，與國家科學及技術委員會跨部會合作，共推「形塑文化科技創新型社會」、「以文化想像帶動科技創新研發」、「普及智慧型文化公共服務，促進文化近用與平權」、「連結在地文化，厚植數位時代內容生產與藝術創作」、「加速文化數位傳播，打造國家品牌」、「完備數位治理，增進公民數位參與」等6大目</w:t>
      </w:r>
      <w:r w:rsidRPr="00535340">
        <w:rPr>
          <w:rFonts w:ascii="標楷體" w:eastAsia="標楷體" w:hAnsi="標楷體" w:hint="eastAsia"/>
          <w:sz w:val="32"/>
          <w:szCs w:val="32"/>
        </w:rPr>
        <w:lastRenderedPageBreak/>
        <w:t>標。經查文化科技論壇已於2020年停辦，而文化科技施政綱領似未經行政院核定，吳委員思瑤業已向文化部提出要求檢討策進，國科會亦應主動積極共推文化科技施政綱領，如世界各國以科技導入文化資產維護，使文化科技成為國科會施政重點要項，以預算引領政策挹注文化科技，落實文化科技之核心價值。綜上所述，國家科學及技術委員會應於3個月內向立法院教育及文化委員會提出政策改善方案之書面報告。153</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提案人：吳思瑤</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連署人：賴品妤  范  雲</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(四十五)</w:t>
      </w:r>
      <w:r w:rsidRPr="00535340">
        <w:rPr>
          <w:rFonts w:ascii="標楷體" w:eastAsia="標楷體" w:hAnsi="標楷體" w:hint="eastAsia"/>
          <w:sz w:val="32"/>
          <w:szCs w:val="32"/>
        </w:rPr>
        <w:t>聯合國教科文組織（UNESCO）為強調基礎科學對實現永續發展目標（SDGs）的重要性及貢獻，選定111年7月到112年6月為「基礎科學促進永續發展國際年（IYBSSD 2022）」，結合基礎科學和永續發展，邀請世界各國共同響應，強調基礎科學研究對於確保全人類健康、克服飢餓、應對氣候變遷、保護陸地和海洋生物多樣性與增進全球和平之重要性。國家科學及技術委員會亦響應IYBSSD，發起「基礎科學促進永續發展國際年IYBSSD臺灣系列推廣活動」，結合產官學研界與民間及國際合作，以科學平權、科學啟蒙、全民參與、國際鏈結為核心主題，於全臺各地辦理多元化活動推廣基礎科學。據2021年科技部（現國科會）提出該部之「永續發展目標自願檢視報告」，僅主責「提升科學園區廠商製程用水回收率」、「提升科學園區事業廢棄物再利用率」及「建置氣候變遷科學服務整合平台」等3項目標，顯見國家及科學技術委員會除辦理推廣活動，對於實踐永續發展目標之工作尚有不足之處，如國科會所提出之「打造女性及跨域人才培力」、「實現環境永續之普惠科技」等施政理念，皆可實踐永續發展目標，應積極推進，現已完成組改之</w:t>
      </w:r>
      <w:r w:rsidRPr="00535340">
        <w:rPr>
          <w:rFonts w:ascii="標楷體" w:eastAsia="標楷體" w:hAnsi="標楷體" w:hint="eastAsia"/>
          <w:sz w:val="32"/>
          <w:szCs w:val="32"/>
        </w:rPr>
        <w:lastRenderedPageBreak/>
        <w:t>國科會，應檢討並提出新年度之「永續發展目標自願檢視報告」。綜上所述，國家科學及技術委員會應於3個月內向立法院教育及文化委員會提出政策改善方案之書面報告。154</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提案人：吳思瑤</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連署人：賴品妤  范  雲</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(四十六)</w:t>
      </w:r>
      <w:r w:rsidRPr="00535340">
        <w:rPr>
          <w:rFonts w:ascii="標楷體" w:eastAsia="標楷體" w:hAnsi="標楷體" w:hint="eastAsia"/>
          <w:sz w:val="32"/>
          <w:szCs w:val="32"/>
        </w:rPr>
        <w:t>北投士林科技園區為大台北地區最後一塊科技廊帶，將串聯大內湖科技園區、南港生技軟體園區等產業發展效應，打造研發營運導向之</w:t>
      </w:r>
      <w:r>
        <w:rPr>
          <w:rFonts w:ascii="標楷體" w:eastAsia="標楷體" w:hAnsi="標楷體" w:hint="eastAsia"/>
          <w:sz w:val="32"/>
          <w:szCs w:val="32"/>
        </w:rPr>
        <w:t>台</w:t>
      </w:r>
      <w:r w:rsidRPr="00535340">
        <w:rPr>
          <w:rFonts w:ascii="標楷體" w:eastAsia="標楷體" w:hAnsi="標楷體" w:hint="eastAsia"/>
          <w:sz w:val="32"/>
          <w:szCs w:val="32"/>
        </w:rPr>
        <w:t>北科技產業廊帶，北投士林科技園區將結合周邊資源及發展優勢，朝向「智慧健康醫療」及「數位技術發展」，符合國家產業需要。國家科學及技術委員會打造之國際級之台灣科技新創基地(TTA)，係以數位軟體技術服務為發展主軸，引進國際知名加速器、國內外科技新創團隊進駐，交流創業環境，帶動產業創新轉型，現階段已於台北市及台南市各建置1座科技新創基地，考量北部科技創新創業之高區位需求，國家科學及技術委員會應研擬台灣科技新創基地(TTA)與北投士林科技園區之相關合作規劃。綜上所述，國家科學及技術委員會應於3個月內向立法院教育及文化委員會提出政策改善方案之書面報告。155</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提案人：吳思瑤</w:t>
      </w:r>
    </w:p>
    <w:p w:rsidR="00A52DD2" w:rsidRDefault="00A52DD2" w:rsidP="00F035E0">
      <w:pPr>
        <w:overflowPunct w:val="0"/>
        <w:spacing w:line="500" w:lineRule="exact"/>
        <w:ind w:leftChars="1250" w:left="3000"/>
        <w:jc w:val="both"/>
        <w:rPr>
          <w:rFonts w:ascii="標楷體" w:eastAsia="標楷體" w:hAnsi="標楷體"/>
          <w:snapToGrid w:val="0"/>
          <w:sz w:val="32"/>
          <w:szCs w:val="32"/>
        </w:rPr>
      </w:pPr>
      <w:r w:rsidRPr="00535340">
        <w:rPr>
          <w:rFonts w:ascii="標楷體" w:eastAsia="標楷體" w:hAnsi="標楷體" w:hint="eastAsia"/>
          <w:sz w:val="32"/>
          <w:szCs w:val="32"/>
        </w:rPr>
        <w:t>連署人：賴品妤  范  雲</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(四十七)</w:t>
      </w:r>
      <w:r w:rsidRPr="00BC3C18">
        <w:rPr>
          <w:rFonts w:ascii="標楷體" w:eastAsia="標楷體" w:hAnsi="標楷體" w:hint="eastAsia"/>
          <w:bCs/>
          <w:sz w:val="32"/>
          <w:szCs w:val="32"/>
        </w:rPr>
        <w:t>國</w:t>
      </w:r>
      <w:r>
        <w:rPr>
          <w:rFonts w:ascii="標楷體" w:eastAsia="標楷體" w:hAnsi="標楷體" w:hint="eastAsia"/>
          <w:bCs/>
          <w:sz w:val="32"/>
          <w:szCs w:val="32"/>
        </w:rPr>
        <w:t>家</w:t>
      </w:r>
      <w:r w:rsidRPr="00BC3C18">
        <w:rPr>
          <w:rFonts w:ascii="標楷體" w:eastAsia="標楷體" w:hAnsi="標楷體" w:hint="eastAsia"/>
          <w:bCs/>
          <w:sz w:val="32"/>
          <w:szCs w:val="32"/>
        </w:rPr>
        <w:t>科</w:t>
      </w:r>
      <w:r>
        <w:rPr>
          <w:rFonts w:ascii="標楷體" w:eastAsia="標楷體" w:hAnsi="標楷體" w:hint="eastAsia"/>
          <w:bCs/>
          <w:sz w:val="32"/>
          <w:szCs w:val="32"/>
        </w:rPr>
        <w:t>學及技術委員</w:t>
      </w:r>
      <w:r w:rsidRPr="00BC3C18">
        <w:rPr>
          <w:rFonts w:ascii="標楷體" w:eastAsia="標楷體" w:hAnsi="標楷體" w:hint="eastAsia"/>
          <w:bCs/>
          <w:sz w:val="32"/>
          <w:szCs w:val="32"/>
        </w:rPr>
        <w:t>會吳主</w:t>
      </w:r>
      <w:r>
        <w:rPr>
          <w:rFonts w:ascii="標楷體" w:eastAsia="標楷體" w:hAnsi="標楷體" w:hint="eastAsia"/>
          <w:bCs/>
          <w:sz w:val="32"/>
          <w:szCs w:val="32"/>
        </w:rPr>
        <w:t>任</w:t>
      </w:r>
      <w:r w:rsidRPr="00BC3C18">
        <w:rPr>
          <w:rFonts w:ascii="標楷體" w:eastAsia="標楷體" w:hAnsi="標楷體" w:hint="eastAsia"/>
          <w:bCs/>
          <w:sz w:val="32"/>
          <w:szCs w:val="32"/>
        </w:rPr>
        <w:t>委</w:t>
      </w:r>
      <w:r>
        <w:rPr>
          <w:rFonts w:ascii="標楷體" w:eastAsia="標楷體" w:hAnsi="標楷體" w:hint="eastAsia"/>
          <w:bCs/>
          <w:sz w:val="32"/>
          <w:szCs w:val="32"/>
        </w:rPr>
        <w:t>員</w:t>
      </w:r>
      <w:r w:rsidRPr="00BC3C18">
        <w:rPr>
          <w:rFonts w:ascii="標楷體" w:eastAsia="標楷體" w:hAnsi="標楷體" w:hint="eastAsia"/>
          <w:bCs/>
          <w:sz w:val="32"/>
          <w:szCs w:val="32"/>
        </w:rPr>
        <w:t>政忠在111年11月9日的立法院教育及文化委員會答覆委員質詢時表示，台灣積體電路製造股份有限公司1奈米廠應該有意願落腳龍潭三期園區。台積電是護國神山，值得政府重視。</w:t>
      </w:r>
      <w:r>
        <w:rPr>
          <w:rFonts w:ascii="標楷體" w:eastAsia="標楷體" w:hAnsi="標楷體" w:hint="eastAsia"/>
          <w:bCs/>
          <w:sz w:val="32"/>
          <w:szCs w:val="32"/>
        </w:rPr>
        <w:t>惟</w:t>
      </w:r>
      <w:r w:rsidRPr="00BC3C18">
        <w:rPr>
          <w:rFonts w:ascii="標楷體" w:eastAsia="標楷體" w:hAnsi="標楷體" w:hint="eastAsia"/>
          <w:bCs/>
          <w:sz w:val="32"/>
          <w:szCs w:val="32"/>
        </w:rPr>
        <w:t>根據半導體產業界人士評估，先進製程使用的微影設備是吃電巨獸，1奈米廠年耗電量有可能逼近百億度。</w:t>
      </w:r>
      <w:r>
        <w:rPr>
          <w:rFonts w:ascii="標楷體" w:eastAsia="標楷體" w:hAnsi="標楷體" w:hint="eastAsia"/>
          <w:bCs/>
          <w:sz w:val="32"/>
          <w:szCs w:val="32"/>
        </w:rPr>
        <w:t>「</w:t>
      </w:r>
      <w:r w:rsidRPr="00BC3C18">
        <w:rPr>
          <w:rFonts w:ascii="標楷體" w:eastAsia="標楷體" w:hAnsi="標楷體" w:hint="eastAsia"/>
          <w:bCs/>
          <w:sz w:val="32"/>
          <w:szCs w:val="32"/>
        </w:rPr>
        <w:t>彭博社</w:t>
      </w:r>
      <w:r>
        <w:rPr>
          <w:rFonts w:ascii="標楷體" w:eastAsia="標楷體" w:hAnsi="標楷體" w:hint="eastAsia"/>
          <w:bCs/>
          <w:sz w:val="32"/>
          <w:szCs w:val="32"/>
        </w:rPr>
        <w:t>」</w:t>
      </w:r>
      <w:r w:rsidRPr="00BC3C18">
        <w:rPr>
          <w:rFonts w:ascii="標楷體" w:eastAsia="標楷體" w:hAnsi="標楷體" w:hint="eastAsia"/>
          <w:bCs/>
          <w:sz w:val="32"/>
          <w:szCs w:val="32"/>
        </w:rPr>
        <w:t>報導，預期到2025年，台積電用電量將占全台12.5%。以政府電力報告，2028年全國負載約4</w:t>
      </w:r>
      <w:r>
        <w:rPr>
          <w:rFonts w:ascii="標楷體" w:eastAsia="標楷體" w:hAnsi="標楷體"/>
          <w:bCs/>
          <w:sz w:val="32"/>
          <w:szCs w:val="32"/>
        </w:rPr>
        <w:t>,</w:t>
      </w:r>
      <w:r w:rsidRPr="00BC3C18">
        <w:rPr>
          <w:rFonts w:ascii="標楷體" w:eastAsia="標楷體" w:hAnsi="標楷體" w:hint="eastAsia"/>
          <w:bCs/>
          <w:sz w:val="32"/>
          <w:szCs w:val="32"/>
        </w:rPr>
        <w:t>200萬瓩來說，光1奈米廠，就相當全</w:t>
      </w:r>
      <w:r w:rsidRPr="00BC3C18">
        <w:rPr>
          <w:rFonts w:ascii="標楷體" w:eastAsia="標楷體" w:hAnsi="標楷體" w:hint="eastAsia"/>
          <w:bCs/>
          <w:sz w:val="32"/>
          <w:szCs w:val="32"/>
        </w:rPr>
        <w:lastRenderedPageBreak/>
        <w:t>國用電量的2.3%左右，之後台積電整體用電量合計應該超過全國15%以上。尤其台灣積體電路製造股份有限公司新廠用電量並不在長期電力供需報告內，用電需求增加勢必與2050淨零目標衝突。請國</w:t>
      </w:r>
      <w:r>
        <w:rPr>
          <w:rFonts w:ascii="標楷體" w:eastAsia="標楷體" w:hAnsi="標楷體" w:hint="eastAsia"/>
          <w:bCs/>
          <w:sz w:val="32"/>
          <w:szCs w:val="32"/>
        </w:rPr>
        <w:t>家</w:t>
      </w:r>
      <w:r w:rsidRPr="00BC3C18">
        <w:rPr>
          <w:rFonts w:ascii="標楷體" w:eastAsia="標楷體" w:hAnsi="標楷體" w:hint="eastAsia"/>
          <w:bCs/>
          <w:sz w:val="32"/>
          <w:szCs w:val="32"/>
        </w:rPr>
        <w:t>科</w:t>
      </w:r>
      <w:r>
        <w:rPr>
          <w:rFonts w:ascii="標楷體" w:eastAsia="標楷體" w:hAnsi="標楷體" w:hint="eastAsia"/>
          <w:bCs/>
          <w:sz w:val="32"/>
          <w:szCs w:val="32"/>
        </w:rPr>
        <w:t>學及技術委員</w:t>
      </w:r>
      <w:r w:rsidRPr="00BC3C18">
        <w:rPr>
          <w:rFonts w:ascii="標楷體" w:eastAsia="標楷體" w:hAnsi="標楷體" w:hint="eastAsia"/>
          <w:bCs/>
          <w:sz w:val="32"/>
          <w:szCs w:val="32"/>
        </w:rPr>
        <w:t>會於</w:t>
      </w:r>
      <w:r>
        <w:rPr>
          <w:rFonts w:ascii="標楷體" w:eastAsia="標楷體" w:hAnsi="標楷體" w:hint="eastAsia"/>
          <w:bCs/>
          <w:sz w:val="32"/>
          <w:szCs w:val="32"/>
        </w:rPr>
        <w:t>3</w:t>
      </w:r>
      <w:r w:rsidRPr="00BC3C18">
        <w:rPr>
          <w:rFonts w:ascii="標楷體" w:eastAsia="標楷體" w:hAnsi="標楷體" w:hint="eastAsia"/>
          <w:bCs/>
          <w:sz w:val="32"/>
          <w:szCs w:val="32"/>
        </w:rPr>
        <w:t>個月內就各科學園區及園區內各產業，逐年用電需求至2050年及電力供應策略向立法院教育及文化委員會提出書面報告。</w:t>
      </w:r>
      <w:r>
        <w:rPr>
          <w:rFonts w:ascii="標楷體" w:eastAsia="標楷體" w:hAnsi="標楷體" w:hint="eastAsia"/>
          <w:bCs/>
          <w:sz w:val="32"/>
          <w:szCs w:val="32"/>
        </w:rPr>
        <w:t>4</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鄭正鈐</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黃國書  張廖萬堅</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(四十八)</w:t>
      </w:r>
      <w:r w:rsidRPr="00BC3C18">
        <w:rPr>
          <w:rFonts w:ascii="標楷體" w:eastAsia="標楷體" w:hAnsi="標楷體" w:hint="eastAsia"/>
          <w:bCs/>
          <w:sz w:val="32"/>
          <w:szCs w:val="32"/>
        </w:rPr>
        <w:t>112年</w:t>
      </w:r>
      <w:r>
        <w:rPr>
          <w:rFonts w:ascii="標楷體" w:eastAsia="標楷體" w:hAnsi="標楷體" w:hint="eastAsia"/>
          <w:bCs/>
          <w:sz w:val="32"/>
          <w:szCs w:val="32"/>
        </w:rPr>
        <w:t>度</w:t>
      </w:r>
      <w:r w:rsidRPr="00BC3C18">
        <w:rPr>
          <w:rFonts w:ascii="標楷體" w:eastAsia="標楷體" w:hAnsi="標楷體" w:hint="eastAsia"/>
          <w:bCs/>
          <w:sz w:val="32"/>
          <w:szCs w:val="32"/>
        </w:rPr>
        <w:t>國</w:t>
      </w:r>
      <w:r>
        <w:rPr>
          <w:rFonts w:ascii="標楷體" w:eastAsia="標楷體" w:hAnsi="標楷體" w:hint="eastAsia"/>
          <w:bCs/>
          <w:sz w:val="32"/>
          <w:szCs w:val="32"/>
        </w:rPr>
        <w:t>家</w:t>
      </w:r>
      <w:r w:rsidRPr="00BC3C18">
        <w:rPr>
          <w:rFonts w:ascii="標楷體" w:eastAsia="標楷體" w:hAnsi="標楷體" w:hint="eastAsia"/>
          <w:bCs/>
          <w:sz w:val="32"/>
          <w:szCs w:val="32"/>
        </w:rPr>
        <w:t>科</w:t>
      </w:r>
      <w:r>
        <w:rPr>
          <w:rFonts w:ascii="標楷體" w:eastAsia="標楷體" w:hAnsi="標楷體" w:hint="eastAsia"/>
          <w:bCs/>
          <w:sz w:val="32"/>
          <w:szCs w:val="32"/>
        </w:rPr>
        <w:t>學及技術委員會</w:t>
      </w:r>
      <w:r w:rsidRPr="00BC3C18">
        <w:rPr>
          <w:rFonts w:ascii="標楷體" w:eastAsia="標楷體" w:hAnsi="標楷體" w:hint="eastAsia"/>
          <w:bCs/>
          <w:sz w:val="32"/>
          <w:szCs w:val="32"/>
        </w:rPr>
        <w:t>「一般行政</w:t>
      </w:r>
      <w:r>
        <w:rPr>
          <w:rFonts w:ascii="標楷體" w:eastAsia="標楷體" w:hAnsi="標楷體" w:hint="eastAsia"/>
          <w:bCs/>
          <w:sz w:val="32"/>
          <w:szCs w:val="32"/>
        </w:rPr>
        <w:t>」項下「</w:t>
      </w:r>
      <w:r w:rsidRPr="00BC3C18">
        <w:rPr>
          <w:rFonts w:ascii="標楷體" w:eastAsia="標楷體" w:hAnsi="標楷體" w:hint="eastAsia"/>
          <w:bCs/>
          <w:sz w:val="32"/>
          <w:szCs w:val="32"/>
        </w:rPr>
        <w:t>基本行政工作維持」預算編列4</w:t>
      </w:r>
      <w:r>
        <w:rPr>
          <w:rFonts w:ascii="標楷體" w:eastAsia="標楷體" w:hAnsi="標楷體"/>
          <w:bCs/>
          <w:sz w:val="32"/>
          <w:szCs w:val="32"/>
        </w:rPr>
        <w:t>,</w:t>
      </w:r>
      <w:r w:rsidRPr="00BC3C18">
        <w:rPr>
          <w:rFonts w:ascii="標楷體" w:eastAsia="標楷體" w:hAnsi="標楷體" w:hint="eastAsia"/>
          <w:bCs/>
          <w:sz w:val="32"/>
          <w:szCs w:val="32"/>
        </w:rPr>
        <w:t>110萬7千元，較111年度2</w:t>
      </w:r>
      <w:r>
        <w:rPr>
          <w:rFonts w:ascii="標楷體" w:eastAsia="標楷體" w:hAnsi="標楷體"/>
          <w:bCs/>
          <w:sz w:val="32"/>
          <w:szCs w:val="32"/>
        </w:rPr>
        <w:t>,</w:t>
      </w:r>
      <w:r w:rsidRPr="00BC3C18">
        <w:rPr>
          <w:rFonts w:ascii="標楷體" w:eastAsia="標楷體" w:hAnsi="標楷體" w:hint="eastAsia"/>
          <w:bCs/>
          <w:sz w:val="32"/>
          <w:szCs w:val="32"/>
        </w:rPr>
        <w:t>167萬2千元，增加1</w:t>
      </w:r>
      <w:r>
        <w:rPr>
          <w:rFonts w:ascii="標楷體" w:eastAsia="標楷體" w:hAnsi="標楷體"/>
          <w:bCs/>
          <w:sz w:val="32"/>
          <w:szCs w:val="32"/>
        </w:rPr>
        <w:t>,</w:t>
      </w:r>
      <w:r w:rsidRPr="00BC3C18">
        <w:rPr>
          <w:rFonts w:ascii="標楷體" w:eastAsia="標楷體" w:hAnsi="標楷體" w:hint="eastAsia"/>
          <w:bCs/>
          <w:sz w:val="32"/>
          <w:szCs w:val="32"/>
        </w:rPr>
        <w:t>943萬5</w:t>
      </w:r>
      <w:r>
        <w:rPr>
          <w:rFonts w:ascii="標楷體" w:eastAsia="標楷體" w:hAnsi="標楷體" w:hint="eastAsia"/>
          <w:bCs/>
          <w:sz w:val="32"/>
          <w:szCs w:val="32"/>
        </w:rPr>
        <w:t>千元，其中</w:t>
      </w:r>
      <w:r w:rsidRPr="00BC3C18">
        <w:rPr>
          <w:rFonts w:ascii="標楷體" w:eastAsia="標楷體" w:hAnsi="標楷體" w:hint="eastAsia"/>
          <w:bCs/>
          <w:sz w:val="32"/>
          <w:szCs w:val="32"/>
        </w:rPr>
        <w:t>較</w:t>
      </w:r>
      <w:r>
        <w:rPr>
          <w:rFonts w:ascii="標楷體" w:eastAsia="標楷體" w:hAnsi="標楷體" w:hint="eastAsia"/>
          <w:bCs/>
          <w:sz w:val="32"/>
          <w:szCs w:val="32"/>
        </w:rPr>
        <w:t>111</w:t>
      </w:r>
      <w:r w:rsidRPr="00BC3C18">
        <w:rPr>
          <w:rFonts w:ascii="標楷體" w:eastAsia="標楷體" w:hAnsi="標楷體" w:hint="eastAsia"/>
          <w:bCs/>
          <w:sz w:val="32"/>
          <w:szCs w:val="32"/>
        </w:rPr>
        <w:t>年度增列辦公室空間調整及視訊會議軟硬體設備更新，預算編列大幅成長逾2倍，並未敘明詳細調整原因與更新用途。爰請國</w:t>
      </w:r>
      <w:r>
        <w:rPr>
          <w:rFonts w:ascii="標楷體" w:eastAsia="標楷體" w:hAnsi="標楷體" w:hint="eastAsia"/>
          <w:bCs/>
          <w:sz w:val="32"/>
          <w:szCs w:val="32"/>
        </w:rPr>
        <w:t>家</w:t>
      </w:r>
      <w:r w:rsidRPr="00BC3C18">
        <w:rPr>
          <w:rFonts w:ascii="標楷體" w:eastAsia="標楷體" w:hAnsi="標楷體" w:hint="eastAsia"/>
          <w:bCs/>
          <w:sz w:val="32"/>
          <w:szCs w:val="32"/>
        </w:rPr>
        <w:t>科</w:t>
      </w:r>
      <w:r>
        <w:rPr>
          <w:rFonts w:ascii="標楷體" w:eastAsia="標楷體" w:hAnsi="標楷體" w:hint="eastAsia"/>
          <w:bCs/>
          <w:sz w:val="32"/>
          <w:szCs w:val="32"/>
        </w:rPr>
        <w:t>學及技術委員</w:t>
      </w:r>
      <w:r w:rsidRPr="00BC3C18">
        <w:rPr>
          <w:rFonts w:ascii="標楷體" w:eastAsia="標楷體" w:hAnsi="標楷體" w:hint="eastAsia"/>
          <w:bCs/>
          <w:sz w:val="32"/>
          <w:szCs w:val="32"/>
        </w:rPr>
        <w:t>會於</w:t>
      </w:r>
      <w:r>
        <w:rPr>
          <w:rFonts w:ascii="標楷體" w:eastAsia="標楷體" w:hAnsi="標楷體" w:hint="eastAsia"/>
          <w:bCs/>
          <w:sz w:val="32"/>
          <w:szCs w:val="32"/>
        </w:rPr>
        <w:t>3</w:t>
      </w:r>
      <w:r w:rsidRPr="00BC3C18">
        <w:rPr>
          <w:rFonts w:ascii="標楷體" w:eastAsia="標楷體" w:hAnsi="標楷體" w:hint="eastAsia"/>
          <w:bCs/>
          <w:sz w:val="32"/>
          <w:szCs w:val="32"/>
        </w:rPr>
        <w:t>個月內向立法院教育及文化委員會提出書面報告。</w:t>
      </w:r>
      <w:r>
        <w:rPr>
          <w:rFonts w:ascii="標楷體" w:eastAsia="標楷體" w:hAnsi="標楷體" w:hint="eastAsia"/>
          <w:bCs/>
          <w:sz w:val="32"/>
          <w:szCs w:val="32"/>
        </w:rPr>
        <w:t>10</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鄭正鈐</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黃國書  張廖萬堅</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(四十九)</w:t>
      </w:r>
      <w:r w:rsidRPr="00BC3C18">
        <w:rPr>
          <w:rFonts w:ascii="標楷體" w:eastAsia="標楷體" w:hAnsi="標楷體" w:hint="eastAsia"/>
          <w:sz w:val="32"/>
          <w:szCs w:val="32"/>
        </w:rPr>
        <w:t>「</w:t>
      </w:r>
      <w:r w:rsidRPr="00BC3C18">
        <w:rPr>
          <w:rFonts w:ascii="標楷體" w:eastAsia="標楷體" w:hAnsi="標楷體" w:hint="eastAsia"/>
          <w:bCs/>
          <w:sz w:val="32"/>
          <w:szCs w:val="32"/>
        </w:rPr>
        <w:t>一般行政」係為配合科學發展政策，執行各項行政工作所編列之預算。查112年</w:t>
      </w:r>
      <w:r>
        <w:rPr>
          <w:rFonts w:ascii="標楷體" w:eastAsia="標楷體" w:hAnsi="標楷體" w:hint="eastAsia"/>
          <w:bCs/>
          <w:sz w:val="32"/>
          <w:szCs w:val="32"/>
        </w:rPr>
        <w:t>度</w:t>
      </w:r>
      <w:r w:rsidRPr="00BC3C18">
        <w:rPr>
          <w:rFonts w:ascii="標楷體" w:eastAsia="標楷體" w:hAnsi="標楷體" w:hint="eastAsia"/>
          <w:bCs/>
          <w:sz w:val="32"/>
          <w:szCs w:val="32"/>
        </w:rPr>
        <w:t>國家科學及技術委員會「一般行政」項下「基本行政工作維持」預算編列4,110萬7千元，較111年度2,167萬2千元，增加1,943萬5千元(89.6%)。其中，辦公大樓水電費與辦公大樓管理費，較111年度科技部編列之預算大幅成長逾2倍。惟查，109</w:t>
      </w:r>
      <w:r>
        <w:rPr>
          <w:rFonts w:ascii="標楷體" w:eastAsia="標楷體" w:hAnsi="標楷體" w:hint="eastAsia"/>
          <w:bCs/>
          <w:sz w:val="32"/>
          <w:szCs w:val="32"/>
        </w:rPr>
        <w:t>至</w:t>
      </w:r>
      <w:r w:rsidRPr="00BC3C18">
        <w:rPr>
          <w:rFonts w:ascii="標楷體" w:eastAsia="標楷體" w:hAnsi="標楷體" w:hint="eastAsia"/>
          <w:bCs/>
          <w:sz w:val="32"/>
          <w:szCs w:val="32"/>
        </w:rPr>
        <w:t>111年度</w:t>
      </w:r>
      <w:r>
        <w:rPr>
          <w:rFonts w:ascii="標楷體" w:eastAsia="標楷體" w:hAnsi="標楷體" w:hint="eastAsia"/>
          <w:bCs/>
          <w:sz w:val="32"/>
          <w:szCs w:val="32"/>
        </w:rPr>
        <w:t>「</w:t>
      </w:r>
      <w:r w:rsidRPr="00BC3C18">
        <w:rPr>
          <w:rFonts w:ascii="標楷體" w:eastAsia="標楷體" w:hAnsi="標楷體" w:hint="eastAsia"/>
          <w:bCs/>
          <w:sz w:val="32"/>
          <w:szCs w:val="32"/>
        </w:rPr>
        <w:t>基本行政工作維持</w:t>
      </w:r>
      <w:r>
        <w:rPr>
          <w:rFonts w:ascii="標楷體" w:eastAsia="標楷體" w:hAnsi="標楷體" w:hint="eastAsia"/>
          <w:bCs/>
          <w:sz w:val="32"/>
          <w:szCs w:val="32"/>
        </w:rPr>
        <w:t>」</w:t>
      </w:r>
      <w:r w:rsidRPr="00BC3C18">
        <w:rPr>
          <w:rFonts w:ascii="標楷體" w:eastAsia="標楷體" w:hAnsi="標楷體" w:hint="eastAsia"/>
          <w:bCs/>
          <w:sz w:val="32"/>
          <w:szCs w:val="32"/>
        </w:rPr>
        <w:t>預算編列及執行情形，預算數逐年成長，但預算執行比率卻逐年下降，而國科會112年度預算又大幅增加，顯有預算浮編之嫌，爰請國</w:t>
      </w:r>
      <w:r>
        <w:rPr>
          <w:rFonts w:ascii="標楷體" w:eastAsia="標楷體" w:hAnsi="標楷體" w:hint="eastAsia"/>
          <w:bCs/>
          <w:sz w:val="32"/>
          <w:szCs w:val="32"/>
        </w:rPr>
        <w:t>家</w:t>
      </w:r>
      <w:r w:rsidRPr="00BC3C18">
        <w:rPr>
          <w:rFonts w:ascii="標楷體" w:eastAsia="標楷體" w:hAnsi="標楷體" w:hint="eastAsia"/>
          <w:bCs/>
          <w:sz w:val="32"/>
          <w:szCs w:val="32"/>
        </w:rPr>
        <w:t>科</w:t>
      </w:r>
      <w:r>
        <w:rPr>
          <w:rFonts w:ascii="標楷體" w:eastAsia="標楷體" w:hAnsi="標楷體" w:hint="eastAsia"/>
          <w:bCs/>
          <w:sz w:val="32"/>
          <w:szCs w:val="32"/>
        </w:rPr>
        <w:t>學及技術委員</w:t>
      </w:r>
      <w:r w:rsidRPr="00BC3C18">
        <w:rPr>
          <w:rFonts w:ascii="標楷體" w:eastAsia="標楷體" w:hAnsi="標楷體" w:hint="eastAsia"/>
          <w:bCs/>
          <w:sz w:val="32"/>
          <w:szCs w:val="32"/>
        </w:rPr>
        <w:t>會於</w:t>
      </w:r>
      <w:r>
        <w:rPr>
          <w:rFonts w:ascii="標楷體" w:eastAsia="標楷體" w:hAnsi="標楷體" w:hint="eastAsia"/>
          <w:bCs/>
          <w:sz w:val="32"/>
          <w:szCs w:val="32"/>
        </w:rPr>
        <w:t>3</w:t>
      </w:r>
      <w:r w:rsidRPr="00BC3C18">
        <w:rPr>
          <w:rFonts w:ascii="標楷體" w:eastAsia="標楷體" w:hAnsi="標楷體" w:hint="eastAsia"/>
          <w:bCs/>
          <w:sz w:val="32"/>
          <w:szCs w:val="32"/>
        </w:rPr>
        <w:t>個月內針對上述事由向立法院教育及文化委員會提出書面報告。</w:t>
      </w:r>
      <w:r>
        <w:rPr>
          <w:rFonts w:ascii="標楷體" w:eastAsia="標楷體" w:hAnsi="標楷體" w:hint="eastAsia"/>
          <w:bCs/>
          <w:sz w:val="32"/>
          <w:szCs w:val="32"/>
        </w:rPr>
        <w:t>11</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8"/>
        <w:gridCol w:w="1872"/>
        <w:gridCol w:w="1835"/>
        <w:gridCol w:w="1754"/>
        <w:gridCol w:w="1807"/>
      </w:tblGrid>
      <w:tr w:rsidR="00A52DD2" w:rsidRPr="00BC3C18" w:rsidTr="00F035E0">
        <w:trPr>
          <w:jc w:val="right"/>
        </w:trPr>
        <w:tc>
          <w:tcPr>
            <w:tcW w:w="1708" w:type="dxa"/>
            <w:shd w:val="clear" w:color="auto" w:fill="auto"/>
            <w:vAlign w:val="center"/>
          </w:tcPr>
          <w:p w:rsidR="00A52DD2" w:rsidRPr="00BC3C18" w:rsidRDefault="00A52DD2" w:rsidP="00F035E0">
            <w:pPr>
              <w:adjustRightInd w:val="0"/>
              <w:snapToGrid w:val="0"/>
              <w:spacing w:line="280" w:lineRule="exact"/>
              <w:jc w:val="center"/>
              <w:rPr>
                <w:rFonts w:ascii="標楷體" w:eastAsia="標楷體" w:hAnsi="標楷體"/>
                <w:szCs w:val="28"/>
              </w:rPr>
            </w:pPr>
            <w:r w:rsidRPr="00BC3C18">
              <w:rPr>
                <w:rFonts w:ascii="標楷體" w:eastAsia="標楷體" w:hAnsi="標楷體" w:hint="eastAsia"/>
                <w:szCs w:val="28"/>
              </w:rPr>
              <w:lastRenderedPageBreak/>
              <w:t>年度</w:t>
            </w:r>
          </w:p>
        </w:tc>
        <w:tc>
          <w:tcPr>
            <w:tcW w:w="1872" w:type="dxa"/>
            <w:shd w:val="clear" w:color="auto" w:fill="auto"/>
            <w:vAlign w:val="center"/>
          </w:tcPr>
          <w:p w:rsidR="00A52DD2" w:rsidRPr="00BC3C18" w:rsidRDefault="00A52DD2" w:rsidP="00F035E0">
            <w:pPr>
              <w:adjustRightInd w:val="0"/>
              <w:snapToGrid w:val="0"/>
              <w:spacing w:line="280" w:lineRule="exact"/>
              <w:jc w:val="center"/>
              <w:rPr>
                <w:rFonts w:ascii="標楷體" w:eastAsia="標楷體" w:hAnsi="標楷體"/>
                <w:szCs w:val="28"/>
              </w:rPr>
            </w:pPr>
            <w:r w:rsidRPr="00BC3C18">
              <w:rPr>
                <w:rFonts w:ascii="標楷體" w:eastAsia="標楷體" w:hAnsi="標楷體" w:hint="eastAsia"/>
                <w:szCs w:val="28"/>
              </w:rPr>
              <w:t>109</w:t>
            </w:r>
          </w:p>
        </w:tc>
        <w:tc>
          <w:tcPr>
            <w:tcW w:w="1835" w:type="dxa"/>
            <w:shd w:val="clear" w:color="auto" w:fill="auto"/>
            <w:vAlign w:val="center"/>
          </w:tcPr>
          <w:p w:rsidR="00A52DD2" w:rsidRPr="00BC3C18" w:rsidRDefault="00A52DD2" w:rsidP="00F035E0">
            <w:pPr>
              <w:adjustRightInd w:val="0"/>
              <w:snapToGrid w:val="0"/>
              <w:spacing w:line="280" w:lineRule="exact"/>
              <w:jc w:val="center"/>
              <w:rPr>
                <w:rFonts w:ascii="標楷體" w:eastAsia="標楷體" w:hAnsi="標楷體"/>
                <w:szCs w:val="28"/>
              </w:rPr>
            </w:pPr>
            <w:r w:rsidRPr="00BC3C18">
              <w:rPr>
                <w:rFonts w:ascii="標楷體" w:eastAsia="標楷體" w:hAnsi="標楷體" w:hint="eastAsia"/>
                <w:szCs w:val="28"/>
              </w:rPr>
              <w:t>110</w:t>
            </w:r>
          </w:p>
        </w:tc>
        <w:tc>
          <w:tcPr>
            <w:tcW w:w="1754" w:type="dxa"/>
            <w:shd w:val="clear" w:color="auto" w:fill="auto"/>
            <w:vAlign w:val="center"/>
          </w:tcPr>
          <w:p w:rsidR="00A52DD2" w:rsidRPr="00BC3C18" w:rsidRDefault="00A52DD2" w:rsidP="00F035E0">
            <w:pPr>
              <w:adjustRightInd w:val="0"/>
              <w:snapToGrid w:val="0"/>
              <w:spacing w:line="280" w:lineRule="exact"/>
              <w:jc w:val="center"/>
              <w:rPr>
                <w:rFonts w:ascii="標楷體" w:eastAsia="標楷體" w:hAnsi="標楷體"/>
                <w:szCs w:val="28"/>
              </w:rPr>
            </w:pPr>
            <w:r w:rsidRPr="00BC3C18">
              <w:rPr>
                <w:rFonts w:ascii="標楷體" w:eastAsia="標楷體" w:hAnsi="標楷體" w:hint="eastAsia"/>
                <w:szCs w:val="28"/>
              </w:rPr>
              <w:t>111</w:t>
            </w:r>
          </w:p>
        </w:tc>
        <w:tc>
          <w:tcPr>
            <w:tcW w:w="1807" w:type="dxa"/>
            <w:shd w:val="clear" w:color="auto" w:fill="auto"/>
            <w:vAlign w:val="center"/>
          </w:tcPr>
          <w:p w:rsidR="00A52DD2" w:rsidRPr="00BC3C18" w:rsidRDefault="00A52DD2" w:rsidP="00F035E0">
            <w:pPr>
              <w:adjustRightInd w:val="0"/>
              <w:snapToGrid w:val="0"/>
              <w:spacing w:line="280" w:lineRule="exact"/>
              <w:jc w:val="center"/>
              <w:rPr>
                <w:rFonts w:ascii="標楷體" w:eastAsia="標楷體" w:hAnsi="標楷體"/>
                <w:szCs w:val="28"/>
              </w:rPr>
            </w:pPr>
            <w:r w:rsidRPr="00BC3C18">
              <w:rPr>
                <w:rFonts w:ascii="標楷體" w:eastAsia="標楷體" w:hAnsi="標楷體" w:hint="eastAsia"/>
                <w:szCs w:val="28"/>
              </w:rPr>
              <w:t>112</w:t>
            </w:r>
          </w:p>
        </w:tc>
      </w:tr>
      <w:tr w:rsidR="00A52DD2" w:rsidRPr="00BC3C18" w:rsidTr="00F035E0">
        <w:trPr>
          <w:jc w:val="right"/>
        </w:trPr>
        <w:tc>
          <w:tcPr>
            <w:tcW w:w="1708" w:type="dxa"/>
            <w:shd w:val="clear" w:color="auto" w:fill="auto"/>
            <w:vAlign w:val="center"/>
          </w:tcPr>
          <w:p w:rsidR="00A52DD2" w:rsidRPr="00BC3C18" w:rsidRDefault="00A52DD2" w:rsidP="00F035E0">
            <w:pPr>
              <w:adjustRightInd w:val="0"/>
              <w:snapToGrid w:val="0"/>
              <w:spacing w:line="280" w:lineRule="exact"/>
              <w:jc w:val="center"/>
              <w:rPr>
                <w:rFonts w:ascii="標楷體" w:eastAsia="標楷體" w:hAnsi="標楷體"/>
                <w:szCs w:val="28"/>
              </w:rPr>
            </w:pPr>
            <w:r w:rsidRPr="00BC3C18">
              <w:rPr>
                <w:rFonts w:ascii="標楷體" w:eastAsia="標楷體" w:hAnsi="標楷體" w:hint="eastAsia"/>
                <w:szCs w:val="28"/>
              </w:rPr>
              <w:t>預算數</w:t>
            </w:r>
          </w:p>
        </w:tc>
        <w:tc>
          <w:tcPr>
            <w:tcW w:w="1872" w:type="dxa"/>
            <w:shd w:val="clear" w:color="auto" w:fill="auto"/>
            <w:vAlign w:val="center"/>
          </w:tcPr>
          <w:p w:rsidR="00A52DD2" w:rsidRPr="00BC3C18" w:rsidRDefault="00A52DD2" w:rsidP="00F035E0">
            <w:pPr>
              <w:adjustRightInd w:val="0"/>
              <w:snapToGrid w:val="0"/>
              <w:spacing w:line="280" w:lineRule="exact"/>
              <w:jc w:val="center"/>
              <w:rPr>
                <w:rFonts w:ascii="標楷體" w:eastAsia="標楷體" w:hAnsi="標楷體"/>
                <w:szCs w:val="28"/>
              </w:rPr>
            </w:pPr>
            <w:r w:rsidRPr="00BC3C18">
              <w:rPr>
                <w:rFonts w:ascii="標楷體" w:eastAsia="標楷體" w:hAnsi="標楷體" w:hint="eastAsia"/>
                <w:szCs w:val="28"/>
              </w:rPr>
              <w:t>1</w:t>
            </w:r>
            <w:r>
              <w:rPr>
                <w:rFonts w:ascii="標楷體" w:eastAsia="標楷體" w:hAnsi="標楷體"/>
                <w:szCs w:val="28"/>
              </w:rPr>
              <w:t>,</w:t>
            </w:r>
            <w:r w:rsidRPr="00BC3C18">
              <w:rPr>
                <w:rFonts w:ascii="標楷體" w:eastAsia="標楷體" w:hAnsi="標楷體" w:hint="eastAsia"/>
                <w:szCs w:val="28"/>
              </w:rPr>
              <w:t>603萬5千元</w:t>
            </w:r>
          </w:p>
        </w:tc>
        <w:tc>
          <w:tcPr>
            <w:tcW w:w="1835" w:type="dxa"/>
            <w:shd w:val="clear" w:color="auto" w:fill="auto"/>
            <w:vAlign w:val="center"/>
          </w:tcPr>
          <w:p w:rsidR="00A52DD2" w:rsidRPr="00BC3C18" w:rsidRDefault="00A52DD2" w:rsidP="00F035E0">
            <w:pPr>
              <w:adjustRightInd w:val="0"/>
              <w:snapToGrid w:val="0"/>
              <w:spacing w:line="280" w:lineRule="exact"/>
              <w:jc w:val="center"/>
              <w:rPr>
                <w:rFonts w:ascii="標楷體" w:eastAsia="標楷體" w:hAnsi="標楷體"/>
                <w:szCs w:val="28"/>
              </w:rPr>
            </w:pPr>
            <w:r w:rsidRPr="00BC3C18">
              <w:rPr>
                <w:rFonts w:ascii="標楷體" w:eastAsia="標楷體" w:hAnsi="標楷體" w:hint="eastAsia"/>
                <w:szCs w:val="28"/>
              </w:rPr>
              <w:t>1</w:t>
            </w:r>
            <w:r>
              <w:rPr>
                <w:rFonts w:ascii="標楷體" w:eastAsia="標楷體" w:hAnsi="標楷體"/>
                <w:szCs w:val="28"/>
              </w:rPr>
              <w:t>,</w:t>
            </w:r>
            <w:r w:rsidRPr="00BC3C18">
              <w:rPr>
                <w:rFonts w:ascii="標楷體" w:eastAsia="標楷體" w:hAnsi="標楷體" w:hint="eastAsia"/>
                <w:szCs w:val="28"/>
              </w:rPr>
              <w:t>617萬1千元</w:t>
            </w:r>
          </w:p>
        </w:tc>
        <w:tc>
          <w:tcPr>
            <w:tcW w:w="1754" w:type="dxa"/>
            <w:shd w:val="clear" w:color="auto" w:fill="auto"/>
            <w:vAlign w:val="center"/>
          </w:tcPr>
          <w:p w:rsidR="00A52DD2" w:rsidRPr="00BC3C18" w:rsidRDefault="00A52DD2" w:rsidP="00F035E0">
            <w:pPr>
              <w:adjustRightInd w:val="0"/>
              <w:snapToGrid w:val="0"/>
              <w:spacing w:line="280" w:lineRule="exact"/>
              <w:jc w:val="center"/>
              <w:rPr>
                <w:rFonts w:ascii="標楷體" w:eastAsia="標楷體" w:hAnsi="標楷體"/>
                <w:szCs w:val="28"/>
              </w:rPr>
            </w:pPr>
            <w:r w:rsidRPr="00BC3C18">
              <w:rPr>
                <w:rFonts w:ascii="標楷體" w:eastAsia="標楷體" w:hAnsi="標楷體" w:hint="eastAsia"/>
                <w:szCs w:val="28"/>
              </w:rPr>
              <w:t>1</w:t>
            </w:r>
            <w:r>
              <w:rPr>
                <w:rFonts w:ascii="標楷體" w:eastAsia="標楷體" w:hAnsi="標楷體"/>
                <w:szCs w:val="28"/>
              </w:rPr>
              <w:t>,</w:t>
            </w:r>
            <w:r w:rsidRPr="00BC3C18">
              <w:rPr>
                <w:rFonts w:ascii="標楷體" w:eastAsia="標楷體" w:hAnsi="標楷體" w:hint="eastAsia"/>
                <w:szCs w:val="28"/>
              </w:rPr>
              <w:t>639萬2千元</w:t>
            </w:r>
          </w:p>
        </w:tc>
        <w:tc>
          <w:tcPr>
            <w:tcW w:w="1807" w:type="dxa"/>
            <w:shd w:val="clear" w:color="auto" w:fill="auto"/>
            <w:vAlign w:val="center"/>
          </w:tcPr>
          <w:p w:rsidR="00A52DD2" w:rsidRPr="00BC3C18" w:rsidRDefault="00A52DD2" w:rsidP="00F035E0">
            <w:pPr>
              <w:adjustRightInd w:val="0"/>
              <w:snapToGrid w:val="0"/>
              <w:spacing w:line="280" w:lineRule="exact"/>
              <w:jc w:val="center"/>
              <w:rPr>
                <w:rFonts w:ascii="標楷體" w:eastAsia="標楷體" w:hAnsi="標楷體"/>
                <w:szCs w:val="28"/>
              </w:rPr>
            </w:pPr>
            <w:r w:rsidRPr="00BC3C18">
              <w:rPr>
                <w:rFonts w:ascii="標楷體" w:eastAsia="標楷體" w:hAnsi="標楷體" w:hint="eastAsia"/>
                <w:szCs w:val="28"/>
              </w:rPr>
              <w:t>4</w:t>
            </w:r>
            <w:r>
              <w:rPr>
                <w:rFonts w:ascii="標楷體" w:eastAsia="標楷體" w:hAnsi="標楷體"/>
                <w:szCs w:val="28"/>
              </w:rPr>
              <w:t>,</w:t>
            </w:r>
            <w:r w:rsidRPr="00BC3C18">
              <w:rPr>
                <w:rFonts w:ascii="標楷體" w:eastAsia="標楷體" w:hAnsi="標楷體" w:hint="eastAsia"/>
                <w:szCs w:val="28"/>
              </w:rPr>
              <w:t>110萬7千元</w:t>
            </w:r>
          </w:p>
        </w:tc>
      </w:tr>
      <w:tr w:rsidR="00A52DD2" w:rsidRPr="00BC3C18" w:rsidTr="00F035E0">
        <w:trPr>
          <w:jc w:val="right"/>
        </w:trPr>
        <w:tc>
          <w:tcPr>
            <w:tcW w:w="1708" w:type="dxa"/>
            <w:shd w:val="clear" w:color="auto" w:fill="auto"/>
            <w:vAlign w:val="center"/>
          </w:tcPr>
          <w:p w:rsidR="00A52DD2" w:rsidRPr="00BC3C18" w:rsidRDefault="00A52DD2" w:rsidP="00F035E0">
            <w:pPr>
              <w:adjustRightInd w:val="0"/>
              <w:snapToGrid w:val="0"/>
              <w:spacing w:line="280" w:lineRule="exact"/>
              <w:jc w:val="center"/>
              <w:rPr>
                <w:rFonts w:ascii="標楷體" w:eastAsia="標楷體" w:hAnsi="標楷體"/>
                <w:szCs w:val="28"/>
              </w:rPr>
            </w:pPr>
            <w:r w:rsidRPr="00BC3C18">
              <w:rPr>
                <w:rFonts w:ascii="標楷體" w:eastAsia="標楷體" w:hAnsi="標楷體" w:hint="eastAsia"/>
                <w:szCs w:val="28"/>
              </w:rPr>
              <w:t>決算數</w:t>
            </w:r>
          </w:p>
        </w:tc>
        <w:tc>
          <w:tcPr>
            <w:tcW w:w="1872" w:type="dxa"/>
            <w:shd w:val="clear" w:color="auto" w:fill="auto"/>
            <w:vAlign w:val="center"/>
          </w:tcPr>
          <w:p w:rsidR="00A52DD2" w:rsidRPr="00BC3C18" w:rsidRDefault="00A52DD2" w:rsidP="00F035E0">
            <w:pPr>
              <w:adjustRightInd w:val="0"/>
              <w:snapToGrid w:val="0"/>
              <w:spacing w:line="280" w:lineRule="exact"/>
              <w:jc w:val="center"/>
              <w:rPr>
                <w:rFonts w:ascii="標楷體" w:eastAsia="標楷體" w:hAnsi="標楷體"/>
                <w:szCs w:val="28"/>
              </w:rPr>
            </w:pPr>
            <w:r w:rsidRPr="00BC3C18">
              <w:rPr>
                <w:rFonts w:ascii="標楷體" w:eastAsia="標楷體" w:hAnsi="標楷體" w:hint="eastAsia"/>
                <w:szCs w:val="28"/>
              </w:rPr>
              <w:t>1</w:t>
            </w:r>
            <w:r>
              <w:rPr>
                <w:rFonts w:ascii="標楷體" w:eastAsia="標楷體" w:hAnsi="標楷體"/>
                <w:szCs w:val="28"/>
              </w:rPr>
              <w:t>,</w:t>
            </w:r>
            <w:r w:rsidRPr="00BC3C18">
              <w:rPr>
                <w:rFonts w:ascii="標楷體" w:eastAsia="標楷體" w:hAnsi="標楷體" w:hint="eastAsia"/>
                <w:szCs w:val="28"/>
              </w:rPr>
              <w:t>479萬8千元</w:t>
            </w:r>
          </w:p>
        </w:tc>
        <w:tc>
          <w:tcPr>
            <w:tcW w:w="1835" w:type="dxa"/>
            <w:shd w:val="clear" w:color="auto" w:fill="auto"/>
            <w:vAlign w:val="center"/>
          </w:tcPr>
          <w:p w:rsidR="00A52DD2" w:rsidRPr="00BC3C18" w:rsidRDefault="00A52DD2" w:rsidP="00F035E0">
            <w:pPr>
              <w:adjustRightInd w:val="0"/>
              <w:snapToGrid w:val="0"/>
              <w:spacing w:line="280" w:lineRule="exact"/>
              <w:jc w:val="center"/>
              <w:rPr>
                <w:rFonts w:ascii="標楷體" w:eastAsia="標楷體" w:hAnsi="標楷體"/>
                <w:szCs w:val="28"/>
              </w:rPr>
            </w:pPr>
            <w:r w:rsidRPr="00BC3C18">
              <w:rPr>
                <w:rFonts w:ascii="標楷體" w:eastAsia="標楷體" w:hAnsi="標楷體" w:hint="eastAsia"/>
                <w:szCs w:val="28"/>
              </w:rPr>
              <w:t>1</w:t>
            </w:r>
            <w:r>
              <w:rPr>
                <w:rFonts w:ascii="標楷體" w:eastAsia="標楷體" w:hAnsi="標楷體"/>
                <w:szCs w:val="28"/>
              </w:rPr>
              <w:t>,</w:t>
            </w:r>
            <w:r w:rsidRPr="00BC3C18">
              <w:rPr>
                <w:rFonts w:ascii="標楷體" w:eastAsia="標楷體" w:hAnsi="標楷體" w:hint="eastAsia"/>
                <w:szCs w:val="28"/>
              </w:rPr>
              <w:t>413萬3千元</w:t>
            </w:r>
          </w:p>
        </w:tc>
        <w:tc>
          <w:tcPr>
            <w:tcW w:w="1754" w:type="dxa"/>
            <w:shd w:val="clear" w:color="auto" w:fill="auto"/>
            <w:vAlign w:val="center"/>
          </w:tcPr>
          <w:p w:rsidR="00A52DD2" w:rsidRPr="00BC3C18" w:rsidRDefault="00A52DD2" w:rsidP="00F035E0">
            <w:pPr>
              <w:adjustRightInd w:val="0"/>
              <w:snapToGrid w:val="0"/>
              <w:spacing w:line="280" w:lineRule="exact"/>
              <w:jc w:val="center"/>
              <w:rPr>
                <w:rFonts w:ascii="標楷體" w:eastAsia="標楷體" w:hAnsi="標楷體"/>
                <w:szCs w:val="28"/>
              </w:rPr>
            </w:pPr>
            <w:r w:rsidRPr="00BC3C18">
              <w:rPr>
                <w:rFonts w:ascii="標楷體" w:eastAsia="標楷體" w:hAnsi="標楷體" w:hint="eastAsia"/>
                <w:szCs w:val="28"/>
              </w:rPr>
              <w:t>800萬7千元(截至8月底)</w:t>
            </w:r>
          </w:p>
        </w:tc>
        <w:tc>
          <w:tcPr>
            <w:tcW w:w="1807" w:type="dxa"/>
            <w:shd w:val="clear" w:color="auto" w:fill="auto"/>
            <w:vAlign w:val="center"/>
          </w:tcPr>
          <w:p w:rsidR="00A52DD2" w:rsidRPr="00BC3C18" w:rsidRDefault="00A52DD2" w:rsidP="00F035E0">
            <w:pPr>
              <w:adjustRightInd w:val="0"/>
              <w:snapToGrid w:val="0"/>
              <w:spacing w:line="280" w:lineRule="exact"/>
              <w:jc w:val="center"/>
              <w:rPr>
                <w:rFonts w:ascii="標楷體" w:eastAsia="標楷體" w:hAnsi="標楷體"/>
                <w:szCs w:val="28"/>
              </w:rPr>
            </w:pPr>
            <w:r w:rsidRPr="00BC3C18">
              <w:rPr>
                <w:rFonts w:ascii="標楷體" w:eastAsia="標楷體" w:hAnsi="標楷體" w:hint="eastAsia"/>
                <w:szCs w:val="28"/>
              </w:rPr>
              <w:t>-</w:t>
            </w:r>
          </w:p>
        </w:tc>
      </w:tr>
      <w:tr w:rsidR="00A52DD2" w:rsidRPr="00BC3C18" w:rsidTr="00F035E0">
        <w:trPr>
          <w:jc w:val="right"/>
        </w:trPr>
        <w:tc>
          <w:tcPr>
            <w:tcW w:w="1708" w:type="dxa"/>
            <w:shd w:val="clear" w:color="auto" w:fill="auto"/>
            <w:vAlign w:val="center"/>
          </w:tcPr>
          <w:p w:rsidR="00A52DD2" w:rsidRPr="00BC3C18" w:rsidRDefault="00A52DD2" w:rsidP="00F035E0">
            <w:pPr>
              <w:adjustRightInd w:val="0"/>
              <w:snapToGrid w:val="0"/>
              <w:spacing w:line="280" w:lineRule="exact"/>
              <w:jc w:val="center"/>
              <w:rPr>
                <w:rFonts w:ascii="標楷體" w:eastAsia="標楷體" w:hAnsi="標楷體"/>
                <w:szCs w:val="28"/>
              </w:rPr>
            </w:pPr>
            <w:r w:rsidRPr="00BC3C18">
              <w:rPr>
                <w:rFonts w:ascii="標楷體" w:eastAsia="標楷體" w:hAnsi="標楷體" w:hint="eastAsia"/>
                <w:szCs w:val="28"/>
              </w:rPr>
              <w:t>執行比率</w:t>
            </w:r>
          </w:p>
        </w:tc>
        <w:tc>
          <w:tcPr>
            <w:tcW w:w="1872" w:type="dxa"/>
            <w:shd w:val="clear" w:color="auto" w:fill="auto"/>
            <w:vAlign w:val="center"/>
          </w:tcPr>
          <w:p w:rsidR="00A52DD2" w:rsidRPr="00BC3C18" w:rsidRDefault="00A52DD2" w:rsidP="00F035E0">
            <w:pPr>
              <w:adjustRightInd w:val="0"/>
              <w:snapToGrid w:val="0"/>
              <w:spacing w:line="280" w:lineRule="exact"/>
              <w:jc w:val="center"/>
              <w:rPr>
                <w:rFonts w:ascii="標楷體" w:eastAsia="標楷體" w:hAnsi="標楷體"/>
                <w:szCs w:val="28"/>
              </w:rPr>
            </w:pPr>
            <w:r w:rsidRPr="00BC3C18">
              <w:rPr>
                <w:rFonts w:ascii="標楷體" w:eastAsia="標楷體" w:hAnsi="標楷體" w:hint="eastAsia"/>
                <w:szCs w:val="28"/>
              </w:rPr>
              <w:t>92.2%</w:t>
            </w:r>
          </w:p>
        </w:tc>
        <w:tc>
          <w:tcPr>
            <w:tcW w:w="1835" w:type="dxa"/>
            <w:shd w:val="clear" w:color="auto" w:fill="auto"/>
            <w:vAlign w:val="center"/>
          </w:tcPr>
          <w:p w:rsidR="00A52DD2" w:rsidRPr="00BC3C18" w:rsidRDefault="00A52DD2" w:rsidP="00F035E0">
            <w:pPr>
              <w:adjustRightInd w:val="0"/>
              <w:snapToGrid w:val="0"/>
              <w:spacing w:line="280" w:lineRule="exact"/>
              <w:jc w:val="center"/>
              <w:rPr>
                <w:rFonts w:ascii="標楷體" w:eastAsia="標楷體" w:hAnsi="標楷體"/>
                <w:szCs w:val="28"/>
              </w:rPr>
            </w:pPr>
            <w:r w:rsidRPr="00BC3C18">
              <w:rPr>
                <w:rFonts w:ascii="標楷體" w:eastAsia="標楷體" w:hAnsi="標楷體" w:hint="eastAsia"/>
                <w:szCs w:val="28"/>
              </w:rPr>
              <w:t>87.3%</w:t>
            </w:r>
          </w:p>
        </w:tc>
        <w:tc>
          <w:tcPr>
            <w:tcW w:w="1754" w:type="dxa"/>
            <w:shd w:val="clear" w:color="auto" w:fill="auto"/>
            <w:vAlign w:val="center"/>
          </w:tcPr>
          <w:p w:rsidR="00A52DD2" w:rsidRPr="00BC3C18" w:rsidRDefault="00A52DD2" w:rsidP="00F035E0">
            <w:pPr>
              <w:adjustRightInd w:val="0"/>
              <w:snapToGrid w:val="0"/>
              <w:spacing w:line="280" w:lineRule="exact"/>
              <w:jc w:val="center"/>
              <w:rPr>
                <w:rFonts w:ascii="標楷體" w:eastAsia="標楷體" w:hAnsi="標楷體"/>
                <w:szCs w:val="28"/>
              </w:rPr>
            </w:pPr>
            <w:r w:rsidRPr="00BC3C18">
              <w:rPr>
                <w:rFonts w:ascii="標楷體" w:eastAsia="標楷體" w:hAnsi="標楷體" w:hint="eastAsia"/>
                <w:szCs w:val="28"/>
              </w:rPr>
              <w:t>48.8%</w:t>
            </w:r>
          </w:p>
          <w:p w:rsidR="00A52DD2" w:rsidRPr="00BC3C18" w:rsidRDefault="00A52DD2" w:rsidP="00F035E0">
            <w:pPr>
              <w:adjustRightInd w:val="0"/>
              <w:snapToGrid w:val="0"/>
              <w:spacing w:line="280" w:lineRule="exact"/>
              <w:jc w:val="center"/>
              <w:rPr>
                <w:rFonts w:ascii="標楷體" w:eastAsia="標楷體" w:hAnsi="標楷體"/>
                <w:szCs w:val="28"/>
              </w:rPr>
            </w:pPr>
            <w:r w:rsidRPr="00BC3C18">
              <w:rPr>
                <w:rFonts w:ascii="標楷體" w:eastAsia="標楷體" w:hAnsi="標楷體" w:hint="eastAsia"/>
                <w:szCs w:val="28"/>
              </w:rPr>
              <w:t>(截至8月底)</w:t>
            </w:r>
          </w:p>
        </w:tc>
        <w:tc>
          <w:tcPr>
            <w:tcW w:w="1807" w:type="dxa"/>
            <w:shd w:val="clear" w:color="auto" w:fill="auto"/>
            <w:vAlign w:val="center"/>
          </w:tcPr>
          <w:p w:rsidR="00A52DD2" w:rsidRPr="00BC3C18" w:rsidRDefault="00A52DD2" w:rsidP="00F035E0">
            <w:pPr>
              <w:adjustRightInd w:val="0"/>
              <w:snapToGrid w:val="0"/>
              <w:spacing w:line="280" w:lineRule="exact"/>
              <w:jc w:val="center"/>
              <w:rPr>
                <w:rFonts w:ascii="標楷體" w:eastAsia="標楷體" w:hAnsi="標楷體"/>
                <w:szCs w:val="28"/>
              </w:rPr>
            </w:pPr>
            <w:r w:rsidRPr="00BC3C18">
              <w:rPr>
                <w:rFonts w:ascii="標楷體" w:eastAsia="標楷體" w:hAnsi="標楷體" w:hint="eastAsia"/>
                <w:szCs w:val="28"/>
              </w:rPr>
              <w:t>-</w:t>
            </w:r>
          </w:p>
        </w:tc>
      </w:tr>
    </w:tbl>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黃國書</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何欣純  吳思瑤</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(五十)</w:t>
      </w:r>
      <w:r>
        <w:rPr>
          <w:rFonts w:ascii="標楷體" w:eastAsia="標楷體" w:hAnsi="標楷體"/>
          <w:bCs/>
          <w:sz w:val="32"/>
          <w:szCs w:val="32"/>
        </w:rPr>
        <w:t>112</w:t>
      </w:r>
      <w:r>
        <w:rPr>
          <w:rFonts w:ascii="標楷體" w:eastAsia="標楷體" w:hAnsi="標楷體" w:hint="eastAsia"/>
          <w:bCs/>
          <w:sz w:val="32"/>
          <w:szCs w:val="32"/>
        </w:rPr>
        <w:t>年度</w:t>
      </w:r>
      <w:r w:rsidRPr="00BC3C18">
        <w:rPr>
          <w:rFonts w:ascii="標楷體" w:eastAsia="標楷體" w:hAnsi="標楷體" w:hint="eastAsia"/>
          <w:bCs/>
          <w:sz w:val="32"/>
          <w:szCs w:val="32"/>
        </w:rPr>
        <w:t>國</w:t>
      </w:r>
      <w:r>
        <w:rPr>
          <w:rFonts w:ascii="標楷體" w:eastAsia="標楷體" w:hAnsi="標楷體" w:hint="eastAsia"/>
          <w:bCs/>
          <w:sz w:val="32"/>
          <w:szCs w:val="32"/>
        </w:rPr>
        <w:t>家</w:t>
      </w:r>
      <w:r w:rsidRPr="00BC3C18">
        <w:rPr>
          <w:rFonts w:ascii="標楷體" w:eastAsia="標楷體" w:hAnsi="標楷體" w:hint="eastAsia"/>
          <w:bCs/>
          <w:sz w:val="32"/>
          <w:szCs w:val="32"/>
        </w:rPr>
        <w:t>科</w:t>
      </w:r>
      <w:r>
        <w:rPr>
          <w:rFonts w:ascii="標楷體" w:eastAsia="標楷體" w:hAnsi="標楷體" w:hint="eastAsia"/>
          <w:bCs/>
          <w:sz w:val="32"/>
          <w:szCs w:val="32"/>
        </w:rPr>
        <w:t>學及技術委員會「</w:t>
      </w:r>
      <w:r w:rsidRPr="00BC3C18">
        <w:rPr>
          <w:rFonts w:ascii="標楷體" w:eastAsia="標楷體" w:hAnsi="標楷體" w:hint="eastAsia"/>
          <w:bCs/>
          <w:sz w:val="32"/>
          <w:szCs w:val="32"/>
        </w:rPr>
        <w:t>一般行政</w:t>
      </w:r>
      <w:r>
        <w:rPr>
          <w:rFonts w:ascii="標楷體" w:eastAsia="標楷體" w:hAnsi="標楷體" w:hint="eastAsia"/>
          <w:bCs/>
          <w:sz w:val="32"/>
          <w:szCs w:val="32"/>
        </w:rPr>
        <w:t>」項下「資訊管理」預算</w:t>
      </w:r>
      <w:r w:rsidRPr="00BC3C18">
        <w:rPr>
          <w:rFonts w:ascii="標楷體" w:eastAsia="標楷體" w:hAnsi="標楷體" w:hint="eastAsia"/>
          <w:bCs/>
          <w:sz w:val="32"/>
          <w:szCs w:val="32"/>
        </w:rPr>
        <w:t>編列9</w:t>
      </w:r>
      <w:r>
        <w:rPr>
          <w:rFonts w:ascii="標楷體" w:eastAsia="標楷體" w:hAnsi="標楷體"/>
          <w:bCs/>
          <w:sz w:val="32"/>
          <w:szCs w:val="32"/>
        </w:rPr>
        <w:t>,</w:t>
      </w:r>
      <w:r w:rsidRPr="00BC3C18">
        <w:rPr>
          <w:rFonts w:ascii="標楷體" w:eastAsia="標楷體" w:hAnsi="標楷體" w:hint="eastAsia"/>
          <w:bCs/>
          <w:sz w:val="32"/>
          <w:szCs w:val="32"/>
        </w:rPr>
        <w:t>582萬</w:t>
      </w:r>
      <w:r>
        <w:rPr>
          <w:rFonts w:ascii="標楷體" w:eastAsia="標楷體" w:hAnsi="標楷體" w:hint="eastAsia"/>
          <w:bCs/>
          <w:sz w:val="32"/>
          <w:szCs w:val="32"/>
        </w:rPr>
        <w:t>元</w:t>
      </w:r>
      <w:r w:rsidRPr="00BC3C18">
        <w:rPr>
          <w:rFonts w:ascii="標楷體" w:eastAsia="標楷體" w:hAnsi="標楷體" w:hint="eastAsia"/>
          <w:bCs/>
          <w:sz w:val="32"/>
          <w:szCs w:val="32"/>
        </w:rPr>
        <w:t>，對於資訊設施設備、資訊操作維護、各項資訊軟硬體設備費等辦理相關業務。「資安即國安」列為我國</w:t>
      </w:r>
      <w:r>
        <w:rPr>
          <w:rFonts w:ascii="標楷體" w:eastAsia="標楷體" w:hAnsi="標楷體" w:hint="eastAsia"/>
          <w:bCs/>
          <w:sz w:val="32"/>
          <w:szCs w:val="32"/>
        </w:rPr>
        <w:t>重大施政方針，中央政府除組織調整成立數位發展部，下轄資通安全署</w:t>
      </w:r>
      <w:r w:rsidRPr="00BC3C18">
        <w:rPr>
          <w:rFonts w:ascii="標楷體" w:eastAsia="標楷體" w:hAnsi="標楷體" w:hint="eastAsia"/>
          <w:bCs/>
          <w:sz w:val="32"/>
          <w:szCs w:val="32"/>
        </w:rPr>
        <w:t>及數位產業發展署，另針對政府資通訊安全防護設備器材全面提升並更新，對於資通訊人才培育，跨部會盤點整合；再者，國科會主委身兼行政院國家資通安全會報副召集人，責司跨部會</w:t>
      </w:r>
      <w:r>
        <w:rPr>
          <w:rFonts w:ascii="標楷體" w:eastAsia="標楷體" w:hAnsi="標楷體" w:hint="eastAsia"/>
          <w:bCs/>
          <w:sz w:val="32"/>
          <w:szCs w:val="32"/>
        </w:rPr>
        <w:t>資通安全事務之協調及督導，故國科會於執行資訊管理相關業務時，應為</w:t>
      </w:r>
      <w:r w:rsidRPr="00BC3C18">
        <w:rPr>
          <w:rFonts w:ascii="標楷體" w:eastAsia="標楷體" w:hAnsi="標楷體" w:hint="eastAsia"/>
          <w:bCs/>
          <w:sz w:val="32"/>
          <w:szCs w:val="32"/>
        </w:rPr>
        <w:t>各部會起示範作用，如人事編制、法定職責、委外辦理相關規範、人員教育訓練等項目及內容，但相關計畫未臻明確，爰請國家科學及技術委員會就前述事由於</w:t>
      </w:r>
      <w:r>
        <w:rPr>
          <w:rFonts w:ascii="標楷體" w:eastAsia="標楷體" w:hAnsi="標楷體" w:hint="eastAsia"/>
          <w:bCs/>
          <w:sz w:val="32"/>
          <w:szCs w:val="32"/>
        </w:rPr>
        <w:t>3</w:t>
      </w:r>
      <w:r w:rsidRPr="00BC3C18">
        <w:rPr>
          <w:rFonts w:ascii="標楷體" w:eastAsia="標楷體" w:hAnsi="標楷體" w:hint="eastAsia"/>
          <w:bCs/>
          <w:sz w:val="32"/>
          <w:szCs w:val="32"/>
        </w:rPr>
        <w:t>個月內向立法院教育及文化委員會提出書面報告。</w:t>
      </w:r>
      <w:r>
        <w:rPr>
          <w:rFonts w:ascii="標楷體" w:eastAsia="標楷體" w:hAnsi="標楷體" w:hint="eastAsia"/>
          <w:bCs/>
          <w:sz w:val="32"/>
          <w:szCs w:val="32"/>
        </w:rPr>
        <w:t>15</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何欣純</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吳思瑤  黃國書</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(五十一)</w:t>
      </w:r>
      <w:r w:rsidRPr="00F5111F">
        <w:rPr>
          <w:rFonts w:ascii="標楷體" w:eastAsia="標楷體" w:hAnsi="標楷體" w:hint="eastAsia"/>
          <w:sz w:val="32"/>
          <w:szCs w:val="32"/>
        </w:rPr>
        <w:t>行政法人</w:t>
      </w:r>
      <w:r w:rsidRPr="00F5111F">
        <w:rPr>
          <w:rFonts w:ascii="標楷體" w:eastAsia="標楷體" w:hAnsi="標楷體" w:hint="eastAsia"/>
          <w:bCs/>
          <w:sz w:val="32"/>
          <w:szCs w:val="32"/>
        </w:rPr>
        <w:t>國家災害防救科技中心之任務為推動及執行災防科技之研發、整合與協助工作，其工作推動可分為災害風險評估、早期預警與應變、資訊服務平台、防災力發展建構、落實推廣應用等面向，並包含科普教育之推廣。另國家科學及技術委員會亦下轄災防研究及監測單位如大屯火山觀測站，提供民眾、學生了解火山災害等科普教育、火山資源等內涵，然多以簡報、標本等傳統導覽模式為主。另查文化部</w:t>
      </w:r>
      <w:r w:rsidRPr="00F5111F">
        <w:rPr>
          <w:rFonts w:ascii="標楷體" w:eastAsia="標楷體" w:hAnsi="標楷體" w:hint="eastAsia"/>
          <w:bCs/>
          <w:sz w:val="32"/>
          <w:szCs w:val="32"/>
        </w:rPr>
        <w:lastRenderedPageBreak/>
        <w:t>與財團法人台灣設計研究院發起「公共服務創新專業服務協力計畫」，與陽明山國家公園管理處合作，串聯政府及民間資源，以山林體驗結合地方創生，將原廢棄之小觀音房舍，打造為結合休憩、生態教育、設計品牌力的陽明實驗山屋 (Yang-Ming Mountain Lab)，並規劃專屬導覽路線及咖啡意象描繪火山群地質特色，立體化陽明山在地風味的想像。此外，陽明實驗山屋</w:t>
      </w:r>
      <w:r>
        <w:rPr>
          <w:rFonts w:ascii="標楷體" w:eastAsia="標楷體" w:hAnsi="標楷體" w:hint="eastAsia"/>
          <w:bCs/>
          <w:sz w:val="32"/>
          <w:szCs w:val="32"/>
        </w:rPr>
        <w:t>111</w:t>
      </w:r>
      <w:r w:rsidRPr="00F5111F">
        <w:rPr>
          <w:rFonts w:ascii="標楷體" w:eastAsia="標楷體" w:hAnsi="標楷體" w:hint="eastAsia"/>
          <w:bCs/>
          <w:sz w:val="32"/>
          <w:szCs w:val="32"/>
        </w:rPr>
        <w:t>年亦透過策展形式，結合科普知識內涵，透過火山聲紋裝置、沈浸式地景聆聽體驗設計，重新建構陽明山的自然聲景，並獲得</w:t>
      </w:r>
      <w:r>
        <w:rPr>
          <w:rFonts w:ascii="標楷體" w:eastAsia="標楷體" w:hAnsi="標楷體" w:hint="eastAsia"/>
          <w:bCs/>
          <w:sz w:val="32"/>
          <w:szCs w:val="32"/>
        </w:rPr>
        <w:t>「</w:t>
      </w:r>
      <w:r w:rsidRPr="00F5111F">
        <w:rPr>
          <w:rFonts w:ascii="標楷體" w:eastAsia="標楷體" w:hAnsi="標楷體" w:hint="eastAsia"/>
          <w:bCs/>
          <w:sz w:val="32"/>
          <w:szCs w:val="32"/>
        </w:rPr>
        <w:t>2022台北老屋新生大獎</w:t>
      </w:r>
      <w:r>
        <w:rPr>
          <w:rFonts w:ascii="標楷體" w:eastAsia="標楷體" w:hAnsi="標楷體" w:hint="eastAsia"/>
          <w:bCs/>
          <w:sz w:val="32"/>
          <w:szCs w:val="32"/>
        </w:rPr>
        <w:t>」</w:t>
      </w:r>
      <w:r w:rsidRPr="00F5111F">
        <w:rPr>
          <w:rFonts w:ascii="標楷體" w:eastAsia="標楷體" w:hAnsi="標楷體" w:hint="eastAsia"/>
          <w:bCs/>
          <w:sz w:val="32"/>
          <w:szCs w:val="32"/>
        </w:rPr>
        <w:t>。綜上所述，國家科學及技術委員會應將災防科技結合地方創生，推動跨部會合作，結合大屯火山觀測站之科普教育，加速完成「大屯火山防災博物館」，使火山災防更貼近民眾及生活，並建立創生新典範，</w:t>
      </w:r>
      <w:r>
        <w:rPr>
          <w:rFonts w:ascii="標楷體" w:eastAsia="標楷體" w:hAnsi="標楷體" w:hint="eastAsia"/>
          <w:bCs/>
          <w:sz w:val="32"/>
          <w:szCs w:val="32"/>
        </w:rPr>
        <w:t>並</w:t>
      </w:r>
      <w:r w:rsidRPr="00F5111F">
        <w:rPr>
          <w:rFonts w:ascii="標楷體" w:eastAsia="標楷體" w:hAnsi="標楷體" w:hint="eastAsia"/>
          <w:bCs/>
          <w:sz w:val="32"/>
          <w:szCs w:val="32"/>
        </w:rPr>
        <w:t>於</w:t>
      </w:r>
      <w:r>
        <w:rPr>
          <w:rFonts w:ascii="標楷體" w:eastAsia="標楷體" w:hAnsi="標楷體" w:hint="eastAsia"/>
          <w:bCs/>
          <w:sz w:val="32"/>
          <w:szCs w:val="32"/>
        </w:rPr>
        <w:t>3</w:t>
      </w:r>
      <w:r w:rsidRPr="00F5111F">
        <w:rPr>
          <w:rFonts w:ascii="標楷體" w:eastAsia="標楷體" w:hAnsi="標楷體" w:hint="eastAsia"/>
          <w:bCs/>
          <w:sz w:val="32"/>
          <w:szCs w:val="32"/>
        </w:rPr>
        <w:t>個月內向立法院教育及文化委員會提出書面報告。</w:t>
      </w:r>
      <w:r>
        <w:rPr>
          <w:rFonts w:ascii="標楷體" w:eastAsia="標楷體" w:hAnsi="標楷體" w:hint="eastAsia"/>
          <w:bCs/>
          <w:sz w:val="32"/>
          <w:szCs w:val="32"/>
        </w:rPr>
        <w:t>17</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吳思瑤</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何欣純  林宜瑾</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(五十二)</w:t>
      </w:r>
      <w:r w:rsidRPr="00F5111F">
        <w:rPr>
          <w:rFonts w:ascii="標楷體" w:eastAsia="標楷體" w:hAnsi="標楷體" w:hint="eastAsia"/>
          <w:bCs/>
          <w:sz w:val="32"/>
          <w:szCs w:val="32"/>
        </w:rPr>
        <w:t>我國與新南向國家在防災科學之共同研究已進行多年，</w:t>
      </w:r>
      <w:r>
        <w:rPr>
          <w:rFonts w:ascii="標楷體" w:eastAsia="標楷體" w:hAnsi="標楷體" w:hint="eastAsia"/>
          <w:bCs/>
          <w:sz w:val="32"/>
          <w:szCs w:val="32"/>
        </w:rPr>
        <w:t>行政法人</w:t>
      </w:r>
      <w:r w:rsidRPr="00F5111F">
        <w:rPr>
          <w:rFonts w:ascii="標楷體" w:eastAsia="標楷體" w:hAnsi="標楷體" w:hint="eastAsia"/>
          <w:bCs/>
          <w:sz w:val="32"/>
          <w:szCs w:val="32"/>
        </w:rPr>
        <w:t>國家災害防救科技中心推動「維運新南向國家</w:t>
      </w:r>
      <w:r>
        <w:rPr>
          <w:rFonts w:ascii="標楷體" w:eastAsia="標楷體" w:hAnsi="標楷體" w:hint="eastAsia"/>
          <w:bCs/>
          <w:sz w:val="32"/>
          <w:szCs w:val="32"/>
        </w:rPr>
        <w:t>整</w:t>
      </w:r>
      <w:r w:rsidRPr="00F5111F">
        <w:rPr>
          <w:rFonts w:ascii="標楷體" w:eastAsia="標楷體" w:hAnsi="標楷體" w:hint="eastAsia"/>
          <w:bCs/>
          <w:sz w:val="32"/>
          <w:szCs w:val="32"/>
        </w:rPr>
        <w:t>合式災害情資決策系統與智慧防震輸出計畫</w:t>
      </w:r>
      <w:r>
        <w:rPr>
          <w:rFonts w:ascii="標楷體" w:eastAsia="標楷體" w:hAnsi="標楷體" w:hint="eastAsia"/>
          <w:bCs/>
          <w:sz w:val="32"/>
          <w:szCs w:val="32"/>
        </w:rPr>
        <w:t>-</w:t>
      </w:r>
      <w:r w:rsidRPr="00F5111F">
        <w:rPr>
          <w:rFonts w:ascii="標楷體" w:eastAsia="標楷體" w:hAnsi="標楷體" w:hint="eastAsia"/>
          <w:bCs/>
          <w:sz w:val="32"/>
          <w:szCs w:val="32"/>
        </w:rPr>
        <w:t>整合式災害情資決策系統」，以配合新南向政策，藉災害情資決策與智慧防震技術之輸出，帶領國內防災產業擴展海外市場。依據</w:t>
      </w:r>
      <w:r>
        <w:rPr>
          <w:rFonts w:ascii="標楷體" w:eastAsia="標楷體" w:hAnsi="標楷體" w:hint="eastAsia"/>
          <w:bCs/>
          <w:sz w:val="32"/>
          <w:szCs w:val="32"/>
        </w:rPr>
        <w:t>行政法人</w:t>
      </w:r>
      <w:r w:rsidRPr="00F5111F">
        <w:rPr>
          <w:rFonts w:ascii="標楷體" w:eastAsia="標楷體" w:hAnsi="標楷體" w:hint="eastAsia"/>
          <w:bCs/>
          <w:sz w:val="32"/>
          <w:szCs w:val="32"/>
        </w:rPr>
        <w:t>國家災害防救科技中心提供之資料，該中心於菲律賓、尼泊爾、不丹及越南等</w:t>
      </w:r>
      <w:r>
        <w:rPr>
          <w:rFonts w:ascii="標楷體" w:eastAsia="標楷體" w:hAnsi="標楷體" w:hint="eastAsia"/>
          <w:bCs/>
          <w:sz w:val="32"/>
          <w:szCs w:val="32"/>
        </w:rPr>
        <w:t>4</w:t>
      </w:r>
      <w:r w:rsidRPr="00F5111F">
        <w:rPr>
          <w:rFonts w:ascii="標楷體" w:eastAsia="標楷體" w:hAnsi="標楷體" w:hint="eastAsia"/>
          <w:bCs/>
          <w:sz w:val="32"/>
          <w:szCs w:val="32"/>
        </w:rPr>
        <w:t>國建置監測站計83站，然尼泊爾、不丹等其中12站已結束維運，其餘菲律賓、尼泊爾之監測站妥善率，受當地基礎設施欠佳影響僅50%及62</w:t>
      </w:r>
      <w:r>
        <w:rPr>
          <w:rFonts w:ascii="標楷體" w:eastAsia="標楷體" w:hAnsi="標楷體" w:hint="eastAsia"/>
          <w:bCs/>
          <w:sz w:val="32"/>
          <w:szCs w:val="32"/>
        </w:rPr>
        <w:t>%</w:t>
      </w:r>
      <w:r w:rsidRPr="00F5111F">
        <w:rPr>
          <w:rFonts w:ascii="標楷體" w:eastAsia="標楷體" w:hAnsi="標楷體" w:hint="eastAsia"/>
          <w:bCs/>
          <w:sz w:val="32"/>
          <w:szCs w:val="32"/>
        </w:rPr>
        <w:t>，妥善率均不高，另原預計110年於越南設置20站，也受</w:t>
      </w:r>
      <w:r w:rsidRPr="004E33B8">
        <w:rPr>
          <w:rFonts w:ascii="標楷體" w:eastAsia="標楷體" w:hAnsi="標楷體" w:hint="eastAsia"/>
          <w:bCs/>
          <w:sz w:val="32"/>
          <w:szCs w:val="32"/>
        </w:rPr>
        <w:t>嚴重特殊傳染性肺炎</w:t>
      </w:r>
      <w:r w:rsidRPr="00F5111F">
        <w:rPr>
          <w:rFonts w:ascii="標楷體" w:eastAsia="標楷體" w:hAnsi="標楷體" w:hint="eastAsia"/>
          <w:bCs/>
          <w:sz w:val="32"/>
          <w:szCs w:val="32"/>
        </w:rPr>
        <w:t>疫情影響延至111年7月安裝，</w:t>
      </w:r>
      <w:r>
        <w:rPr>
          <w:rFonts w:ascii="標楷體" w:eastAsia="標楷體" w:hAnsi="標楷體" w:hint="eastAsia"/>
          <w:bCs/>
          <w:sz w:val="32"/>
          <w:szCs w:val="32"/>
        </w:rPr>
        <w:t>行政法人</w:t>
      </w:r>
      <w:r w:rsidRPr="00F5111F">
        <w:rPr>
          <w:rFonts w:ascii="標楷體" w:eastAsia="標楷體" w:hAnsi="標楷體" w:hint="eastAsia"/>
          <w:bCs/>
          <w:sz w:val="32"/>
          <w:szCs w:val="32"/>
        </w:rPr>
        <w:t>國家災害防救科技中心應針對監測站之設置維運提出改善作為，並對新設</w:t>
      </w:r>
      <w:r w:rsidRPr="00F5111F">
        <w:rPr>
          <w:rFonts w:ascii="標楷體" w:eastAsia="標楷體" w:hAnsi="標楷體" w:hint="eastAsia"/>
          <w:bCs/>
          <w:sz w:val="32"/>
          <w:szCs w:val="32"/>
        </w:rPr>
        <w:lastRenderedPageBreak/>
        <w:t>站址做妥適規劃。綜上所述，爰請國家科學及技術委員會針對前述事由提出改進作為，</w:t>
      </w:r>
      <w:r>
        <w:rPr>
          <w:rFonts w:ascii="標楷體" w:eastAsia="標楷體" w:hAnsi="標楷體" w:hint="eastAsia"/>
          <w:bCs/>
          <w:sz w:val="32"/>
          <w:szCs w:val="32"/>
        </w:rPr>
        <w:t>並</w:t>
      </w:r>
      <w:r w:rsidRPr="00F5111F">
        <w:rPr>
          <w:rFonts w:ascii="標楷體" w:eastAsia="標楷體" w:hAnsi="標楷體" w:hint="eastAsia"/>
          <w:bCs/>
          <w:sz w:val="32"/>
          <w:szCs w:val="32"/>
        </w:rPr>
        <w:t>於</w:t>
      </w:r>
      <w:r>
        <w:rPr>
          <w:rFonts w:ascii="標楷體" w:eastAsia="標楷體" w:hAnsi="標楷體" w:hint="eastAsia"/>
          <w:bCs/>
          <w:sz w:val="32"/>
          <w:szCs w:val="32"/>
        </w:rPr>
        <w:t>3</w:t>
      </w:r>
      <w:r w:rsidRPr="00F5111F">
        <w:rPr>
          <w:rFonts w:ascii="標楷體" w:eastAsia="標楷體" w:hAnsi="標楷體" w:hint="eastAsia"/>
          <w:bCs/>
          <w:sz w:val="32"/>
          <w:szCs w:val="32"/>
        </w:rPr>
        <w:t>個月內向立法院教育及文化委員會提出書面報告。</w:t>
      </w:r>
      <w:r>
        <w:rPr>
          <w:rFonts w:ascii="標楷體" w:eastAsia="標楷體" w:hAnsi="標楷體" w:hint="eastAsia"/>
          <w:bCs/>
          <w:sz w:val="32"/>
          <w:szCs w:val="32"/>
        </w:rPr>
        <w:t>18</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吳思瑤</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何欣純  林宜瑾</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(五十三)</w:t>
      </w:r>
      <w:r w:rsidRPr="00F5111F">
        <w:rPr>
          <w:rFonts w:ascii="標楷體" w:eastAsia="標楷體" w:hAnsi="標楷體" w:hint="eastAsia"/>
          <w:bCs/>
          <w:sz w:val="32"/>
          <w:szCs w:val="32"/>
        </w:rPr>
        <w:t>經查112年度國家科學及技術委員會「國家災害防救科技中心發展計畫」預算編列較</w:t>
      </w:r>
      <w:r>
        <w:rPr>
          <w:rFonts w:ascii="標楷體" w:eastAsia="標楷體" w:hAnsi="標楷體" w:hint="eastAsia"/>
          <w:bCs/>
          <w:sz w:val="32"/>
          <w:szCs w:val="32"/>
        </w:rPr>
        <w:t>111</w:t>
      </w:r>
      <w:r w:rsidRPr="00F5111F">
        <w:rPr>
          <w:rFonts w:ascii="標楷體" w:eastAsia="標楷體" w:hAnsi="標楷體" w:hint="eastAsia"/>
          <w:bCs/>
          <w:sz w:val="32"/>
          <w:szCs w:val="32"/>
        </w:rPr>
        <w:t>年度多編列2,975萬元。國科會每年皆編列預算供</w:t>
      </w:r>
      <w:r>
        <w:rPr>
          <w:rFonts w:ascii="標楷體" w:eastAsia="標楷體" w:hAnsi="標楷體" w:hint="eastAsia"/>
          <w:bCs/>
          <w:sz w:val="32"/>
          <w:szCs w:val="32"/>
        </w:rPr>
        <w:t>行政法人</w:t>
      </w:r>
      <w:r w:rsidRPr="00F5111F">
        <w:rPr>
          <w:rFonts w:ascii="標楷體" w:eastAsia="標楷體" w:hAnsi="標楷體" w:hint="eastAsia"/>
          <w:bCs/>
          <w:sz w:val="32"/>
          <w:szCs w:val="32"/>
        </w:rPr>
        <w:t>國家災害防救科技中心發展相關防災科技、災害監測及強化災害應變情資；惟國家災害防救科技中心的官方Line帳號截至</w:t>
      </w:r>
      <w:r>
        <w:rPr>
          <w:rFonts w:ascii="標楷體" w:eastAsia="標楷體" w:hAnsi="標楷體" w:hint="eastAsia"/>
          <w:bCs/>
          <w:sz w:val="32"/>
          <w:szCs w:val="32"/>
        </w:rPr>
        <w:t>111年</w:t>
      </w:r>
      <w:r w:rsidRPr="00F5111F">
        <w:rPr>
          <w:rFonts w:ascii="標楷體" w:eastAsia="標楷體" w:hAnsi="標楷體" w:hint="eastAsia"/>
          <w:bCs/>
          <w:sz w:val="32"/>
          <w:szCs w:val="32"/>
        </w:rPr>
        <w:t>11月11日，僅有134萬7,016人追蹤，</w:t>
      </w:r>
      <w:r>
        <w:rPr>
          <w:rFonts w:ascii="標楷體" w:eastAsia="標楷體" w:hAnsi="標楷體" w:hint="eastAsia"/>
          <w:bCs/>
          <w:sz w:val="32"/>
          <w:szCs w:val="32"/>
        </w:rPr>
        <w:t>占</w:t>
      </w:r>
      <w:r w:rsidRPr="00F5111F">
        <w:rPr>
          <w:rFonts w:ascii="標楷體" w:eastAsia="標楷體" w:hAnsi="標楷體" w:hint="eastAsia"/>
          <w:bCs/>
          <w:sz w:val="32"/>
          <w:szCs w:val="32"/>
        </w:rPr>
        <w:t>台灣總人口數不到10%。國家發展相關災害防救科技及災害防治，本就應積極推廣，使民眾皆能在災害發生前或正在發生時，收到最新的災害資訊，以利民眾及時應變，降低災害造成之損害。爰請國家科學及技術委員會就上述事由於</w:t>
      </w:r>
      <w:r>
        <w:rPr>
          <w:rFonts w:ascii="標楷體" w:eastAsia="標楷體" w:hAnsi="標楷體" w:hint="eastAsia"/>
          <w:bCs/>
          <w:sz w:val="32"/>
          <w:szCs w:val="32"/>
        </w:rPr>
        <w:t>3</w:t>
      </w:r>
      <w:r w:rsidRPr="00F5111F">
        <w:rPr>
          <w:rFonts w:ascii="標楷體" w:eastAsia="標楷體" w:hAnsi="標楷體" w:hint="eastAsia"/>
          <w:bCs/>
          <w:sz w:val="32"/>
          <w:szCs w:val="32"/>
        </w:rPr>
        <w:t>個月內向立法院教育及文化委員會提出書面報告。</w:t>
      </w:r>
      <w:r>
        <w:rPr>
          <w:rFonts w:ascii="標楷體" w:eastAsia="標楷體" w:hAnsi="標楷體" w:hint="eastAsia"/>
          <w:bCs/>
          <w:sz w:val="32"/>
          <w:szCs w:val="32"/>
        </w:rPr>
        <w:t>19</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陳秀寳</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吳思瑤  林宜瑾  何欣純</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(五十四)行政法人</w:t>
      </w:r>
      <w:r w:rsidRPr="00F5111F">
        <w:rPr>
          <w:rFonts w:ascii="標楷體" w:eastAsia="標楷體" w:hAnsi="標楷體" w:hint="eastAsia"/>
          <w:bCs/>
          <w:sz w:val="32"/>
          <w:szCs w:val="32"/>
        </w:rPr>
        <w:t>國家災害防救科技中心為配合政府新南向政策，遂推動災防科技之輸出、應用與落實，並協助相關國家提升防災與減災能力，藉此帶領國內防災產業擴展海外市場，</w:t>
      </w:r>
      <w:r>
        <w:rPr>
          <w:rFonts w:ascii="標楷體" w:eastAsia="標楷體" w:hAnsi="標楷體" w:hint="eastAsia"/>
          <w:bCs/>
          <w:sz w:val="32"/>
          <w:szCs w:val="32"/>
        </w:rPr>
        <w:t>行政法人</w:t>
      </w:r>
      <w:r w:rsidRPr="00F5111F">
        <w:rPr>
          <w:rFonts w:ascii="標楷體" w:eastAsia="標楷體" w:hAnsi="標楷體" w:hint="eastAsia"/>
          <w:bCs/>
          <w:sz w:val="32"/>
          <w:szCs w:val="32"/>
        </w:rPr>
        <w:t>國家災害防救科技中心遂於2018年起受託辦理4年度計畫「建置維運新南向國家整合式災害情資決策系統與智慧防震技術輸出計畫」於2019至2021年，菲律賓、尼泊爾、不丹、越南等</w:t>
      </w:r>
      <w:r>
        <w:rPr>
          <w:rFonts w:ascii="標楷體" w:eastAsia="標楷體" w:hAnsi="標楷體" w:hint="eastAsia"/>
          <w:bCs/>
          <w:sz w:val="32"/>
          <w:szCs w:val="32"/>
        </w:rPr>
        <w:t>4</w:t>
      </w:r>
      <w:r w:rsidRPr="00F5111F">
        <w:rPr>
          <w:rFonts w:ascii="標楷體" w:eastAsia="標楷體" w:hAnsi="標楷體" w:hint="eastAsia"/>
          <w:bCs/>
          <w:sz w:val="32"/>
          <w:szCs w:val="32"/>
        </w:rPr>
        <w:t>國所建置之監測系統及監測站達83站，然部分已結束維運，部分測站則受到當地基礎建設尚未完備之影響，2021及2022年1至7月妥善率平均為50%及62%，且預計2021年於越南設置20站，亦受到嚴重特殊傳染性肺炎</w:t>
      </w:r>
      <w:r w:rsidRPr="00F5111F">
        <w:rPr>
          <w:rFonts w:ascii="標楷體" w:eastAsia="標楷體" w:hAnsi="標楷體" w:hint="eastAsia"/>
          <w:bCs/>
          <w:sz w:val="32"/>
          <w:szCs w:val="32"/>
        </w:rPr>
        <w:lastRenderedPageBreak/>
        <w:t>疫情影響，建置期程有所延後。綜上，為使國內災防產業能積極擴展至國際市場，國家科學及技術委員會應就上開計畫予以研謀策進，並以相關建置之經驗，作為未來政策研擬之重要參考，</w:t>
      </w:r>
      <w:r>
        <w:rPr>
          <w:rFonts w:ascii="標楷體" w:eastAsia="標楷體" w:hAnsi="標楷體" w:hint="eastAsia"/>
          <w:bCs/>
          <w:sz w:val="32"/>
          <w:szCs w:val="32"/>
        </w:rPr>
        <w:t>並</w:t>
      </w:r>
      <w:r w:rsidRPr="00F5111F">
        <w:rPr>
          <w:rFonts w:ascii="標楷體" w:eastAsia="標楷體" w:hAnsi="標楷體" w:hint="eastAsia"/>
          <w:bCs/>
          <w:sz w:val="32"/>
          <w:szCs w:val="32"/>
        </w:rPr>
        <w:t>於</w:t>
      </w:r>
      <w:r>
        <w:rPr>
          <w:rFonts w:ascii="標楷體" w:eastAsia="標楷體" w:hAnsi="標楷體" w:hint="eastAsia"/>
          <w:bCs/>
          <w:sz w:val="32"/>
          <w:szCs w:val="32"/>
        </w:rPr>
        <w:t>3</w:t>
      </w:r>
      <w:r w:rsidRPr="00F5111F">
        <w:rPr>
          <w:rFonts w:ascii="標楷體" w:eastAsia="標楷體" w:hAnsi="標楷體" w:hint="eastAsia"/>
          <w:bCs/>
          <w:sz w:val="32"/>
          <w:szCs w:val="32"/>
        </w:rPr>
        <w:t>個月內向立法院教育及文化委員會提出書面報告。</w:t>
      </w:r>
      <w:r>
        <w:rPr>
          <w:rFonts w:ascii="標楷體" w:eastAsia="標楷體" w:hAnsi="標楷體" w:hint="eastAsia"/>
          <w:bCs/>
          <w:sz w:val="32"/>
          <w:szCs w:val="32"/>
        </w:rPr>
        <w:t>20</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林宜瑾</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何欣純  陳秀寳  吳思瑤</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(五十五)行政法人</w:t>
      </w:r>
      <w:r w:rsidRPr="00F5111F">
        <w:rPr>
          <w:rFonts w:ascii="標楷體" w:eastAsia="標楷體" w:hAnsi="標楷體" w:hint="eastAsia"/>
          <w:bCs/>
          <w:sz w:val="32"/>
          <w:szCs w:val="32"/>
        </w:rPr>
        <w:t>國家災害防救科技中心為配合政府新南向政策，自107年度起受託辦理「建置維運新南向國家整合式災害情資決策系統與智慧防震技術輸出計畫」，建置數位化環境監測系統(包含地震計或雨量計)，協助研判及防災應變的決策。經查108年於菲律賓建置26站及109年於尼泊爾建置13站監測站，受到當地基礎建設欠佳等因素影響，110及111年1至7月底各妥善率平均僅達50%及62%。另原預計於110年間於越南設置20站，因</w:t>
      </w:r>
      <w:r w:rsidRPr="004E33B8">
        <w:rPr>
          <w:rFonts w:ascii="標楷體" w:eastAsia="標楷體" w:hAnsi="標楷體" w:hint="eastAsia"/>
          <w:bCs/>
          <w:sz w:val="32"/>
          <w:szCs w:val="32"/>
        </w:rPr>
        <w:t>嚴重特殊傳染性肺炎</w:t>
      </w:r>
      <w:r w:rsidRPr="00F5111F">
        <w:rPr>
          <w:rFonts w:ascii="標楷體" w:eastAsia="標楷體" w:hAnsi="標楷體" w:hint="eastAsia"/>
          <w:bCs/>
          <w:sz w:val="32"/>
          <w:szCs w:val="32"/>
        </w:rPr>
        <w:t>疫情影響延至111年7月才開始安裝。有鑑於先前監測站妥善率不佳的狀況，應借鏡與檢討避免越南的監測站重蹈覆轍，以達成透過災害情資決策及智慧防震技術之輸出，據以帶領國內防災產業擴展海外市場的預期目標。爰請</w:t>
      </w:r>
      <w:r>
        <w:rPr>
          <w:rFonts w:ascii="標楷體" w:eastAsia="標楷體" w:hAnsi="標楷體" w:hint="eastAsia"/>
          <w:bCs/>
          <w:sz w:val="32"/>
          <w:szCs w:val="32"/>
        </w:rPr>
        <w:t>國家科學及技術委員會</w:t>
      </w:r>
      <w:r w:rsidRPr="00F5111F">
        <w:rPr>
          <w:rFonts w:ascii="標楷體" w:eastAsia="標楷體" w:hAnsi="標楷體" w:hint="eastAsia"/>
          <w:bCs/>
          <w:sz w:val="32"/>
          <w:szCs w:val="32"/>
        </w:rPr>
        <w:t>於</w:t>
      </w:r>
      <w:r>
        <w:rPr>
          <w:rFonts w:ascii="標楷體" w:eastAsia="標楷體" w:hAnsi="標楷體" w:hint="eastAsia"/>
          <w:bCs/>
          <w:sz w:val="32"/>
          <w:szCs w:val="32"/>
        </w:rPr>
        <w:t>3</w:t>
      </w:r>
      <w:r w:rsidRPr="00F5111F">
        <w:rPr>
          <w:rFonts w:ascii="標楷體" w:eastAsia="標楷體" w:hAnsi="標楷體" w:hint="eastAsia"/>
          <w:bCs/>
          <w:sz w:val="32"/>
          <w:szCs w:val="32"/>
        </w:rPr>
        <w:t>個月內就前述事由向立法院教育及文化委員會提出書面報告。</w:t>
      </w:r>
      <w:r>
        <w:rPr>
          <w:rFonts w:ascii="標楷體" w:eastAsia="標楷體" w:hAnsi="標楷體" w:hint="eastAsia"/>
          <w:bCs/>
          <w:sz w:val="32"/>
          <w:szCs w:val="32"/>
        </w:rPr>
        <w:t>21</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張廖萬堅</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何欣純  林宜瑾</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(五十六)112年度</w:t>
      </w:r>
      <w:r w:rsidRPr="0060199D">
        <w:rPr>
          <w:rFonts w:ascii="標楷體" w:eastAsia="標楷體" w:hAnsi="標楷體" w:hint="eastAsia"/>
          <w:bCs/>
          <w:sz w:val="32"/>
          <w:szCs w:val="32"/>
        </w:rPr>
        <w:t>國家科學及技術委員會「國家災害防救科技中心發展計畫」</w:t>
      </w:r>
      <w:r>
        <w:rPr>
          <w:rFonts w:ascii="標楷體" w:eastAsia="標楷體" w:hAnsi="標楷體" w:hint="eastAsia"/>
          <w:bCs/>
          <w:sz w:val="32"/>
          <w:szCs w:val="32"/>
        </w:rPr>
        <w:t>項下</w:t>
      </w:r>
      <w:r w:rsidRPr="00F5111F">
        <w:rPr>
          <w:rFonts w:ascii="標楷體" w:eastAsia="標楷體" w:hAnsi="標楷體" w:hint="eastAsia"/>
          <w:bCs/>
          <w:sz w:val="32"/>
          <w:szCs w:val="32"/>
        </w:rPr>
        <w:t>「智慧化颱風洪水技術研究計畫」係針對導致高災害衝擊閃洪之暴雨系統，研發高致災颱洪天氣及次季節氣候變異預警技術，透過鏈結大數據科學與人工智慧新科技，減少預警之不確定性，提高支援防災決策效能。經查</w:t>
      </w:r>
      <w:r w:rsidRPr="00F5111F">
        <w:rPr>
          <w:rFonts w:ascii="標楷體" w:eastAsia="標楷體" w:hAnsi="標楷體" w:hint="eastAsia"/>
          <w:bCs/>
          <w:sz w:val="32"/>
          <w:szCs w:val="32"/>
        </w:rPr>
        <w:lastRenderedPageBreak/>
        <w:t>，該計畫109</w:t>
      </w:r>
      <w:r>
        <w:rPr>
          <w:rFonts w:ascii="標楷體" w:eastAsia="標楷體" w:hAnsi="標楷體" w:hint="eastAsia"/>
          <w:bCs/>
          <w:sz w:val="32"/>
          <w:szCs w:val="32"/>
        </w:rPr>
        <w:t>至</w:t>
      </w:r>
      <w:r w:rsidRPr="00F5111F">
        <w:rPr>
          <w:rFonts w:ascii="標楷體" w:eastAsia="標楷體" w:hAnsi="標楷體" w:hint="eastAsia"/>
          <w:bCs/>
          <w:sz w:val="32"/>
          <w:szCs w:val="32"/>
        </w:rPr>
        <w:t>110年度之決算數均與預算數存有落差，預算執行情形仍</w:t>
      </w:r>
      <w:r>
        <w:rPr>
          <w:rFonts w:ascii="標楷體" w:eastAsia="標楷體" w:hAnsi="標楷體" w:hint="eastAsia"/>
          <w:bCs/>
          <w:sz w:val="32"/>
          <w:szCs w:val="32"/>
        </w:rPr>
        <w:t>待加強。而</w:t>
      </w:r>
      <w:r w:rsidRPr="00F5111F">
        <w:rPr>
          <w:rFonts w:ascii="標楷體" w:eastAsia="標楷體" w:hAnsi="標楷體" w:hint="eastAsia"/>
          <w:bCs/>
          <w:sz w:val="32"/>
          <w:szCs w:val="32"/>
        </w:rPr>
        <w:t>112年度</w:t>
      </w:r>
      <w:r>
        <w:rPr>
          <w:rFonts w:ascii="標楷體" w:eastAsia="標楷體" w:hAnsi="標楷體" w:hint="eastAsia"/>
          <w:bCs/>
          <w:sz w:val="32"/>
          <w:szCs w:val="32"/>
        </w:rPr>
        <w:t>國家科學及技術委員會</w:t>
      </w:r>
      <w:r w:rsidRPr="00F5111F">
        <w:rPr>
          <w:rFonts w:ascii="標楷體" w:eastAsia="標楷體" w:hAnsi="標楷體" w:hint="eastAsia"/>
          <w:bCs/>
          <w:sz w:val="32"/>
          <w:szCs w:val="32"/>
        </w:rPr>
        <w:t>編列預算較111年度增加900萬元，</w:t>
      </w:r>
      <w:r>
        <w:rPr>
          <w:rFonts w:ascii="標楷體" w:eastAsia="標楷體" w:hAnsi="標楷體" w:hint="eastAsia"/>
          <w:bCs/>
          <w:sz w:val="32"/>
          <w:szCs w:val="32"/>
        </w:rPr>
        <w:t>國家科學及技術委員會</w:t>
      </w:r>
      <w:r w:rsidRPr="00F5111F">
        <w:rPr>
          <w:rFonts w:ascii="標楷體" w:eastAsia="標楷體" w:hAnsi="標楷體" w:hint="eastAsia"/>
          <w:bCs/>
          <w:sz w:val="32"/>
          <w:szCs w:val="32"/>
        </w:rPr>
        <w:t>允宜說明預算增加原因並提升計畫執行成效，</w:t>
      </w:r>
      <w:r>
        <w:rPr>
          <w:rFonts w:ascii="標楷體" w:eastAsia="標楷體" w:hAnsi="標楷體" w:hint="eastAsia"/>
          <w:bCs/>
          <w:sz w:val="32"/>
          <w:szCs w:val="32"/>
        </w:rPr>
        <w:t>並於3個月內</w:t>
      </w:r>
      <w:r w:rsidRPr="00F5111F">
        <w:rPr>
          <w:rFonts w:ascii="標楷體" w:eastAsia="標楷體" w:hAnsi="標楷體" w:hint="eastAsia"/>
          <w:bCs/>
          <w:sz w:val="32"/>
          <w:szCs w:val="32"/>
        </w:rPr>
        <w:t>向立法院教育及文化委員會提出書面報告。</w:t>
      </w:r>
      <w:r>
        <w:rPr>
          <w:rFonts w:ascii="標楷體" w:eastAsia="標楷體" w:hAnsi="標楷體" w:hint="eastAsia"/>
          <w:bCs/>
          <w:sz w:val="32"/>
          <w:szCs w:val="32"/>
        </w:rPr>
        <w:t>22</w:t>
      </w:r>
    </w:p>
    <w:p w:rsidR="00A52DD2" w:rsidRPr="009D1DEA" w:rsidRDefault="00A52DD2" w:rsidP="00F035E0">
      <w:pPr>
        <w:wordWrap w:val="0"/>
        <w:adjustRightInd w:val="0"/>
        <w:snapToGrid w:val="0"/>
        <w:jc w:val="right"/>
        <w:rPr>
          <w:rFonts w:ascii="標楷體" w:eastAsia="標楷體" w:hAnsi="標楷體"/>
          <w:szCs w:val="28"/>
        </w:rPr>
      </w:pPr>
      <w:r w:rsidRPr="009D1DEA">
        <w:rPr>
          <w:rFonts w:ascii="標楷體" w:eastAsia="標楷體" w:hAnsi="標楷體" w:hint="eastAsia"/>
          <w:szCs w:val="28"/>
        </w:rPr>
        <w:t>單位：新台幣千元</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2"/>
        <w:gridCol w:w="1174"/>
        <w:gridCol w:w="1173"/>
        <w:gridCol w:w="1173"/>
        <w:gridCol w:w="1174"/>
        <w:gridCol w:w="1174"/>
        <w:gridCol w:w="1174"/>
        <w:gridCol w:w="936"/>
      </w:tblGrid>
      <w:tr w:rsidR="00A52DD2" w:rsidRPr="009D1DEA" w:rsidTr="00F035E0">
        <w:trPr>
          <w:jc w:val="right"/>
        </w:trPr>
        <w:tc>
          <w:tcPr>
            <w:tcW w:w="1012" w:type="dxa"/>
            <w:shd w:val="clear" w:color="auto" w:fill="auto"/>
            <w:vAlign w:val="center"/>
          </w:tcPr>
          <w:p w:rsidR="00A52DD2" w:rsidRPr="009D1DEA" w:rsidRDefault="00A52DD2" w:rsidP="00F035E0">
            <w:pPr>
              <w:adjustRightInd w:val="0"/>
              <w:snapToGrid w:val="0"/>
              <w:jc w:val="center"/>
              <w:rPr>
                <w:rFonts w:ascii="標楷體" w:eastAsia="標楷體" w:hAnsi="標楷體"/>
                <w:szCs w:val="28"/>
              </w:rPr>
            </w:pPr>
            <w:r w:rsidRPr="009D1DEA">
              <w:rPr>
                <w:rFonts w:ascii="標楷體" w:eastAsia="標楷體" w:hAnsi="標楷體"/>
                <w:szCs w:val="28"/>
              </w:rPr>
              <w:t>年度</w:t>
            </w:r>
          </w:p>
        </w:tc>
        <w:tc>
          <w:tcPr>
            <w:tcW w:w="2347" w:type="dxa"/>
            <w:gridSpan w:val="2"/>
            <w:shd w:val="clear" w:color="auto" w:fill="auto"/>
            <w:vAlign w:val="center"/>
          </w:tcPr>
          <w:p w:rsidR="00A52DD2" w:rsidRPr="009D1DEA" w:rsidRDefault="00A52DD2" w:rsidP="00F035E0">
            <w:pPr>
              <w:adjustRightInd w:val="0"/>
              <w:snapToGrid w:val="0"/>
              <w:jc w:val="center"/>
              <w:rPr>
                <w:rFonts w:ascii="標楷體" w:eastAsia="標楷體" w:hAnsi="標楷體"/>
                <w:szCs w:val="28"/>
              </w:rPr>
            </w:pPr>
            <w:r w:rsidRPr="009D1DEA">
              <w:rPr>
                <w:rFonts w:ascii="標楷體" w:eastAsia="標楷體" w:hAnsi="標楷體" w:hint="eastAsia"/>
                <w:szCs w:val="28"/>
              </w:rPr>
              <w:t>109年</w:t>
            </w:r>
          </w:p>
        </w:tc>
        <w:tc>
          <w:tcPr>
            <w:tcW w:w="2347" w:type="dxa"/>
            <w:gridSpan w:val="2"/>
            <w:shd w:val="clear" w:color="auto" w:fill="auto"/>
            <w:vAlign w:val="center"/>
          </w:tcPr>
          <w:p w:rsidR="00A52DD2" w:rsidRPr="009D1DEA" w:rsidRDefault="00A52DD2" w:rsidP="00F035E0">
            <w:pPr>
              <w:adjustRightInd w:val="0"/>
              <w:snapToGrid w:val="0"/>
              <w:jc w:val="center"/>
              <w:rPr>
                <w:rFonts w:ascii="標楷體" w:eastAsia="標楷體" w:hAnsi="標楷體"/>
                <w:szCs w:val="28"/>
              </w:rPr>
            </w:pPr>
            <w:r w:rsidRPr="009D1DEA">
              <w:rPr>
                <w:rFonts w:ascii="標楷體" w:eastAsia="標楷體" w:hAnsi="標楷體" w:hint="eastAsia"/>
                <w:szCs w:val="28"/>
              </w:rPr>
              <w:t>110年</w:t>
            </w:r>
          </w:p>
        </w:tc>
        <w:tc>
          <w:tcPr>
            <w:tcW w:w="2348" w:type="dxa"/>
            <w:gridSpan w:val="2"/>
            <w:shd w:val="clear" w:color="auto" w:fill="auto"/>
            <w:vAlign w:val="center"/>
          </w:tcPr>
          <w:p w:rsidR="00A52DD2" w:rsidRPr="009D1DEA" w:rsidRDefault="00A52DD2" w:rsidP="00F035E0">
            <w:pPr>
              <w:adjustRightInd w:val="0"/>
              <w:snapToGrid w:val="0"/>
              <w:jc w:val="center"/>
              <w:rPr>
                <w:rFonts w:ascii="標楷體" w:eastAsia="標楷體" w:hAnsi="標楷體"/>
                <w:szCs w:val="28"/>
              </w:rPr>
            </w:pPr>
            <w:r w:rsidRPr="009D1DEA">
              <w:rPr>
                <w:rFonts w:ascii="標楷體" w:eastAsia="標楷體" w:hAnsi="標楷體" w:hint="eastAsia"/>
                <w:szCs w:val="28"/>
              </w:rPr>
              <w:t>111年</w:t>
            </w:r>
          </w:p>
        </w:tc>
        <w:tc>
          <w:tcPr>
            <w:tcW w:w="922" w:type="dxa"/>
            <w:shd w:val="clear" w:color="auto" w:fill="auto"/>
            <w:vAlign w:val="center"/>
          </w:tcPr>
          <w:p w:rsidR="00A52DD2" w:rsidRPr="009D1DEA" w:rsidRDefault="00A52DD2" w:rsidP="00F035E0">
            <w:pPr>
              <w:adjustRightInd w:val="0"/>
              <w:snapToGrid w:val="0"/>
              <w:jc w:val="center"/>
              <w:rPr>
                <w:rFonts w:ascii="標楷體" w:eastAsia="標楷體" w:hAnsi="標楷體"/>
                <w:szCs w:val="28"/>
              </w:rPr>
            </w:pPr>
            <w:r w:rsidRPr="009D1DEA">
              <w:rPr>
                <w:rFonts w:ascii="標楷體" w:eastAsia="標楷體" w:hAnsi="標楷體" w:hint="eastAsia"/>
                <w:szCs w:val="28"/>
              </w:rPr>
              <w:t>112年</w:t>
            </w:r>
          </w:p>
        </w:tc>
      </w:tr>
      <w:tr w:rsidR="00A52DD2" w:rsidRPr="009D1DEA" w:rsidTr="00F035E0">
        <w:trPr>
          <w:jc w:val="right"/>
        </w:trPr>
        <w:tc>
          <w:tcPr>
            <w:tcW w:w="1012" w:type="dxa"/>
            <w:shd w:val="clear" w:color="auto" w:fill="auto"/>
            <w:vAlign w:val="center"/>
          </w:tcPr>
          <w:p w:rsidR="00A52DD2" w:rsidRPr="009D1DEA" w:rsidRDefault="00A52DD2" w:rsidP="00F035E0">
            <w:pPr>
              <w:adjustRightInd w:val="0"/>
              <w:snapToGrid w:val="0"/>
              <w:jc w:val="center"/>
              <w:rPr>
                <w:rFonts w:ascii="標楷體" w:eastAsia="標楷體" w:hAnsi="標楷體"/>
                <w:szCs w:val="28"/>
              </w:rPr>
            </w:pPr>
            <w:r w:rsidRPr="009D1DEA">
              <w:rPr>
                <w:rFonts w:ascii="標楷體" w:eastAsia="標楷體" w:hAnsi="標楷體" w:hint="eastAsia"/>
                <w:szCs w:val="28"/>
              </w:rPr>
              <w:t>智慧化颱風洪水技術研究</w:t>
            </w:r>
          </w:p>
        </w:tc>
        <w:tc>
          <w:tcPr>
            <w:tcW w:w="1174" w:type="dxa"/>
            <w:shd w:val="clear" w:color="auto" w:fill="auto"/>
            <w:vAlign w:val="center"/>
          </w:tcPr>
          <w:p w:rsidR="00A52DD2" w:rsidRPr="009D1DEA" w:rsidRDefault="00A52DD2" w:rsidP="00F035E0">
            <w:pPr>
              <w:adjustRightInd w:val="0"/>
              <w:snapToGrid w:val="0"/>
              <w:jc w:val="center"/>
              <w:rPr>
                <w:rFonts w:ascii="標楷體" w:eastAsia="標楷體" w:hAnsi="標楷體"/>
                <w:szCs w:val="28"/>
              </w:rPr>
            </w:pPr>
            <w:r w:rsidRPr="009D1DEA">
              <w:rPr>
                <w:rFonts w:ascii="標楷體" w:eastAsia="標楷體" w:hAnsi="標楷體" w:hint="eastAsia"/>
                <w:szCs w:val="28"/>
              </w:rPr>
              <w:t>預算數</w:t>
            </w:r>
          </w:p>
        </w:tc>
        <w:tc>
          <w:tcPr>
            <w:tcW w:w="1173" w:type="dxa"/>
            <w:shd w:val="clear" w:color="auto" w:fill="auto"/>
            <w:vAlign w:val="center"/>
          </w:tcPr>
          <w:p w:rsidR="00A52DD2" w:rsidRPr="009D1DEA" w:rsidRDefault="00A52DD2" w:rsidP="00F035E0">
            <w:pPr>
              <w:adjustRightInd w:val="0"/>
              <w:snapToGrid w:val="0"/>
              <w:jc w:val="center"/>
              <w:rPr>
                <w:rFonts w:ascii="標楷體" w:eastAsia="標楷體" w:hAnsi="標楷體"/>
                <w:szCs w:val="28"/>
              </w:rPr>
            </w:pPr>
            <w:r w:rsidRPr="009D1DEA">
              <w:rPr>
                <w:rFonts w:ascii="標楷體" w:eastAsia="標楷體" w:hAnsi="標楷體" w:hint="eastAsia"/>
                <w:szCs w:val="28"/>
              </w:rPr>
              <w:t>決算數</w:t>
            </w:r>
          </w:p>
        </w:tc>
        <w:tc>
          <w:tcPr>
            <w:tcW w:w="1173" w:type="dxa"/>
            <w:shd w:val="clear" w:color="auto" w:fill="auto"/>
            <w:vAlign w:val="center"/>
          </w:tcPr>
          <w:p w:rsidR="00A52DD2" w:rsidRPr="009D1DEA" w:rsidRDefault="00A52DD2" w:rsidP="00F035E0">
            <w:pPr>
              <w:adjustRightInd w:val="0"/>
              <w:snapToGrid w:val="0"/>
              <w:jc w:val="center"/>
              <w:rPr>
                <w:rFonts w:ascii="標楷體" w:eastAsia="標楷體" w:hAnsi="標楷體"/>
                <w:szCs w:val="28"/>
              </w:rPr>
            </w:pPr>
            <w:r w:rsidRPr="009D1DEA">
              <w:rPr>
                <w:rFonts w:ascii="標楷體" w:eastAsia="標楷體" w:hAnsi="標楷體" w:hint="eastAsia"/>
                <w:szCs w:val="28"/>
              </w:rPr>
              <w:t>預算數</w:t>
            </w:r>
          </w:p>
        </w:tc>
        <w:tc>
          <w:tcPr>
            <w:tcW w:w="1174" w:type="dxa"/>
            <w:shd w:val="clear" w:color="auto" w:fill="auto"/>
            <w:vAlign w:val="center"/>
          </w:tcPr>
          <w:p w:rsidR="00A52DD2" w:rsidRPr="009D1DEA" w:rsidRDefault="00A52DD2" w:rsidP="00F035E0">
            <w:pPr>
              <w:adjustRightInd w:val="0"/>
              <w:snapToGrid w:val="0"/>
              <w:jc w:val="center"/>
              <w:rPr>
                <w:rFonts w:ascii="標楷體" w:eastAsia="標楷體" w:hAnsi="標楷體"/>
                <w:szCs w:val="28"/>
              </w:rPr>
            </w:pPr>
            <w:r w:rsidRPr="009D1DEA">
              <w:rPr>
                <w:rFonts w:ascii="標楷體" w:eastAsia="標楷體" w:hAnsi="標楷體" w:hint="eastAsia"/>
                <w:szCs w:val="28"/>
              </w:rPr>
              <w:t>決算數</w:t>
            </w:r>
          </w:p>
        </w:tc>
        <w:tc>
          <w:tcPr>
            <w:tcW w:w="1174" w:type="dxa"/>
            <w:shd w:val="clear" w:color="auto" w:fill="auto"/>
            <w:vAlign w:val="center"/>
          </w:tcPr>
          <w:p w:rsidR="00A52DD2" w:rsidRPr="009D1DEA" w:rsidRDefault="00A52DD2" w:rsidP="00F035E0">
            <w:pPr>
              <w:adjustRightInd w:val="0"/>
              <w:snapToGrid w:val="0"/>
              <w:jc w:val="center"/>
              <w:rPr>
                <w:rFonts w:ascii="標楷體" w:eastAsia="標楷體" w:hAnsi="標楷體"/>
                <w:szCs w:val="28"/>
              </w:rPr>
            </w:pPr>
            <w:r w:rsidRPr="009D1DEA">
              <w:rPr>
                <w:rFonts w:ascii="標楷體" w:eastAsia="標楷體" w:hAnsi="標楷體" w:hint="eastAsia"/>
                <w:szCs w:val="28"/>
              </w:rPr>
              <w:t>預算數</w:t>
            </w:r>
          </w:p>
        </w:tc>
        <w:tc>
          <w:tcPr>
            <w:tcW w:w="1174" w:type="dxa"/>
            <w:shd w:val="clear" w:color="auto" w:fill="auto"/>
            <w:vAlign w:val="center"/>
          </w:tcPr>
          <w:p w:rsidR="00A52DD2" w:rsidRPr="009D1DEA" w:rsidRDefault="00A52DD2" w:rsidP="00F035E0">
            <w:pPr>
              <w:adjustRightInd w:val="0"/>
              <w:snapToGrid w:val="0"/>
              <w:jc w:val="center"/>
              <w:rPr>
                <w:rFonts w:ascii="標楷體" w:eastAsia="標楷體" w:hAnsi="標楷體"/>
                <w:szCs w:val="28"/>
              </w:rPr>
            </w:pPr>
            <w:r w:rsidRPr="009D1DEA">
              <w:rPr>
                <w:rFonts w:ascii="標楷體" w:eastAsia="標楷體" w:hAnsi="標楷體" w:hint="eastAsia"/>
                <w:szCs w:val="28"/>
              </w:rPr>
              <w:t>執行數</w:t>
            </w:r>
          </w:p>
        </w:tc>
        <w:tc>
          <w:tcPr>
            <w:tcW w:w="922" w:type="dxa"/>
            <w:shd w:val="clear" w:color="auto" w:fill="auto"/>
            <w:vAlign w:val="center"/>
          </w:tcPr>
          <w:p w:rsidR="00A52DD2" w:rsidRPr="009D1DEA" w:rsidRDefault="00A52DD2" w:rsidP="00F035E0">
            <w:pPr>
              <w:adjustRightInd w:val="0"/>
              <w:snapToGrid w:val="0"/>
              <w:jc w:val="center"/>
              <w:rPr>
                <w:rFonts w:ascii="標楷體" w:eastAsia="標楷體" w:hAnsi="標楷體"/>
                <w:szCs w:val="28"/>
              </w:rPr>
            </w:pPr>
            <w:r w:rsidRPr="009D1DEA">
              <w:rPr>
                <w:rFonts w:ascii="標楷體" w:eastAsia="標楷體" w:hAnsi="標楷體" w:hint="eastAsia"/>
                <w:szCs w:val="28"/>
              </w:rPr>
              <w:t>預算數</w:t>
            </w:r>
          </w:p>
        </w:tc>
      </w:tr>
      <w:tr w:rsidR="00A52DD2" w:rsidRPr="009D1DEA" w:rsidTr="00F035E0">
        <w:trPr>
          <w:jc w:val="right"/>
        </w:trPr>
        <w:tc>
          <w:tcPr>
            <w:tcW w:w="1012" w:type="dxa"/>
            <w:shd w:val="clear" w:color="auto" w:fill="auto"/>
            <w:vAlign w:val="center"/>
          </w:tcPr>
          <w:p w:rsidR="00A52DD2" w:rsidRPr="009D1DEA" w:rsidRDefault="00A52DD2" w:rsidP="00F035E0">
            <w:pPr>
              <w:adjustRightInd w:val="0"/>
              <w:snapToGrid w:val="0"/>
              <w:jc w:val="center"/>
              <w:rPr>
                <w:rFonts w:ascii="標楷體" w:eastAsia="標楷體" w:hAnsi="標楷體"/>
                <w:szCs w:val="28"/>
              </w:rPr>
            </w:pPr>
            <w:r w:rsidRPr="009D1DEA">
              <w:rPr>
                <w:rFonts w:ascii="標楷體" w:eastAsia="標楷體" w:hAnsi="標楷體" w:hint="eastAsia"/>
                <w:szCs w:val="28"/>
              </w:rPr>
              <w:t>金額</w:t>
            </w:r>
          </w:p>
        </w:tc>
        <w:tc>
          <w:tcPr>
            <w:tcW w:w="1174" w:type="dxa"/>
            <w:shd w:val="clear" w:color="auto" w:fill="auto"/>
            <w:vAlign w:val="center"/>
          </w:tcPr>
          <w:p w:rsidR="00A52DD2" w:rsidRPr="009D1DEA" w:rsidRDefault="00A52DD2" w:rsidP="00F035E0">
            <w:pPr>
              <w:autoSpaceDE w:val="0"/>
              <w:autoSpaceDN w:val="0"/>
              <w:adjustRightInd w:val="0"/>
              <w:jc w:val="center"/>
              <w:rPr>
                <w:rFonts w:ascii="標楷體" w:eastAsia="標楷體" w:hAnsi="標楷體" w:cs="Calibri"/>
                <w:color w:val="000000"/>
                <w:kern w:val="0"/>
                <w:szCs w:val="28"/>
              </w:rPr>
            </w:pPr>
            <w:r w:rsidRPr="009D1DEA">
              <w:rPr>
                <w:rFonts w:ascii="標楷體" w:eastAsia="標楷體" w:hAnsi="標楷體" w:cs="Calibri"/>
                <w:color w:val="000000"/>
                <w:kern w:val="0"/>
                <w:szCs w:val="28"/>
              </w:rPr>
              <w:t>59,500</w:t>
            </w:r>
          </w:p>
        </w:tc>
        <w:tc>
          <w:tcPr>
            <w:tcW w:w="1173" w:type="dxa"/>
            <w:shd w:val="clear" w:color="auto" w:fill="auto"/>
            <w:vAlign w:val="center"/>
          </w:tcPr>
          <w:p w:rsidR="00A52DD2" w:rsidRPr="009D1DEA" w:rsidRDefault="00A52DD2" w:rsidP="00F035E0">
            <w:pPr>
              <w:autoSpaceDE w:val="0"/>
              <w:autoSpaceDN w:val="0"/>
              <w:adjustRightInd w:val="0"/>
              <w:jc w:val="center"/>
              <w:rPr>
                <w:rFonts w:ascii="標楷體" w:eastAsia="標楷體" w:hAnsi="標楷體" w:cs="Calibri"/>
                <w:color w:val="000000"/>
                <w:kern w:val="0"/>
                <w:szCs w:val="28"/>
              </w:rPr>
            </w:pPr>
            <w:r w:rsidRPr="009D1DEA">
              <w:rPr>
                <w:rFonts w:ascii="標楷體" w:eastAsia="標楷體" w:hAnsi="標楷體" w:cs="Calibri"/>
                <w:color w:val="000000"/>
                <w:kern w:val="0"/>
                <w:szCs w:val="28"/>
              </w:rPr>
              <w:t>54,080</w:t>
            </w:r>
          </w:p>
        </w:tc>
        <w:tc>
          <w:tcPr>
            <w:tcW w:w="1173" w:type="dxa"/>
            <w:shd w:val="clear" w:color="auto" w:fill="auto"/>
            <w:vAlign w:val="center"/>
          </w:tcPr>
          <w:p w:rsidR="00A52DD2" w:rsidRPr="009D1DEA" w:rsidRDefault="00A52DD2" w:rsidP="00F035E0">
            <w:pPr>
              <w:autoSpaceDE w:val="0"/>
              <w:autoSpaceDN w:val="0"/>
              <w:adjustRightInd w:val="0"/>
              <w:jc w:val="center"/>
              <w:rPr>
                <w:rFonts w:ascii="標楷體" w:eastAsia="標楷體" w:hAnsi="標楷體" w:cs="Calibri"/>
                <w:color w:val="000000"/>
                <w:kern w:val="0"/>
                <w:szCs w:val="28"/>
              </w:rPr>
            </w:pPr>
            <w:r w:rsidRPr="009D1DEA">
              <w:rPr>
                <w:rFonts w:ascii="標楷體" w:eastAsia="標楷體" w:hAnsi="標楷體" w:cs="Calibri"/>
                <w:color w:val="000000"/>
                <w:kern w:val="0"/>
                <w:szCs w:val="28"/>
              </w:rPr>
              <w:t>56,250</w:t>
            </w:r>
          </w:p>
        </w:tc>
        <w:tc>
          <w:tcPr>
            <w:tcW w:w="1174" w:type="dxa"/>
            <w:shd w:val="clear" w:color="auto" w:fill="auto"/>
            <w:vAlign w:val="center"/>
          </w:tcPr>
          <w:p w:rsidR="00A52DD2" w:rsidRPr="009D1DEA" w:rsidRDefault="00A52DD2" w:rsidP="00F035E0">
            <w:pPr>
              <w:autoSpaceDE w:val="0"/>
              <w:autoSpaceDN w:val="0"/>
              <w:adjustRightInd w:val="0"/>
              <w:jc w:val="center"/>
              <w:rPr>
                <w:rFonts w:ascii="標楷體" w:eastAsia="標楷體" w:hAnsi="標楷體" w:cs="Calibri"/>
                <w:color w:val="000000"/>
                <w:kern w:val="0"/>
                <w:szCs w:val="28"/>
              </w:rPr>
            </w:pPr>
            <w:r w:rsidRPr="009D1DEA">
              <w:rPr>
                <w:rFonts w:ascii="標楷體" w:eastAsia="標楷體" w:hAnsi="標楷體" w:cs="Calibri"/>
                <w:color w:val="000000"/>
                <w:kern w:val="0"/>
                <w:szCs w:val="28"/>
              </w:rPr>
              <w:t>54,260</w:t>
            </w:r>
          </w:p>
        </w:tc>
        <w:tc>
          <w:tcPr>
            <w:tcW w:w="1174" w:type="dxa"/>
            <w:shd w:val="clear" w:color="auto" w:fill="auto"/>
            <w:vAlign w:val="center"/>
          </w:tcPr>
          <w:p w:rsidR="00A52DD2" w:rsidRPr="009D1DEA" w:rsidRDefault="00A52DD2" w:rsidP="00F035E0">
            <w:pPr>
              <w:autoSpaceDE w:val="0"/>
              <w:autoSpaceDN w:val="0"/>
              <w:adjustRightInd w:val="0"/>
              <w:jc w:val="center"/>
              <w:rPr>
                <w:rFonts w:ascii="標楷體" w:eastAsia="標楷體" w:hAnsi="標楷體" w:cs="Calibri"/>
                <w:color w:val="000000"/>
                <w:kern w:val="0"/>
                <w:szCs w:val="28"/>
              </w:rPr>
            </w:pPr>
            <w:r w:rsidRPr="009D1DEA">
              <w:rPr>
                <w:rFonts w:ascii="標楷體" w:eastAsia="標楷體" w:hAnsi="標楷體" w:cs="Calibri"/>
                <w:color w:val="000000"/>
                <w:kern w:val="0"/>
                <w:szCs w:val="28"/>
              </w:rPr>
              <w:t>57,000</w:t>
            </w:r>
          </w:p>
        </w:tc>
        <w:tc>
          <w:tcPr>
            <w:tcW w:w="1174" w:type="dxa"/>
            <w:shd w:val="clear" w:color="auto" w:fill="auto"/>
            <w:vAlign w:val="center"/>
          </w:tcPr>
          <w:p w:rsidR="00A52DD2" w:rsidRPr="009D1DEA" w:rsidRDefault="00A52DD2" w:rsidP="00F035E0">
            <w:pPr>
              <w:autoSpaceDE w:val="0"/>
              <w:autoSpaceDN w:val="0"/>
              <w:adjustRightInd w:val="0"/>
              <w:jc w:val="center"/>
              <w:rPr>
                <w:rFonts w:ascii="標楷體" w:eastAsia="標楷體" w:hAnsi="標楷體" w:cs="Calibri"/>
                <w:color w:val="000000"/>
                <w:kern w:val="0"/>
                <w:szCs w:val="28"/>
              </w:rPr>
            </w:pPr>
            <w:r w:rsidRPr="009D1DEA">
              <w:rPr>
                <w:rFonts w:ascii="標楷體" w:eastAsia="標楷體" w:hAnsi="標楷體" w:cs="Calibri"/>
                <w:color w:val="000000"/>
                <w:kern w:val="0"/>
                <w:szCs w:val="28"/>
              </w:rPr>
              <w:t>37,334</w:t>
            </w:r>
          </w:p>
        </w:tc>
        <w:tc>
          <w:tcPr>
            <w:tcW w:w="922" w:type="dxa"/>
            <w:shd w:val="clear" w:color="auto" w:fill="auto"/>
            <w:vAlign w:val="center"/>
          </w:tcPr>
          <w:p w:rsidR="00A52DD2" w:rsidRPr="009D1DEA" w:rsidRDefault="00A52DD2" w:rsidP="00F035E0">
            <w:pPr>
              <w:autoSpaceDE w:val="0"/>
              <w:autoSpaceDN w:val="0"/>
              <w:adjustRightInd w:val="0"/>
              <w:jc w:val="center"/>
              <w:rPr>
                <w:rFonts w:ascii="標楷體" w:eastAsia="標楷體" w:hAnsi="標楷體" w:cs="Calibri"/>
                <w:color w:val="000000"/>
                <w:kern w:val="0"/>
                <w:szCs w:val="28"/>
              </w:rPr>
            </w:pPr>
            <w:r w:rsidRPr="009D1DEA">
              <w:rPr>
                <w:rFonts w:ascii="標楷體" w:eastAsia="標楷體" w:hAnsi="標楷體" w:cs="Calibri" w:hint="eastAsia"/>
                <w:color w:val="000000"/>
                <w:kern w:val="0"/>
                <w:szCs w:val="28"/>
              </w:rPr>
              <w:t>66,000</w:t>
            </w:r>
          </w:p>
        </w:tc>
      </w:tr>
    </w:tbl>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黃國書</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林宜瑾  何欣純  張廖萬堅</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(五十七)行政法人</w:t>
      </w:r>
      <w:r w:rsidRPr="00F5111F">
        <w:rPr>
          <w:rFonts w:ascii="標楷體" w:eastAsia="標楷體" w:hAnsi="標楷體" w:hint="eastAsia"/>
          <w:bCs/>
          <w:sz w:val="32"/>
          <w:szCs w:val="32"/>
        </w:rPr>
        <w:t>國家災害防救科技中心</w:t>
      </w:r>
      <w:r w:rsidRPr="009D1DEA">
        <w:rPr>
          <w:rFonts w:ascii="標楷體" w:eastAsia="標楷體" w:hAnsi="標楷體" w:hint="eastAsia"/>
          <w:bCs/>
          <w:sz w:val="32"/>
          <w:szCs w:val="32"/>
        </w:rPr>
        <w:t>協助及整合跨部會災害防救科技之政策業務推動，運用各項災害防救科技研發成果，研議災害調適策略，協助政府強化災害防救作業效能，減輕災害事件所造成之衝擊與損失</w:t>
      </w:r>
      <w:r>
        <w:rPr>
          <w:rFonts w:ascii="標楷體" w:eastAsia="標楷體" w:hAnsi="標楷體" w:hint="eastAsia"/>
          <w:bCs/>
          <w:sz w:val="32"/>
          <w:szCs w:val="32"/>
        </w:rPr>
        <w:t>，</w:t>
      </w:r>
      <w:r w:rsidRPr="009D1DEA">
        <w:rPr>
          <w:rFonts w:ascii="標楷體" w:eastAsia="標楷體" w:hAnsi="標楷體" w:hint="eastAsia"/>
          <w:bCs/>
          <w:sz w:val="32"/>
          <w:szCs w:val="32"/>
        </w:rPr>
        <w:t>「智慧化颱風洪水技術研究計畫」主要強化颱洪災害預警能力，整合水文、坡地與氣象跨領域及高解析的預報技術。自2018年</w:t>
      </w:r>
      <w:r>
        <w:rPr>
          <w:rFonts w:ascii="標楷體" w:eastAsia="標楷體" w:hAnsi="標楷體" w:hint="eastAsia"/>
          <w:bCs/>
          <w:sz w:val="32"/>
          <w:szCs w:val="32"/>
        </w:rPr>
        <w:t>財團法人</w:t>
      </w:r>
      <w:r w:rsidRPr="009D1DEA">
        <w:rPr>
          <w:rFonts w:ascii="標楷體" w:eastAsia="標楷體" w:hAnsi="標楷體" w:hint="eastAsia"/>
          <w:bCs/>
          <w:sz w:val="32"/>
          <w:szCs w:val="32"/>
        </w:rPr>
        <w:t>國家實驗研究院颱風洪水研究中心併入行政法人國家災害防救科技中心後，結合國內大專院校研究能量，以高速電腦、無人機等新興科技，大量累積數據資料庫，為國家重要資產，也可能涉及國安層次，尤其近來政府大力推動資安系統建置與管理，該計畫內容對資安管理內容說明未臻明確，爰請國家科學及技術委員會就前述事由於</w:t>
      </w:r>
      <w:r>
        <w:rPr>
          <w:rFonts w:ascii="標楷體" w:eastAsia="標楷體" w:hAnsi="標楷體" w:hint="eastAsia"/>
          <w:bCs/>
          <w:sz w:val="32"/>
          <w:szCs w:val="32"/>
        </w:rPr>
        <w:t>3</w:t>
      </w:r>
      <w:r w:rsidRPr="009D1DEA">
        <w:rPr>
          <w:rFonts w:ascii="標楷體" w:eastAsia="標楷體" w:hAnsi="標楷體" w:hint="eastAsia"/>
          <w:bCs/>
          <w:sz w:val="32"/>
          <w:szCs w:val="32"/>
        </w:rPr>
        <w:t>個月內向立法院教育及文化委員會提出書面報告。</w:t>
      </w:r>
      <w:r>
        <w:rPr>
          <w:rFonts w:ascii="標楷體" w:eastAsia="標楷體" w:hAnsi="標楷體" w:hint="eastAsia"/>
          <w:bCs/>
          <w:sz w:val="32"/>
          <w:szCs w:val="32"/>
        </w:rPr>
        <w:t>23</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何欣純</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吳思瑤  林宜瑾</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(五十八)112年度</w:t>
      </w:r>
      <w:r w:rsidRPr="009D1DEA">
        <w:rPr>
          <w:rFonts w:ascii="標楷體" w:eastAsia="標楷體" w:hAnsi="標楷體" w:hint="eastAsia"/>
          <w:bCs/>
          <w:sz w:val="32"/>
          <w:szCs w:val="32"/>
        </w:rPr>
        <w:t>國</w:t>
      </w:r>
      <w:r>
        <w:rPr>
          <w:rFonts w:ascii="標楷體" w:eastAsia="標楷體" w:hAnsi="標楷體" w:hint="eastAsia"/>
          <w:bCs/>
          <w:sz w:val="32"/>
          <w:szCs w:val="32"/>
        </w:rPr>
        <w:t>家</w:t>
      </w:r>
      <w:r w:rsidRPr="009D1DEA">
        <w:rPr>
          <w:rFonts w:ascii="標楷體" w:eastAsia="標楷體" w:hAnsi="標楷體" w:hint="eastAsia"/>
          <w:bCs/>
          <w:sz w:val="32"/>
          <w:szCs w:val="32"/>
        </w:rPr>
        <w:t>科</w:t>
      </w:r>
      <w:r>
        <w:rPr>
          <w:rFonts w:ascii="標楷體" w:eastAsia="標楷體" w:hAnsi="標楷體" w:hint="eastAsia"/>
          <w:bCs/>
          <w:sz w:val="32"/>
          <w:szCs w:val="32"/>
        </w:rPr>
        <w:t>學及技術委員</w:t>
      </w:r>
      <w:r w:rsidRPr="009D1DEA">
        <w:rPr>
          <w:rFonts w:ascii="標楷體" w:eastAsia="標楷體" w:hAnsi="標楷體" w:hint="eastAsia"/>
          <w:bCs/>
          <w:sz w:val="32"/>
          <w:szCs w:val="32"/>
        </w:rPr>
        <w:t>會「國家災害防救科技中</w:t>
      </w:r>
      <w:r w:rsidRPr="009D1DEA">
        <w:rPr>
          <w:rFonts w:ascii="標楷體" w:eastAsia="標楷體" w:hAnsi="標楷體" w:hint="eastAsia"/>
          <w:bCs/>
          <w:sz w:val="32"/>
          <w:szCs w:val="32"/>
        </w:rPr>
        <w:lastRenderedPageBreak/>
        <w:t>心發展計畫」考量防災政策及產業需求，產製氣</w:t>
      </w:r>
      <w:r>
        <w:rPr>
          <w:rFonts w:ascii="標楷體" w:eastAsia="標楷體" w:hAnsi="標楷體" w:hint="eastAsia"/>
          <w:bCs/>
          <w:sz w:val="32"/>
          <w:szCs w:val="32"/>
        </w:rPr>
        <w:t>候</w:t>
      </w:r>
      <w:r w:rsidRPr="009D1DEA">
        <w:rPr>
          <w:rFonts w:ascii="標楷體" w:eastAsia="標楷體" w:hAnsi="標楷體" w:hint="eastAsia"/>
          <w:bCs/>
          <w:sz w:val="32"/>
          <w:szCs w:val="32"/>
        </w:rPr>
        <w:t>變遷風險圖資供公部門、產業及學研單位參考。考量全球氣候變遷日益劇烈，天災頻仍，然本計畫至今僅與13個公部門單位、22家產業及6</w:t>
      </w:r>
      <w:r>
        <w:rPr>
          <w:rFonts w:ascii="標楷體" w:eastAsia="標楷體" w:hAnsi="標楷體" w:hint="eastAsia"/>
          <w:bCs/>
          <w:sz w:val="32"/>
          <w:szCs w:val="32"/>
        </w:rPr>
        <w:t>個學研單位合作，服務量能顯有擴大空間。爰</w:t>
      </w:r>
      <w:r w:rsidRPr="009D1DEA">
        <w:rPr>
          <w:rFonts w:ascii="標楷體" w:eastAsia="標楷體" w:hAnsi="標楷體" w:hint="eastAsia"/>
          <w:bCs/>
          <w:sz w:val="32"/>
          <w:szCs w:val="32"/>
        </w:rPr>
        <w:t>要求國</w:t>
      </w:r>
      <w:r>
        <w:rPr>
          <w:rFonts w:ascii="標楷體" w:eastAsia="標楷體" w:hAnsi="標楷體" w:hint="eastAsia"/>
          <w:bCs/>
          <w:sz w:val="32"/>
          <w:szCs w:val="32"/>
        </w:rPr>
        <w:t>家</w:t>
      </w:r>
      <w:r w:rsidRPr="009D1DEA">
        <w:rPr>
          <w:rFonts w:ascii="標楷體" w:eastAsia="標楷體" w:hAnsi="標楷體" w:hint="eastAsia"/>
          <w:bCs/>
          <w:sz w:val="32"/>
          <w:szCs w:val="32"/>
        </w:rPr>
        <w:t>科</w:t>
      </w:r>
      <w:r>
        <w:rPr>
          <w:rFonts w:ascii="標楷體" w:eastAsia="標楷體" w:hAnsi="標楷體" w:hint="eastAsia"/>
          <w:bCs/>
          <w:sz w:val="32"/>
          <w:szCs w:val="32"/>
        </w:rPr>
        <w:t>學及技術委員</w:t>
      </w:r>
      <w:r w:rsidRPr="009D1DEA">
        <w:rPr>
          <w:rFonts w:ascii="標楷體" w:eastAsia="標楷體" w:hAnsi="標楷體" w:hint="eastAsia"/>
          <w:bCs/>
          <w:sz w:val="32"/>
          <w:szCs w:val="32"/>
        </w:rPr>
        <w:t>會應提出具體精進作為，使本計畫擴大服務量能，以因應下階段氣候變遷需求</w:t>
      </w:r>
      <w:r>
        <w:rPr>
          <w:rFonts w:ascii="標楷體" w:eastAsia="標楷體" w:hAnsi="標楷體" w:hint="eastAsia"/>
          <w:bCs/>
          <w:sz w:val="32"/>
          <w:szCs w:val="32"/>
        </w:rPr>
        <w:t>，並</w:t>
      </w:r>
      <w:r w:rsidRPr="009D1DEA">
        <w:rPr>
          <w:rFonts w:ascii="標楷體" w:eastAsia="標楷體" w:hAnsi="標楷體" w:hint="eastAsia"/>
          <w:bCs/>
          <w:sz w:val="32"/>
          <w:szCs w:val="32"/>
        </w:rPr>
        <w:t>於</w:t>
      </w:r>
      <w:r>
        <w:rPr>
          <w:rFonts w:ascii="標楷體" w:eastAsia="標楷體" w:hAnsi="標楷體" w:hint="eastAsia"/>
          <w:bCs/>
          <w:sz w:val="32"/>
          <w:szCs w:val="32"/>
        </w:rPr>
        <w:t>3</w:t>
      </w:r>
      <w:r w:rsidRPr="009D1DEA">
        <w:rPr>
          <w:rFonts w:ascii="標楷體" w:eastAsia="標楷體" w:hAnsi="標楷體" w:hint="eastAsia"/>
          <w:bCs/>
          <w:sz w:val="32"/>
          <w:szCs w:val="32"/>
        </w:rPr>
        <w:t>個月內</w:t>
      </w:r>
      <w:r>
        <w:rPr>
          <w:rFonts w:ascii="標楷體" w:eastAsia="標楷體" w:hAnsi="標楷體" w:hint="eastAsia"/>
          <w:bCs/>
          <w:sz w:val="32"/>
          <w:szCs w:val="32"/>
        </w:rPr>
        <w:t>向立法</w:t>
      </w:r>
      <w:r w:rsidRPr="009D1DEA">
        <w:rPr>
          <w:rFonts w:ascii="標楷體" w:eastAsia="標楷體" w:hAnsi="標楷體" w:hint="eastAsia"/>
          <w:bCs/>
          <w:sz w:val="32"/>
          <w:szCs w:val="32"/>
        </w:rPr>
        <w:t>院教育及文化委員會</w:t>
      </w:r>
      <w:r>
        <w:rPr>
          <w:rFonts w:ascii="標楷體" w:eastAsia="標楷體" w:hAnsi="標楷體" w:hint="eastAsia"/>
          <w:bCs/>
          <w:sz w:val="32"/>
          <w:szCs w:val="32"/>
        </w:rPr>
        <w:t>提出書面報告</w:t>
      </w:r>
      <w:r w:rsidRPr="009D1DEA">
        <w:rPr>
          <w:rFonts w:ascii="標楷體" w:eastAsia="標楷體" w:hAnsi="標楷體" w:hint="eastAsia"/>
          <w:bCs/>
          <w:sz w:val="32"/>
          <w:szCs w:val="32"/>
        </w:rPr>
        <w:t>。</w:t>
      </w:r>
      <w:r>
        <w:rPr>
          <w:rFonts w:ascii="標楷體" w:eastAsia="標楷體" w:hAnsi="標楷體" w:hint="eastAsia"/>
          <w:bCs/>
          <w:sz w:val="32"/>
          <w:szCs w:val="32"/>
        </w:rPr>
        <w:t>24</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林奕華</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黃國書  陳秀寳</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(五十九)112年度</w:t>
      </w:r>
      <w:r w:rsidRPr="009D1DEA">
        <w:rPr>
          <w:rFonts w:ascii="標楷體" w:eastAsia="標楷體" w:hAnsi="標楷體" w:hint="eastAsia"/>
          <w:bCs/>
          <w:sz w:val="32"/>
          <w:szCs w:val="32"/>
        </w:rPr>
        <w:t>國家科學及技術委員會「國家災害防救科技中心發展計畫」</w:t>
      </w:r>
      <w:r>
        <w:rPr>
          <w:rFonts w:ascii="標楷體" w:eastAsia="標楷體" w:hAnsi="標楷體" w:hint="eastAsia"/>
          <w:bCs/>
          <w:sz w:val="32"/>
          <w:szCs w:val="32"/>
        </w:rPr>
        <w:t>項下「</w:t>
      </w:r>
      <w:r w:rsidRPr="009D1DEA">
        <w:rPr>
          <w:rFonts w:ascii="標楷體" w:eastAsia="標楷體" w:hAnsi="標楷體" w:hint="eastAsia"/>
          <w:bCs/>
          <w:sz w:val="32"/>
          <w:szCs w:val="32"/>
        </w:rPr>
        <w:t>防災科技之落實與服務平台計畫</w:t>
      </w:r>
      <w:r>
        <w:rPr>
          <w:rFonts w:ascii="標楷體" w:eastAsia="標楷體" w:hAnsi="標楷體" w:hint="eastAsia"/>
          <w:bCs/>
          <w:sz w:val="32"/>
          <w:szCs w:val="32"/>
        </w:rPr>
        <w:t>」，</w:t>
      </w:r>
      <w:r w:rsidRPr="009D1DEA">
        <w:rPr>
          <w:rFonts w:ascii="標楷體" w:eastAsia="標楷體" w:hAnsi="標楷體" w:hint="eastAsia"/>
          <w:bCs/>
          <w:sz w:val="32"/>
          <w:szCs w:val="32"/>
        </w:rPr>
        <w:t>係配合中央災害應變中心開設之整備與操作，調整落實新式預警技術與災防資訊，以達災害防救應變與情資研判服務之效能，並透過跨部會量能結合，執行災防科技研發與落實應用，以提出災害防救之政策建議。首爾梨泰院於</w:t>
      </w:r>
      <w:r>
        <w:rPr>
          <w:rFonts w:ascii="標楷體" w:eastAsia="標楷體" w:hAnsi="標楷體" w:hint="eastAsia"/>
          <w:bCs/>
          <w:sz w:val="32"/>
          <w:szCs w:val="32"/>
        </w:rPr>
        <w:t>111年</w:t>
      </w:r>
      <w:r w:rsidRPr="009D1DEA">
        <w:rPr>
          <w:rFonts w:ascii="標楷體" w:eastAsia="標楷體" w:hAnsi="標楷體" w:hint="eastAsia"/>
          <w:bCs/>
          <w:sz w:val="32"/>
          <w:szCs w:val="32"/>
        </w:rPr>
        <w:t>10月29日發生韓國史上最嚴重踩踏事件，起因於韓國口罩令解除後首次舉辦萬聖節大型活動，吸引大批民眾自發前往，由於該活動無主辦單位，未進行人流管制，於狹窄巷弄內湧入過多人潮，以致發生事故。而我國雖設有國家示警之「災防告警細胞廣播訊息」，惟現行發布機制須由災害業務主管機關主動發布告警訊息，針對尚無主管機關負責之突發意外則無法即時運用細胞簡訊通知民眾，顯示現有之預警技術與情資研判服務效能有待提升。</w:t>
      </w:r>
      <w:r>
        <w:rPr>
          <w:rFonts w:ascii="標楷體" w:eastAsia="標楷體" w:hAnsi="標楷體" w:hint="eastAsia"/>
          <w:bCs/>
          <w:sz w:val="32"/>
          <w:szCs w:val="32"/>
        </w:rPr>
        <w:t>鑑於我國</w:t>
      </w:r>
      <w:r w:rsidRPr="009D1DEA">
        <w:rPr>
          <w:rFonts w:ascii="標楷體" w:eastAsia="標楷體" w:hAnsi="標楷體" w:hint="eastAsia"/>
          <w:bCs/>
          <w:sz w:val="32"/>
          <w:szCs w:val="32"/>
        </w:rPr>
        <w:t>於111年11月起逐步實施口罩令鬆綁，為防範突發性人潮聚集引發意外事故，</w:t>
      </w:r>
      <w:r>
        <w:rPr>
          <w:rFonts w:ascii="標楷體" w:eastAsia="標楷體" w:hAnsi="標楷體" w:hint="eastAsia"/>
          <w:bCs/>
          <w:sz w:val="32"/>
          <w:szCs w:val="32"/>
        </w:rPr>
        <w:t>行政法人</w:t>
      </w:r>
      <w:r w:rsidRPr="009D1DEA">
        <w:rPr>
          <w:rFonts w:ascii="標楷體" w:eastAsia="標楷體" w:hAnsi="標楷體" w:hint="eastAsia"/>
          <w:bCs/>
          <w:sz w:val="32"/>
          <w:szCs w:val="32"/>
        </w:rPr>
        <w:t>國家災害防救科技中心允宜強化相關情資研判與預警機制，並提出精進之災害防救政策建議方案</w:t>
      </w:r>
      <w:r>
        <w:rPr>
          <w:rFonts w:ascii="標楷體" w:eastAsia="標楷體" w:hAnsi="標楷體" w:hint="eastAsia"/>
          <w:bCs/>
          <w:sz w:val="32"/>
          <w:szCs w:val="32"/>
        </w:rPr>
        <w:t>。</w:t>
      </w:r>
      <w:r w:rsidRPr="009D1DEA">
        <w:rPr>
          <w:rFonts w:ascii="標楷體" w:eastAsia="標楷體" w:hAnsi="標楷體" w:hint="eastAsia"/>
          <w:bCs/>
          <w:sz w:val="32"/>
          <w:szCs w:val="32"/>
        </w:rPr>
        <w:t>請國</w:t>
      </w:r>
      <w:r>
        <w:rPr>
          <w:rFonts w:ascii="標楷體" w:eastAsia="標楷體" w:hAnsi="標楷體" w:hint="eastAsia"/>
          <w:bCs/>
          <w:sz w:val="32"/>
          <w:szCs w:val="32"/>
        </w:rPr>
        <w:t>家</w:t>
      </w:r>
      <w:r w:rsidRPr="009D1DEA">
        <w:rPr>
          <w:rFonts w:ascii="標楷體" w:eastAsia="標楷體" w:hAnsi="標楷體" w:hint="eastAsia"/>
          <w:bCs/>
          <w:sz w:val="32"/>
          <w:szCs w:val="32"/>
        </w:rPr>
        <w:t>科</w:t>
      </w:r>
      <w:r>
        <w:rPr>
          <w:rFonts w:ascii="標楷體" w:eastAsia="標楷體" w:hAnsi="標楷體" w:hint="eastAsia"/>
          <w:bCs/>
          <w:sz w:val="32"/>
          <w:szCs w:val="32"/>
        </w:rPr>
        <w:t>學及技術委員</w:t>
      </w:r>
      <w:r w:rsidRPr="009D1DEA">
        <w:rPr>
          <w:rFonts w:ascii="標楷體" w:eastAsia="標楷體" w:hAnsi="標楷體" w:hint="eastAsia"/>
          <w:bCs/>
          <w:sz w:val="32"/>
          <w:szCs w:val="32"/>
        </w:rPr>
        <w:t>會於</w:t>
      </w:r>
      <w:r>
        <w:rPr>
          <w:rFonts w:ascii="標楷體" w:eastAsia="標楷體" w:hAnsi="標楷體" w:hint="eastAsia"/>
          <w:bCs/>
          <w:sz w:val="32"/>
          <w:szCs w:val="32"/>
        </w:rPr>
        <w:t>3</w:t>
      </w:r>
      <w:r w:rsidRPr="009D1DEA">
        <w:rPr>
          <w:rFonts w:ascii="標楷體" w:eastAsia="標楷體" w:hAnsi="標楷體" w:hint="eastAsia"/>
          <w:bCs/>
          <w:sz w:val="32"/>
          <w:szCs w:val="32"/>
        </w:rPr>
        <w:t>個月內就前述事由向立法院教育及文化委員會提出書面報告。</w:t>
      </w:r>
      <w:r>
        <w:rPr>
          <w:rFonts w:ascii="標楷體" w:eastAsia="標楷體" w:hAnsi="標楷體" w:hint="eastAsia"/>
          <w:bCs/>
          <w:sz w:val="32"/>
          <w:szCs w:val="32"/>
        </w:rPr>
        <w:t>26</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lastRenderedPageBreak/>
        <w:t>提案人：</w:t>
      </w:r>
      <w:r>
        <w:rPr>
          <w:rFonts w:ascii="標楷體" w:eastAsia="標楷體" w:hAnsi="標楷體" w:hint="eastAsia"/>
          <w:sz w:val="32"/>
          <w:szCs w:val="32"/>
        </w:rPr>
        <w:t>黃國書</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林宜瑾  何欣純  張廖萬堅</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(六十)</w:t>
      </w:r>
      <w:r w:rsidRPr="009D1DEA">
        <w:rPr>
          <w:rFonts w:ascii="標楷體" w:eastAsia="標楷體" w:hAnsi="標楷體" w:hint="eastAsia"/>
          <w:bCs/>
          <w:sz w:val="32"/>
          <w:szCs w:val="32"/>
        </w:rPr>
        <w:t>為提升國家太空科技研發能力，整合產、官、學、研資源，推動我國太空科技與產業之發展，並協助政府有效管理太空事務，</w:t>
      </w:r>
      <w:r>
        <w:rPr>
          <w:rFonts w:ascii="標楷體" w:eastAsia="標楷體" w:hAnsi="標楷體" w:hint="eastAsia"/>
          <w:bCs/>
          <w:sz w:val="32"/>
          <w:szCs w:val="32"/>
        </w:rPr>
        <w:t>「</w:t>
      </w:r>
      <w:r w:rsidRPr="009D1DEA">
        <w:rPr>
          <w:rFonts w:ascii="標楷體" w:eastAsia="標楷體" w:hAnsi="標楷體" w:hint="eastAsia"/>
          <w:bCs/>
          <w:sz w:val="32"/>
          <w:szCs w:val="32"/>
        </w:rPr>
        <w:t>國家太空中心設置條例</w:t>
      </w:r>
      <w:r>
        <w:rPr>
          <w:rFonts w:ascii="標楷體" w:eastAsia="標楷體" w:hAnsi="標楷體" w:hint="eastAsia"/>
          <w:bCs/>
          <w:sz w:val="32"/>
          <w:szCs w:val="32"/>
        </w:rPr>
        <w:t>」</w:t>
      </w:r>
      <w:r w:rsidRPr="009D1DEA">
        <w:rPr>
          <w:rFonts w:ascii="標楷體" w:eastAsia="標楷體" w:hAnsi="標楷體" w:hint="eastAsia"/>
          <w:bCs/>
          <w:sz w:val="32"/>
          <w:szCs w:val="32"/>
        </w:rPr>
        <w:t>已於111年5月4日制定公布，將原隸於</w:t>
      </w:r>
      <w:r>
        <w:rPr>
          <w:rFonts w:ascii="標楷體" w:eastAsia="標楷體" w:hAnsi="標楷體" w:hint="eastAsia"/>
          <w:bCs/>
          <w:sz w:val="32"/>
          <w:szCs w:val="32"/>
        </w:rPr>
        <w:t>財團法人</w:t>
      </w:r>
      <w:r w:rsidRPr="009D1DEA">
        <w:rPr>
          <w:rFonts w:ascii="標楷體" w:eastAsia="標楷體" w:hAnsi="標楷體" w:hint="eastAsia"/>
          <w:bCs/>
          <w:sz w:val="32"/>
          <w:szCs w:val="32"/>
        </w:rPr>
        <w:t>國家實驗研究院之研究單位國家太空中心，轉型設立行政法人，並擬於111年12月31日前，完成國家實驗研究院國家太空中心之裁撤作業。然國家太空中心之行政法人作業迄今仍於籌備階段，尚有4部相關子法及111項作業管理規章未完備訂定或擬訂，人員安置及財產移撥事項仍未完成，應儘速規劃時程，以利轉型行政法人，落實太空科技研究與產業發展工作。</w:t>
      </w:r>
      <w:r>
        <w:rPr>
          <w:rFonts w:ascii="標楷體" w:eastAsia="標楷體" w:hAnsi="標楷體" w:hint="eastAsia"/>
          <w:bCs/>
          <w:sz w:val="32"/>
          <w:szCs w:val="32"/>
        </w:rPr>
        <w:t>綜上所述，爰請國家科學及技術委員會針對前述事由</w:t>
      </w:r>
      <w:r w:rsidRPr="009D1DEA">
        <w:rPr>
          <w:rFonts w:ascii="標楷體" w:eastAsia="標楷體" w:hAnsi="標楷體" w:hint="eastAsia"/>
          <w:bCs/>
          <w:sz w:val="32"/>
          <w:szCs w:val="32"/>
        </w:rPr>
        <w:t>於</w:t>
      </w:r>
      <w:r>
        <w:rPr>
          <w:rFonts w:ascii="標楷體" w:eastAsia="標楷體" w:hAnsi="標楷體" w:hint="eastAsia"/>
          <w:bCs/>
          <w:sz w:val="32"/>
          <w:szCs w:val="32"/>
        </w:rPr>
        <w:t>3</w:t>
      </w:r>
      <w:r w:rsidRPr="009D1DEA">
        <w:rPr>
          <w:rFonts w:ascii="標楷體" w:eastAsia="標楷體" w:hAnsi="標楷體" w:hint="eastAsia"/>
          <w:bCs/>
          <w:sz w:val="32"/>
          <w:szCs w:val="32"/>
        </w:rPr>
        <w:t>個月內向立法院教育及文化委員會提出書面報告。</w:t>
      </w:r>
      <w:r>
        <w:rPr>
          <w:rFonts w:ascii="標楷體" w:eastAsia="標楷體" w:hAnsi="標楷體" w:hint="eastAsia"/>
          <w:bCs/>
          <w:sz w:val="32"/>
          <w:szCs w:val="32"/>
        </w:rPr>
        <w:t>28</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吳思瑤</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何欣純  林宜瑾</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(六十一)</w:t>
      </w:r>
      <w:r w:rsidRPr="009D1DEA">
        <w:rPr>
          <w:rFonts w:ascii="標楷體" w:eastAsia="標楷體" w:hAnsi="標楷體" w:hint="eastAsia"/>
          <w:bCs/>
          <w:sz w:val="32"/>
          <w:szCs w:val="32"/>
        </w:rPr>
        <w:t>為打造我國太空相關產業之競爭力，發展前瞻性技術，國家科學及技術委員會選定屏東縣牡丹鄉旭海，進行國家發射場域前置作業，建置短期科研探空火箭發射場域，順利於</w:t>
      </w:r>
      <w:r>
        <w:rPr>
          <w:rFonts w:ascii="標楷體" w:eastAsia="標楷體" w:hAnsi="標楷體" w:hint="eastAsia"/>
          <w:bCs/>
          <w:sz w:val="32"/>
          <w:szCs w:val="32"/>
        </w:rPr>
        <w:t>111</w:t>
      </w:r>
      <w:r w:rsidRPr="009D1DEA">
        <w:rPr>
          <w:rFonts w:ascii="標楷體" w:eastAsia="標楷體" w:hAnsi="標楷體" w:hint="eastAsia"/>
          <w:bCs/>
          <w:sz w:val="32"/>
          <w:szCs w:val="32"/>
        </w:rPr>
        <w:t>年1月13日啟用，並由國立陽明交通大學之研究團隊於</w:t>
      </w:r>
      <w:r>
        <w:rPr>
          <w:rFonts w:ascii="標楷體" w:eastAsia="標楷體" w:hAnsi="標楷體" w:hint="eastAsia"/>
          <w:bCs/>
          <w:sz w:val="32"/>
          <w:szCs w:val="32"/>
        </w:rPr>
        <w:t>111</w:t>
      </w:r>
      <w:r w:rsidRPr="009D1DEA">
        <w:rPr>
          <w:rFonts w:ascii="標楷體" w:eastAsia="標楷體" w:hAnsi="標楷體" w:hint="eastAsia"/>
          <w:bCs/>
          <w:sz w:val="32"/>
          <w:szCs w:val="32"/>
        </w:rPr>
        <w:t>年7月10日完成首次發射任務。建置短期科研探空火箭發射場域僅為第一步，完成太空基礎設施之最終目標應為設置國家發射場域，據國科會評估，發射場域以臺灣東南海濱較為合適，為完善我國太空產業發展基礎，</w:t>
      </w:r>
      <w:r w:rsidRPr="00434BF7">
        <w:rPr>
          <w:rFonts w:ascii="標楷體" w:eastAsia="標楷體" w:hAnsi="標楷體" w:hint="eastAsia"/>
          <w:bCs/>
          <w:sz w:val="32"/>
          <w:szCs w:val="32"/>
        </w:rPr>
        <w:t>請國家科學及技術委員會</w:t>
      </w:r>
      <w:r w:rsidRPr="009D1DEA">
        <w:rPr>
          <w:rFonts w:ascii="標楷體" w:eastAsia="標楷體" w:hAnsi="標楷體" w:hint="eastAsia"/>
          <w:bCs/>
          <w:sz w:val="32"/>
          <w:szCs w:val="32"/>
        </w:rPr>
        <w:t>應</w:t>
      </w:r>
      <w:r>
        <w:rPr>
          <w:rFonts w:ascii="標楷體" w:eastAsia="標楷體" w:hAnsi="標楷體" w:hint="eastAsia"/>
          <w:bCs/>
          <w:sz w:val="32"/>
          <w:szCs w:val="32"/>
        </w:rPr>
        <w:t>儘</w:t>
      </w:r>
      <w:r w:rsidRPr="009D1DEA">
        <w:rPr>
          <w:rFonts w:ascii="標楷體" w:eastAsia="標楷體" w:hAnsi="標楷體" w:hint="eastAsia"/>
          <w:bCs/>
          <w:sz w:val="32"/>
          <w:szCs w:val="32"/>
        </w:rPr>
        <w:t>速規劃具體時程，針對國家發射場域積極尋找合適地點，並與當地居民溝通及協商取得知情同意，並應符合環境影響評估之規範，以利推動我國太空相關產業之目標</w:t>
      </w:r>
      <w:r>
        <w:rPr>
          <w:rFonts w:ascii="標楷體" w:eastAsia="標楷體" w:hAnsi="標楷體" w:hint="eastAsia"/>
          <w:bCs/>
          <w:sz w:val="32"/>
          <w:szCs w:val="32"/>
        </w:rPr>
        <w:t>，並</w:t>
      </w:r>
      <w:r w:rsidRPr="009D1DEA">
        <w:rPr>
          <w:rFonts w:ascii="標楷體" w:eastAsia="標楷體" w:hAnsi="標楷體" w:hint="eastAsia"/>
          <w:bCs/>
          <w:sz w:val="32"/>
          <w:szCs w:val="32"/>
        </w:rPr>
        <w:t>於</w:t>
      </w:r>
      <w:r>
        <w:rPr>
          <w:rFonts w:ascii="標楷體" w:eastAsia="標楷體" w:hAnsi="標楷體" w:hint="eastAsia"/>
          <w:bCs/>
          <w:sz w:val="32"/>
          <w:szCs w:val="32"/>
        </w:rPr>
        <w:t>3</w:t>
      </w:r>
      <w:r w:rsidRPr="009D1DEA">
        <w:rPr>
          <w:rFonts w:ascii="標楷體" w:eastAsia="標楷體" w:hAnsi="標楷體" w:hint="eastAsia"/>
          <w:bCs/>
          <w:sz w:val="32"/>
          <w:szCs w:val="32"/>
        </w:rPr>
        <w:t>個月內向立法院教育及文化委員會提出書面報告。</w:t>
      </w:r>
      <w:r>
        <w:rPr>
          <w:rFonts w:ascii="標楷體" w:eastAsia="標楷體" w:hAnsi="標楷體" w:hint="eastAsia"/>
          <w:bCs/>
          <w:sz w:val="32"/>
          <w:szCs w:val="32"/>
        </w:rPr>
        <w:lastRenderedPageBreak/>
        <w:t>29</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 xml:space="preserve">吳思瑤 </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何欣純  林宜瑾</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(六十二)</w:t>
      </w:r>
      <w:r w:rsidRPr="009D1DEA">
        <w:rPr>
          <w:rFonts w:ascii="標楷體" w:eastAsia="標楷體" w:hAnsi="標楷體" w:hint="eastAsia"/>
          <w:bCs/>
          <w:sz w:val="32"/>
          <w:szCs w:val="32"/>
        </w:rPr>
        <w:t>經查112年度</w:t>
      </w:r>
      <w:r>
        <w:rPr>
          <w:rFonts w:ascii="標楷體" w:eastAsia="標楷體" w:hAnsi="標楷體" w:hint="eastAsia"/>
          <w:bCs/>
          <w:sz w:val="32"/>
          <w:szCs w:val="32"/>
        </w:rPr>
        <w:t>國家科學及技術委員會</w:t>
      </w:r>
      <w:r w:rsidRPr="009D1DEA">
        <w:rPr>
          <w:rFonts w:ascii="標楷體" w:eastAsia="標楷體" w:hAnsi="標楷體" w:hint="eastAsia"/>
          <w:bCs/>
          <w:sz w:val="32"/>
          <w:szCs w:val="32"/>
        </w:rPr>
        <w:t>「國家太空中心發展計畫」</w:t>
      </w:r>
      <w:r>
        <w:rPr>
          <w:rFonts w:ascii="標楷體" w:eastAsia="標楷體" w:hAnsi="標楷體" w:hint="eastAsia"/>
          <w:bCs/>
          <w:sz w:val="32"/>
          <w:szCs w:val="32"/>
        </w:rPr>
        <w:t>預算</w:t>
      </w:r>
      <w:r w:rsidRPr="009D1DEA">
        <w:rPr>
          <w:rFonts w:ascii="標楷體" w:eastAsia="標楷體" w:hAnsi="標楷體" w:hint="eastAsia"/>
          <w:bCs/>
          <w:sz w:val="32"/>
          <w:szCs w:val="32"/>
        </w:rPr>
        <w:t>編列</w:t>
      </w:r>
      <w:r>
        <w:rPr>
          <w:rFonts w:ascii="標楷體" w:eastAsia="標楷體" w:hAnsi="標楷體" w:hint="eastAsia"/>
          <w:bCs/>
          <w:sz w:val="32"/>
          <w:szCs w:val="32"/>
        </w:rPr>
        <w:t>55億3</w:t>
      </w:r>
      <w:r>
        <w:rPr>
          <w:rFonts w:ascii="標楷體" w:eastAsia="標楷體" w:hAnsi="標楷體"/>
          <w:bCs/>
          <w:sz w:val="32"/>
          <w:szCs w:val="32"/>
        </w:rPr>
        <w:t>,</w:t>
      </w:r>
      <w:r>
        <w:rPr>
          <w:rFonts w:ascii="標楷體" w:eastAsia="標楷體" w:hAnsi="標楷體" w:hint="eastAsia"/>
          <w:bCs/>
          <w:sz w:val="32"/>
          <w:szCs w:val="32"/>
        </w:rPr>
        <w:t>023萬元，</w:t>
      </w:r>
      <w:r w:rsidRPr="009D1DEA">
        <w:rPr>
          <w:rFonts w:ascii="標楷體" w:eastAsia="標楷體" w:hAnsi="標楷體" w:hint="eastAsia"/>
          <w:bCs/>
          <w:sz w:val="32"/>
          <w:szCs w:val="32"/>
        </w:rPr>
        <w:t>較</w:t>
      </w:r>
      <w:r>
        <w:rPr>
          <w:rFonts w:ascii="標楷體" w:eastAsia="標楷體" w:hAnsi="標楷體" w:hint="eastAsia"/>
          <w:bCs/>
          <w:sz w:val="32"/>
          <w:szCs w:val="32"/>
        </w:rPr>
        <w:t>111</w:t>
      </w:r>
      <w:r w:rsidRPr="009D1DEA">
        <w:rPr>
          <w:rFonts w:ascii="標楷體" w:eastAsia="標楷體" w:hAnsi="標楷體" w:hint="eastAsia"/>
          <w:bCs/>
          <w:sz w:val="32"/>
          <w:szCs w:val="32"/>
        </w:rPr>
        <w:t>年度多編列27億6,959萬7千元。</w:t>
      </w:r>
      <w:r>
        <w:rPr>
          <w:rFonts w:ascii="標楷體" w:eastAsia="標楷體" w:hAnsi="標楷體" w:hint="eastAsia"/>
          <w:bCs/>
          <w:sz w:val="32"/>
          <w:szCs w:val="32"/>
        </w:rPr>
        <w:t>「</w:t>
      </w:r>
      <w:r w:rsidRPr="009D1DEA">
        <w:rPr>
          <w:rFonts w:ascii="標楷體" w:eastAsia="標楷體" w:hAnsi="標楷體" w:hint="eastAsia"/>
          <w:bCs/>
          <w:sz w:val="32"/>
          <w:szCs w:val="32"/>
        </w:rPr>
        <w:t>國家太空中心設置條例</w:t>
      </w:r>
      <w:r>
        <w:rPr>
          <w:rFonts w:ascii="標楷體" w:eastAsia="標楷體" w:hAnsi="標楷體" w:hint="eastAsia"/>
          <w:bCs/>
          <w:sz w:val="32"/>
          <w:szCs w:val="32"/>
        </w:rPr>
        <w:t>」</w:t>
      </w:r>
      <w:r w:rsidRPr="009D1DEA">
        <w:rPr>
          <w:rFonts w:ascii="標楷體" w:eastAsia="標楷體" w:hAnsi="標楷體" w:hint="eastAsia"/>
          <w:bCs/>
          <w:sz w:val="32"/>
          <w:szCs w:val="32"/>
        </w:rPr>
        <w:t>已順利通過，</w:t>
      </w:r>
      <w:r>
        <w:rPr>
          <w:rFonts w:ascii="標楷體" w:eastAsia="標楷體" w:hAnsi="標楷體" w:hint="eastAsia"/>
          <w:bCs/>
          <w:sz w:val="32"/>
          <w:szCs w:val="32"/>
        </w:rPr>
        <w:t>財團法人國家實驗研究院國家</w:t>
      </w:r>
      <w:r w:rsidRPr="009D1DEA">
        <w:rPr>
          <w:rFonts w:ascii="標楷體" w:eastAsia="標楷體" w:hAnsi="標楷體" w:hint="eastAsia"/>
          <w:bCs/>
          <w:sz w:val="32"/>
          <w:szCs w:val="32"/>
        </w:rPr>
        <w:t>太空中心將轉型成行政法人，</w:t>
      </w:r>
      <w:r>
        <w:rPr>
          <w:rFonts w:ascii="標楷體" w:eastAsia="標楷體" w:hAnsi="標楷體" w:hint="eastAsia"/>
          <w:bCs/>
          <w:sz w:val="32"/>
          <w:szCs w:val="32"/>
        </w:rPr>
        <w:t>112</w:t>
      </w:r>
      <w:r w:rsidRPr="009D1DEA">
        <w:rPr>
          <w:rFonts w:ascii="標楷體" w:eastAsia="標楷體" w:hAnsi="標楷體" w:hint="eastAsia"/>
          <w:bCs/>
          <w:sz w:val="32"/>
          <w:szCs w:val="32"/>
        </w:rPr>
        <w:t>年度</w:t>
      </w:r>
      <w:r>
        <w:rPr>
          <w:rFonts w:ascii="標楷體" w:eastAsia="標楷體" w:hAnsi="標楷體" w:hint="eastAsia"/>
          <w:bCs/>
          <w:sz w:val="32"/>
          <w:szCs w:val="32"/>
        </w:rPr>
        <w:t>預算</w:t>
      </w:r>
      <w:r w:rsidRPr="009D1DEA">
        <w:rPr>
          <w:rFonts w:ascii="標楷體" w:eastAsia="標楷體" w:hAnsi="標楷體" w:hint="eastAsia"/>
          <w:bCs/>
          <w:sz w:val="32"/>
          <w:szCs w:val="32"/>
        </w:rPr>
        <w:t>編列55億3,023萬</w:t>
      </w:r>
      <w:r>
        <w:rPr>
          <w:rFonts w:ascii="標楷體" w:eastAsia="標楷體" w:hAnsi="標楷體" w:hint="eastAsia"/>
          <w:bCs/>
          <w:sz w:val="32"/>
          <w:szCs w:val="32"/>
        </w:rPr>
        <w:t>元</w:t>
      </w:r>
      <w:r w:rsidRPr="009D1DEA">
        <w:rPr>
          <w:rFonts w:ascii="標楷體" w:eastAsia="標楷體" w:hAnsi="標楷體" w:hint="eastAsia"/>
          <w:bCs/>
          <w:sz w:val="32"/>
          <w:szCs w:val="32"/>
        </w:rPr>
        <w:t>，相關制度允宜加速辦理，使行政法人國家太空中心</w:t>
      </w:r>
      <w:r>
        <w:rPr>
          <w:rFonts w:ascii="標楷體" w:eastAsia="標楷體" w:hAnsi="標楷體" w:hint="eastAsia"/>
          <w:bCs/>
          <w:sz w:val="32"/>
          <w:szCs w:val="32"/>
        </w:rPr>
        <w:t>儘</w:t>
      </w:r>
      <w:r w:rsidRPr="009D1DEA">
        <w:rPr>
          <w:rFonts w:ascii="標楷體" w:eastAsia="標楷體" w:hAnsi="標楷體" w:hint="eastAsia"/>
          <w:bCs/>
          <w:sz w:val="32"/>
          <w:szCs w:val="32"/>
        </w:rPr>
        <w:t>速營運，加速太空科技產業的推廣。國科會允宜監督</w:t>
      </w:r>
      <w:r>
        <w:rPr>
          <w:rFonts w:ascii="標楷體" w:eastAsia="標楷體" w:hAnsi="標楷體" w:hint="eastAsia"/>
          <w:bCs/>
          <w:sz w:val="32"/>
          <w:szCs w:val="32"/>
        </w:rPr>
        <w:t>行政法人國家</w:t>
      </w:r>
      <w:r w:rsidRPr="009D1DEA">
        <w:rPr>
          <w:rFonts w:ascii="標楷體" w:eastAsia="標楷體" w:hAnsi="標楷體" w:hint="eastAsia"/>
          <w:bCs/>
          <w:sz w:val="32"/>
          <w:szCs w:val="32"/>
        </w:rPr>
        <w:t>太空中心加速研擬及完備相關流程，並依</w:t>
      </w:r>
      <w:r>
        <w:rPr>
          <w:rFonts w:ascii="標楷體" w:eastAsia="標楷體" w:hAnsi="標楷體" w:hint="eastAsia"/>
          <w:bCs/>
          <w:sz w:val="32"/>
          <w:szCs w:val="32"/>
        </w:rPr>
        <w:t>「</w:t>
      </w:r>
      <w:r w:rsidRPr="009D1DEA">
        <w:rPr>
          <w:rFonts w:ascii="標楷體" w:eastAsia="標楷體" w:hAnsi="標楷體" w:hint="eastAsia"/>
          <w:bCs/>
          <w:sz w:val="32"/>
          <w:szCs w:val="32"/>
        </w:rPr>
        <w:t>行政法人法</w:t>
      </w:r>
      <w:r>
        <w:rPr>
          <w:rFonts w:ascii="標楷體" w:eastAsia="標楷體" w:hAnsi="標楷體" w:hint="eastAsia"/>
          <w:bCs/>
          <w:sz w:val="32"/>
          <w:szCs w:val="32"/>
        </w:rPr>
        <w:t>」</w:t>
      </w:r>
      <w:r w:rsidRPr="009D1DEA">
        <w:rPr>
          <w:rFonts w:ascii="標楷體" w:eastAsia="標楷體" w:hAnsi="標楷體" w:hint="eastAsia"/>
          <w:bCs/>
          <w:sz w:val="32"/>
          <w:szCs w:val="32"/>
        </w:rPr>
        <w:t>之規定將預算送立法院審議。爰請國</w:t>
      </w:r>
      <w:r>
        <w:rPr>
          <w:rFonts w:ascii="標楷體" w:eastAsia="標楷體" w:hAnsi="標楷體" w:hint="eastAsia"/>
          <w:bCs/>
          <w:sz w:val="32"/>
          <w:szCs w:val="32"/>
        </w:rPr>
        <w:t>家</w:t>
      </w:r>
      <w:r w:rsidRPr="009D1DEA">
        <w:rPr>
          <w:rFonts w:ascii="標楷體" w:eastAsia="標楷體" w:hAnsi="標楷體" w:hint="eastAsia"/>
          <w:bCs/>
          <w:sz w:val="32"/>
          <w:szCs w:val="32"/>
        </w:rPr>
        <w:t>科</w:t>
      </w:r>
      <w:r>
        <w:rPr>
          <w:rFonts w:ascii="標楷體" w:eastAsia="標楷體" w:hAnsi="標楷體" w:hint="eastAsia"/>
          <w:bCs/>
          <w:sz w:val="32"/>
          <w:szCs w:val="32"/>
        </w:rPr>
        <w:t>學及技術委員會就上述事由於3</w:t>
      </w:r>
      <w:r w:rsidRPr="009D1DEA">
        <w:rPr>
          <w:rFonts w:ascii="標楷體" w:eastAsia="標楷體" w:hAnsi="標楷體" w:hint="eastAsia"/>
          <w:bCs/>
          <w:sz w:val="32"/>
          <w:szCs w:val="32"/>
        </w:rPr>
        <w:t>個月內向立法院教育及文化委員會提出書面報告。</w:t>
      </w:r>
      <w:r>
        <w:rPr>
          <w:rFonts w:ascii="標楷體" w:eastAsia="標楷體" w:hAnsi="標楷體" w:hint="eastAsia"/>
          <w:bCs/>
          <w:sz w:val="32"/>
          <w:szCs w:val="32"/>
        </w:rPr>
        <w:t>30</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陳秀寳</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吳思瑤  何欣純</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(六十三)</w:t>
      </w:r>
      <w:r w:rsidRPr="000535CC">
        <w:rPr>
          <w:rFonts w:ascii="標楷體" w:eastAsia="標楷體" w:hAnsi="標楷體" w:hint="eastAsia"/>
          <w:bCs/>
          <w:sz w:val="32"/>
          <w:szCs w:val="32"/>
        </w:rPr>
        <w:t>太空科技及產業發展為我國重要政策，太空產業更是我國「六大核心戰略產業」中的關鍵項目。為推動及強化太空科技發展，</w:t>
      </w:r>
      <w:r>
        <w:rPr>
          <w:rFonts w:ascii="標楷體" w:eastAsia="標楷體" w:hAnsi="標楷體" w:hint="eastAsia"/>
          <w:bCs/>
          <w:sz w:val="32"/>
          <w:szCs w:val="32"/>
        </w:rPr>
        <w:t>財團法人國家實驗研究院國家</w:t>
      </w:r>
      <w:r w:rsidRPr="009D1DEA">
        <w:rPr>
          <w:rFonts w:ascii="標楷體" w:eastAsia="標楷體" w:hAnsi="標楷體" w:hint="eastAsia"/>
          <w:bCs/>
          <w:sz w:val="32"/>
          <w:szCs w:val="32"/>
        </w:rPr>
        <w:t>太空中心</w:t>
      </w:r>
      <w:r w:rsidRPr="000535CC">
        <w:rPr>
          <w:rFonts w:ascii="標楷體" w:eastAsia="標楷體" w:hAnsi="標楷體" w:hint="eastAsia"/>
          <w:bCs/>
          <w:sz w:val="32"/>
          <w:szCs w:val="32"/>
        </w:rPr>
        <w:t>將於</w:t>
      </w:r>
      <w:r>
        <w:rPr>
          <w:rFonts w:ascii="標楷體" w:eastAsia="標楷體" w:hAnsi="標楷體" w:hint="eastAsia"/>
          <w:bCs/>
          <w:sz w:val="32"/>
          <w:szCs w:val="32"/>
        </w:rPr>
        <w:t>112</w:t>
      </w:r>
      <w:r w:rsidRPr="000535CC">
        <w:rPr>
          <w:rFonts w:ascii="標楷體" w:eastAsia="標楷體" w:hAnsi="標楷體" w:hint="eastAsia"/>
          <w:bCs/>
          <w:sz w:val="32"/>
          <w:szCs w:val="32"/>
        </w:rPr>
        <w:t>年轉型為行政法人。為因應任務擴張與組織擴編，中心擴大徵才，惟行政法人作業尚在籌備階段，待研擬以及通過之相關作業規章制度數量甚多，甚至包含人事晉用甄選規章等。然國家太空中心已公告，未來</w:t>
      </w:r>
      <w:r>
        <w:rPr>
          <w:rFonts w:ascii="標楷體" w:eastAsia="標楷體" w:hAnsi="標楷體" w:hint="eastAsia"/>
          <w:bCs/>
          <w:sz w:val="32"/>
          <w:szCs w:val="32"/>
        </w:rPr>
        <w:t>3</w:t>
      </w:r>
      <w:r w:rsidRPr="000535CC">
        <w:rPr>
          <w:rFonts w:ascii="標楷體" w:eastAsia="標楷體" w:hAnsi="標楷體" w:hint="eastAsia"/>
          <w:bCs/>
          <w:sz w:val="32"/>
          <w:szCs w:val="32"/>
        </w:rPr>
        <w:t>年平均每年招募100位太空專業人才。</w:t>
      </w:r>
      <w:r>
        <w:rPr>
          <w:rFonts w:ascii="標楷體" w:eastAsia="標楷體" w:hAnsi="標楷體" w:hint="eastAsia"/>
          <w:bCs/>
          <w:sz w:val="32"/>
          <w:szCs w:val="32"/>
        </w:rPr>
        <w:t>行政法人</w:t>
      </w:r>
      <w:r w:rsidRPr="000535CC">
        <w:rPr>
          <w:rFonts w:ascii="標楷體" w:eastAsia="標楷體" w:hAnsi="標楷體" w:hint="eastAsia"/>
          <w:bCs/>
          <w:sz w:val="32"/>
          <w:szCs w:val="32"/>
        </w:rPr>
        <w:t>國家太空中心籌備小組應加速研擬及完備規章制度，以建立健全的用人機制。請國</w:t>
      </w:r>
      <w:r>
        <w:rPr>
          <w:rFonts w:ascii="標楷體" w:eastAsia="標楷體" w:hAnsi="標楷體" w:hint="eastAsia"/>
          <w:bCs/>
          <w:sz w:val="32"/>
          <w:szCs w:val="32"/>
        </w:rPr>
        <w:t>家科學及技術委員</w:t>
      </w:r>
      <w:r w:rsidRPr="000535CC">
        <w:rPr>
          <w:rFonts w:ascii="標楷體" w:eastAsia="標楷體" w:hAnsi="標楷體" w:hint="eastAsia"/>
          <w:bCs/>
          <w:sz w:val="32"/>
          <w:szCs w:val="32"/>
        </w:rPr>
        <w:t>會就</w:t>
      </w:r>
      <w:r>
        <w:rPr>
          <w:rFonts w:ascii="標楷體" w:eastAsia="標楷體" w:hAnsi="標楷體" w:hint="eastAsia"/>
          <w:bCs/>
          <w:sz w:val="32"/>
          <w:szCs w:val="32"/>
        </w:rPr>
        <w:t>行政法人</w:t>
      </w:r>
      <w:r w:rsidRPr="000535CC">
        <w:rPr>
          <w:rFonts w:ascii="標楷體" w:eastAsia="標楷體" w:hAnsi="標楷體" w:hint="eastAsia"/>
          <w:bCs/>
          <w:sz w:val="32"/>
          <w:szCs w:val="32"/>
        </w:rPr>
        <w:t>國家太空中心之組織章</w:t>
      </w:r>
      <w:r>
        <w:rPr>
          <w:rFonts w:ascii="標楷體" w:eastAsia="標楷體" w:hAnsi="標楷體" w:hint="eastAsia"/>
          <w:bCs/>
          <w:sz w:val="32"/>
          <w:szCs w:val="32"/>
        </w:rPr>
        <w:t>程、人事管理、會計制度、內部控制、稽核作業等相關規章之訂定進度</w:t>
      </w:r>
      <w:r w:rsidRPr="000535CC">
        <w:rPr>
          <w:rFonts w:ascii="標楷體" w:eastAsia="標楷體" w:hAnsi="標楷體" w:hint="eastAsia"/>
          <w:bCs/>
          <w:sz w:val="32"/>
          <w:szCs w:val="32"/>
        </w:rPr>
        <w:t>於</w:t>
      </w:r>
      <w:r>
        <w:rPr>
          <w:rFonts w:ascii="標楷體" w:eastAsia="標楷體" w:hAnsi="標楷體" w:hint="eastAsia"/>
          <w:bCs/>
          <w:sz w:val="32"/>
          <w:szCs w:val="32"/>
        </w:rPr>
        <w:t>3</w:t>
      </w:r>
      <w:r w:rsidRPr="000535CC">
        <w:rPr>
          <w:rFonts w:ascii="標楷體" w:eastAsia="標楷體" w:hAnsi="標楷體" w:hint="eastAsia"/>
          <w:bCs/>
          <w:sz w:val="32"/>
          <w:szCs w:val="32"/>
        </w:rPr>
        <w:t>個月內向立法院教育及文化委員會提出書面報告。</w:t>
      </w:r>
      <w:r>
        <w:rPr>
          <w:rFonts w:ascii="標楷體" w:eastAsia="標楷體" w:hAnsi="標楷體" w:hint="eastAsia"/>
          <w:bCs/>
          <w:sz w:val="32"/>
          <w:szCs w:val="32"/>
        </w:rPr>
        <w:t>31</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范  雲</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lastRenderedPageBreak/>
        <w:t>連署人：</w:t>
      </w:r>
      <w:r>
        <w:rPr>
          <w:rFonts w:ascii="標楷體" w:eastAsia="標楷體" w:hAnsi="標楷體" w:hint="eastAsia"/>
          <w:sz w:val="32"/>
          <w:szCs w:val="32"/>
        </w:rPr>
        <w:t>林宜瑾  陳秀寳</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(六十四)「</w:t>
      </w:r>
      <w:r w:rsidRPr="000535CC">
        <w:rPr>
          <w:rFonts w:ascii="標楷體" w:eastAsia="標楷體" w:hAnsi="標楷體" w:hint="eastAsia"/>
          <w:bCs/>
          <w:sz w:val="32"/>
          <w:szCs w:val="32"/>
        </w:rPr>
        <w:t>國家太空中心設置條例</w:t>
      </w:r>
      <w:r>
        <w:rPr>
          <w:rFonts w:ascii="標楷體" w:eastAsia="標楷體" w:hAnsi="標楷體" w:hint="eastAsia"/>
          <w:bCs/>
          <w:sz w:val="32"/>
          <w:szCs w:val="32"/>
        </w:rPr>
        <w:t>」</w:t>
      </w:r>
      <w:r w:rsidRPr="000535CC">
        <w:rPr>
          <w:rFonts w:ascii="標楷體" w:eastAsia="標楷體" w:hAnsi="標楷體" w:hint="eastAsia"/>
          <w:bCs/>
          <w:sz w:val="32"/>
          <w:szCs w:val="32"/>
        </w:rPr>
        <w:t>已於</w:t>
      </w:r>
      <w:r>
        <w:rPr>
          <w:rFonts w:ascii="標楷體" w:eastAsia="標楷體" w:hAnsi="標楷體" w:hint="eastAsia"/>
          <w:bCs/>
          <w:sz w:val="32"/>
          <w:szCs w:val="32"/>
        </w:rPr>
        <w:t>111</w:t>
      </w:r>
      <w:r w:rsidRPr="000535CC">
        <w:rPr>
          <w:rFonts w:ascii="標楷體" w:eastAsia="標楷體" w:hAnsi="標楷體" w:hint="eastAsia"/>
          <w:bCs/>
          <w:sz w:val="32"/>
          <w:szCs w:val="32"/>
        </w:rPr>
        <w:t>年4</w:t>
      </w:r>
      <w:r>
        <w:rPr>
          <w:rFonts w:ascii="標楷體" w:eastAsia="標楷體" w:hAnsi="標楷體" w:hint="eastAsia"/>
          <w:bCs/>
          <w:sz w:val="32"/>
          <w:szCs w:val="32"/>
        </w:rPr>
        <w:t>月</w:t>
      </w:r>
      <w:r w:rsidRPr="000535CC">
        <w:rPr>
          <w:rFonts w:ascii="標楷體" w:eastAsia="標楷體" w:hAnsi="標楷體" w:hint="eastAsia"/>
          <w:bCs/>
          <w:sz w:val="32"/>
          <w:szCs w:val="32"/>
        </w:rPr>
        <w:t>19</w:t>
      </w:r>
      <w:r>
        <w:rPr>
          <w:rFonts w:ascii="標楷體" w:eastAsia="標楷體" w:hAnsi="標楷體" w:hint="eastAsia"/>
          <w:bCs/>
          <w:sz w:val="32"/>
          <w:szCs w:val="32"/>
        </w:rPr>
        <w:t>日</w:t>
      </w:r>
      <w:r w:rsidRPr="000535CC">
        <w:rPr>
          <w:rFonts w:ascii="標楷體" w:eastAsia="標楷體" w:hAnsi="標楷體" w:hint="eastAsia"/>
          <w:bCs/>
          <w:sz w:val="32"/>
          <w:szCs w:val="32"/>
        </w:rPr>
        <w:t>三讀通過，並由行政院核定自</w:t>
      </w:r>
      <w:r>
        <w:rPr>
          <w:rFonts w:ascii="標楷體" w:eastAsia="標楷體" w:hAnsi="標楷體" w:hint="eastAsia"/>
          <w:bCs/>
          <w:sz w:val="32"/>
          <w:szCs w:val="32"/>
        </w:rPr>
        <w:t>112</w:t>
      </w:r>
      <w:r w:rsidRPr="000535CC">
        <w:rPr>
          <w:rFonts w:ascii="標楷體" w:eastAsia="標楷體" w:hAnsi="標楷體" w:hint="eastAsia"/>
          <w:bCs/>
          <w:sz w:val="32"/>
          <w:szCs w:val="32"/>
        </w:rPr>
        <w:t>年1</w:t>
      </w:r>
      <w:r>
        <w:rPr>
          <w:rFonts w:ascii="標楷體" w:eastAsia="標楷體" w:hAnsi="標楷體" w:hint="eastAsia"/>
          <w:bCs/>
          <w:sz w:val="32"/>
          <w:szCs w:val="32"/>
        </w:rPr>
        <w:t>月</w:t>
      </w:r>
      <w:r w:rsidRPr="000535CC">
        <w:rPr>
          <w:rFonts w:ascii="標楷體" w:eastAsia="標楷體" w:hAnsi="標楷體" w:hint="eastAsia"/>
          <w:bCs/>
          <w:sz w:val="32"/>
          <w:szCs w:val="32"/>
        </w:rPr>
        <w:t>1</w:t>
      </w:r>
      <w:r>
        <w:rPr>
          <w:rFonts w:ascii="標楷體" w:eastAsia="標楷體" w:hAnsi="標楷體" w:hint="eastAsia"/>
          <w:bCs/>
          <w:sz w:val="32"/>
          <w:szCs w:val="32"/>
        </w:rPr>
        <w:t>日</w:t>
      </w:r>
      <w:r w:rsidRPr="000535CC">
        <w:rPr>
          <w:rFonts w:ascii="標楷體" w:eastAsia="標楷體" w:hAnsi="標楷體" w:hint="eastAsia"/>
          <w:bCs/>
          <w:sz w:val="32"/>
          <w:szCs w:val="32"/>
        </w:rPr>
        <w:t>施行。為因應組改</w:t>
      </w:r>
      <w:r>
        <w:rPr>
          <w:rFonts w:ascii="標楷體" w:eastAsia="標楷體" w:hAnsi="標楷體" w:hint="eastAsia"/>
          <w:bCs/>
          <w:sz w:val="32"/>
          <w:szCs w:val="32"/>
        </w:rPr>
        <w:t>財團法人</w:t>
      </w:r>
      <w:r w:rsidRPr="000535CC">
        <w:rPr>
          <w:rFonts w:ascii="標楷體" w:eastAsia="標楷體" w:hAnsi="標楷體" w:hint="eastAsia"/>
          <w:bCs/>
          <w:sz w:val="32"/>
          <w:szCs w:val="32"/>
        </w:rPr>
        <w:t>國</w:t>
      </w:r>
      <w:r>
        <w:rPr>
          <w:rFonts w:ascii="標楷體" w:eastAsia="標楷體" w:hAnsi="標楷體" w:hint="eastAsia"/>
          <w:bCs/>
          <w:sz w:val="32"/>
          <w:szCs w:val="32"/>
        </w:rPr>
        <w:t>家實驗</w:t>
      </w:r>
      <w:r w:rsidRPr="000535CC">
        <w:rPr>
          <w:rFonts w:ascii="標楷體" w:eastAsia="標楷體" w:hAnsi="標楷體" w:hint="eastAsia"/>
          <w:bCs/>
          <w:sz w:val="32"/>
          <w:szCs w:val="32"/>
        </w:rPr>
        <w:t>研</w:t>
      </w:r>
      <w:r>
        <w:rPr>
          <w:rFonts w:ascii="標楷體" w:eastAsia="標楷體" w:hAnsi="標楷體" w:hint="eastAsia"/>
          <w:bCs/>
          <w:sz w:val="32"/>
          <w:szCs w:val="32"/>
        </w:rPr>
        <w:t>究</w:t>
      </w:r>
      <w:r w:rsidRPr="000535CC">
        <w:rPr>
          <w:rFonts w:ascii="標楷體" w:eastAsia="標楷體" w:hAnsi="標楷體" w:hint="eastAsia"/>
          <w:bCs/>
          <w:sz w:val="32"/>
          <w:szCs w:val="32"/>
        </w:rPr>
        <w:t>院已於112年度預算書刪除國家太空中心之相關預算，惟行政法人國家太空中心尚未正式掛牌，目前「國家太空中心發展計畫」編列於國</w:t>
      </w:r>
      <w:r>
        <w:rPr>
          <w:rFonts w:ascii="標楷體" w:eastAsia="標楷體" w:hAnsi="標楷體" w:hint="eastAsia"/>
          <w:bCs/>
          <w:sz w:val="32"/>
          <w:szCs w:val="32"/>
        </w:rPr>
        <w:t>家</w:t>
      </w:r>
      <w:r w:rsidRPr="000535CC">
        <w:rPr>
          <w:rFonts w:ascii="標楷體" w:eastAsia="標楷體" w:hAnsi="標楷體" w:hint="eastAsia"/>
          <w:bCs/>
          <w:sz w:val="32"/>
          <w:szCs w:val="32"/>
        </w:rPr>
        <w:t>科</w:t>
      </w:r>
      <w:r>
        <w:rPr>
          <w:rFonts w:ascii="標楷體" w:eastAsia="標楷體" w:hAnsi="標楷體" w:hint="eastAsia"/>
          <w:bCs/>
          <w:sz w:val="32"/>
          <w:szCs w:val="32"/>
        </w:rPr>
        <w:t>學及技術委員</w:t>
      </w:r>
      <w:r w:rsidRPr="000535CC">
        <w:rPr>
          <w:rFonts w:ascii="標楷體" w:eastAsia="標楷體" w:hAnsi="標楷體" w:hint="eastAsia"/>
          <w:bCs/>
          <w:sz w:val="32"/>
          <w:szCs w:val="32"/>
        </w:rPr>
        <w:t>會單位預算中。依</w:t>
      </w:r>
      <w:r>
        <w:rPr>
          <w:rFonts w:ascii="標楷體" w:eastAsia="標楷體" w:hAnsi="標楷體" w:hint="eastAsia"/>
          <w:bCs/>
          <w:sz w:val="32"/>
          <w:szCs w:val="32"/>
        </w:rPr>
        <w:t>「</w:t>
      </w:r>
      <w:r w:rsidRPr="000535CC">
        <w:rPr>
          <w:rFonts w:ascii="標楷體" w:eastAsia="標楷體" w:hAnsi="標楷體" w:hint="eastAsia"/>
          <w:bCs/>
          <w:sz w:val="32"/>
          <w:szCs w:val="32"/>
        </w:rPr>
        <w:t>行政法人法</w:t>
      </w:r>
      <w:r>
        <w:rPr>
          <w:rFonts w:ascii="標楷體" w:eastAsia="標楷體" w:hAnsi="標楷體" w:hint="eastAsia"/>
          <w:bCs/>
          <w:sz w:val="32"/>
          <w:szCs w:val="32"/>
        </w:rPr>
        <w:t>」</w:t>
      </w:r>
      <w:r w:rsidRPr="000535CC">
        <w:rPr>
          <w:rFonts w:ascii="標楷體" w:eastAsia="標楷體" w:hAnsi="標楷體" w:hint="eastAsia"/>
          <w:bCs/>
          <w:sz w:val="32"/>
          <w:szCs w:val="32"/>
        </w:rPr>
        <w:t>第35條規定：「政府機關核撥行政法人之經費，應依法定預算程序辦理，並受審計監督。政府機關核撥之經費超過行政法人當年度預算收入來源百分之五十者，應由監督機關將其年度預算書，送立法院審議。」國家太空中心於行政法人設立後應依</w:t>
      </w:r>
      <w:r>
        <w:rPr>
          <w:rFonts w:ascii="標楷體" w:eastAsia="標楷體" w:hAnsi="標楷體" w:hint="eastAsia"/>
          <w:bCs/>
          <w:sz w:val="32"/>
          <w:szCs w:val="32"/>
        </w:rPr>
        <w:t>「</w:t>
      </w:r>
      <w:r w:rsidRPr="000535CC">
        <w:rPr>
          <w:rFonts w:ascii="標楷體" w:eastAsia="標楷體" w:hAnsi="標楷體" w:hint="eastAsia"/>
          <w:bCs/>
          <w:sz w:val="32"/>
          <w:szCs w:val="32"/>
        </w:rPr>
        <w:t>行政法人法</w:t>
      </w:r>
      <w:r>
        <w:rPr>
          <w:rFonts w:ascii="標楷體" w:eastAsia="標楷體" w:hAnsi="標楷體" w:hint="eastAsia"/>
          <w:bCs/>
          <w:sz w:val="32"/>
          <w:szCs w:val="32"/>
        </w:rPr>
        <w:t>」</w:t>
      </w:r>
      <w:r w:rsidRPr="000535CC">
        <w:rPr>
          <w:rFonts w:ascii="標楷體" w:eastAsia="標楷體" w:hAnsi="標楷體" w:hint="eastAsia"/>
          <w:bCs/>
          <w:sz w:val="32"/>
          <w:szCs w:val="32"/>
        </w:rPr>
        <w:t>規定將預算送立法院審查，以接受立法機關之監督。國家太空中心應</w:t>
      </w:r>
      <w:r>
        <w:rPr>
          <w:rFonts w:ascii="標楷體" w:eastAsia="標楷體" w:hAnsi="標楷體" w:hint="eastAsia"/>
          <w:bCs/>
          <w:sz w:val="32"/>
          <w:szCs w:val="32"/>
        </w:rPr>
        <w:t>儘</w:t>
      </w:r>
      <w:r w:rsidRPr="000535CC">
        <w:rPr>
          <w:rFonts w:ascii="標楷體" w:eastAsia="標楷體" w:hAnsi="標楷體" w:hint="eastAsia"/>
          <w:bCs/>
          <w:sz w:val="32"/>
          <w:szCs w:val="32"/>
        </w:rPr>
        <w:t>速完備行政法人正式成立之相關流程，並依</w:t>
      </w:r>
      <w:r>
        <w:rPr>
          <w:rFonts w:ascii="標楷體" w:eastAsia="標楷體" w:hAnsi="標楷體" w:hint="eastAsia"/>
          <w:bCs/>
          <w:sz w:val="32"/>
          <w:szCs w:val="32"/>
        </w:rPr>
        <w:t>「</w:t>
      </w:r>
      <w:r w:rsidRPr="000535CC">
        <w:rPr>
          <w:rFonts w:ascii="標楷體" w:eastAsia="標楷體" w:hAnsi="標楷體" w:hint="eastAsia"/>
          <w:bCs/>
          <w:sz w:val="32"/>
          <w:szCs w:val="32"/>
        </w:rPr>
        <w:t>行政法人法</w:t>
      </w:r>
      <w:r>
        <w:rPr>
          <w:rFonts w:ascii="標楷體" w:eastAsia="標楷體" w:hAnsi="標楷體" w:hint="eastAsia"/>
          <w:bCs/>
          <w:sz w:val="32"/>
          <w:szCs w:val="32"/>
        </w:rPr>
        <w:t>」</w:t>
      </w:r>
      <w:r w:rsidRPr="000535CC">
        <w:rPr>
          <w:rFonts w:ascii="標楷體" w:eastAsia="標楷體" w:hAnsi="標楷體" w:hint="eastAsia"/>
          <w:bCs/>
          <w:sz w:val="32"/>
          <w:szCs w:val="32"/>
        </w:rPr>
        <w:t>規定將預算送立法院審議。爰請國家科學及技術委員會於</w:t>
      </w:r>
      <w:r>
        <w:rPr>
          <w:rFonts w:ascii="標楷體" w:eastAsia="標楷體" w:hAnsi="標楷體" w:hint="eastAsia"/>
          <w:bCs/>
          <w:sz w:val="32"/>
          <w:szCs w:val="32"/>
        </w:rPr>
        <w:t>3</w:t>
      </w:r>
      <w:r w:rsidRPr="000535CC">
        <w:rPr>
          <w:rFonts w:ascii="標楷體" w:eastAsia="標楷體" w:hAnsi="標楷體" w:hint="eastAsia"/>
          <w:bCs/>
          <w:sz w:val="32"/>
          <w:szCs w:val="32"/>
        </w:rPr>
        <w:t>個月內就前述事由向立法院教育及文化委員會提出書面報告。</w:t>
      </w:r>
      <w:r>
        <w:rPr>
          <w:rFonts w:ascii="標楷體" w:eastAsia="標楷體" w:hAnsi="標楷體" w:hint="eastAsia"/>
          <w:bCs/>
          <w:sz w:val="32"/>
          <w:szCs w:val="32"/>
        </w:rPr>
        <w:t>32</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張廖萬堅  黃國書</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吳思瑤  何欣純</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(六十五)112年度</w:t>
      </w:r>
      <w:r w:rsidRPr="000535CC">
        <w:rPr>
          <w:rFonts w:ascii="標楷體" w:eastAsia="標楷體" w:hAnsi="標楷體" w:hint="eastAsia"/>
          <w:bCs/>
          <w:sz w:val="32"/>
          <w:szCs w:val="32"/>
        </w:rPr>
        <w:t>國家科學及技術委員會「國家太空中心發展計畫」，內容包括太空基礎研究計畫、低軌通訊衛星計畫、遙測衛星星系計畫、太空基礎工程與應用研究能量整備計畫、太空產業推動與人才培育計畫等5</w:t>
      </w:r>
      <w:r>
        <w:rPr>
          <w:rFonts w:ascii="標楷體" w:eastAsia="標楷體" w:hAnsi="標楷體" w:hint="eastAsia"/>
          <w:bCs/>
          <w:sz w:val="32"/>
          <w:szCs w:val="32"/>
        </w:rPr>
        <w:t>項計畫</w:t>
      </w:r>
      <w:r w:rsidRPr="000535CC">
        <w:rPr>
          <w:rFonts w:ascii="標楷體" w:eastAsia="標楷體" w:hAnsi="標楷體" w:hint="eastAsia"/>
          <w:bCs/>
          <w:sz w:val="32"/>
          <w:szCs w:val="32"/>
        </w:rPr>
        <w:t>。其中</w:t>
      </w:r>
      <w:r>
        <w:rPr>
          <w:rFonts w:ascii="標楷體" w:eastAsia="標楷體" w:hAnsi="標楷體" w:hint="eastAsia"/>
          <w:bCs/>
          <w:sz w:val="32"/>
          <w:szCs w:val="32"/>
        </w:rPr>
        <w:t>「</w:t>
      </w:r>
      <w:r w:rsidRPr="000535CC">
        <w:rPr>
          <w:rFonts w:ascii="標楷體" w:eastAsia="標楷體" w:hAnsi="標楷體" w:hint="eastAsia"/>
          <w:bCs/>
          <w:sz w:val="32"/>
          <w:szCs w:val="32"/>
        </w:rPr>
        <w:t>低軌通訊衛星計畫</w:t>
      </w:r>
      <w:r>
        <w:rPr>
          <w:rFonts w:ascii="標楷體" w:eastAsia="標楷體" w:hAnsi="標楷體" w:hint="eastAsia"/>
          <w:bCs/>
          <w:sz w:val="32"/>
          <w:szCs w:val="32"/>
        </w:rPr>
        <w:t>」預算</w:t>
      </w:r>
      <w:r w:rsidRPr="000535CC">
        <w:rPr>
          <w:rFonts w:ascii="標楷體" w:eastAsia="標楷體" w:hAnsi="標楷體" w:hint="eastAsia"/>
          <w:bCs/>
          <w:sz w:val="32"/>
          <w:szCs w:val="32"/>
        </w:rPr>
        <w:t>編列8億5</w:t>
      </w:r>
      <w:r>
        <w:rPr>
          <w:rFonts w:ascii="標楷體" w:eastAsia="標楷體" w:hAnsi="標楷體"/>
          <w:bCs/>
          <w:sz w:val="32"/>
          <w:szCs w:val="32"/>
        </w:rPr>
        <w:t>,</w:t>
      </w:r>
      <w:r w:rsidRPr="000535CC">
        <w:rPr>
          <w:rFonts w:ascii="標楷體" w:eastAsia="標楷體" w:hAnsi="標楷體" w:hint="eastAsia"/>
          <w:bCs/>
          <w:sz w:val="32"/>
          <w:szCs w:val="32"/>
        </w:rPr>
        <w:t>146</w:t>
      </w:r>
      <w:r>
        <w:rPr>
          <w:rFonts w:ascii="標楷體" w:eastAsia="標楷體" w:hAnsi="標楷體" w:hint="eastAsia"/>
          <w:bCs/>
          <w:sz w:val="32"/>
          <w:szCs w:val="32"/>
        </w:rPr>
        <w:t>萬</w:t>
      </w:r>
      <w:r w:rsidRPr="000535CC">
        <w:rPr>
          <w:rFonts w:ascii="標楷體" w:eastAsia="標楷體" w:hAnsi="標楷體" w:hint="eastAsia"/>
          <w:bCs/>
          <w:sz w:val="32"/>
          <w:szCs w:val="32"/>
        </w:rPr>
        <w:t>7</w:t>
      </w:r>
      <w:r>
        <w:rPr>
          <w:rFonts w:ascii="標楷體" w:eastAsia="標楷體" w:hAnsi="標楷體" w:hint="eastAsia"/>
          <w:bCs/>
          <w:sz w:val="32"/>
          <w:szCs w:val="32"/>
        </w:rPr>
        <w:t>千</w:t>
      </w:r>
      <w:r w:rsidRPr="000535CC">
        <w:rPr>
          <w:rFonts w:ascii="標楷體" w:eastAsia="標楷體" w:hAnsi="標楷體" w:hint="eastAsia"/>
          <w:bCs/>
          <w:sz w:val="32"/>
          <w:szCs w:val="32"/>
        </w:rPr>
        <w:t>元，主要進行2顆低軌實驗衛星研製，並驗證我國自主發展與地面通訊設備之通聯，將有助於解決部分偏鄉或遠離主要網路節點通訊品質不穩定，並且為國際國防安全重要發展策略與方向；又我國在地面設備次系統與衛星次系統有設計生產能力，極具國際競爭力、並有客製化能力，而且地面設備零組件與衛星零件產</w:t>
      </w:r>
      <w:r w:rsidRPr="000535CC">
        <w:rPr>
          <w:rFonts w:ascii="標楷體" w:eastAsia="標楷體" w:hAnsi="標楷體" w:hint="eastAsia"/>
          <w:bCs/>
          <w:sz w:val="32"/>
          <w:szCs w:val="32"/>
        </w:rPr>
        <w:lastRenderedPageBreak/>
        <w:t>業鏈完整，包括電子通訊、航太金屬、半導體元件等聚落群聚根基厚實，但缺乏整體性整合方案與策略，另衛星零組件檢驗標準與相關檢驗設備也有待整合，需政府提出全面性產官學整合性配套措施，爰請國家科學及技術委員會就前述事由於</w:t>
      </w:r>
      <w:r>
        <w:rPr>
          <w:rFonts w:ascii="標楷體" w:eastAsia="標楷體" w:hAnsi="標楷體" w:hint="eastAsia"/>
          <w:bCs/>
          <w:sz w:val="32"/>
          <w:szCs w:val="32"/>
        </w:rPr>
        <w:t>3</w:t>
      </w:r>
      <w:r w:rsidRPr="000535CC">
        <w:rPr>
          <w:rFonts w:ascii="標楷體" w:eastAsia="標楷體" w:hAnsi="標楷體" w:hint="eastAsia"/>
          <w:bCs/>
          <w:sz w:val="32"/>
          <w:szCs w:val="32"/>
        </w:rPr>
        <w:t>個月內向立法院教育及文化委員會提出書面報告。</w:t>
      </w:r>
      <w:r>
        <w:rPr>
          <w:rFonts w:ascii="標楷體" w:eastAsia="標楷體" w:hAnsi="標楷體" w:hint="eastAsia"/>
          <w:bCs/>
          <w:sz w:val="32"/>
          <w:szCs w:val="32"/>
        </w:rPr>
        <w:t>34</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何欣純</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吳思瑤  范  雲</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(六十六)</w:t>
      </w:r>
      <w:r w:rsidRPr="000535CC">
        <w:rPr>
          <w:rFonts w:ascii="標楷體" w:eastAsia="標楷體" w:hAnsi="標楷體" w:hint="eastAsia"/>
          <w:bCs/>
          <w:sz w:val="32"/>
          <w:szCs w:val="32"/>
        </w:rPr>
        <w:t>近來我國積極投入經費發展低軌通訊衛星之太空科技，110</w:t>
      </w:r>
      <w:r>
        <w:rPr>
          <w:rFonts w:ascii="標楷體" w:eastAsia="標楷體" w:hAnsi="標楷體" w:hint="eastAsia"/>
          <w:bCs/>
          <w:sz w:val="32"/>
          <w:szCs w:val="32"/>
        </w:rPr>
        <w:t>至</w:t>
      </w:r>
      <w:r w:rsidRPr="000535CC">
        <w:rPr>
          <w:rFonts w:ascii="標楷體" w:eastAsia="標楷體" w:hAnsi="標楷體" w:hint="eastAsia"/>
          <w:bCs/>
          <w:sz w:val="32"/>
          <w:szCs w:val="32"/>
        </w:rPr>
        <w:t>115年</w:t>
      </w:r>
      <w:r>
        <w:rPr>
          <w:rFonts w:ascii="標楷體" w:eastAsia="標楷體" w:hAnsi="標楷體" w:hint="eastAsia"/>
          <w:bCs/>
          <w:sz w:val="32"/>
          <w:szCs w:val="32"/>
        </w:rPr>
        <w:t>國家科學及技術委員會</w:t>
      </w:r>
      <w:r w:rsidRPr="000535CC">
        <w:rPr>
          <w:rFonts w:ascii="標楷體" w:eastAsia="標楷體" w:hAnsi="標楷體" w:hint="eastAsia"/>
          <w:bCs/>
          <w:sz w:val="32"/>
          <w:szCs w:val="32"/>
        </w:rPr>
        <w:t>(31</w:t>
      </w:r>
      <w:r>
        <w:rPr>
          <w:rFonts w:ascii="標楷體" w:eastAsia="標楷體" w:hAnsi="標楷體" w:hint="eastAsia"/>
          <w:bCs/>
          <w:sz w:val="32"/>
          <w:szCs w:val="32"/>
        </w:rPr>
        <w:t>億</w:t>
      </w:r>
      <w:r w:rsidRPr="000535CC">
        <w:rPr>
          <w:rFonts w:ascii="標楷體" w:eastAsia="標楷體" w:hAnsi="標楷體" w:hint="eastAsia"/>
          <w:bCs/>
          <w:sz w:val="32"/>
          <w:szCs w:val="32"/>
        </w:rPr>
        <w:t>6</w:t>
      </w:r>
      <w:r>
        <w:rPr>
          <w:rFonts w:ascii="標楷體" w:eastAsia="標楷體" w:hAnsi="標楷體"/>
          <w:bCs/>
          <w:sz w:val="32"/>
          <w:szCs w:val="32"/>
        </w:rPr>
        <w:t>,</w:t>
      </w:r>
      <w:r w:rsidRPr="000535CC">
        <w:rPr>
          <w:rFonts w:ascii="標楷體" w:eastAsia="標楷體" w:hAnsi="標楷體" w:hint="eastAsia"/>
          <w:bCs/>
          <w:sz w:val="32"/>
          <w:szCs w:val="32"/>
        </w:rPr>
        <w:t>4</w:t>
      </w:r>
      <w:r>
        <w:rPr>
          <w:rFonts w:ascii="標楷體" w:eastAsia="標楷體" w:hAnsi="標楷體" w:hint="eastAsia"/>
          <w:bCs/>
          <w:sz w:val="32"/>
          <w:szCs w:val="32"/>
        </w:rPr>
        <w:t>00萬</w:t>
      </w:r>
      <w:r w:rsidRPr="000535CC">
        <w:rPr>
          <w:rFonts w:ascii="標楷體" w:eastAsia="標楷體" w:hAnsi="標楷體" w:hint="eastAsia"/>
          <w:bCs/>
          <w:sz w:val="32"/>
          <w:szCs w:val="32"/>
        </w:rPr>
        <w:t>元)與經濟部(1</w:t>
      </w:r>
      <w:r>
        <w:rPr>
          <w:rFonts w:ascii="標楷體" w:eastAsia="標楷體" w:hAnsi="標楷體" w:hint="eastAsia"/>
          <w:bCs/>
          <w:sz w:val="32"/>
          <w:szCs w:val="32"/>
        </w:rPr>
        <w:t>億</w:t>
      </w:r>
      <w:r w:rsidRPr="000535CC">
        <w:rPr>
          <w:rFonts w:ascii="標楷體" w:eastAsia="標楷體" w:hAnsi="標楷體" w:hint="eastAsia"/>
          <w:bCs/>
          <w:sz w:val="32"/>
          <w:szCs w:val="32"/>
        </w:rPr>
        <w:t>3</w:t>
      </w:r>
      <w:r>
        <w:rPr>
          <w:rFonts w:ascii="標楷體" w:eastAsia="標楷體" w:hAnsi="標楷體"/>
          <w:bCs/>
          <w:sz w:val="32"/>
          <w:szCs w:val="32"/>
        </w:rPr>
        <w:t>,</w:t>
      </w:r>
      <w:r w:rsidRPr="000535CC">
        <w:rPr>
          <w:rFonts w:ascii="標楷體" w:eastAsia="標楷體" w:hAnsi="標楷體" w:hint="eastAsia"/>
          <w:bCs/>
          <w:sz w:val="32"/>
          <w:szCs w:val="32"/>
        </w:rPr>
        <w:t>8</w:t>
      </w:r>
      <w:r>
        <w:rPr>
          <w:rFonts w:ascii="標楷體" w:eastAsia="標楷體" w:hAnsi="標楷體" w:hint="eastAsia"/>
          <w:bCs/>
          <w:sz w:val="32"/>
          <w:szCs w:val="32"/>
        </w:rPr>
        <w:t>00萬</w:t>
      </w:r>
      <w:r w:rsidRPr="000535CC">
        <w:rPr>
          <w:rFonts w:ascii="標楷體" w:eastAsia="標楷體" w:hAnsi="標楷體" w:hint="eastAsia"/>
          <w:bCs/>
          <w:sz w:val="32"/>
          <w:szCs w:val="32"/>
        </w:rPr>
        <w:t>元)共投入33</w:t>
      </w:r>
      <w:r>
        <w:rPr>
          <w:rFonts w:ascii="標楷體" w:eastAsia="標楷體" w:hAnsi="標楷體" w:hint="eastAsia"/>
          <w:bCs/>
          <w:sz w:val="32"/>
          <w:szCs w:val="32"/>
        </w:rPr>
        <w:t>億</w:t>
      </w:r>
      <w:r w:rsidRPr="000535CC">
        <w:rPr>
          <w:rFonts w:ascii="標楷體" w:eastAsia="標楷體" w:hAnsi="標楷體" w:hint="eastAsia"/>
          <w:bCs/>
          <w:sz w:val="32"/>
          <w:szCs w:val="32"/>
        </w:rPr>
        <w:t>0</w:t>
      </w:r>
      <w:r>
        <w:rPr>
          <w:rFonts w:ascii="標楷體" w:eastAsia="標楷體" w:hAnsi="標楷體"/>
          <w:bCs/>
          <w:sz w:val="32"/>
          <w:szCs w:val="32"/>
        </w:rPr>
        <w:t>,</w:t>
      </w:r>
      <w:r w:rsidRPr="000535CC">
        <w:rPr>
          <w:rFonts w:ascii="標楷體" w:eastAsia="標楷體" w:hAnsi="標楷體" w:hint="eastAsia"/>
          <w:bCs/>
          <w:sz w:val="32"/>
          <w:szCs w:val="32"/>
        </w:rPr>
        <w:t>2</w:t>
      </w:r>
      <w:r>
        <w:rPr>
          <w:rFonts w:ascii="標楷體" w:eastAsia="標楷體" w:hAnsi="標楷體"/>
          <w:bCs/>
          <w:sz w:val="32"/>
          <w:szCs w:val="32"/>
        </w:rPr>
        <w:t>00</w:t>
      </w:r>
      <w:r>
        <w:rPr>
          <w:rFonts w:ascii="標楷體" w:eastAsia="標楷體" w:hAnsi="標楷體" w:hint="eastAsia"/>
          <w:bCs/>
          <w:sz w:val="32"/>
          <w:szCs w:val="32"/>
        </w:rPr>
        <w:t>萬</w:t>
      </w:r>
      <w:r w:rsidRPr="000535CC">
        <w:rPr>
          <w:rFonts w:ascii="標楷體" w:eastAsia="標楷體" w:hAnsi="標楷體" w:hint="eastAsia"/>
          <w:bCs/>
          <w:sz w:val="32"/>
          <w:szCs w:val="32"/>
        </w:rPr>
        <w:t>元，補(捐)助低軌通訊衛星之關鍵技術研發。惟截至111年7月底止，國科會申請及補助家數僅2家，實際補(捐)助金額9</w:t>
      </w:r>
      <w:r>
        <w:rPr>
          <w:rFonts w:ascii="標楷體" w:eastAsia="標楷體" w:hAnsi="標楷體" w:hint="eastAsia"/>
          <w:bCs/>
          <w:sz w:val="32"/>
          <w:szCs w:val="32"/>
        </w:rPr>
        <w:t>億</w:t>
      </w:r>
      <w:r w:rsidRPr="000535CC">
        <w:rPr>
          <w:rFonts w:ascii="標楷體" w:eastAsia="標楷體" w:hAnsi="標楷體" w:hint="eastAsia"/>
          <w:bCs/>
          <w:sz w:val="32"/>
          <w:szCs w:val="32"/>
        </w:rPr>
        <w:t>7</w:t>
      </w:r>
      <w:r>
        <w:rPr>
          <w:rFonts w:ascii="標楷體" w:eastAsia="標楷體" w:hAnsi="標楷體"/>
          <w:bCs/>
          <w:sz w:val="32"/>
          <w:szCs w:val="32"/>
        </w:rPr>
        <w:t>,</w:t>
      </w:r>
      <w:r w:rsidRPr="000535CC">
        <w:rPr>
          <w:rFonts w:ascii="標楷體" w:eastAsia="標楷體" w:hAnsi="標楷體" w:hint="eastAsia"/>
          <w:bCs/>
          <w:sz w:val="32"/>
          <w:szCs w:val="32"/>
        </w:rPr>
        <w:t>4</w:t>
      </w:r>
      <w:r>
        <w:rPr>
          <w:rFonts w:ascii="標楷體" w:eastAsia="標楷體" w:hAnsi="標楷體"/>
          <w:bCs/>
          <w:sz w:val="32"/>
          <w:szCs w:val="32"/>
        </w:rPr>
        <w:t>00</w:t>
      </w:r>
      <w:r>
        <w:rPr>
          <w:rFonts w:ascii="標楷體" w:eastAsia="標楷體" w:hAnsi="標楷體" w:hint="eastAsia"/>
          <w:bCs/>
          <w:sz w:val="32"/>
          <w:szCs w:val="32"/>
        </w:rPr>
        <w:t>萬</w:t>
      </w:r>
      <w:r w:rsidRPr="000535CC">
        <w:rPr>
          <w:rFonts w:ascii="標楷體" w:eastAsia="標楷體" w:hAnsi="標楷體" w:hint="eastAsia"/>
          <w:bCs/>
          <w:sz w:val="32"/>
          <w:szCs w:val="32"/>
        </w:rPr>
        <w:t>元，且未成功推動技術轉移合作，相較經濟部之辦理情形，國科會推動成效亟待改善。</w:t>
      </w:r>
      <w:r>
        <w:rPr>
          <w:rFonts w:ascii="標楷體" w:eastAsia="標楷體" w:hAnsi="標楷體" w:hint="eastAsia"/>
          <w:bCs/>
          <w:sz w:val="32"/>
          <w:szCs w:val="32"/>
        </w:rPr>
        <w:t>國家科學及技術委員會</w:t>
      </w:r>
      <w:r w:rsidRPr="000535CC">
        <w:rPr>
          <w:rFonts w:ascii="標楷體" w:eastAsia="標楷體" w:hAnsi="標楷體" w:hint="eastAsia"/>
          <w:bCs/>
          <w:sz w:val="32"/>
          <w:szCs w:val="32"/>
        </w:rPr>
        <w:t>應積極推動太空科技補(捐)助經費效益擴散</w:t>
      </w:r>
      <w:r>
        <w:rPr>
          <w:rFonts w:ascii="標楷體" w:eastAsia="標楷體" w:hAnsi="標楷體" w:hint="eastAsia"/>
          <w:bCs/>
          <w:sz w:val="32"/>
          <w:szCs w:val="32"/>
        </w:rPr>
        <w:t>、</w:t>
      </w:r>
      <w:r w:rsidRPr="000535CC">
        <w:rPr>
          <w:rFonts w:ascii="標楷體" w:eastAsia="標楷體" w:hAnsi="標楷體" w:hint="eastAsia"/>
          <w:bCs/>
          <w:sz w:val="32"/>
          <w:szCs w:val="32"/>
        </w:rPr>
        <w:t>擴大研發成果落實運用，</w:t>
      </w:r>
      <w:r>
        <w:rPr>
          <w:rFonts w:ascii="標楷體" w:eastAsia="標楷體" w:hAnsi="標楷體" w:hint="eastAsia"/>
          <w:bCs/>
          <w:sz w:val="32"/>
          <w:szCs w:val="32"/>
        </w:rPr>
        <w:t>並</w:t>
      </w:r>
      <w:r w:rsidRPr="000535CC">
        <w:rPr>
          <w:rFonts w:ascii="標楷體" w:eastAsia="標楷體" w:hAnsi="標楷體" w:hint="eastAsia"/>
          <w:bCs/>
          <w:sz w:val="32"/>
          <w:szCs w:val="32"/>
        </w:rPr>
        <w:t>於</w:t>
      </w:r>
      <w:r>
        <w:rPr>
          <w:rFonts w:ascii="標楷體" w:eastAsia="標楷體" w:hAnsi="標楷體" w:hint="eastAsia"/>
          <w:bCs/>
          <w:sz w:val="32"/>
          <w:szCs w:val="32"/>
        </w:rPr>
        <w:t>3</w:t>
      </w:r>
      <w:r w:rsidRPr="000535CC">
        <w:rPr>
          <w:rFonts w:ascii="標楷體" w:eastAsia="標楷體" w:hAnsi="標楷體" w:hint="eastAsia"/>
          <w:bCs/>
          <w:sz w:val="32"/>
          <w:szCs w:val="32"/>
        </w:rPr>
        <w:t>個月內向立法院教育及文化委員會提出書面報告。</w:t>
      </w:r>
      <w:r>
        <w:rPr>
          <w:rFonts w:ascii="標楷體" w:eastAsia="標楷體" w:hAnsi="標楷體" w:hint="eastAsia"/>
          <w:bCs/>
          <w:sz w:val="32"/>
          <w:szCs w:val="32"/>
        </w:rPr>
        <w:t>35</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9"/>
        <w:gridCol w:w="787"/>
        <w:gridCol w:w="992"/>
        <w:gridCol w:w="1160"/>
        <w:gridCol w:w="1180"/>
        <w:gridCol w:w="779"/>
        <w:gridCol w:w="981"/>
        <w:gridCol w:w="1145"/>
        <w:gridCol w:w="815"/>
      </w:tblGrid>
      <w:tr w:rsidR="00A52DD2" w:rsidRPr="000535CC" w:rsidTr="00A563FA">
        <w:trPr>
          <w:jc w:val="right"/>
        </w:trPr>
        <w:tc>
          <w:tcPr>
            <w:tcW w:w="979" w:type="dxa"/>
            <w:shd w:val="clear" w:color="auto" w:fill="auto"/>
            <w:vAlign w:val="center"/>
          </w:tcPr>
          <w:p w:rsidR="00A52DD2" w:rsidRPr="000535CC" w:rsidRDefault="00A52DD2" w:rsidP="00F035E0">
            <w:pPr>
              <w:adjustRightInd w:val="0"/>
              <w:snapToGrid w:val="0"/>
              <w:spacing w:line="280" w:lineRule="exact"/>
              <w:jc w:val="center"/>
              <w:rPr>
                <w:rFonts w:ascii="標楷體" w:eastAsia="標楷體" w:hAnsi="標楷體"/>
                <w:szCs w:val="28"/>
              </w:rPr>
            </w:pPr>
          </w:p>
        </w:tc>
        <w:tc>
          <w:tcPr>
            <w:tcW w:w="787" w:type="dxa"/>
            <w:shd w:val="clear" w:color="auto" w:fill="auto"/>
            <w:vAlign w:val="center"/>
          </w:tcPr>
          <w:p w:rsidR="00A52DD2" w:rsidRPr="000535CC" w:rsidRDefault="00A52DD2" w:rsidP="00F035E0">
            <w:pPr>
              <w:adjustRightInd w:val="0"/>
              <w:snapToGrid w:val="0"/>
              <w:spacing w:line="280" w:lineRule="exact"/>
              <w:jc w:val="center"/>
              <w:rPr>
                <w:rFonts w:ascii="標楷體" w:eastAsia="標楷體" w:hAnsi="標楷體"/>
                <w:szCs w:val="28"/>
              </w:rPr>
            </w:pPr>
            <w:r w:rsidRPr="000535CC">
              <w:rPr>
                <w:rFonts w:ascii="標楷體" w:eastAsia="標楷體" w:hAnsi="標楷體"/>
                <w:szCs w:val="28"/>
              </w:rPr>
              <w:t>申請家數</w:t>
            </w:r>
          </w:p>
        </w:tc>
        <w:tc>
          <w:tcPr>
            <w:tcW w:w="992" w:type="dxa"/>
            <w:shd w:val="clear" w:color="auto" w:fill="auto"/>
            <w:vAlign w:val="center"/>
          </w:tcPr>
          <w:p w:rsidR="00A52DD2" w:rsidRPr="000535CC" w:rsidRDefault="00A52DD2" w:rsidP="00F035E0">
            <w:pPr>
              <w:adjustRightInd w:val="0"/>
              <w:snapToGrid w:val="0"/>
              <w:spacing w:line="280" w:lineRule="exact"/>
              <w:jc w:val="center"/>
              <w:rPr>
                <w:rFonts w:ascii="標楷體" w:eastAsia="標楷體" w:hAnsi="標楷體"/>
                <w:szCs w:val="28"/>
              </w:rPr>
            </w:pPr>
            <w:r w:rsidRPr="000535CC">
              <w:rPr>
                <w:rFonts w:ascii="標楷體" w:eastAsia="標楷體" w:hAnsi="標楷體"/>
                <w:szCs w:val="28"/>
              </w:rPr>
              <w:t>補(捐)助家數</w:t>
            </w:r>
          </w:p>
        </w:tc>
        <w:tc>
          <w:tcPr>
            <w:tcW w:w="1160" w:type="dxa"/>
            <w:shd w:val="clear" w:color="auto" w:fill="auto"/>
            <w:vAlign w:val="center"/>
          </w:tcPr>
          <w:p w:rsidR="00A52DD2" w:rsidRPr="000535CC" w:rsidRDefault="00A52DD2" w:rsidP="00F035E0">
            <w:pPr>
              <w:adjustRightInd w:val="0"/>
              <w:snapToGrid w:val="0"/>
              <w:spacing w:line="280" w:lineRule="exact"/>
              <w:jc w:val="center"/>
              <w:rPr>
                <w:rFonts w:ascii="標楷體" w:eastAsia="標楷體" w:hAnsi="標楷體"/>
                <w:szCs w:val="28"/>
              </w:rPr>
            </w:pPr>
            <w:r w:rsidRPr="000535CC">
              <w:rPr>
                <w:rFonts w:ascii="標楷體" w:eastAsia="標楷體" w:hAnsi="標楷體" w:hint="eastAsia"/>
                <w:szCs w:val="28"/>
              </w:rPr>
              <w:t>申請金額</w:t>
            </w:r>
          </w:p>
        </w:tc>
        <w:tc>
          <w:tcPr>
            <w:tcW w:w="1180" w:type="dxa"/>
            <w:shd w:val="clear" w:color="auto" w:fill="auto"/>
            <w:vAlign w:val="center"/>
          </w:tcPr>
          <w:p w:rsidR="00A52DD2" w:rsidRPr="000535CC" w:rsidRDefault="00A52DD2" w:rsidP="00F035E0">
            <w:pPr>
              <w:adjustRightInd w:val="0"/>
              <w:snapToGrid w:val="0"/>
              <w:spacing w:line="280" w:lineRule="exact"/>
              <w:jc w:val="center"/>
              <w:rPr>
                <w:rFonts w:ascii="標楷體" w:eastAsia="標楷體" w:hAnsi="標楷體"/>
                <w:szCs w:val="28"/>
              </w:rPr>
            </w:pPr>
            <w:r w:rsidRPr="000535CC">
              <w:rPr>
                <w:rFonts w:ascii="標楷體" w:eastAsia="標楷體" w:hAnsi="標楷體" w:hint="eastAsia"/>
                <w:szCs w:val="28"/>
              </w:rPr>
              <w:t>補(捐)助金額</w:t>
            </w:r>
          </w:p>
        </w:tc>
        <w:tc>
          <w:tcPr>
            <w:tcW w:w="779" w:type="dxa"/>
            <w:shd w:val="clear" w:color="auto" w:fill="auto"/>
            <w:vAlign w:val="center"/>
          </w:tcPr>
          <w:p w:rsidR="00A52DD2" w:rsidRPr="000535CC" w:rsidRDefault="00A52DD2" w:rsidP="00F035E0">
            <w:pPr>
              <w:adjustRightInd w:val="0"/>
              <w:snapToGrid w:val="0"/>
              <w:spacing w:line="280" w:lineRule="exact"/>
              <w:jc w:val="center"/>
              <w:rPr>
                <w:rFonts w:ascii="標楷體" w:eastAsia="標楷體" w:hAnsi="標楷體"/>
                <w:szCs w:val="28"/>
              </w:rPr>
            </w:pPr>
            <w:r w:rsidRPr="000535CC">
              <w:rPr>
                <w:rFonts w:ascii="標楷體" w:eastAsia="標楷體" w:hAnsi="標楷體" w:hint="eastAsia"/>
                <w:szCs w:val="28"/>
              </w:rPr>
              <w:t>技術轉移合作件數</w:t>
            </w:r>
          </w:p>
        </w:tc>
        <w:tc>
          <w:tcPr>
            <w:tcW w:w="981" w:type="dxa"/>
            <w:shd w:val="clear" w:color="auto" w:fill="auto"/>
            <w:vAlign w:val="center"/>
          </w:tcPr>
          <w:p w:rsidR="00A52DD2" w:rsidRPr="000535CC" w:rsidRDefault="00A52DD2" w:rsidP="00F035E0">
            <w:pPr>
              <w:adjustRightInd w:val="0"/>
              <w:snapToGrid w:val="0"/>
              <w:spacing w:line="280" w:lineRule="exact"/>
              <w:jc w:val="center"/>
              <w:rPr>
                <w:rFonts w:ascii="標楷體" w:eastAsia="標楷體" w:hAnsi="標楷體"/>
                <w:szCs w:val="28"/>
              </w:rPr>
            </w:pPr>
            <w:r w:rsidRPr="000535CC">
              <w:rPr>
                <w:rFonts w:ascii="標楷體" w:eastAsia="標楷體" w:hAnsi="標楷體"/>
                <w:szCs w:val="28"/>
              </w:rPr>
              <w:t>技術計專利移轉總收入</w:t>
            </w:r>
          </w:p>
        </w:tc>
        <w:tc>
          <w:tcPr>
            <w:tcW w:w="1145" w:type="dxa"/>
            <w:shd w:val="clear" w:color="auto" w:fill="auto"/>
            <w:vAlign w:val="center"/>
          </w:tcPr>
          <w:p w:rsidR="00A52DD2" w:rsidRPr="000535CC" w:rsidRDefault="00A52DD2" w:rsidP="00F035E0">
            <w:pPr>
              <w:adjustRightInd w:val="0"/>
              <w:snapToGrid w:val="0"/>
              <w:spacing w:line="280" w:lineRule="exact"/>
              <w:jc w:val="center"/>
              <w:rPr>
                <w:rFonts w:ascii="標楷體" w:eastAsia="標楷體" w:hAnsi="標楷體"/>
                <w:szCs w:val="28"/>
              </w:rPr>
            </w:pPr>
            <w:r w:rsidRPr="000535CC">
              <w:rPr>
                <w:rFonts w:ascii="標楷體" w:eastAsia="標楷體" w:hAnsi="標楷體"/>
                <w:szCs w:val="28"/>
              </w:rPr>
              <w:t>促進國內外廠商投資</w:t>
            </w:r>
          </w:p>
        </w:tc>
        <w:tc>
          <w:tcPr>
            <w:tcW w:w="815" w:type="dxa"/>
            <w:shd w:val="clear" w:color="auto" w:fill="auto"/>
            <w:vAlign w:val="center"/>
          </w:tcPr>
          <w:p w:rsidR="00A52DD2" w:rsidRPr="000535CC" w:rsidRDefault="00A52DD2" w:rsidP="00F035E0">
            <w:pPr>
              <w:adjustRightInd w:val="0"/>
              <w:snapToGrid w:val="0"/>
              <w:spacing w:line="280" w:lineRule="exact"/>
              <w:jc w:val="center"/>
              <w:rPr>
                <w:rFonts w:ascii="標楷體" w:eastAsia="標楷體" w:hAnsi="標楷體"/>
                <w:szCs w:val="28"/>
              </w:rPr>
            </w:pPr>
            <w:r w:rsidRPr="000535CC">
              <w:rPr>
                <w:rFonts w:ascii="標楷體" w:eastAsia="標楷體" w:hAnsi="標楷體" w:hint="eastAsia"/>
                <w:szCs w:val="28"/>
              </w:rPr>
              <w:t>衍生產值</w:t>
            </w:r>
          </w:p>
        </w:tc>
      </w:tr>
      <w:tr w:rsidR="00A52DD2" w:rsidRPr="000535CC" w:rsidTr="00A563FA">
        <w:trPr>
          <w:jc w:val="right"/>
        </w:trPr>
        <w:tc>
          <w:tcPr>
            <w:tcW w:w="979" w:type="dxa"/>
            <w:shd w:val="clear" w:color="auto" w:fill="auto"/>
            <w:vAlign w:val="center"/>
          </w:tcPr>
          <w:p w:rsidR="00A52DD2" w:rsidRPr="000535CC" w:rsidRDefault="00A52DD2" w:rsidP="00F035E0">
            <w:pPr>
              <w:adjustRightInd w:val="0"/>
              <w:snapToGrid w:val="0"/>
              <w:jc w:val="center"/>
              <w:rPr>
                <w:rFonts w:ascii="標楷體" w:eastAsia="標楷體" w:hAnsi="標楷體"/>
                <w:szCs w:val="28"/>
              </w:rPr>
            </w:pPr>
            <w:r w:rsidRPr="000535CC">
              <w:rPr>
                <w:rFonts w:ascii="標楷體" w:eastAsia="標楷體" w:hAnsi="標楷體" w:hint="eastAsia"/>
                <w:szCs w:val="28"/>
              </w:rPr>
              <w:t>國科會</w:t>
            </w:r>
          </w:p>
        </w:tc>
        <w:tc>
          <w:tcPr>
            <w:tcW w:w="787" w:type="dxa"/>
            <w:shd w:val="clear" w:color="auto" w:fill="auto"/>
            <w:vAlign w:val="center"/>
          </w:tcPr>
          <w:p w:rsidR="00A52DD2" w:rsidRPr="000535CC" w:rsidRDefault="00A52DD2" w:rsidP="00F035E0">
            <w:pPr>
              <w:adjustRightInd w:val="0"/>
              <w:snapToGrid w:val="0"/>
              <w:jc w:val="center"/>
              <w:rPr>
                <w:rFonts w:ascii="標楷體" w:eastAsia="標楷體" w:hAnsi="標楷體"/>
                <w:szCs w:val="28"/>
              </w:rPr>
            </w:pPr>
            <w:r w:rsidRPr="000535CC">
              <w:rPr>
                <w:rFonts w:ascii="標楷體" w:eastAsia="標楷體" w:hAnsi="標楷體" w:hint="eastAsia"/>
                <w:szCs w:val="28"/>
              </w:rPr>
              <w:t>2</w:t>
            </w:r>
          </w:p>
        </w:tc>
        <w:tc>
          <w:tcPr>
            <w:tcW w:w="992" w:type="dxa"/>
            <w:shd w:val="clear" w:color="auto" w:fill="auto"/>
            <w:vAlign w:val="center"/>
          </w:tcPr>
          <w:p w:rsidR="00A52DD2" w:rsidRPr="000535CC" w:rsidRDefault="00A52DD2" w:rsidP="00F035E0">
            <w:pPr>
              <w:adjustRightInd w:val="0"/>
              <w:snapToGrid w:val="0"/>
              <w:jc w:val="center"/>
              <w:rPr>
                <w:rFonts w:ascii="標楷體" w:eastAsia="標楷體" w:hAnsi="標楷體"/>
                <w:szCs w:val="28"/>
              </w:rPr>
            </w:pPr>
            <w:r w:rsidRPr="000535CC">
              <w:rPr>
                <w:rFonts w:ascii="標楷體" w:eastAsia="標楷體" w:hAnsi="標楷體" w:hint="eastAsia"/>
                <w:szCs w:val="28"/>
              </w:rPr>
              <w:t>2</w:t>
            </w:r>
          </w:p>
        </w:tc>
        <w:tc>
          <w:tcPr>
            <w:tcW w:w="1160" w:type="dxa"/>
            <w:shd w:val="clear" w:color="auto" w:fill="auto"/>
            <w:vAlign w:val="center"/>
          </w:tcPr>
          <w:p w:rsidR="00A52DD2" w:rsidRPr="000535CC" w:rsidRDefault="00A52DD2" w:rsidP="00F035E0">
            <w:pPr>
              <w:adjustRightInd w:val="0"/>
              <w:snapToGrid w:val="0"/>
              <w:jc w:val="center"/>
              <w:rPr>
                <w:rFonts w:ascii="標楷體" w:eastAsia="標楷體" w:hAnsi="標楷體"/>
                <w:szCs w:val="28"/>
              </w:rPr>
            </w:pPr>
            <w:r w:rsidRPr="000535CC">
              <w:rPr>
                <w:rFonts w:ascii="標楷體" w:eastAsia="標楷體" w:hAnsi="標楷體" w:hint="eastAsia"/>
                <w:szCs w:val="28"/>
              </w:rPr>
              <w:t>9億7</w:t>
            </w:r>
            <w:r>
              <w:rPr>
                <w:rFonts w:ascii="標楷體" w:eastAsia="標楷體" w:hAnsi="標楷體"/>
                <w:szCs w:val="28"/>
              </w:rPr>
              <w:t>,</w:t>
            </w:r>
            <w:r w:rsidRPr="000535CC">
              <w:rPr>
                <w:rFonts w:ascii="標楷體" w:eastAsia="標楷體" w:hAnsi="標楷體" w:hint="eastAsia"/>
                <w:szCs w:val="28"/>
              </w:rPr>
              <w:t>400萬</w:t>
            </w:r>
          </w:p>
        </w:tc>
        <w:tc>
          <w:tcPr>
            <w:tcW w:w="1180" w:type="dxa"/>
            <w:shd w:val="clear" w:color="auto" w:fill="auto"/>
            <w:vAlign w:val="center"/>
          </w:tcPr>
          <w:p w:rsidR="00A52DD2" w:rsidRPr="000535CC" w:rsidRDefault="00A52DD2" w:rsidP="00F035E0">
            <w:pPr>
              <w:adjustRightInd w:val="0"/>
              <w:snapToGrid w:val="0"/>
              <w:jc w:val="center"/>
              <w:rPr>
                <w:rFonts w:ascii="標楷體" w:eastAsia="標楷體" w:hAnsi="標楷體"/>
                <w:szCs w:val="28"/>
              </w:rPr>
            </w:pPr>
            <w:r w:rsidRPr="000535CC">
              <w:rPr>
                <w:rFonts w:ascii="標楷體" w:eastAsia="標楷體" w:hAnsi="標楷體" w:hint="eastAsia"/>
                <w:szCs w:val="28"/>
              </w:rPr>
              <w:t>9億7</w:t>
            </w:r>
            <w:r>
              <w:rPr>
                <w:rFonts w:ascii="標楷體" w:eastAsia="標楷體" w:hAnsi="標楷體"/>
                <w:szCs w:val="28"/>
              </w:rPr>
              <w:t>,</w:t>
            </w:r>
            <w:r w:rsidRPr="000535CC">
              <w:rPr>
                <w:rFonts w:ascii="標楷體" w:eastAsia="標楷體" w:hAnsi="標楷體" w:hint="eastAsia"/>
                <w:szCs w:val="28"/>
              </w:rPr>
              <w:t>400萬</w:t>
            </w:r>
          </w:p>
        </w:tc>
        <w:tc>
          <w:tcPr>
            <w:tcW w:w="779" w:type="dxa"/>
            <w:shd w:val="clear" w:color="auto" w:fill="auto"/>
            <w:vAlign w:val="center"/>
          </w:tcPr>
          <w:p w:rsidR="00A52DD2" w:rsidRPr="000535CC" w:rsidRDefault="00A52DD2" w:rsidP="00F035E0">
            <w:pPr>
              <w:adjustRightInd w:val="0"/>
              <w:snapToGrid w:val="0"/>
              <w:jc w:val="center"/>
              <w:rPr>
                <w:rFonts w:ascii="標楷體" w:eastAsia="標楷體" w:hAnsi="標楷體"/>
                <w:szCs w:val="28"/>
              </w:rPr>
            </w:pPr>
            <w:r w:rsidRPr="000535CC">
              <w:rPr>
                <w:rFonts w:ascii="標楷體" w:eastAsia="標楷體" w:hAnsi="標楷體" w:hint="eastAsia"/>
                <w:szCs w:val="28"/>
              </w:rPr>
              <w:t>0</w:t>
            </w:r>
          </w:p>
        </w:tc>
        <w:tc>
          <w:tcPr>
            <w:tcW w:w="981" w:type="dxa"/>
            <w:shd w:val="clear" w:color="auto" w:fill="auto"/>
            <w:vAlign w:val="center"/>
          </w:tcPr>
          <w:p w:rsidR="00A52DD2" w:rsidRPr="000535CC" w:rsidRDefault="00A52DD2" w:rsidP="00F035E0">
            <w:pPr>
              <w:adjustRightInd w:val="0"/>
              <w:snapToGrid w:val="0"/>
              <w:jc w:val="center"/>
              <w:rPr>
                <w:rFonts w:ascii="標楷體" w:eastAsia="標楷體" w:hAnsi="標楷體"/>
                <w:szCs w:val="28"/>
              </w:rPr>
            </w:pPr>
            <w:r w:rsidRPr="000535CC">
              <w:rPr>
                <w:rFonts w:ascii="標楷體" w:eastAsia="標楷體" w:hAnsi="標楷體" w:hint="eastAsia"/>
                <w:szCs w:val="28"/>
              </w:rPr>
              <w:t>0</w:t>
            </w:r>
          </w:p>
        </w:tc>
        <w:tc>
          <w:tcPr>
            <w:tcW w:w="1145" w:type="dxa"/>
            <w:shd w:val="clear" w:color="auto" w:fill="auto"/>
            <w:vAlign w:val="center"/>
          </w:tcPr>
          <w:p w:rsidR="00A52DD2" w:rsidRPr="000535CC" w:rsidRDefault="00A52DD2" w:rsidP="00F035E0">
            <w:pPr>
              <w:adjustRightInd w:val="0"/>
              <w:snapToGrid w:val="0"/>
              <w:jc w:val="center"/>
              <w:rPr>
                <w:rFonts w:ascii="標楷體" w:eastAsia="標楷體" w:hAnsi="標楷體"/>
                <w:szCs w:val="28"/>
              </w:rPr>
            </w:pPr>
            <w:r w:rsidRPr="000535CC">
              <w:rPr>
                <w:rFonts w:ascii="標楷體" w:eastAsia="標楷體" w:hAnsi="標楷體" w:hint="eastAsia"/>
                <w:szCs w:val="28"/>
              </w:rPr>
              <w:t>0</w:t>
            </w:r>
          </w:p>
        </w:tc>
        <w:tc>
          <w:tcPr>
            <w:tcW w:w="815" w:type="dxa"/>
            <w:shd w:val="clear" w:color="auto" w:fill="auto"/>
            <w:vAlign w:val="center"/>
          </w:tcPr>
          <w:p w:rsidR="00A52DD2" w:rsidRPr="000535CC" w:rsidRDefault="00A52DD2" w:rsidP="00F035E0">
            <w:pPr>
              <w:adjustRightInd w:val="0"/>
              <w:snapToGrid w:val="0"/>
              <w:jc w:val="center"/>
              <w:rPr>
                <w:rFonts w:ascii="標楷體" w:eastAsia="標楷體" w:hAnsi="標楷體"/>
                <w:szCs w:val="28"/>
              </w:rPr>
            </w:pPr>
            <w:r w:rsidRPr="000535CC">
              <w:rPr>
                <w:rFonts w:ascii="標楷體" w:eastAsia="標楷體" w:hAnsi="標楷體" w:hint="eastAsia"/>
                <w:szCs w:val="28"/>
              </w:rPr>
              <w:t>0</w:t>
            </w:r>
          </w:p>
        </w:tc>
      </w:tr>
      <w:tr w:rsidR="00A52DD2" w:rsidRPr="000535CC" w:rsidTr="00A563FA">
        <w:trPr>
          <w:jc w:val="right"/>
        </w:trPr>
        <w:tc>
          <w:tcPr>
            <w:tcW w:w="979" w:type="dxa"/>
            <w:shd w:val="clear" w:color="auto" w:fill="auto"/>
            <w:vAlign w:val="center"/>
          </w:tcPr>
          <w:p w:rsidR="00A52DD2" w:rsidRPr="000535CC" w:rsidRDefault="00A52DD2" w:rsidP="00F035E0">
            <w:pPr>
              <w:adjustRightInd w:val="0"/>
              <w:snapToGrid w:val="0"/>
              <w:jc w:val="center"/>
              <w:rPr>
                <w:rFonts w:ascii="標楷體" w:eastAsia="標楷體" w:hAnsi="標楷體"/>
                <w:szCs w:val="28"/>
              </w:rPr>
            </w:pPr>
            <w:r w:rsidRPr="000535CC">
              <w:rPr>
                <w:rFonts w:ascii="標楷體" w:eastAsia="標楷體" w:hAnsi="標楷體" w:hint="eastAsia"/>
                <w:szCs w:val="28"/>
              </w:rPr>
              <w:t>經濟部</w:t>
            </w:r>
          </w:p>
        </w:tc>
        <w:tc>
          <w:tcPr>
            <w:tcW w:w="787" w:type="dxa"/>
            <w:shd w:val="clear" w:color="auto" w:fill="auto"/>
            <w:vAlign w:val="center"/>
          </w:tcPr>
          <w:p w:rsidR="00A52DD2" w:rsidRPr="000535CC" w:rsidRDefault="00A52DD2" w:rsidP="00F035E0">
            <w:pPr>
              <w:adjustRightInd w:val="0"/>
              <w:snapToGrid w:val="0"/>
              <w:jc w:val="center"/>
              <w:rPr>
                <w:rFonts w:ascii="標楷體" w:eastAsia="標楷體" w:hAnsi="標楷體"/>
                <w:szCs w:val="28"/>
              </w:rPr>
            </w:pPr>
            <w:r w:rsidRPr="000535CC">
              <w:rPr>
                <w:rFonts w:ascii="標楷體" w:eastAsia="標楷體" w:hAnsi="標楷體" w:hint="eastAsia"/>
                <w:szCs w:val="28"/>
              </w:rPr>
              <w:t>29</w:t>
            </w:r>
          </w:p>
        </w:tc>
        <w:tc>
          <w:tcPr>
            <w:tcW w:w="992" w:type="dxa"/>
            <w:shd w:val="clear" w:color="auto" w:fill="auto"/>
            <w:vAlign w:val="center"/>
          </w:tcPr>
          <w:p w:rsidR="00A52DD2" w:rsidRPr="000535CC" w:rsidRDefault="00A52DD2" w:rsidP="00F035E0">
            <w:pPr>
              <w:adjustRightInd w:val="0"/>
              <w:snapToGrid w:val="0"/>
              <w:jc w:val="center"/>
              <w:rPr>
                <w:rFonts w:ascii="標楷體" w:eastAsia="標楷體" w:hAnsi="標楷體"/>
                <w:szCs w:val="28"/>
              </w:rPr>
            </w:pPr>
            <w:r w:rsidRPr="000535CC">
              <w:rPr>
                <w:rFonts w:ascii="標楷體" w:eastAsia="標楷體" w:hAnsi="標楷體" w:hint="eastAsia"/>
                <w:szCs w:val="28"/>
              </w:rPr>
              <w:t>19</w:t>
            </w:r>
          </w:p>
        </w:tc>
        <w:tc>
          <w:tcPr>
            <w:tcW w:w="1160" w:type="dxa"/>
            <w:shd w:val="clear" w:color="auto" w:fill="auto"/>
            <w:vAlign w:val="center"/>
          </w:tcPr>
          <w:p w:rsidR="00A52DD2" w:rsidRPr="000535CC" w:rsidRDefault="00A52DD2" w:rsidP="00F035E0">
            <w:pPr>
              <w:adjustRightInd w:val="0"/>
              <w:snapToGrid w:val="0"/>
              <w:jc w:val="center"/>
              <w:rPr>
                <w:rFonts w:ascii="標楷體" w:eastAsia="標楷體" w:hAnsi="標楷體"/>
                <w:szCs w:val="28"/>
              </w:rPr>
            </w:pPr>
            <w:r w:rsidRPr="000535CC">
              <w:rPr>
                <w:rFonts w:ascii="標楷體" w:eastAsia="標楷體" w:hAnsi="標楷體" w:hint="eastAsia"/>
                <w:szCs w:val="28"/>
              </w:rPr>
              <w:t>3億1</w:t>
            </w:r>
            <w:r>
              <w:rPr>
                <w:rFonts w:ascii="標楷體" w:eastAsia="標楷體" w:hAnsi="標楷體"/>
                <w:szCs w:val="28"/>
              </w:rPr>
              <w:t>,</w:t>
            </w:r>
            <w:r w:rsidRPr="000535CC">
              <w:rPr>
                <w:rFonts w:ascii="標楷體" w:eastAsia="標楷體" w:hAnsi="標楷體" w:hint="eastAsia"/>
                <w:szCs w:val="28"/>
              </w:rPr>
              <w:t>400萬</w:t>
            </w:r>
          </w:p>
        </w:tc>
        <w:tc>
          <w:tcPr>
            <w:tcW w:w="1180" w:type="dxa"/>
            <w:shd w:val="clear" w:color="auto" w:fill="auto"/>
            <w:vAlign w:val="center"/>
          </w:tcPr>
          <w:p w:rsidR="00A52DD2" w:rsidRPr="000535CC" w:rsidRDefault="00A52DD2" w:rsidP="00F035E0">
            <w:pPr>
              <w:adjustRightInd w:val="0"/>
              <w:snapToGrid w:val="0"/>
              <w:jc w:val="center"/>
              <w:rPr>
                <w:rFonts w:ascii="標楷體" w:eastAsia="標楷體" w:hAnsi="標楷體"/>
                <w:szCs w:val="28"/>
              </w:rPr>
            </w:pPr>
            <w:r w:rsidRPr="000535CC">
              <w:rPr>
                <w:rFonts w:ascii="標楷體" w:eastAsia="標楷體" w:hAnsi="標楷體" w:hint="eastAsia"/>
                <w:szCs w:val="28"/>
              </w:rPr>
              <w:t>1億3</w:t>
            </w:r>
            <w:r>
              <w:rPr>
                <w:rFonts w:ascii="標楷體" w:eastAsia="標楷體" w:hAnsi="標楷體"/>
                <w:szCs w:val="28"/>
              </w:rPr>
              <w:t>,</w:t>
            </w:r>
            <w:r w:rsidRPr="000535CC">
              <w:rPr>
                <w:rFonts w:ascii="標楷體" w:eastAsia="標楷體" w:hAnsi="標楷體" w:hint="eastAsia"/>
                <w:szCs w:val="28"/>
              </w:rPr>
              <w:t>800萬</w:t>
            </w:r>
          </w:p>
        </w:tc>
        <w:tc>
          <w:tcPr>
            <w:tcW w:w="779" w:type="dxa"/>
            <w:shd w:val="clear" w:color="auto" w:fill="auto"/>
            <w:vAlign w:val="center"/>
          </w:tcPr>
          <w:p w:rsidR="00A52DD2" w:rsidRPr="000535CC" w:rsidRDefault="00A52DD2" w:rsidP="00F035E0">
            <w:pPr>
              <w:adjustRightInd w:val="0"/>
              <w:snapToGrid w:val="0"/>
              <w:jc w:val="center"/>
              <w:rPr>
                <w:rFonts w:ascii="標楷體" w:eastAsia="標楷體" w:hAnsi="標楷體"/>
                <w:szCs w:val="28"/>
              </w:rPr>
            </w:pPr>
            <w:r w:rsidRPr="000535CC">
              <w:rPr>
                <w:rFonts w:ascii="標楷體" w:eastAsia="標楷體" w:hAnsi="標楷體" w:hint="eastAsia"/>
                <w:szCs w:val="28"/>
              </w:rPr>
              <w:t>7</w:t>
            </w:r>
          </w:p>
        </w:tc>
        <w:tc>
          <w:tcPr>
            <w:tcW w:w="981" w:type="dxa"/>
            <w:shd w:val="clear" w:color="auto" w:fill="auto"/>
            <w:vAlign w:val="center"/>
          </w:tcPr>
          <w:p w:rsidR="00A52DD2" w:rsidRPr="000535CC" w:rsidRDefault="00A52DD2" w:rsidP="00F035E0">
            <w:pPr>
              <w:adjustRightInd w:val="0"/>
              <w:snapToGrid w:val="0"/>
              <w:jc w:val="center"/>
              <w:rPr>
                <w:rFonts w:ascii="標楷體" w:eastAsia="標楷體" w:hAnsi="標楷體"/>
                <w:szCs w:val="28"/>
              </w:rPr>
            </w:pPr>
            <w:r w:rsidRPr="000535CC">
              <w:rPr>
                <w:rFonts w:ascii="標楷體" w:eastAsia="標楷體" w:hAnsi="標楷體" w:hint="eastAsia"/>
                <w:szCs w:val="28"/>
              </w:rPr>
              <w:t>574萬5千</w:t>
            </w:r>
          </w:p>
        </w:tc>
        <w:tc>
          <w:tcPr>
            <w:tcW w:w="1145" w:type="dxa"/>
            <w:shd w:val="clear" w:color="auto" w:fill="auto"/>
            <w:vAlign w:val="center"/>
          </w:tcPr>
          <w:p w:rsidR="00A52DD2" w:rsidRPr="000535CC" w:rsidRDefault="00A52DD2" w:rsidP="00F035E0">
            <w:pPr>
              <w:adjustRightInd w:val="0"/>
              <w:snapToGrid w:val="0"/>
              <w:jc w:val="center"/>
              <w:rPr>
                <w:rFonts w:ascii="標楷體" w:eastAsia="標楷體" w:hAnsi="標楷體"/>
                <w:szCs w:val="28"/>
              </w:rPr>
            </w:pPr>
            <w:r w:rsidRPr="000535CC">
              <w:rPr>
                <w:rFonts w:ascii="標楷體" w:eastAsia="標楷體" w:hAnsi="標楷體" w:hint="eastAsia"/>
                <w:szCs w:val="28"/>
              </w:rPr>
              <w:t>25億8</w:t>
            </w:r>
            <w:r>
              <w:rPr>
                <w:rFonts w:ascii="標楷體" w:eastAsia="標楷體" w:hAnsi="標楷體"/>
                <w:szCs w:val="28"/>
              </w:rPr>
              <w:t>,</w:t>
            </w:r>
            <w:r w:rsidRPr="000535CC">
              <w:rPr>
                <w:rFonts w:ascii="標楷體" w:eastAsia="標楷體" w:hAnsi="標楷體" w:hint="eastAsia"/>
                <w:szCs w:val="28"/>
              </w:rPr>
              <w:t>900萬</w:t>
            </w:r>
          </w:p>
        </w:tc>
        <w:tc>
          <w:tcPr>
            <w:tcW w:w="815" w:type="dxa"/>
            <w:shd w:val="clear" w:color="auto" w:fill="auto"/>
            <w:vAlign w:val="center"/>
          </w:tcPr>
          <w:p w:rsidR="00A52DD2" w:rsidRPr="000535CC" w:rsidRDefault="00A52DD2" w:rsidP="00F035E0">
            <w:pPr>
              <w:adjustRightInd w:val="0"/>
              <w:snapToGrid w:val="0"/>
              <w:jc w:val="center"/>
              <w:rPr>
                <w:rFonts w:ascii="標楷體" w:eastAsia="標楷體" w:hAnsi="標楷體"/>
                <w:szCs w:val="28"/>
              </w:rPr>
            </w:pPr>
            <w:r w:rsidRPr="000535CC">
              <w:rPr>
                <w:rFonts w:ascii="標楷體" w:eastAsia="標楷體" w:hAnsi="標楷體" w:hint="eastAsia"/>
                <w:szCs w:val="28"/>
              </w:rPr>
              <w:t>227億</w:t>
            </w:r>
          </w:p>
        </w:tc>
      </w:tr>
    </w:tbl>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黃國書</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吳思瑤  何欣純</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(六十七)</w:t>
      </w:r>
      <w:r w:rsidRPr="000535CC">
        <w:rPr>
          <w:rFonts w:ascii="標楷體" w:eastAsia="標楷體" w:hAnsi="標楷體" w:hint="eastAsia"/>
          <w:bCs/>
          <w:sz w:val="32"/>
          <w:szCs w:val="32"/>
        </w:rPr>
        <w:t>為發展我國自主太空科技，</w:t>
      </w:r>
      <w:r>
        <w:rPr>
          <w:rFonts w:ascii="標楷體" w:eastAsia="標楷體" w:hAnsi="標楷體" w:hint="eastAsia"/>
          <w:bCs/>
          <w:sz w:val="32"/>
          <w:szCs w:val="32"/>
        </w:rPr>
        <w:t>行政法人</w:t>
      </w:r>
      <w:r w:rsidRPr="000535CC">
        <w:rPr>
          <w:rFonts w:ascii="標楷體" w:eastAsia="標楷體" w:hAnsi="標楷體" w:hint="eastAsia"/>
          <w:bCs/>
          <w:sz w:val="32"/>
          <w:szCs w:val="32"/>
        </w:rPr>
        <w:t>國家太空中心宣布將啟動國家級「西拉雅火箭計畫」，目標於2026年完成國產自製、自力發射、自主測試之火箭升空。然而，我國現有之旭海火箭發射場受限於規模較小，僅適合小型且短期之火箭</w:t>
      </w:r>
      <w:r w:rsidRPr="000535CC">
        <w:rPr>
          <w:rFonts w:ascii="標楷體" w:eastAsia="標楷體" w:hAnsi="標楷體" w:hint="eastAsia"/>
          <w:bCs/>
          <w:sz w:val="32"/>
          <w:szCs w:val="32"/>
        </w:rPr>
        <w:lastRenderedPageBreak/>
        <w:t>發射計畫。因此，據</w:t>
      </w:r>
      <w:r>
        <w:rPr>
          <w:rFonts w:ascii="標楷體" w:eastAsia="標楷體" w:hAnsi="標楷體" w:hint="eastAsia"/>
          <w:bCs/>
          <w:sz w:val="32"/>
          <w:szCs w:val="32"/>
        </w:rPr>
        <w:t>「</w:t>
      </w:r>
      <w:r w:rsidRPr="000535CC">
        <w:rPr>
          <w:rFonts w:ascii="標楷體" w:eastAsia="標楷體" w:hAnsi="標楷體" w:hint="eastAsia"/>
          <w:bCs/>
          <w:sz w:val="32"/>
          <w:szCs w:val="32"/>
        </w:rPr>
        <w:t>太空發展法</w:t>
      </w:r>
      <w:r>
        <w:rPr>
          <w:rFonts w:ascii="標楷體" w:eastAsia="標楷體" w:hAnsi="標楷體" w:hint="eastAsia"/>
          <w:bCs/>
          <w:sz w:val="32"/>
          <w:szCs w:val="32"/>
        </w:rPr>
        <w:t>」</w:t>
      </w:r>
      <w:r w:rsidRPr="000535CC">
        <w:rPr>
          <w:rFonts w:ascii="標楷體" w:eastAsia="標楷體" w:hAnsi="標楷體" w:hint="eastAsia"/>
          <w:bCs/>
          <w:sz w:val="32"/>
          <w:szCs w:val="32"/>
        </w:rPr>
        <w:t>第</w:t>
      </w:r>
      <w:r>
        <w:rPr>
          <w:rFonts w:ascii="標楷體" w:eastAsia="標楷體" w:hAnsi="標楷體" w:hint="eastAsia"/>
          <w:bCs/>
          <w:sz w:val="32"/>
          <w:szCs w:val="32"/>
        </w:rPr>
        <w:t>12</w:t>
      </w:r>
      <w:r w:rsidRPr="000535CC">
        <w:rPr>
          <w:rFonts w:ascii="標楷體" w:eastAsia="標楷體" w:hAnsi="標楷體" w:hint="eastAsia"/>
          <w:bCs/>
          <w:sz w:val="32"/>
          <w:szCs w:val="32"/>
        </w:rPr>
        <w:t>條規定，國</w:t>
      </w:r>
      <w:r>
        <w:rPr>
          <w:rFonts w:ascii="標楷體" w:eastAsia="標楷體" w:hAnsi="標楷體" w:hint="eastAsia"/>
          <w:bCs/>
          <w:sz w:val="32"/>
          <w:szCs w:val="32"/>
        </w:rPr>
        <w:t>家</w:t>
      </w:r>
      <w:r w:rsidRPr="000535CC">
        <w:rPr>
          <w:rFonts w:ascii="標楷體" w:eastAsia="標楷體" w:hAnsi="標楷體" w:hint="eastAsia"/>
          <w:bCs/>
          <w:sz w:val="32"/>
          <w:szCs w:val="32"/>
        </w:rPr>
        <w:t>科</w:t>
      </w:r>
      <w:r>
        <w:rPr>
          <w:rFonts w:ascii="標楷體" w:eastAsia="標楷體" w:hAnsi="標楷體" w:hint="eastAsia"/>
          <w:bCs/>
          <w:sz w:val="32"/>
          <w:szCs w:val="32"/>
        </w:rPr>
        <w:t>學及技術委員</w:t>
      </w:r>
      <w:r w:rsidRPr="000535CC">
        <w:rPr>
          <w:rFonts w:ascii="標楷體" w:eastAsia="標楷體" w:hAnsi="標楷體" w:hint="eastAsia"/>
          <w:bCs/>
          <w:sz w:val="32"/>
          <w:szCs w:val="32"/>
        </w:rPr>
        <w:t>會應設置國家發射場域，以提供適合及安全之發射場所。經查，國外火箭發射場域辦理選址、建置至完工、營運，所需時程漫長且程序繁雜，以美國太空探索科技公司南德克薩斯發射場為例，選址興建費時7年之久。</w:t>
      </w:r>
      <w:r>
        <w:rPr>
          <w:rFonts w:ascii="標楷體" w:eastAsia="標楷體" w:hAnsi="標楷體" w:hint="eastAsia"/>
          <w:bCs/>
          <w:sz w:val="32"/>
          <w:szCs w:val="32"/>
        </w:rPr>
        <w:t>鑑</w:t>
      </w:r>
      <w:r w:rsidRPr="000535CC">
        <w:rPr>
          <w:rFonts w:ascii="標楷體" w:eastAsia="標楷體" w:hAnsi="標楷體" w:hint="eastAsia"/>
          <w:bCs/>
          <w:sz w:val="32"/>
          <w:szCs w:val="32"/>
        </w:rPr>
        <w:t>於我國國家發射場域目前以東南海濱為首選，然該區域多為原住民族傳統領域，應依</w:t>
      </w:r>
      <w:r>
        <w:rPr>
          <w:rFonts w:ascii="標楷體" w:eastAsia="標楷體" w:hAnsi="標楷體" w:hint="eastAsia"/>
          <w:bCs/>
          <w:sz w:val="32"/>
          <w:szCs w:val="32"/>
        </w:rPr>
        <w:t>「</w:t>
      </w:r>
      <w:r w:rsidRPr="00A9549F">
        <w:rPr>
          <w:rFonts w:ascii="標楷體" w:eastAsia="標楷體" w:hAnsi="標楷體" w:hint="eastAsia"/>
          <w:bCs/>
          <w:sz w:val="32"/>
          <w:szCs w:val="32"/>
        </w:rPr>
        <w:t>原住民族基本法</w:t>
      </w:r>
      <w:r>
        <w:rPr>
          <w:rFonts w:ascii="標楷體" w:eastAsia="標楷體" w:hAnsi="標楷體" w:hint="eastAsia"/>
          <w:bCs/>
          <w:sz w:val="32"/>
          <w:szCs w:val="32"/>
        </w:rPr>
        <w:t>」</w:t>
      </w:r>
      <w:r w:rsidRPr="000535CC">
        <w:rPr>
          <w:rFonts w:ascii="標楷體" w:eastAsia="標楷體" w:hAnsi="標楷體" w:hint="eastAsia"/>
          <w:bCs/>
          <w:sz w:val="32"/>
          <w:szCs w:val="32"/>
        </w:rPr>
        <w:t>須召開部落會議，並須辦理環境影響評估等作業。國</w:t>
      </w:r>
      <w:r>
        <w:rPr>
          <w:rFonts w:ascii="標楷體" w:eastAsia="標楷體" w:hAnsi="標楷體" w:hint="eastAsia"/>
          <w:bCs/>
          <w:sz w:val="32"/>
          <w:szCs w:val="32"/>
        </w:rPr>
        <w:t>家</w:t>
      </w:r>
      <w:r w:rsidRPr="000535CC">
        <w:rPr>
          <w:rFonts w:ascii="標楷體" w:eastAsia="標楷體" w:hAnsi="標楷體" w:hint="eastAsia"/>
          <w:bCs/>
          <w:sz w:val="32"/>
          <w:szCs w:val="32"/>
        </w:rPr>
        <w:t>科</w:t>
      </w:r>
      <w:r>
        <w:rPr>
          <w:rFonts w:ascii="標楷體" w:eastAsia="標楷體" w:hAnsi="標楷體" w:hint="eastAsia"/>
          <w:bCs/>
          <w:sz w:val="32"/>
          <w:szCs w:val="32"/>
        </w:rPr>
        <w:t>學及技術委員</w:t>
      </w:r>
      <w:r w:rsidRPr="000535CC">
        <w:rPr>
          <w:rFonts w:ascii="標楷體" w:eastAsia="標楷體" w:hAnsi="標楷體" w:hint="eastAsia"/>
          <w:bCs/>
          <w:sz w:val="32"/>
          <w:szCs w:val="32"/>
        </w:rPr>
        <w:t>會允宜</w:t>
      </w:r>
      <w:r>
        <w:rPr>
          <w:rFonts w:ascii="標楷體" w:eastAsia="標楷體" w:hAnsi="標楷體" w:hint="eastAsia"/>
          <w:bCs/>
          <w:sz w:val="32"/>
          <w:szCs w:val="32"/>
        </w:rPr>
        <w:t>儘</w:t>
      </w:r>
      <w:r w:rsidRPr="000535CC">
        <w:rPr>
          <w:rFonts w:ascii="標楷體" w:eastAsia="標楷體" w:hAnsi="標楷體" w:hint="eastAsia"/>
          <w:bCs/>
          <w:sz w:val="32"/>
          <w:szCs w:val="32"/>
        </w:rPr>
        <w:t>速評估各項作業所需時程，協同</w:t>
      </w:r>
      <w:r>
        <w:rPr>
          <w:rFonts w:ascii="標楷體" w:eastAsia="標楷體" w:hAnsi="標楷體" w:hint="eastAsia"/>
          <w:bCs/>
          <w:sz w:val="32"/>
          <w:szCs w:val="32"/>
        </w:rPr>
        <w:t>行政法人</w:t>
      </w:r>
      <w:r w:rsidRPr="00A9549F">
        <w:rPr>
          <w:rFonts w:ascii="標楷體" w:eastAsia="標楷體" w:hAnsi="標楷體" w:hint="eastAsia"/>
          <w:bCs/>
          <w:sz w:val="32"/>
          <w:szCs w:val="32"/>
        </w:rPr>
        <w:t>國家太空中心</w:t>
      </w:r>
      <w:r w:rsidRPr="000535CC">
        <w:rPr>
          <w:rFonts w:ascii="標楷體" w:eastAsia="標楷體" w:hAnsi="標楷體" w:hint="eastAsia"/>
          <w:bCs/>
          <w:sz w:val="32"/>
          <w:szCs w:val="32"/>
        </w:rPr>
        <w:t>辦理國家發射場域選址規劃及興建事宜，以利後續推動2026西拉雅火箭計畫</w:t>
      </w:r>
      <w:r>
        <w:rPr>
          <w:rFonts w:ascii="標楷體" w:eastAsia="標楷體" w:hAnsi="標楷體" w:hint="eastAsia"/>
          <w:bCs/>
          <w:sz w:val="32"/>
          <w:szCs w:val="32"/>
        </w:rPr>
        <w:t>，並</w:t>
      </w:r>
      <w:r w:rsidRPr="000535CC">
        <w:rPr>
          <w:rFonts w:ascii="標楷體" w:eastAsia="標楷體" w:hAnsi="標楷體" w:hint="eastAsia"/>
          <w:bCs/>
          <w:sz w:val="32"/>
          <w:szCs w:val="32"/>
        </w:rPr>
        <w:t>於</w:t>
      </w:r>
      <w:r>
        <w:rPr>
          <w:rFonts w:ascii="標楷體" w:eastAsia="標楷體" w:hAnsi="標楷體" w:hint="eastAsia"/>
          <w:bCs/>
          <w:sz w:val="32"/>
          <w:szCs w:val="32"/>
        </w:rPr>
        <w:t>3</w:t>
      </w:r>
      <w:r w:rsidRPr="000535CC">
        <w:rPr>
          <w:rFonts w:ascii="標楷體" w:eastAsia="標楷體" w:hAnsi="標楷體" w:hint="eastAsia"/>
          <w:bCs/>
          <w:sz w:val="32"/>
          <w:szCs w:val="32"/>
        </w:rPr>
        <w:t>個月內向立法院教育及文化委員會提出書面報告。</w:t>
      </w:r>
      <w:r>
        <w:rPr>
          <w:rFonts w:ascii="標楷體" w:eastAsia="標楷體" w:hAnsi="標楷體" w:hint="eastAsia"/>
          <w:bCs/>
          <w:sz w:val="32"/>
          <w:szCs w:val="32"/>
        </w:rPr>
        <w:t>40</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黃國書</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吳思瑤  何欣純</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(六十八)</w:t>
      </w:r>
      <w:r>
        <w:rPr>
          <w:rFonts w:ascii="標楷體" w:eastAsia="標楷體" w:hAnsi="標楷體"/>
          <w:sz w:val="32"/>
        </w:rPr>
        <w:t>112</w:t>
      </w:r>
      <w:r>
        <w:rPr>
          <w:rFonts w:ascii="標楷體" w:eastAsia="標楷體" w:hAnsi="標楷體" w:hint="eastAsia"/>
          <w:sz w:val="32"/>
        </w:rPr>
        <w:t>年度國家科學及技術委員會</w:t>
      </w:r>
      <w:r w:rsidRPr="00A9549F">
        <w:rPr>
          <w:rFonts w:ascii="標楷體" w:eastAsia="標楷體" w:hAnsi="標楷體" w:hint="eastAsia"/>
          <w:bCs/>
          <w:sz w:val="32"/>
          <w:szCs w:val="32"/>
        </w:rPr>
        <w:t>「國家太空中心發展計畫」項下「太空基礎工程與應用研究能量整備計畫」中「國家射場建置與營運計畫」進行國家發射場域前置作業。目前位於屏東旭海的國科會短期科研探空火箭發射場域，在多方努力下順利於</w:t>
      </w:r>
      <w:r>
        <w:rPr>
          <w:rFonts w:ascii="標楷體" w:eastAsia="標楷體" w:hAnsi="標楷體" w:hint="eastAsia"/>
          <w:bCs/>
          <w:sz w:val="32"/>
          <w:szCs w:val="32"/>
        </w:rPr>
        <w:t>111</w:t>
      </w:r>
      <w:r w:rsidRPr="00A9549F">
        <w:rPr>
          <w:rFonts w:ascii="標楷體" w:eastAsia="標楷體" w:hAnsi="標楷體" w:hint="eastAsia"/>
          <w:bCs/>
          <w:sz w:val="32"/>
          <w:szCs w:val="32"/>
        </w:rPr>
        <w:t>年1</w:t>
      </w:r>
      <w:r>
        <w:rPr>
          <w:rFonts w:ascii="標楷體" w:eastAsia="標楷體" w:hAnsi="標楷體" w:hint="eastAsia"/>
          <w:bCs/>
          <w:sz w:val="32"/>
          <w:szCs w:val="32"/>
        </w:rPr>
        <w:t>月</w:t>
      </w:r>
      <w:r w:rsidRPr="00A9549F">
        <w:rPr>
          <w:rFonts w:ascii="標楷體" w:eastAsia="標楷體" w:hAnsi="標楷體" w:hint="eastAsia"/>
          <w:bCs/>
          <w:sz w:val="32"/>
          <w:szCs w:val="32"/>
        </w:rPr>
        <w:t>13</w:t>
      </w:r>
      <w:r>
        <w:rPr>
          <w:rFonts w:ascii="標楷體" w:eastAsia="標楷體" w:hAnsi="標楷體" w:hint="eastAsia"/>
          <w:bCs/>
          <w:sz w:val="32"/>
          <w:szCs w:val="32"/>
        </w:rPr>
        <w:t>日</w:t>
      </w:r>
      <w:r w:rsidRPr="00A9549F">
        <w:rPr>
          <w:rFonts w:ascii="標楷體" w:eastAsia="標楷體" w:hAnsi="標楷體" w:hint="eastAsia"/>
          <w:bCs/>
          <w:sz w:val="32"/>
          <w:szCs w:val="32"/>
        </w:rPr>
        <w:t>正式啟用，並由</w:t>
      </w:r>
      <w:r>
        <w:rPr>
          <w:rFonts w:ascii="標楷體" w:eastAsia="標楷體" w:hAnsi="標楷體" w:hint="eastAsia"/>
          <w:bCs/>
          <w:sz w:val="32"/>
          <w:szCs w:val="32"/>
        </w:rPr>
        <w:t>國立</w:t>
      </w:r>
      <w:r w:rsidRPr="00A9549F">
        <w:rPr>
          <w:rFonts w:ascii="標楷體" w:eastAsia="標楷體" w:hAnsi="標楷體" w:hint="eastAsia"/>
          <w:bCs/>
          <w:sz w:val="32"/>
          <w:szCs w:val="32"/>
        </w:rPr>
        <w:t>陽明交</w:t>
      </w:r>
      <w:r>
        <w:rPr>
          <w:rFonts w:ascii="標楷體" w:eastAsia="標楷體" w:hAnsi="標楷體" w:hint="eastAsia"/>
          <w:bCs/>
          <w:sz w:val="32"/>
          <w:szCs w:val="32"/>
        </w:rPr>
        <w:t>通</w:t>
      </w:r>
      <w:r w:rsidRPr="00A9549F">
        <w:rPr>
          <w:rFonts w:ascii="標楷體" w:eastAsia="標楷體" w:hAnsi="標楷體" w:hint="eastAsia"/>
          <w:bCs/>
          <w:sz w:val="32"/>
          <w:szCs w:val="32"/>
        </w:rPr>
        <w:t>大</w:t>
      </w:r>
      <w:r>
        <w:rPr>
          <w:rFonts w:ascii="標楷體" w:eastAsia="標楷體" w:hAnsi="標楷體" w:hint="eastAsia"/>
          <w:bCs/>
          <w:sz w:val="32"/>
          <w:szCs w:val="32"/>
        </w:rPr>
        <w:t>學</w:t>
      </w:r>
      <w:r w:rsidRPr="00A9549F">
        <w:rPr>
          <w:rFonts w:ascii="標楷體" w:eastAsia="標楷體" w:hAnsi="標楷體" w:hint="eastAsia"/>
          <w:bCs/>
          <w:sz w:val="32"/>
          <w:szCs w:val="32"/>
        </w:rPr>
        <w:t>團隊在</w:t>
      </w:r>
      <w:r>
        <w:rPr>
          <w:rFonts w:ascii="標楷體" w:eastAsia="標楷體" w:hAnsi="標楷體" w:hint="eastAsia"/>
          <w:bCs/>
          <w:sz w:val="32"/>
          <w:szCs w:val="32"/>
        </w:rPr>
        <w:t>111</w:t>
      </w:r>
      <w:r w:rsidRPr="00A9549F">
        <w:rPr>
          <w:rFonts w:ascii="標楷體" w:eastAsia="標楷體" w:hAnsi="標楷體" w:hint="eastAsia"/>
          <w:bCs/>
          <w:sz w:val="32"/>
          <w:szCs w:val="32"/>
        </w:rPr>
        <w:t>年7</w:t>
      </w:r>
      <w:r>
        <w:rPr>
          <w:rFonts w:ascii="標楷體" w:eastAsia="標楷體" w:hAnsi="標楷體" w:hint="eastAsia"/>
          <w:bCs/>
          <w:sz w:val="32"/>
          <w:szCs w:val="32"/>
        </w:rPr>
        <w:t>月</w:t>
      </w:r>
      <w:r w:rsidRPr="00A9549F">
        <w:rPr>
          <w:rFonts w:ascii="標楷體" w:eastAsia="標楷體" w:hAnsi="標楷體" w:hint="eastAsia"/>
          <w:bCs/>
          <w:sz w:val="32"/>
          <w:szCs w:val="32"/>
        </w:rPr>
        <w:t>10</w:t>
      </w:r>
      <w:r>
        <w:rPr>
          <w:rFonts w:ascii="標楷體" w:eastAsia="標楷體" w:hAnsi="標楷體" w:hint="eastAsia"/>
          <w:bCs/>
          <w:sz w:val="32"/>
          <w:szCs w:val="32"/>
        </w:rPr>
        <w:t>日</w:t>
      </w:r>
      <w:r w:rsidRPr="00A9549F">
        <w:rPr>
          <w:rFonts w:ascii="標楷體" w:eastAsia="標楷體" w:hAnsi="標楷體" w:hint="eastAsia"/>
          <w:bCs/>
          <w:sz w:val="32"/>
          <w:szCs w:val="32"/>
        </w:rPr>
        <w:t>完成首次發射任務。惟該短期科研探空火箭發射場域僅是第一步，最終目標仍為「設置國家發射場域」。經評估以我國東南海濱最為合適，惟該區域多為原住民族傳統領域，復依短期科研探空火箭發射場域協商經驗，須與當地原住民族或部落就場址位置進行較長時間之溝通與協商，俟後尚須辦理環境影響評估、場域設施規劃及興建事宜。又參照國外經驗參據國外火箭發射場域選址經驗，辦理選址、建置場域至完工、營運所需時間甚長，且各項程序繁雜。如美國太空探索科技公司南德克薩斯發射場自</w:t>
      </w:r>
      <w:r>
        <w:rPr>
          <w:rFonts w:ascii="標楷體" w:eastAsia="標楷體" w:hAnsi="標楷體" w:hint="eastAsia"/>
          <w:bCs/>
          <w:sz w:val="32"/>
          <w:szCs w:val="32"/>
        </w:rPr>
        <w:lastRenderedPageBreak/>
        <w:t>101</w:t>
      </w:r>
      <w:r w:rsidRPr="00A9549F">
        <w:rPr>
          <w:rFonts w:ascii="標楷體" w:eastAsia="標楷體" w:hAnsi="標楷體" w:hint="eastAsia"/>
          <w:bCs/>
          <w:sz w:val="32"/>
          <w:szCs w:val="32"/>
        </w:rPr>
        <w:t>年選址至</w:t>
      </w:r>
      <w:r>
        <w:rPr>
          <w:rFonts w:ascii="標楷體" w:eastAsia="標楷體" w:hAnsi="標楷體" w:hint="eastAsia"/>
          <w:bCs/>
          <w:sz w:val="32"/>
          <w:szCs w:val="32"/>
        </w:rPr>
        <w:t>107</w:t>
      </w:r>
      <w:r w:rsidRPr="00A9549F">
        <w:rPr>
          <w:rFonts w:ascii="標楷體" w:eastAsia="標楷體" w:hAnsi="標楷體" w:hint="eastAsia"/>
          <w:bCs/>
          <w:sz w:val="32"/>
          <w:szCs w:val="32"/>
        </w:rPr>
        <w:t>年正式營運，即耗時7年之久。國</w:t>
      </w:r>
      <w:r>
        <w:rPr>
          <w:rFonts w:ascii="標楷體" w:eastAsia="標楷體" w:hAnsi="標楷體" w:hint="eastAsia"/>
          <w:bCs/>
          <w:sz w:val="32"/>
          <w:szCs w:val="32"/>
        </w:rPr>
        <w:t>家</w:t>
      </w:r>
      <w:r w:rsidRPr="00A9549F">
        <w:rPr>
          <w:rFonts w:ascii="標楷體" w:eastAsia="標楷體" w:hAnsi="標楷體" w:hint="eastAsia"/>
          <w:bCs/>
          <w:sz w:val="32"/>
          <w:szCs w:val="32"/>
        </w:rPr>
        <w:t>科</w:t>
      </w:r>
      <w:r>
        <w:rPr>
          <w:rFonts w:ascii="標楷體" w:eastAsia="標楷體" w:hAnsi="標楷體" w:hint="eastAsia"/>
          <w:bCs/>
          <w:sz w:val="32"/>
          <w:szCs w:val="32"/>
        </w:rPr>
        <w:t>學及技術</w:t>
      </w:r>
      <w:r w:rsidRPr="00A9549F">
        <w:rPr>
          <w:rFonts w:ascii="標楷體" w:eastAsia="標楷體" w:hAnsi="標楷體" w:hint="eastAsia"/>
          <w:bCs/>
          <w:sz w:val="32"/>
          <w:szCs w:val="32"/>
        </w:rPr>
        <w:t>會應研擬各項作業所需具體時程，全力協同</w:t>
      </w:r>
      <w:r>
        <w:rPr>
          <w:rFonts w:ascii="標楷體" w:eastAsia="標楷體" w:hAnsi="標楷體" w:hint="eastAsia"/>
          <w:bCs/>
          <w:sz w:val="32"/>
          <w:szCs w:val="32"/>
        </w:rPr>
        <w:t>行政法人</w:t>
      </w:r>
      <w:r w:rsidRPr="00A9549F">
        <w:rPr>
          <w:rFonts w:ascii="標楷體" w:eastAsia="標楷體" w:hAnsi="標楷體" w:hint="eastAsia"/>
          <w:bCs/>
          <w:sz w:val="32"/>
          <w:szCs w:val="32"/>
        </w:rPr>
        <w:t>國家太空中心</w:t>
      </w:r>
      <w:r>
        <w:rPr>
          <w:rFonts w:ascii="標楷體" w:eastAsia="標楷體" w:hAnsi="標楷體" w:hint="eastAsia"/>
          <w:bCs/>
          <w:sz w:val="32"/>
          <w:szCs w:val="32"/>
        </w:rPr>
        <w:t>儘</w:t>
      </w:r>
      <w:r w:rsidRPr="00A9549F">
        <w:rPr>
          <w:rFonts w:ascii="標楷體" w:eastAsia="標楷體" w:hAnsi="標楷體" w:hint="eastAsia"/>
          <w:bCs/>
          <w:sz w:val="32"/>
          <w:szCs w:val="32"/>
        </w:rPr>
        <w:t>速執行相關作業，以利後續推動</w:t>
      </w:r>
      <w:r>
        <w:rPr>
          <w:rFonts w:ascii="標楷體" w:eastAsia="標楷體" w:hAnsi="標楷體" w:hint="eastAsia"/>
          <w:bCs/>
          <w:sz w:val="32"/>
          <w:szCs w:val="32"/>
        </w:rPr>
        <w:t>，並</w:t>
      </w:r>
      <w:r w:rsidRPr="00A9549F">
        <w:rPr>
          <w:rFonts w:ascii="標楷體" w:eastAsia="標楷體" w:hAnsi="標楷體" w:hint="eastAsia"/>
          <w:bCs/>
          <w:sz w:val="32"/>
          <w:szCs w:val="32"/>
        </w:rPr>
        <w:t>於</w:t>
      </w:r>
      <w:r>
        <w:rPr>
          <w:rFonts w:ascii="標楷體" w:eastAsia="標楷體" w:hAnsi="標楷體" w:hint="eastAsia"/>
          <w:bCs/>
          <w:sz w:val="32"/>
          <w:szCs w:val="32"/>
        </w:rPr>
        <w:t>3</w:t>
      </w:r>
      <w:r w:rsidRPr="00A9549F">
        <w:rPr>
          <w:rFonts w:ascii="標楷體" w:eastAsia="標楷體" w:hAnsi="標楷體" w:hint="eastAsia"/>
          <w:bCs/>
          <w:sz w:val="32"/>
          <w:szCs w:val="32"/>
        </w:rPr>
        <w:t>個月內就前述事由向立法院教育及文化委員會提出書面報告。</w:t>
      </w:r>
      <w:r>
        <w:rPr>
          <w:rFonts w:ascii="標楷體" w:eastAsia="標楷體" w:hAnsi="標楷體" w:hint="eastAsia"/>
          <w:bCs/>
          <w:sz w:val="32"/>
          <w:szCs w:val="32"/>
        </w:rPr>
        <w:t>41</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張廖萬堅  黃國書</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吳思瑤  何欣純</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(六十九)</w:t>
      </w:r>
      <w:r>
        <w:rPr>
          <w:rFonts w:ascii="標楷體" w:eastAsia="標楷體" w:hAnsi="標楷體"/>
          <w:sz w:val="32"/>
        </w:rPr>
        <w:t>112</w:t>
      </w:r>
      <w:r>
        <w:rPr>
          <w:rFonts w:ascii="標楷體" w:eastAsia="標楷體" w:hAnsi="標楷體" w:hint="eastAsia"/>
          <w:sz w:val="32"/>
        </w:rPr>
        <w:t>年度國家科學及技術委員會</w:t>
      </w:r>
      <w:r w:rsidRPr="00A9549F">
        <w:rPr>
          <w:rFonts w:ascii="標楷體" w:eastAsia="標楷體" w:hAnsi="標楷體" w:hint="eastAsia"/>
          <w:bCs/>
          <w:sz w:val="32"/>
          <w:szCs w:val="32"/>
        </w:rPr>
        <w:t>「國家太空中心發展計畫」</w:t>
      </w:r>
      <w:r>
        <w:rPr>
          <w:rFonts w:ascii="標楷體" w:eastAsia="標楷體" w:hAnsi="標楷體" w:hint="eastAsia"/>
          <w:bCs/>
          <w:sz w:val="32"/>
          <w:szCs w:val="32"/>
        </w:rPr>
        <w:t>項下</w:t>
      </w:r>
      <w:r w:rsidRPr="00A9549F">
        <w:rPr>
          <w:rFonts w:ascii="標楷體" w:eastAsia="標楷體" w:hAnsi="標楷體" w:hint="eastAsia"/>
          <w:bCs/>
          <w:sz w:val="32"/>
          <w:szCs w:val="32"/>
        </w:rPr>
        <w:t>「太空產業推動與人才培育計畫」</w:t>
      </w:r>
      <w:r>
        <w:rPr>
          <w:rFonts w:ascii="標楷體" w:eastAsia="標楷體" w:hAnsi="標楷體" w:hint="eastAsia"/>
          <w:bCs/>
          <w:sz w:val="32"/>
          <w:szCs w:val="32"/>
        </w:rPr>
        <w:t>預算</w:t>
      </w:r>
      <w:r w:rsidRPr="00A9549F">
        <w:rPr>
          <w:rFonts w:ascii="標楷體" w:eastAsia="標楷體" w:hAnsi="標楷體" w:hint="eastAsia"/>
          <w:bCs/>
          <w:sz w:val="32"/>
          <w:szCs w:val="32"/>
        </w:rPr>
        <w:t>編列14億8</w:t>
      </w:r>
      <w:r>
        <w:rPr>
          <w:rFonts w:ascii="標楷體" w:eastAsia="標楷體" w:hAnsi="標楷體"/>
          <w:bCs/>
          <w:sz w:val="32"/>
          <w:szCs w:val="32"/>
        </w:rPr>
        <w:t>,</w:t>
      </w:r>
      <w:r w:rsidRPr="00A9549F">
        <w:rPr>
          <w:rFonts w:ascii="標楷體" w:eastAsia="標楷體" w:hAnsi="標楷體" w:hint="eastAsia"/>
          <w:bCs/>
          <w:sz w:val="32"/>
          <w:szCs w:val="32"/>
        </w:rPr>
        <w:t>635萬元，主要在建立法人與產業相關基礎技術能量，採取技術開發、產業推動及人才培育等三項進行，其中人才培育部分，計畫內容僅以開設太空產業培訓課程，辦理國內外太空產業論壇，並且辦理太空青年人才選訓。太空產業為我國正全力推動之產業項目，人才需求需精確盤點，但計畫內容卻無盤點基本需求，以致國內大學校院國人才培育與政府及產業顯有脫節，國內相關的航太工程科系有</w:t>
      </w:r>
      <w:r>
        <w:rPr>
          <w:rFonts w:ascii="標楷體" w:eastAsia="標楷體" w:hAnsi="標楷體" w:hint="eastAsia"/>
          <w:bCs/>
          <w:sz w:val="32"/>
          <w:szCs w:val="32"/>
        </w:rPr>
        <w:t>國立成功大學航空與太空學系、逢甲大學航太與系統</w:t>
      </w:r>
      <w:r w:rsidRPr="00A9549F">
        <w:rPr>
          <w:rFonts w:ascii="標楷體" w:eastAsia="標楷體" w:hAnsi="標楷體" w:hint="eastAsia"/>
          <w:bCs/>
          <w:sz w:val="32"/>
          <w:szCs w:val="32"/>
        </w:rPr>
        <w:t>工程學系、淡江大學航空與太空學系等，學習內容偏重培養航太人才相關的設計、分析、執行等專業知識能力。技職方面則有</w:t>
      </w:r>
      <w:r w:rsidRPr="00D67AA2">
        <w:rPr>
          <w:rFonts w:ascii="標楷體" w:eastAsia="標楷體" w:hAnsi="標楷體" w:hint="eastAsia"/>
          <w:bCs/>
          <w:sz w:val="32"/>
          <w:szCs w:val="32"/>
        </w:rPr>
        <w:t>國立虎尾科技大學</w:t>
      </w:r>
      <w:r w:rsidRPr="00A9549F">
        <w:rPr>
          <w:rFonts w:ascii="標楷體" w:eastAsia="標楷體" w:hAnsi="標楷體" w:hint="eastAsia"/>
          <w:bCs/>
          <w:sz w:val="32"/>
          <w:szCs w:val="32"/>
        </w:rPr>
        <w:t>飛機工程系與中華科技大學航空機械系等，主要配合航空產業趨勢及市場需求，專門培養學生具備飛機維修所需實務技術，又我國正值少子化衝擊，有關大學校院科系擴充招生名額、或新增系所，新世代產業發展之人才培育，更需透過跨部會討論溝通，爰請國家科學及技術委員會於</w:t>
      </w:r>
      <w:r>
        <w:rPr>
          <w:rFonts w:ascii="標楷體" w:eastAsia="標楷體" w:hAnsi="標楷體" w:hint="eastAsia"/>
          <w:bCs/>
          <w:sz w:val="32"/>
          <w:szCs w:val="32"/>
        </w:rPr>
        <w:t>3</w:t>
      </w:r>
      <w:r w:rsidRPr="00A9549F">
        <w:rPr>
          <w:rFonts w:ascii="標楷體" w:eastAsia="標楷體" w:hAnsi="標楷體" w:hint="eastAsia"/>
          <w:bCs/>
          <w:sz w:val="32"/>
          <w:szCs w:val="32"/>
        </w:rPr>
        <w:t>個月內向立法院教育及文化委員會提出書面報告。</w:t>
      </w:r>
      <w:r>
        <w:rPr>
          <w:rFonts w:ascii="標楷體" w:eastAsia="標楷體" w:hAnsi="標楷體" w:hint="eastAsia"/>
          <w:bCs/>
          <w:sz w:val="32"/>
          <w:szCs w:val="32"/>
        </w:rPr>
        <w:t>47</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何欣純</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吳思瑤  范  雲</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(七十)</w:t>
      </w:r>
      <w:r w:rsidRPr="00D67AA2">
        <w:rPr>
          <w:rFonts w:ascii="標楷體" w:eastAsia="標楷體" w:hAnsi="標楷體" w:hint="eastAsia"/>
          <w:bCs/>
          <w:sz w:val="32"/>
          <w:szCs w:val="32"/>
        </w:rPr>
        <w:t>太空產業為我國六大核心戰略產業之國防及戰略產業推動一環，目標為結合國內產學研的能量，精進本土太空技術，</w:t>
      </w:r>
      <w:r w:rsidRPr="00D67AA2">
        <w:rPr>
          <w:rFonts w:ascii="標楷體" w:eastAsia="標楷體" w:hAnsi="標楷體" w:hint="eastAsia"/>
          <w:bCs/>
          <w:sz w:val="32"/>
          <w:szCs w:val="32"/>
        </w:rPr>
        <w:lastRenderedPageBreak/>
        <w:t>培育太空科技人才，建立我國自主太空產業。國家科學及技術委員會規劃之「太空科技人才培育計畫」，意即培育企業太空關鍵人才，辦理太空事務青年人才選訓工作，培養國內新一代太空法制、政策及外交等太空事務與國際人才，然於</w:t>
      </w:r>
      <w:r>
        <w:rPr>
          <w:rFonts w:ascii="標楷體" w:eastAsia="標楷體" w:hAnsi="標楷體" w:hint="eastAsia"/>
          <w:bCs/>
          <w:sz w:val="32"/>
          <w:szCs w:val="32"/>
        </w:rPr>
        <w:t>112年度</w:t>
      </w:r>
      <w:r w:rsidRPr="00D67AA2">
        <w:rPr>
          <w:rFonts w:ascii="標楷體" w:eastAsia="標楷體" w:hAnsi="標楷體" w:hint="eastAsia"/>
          <w:bCs/>
          <w:sz w:val="32"/>
          <w:szCs w:val="32"/>
        </w:rPr>
        <w:t>國</w:t>
      </w:r>
      <w:r>
        <w:rPr>
          <w:rFonts w:ascii="標楷體" w:eastAsia="標楷體" w:hAnsi="標楷體" w:hint="eastAsia"/>
          <w:bCs/>
          <w:sz w:val="32"/>
          <w:szCs w:val="32"/>
        </w:rPr>
        <w:t>家</w:t>
      </w:r>
      <w:r w:rsidRPr="00D67AA2">
        <w:rPr>
          <w:rFonts w:ascii="標楷體" w:eastAsia="標楷體" w:hAnsi="標楷體" w:hint="eastAsia"/>
          <w:bCs/>
          <w:sz w:val="32"/>
          <w:szCs w:val="32"/>
        </w:rPr>
        <w:t>科</w:t>
      </w:r>
      <w:r>
        <w:rPr>
          <w:rFonts w:ascii="標楷體" w:eastAsia="標楷體" w:hAnsi="標楷體" w:hint="eastAsia"/>
          <w:bCs/>
          <w:sz w:val="32"/>
          <w:szCs w:val="32"/>
        </w:rPr>
        <w:t>學及技術委員</w:t>
      </w:r>
      <w:r w:rsidRPr="00A9549F">
        <w:rPr>
          <w:rFonts w:ascii="標楷體" w:eastAsia="標楷體" w:hAnsi="標楷體" w:hint="eastAsia"/>
          <w:bCs/>
          <w:sz w:val="32"/>
          <w:szCs w:val="32"/>
        </w:rPr>
        <w:t>「國家太空中心發展計畫」</w:t>
      </w:r>
      <w:r>
        <w:rPr>
          <w:rFonts w:ascii="標楷體" w:eastAsia="標楷體" w:hAnsi="標楷體" w:hint="eastAsia"/>
          <w:bCs/>
          <w:sz w:val="32"/>
          <w:szCs w:val="32"/>
        </w:rPr>
        <w:t>項下</w:t>
      </w:r>
      <w:r w:rsidRPr="00D67AA2">
        <w:rPr>
          <w:rFonts w:ascii="標楷體" w:eastAsia="標楷體" w:hAnsi="標楷體" w:hint="eastAsia"/>
          <w:bCs/>
          <w:sz w:val="32"/>
          <w:szCs w:val="32"/>
        </w:rPr>
        <w:t>「太空產業推動與人才培育計畫」預算</w:t>
      </w:r>
      <w:r>
        <w:rPr>
          <w:rFonts w:ascii="標楷體" w:eastAsia="標楷體" w:hAnsi="標楷體" w:hint="eastAsia"/>
          <w:bCs/>
          <w:sz w:val="32"/>
          <w:szCs w:val="32"/>
        </w:rPr>
        <w:t>編列</w:t>
      </w:r>
      <w:r w:rsidRPr="00D67AA2">
        <w:rPr>
          <w:rFonts w:ascii="標楷體" w:eastAsia="標楷體" w:hAnsi="標楷體" w:hint="eastAsia"/>
          <w:bCs/>
          <w:sz w:val="32"/>
          <w:szCs w:val="32"/>
        </w:rPr>
        <w:t>14億8,635萬元，其中針對人才培育計畫項目之經費僅編列1,249萬元顯失均衡，應檢討其經費編列之妥適性與合理性。此外，國科會應針對太空科技建立跨部會之育才策略，研議與教育部合作，加速推動大專校院設置太空系統工程研究所、太空產業專班之進度，培育我國高階太空科技人才。綜上所述，爰請國家科學及技術委員會於</w:t>
      </w:r>
      <w:r>
        <w:rPr>
          <w:rFonts w:ascii="標楷體" w:eastAsia="標楷體" w:hAnsi="標楷體" w:hint="eastAsia"/>
          <w:bCs/>
          <w:sz w:val="32"/>
          <w:szCs w:val="32"/>
        </w:rPr>
        <w:t>3</w:t>
      </w:r>
      <w:r w:rsidRPr="00D67AA2">
        <w:rPr>
          <w:rFonts w:ascii="標楷體" w:eastAsia="標楷體" w:hAnsi="標楷體" w:hint="eastAsia"/>
          <w:bCs/>
          <w:sz w:val="32"/>
          <w:szCs w:val="32"/>
        </w:rPr>
        <w:t>個月內向立法院教育及文化委員會提出改進作為書面報告。</w:t>
      </w:r>
      <w:r>
        <w:rPr>
          <w:rFonts w:ascii="標楷體" w:eastAsia="標楷體" w:hAnsi="標楷體" w:hint="eastAsia"/>
          <w:bCs/>
          <w:sz w:val="32"/>
          <w:szCs w:val="32"/>
        </w:rPr>
        <w:t>48</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吳思瑤</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何欣純  林宜瑾</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(七十一)</w:t>
      </w:r>
      <w:r w:rsidRPr="00D67AA2">
        <w:rPr>
          <w:rFonts w:ascii="標楷體" w:eastAsia="標楷體" w:hAnsi="標楷體" w:hint="eastAsia"/>
          <w:bCs/>
          <w:sz w:val="32"/>
          <w:szCs w:val="32"/>
        </w:rPr>
        <w:t>查</w:t>
      </w:r>
      <w:r>
        <w:rPr>
          <w:rFonts w:ascii="標楷體" w:eastAsia="標楷體" w:hAnsi="標楷體" w:hint="eastAsia"/>
          <w:bCs/>
          <w:sz w:val="32"/>
          <w:szCs w:val="32"/>
        </w:rPr>
        <w:t>財團法人</w:t>
      </w:r>
      <w:r w:rsidRPr="00D67AA2">
        <w:rPr>
          <w:rFonts w:ascii="標楷體" w:eastAsia="標楷體" w:hAnsi="標楷體" w:hint="eastAsia"/>
          <w:bCs/>
          <w:sz w:val="32"/>
          <w:szCs w:val="32"/>
        </w:rPr>
        <w:t>國</w:t>
      </w:r>
      <w:r>
        <w:rPr>
          <w:rFonts w:ascii="標楷體" w:eastAsia="標楷體" w:hAnsi="標楷體" w:hint="eastAsia"/>
          <w:bCs/>
          <w:sz w:val="32"/>
          <w:szCs w:val="32"/>
        </w:rPr>
        <w:t>家實驗</w:t>
      </w:r>
      <w:r w:rsidRPr="00D67AA2">
        <w:rPr>
          <w:rFonts w:ascii="標楷體" w:eastAsia="標楷體" w:hAnsi="標楷體" w:hint="eastAsia"/>
          <w:bCs/>
          <w:sz w:val="32"/>
          <w:szCs w:val="32"/>
        </w:rPr>
        <w:t>研</w:t>
      </w:r>
      <w:r>
        <w:rPr>
          <w:rFonts w:ascii="標楷體" w:eastAsia="標楷體" w:hAnsi="標楷體" w:hint="eastAsia"/>
          <w:bCs/>
          <w:sz w:val="32"/>
          <w:szCs w:val="32"/>
        </w:rPr>
        <w:t>究</w:t>
      </w:r>
      <w:r w:rsidRPr="00D67AA2">
        <w:rPr>
          <w:rFonts w:ascii="標楷體" w:eastAsia="標楷體" w:hAnsi="標楷體" w:hint="eastAsia"/>
          <w:bCs/>
          <w:sz w:val="32"/>
          <w:szCs w:val="32"/>
        </w:rPr>
        <w:t>院研發成果之技術移轉相關收入情形，自97年度471萬5千元呈增加趨勢，最高至108年度3,887萬2千元，110年度略減至3,759萬5千元；而國研院運用專利之民間委辦及技術服務收入情形，自97年度1,211萬9千元逐年成長</w:t>
      </w:r>
      <w:r>
        <w:rPr>
          <w:rFonts w:ascii="標楷體" w:eastAsia="標楷體" w:hAnsi="標楷體" w:hint="eastAsia"/>
          <w:bCs/>
          <w:sz w:val="32"/>
          <w:szCs w:val="32"/>
        </w:rPr>
        <w:t>至</w:t>
      </w:r>
      <w:r w:rsidRPr="00D67AA2">
        <w:rPr>
          <w:rFonts w:ascii="標楷體" w:eastAsia="標楷體" w:hAnsi="標楷體" w:hint="eastAsia"/>
          <w:bCs/>
          <w:sz w:val="32"/>
          <w:szCs w:val="32"/>
        </w:rPr>
        <w:t>110年度1億</w:t>
      </w:r>
      <w:r>
        <w:rPr>
          <w:rFonts w:ascii="標楷體" w:eastAsia="標楷體" w:hAnsi="標楷體" w:hint="eastAsia"/>
          <w:bCs/>
          <w:sz w:val="32"/>
          <w:szCs w:val="32"/>
        </w:rPr>
        <w:t>0</w:t>
      </w:r>
      <w:r>
        <w:rPr>
          <w:rFonts w:ascii="標楷體" w:eastAsia="標楷體" w:hAnsi="標楷體"/>
          <w:bCs/>
          <w:sz w:val="32"/>
          <w:szCs w:val="32"/>
        </w:rPr>
        <w:t>,</w:t>
      </w:r>
      <w:r w:rsidRPr="00D67AA2">
        <w:rPr>
          <w:rFonts w:ascii="標楷體" w:eastAsia="標楷體" w:hAnsi="標楷體" w:hint="eastAsia"/>
          <w:bCs/>
          <w:sz w:val="32"/>
          <w:szCs w:val="32"/>
        </w:rPr>
        <w:t>386萬1</w:t>
      </w:r>
      <w:r>
        <w:rPr>
          <w:rFonts w:ascii="標楷體" w:eastAsia="標楷體" w:hAnsi="標楷體" w:hint="eastAsia"/>
          <w:bCs/>
          <w:sz w:val="32"/>
          <w:szCs w:val="32"/>
        </w:rPr>
        <w:t>千元。另查</w:t>
      </w:r>
      <w:r w:rsidRPr="00D67AA2">
        <w:rPr>
          <w:rFonts w:ascii="標楷體" w:eastAsia="標楷體" w:hAnsi="標楷體" w:hint="eastAsia"/>
          <w:bCs/>
          <w:sz w:val="32"/>
          <w:szCs w:val="32"/>
        </w:rPr>
        <w:t>國研院97</w:t>
      </w:r>
      <w:r>
        <w:rPr>
          <w:rFonts w:ascii="標楷體" w:eastAsia="標楷體" w:hAnsi="標楷體" w:hint="eastAsia"/>
          <w:bCs/>
          <w:sz w:val="32"/>
          <w:szCs w:val="32"/>
        </w:rPr>
        <w:t>至</w:t>
      </w:r>
      <w:r w:rsidRPr="00D67AA2">
        <w:rPr>
          <w:rFonts w:ascii="標楷體" w:eastAsia="標楷體" w:hAnsi="標楷體" w:hint="eastAsia"/>
          <w:bCs/>
          <w:sz w:val="32"/>
          <w:szCs w:val="32"/>
        </w:rPr>
        <w:t>110年度研發成果所取得之809件專利中，僅155件授權運用(占19.16%)。其中，</w:t>
      </w:r>
      <w:r w:rsidRPr="002C598C">
        <w:rPr>
          <w:rFonts w:ascii="標楷體" w:eastAsia="標楷體" w:hAnsi="標楷體" w:hint="eastAsia"/>
          <w:bCs/>
          <w:sz w:val="32"/>
          <w:szCs w:val="32"/>
        </w:rPr>
        <w:t>國家實驗動物中心</w:t>
      </w:r>
      <w:r w:rsidRPr="00D67AA2">
        <w:rPr>
          <w:rFonts w:ascii="標楷體" w:eastAsia="標楷體" w:hAnsi="標楷體" w:hint="eastAsia"/>
          <w:bCs/>
          <w:sz w:val="32"/>
          <w:szCs w:val="32"/>
        </w:rPr>
        <w:t>、</w:t>
      </w:r>
      <w:r w:rsidRPr="002C598C">
        <w:rPr>
          <w:rFonts w:ascii="標楷體" w:eastAsia="標楷體" w:hAnsi="標楷體" w:hint="eastAsia"/>
          <w:bCs/>
          <w:sz w:val="32"/>
          <w:szCs w:val="32"/>
        </w:rPr>
        <w:t>國家太空中心</w:t>
      </w:r>
      <w:r w:rsidRPr="00D67AA2">
        <w:rPr>
          <w:rFonts w:ascii="標楷體" w:eastAsia="標楷體" w:hAnsi="標楷體" w:hint="eastAsia"/>
          <w:bCs/>
          <w:sz w:val="32"/>
          <w:szCs w:val="32"/>
        </w:rPr>
        <w:t>及</w:t>
      </w:r>
      <w:r w:rsidRPr="002C598C">
        <w:rPr>
          <w:rFonts w:ascii="標楷體" w:eastAsia="標楷體" w:hAnsi="標楷體" w:hint="eastAsia"/>
          <w:bCs/>
          <w:sz w:val="32"/>
          <w:szCs w:val="32"/>
        </w:rPr>
        <w:t>科技政策研究與資訊中心</w:t>
      </w:r>
      <w:r w:rsidRPr="00D67AA2">
        <w:rPr>
          <w:rFonts w:ascii="標楷體" w:eastAsia="標楷體" w:hAnsi="標楷體" w:hint="eastAsia"/>
          <w:bCs/>
          <w:sz w:val="32"/>
          <w:szCs w:val="32"/>
        </w:rPr>
        <w:t>等中心分別取得專利數4件、51件及1件，均未曾授權應用。而國研院97</w:t>
      </w:r>
      <w:r>
        <w:rPr>
          <w:rFonts w:ascii="標楷體" w:eastAsia="標楷體" w:hAnsi="標楷體" w:hint="eastAsia"/>
          <w:bCs/>
          <w:sz w:val="32"/>
          <w:szCs w:val="32"/>
        </w:rPr>
        <w:t>至</w:t>
      </w:r>
      <w:r w:rsidRPr="00D67AA2">
        <w:rPr>
          <w:rFonts w:ascii="標楷體" w:eastAsia="標楷體" w:hAnsi="標楷體" w:hint="eastAsia"/>
          <w:bCs/>
          <w:sz w:val="32"/>
          <w:szCs w:val="32"/>
        </w:rPr>
        <w:t>110年度專利權相關權利金收入為1億9,045萬9千元，亦高於專利申請及維護費合計數1億4,507萬3千元</w:t>
      </w:r>
      <w:r>
        <w:rPr>
          <w:rFonts w:ascii="標楷體" w:eastAsia="標楷體" w:hAnsi="標楷體" w:hint="eastAsia"/>
          <w:bCs/>
          <w:sz w:val="32"/>
          <w:szCs w:val="32"/>
        </w:rPr>
        <w:t>，</w:t>
      </w:r>
      <w:r w:rsidRPr="00D67AA2">
        <w:rPr>
          <w:rFonts w:ascii="標楷體" w:eastAsia="標楷體" w:hAnsi="標楷體" w:hint="eastAsia"/>
          <w:bCs/>
          <w:sz w:val="32"/>
          <w:szCs w:val="32"/>
        </w:rPr>
        <w:t>顯示</w:t>
      </w:r>
      <w:r>
        <w:rPr>
          <w:rFonts w:ascii="標楷體" w:eastAsia="標楷體" w:hAnsi="標楷體" w:hint="eastAsia"/>
          <w:bCs/>
          <w:sz w:val="32"/>
          <w:szCs w:val="32"/>
        </w:rPr>
        <w:t>財團法人</w:t>
      </w:r>
      <w:r w:rsidRPr="00D67AA2">
        <w:rPr>
          <w:rFonts w:ascii="標楷體" w:eastAsia="標楷體" w:hAnsi="標楷體" w:hint="eastAsia"/>
          <w:bCs/>
          <w:sz w:val="32"/>
          <w:szCs w:val="32"/>
        </w:rPr>
        <w:t>國</w:t>
      </w:r>
      <w:r>
        <w:rPr>
          <w:rFonts w:ascii="標楷體" w:eastAsia="標楷體" w:hAnsi="標楷體" w:hint="eastAsia"/>
          <w:bCs/>
          <w:sz w:val="32"/>
          <w:szCs w:val="32"/>
        </w:rPr>
        <w:t>家實驗</w:t>
      </w:r>
      <w:r w:rsidRPr="00D67AA2">
        <w:rPr>
          <w:rFonts w:ascii="標楷體" w:eastAsia="標楷體" w:hAnsi="標楷體" w:hint="eastAsia"/>
          <w:bCs/>
          <w:sz w:val="32"/>
          <w:szCs w:val="32"/>
        </w:rPr>
        <w:t>研</w:t>
      </w:r>
      <w:r>
        <w:rPr>
          <w:rFonts w:ascii="標楷體" w:eastAsia="標楷體" w:hAnsi="標楷體" w:hint="eastAsia"/>
          <w:bCs/>
          <w:sz w:val="32"/>
          <w:szCs w:val="32"/>
        </w:rPr>
        <w:t>究</w:t>
      </w:r>
      <w:r w:rsidRPr="00D67AA2">
        <w:rPr>
          <w:rFonts w:ascii="標楷體" w:eastAsia="標楷體" w:hAnsi="標楷體" w:hint="eastAsia"/>
          <w:bCs/>
          <w:sz w:val="32"/>
          <w:szCs w:val="32"/>
        </w:rPr>
        <w:t>院應強化專利應用</w:t>
      </w:r>
      <w:r>
        <w:rPr>
          <w:rFonts w:ascii="標楷體" w:eastAsia="標楷體" w:hAnsi="標楷體" w:hint="eastAsia"/>
          <w:bCs/>
          <w:sz w:val="32"/>
          <w:szCs w:val="32"/>
        </w:rPr>
        <w:t>。</w:t>
      </w:r>
      <w:r w:rsidRPr="00D67AA2">
        <w:rPr>
          <w:rFonts w:ascii="標楷體" w:eastAsia="標楷體" w:hAnsi="標楷體" w:hint="eastAsia"/>
          <w:bCs/>
          <w:sz w:val="32"/>
          <w:szCs w:val="32"/>
        </w:rPr>
        <w:t>爰請國</w:t>
      </w:r>
      <w:r>
        <w:rPr>
          <w:rFonts w:ascii="標楷體" w:eastAsia="標楷體" w:hAnsi="標楷體" w:hint="eastAsia"/>
          <w:bCs/>
          <w:sz w:val="32"/>
          <w:szCs w:val="32"/>
        </w:rPr>
        <w:t>家</w:t>
      </w:r>
      <w:r w:rsidRPr="00D67AA2">
        <w:rPr>
          <w:rFonts w:ascii="標楷體" w:eastAsia="標楷體" w:hAnsi="標楷體" w:hint="eastAsia"/>
          <w:bCs/>
          <w:sz w:val="32"/>
          <w:szCs w:val="32"/>
        </w:rPr>
        <w:t>科</w:t>
      </w:r>
      <w:r>
        <w:rPr>
          <w:rFonts w:ascii="標楷體" w:eastAsia="標楷體" w:hAnsi="標楷體" w:hint="eastAsia"/>
          <w:bCs/>
          <w:sz w:val="32"/>
          <w:szCs w:val="32"/>
        </w:rPr>
        <w:t>學及技術委員</w:t>
      </w:r>
      <w:r w:rsidRPr="00D67AA2">
        <w:rPr>
          <w:rFonts w:ascii="標楷體" w:eastAsia="標楷體" w:hAnsi="標楷體" w:hint="eastAsia"/>
          <w:bCs/>
          <w:sz w:val="32"/>
          <w:szCs w:val="32"/>
        </w:rPr>
        <w:t>會於</w:t>
      </w:r>
      <w:r>
        <w:rPr>
          <w:rFonts w:ascii="標楷體" w:eastAsia="標楷體" w:hAnsi="標楷體" w:hint="eastAsia"/>
          <w:bCs/>
          <w:sz w:val="32"/>
          <w:szCs w:val="32"/>
        </w:rPr>
        <w:t>3</w:t>
      </w:r>
      <w:r w:rsidRPr="00D67AA2">
        <w:rPr>
          <w:rFonts w:ascii="標楷體" w:eastAsia="標楷體" w:hAnsi="標楷體" w:hint="eastAsia"/>
          <w:bCs/>
          <w:sz w:val="32"/>
          <w:szCs w:val="32"/>
        </w:rPr>
        <w:t>個月內就前述事由向立法院教育及文化委員會提出</w:t>
      </w:r>
      <w:r w:rsidRPr="00D67AA2">
        <w:rPr>
          <w:rFonts w:ascii="標楷體" w:eastAsia="標楷體" w:hAnsi="標楷體" w:hint="eastAsia"/>
          <w:bCs/>
          <w:sz w:val="32"/>
          <w:szCs w:val="32"/>
        </w:rPr>
        <w:lastRenderedPageBreak/>
        <w:t>書面報告。</w:t>
      </w:r>
      <w:r>
        <w:rPr>
          <w:rFonts w:ascii="標楷體" w:eastAsia="標楷體" w:hAnsi="標楷體" w:hint="eastAsia"/>
          <w:bCs/>
          <w:sz w:val="32"/>
          <w:szCs w:val="32"/>
        </w:rPr>
        <w:t>52</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黃國書</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何欣純  林宜瑾</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(七十二)112年度</w:t>
      </w:r>
      <w:r w:rsidRPr="00D67AA2">
        <w:rPr>
          <w:rFonts w:ascii="標楷體" w:eastAsia="標楷體" w:hAnsi="標楷體" w:hint="eastAsia"/>
          <w:bCs/>
          <w:sz w:val="32"/>
          <w:szCs w:val="32"/>
        </w:rPr>
        <w:t>國</w:t>
      </w:r>
      <w:r>
        <w:rPr>
          <w:rFonts w:ascii="標楷體" w:eastAsia="標楷體" w:hAnsi="標楷體" w:hint="eastAsia"/>
          <w:bCs/>
          <w:sz w:val="32"/>
          <w:szCs w:val="32"/>
        </w:rPr>
        <w:t>家</w:t>
      </w:r>
      <w:r w:rsidRPr="00D67AA2">
        <w:rPr>
          <w:rFonts w:ascii="標楷體" w:eastAsia="標楷體" w:hAnsi="標楷體" w:hint="eastAsia"/>
          <w:bCs/>
          <w:sz w:val="32"/>
          <w:szCs w:val="32"/>
        </w:rPr>
        <w:t>科</w:t>
      </w:r>
      <w:r>
        <w:rPr>
          <w:rFonts w:ascii="標楷體" w:eastAsia="標楷體" w:hAnsi="標楷體" w:hint="eastAsia"/>
          <w:bCs/>
          <w:sz w:val="32"/>
          <w:szCs w:val="32"/>
        </w:rPr>
        <w:t>學及技術委員</w:t>
      </w:r>
      <w:r w:rsidRPr="00D67AA2">
        <w:rPr>
          <w:rFonts w:ascii="標楷體" w:eastAsia="標楷體" w:hAnsi="標楷體" w:hint="eastAsia"/>
          <w:bCs/>
          <w:sz w:val="32"/>
          <w:szCs w:val="32"/>
        </w:rPr>
        <w:t>會</w:t>
      </w:r>
      <w:r>
        <w:rPr>
          <w:rFonts w:ascii="標楷體" w:eastAsia="標楷體" w:hAnsi="標楷體" w:hint="eastAsia"/>
          <w:bCs/>
          <w:sz w:val="32"/>
          <w:szCs w:val="32"/>
        </w:rPr>
        <w:t>「</w:t>
      </w:r>
      <w:r w:rsidRPr="00D67AA2">
        <w:rPr>
          <w:rFonts w:ascii="標楷體" w:eastAsia="標楷體" w:hAnsi="標楷體" w:hint="eastAsia"/>
          <w:bCs/>
          <w:sz w:val="32"/>
          <w:szCs w:val="32"/>
        </w:rPr>
        <w:t>財團法人國家實驗研究院發展計畫</w:t>
      </w:r>
      <w:r>
        <w:rPr>
          <w:rFonts w:ascii="標楷體" w:eastAsia="標楷體" w:hAnsi="標楷體" w:hint="eastAsia"/>
          <w:bCs/>
          <w:sz w:val="32"/>
          <w:szCs w:val="32"/>
        </w:rPr>
        <w:t>」項下「</w:t>
      </w:r>
      <w:r w:rsidRPr="00D67AA2">
        <w:rPr>
          <w:rFonts w:ascii="標楷體" w:eastAsia="標楷體" w:hAnsi="標楷體" w:hint="eastAsia"/>
          <w:bCs/>
          <w:sz w:val="32"/>
          <w:szCs w:val="32"/>
        </w:rPr>
        <w:t>半導體技術開發與人才培育服務計畫</w:t>
      </w:r>
      <w:r>
        <w:rPr>
          <w:rFonts w:ascii="標楷體" w:eastAsia="標楷體" w:hAnsi="標楷體" w:hint="eastAsia"/>
          <w:bCs/>
          <w:sz w:val="32"/>
          <w:szCs w:val="32"/>
        </w:rPr>
        <w:t>」預算</w:t>
      </w:r>
      <w:r w:rsidRPr="00D67AA2">
        <w:rPr>
          <w:rFonts w:ascii="標楷體" w:eastAsia="標楷體" w:hAnsi="標楷體" w:hint="eastAsia"/>
          <w:bCs/>
          <w:sz w:val="32"/>
          <w:szCs w:val="32"/>
        </w:rPr>
        <w:t>編列10億5</w:t>
      </w:r>
      <w:r>
        <w:rPr>
          <w:rFonts w:ascii="標楷體" w:eastAsia="標楷體" w:hAnsi="標楷體"/>
          <w:bCs/>
          <w:sz w:val="32"/>
          <w:szCs w:val="32"/>
        </w:rPr>
        <w:t>,</w:t>
      </w:r>
      <w:r w:rsidRPr="00D67AA2">
        <w:rPr>
          <w:rFonts w:ascii="標楷體" w:eastAsia="標楷體" w:hAnsi="標楷體" w:hint="eastAsia"/>
          <w:bCs/>
          <w:sz w:val="32"/>
          <w:szCs w:val="32"/>
        </w:rPr>
        <w:t>168萬元，內容包括晶片設計實作服務、奈米元件服務、跨領域人才培育與單</w:t>
      </w:r>
      <w:r>
        <w:rPr>
          <w:rFonts w:ascii="標楷體" w:eastAsia="標楷體" w:hAnsi="標楷體" w:hint="eastAsia"/>
          <w:bCs/>
          <w:sz w:val="32"/>
          <w:szCs w:val="32"/>
        </w:rPr>
        <w:t>晶片系統技術整合、關鍵新興晶片設計研發</w:t>
      </w:r>
      <w:r w:rsidRPr="00D67AA2">
        <w:rPr>
          <w:rFonts w:ascii="標楷體" w:eastAsia="標楷體" w:hAnsi="標楷體" w:hint="eastAsia"/>
          <w:bCs/>
          <w:sz w:val="32"/>
          <w:szCs w:val="32"/>
        </w:rPr>
        <w:t>及建置前瞻晶片設計製作環境等，但</w:t>
      </w:r>
      <w:r>
        <w:rPr>
          <w:rFonts w:ascii="標楷體" w:eastAsia="標楷體" w:hAnsi="標楷體" w:hint="eastAsia"/>
          <w:bCs/>
          <w:sz w:val="32"/>
          <w:szCs w:val="32"/>
        </w:rPr>
        <w:t>111</w:t>
      </w:r>
      <w:r w:rsidRPr="00D67AA2">
        <w:rPr>
          <w:rFonts w:ascii="標楷體" w:eastAsia="標楷體" w:hAnsi="標楷體" w:hint="eastAsia"/>
          <w:bCs/>
          <w:sz w:val="32"/>
          <w:szCs w:val="32"/>
        </w:rPr>
        <w:t>年9月初有大廠喊出1</w:t>
      </w:r>
      <w:r>
        <w:rPr>
          <w:rFonts w:ascii="標楷體" w:eastAsia="標楷體" w:hAnsi="標楷體"/>
          <w:bCs/>
          <w:sz w:val="32"/>
          <w:szCs w:val="32"/>
        </w:rPr>
        <w:t>,</w:t>
      </w:r>
      <w:r w:rsidRPr="00D67AA2">
        <w:rPr>
          <w:rFonts w:ascii="標楷體" w:eastAsia="標楷體" w:hAnsi="標楷體" w:hint="eastAsia"/>
          <w:bCs/>
          <w:sz w:val="32"/>
          <w:szCs w:val="32"/>
        </w:rPr>
        <w:t>500位碩、博士生的需求，鼓勵就讀電子、電機、光電、機械、物理、材料、化工、化學、資工、資管、工業工程與工程管理等領域的學子搶先投遞履歷，還祭出「年底拿聘書，畢業即就業」的誘人條件，完成報到後還享有優渥的就職獎金。在求職市場上，半導體廠的職缺從上游的IC設計工程師，一路到中、下游的製程及設備工程師，根據民間人力銀行統計，半導體產業缺工人數持續擴大，</w:t>
      </w:r>
      <w:r>
        <w:rPr>
          <w:rFonts w:ascii="標楷體" w:eastAsia="標楷體" w:hAnsi="標楷體" w:hint="eastAsia"/>
          <w:bCs/>
          <w:sz w:val="32"/>
          <w:szCs w:val="32"/>
        </w:rPr>
        <w:t>111</w:t>
      </w:r>
      <w:r w:rsidRPr="00D67AA2">
        <w:rPr>
          <w:rFonts w:ascii="標楷體" w:eastAsia="標楷體" w:hAnsi="標楷體" w:hint="eastAsia"/>
          <w:bCs/>
          <w:sz w:val="32"/>
          <w:szCs w:val="32"/>
        </w:rPr>
        <w:t>年6月創下近3</w:t>
      </w:r>
      <w:r>
        <w:rPr>
          <w:rFonts w:ascii="標楷體" w:eastAsia="標楷體" w:hAnsi="標楷體" w:hint="eastAsia"/>
          <w:bCs/>
          <w:sz w:val="32"/>
          <w:szCs w:val="32"/>
        </w:rPr>
        <w:t>萬</w:t>
      </w:r>
      <w:r w:rsidRPr="00D67AA2">
        <w:rPr>
          <w:rFonts w:ascii="標楷體" w:eastAsia="標楷體" w:hAnsi="標楷體" w:hint="eastAsia"/>
          <w:bCs/>
          <w:sz w:val="32"/>
          <w:szCs w:val="32"/>
        </w:rPr>
        <w:t>7</w:t>
      </w:r>
      <w:r>
        <w:rPr>
          <w:rFonts w:ascii="標楷體" w:eastAsia="標楷體" w:hAnsi="標楷體" w:hint="eastAsia"/>
          <w:bCs/>
          <w:sz w:val="32"/>
          <w:szCs w:val="32"/>
        </w:rPr>
        <w:t>千</w:t>
      </w:r>
      <w:r w:rsidRPr="00D67AA2">
        <w:rPr>
          <w:rFonts w:ascii="標楷體" w:eastAsia="標楷體" w:hAnsi="標楷體" w:hint="eastAsia"/>
          <w:bCs/>
          <w:sz w:val="32"/>
          <w:szCs w:val="32"/>
        </w:rPr>
        <w:t>人歷史新高。故請國</w:t>
      </w:r>
      <w:r>
        <w:rPr>
          <w:rFonts w:ascii="標楷體" w:eastAsia="標楷體" w:hAnsi="標楷體" w:hint="eastAsia"/>
          <w:bCs/>
          <w:sz w:val="32"/>
          <w:szCs w:val="32"/>
        </w:rPr>
        <w:t>家</w:t>
      </w:r>
      <w:r w:rsidRPr="00D67AA2">
        <w:rPr>
          <w:rFonts w:ascii="標楷體" w:eastAsia="標楷體" w:hAnsi="標楷體" w:hint="eastAsia"/>
          <w:bCs/>
          <w:sz w:val="32"/>
          <w:szCs w:val="32"/>
        </w:rPr>
        <w:t>科</w:t>
      </w:r>
      <w:r>
        <w:rPr>
          <w:rFonts w:ascii="標楷體" w:eastAsia="標楷體" w:hAnsi="標楷體" w:hint="eastAsia"/>
          <w:bCs/>
          <w:sz w:val="32"/>
          <w:szCs w:val="32"/>
        </w:rPr>
        <w:t>學及技術委員</w:t>
      </w:r>
      <w:r w:rsidRPr="00D67AA2">
        <w:rPr>
          <w:rFonts w:ascii="標楷體" w:eastAsia="標楷體" w:hAnsi="標楷體" w:hint="eastAsia"/>
          <w:bCs/>
          <w:sz w:val="32"/>
          <w:szCs w:val="32"/>
        </w:rPr>
        <w:t>會跨部會盤點半導體產業與社會未來人才實際需求，透過跨部會討論溝通，培育新世代產業發展所需人才，並於</w:t>
      </w:r>
      <w:r>
        <w:rPr>
          <w:rFonts w:ascii="標楷體" w:eastAsia="標楷體" w:hAnsi="標楷體" w:hint="eastAsia"/>
          <w:bCs/>
          <w:sz w:val="32"/>
          <w:szCs w:val="32"/>
        </w:rPr>
        <w:t>3</w:t>
      </w:r>
      <w:r w:rsidRPr="00D67AA2">
        <w:rPr>
          <w:rFonts w:ascii="標楷體" w:eastAsia="標楷體" w:hAnsi="標楷體" w:hint="eastAsia"/>
          <w:bCs/>
          <w:sz w:val="32"/>
          <w:szCs w:val="32"/>
        </w:rPr>
        <w:t>個月內向立法院教育及文化委員會提出書面報告。</w:t>
      </w:r>
      <w:r>
        <w:rPr>
          <w:rFonts w:ascii="標楷體" w:eastAsia="標楷體" w:hAnsi="標楷體" w:hint="eastAsia"/>
          <w:bCs/>
          <w:sz w:val="32"/>
          <w:szCs w:val="32"/>
        </w:rPr>
        <w:t>55</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何欣純</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林宜瑾  吳思瑤</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(七十三)112年度</w:t>
      </w:r>
      <w:r w:rsidRPr="00D67AA2">
        <w:rPr>
          <w:rFonts w:ascii="標楷體" w:eastAsia="標楷體" w:hAnsi="標楷體" w:hint="eastAsia"/>
          <w:bCs/>
          <w:sz w:val="32"/>
          <w:szCs w:val="32"/>
        </w:rPr>
        <w:t>國家科學及技術委員會「財團法人國家實驗研究院發展計畫」項下「半導體技術開發與人才培育服務計畫」</w:t>
      </w:r>
      <w:r>
        <w:rPr>
          <w:rFonts w:ascii="標楷體" w:eastAsia="標楷體" w:hAnsi="標楷體" w:hint="eastAsia"/>
          <w:bCs/>
          <w:sz w:val="32"/>
          <w:szCs w:val="32"/>
        </w:rPr>
        <w:t>中「前瞻晶片設計製造環境建置</w:t>
      </w:r>
      <w:r w:rsidRPr="00D67AA2">
        <w:rPr>
          <w:rFonts w:ascii="標楷體" w:eastAsia="標楷體" w:hAnsi="標楷體" w:hint="eastAsia"/>
          <w:bCs/>
          <w:sz w:val="32"/>
          <w:szCs w:val="32"/>
        </w:rPr>
        <w:t>」</w:t>
      </w:r>
      <w:r>
        <w:rPr>
          <w:rFonts w:ascii="標楷體" w:eastAsia="標楷體" w:hAnsi="標楷體" w:hint="eastAsia"/>
          <w:bCs/>
          <w:sz w:val="32"/>
          <w:szCs w:val="32"/>
        </w:rPr>
        <w:t>預算編列</w:t>
      </w:r>
      <w:r w:rsidRPr="00D67AA2">
        <w:rPr>
          <w:rFonts w:ascii="標楷體" w:eastAsia="標楷體" w:hAnsi="標楷體" w:hint="eastAsia"/>
          <w:bCs/>
          <w:sz w:val="32"/>
          <w:szCs w:val="32"/>
        </w:rPr>
        <w:t>2億1,700萬元，由</w:t>
      </w:r>
      <w:r>
        <w:rPr>
          <w:rFonts w:ascii="標楷體" w:eastAsia="標楷體" w:hAnsi="標楷體" w:hint="eastAsia"/>
          <w:bCs/>
          <w:sz w:val="32"/>
          <w:szCs w:val="32"/>
        </w:rPr>
        <w:t>財團法人</w:t>
      </w:r>
      <w:r w:rsidRPr="00D67AA2">
        <w:rPr>
          <w:rFonts w:ascii="標楷體" w:eastAsia="標楷體" w:hAnsi="標楷體" w:hint="eastAsia"/>
          <w:bCs/>
          <w:sz w:val="32"/>
          <w:szCs w:val="32"/>
        </w:rPr>
        <w:t>國家實驗研究院台灣半導體研究中心執行，針對16/28nm(奈米)以下製程或AI系統晶片等前瞻半導體晶片設計建置運算資源及設計工具整合環境，並聚焦全球最先進AI應用非揮發性記憶體、化合物半導體等多項特殊半導體</w:t>
      </w:r>
      <w:r w:rsidRPr="00D67AA2">
        <w:rPr>
          <w:rFonts w:ascii="標楷體" w:eastAsia="標楷體" w:hAnsi="標楷體" w:hint="eastAsia"/>
          <w:bCs/>
          <w:sz w:val="32"/>
          <w:szCs w:val="32"/>
        </w:rPr>
        <w:lastRenderedPageBreak/>
        <w:t>整合驗證，建立高階半導體硬體訓練環境及提供相關服務，配合國家重點發展領域培育高階人才，及加速學研成果產業落地之政策</w:t>
      </w:r>
      <w:r>
        <w:rPr>
          <w:rFonts w:ascii="標楷體" w:eastAsia="標楷體" w:hAnsi="標楷體" w:hint="eastAsia"/>
          <w:bCs/>
          <w:sz w:val="32"/>
          <w:szCs w:val="32"/>
        </w:rPr>
        <w:t>。</w:t>
      </w:r>
      <w:r w:rsidRPr="00D67AA2">
        <w:rPr>
          <w:rFonts w:ascii="標楷體" w:eastAsia="標楷體" w:hAnsi="標楷體" w:hint="eastAsia"/>
          <w:bCs/>
          <w:sz w:val="32"/>
          <w:szCs w:val="32"/>
        </w:rPr>
        <w:t>經查，為因應次世代化合物半導體製程環境發展需求，需購置相關半導體製程之關鍵性設備，國研院規劃購置3件成本1</w:t>
      </w:r>
      <w:r>
        <w:rPr>
          <w:rFonts w:ascii="標楷體" w:eastAsia="標楷體" w:hAnsi="標楷體"/>
          <w:bCs/>
          <w:sz w:val="32"/>
          <w:szCs w:val="32"/>
        </w:rPr>
        <w:t>,</w:t>
      </w:r>
      <w:r>
        <w:rPr>
          <w:rFonts w:ascii="標楷體" w:eastAsia="標楷體" w:hAnsi="標楷體" w:hint="eastAsia"/>
          <w:bCs/>
          <w:sz w:val="32"/>
          <w:szCs w:val="32"/>
        </w:rPr>
        <w:t>000</w:t>
      </w:r>
      <w:r w:rsidRPr="00D67AA2">
        <w:rPr>
          <w:rFonts w:ascii="標楷體" w:eastAsia="標楷體" w:hAnsi="標楷體" w:hint="eastAsia"/>
          <w:bCs/>
          <w:sz w:val="32"/>
          <w:szCs w:val="32"/>
        </w:rPr>
        <w:t>萬元以上之儀器設備，其中2件於112年度購置，另1件於其他年度購置。惟據統計，110年度半導體中心購置成本1</w:t>
      </w:r>
      <w:r>
        <w:rPr>
          <w:rFonts w:ascii="標楷體" w:eastAsia="標楷體" w:hAnsi="標楷體"/>
          <w:bCs/>
          <w:sz w:val="32"/>
          <w:szCs w:val="32"/>
        </w:rPr>
        <w:t>,000</w:t>
      </w:r>
      <w:r w:rsidRPr="00D67AA2">
        <w:rPr>
          <w:rFonts w:ascii="標楷體" w:eastAsia="標楷體" w:hAnsi="標楷體" w:hint="eastAsia"/>
          <w:bCs/>
          <w:sz w:val="32"/>
          <w:szCs w:val="32"/>
        </w:rPr>
        <w:t>萬元以上之貴重儀器共45件，占國研院購置貴重儀器合計件數50%。然其中使用率低於</w:t>
      </w:r>
      <w:r>
        <w:rPr>
          <w:rFonts w:ascii="標楷體" w:eastAsia="標楷體" w:hAnsi="標楷體" w:hint="eastAsia"/>
          <w:bCs/>
          <w:sz w:val="32"/>
          <w:szCs w:val="32"/>
        </w:rPr>
        <w:t>八</w:t>
      </w:r>
      <w:r w:rsidRPr="00D67AA2">
        <w:rPr>
          <w:rFonts w:ascii="標楷體" w:eastAsia="標楷體" w:hAnsi="標楷體" w:hint="eastAsia"/>
          <w:bCs/>
          <w:sz w:val="32"/>
          <w:szCs w:val="32"/>
        </w:rPr>
        <w:t>成之儀器件數計31件，占國研院貴重儀器件數68.89%。</w:t>
      </w:r>
      <w:r>
        <w:rPr>
          <w:rFonts w:ascii="標楷體" w:eastAsia="標楷體" w:hAnsi="標楷體" w:hint="eastAsia"/>
          <w:bCs/>
          <w:sz w:val="32"/>
          <w:szCs w:val="32"/>
        </w:rPr>
        <w:t>財團法人</w:t>
      </w:r>
      <w:r w:rsidRPr="00D67AA2">
        <w:rPr>
          <w:rFonts w:ascii="標楷體" w:eastAsia="標楷體" w:hAnsi="標楷體" w:hint="eastAsia"/>
          <w:bCs/>
          <w:sz w:val="32"/>
          <w:szCs w:val="32"/>
        </w:rPr>
        <w:t>國家實驗研究院台灣半導體研究中心應提升貴重儀器之使用率，請國</w:t>
      </w:r>
      <w:r>
        <w:rPr>
          <w:rFonts w:ascii="標楷體" w:eastAsia="標楷體" w:hAnsi="標楷體" w:hint="eastAsia"/>
          <w:bCs/>
          <w:sz w:val="32"/>
          <w:szCs w:val="32"/>
        </w:rPr>
        <w:t>家</w:t>
      </w:r>
      <w:r w:rsidRPr="00D67AA2">
        <w:rPr>
          <w:rFonts w:ascii="標楷體" w:eastAsia="標楷體" w:hAnsi="標楷體" w:hint="eastAsia"/>
          <w:bCs/>
          <w:sz w:val="32"/>
          <w:szCs w:val="32"/>
        </w:rPr>
        <w:t>科</w:t>
      </w:r>
      <w:r>
        <w:rPr>
          <w:rFonts w:ascii="標楷體" w:eastAsia="標楷體" w:hAnsi="標楷體" w:hint="eastAsia"/>
          <w:bCs/>
          <w:sz w:val="32"/>
          <w:szCs w:val="32"/>
        </w:rPr>
        <w:t>學及技術委員</w:t>
      </w:r>
      <w:r w:rsidRPr="00D67AA2">
        <w:rPr>
          <w:rFonts w:ascii="標楷體" w:eastAsia="標楷體" w:hAnsi="標楷體" w:hint="eastAsia"/>
          <w:bCs/>
          <w:sz w:val="32"/>
          <w:szCs w:val="32"/>
        </w:rPr>
        <w:t>會於</w:t>
      </w:r>
      <w:r>
        <w:rPr>
          <w:rFonts w:ascii="標楷體" w:eastAsia="標楷體" w:hAnsi="標楷體" w:hint="eastAsia"/>
          <w:bCs/>
          <w:sz w:val="32"/>
          <w:szCs w:val="32"/>
        </w:rPr>
        <w:t>3</w:t>
      </w:r>
      <w:r w:rsidRPr="00D67AA2">
        <w:rPr>
          <w:rFonts w:ascii="標楷體" w:eastAsia="標楷體" w:hAnsi="標楷體" w:hint="eastAsia"/>
          <w:bCs/>
          <w:sz w:val="32"/>
          <w:szCs w:val="32"/>
        </w:rPr>
        <w:t>個月內向立法院教育及文化委員會提出書面報告。</w:t>
      </w:r>
      <w:r>
        <w:rPr>
          <w:rFonts w:ascii="標楷體" w:eastAsia="標楷體" w:hAnsi="標楷體" w:hint="eastAsia"/>
          <w:bCs/>
          <w:sz w:val="32"/>
          <w:szCs w:val="32"/>
        </w:rPr>
        <w:t>56</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黃國書</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何欣純  林宜瑾</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(七十四)</w:t>
      </w:r>
      <w:r w:rsidRPr="00B74E09">
        <w:rPr>
          <w:rFonts w:ascii="標楷體" w:eastAsia="標楷體" w:hAnsi="標楷體" w:hint="eastAsia"/>
          <w:bCs/>
          <w:sz w:val="32"/>
          <w:szCs w:val="32"/>
        </w:rPr>
        <w:t>依據財團法人國家同步輻射研究中心之決算書顯示，其用人「超時工作報酬」近</w:t>
      </w:r>
      <w:r>
        <w:rPr>
          <w:rFonts w:ascii="標楷體" w:eastAsia="標楷體" w:hAnsi="標楷體" w:hint="eastAsia"/>
          <w:bCs/>
          <w:sz w:val="32"/>
          <w:szCs w:val="32"/>
        </w:rPr>
        <w:t>3</w:t>
      </w:r>
      <w:r w:rsidRPr="00B74E09">
        <w:rPr>
          <w:rFonts w:ascii="標楷體" w:eastAsia="標楷體" w:hAnsi="標楷體" w:hint="eastAsia"/>
          <w:bCs/>
          <w:sz w:val="32"/>
          <w:szCs w:val="32"/>
        </w:rPr>
        <w:t>年決算數皆明顯高於預算數，其108</w:t>
      </w:r>
      <w:r>
        <w:rPr>
          <w:rFonts w:ascii="標楷體" w:eastAsia="標楷體" w:hAnsi="標楷體" w:hint="eastAsia"/>
          <w:bCs/>
          <w:sz w:val="32"/>
          <w:szCs w:val="32"/>
        </w:rPr>
        <w:t>至</w:t>
      </w:r>
      <w:r w:rsidRPr="00B74E09">
        <w:rPr>
          <w:rFonts w:ascii="標楷體" w:eastAsia="標楷體" w:hAnsi="標楷體" w:hint="eastAsia"/>
          <w:bCs/>
          <w:sz w:val="32"/>
          <w:szCs w:val="32"/>
        </w:rPr>
        <w:t>110年度預算數分別為400萬</w:t>
      </w:r>
      <w:r>
        <w:rPr>
          <w:rFonts w:ascii="標楷體" w:eastAsia="標楷體" w:hAnsi="標楷體" w:hint="eastAsia"/>
          <w:bCs/>
          <w:sz w:val="32"/>
          <w:szCs w:val="32"/>
        </w:rPr>
        <w:t>元</w:t>
      </w:r>
      <w:r w:rsidRPr="00B74E09">
        <w:rPr>
          <w:rFonts w:ascii="標楷體" w:eastAsia="標楷體" w:hAnsi="標楷體" w:hint="eastAsia"/>
          <w:bCs/>
          <w:sz w:val="32"/>
          <w:szCs w:val="32"/>
        </w:rPr>
        <w:t>、676萬</w:t>
      </w:r>
      <w:r>
        <w:rPr>
          <w:rFonts w:ascii="標楷體" w:eastAsia="標楷體" w:hAnsi="標楷體" w:hint="eastAsia"/>
          <w:bCs/>
          <w:sz w:val="32"/>
          <w:szCs w:val="32"/>
        </w:rPr>
        <w:t>元</w:t>
      </w:r>
      <w:r w:rsidRPr="00B74E09">
        <w:rPr>
          <w:rFonts w:ascii="標楷體" w:eastAsia="標楷體" w:hAnsi="標楷體" w:hint="eastAsia"/>
          <w:bCs/>
          <w:sz w:val="32"/>
          <w:szCs w:val="32"/>
        </w:rPr>
        <w:t>、676萬</w:t>
      </w:r>
      <w:r>
        <w:rPr>
          <w:rFonts w:ascii="標楷體" w:eastAsia="標楷體" w:hAnsi="標楷體" w:hint="eastAsia"/>
          <w:bCs/>
          <w:sz w:val="32"/>
          <w:szCs w:val="32"/>
        </w:rPr>
        <w:t>元</w:t>
      </w:r>
      <w:r w:rsidRPr="00B74E09">
        <w:rPr>
          <w:rFonts w:ascii="標楷體" w:eastAsia="標楷體" w:hAnsi="標楷體" w:hint="eastAsia"/>
          <w:bCs/>
          <w:sz w:val="32"/>
          <w:szCs w:val="32"/>
        </w:rPr>
        <w:t>，其決算數分別為1</w:t>
      </w:r>
      <w:r>
        <w:rPr>
          <w:rFonts w:ascii="標楷體" w:eastAsia="標楷體" w:hAnsi="標楷體"/>
          <w:bCs/>
          <w:sz w:val="32"/>
          <w:szCs w:val="32"/>
        </w:rPr>
        <w:t>,</w:t>
      </w:r>
      <w:r w:rsidRPr="00B74E09">
        <w:rPr>
          <w:rFonts w:ascii="標楷體" w:eastAsia="標楷體" w:hAnsi="標楷體" w:hint="eastAsia"/>
          <w:bCs/>
          <w:sz w:val="32"/>
          <w:szCs w:val="32"/>
        </w:rPr>
        <w:t>260萬</w:t>
      </w:r>
      <w:r>
        <w:rPr>
          <w:rFonts w:ascii="標楷體" w:eastAsia="標楷體" w:hAnsi="標楷體" w:hint="eastAsia"/>
          <w:bCs/>
          <w:sz w:val="32"/>
          <w:szCs w:val="32"/>
        </w:rPr>
        <w:t>元</w:t>
      </w:r>
      <w:r w:rsidRPr="00B74E09">
        <w:rPr>
          <w:rFonts w:ascii="標楷體" w:eastAsia="標楷體" w:hAnsi="標楷體" w:hint="eastAsia"/>
          <w:bCs/>
          <w:sz w:val="32"/>
          <w:szCs w:val="32"/>
        </w:rPr>
        <w:t>、1</w:t>
      </w:r>
      <w:r>
        <w:rPr>
          <w:rFonts w:ascii="標楷體" w:eastAsia="標楷體" w:hAnsi="標楷體"/>
          <w:bCs/>
          <w:sz w:val="32"/>
          <w:szCs w:val="32"/>
        </w:rPr>
        <w:t>,</w:t>
      </w:r>
      <w:r w:rsidRPr="00B74E09">
        <w:rPr>
          <w:rFonts w:ascii="標楷體" w:eastAsia="標楷體" w:hAnsi="標楷體" w:hint="eastAsia"/>
          <w:bCs/>
          <w:sz w:val="32"/>
          <w:szCs w:val="32"/>
        </w:rPr>
        <w:t>436萬</w:t>
      </w:r>
      <w:r>
        <w:rPr>
          <w:rFonts w:ascii="標楷體" w:eastAsia="標楷體" w:hAnsi="標楷體" w:hint="eastAsia"/>
          <w:bCs/>
          <w:sz w:val="32"/>
          <w:szCs w:val="32"/>
        </w:rPr>
        <w:t>元</w:t>
      </w:r>
      <w:r w:rsidRPr="00B74E09">
        <w:rPr>
          <w:rFonts w:ascii="標楷體" w:eastAsia="標楷體" w:hAnsi="標楷體" w:hint="eastAsia"/>
          <w:bCs/>
          <w:sz w:val="32"/>
          <w:szCs w:val="32"/>
        </w:rPr>
        <w:t>、1</w:t>
      </w:r>
      <w:r>
        <w:rPr>
          <w:rFonts w:ascii="標楷體" w:eastAsia="標楷體" w:hAnsi="標楷體"/>
          <w:bCs/>
          <w:sz w:val="32"/>
          <w:szCs w:val="32"/>
        </w:rPr>
        <w:t>,</w:t>
      </w:r>
      <w:r w:rsidRPr="00B74E09">
        <w:rPr>
          <w:rFonts w:ascii="標楷體" w:eastAsia="標楷體" w:hAnsi="標楷體" w:hint="eastAsia"/>
          <w:bCs/>
          <w:sz w:val="32"/>
          <w:szCs w:val="32"/>
        </w:rPr>
        <w:t>890萬</w:t>
      </w:r>
      <w:r>
        <w:rPr>
          <w:rFonts w:ascii="標楷體" w:eastAsia="標楷體" w:hAnsi="標楷體" w:hint="eastAsia"/>
          <w:bCs/>
          <w:sz w:val="32"/>
          <w:szCs w:val="32"/>
        </w:rPr>
        <w:t>元</w:t>
      </w:r>
      <w:r w:rsidRPr="00B74E09">
        <w:rPr>
          <w:rFonts w:ascii="標楷體" w:eastAsia="標楷體" w:hAnsi="標楷體" w:hint="eastAsia"/>
          <w:bCs/>
          <w:sz w:val="32"/>
          <w:szCs w:val="32"/>
        </w:rPr>
        <w:t>，皆為成長趨勢，且其108至110年度員工人數之預算數皆為324人，決算數分別為308人、314人、311人，並無明顯增加趨勢，超時工作報酬卻年年超出預算數，國家科學及技術委員會應儘速檢討並研議改善措施，打造予員工友善勞動職場之工作環境</w:t>
      </w:r>
      <w:r>
        <w:rPr>
          <w:rFonts w:ascii="標楷體" w:eastAsia="標楷體" w:hAnsi="標楷體" w:hint="eastAsia"/>
          <w:bCs/>
          <w:sz w:val="32"/>
          <w:szCs w:val="32"/>
        </w:rPr>
        <w:t>，並</w:t>
      </w:r>
      <w:r w:rsidRPr="00B74E09">
        <w:rPr>
          <w:rFonts w:ascii="標楷體" w:eastAsia="標楷體" w:hAnsi="標楷體" w:hint="eastAsia"/>
          <w:bCs/>
          <w:sz w:val="32"/>
          <w:szCs w:val="32"/>
        </w:rPr>
        <w:t>於</w:t>
      </w:r>
      <w:r>
        <w:rPr>
          <w:rFonts w:ascii="標楷體" w:eastAsia="標楷體" w:hAnsi="標楷體" w:hint="eastAsia"/>
          <w:bCs/>
          <w:sz w:val="32"/>
          <w:szCs w:val="32"/>
        </w:rPr>
        <w:t>3</w:t>
      </w:r>
      <w:r w:rsidRPr="00B74E09">
        <w:rPr>
          <w:rFonts w:ascii="標楷體" w:eastAsia="標楷體" w:hAnsi="標楷體" w:hint="eastAsia"/>
          <w:bCs/>
          <w:sz w:val="32"/>
          <w:szCs w:val="32"/>
        </w:rPr>
        <w:t>個月內向立法院教育及文化委員會提出書面報告。</w:t>
      </w:r>
      <w:r>
        <w:rPr>
          <w:rFonts w:ascii="標楷體" w:eastAsia="標楷體" w:hAnsi="標楷體" w:hint="eastAsia"/>
          <w:bCs/>
          <w:sz w:val="32"/>
          <w:szCs w:val="32"/>
        </w:rPr>
        <w:t>68</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吳思瑤</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林宜瑾  陳秀寳</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(七十五)</w:t>
      </w:r>
      <w:r w:rsidRPr="00B74E09">
        <w:rPr>
          <w:rFonts w:ascii="標楷體" w:eastAsia="標楷體" w:hAnsi="標楷體" w:hint="eastAsia"/>
          <w:bCs/>
          <w:sz w:val="32"/>
          <w:szCs w:val="32"/>
        </w:rPr>
        <w:t>為滿足廣大高能量硬X光用戶之需求，我國與日本JASRI簽訂備忘錄，於日本SPring-8興建</w:t>
      </w:r>
      <w:r>
        <w:rPr>
          <w:rFonts w:ascii="標楷體" w:eastAsia="標楷體" w:hAnsi="標楷體" w:hint="eastAsia"/>
          <w:bCs/>
          <w:sz w:val="32"/>
          <w:szCs w:val="32"/>
        </w:rPr>
        <w:t>2</w:t>
      </w:r>
      <w:r w:rsidRPr="00B74E09">
        <w:rPr>
          <w:rFonts w:ascii="標楷體" w:eastAsia="標楷體" w:hAnsi="標楷體" w:hint="eastAsia"/>
          <w:bCs/>
          <w:sz w:val="32"/>
          <w:szCs w:val="32"/>
        </w:rPr>
        <w:t>座台灣專用光束線暨周</w:t>
      </w:r>
      <w:r w:rsidRPr="00B74E09">
        <w:rPr>
          <w:rFonts w:ascii="標楷體" w:eastAsia="標楷體" w:hAnsi="標楷體" w:hint="eastAsia"/>
          <w:bCs/>
          <w:sz w:val="32"/>
          <w:szCs w:val="32"/>
        </w:rPr>
        <w:lastRenderedPageBreak/>
        <w:t>邊實驗站設施，並陸續簽訂光束線建造與運轉合約。</w:t>
      </w:r>
      <w:r>
        <w:rPr>
          <w:rFonts w:ascii="標楷體" w:eastAsia="標楷體" w:hAnsi="標楷體" w:hint="eastAsia"/>
          <w:bCs/>
          <w:sz w:val="32"/>
          <w:szCs w:val="32"/>
        </w:rPr>
        <w:t>鑑</w:t>
      </w:r>
      <w:r w:rsidRPr="00B74E09">
        <w:rPr>
          <w:rFonts w:ascii="標楷體" w:eastAsia="標楷體" w:hAnsi="標楷體" w:hint="eastAsia"/>
          <w:bCs/>
          <w:sz w:val="32"/>
          <w:szCs w:val="32"/>
        </w:rPr>
        <w:t>於日本JASRI預計於2026年升級SPring-8高能X光光源，SPring-8台灣光束線因加速器光源亮度及規格改變，現有設施須併同升級，所需經費共4億3</w:t>
      </w:r>
      <w:r>
        <w:rPr>
          <w:rFonts w:ascii="標楷體" w:eastAsia="標楷體" w:hAnsi="標楷體"/>
          <w:bCs/>
          <w:sz w:val="32"/>
          <w:szCs w:val="32"/>
        </w:rPr>
        <w:t>,</w:t>
      </w:r>
      <w:r w:rsidRPr="00B74E09">
        <w:rPr>
          <w:rFonts w:ascii="標楷體" w:eastAsia="標楷體" w:hAnsi="標楷體" w:hint="eastAsia"/>
          <w:bCs/>
          <w:sz w:val="32"/>
          <w:szCs w:val="32"/>
        </w:rPr>
        <w:t>200萬元。財團法人國家同步輻射研究中心表示，相關設施升級後，可滿足潛在客戶對次世代半導體、新穎量子材料、奈米觸媒及綠能材料等產業科研領域之實驗需求。查105</w:t>
      </w:r>
      <w:r>
        <w:rPr>
          <w:rFonts w:ascii="標楷體" w:eastAsia="標楷體" w:hAnsi="標楷體" w:hint="eastAsia"/>
          <w:bCs/>
          <w:sz w:val="32"/>
          <w:szCs w:val="32"/>
        </w:rPr>
        <w:t>至</w:t>
      </w:r>
      <w:r w:rsidRPr="00B74E09">
        <w:rPr>
          <w:rFonts w:ascii="標楷體" w:eastAsia="標楷體" w:hAnsi="標楷體" w:hint="eastAsia"/>
          <w:bCs/>
          <w:sz w:val="32"/>
          <w:szCs w:val="32"/>
        </w:rPr>
        <w:t>110</w:t>
      </w:r>
      <w:r>
        <w:rPr>
          <w:rFonts w:ascii="標楷體" w:eastAsia="標楷體" w:hAnsi="標楷體" w:hint="eastAsia"/>
          <w:bCs/>
          <w:sz w:val="32"/>
          <w:szCs w:val="32"/>
        </w:rPr>
        <w:t>年</w:t>
      </w:r>
      <w:r w:rsidRPr="00B74E09">
        <w:rPr>
          <w:rFonts w:ascii="標楷體" w:eastAsia="標楷體" w:hAnsi="標楷體" w:hint="eastAsia"/>
          <w:bCs/>
          <w:sz w:val="32"/>
          <w:szCs w:val="32"/>
        </w:rPr>
        <w:t>SPring-8台灣光束線使用時數統計，國內產、官、學界中，以學界使用時數最高，各年度使用時數介於5,748小時至8,400小時。另查，105</w:t>
      </w:r>
      <w:r>
        <w:rPr>
          <w:rFonts w:ascii="標楷體" w:eastAsia="標楷體" w:hAnsi="標楷體" w:hint="eastAsia"/>
          <w:bCs/>
          <w:sz w:val="32"/>
          <w:szCs w:val="32"/>
        </w:rPr>
        <w:t>至</w:t>
      </w:r>
      <w:r w:rsidRPr="00B74E09">
        <w:rPr>
          <w:rFonts w:ascii="標楷體" w:eastAsia="標楷體" w:hAnsi="標楷體" w:hint="eastAsia"/>
          <w:bCs/>
          <w:sz w:val="32"/>
          <w:szCs w:val="32"/>
        </w:rPr>
        <w:t>110年SPring-8台灣光束線重要效益成果，其論文合計數量自26篇增加至33篇；平均論文影響因子則分別由3.867、4.218提升至8.990及9.900；高影響因子</w:t>
      </w:r>
      <w:r>
        <w:rPr>
          <w:rFonts w:ascii="標楷體" w:eastAsia="標楷體" w:hAnsi="標楷體" w:hint="eastAsia"/>
          <w:bCs/>
          <w:sz w:val="32"/>
          <w:szCs w:val="32"/>
        </w:rPr>
        <w:t>大於</w:t>
      </w:r>
      <w:r w:rsidRPr="00B74E09">
        <w:rPr>
          <w:rFonts w:ascii="標楷體" w:eastAsia="標楷體" w:hAnsi="標楷體" w:hint="eastAsia"/>
          <w:bCs/>
          <w:sz w:val="32"/>
          <w:szCs w:val="32"/>
        </w:rPr>
        <w:t>6之論文數量合計數由3篇增加至12篇，可見科研成效。惟SPring-8台灣光束線升級目標，僅設定論文發表平均影響力較108年度提高25%、高影響因子</w:t>
      </w:r>
      <w:r>
        <w:rPr>
          <w:rFonts w:ascii="標楷體" w:eastAsia="標楷體" w:hAnsi="標楷體" w:hint="eastAsia"/>
          <w:bCs/>
          <w:sz w:val="32"/>
          <w:szCs w:val="32"/>
        </w:rPr>
        <w:t>大於</w:t>
      </w:r>
      <w:r w:rsidRPr="00B74E09">
        <w:rPr>
          <w:rFonts w:ascii="標楷體" w:eastAsia="標楷體" w:hAnsi="標楷體" w:hint="eastAsia"/>
          <w:bCs/>
          <w:sz w:val="32"/>
          <w:szCs w:val="32"/>
        </w:rPr>
        <w:t>6之論文數量增加25%，目標皆以論文產出為衡量標準，難以評估設施升級之效益。財團法人國家同步輻射研究中心允宜針對設施升級後運轉及使用效率，提出量化指標</w:t>
      </w:r>
      <w:r>
        <w:rPr>
          <w:rFonts w:ascii="標楷體" w:eastAsia="標楷體" w:hAnsi="標楷體" w:hint="eastAsia"/>
          <w:bCs/>
          <w:sz w:val="32"/>
          <w:szCs w:val="32"/>
        </w:rPr>
        <w:t>，</w:t>
      </w:r>
      <w:r w:rsidRPr="00B74E09">
        <w:rPr>
          <w:rFonts w:ascii="標楷體" w:eastAsia="標楷體" w:hAnsi="標楷體" w:hint="eastAsia"/>
          <w:bCs/>
          <w:sz w:val="32"/>
          <w:szCs w:val="32"/>
        </w:rPr>
        <w:t>爰請國</w:t>
      </w:r>
      <w:r>
        <w:rPr>
          <w:rFonts w:ascii="標楷體" w:eastAsia="標楷體" w:hAnsi="標楷體" w:hint="eastAsia"/>
          <w:bCs/>
          <w:sz w:val="32"/>
          <w:szCs w:val="32"/>
        </w:rPr>
        <w:t>家</w:t>
      </w:r>
      <w:r w:rsidRPr="00B74E09">
        <w:rPr>
          <w:rFonts w:ascii="標楷體" w:eastAsia="標楷體" w:hAnsi="標楷體" w:hint="eastAsia"/>
          <w:bCs/>
          <w:sz w:val="32"/>
          <w:szCs w:val="32"/>
        </w:rPr>
        <w:t>科</w:t>
      </w:r>
      <w:r>
        <w:rPr>
          <w:rFonts w:ascii="標楷體" w:eastAsia="標楷體" w:hAnsi="標楷體" w:hint="eastAsia"/>
          <w:bCs/>
          <w:sz w:val="32"/>
          <w:szCs w:val="32"/>
        </w:rPr>
        <w:t>學及技術委員</w:t>
      </w:r>
      <w:r w:rsidRPr="00B74E09">
        <w:rPr>
          <w:rFonts w:ascii="標楷體" w:eastAsia="標楷體" w:hAnsi="標楷體" w:hint="eastAsia"/>
          <w:bCs/>
          <w:sz w:val="32"/>
          <w:szCs w:val="32"/>
        </w:rPr>
        <w:t>會於</w:t>
      </w:r>
      <w:r>
        <w:rPr>
          <w:rFonts w:ascii="標楷體" w:eastAsia="標楷體" w:hAnsi="標楷體" w:hint="eastAsia"/>
          <w:bCs/>
          <w:sz w:val="32"/>
          <w:szCs w:val="32"/>
        </w:rPr>
        <w:t>3</w:t>
      </w:r>
      <w:r w:rsidRPr="00B74E09">
        <w:rPr>
          <w:rFonts w:ascii="標楷體" w:eastAsia="標楷體" w:hAnsi="標楷體" w:hint="eastAsia"/>
          <w:bCs/>
          <w:sz w:val="32"/>
          <w:szCs w:val="32"/>
        </w:rPr>
        <w:t>個月內向立法院教育及文化委員會提出書面報告。</w:t>
      </w:r>
      <w:r>
        <w:rPr>
          <w:rFonts w:ascii="標楷體" w:eastAsia="標楷體" w:hAnsi="標楷體" w:hint="eastAsia"/>
          <w:bCs/>
          <w:sz w:val="32"/>
          <w:szCs w:val="32"/>
        </w:rPr>
        <w:t>77</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黃國書</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陳秀寳  林宜瑾</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(七十六)</w:t>
      </w:r>
      <w:r w:rsidRPr="00B74E09">
        <w:rPr>
          <w:rFonts w:ascii="標楷體" w:eastAsia="標楷體" w:hAnsi="標楷體" w:hint="eastAsia"/>
          <w:bCs/>
          <w:sz w:val="32"/>
          <w:szCs w:val="32"/>
        </w:rPr>
        <w:t>經查112年度國</w:t>
      </w:r>
      <w:r>
        <w:rPr>
          <w:rFonts w:ascii="標楷體" w:eastAsia="標楷體" w:hAnsi="標楷體" w:hint="eastAsia"/>
          <w:bCs/>
          <w:sz w:val="32"/>
          <w:szCs w:val="32"/>
        </w:rPr>
        <w:t>家</w:t>
      </w:r>
      <w:r w:rsidRPr="00B74E09">
        <w:rPr>
          <w:rFonts w:ascii="標楷體" w:eastAsia="標楷體" w:hAnsi="標楷體" w:hint="eastAsia"/>
          <w:bCs/>
          <w:sz w:val="32"/>
          <w:szCs w:val="32"/>
        </w:rPr>
        <w:t>科</w:t>
      </w:r>
      <w:r>
        <w:rPr>
          <w:rFonts w:ascii="標楷體" w:eastAsia="標楷體" w:hAnsi="標楷體" w:hint="eastAsia"/>
          <w:bCs/>
          <w:sz w:val="32"/>
          <w:szCs w:val="32"/>
        </w:rPr>
        <w:t>學及技術委員</w:t>
      </w:r>
      <w:r w:rsidRPr="00B74E09">
        <w:rPr>
          <w:rFonts w:ascii="標楷體" w:eastAsia="標楷體" w:hAnsi="標楷體" w:hint="eastAsia"/>
          <w:bCs/>
          <w:sz w:val="32"/>
          <w:szCs w:val="32"/>
        </w:rPr>
        <w:t>會</w:t>
      </w:r>
      <w:r>
        <w:rPr>
          <w:rFonts w:ascii="標楷體" w:eastAsia="標楷體" w:hAnsi="標楷體" w:hint="eastAsia"/>
          <w:bCs/>
          <w:sz w:val="32"/>
          <w:szCs w:val="32"/>
        </w:rPr>
        <w:t>「非營業特種基金」項下</w:t>
      </w:r>
      <w:r w:rsidRPr="00B74E09">
        <w:rPr>
          <w:rFonts w:ascii="標楷體" w:eastAsia="標楷體" w:hAnsi="標楷體" w:hint="eastAsia"/>
          <w:bCs/>
          <w:sz w:val="32"/>
          <w:szCs w:val="32"/>
        </w:rPr>
        <w:t>「國家科學技術發展基金」</w:t>
      </w:r>
      <w:r>
        <w:rPr>
          <w:rFonts w:ascii="標楷體" w:eastAsia="標楷體" w:hAnsi="標楷體" w:hint="eastAsia"/>
          <w:bCs/>
          <w:sz w:val="32"/>
          <w:szCs w:val="32"/>
        </w:rPr>
        <w:t>編列之預算較111</w:t>
      </w:r>
      <w:r w:rsidRPr="00B74E09">
        <w:rPr>
          <w:rFonts w:ascii="標楷體" w:eastAsia="標楷體" w:hAnsi="標楷體" w:hint="eastAsia"/>
          <w:bCs/>
          <w:sz w:val="32"/>
          <w:szCs w:val="32"/>
        </w:rPr>
        <w:t>年度多編列22億4,748萬6千元。國家科學技術發展基金作為辦理推動整體科技發展之用；惟我國高科技產業仍有技術貿易逆差，109年度電子零組件業技術貿易逆差74</w:t>
      </w:r>
      <w:r>
        <w:rPr>
          <w:rFonts w:ascii="標楷體" w:eastAsia="標楷體" w:hAnsi="標楷體" w:hint="eastAsia"/>
          <w:bCs/>
          <w:sz w:val="32"/>
          <w:szCs w:val="32"/>
        </w:rPr>
        <w:t>億</w:t>
      </w:r>
      <w:r w:rsidRPr="00B74E09">
        <w:rPr>
          <w:rFonts w:ascii="標楷體" w:eastAsia="標楷體" w:hAnsi="標楷體" w:hint="eastAsia"/>
          <w:bCs/>
          <w:sz w:val="32"/>
          <w:szCs w:val="32"/>
        </w:rPr>
        <w:t>7</w:t>
      </w:r>
      <w:r>
        <w:rPr>
          <w:rFonts w:ascii="標楷體" w:eastAsia="標楷體" w:hAnsi="標楷體"/>
          <w:bCs/>
          <w:sz w:val="32"/>
          <w:szCs w:val="32"/>
        </w:rPr>
        <w:t>,</w:t>
      </w:r>
      <w:r>
        <w:rPr>
          <w:rFonts w:ascii="標楷體" w:eastAsia="標楷體" w:hAnsi="標楷體" w:hint="eastAsia"/>
          <w:bCs/>
          <w:sz w:val="32"/>
          <w:szCs w:val="32"/>
        </w:rPr>
        <w:t>000萬</w:t>
      </w:r>
      <w:r w:rsidRPr="00B74E09">
        <w:rPr>
          <w:rFonts w:ascii="標楷體" w:eastAsia="標楷體" w:hAnsi="標楷體" w:hint="eastAsia"/>
          <w:bCs/>
          <w:sz w:val="32"/>
          <w:szCs w:val="32"/>
        </w:rPr>
        <w:t>元；電腦、電子產品及光學製品業技術貿易逆差55</w:t>
      </w:r>
      <w:r>
        <w:rPr>
          <w:rFonts w:ascii="標楷體" w:eastAsia="標楷體" w:hAnsi="標楷體" w:hint="eastAsia"/>
          <w:bCs/>
          <w:sz w:val="32"/>
          <w:szCs w:val="32"/>
        </w:rPr>
        <w:t>億</w:t>
      </w:r>
      <w:r w:rsidRPr="00B74E09">
        <w:rPr>
          <w:rFonts w:ascii="標楷體" w:eastAsia="標楷體" w:hAnsi="標楷體" w:hint="eastAsia"/>
          <w:bCs/>
          <w:sz w:val="32"/>
          <w:szCs w:val="32"/>
        </w:rPr>
        <w:t>8</w:t>
      </w:r>
      <w:r>
        <w:rPr>
          <w:rFonts w:ascii="標楷體" w:eastAsia="標楷體" w:hAnsi="標楷體"/>
          <w:bCs/>
          <w:sz w:val="32"/>
          <w:szCs w:val="32"/>
        </w:rPr>
        <w:t>,</w:t>
      </w:r>
      <w:r>
        <w:rPr>
          <w:rFonts w:ascii="標楷體" w:eastAsia="標楷體" w:hAnsi="標楷體" w:hint="eastAsia"/>
          <w:bCs/>
          <w:sz w:val="32"/>
          <w:szCs w:val="32"/>
        </w:rPr>
        <w:t>000萬</w:t>
      </w:r>
      <w:r w:rsidRPr="00B74E09">
        <w:rPr>
          <w:rFonts w:ascii="標楷體" w:eastAsia="標楷體" w:hAnsi="標楷體" w:hint="eastAsia"/>
          <w:bCs/>
          <w:sz w:val="32"/>
          <w:szCs w:val="32"/>
        </w:rPr>
        <w:t>元，兩者合計達130</w:t>
      </w:r>
      <w:r>
        <w:rPr>
          <w:rFonts w:ascii="標楷體" w:eastAsia="標楷體" w:hAnsi="標楷體" w:hint="eastAsia"/>
          <w:bCs/>
          <w:sz w:val="32"/>
          <w:szCs w:val="32"/>
        </w:rPr>
        <w:t>億</w:t>
      </w:r>
      <w:r w:rsidRPr="00B74E09">
        <w:rPr>
          <w:rFonts w:ascii="標楷體" w:eastAsia="標楷體" w:hAnsi="標楷體" w:hint="eastAsia"/>
          <w:bCs/>
          <w:sz w:val="32"/>
          <w:szCs w:val="32"/>
        </w:rPr>
        <w:t>5</w:t>
      </w:r>
      <w:r>
        <w:rPr>
          <w:rFonts w:ascii="標楷體" w:eastAsia="標楷體" w:hAnsi="標楷體"/>
          <w:bCs/>
          <w:sz w:val="32"/>
          <w:szCs w:val="32"/>
        </w:rPr>
        <w:t>,</w:t>
      </w:r>
      <w:r>
        <w:rPr>
          <w:rFonts w:ascii="標楷體" w:eastAsia="標楷體" w:hAnsi="標楷體" w:hint="eastAsia"/>
          <w:bCs/>
          <w:sz w:val="32"/>
          <w:szCs w:val="32"/>
        </w:rPr>
        <w:t>000萬</w:t>
      </w:r>
      <w:r w:rsidRPr="00B74E09">
        <w:rPr>
          <w:rFonts w:ascii="標楷體" w:eastAsia="標楷體" w:hAnsi="標楷體" w:hint="eastAsia"/>
          <w:bCs/>
          <w:sz w:val="32"/>
          <w:szCs w:val="32"/>
        </w:rPr>
        <w:t>元，顯示產業自主性仍有提升</w:t>
      </w:r>
      <w:r w:rsidRPr="00B74E09">
        <w:rPr>
          <w:rFonts w:ascii="標楷體" w:eastAsia="標楷體" w:hAnsi="標楷體" w:hint="eastAsia"/>
          <w:bCs/>
          <w:sz w:val="32"/>
          <w:szCs w:val="32"/>
        </w:rPr>
        <w:lastRenderedPageBreak/>
        <w:t>空間。國</w:t>
      </w:r>
      <w:r>
        <w:rPr>
          <w:rFonts w:ascii="標楷體" w:eastAsia="標楷體" w:hAnsi="標楷體" w:hint="eastAsia"/>
          <w:bCs/>
          <w:sz w:val="32"/>
          <w:szCs w:val="32"/>
        </w:rPr>
        <w:t>家</w:t>
      </w:r>
      <w:r w:rsidRPr="00B74E09">
        <w:rPr>
          <w:rFonts w:ascii="標楷體" w:eastAsia="標楷體" w:hAnsi="標楷體" w:hint="eastAsia"/>
          <w:bCs/>
          <w:sz w:val="32"/>
          <w:szCs w:val="32"/>
        </w:rPr>
        <w:t>科</w:t>
      </w:r>
      <w:r>
        <w:rPr>
          <w:rFonts w:ascii="標楷體" w:eastAsia="標楷體" w:hAnsi="標楷體" w:hint="eastAsia"/>
          <w:bCs/>
          <w:sz w:val="32"/>
          <w:szCs w:val="32"/>
        </w:rPr>
        <w:t>學及技術委員</w:t>
      </w:r>
      <w:r w:rsidRPr="00B74E09">
        <w:rPr>
          <w:rFonts w:ascii="標楷體" w:eastAsia="標楷體" w:hAnsi="標楷體" w:hint="eastAsia"/>
          <w:bCs/>
          <w:sz w:val="32"/>
          <w:szCs w:val="32"/>
        </w:rPr>
        <w:t>會允宜強化科技研發運用，降低高科技產業之貿易逆差，推動科技產業提升自主性，</w:t>
      </w:r>
      <w:r>
        <w:rPr>
          <w:rFonts w:ascii="標楷體" w:eastAsia="標楷體" w:hAnsi="標楷體" w:hint="eastAsia"/>
          <w:bCs/>
          <w:sz w:val="32"/>
          <w:szCs w:val="32"/>
        </w:rPr>
        <w:t>並</w:t>
      </w:r>
      <w:r w:rsidRPr="00B74E09">
        <w:rPr>
          <w:rFonts w:ascii="標楷體" w:eastAsia="標楷體" w:hAnsi="標楷體" w:hint="eastAsia"/>
          <w:bCs/>
          <w:sz w:val="32"/>
          <w:szCs w:val="32"/>
        </w:rPr>
        <w:t>於</w:t>
      </w:r>
      <w:r>
        <w:rPr>
          <w:rFonts w:ascii="標楷體" w:eastAsia="標楷體" w:hAnsi="標楷體" w:hint="eastAsia"/>
          <w:bCs/>
          <w:sz w:val="32"/>
          <w:szCs w:val="32"/>
        </w:rPr>
        <w:t>3</w:t>
      </w:r>
      <w:r w:rsidRPr="00B74E09">
        <w:rPr>
          <w:rFonts w:ascii="標楷體" w:eastAsia="標楷體" w:hAnsi="標楷體" w:hint="eastAsia"/>
          <w:bCs/>
          <w:sz w:val="32"/>
          <w:szCs w:val="32"/>
        </w:rPr>
        <w:t>個月內向立法院教育及文化委員會提出書面報告。</w:t>
      </w:r>
      <w:r>
        <w:rPr>
          <w:rFonts w:ascii="標楷體" w:eastAsia="標楷體" w:hAnsi="標楷體" w:hint="eastAsia"/>
          <w:bCs/>
          <w:sz w:val="32"/>
          <w:szCs w:val="32"/>
        </w:rPr>
        <w:t>79</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陳秀寳</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吳思瑤  林宜瑾</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(七十七)</w:t>
      </w:r>
      <w:r w:rsidRPr="00B74E09">
        <w:rPr>
          <w:rFonts w:ascii="標楷體" w:eastAsia="標楷體" w:hAnsi="標楷體" w:hint="eastAsia"/>
          <w:bCs/>
          <w:sz w:val="32"/>
          <w:szCs w:val="32"/>
        </w:rPr>
        <w:t>經查</w:t>
      </w:r>
      <w:r w:rsidRPr="0060199D">
        <w:rPr>
          <w:rFonts w:ascii="標楷體" w:eastAsia="標楷體" w:hAnsi="標楷體" w:hint="eastAsia"/>
          <w:bCs/>
          <w:sz w:val="32"/>
          <w:szCs w:val="32"/>
        </w:rPr>
        <w:t>112年度國家科學及技術委員會「非營業特種基金」項下「國家科學技術發展基金」編列之預算較111年度多編列</w:t>
      </w:r>
      <w:r w:rsidRPr="00B74E09">
        <w:rPr>
          <w:rFonts w:ascii="標楷體" w:eastAsia="標楷體" w:hAnsi="標楷體" w:hint="eastAsia"/>
          <w:bCs/>
          <w:sz w:val="32"/>
          <w:szCs w:val="32"/>
        </w:rPr>
        <w:t>22億4,748萬6千元。國家科學技術發展基金包含辦理</w:t>
      </w:r>
      <w:r>
        <w:rPr>
          <w:rFonts w:ascii="標楷體" w:eastAsia="標楷體" w:hAnsi="標楷體" w:hint="eastAsia"/>
          <w:bCs/>
          <w:sz w:val="32"/>
          <w:szCs w:val="32"/>
        </w:rPr>
        <w:t>「『</w:t>
      </w:r>
      <w:r w:rsidRPr="00B74E09">
        <w:rPr>
          <w:rFonts w:ascii="標楷體" w:eastAsia="標楷體" w:hAnsi="標楷體" w:hint="eastAsia"/>
          <w:bCs/>
          <w:sz w:val="32"/>
          <w:szCs w:val="32"/>
        </w:rPr>
        <w:t>淨零排放</w:t>
      </w:r>
      <w:r>
        <w:rPr>
          <w:rFonts w:ascii="標楷體" w:eastAsia="標楷體" w:hAnsi="標楷體" w:hint="eastAsia"/>
          <w:bCs/>
          <w:sz w:val="32"/>
          <w:szCs w:val="32"/>
        </w:rPr>
        <w:t>』</w:t>
      </w:r>
      <w:r w:rsidRPr="00B74E09">
        <w:rPr>
          <w:rFonts w:ascii="標楷體" w:eastAsia="標楷體" w:hAnsi="標楷體" w:hint="eastAsia"/>
          <w:bCs/>
          <w:sz w:val="32"/>
          <w:szCs w:val="32"/>
        </w:rPr>
        <w:t>基於2050淨零減碳之前瞻性科技開發與實踐規劃</w:t>
      </w:r>
      <w:r>
        <w:rPr>
          <w:rFonts w:ascii="標楷體" w:eastAsia="標楷體" w:hAnsi="標楷體" w:hint="eastAsia"/>
          <w:bCs/>
          <w:sz w:val="32"/>
          <w:szCs w:val="32"/>
        </w:rPr>
        <w:t>—科學園區負碳技術先導示範」</w:t>
      </w:r>
      <w:r w:rsidRPr="00B74E09">
        <w:rPr>
          <w:rFonts w:ascii="標楷體" w:eastAsia="標楷體" w:hAnsi="標楷體" w:hint="eastAsia"/>
          <w:bCs/>
          <w:sz w:val="32"/>
          <w:szCs w:val="32"/>
        </w:rPr>
        <w:t>之專案研究計畫。惟根據審計部110年度中央政府總決算審核報告，國際能源總署發布「全球能源部門2050年淨零排放路徑圖」，為達成淨零排放目標，全球能源相關及工業生產之碳排放，須於109至119年間減少近40%，並於2050達到淨零排放。惟依</w:t>
      </w:r>
      <w:r>
        <w:rPr>
          <w:rFonts w:ascii="標楷體" w:eastAsia="標楷體" w:hAnsi="標楷體" w:hint="eastAsia"/>
          <w:bCs/>
          <w:sz w:val="32"/>
          <w:szCs w:val="32"/>
        </w:rPr>
        <w:t>行政院環境保護署</w:t>
      </w:r>
      <w:r w:rsidRPr="00B74E09">
        <w:rPr>
          <w:rFonts w:ascii="標楷體" w:eastAsia="標楷體" w:hAnsi="標楷體" w:hint="eastAsia"/>
          <w:bCs/>
          <w:sz w:val="32"/>
          <w:szCs w:val="32"/>
        </w:rPr>
        <w:t>110年公布之「國家溫室氣體清冊報告」數據估算，109至119年將僅減少17.57%，明顯與40%的目標有相當落差。國</w:t>
      </w:r>
      <w:r>
        <w:rPr>
          <w:rFonts w:ascii="標楷體" w:eastAsia="標楷體" w:hAnsi="標楷體" w:hint="eastAsia"/>
          <w:bCs/>
          <w:sz w:val="32"/>
          <w:szCs w:val="32"/>
        </w:rPr>
        <w:t>家</w:t>
      </w:r>
      <w:r w:rsidRPr="00B74E09">
        <w:rPr>
          <w:rFonts w:ascii="標楷體" w:eastAsia="標楷體" w:hAnsi="標楷體" w:hint="eastAsia"/>
          <w:bCs/>
          <w:sz w:val="32"/>
          <w:szCs w:val="32"/>
        </w:rPr>
        <w:t>科</w:t>
      </w:r>
      <w:r>
        <w:rPr>
          <w:rFonts w:ascii="標楷體" w:eastAsia="標楷體" w:hAnsi="標楷體" w:hint="eastAsia"/>
          <w:bCs/>
          <w:sz w:val="32"/>
          <w:szCs w:val="32"/>
        </w:rPr>
        <w:t>學及技術委員</w:t>
      </w:r>
      <w:r w:rsidRPr="00B74E09">
        <w:rPr>
          <w:rFonts w:ascii="標楷體" w:eastAsia="標楷體" w:hAnsi="標楷體" w:hint="eastAsia"/>
          <w:bCs/>
          <w:sz w:val="32"/>
          <w:szCs w:val="32"/>
        </w:rPr>
        <w:t>會允宜加速相關產業節能、減碳技術之研發，以落實淨零排放的期程規劃，</w:t>
      </w:r>
      <w:r>
        <w:rPr>
          <w:rFonts w:ascii="標楷體" w:eastAsia="標楷體" w:hAnsi="標楷體" w:hint="eastAsia"/>
          <w:bCs/>
          <w:sz w:val="32"/>
          <w:szCs w:val="32"/>
        </w:rPr>
        <w:t>並</w:t>
      </w:r>
      <w:r w:rsidRPr="00B74E09">
        <w:rPr>
          <w:rFonts w:ascii="標楷體" w:eastAsia="標楷體" w:hAnsi="標楷體" w:hint="eastAsia"/>
          <w:bCs/>
          <w:sz w:val="32"/>
          <w:szCs w:val="32"/>
        </w:rPr>
        <w:t>於</w:t>
      </w:r>
      <w:r>
        <w:rPr>
          <w:rFonts w:ascii="標楷體" w:eastAsia="標楷體" w:hAnsi="標楷體" w:hint="eastAsia"/>
          <w:bCs/>
          <w:sz w:val="32"/>
          <w:szCs w:val="32"/>
        </w:rPr>
        <w:t>3</w:t>
      </w:r>
      <w:r w:rsidRPr="00B74E09">
        <w:rPr>
          <w:rFonts w:ascii="標楷體" w:eastAsia="標楷體" w:hAnsi="標楷體" w:hint="eastAsia"/>
          <w:bCs/>
          <w:sz w:val="32"/>
          <w:szCs w:val="32"/>
        </w:rPr>
        <w:t>個月內向立法院教育及文化委員會提出書面報告。</w:t>
      </w:r>
      <w:r>
        <w:rPr>
          <w:rFonts w:ascii="標楷體" w:eastAsia="標楷體" w:hAnsi="標楷體" w:hint="eastAsia"/>
          <w:bCs/>
          <w:sz w:val="32"/>
          <w:szCs w:val="32"/>
        </w:rPr>
        <w:t>81</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陳秀寳</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吳思瑤  林宜瑾</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(七十八)108</w:t>
      </w:r>
      <w:r w:rsidRPr="00F67914">
        <w:rPr>
          <w:rFonts w:ascii="標楷體" w:eastAsia="標楷體" w:hAnsi="標楷體" w:hint="eastAsia"/>
          <w:bCs/>
          <w:sz w:val="32"/>
          <w:szCs w:val="32"/>
        </w:rPr>
        <w:t>年時，因應部分媒體製作關於「掠奪性期刊」及「掠奪性研討會」席捲台灣學界議題，當時科技部為協助研究人員免於掠奪性出版之侵害，曾提出書面報告，並向各研究申請補助單位提出「對掠奪性期刊及研討會議題之聲明」，鼓勵學者發表研究成果於學術社群認可之優良期刊及研討會；惟審計部110年度總決算審核報告指出，經比對科技部</w:t>
      </w:r>
      <w:r>
        <w:rPr>
          <w:rFonts w:ascii="標楷體" w:eastAsia="標楷體" w:hAnsi="標楷體" w:hint="eastAsia"/>
          <w:bCs/>
          <w:sz w:val="32"/>
          <w:szCs w:val="32"/>
        </w:rPr>
        <w:t>108</w:t>
      </w:r>
      <w:r w:rsidRPr="00F67914">
        <w:rPr>
          <w:rFonts w:ascii="標楷體" w:eastAsia="標楷體" w:hAnsi="標楷體" w:hint="eastAsia"/>
          <w:bCs/>
          <w:sz w:val="32"/>
          <w:szCs w:val="32"/>
        </w:rPr>
        <w:t>年1月至</w:t>
      </w:r>
      <w:r>
        <w:rPr>
          <w:rFonts w:ascii="標楷體" w:eastAsia="標楷體" w:hAnsi="標楷體" w:hint="eastAsia"/>
          <w:bCs/>
          <w:sz w:val="32"/>
          <w:szCs w:val="32"/>
        </w:rPr>
        <w:t>110</w:t>
      </w:r>
      <w:r w:rsidRPr="00F67914">
        <w:rPr>
          <w:rFonts w:ascii="標楷體" w:eastAsia="標楷體" w:hAnsi="標楷體" w:hint="eastAsia"/>
          <w:bCs/>
          <w:sz w:val="32"/>
          <w:szCs w:val="32"/>
        </w:rPr>
        <w:t>年9月共1</w:t>
      </w:r>
      <w:r>
        <w:rPr>
          <w:rFonts w:ascii="標楷體" w:eastAsia="標楷體" w:hAnsi="標楷體" w:hint="eastAsia"/>
          <w:bCs/>
          <w:sz w:val="32"/>
          <w:szCs w:val="32"/>
        </w:rPr>
        <w:t>萬</w:t>
      </w:r>
      <w:r w:rsidRPr="00F67914">
        <w:rPr>
          <w:rFonts w:ascii="標楷體" w:eastAsia="標楷體" w:hAnsi="標楷體" w:hint="eastAsia"/>
          <w:bCs/>
          <w:sz w:val="32"/>
          <w:szCs w:val="32"/>
        </w:rPr>
        <w:t>2</w:t>
      </w:r>
      <w:r>
        <w:rPr>
          <w:rFonts w:ascii="標楷體" w:eastAsia="標楷體" w:hAnsi="標楷體"/>
          <w:bCs/>
          <w:sz w:val="32"/>
          <w:szCs w:val="32"/>
        </w:rPr>
        <w:t>,</w:t>
      </w:r>
      <w:r w:rsidRPr="00F67914">
        <w:rPr>
          <w:rFonts w:ascii="標楷體" w:eastAsia="標楷體" w:hAnsi="標楷體" w:hint="eastAsia"/>
          <w:bCs/>
          <w:sz w:val="32"/>
          <w:szCs w:val="32"/>
        </w:rPr>
        <w:t>446件專題研究計畫產出之國</w:t>
      </w:r>
      <w:r w:rsidRPr="00F67914">
        <w:rPr>
          <w:rFonts w:ascii="標楷體" w:eastAsia="標楷體" w:hAnsi="標楷體" w:hint="eastAsia"/>
          <w:bCs/>
          <w:sz w:val="32"/>
          <w:szCs w:val="32"/>
        </w:rPr>
        <w:lastRenderedPageBreak/>
        <w:t>外期刊論文，共計一百餘件計畫論文投稿至Beall's List所列期刊，及國際學界廣泛運用於評估影響力與排名之期刊引用報告(JCR)發布之警告期刊清單。</w:t>
      </w:r>
      <w:r>
        <w:rPr>
          <w:rFonts w:ascii="標楷體" w:eastAsia="標楷體" w:hAnsi="標楷體" w:hint="eastAsia"/>
          <w:bCs/>
          <w:sz w:val="32"/>
          <w:szCs w:val="32"/>
        </w:rPr>
        <w:t>鑑</w:t>
      </w:r>
      <w:r w:rsidRPr="00F67914">
        <w:rPr>
          <w:rFonts w:ascii="標楷體" w:eastAsia="標楷體" w:hAnsi="標楷體" w:hint="eastAsia"/>
          <w:bCs/>
          <w:sz w:val="32"/>
          <w:szCs w:val="32"/>
        </w:rPr>
        <w:t>於研究人員將補助研究計畫產出成果投稿至掠奪性期刊或研討會，不僅無益於個人學術聲望，且形同浪費我</w:t>
      </w:r>
      <w:r>
        <w:rPr>
          <w:rFonts w:ascii="標楷體" w:eastAsia="標楷體" w:hAnsi="標楷體" w:hint="eastAsia"/>
          <w:bCs/>
          <w:sz w:val="32"/>
          <w:szCs w:val="32"/>
        </w:rPr>
        <w:t>國學術資源，應予加強防範。</w:t>
      </w:r>
      <w:r w:rsidRPr="00F67914">
        <w:rPr>
          <w:rFonts w:ascii="標楷體" w:eastAsia="標楷體" w:hAnsi="標楷體" w:hint="eastAsia"/>
          <w:bCs/>
          <w:sz w:val="32"/>
          <w:szCs w:val="32"/>
        </w:rPr>
        <w:t>請國</w:t>
      </w:r>
      <w:r>
        <w:rPr>
          <w:rFonts w:ascii="標楷體" w:eastAsia="標楷體" w:hAnsi="標楷體" w:hint="eastAsia"/>
          <w:bCs/>
          <w:sz w:val="32"/>
          <w:szCs w:val="32"/>
        </w:rPr>
        <w:t>家</w:t>
      </w:r>
      <w:r w:rsidRPr="00F67914">
        <w:rPr>
          <w:rFonts w:ascii="標楷體" w:eastAsia="標楷體" w:hAnsi="標楷體" w:hint="eastAsia"/>
          <w:bCs/>
          <w:sz w:val="32"/>
          <w:szCs w:val="32"/>
        </w:rPr>
        <w:t>科</w:t>
      </w:r>
      <w:r>
        <w:rPr>
          <w:rFonts w:ascii="標楷體" w:eastAsia="標楷體" w:hAnsi="標楷體" w:hint="eastAsia"/>
          <w:bCs/>
          <w:sz w:val="32"/>
          <w:szCs w:val="32"/>
        </w:rPr>
        <w:t>學及技術委員</w:t>
      </w:r>
      <w:r w:rsidRPr="00F67914">
        <w:rPr>
          <w:rFonts w:ascii="標楷體" w:eastAsia="標楷體" w:hAnsi="標楷體" w:hint="eastAsia"/>
          <w:bCs/>
          <w:sz w:val="32"/>
          <w:szCs w:val="32"/>
        </w:rPr>
        <w:t>會應就如何防範補助研究計畫產出成果投稿至掠奪性出版提出策進作為，以維護我國學術社群良性發展</w:t>
      </w:r>
      <w:r>
        <w:rPr>
          <w:rFonts w:ascii="標楷體" w:eastAsia="標楷體" w:hAnsi="標楷體" w:hint="eastAsia"/>
          <w:bCs/>
          <w:sz w:val="32"/>
          <w:szCs w:val="32"/>
        </w:rPr>
        <w:t>，並</w:t>
      </w:r>
      <w:r w:rsidRPr="00F67914">
        <w:rPr>
          <w:rFonts w:ascii="標楷體" w:eastAsia="標楷體" w:hAnsi="標楷體" w:hint="eastAsia"/>
          <w:bCs/>
          <w:sz w:val="32"/>
          <w:szCs w:val="32"/>
        </w:rPr>
        <w:t>於</w:t>
      </w:r>
      <w:r>
        <w:rPr>
          <w:rFonts w:ascii="標楷體" w:eastAsia="標楷體" w:hAnsi="標楷體" w:hint="eastAsia"/>
          <w:bCs/>
          <w:sz w:val="32"/>
          <w:szCs w:val="32"/>
        </w:rPr>
        <w:t>3</w:t>
      </w:r>
      <w:r w:rsidRPr="00F67914">
        <w:rPr>
          <w:rFonts w:ascii="標楷體" w:eastAsia="標楷體" w:hAnsi="標楷體" w:hint="eastAsia"/>
          <w:bCs/>
          <w:sz w:val="32"/>
          <w:szCs w:val="32"/>
        </w:rPr>
        <w:t>個月內向立法院教育及文化委員會提出策進作為書面報告。</w:t>
      </w:r>
      <w:r>
        <w:rPr>
          <w:rFonts w:ascii="標楷體" w:eastAsia="標楷體" w:hAnsi="標楷體" w:hint="eastAsia"/>
          <w:bCs/>
          <w:sz w:val="32"/>
          <w:szCs w:val="32"/>
        </w:rPr>
        <w:t>85</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王婉諭</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吳思瑤  何欣純</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(七十九)</w:t>
      </w:r>
      <w:r w:rsidRPr="00997673">
        <w:rPr>
          <w:rFonts w:ascii="標楷體" w:eastAsia="標楷體" w:hAnsi="標楷體" w:hint="eastAsia"/>
          <w:bCs/>
          <w:sz w:val="32"/>
          <w:szCs w:val="32"/>
        </w:rPr>
        <w:t>因應全球氣候變遷造成之影響，世界各國陸續提出「2050淨零排放」之目標，國家發展委員會亦於</w:t>
      </w:r>
      <w:r>
        <w:rPr>
          <w:rFonts w:ascii="標楷體" w:eastAsia="標楷體" w:hAnsi="標楷體" w:hint="eastAsia"/>
          <w:bCs/>
          <w:sz w:val="32"/>
          <w:szCs w:val="32"/>
        </w:rPr>
        <w:t>111</w:t>
      </w:r>
      <w:r w:rsidRPr="00997673">
        <w:rPr>
          <w:rFonts w:ascii="標楷體" w:eastAsia="標楷體" w:hAnsi="標楷體" w:hint="eastAsia"/>
          <w:bCs/>
          <w:sz w:val="32"/>
          <w:szCs w:val="32"/>
        </w:rPr>
        <w:t>年3月公布臺灣2050淨零排放路徑，以能源、產業、生活、社會</w:t>
      </w:r>
      <w:r>
        <w:rPr>
          <w:rFonts w:ascii="標楷體" w:eastAsia="標楷體" w:hAnsi="標楷體" w:hint="eastAsia"/>
          <w:bCs/>
          <w:sz w:val="32"/>
          <w:szCs w:val="32"/>
        </w:rPr>
        <w:t>4</w:t>
      </w:r>
      <w:r w:rsidRPr="00997673">
        <w:rPr>
          <w:rFonts w:ascii="標楷體" w:eastAsia="標楷體" w:hAnsi="標楷體" w:hint="eastAsia"/>
          <w:bCs/>
          <w:sz w:val="32"/>
          <w:szCs w:val="32"/>
        </w:rPr>
        <w:t>大面向轉型，及科技研發、氣候法制</w:t>
      </w:r>
      <w:r>
        <w:rPr>
          <w:rFonts w:ascii="標楷體" w:eastAsia="標楷體" w:hAnsi="標楷體" w:hint="eastAsia"/>
          <w:bCs/>
          <w:sz w:val="32"/>
          <w:szCs w:val="32"/>
        </w:rPr>
        <w:t>2</w:t>
      </w:r>
      <w:r w:rsidRPr="00997673">
        <w:rPr>
          <w:rFonts w:ascii="標楷體" w:eastAsia="標楷體" w:hAnsi="標楷體" w:hint="eastAsia"/>
          <w:bCs/>
          <w:sz w:val="32"/>
          <w:szCs w:val="32"/>
        </w:rPr>
        <w:t>大治理基礎，輔以12項關鍵戰略，就能源、產業、生活轉型政策制定行動計畫，推動淨零轉型。國家科學及技術委員會之施政目標亦扣合淨零科技領域，聚焦前瞻性或突破性之淨零科技研發，引導產業綠色轉型。惟對國家發展委員會主責提出之「淨零公正轉型關鍵戰略推動計畫」，須藉由社會科學研究，支持循證基礎的政策規劃，國家科學及技術委員會將扮演關鍵角色，應加強跨部會協作，導入社會科學支持，儘速針對推動公正轉型，提出跨部會合作之完整規劃，共同落實淨零轉型目標</w:t>
      </w:r>
      <w:r>
        <w:rPr>
          <w:rFonts w:ascii="標楷體" w:eastAsia="標楷體" w:hAnsi="標楷體" w:hint="eastAsia"/>
          <w:bCs/>
          <w:sz w:val="32"/>
          <w:szCs w:val="32"/>
        </w:rPr>
        <w:t>，並</w:t>
      </w:r>
      <w:r w:rsidRPr="00997673">
        <w:rPr>
          <w:rFonts w:ascii="標楷體" w:eastAsia="標楷體" w:hAnsi="標楷體" w:hint="eastAsia"/>
          <w:bCs/>
          <w:sz w:val="32"/>
          <w:szCs w:val="32"/>
        </w:rPr>
        <w:t>於</w:t>
      </w:r>
      <w:r>
        <w:rPr>
          <w:rFonts w:ascii="標楷體" w:eastAsia="標楷體" w:hAnsi="標楷體" w:hint="eastAsia"/>
          <w:bCs/>
          <w:sz w:val="32"/>
          <w:szCs w:val="32"/>
        </w:rPr>
        <w:t>3</w:t>
      </w:r>
      <w:r w:rsidRPr="00997673">
        <w:rPr>
          <w:rFonts w:ascii="標楷體" w:eastAsia="標楷體" w:hAnsi="標楷體" w:hint="eastAsia"/>
          <w:bCs/>
          <w:sz w:val="32"/>
          <w:szCs w:val="32"/>
        </w:rPr>
        <w:t>個月內向立法院教育及文化委員會提出</w:t>
      </w:r>
      <w:r>
        <w:rPr>
          <w:rFonts w:ascii="標楷體" w:eastAsia="標楷體" w:hAnsi="標楷體" w:hint="eastAsia"/>
          <w:bCs/>
          <w:sz w:val="32"/>
          <w:szCs w:val="32"/>
        </w:rPr>
        <w:t>改進作為</w:t>
      </w:r>
      <w:r w:rsidRPr="00997673">
        <w:rPr>
          <w:rFonts w:ascii="標楷體" w:eastAsia="標楷體" w:hAnsi="標楷體" w:hint="eastAsia"/>
          <w:bCs/>
          <w:sz w:val="32"/>
          <w:szCs w:val="32"/>
        </w:rPr>
        <w:t>書面報告。</w:t>
      </w:r>
      <w:r>
        <w:rPr>
          <w:rFonts w:ascii="標楷體" w:eastAsia="標楷體" w:hAnsi="標楷體" w:hint="eastAsia"/>
          <w:bCs/>
          <w:sz w:val="32"/>
          <w:szCs w:val="32"/>
        </w:rPr>
        <w:t>88</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吳思瑤</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何欣純  陳秀寳</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(八十)</w:t>
      </w:r>
      <w:r w:rsidRPr="00997673">
        <w:rPr>
          <w:rFonts w:ascii="標楷體" w:eastAsia="標楷體" w:hAnsi="標楷體" w:hint="eastAsia"/>
          <w:bCs/>
          <w:sz w:val="32"/>
          <w:szCs w:val="32"/>
        </w:rPr>
        <w:t>聯合國教科文組織（UNESCO）為強調基礎科學對實現永續</w:t>
      </w:r>
      <w:r w:rsidRPr="00997673">
        <w:rPr>
          <w:rFonts w:ascii="標楷體" w:eastAsia="標楷體" w:hAnsi="標楷體" w:hint="eastAsia"/>
          <w:bCs/>
          <w:sz w:val="32"/>
          <w:szCs w:val="32"/>
        </w:rPr>
        <w:lastRenderedPageBreak/>
        <w:t>發展目標（SDGs）的重要性及貢獻，選定</w:t>
      </w:r>
      <w:r>
        <w:rPr>
          <w:rFonts w:ascii="標楷體" w:eastAsia="標楷體" w:hAnsi="標楷體" w:hint="eastAsia"/>
          <w:bCs/>
          <w:sz w:val="32"/>
          <w:szCs w:val="32"/>
        </w:rPr>
        <w:t>111</w:t>
      </w:r>
      <w:r w:rsidRPr="00997673">
        <w:rPr>
          <w:rFonts w:ascii="標楷體" w:eastAsia="標楷體" w:hAnsi="標楷體" w:hint="eastAsia"/>
          <w:bCs/>
          <w:sz w:val="32"/>
          <w:szCs w:val="32"/>
        </w:rPr>
        <w:t>年7月到</w:t>
      </w:r>
      <w:r>
        <w:rPr>
          <w:rFonts w:ascii="標楷體" w:eastAsia="標楷體" w:hAnsi="標楷體" w:hint="eastAsia"/>
          <w:bCs/>
          <w:sz w:val="32"/>
          <w:szCs w:val="32"/>
        </w:rPr>
        <w:t>112</w:t>
      </w:r>
      <w:r w:rsidRPr="00997673">
        <w:rPr>
          <w:rFonts w:ascii="標楷體" w:eastAsia="標楷體" w:hAnsi="標楷體" w:hint="eastAsia"/>
          <w:bCs/>
          <w:sz w:val="32"/>
          <w:szCs w:val="32"/>
        </w:rPr>
        <w:t>年6月為「基礎科學促進永續發展國際年（IYBSSD 2022）」，結合基礎科學和永續發展，邀請世界各國共同響應，強調基礎科學研究對於確保全人類健康、克服飢餓、應對氣候變遷、保護陸地和海洋生物多樣性與增進全球和平之重要性。國家科學及技術委員會亦響應IYBSSD，發起「基礎科學促進永續發展國際年IYBSSD臺灣系列推廣活動」，結合產官學研界與民間及國際合作，以科學平權、科學啟蒙、全民參與、國際鏈結為核心主題，於全臺各地辦理多元化活動推廣基礎科學。然據</w:t>
      </w:r>
      <w:r>
        <w:rPr>
          <w:rFonts w:ascii="標楷體" w:eastAsia="標楷體" w:hAnsi="標楷體" w:hint="eastAsia"/>
          <w:bCs/>
          <w:sz w:val="32"/>
          <w:szCs w:val="32"/>
        </w:rPr>
        <w:t>110</w:t>
      </w:r>
      <w:r w:rsidRPr="00997673">
        <w:rPr>
          <w:rFonts w:ascii="標楷體" w:eastAsia="標楷體" w:hAnsi="標楷體" w:hint="eastAsia"/>
          <w:bCs/>
          <w:sz w:val="32"/>
          <w:szCs w:val="32"/>
        </w:rPr>
        <w:t>年科技部（現國科會）提出該部之「永續發展目標自願檢視報告」，僅主責「提升科學園區廠商製程用水回收率」、「提升科學園區事業廢棄物再利用率」及「建置氣候變遷科學服務整合平台」等</w:t>
      </w:r>
      <w:r>
        <w:rPr>
          <w:rFonts w:ascii="標楷體" w:eastAsia="標楷體" w:hAnsi="標楷體" w:hint="eastAsia"/>
          <w:bCs/>
          <w:sz w:val="32"/>
          <w:szCs w:val="32"/>
        </w:rPr>
        <w:t>3</w:t>
      </w:r>
      <w:r w:rsidRPr="00997673">
        <w:rPr>
          <w:rFonts w:ascii="標楷體" w:eastAsia="標楷體" w:hAnsi="標楷體" w:hint="eastAsia"/>
          <w:bCs/>
          <w:sz w:val="32"/>
          <w:szCs w:val="32"/>
        </w:rPr>
        <w:t>項目標，顯見國家及科學技術委員會除辦理推廣活動，對於實踐永續發展目標之工作尚有不足之處，如國科會所提出之「打造女性及跨域人才培力」、「實現環境永續之普惠科技」等施政理念，皆可實踐永續發展目標，應積極推進，現已完成組改之國</w:t>
      </w:r>
      <w:r>
        <w:rPr>
          <w:rFonts w:ascii="標楷體" w:eastAsia="標楷體" w:hAnsi="標楷體" w:hint="eastAsia"/>
          <w:bCs/>
          <w:sz w:val="32"/>
          <w:szCs w:val="32"/>
        </w:rPr>
        <w:t>家</w:t>
      </w:r>
      <w:r w:rsidRPr="00997673">
        <w:rPr>
          <w:rFonts w:ascii="標楷體" w:eastAsia="標楷體" w:hAnsi="標楷體" w:hint="eastAsia"/>
          <w:bCs/>
          <w:sz w:val="32"/>
          <w:szCs w:val="32"/>
        </w:rPr>
        <w:t>科</w:t>
      </w:r>
      <w:r>
        <w:rPr>
          <w:rFonts w:ascii="標楷體" w:eastAsia="標楷體" w:hAnsi="標楷體" w:hint="eastAsia"/>
          <w:bCs/>
          <w:sz w:val="32"/>
          <w:szCs w:val="32"/>
        </w:rPr>
        <w:t>學及技術委員</w:t>
      </w:r>
      <w:r w:rsidRPr="00997673">
        <w:rPr>
          <w:rFonts w:ascii="標楷體" w:eastAsia="標楷體" w:hAnsi="標楷體" w:hint="eastAsia"/>
          <w:bCs/>
          <w:sz w:val="32"/>
          <w:szCs w:val="32"/>
        </w:rPr>
        <w:t>會，應檢討並提出新年度之「永續發展目標自願檢視報告」</w:t>
      </w:r>
      <w:r>
        <w:rPr>
          <w:rFonts w:ascii="標楷體" w:eastAsia="標楷體" w:hAnsi="標楷體" w:hint="eastAsia"/>
          <w:bCs/>
          <w:sz w:val="32"/>
          <w:szCs w:val="32"/>
        </w:rPr>
        <w:t>，並</w:t>
      </w:r>
      <w:r w:rsidRPr="00997673">
        <w:rPr>
          <w:rFonts w:ascii="標楷體" w:eastAsia="標楷體" w:hAnsi="標楷體" w:hint="eastAsia"/>
          <w:bCs/>
          <w:sz w:val="32"/>
          <w:szCs w:val="32"/>
        </w:rPr>
        <w:t>於</w:t>
      </w:r>
      <w:r>
        <w:rPr>
          <w:rFonts w:ascii="標楷體" w:eastAsia="標楷體" w:hAnsi="標楷體" w:hint="eastAsia"/>
          <w:bCs/>
          <w:sz w:val="32"/>
          <w:szCs w:val="32"/>
        </w:rPr>
        <w:t>3</w:t>
      </w:r>
      <w:r w:rsidRPr="00997673">
        <w:rPr>
          <w:rFonts w:ascii="標楷體" w:eastAsia="標楷體" w:hAnsi="標楷體" w:hint="eastAsia"/>
          <w:bCs/>
          <w:sz w:val="32"/>
          <w:szCs w:val="32"/>
        </w:rPr>
        <w:t>個月內向立法院教育及文化委員會提出</w:t>
      </w:r>
      <w:r>
        <w:rPr>
          <w:rFonts w:ascii="標楷體" w:eastAsia="標楷體" w:hAnsi="標楷體" w:hint="eastAsia"/>
          <w:bCs/>
          <w:sz w:val="32"/>
          <w:szCs w:val="32"/>
        </w:rPr>
        <w:t>改進作為</w:t>
      </w:r>
      <w:r w:rsidRPr="00997673">
        <w:rPr>
          <w:rFonts w:ascii="標楷體" w:eastAsia="標楷體" w:hAnsi="標楷體" w:hint="eastAsia"/>
          <w:bCs/>
          <w:sz w:val="32"/>
          <w:szCs w:val="32"/>
        </w:rPr>
        <w:t>書面報告。</w:t>
      </w:r>
      <w:r>
        <w:rPr>
          <w:rFonts w:ascii="標楷體" w:eastAsia="標楷體" w:hAnsi="標楷體" w:hint="eastAsia"/>
          <w:bCs/>
          <w:sz w:val="32"/>
          <w:szCs w:val="32"/>
        </w:rPr>
        <w:t>89</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吳思瑤</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林宜瑾  陳秀寳</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(八十一)</w:t>
      </w:r>
      <w:r w:rsidRPr="00997673">
        <w:rPr>
          <w:rFonts w:ascii="標楷體" w:eastAsia="標楷體" w:hAnsi="標楷體" w:hint="eastAsia"/>
          <w:bCs/>
          <w:sz w:val="32"/>
          <w:szCs w:val="32"/>
        </w:rPr>
        <w:t>近年依據動物實驗3R原則(替代、減量、精緻化），減少用活體動物實驗已是國際趨勢，全世界有超過 17個國家成立發展替代方案的「3R 中心」或類似專責單位，可帶動生醫產業創新發展、工程技術跨領域應用，加強教育訓練與培養科研人才，串聯產學研鏈結擬定實驗替代方案，並推動轉型無動物實驗與國際接軌等。另因應疫情，國際關於動物</w:t>
      </w:r>
      <w:r w:rsidRPr="00997673">
        <w:rPr>
          <w:rFonts w:ascii="標楷體" w:eastAsia="標楷體" w:hAnsi="標楷體" w:hint="eastAsia"/>
          <w:bCs/>
          <w:sz w:val="32"/>
          <w:szCs w:val="32"/>
        </w:rPr>
        <w:lastRenderedPageBreak/>
        <w:t>實驗替代方法舉行諸多網路講座及研討會，積極發展體外試驗、大數據、人工智慧、器官晶片、人工合成抗體及新興測試評估方法學，應用於動物實驗替代方案，從「人的生理模式」為基礎，提升科研效率與品質。112年度國家科學及技術委員會</w:t>
      </w:r>
      <w:r>
        <w:rPr>
          <w:rFonts w:ascii="標楷體" w:eastAsia="標楷體" w:hAnsi="標楷體" w:hint="eastAsia"/>
          <w:bCs/>
          <w:sz w:val="32"/>
          <w:szCs w:val="32"/>
        </w:rPr>
        <w:t>「財團法人國家實驗研究院發展計畫」項下「建構全國實驗動物資源服務中心計畫」中</w:t>
      </w:r>
      <w:r w:rsidRPr="00997673">
        <w:rPr>
          <w:rFonts w:ascii="標楷體" w:eastAsia="標楷體" w:hAnsi="標楷體" w:hint="eastAsia"/>
          <w:bCs/>
          <w:sz w:val="32"/>
          <w:szCs w:val="32"/>
        </w:rPr>
        <w:t>「實驗動物3R策略之推升計畫」</w:t>
      </w:r>
      <w:r>
        <w:rPr>
          <w:rFonts w:ascii="標楷體" w:eastAsia="標楷體" w:hAnsi="標楷體" w:hint="eastAsia"/>
          <w:bCs/>
          <w:sz w:val="32"/>
          <w:szCs w:val="32"/>
        </w:rPr>
        <w:t>預算編列3</w:t>
      </w:r>
      <w:r>
        <w:rPr>
          <w:rFonts w:ascii="標楷體" w:eastAsia="標楷體" w:hAnsi="標楷體"/>
          <w:bCs/>
          <w:sz w:val="32"/>
          <w:szCs w:val="32"/>
        </w:rPr>
        <w:t>,</w:t>
      </w:r>
      <w:r>
        <w:rPr>
          <w:rFonts w:ascii="標楷體" w:eastAsia="標楷體" w:hAnsi="標楷體" w:hint="eastAsia"/>
          <w:bCs/>
          <w:sz w:val="32"/>
          <w:szCs w:val="32"/>
        </w:rPr>
        <w:t>400萬元</w:t>
      </w:r>
      <w:r w:rsidRPr="00997673">
        <w:rPr>
          <w:rFonts w:ascii="標楷體" w:eastAsia="標楷體" w:hAnsi="標楷體" w:hint="eastAsia"/>
          <w:bCs/>
          <w:sz w:val="32"/>
          <w:szCs w:val="32"/>
        </w:rPr>
        <w:t>，分別延續執行</w:t>
      </w:r>
      <w:r>
        <w:rPr>
          <w:rFonts w:ascii="標楷體" w:eastAsia="標楷體" w:hAnsi="標楷體" w:hint="eastAsia"/>
          <w:bCs/>
          <w:sz w:val="32"/>
          <w:szCs w:val="32"/>
        </w:rPr>
        <w:t>財團法人</w:t>
      </w:r>
      <w:r w:rsidRPr="00997673">
        <w:rPr>
          <w:rFonts w:ascii="標楷體" w:eastAsia="標楷體" w:hAnsi="標楷體" w:hint="eastAsia"/>
          <w:bCs/>
          <w:sz w:val="32"/>
          <w:szCs w:val="32"/>
        </w:rPr>
        <w:t>國</w:t>
      </w:r>
      <w:r>
        <w:rPr>
          <w:rFonts w:ascii="標楷體" w:eastAsia="標楷體" w:hAnsi="標楷體" w:hint="eastAsia"/>
          <w:bCs/>
          <w:sz w:val="32"/>
          <w:szCs w:val="32"/>
        </w:rPr>
        <w:t>家實驗</w:t>
      </w:r>
      <w:r w:rsidRPr="00997673">
        <w:rPr>
          <w:rFonts w:ascii="標楷體" w:eastAsia="標楷體" w:hAnsi="標楷體" w:hint="eastAsia"/>
          <w:bCs/>
          <w:sz w:val="32"/>
          <w:szCs w:val="32"/>
        </w:rPr>
        <w:t>研</w:t>
      </w:r>
      <w:r>
        <w:rPr>
          <w:rFonts w:ascii="標楷體" w:eastAsia="標楷體" w:hAnsi="標楷體" w:hint="eastAsia"/>
          <w:bCs/>
          <w:sz w:val="32"/>
          <w:szCs w:val="32"/>
        </w:rPr>
        <w:t>究</w:t>
      </w:r>
      <w:r w:rsidRPr="00997673">
        <w:rPr>
          <w:rFonts w:ascii="標楷體" w:eastAsia="標楷體" w:hAnsi="標楷體" w:hint="eastAsia"/>
          <w:bCs/>
          <w:sz w:val="32"/>
          <w:szCs w:val="32"/>
        </w:rPr>
        <w:t>院「器官晶片發展平台」計畫及「3R策略推升生態系建置」，推動跨部會策略擬定、動物實驗2.0及建構研發驗證平台等事宜。惟尚缺檢討人才培育之相關作為，並加速成立「國家動物實驗3R中心」，搭建動物實驗跨部會整合平台，擴大相關學術交流之機會，落實3R精神及加速政策之推動。綜上所述，爰請國家科學及技術委員會於</w:t>
      </w:r>
      <w:r>
        <w:rPr>
          <w:rFonts w:ascii="標楷體" w:eastAsia="標楷體" w:hAnsi="標楷體" w:hint="eastAsia"/>
          <w:bCs/>
          <w:sz w:val="32"/>
          <w:szCs w:val="32"/>
        </w:rPr>
        <w:t>3</w:t>
      </w:r>
      <w:r w:rsidRPr="00997673">
        <w:rPr>
          <w:rFonts w:ascii="標楷體" w:eastAsia="標楷體" w:hAnsi="標楷體" w:hint="eastAsia"/>
          <w:bCs/>
          <w:sz w:val="32"/>
          <w:szCs w:val="32"/>
        </w:rPr>
        <w:t>個月內向立法院教育及文化委員會提出改進作為書面報告。</w:t>
      </w:r>
      <w:r>
        <w:rPr>
          <w:rFonts w:ascii="標楷體" w:eastAsia="標楷體" w:hAnsi="標楷體" w:hint="eastAsia"/>
          <w:bCs/>
          <w:sz w:val="32"/>
          <w:szCs w:val="32"/>
        </w:rPr>
        <w:t>92</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吳思瑤</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陳秀寳  何欣純</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(八十二)</w:t>
      </w:r>
      <w:r w:rsidRPr="00B56DC2">
        <w:rPr>
          <w:rFonts w:ascii="標楷體" w:eastAsia="標楷體" w:hAnsi="標楷體" w:hint="eastAsia"/>
          <w:bCs/>
          <w:sz w:val="32"/>
          <w:szCs w:val="32"/>
        </w:rPr>
        <w:t>國</w:t>
      </w:r>
      <w:r>
        <w:rPr>
          <w:rFonts w:ascii="標楷體" w:eastAsia="標楷體" w:hAnsi="標楷體" w:hint="eastAsia"/>
          <w:bCs/>
          <w:sz w:val="32"/>
          <w:szCs w:val="32"/>
        </w:rPr>
        <w:t>家</w:t>
      </w:r>
      <w:r w:rsidRPr="00B56DC2">
        <w:rPr>
          <w:rFonts w:ascii="標楷體" w:eastAsia="標楷體" w:hAnsi="標楷體" w:hint="eastAsia"/>
          <w:bCs/>
          <w:sz w:val="32"/>
          <w:szCs w:val="32"/>
        </w:rPr>
        <w:t>科</w:t>
      </w:r>
      <w:r>
        <w:rPr>
          <w:rFonts w:ascii="標楷體" w:eastAsia="標楷體" w:hAnsi="標楷體" w:hint="eastAsia"/>
          <w:bCs/>
          <w:sz w:val="32"/>
          <w:szCs w:val="32"/>
        </w:rPr>
        <w:t>學及技術委員</w:t>
      </w:r>
      <w:r w:rsidRPr="00B56DC2">
        <w:rPr>
          <w:rFonts w:ascii="標楷體" w:eastAsia="標楷體" w:hAnsi="標楷體" w:hint="eastAsia"/>
          <w:bCs/>
          <w:sz w:val="32"/>
          <w:szCs w:val="32"/>
        </w:rPr>
        <w:t>會例行舉辦之科普活動「臺灣科普環島列車」是極具有指標性之官方科普活動，亦備受孩子、家長們的好評；惟因名額有限、每年參與資格亦不一定會開放報名，故能夠參與之人數很少。根據歷年的統計，每一次活動觸及率約只</w:t>
      </w:r>
      <w:r>
        <w:rPr>
          <w:rFonts w:ascii="標楷體" w:eastAsia="標楷體" w:hAnsi="標楷體" w:hint="eastAsia"/>
          <w:bCs/>
          <w:sz w:val="32"/>
          <w:szCs w:val="32"/>
        </w:rPr>
        <w:t>占</w:t>
      </w:r>
      <w:r w:rsidRPr="00B56DC2">
        <w:rPr>
          <w:rFonts w:ascii="標楷體" w:eastAsia="標楷體" w:hAnsi="標楷體" w:hint="eastAsia"/>
          <w:bCs/>
          <w:sz w:val="32"/>
          <w:szCs w:val="32"/>
        </w:rPr>
        <w:t>「全國公立國中小總學生數」0.5%。惟如</w:t>
      </w:r>
      <w:r>
        <w:rPr>
          <w:rFonts w:ascii="標楷體" w:eastAsia="標楷體" w:hAnsi="標楷體" w:hint="eastAsia"/>
          <w:bCs/>
          <w:sz w:val="32"/>
          <w:szCs w:val="32"/>
        </w:rPr>
        <w:t>賴委員品妤</w:t>
      </w:r>
      <w:r w:rsidRPr="00B56DC2">
        <w:rPr>
          <w:rFonts w:ascii="標楷體" w:eastAsia="標楷體" w:hAnsi="標楷體" w:hint="eastAsia"/>
          <w:bCs/>
          <w:sz w:val="32"/>
          <w:szCs w:val="32"/>
        </w:rPr>
        <w:t>選區東北角、北海岸之學校，往往受限於資訊、交通落差，相對無管道享受到國家級的科普活動資源。惟政府單位應</w:t>
      </w:r>
      <w:r>
        <w:rPr>
          <w:rFonts w:ascii="標楷體" w:eastAsia="標楷體" w:hAnsi="標楷體" w:hint="eastAsia"/>
          <w:bCs/>
          <w:sz w:val="32"/>
          <w:szCs w:val="32"/>
        </w:rPr>
        <w:t>儘</w:t>
      </w:r>
      <w:r w:rsidRPr="00B56DC2">
        <w:rPr>
          <w:rFonts w:ascii="標楷體" w:eastAsia="標楷體" w:hAnsi="標楷體" w:hint="eastAsia"/>
          <w:bCs/>
          <w:sz w:val="32"/>
          <w:szCs w:val="32"/>
        </w:rPr>
        <w:t>可能的排除現實因素讓學童能夠參與。故國</w:t>
      </w:r>
      <w:r>
        <w:rPr>
          <w:rFonts w:ascii="標楷體" w:eastAsia="標楷體" w:hAnsi="標楷體" w:hint="eastAsia"/>
          <w:bCs/>
          <w:sz w:val="32"/>
          <w:szCs w:val="32"/>
        </w:rPr>
        <w:t>家</w:t>
      </w:r>
      <w:r w:rsidRPr="00B56DC2">
        <w:rPr>
          <w:rFonts w:ascii="標楷體" w:eastAsia="標楷體" w:hAnsi="標楷體" w:hint="eastAsia"/>
          <w:bCs/>
          <w:sz w:val="32"/>
          <w:szCs w:val="32"/>
        </w:rPr>
        <w:t>科</w:t>
      </w:r>
      <w:r>
        <w:rPr>
          <w:rFonts w:ascii="標楷體" w:eastAsia="標楷體" w:hAnsi="標楷體" w:hint="eastAsia"/>
          <w:bCs/>
          <w:sz w:val="32"/>
          <w:szCs w:val="32"/>
        </w:rPr>
        <w:t>學及技術委員</w:t>
      </w:r>
      <w:r w:rsidRPr="00B56DC2">
        <w:rPr>
          <w:rFonts w:ascii="標楷體" w:eastAsia="標楷體" w:hAnsi="標楷體" w:hint="eastAsia"/>
          <w:bCs/>
          <w:sz w:val="32"/>
          <w:szCs w:val="32"/>
        </w:rPr>
        <w:t>會應持續邀請東北角及北海岸學校參與，開放更多名額予偏鄉學校參與，並評估於新北市與彰化縣等幅員較廣的縣市加開停靠點，以及在無法停靠的東北角平溪支線擇站點辦理對外公開的科普活動等</w:t>
      </w:r>
      <w:r>
        <w:rPr>
          <w:rFonts w:ascii="標楷體" w:eastAsia="標楷體" w:hAnsi="標楷體" w:hint="eastAsia"/>
          <w:bCs/>
          <w:sz w:val="32"/>
          <w:szCs w:val="32"/>
        </w:rPr>
        <w:t>，並</w:t>
      </w:r>
      <w:r w:rsidRPr="00B56DC2">
        <w:rPr>
          <w:rFonts w:ascii="標楷體" w:eastAsia="標楷體" w:hAnsi="標楷體" w:hint="eastAsia"/>
          <w:bCs/>
          <w:sz w:val="32"/>
          <w:szCs w:val="32"/>
        </w:rPr>
        <w:t>於</w:t>
      </w:r>
      <w:r>
        <w:rPr>
          <w:rFonts w:ascii="標楷體" w:eastAsia="標楷體" w:hAnsi="標楷體" w:hint="eastAsia"/>
          <w:bCs/>
          <w:sz w:val="32"/>
          <w:szCs w:val="32"/>
        </w:rPr>
        <w:t>1</w:t>
      </w:r>
      <w:r w:rsidRPr="00B56DC2">
        <w:rPr>
          <w:rFonts w:ascii="標楷體" w:eastAsia="標楷體" w:hAnsi="標楷體" w:hint="eastAsia"/>
          <w:bCs/>
          <w:sz w:val="32"/>
          <w:szCs w:val="32"/>
        </w:rPr>
        <w:t>個月內向立法院</w:t>
      </w:r>
      <w:r w:rsidRPr="00B56DC2">
        <w:rPr>
          <w:rFonts w:ascii="標楷體" w:eastAsia="標楷體" w:hAnsi="標楷體" w:hint="eastAsia"/>
          <w:bCs/>
          <w:sz w:val="32"/>
          <w:szCs w:val="32"/>
        </w:rPr>
        <w:lastRenderedPageBreak/>
        <w:t>教育及文化委員會提出書面報告。</w:t>
      </w:r>
      <w:r>
        <w:rPr>
          <w:rFonts w:ascii="標楷體" w:eastAsia="標楷體" w:hAnsi="標楷體" w:hint="eastAsia"/>
          <w:bCs/>
          <w:sz w:val="32"/>
          <w:szCs w:val="32"/>
        </w:rPr>
        <w:t>93</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賴品妤</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林宜瑾  吳思瑤</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(八十三)112年度國家科學及技術委員會「國家科學技術發展基金」項下「基金現金增資」中</w:t>
      </w:r>
      <w:r>
        <w:rPr>
          <w:rFonts w:ascii="新細明體" w:hAnsi="新細明體" w:hint="eastAsia"/>
        </w:rPr>
        <w:t>「</w:t>
      </w:r>
      <w:r w:rsidRPr="00B56DC2">
        <w:rPr>
          <w:rFonts w:ascii="標楷體" w:eastAsia="標楷體" w:hAnsi="標楷體" w:hint="eastAsia"/>
          <w:bCs/>
          <w:sz w:val="32"/>
          <w:szCs w:val="32"/>
        </w:rPr>
        <w:t>人文及社會科學領域研究</w:t>
      </w:r>
      <w:r>
        <w:rPr>
          <w:rFonts w:ascii="標楷體" w:eastAsia="標楷體" w:hAnsi="標楷體" w:hint="eastAsia"/>
          <w:bCs/>
          <w:sz w:val="32"/>
          <w:szCs w:val="32"/>
        </w:rPr>
        <w:t>」</w:t>
      </w:r>
      <w:r w:rsidRPr="00B56DC2">
        <w:rPr>
          <w:rFonts w:ascii="標楷體" w:eastAsia="標楷體" w:hAnsi="標楷體" w:hint="eastAsia"/>
          <w:bCs/>
          <w:sz w:val="32"/>
          <w:szCs w:val="32"/>
        </w:rPr>
        <w:t>係推動人文學、社會科學、管理學、科學教育等領域之基礎研究，橫跨人文社會、科技藝術、族群、文化等面向。自2017年起，文化部與科技部共同舉辦「文化科技論壇」，並提出「文化科技施政綱領」。擬以文化帶動科技創新，開展文化未來，創造文化科技、跨域共創共享，與國家科學及技術委員會跨部會合作，共推「形塑文化科技創新型社會」、「以文化想像帶動科技創新研發」、「普及智慧型文化公共服務，促進文化近用與平權」、「連結在地文化，厚植數位時代內容生產與藝術創作」、「加速文化數位傳播，打造國家品牌」、「完備數位治理，增進公民數位參與」等</w:t>
      </w:r>
      <w:r>
        <w:rPr>
          <w:rFonts w:ascii="標楷體" w:eastAsia="標楷體" w:hAnsi="標楷體" w:hint="eastAsia"/>
          <w:bCs/>
          <w:sz w:val="32"/>
          <w:szCs w:val="32"/>
        </w:rPr>
        <w:t>6</w:t>
      </w:r>
      <w:r w:rsidRPr="00B56DC2">
        <w:rPr>
          <w:rFonts w:ascii="標楷體" w:eastAsia="標楷體" w:hAnsi="標楷體" w:hint="eastAsia"/>
          <w:bCs/>
          <w:sz w:val="32"/>
          <w:szCs w:val="32"/>
        </w:rPr>
        <w:t>大目標。經查</w:t>
      </w:r>
      <w:r>
        <w:rPr>
          <w:rFonts w:ascii="標楷體" w:eastAsia="標楷體" w:hAnsi="標楷體" w:hint="eastAsia"/>
          <w:bCs/>
          <w:sz w:val="32"/>
          <w:szCs w:val="32"/>
        </w:rPr>
        <w:t>「</w:t>
      </w:r>
      <w:r w:rsidRPr="00B56DC2">
        <w:rPr>
          <w:rFonts w:ascii="標楷體" w:eastAsia="標楷體" w:hAnsi="標楷體" w:hint="eastAsia"/>
          <w:bCs/>
          <w:sz w:val="32"/>
          <w:szCs w:val="32"/>
        </w:rPr>
        <w:t>文化科技論壇</w:t>
      </w:r>
      <w:r>
        <w:rPr>
          <w:rFonts w:ascii="標楷體" w:eastAsia="標楷體" w:hAnsi="標楷體" w:hint="eastAsia"/>
          <w:bCs/>
          <w:sz w:val="32"/>
          <w:szCs w:val="32"/>
        </w:rPr>
        <w:t>」</w:t>
      </w:r>
      <w:r w:rsidRPr="00B56DC2">
        <w:rPr>
          <w:rFonts w:ascii="標楷體" w:eastAsia="標楷體" w:hAnsi="標楷體" w:hint="eastAsia"/>
          <w:bCs/>
          <w:sz w:val="32"/>
          <w:szCs w:val="32"/>
        </w:rPr>
        <w:t>已於2020年停辦，而</w:t>
      </w:r>
      <w:r>
        <w:rPr>
          <w:rFonts w:ascii="標楷體" w:eastAsia="標楷體" w:hAnsi="標楷體" w:hint="eastAsia"/>
          <w:bCs/>
          <w:sz w:val="32"/>
          <w:szCs w:val="32"/>
        </w:rPr>
        <w:t>「</w:t>
      </w:r>
      <w:r w:rsidRPr="00B56DC2">
        <w:rPr>
          <w:rFonts w:ascii="標楷體" w:eastAsia="標楷體" w:hAnsi="標楷體" w:hint="eastAsia"/>
          <w:bCs/>
          <w:sz w:val="32"/>
          <w:szCs w:val="32"/>
        </w:rPr>
        <w:t>文化科技施政綱領</w:t>
      </w:r>
      <w:r>
        <w:rPr>
          <w:rFonts w:ascii="標楷體" w:eastAsia="標楷體" w:hAnsi="標楷體" w:hint="eastAsia"/>
          <w:bCs/>
          <w:sz w:val="32"/>
          <w:szCs w:val="32"/>
        </w:rPr>
        <w:t>」</w:t>
      </w:r>
      <w:r w:rsidRPr="00B56DC2">
        <w:rPr>
          <w:rFonts w:ascii="標楷體" w:eastAsia="標楷體" w:hAnsi="標楷體" w:hint="eastAsia"/>
          <w:bCs/>
          <w:sz w:val="32"/>
          <w:szCs w:val="32"/>
        </w:rPr>
        <w:t>似未經行政院核定，</w:t>
      </w:r>
      <w:r>
        <w:rPr>
          <w:rFonts w:ascii="標楷體" w:eastAsia="標楷體" w:hAnsi="標楷體" w:hint="eastAsia"/>
          <w:bCs/>
          <w:sz w:val="32"/>
          <w:szCs w:val="32"/>
        </w:rPr>
        <w:t>吳委員思瑤</w:t>
      </w:r>
      <w:r w:rsidRPr="00B56DC2">
        <w:rPr>
          <w:rFonts w:ascii="標楷體" w:eastAsia="標楷體" w:hAnsi="標楷體" w:hint="eastAsia"/>
          <w:bCs/>
          <w:sz w:val="32"/>
          <w:szCs w:val="32"/>
        </w:rPr>
        <w:t>業已向文化部提出要求檢討策進，國科會亦應主動積極共推文化科技施政綱領，如世界各國以科技導入文化資產維護，使文化科技成為國科會施政重點要項，以預算引領政策挹注文化科技，落實文化科技之核心價值。綜上所述，爰請國家科學及技術委員會於</w:t>
      </w:r>
      <w:r>
        <w:rPr>
          <w:rFonts w:ascii="標楷體" w:eastAsia="標楷體" w:hAnsi="標楷體" w:hint="eastAsia"/>
          <w:bCs/>
          <w:sz w:val="32"/>
          <w:szCs w:val="32"/>
        </w:rPr>
        <w:t>3</w:t>
      </w:r>
      <w:r w:rsidRPr="00B56DC2">
        <w:rPr>
          <w:rFonts w:ascii="標楷體" w:eastAsia="標楷體" w:hAnsi="標楷體" w:hint="eastAsia"/>
          <w:bCs/>
          <w:sz w:val="32"/>
          <w:szCs w:val="32"/>
        </w:rPr>
        <w:t>個月內向立法院教育及文化委員會針對前述事由提出改進作為書面報告。</w:t>
      </w:r>
      <w:r>
        <w:rPr>
          <w:rFonts w:ascii="標楷體" w:eastAsia="標楷體" w:hAnsi="標楷體" w:hint="eastAsia"/>
          <w:bCs/>
          <w:sz w:val="32"/>
          <w:szCs w:val="32"/>
        </w:rPr>
        <w:t>94</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吳思瑤</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林宜瑾  陳秀寳</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(八十四)</w:t>
      </w:r>
      <w:r w:rsidRPr="0060199D">
        <w:rPr>
          <w:rFonts w:ascii="標楷體" w:eastAsia="標楷體" w:hAnsi="標楷體" w:hint="eastAsia"/>
          <w:bCs/>
          <w:sz w:val="32"/>
          <w:szCs w:val="32"/>
        </w:rPr>
        <w:t>112年度國家科學及技術委員會「國家科學技術發展基金」項下「基金現金增資」中</w:t>
      </w:r>
      <w:r>
        <w:rPr>
          <w:rFonts w:ascii="新細明體" w:hAnsi="新細明體" w:hint="eastAsia"/>
        </w:rPr>
        <w:t>「</w:t>
      </w:r>
      <w:r w:rsidRPr="00B56DC2">
        <w:rPr>
          <w:rFonts w:ascii="標楷體" w:eastAsia="標楷體" w:hAnsi="標楷體" w:hint="eastAsia"/>
          <w:bCs/>
          <w:sz w:val="32"/>
          <w:szCs w:val="32"/>
        </w:rPr>
        <w:t>人文及社會科學領域研究</w:t>
      </w:r>
      <w:r>
        <w:rPr>
          <w:rFonts w:ascii="標楷體" w:eastAsia="標楷體" w:hAnsi="標楷體" w:hint="eastAsia"/>
          <w:bCs/>
          <w:sz w:val="32"/>
          <w:szCs w:val="32"/>
        </w:rPr>
        <w:t>」</w:t>
      </w:r>
      <w:r w:rsidRPr="00B56DC2">
        <w:rPr>
          <w:rFonts w:ascii="標楷體" w:eastAsia="標楷體" w:hAnsi="標楷體" w:hint="eastAsia"/>
          <w:bCs/>
          <w:sz w:val="32"/>
          <w:szCs w:val="32"/>
        </w:rPr>
        <w:t>係推動人文學、社會科學、管理學、科學教育等領域之基礎</w:t>
      </w:r>
      <w:r w:rsidRPr="00B56DC2">
        <w:rPr>
          <w:rFonts w:ascii="標楷體" w:eastAsia="標楷體" w:hAnsi="標楷體" w:hint="eastAsia"/>
          <w:bCs/>
          <w:sz w:val="32"/>
          <w:szCs w:val="32"/>
        </w:rPr>
        <w:lastRenderedPageBreak/>
        <w:t>研究，橫跨人文社會、科技藝術、族群、文化等面向。經查文化部為提供兒童藝術、文化、共學、科學及科技探索、創造力發掘、學習體驗及體適能等創新學習體驗場域，規劃興建「國家兒童未來館」，打造首座國家級專屬兒童的館舍，以解決國內缺少專為兒童設計之文化科技體驗場館，尤其大臺北生活圈此類場館更顯匱乏，引進AR、VR、MR、5D等科技體驗，結合前瞻科技與藝術之互動呈現，從小培養兒童科技與藝術素養。國科會於組改後推動施政目標之一，為實現普惠科技，國家兒童未來館即為落實普惠科技的文化設施，同步培養兒童科技與藝術素養，過去已組成跨部會之計畫審查會議，計有文化部、教育部、內政部、財政部、交通部、衛生福利部及國家發展委員會等單位參與行政院歷次計畫審查，卻未見國家科學及技術委員會參與，顯見其未能對推動文化科技政策扮演關鍵角色，國家科學及技術委員會應主動積極參與，扮演跨部會之關鍵角色，研議與文化部共推國家兒童未來館計畫</w:t>
      </w:r>
      <w:r>
        <w:rPr>
          <w:rFonts w:ascii="標楷體" w:eastAsia="標楷體" w:hAnsi="標楷體" w:hint="eastAsia"/>
          <w:bCs/>
          <w:sz w:val="32"/>
          <w:szCs w:val="32"/>
        </w:rPr>
        <w:t>，並</w:t>
      </w:r>
      <w:r w:rsidRPr="00B56DC2">
        <w:rPr>
          <w:rFonts w:ascii="標楷體" w:eastAsia="標楷體" w:hAnsi="標楷體" w:hint="eastAsia"/>
          <w:bCs/>
          <w:sz w:val="32"/>
          <w:szCs w:val="32"/>
        </w:rPr>
        <w:t>於</w:t>
      </w:r>
      <w:r>
        <w:rPr>
          <w:rFonts w:ascii="標楷體" w:eastAsia="標楷體" w:hAnsi="標楷體" w:hint="eastAsia"/>
          <w:bCs/>
          <w:sz w:val="32"/>
          <w:szCs w:val="32"/>
        </w:rPr>
        <w:t>3</w:t>
      </w:r>
      <w:r w:rsidRPr="00B56DC2">
        <w:rPr>
          <w:rFonts w:ascii="標楷體" w:eastAsia="標楷體" w:hAnsi="標楷體" w:hint="eastAsia"/>
          <w:bCs/>
          <w:sz w:val="32"/>
          <w:szCs w:val="32"/>
        </w:rPr>
        <w:t>個月內</w:t>
      </w:r>
      <w:r>
        <w:rPr>
          <w:rFonts w:ascii="標楷體" w:eastAsia="標楷體" w:hAnsi="標楷體" w:hint="eastAsia"/>
          <w:bCs/>
          <w:sz w:val="32"/>
          <w:szCs w:val="32"/>
        </w:rPr>
        <w:t>向</w:t>
      </w:r>
      <w:r w:rsidRPr="00B56DC2">
        <w:rPr>
          <w:rFonts w:ascii="標楷體" w:eastAsia="標楷體" w:hAnsi="標楷體" w:hint="eastAsia"/>
          <w:bCs/>
          <w:sz w:val="32"/>
          <w:szCs w:val="32"/>
        </w:rPr>
        <w:t>立法院教育及文化委員會提出</w:t>
      </w:r>
      <w:r>
        <w:rPr>
          <w:rFonts w:ascii="標楷體" w:eastAsia="標楷體" w:hAnsi="標楷體" w:hint="eastAsia"/>
          <w:bCs/>
          <w:sz w:val="32"/>
          <w:szCs w:val="32"/>
        </w:rPr>
        <w:t>改進作為</w:t>
      </w:r>
      <w:r w:rsidRPr="00B56DC2">
        <w:rPr>
          <w:rFonts w:ascii="標楷體" w:eastAsia="標楷體" w:hAnsi="標楷體" w:hint="eastAsia"/>
          <w:bCs/>
          <w:sz w:val="32"/>
          <w:szCs w:val="32"/>
        </w:rPr>
        <w:t>書面報告。</w:t>
      </w:r>
      <w:r>
        <w:rPr>
          <w:rFonts w:ascii="標楷體" w:eastAsia="標楷體" w:hAnsi="標楷體" w:hint="eastAsia"/>
          <w:bCs/>
          <w:sz w:val="32"/>
          <w:szCs w:val="32"/>
        </w:rPr>
        <w:t>95</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吳思瑤</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陳秀寳  林宜瑾</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(八十五)</w:t>
      </w:r>
      <w:r w:rsidRPr="00B56DC2">
        <w:rPr>
          <w:rFonts w:ascii="標楷體" w:eastAsia="標楷體" w:hAnsi="標楷體" w:hint="eastAsia"/>
          <w:bCs/>
          <w:sz w:val="32"/>
          <w:szCs w:val="32"/>
        </w:rPr>
        <w:t>國家科學及技術委員會於107年度起推動「精準運動科學研究專案計畫」，與教育部體育署合作，結合運動科學與科技研發觀點，運用跨域研究發展新技術、應用及商業模式，扣合運動項目，第</w:t>
      </w:r>
      <w:r>
        <w:rPr>
          <w:rFonts w:ascii="標楷體" w:eastAsia="標楷體" w:hAnsi="標楷體" w:hint="eastAsia"/>
          <w:bCs/>
          <w:sz w:val="32"/>
          <w:szCs w:val="32"/>
        </w:rPr>
        <w:t>1</w:t>
      </w:r>
      <w:r w:rsidRPr="00B56DC2">
        <w:rPr>
          <w:rFonts w:ascii="標楷體" w:eastAsia="標楷體" w:hAnsi="標楷體" w:hint="eastAsia"/>
          <w:bCs/>
          <w:sz w:val="32"/>
          <w:szCs w:val="32"/>
        </w:rPr>
        <w:t>期計畫之研究項目為羽球、桌球、棒球、舉重及自行車，第</w:t>
      </w:r>
      <w:r>
        <w:rPr>
          <w:rFonts w:ascii="標楷體" w:eastAsia="標楷體" w:hAnsi="標楷體" w:hint="eastAsia"/>
          <w:bCs/>
          <w:sz w:val="32"/>
          <w:szCs w:val="32"/>
        </w:rPr>
        <w:t>2</w:t>
      </w:r>
      <w:r w:rsidRPr="00B56DC2">
        <w:rPr>
          <w:rFonts w:ascii="標楷體" w:eastAsia="標楷體" w:hAnsi="標楷體" w:hint="eastAsia"/>
          <w:bCs/>
          <w:sz w:val="32"/>
          <w:szCs w:val="32"/>
        </w:rPr>
        <w:t>期計畫亦將於112年1月開始執行，期望解決我國運動員於運動訓練所面臨之困難與瓶頸，提升運動競技表現，並與國際、全民、產業接軌，創造體育運動科學研究之價值。因此，有關第</w:t>
      </w:r>
      <w:r>
        <w:rPr>
          <w:rFonts w:ascii="標楷體" w:eastAsia="標楷體" w:hAnsi="標楷體" w:hint="eastAsia"/>
          <w:bCs/>
          <w:sz w:val="32"/>
          <w:szCs w:val="32"/>
        </w:rPr>
        <w:t>2</w:t>
      </w:r>
      <w:r w:rsidRPr="00B56DC2">
        <w:rPr>
          <w:rFonts w:ascii="標楷體" w:eastAsia="標楷體" w:hAnsi="標楷體" w:hint="eastAsia"/>
          <w:bCs/>
          <w:sz w:val="32"/>
          <w:szCs w:val="32"/>
        </w:rPr>
        <w:t>期「精準運動科學研究專案計畫」之研究項目，亦可延伸更多優勢競技運動種類，</w:t>
      </w:r>
      <w:r w:rsidRPr="00B56DC2">
        <w:rPr>
          <w:rFonts w:ascii="標楷體" w:eastAsia="標楷體" w:hAnsi="標楷體" w:hint="eastAsia"/>
          <w:bCs/>
          <w:sz w:val="32"/>
          <w:szCs w:val="32"/>
        </w:rPr>
        <w:lastRenderedPageBreak/>
        <w:t>如網球、游泳、體操等，提升我國運動選手之能力，並研議後續研究成果運用計畫，擴大應用價值，發揮研究成果效益，輔導商品化及產業化，帶動國內運動產業發展，並提升全民運動風氣。綜上所述，爰請國家科學及技術委員會於</w:t>
      </w:r>
      <w:r>
        <w:rPr>
          <w:rFonts w:ascii="標楷體" w:eastAsia="標楷體" w:hAnsi="標楷體" w:hint="eastAsia"/>
          <w:bCs/>
          <w:sz w:val="32"/>
          <w:szCs w:val="32"/>
        </w:rPr>
        <w:t>3個月內針對前述事由向立法院教育及文化委員會提出改進作為</w:t>
      </w:r>
      <w:r w:rsidRPr="00B56DC2">
        <w:rPr>
          <w:rFonts w:ascii="標楷體" w:eastAsia="標楷體" w:hAnsi="標楷體" w:hint="eastAsia"/>
          <w:bCs/>
          <w:sz w:val="32"/>
          <w:szCs w:val="32"/>
        </w:rPr>
        <w:t>書面報告。</w:t>
      </w:r>
      <w:r>
        <w:rPr>
          <w:rFonts w:ascii="標楷體" w:eastAsia="標楷體" w:hAnsi="標楷體" w:hint="eastAsia"/>
          <w:bCs/>
          <w:sz w:val="32"/>
          <w:szCs w:val="32"/>
        </w:rPr>
        <w:t>96</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吳思瑤</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何欣純  陳秀寳</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(八十六)</w:t>
      </w:r>
      <w:r w:rsidRPr="00B56DC2">
        <w:rPr>
          <w:rFonts w:ascii="標楷體" w:eastAsia="標楷體" w:hAnsi="標楷體" w:hint="eastAsia"/>
          <w:bCs/>
          <w:sz w:val="32"/>
          <w:szCs w:val="32"/>
        </w:rPr>
        <w:t>為因應國家科技發展，加強國際雙邊科技合作與人才交流，國</w:t>
      </w:r>
      <w:r>
        <w:rPr>
          <w:rFonts w:ascii="標楷體" w:eastAsia="標楷體" w:hAnsi="標楷體" w:hint="eastAsia"/>
          <w:bCs/>
          <w:sz w:val="32"/>
          <w:szCs w:val="32"/>
        </w:rPr>
        <w:t>家</w:t>
      </w:r>
      <w:r w:rsidRPr="00B56DC2">
        <w:rPr>
          <w:rFonts w:ascii="標楷體" w:eastAsia="標楷體" w:hAnsi="標楷體" w:hint="eastAsia"/>
          <w:bCs/>
          <w:sz w:val="32"/>
          <w:szCs w:val="32"/>
        </w:rPr>
        <w:t>科</w:t>
      </w:r>
      <w:r>
        <w:rPr>
          <w:rFonts w:ascii="標楷體" w:eastAsia="標楷體" w:hAnsi="標楷體" w:hint="eastAsia"/>
          <w:bCs/>
          <w:sz w:val="32"/>
          <w:szCs w:val="32"/>
        </w:rPr>
        <w:t>學及技術委員</w:t>
      </w:r>
      <w:r w:rsidRPr="00B56DC2">
        <w:rPr>
          <w:rFonts w:ascii="標楷體" w:eastAsia="標楷體" w:hAnsi="標楷體" w:hint="eastAsia"/>
          <w:bCs/>
          <w:sz w:val="32"/>
          <w:szCs w:val="32"/>
        </w:rPr>
        <w:t>會補助科學與技術人員赴國外機構從事特定專題研究、研習特定學科及技術等短期研究。經查，該計畫109</w:t>
      </w:r>
      <w:r>
        <w:rPr>
          <w:rFonts w:ascii="標楷體" w:eastAsia="標楷體" w:hAnsi="標楷體" w:hint="eastAsia"/>
          <w:bCs/>
          <w:sz w:val="32"/>
          <w:szCs w:val="32"/>
        </w:rPr>
        <w:t>至</w:t>
      </w:r>
      <w:r w:rsidRPr="00B56DC2">
        <w:rPr>
          <w:rFonts w:ascii="標楷體" w:eastAsia="標楷體" w:hAnsi="標楷體" w:hint="eastAsia"/>
          <w:bCs/>
          <w:sz w:val="32"/>
          <w:szCs w:val="32"/>
        </w:rPr>
        <w:t>111年執行情形，因受嚴重特殊傳染性肺炎疫情影響，致申請及核定人數均有下降，且預算執行率亦不高。因應近來邊境開放，國</w:t>
      </w:r>
      <w:r>
        <w:rPr>
          <w:rFonts w:ascii="標楷體" w:eastAsia="標楷體" w:hAnsi="標楷體" w:hint="eastAsia"/>
          <w:bCs/>
          <w:sz w:val="32"/>
          <w:szCs w:val="32"/>
        </w:rPr>
        <w:t>家</w:t>
      </w:r>
      <w:r w:rsidRPr="00B56DC2">
        <w:rPr>
          <w:rFonts w:ascii="標楷體" w:eastAsia="標楷體" w:hAnsi="標楷體" w:hint="eastAsia"/>
          <w:bCs/>
          <w:sz w:val="32"/>
          <w:szCs w:val="32"/>
        </w:rPr>
        <w:t>科</w:t>
      </w:r>
      <w:r>
        <w:rPr>
          <w:rFonts w:ascii="標楷體" w:eastAsia="標楷體" w:hAnsi="標楷體" w:hint="eastAsia"/>
          <w:bCs/>
          <w:sz w:val="32"/>
          <w:szCs w:val="32"/>
        </w:rPr>
        <w:t>學及技術委員</w:t>
      </w:r>
      <w:r w:rsidRPr="00B56DC2">
        <w:rPr>
          <w:rFonts w:ascii="標楷體" w:eastAsia="標楷體" w:hAnsi="標楷體" w:hint="eastAsia"/>
          <w:bCs/>
          <w:sz w:val="32"/>
          <w:szCs w:val="32"/>
        </w:rPr>
        <w:t>會應加強辦理促進人才國際流動，鼓勵科研人員出國研修，以培育研究人才</w:t>
      </w:r>
      <w:r>
        <w:rPr>
          <w:rFonts w:ascii="標楷體" w:eastAsia="標楷體" w:hAnsi="標楷體" w:hint="eastAsia"/>
          <w:bCs/>
          <w:sz w:val="32"/>
          <w:szCs w:val="32"/>
        </w:rPr>
        <w:t>，並</w:t>
      </w:r>
      <w:r w:rsidRPr="00B56DC2">
        <w:rPr>
          <w:rFonts w:ascii="標楷體" w:eastAsia="標楷體" w:hAnsi="標楷體" w:hint="eastAsia"/>
          <w:bCs/>
          <w:sz w:val="32"/>
          <w:szCs w:val="32"/>
        </w:rPr>
        <w:t>於</w:t>
      </w:r>
      <w:r>
        <w:rPr>
          <w:rFonts w:ascii="標楷體" w:eastAsia="標楷體" w:hAnsi="標楷體" w:hint="eastAsia"/>
          <w:bCs/>
          <w:sz w:val="32"/>
          <w:szCs w:val="32"/>
        </w:rPr>
        <w:t>3</w:t>
      </w:r>
      <w:r w:rsidRPr="00B56DC2">
        <w:rPr>
          <w:rFonts w:ascii="標楷體" w:eastAsia="標楷體" w:hAnsi="標楷體" w:hint="eastAsia"/>
          <w:bCs/>
          <w:sz w:val="32"/>
          <w:szCs w:val="32"/>
        </w:rPr>
        <w:t>個月內向立法院教育及文化委員會提出書面報告。</w:t>
      </w:r>
      <w:r>
        <w:rPr>
          <w:rFonts w:ascii="標楷體" w:eastAsia="標楷體" w:hAnsi="標楷體" w:hint="eastAsia"/>
          <w:bCs/>
          <w:sz w:val="32"/>
          <w:szCs w:val="32"/>
        </w:rPr>
        <w:t>98</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2"/>
        <w:gridCol w:w="2268"/>
        <w:gridCol w:w="2058"/>
        <w:gridCol w:w="1592"/>
        <w:gridCol w:w="1559"/>
      </w:tblGrid>
      <w:tr w:rsidR="00A52DD2" w:rsidRPr="00B56DC2" w:rsidTr="00F035E0">
        <w:trPr>
          <w:jc w:val="right"/>
        </w:trPr>
        <w:tc>
          <w:tcPr>
            <w:tcW w:w="992" w:type="dxa"/>
            <w:shd w:val="clear" w:color="auto" w:fill="auto"/>
            <w:vAlign w:val="center"/>
          </w:tcPr>
          <w:p w:rsidR="00A52DD2" w:rsidRPr="00B56DC2" w:rsidRDefault="00A52DD2" w:rsidP="00F035E0">
            <w:pPr>
              <w:adjustRightInd w:val="0"/>
              <w:snapToGrid w:val="0"/>
              <w:jc w:val="center"/>
              <w:rPr>
                <w:rFonts w:ascii="標楷體" w:eastAsia="標楷體" w:hAnsi="標楷體"/>
                <w:szCs w:val="28"/>
              </w:rPr>
            </w:pPr>
            <w:r w:rsidRPr="00B56DC2">
              <w:rPr>
                <w:rFonts w:ascii="標楷體" w:eastAsia="標楷體" w:hAnsi="標楷體" w:hint="eastAsia"/>
                <w:szCs w:val="28"/>
              </w:rPr>
              <w:t>年度</w:t>
            </w:r>
          </w:p>
        </w:tc>
        <w:tc>
          <w:tcPr>
            <w:tcW w:w="2268" w:type="dxa"/>
            <w:shd w:val="clear" w:color="auto" w:fill="auto"/>
            <w:vAlign w:val="center"/>
          </w:tcPr>
          <w:p w:rsidR="00A52DD2" w:rsidRPr="00B56DC2" w:rsidRDefault="00A52DD2" w:rsidP="00F035E0">
            <w:pPr>
              <w:adjustRightInd w:val="0"/>
              <w:snapToGrid w:val="0"/>
              <w:jc w:val="center"/>
              <w:rPr>
                <w:rFonts w:ascii="標楷體" w:eastAsia="標楷體" w:hAnsi="標楷體"/>
                <w:szCs w:val="28"/>
              </w:rPr>
            </w:pPr>
            <w:r w:rsidRPr="00B56DC2">
              <w:rPr>
                <w:rFonts w:ascii="標楷體" w:eastAsia="標楷體" w:hAnsi="標楷體" w:hint="eastAsia"/>
                <w:szCs w:val="28"/>
              </w:rPr>
              <w:t>預算數</w:t>
            </w:r>
          </w:p>
        </w:tc>
        <w:tc>
          <w:tcPr>
            <w:tcW w:w="2058" w:type="dxa"/>
            <w:shd w:val="clear" w:color="auto" w:fill="auto"/>
            <w:vAlign w:val="center"/>
          </w:tcPr>
          <w:p w:rsidR="00A52DD2" w:rsidRPr="00B56DC2" w:rsidRDefault="00A52DD2" w:rsidP="00F035E0">
            <w:pPr>
              <w:adjustRightInd w:val="0"/>
              <w:snapToGrid w:val="0"/>
              <w:jc w:val="center"/>
              <w:rPr>
                <w:rFonts w:ascii="標楷體" w:eastAsia="標楷體" w:hAnsi="標楷體"/>
                <w:szCs w:val="28"/>
              </w:rPr>
            </w:pPr>
            <w:r w:rsidRPr="00B56DC2">
              <w:rPr>
                <w:rFonts w:ascii="標楷體" w:eastAsia="標楷體" w:hAnsi="標楷體" w:hint="eastAsia"/>
                <w:szCs w:val="28"/>
              </w:rPr>
              <w:t>決算數</w:t>
            </w:r>
          </w:p>
        </w:tc>
        <w:tc>
          <w:tcPr>
            <w:tcW w:w="1592" w:type="dxa"/>
            <w:shd w:val="clear" w:color="auto" w:fill="auto"/>
          </w:tcPr>
          <w:p w:rsidR="00A52DD2" w:rsidRPr="00B56DC2" w:rsidRDefault="00A52DD2" w:rsidP="00F035E0">
            <w:pPr>
              <w:adjustRightInd w:val="0"/>
              <w:snapToGrid w:val="0"/>
              <w:jc w:val="center"/>
              <w:rPr>
                <w:rFonts w:ascii="標楷體" w:eastAsia="標楷體" w:hAnsi="標楷體"/>
                <w:szCs w:val="28"/>
              </w:rPr>
            </w:pPr>
            <w:r w:rsidRPr="00B56DC2">
              <w:rPr>
                <w:rFonts w:ascii="標楷體" w:eastAsia="標楷體" w:hAnsi="標楷體" w:hint="eastAsia"/>
                <w:szCs w:val="28"/>
              </w:rPr>
              <w:t>申請人數</w:t>
            </w:r>
          </w:p>
        </w:tc>
        <w:tc>
          <w:tcPr>
            <w:tcW w:w="1559" w:type="dxa"/>
            <w:shd w:val="clear" w:color="auto" w:fill="auto"/>
          </w:tcPr>
          <w:p w:rsidR="00A52DD2" w:rsidRPr="00B56DC2" w:rsidRDefault="00A52DD2" w:rsidP="00F035E0">
            <w:pPr>
              <w:adjustRightInd w:val="0"/>
              <w:snapToGrid w:val="0"/>
              <w:jc w:val="center"/>
              <w:rPr>
                <w:rFonts w:ascii="標楷體" w:eastAsia="標楷體" w:hAnsi="標楷體"/>
                <w:szCs w:val="28"/>
              </w:rPr>
            </w:pPr>
            <w:r w:rsidRPr="00B56DC2">
              <w:rPr>
                <w:rFonts w:ascii="標楷體" w:eastAsia="標楷體" w:hAnsi="標楷體" w:hint="eastAsia"/>
                <w:szCs w:val="28"/>
              </w:rPr>
              <w:t>核定人數</w:t>
            </w:r>
          </w:p>
        </w:tc>
      </w:tr>
      <w:tr w:rsidR="00A52DD2" w:rsidRPr="00B56DC2" w:rsidTr="00F035E0">
        <w:trPr>
          <w:jc w:val="right"/>
        </w:trPr>
        <w:tc>
          <w:tcPr>
            <w:tcW w:w="992" w:type="dxa"/>
            <w:shd w:val="clear" w:color="auto" w:fill="auto"/>
            <w:vAlign w:val="center"/>
          </w:tcPr>
          <w:p w:rsidR="00A52DD2" w:rsidRPr="00B56DC2" w:rsidRDefault="00A52DD2" w:rsidP="00F035E0">
            <w:pPr>
              <w:adjustRightInd w:val="0"/>
              <w:snapToGrid w:val="0"/>
              <w:jc w:val="center"/>
              <w:rPr>
                <w:rFonts w:ascii="標楷體" w:eastAsia="標楷體" w:hAnsi="標楷體"/>
                <w:szCs w:val="28"/>
              </w:rPr>
            </w:pPr>
            <w:r w:rsidRPr="00B56DC2">
              <w:rPr>
                <w:rFonts w:ascii="標楷體" w:eastAsia="標楷體" w:hAnsi="標楷體" w:hint="eastAsia"/>
                <w:szCs w:val="28"/>
              </w:rPr>
              <w:t>109</w:t>
            </w:r>
          </w:p>
        </w:tc>
        <w:tc>
          <w:tcPr>
            <w:tcW w:w="2268" w:type="dxa"/>
            <w:shd w:val="clear" w:color="auto" w:fill="auto"/>
            <w:vAlign w:val="center"/>
          </w:tcPr>
          <w:p w:rsidR="00A52DD2" w:rsidRPr="00B56DC2" w:rsidRDefault="00A52DD2" w:rsidP="00F035E0">
            <w:pPr>
              <w:adjustRightInd w:val="0"/>
              <w:snapToGrid w:val="0"/>
              <w:jc w:val="center"/>
              <w:rPr>
                <w:rFonts w:ascii="標楷體" w:eastAsia="標楷體" w:hAnsi="標楷體"/>
                <w:szCs w:val="28"/>
              </w:rPr>
            </w:pPr>
            <w:r w:rsidRPr="00B56DC2">
              <w:rPr>
                <w:rFonts w:ascii="標楷體" w:eastAsia="標楷體" w:hAnsi="標楷體" w:hint="eastAsia"/>
                <w:szCs w:val="28"/>
              </w:rPr>
              <w:t>9</w:t>
            </w:r>
            <w:r>
              <w:rPr>
                <w:rFonts w:ascii="標楷體" w:eastAsia="標楷體" w:hAnsi="標楷體" w:hint="eastAsia"/>
                <w:szCs w:val="28"/>
              </w:rPr>
              <w:t>,</w:t>
            </w:r>
            <w:r w:rsidRPr="00B56DC2">
              <w:rPr>
                <w:rFonts w:ascii="標楷體" w:eastAsia="標楷體" w:hAnsi="標楷體" w:hint="eastAsia"/>
                <w:szCs w:val="28"/>
              </w:rPr>
              <w:t>611萬5千元</w:t>
            </w:r>
          </w:p>
        </w:tc>
        <w:tc>
          <w:tcPr>
            <w:tcW w:w="2058" w:type="dxa"/>
            <w:shd w:val="clear" w:color="auto" w:fill="auto"/>
            <w:vAlign w:val="center"/>
          </w:tcPr>
          <w:p w:rsidR="00A52DD2" w:rsidRPr="00B56DC2" w:rsidRDefault="00A52DD2" w:rsidP="00F035E0">
            <w:pPr>
              <w:adjustRightInd w:val="0"/>
              <w:snapToGrid w:val="0"/>
              <w:jc w:val="center"/>
              <w:rPr>
                <w:rFonts w:ascii="標楷體" w:eastAsia="標楷體" w:hAnsi="標楷體"/>
                <w:szCs w:val="28"/>
              </w:rPr>
            </w:pPr>
            <w:r w:rsidRPr="00B56DC2">
              <w:rPr>
                <w:rFonts w:ascii="標楷體" w:eastAsia="標楷體" w:hAnsi="標楷體" w:hint="eastAsia"/>
                <w:szCs w:val="28"/>
              </w:rPr>
              <w:t>7</w:t>
            </w:r>
            <w:r>
              <w:rPr>
                <w:rFonts w:ascii="標楷體" w:eastAsia="標楷體" w:hAnsi="標楷體"/>
                <w:szCs w:val="28"/>
              </w:rPr>
              <w:t>,</w:t>
            </w:r>
            <w:r w:rsidRPr="00B56DC2">
              <w:rPr>
                <w:rFonts w:ascii="標楷體" w:eastAsia="標楷體" w:hAnsi="標楷體" w:hint="eastAsia"/>
                <w:szCs w:val="28"/>
              </w:rPr>
              <w:t>573萬3千元</w:t>
            </w:r>
          </w:p>
        </w:tc>
        <w:tc>
          <w:tcPr>
            <w:tcW w:w="1592" w:type="dxa"/>
            <w:shd w:val="clear" w:color="auto" w:fill="auto"/>
          </w:tcPr>
          <w:p w:rsidR="00A52DD2" w:rsidRPr="00B56DC2" w:rsidRDefault="00A52DD2" w:rsidP="00F035E0">
            <w:pPr>
              <w:adjustRightInd w:val="0"/>
              <w:snapToGrid w:val="0"/>
              <w:jc w:val="center"/>
              <w:rPr>
                <w:rFonts w:ascii="標楷體" w:eastAsia="標楷體" w:hAnsi="標楷體"/>
                <w:szCs w:val="28"/>
              </w:rPr>
            </w:pPr>
            <w:r w:rsidRPr="00B56DC2">
              <w:rPr>
                <w:rFonts w:ascii="標楷體" w:eastAsia="標楷體" w:hAnsi="標楷體" w:hint="eastAsia"/>
                <w:szCs w:val="28"/>
              </w:rPr>
              <w:t>220人</w:t>
            </w:r>
          </w:p>
        </w:tc>
        <w:tc>
          <w:tcPr>
            <w:tcW w:w="1559" w:type="dxa"/>
            <w:shd w:val="clear" w:color="auto" w:fill="auto"/>
          </w:tcPr>
          <w:p w:rsidR="00A52DD2" w:rsidRPr="00B56DC2" w:rsidRDefault="00A52DD2" w:rsidP="00F035E0">
            <w:pPr>
              <w:adjustRightInd w:val="0"/>
              <w:snapToGrid w:val="0"/>
              <w:jc w:val="center"/>
              <w:rPr>
                <w:rFonts w:ascii="標楷體" w:eastAsia="標楷體" w:hAnsi="標楷體"/>
                <w:szCs w:val="28"/>
              </w:rPr>
            </w:pPr>
            <w:r w:rsidRPr="00B56DC2">
              <w:rPr>
                <w:rFonts w:ascii="標楷體" w:eastAsia="標楷體" w:hAnsi="標楷體" w:hint="eastAsia"/>
                <w:szCs w:val="28"/>
              </w:rPr>
              <w:t>194人</w:t>
            </w:r>
          </w:p>
        </w:tc>
      </w:tr>
      <w:tr w:rsidR="00A52DD2" w:rsidRPr="00B56DC2" w:rsidTr="00F035E0">
        <w:trPr>
          <w:jc w:val="right"/>
        </w:trPr>
        <w:tc>
          <w:tcPr>
            <w:tcW w:w="992" w:type="dxa"/>
            <w:shd w:val="clear" w:color="auto" w:fill="auto"/>
            <w:vAlign w:val="center"/>
          </w:tcPr>
          <w:p w:rsidR="00A52DD2" w:rsidRPr="00B56DC2" w:rsidRDefault="00A52DD2" w:rsidP="00F035E0">
            <w:pPr>
              <w:adjustRightInd w:val="0"/>
              <w:snapToGrid w:val="0"/>
              <w:jc w:val="center"/>
              <w:rPr>
                <w:rFonts w:ascii="標楷體" w:eastAsia="標楷體" w:hAnsi="標楷體"/>
                <w:szCs w:val="28"/>
              </w:rPr>
            </w:pPr>
            <w:r w:rsidRPr="00B56DC2">
              <w:rPr>
                <w:rFonts w:ascii="標楷體" w:eastAsia="標楷體" w:hAnsi="標楷體" w:hint="eastAsia"/>
                <w:szCs w:val="28"/>
              </w:rPr>
              <w:t>110</w:t>
            </w:r>
          </w:p>
        </w:tc>
        <w:tc>
          <w:tcPr>
            <w:tcW w:w="2268" w:type="dxa"/>
            <w:shd w:val="clear" w:color="auto" w:fill="auto"/>
            <w:vAlign w:val="center"/>
          </w:tcPr>
          <w:p w:rsidR="00A52DD2" w:rsidRPr="00B56DC2" w:rsidRDefault="00A52DD2" w:rsidP="00F035E0">
            <w:pPr>
              <w:adjustRightInd w:val="0"/>
              <w:snapToGrid w:val="0"/>
              <w:jc w:val="center"/>
              <w:rPr>
                <w:rFonts w:ascii="標楷體" w:eastAsia="標楷體" w:hAnsi="標楷體"/>
                <w:szCs w:val="28"/>
              </w:rPr>
            </w:pPr>
            <w:r w:rsidRPr="00B56DC2">
              <w:rPr>
                <w:rFonts w:ascii="標楷體" w:eastAsia="標楷體" w:hAnsi="標楷體" w:hint="eastAsia"/>
                <w:szCs w:val="28"/>
              </w:rPr>
              <w:t>5</w:t>
            </w:r>
            <w:r>
              <w:rPr>
                <w:rFonts w:ascii="標楷體" w:eastAsia="標楷體" w:hAnsi="標楷體"/>
                <w:szCs w:val="28"/>
              </w:rPr>
              <w:t>,</w:t>
            </w:r>
            <w:r w:rsidRPr="00B56DC2">
              <w:rPr>
                <w:rFonts w:ascii="標楷體" w:eastAsia="標楷體" w:hAnsi="標楷體" w:hint="eastAsia"/>
                <w:szCs w:val="28"/>
              </w:rPr>
              <w:t>200萬</w:t>
            </w:r>
            <w:r>
              <w:rPr>
                <w:rFonts w:ascii="標楷體" w:eastAsia="標楷體" w:hAnsi="標楷體" w:hint="eastAsia"/>
                <w:szCs w:val="28"/>
              </w:rPr>
              <w:t>元</w:t>
            </w:r>
          </w:p>
        </w:tc>
        <w:tc>
          <w:tcPr>
            <w:tcW w:w="2058" w:type="dxa"/>
            <w:shd w:val="clear" w:color="auto" w:fill="auto"/>
            <w:vAlign w:val="center"/>
          </w:tcPr>
          <w:p w:rsidR="00A52DD2" w:rsidRPr="00B56DC2" w:rsidRDefault="00A52DD2" w:rsidP="00F035E0">
            <w:pPr>
              <w:adjustRightInd w:val="0"/>
              <w:snapToGrid w:val="0"/>
              <w:jc w:val="center"/>
              <w:rPr>
                <w:rFonts w:ascii="標楷體" w:eastAsia="標楷體" w:hAnsi="標楷體"/>
                <w:szCs w:val="28"/>
              </w:rPr>
            </w:pPr>
            <w:r w:rsidRPr="00B56DC2">
              <w:rPr>
                <w:rFonts w:ascii="標楷體" w:eastAsia="標楷體" w:hAnsi="標楷體" w:hint="eastAsia"/>
                <w:szCs w:val="28"/>
              </w:rPr>
              <w:t>4</w:t>
            </w:r>
            <w:r>
              <w:rPr>
                <w:rFonts w:ascii="標楷體" w:eastAsia="標楷體" w:hAnsi="標楷體"/>
                <w:szCs w:val="28"/>
              </w:rPr>
              <w:t>,</w:t>
            </w:r>
            <w:r w:rsidRPr="00B56DC2">
              <w:rPr>
                <w:rFonts w:ascii="標楷體" w:eastAsia="標楷體" w:hAnsi="標楷體" w:hint="eastAsia"/>
                <w:szCs w:val="28"/>
              </w:rPr>
              <w:t>626萬3千元</w:t>
            </w:r>
          </w:p>
        </w:tc>
        <w:tc>
          <w:tcPr>
            <w:tcW w:w="1592" w:type="dxa"/>
            <w:shd w:val="clear" w:color="auto" w:fill="auto"/>
          </w:tcPr>
          <w:p w:rsidR="00A52DD2" w:rsidRPr="00B56DC2" w:rsidRDefault="00A52DD2" w:rsidP="00F035E0">
            <w:pPr>
              <w:adjustRightInd w:val="0"/>
              <w:snapToGrid w:val="0"/>
              <w:jc w:val="center"/>
              <w:rPr>
                <w:rFonts w:ascii="標楷體" w:eastAsia="標楷體" w:hAnsi="標楷體"/>
                <w:szCs w:val="28"/>
              </w:rPr>
            </w:pPr>
            <w:r w:rsidRPr="00B56DC2">
              <w:rPr>
                <w:rFonts w:ascii="標楷體" w:eastAsia="標楷體" w:hAnsi="標楷體" w:hint="eastAsia"/>
                <w:szCs w:val="28"/>
              </w:rPr>
              <w:t>108人</w:t>
            </w:r>
          </w:p>
        </w:tc>
        <w:tc>
          <w:tcPr>
            <w:tcW w:w="1559" w:type="dxa"/>
            <w:shd w:val="clear" w:color="auto" w:fill="auto"/>
          </w:tcPr>
          <w:p w:rsidR="00A52DD2" w:rsidRPr="00B56DC2" w:rsidRDefault="00A52DD2" w:rsidP="00F035E0">
            <w:pPr>
              <w:adjustRightInd w:val="0"/>
              <w:snapToGrid w:val="0"/>
              <w:jc w:val="center"/>
              <w:rPr>
                <w:rFonts w:ascii="標楷體" w:eastAsia="標楷體" w:hAnsi="標楷體"/>
                <w:szCs w:val="28"/>
              </w:rPr>
            </w:pPr>
            <w:r w:rsidRPr="00B56DC2">
              <w:rPr>
                <w:rFonts w:ascii="標楷體" w:eastAsia="標楷體" w:hAnsi="標楷體" w:hint="eastAsia"/>
                <w:szCs w:val="28"/>
              </w:rPr>
              <w:t>99人</w:t>
            </w:r>
          </w:p>
        </w:tc>
      </w:tr>
      <w:tr w:rsidR="00A52DD2" w:rsidRPr="00B56DC2" w:rsidTr="00F035E0">
        <w:trPr>
          <w:jc w:val="right"/>
        </w:trPr>
        <w:tc>
          <w:tcPr>
            <w:tcW w:w="992" w:type="dxa"/>
            <w:shd w:val="clear" w:color="auto" w:fill="auto"/>
            <w:vAlign w:val="center"/>
          </w:tcPr>
          <w:p w:rsidR="00A52DD2" w:rsidRPr="00B56DC2" w:rsidRDefault="00A52DD2" w:rsidP="00F035E0">
            <w:pPr>
              <w:adjustRightInd w:val="0"/>
              <w:snapToGrid w:val="0"/>
              <w:jc w:val="center"/>
              <w:rPr>
                <w:rFonts w:ascii="標楷體" w:eastAsia="標楷體" w:hAnsi="標楷體"/>
                <w:szCs w:val="28"/>
              </w:rPr>
            </w:pPr>
            <w:r w:rsidRPr="00B56DC2">
              <w:rPr>
                <w:rFonts w:ascii="標楷體" w:eastAsia="標楷體" w:hAnsi="標楷體" w:hint="eastAsia"/>
                <w:szCs w:val="28"/>
              </w:rPr>
              <w:t>111</w:t>
            </w:r>
          </w:p>
        </w:tc>
        <w:tc>
          <w:tcPr>
            <w:tcW w:w="2268" w:type="dxa"/>
            <w:shd w:val="clear" w:color="auto" w:fill="auto"/>
            <w:vAlign w:val="center"/>
          </w:tcPr>
          <w:p w:rsidR="00A52DD2" w:rsidRPr="00B56DC2" w:rsidRDefault="00A52DD2" w:rsidP="00F035E0">
            <w:pPr>
              <w:adjustRightInd w:val="0"/>
              <w:snapToGrid w:val="0"/>
              <w:jc w:val="center"/>
              <w:rPr>
                <w:rFonts w:ascii="標楷體" w:eastAsia="標楷體" w:hAnsi="標楷體"/>
                <w:szCs w:val="28"/>
              </w:rPr>
            </w:pPr>
            <w:r w:rsidRPr="00B56DC2">
              <w:rPr>
                <w:rFonts w:ascii="標楷體" w:eastAsia="標楷體" w:hAnsi="標楷體" w:hint="eastAsia"/>
                <w:szCs w:val="28"/>
              </w:rPr>
              <w:t>6</w:t>
            </w:r>
            <w:r>
              <w:rPr>
                <w:rFonts w:ascii="標楷體" w:eastAsia="標楷體" w:hAnsi="標楷體"/>
                <w:szCs w:val="28"/>
              </w:rPr>
              <w:t>,</w:t>
            </w:r>
            <w:r w:rsidRPr="00B56DC2">
              <w:rPr>
                <w:rFonts w:ascii="標楷體" w:eastAsia="標楷體" w:hAnsi="標楷體" w:hint="eastAsia"/>
                <w:szCs w:val="28"/>
              </w:rPr>
              <w:t>611萬5千元</w:t>
            </w:r>
          </w:p>
        </w:tc>
        <w:tc>
          <w:tcPr>
            <w:tcW w:w="2058" w:type="dxa"/>
            <w:shd w:val="clear" w:color="auto" w:fill="auto"/>
            <w:vAlign w:val="center"/>
          </w:tcPr>
          <w:p w:rsidR="00A52DD2" w:rsidRPr="00B56DC2" w:rsidRDefault="00A52DD2" w:rsidP="00F035E0">
            <w:pPr>
              <w:adjustRightInd w:val="0"/>
              <w:snapToGrid w:val="0"/>
              <w:jc w:val="center"/>
              <w:rPr>
                <w:rFonts w:ascii="標楷體" w:eastAsia="標楷體" w:hAnsi="標楷體"/>
                <w:szCs w:val="28"/>
              </w:rPr>
            </w:pPr>
            <w:r w:rsidRPr="00B56DC2">
              <w:rPr>
                <w:rFonts w:ascii="標楷體" w:eastAsia="標楷體" w:hAnsi="標楷體" w:hint="eastAsia"/>
                <w:szCs w:val="28"/>
              </w:rPr>
              <w:t>-</w:t>
            </w:r>
          </w:p>
        </w:tc>
        <w:tc>
          <w:tcPr>
            <w:tcW w:w="1592" w:type="dxa"/>
            <w:shd w:val="clear" w:color="auto" w:fill="auto"/>
          </w:tcPr>
          <w:p w:rsidR="00A52DD2" w:rsidRPr="00B56DC2" w:rsidRDefault="00A52DD2" w:rsidP="00F035E0">
            <w:pPr>
              <w:adjustRightInd w:val="0"/>
              <w:snapToGrid w:val="0"/>
              <w:jc w:val="center"/>
              <w:rPr>
                <w:rFonts w:ascii="標楷體" w:eastAsia="標楷體" w:hAnsi="標楷體"/>
                <w:szCs w:val="28"/>
              </w:rPr>
            </w:pPr>
            <w:r w:rsidRPr="00B56DC2">
              <w:rPr>
                <w:rFonts w:ascii="標楷體" w:eastAsia="標楷體" w:hAnsi="標楷體" w:hint="eastAsia"/>
                <w:szCs w:val="28"/>
              </w:rPr>
              <w:t>113人</w:t>
            </w:r>
          </w:p>
        </w:tc>
        <w:tc>
          <w:tcPr>
            <w:tcW w:w="1559" w:type="dxa"/>
            <w:shd w:val="clear" w:color="auto" w:fill="auto"/>
          </w:tcPr>
          <w:p w:rsidR="00A52DD2" w:rsidRPr="00B56DC2" w:rsidRDefault="00A52DD2" w:rsidP="00F035E0">
            <w:pPr>
              <w:adjustRightInd w:val="0"/>
              <w:snapToGrid w:val="0"/>
              <w:jc w:val="center"/>
              <w:rPr>
                <w:rFonts w:ascii="標楷體" w:eastAsia="標楷體" w:hAnsi="標楷體"/>
                <w:szCs w:val="28"/>
              </w:rPr>
            </w:pPr>
            <w:r w:rsidRPr="00B56DC2">
              <w:rPr>
                <w:rFonts w:ascii="標楷體" w:eastAsia="標楷體" w:hAnsi="標楷體" w:hint="eastAsia"/>
                <w:szCs w:val="28"/>
              </w:rPr>
              <w:t>103人</w:t>
            </w:r>
          </w:p>
        </w:tc>
      </w:tr>
      <w:tr w:rsidR="00A52DD2" w:rsidRPr="00B56DC2" w:rsidTr="00F035E0">
        <w:trPr>
          <w:jc w:val="right"/>
        </w:trPr>
        <w:tc>
          <w:tcPr>
            <w:tcW w:w="992" w:type="dxa"/>
            <w:shd w:val="clear" w:color="auto" w:fill="auto"/>
            <w:vAlign w:val="center"/>
          </w:tcPr>
          <w:p w:rsidR="00A52DD2" w:rsidRPr="00B56DC2" w:rsidRDefault="00A52DD2" w:rsidP="00F035E0">
            <w:pPr>
              <w:adjustRightInd w:val="0"/>
              <w:snapToGrid w:val="0"/>
              <w:jc w:val="center"/>
              <w:rPr>
                <w:rFonts w:ascii="標楷體" w:eastAsia="標楷體" w:hAnsi="標楷體"/>
                <w:szCs w:val="28"/>
              </w:rPr>
            </w:pPr>
            <w:r w:rsidRPr="00B56DC2">
              <w:rPr>
                <w:rFonts w:ascii="標楷體" w:eastAsia="標楷體" w:hAnsi="標楷體" w:hint="eastAsia"/>
                <w:szCs w:val="28"/>
              </w:rPr>
              <w:t>112</w:t>
            </w:r>
          </w:p>
        </w:tc>
        <w:tc>
          <w:tcPr>
            <w:tcW w:w="2268" w:type="dxa"/>
            <w:shd w:val="clear" w:color="auto" w:fill="auto"/>
            <w:vAlign w:val="center"/>
          </w:tcPr>
          <w:p w:rsidR="00A52DD2" w:rsidRPr="00B56DC2" w:rsidRDefault="00A52DD2" w:rsidP="00F035E0">
            <w:pPr>
              <w:adjustRightInd w:val="0"/>
              <w:snapToGrid w:val="0"/>
              <w:jc w:val="center"/>
              <w:rPr>
                <w:rFonts w:ascii="標楷體" w:eastAsia="標楷體" w:hAnsi="標楷體"/>
                <w:szCs w:val="28"/>
              </w:rPr>
            </w:pPr>
            <w:r w:rsidRPr="00B56DC2">
              <w:rPr>
                <w:rFonts w:ascii="標楷體" w:eastAsia="標楷體" w:hAnsi="標楷體" w:hint="eastAsia"/>
                <w:szCs w:val="28"/>
              </w:rPr>
              <w:t>7</w:t>
            </w:r>
            <w:r>
              <w:rPr>
                <w:rFonts w:ascii="標楷體" w:eastAsia="標楷體" w:hAnsi="標楷體"/>
                <w:szCs w:val="28"/>
              </w:rPr>
              <w:t>,</w:t>
            </w:r>
            <w:r w:rsidRPr="00B56DC2">
              <w:rPr>
                <w:rFonts w:ascii="標楷體" w:eastAsia="標楷體" w:hAnsi="標楷體" w:hint="eastAsia"/>
                <w:szCs w:val="28"/>
              </w:rPr>
              <w:t>000萬元</w:t>
            </w:r>
          </w:p>
        </w:tc>
        <w:tc>
          <w:tcPr>
            <w:tcW w:w="2058" w:type="dxa"/>
            <w:shd w:val="clear" w:color="auto" w:fill="auto"/>
            <w:vAlign w:val="center"/>
          </w:tcPr>
          <w:p w:rsidR="00A52DD2" w:rsidRPr="00B56DC2" w:rsidRDefault="00A52DD2" w:rsidP="00F035E0">
            <w:pPr>
              <w:adjustRightInd w:val="0"/>
              <w:snapToGrid w:val="0"/>
              <w:jc w:val="center"/>
              <w:rPr>
                <w:rFonts w:ascii="標楷體" w:eastAsia="標楷體" w:hAnsi="標楷體"/>
                <w:szCs w:val="28"/>
              </w:rPr>
            </w:pPr>
            <w:r w:rsidRPr="00B56DC2">
              <w:rPr>
                <w:rFonts w:ascii="標楷體" w:eastAsia="標楷體" w:hAnsi="標楷體" w:hint="eastAsia"/>
                <w:szCs w:val="28"/>
              </w:rPr>
              <w:t>-</w:t>
            </w:r>
          </w:p>
        </w:tc>
        <w:tc>
          <w:tcPr>
            <w:tcW w:w="1592" w:type="dxa"/>
            <w:shd w:val="clear" w:color="auto" w:fill="auto"/>
          </w:tcPr>
          <w:p w:rsidR="00A52DD2" w:rsidRPr="00B56DC2" w:rsidRDefault="00A52DD2" w:rsidP="00F035E0">
            <w:pPr>
              <w:adjustRightInd w:val="0"/>
              <w:snapToGrid w:val="0"/>
              <w:jc w:val="center"/>
              <w:rPr>
                <w:rFonts w:ascii="標楷體" w:eastAsia="標楷體" w:hAnsi="標楷體"/>
                <w:szCs w:val="28"/>
              </w:rPr>
            </w:pPr>
            <w:r w:rsidRPr="00B56DC2">
              <w:rPr>
                <w:rFonts w:ascii="標楷體" w:eastAsia="標楷體" w:hAnsi="標楷體" w:hint="eastAsia"/>
                <w:szCs w:val="28"/>
              </w:rPr>
              <w:t>-</w:t>
            </w:r>
          </w:p>
        </w:tc>
        <w:tc>
          <w:tcPr>
            <w:tcW w:w="1559" w:type="dxa"/>
            <w:shd w:val="clear" w:color="auto" w:fill="auto"/>
          </w:tcPr>
          <w:p w:rsidR="00A52DD2" w:rsidRPr="00B56DC2" w:rsidRDefault="00A52DD2" w:rsidP="00F035E0">
            <w:pPr>
              <w:adjustRightInd w:val="0"/>
              <w:snapToGrid w:val="0"/>
              <w:jc w:val="center"/>
              <w:rPr>
                <w:rFonts w:ascii="標楷體" w:eastAsia="標楷體" w:hAnsi="標楷體"/>
                <w:szCs w:val="28"/>
              </w:rPr>
            </w:pPr>
            <w:r w:rsidRPr="00B56DC2">
              <w:rPr>
                <w:rFonts w:ascii="標楷體" w:eastAsia="標楷體" w:hAnsi="標楷體" w:hint="eastAsia"/>
                <w:szCs w:val="28"/>
              </w:rPr>
              <w:t>-</w:t>
            </w:r>
          </w:p>
        </w:tc>
      </w:tr>
    </w:tbl>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黃國書</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林宜瑾  張廖萬堅</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(八十七)</w:t>
      </w:r>
      <w:r w:rsidRPr="00B56DC2">
        <w:rPr>
          <w:rFonts w:ascii="標楷體" w:eastAsia="標楷體" w:hAnsi="標楷體" w:hint="eastAsia"/>
          <w:bCs/>
          <w:sz w:val="32"/>
          <w:szCs w:val="32"/>
        </w:rPr>
        <w:t>為培育2030跨世代優秀科研人才，國</w:t>
      </w:r>
      <w:r>
        <w:rPr>
          <w:rFonts w:ascii="標楷體" w:eastAsia="標楷體" w:hAnsi="標楷體" w:hint="eastAsia"/>
          <w:bCs/>
          <w:sz w:val="32"/>
          <w:szCs w:val="32"/>
        </w:rPr>
        <w:t>家</w:t>
      </w:r>
      <w:r w:rsidRPr="00B56DC2">
        <w:rPr>
          <w:rFonts w:ascii="標楷體" w:eastAsia="標楷體" w:hAnsi="標楷體" w:hint="eastAsia"/>
          <w:bCs/>
          <w:sz w:val="32"/>
          <w:szCs w:val="32"/>
        </w:rPr>
        <w:t>科</w:t>
      </w:r>
      <w:r>
        <w:rPr>
          <w:rFonts w:ascii="標楷體" w:eastAsia="標楷體" w:hAnsi="標楷體" w:hint="eastAsia"/>
          <w:bCs/>
          <w:sz w:val="32"/>
          <w:szCs w:val="32"/>
        </w:rPr>
        <w:t>學及技術委員</w:t>
      </w:r>
      <w:r w:rsidRPr="00B56DC2">
        <w:rPr>
          <w:rFonts w:ascii="標楷體" w:eastAsia="標楷體" w:hAnsi="標楷體" w:hint="eastAsia"/>
          <w:bCs/>
          <w:sz w:val="32"/>
          <w:szCs w:val="32"/>
        </w:rPr>
        <w:t>會自110年起常態推動「2030跨世代年輕學者方案」，項下包含新秀學者、優秀年輕學者及國際年輕傑出學者共3類計畫，促使具潛力之年輕優秀學者於研究職涯初期能專注於新興議題、或跨領域研究、或接軌國際科研計畫等重點研究方向，並鼓勵年輕學者申請3</w:t>
      </w:r>
      <w:r>
        <w:rPr>
          <w:rFonts w:ascii="標楷體" w:eastAsia="標楷體" w:hAnsi="標楷體" w:hint="eastAsia"/>
          <w:bCs/>
          <w:sz w:val="32"/>
          <w:szCs w:val="32"/>
        </w:rPr>
        <w:t>至</w:t>
      </w:r>
      <w:r w:rsidRPr="00B56DC2">
        <w:rPr>
          <w:rFonts w:ascii="標楷體" w:eastAsia="標楷體" w:hAnsi="標楷體" w:hint="eastAsia"/>
          <w:bCs/>
          <w:sz w:val="32"/>
          <w:szCs w:val="32"/>
        </w:rPr>
        <w:t>4年之多年期研究計畫，藉以</w:t>
      </w:r>
      <w:r w:rsidRPr="00B56DC2">
        <w:rPr>
          <w:rFonts w:ascii="標楷體" w:eastAsia="標楷體" w:hAnsi="標楷體" w:hint="eastAsia"/>
          <w:bCs/>
          <w:sz w:val="32"/>
          <w:szCs w:val="32"/>
        </w:rPr>
        <w:lastRenderedPageBreak/>
        <w:t>蓄積我國科研人才能量。經查，該計畫110</w:t>
      </w:r>
      <w:r>
        <w:rPr>
          <w:rFonts w:ascii="標楷體" w:eastAsia="標楷體" w:hAnsi="標楷體" w:hint="eastAsia"/>
          <w:bCs/>
          <w:sz w:val="32"/>
          <w:szCs w:val="32"/>
        </w:rPr>
        <w:t>至</w:t>
      </w:r>
      <w:r w:rsidRPr="00B56DC2">
        <w:rPr>
          <w:rFonts w:ascii="標楷體" w:eastAsia="標楷體" w:hAnsi="標楷體" w:hint="eastAsia"/>
          <w:bCs/>
          <w:sz w:val="32"/>
          <w:szCs w:val="32"/>
        </w:rPr>
        <w:t>111年度申請件數自1</w:t>
      </w:r>
      <w:r>
        <w:rPr>
          <w:rFonts w:ascii="標楷體" w:eastAsia="標楷體" w:hAnsi="標楷體"/>
          <w:bCs/>
          <w:sz w:val="32"/>
          <w:szCs w:val="32"/>
        </w:rPr>
        <w:t>,</w:t>
      </w:r>
      <w:r w:rsidRPr="00B56DC2">
        <w:rPr>
          <w:rFonts w:ascii="標楷體" w:eastAsia="標楷體" w:hAnsi="標楷體" w:hint="eastAsia"/>
          <w:bCs/>
          <w:sz w:val="32"/>
          <w:szCs w:val="32"/>
        </w:rPr>
        <w:t>793件下降至1</w:t>
      </w:r>
      <w:r>
        <w:rPr>
          <w:rFonts w:ascii="標楷體" w:eastAsia="標楷體" w:hAnsi="標楷體"/>
          <w:bCs/>
          <w:sz w:val="32"/>
          <w:szCs w:val="32"/>
        </w:rPr>
        <w:t>,</w:t>
      </w:r>
      <w:r w:rsidRPr="00B56DC2">
        <w:rPr>
          <w:rFonts w:ascii="標楷體" w:eastAsia="標楷體" w:hAnsi="標楷體" w:hint="eastAsia"/>
          <w:bCs/>
          <w:sz w:val="32"/>
          <w:szCs w:val="32"/>
        </w:rPr>
        <w:t>312件，其中新秀學者與國際年輕傑出學者之申請件數均下降逾</w:t>
      </w:r>
      <w:r>
        <w:rPr>
          <w:rFonts w:ascii="標楷體" w:eastAsia="標楷體" w:hAnsi="標楷體" w:hint="eastAsia"/>
          <w:bCs/>
          <w:sz w:val="32"/>
          <w:szCs w:val="32"/>
        </w:rPr>
        <w:t>四成。另查</w:t>
      </w:r>
      <w:r w:rsidRPr="00B56DC2">
        <w:rPr>
          <w:rFonts w:ascii="標楷體" w:eastAsia="標楷體" w:hAnsi="標楷體" w:hint="eastAsia"/>
          <w:bCs/>
          <w:sz w:val="32"/>
          <w:szCs w:val="32"/>
        </w:rPr>
        <w:t>為吸引國內外優秀年輕學者於我國學研機構執行研究工作，該方案新秀學者、國際年輕傑出學者計畫開放未具國科會專題研究計畫主持人資格者亦得申請。惟110</w:t>
      </w:r>
      <w:r>
        <w:rPr>
          <w:rFonts w:ascii="標楷體" w:eastAsia="標楷體" w:hAnsi="標楷體" w:hint="eastAsia"/>
          <w:bCs/>
          <w:sz w:val="32"/>
          <w:szCs w:val="32"/>
        </w:rPr>
        <w:t>至</w:t>
      </w:r>
      <w:r w:rsidRPr="00B56DC2">
        <w:rPr>
          <w:rFonts w:ascii="標楷體" w:eastAsia="標楷體" w:hAnsi="標楷體" w:hint="eastAsia"/>
          <w:bCs/>
          <w:sz w:val="32"/>
          <w:szCs w:val="32"/>
        </w:rPr>
        <w:t>111年度申請件數自253件下降至127件(下降49.8%)。國</w:t>
      </w:r>
      <w:r>
        <w:rPr>
          <w:rFonts w:ascii="標楷體" w:eastAsia="標楷體" w:hAnsi="標楷體" w:hint="eastAsia"/>
          <w:bCs/>
          <w:sz w:val="32"/>
          <w:szCs w:val="32"/>
        </w:rPr>
        <w:t>家</w:t>
      </w:r>
      <w:r w:rsidRPr="00B56DC2">
        <w:rPr>
          <w:rFonts w:ascii="標楷體" w:eastAsia="標楷體" w:hAnsi="標楷體" w:hint="eastAsia"/>
          <w:bCs/>
          <w:sz w:val="32"/>
          <w:szCs w:val="32"/>
        </w:rPr>
        <w:t>科</w:t>
      </w:r>
      <w:r>
        <w:rPr>
          <w:rFonts w:ascii="標楷體" w:eastAsia="標楷體" w:hAnsi="標楷體" w:hint="eastAsia"/>
          <w:bCs/>
          <w:sz w:val="32"/>
          <w:szCs w:val="32"/>
        </w:rPr>
        <w:t>學及技術委員</w:t>
      </w:r>
      <w:r w:rsidRPr="00B56DC2">
        <w:rPr>
          <w:rFonts w:ascii="標楷體" w:eastAsia="標楷體" w:hAnsi="標楷體" w:hint="eastAsia"/>
          <w:bCs/>
          <w:sz w:val="32"/>
          <w:szCs w:val="32"/>
        </w:rPr>
        <w:t>會應檢討計畫申請人數下降原因，並於</w:t>
      </w:r>
      <w:r>
        <w:rPr>
          <w:rFonts w:ascii="標楷體" w:eastAsia="標楷體" w:hAnsi="標楷體" w:hint="eastAsia"/>
          <w:bCs/>
          <w:sz w:val="32"/>
          <w:szCs w:val="32"/>
        </w:rPr>
        <w:t>3</w:t>
      </w:r>
      <w:r w:rsidRPr="00B56DC2">
        <w:rPr>
          <w:rFonts w:ascii="標楷體" w:eastAsia="標楷體" w:hAnsi="標楷體" w:hint="eastAsia"/>
          <w:bCs/>
          <w:sz w:val="32"/>
          <w:szCs w:val="32"/>
        </w:rPr>
        <w:t>個月內向立法院教育及文化委員會提出書面報告。</w:t>
      </w:r>
      <w:r>
        <w:rPr>
          <w:rFonts w:ascii="標楷體" w:eastAsia="標楷體" w:hAnsi="標楷體" w:hint="eastAsia"/>
          <w:bCs/>
          <w:sz w:val="32"/>
          <w:szCs w:val="32"/>
        </w:rPr>
        <w:t>99</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黃國書</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林宜瑾  張廖萬堅</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(八十八)</w:t>
      </w:r>
      <w:r w:rsidRPr="00AF36B5">
        <w:rPr>
          <w:rFonts w:ascii="標楷體" w:eastAsia="標楷體" w:hAnsi="標楷體" w:hint="eastAsia"/>
          <w:bCs/>
          <w:sz w:val="32"/>
          <w:szCs w:val="32"/>
        </w:rPr>
        <w:t>「青年科技創新創業基地建置計畫」為國家科學及技術委員會打造之國際級之台灣科技新創基地(TTA)，係引進國際知名加速器、國內外科技新創團隊進駐，交流創業環境，帶動產業創新轉型。國科會現階段已於</w:t>
      </w:r>
      <w:r>
        <w:rPr>
          <w:rFonts w:ascii="標楷體" w:eastAsia="標楷體" w:hAnsi="標楷體" w:hint="eastAsia"/>
          <w:bCs/>
          <w:sz w:val="32"/>
          <w:szCs w:val="32"/>
        </w:rPr>
        <w:t>台</w:t>
      </w:r>
      <w:r w:rsidRPr="00AF36B5">
        <w:rPr>
          <w:rFonts w:ascii="標楷體" w:eastAsia="標楷體" w:hAnsi="標楷體" w:hint="eastAsia"/>
          <w:bCs/>
          <w:sz w:val="32"/>
          <w:szCs w:val="32"/>
        </w:rPr>
        <w:t>北市及</w:t>
      </w:r>
      <w:r>
        <w:rPr>
          <w:rFonts w:ascii="標楷體" w:eastAsia="標楷體" w:hAnsi="標楷體" w:hint="eastAsia"/>
          <w:bCs/>
          <w:sz w:val="32"/>
          <w:szCs w:val="32"/>
        </w:rPr>
        <w:t>台</w:t>
      </w:r>
      <w:r w:rsidRPr="00AF36B5">
        <w:rPr>
          <w:rFonts w:ascii="標楷體" w:eastAsia="標楷體" w:hAnsi="標楷體" w:hint="eastAsia"/>
          <w:bCs/>
          <w:sz w:val="32"/>
          <w:szCs w:val="32"/>
        </w:rPr>
        <w:t>南市各建置一處科技新創基地據點，分別位於台北小巨蛋及</w:t>
      </w:r>
      <w:r>
        <w:rPr>
          <w:rFonts w:ascii="標楷體" w:eastAsia="標楷體" w:hAnsi="標楷體" w:hint="eastAsia"/>
          <w:bCs/>
          <w:sz w:val="32"/>
          <w:szCs w:val="32"/>
        </w:rPr>
        <w:t>台</w:t>
      </w:r>
      <w:r w:rsidRPr="00AF36B5">
        <w:rPr>
          <w:rFonts w:ascii="標楷體" w:eastAsia="標楷體" w:hAnsi="標楷體" w:hint="eastAsia"/>
          <w:bCs/>
          <w:sz w:val="32"/>
          <w:szCs w:val="32"/>
        </w:rPr>
        <w:t>南沙崙智慧科學城，</w:t>
      </w:r>
      <w:r>
        <w:rPr>
          <w:rFonts w:ascii="標楷體" w:eastAsia="標楷體" w:hAnsi="標楷體" w:hint="eastAsia"/>
          <w:bCs/>
          <w:sz w:val="32"/>
          <w:szCs w:val="32"/>
        </w:rPr>
        <w:t>2</w:t>
      </w:r>
      <w:r w:rsidRPr="00AF36B5">
        <w:rPr>
          <w:rFonts w:ascii="標楷體" w:eastAsia="標楷體" w:hAnsi="標楷體" w:hint="eastAsia"/>
          <w:bCs/>
          <w:sz w:val="32"/>
          <w:szCs w:val="32"/>
        </w:rPr>
        <w:t>處TTA空間截至</w:t>
      </w:r>
      <w:r>
        <w:rPr>
          <w:rFonts w:ascii="標楷體" w:eastAsia="標楷體" w:hAnsi="標楷體" w:hint="eastAsia"/>
          <w:bCs/>
          <w:sz w:val="32"/>
          <w:szCs w:val="32"/>
        </w:rPr>
        <w:t>111</w:t>
      </w:r>
      <w:r w:rsidRPr="00AF36B5">
        <w:rPr>
          <w:rFonts w:ascii="標楷體" w:eastAsia="標楷體" w:hAnsi="標楷體" w:hint="eastAsia"/>
          <w:bCs/>
          <w:sz w:val="32"/>
          <w:szCs w:val="32"/>
        </w:rPr>
        <w:t>年8月皆維持90%以上進駐率，考量北部科技創新創業空間需求性高，現有TTA空間已不敷使用，國家科學及技術委員會應</w:t>
      </w:r>
      <w:r>
        <w:rPr>
          <w:rFonts w:ascii="標楷體" w:eastAsia="標楷體" w:hAnsi="標楷體" w:hint="eastAsia"/>
          <w:bCs/>
          <w:sz w:val="32"/>
          <w:szCs w:val="32"/>
        </w:rPr>
        <w:t>儘</w:t>
      </w:r>
      <w:r w:rsidRPr="00AF36B5">
        <w:rPr>
          <w:rFonts w:ascii="標楷體" w:eastAsia="標楷體" w:hAnsi="標楷體" w:hint="eastAsia"/>
          <w:bCs/>
          <w:sz w:val="32"/>
          <w:szCs w:val="32"/>
        </w:rPr>
        <w:t>速規劃於北部地區擴充基地或另覓適宜之空間，經查</w:t>
      </w:r>
      <w:r>
        <w:rPr>
          <w:rFonts w:ascii="標楷體" w:eastAsia="標楷體" w:hAnsi="標楷體" w:hint="eastAsia"/>
          <w:bCs/>
          <w:sz w:val="32"/>
          <w:szCs w:val="32"/>
        </w:rPr>
        <w:t>台</w:t>
      </w:r>
      <w:r w:rsidRPr="00AF36B5">
        <w:rPr>
          <w:rFonts w:ascii="標楷體" w:eastAsia="標楷體" w:hAnsi="標楷體" w:hint="eastAsia"/>
          <w:bCs/>
          <w:sz w:val="32"/>
          <w:szCs w:val="32"/>
        </w:rPr>
        <w:t>北市政府規劃之「北投士林科技園區」似有潛力，國科會可擴大與</w:t>
      </w:r>
      <w:r>
        <w:rPr>
          <w:rFonts w:ascii="標楷體" w:eastAsia="標楷體" w:hAnsi="標楷體" w:hint="eastAsia"/>
          <w:bCs/>
          <w:sz w:val="32"/>
          <w:szCs w:val="32"/>
        </w:rPr>
        <w:t>台</w:t>
      </w:r>
      <w:r w:rsidRPr="00AF36B5">
        <w:rPr>
          <w:rFonts w:ascii="標楷體" w:eastAsia="標楷體" w:hAnsi="標楷體" w:hint="eastAsia"/>
          <w:bCs/>
          <w:sz w:val="32"/>
          <w:szCs w:val="32"/>
        </w:rPr>
        <w:t>北市政府合作，研議於此建置完整之科技新創基地空間，發揮產業群聚效果。綜上所述，爰請國家科學及技術委員會於</w:t>
      </w:r>
      <w:r>
        <w:rPr>
          <w:rFonts w:ascii="標楷體" w:eastAsia="標楷體" w:hAnsi="標楷體" w:hint="eastAsia"/>
          <w:bCs/>
          <w:sz w:val="32"/>
          <w:szCs w:val="32"/>
        </w:rPr>
        <w:t>3</w:t>
      </w:r>
      <w:r w:rsidRPr="00AF36B5">
        <w:rPr>
          <w:rFonts w:ascii="標楷體" w:eastAsia="標楷體" w:hAnsi="標楷體" w:hint="eastAsia"/>
          <w:bCs/>
          <w:sz w:val="32"/>
          <w:szCs w:val="32"/>
        </w:rPr>
        <w:t>個月內向立法院教育及文化委員會提出改進作為書面報告。</w:t>
      </w:r>
      <w:r>
        <w:rPr>
          <w:rFonts w:ascii="標楷體" w:eastAsia="標楷體" w:hAnsi="標楷體" w:hint="eastAsia"/>
          <w:bCs/>
          <w:sz w:val="32"/>
          <w:szCs w:val="32"/>
        </w:rPr>
        <w:t>103</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吳思瑤</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林宜瑾  陳秀寳</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(八十九)</w:t>
      </w:r>
      <w:r w:rsidRPr="00AF36B5">
        <w:rPr>
          <w:rFonts w:ascii="標楷體" w:eastAsia="標楷體" w:hAnsi="標楷體" w:hint="eastAsia"/>
          <w:bCs/>
          <w:sz w:val="32"/>
          <w:szCs w:val="32"/>
        </w:rPr>
        <w:t>為防範外國及境外敵對勢力以竊取、侵占、詐術、脅迫、擅自重製等不正方法，取得我國核心關鍵技術之營業秘密</w:t>
      </w:r>
      <w:r w:rsidRPr="00AF36B5">
        <w:rPr>
          <w:rFonts w:ascii="標楷體" w:eastAsia="標楷體" w:hAnsi="標楷體" w:hint="eastAsia"/>
          <w:bCs/>
          <w:sz w:val="32"/>
          <w:szCs w:val="32"/>
        </w:rPr>
        <w:lastRenderedPageBreak/>
        <w:t>，或取得後進而使用、洩漏，行政院擬具</w:t>
      </w:r>
      <w:r>
        <w:rPr>
          <w:rFonts w:ascii="標楷體" w:eastAsia="標楷體" w:hAnsi="標楷體" w:hint="eastAsia"/>
          <w:bCs/>
          <w:sz w:val="32"/>
          <w:szCs w:val="32"/>
        </w:rPr>
        <w:t>「</w:t>
      </w:r>
      <w:r w:rsidRPr="00AF36B5">
        <w:rPr>
          <w:rFonts w:ascii="標楷體" w:eastAsia="標楷體" w:hAnsi="標楷體" w:hint="eastAsia"/>
          <w:bCs/>
          <w:sz w:val="32"/>
          <w:szCs w:val="32"/>
        </w:rPr>
        <w:t>國家安全法</w:t>
      </w:r>
      <w:r>
        <w:rPr>
          <w:rFonts w:ascii="標楷體" w:eastAsia="標楷體" w:hAnsi="標楷體" w:hint="eastAsia"/>
          <w:bCs/>
          <w:sz w:val="32"/>
          <w:szCs w:val="32"/>
        </w:rPr>
        <w:t>」</w:t>
      </w:r>
      <w:r w:rsidRPr="00AF36B5">
        <w:rPr>
          <w:rFonts w:ascii="標楷體" w:eastAsia="標楷體" w:hAnsi="標楷體" w:hint="eastAsia"/>
          <w:bCs/>
          <w:sz w:val="32"/>
          <w:szCs w:val="32"/>
        </w:rPr>
        <w:t>部分條文修正草案，於111年5月20日三讀通過，針對中國或境外敵對勢力竊取國家核心關鍵技術之營業秘密，或取得後使用、洩漏，最重可處12年、罰金1億元，其針對「國家核心關鍵技術」之認定程序及其他應遵行事項辦法，須由國家科學及技術委員會會商有關機關定之，然迄今尚未訂定，守護國家核心關鍵技術刻不容緩，國家科學及技術委員會應儘速研商其認定程序及應遵行事項辦法</w:t>
      </w:r>
      <w:r>
        <w:rPr>
          <w:rFonts w:ascii="標楷體" w:eastAsia="標楷體" w:hAnsi="標楷體" w:hint="eastAsia"/>
          <w:bCs/>
          <w:sz w:val="32"/>
          <w:szCs w:val="32"/>
        </w:rPr>
        <w:t>，並</w:t>
      </w:r>
      <w:r w:rsidRPr="00AF36B5">
        <w:rPr>
          <w:rFonts w:ascii="標楷體" w:eastAsia="標楷體" w:hAnsi="標楷體" w:hint="eastAsia"/>
          <w:bCs/>
          <w:sz w:val="32"/>
          <w:szCs w:val="32"/>
        </w:rPr>
        <w:t>於</w:t>
      </w:r>
      <w:r>
        <w:rPr>
          <w:rFonts w:ascii="標楷體" w:eastAsia="標楷體" w:hAnsi="標楷體" w:hint="eastAsia"/>
          <w:bCs/>
          <w:sz w:val="32"/>
          <w:szCs w:val="32"/>
        </w:rPr>
        <w:t>3</w:t>
      </w:r>
      <w:r w:rsidRPr="00AF36B5">
        <w:rPr>
          <w:rFonts w:ascii="標楷體" w:eastAsia="標楷體" w:hAnsi="標楷體" w:hint="eastAsia"/>
          <w:bCs/>
          <w:sz w:val="32"/>
          <w:szCs w:val="32"/>
        </w:rPr>
        <w:t>個月內向立法院教育及文化委員會提出書面報告。</w:t>
      </w:r>
      <w:r>
        <w:rPr>
          <w:rFonts w:ascii="標楷體" w:eastAsia="標楷體" w:hAnsi="標楷體" w:hint="eastAsia"/>
          <w:bCs/>
          <w:sz w:val="32"/>
          <w:szCs w:val="32"/>
        </w:rPr>
        <w:t>105</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吳思瑤</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林宜瑾  陳秀寳</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(九十)112年度國家科學及技術委員會「非營業特種基金」項下「國家科學技術發展基金」中「基金現金增資」之</w:t>
      </w:r>
      <w:r w:rsidRPr="00AF36B5">
        <w:rPr>
          <w:rFonts w:ascii="標楷體" w:eastAsia="標楷體" w:hAnsi="標楷體" w:hint="eastAsia"/>
          <w:bCs/>
          <w:sz w:val="32"/>
          <w:szCs w:val="32"/>
        </w:rPr>
        <w:t>「創新及應用科技」係辦理國家整體科技發展之規劃與推動、科技計畫之評審與管考、全國科技發展調查與資料編纂等業務，以提升國家整體科技研究與發展，並促使科研成果串聯產業需求，創造高值經濟。經查「2021科學技術統計要覽」指出，全國研發經費自98年度3,670</w:t>
      </w:r>
      <w:r>
        <w:rPr>
          <w:rFonts w:ascii="標楷體" w:eastAsia="標楷體" w:hAnsi="標楷體" w:hint="eastAsia"/>
          <w:bCs/>
          <w:sz w:val="32"/>
          <w:szCs w:val="32"/>
        </w:rPr>
        <w:t>億</w:t>
      </w:r>
      <w:r w:rsidRPr="00AF36B5">
        <w:rPr>
          <w:rFonts w:ascii="標楷體" w:eastAsia="標楷體" w:hAnsi="標楷體" w:hint="eastAsia"/>
          <w:bCs/>
          <w:sz w:val="32"/>
          <w:szCs w:val="32"/>
        </w:rPr>
        <w:t>5</w:t>
      </w:r>
      <w:r>
        <w:rPr>
          <w:rFonts w:ascii="標楷體" w:eastAsia="標楷體" w:hAnsi="標楷體"/>
          <w:bCs/>
          <w:sz w:val="32"/>
          <w:szCs w:val="32"/>
        </w:rPr>
        <w:t>,</w:t>
      </w:r>
      <w:r w:rsidRPr="00AF36B5">
        <w:rPr>
          <w:rFonts w:ascii="標楷體" w:eastAsia="標楷體" w:hAnsi="標楷體" w:hint="eastAsia"/>
          <w:bCs/>
          <w:sz w:val="32"/>
          <w:szCs w:val="32"/>
        </w:rPr>
        <w:t>3</w:t>
      </w:r>
      <w:r>
        <w:rPr>
          <w:rFonts w:ascii="標楷體" w:eastAsia="標楷體" w:hAnsi="標楷體" w:hint="eastAsia"/>
          <w:bCs/>
          <w:sz w:val="32"/>
          <w:szCs w:val="32"/>
        </w:rPr>
        <w:t>00萬</w:t>
      </w:r>
      <w:r w:rsidRPr="00AF36B5">
        <w:rPr>
          <w:rFonts w:ascii="標楷體" w:eastAsia="標楷體" w:hAnsi="標楷體" w:hint="eastAsia"/>
          <w:bCs/>
          <w:sz w:val="32"/>
          <w:szCs w:val="32"/>
        </w:rPr>
        <w:t>元增至109年度7,187</w:t>
      </w:r>
      <w:r>
        <w:rPr>
          <w:rFonts w:ascii="標楷體" w:eastAsia="標楷體" w:hAnsi="標楷體" w:hint="eastAsia"/>
          <w:bCs/>
          <w:sz w:val="32"/>
          <w:szCs w:val="32"/>
        </w:rPr>
        <w:t>億</w:t>
      </w:r>
      <w:r w:rsidRPr="00AF36B5">
        <w:rPr>
          <w:rFonts w:ascii="標楷體" w:eastAsia="標楷體" w:hAnsi="標楷體" w:hint="eastAsia"/>
          <w:bCs/>
          <w:sz w:val="32"/>
          <w:szCs w:val="32"/>
        </w:rPr>
        <w:t>9</w:t>
      </w:r>
      <w:r>
        <w:rPr>
          <w:rFonts w:ascii="標楷體" w:eastAsia="標楷體" w:hAnsi="標楷體"/>
          <w:bCs/>
          <w:sz w:val="32"/>
          <w:szCs w:val="32"/>
        </w:rPr>
        <w:t>,</w:t>
      </w:r>
      <w:r w:rsidRPr="00AF36B5">
        <w:rPr>
          <w:rFonts w:ascii="標楷體" w:eastAsia="標楷體" w:hAnsi="標楷體" w:hint="eastAsia"/>
          <w:bCs/>
          <w:sz w:val="32"/>
          <w:szCs w:val="32"/>
        </w:rPr>
        <w:t>1</w:t>
      </w:r>
      <w:r>
        <w:rPr>
          <w:rFonts w:ascii="標楷體" w:eastAsia="標楷體" w:hAnsi="標楷體" w:hint="eastAsia"/>
          <w:bCs/>
          <w:sz w:val="32"/>
          <w:szCs w:val="32"/>
        </w:rPr>
        <w:t>00萬</w:t>
      </w:r>
      <w:r w:rsidRPr="00AF36B5">
        <w:rPr>
          <w:rFonts w:ascii="標楷體" w:eastAsia="標楷體" w:hAnsi="標楷體" w:hint="eastAsia"/>
          <w:bCs/>
          <w:sz w:val="32"/>
          <w:szCs w:val="32"/>
        </w:rPr>
        <w:t>元(增幅95.83%)。而中央政府之科技經費預算自98年度910</w:t>
      </w:r>
      <w:r>
        <w:rPr>
          <w:rFonts w:ascii="標楷體" w:eastAsia="標楷體" w:hAnsi="標楷體" w:hint="eastAsia"/>
          <w:bCs/>
          <w:sz w:val="32"/>
          <w:szCs w:val="32"/>
        </w:rPr>
        <w:t>億</w:t>
      </w:r>
      <w:r w:rsidRPr="00AF36B5">
        <w:rPr>
          <w:rFonts w:ascii="標楷體" w:eastAsia="標楷體" w:hAnsi="標楷體" w:hint="eastAsia"/>
          <w:bCs/>
          <w:sz w:val="32"/>
          <w:szCs w:val="32"/>
        </w:rPr>
        <w:t>3</w:t>
      </w:r>
      <w:r>
        <w:rPr>
          <w:rFonts w:ascii="標楷體" w:eastAsia="標楷體" w:hAnsi="標楷體"/>
          <w:bCs/>
          <w:sz w:val="32"/>
          <w:szCs w:val="32"/>
        </w:rPr>
        <w:t>,</w:t>
      </w:r>
      <w:r>
        <w:rPr>
          <w:rFonts w:ascii="標楷體" w:eastAsia="標楷體" w:hAnsi="標楷體" w:hint="eastAsia"/>
          <w:bCs/>
          <w:sz w:val="32"/>
          <w:szCs w:val="32"/>
        </w:rPr>
        <w:t>000萬</w:t>
      </w:r>
      <w:r w:rsidRPr="00AF36B5">
        <w:rPr>
          <w:rFonts w:ascii="標楷體" w:eastAsia="標楷體" w:hAnsi="標楷體" w:hint="eastAsia"/>
          <w:bCs/>
          <w:sz w:val="32"/>
          <w:szCs w:val="32"/>
        </w:rPr>
        <w:t>元增至112年度1,171億元(增幅28.64%)，顯示我國產官學界均挹注鉅額預算發展科技創新研究。惟據「經濟部工廠校正暨營運調查報告」統計，109年度電子零組件業技術輸入317</w:t>
      </w:r>
      <w:r>
        <w:rPr>
          <w:rFonts w:ascii="標楷體" w:eastAsia="標楷體" w:hAnsi="標楷體" w:hint="eastAsia"/>
          <w:bCs/>
          <w:sz w:val="32"/>
          <w:szCs w:val="32"/>
        </w:rPr>
        <w:t>億</w:t>
      </w:r>
      <w:r w:rsidRPr="00AF36B5">
        <w:rPr>
          <w:rFonts w:ascii="標楷體" w:eastAsia="標楷體" w:hAnsi="標楷體" w:hint="eastAsia"/>
          <w:bCs/>
          <w:sz w:val="32"/>
          <w:szCs w:val="32"/>
        </w:rPr>
        <w:t>6</w:t>
      </w:r>
      <w:r>
        <w:rPr>
          <w:rFonts w:ascii="標楷體" w:eastAsia="標楷體" w:hAnsi="標楷體"/>
          <w:bCs/>
          <w:sz w:val="32"/>
          <w:szCs w:val="32"/>
        </w:rPr>
        <w:t>,</w:t>
      </w:r>
      <w:r>
        <w:rPr>
          <w:rFonts w:ascii="標楷體" w:eastAsia="標楷體" w:hAnsi="標楷體" w:hint="eastAsia"/>
          <w:bCs/>
          <w:sz w:val="32"/>
          <w:szCs w:val="32"/>
        </w:rPr>
        <w:t>000萬</w:t>
      </w:r>
      <w:r w:rsidRPr="00AF36B5">
        <w:rPr>
          <w:rFonts w:ascii="標楷體" w:eastAsia="標楷體" w:hAnsi="標楷體" w:hint="eastAsia"/>
          <w:bCs/>
          <w:sz w:val="32"/>
          <w:szCs w:val="32"/>
        </w:rPr>
        <w:t>元，技術輸出242</w:t>
      </w:r>
      <w:r>
        <w:rPr>
          <w:rFonts w:ascii="標楷體" w:eastAsia="標楷體" w:hAnsi="標楷體" w:hint="eastAsia"/>
          <w:bCs/>
          <w:sz w:val="32"/>
          <w:szCs w:val="32"/>
        </w:rPr>
        <w:t>億</w:t>
      </w:r>
      <w:r w:rsidRPr="00AF36B5">
        <w:rPr>
          <w:rFonts w:ascii="標楷體" w:eastAsia="標楷體" w:hAnsi="標楷體" w:hint="eastAsia"/>
          <w:bCs/>
          <w:sz w:val="32"/>
          <w:szCs w:val="32"/>
        </w:rPr>
        <w:t>9</w:t>
      </w:r>
      <w:r>
        <w:rPr>
          <w:rFonts w:ascii="標楷體" w:eastAsia="標楷體" w:hAnsi="標楷體"/>
          <w:bCs/>
          <w:sz w:val="32"/>
          <w:szCs w:val="32"/>
        </w:rPr>
        <w:t>,</w:t>
      </w:r>
      <w:r>
        <w:rPr>
          <w:rFonts w:ascii="標楷體" w:eastAsia="標楷體" w:hAnsi="標楷體" w:hint="eastAsia"/>
          <w:bCs/>
          <w:sz w:val="32"/>
          <w:szCs w:val="32"/>
        </w:rPr>
        <w:t>000萬</w:t>
      </w:r>
      <w:r w:rsidRPr="00AF36B5">
        <w:rPr>
          <w:rFonts w:ascii="標楷體" w:eastAsia="標楷體" w:hAnsi="標楷體" w:hint="eastAsia"/>
          <w:bCs/>
          <w:sz w:val="32"/>
          <w:szCs w:val="32"/>
        </w:rPr>
        <w:t>元，技術貿易逆差74</w:t>
      </w:r>
      <w:r>
        <w:rPr>
          <w:rFonts w:ascii="標楷體" w:eastAsia="標楷體" w:hAnsi="標楷體" w:hint="eastAsia"/>
          <w:bCs/>
          <w:sz w:val="32"/>
          <w:szCs w:val="32"/>
        </w:rPr>
        <w:t>億</w:t>
      </w:r>
      <w:r w:rsidRPr="00AF36B5">
        <w:rPr>
          <w:rFonts w:ascii="標楷體" w:eastAsia="標楷體" w:hAnsi="標楷體" w:hint="eastAsia"/>
          <w:bCs/>
          <w:sz w:val="32"/>
          <w:szCs w:val="32"/>
        </w:rPr>
        <w:t>7</w:t>
      </w:r>
      <w:r>
        <w:rPr>
          <w:rFonts w:ascii="標楷體" w:eastAsia="標楷體" w:hAnsi="標楷體"/>
          <w:bCs/>
          <w:sz w:val="32"/>
          <w:szCs w:val="32"/>
        </w:rPr>
        <w:t>,</w:t>
      </w:r>
      <w:r>
        <w:rPr>
          <w:rFonts w:ascii="標楷體" w:eastAsia="標楷體" w:hAnsi="標楷體" w:hint="eastAsia"/>
          <w:bCs/>
          <w:sz w:val="32"/>
          <w:szCs w:val="32"/>
        </w:rPr>
        <w:t>000萬</w:t>
      </w:r>
      <w:r w:rsidRPr="00AF36B5">
        <w:rPr>
          <w:rFonts w:ascii="標楷體" w:eastAsia="標楷體" w:hAnsi="標楷體" w:hint="eastAsia"/>
          <w:bCs/>
          <w:sz w:val="32"/>
          <w:szCs w:val="32"/>
        </w:rPr>
        <w:t>元；電腦、電子產品及光學製品業技術輸入116億元，技術輸出60</w:t>
      </w:r>
      <w:r>
        <w:rPr>
          <w:rFonts w:ascii="標楷體" w:eastAsia="標楷體" w:hAnsi="標楷體" w:hint="eastAsia"/>
          <w:bCs/>
          <w:sz w:val="32"/>
          <w:szCs w:val="32"/>
        </w:rPr>
        <w:t>億</w:t>
      </w:r>
      <w:r w:rsidRPr="00AF36B5">
        <w:rPr>
          <w:rFonts w:ascii="標楷體" w:eastAsia="標楷體" w:hAnsi="標楷體" w:hint="eastAsia"/>
          <w:bCs/>
          <w:sz w:val="32"/>
          <w:szCs w:val="32"/>
        </w:rPr>
        <w:t>2</w:t>
      </w:r>
      <w:r>
        <w:rPr>
          <w:rFonts w:ascii="標楷體" w:eastAsia="標楷體" w:hAnsi="標楷體"/>
          <w:bCs/>
          <w:sz w:val="32"/>
          <w:szCs w:val="32"/>
        </w:rPr>
        <w:t>,</w:t>
      </w:r>
      <w:r>
        <w:rPr>
          <w:rFonts w:ascii="標楷體" w:eastAsia="標楷體" w:hAnsi="標楷體" w:hint="eastAsia"/>
          <w:bCs/>
          <w:sz w:val="32"/>
          <w:szCs w:val="32"/>
        </w:rPr>
        <w:t>000萬</w:t>
      </w:r>
      <w:r w:rsidRPr="00AF36B5">
        <w:rPr>
          <w:rFonts w:ascii="標楷體" w:eastAsia="標楷體" w:hAnsi="標楷體" w:hint="eastAsia"/>
          <w:bCs/>
          <w:sz w:val="32"/>
          <w:szCs w:val="32"/>
        </w:rPr>
        <w:t>元，技術貿易逆差</w:t>
      </w:r>
      <w:r>
        <w:rPr>
          <w:rFonts w:ascii="標楷體" w:eastAsia="標楷體" w:hAnsi="標楷體" w:hint="eastAsia"/>
          <w:bCs/>
          <w:sz w:val="32"/>
          <w:szCs w:val="32"/>
        </w:rPr>
        <w:t>55億</w:t>
      </w:r>
      <w:r w:rsidRPr="00AF36B5">
        <w:rPr>
          <w:rFonts w:ascii="標楷體" w:eastAsia="標楷體" w:hAnsi="標楷體" w:hint="eastAsia"/>
          <w:bCs/>
          <w:sz w:val="32"/>
          <w:szCs w:val="32"/>
        </w:rPr>
        <w:t>8</w:t>
      </w:r>
      <w:r>
        <w:rPr>
          <w:rFonts w:ascii="標楷體" w:eastAsia="標楷體" w:hAnsi="標楷體"/>
          <w:bCs/>
          <w:sz w:val="32"/>
          <w:szCs w:val="32"/>
        </w:rPr>
        <w:t>,</w:t>
      </w:r>
      <w:r>
        <w:rPr>
          <w:rFonts w:ascii="標楷體" w:eastAsia="標楷體" w:hAnsi="標楷體" w:hint="eastAsia"/>
          <w:bCs/>
          <w:sz w:val="32"/>
          <w:szCs w:val="32"/>
        </w:rPr>
        <w:t>000萬</w:t>
      </w:r>
      <w:r w:rsidRPr="00AF36B5">
        <w:rPr>
          <w:rFonts w:ascii="標楷體" w:eastAsia="標楷體" w:hAnsi="標楷體" w:hint="eastAsia"/>
          <w:bCs/>
          <w:sz w:val="32"/>
          <w:szCs w:val="32"/>
        </w:rPr>
        <w:t>元。技術貿易逆差合計達130</w:t>
      </w:r>
      <w:r>
        <w:rPr>
          <w:rFonts w:ascii="標楷體" w:eastAsia="標楷體" w:hAnsi="標楷體" w:hint="eastAsia"/>
          <w:bCs/>
          <w:sz w:val="32"/>
          <w:szCs w:val="32"/>
        </w:rPr>
        <w:t>億</w:t>
      </w:r>
      <w:r w:rsidRPr="00AF36B5">
        <w:rPr>
          <w:rFonts w:ascii="標楷體" w:eastAsia="標楷體" w:hAnsi="標楷體" w:hint="eastAsia"/>
          <w:bCs/>
          <w:sz w:val="32"/>
          <w:szCs w:val="32"/>
        </w:rPr>
        <w:t>5</w:t>
      </w:r>
      <w:r>
        <w:rPr>
          <w:rFonts w:ascii="標楷體" w:eastAsia="標楷體" w:hAnsi="標楷體"/>
          <w:bCs/>
          <w:sz w:val="32"/>
          <w:szCs w:val="32"/>
        </w:rPr>
        <w:t>,</w:t>
      </w:r>
      <w:r>
        <w:rPr>
          <w:rFonts w:ascii="標楷體" w:eastAsia="標楷體" w:hAnsi="標楷體" w:hint="eastAsia"/>
          <w:bCs/>
          <w:sz w:val="32"/>
          <w:szCs w:val="32"/>
        </w:rPr>
        <w:t>000萬</w:t>
      </w:r>
      <w:r w:rsidRPr="00AF36B5">
        <w:rPr>
          <w:rFonts w:ascii="標楷體" w:eastAsia="標楷體" w:hAnsi="標楷體" w:hint="eastAsia"/>
          <w:bCs/>
          <w:sz w:val="32"/>
          <w:szCs w:val="32"/>
        </w:rPr>
        <w:t>元，顯示我國高科技產業技術自主性仍有不足，國</w:t>
      </w:r>
      <w:r>
        <w:rPr>
          <w:rFonts w:ascii="標楷體" w:eastAsia="標楷體" w:hAnsi="標楷體" w:hint="eastAsia"/>
          <w:bCs/>
          <w:sz w:val="32"/>
          <w:szCs w:val="32"/>
        </w:rPr>
        <w:t>家</w:t>
      </w:r>
      <w:r w:rsidRPr="00AF36B5">
        <w:rPr>
          <w:rFonts w:ascii="標楷體" w:eastAsia="標楷體" w:hAnsi="標楷體" w:hint="eastAsia"/>
          <w:bCs/>
          <w:sz w:val="32"/>
          <w:szCs w:val="32"/>
        </w:rPr>
        <w:t>科</w:t>
      </w:r>
      <w:r>
        <w:rPr>
          <w:rFonts w:ascii="標楷體" w:eastAsia="標楷體" w:hAnsi="標楷體" w:hint="eastAsia"/>
          <w:bCs/>
          <w:sz w:val="32"/>
          <w:szCs w:val="32"/>
        </w:rPr>
        <w:t>學及技術委員</w:t>
      </w:r>
      <w:r w:rsidRPr="00AF36B5">
        <w:rPr>
          <w:rFonts w:ascii="標楷體" w:eastAsia="標楷體" w:hAnsi="標楷體" w:hint="eastAsia"/>
          <w:bCs/>
          <w:sz w:val="32"/>
          <w:szCs w:val="32"/>
        </w:rPr>
        <w:t>會應持續優化國家科技研發</w:t>
      </w:r>
      <w:r w:rsidRPr="00AF36B5">
        <w:rPr>
          <w:rFonts w:ascii="標楷體" w:eastAsia="標楷體" w:hAnsi="標楷體" w:hint="eastAsia"/>
          <w:bCs/>
          <w:sz w:val="32"/>
          <w:szCs w:val="32"/>
        </w:rPr>
        <w:lastRenderedPageBreak/>
        <w:t>運用量能，提升我國產業技術與自主發展效益</w:t>
      </w:r>
      <w:r>
        <w:rPr>
          <w:rFonts w:ascii="標楷體" w:eastAsia="標楷體" w:hAnsi="標楷體" w:hint="eastAsia"/>
          <w:bCs/>
          <w:sz w:val="32"/>
          <w:szCs w:val="32"/>
        </w:rPr>
        <w:t>，並</w:t>
      </w:r>
      <w:r w:rsidRPr="00AF36B5">
        <w:rPr>
          <w:rFonts w:ascii="標楷體" w:eastAsia="標楷體" w:hAnsi="標楷體" w:hint="eastAsia"/>
          <w:bCs/>
          <w:sz w:val="32"/>
          <w:szCs w:val="32"/>
        </w:rPr>
        <w:t>於</w:t>
      </w:r>
      <w:r>
        <w:rPr>
          <w:rFonts w:ascii="標楷體" w:eastAsia="標楷體" w:hAnsi="標楷體" w:hint="eastAsia"/>
          <w:bCs/>
          <w:sz w:val="32"/>
          <w:szCs w:val="32"/>
        </w:rPr>
        <w:t>3</w:t>
      </w:r>
      <w:r w:rsidRPr="00AF36B5">
        <w:rPr>
          <w:rFonts w:ascii="標楷體" w:eastAsia="標楷體" w:hAnsi="標楷體" w:hint="eastAsia"/>
          <w:bCs/>
          <w:sz w:val="32"/>
          <w:szCs w:val="32"/>
        </w:rPr>
        <w:t>個月內向立法院教育及文化委員會提出書面報告。</w:t>
      </w:r>
      <w:r>
        <w:rPr>
          <w:rFonts w:ascii="標楷體" w:eastAsia="標楷體" w:hAnsi="標楷體" w:hint="eastAsia"/>
          <w:bCs/>
          <w:sz w:val="32"/>
          <w:szCs w:val="32"/>
        </w:rPr>
        <w:t>109</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黃國書</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林宜瑾  張廖萬堅</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(九十一</w:t>
      </w:r>
      <w:r w:rsidRPr="00200C44">
        <w:rPr>
          <w:rFonts w:ascii="標楷體" w:eastAsia="標楷體" w:hAnsi="標楷體" w:hint="eastAsia"/>
          <w:bCs/>
          <w:sz w:val="32"/>
          <w:szCs w:val="32"/>
        </w:rPr>
        <w:t>)110年度</w:t>
      </w:r>
      <w:r>
        <w:rPr>
          <w:rFonts w:ascii="標楷體" w:eastAsia="標楷體" w:hAnsi="標楷體" w:hint="eastAsia"/>
          <w:bCs/>
          <w:sz w:val="32"/>
          <w:szCs w:val="32"/>
        </w:rPr>
        <w:t>科技部</w:t>
      </w:r>
      <w:r w:rsidRPr="00200C44">
        <w:rPr>
          <w:rFonts w:ascii="標楷體" w:eastAsia="標楷體" w:hAnsi="標楷體" w:hint="eastAsia"/>
          <w:bCs/>
          <w:sz w:val="32"/>
          <w:szCs w:val="32"/>
        </w:rPr>
        <w:t>「培育、延攬及獎助科技人才計畫」預算編列36億5</w:t>
      </w:r>
      <w:r w:rsidRPr="00200C44">
        <w:rPr>
          <w:rFonts w:ascii="標楷體" w:eastAsia="標楷體" w:hAnsi="標楷體"/>
          <w:bCs/>
          <w:sz w:val="32"/>
          <w:szCs w:val="32"/>
        </w:rPr>
        <w:t>,</w:t>
      </w:r>
      <w:r w:rsidRPr="00200C44">
        <w:rPr>
          <w:rFonts w:ascii="標楷體" w:eastAsia="標楷體" w:hAnsi="標楷體" w:hint="eastAsia"/>
          <w:bCs/>
          <w:sz w:val="32"/>
          <w:szCs w:val="32"/>
        </w:rPr>
        <w:t>087萬元，</w:t>
      </w:r>
      <w:r w:rsidRPr="00AF36B5">
        <w:rPr>
          <w:rFonts w:ascii="標楷體" w:eastAsia="標楷體" w:hAnsi="標楷體" w:hint="eastAsia"/>
          <w:bCs/>
          <w:sz w:val="32"/>
          <w:szCs w:val="32"/>
        </w:rPr>
        <w:t>決算數34億7</w:t>
      </w:r>
      <w:r>
        <w:rPr>
          <w:rFonts w:ascii="標楷體" w:eastAsia="標楷體" w:hAnsi="標楷體" w:hint="eastAsia"/>
          <w:bCs/>
          <w:sz w:val="32"/>
          <w:szCs w:val="32"/>
        </w:rPr>
        <w:t>,</w:t>
      </w:r>
      <w:r w:rsidRPr="00AF36B5">
        <w:rPr>
          <w:rFonts w:ascii="標楷體" w:eastAsia="標楷體" w:hAnsi="標楷體" w:hint="eastAsia"/>
          <w:bCs/>
          <w:sz w:val="32"/>
          <w:szCs w:val="32"/>
        </w:rPr>
        <w:t>728萬6千元，執行率95.25%。經查，國</w:t>
      </w:r>
      <w:r>
        <w:rPr>
          <w:rFonts w:ascii="標楷體" w:eastAsia="標楷體" w:hAnsi="標楷體" w:hint="eastAsia"/>
          <w:bCs/>
          <w:sz w:val="32"/>
          <w:szCs w:val="32"/>
        </w:rPr>
        <w:t>家</w:t>
      </w:r>
      <w:r w:rsidRPr="00AF36B5">
        <w:rPr>
          <w:rFonts w:ascii="標楷體" w:eastAsia="標楷體" w:hAnsi="標楷體" w:hint="eastAsia"/>
          <w:bCs/>
          <w:sz w:val="32"/>
          <w:szCs w:val="32"/>
        </w:rPr>
        <w:t>科</w:t>
      </w:r>
      <w:r>
        <w:rPr>
          <w:rFonts w:ascii="標楷體" w:eastAsia="標楷體" w:hAnsi="標楷體" w:hint="eastAsia"/>
          <w:bCs/>
          <w:sz w:val="32"/>
          <w:szCs w:val="32"/>
        </w:rPr>
        <w:t>學及技術委員</w:t>
      </w:r>
      <w:r w:rsidRPr="00AF36B5">
        <w:rPr>
          <w:rFonts w:ascii="標楷體" w:eastAsia="標楷體" w:hAnsi="標楷體" w:hint="eastAsia"/>
          <w:bCs/>
          <w:sz w:val="32"/>
          <w:szCs w:val="32"/>
        </w:rPr>
        <w:t>會自99年起辦理「科技部補助大專校院獎勵特殊優秀人才措施」及「科技部補助大專校院延攬特殊優秀人才措施」，</w:t>
      </w:r>
      <w:r>
        <w:rPr>
          <w:rFonts w:ascii="標楷體" w:eastAsia="標楷體" w:hAnsi="標楷體" w:hint="eastAsia"/>
          <w:bCs/>
          <w:sz w:val="32"/>
          <w:szCs w:val="32"/>
        </w:rPr>
        <w:t>10</w:t>
      </w:r>
      <w:r>
        <w:rPr>
          <w:rFonts w:ascii="標楷體" w:eastAsia="標楷體" w:hAnsi="標楷體"/>
          <w:bCs/>
          <w:sz w:val="32"/>
          <w:szCs w:val="32"/>
        </w:rPr>
        <w:t>1</w:t>
      </w:r>
      <w:r>
        <w:rPr>
          <w:rFonts w:ascii="標楷體" w:eastAsia="標楷體" w:hAnsi="標楷體" w:hint="eastAsia"/>
          <w:bCs/>
          <w:sz w:val="32"/>
          <w:szCs w:val="32"/>
        </w:rPr>
        <w:t>至</w:t>
      </w:r>
      <w:r w:rsidRPr="00AF36B5">
        <w:rPr>
          <w:rFonts w:ascii="標楷體" w:eastAsia="標楷體" w:hAnsi="標楷體" w:hint="eastAsia"/>
          <w:bCs/>
          <w:sz w:val="32"/>
          <w:szCs w:val="32"/>
        </w:rPr>
        <w:t>106年度補助金額均約8億元，107年度跌至7</w:t>
      </w:r>
      <w:r>
        <w:rPr>
          <w:rFonts w:ascii="標楷體" w:eastAsia="標楷體" w:hAnsi="標楷體" w:hint="eastAsia"/>
          <w:bCs/>
          <w:sz w:val="32"/>
          <w:szCs w:val="32"/>
        </w:rPr>
        <w:t>億</w:t>
      </w:r>
      <w:r w:rsidRPr="00AF36B5">
        <w:rPr>
          <w:rFonts w:ascii="標楷體" w:eastAsia="標楷體" w:hAnsi="標楷體" w:hint="eastAsia"/>
          <w:bCs/>
          <w:sz w:val="32"/>
          <w:szCs w:val="32"/>
        </w:rPr>
        <w:t>1</w:t>
      </w:r>
      <w:r>
        <w:rPr>
          <w:rFonts w:ascii="標楷體" w:eastAsia="標楷體" w:hAnsi="標楷體"/>
          <w:bCs/>
          <w:sz w:val="32"/>
          <w:szCs w:val="32"/>
        </w:rPr>
        <w:t>,</w:t>
      </w:r>
      <w:r w:rsidRPr="00AF36B5">
        <w:rPr>
          <w:rFonts w:ascii="標楷體" w:eastAsia="標楷體" w:hAnsi="標楷體" w:hint="eastAsia"/>
          <w:bCs/>
          <w:sz w:val="32"/>
          <w:szCs w:val="32"/>
        </w:rPr>
        <w:t>6</w:t>
      </w:r>
      <w:r>
        <w:rPr>
          <w:rFonts w:ascii="標楷體" w:eastAsia="標楷體" w:hAnsi="標楷體" w:hint="eastAsia"/>
          <w:bCs/>
          <w:sz w:val="32"/>
          <w:szCs w:val="32"/>
        </w:rPr>
        <w:t>00萬</w:t>
      </w:r>
      <w:r w:rsidRPr="00AF36B5">
        <w:rPr>
          <w:rFonts w:ascii="標楷體" w:eastAsia="標楷體" w:hAnsi="標楷體" w:hint="eastAsia"/>
          <w:bCs/>
          <w:sz w:val="32"/>
          <w:szCs w:val="32"/>
        </w:rPr>
        <w:t>元，110年度再下降至6</w:t>
      </w:r>
      <w:r>
        <w:rPr>
          <w:rFonts w:ascii="標楷體" w:eastAsia="標楷體" w:hAnsi="標楷體" w:hint="eastAsia"/>
          <w:bCs/>
          <w:sz w:val="32"/>
          <w:szCs w:val="32"/>
        </w:rPr>
        <w:t>億</w:t>
      </w:r>
      <w:r w:rsidRPr="00AF36B5">
        <w:rPr>
          <w:rFonts w:ascii="標楷體" w:eastAsia="標楷體" w:hAnsi="標楷體" w:hint="eastAsia"/>
          <w:bCs/>
          <w:sz w:val="32"/>
          <w:szCs w:val="32"/>
        </w:rPr>
        <w:t>9</w:t>
      </w:r>
      <w:r>
        <w:rPr>
          <w:rFonts w:ascii="標楷體" w:eastAsia="標楷體" w:hAnsi="標楷體"/>
          <w:bCs/>
          <w:sz w:val="32"/>
          <w:szCs w:val="32"/>
        </w:rPr>
        <w:t>,</w:t>
      </w:r>
      <w:r w:rsidRPr="00AF36B5">
        <w:rPr>
          <w:rFonts w:ascii="標楷體" w:eastAsia="標楷體" w:hAnsi="標楷體" w:hint="eastAsia"/>
          <w:bCs/>
          <w:sz w:val="32"/>
          <w:szCs w:val="32"/>
        </w:rPr>
        <w:t>8</w:t>
      </w:r>
      <w:r>
        <w:rPr>
          <w:rFonts w:ascii="標楷體" w:eastAsia="標楷體" w:hAnsi="標楷體" w:hint="eastAsia"/>
          <w:bCs/>
          <w:sz w:val="32"/>
          <w:szCs w:val="32"/>
        </w:rPr>
        <w:t>00萬</w:t>
      </w:r>
      <w:r w:rsidRPr="00AF36B5">
        <w:rPr>
          <w:rFonts w:ascii="標楷體" w:eastAsia="標楷體" w:hAnsi="標楷體" w:hint="eastAsia"/>
          <w:bCs/>
          <w:sz w:val="32"/>
          <w:szCs w:val="32"/>
        </w:rPr>
        <w:t>元。另查，獎勵留任及延攬新聘人才之情形，101</w:t>
      </w:r>
      <w:r>
        <w:rPr>
          <w:rFonts w:ascii="標楷體" w:eastAsia="標楷體" w:hAnsi="標楷體" w:hint="eastAsia"/>
          <w:bCs/>
          <w:sz w:val="32"/>
          <w:szCs w:val="32"/>
        </w:rPr>
        <w:t>至</w:t>
      </w:r>
      <w:r w:rsidRPr="00AF36B5">
        <w:rPr>
          <w:rFonts w:ascii="標楷體" w:eastAsia="標楷體" w:hAnsi="標楷體" w:hint="eastAsia"/>
          <w:bCs/>
          <w:sz w:val="32"/>
          <w:szCs w:val="32"/>
        </w:rPr>
        <w:t>107年度留任人才數於3</w:t>
      </w:r>
      <w:r>
        <w:rPr>
          <w:rFonts w:ascii="標楷體" w:eastAsia="標楷體" w:hAnsi="標楷體"/>
          <w:bCs/>
          <w:sz w:val="32"/>
          <w:szCs w:val="32"/>
        </w:rPr>
        <w:t>,</w:t>
      </w:r>
      <w:r w:rsidRPr="00AF36B5">
        <w:rPr>
          <w:rFonts w:ascii="標楷體" w:eastAsia="標楷體" w:hAnsi="標楷體" w:hint="eastAsia"/>
          <w:bCs/>
          <w:sz w:val="32"/>
          <w:szCs w:val="32"/>
        </w:rPr>
        <w:t>695人至3</w:t>
      </w:r>
      <w:r>
        <w:rPr>
          <w:rFonts w:ascii="標楷體" w:eastAsia="標楷體" w:hAnsi="標楷體"/>
          <w:bCs/>
          <w:sz w:val="32"/>
          <w:szCs w:val="32"/>
        </w:rPr>
        <w:t>,</w:t>
      </w:r>
      <w:r w:rsidRPr="00AF36B5">
        <w:rPr>
          <w:rFonts w:ascii="標楷體" w:eastAsia="標楷體" w:hAnsi="標楷體" w:hint="eastAsia"/>
          <w:bCs/>
          <w:sz w:val="32"/>
          <w:szCs w:val="32"/>
        </w:rPr>
        <w:t>954人之間，而新聘人才數於46人至782人之間，顯示留任人才占比逾</w:t>
      </w:r>
      <w:r>
        <w:rPr>
          <w:rFonts w:ascii="標楷體" w:eastAsia="標楷體" w:hAnsi="標楷體" w:hint="eastAsia"/>
          <w:bCs/>
          <w:sz w:val="32"/>
          <w:szCs w:val="32"/>
        </w:rPr>
        <w:t>八</w:t>
      </w:r>
      <w:r w:rsidRPr="00AF36B5">
        <w:rPr>
          <w:rFonts w:ascii="標楷體" w:eastAsia="標楷體" w:hAnsi="標楷體" w:hint="eastAsia"/>
          <w:bCs/>
          <w:sz w:val="32"/>
          <w:szCs w:val="32"/>
        </w:rPr>
        <w:t>成，新聘人才僅</w:t>
      </w:r>
      <w:r>
        <w:rPr>
          <w:rFonts w:ascii="標楷體" w:eastAsia="標楷體" w:hAnsi="標楷體" w:hint="eastAsia"/>
          <w:bCs/>
          <w:sz w:val="32"/>
          <w:szCs w:val="32"/>
        </w:rPr>
        <w:t>一</w:t>
      </w:r>
      <w:r w:rsidRPr="00AF36B5">
        <w:rPr>
          <w:rFonts w:ascii="標楷體" w:eastAsia="標楷體" w:hAnsi="標楷體" w:hint="eastAsia"/>
          <w:bCs/>
          <w:sz w:val="32"/>
          <w:szCs w:val="32"/>
        </w:rPr>
        <w:t>成多。108</w:t>
      </w:r>
      <w:r>
        <w:rPr>
          <w:rFonts w:ascii="標楷體" w:eastAsia="標楷體" w:hAnsi="標楷體" w:hint="eastAsia"/>
          <w:bCs/>
          <w:sz w:val="32"/>
          <w:szCs w:val="32"/>
        </w:rPr>
        <w:t>至</w:t>
      </w:r>
      <w:r w:rsidRPr="00AF36B5">
        <w:rPr>
          <w:rFonts w:ascii="標楷體" w:eastAsia="標楷體" w:hAnsi="標楷體" w:hint="eastAsia"/>
          <w:bCs/>
          <w:sz w:val="32"/>
          <w:szCs w:val="32"/>
        </w:rPr>
        <w:t>109年雖未區分留任及新聘人才數</w:t>
      </w:r>
      <w:r>
        <w:rPr>
          <w:rFonts w:ascii="標楷體" w:eastAsia="標楷體" w:hAnsi="標楷體" w:hint="eastAsia"/>
          <w:bCs/>
          <w:sz w:val="32"/>
          <w:szCs w:val="32"/>
        </w:rPr>
        <w:t>，</w:t>
      </w:r>
      <w:r w:rsidRPr="00AF36B5">
        <w:rPr>
          <w:rFonts w:ascii="標楷體" w:eastAsia="標楷體" w:hAnsi="標楷體" w:hint="eastAsia"/>
          <w:bCs/>
          <w:sz w:val="32"/>
          <w:szCs w:val="32"/>
        </w:rPr>
        <w:t>惟其獎勵總人數自107年4</w:t>
      </w:r>
      <w:r>
        <w:rPr>
          <w:rFonts w:ascii="標楷體" w:eastAsia="標楷體" w:hAnsi="標楷體"/>
          <w:bCs/>
          <w:sz w:val="32"/>
          <w:szCs w:val="32"/>
        </w:rPr>
        <w:t>,</w:t>
      </w:r>
      <w:r w:rsidRPr="00AF36B5">
        <w:rPr>
          <w:rFonts w:ascii="標楷體" w:eastAsia="標楷體" w:hAnsi="標楷體" w:hint="eastAsia"/>
          <w:bCs/>
          <w:sz w:val="32"/>
          <w:szCs w:val="32"/>
        </w:rPr>
        <w:t>431人逐年遞減至109年3</w:t>
      </w:r>
      <w:r>
        <w:rPr>
          <w:rFonts w:ascii="標楷體" w:eastAsia="標楷體" w:hAnsi="標楷體"/>
          <w:bCs/>
          <w:sz w:val="32"/>
          <w:szCs w:val="32"/>
        </w:rPr>
        <w:t>,</w:t>
      </w:r>
      <w:r w:rsidRPr="00AF36B5">
        <w:rPr>
          <w:rFonts w:ascii="標楷體" w:eastAsia="標楷體" w:hAnsi="標楷體" w:hint="eastAsia"/>
          <w:bCs/>
          <w:sz w:val="32"/>
          <w:szCs w:val="32"/>
        </w:rPr>
        <w:t>935人，下降比率逾</w:t>
      </w:r>
      <w:r>
        <w:rPr>
          <w:rFonts w:ascii="標楷體" w:eastAsia="標楷體" w:hAnsi="標楷體" w:hint="eastAsia"/>
          <w:bCs/>
          <w:sz w:val="32"/>
          <w:szCs w:val="32"/>
        </w:rPr>
        <w:t>一</w:t>
      </w:r>
      <w:r w:rsidRPr="00AF36B5">
        <w:rPr>
          <w:rFonts w:ascii="標楷體" w:eastAsia="標楷體" w:hAnsi="標楷體" w:hint="eastAsia"/>
          <w:bCs/>
          <w:sz w:val="32"/>
          <w:szCs w:val="32"/>
        </w:rPr>
        <w:t>成。國</w:t>
      </w:r>
      <w:r>
        <w:rPr>
          <w:rFonts w:ascii="標楷體" w:eastAsia="標楷體" w:hAnsi="標楷體" w:hint="eastAsia"/>
          <w:bCs/>
          <w:sz w:val="32"/>
          <w:szCs w:val="32"/>
        </w:rPr>
        <w:t>家</w:t>
      </w:r>
      <w:r w:rsidRPr="00AF36B5">
        <w:rPr>
          <w:rFonts w:ascii="標楷體" w:eastAsia="標楷體" w:hAnsi="標楷體" w:hint="eastAsia"/>
          <w:bCs/>
          <w:sz w:val="32"/>
          <w:szCs w:val="32"/>
        </w:rPr>
        <w:t>科</w:t>
      </w:r>
      <w:r>
        <w:rPr>
          <w:rFonts w:ascii="標楷體" w:eastAsia="標楷體" w:hAnsi="標楷體" w:hint="eastAsia"/>
          <w:bCs/>
          <w:sz w:val="32"/>
          <w:szCs w:val="32"/>
        </w:rPr>
        <w:t>學及技術委員</w:t>
      </w:r>
      <w:r w:rsidRPr="00AF36B5">
        <w:rPr>
          <w:rFonts w:ascii="標楷體" w:eastAsia="標楷體" w:hAnsi="標楷體" w:hint="eastAsia"/>
          <w:bCs/>
          <w:sz w:val="32"/>
          <w:szCs w:val="32"/>
        </w:rPr>
        <w:t>會允宜檢討「培育、延攬及獎助科技人才計畫」辦理成效不彰原因</w:t>
      </w:r>
      <w:r>
        <w:rPr>
          <w:rFonts w:ascii="標楷體" w:eastAsia="標楷體" w:hAnsi="標楷體" w:hint="eastAsia"/>
          <w:bCs/>
          <w:sz w:val="32"/>
          <w:szCs w:val="32"/>
        </w:rPr>
        <w:t>、</w:t>
      </w:r>
      <w:r w:rsidRPr="00AF36B5">
        <w:rPr>
          <w:rFonts w:ascii="標楷體" w:eastAsia="標楷體" w:hAnsi="標楷體" w:hint="eastAsia"/>
          <w:bCs/>
          <w:sz w:val="32"/>
          <w:szCs w:val="32"/>
        </w:rPr>
        <w:t>提升新聘人才成效，</w:t>
      </w:r>
      <w:r>
        <w:rPr>
          <w:rFonts w:ascii="標楷體" w:eastAsia="標楷體" w:hAnsi="標楷體" w:hint="eastAsia"/>
          <w:bCs/>
          <w:sz w:val="32"/>
          <w:szCs w:val="32"/>
        </w:rPr>
        <w:t>並</w:t>
      </w:r>
      <w:r w:rsidRPr="00AF36B5">
        <w:rPr>
          <w:rFonts w:ascii="標楷體" w:eastAsia="標楷體" w:hAnsi="標楷體" w:hint="eastAsia"/>
          <w:bCs/>
          <w:sz w:val="32"/>
          <w:szCs w:val="32"/>
        </w:rPr>
        <w:t>於</w:t>
      </w:r>
      <w:r>
        <w:rPr>
          <w:rFonts w:ascii="標楷體" w:eastAsia="標楷體" w:hAnsi="標楷體" w:hint="eastAsia"/>
          <w:bCs/>
          <w:sz w:val="32"/>
          <w:szCs w:val="32"/>
        </w:rPr>
        <w:t>3</w:t>
      </w:r>
      <w:r w:rsidRPr="00AF36B5">
        <w:rPr>
          <w:rFonts w:ascii="標楷體" w:eastAsia="標楷體" w:hAnsi="標楷體" w:hint="eastAsia"/>
          <w:bCs/>
          <w:sz w:val="32"/>
          <w:szCs w:val="32"/>
        </w:rPr>
        <w:t>個月內向立法院教育及文化委員會提出書面報告。</w:t>
      </w:r>
      <w:r>
        <w:rPr>
          <w:rFonts w:ascii="標楷體" w:eastAsia="標楷體" w:hAnsi="標楷體" w:hint="eastAsia"/>
          <w:bCs/>
          <w:sz w:val="32"/>
          <w:szCs w:val="32"/>
        </w:rPr>
        <w:t>113</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黃國書</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林宜瑾  張廖萬堅</w:t>
      </w:r>
    </w:p>
    <w:p w:rsidR="00A52DD2" w:rsidRPr="00881FFF" w:rsidRDefault="00A52DD2" w:rsidP="00F035E0">
      <w:pPr>
        <w:snapToGrid w:val="0"/>
        <w:spacing w:beforeLines="50" w:before="180" w:line="460" w:lineRule="exact"/>
        <w:ind w:leftChars="100" w:left="1558" w:hangingChars="412" w:hanging="1318"/>
        <w:rPr>
          <w:rFonts w:ascii="標楷體" w:eastAsia="標楷體" w:hAnsi="標楷體"/>
          <w:snapToGrid w:val="0"/>
          <w:sz w:val="32"/>
          <w:szCs w:val="32"/>
        </w:rPr>
      </w:pPr>
      <w:r w:rsidRPr="00881FFF">
        <w:rPr>
          <w:rFonts w:ascii="標楷體" w:eastAsia="標楷體" w:hAnsi="標楷體"/>
          <w:snapToGrid w:val="0"/>
          <w:sz w:val="32"/>
          <w:szCs w:val="32"/>
        </w:rPr>
        <w:t xml:space="preserve">第2項　</w:t>
      </w:r>
      <w:r w:rsidRPr="00881FFF">
        <w:rPr>
          <w:rFonts w:ascii="標楷體" w:eastAsia="標楷體" w:hAnsi="標楷體" w:hint="eastAsia"/>
          <w:snapToGrid w:val="0"/>
          <w:sz w:val="32"/>
          <w:szCs w:val="32"/>
        </w:rPr>
        <w:t>新竹科學園區管理局原列10億5,555萬9千元，除第2目「非營業特種基金」第1節「科學園區管理局作業基金」3億4,732萬8千元，暫照列，俟所屬非營業特種基金審議確定，再行調整外，其餘均照列。</w:t>
      </w:r>
    </w:p>
    <w:p w:rsidR="00A52DD2" w:rsidRPr="00B01072" w:rsidRDefault="00A52DD2" w:rsidP="00F035E0">
      <w:pPr>
        <w:snapToGrid w:val="0"/>
        <w:spacing w:line="460" w:lineRule="exact"/>
        <w:ind w:leftChars="100" w:left="1558" w:hangingChars="412" w:hanging="1318"/>
        <w:rPr>
          <w:rFonts w:ascii="標楷體" w:eastAsia="標楷體" w:hAnsi="標楷體"/>
          <w:snapToGrid w:val="0"/>
          <w:sz w:val="32"/>
          <w:szCs w:val="32"/>
        </w:rPr>
      </w:pPr>
      <w:r w:rsidRPr="00B01072">
        <w:rPr>
          <w:rFonts w:ascii="標楷體" w:eastAsia="標楷體" w:hAnsi="標楷體" w:hint="eastAsia"/>
          <w:snapToGrid w:val="0"/>
          <w:sz w:val="32"/>
          <w:szCs w:val="32"/>
        </w:rPr>
        <w:t>本項提案1案，保留，送院會處理：</w:t>
      </w:r>
    </w:p>
    <w:p w:rsidR="00A52DD2" w:rsidRPr="00B01072" w:rsidRDefault="00A52DD2" w:rsidP="00F035E0">
      <w:pPr>
        <w:snapToGrid w:val="0"/>
        <w:spacing w:line="500" w:lineRule="exact"/>
        <w:ind w:leftChars="100" w:left="240"/>
        <w:rPr>
          <w:rFonts w:ascii="標楷體" w:eastAsia="標楷體" w:hAnsi="標楷體"/>
          <w:snapToGrid w:val="0"/>
          <w:sz w:val="32"/>
          <w:szCs w:val="32"/>
        </w:rPr>
      </w:pPr>
      <w:r w:rsidRPr="00B01072">
        <w:rPr>
          <w:rFonts w:ascii="標楷體" w:eastAsia="標楷體" w:hAnsi="標楷體" w:hint="eastAsia"/>
          <w:snapToGrid w:val="0"/>
          <w:sz w:val="32"/>
          <w:szCs w:val="32"/>
        </w:rPr>
        <w:t xml:space="preserve">    有鑑於林智堅先生於就讀中華大學科技管理研究所在職專班期間，其碩士論文《以TCSI模式評估國內某科學園區之週邊居民</w:t>
      </w:r>
      <w:r w:rsidRPr="00B01072">
        <w:rPr>
          <w:rFonts w:ascii="標楷體" w:eastAsia="標楷體" w:hAnsi="標楷體" w:hint="eastAsia"/>
          <w:snapToGrid w:val="0"/>
          <w:sz w:val="32"/>
          <w:szCs w:val="32"/>
        </w:rPr>
        <w:lastRenderedPageBreak/>
        <w:t>滿意度》與竹科管理局2007年委託中華大學辦理之研究標案「以TCSI模式評估新竹科學園區之民眾滿意度」期末報告有高達87.8%之內容雷同。且後經中華大學學術審查委員會審查，確認林智堅先生之碩士論文存在抄襲且情節重大問題，已依法撤銷其碩士學位。然考量此抄襲事件不僅為學術倫理瑕疵，亦剽竊竹科委外研究案之智慧財產權，嚴重損及竹科聲譽，爰提案要求竹科管理局應即刻採取司法途徑提出告訴，以維護竹科權益與聲譽。179</w:t>
      </w:r>
    </w:p>
    <w:p w:rsidR="00A52DD2" w:rsidRPr="00B01072" w:rsidRDefault="00A52DD2" w:rsidP="00F035E0">
      <w:pPr>
        <w:snapToGrid w:val="0"/>
        <w:spacing w:line="500" w:lineRule="exact"/>
        <w:ind w:leftChars="1250" w:left="3000"/>
        <w:rPr>
          <w:rFonts w:ascii="標楷體" w:eastAsia="標楷體" w:hAnsi="標楷體"/>
          <w:snapToGrid w:val="0"/>
          <w:sz w:val="32"/>
          <w:szCs w:val="32"/>
        </w:rPr>
      </w:pPr>
      <w:r w:rsidRPr="00B01072">
        <w:rPr>
          <w:rFonts w:ascii="標楷體" w:eastAsia="標楷體" w:hAnsi="標楷體" w:hint="eastAsia"/>
          <w:snapToGrid w:val="0"/>
          <w:sz w:val="32"/>
          <w:szCs w:val="32"/>
        </w:rPr>
        <w:t>提案人：林奕華</w:t>
      </w:r>
    </w:p>
    <w:p w:rsidR="00A52DD2" w:rsidRDefault="00A52DD2" w:rsidP="00F035E0">
      <w:pPr>
        <w:snapToGrid w:val="0"/>
        <w:spacing w:line="500" w:lineRule="exact"/>
        <w:ind w:leftChars="1250" w:left="3000"/>
        <w:rPr>
          <w:rFonts w:ascii="標楷體" w:eastAsia="標楷體" w:hAnsi="標楷體"/>
          <w:snapToGrid w:val="0"/>
          <w:sz w:val="32"/>
          <w:szCs w:val="32"/>
        </w:rPr>
      </w:pPr>
      <w:r w:rsidRPr="00B01072">
        <w:rPr>
          <w:rFonts w:ascii="標楷體" w:eastAsia="標楷體" w:hAnsi="標楷體" w:hint="eastAsia"/>
          <w:snapToGrid w:val="0"/>
          <w:sz w:val="32"/>
          <w:szCs w:val="32"/>
        </w:rPr>
        <w:t>連署人：鄭正鈐  吳怡玎</w:t>
      </w:r>
    </w:p>
    <w:p w:rsidR="00A52DD2" w:rsidRPr="00E94241" w:rsidRDefault="00A52DD2" w:rsidP="00F035E0">
      <w:pPr>
        <w:snapToGrid w:val="0"/>
        <w:spacing w:line="460" w:lineRule="exact"/>
        <w:ind w:leftChars="100" w:left="1558" w:hangingChars="412" w:hanging="1318"/>
        <w:rPr>
          <w:rFonts w:ascii="標楷體" w:eastAsia="標楷體" w:hAnsi="標楷體"/>
          <w:snapToGrid w:val="0"/>
          <w:sz w:val="32"/>
          <w:szCs w:val="32"/>
        </w:rPr>
      </w:pPr>
      <w:r w:rsidRPr="00E94241">
        <w:rPr>
          <w:rFonts w:ascii="標楷體" w:eastAsia="標楷體" w:hAnsi="標楷體" w:hint="eastAsia"/>
          <w:snapToGrid w:val="0"/>
          <w:sz w:val="32"/>
          <w:szCs w:val="32"/>
        </w:rPr>
        <w:t>本項通過決議</w:t>
      </w:r>
      <w:r>
        <w:rPr>
          <w:rFonts w:ascii="標楷體" w:eastAsia="標楷體" w:hAnsi="標楷體" w:hint="eastAsia"/>
          <w:snapToGrid w:val="0"/>
          <w:sz w:val="32"/>
          <w:szCs w:val="32"/>
        </w:rPr>
        <w:t>10</w:t>
      </w:r>
      <w:r w:rsidRPr="00E94241">
        <w:rPr>
          <w:rFonts w:ascii="標楷體" w:eastAsia="標楷體" w:hAnsi="標楷體" w:hint="eastAsia"/>
          <w:snapToGrid w:val="0"/>
          <w:sz w:val="32"/>
          <w:szCs w:val="32"/>
        </w:rPr>
        <w:t>項：</w:t>
      </w:r>
    </w:p>
    <w:p w:rsidR="00A52DD2" w:rsidRPr="00535340" w:rsidRDefault="00A52DD2" w:rsidP="00F035E0">
      <w:pPr>
        <w:overflowPunct w:val="0"/>
        <w:spacing w:line="500" w:lineRule="exact"/>
        <w:ind w:leftChars="150" w:left="1000" w:hangingChars="200" w:hanging="640"/>
        <w:jc w:val="both"/>
        <w:rPr>
          <w:rFonts w:ascii="標楷體" w:eastAsia="標楷體" w:hAnsi="標楷體"/>
          <w:sz w:val="32"/>
          <w:szCs w:val="32"/>
        </w:rPr>
      </w:pPr>
      <w:r w:rsidRPr="00E94241">
        <w:rPr>
          <w:rFonts w:ascii="標楷體" w:eastAsia="標楷體" w:hAnsi="標楷體" w:hint="eastAsia"/>
          <w:snapToGrid w:val="0"/>
          <w:sz w:val="32"/>
          <w:szCs w:val="32"/>
        </w:rPr>
        <w:t>(一)</w:t>
      </w:r>
      <w:r w:rsidRPr="00535340">
        <w:rPr>
          <w:rFonts w:ascii="標楷體" w:eastAsia="標楷體" w:hAnsi="標楷體" w:hint="eastAsia"/>
          <w:sz w:val="32"/>
          <w:szCs w:val="32"/>
        </w:rPr>
        <w:t>新竹科學園區各期開發計畫欠缺交通系統之規劃，長期以來無法抑制園區車流量，致使園區周邊交通壅塞情況日益嚴重，為竹科人詬病。科學園區刻正進行多項擴建或新設籌設計畫，各園區完工後預計將帶來大量就業人口，恐又使部分園區及周邊交通壅塞情形更為惡化。爰要求國家科學及技術委員會新竹科學園區管理局於3個月內針對未來園區內、外大眾運輸系統、交通系統規劃向立法院教育及文化委員會提出具體書面報告，以有效抑制園區車流量，俾減輕交通負荷量。178</w:t>
      </w:r>
    </w:p>
    <w:p w:rsidR="00A52DD2" w:rsidRPr="00535340"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提案人：林奕華</w:t>
      </w:r>
    </w:p>
    <w:p w:rsidR="00A52DD2" w:rsidRPr="00E94241" w:rsidRDefault="00A52DD2" w:rsidP="00F035E0">
      <w:pPr>
        <w:overflowPunct w:val="0"/>
        <w:spacing w:line="500" w:lineRule="exact"/>
        <w:ind w:leftChars="1250" w:left="3000"/>
        <w:jc w:val="both"/>
        <w:rPr>
          <w:rFonts w:ascii="標楷體" w:eastAsia="標楷體" w:hAnsi="標楷體"/>
          <w:sz w:val="32"/>
          <w:szCs w:val="32"/>
        </w:rPr>
      </w:pPr>
      <w:r w:rsidRPr="00535340">
        <w:rPr>
          <w:rFonts w:ascii="標楷體" w:eastAsia="標楷體" w:hAnsi="標楷體" w:hint="eastAsia"/>
          <w:sz w:val="32"/>
          <w:szCs w:val="32"/>
        </w:rPr>
        <w:t>連署人：鄭正鈐  吳怡玎</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(二)</w:t>
      </w:r>
      <w:r w:rsidRPr="00BC4719">
        <w:rPr>
          <w:rFonts w:ascii="標楷體" w:eastAsia="標楷體" w:hAnsi="標楷體" w:hint="eastAsia"/>
          <w:bCs/>
          <w:sz w:val="32"/>
          <w:szCs w:val="32"/>
        </w:rPr>
        <w:t>鑑於淨零排放、推動再生能源的發展已為全球趨勢，大型跨國企業皆要求其供應鏈需於2050年達到100%再生能源之目標，國家發展委員會亦於</w:t>
      </w:r>
      <w:r>
        <w:rPr>
          <w:rFonts w:ascii="標楷體" w:eastAsia="標楷體" w:hAnsi="標楷體" w:hint="eastAsia"/>
          <w:bCs/>
          <w:sz w:val="32"/>
          <w:szCs w:val="32"/>
        </w:rPr>
        <w:t>111</w:t>
      </w:r>
      <w:r w:rsidRPr="00BC4719">
        <w:rPr>
          <w:rFonts w:ascii="標楷體" w:eastAsia="標楷體" w:hAnsi="標楷體" w:hint="eastAsia"/>
          <w:bCs/>
          <w:sz w:val="32"/>
          <w:szCs w:val="32"/>
        </w:rPr>
        <w:t>年3月公布臺灣2050淨零排放路徑，國家科學及技術委員會之施政目標亦扣合淨零科技領域，聚焦前瞻性或突破性之淨零科技研發，引導產業綠色轉型。經查新竹科學園區111至116年之用電負載量預計需求，將從111</w:t>
      </w:r>
      <w:r>
        <w:rPr>
          <w:rFonts w:ascii="標楷體" w:eastAsia="標楷體" w:hAnsi="標楷體" w:hint="eastAsia"/>
          <w:bCs/>
          <w:sz w:val="32"/>
          <w:szCs w:val="32"/>
        </w:rPr>
        <w:t>年</w:t>
      </w:r>
      <w:r w:rsidRPr="00BC4719">
        <w:rPr>
          <w:rFonts w:ascii="標楷體" w:eastAsia="標楷體" w:hAnsi="標楷體" w:hint="eastAsia"/>
          <w:bCs/>
          <w:sz w:val="32"/>
          <w:szCs w:val="32"/>
        </w:rPr>
        <w:t>之212.03萬KW，提升至116</w:t>
      </w:r>
      <w:r>
        <w:rPr>
          <w:rFonts w:ascii="標楷體" w:eastAsia="標楷體" w:hAnsi="標楷體" w:hint="eastAsia"/>
          <w:bCs/>
          <w:sz w:val="32"/>
          <w:szCs w:val="32"/>
        </w:rPr>
        <w:t>年</w:t>
      </w:r>
      <w:r w:rsidRPr="00BC4719">
        <w:rPr>
          <w:rFonts w:ascii="標楷體" w:eastAsia="標楷體" w:hAnsi="標楷體" w:hint="eastAsia"/>
          <w:bCs/>
          <w:sz w:val="32"/>
          <w:szCs w:val="32"/>
        </w:rPr>
        <w:t>之352.66萬KW</w:t>
      </w:r>
      <w:r w:rsidRPr="00BC4719">
        <w:rPr>
          <w:rFonts w:ascii="標楷體" w:eastAsia="標楷體" w:hAnsi="標楷體" w:hint="eastAsia"/>
          <w:bCs/>
          <w:sz w:val="32"/>
          <w:szCs w:val="32"/>
        </w:rPr>
        <w:lastRenderedPageBreak/>
        <w:t>，顯見未來用電需求呈現逐年遞增之趨勢，而據</w:t>
      </w:r>
      <w:r>
        <w:rPr>
          <w:rFonts w:ascii="標楷體" w:eastAsia="標楷體" w:hAnsi="標楷體" w:hint="eastAsia"/>
          <w:bCs/>
          <w:sz w:val="32"/>
          <w:szCs w:val="32"/>
        </w:rPr>
        <w:t>新竹</w:t>
      </w:r>
      <w:r w:rsidRPr="00BC4719">
        <w:rPr>
          <w:rFonts w:ascii="標楷體" w:eastAsia="標楷體" w:hAnsi="標楷體" w:hint="eastAsia"/>
          <w:bCs/>
          <w:sz w:val="32"/>
          <w:szCs w:val="32"/>
        </w:rPr>
        <w:t>科學園區管理局統計截至</w:t>
      </w:r>
      <w:r>
        <w:rPr>
          <w:rFonts w:ascii="標楷體" w:eastAsia="標楷體" w:hAnsi="標楷體" w:hint="eastAsia"/>
          <w:bCs/>
          <w:sz w:val="32"/>
          <w:szCs w:val="32"/>
        </w:rPr>
        <w:t>111</w:t>
      </w:r>
      <w:r w:rsidRPr="00BC4719">
        <w:rPr>
          <w:rFonts w:ascii="標楷體" w:eastAsia="標楷體" w:hAnsi="標楷體" w:hint="eastAsia"/>
          <w:bCs/>
          <w:sz w:val="32"/>
          <w:szCs w:val="32"/>
        </w:rPr>
        <w:t>年7月底，新竹科學園區太陽光電設備發電量僅</w:t>
      </w:r>
      <w:r>
        <w:rPr>
          <w:rFonts w:ascii="標楷體" w:eastAsia="標楷體" w:hAnsi="標楷體" w:hint="eastAsia"/>
          <w:bCs/>
          <w:sz w:val="32"/>
          <w:szCs w:val="32"/>
        </w:rPr>
        <w:t>占</w:t>
      </w:r>
      <w:r w:rsidRPr="00BC4719">
        <w:rPr>
          <w:rFonts w:ascii="標楷體" w:eastAsia="標楷體" w:hAnsi="標楷體" w:hint="eastAsia"/>
          <w:bCs/>
          <w:sz w:val="32"/>
          <w:szCs w:val="32"/>
        </w:rPr>
        <w:t>園區用電量之比重2.37%，占比十分有限，國家科學及技術委員會應儘速研擬有效誘因與配套措施，持續鼓勵園區廠商設置太陽光電設備，增加再生能源發電量。綜上所述，爰請國家科學及技術委員會新竹科學園區管理局於</w:t>
      </w:r>
      <w:r>
        <w:rPr>
          <w:rFonts w:ascii="標楷體" w:eastAsia="標楷體" w:hAnsi="標楷體" w:hint="eastAsia"/>
          <w:bCs/>
          <w:sz w:val="32"/>
          <w:szCs w:val="32"/>
        </w:rPr>
        <w:t>3</w:t>
      </w:r>
      <w:r w:rsidRPr="00BC4719">
        <w:rPr>
          <w:rFonts w:ascii="標楷體" w:eastAsia="標楷體" w:hAnsi="標楷體" w:hint="eastAsia"/>
          <w:bCs/>
          <w:sz w:val="32"/>
          <w:szCs w:val="32"/>
        </w:rPr>
        <w:t>個月內向立法院教育及文化委員會提出改進作為書面報告。</w:t>
      </w:r>
      <w:r>
        <w:rPr>
          <w:rFonts w:ascii="標楷體" w:eastAsia="標楷體" w:hAnsi="標楷體" w:hint="eastAsia"/>
          <w:bCs/>
          <w:sz w:val="32"/>
          <w:szCs w:val="32"/>
        </w:rPr>
        <w:t>162</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吳思瑤  黃國書</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陳秀寳  張廖萬堅</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(三)</w:t>
      </w:r>
      <w:r w:rsidRPr="00BC4719">
        <w:rPr>
          <w:rFonts w:ascii="標楷體" w:eastAsia="標楷體" w:hAnsi="標楷體" w:hint="eastAsia"/>
          <w:bCs/>
          <w:sz w:val="32"/>
          <w:szCs w:val="32"/>
        </w:rPr>
        <w:t>有關</w:t>
      </w:r>
      <w:r>
        <w:rPr>
          <w:rFonts w:ascii="標楷體" w:eastAsia="標楷體" w:hAnsi="標楷體" w:hint="eastAsia"/>
          <w:bCs/>
          <w:sz w:val="32"/>
          <w:szCs w:val="32"/>
        </w:rPr>
        <w:t>112年度</w:t>
      </w:r>
      <w:r w:rsidRPr="00BC4719">
        <w:rPr>
          <w:rFonts w:ascii="標楷體" w:eastAsia="標楷體" w:hAnsi="標楷體" w:hint="eastAsia"/>
          <w:bCs/>
          <w:sz w:val="32"/>
          <w:szCs w:val="32"/>
        </w:rPr>
        <w:t>國家科學及技術委員會新竹科學園區管理局「園區業務推展」</w:t>
      </w:r>
      <w:r>
        <w:rPr>
          <w:rFonts w:ascii="標楷體" w:eastAsia="標楷體" w:hAnsi="標楷體" w:hint="eastAsia"/>
          <w:bCs/>
          <w:sz w:val="32"/>
          <w:szCs w:val="32"/>
        </w:rPr>
        <w:t>項下</w:t>
      </w:r>
      <w:r w:rsidRPr="00BC4719">
        <w:rPr>
          <w:rFonts w:ascii="標楷體" w:eastAsia="標楷體" w:hAnsi="標楷體" w:hint="eastAsia"/>
          <w:bCs/>
          <w:sz w:val="32"/>
          <w:szCs w:val="32"/>
        </w:rPr>
        <w:t>「投資推廣」</w:t>
      </w:r>
      <w:r>
        <w:rPr>
          <w:rFonts w:ascii="標楷體" w:eastAsia="標楷體" w:hAnsi="標楷體" w:hint="eastAsia"/>
          <w:bCs/>
          <w:sz w:val="32"/>
          <w:szCs w:val="32"/>
        </w:rPr>
        <w:t>中</w:t>
      </w:r>
      <w:r w:rsidRPr="00BC4719">
        <w:rPr>
          <w:rFonts w:ascii="標楷體" w:eastAsia="標楷體" w:hAnsi="標楷體" w:hint="eastAsia"/>
          <w:bCs/>
          <w:sz w:val="32"/>
          <w:szCs w:val="32"/>
        </w:rPr>
        <w:t>「參加兩岸科技研討會議與產業展覽，及參訪大陸高新技術產業園區及創業基地，瞭解其產業發展趨勢及對我國科學園區之影響」</w:t>
      </w:r>
      <w:r>
        <w:rPr>
          <w:rFonts w:ascii="標楷體" w:eastAsia="標楷體" w:hAnsi="標楷體" w:hint="eastAsia"/>
          <w:bCs/>
          <w:sz w:val="32"/>
          <w:szCs w:val="32"/>
        </w:rPr>
        <w:t>預算編列</w:t>
      </w:r>
      <w:r w:rsidRPr="00BC4719">
        <w:rPr>
          <w:rFonts w:ascii="標楷體" w:eastAsia="標楷體" w:hAnsi="標楷體" w:hint="eastAsia"/>
          <w:bCs/>
          <w:sz w:val="32"/>
          <w:szCs w:val="32"/>
        </w:rPr>
        <w:t>2萬4千元。然據法務部調查局指出，自110年起，專案偵辦中國對我國高科技產業之人才挖角，至少查獲40起迂迴來臺惡意挖角、竊密等不法行為案件，且中國對臺灣文攻武</w:t>
      </w:r>
      <w:r>
        <w:rPr>
          <w:rFonts w:ascii="標楷體" w:eastAsia="標楷體" w:hAnsi="標楷體" w:hint="eastAsia"/>
          <w:bCs/>
          <w:sz w:val="32"/>
          <w:szCs w:val="32"/>
        </w:rPr>
        <w:t>嚇</w:t>
      </w:r>
      <w:r w:rsidRPr="00BC4719">
        <w:rPr>
          <w:rFonts w:ascii="標楷體" w:eastAsia="標楷體" w:hAnsi="標楷體" w:hint="eastAsia"/>
          <w:bCs/>
          <w:sz w:val="32"/>
          <w:szCs w:val="32"/>
        </w:rPr>
        <w:t>力道未減，多次惡意禁止我國農產品輸入，並增派軍機、軍艦侵擾，更意圖挖角，顯見赴中國之風險巨大。綜上所述，在中國對臺政治敵對未緩解，並對我國人才以違背企業倫理之惡意挖角、竊取機密狀況停止前，不宜與中國進行交流，爰請國家科學及技術委員會新竹科學園區管理局於</w:t>
      </w:r>
      <w:r>
        <w:rPr>
          <w:rFonts w:ascii="標楷體" w:eastAsia="標楷體" w:hAnsi="標楷體" w:hint="eastAsia"/>
          <w:bCs/>
          <w:sz w:val="32"/>
          <w:szCs w:val="32"/>
        </w:rPr>
        <w:t>3</w:t>
      </w:r>
      <w:r w:rsidRPr="00BC4719">
        <w:rPr>
          <w:rFonts w:ascii="標楷體" w:eastAsia="標楷體" w:hAnsi="標楷體" w:hint="eastAsia"/>
          <w:bCs/>
          <w:sz w:val="32"/>
          <w:szCs w:val="32"/>
        </w:rPr>
        <w:t>個月內向立法院教育及文化委員會提出書面報告。</w:t>
      </w:r>
      <w:r>
        <w:rPr>
          <w:rFonts w:ascii="標楷體" w:eastAsia="標楷體" w:hAnsi="標楷體" w:hint="eastAsia"/>
          <w:bCs/>
          <w:sz w:val="32"/>
          <w:szCs w:val="32"/>
        </w:rPr>
        <w:t>165</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吳思瑤  黃國書</w:t>
      </w:r>
    </w:p>
    <w:p w:rsidR="00A52DD2"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陳秀寳  張廖萬堅</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(四)</w:t>
      </w:r>
      <w:r w:rsidRPr="00B71E54">
        <w:rPr>
          <w:rFonts w:ascii="標楷體" w:eastAsia="標楷體" w:hAnsi="標楷體" w:hint="eastAsia"/>
          <w:bCs/>
          <w:sz w:val="32"/>
          <w:szCs w:val="32"/>
        </w:rPr>
        <w:t>經查112年度國家科學及技術委員會新竹科學園區管理局「園區業務推展」項下</w:t>
      </w:r>
      <w:r>
        <w:rPr>
          <w:rFonts w:ascii="標楷體" w:eastAsia="標楷體" w:hAnsi="標楷體" w:hint="eastAsia"/>
          <w:bCs/>
          <w:sz w:val="32"/>
          <w:szCs w:val="32"/>
        </w:rPr>
        <w:t>「投資推廣」編列之</w:t>
      </w:r>
      <w:r w:rsidRPr="00B71E54">
        <w:rPr>
          <w:rFonts w:ascii="標楷體" w:eastAsia="標楷體" w:hAnsi="標楷體" w:hint="eastAsia"/>
          <w:bCs/>
          <w:sz w:val="32"/>
          <w:szCs w:val="32"/>
        </w:rPr>
        <w:t>預算包含辦理園區推廣及提升園區形象；吸引外資及推動國際科技合作等相關</w:t>
      </w:r>
      <w:r w:rsidRPr="00B71E54">
        <w:rPr>
          <w:rFonts w:ascii="標楷體" w:eastAsia="標楷體" w:hAnsi="標楷體" w:hint="eastAsia"/>
          <w:bCs/>
          <w:sz w:val="32"/>
          <w:szCs w:val="32"/>
        </w:rPr>
        <w:lastRenderedPageBreak/>
        <w:t>經費。惟根據國科會數據估計，</w:t>
      </w:r>
      <w:r>
        <w:rPr>
          <w:rFonts w:ascii="標楷體" w:eastAsia="標楷體" w:hAnsi="標楷體" w:hint="eastAsia"/>
          <w:bCs/>
          <w:sz w:val="32"/>
          <w:szCs w:val="32"/>
        </w:rPr>
        <w:t>新</w:t>
      </w:r>
      <w:r w:rsidRPr="00B71E54">
        <w:rPr>
          <w:rFonts w:ascii="標楷體" w:eastAsia="標楷體" w:hAnsi="標楷體" w:hint="eastAsia"/>
          <w:bCs/>
          <w:sz w:val="32"/>
          <w:szCs w:val="32"/>
        </w:rPr>
        <w:t>竹科</w:t>
      </w:r>
      <w:r>
        <w:rPr>
          <w:rFonts w:ascii="標楷體" w:eastAsia="標楷體" w:hAnsi="標楷體" w:hint="eastAsia"/>
          <w:bCs/>
          <w:sz w:val="32"/>
          <w:szCs w:val="32"/>
        </w:rPr>
        <w:t>學</w:t>
      </w:r>
      <w:r w:rsidRPr="00B71E54">
        <w:rPr>
          <w:rFonts w:ascii="標楷體" w:eastAsia="標楷體" w:hAnsi="標楷體" w:hint="eastAsia"/>
          <w:bCs/>
          <w:sz w:val="32"/>
          <w:szCs w:val="32"/>
        </w:rPr>
        <w:t>園區111</w:t>
      </w:r>
      <w:r>
        <w:rPr>
          <w:rFonts w:ascii="標楷體" w:eastAsia="標楷體" w:hAnsi="標楷體" w:hint="eastAsia"/>
          <w:bCs/>
          <w:sz w:val="32"/>
          <w:szCs w:val="32"/>
        </w:rPr>
        <w:t>年</w:t>
      </w:r>
      <w:r w:rsidRPr="00B71E54">
        <w:rPr>
          <w:rFonts w:ascii="標楷體" w:eastAsia="標楷體" w:hAnsi="標楷體" w:hint="eastAsia"/>
          <w:bCs/>
          <w:sz w:val="32"/>
          <w:szCs w:val="32"/>
        </w:rPr>
        <w:t>用電負載量212.03萬KW、113年度為333.98萬KW，逐年增加為116</w:t>
      </w:r>
      <w:r>
        <w:rPr>
          <w:rFonts w:ascii="標楷體" w:eastAsia="標楷體" w:hAnsi="標楷體" w:hint="eastAsia"/>
          <w:bCs/>
          <w:sz w:val="32"/>
          <w:szCs w:val="32"/>
        </w:rPr>
        <w:t>年</w:t>
      </w:r>
      <w:r w:rsidRPr="00B71E54">
        <w:rPr>
          <w:rFonts w:ascii="標楷體" w:eastAsia="標楷體" w:hAnsi="標楷體" w:hint="eastAsia"/>
          <w:bCs/>
          <w:sz w:val="32"/>
          <w:szCs w:val="32"/>
        </w:rPr>
        <w:t>的用電負載量352.66萬KW，為</w:t>
      </w:r>
      <w:r>
        <w:rPr>
          <w:rFonts w:ascii="標楷體" w:eastAsia="標楷體" w:hAnsi="標楷體" w:hint="eastAsia"/>
          <w:bCs/>
          <w:sz w:val="32"/>
          <w:szCs w:val="32"/>
        </w:rPr>
        <w:t>3</w:t>
      </w:r>
      <w:r w:rsidRPr="00B71E54">
        <w:rPr>
          <w:rFonts w:ascii="標楷體" w:eastAsia="標楷體" w:hAnsi="標楷體" w:hint="eastAsia"/>
          <w:bCs/>
          <w:sz w:val="32"/>
          <w:szCs w:val="32"/>
        </w:rPr>
        <w:t>個園區預計用電負載量最高之園區；111至116</w:t>
      </w:r>
      <w:r>
        <w:rPr>
          <w:rFonts w:ascii="標楷體" w:eastAsia="標楷體" w:hAnsi="標楷體" w:hint="eastAsia"/>
          <w:bCs/>
          <w:sz w:val="32"/>
          <w:szCs w:val="32"/>
        </w:rPr>
        <w:t>年</w:t>
      </w:r>
      <w:r w:rsidRPr="00B71E54">
        <w:rPr>
          <w:rFonts w:ascii="標楷體" w:eastAsia="標楷體" w:hAnsi="標楷體" w:hint="eastAsia"/>
          <w:bCs/>
          <w:sz w:val="32"/>
          <w:szCs w:val="32"/>
        </w:rPr>
        <w:t>增幅達66.33%。竹科管理局統計至111年7月，園區太陽光電設備發電量僅有2.37%</w:t>
      </w:r>
      <w:r>
        <w:rPr>
          <w:rFonts w:ascii="標楷體" w:eastAsia="標楷體" w:hAnsi="標楷體" w:hint="eastAsia"/>
          <w:bCs/>
          <w:sz w:val="32"/>
          <w:szCs w:val="32"/>
        </w:rPr>
        <w:t>。</w:t>
      </w:r>
      <w:r w:rsidRPr="00B71E54">
        <w:rPr>
          <w:rFonts w:ascii="標楷體" w:eastAsia="標楷體" w:hAnsi="標楷體" w:hint="eastAsia"/>
          <w:bCs/>
          <w:sz w:val="32"/>
          <w:szCs w:val="32"/>
        </w:rPr>
        <w:t>國家科學及技術委員會新竹科學園區管理局允宜積極推廣園區用電使用再生能源，以逐步達到2050年淨零排放之目標，</w:t>
      </w:r>
      <w:r>
        <w:rPr>
          <w:rFonts w:ascii="標楷體" w:eastAsia="標楷體" w:hAnsi="標楷體" w:hint="eastAsia"/>
          <w:bCs/>
          <w:sz w:val="32"/>
          <w:szCs w:val="32"/>
        </w:rPr>
        <w:t>並</w:t>
      </w:r>
      <w:r w:rsidRPr="00B71E54">
        <w:rPr>
          <w:rFonts w:ascii="標楷體" w:eastAsia="標楷體" w:hAnsi="標楷體" w:hint="eastAsia"/>
          <w:bCs/>
          <w:sz w:val="32"/>
          <w:szCs w:val="32"/>
        </w:rPr>
        <w:t>於</w:t>
      </w:r>
      <w:r>
        <w:rPr>
          <w:rFonts w:ascii="標楷體" w:eastAsia="標楷體" w:hAnsi="標楷體" w:hint="eastAsia"/>
          <w:bCs/>
          <w:sz w:val="32"/>
          <w:szCs w:val="32"/>
        </w:rPr>
        <w:t>3</w:t>
      </w:r>
      <w:r w:rsidRPr="00B71E54">
        <w:rPr>
          <w:rFonts w:ascii="標楷體" w:eastAsia="標楷體" w:hAnsi="標楷體" w:hint="eastAsia"/>
          <w:bCs/>
          <w:sz w:val="32"/>
          <w:szCs w:val="32"/>
        </w:rPr>
        <w:t>個月內向立法院教育及文化委員會提出書面報告。</w:t>
      </w:r>
      <w:r>
        <w:rPr>
          <w:rFonts w:ascii="標楷體" w:eastAsia="標楷體" w:hAnsi="標楷體" w:hint="eastAsia"/>
          <w:bCs/>
          <w:sz w:val="32"/>
          <w:szCs w:val="32"/>
        </w:rPr>
        <w:t>166</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陳秀寳</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黃國書  張廖萬堅</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(五)</w:t>
      </w:r>
      <w:r w:rsidRPr="00B71E54">
        <w:rPr>
          <w:rFonts w:ascii="標楷體" w:eastAsia="標楷體" w:hAnsi="標楷體" w:hint="eastAsia"/>
          <w:bCs/>
          <w:sz w:val="32"/>
          <w:szCs w:val="32"/>
        </w:rPr>
        <w:t>審計部110年度中央政府總決算審核報告指出，國家科學及技術委員會新竹科學園區管理局於園區各階段發展區進行開發時，未就園區內之交通系統進行整體性規劃，開發計畫多以廠商興建廠房為主，僅保留零星用地供道路及其他公共設施使用，導致園區出現內部路幅狹小、聯接區外道路不足等交通困境。另查，107年</w:t>
      </w:r>
      <w:r>
        <w:rPr>
          <w:rFonts w:ascii="標楷體" w:eastAsia="標楷體" w:hAnsi="標楷體" w:hint="eastAsia"/>
          <w:bCs/>
          <w:sz w:val="32"/>
          <w:szCs w:val="32"/>
        </w:rPr>
        <w:t>「</w:t>
      </w:r>
      <w:r w:rsidRPr="00B01072">
        <w:rPr>
          <w:rFonts w:ascii="標楷體" w:eastAsia="標楷體" w:hAnsi="標楷體" w:hint="eastAsia"/>
          <w:bCs/>
          <w:sz w:val="32"/>
          <w:szCs w:val="32"/>
        </w:rPr>
        <w:t>新竹科學工業園區整體交通調查及改善方案規劃</w:t>
      </w:r>
      <w:r>
        <w:rPr>
          <w:rFonts w:ascii="標楷體" w:eastAsia="標楷體" w:hAnsi="標楷體" w:hint="eastAsia"/>
          <w:bCs/>
          <w:sz w:val="32"/>
          <w:szCs w:val="32"/>
        </w:rPr>
        <w:t>」</w:t>
      </w:r>
      <w:r w:rsidRPr="00B71E54">
        <w:rPr>
          <w:rFonts w:ascii="標楷體" w:eastAsia="標楷體" w:hAnsi="標楷體" w:hint="eastAsia"/>
          <w:bCs/>
          <w:sz w:val="32"/>
          <w:szCs w:val="32"/>
        </w:rPr>
        <w:t>報告書亦指出，竹科因廠商提供員工免費停車，以及地方政府編列補貼公車之預算不足造成大眾運輸不發達，使園區呈現「園區內部停車便利、公共運輸不發達、以使用私有運具為主(比率達95%)」之交通特性。而竹科管理局至今僅以調撥車道、交通號誌控管或鼓勵員工共乘、鼓勵調整上、下班彈性時間等方式因應，無法提出有效抑園區車流量之對策。</w:t>
      </w:r>
      <w:r>
        <w:rPr>
          <w:rFonts w:ascii="標楷體" w:eastAsia="標楷體" w:hAnsi="標楷體" w:hint="eastAsia"/>
          <w:bCs/>
          <w:sz w:val="32"/>
          <w:szCs w:val="32"/>
        </w:rPr>
        <w:t>又</w:t>
      </w:r>
      <w:r w:rsidRPr="00B71E54">
        <w:rPr>
          <w:rFonts w:ascii="標楷體" w:eastAsia="標楷體" w:hAnsi="標楷體" w:hint="eastAsia"/>
          <w:bCs/>
          <w:sz w:val="32"/>
          <w:szCs w:val="32"/>
        </w:rPr>
        <w:t>近來新竹科學園區辦理寶山用地擴建計畫及X基地籌設計畫，可預期完工後將迎來就業人口大量聚集，恐導致交通壅塞情況日益嚴重。國家科學及技術委員會新竹科學園區管理局應積極改善園區交通問題，並針對新擴建園區縝密規劃園區內、外大眾運輸系統，以抑制園區車流量之增加，減輕交通負荷量，</w:t>
      </w:r>
      <w:r>
        <w:rPr>
          <w:rFonts w:ascii="標楷體" w:eastAsia="標楷體" w:hAnsi="標楷體" w:hint="eastAsia"/>
          <w:bCs/>
          <w:sz w:val="32"/>
          <w:szCs w:val="32"/>
        </w:rPr>
        <w:t>並</w:t>
      </w:r>
      <w:r w:rsidRPr="00B71E54">
        <w:rPr>
          <w:rFonts w:ascii="標楷體" w:eastAsia="標楷體" w:hAnsi="標楷體" w:hint="eastAsia"/>
          <w:bCs/>
          <w:sz w:val="32"/>
          <w:szCs w:val="32"/>
        </w:rPr>
        <w:t>於</w:t>
      </w:r>
      <w:r>
        <w:rPr>
          <w:rFonts w:ascii="標楷體" w:eastAsia="標楷體" w:hAnsi="標楷體" w:hint="eastAsia"/>
          <w:bCs/>
          <w:sz w:val="32"/>
          <w:szCs w:val="32"/>
        </w:rPr>
        <w:t>3</w:t>
      </w:r>
      <w:r w:rsidRPr="00B71E54">
        <w:rPr>
          <w:rFonts w:ascii="標楷體" w:eastAsia="標楷體" w:hAnsi="標楷體" w:hint="eastAsia"/>
          <w:bCs/>
          <w:sz w:val="32"/>
          <w:szCs w:val="32"/>
        </w:rPr>
        <w:t>個月內向立法院教育及</w:t>
      </w:r>
      <w:r w:rsidRPr="00B71E54">
        <w:rPr>
          <w:rFonts w:ascii="標楷體" w:eastAsia="標楷體" w:hAnsi="標楷體" w:hint="eastAsia"/>
          <w:bCs/>
          <w:sz w:val="32"/>
          <w:szCs w:val="32"/>
        </w:rPr>
        <w:lastRenderedPageBreak/>
        <w:t>文化委員會提出書面報告。</w:t>
      </w:r>
      <w:r>
        <w:rPr>
          <w:rFonts w:ascii="標楷體" w:eastAsia="標楷體" w:hAnsi="標楷體" w:hint="eastAsia"/>
          <w:bCs/>
          <w:sz w:val="32"/>
          <w:szCs w:val="32"/>
        </w:rPr>
        <w:t>167</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黃國書</w:t>
      </w:r>
    </w:p>
    <w:p w:rsidR="00A52DD2"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陳秀寳  張廖萬堅</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(六)</w:t>
      </w:r>
      <w:r w:rsidRPr="00B71E54">
        <w:rPr>
          <w:rFonts w:ascii="標楷體" w:eastAsia="標楷體" w:hAnsi="標楷體" w:hint="eastAsia"/>
          <w:bCs/>
          <w:sz w:val="32"/>
          <w:szCs w:val="32"/>
        </w:rPr>
        <w:t>查新竹科學園區宜蘭園區自</w:t>
      </w:r>
      <w:r>
        <w:rPr>
          <w:rFonts w:ascii="標楷體" w:eastAsia="標楷體" w:hAnsi="標楷體" w:hint="eastAsia"/>
          <w:bCs/>
          <w:sz w:val="32"/>
          <w:szCs w:val="32"/>
        </w:rPr>
        <w:t>94</w:t>
      </w:r>
      <w:r w:rsidRPr="00B71E54">
        <w:rPr>
          <w:rFonts w:ascii="標楷體" w:eastAsia="標楷體" w:hAnsi="標楷體" w:hint="eastAsia"/>
          <w:bCs/>
          <w:sz w:val="32"/>
          <w:szCs w:val="32"/>
        </w:rPr>
        <w:t>年奉行政院核定籌設計畫，持續開發至今已投入85億餘元開發經費。惟依據國科會統計資料顯示，至</w:t>
      </w:r>
      <w:r>
        <w:rPr>
          <w:rFonts w:ascii="標楷體" w:eastAsia="標楷體" w:hAnsi="標楷體" w:hint="eastAsia"/>
          <w:bCs/>
          <w:sz w:val="32"/>
          <w:szCs w:val="32"/>
        </w:rPr>
        <w:t>111</w:t>
      </w:r>
      <w:r w:rsidRPr="00B71E54">
        <w:rPr>
          <w:rFonts w:ascii="標楷體" w:eastAsia="標楷體" w:hAnsi="標楷體" w:hint="eastAsia"/>
          <w:bCs/>
          <w:sz w:val="32"/>
          <w:szCs w:val="32"/>
        </w:rPr>
        <w:t>年10月止，竹科宜蘭園區土地使用情形已出租土地面積僅占可供出租土地面積之44.38%，相較竹科其他園區而言，招租成效仍有待持續加強。爰請國家科學及技術委員會新竹科學園區管理局就如何加強</w:t>
      </w:r>
      <w:r>
        <w:rPr>
          <w:rFonts w:ascii="標楷體" w:eastAsia="標楷體" w:hAnsi="標楷體" w:hint="eastAsia"/>
          <w:bCs/>
          <w:sz w:val="32"/>
          <w:szCs w:val="32"/>
        </w:rPr>
        <w:t>新</w:t>
      </w:r>
      <w:r w:rsidRPr="00B71E54">
        <w:rPr>
          <w:rFonts w:ascii="標楷體" w:eastAsia="標楷體" w:hAnsi="標楷體" w:hint="eastAsia"/>
          <w:bCs/>
          <w:sz w:val="32"/>
          <w:szCs w:val="32"/>
        </w:rPr>
        <w:t>竹科</w:t>
      </w:r>
      <w:r>
        <w:rPr>
          <w:rFonts w:ascii="標楷體" w:eastAsia="標楷體" w:hAnsi="標楷體" w:hint="eastAsia"/>
          <w:bCs/>
          <w:sz w:val="32"/>
          <w:szCs w:val="32"/>
        </w:rPr>
        <w:t>學園區</w:t>
      </w:r>
      <w:r w:rsidRPr="00B71E54">
        <w:rPr>
          <w:rFonts w:ascii="標楷體" w:eastAsia="標楷體" w:hAnsi="標楷體" w:hint="eastAsia"/>
          <w:bCs/>
          <w:sz w:val="32"/>
          <w:szCs w:val="32"/>
        </w:rPr>
        <w:t>宜蘭園區土地招租成效提出策進作為</w:t>
      </w:r>
      <w:r>
        <w:rPr>
          <w:rFonts w:ascii="標楷體" w:eastAsia="標楷體" w:hAnsi="標楷體" w:hint="eastAsia"/>
          <w:bCs/>
          <w:sz w:val="32"/>
          <w:szCs w:val="32"/>
        </w:rPr>
        <w:t>，及</w:t>
      </w:r>
      <w:r w:rsidRPr="00B71E54">
        <w:rPr>
          <w:rFonts w:ascii="標楷體" w:eastAsia="標楷體" w:hAnsi="標楷體" w:hint="eastAsia"/>
          <w:bCs/>
          <w:sz w:val="32"/>
          <w:szCs w:val="32"/>
        </w:rPr>
        <w:t>說明未來數年該園區預估可達成之土地出租率</w:t>
      </w:r>
      <w:r>
        <w:rPr>
          <w:rFonts w:ascii="標楷體" w:eastAsia="標楷體" w:hAnsi="標楷體" w:hint="eastAsia"/>
          <w:bCs/>
          <w:sz w:val="32"/>
          <w:szCs w:val="32"/>
        </w:rPr>
        <w:t>，並</w:t>
      </w:r>
      <w:r w:rsidRPr="00B71E54">
        <w:rPr>
          <w:rFonts w:ascii="標楷體" w:eastAsia="標楷體" w:hAnsi="標楷體" w:hint="eastAsia"/>
          <w:bCs/>
          <w:sz w:val="32"/>
          <w:szCs w:val="32"/>
        </w:rPr>
        <w:t>於</w:t>
      </w:r>
      <w:r>
        <w:rPr>
          <w:rFonts w:ascii="標楷體" w:eastAsia="標楷體" w:hAnsi="標楷體" w:hint="eastAsia"/>
          <w:bCs/>
          <w:sz w:val="32"/>
          <w:szCs w:val="32"/>
        </w:rPr>
        <w:t>3</w:t>
      </w:r>
      <w:r w:rsidRPr="00B71E54">
        <w:rPr>
          <w:rFonts w:ascii="標楷體" w:eastAsia="標楷體" w:hAnsi="標楷體" w:hint="eastAsia"/>
          <w:bCs/>
          <w:sz w:val="32"/>
          <w:szCs w:val="32"/>
        </w:rPr>
        <w:t>個月內向立法院教育及文化委員會</w:t>
      </w:r>
      <w:r>
        <w:rPr>
          <w:rFonts w:ascii="標楷體" w:eastAsia="標楷體" w:hAnsi="標楷體" w:hint="eastAsia"/>
          <w:bCs/>
          <w:sz w:val="32"/>
          <w:szCs w:val="32"/>
        </w:rPr>
        <w:t>之書面報告</w:t>
      </w:r>
      <w:r w:rsidRPr="00B71E54">
        <w:rPr>
          <w:rFonts w:ascii="標楷體" w:eastAsia="標楷體" w:hAnsi="標楷體" w:hint="eastAsia"/>
          <w:bCs/>
          <w:sz w:val="32"/>
          <w:szCs w:val="32"/>
        </w:rPr>
        <w:t>。</w:t>
      </w:r>
      <w:r>
        <w:rPr>
          <w:rFonts w:ascii="標楷體" w:eastAsia="標楷體" w:hAnsi="標楷體" w:hint="eastAsia"/>
          <w:bCs/>
          <w:sz w:val="32"/>
          <w:szCs w:val="32"/>
        </w:rPr>
        <w:t>168</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王婉諭</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陳秀寳  張廖萬堅</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(七)</w:t>
      </w:r>
      <w:r w:rsidRPr="00B71E54">
        <w:rPr>
          <w:rFonts w:ascii="標楷體" w:eastAsia="標楷體" w:hAnsi="標楷體" w:hint="eastAsia"/>
          <w:bCs/>
          <w:sz w:val="32"/>
          <w:szCs w:val="32"/>
        </w:rPr>
        <w:t>112年度國家科學及技術委員會新竹科學園區管理局「園區業務推展」項下</w:t>
      </w:r>
      <w:r w:rsidRPr="00195F7F">
        <w:rPr>
          <w:rFonts w:ascii="標楷體" w:eastAsia="標楷體" w:hAnsi="標楷體" w:hint="eastAsia"/>
          <w:bCs/>
          <w:sz w:val="32"/>
          <w:szCs w:val="32"/>
        </w:rPr>
        <w:t>「營建行政」</w:t>
      </w:r>
      <w:r>
        <w:rPr>
          <w:rFonts w:ascii="標楷體" w:eastAsia="標楷體" w:hAnsi="標楷體" w:hint="eastAsia"/>
          <w:bCs/>
          <w:sz w:val="32"/>
          <w:szCs w:val="32"/>
        </w:rPr>
        <w:t>計畫</w:t>
      </w:r>
      <w:r w:rsidRPr="00195F7F">
        <w:rPr>
          <w:rFonts w:ascii="標楷體" w:eastAsia="標楷體" w:hAnsi="標楷體" w:hint="eastAsia"/>
          <w:bCs/>
          <w:sz w:val="32"/>
          <w:szCs w:val="32"/>
        </w:rPr>
        <w:t>辦理園區用電計畫審查，以及電力供需之協調、安全輔導等相關事項。有鑑於減碳、推動再生能源的發展已成為全球趨勢，許多大型國際企業如蘋果即要求供應鏈在2050年達到100%再生能源的目標。而我國也在</w:t>
      </w:r>
      <w:r>
        <w:rPr>
          <w:rFonts w:ascii="標楷體" w:eastAsia="標楷體" w:hAnsi="標楷體" w:hint="eastAsia"/>
          <w:bCs/>
          <w:sz w:val="32"/>
          <w:szCs w:val="32"/>
        </w:rPr>
        <w:t>1</w:t>
      </w:r>
      <w:r>
        <w:rPr>
          <w:rFonts w:ascii="標楷體" w:eastAsia="標楷體" w:hAnsi="標楷體"/>
          <w:bCs/>
          <w:sz w:val="32"/>
          <w:szCs w:val="32"/>
        </w:rPr>
        <w:t>11</w:t>
      </w:r>
      <w:r w:rsidRPr="00195F7F">
        <w:rPr>
          <w:rFonts w:ascii="標楷體" w:eastAsia="標楷體" w:hAnsi="標楷體" w:hint="eastAsia"/>
          <w:bCs/>
          <w:sz w:val="32"/>
          <w:szCs w:val="32"/>
        </w:rPr>
        <w:t>年3月公布2050淨零排放路徑，以促進關鍵領域之技術、研究與創新，引導產業綠色轉型。經查，</w:t>
      </w:r>
      <w:r>
        <w:rPr>
          <w:rFonts w:ascii="標楷體" w:eastAsia="標楷體" w:hAnsi="標楷體" w:hint="eastAsia"/>
          <w:bCs/>
          <w:sz w:val="32"/>
          <w:szCs w:val="32"/>
        </w:rPr>
        <w:t>新</w:t>
      </w:r>
      <w:r w:rsidRPr="00195F7F">
        <w:rPr>
          <w:rFonts w:ascii="標楷體" w:eastAsia="標楷體" w:hAnsi="標楷體" w:hint="eastAsia"/>
          <w:bCs/>
          <w:sz w:val="32"/>
          <w:szCs w:val="32"/>
        </w:rPr>
        <w:t>竹科</w:t>
      </w:r>
      <w:r>
        <w:rPr>
          <w:rFonts w:ascii="標楷體" w:eastAsia="標楷體" w:hAnsi="標楷體" w:hint="eastAsia"/>
          <w:bCs/>
          <w:sz w:val="32"/>
          <w:szCs w:val="32"/>
        </w:rPr>
        <w:t>學園區</w:t>
      </w:r>
      <w:r w:rsidRPr="00195F7F">
        <w:rPr>
          <w:rFonts w:ascii="標楷體" w:eastAsia="標楷體" w:hAnsi="標楷體" w:hint="eastAsia"/>
          <w:bCs/>
          <w:sz w:val="32"/>
          <w:szCs w:val="32"/>
        </w:rPr>
        <w:t>111至116年用電負載量預計需求，將從111</w:t>
      </w:r>
      <w:r>
        <w:rPr>
          <w:rFonts w:ascii="標楷體" w:eastAsia="標楷體" w:hAnsi="標楷體" w:hint="eastAsia"/>
          <w:bCs/>
          <w:sz w:val="32"/>
          <w:szCs w:val="32"/>
        </w:rPr>
        <w:t>年</w:t>
      </w:r>
      <w:r w:rsidRPr="00195F7F">
        <w:rPr>
          <w:rFonts w:ascii="標楷體" w:eastAsia="標楷體" w:hAnsi="標楷體" w:hint="eastAsia"/>
          <w:bCs/>
          <w:sz w:val="32"/>
          <w:szCs w:val="32"/>
        </w:rPr>
        <w:t>之212.03萬KW，至116</w:t>
      </w:r>
      <w:r>
        <w:rPr>
          <w:rFonts w:ascii="標楷體" w:eastAsia="標楷體" w:hAnsi="標楷體" w:hint="eastAsia"/>
          <w:bCs/>
          <w:sz w:val="32"/>
          <w:szCs w:val="32"/>
        </w:rPr>
        <w:t>年</w:t>
      </w:r>
      <w:r w:rsidRPr="00195F7F">
        <w:rPr>
          <w:rFonts w:ascii="標楷體" w:eastAsia="標楷體" w:hAnsi="標楷體" w:hint="eastAsia"/>
          <w:bCs/>
          <w:sz w:val="32"/>
          <w:szCs w:val="32"/>
        </w:rPr>
        <w:t>將達352.66萬KW，未來用電需求明顯呈現逐年遞增的趨勢。而截至</w:t>
      </w:r>
      <w:r>
        <w:rPr>
          <w:rFonts w:ascii="標楷體" w:eastAsia="標楷體" w:hAnsi="標楷體" w:hint="eastAsia"/>
          <w:bCs/>
          <w:sz w:val="32"/>
          <w:szCs w:val="32"/>
        </w:rPr>
        <w:t>111</w:t>
      </w:r>
      <w:r w:rsidRPr="00195F7F">
        <w:rPr>
          <w:rFonts w:ascii="標楷體" w:eastAsia="標楷體" w:hAnsi="標楷體" w:hint="eastAsia"/>
          <w:bCs/>
          <w:sz w:val="32"/>
          <w:szCs w:val="32"/>
        </w:rPr>
        <w:t>年7月底，</w:t>
      </w:r>
      <w:r>
        <w:rPr>
          <w:rFonts w:ascii="標楷體" w:eastAsia="標楷體" w:hAnsi="標楷體" w:hint="eastAsia"/>
          <w:bCs/>
          <w:sz w:val="32"/>
          <w:szCs w:val="32"/>
        </w:rPr>
        <w:t>新</w:t>
      </w:r>
      <w:r w:rsidRPr="00195F7F">
        <w:rPr>
          <w:rFonts w:ascii="標楷體" w:eastAsia="標楷體" w:hAnsi="標楷體" w:hint="eastAsia"/>
          <w:bCs/>
          <w:sz w:val="32"/>
          <w:szCs w:val="32"/>
        </w:rPr>
        <w:t>竹科</w:t>
      </w:r>
      <w:r>
        <w:rPr>
          <w:rFonts w:ascii="標楷體" w:eastAsia="標楷體" w:hAnsi="標楷體" w:hint="eastAsia"/>
          <w:bCs/>
          <w:sz w:val="32"/>
          <w:szCs w:val="32"/>
        </w:rPr>
        <w:t>學園區</w:t>
      </w:r>
      <w:r w:rsidRPr="00195F7F">
        <w:rPr>
          <w:rFonts w:ascii="標楷體" w:eastAsia="標楷體" w:hAnsi="標楷體" w:hint="eastAsia"/>
          <w:bCs/>
          <w:sz w:val="32"/>
          <w:szCs w:val="32"/>
        </w:rPr>
        <w:t>太陽光電設備發電量僅</w:t>
      </w:r>
      <w:r>
        <w:rPr>
          <w:rFonts w:ascii="標楷體" w:eastAsia="標楷體" w:hAnsi="標楷體" w:hint="eastAsia"/>
          <w:bCs/>
          <w:sz w:val="32"/>
          <w:szCs w:val="32"/>
        </w:rPr>
        <w:t>占</w:t>
      </w:r>
      <w:r w:rsidRPr="00195F7F">
        <w:rPr>
          <w:rFonts w:ascii="標楷體" w:eastAsia="標楷體" w:hAnsi="標楷體" w:hint="eastAsia"/>
          <w:bCs/>
          <w:sz w:val="32"/>
          <w:szCs w:val="32"/>
        </w:rPr>
        <w:t>園區用電量之比重2.37%，占比十分有限。綜上，應審慎研擬有效誘因與配套措施，持續鼓勵、督促園區廠商設置太陽光電設備，以增加再生能源發電量，因應未來用電需求。爰請</w:t>
      </w:r>
      <w:r w:rsidRPr="00B71E54">
        <w:rPr>
          <w:rFonts w:ascii="標楷體" w:eastAsia="標楷體" w:hAnsi="標楷體" w:hint="eastAsia"/>
          <w:bCs/>
          <w:sz w:val="32"/>
          <w:szCs w:val="32"/>
        </w:rPr>
        <w:t>國家科學及技術委員會新竹科</w:t>
      </w:r>
      <w:r w:rsidRPr="00B71E54">
        <w:rPr>
          <w:rFonts w:ascii="標楷體" w:eastAsia="標楷體" w:hAnsi="標楷體" w:hint="eastAsia"/>
          <w:bCs/>
          <w:sz w:val="32"/>
          <w:szCs w:val="32"/>
        </w:rPr>
        <w:lastRenderedPageBreak/>
        <w:t>學園區管理局</w:t>
      </w:r>
      <w:r w:rsidRPr="00195F7F">
        <w:rPr>
          <w:rFonts w:ascii="標楷體" w:eastAsia="標楷體" w:hAnsi="標楷體" w:hint="eastAsia"/>
          <w:bCs/>
          <w:sz w:val="32"/>
          <w:szCs w:val="32"/>
        </w:rPr>
        <w:t>於</w:t>
      </w:r>
      <w:r>
        <w:rPr>
          <w:rFonts w:ascii="標楷體" w:eastAsia="標楷體" w:hAnsi="標楷體" w:hint="eastAsia"/>
          <w:bCs/>
          <w:sz w:val="32"/>
          <w:szCs w:val="32"/>
        </w:rPr>
        <w:t>3</w:t>
      </w:r>
      <w:r w:rsidRPr="00195F7F">
        <w:rPr>
          <w:rFonts w:ascii="標楷體" w:eastAsia="標楷體" w:hAnsi="標楷體" w:hint="eastAsia"/>
          <w:bCs/>
          <w:sz w:val="32"/>
          <w:szCs w:val="32"/>
        </w:rPr>
        <w:t>個月內就前述事由向立法院教育及文化委員會提出書面報告。</w:t>
      </w:r>
      <w:r>
        <w:rPr>
          <w:rFonts w:ascii="標楷體" w:eastAsia="標楷體" w:hAnsi="標楷體" w:hint="eastAsia"/>
          <w:bCs/>
          <w:sz w:val="32"/>
          <w:szCs w:val="32"/>
        </w:rPr>
        <w:t>173</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張廖萬堅</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黃國書  陳秀寳</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(八)</w:t>
      </w:r>
      <w:r w:rsidRPr="00195F7F">
        <w:rPr>
          <w:rFonts w:ascii="標楷體" w:eastAsia="標楷體" w:hAnsi="標楷體" w:hint="eastAsia"/>
          <w:bCs/>
          <w:sz w:val="32"/>
          <w:szCs w:val="32"/>
        </w:rPr>
        <w:t>經查112年度國家科學及技術委員會新竹科學園區管理局「園區業務推展」項下「地政及規劃」編列</w:t>
      </w:r>
      <w:r>
        <w:rPr>
          <w:rFonts w:ascii="標楷體" w:eastAsia="標楷體" w:hAnsi="標楷體" w:hint="eastAsia"/>
          <w:bCs/>
          <w:sz w:val="32"/>
          <w:szCs w:val="32"/>
        </w:rPr>
        <w:t>之</w:t>
      </w:r>
      <w:r w:rsidRPr="00195F7F">
        <w:rPr>
          <w:rFonts w:ascii="標楷體" w:eastAsia="標楷體" w:hAnsi="標楷體" w:hint="eastAsia"/>
          <w:bCs/>
          <w:sz w:val="32"/>
          <w:szCs w:val="32"/>
        </w:rPr>
        <w:t>預算包含辦理園區土地及房屋等不動產管理及園區都市計畫及土地使用規劃業務。惟根據審計部110年度中央政府總決算審核報告指出，竹科管理局於園區規劃時，未就整體交通系統做整體性之規劃，開發計畫多以廠商興建廠房為主，僅保留零星用地供道路及公共設施使用。導致園區內部路幅狹小，聯外道路不足，導致</w:t>
      </w:r>
      <w:r>
        <w:rPr>
          <w:rFonts w:ascii="標楷體" w:eastAsia="標楷體" w:hAnsi="標楷體" w:hint="eastAsia"/>
          <w:bCs/>
          <w:sz w:val="32"/>
          <w:szCs w:val="32"/>
        </w:rPr>
        <w:t>新</w:t>
      </w:r>
      <w:r w:rsidRPr="00195F7F">
        <w:rPr>
          <w:rFonts w:ascii="標楷體" w:eastAsia="標楷體" w:hAnsi="標楷體" w:hint="eastAsia"/>
          <w:bCs/>
          <w:sz w:val="32"/>
          <w:szCs w:val="32"/>
        </w:rPr>
        <w:t>竹科</w:t>
      </w:r>
      <w:r>
        <w:rPr>
          <w:rFonts w:ascii="標楷體" w:eastAsia="標楷體" w:hAnsi="標楷體" w:hint="eastAsia"/>
          <w:bCs/>
          <w:sz w:val="32"/>
          <w:szCs w:val="32"/>
        </w:rPr>
        <w:t>學</w:t>
      </w:r>
      <w:r w:rsidRPr="00195F7F">
        <w:rPr>
          <w:rFonts w:ascii="標楷體" w:eastAsia="標楷體" w:hAnsi="標楷體" w:hint="eastAsia"/>
          <w:bCs/>
          <w:sz w:val="32"/>
          <w:szCs w:val="32"/>
        </w:rPr>
        <w:t>園區附近時常交通壅塞。國家科學及技術委員會新竹科學園區管理局允宜檢討道路規劃，並縝密規劃大眾運輸系統，</w:t>
      </w:r>
      <w:r>
        <w:rPr>
          <w:rFonts w:ascii="標楷體" w:eastAsia="標楷體" w:hAnsi="標楷體" w:hint="eastAsia"/>
          <w:bCs/>
          <w:sz w:val="32"/>
          <w:szCs w:val="32"/>
        </w:rPr>
        <w:t>並</w:t>
      </w:r>
      <w:r w:rsidRPr="00195F7F">
        <w:rPr>
          <w:rFonts w:ascii="標楷體" w:eastAsia="標楷體" w:hAnsi="標楷體" w:hint="eastAsia"/>
          <w:bCs/>
          <w:sz w:val="32"/>
          <w:szCs w:val="32"/>
        </w:rPr>
        <w:t>於</w:t>
      </w:r>
      <w:r>
        <w:rPr>
          <w:rFonts w:ascii="標楷體" w:eastAsia="標楷體" w:hAnsi="標楷體" w:hint="eastAsia"/>
          <w:bCs/>
          <w:sz w:val="32"/>
          <w:szCs w:val="32"/>
        </w:rPr>
        <w:t>3</w:t>
      </w:r>
      <w:r w:rsidRPr="00195F7F">
        <w:rPr>
          <w:rFonts w:ascii="標楷體" w:eastAsia="標楷體" w:hAnsi="標楷體" w:hint="eastAsia"/>
          <w:bCs/>
          <w:sz w:val="32"/>
          <w:szCs w:val="32"/>
        </w:rPr>
        <w:t>個月內向立法院教育及文化委員會提出書面報告。</w:t>
      </w:r>
      <w:r>
        <w:rPr>
          <w:rFonts w:ascii="標楷體" w:eastAsia="標楷體" w:hAnsi="標楷體" w:hint="eastAsia"/>
          <w:bCs/>
          <w:sz w:val="32"/>
          <w:szCs w:val="32"/>
        </w:rPr>
        <w:t>174</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陳秀寳</w:t>
      </w:r>
    </w:p>
    <w:p w:rsidR="00A52DD2"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黃國書  張廖萬堅</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(九)</w:t>
      </w:r>
      <w:r w:rsidRPr="00195F7F">
        <w:rPr>
          <w:rFonts w:ascii="標楷體" w:eastAsia="標楷體" w:hAnsi="標楷體" w:hint="eastAsia"/>
          <w:bCs/>
          <w:sz w:val="32"/>
          <w:szCs w:val="32"/>
        </w:rPr>
        <w:t>112年度國家科學及技術委員會新竹科學園區管理局「園區業務推展」項下「地政及規劃」係辦理推動科學園區土地更新規劃發展事宜及提供園區廠商營運服務等業務。查新竹科</w:t>
      </w:r>
      <w:r>
        <w:rPr>
          <w:rFonts w:ascii="標楷體" w:eastAsia="標楷體" w:hAnsi="標楷體" w:hint="eastAsia"/>
          <w:bCs/>
          <w:sz w:val="32"/>
          <w:szCs w:val="32"/>
        </w:rPr>
        <w:t>學</w:t>
      </w:r>
      <w:r w:rsidRPr="00195F7F">
        <w:rPr>
          <w:rFonts w:ascii="標楷體" w:eastAsia="標楷體" w:hAnsi="標楷體" w:hint="eastAsia"/>
          <w:bCs/>
          <w:sz w:val="32"/>
          <w:szCs w:val="32"/>
        </w:rPr>
        <w:t>園區廠商進駐情形統計，106年有效核准廠商家數535家、已入區登記廠商家數492家，至111年8月底止，增加為有效核准廠商家數615家(14.9%)、已入區登記廠商家數562家(14.2%)，園區廠商進駐家數逐年成長，亦帶動用電需求提高。為配合國家溫室氣體行動方案，科學園區應制定逐年減碳規劃，並積極推動節能、創能、儲能之減碳措施，以達2050淨零碳排之目標。惟據統計，新竹科學園區之太陽光電設備發電量占園區用電量之比重僅2.37%，推動成效顯待提</w:t>
      </w:r>
      <w:r w:rsidRPr="00195F7F">
        <w:rPr>
          <w:rFonts w:ascii="標楷體" w:eastAsia="標楷體" w:hAnsi="標楷體" w:hint="eastAsia"/>
          <w:bCs/>
          <w:sz w:val="32"/>
          <w:szCs w:val="32"/>
        </w:rPr>
        <w:lastRenderedPageBreak/>
        <w:t>升。</w:t>
      </w:r>
      <w:r>
        <w:rPr>
          <w:rFonts w:ascii="標楷體" w:eastAsia="標楷體" w:hAnsi="標楷體" w:hint="eastAsia"/>
          <w:bCs/>
          <w:sz w:val="32"/>
          <w:szCs w:val="32"/>
        </w:rPr>
        <w:t>鑑</w:t>
      </w:r>
      <w:r w:rsidRPr="00195F7F">
        <w:rPr>
          <w:rFonts w:ascii="標楷體" w:eastAsia="標楷體" w:hAnsi="標楷體" w:hint="eastAsia"/>
          <w:bCs/>
          <w:sz w:val="32"/>
          <w:szCs w:val="32"/>
        </w:rPr>
        <w:t>於園區進駐之廠商多為高耗能之半導體產業，國家科學及技術委員會新竹科學園區管理局應提出設置再生能源之逐年目標，以因應未來用電需求</w:t>
      </w:r>
      <w:r>
        <w:rPr>
          <w:rFonts w:ascii="標楷體" w:eastAsia="標楷體" w:hAnsi="標楷體" w:hint="eastAsia"/>
          <w:bCs/>
          <w:sz w:val="32"/>
          <w:szCs w:val="32"/>
        </w:rPr>
        <w:t>，並</w:t>
      </w:r>
      <w:r w:rsidRPr="00195F7F">
        <w:rPr>
          <w:rFonts w:ascii="標楷體" w:eastAsia="標楷體" w:hAnsi="標楷體" w:hint="eastAsia"/>
          <w:bCs/>
          <w:sz w:val="32"/>
          <w:szCs w:val="32"/>
        </w:rPr>
        <w:t>於</w:t>
      </w:r>
      <w:r>
        <w:rPr>
          <w:rFonts w:ascii="標楷體" w:eastAsia="標楷體" w:hAnsi="標楷體" w:hint="eastAsia"/>
          <w:bCs/>
          <w:sz w:val="32"/>
          <w:szCs w:val="32"/>
        </w:rPr>
        <w:t>3</w:t>
      </w:r>
      <w:r w:rsidRPr="00195F7F">
        <w:rPr>
          <w:rFonts w:ascii="標楷體" w:eastAsia="標楷體" w:hAnsi="標楷體" w:hint="eastAsia"/>
          <w:bCs/>
          <w:sz w:val="32"/>
          <w:szCs w:val="32"/>
        </w:rPr>
        <w:t>個月內向立法院教育及文化委員會提出書面報告。</w:t>
      </w:r>
      <w:r>
        <w:rPr>
          <w:rFonts w:ascii="標楷體" w:eastAsia="標楷體" w:hAnsi="標楷體" w:hint="eastAsia"/>
          <w:bCs/>
          <w:sz w:val="32"/>
          <w:szCs w:val="32"/>
        </w:rPr>
        <w:t>175</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黃國書</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陳秀寳  張廖萬堅</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(十)</w:t>
      </w:r>
      <w:r w:rsidRPr="00B07E6B">
        <w:rPr>
          <w:rFonts w:ascii="標楷體" w:eastAsia="標楷體" w:hAnsi="標楷體" w:hint="eastAsia"/>
          <w:bCs/>
          <w:sz w:val="32"/>
          <w:szCs w:val="32"/>
        </w:rPr>
        <w:t>新竹科學園區交通壅塞情形長年為人詬病，查2018年</w:t>
      </w:r>
      <w:r>
        <w:rPr>
          <w:rFonts w:ascii="標楷體" w:eastAsia="標楷體" w:hAnsi="標楷體" w:hint="eastAsia"/>
          <w:bCs/>
          <w:sz w:val="32"/>
          <w:szCs w:val="32"/>
        </w:rPr>
        <w:t>「</w:t>
      </w:r>
      <w:r w:rsidRPr="00B07E6B">
        <w:rPr>
          <w:rFonts w:ascii="標楷體" w:eastAsia="標楷體" w:hAnsi="標楷體" w:hint="eastAsia"/>
          <w:bCs/>
          <w:sz w:val="32"/>
          <w:szCs w:val="32"/>
        </w:rPr>
        <w:t>新竹科學</w:t>
      </w:r>
      <w:r>
        <w:rPr>
          <w:rFonts w:ascii="標楷體" w:eastAsia="標楷體" w:hAnsi="標楷體" w:hint="eastAsia"/>
          <w:bCs/>
          <w:sz w:val="32"/>
          <w:szCs w:val="32"/>
        </w:rPr>
        <w:t>工業</w:t>
      </w:r>
      <w:r w:rsidRPr="00B07E6B">
        <w:rPr>
          <w:rFonts w:ascii="標楷體" w:eastAsia="標楷體" w:hAnsi="標楷體" w:hint="eastAsia"/>
          <w:bCs/>
          <w:sz w:val="32"/>
          <w:szCs w:val="32"/>
        </w:rPr>
        <w:t>園區整體交通調查及改善案規劃</w:t>
      </w:r>
      <w:r>
        <w:rPr>
          <w:rFonts w:ascii="標楷體" w:eastAsia="標楷體" w:hAnsi="標楷體" w:hint="eastAsia"/>
          <w:bCs/>
          <w:sz w:val="32"/>
          <w:szCs w:val="32"/>
        </w:rPr>
        <w:t>」</w:t>
      </w:r>
      <w:r w:rsidRPr="00B07E6B">
        <w:rPr>
          <w:rFonts w:ascii="標楷體" w:eastAsia="標楷體" w:hAnsi="標楷體" w:hint="eastAsia"/>
          <w:bCs/>
          <w:sz w:val="32"/>
          <w:szCs w:val="32"/>
        </w:rPr>
        <w:t>報告書所載，國家科學及技術委員會竹科管理局透過調撥車道、交通號誌控管、鼓勵員工共乘、鼓勵調整上下班彈性時間等方式，惟仍未能有效抑制園區車流量及改善交通壅塞情形。</w:t>
      </w:r>
      <w:r>
        <w:rPr>
          <w:rFonts w:ascii="標楷體" w:eastAsia="標楷體" w:hAnsi="標楷體" w:hint="eastAsia"/>
          <w:bCs/>
          <w:sz w:val="32"/>
          <w:szCs w:val="32"/>
        </w:rPr>
        <w:t>鑑</w:t>
      </w:r>
      <w:r w:rsidRPr="00B07E6B">
        <w:rPr>
          <w:rFonts w:ascii="標楷體" w:eastAsia="標楷體" w:hAnsi="標楷體" w:hint="eastAsia"/>
          <w:bCs/>
          <w:sz w:val="32"/>
          <w:szCs w:val="32"/>
        </w:rPr>
        <w:t>於竹科新竹園區周遭目前持續辦理包含寶山用地擴建計畫、寶山用地第2期擴建計畫、X基地籌設計畫等開發規劃，預計未來於該地區就業人口將持續增加，恐使尖峰時段塞車情形更加嚴重。爰請竹科管理局持續與地方政府、交通部、交通部高速公路局及園區廠商等單位研議改善計畫，另新設園區亦應審慎納入交通運輸規劃考量，以免交通壅塞情形持續惡化。請</w:t>
      </w:r>
      <w:r w:rsidRPr="00195F7F">
        <w:rPr>
          <w:rFonts w:ascii="標楷體" w:eastAsia="標楷體" w:hAnsi="標楷體" w:hint="eastAsia"/>
          <w:bCs/>
          <w:sz w:val="32"/>
          <w:szCs w:val="32"/>
        </w:rPr>
        <w:t>國家科學及技術委員會</w:t>
      </w:r>
      <w:r>
        <w:rPr>
          <w:rFonts w:ascii="標楷體" w:eastAsia="標楷體" w:hAnsi="標楷體" w:hint="eastAsia"/>
          <w:bCs/>
          <w:sz w:val="32"/>
          <w:szCs w:val="32"/>
        </w:rPr>
        <w:t>新</w:t>
      </w:r>
      <w:r w:rsidRPr="00B07E6B">
        <w:rPr>
          <w:rFonts w:ascii="標楷體" w:eastAsia="標楷體" w:hAnsi="標楷體" w:hint="eastAsia"/>
          <w:bCs/>
          <w:sz w:val="32"/>
          <w:szCs w:val="32"/>
        </w:rPr>
        <w:t>竹科</w:t>
      </w:r>
      <w:r>
        <w:rPr>
          <w:rFonts w:ascii="標楷體" w:eastAsia="標楷體" w:hAnsi="標楷體" w:hint="eastAsia"/>
          <w:bCs/>
          <w:sz w:val="32"/>
          <w:szCs w:val="32"/>
        </w:rPr>
        <w:t>學園區</w:t>
      </w:r>
      <w:r w:rsidRPr="00B07E6B">
        <w:rPr>
          <w:rFonts w:ascii="標楷體" w:eastAsia="標楷體" w:hAnsi="標楷體" w:hint="eastAsia"/>
          <w:bCs/>
          <w:sz w:val="32"/>
          <w:szCs w:val="32"/>
        </w:rPr>
        <w:t>管理局於</w:t>
      </w:r>
      <w:r>
        <w:rPr>
          <w:rFonts w:ascii="標楷體" w:eastAsia="標楷體" w:hAnsi="標楷體" w:hint="eastAsia"/>
          <w:bCs/>
          <w:sz w:val="32"/>
          <w:szCs w:val="32"/>
        </w:rPr>
        <w:t>6</w:t>
      </w:r>
      <w:r w:rsidRPr="00B07E6B">
        <w:rPr>
          <w:rFonts w:ascii="標楷體" w:eastAsia="標楷體" w:hAnsi="標楷體" w:hint="eastAsia"/>
          <w:bCs/>
          <w:sz w:val="32"/>
          <w:szCs w:val="32"/>
        </w:rPr>
        <w:t>個月內向立法院教育及文化委員會就新竹</w:t>
      </w:r>
      <w:r>
        <w:rPr>
          <w:rFonts w:ascii="標楷體" w:eastAsia="標楷體" w:hAnsi="標楷體" w:hint="eastAsia"/>
          <w:bCs/>
          <w:sz w:val="32"/>
          <w:szCs w:val="32"/>
        </w:rPr>
        <w:t>科學</w:t>
      </w:r>
      <w:r w:rsidRPr="00B07E6B">
        <w:rPr>
          <w:rFonts w:ascii="標楷體" w:eastAsia="標楷體" w:hAnsi="標楷體" w:hint="eastAsia"/>
          <w:bCs/>
          <w:sz w:val="32"/>
          <w:szCs w:val="32"/>
        </w:rPr>
        <w:t>園區周遭交通壅塞情形提出具體改善策進作為</w:t>
      </w:r>
      <w:r>
        <w:rPr>
          <w:rFonts w:ascii="標楷體" w:eastAsia="標楷體" w:hAnsi="標楷體" w:hint="eastAsia"/>
          <w:bCs/>
          <w:sz w:val="32"/>
          <w:szCs w:val="32"/>
        </w:rPr>
        <w:t>書面報告</w:t>
      </w:r>
      <w:r w:rsidRPr="00B07E6B">
        <w:rPr>
          <w:rFonts w:ascii="標楷體" w:eastAsia="標楷體" w:hAnsi="標楷體" w:hint="eastAsia"/>
          <w:bCs/>
          <w:sz w:val="32"/>
          <w:szCs w:val="32"/>
        </w:rPr>
        <w:t>。</w:t>
      </w:r>
      <w:r>
        <w:rPr>
          <w:rFonts w:ascii="標楷體" w:eastAsia="標楷體" w:hAnsi="標楷體" w:hint="eastAsia"/>
          <w:bCs/>
          <w:sz w:val="32"/>
          <w:szCs w:val="32"/>
        </w:rPr>
        <w:t>177</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王婉諭</w:t>
      </w:r>
    </w:p>
    <w:p w:rsidR="00A52DD2"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陳秀寳  張廖萬堅</w:t>
      </w:r>
    </w:p>
    <w:p w:rsidR="00A52DD2" w:rsidRPr="00E94241" w:rsidRDefault="00A52DD2" w:rsidP="00F035E0">
      <w:pPr>
        <w:snapToGrid w:val="0"/>
        <w:spacing w:beforeLines="50" w:before="180" w:line="460" w:lineRule="exact"/>
        <w:ind w:leftChars="100" w:left="1558" w:hangingChars="412" w:hanging="1318"/>
        <w:jc w:val="both"/>
        <w:rPr>
          <w:rFonts w:ascii="標楷體" w:eastAsia="標楷體" w:hAnsi="標楷體"/>
          <w:strike/>
          <w:snapToGrid w:val="0"/>
          <w:sz w:val="32"/>
          <w:szCs w:val="32"/>
        </w:rPr>
      </w:pPr>
      <w:r w:rsidRPr="00E94241">
        <w:rPr>
          <w:rFonts w:ascii="標楷體" w:eastAsia="標楷體" w:hAnsi="標楷體"/>
          <w:snapToGrid w:val="0"/>
          <w:sz w:val="32"/>
          <w:szCs w:val="32"/>
        </w:rPr>
        <w:t>第3項</w:t>
      </w:r>
      <w:r w:rsidRPr="00B01072">
        <w:rPr>
          <w:rFonts w:ascii="標楷體" w:eastAsia="標楷體" w:hAnsi="標楷體"/>
          <w:snapToGrid w:val="0"/>
          <w:sz w:val="32"/>
          <w:szCs w:val="32"/>
        </w:rPr>
        <w:t xml:space="preserve">　</w:t>
      </w:r>
      <w:r w:rsidRPr="003A7EBF">
        <w:rPr>
          <w:rFonts w:ascii="標楷體" w:eastAsia="標楷體" w:hAnsi="標楷體" w:hint="eastAsia"/>
          <w:snapToGrid w:val="0"/>
          <w:sz w:val="32"/>
          <w:szCs w:val="32"/>
        </w:rPr>
        <w:t>中部科學園區管理局</w:t>
      </w:r>
      <w:r>
        <w:rPr>
          <w:rFonts w:ascii="標楷體" w:eastAsia="標楷體" w:hAnsi="標楷體" w:hint="eastAsia"/>
          <w:snapToGrid w:val="0"/>
          <w:sz w:val="32"/>
          <w:szCs w:val="32"/>
        </w:rPr>
        <w:t>原列</w:t>
      </w:r>
      <w:r w:rsidRPr="003A7EBF">
        <w:rPr>
          <w:rFonts w:ascii="標楷體" w:eastAsia="標楷體" w:hAnsi="標楷體" w:hint="eastAsia"/>
          <w:snapToGrid w:val="0"/>
          <w:sz w:val="32"/>
          <w:szCs w:val="32"/>
        </w:rPr>
        <w:t>6億9,466萬2千元，除第2目「非營業特種基金」第1節「科學園區管理局作業基金」1億6,096萬2千元，暫照列，俟所屬非營業特種基金審議確定，再行調整外，其餘均照列。</w:t>
      </w:r>
    </w:p>
    <w:p w:rsidR="00A52DD2" w:rsidRPr="00E94241" w:rsidRDefault="00A52DD2" w:rsidP="00F035E0">
      <w:pPr>
        <w:snapToGrid w:val="0"/>
        <w:spacing w:beforeLines="50" w:before="180" w:line="460" w:lineRule="exact"/>
        <w:ind w:leftChars="100" w:left="1558" w:hangingChars="412" w:hanging="1318"/>
        <w:rPr>
          <w:rFonts w:ascii="標楷體" w:eastAsia="標楷體" w:hAnsi="標楷體"/>
          <w:snapToGrid w:val="0"/>
          <w:sz w:val="32"/>
          <w:szCs w:val="32"/>
        </w:rPr>
      </w:pPr>
      <w:r w:rsidRPr="00E94241">
        <w:rPr>
          <w:rFonts w:ascii="標楷體" w:eastAsia="標楷體" w:hAnsi="標楷體" w:hint="eastAsia"/>
          <w:snapToGrid w:val="0"/>
          <w:sz w:val="32"/>
          <w:szCs w:val="32"/>
        </w:rPr>
        <w:t>本項通過決議</w:t>
      </w:r>
      <w:r>
        <w:rPr>
          <w:rFonts w:ascii="標楷體" w:eastAsia="標楷體" w:hAnsi="標楷體" w:hint="eastAsia"/>
          <w:snapToGrid w:val="0"/>
          <w:sz w:val="32"/>
          <w:szCs w:val="32"/>
        </w:rPr>
        <w:t>8</w:t>
      </w:r>
      <w:r w:rsidRPr="00E94241">
        <w:rPr>
          <w:rFonts w:ascii="標楷體" w:eastAsia="標楷體" w:hAnsi="標楷體" w:hint="eastAsia"/>
          <w:snapToGrid w:val="0"/>
          <w:sz w:val="32"/>
          <w:szCs w:val="32"/>
        </w:rPr>
        <w:t>項：</w:t>
      </w:r>
    </w:p>
    <w:p w:rsidR="00A52DD2" w:rsidRDefault="00A52DD2" w:rsidP="00F035E0">
      <w:pPr>
        <w:overflowPunct w:val="0"/>
        <w:spacing w:line="500" w:lineRule="exact"/>
        <w:ind w:leftChars="150" w:left="1000" w:hangingChars="200" w:hanging="640"/>
        <w:jc w:val="both"/>
        <w:rPr>
          <w:rFonts w:ascii="標楷體" w:eastAsia="標楷體" w:hAnsi="標楷體"/>
          <w:bCs/>
          <w:sz w:val="32"/>
          <w:szCs w:val="32"/>
        </w:rPr>
      </w:pPr>
      <w:r w:rsidRPr="00E94241">
        <w:rPr>
          <w:rFonts w:ascii="標楷體" w:eastAsia="標楷體" w:hAnsi="標楷體" w:hint="eastAsia"/>
          <w:snapToGrid w:val="0"/>
          <w:sz w:val="32"/>
          <w:szCs w:val="32"/>
        </w:rPr>
        <w:t>(一)</w:t>
      </w:r>
      <w:r w:rsidRPr="00B07E6B">
        <w:rPr>
          <w:rFonts w:ascii="標楷體" w:eastAsia="標楷體" w:hAnsi="標楷體" w:hint="eastAsia"/>
          <w:snapToGrid w:val="0"/>
          <w:sz w:val="32"/>
          <w:szCs w:val="32"/>
        </w:rPr>
        <w:t>鑑於淨零排放、推動再生能源的發展已為全球趨勢，大型跨</w:t>
      </w:r>
      <w:r w:rsidRPr="00B07E6B">
        <w:rPr>
          <w:rFonts w:ascii="標楷體" w:eastAsia="標楷體" w:hAnsi="標楷體" w:hint="eastAsia"/>
          <w:snapToGrid w:val="0"/>
          <w:sz w:val="32"/>
          <w:szCs w:val="32"/>
        </w:rPr>
        <w:lastRenderedPageBreak/>
        <w:t>國企業皆要求其供應鏈需於2050年達到100%再生能源之目標，國家發展委員會亦於</w:t>
      </w:r>
      <w:r>
        <w:rPr>
          <w:rFonts w:ascii="標楷體" w:eastAsia="標楷體" w:hAnsi="標楷體" w:hint="eastAsia"/>
          <w:snapToGrid w:val="0"/>
          <w:sz w:val="32"/>
          <w:szCs w:val="32"/>
        </w:rPr>
        <w:t>111</w:t>
      </w:r>
      <w:r w:rsidRPr="00B07E6B">
        <w:rPr>
          <w:rFonts w:ascii="標楷體" w:eastAsia="標楷體" w:hAnsi="標楷體" w:hint="eastAsia"/>
          <w:snapToGrid w:val="0"/>
          <w:sz w:val="32"/>
          <w:szCs w:val="32"/>
        </w:rPr>
        <w:t>年3月公布臺灣2050淨零排放路徑，國家科學及技術委員會之施政目標亦扣合淨零科技領域，聚焦前瞻性或突破性之淨零科技研發，引導產業綠色轉型。經查中部科學園區111至116年之用電負載量預計需求，將從111</w:t>
      </w:r>
      <w:r>
        <w:rPr>
          <w:rFonts w:ascii="標楷體" w:eastAsia="標楷體" w:hAnsi="標楷體" w:hint="eastAsia"/>
          <w:snapToGrid w:val="0"/>
          <w:sz w:val="32"/>
          <w:szCs w:val="32"/>
        </w:rPr>
        <w:t>年</w:t>
      </w:r>
      <w:r w:rsidRPr="00B07E6B">
        <w:rPr>
          <w:rFonts w:ascii="標楷體" w:eastAsia="標楷體" w:hAnsi="標楷體" w:hint="eastAsia"/>
          <w:snapToGrid w:val="0"/>
          <w:sz w:val="32"/>
          <w:szCs w:val="32"/>
        </w:rPr>
        <w:t>之195.72萬KW，提升至116年之341.42萬KW，顯見未來用電需求呈現逐年遞增之趨勢，而據科學園區管理局統計截至</w:t>
      </w:r>
      <w:r>
        <w:rPr>
          <w:rFonts w:ascii="標楷體" w:eastAsia="標楷體" w:hAnsi="標楷體" w:hint="eastAsia"/>
          <w:snapToGrid w:val="0"/>
          <w:sz w:val="32"/>
          <w:szCs w:val="32"/>
        </w:rPr>
        <w:t>111</w:t>
      </w:r>
      <w:r w:rsidRPr="00B07E6B">
        <w:rPr>
          <w:rFonts w:ascii="標楷體" w:eastAsia="標楷體" w:hAnsi="標楷體" w:hint="eastAsia"/>
          <w:snapToGrid w:val="0"/>
          <w:sz w:val="32"/>
          <w:szCs w:val="32"/>
        </w:rPr>
        <w:t>年7月底，中部科學園區太陽光電設備發電量僅</w:t>
      </w:r>
      <w:r>
        <w:rPr>
          <w:rFonts w:ascii="標楷體" w:eastAsia="標楷體" w:hAnsi="標楷體" w:hint="eastAsia"/>
          <w:snapToGrid w:val="0"/>
          <w:sz w:val="32"/>
          <w:szCs w:val="32"/>
        </w:rPr>
        <w:t>占</w:t>
      </w:r>
      <w:r w:rsidRPr="00B07E6B">
        <w:rPr>
          <w:rFonts w:ascii="標楷體" w:eastAsia="標楷體" w:hAnsi="標楷體" w:hint="eastAsia"/>
          <w:snapToGrid w:val="0"/>
          <w:sz w:val="32"/>
          <w:szCs w:val="32"/>
        </w:rPr>
        <w:t>園區用電量之比重3.35%，占比十分有限，國家科學及技術委員會應儘速研擬有效誘因與配套措施，持續鼓勵園區廠商設置太陽光電設備，增加再生能源發電量。綜上所述，爰請國家科學及技術委員會中部科學園區管理局於</w:t>
      </w:r>
      <w:r>
        <w:rPr>
          <w:rFonts w:ascii="標楷體" w:eastAsia="標楷體" w:hAnsi="標楷體" w:hint="eastAsia"/>
          <w:snapToGrid w:val="0"/>
          <w:sz w:val="32"/>
          <w:szCs w:val="32"/>
        </w:rPr>
        <w:t>3</w:t>
      </w:r>
      <w:r w:rsidRPr="00B07E6B">
        <w:rPr>
          <w:rFonts w:ascii="標楷體" w:eastAsia="標楷體" w:hAnsi="標楷體" w:hint="eastAsia"/>
          <w:snapToGrid w:val="0"/>
          <w:sz w:val="32"/>
          <w:szCs w:val="32"/>
        </w:rPr>
        <w:t>個月內針對上述事由向立法院教育及文化委員會提出</w:t>
      </w:r>
      <w:r>
        <w:rPr>
          <w:rFonts w:ascii="標楷體" w:eastAsia="標楷體" w:hAnsi="標楷體" w:hint="eastAsia"/>
          <w:snapToGrid w:val="0"/>
          <w:sz w:val="32"/>
          <w:szCs w:val="32"/>
        </w:rPr>
        <w:t>改進作為</w:t>
      </w:r>
      <w:r w:rsidRPr="00B07E6B">
        <w:rPr>
          <w:rFonts w:ascii="標楷體" w:eastAsia="標楷體" w:hAnsi="標楷體" w:hint="eastAsia"/>
          <w:snapToGrid w:val="0"/>
          <w:sz w:val="32"/>
          <w:szCs w:val="32"/>
        </w:rPr>
        <w:t>書面報告。</w:t>
      </w:r>
      <w:r>
        <w:rPr>
          <w:rFonts w:ascii="標楷體" w:eastAsia="標楷體" w:hAnsi="標楷體" w:hint="eastAsia"/>
          <w:snapToGrid w:val="0"/>
          <w:sz w:val="32"/>
          <w:szCs w:val="32"/>
        </w:rPr>
        <w:t>183</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吳思瑤  黃國書</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林宜瑾  陳秀寳</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(二)</w:t>
      </w:r>
      <w:r w:rsidRPr="00B07E6B">
        <w:rPr>
          <w:rFonts w:ascii="標楷體" w:eastAsia="標楷體" w:hAnsi="標楷體" w:hint="eastAsia"/>
          <w:bCs/>
          <w:sz w:val="32"/>
          <w:szCs w:val="32"/>
        </w:rPr>
        <w:t>中部科學園區至111年7</w:t>
      </w:r>
      <w:r>
        <w:rPr>
          <w:rFonts w:ascii="標楷體" w:eastAsia="標楷體" w:hAnsi="標楷體" w:hint="eastAsia"/>
          <w:bCs/>
          <w:sz w:val="32"/>
          <w:szCs w:val="32"/>
        </w:rPr>
        <w:t>月底止，逾期未收回租金</w:t>
      </w:r>
      <w:r w:rsidRPr="00B07E6B">
        <w:rPr>
          <w:rFonts w:ascii="標楷體" w:eastAsia="標楷體" w:hAnsi="標楷體" w:hint="eastAsia"/>
          <w:bCs/>
          <w:sz w:val="32"/>
          <w:szCs w:val="32"/>
        </w:rPr>
        <w:t>為3</w:t>
      </w:r>
      <w:r>
        <w:rPr>
          <w:rFonts w:ascii="標楷體" w:eastAsia="標楷體" w:hAnsi="標楷體"/>
          <w:bCs/>
          <w:sz w:val="32"/>
          <w:szCs w:val="32"/>
        </w:rPr>
        <w:t>,</w:t>
      </w:r>
      <w:r w:rsidRPr="00B07E6B">
        <w:rPr>
          <w:rFonts w:ascii="標楷體" w:eastAsia="標楷體" w:hAnsi="標楷體" w:hint="eastAsia"/>
          <w:bCs/>
          <w:sz w:val="32"/>
          <w:szCs w:val="32"/>
        </w:rPr>
        <w:t>011萬1千元，其中，以逾期期間</w:t>
      </w:r>
      <w:r>
        <w:rPr>
          <w:rFonts w:ascii="標楷體" w:eastAsia="標楷體" w:hAnsi="標楷體" w:hint="eastAsia"/>
          <w:bCs/>
          <w:sz w:val="32"/>
          <w:szCs w:val="32"/>
        </w:rPr>
        <w:t>2至</w:t>
      </w:r>
      <w:r w:rsidRPr="00B07E6B">
        <w:rPr>
          <w:rFonts w:ascii="標楷體" w:eastAsia="標楷體" w:hAnsi="標楷體" w:hint="eastAsia"/>
          <w:bCs/>
          <w:sz w:val="32"/>
          <w:szCs w:val="32"/>
        </w:rPr>
        <w:t>4年之1</w:t>
      </w:r>
      <w:r>
        <w:rPr>
          <w:rFonts w:ascii="標楷體" w:eastAsia="標楷體" w:hAnsi="標楷體"/>
          <w:bCs/>
          <w:sz w:val="32"/>
          <w:szCs w:val="32"/>
        </w:rPr>
        <w:t>,</w:t>
      </w:r>
      <w:r w:rsidRPr="00B07E6B">
        <w:rPr>
          <w:rFonts w:ascii="標楷體" w:eastAsia="標楷體" w:hAnsi="標楷體" w:hint="eastAsia"/>
          <w:bCs/>
          <w:sz w:val="32"/>
          <w:szCs w:val="32"/>
        </w:rPr>
        <w:t>611萬6千元最高、6</w:t>
      </w:r>
      <w:r>
        <w:rPr>
          <w:rFonts w:ascii="標楷體" w:eastAsia="標楷體" w:hAnsi="標楷體" w:hint="eastAsia"/>
          <w:bCs/>
          <w:sz w:val="32"/>
          <w:szCs w:val="32"/>
        </w:rPr>
        <w:t>至</w:t>
      </w:r>
      <w:r w:rsidRPr="00B07E6B">
        <w:rPr>
          <w:rFonts w:ascii="標楷體" w:eastAsia="標楷體" w:hAnsi="標楷體" w:hint="eastAsia"/>
          <w:bCs/>
          <w:sz w:val="32"/>
          <w:szCs w:val="32"/>
        </w:rPr>
        <w:t>8年986萬3千元第二高。另外，中部科學園區應改善二林園區與中興園區出租率低，二林園區因環保議題爭訟多年，於107年5月通過二階環評，重啟開發，然而，近期受疫情及原物料高漲影響，部分廠商退租土地或放緩投資計畫，導致出租率持續低落。而中興園區因屬研發型園區，且環境影響說明書規定除文化創意產業外，不得製造量產，引進廠商之產業類別受限，致出租率亦未如預期，爰請</w:t>
      </w:r>
      <w:r>
        <w:rPr>
          <w:rFonts w:ascii="標楷體" w:eastAsia="標楷體" w:hAnsi="標楷體" w:hint="eastAsia"/>
          <w:bCs/>
          <w:sz w:val="32"/>
          <w:szCs w:val="32"/>
        </w:rPr>
        <w:t>國家科學及技術委員會中部科學園區管理局就如何改善逾期租金與促進招商</w:t>
      </w:r>
      <w:r w:rsidRPr="00B07E6B">
        <w:rPr>
          <w:rFonts w:ascii="標楷體" w:eastAsia="標楷體" w:hAnsi="標楷體" w:hint="eastAsia"/>
          <w:bCs/>
          <w:sz w:val="32"/>
          <w:szCs w:val="32"/>
        </w:rPr>
        <w:t>於</w:t>
      </w:r>
      <w:r>
        <w:rPr>
          <w:rFonts w:ascii="標楷體" w:eastAsia="標楷體" w:hAnsi="標楷體" w:hint="eastAsia"/>
          <w:bCs/>
          <w:sz w:val="32"/>
          <w:szCs w:val="32"/>
        </w:rPr>
        <w:t>3</w:t>
      </w:r>
      <w:r w:rsidRPr="00B07E6B">
        <w:rPr>
          <w:rFonts w:ascii="標楷體" w:eastAsia="標楷體" w:hAnsi="標楷體" w:hint="eastAsia"/>
          <w:bCs/>
          <w:sz w:val="32"/>
          <w:szCs w:val="32"/>
        </w:rPr>
        <w:t>個月內向立法院教育及文化委員會提出書面報告。</w:t>
      </w:r>
      <w:r>
        <w:rPr>
          <w:rFonts w:ascii="標楷體" w:eastAsia="標楷體" w:hAnsi="標楷體" w:hint="eastAsia"/>
          <w:bCs/>
          <w:sz w:val="32"/>
          <w:szCs w:val="32"/>
        </w:rPr>
        <w:t>184</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lastRenderedPageBreak/>
        <w:t>提案人：</w:t>
      </w:r>
      <w:r>
        <w:rPr>
          <w:rFonts w:ascii="標楷體" w:eastAsia="標楷體" w:hAnsi="標楷體" w:hint="eastAsia"/>
          <w:sz w:val="32"/>
          <w:szCs w:val="32"/>
        </w:rPr>
        <w:t>鄭正鈐</w:t>
      </w:r>
    </w:p>
    <w:p w:rsidR="00A52DD2"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林宜瑾  陳秀寳</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(三)</w:t>
      </w:r>
      <w:r w:rsidRPr="00B07E6B">
        <w:rPr>
          <w:rFonts w:ascii="標楷體" w:eastAsia="標楷體" w:hAnsi="標楷體" w:hint="eastAsia"/>
          <w:bCs/>
          <w:sz w:val="32"/>
          <w:szCs w:val="32"/>
        </w:rPr>
        <w:t>中</w:t>
      </w:r>
      <w:r>
        <w:rPr>
          <w:rFonts w:ascii="標楷體" w:eastAsia="標楷體" w:hAnsi="標楷體" w:hint="eastAsia"/>
          <w:bCs/>
          <w:sz w:val="32"/>
          <w:szCs w:val="32"/>
        </w:rPr>
        <w:t>部</w:t>
      </w:r>
      <w:r w:rsidRPr="00B07E6B">
        <w:rPr>
          <w:rFonts w:ascii="標楷體" w:eastAsia="標楷體" w:hAnsi="標楷體" w:hint="eastAsia"/>
          <w:bCs/>
          <w:sz w:val="32"/>
          <w:szCs w:val="32"/>
        </w:rPr>
        <w:t>科</w:t>
      </w:r>
      <w:r>
        <w:rPr>
          <w:rFonts w:ascii="標楷體" w:eastAsia="標楷體" w:hAnsi="標楷體" w:hint="eastAsia"/>
          <w:bCs/>
          <w:sz w:val="32"/>
          <w:szCs w:val="32"/>
        </w:rPr>
        <w:t>學</w:t>
      </w:r>
      <w:r w:rsidRPr="00B07E6B">
        <w:rPr>
          <w:rFonts w:ascii="標楷體" w:eastAsia="標楷體" w:hAnsi="標楷體" w:hint="eastAsia"/>
          <w:bCs/>
          <w:sz w:val="32"/>
          <w:szCs w:val="32"/>
        </w:rPr>
        <w:t>園區至111年7</w:t>
      </w:r>
      <w:r>
        <w:rPr>
          <w:rFonts w:ascii="標楷體" w:eastAsia="標楷體" w:hAnsi="標楷體" w:hint="eastAsia"/>
          <w:bCs/>
          <w:sz w:val="32"/>
          <w:szCs w:val="32"/>
        </w:rPr>
        <w:t>月底止，逾期未收回租金</w:t>
      </w:r>
      <w:r w:rsidRPr="00B07E6B">
        <w:rPr>
          <w:rFonts w:ascii="標楷體" w:eastAsia="標楷體" w:hAnsi="標楷體" w:hint="eastAsia"/>
          <w:bCs/>
          <w:sz w:val="32"/>
          <w:szCs w:val="32"/>
        </w:rPr>
        <w:t>為3</w:t>
      </w:r>
      <w:r>
        <w:rPr>
          <w:rFonts w:ascii="標楷體" w:eastAsia="標楷體" w:hAnsi="標楷體"/>
          <w:bCs/>
          <w:sz w:val="32"/>
          <w:szCs w:val="32"/>
        </w:rPr>
        <w:t>,</w:t>
      </w:r>
      <w:r w:rsidRPr="00B07E6B">
        <w:rPr>
          <w:rFonts w:ascii="標楷體" w:eastAsia="標楷體" w:hAnsi="標楷體" w:hint="eastAsia"/>
          <w:bCs/>
          <w:sz w:val="32"/>
          <w:szCs w:val="32"/>
        </w:rPr>
        <w:t>011萬1千元，其中，以逾期期間2</w:t>
      </w:r>
      <w:r>
        <w:rPr>
          <w:rFonts w:ascii="標楷體" w:eastAsia="標楷體" w:hAnsi="標楷體" w:hint="eastAsia"/>
          <w:bCs/>
          <w:sz w:val="32"/>
          <w:szCs w:val="32"/>
        </w:rPr>
        <w:t>至</w:t>
      </w:r>
      <w:r w:rsidRPr="00B07E6B">
        <w:rPr>
          <w:rFonts w:ascii="標楷體" w:eastAsia="標楷體" w:hAnsi="標楷體" w:hint="eastAsia"/>
          <w:bCs/>
          <w:sz w:val="32"/>
          <w:szCs w:val="32"/>
        </w:rPr>
        <w:t>4年之1</w:t>
      </w:r>
      <w:r>
        <w:rPr>
          <w:rFonts w:ascii="標楷體" w:eastAsia="標楷體" w:hAnsi="標楷體"/>
          <w:bCs/>
          <w:sz w:val="32"/>
          <w:szCs w:val="32"/>
        </w:rPr>
        <w:t>,</w:t>
      </w:r>
      <w:r w:rsidRPr="00B07E6B">
        <w:rPr>
          <w:rFonts w:ascii="標楷體" w:eastAsia="標楷體" w:hAnsi="標楷體" w:hint="eastAsia"/>
          <w:bCs/>
          <w:sz w:val="32"/>
          <w:szCs w:val="32"/>
        </w:rPr>
        <w:t>611萬6千元最高、6</w:t>
      </w:r>
      <w:r>
        <w:rPr>
          <w:rFonts w:ascii="標楷體" w:eastAsia="標楷體" w:hAnsi="標楷體" w:hint="eastAsia"/>
          <w:bCs/>
          <w:sz w:val="32"/>
          <w:szCs w:val="32"/>
        </w:rPr>
        <w:t>至</w:t>
      </w:r>
      <w:r w:rsidRPr="00B07E6B">
        <w:rPr>
          <w:rFonts w:ascii="標楷體" w:eastAsia="標楷體" w:hAnsi="標楷體" w:hint="eastAsia"/>
          <w:bCs/>
          <w:sz w:val="32"/>
          <w:szCs w:val="32"/>
        </w:rPr>
        <w:t>8年986萬3千元次之。另查，二林園區與中興園區之出租率低落，二林園區係因環保議題爭訟多年，雖於107年5月通過二階環評審查，重啟公共工程開發，惟近期受疫情及原物料高漲影響，部分廠商退租土地或放緩投資計畫，導致出租率持續低落。而中興園區因屬研發型園區，且環境影響說明書規定除文化創意產業外不得製造量產，引進廠商之產業類別受限，致出租率亦未如預期。</w:t>
      </w:r>
    </w:p>
    <w:tbl>
      <w:tblPr>
        <w:tblW w:w="8355" w:type="dxa"/>
        <w:jc w:val="righ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0" w:firstRow="0" w:lastRow="0" w:firstColumn="0" w:lastColumn="0" w:noHBand="0" w:noVBand="0"/>
      </w:tblPr>
      <w:tblGrid>
        <w:gridCol w:w="2056"/>
        <w:gridCol w:w="952"/>
        <w:gridCol w:w="2002"/>
        <w:gridCol w:w="1861"/>
        <w:gridCol w:w="1484"/>
      </w:tblGrid>
      <w:tr w:rsidR="00A52DD2" w:rsidRPr="00B07E6B" w:rsidTr="00F035E0">
        <w:trPr>
          <w:trHeight w:val="645"/>
          <w:tblHeader/>
          <w:jc w:val="right"/>
        </w:trPr>
        <w:tc>
          <w:tcPr>
            <w:tcW w:w="2056" w:type="dxa"/>
            <w:vAlign w:val="center"/>
          </w:tcPr>
          <w:p w:rsidR="00A52DD2" w:rsidRPr="00B07E6B" w:rsidRDefault="00A52DD2" w:rsidP="00115442">
            <w:pPr>
              <w:spacing w:line="240" w:lineRule="exact"/>
              <w:ind w:left="1440" w:hanging="480"/>
              <w:rPr>
                <w:rFonts w:ascii="標楷體" w:eastAsia="標楷體"/>
                <w:snapToGrid w:val="0"/>
                <w:color w:val="000000"/>
                <w:szCs w:val="28"/>
              </w:rPr>
            </w:pPr>
            <w:r w:rsidRPr="00B07E6B">
              <w:rPr>
                <w:rFonts w:ascii="標楷體" w:eastAsia="標楷體"/>
                <w:snapToGrid w:val="0"/>
                <w:color w:val="000000"/>
                <w:szCs w:val="28"/>
              </w:rPr>
              <w:t>園區別</w:t>
            </w:r>
          </w:p>
        </w:tc>
        <w:tc>
          <w:tcPr>
            <w:tcW w:w="952" w:type="dxa"/>
            <w:vAlign w:val="center"/>
          </w:tcPr>
          <w:p w:rsidR="00A52DD2" w:rsidRPr="00B07E6B" w:rsidRDefault="00A52DD2" w:rsidP="00115442">
            <w:pPr>
              <w:spacing w:line="240" w:lineRule="exact"/>
              <w:ind w:left="1440" w:hanging="480"/>
              <w:rPr>
                <w:rFonts w:ascii="標楷體" w:eastAsia="標楷體"/>
                <w:snapToGrid w:val="0"/>
                <w:color w:val="000000"/>
                <w:szCs w:val="28"/>
              </w:rPr>
            </w:pPr>
            <w:r w:rsidRPr="00B07E6B">
              <w:rPr>
                <w:rFonts w:ascii="標楷體" w:eastAsia="標楷體"/>
                <w:snapToGrid w:val="0"/>
                <w:color w:val="000000"/>
                <w:szCs w:val="28"/>
              </w:rPr>
              <w:t>總面積</w:t>
            </w:r>
          </w:p>
        </w:tc>
        <w:tc>
          <w:tcPr>
            <w:tcW w:w="2002" w:type="dxa"/>
            <w:vAlign w:val="center"/>
          </w:tcPr>
          <w:p w:rsidR="00A52DD2" w:rsidRPr="00B07E6B" w:rsidRDefault="00A52DD2" w:rsidP="00115442">
            <w:pPr>
              <w:spacing w:line="240" w:lineRule="exact"/>
              <w:ind w:leftChars="-53" w:left="19" w:rightChars="-33" w:right="-79" w:hangingChars="61" w:hanging="146"/>
              <w:rPr>
                <w:rFonts w:ascii="標楷體" w:eastAsia="標楷體"/>
                <w:snapToGrid w:val="0"/>
                <w:color w:val="000000"/>
                <w:szCs w:val="28"/>
              </w:rPr>
            </w:pPr>
            <w:r w:rsidRPr="00B07E6B">
              <w:rPr>
                <w:rFonts w:ascii="標楷體" w:eastAsia="標楷體"/>
                <w:snapToGrid w:val="0"/>
                <w:color w:val="000000"/>
                <w:szCs w:val="28"/>
              </w:rPr>
              <w:t>可供出租面積(A)</w:t>
            </w:r>
          </w:p>
        </w:tc>
        <w:tc>
          <w:tcPr>
            <w:tcW w:w="1861" w:type="dxa"/>
            <w:vAlign w:val="center"/>
          </w:tcPr>
          <w:p w:rsidR="00A52DD2" w:rsidRPr="00B07E6B" w:rsidRDefault="00A52DD2" w:rsidP="00115442">
            <w:pPr>
              <w:spacing w:line="240" w:lineRule="exact"/>
              <w:ind w:left="1440" w:hanging="1566"/>
              <w:rPr>
                <w:rFonts w:ascii="標楷體" w:eastAsia="標楷體"/>
                <w:snapToGrid w:val="0"/>
                <w:color w:val="000000"/>
                <w:szCs w:val="28"/>
              </w:rPr>
            </w:pPr>
            <w:r w:rsidRPr="00B07E6B">
              <w:rPr>
                <w:rFonts w:ascii="標楷體" w:eastAsia="標楷體"/>
                <w:snapToGrid w:val="0"/>
                <w:color w:val="000000"/>
                <w:szCs w:val="28"/>
              </w:rPr>
              <w:t>已出租面積(B)</w:t>
            </w:r>
          </w:p>
        </w:tc>
        <w:tc>
          <w:tcPr>
            <w:tcW w:w="1484" w:type="dxa"/>
            <w:vAlign w:val="center"/>
          </w:tcPr>
          <w:p w:rsidR="00A52DD2" w:rsidRPr="00B07E6B" w:rsidRDefault="00A52DD2" w:rsidP="00115442">
            <w:pPr>
              <w:spacing w:line="240" w:lineRule="exact"/>
              <w:ind w:leftChars="-41" w:left="17" w:rightChars="-91" w:right="-218" w:hangingChars="48" w:hanging="115"/>
              <w:rPr>
                <w:rFonts w:ascii="標楷體" w:eastAsia="標楷體"/>
                <w:snapToGrid w:val="0"/>
                <w:color w:val="000000"/>
                <w:szCs w:val="28"/>
              </w:rPr>
            </w:pPr>
            <w:r w:rsidRPr="00B07E6B">
              <w:rPr>
                <w:rFonts w:ascii="標楷體" w:eastAsia="標楷體"/>
                <w:snapToGrid w:val="0"/>
                <w:color w:val="000000"/>
                <w:szCs w:val="28"/>
              </w:rPr>
              <w:t>出租率(B/A)</w:t>
            </w:r>
          </w:p>
        </w:tc>
      </w:tr>
      <w:tr w:rsidR="00A52DD2" w:rsidRPr="00B07E6B" w:rsidTr="00115442">
        <w:trPr>
          <w:trHeight w:val="1065"/>
          <w:jc w:val="right"/>
        </w:trPr>
        <w:tc>
          <w:tcPr>
            <w:tcW w:w="2056" w:type="dxa"/>
            <w:vAlign w:val="center"/>
          </w:tcPr>
          <w:p w:rsidR="00A52DD2" w:rsidRPr="00B07E6B" w:rsidRDefault="00A52DD2" w:rsidP="00F035E0">
            <w:pPr>
              <w:spacing w:line="240" w:lineRule="exact"/>
              <w:ind w:left="1440" w:rightChars="-43" w:right="-103" w:hanging="1440"/>
              <w:jc w:val="center"/>
              <w:rPr>
                <w:rFonts w:ascii="標楷體" w:eastAsia="標楷體" w:hAnsi="標楷體" w:cs="標楷體"/>
                <w:snapToGrid w:val="0"/>
                <w:color w:val="000000"/>
                <w:szCs w:val="28"/>
              </w:rPr>
            </w:pPr>
            <w:r w:rsidRPr="00B07E6B">
              <w:rPr>
                <w:rFonts w:ascii="標楷體" w:eastAsia="標楷體" w:hAnsi="標楷體" w:cs="標楷體" w:hint="eastAsia"/>
                <w:snapToGrid w:val="0"/>
                <w:color w:val="000000"/>
                <w:szCs w:val="28"/>
              </w:rPr>
              <w:t>中</w:t>
            </w:r>
            <w:r w:rsidRPr="00B07E6B">
              <w:rPr>
                <w:rFonts w:ascii="標楷體" w:eastAsia="標楷體" w:hAnsi="標楷體" w:cs="標楷體"/>
                <w:snapToGrid w:val="0"/>
                <w:color w:val="000000"/>
                <w:szCs w:val="28"/>
              </w:rPr>
              <w:t>科</w:t>
            </w:r>
            <w:r w:rsidRPr="00B07E6B">
              <w:rPr>
                <w:rFonts w:ascii="標楷體" w:eastAsia="標楷體" w:hAnsi="標楷體" w:cs="標楷體" w:hint="eastAsia"/>
                <w:snapToGrid w:val="0"/>
                <w:color w:val="000000"/>
                <w:szCs w:val="28"/>
              </w:rPr>
              <w:t>二林園區</w:t>
            </w:r>
          </w:p>
        </w:tc>
        <w:tc>
          <w:tcPr>
            <w:tcW w:w="952" w:type="dxa"/>
            <w:vAlign w:val="center"/>
          </w:tcPr>
          <w:p w:rsidR="00A52DD2" w:rsidRPr="00B07E6B" w:rsidRDefault="00A52DD2" w:rsidP="00F035E0">
            <w:pPr>
              <w:spacing w:line="240" w:lineRule="exact"/>
              <w:ind w:left="1440" w:hanging="480"/>
              <w:jc w:val="center"/>
              <w:rPr>
                <w:rFonts w:ascii="標楷體" w:eastAsia="標楷體" w:hAnsi="標楷體" w:cs="標楷體"/>
                <w:snapToGrid w:val="0"/>
                <w:color w:val="000000"/>
                <w:szCs w:val="28"/>
              </w:rPr>
            </w:pPr>
            <w:r w:rsidRPr="00B07E6B">
              <w:rPr>
                <w:rFonts w:ascii="標楷體" w:eastAsia="標楷體" w:hAnsi="標楷體" w:cs="標楷體"/>
                <w:snapToGrid w:val="0"/>
                <w:color w:val="000000"/>
                <w:szCs w:val="28"/>
              </w:rPr>
              <w:t>631.</w:t>
            </w:r>
            <w:r w:rsidRPr="00B07E6B">
              <w:rPr>
                <w:rFonts w:ascii="標楷體" w:eastAsia="標楷體" w:hAnsi="標楷體" w:cs="標楷體" w:hint="eastAsia"/>
                <w:snapToGrid w:val="0"/>
                <w:color w:val="000000"/>
                <w:szCs w:val="28"/>
              </w:rPr>
              <w:t>04</w:t>
            </w:r>
          </w:p>
        </w:tc>
        <w:tc>
          <w:tcPr>
            <w:tcW w:w="2002" w:type="dxa"/>
            <w:vAlign w:val="center"/>
          </w:tcPr>
          <w:p w:rsidR="00A52DD2" w:rsidRPr="00B07E6B" w:rsidRDefault="00A52DD2" w:rsidP="00F035E0">
            <w:pPr>
              <w:spacing w:line="240" w:lineRule="exact"/>
              <w:ind w:left="1440" w:hanging="1551"/>
              <w:jc w:val="center"/>
              <w:rPr>
                <w:rFonts w:ascii="標楷體" w:eastAsia="標楷體" w:hAnsi="標楷體" w:cs="標楷體"/>
                <w:snapToGrid w:val="0"/>
                <w:color w:val="000000"/>
                <w:szCs w:val="28"/>
              </w:rPr>
            </w:pPr>
            <w:r w:rsidRPr="00B07E6B">
              <w:rPr>
                <w:rFonts w:ascii="標楷體" w:eastAsia="標楷體" w:hAnsi="標楷體" w:cs="標楷體"/>
                <w:snapToGrid w:val="0"/>
                <w:color w:val="000000"/>
                <w:szCs w:val="28"/>
              </w:rPr>
              <w:t>133.69</w:t>
            </w:r>
          </w:p>
        </w:tc>
        <w:tc>
          <w:tcPr>
            <w:tcW w:w="1861" w:type="dxa"/>
            <w:vAlign w:val="center"/>
          </w:tcPr>
          <w:p w:rsidR="00A52DD2" w:rsidRPr="00B07E6B" w:rsidRDefault="00A52DD2" w:rsidP="00F035E0">
            <w:pPr>
              <w:spacing w:line="240" w:lineRule="exact"/>
              <w:ind w:left="1440" w:hanging="1440"/>
              <w:jc w:val="center"/>
              <w:rPr>
                <w:rFonts w:ascii="標楷體" w:eastAsia="標楷體" w:hAnsi="標楷體" w:cs="標楷體"/>
                <w:snapToGrid w:val="0"/>
                <w:color w:val="000000"/>
                <w:szCs w:val="28"/>
              </w:rPr>
            </w:pPr>
            <w:r w:rsidRPr="00B07E6B">
              <w:rPr>
                <w:rFonts w:ascii="標楷體" w:eastAsia="標楷體" w:hAnsi="標楷體" w:cs="標楷體"/>
                <w:snapToGrid w:val="0"/>
                <w:color w:val="000000"/>
                <w:szCs w:val="28"/>
              </w:rPr>
              <w:t>44.73</w:t>
            </w:r>
          </w:p>
        </w:tc>
        <w:tc>
          <w:tcPr>
            <w:tcW w:w="1484" w:type="dxa"/>
            <w:vAlign w:val="center"/>
          </w:tcPr>
          <w:p w:rsidR="00A52DD2" w:rsidRPr="00B07E6B" w:rsidRDefault="00A52DD2" w:rsidP="00F035E0">
            <w:pPr>
              <w:tabs>
                <w:tab w:val="left" w:pos="981"/>
              </w:tabs>
              <w:spacing w:line="240" w:lineRule="exact"/>
              <w:jc w:val="center"/>
              <w:rPr>
                <w:rFonts w:ascii="標楷體" w:eastAsia="標楷體" w:hAnsi="標楷體" w:cs="標楷體"/>
                <w:snapToGrid w:val="0"/>
                <w:color w:val="000000"/>
                <w:szCs w:val="28"/>
              </w:rPr>
            </w:pPr>
            <w:r w:rsidRPr="00B07E6B">
              <w:rPr>
                <w:rFonts w:ascii="標楷體" w:eastAsia="標楷體" w:hAnsi="標楷體" w:cs="標楷體" w:hint="eastAsia"/>
                <w:snapToGrid w:val="0"/>
                <w:color w:val="000000"/>
                <w:szCs w:val="28"/>
              </w:rPr>
              <w:t>33</w:t>
            </w:r>
          </w:p>
        </w:tc>
      </w:tr>
      <w:tr w:rsidR="00A52DD2" w:rsidRPr="00B07E6B" w:rsidTr="00F035E0">
        <w:trPr>
          <w:trHeight w:val="55"/>
          <w:jc w:val="right"/>
        </w:trPr>
        <w:tc>
          <w:tcPr>
            <w:tcW w:w="2056" w:type="dxa"/>
            <w:vAlign w:val="center"/>
          </w:tcPr>
          <w:p w:rsidR="00A52DD2" w:rsidRPr="00B07E6B" w:rsidRDefault="00A52DD2" w:rsidP="00F035E0">
            <w:pPr>
              <w:spacing w:line="240" w:lineRule="exact"/>
              <w:ind w:left="1440" w:rightChars="-43" w:right="-103" w:hanging="1379"/>
              <w:jc w:val="center"/>
              <w:rPr>
                <w:rFonts w:ascii="標楷體" w:eastAsia="標楷體" w:hAnsi="標楷體" w:cs="標楷體"/>
                <w:snapToGrid w:val="0"/>
                <w:color w:val="000000"/>
                <w:szCs w:val="28"/>
              </w:rPr>
            </w:pPr>
            <w:r w:rsidRPr="00B07E6B">
              <w:rPr>
                <w:rFonts w:ascii="標楷體" w:eastAsia="標楷體" w:hAnsi="標楷體" w:cs="標楷體" w:hint="eastAsia"/>
                <w:snapToGrid w:val="0"/>
                <w:color w:val="000000"/>
                <w:szCs w:val="28"/>
              </w:rPr>
              <w:t>中科中興園區</w:t>
            </w:r>
          </w:p>
        </w:tc>
        <w:tc>
          <w:tcPr>
            <w:tcW w:w="952" w:type="dxa"/>
            <w:vAlign w:val="center"/>
          </w:tcPr>
          <w:p w:rsidR="00A52DD2" w:rsidRPr="00B07E6B" w:rsidRDefault="00A52DD2" w:rsidP="00F035E0">
            <w:pPr>
              <w:spacing w:line="240" w:lineRule="exact"/>
              <w:ind w:left="1440" w:hanging="480"/>
              <w:jc w:val="center"/>
              <w:rPr>
                <w:rFonts w:ascii="標楷體" w:eastAsia="標楷體" w:hAnsi="標楷體" w:cs="標楷體"/>
                <w:snapToGrid w:val="0"/>
                <w:color w:val="000000"/>
                <w:szCs w:val="28"/>
              </w:rPr>
            </w:pPr>
            <w:r w:rsidRPr="00B07E6B">
              <w:rPr>
                <w:rFonts w:ascii="標楷體" w:eastAsia="標楷體" w:hAnsi="標楷體" w:cs="標楷體" w:hint="eastAsia"/>
                <w:snapToGrid w:val="0"/>
                <w:color w:val="000000"/>
                <w:szCs w:val="28"/>
              </w:rPr>
              <w:t>3</w:t>
            </w:r>
            <w:r w:rsidRPr="00B07E6B">
              <w:rPr>
                <w:rFonts w:ascii="標楷體" w:eastAsia="標楷體" w:hAnsi="標楷體" w:cs="標楷體"/>
                <w:snapToGrid w:val="0"/>
                <w:color w:val="000000"/>
                <w:szCs w:val="28"/>
              </w:rPr>
              <w:t>6.58</w:t>
            </w:r>
          </w:p>
        </w:tc>
        <w:tc>
          <w:tcPr>
            <w:tcW w:w="2002" w:type="dxa"/>
            <w:vAlign w:val="center"/>
          </w:tcPr>
          <w:p w:rsidR="00A52DD2" w:rsidRPr="00B07E6B" w:rsidRDefault="00A52DD2" w:rsidP="00F035E0">
            <w:pPr>
              <w:spacing w:line="240" w:lineRule="exact"/>
              <w:ind w:left="1440" w:hanging="1551"/>
              <w:jc w:val="center"/>
              <w:rPr>
                <w:rFonts w:ascii="標楷體" w:eastAsia="標楷體" w:hAnsi="標楷體" w:cs="標楷體"/>
                <w:snapToGrid w:val="0"/>
                <w:color w:val="000000"/>
                <w:szCs w:val="28"/>
              </w:rPr>
            </w:pPr>
            <w:r w:rsidRPr="00B07E6B">
              <w:rPr>
                <w:rFonts w:ascii="標楷體" w:eastAsia="標楷體" w:hAnsi="標楷體" w:cs="標楷體" w:hint="eastAsia"/>
                <w:snapToGrid w:val="0"/>
                <w:color w:val="000000"/>
                <w:szCs w:val="28"/>
              </w:rPr>
              <w:t>1</w:t>
            </w:r>
            <w:r w:rsidRPr="00B07E6B">
              <w:rPr>
                <w:rFonts w:ascii="標楷體" w:eastAsia="標楷體" w:hAnsi="標楷體" w:cs="標楷體"/>
                <w:snapToGrid w:val="0"/>
                <w:color w:val="000000"/>
                <w:szCs w:val="28"/>
              </w:rPr>
              <w:t>7.98</w:t>
            </w:r>
          </w:p>
        </w:tc>
        <w:tc>
          <w:tcPr>
            <w:tcW w:w="1861" w:type="dxa"/>
            <w:vAlign w:val="center"/>
          </w:tcPr>
          <w:p w:rsidR="00A52DD2" w:rsidRPr="00B07E6B" w:rsidRDefault="00A52DD2" w:rsidP="00F035E0">
            <w:pPr>
              <w:spacing w:line="240" w:lineRule="exact"/>
              <w:ind w:left="1440" w:hanging="1440"/>
              <w:jc w:val="center"/>
              <w:rPr>
                <w:rFonts w:ascii="標楷體" w:eastAsia="標楷體" w:hAnsi="標楷體" w:cs="標楷體"/>
                <w:snapToGrid w:val="0"/>
                <w:color w:val="000000"/>
                <w:szCs w:val="28"/>
              </w:rPr>
            </w:pPr>
            <w:r w:rsidRPr="00B07E6B">
              <w:rPr>
                <w:rFonts w:ascii="標楷體" w:eastAsia="標楷體" w:hAnsi="標楷體" w:cs="標楷體" w:hint="eastAsia"/>
                <w:snapToGrid w:val="0"/>
                <w:color w:val="000000"/>
                <w:szCs w:val="28"/>
              </w:rPr>
              <w:t>9</w:t>
            </w:r>
          </w:p>
        </w:tc>
        <w:tc>
          <w:tcPr>
            <w:tcW w:w="1484" w:type="dxa"/>
            <w:vAlign w:val="center"/>
          </w:tcPr>
          <w:p w:rsidR="00A52DD2" w:rsidRPr="00B07E6B" w:rsidRDefault="00A52DD2" w:rsidP="00F035E0">
            <w:pPr>
              <w:spacing w:line="240" w:lineRule="exact"/>
              <w:jc w:val="center"/>
              <w:rPr>
                <w:rFonts w:ascii="標楷體" w:eastAsia="標楷體" w:hAnsi="標楷體" w:cs="標楷體"/>
                <w:snapToGrid w:val="0"/>
                <w:color w:val="000000"/>
                <w:szCs w:val="28"/>
              </w:rPr>
            </w:pPr>
            <w:r w:rsidRPr="00B07E6B">
              <w:rPr>
                <w:rFonts w:ascii="標楷體" w:eastAsia="標楷體" w:hAnsi="標楷體" w:cs="標楷體" w:hint="eastAsia"/>
                <w:snapToGrid w:val="0"/>
                <w:color w:val="000000"/>
                <w:szCs w:val="28"/>
              </w:rPr>
              <w:t>50</w:t>
            </w:r>
          </w:p>
        </w:tc>
      </w:tr>
    </w:tbl>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 xml:space="preserve">         國家科學及技術委員會</w:t>
      </w:r>
      <w:r w:rsidRPr="00B07E6B">
        <w:rPr>
          <w:rFonts w:ascii="標楷體" w:eastAsia="標楷體" w:hAnsi="標楷體" w:hint="eastAsia"/>
          <w:bCs/>
          <w:sz w:val="32"/>
          <w:szCs w:val="32"/>
        </w:rPr>
        <w:t>中部科學園區管理局應改善二林園區與中興園區之招商情形</w:t>
      </w:r>
      <w:r>
        <w:rPr>
          <w:rFonts w:ascii="標楷體" w:eastAsia="標楷體" w:hAnsi="標楷體" w:hint="eastAsia"/>
          <w:bCs/>
          <w:sz w:val="32"/>
          <w:szCs w:val="32"/>
        </w:rPr>
        <w:t>及</w:t>
      </w:r>
      <w:r w:rsidRPr="00B07E6B">
        <w:rPr>
          <w:rFonts w:ascii="標楷體" w:eastAsia="標楷體" w:hAnsi="標楷體" w:hint="eastAsia"/>
          <w:bCs/>
          <w:sz w:val="32"/>
          <w:szCs w:val="32"/>
        </w:rPr>
        <w:t>積極催收逾期未收回租金，以維護園區權益</w:t>
      </w:r>
      <w:r>
        <w:rPr>
          <w:rFonts w:ascii="標楷體" w:eastAsia="標楷體" w:hAnsi="標楷體" w:hint="eastAsia"/>
          <w:bCs/>
          <w:sz w:val="32"/>
          <w:szCs w:val="32"/>
        </w:rPr>
        <w:t>，並</w:t>
      </w:r>
      <w:r w:rsidRPr="00B07E6B">
        <w:rPr>
          <w:rFonts w:ascii="標楷體" w:eastAsia="標楷體" w:hAnsi="標楷體" w:hint="eastAsia"/>
          <w:bCs/>
          <w:sz w:val="32"/>
          <w:szCs w:val="32"/>
        </w:rPr>
        <w:t>於</w:t>
      </w:r>
      <w:r>
        <w:rPr>
          <w:rFonts w:ascii="標楷體" w:eastAsia="標楷體" w:hAnsi="標楷體" w:hint="eastAsia"/>
          <w:bCs/>
          <w:sz w:val="32"/>
          <w:szCs w:val="32"/>
        </w:rPr>
        <w:t>3</w:t>
      </w:r>
      <w:r w:rsidRPr="00B07E6B">
        <w:rPr>
          <w:rFonts w:ascii="標楷體" w:eastAsia="標楷體" w:hAnsi="標楷體" w:hint="eastAsia"/>
          <w:bCs/>
          <w:sz w:val="32"/>
          <w:szCs w:val="32"/>
        </w:rPr>
        <w:t>個月內向立法院教育及文化委員會提出書面報告。</w:t>
      </w:r>
      <w:r>
        <w:rPr>
          <w:rFonts w:ascii="標楷體" w:eastAsia="標楷體" w:hAnsi="標楷體" w:hint="eastAsia"/>
          <w:bCs/>
          <w:sz w:val="32"/>
          <w:szCs w:val="32"/>
        </w:rPr>
        <w:t>185</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黃國書</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陳秀寳  張廖萬堅</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(四)</w:t>
      </w:r>
      <w:r w:rsidRPr="00B07E6B">
        <w:rPr>
          <w:rFonts w:ascii="標楷體" w:eastAsia="標楷體" w:hAnsi="標楷體" w:hint="eastAsia"/>
          <w:bCs/>
          <w:sz w:val="32"/>
          <w:szCs w:val="32"/>
        </w:rPr>
        <w:t>經查112年度</w:t>
      </w:r>
      <w:r w:rsidRPr="00345B32">
        <w:rPr>
          <w:rFonts w:ascii="標楷體" w:eastAsia="標楷體" w:hAnsi="標楷體" w:hint="eastAsia"/>
          <w:bCs/>
          <w:sz w:val="32"/>
          <w:szCs w:val="32"/>
        </w:rPr>
        <w:t>國家科學及技術委員會中部科學園區管理局</w:t>
      </w:r>
      <w:r>
        <w:rPr>
          <w:rFonts w:ascii="標楷體" w:eastAsia="標楷體" w:hAnsi="標楷體" w:hint="eastAsia"/>
          <w:bCs/>
          <w:sz w:val="32"/>
          <w:szCs w:val="32"/>
        </w:rPr>
        <w:t>「園區業務推展」項下</w:t>
      </w:r>
      <w:r w:rsidRPr="00B07E6B">
        <w:rPr>
          <w:rFonts w:ascii="標楷體" w:eastAsia="標楷體" w:hAnsi="標楷體" w:hint="eastAsia"/>
          <w:bCs/>
          <w:sz w:val="32"/>
          <w:szCs w:val="32"/>
        </w:rPr>
        <w:t>「投資推廣」編列</w:t>
      </w:r>
      <w:r>
        <w:rPr>
          <w:rFonts w:ascii="標楷體" w:eastAsia="標楷體" w:hAnsi="標楷體" w:hint="eastAsia"/>
          <w:bCs/>
          <w:sz w:val="32"/>
          <w:szCs w:val="32"/>
        </w:rPr>
        <w:t>之</w:t>
      </w:r>
      <w:r w:rsidRPr="00B07E6B">
        <w:rPr>
          <w:rFonts w:ascii="標楷體" w:eastAsia="標楷體" w:hAnsi="標楷體" w:hint="eastAsia"/>
          <w:bCs/>
          <w:sz w:val="32"/>
          <w:szCs w:val="32"/>
        </w:rPr>
        <w:t>預算包含辦理園區吸引高科技產業進駐，帶動中部地區產業轉型與升級之相關事項。根據國科會統計，中</w:t>
      </w:r>
      <w:r>
        <w:rPr>
          <w:rFonts w:ascii="標楷體" w:eastAsia="標楷體" w:hAnsi="標楷體" w:hint="eastAsia"/>
          <w:bCs/>
          <w:sz w:val="32"/>
          <w:szCs w:val="32"/>
        </w:rPr>
        <w:t>部</w:t>
      </w:r>
      <w:r w:rsidRPr="00B07E6B">
        <w:rPr>
          <w:rFonts w:ascii="標楷體" w:eastAsia="標楷體" w:hAnsi="標楷體" w:hint="eastAsia"/>
          <w:bCs/>
          <w:sz w:val="32"/>
          <w:szCs w:val="32"/>
        </w:rPr>
        <w:t>科</w:t>
      </w:r>
      <w:r>
        <w:rPr>
          <w:rFonts w:ascii="標楷體" w:eastAsia="標楷體" w:hAnsi="標楷體" w:hint="eastAsia"/>
          <w:bCs/>
          <w:sz w:val="32"/>
          <w:szCs w:val="32"/>
        </w:rPr>
        <w:t>學</w:t>
      </w:r>
      <w:r w:rsidRPr="00B07E6B">
        <w:rPr>
          <w:rFonts w:ascii="標楷體" w:eastAsia="標楷體" w:hAnsi="標楷體" w:hint="eastAsia"/>
          <w:bCs/>
          <w:sz w:val="32"/>
          <w:szCs w:val="32"/>
        </w:rPr>
        <w:t>園區至111年8月底，有</w:t>
      </w:r>
      <w:r w:rsidRPr="00B07E6B">
        <w:rPr>
          <w:rFonts w:ascii="標楷體" w:eastAsia="標楷體" w:hAnsi="標楷體" w:hint="eastAsia"/>
          <w:bCs/>
          <w:sz w:val="32"/>
          <w:szCs w:val="32"/>
        </w:rPr>
        <w:lastRenderedPageBreak/>
        <w:t>效核准廠商家數為236家；惟</w:t>
      </w:r>
      <w:r>
        <w:rPr>
          <w:rFonts w:ascii="標楷體" w:eastAsia="標楷體" w:hAnsi="標楷體" w:hint="eastAsia"/>
          <w:bCs/>
          <w:sz w:val="32"/>
          <w:szCs w:val="32"/>
        </w:rPr>
        <w:t>已</w:t>
      </w:r>
      <w:r w:rsidRPr="00B07E6B">
        <w:rPr>
          <w:rFonts w:ascii="標楷體" w:eastAsia="標楷體" w:hAnsi="標楷體" w:hint="eastAsia"/>
          <w:bCs/>
          <w:sz w:val="32"/>
          <w:szCs w:val="32"/>
        </w:rPr>
        <w:t>入區登記廠商僅有151家，僅</w:t>
      </w:r>
      <w:r>
        <w:rPr>
          <w:rFonts w:ascii="標楷體" w:eastAsia="標楷體" w:hAnsi="標楷體" w:hint="eastAsia"/>
          <w:bCs/>
          <w:sz w:val="32"/>
          <w:szCs w:val="32"/>
        </w:rPr>
        <w:t>占</w:t>
      </w:r>
      <w:r w:rsidRPr="00B07E6B">
        <w:rPr>
          <w:rFonts w:ascii="標楷體" w:eastAsia="標楷體" w:hAnsi="標楷體" w:hint="eastAsia"/>
          <w:bCs/>
          <w:sz w:val="32"/>
          <w:szCs w:val="32"/>
        </w:rPr>
        <w:t>核准廠商家數64%，為</w:t>
      </w:r>
      <w:r>
        <w:rPr>
          <w:rFonts w:ascii="標楷體" w:eastAsia="標楷體" w:hAnsi="標楷體" w:hint="eastAsia"/>
          <w:bCs/>
          <w:sz w:val="32"/>
          <w:szCs w:val="32"/>
        </w:rPr>
        <w:t>3</w:t>
      </w:r>
      <w:r w:rsidRPr="00B07E6B">
        <w:rPr>
          <w:rFonts w:ascii="標楷體" w:eastAsia="標楷體" w:hAnsi="標楷體" w:hint="eastAsia"/>
          <w:bCs/>
          <w:sz w:val="32"/>
          <w:szCs w:val="32"/>
        </w:rPr>
        <w:t>個園區最低。</w:t>
      </w:r>
      <w:r w:rsidRPr="00345B32">
        <w:rPr>
          <w:rFonts w:ascii="標楷體" w:eastAsia="標楷體" w:hAnsi="標楷體" w:hint="eastAsia"/>
          <w:bCs/>
          <w:sz w:val="32"/>
          <w:szCs w:val="32"/>
        </w:rPr>
        <w:t>國家科學及技術委員會中部科學園區管理局</w:t>
      </w:r>
      <w:r w:rsidRPr="00B07E6B">
        <w:rPr>
          <w:rFonts w:ascii="標楷體" w:eastAsia="標楷體" w:hAnsi="標楷體" w:hint="eastAsia"/>
          <w:bCs/>
          <w:sz w:val="32"/>
          <w:szCs w:val="32"/>
        </w:rPr>
        <w:t>允宜檢討招商進程，積極辦理相關招商程序，以吸引廠商確實進駐中科園區，以達</w:t>
      </w:r>
      <w:r w:rsidRPr="00B01072">
        <w:rPr>
          <w:rFonts w:ascii="標楷體" w:eastAsia="標楷體" w:hAnsi="標楷體" w:hint="eastAsia"/>
          <w:bCs/>
          <w:sz w:val="32"/>
          <w:szCs w:val="32"/>
        </w:rPr>
        <w:t>中部科學園區</w:t>
      </w:r>
      <w:r w:rsidRPr="00B07E6B">
        <w:rPr>
          <w:rFonts w:ascii="標楷體" w:eastAsia="標楷體" w:hAnsi="標楷體" w:hint="eastAsia"/>
          <w:bCs/>
          <w:sz w:val="32"/>
          <w:szCs w:val="32"/>
        </w:rPr>
        <w:t>設立之目的</w:t>
      </w:r>
      <w:r>
        <w:rPr>
          <w:rFonts w:ascii="標楷體" w:eastAsia="標楷體" w:hAnsi="標楷體" w:hint="eastAsia"/>
          <w:bCs/>
          <w:sz w:val="32"/>
          <w:szCs w:val="32"/>
        </w:rPr>
        <w:t>，並</w:t>
      </w:r>
      <w:r w:rsidRPr="00B07E6B">
        <w:rPr>
          <w:rFonts w:ascii="標楷體" w:eastAsia="標楷體" w:hAnsi="標楷體" w:hint="eastAsia"/>
          <w:bCs/>
          <w:sz w:val="32"/>
          <w:szCs w:val="32"/>
        </w:rPr>
        <w:t>於</w:t>
      </w:r>
      <w:r>
        <w:rPr>
          <w:rFonts w:ascii="標楷體" w:eastAsia="標楷體" w:hAnsi="標楷體" w:hint="eastAsia"/>
          <w:bCs/>
          <w:sz w:val="32"/>
          <w:szCs w:val="32"/>
        </w:rPr>
        <w:t>3</w:t>
      </w:r>
      <w:r w:rsidRPr="00B07E6B">
        <w:rPr>
          <w:rFonts w:ascii="標楷體" w:eastAsia="標楷體" w:hAnsi="標楷體" w:hint="eastAsia"/>
          <w:bCs/>
          <w:sz w:val="32"/>
          <w:szCs w:val="32"/>
        </w:rPr>
        <w:t>個月內向立法院教育及文化委員會提出書面報告。</w:t>
      </w:r>
      <w:r>
        <w:rPr>
          <w:rFonts w:ascii="標楷體" w:eastAsia="標楷體" w:hAnsi="標楷體" w:hint="eastAsia"/>
          <w:bCs/>
          <w:sz w:val="32"/>
          <w:szCs w:val="32"/>
        </w:rPr>
        <w:t>186</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陳秀寳</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黃國書  張廖萬堅</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(五)</w:t>
      </w:r>
      <w:r w:rsidRPr="00345B32">
        <w:rPr>
          <w:rFonts w:ascii="標楷體" w:eastAsia="標楷體" w:hAnsi="標楷體" w:hint="eastAsia"/>
          <w:bCs/>
          <w:sz w:val="32"/>
          <w:szCs w:val="32"/>
        </w:rPr>
        <w:t>查中部科學園區二林園區籌設期間因涉及大量土地徵收、環境污染疑慮等，引發居民及各界團體抗爭，至2018年行政院環境保護署二階環評通過，正式對外招商，持續開發至今已投入181億餘元開發經費。惟依據國</w:t>
      </w:r>
      <w:r>
        <w:rPr>
          <w:rFonts w:ascii="標楷體" w:eastAsia="標楷體" w:hAnsi="標楷體" w:hint="eastAsia"/>
          <w:bCs/>
          <w:sz w:val="32"/>
          <w:szCs w:val="32"/>
        </w:rPr>
        <w:t>家</w:t>
      </w:r>
      <w:r w:rsidRPr="00345B32">
        <w:rPr>
          <w:rFonts w:ascii="標楷體" w:eastAsia="標楷體" w:hAnsi="標楷體" w:hint="eastAsia"/>
          <w:bCs/>
          <w:sz w:val="32"/>
          <w:szCs w:val="32"/>
        </w:rPr>
        <w:t>科</w:t>
      </w:r>
      <w:r>
        <w:rPr>
          <w:rFonts w:ascii="標楷體" w:eastAsia="標楷體" w:hAnsi="標楷體" w:hint="eastAsia"/>
          <w:bCs/>
          <w:sz w:val="32"/>
          <w:szCs w:val="32"/>
        </w:rPr>
        <w:t>學及技術委員</w:t>
      </w:r>
      <w:r w:rsidRPr="00345B32">
        <w:rPr>
          <w:rFonts w:ascii="標楷體" w:eastAsia="標楷體" w:hAnsi="標楷體" w:hint="eastAsia"/>
          <w:bCs/>
          <w:sz w:val="32"/>
          <w:szCs w:val="32"/>
        </w:rPr>
        <w:t>會統計資料顯示，至2022年10月止，中科二林園區土地使用情形已出租土地面積僅占可供出租土地面積之39.92%，相較中科其他園區而言，招租成效仍有待持續加強。爰請國</w:t>
      </w:r>
      <w:r>
        <w:rPr>
          <w:rFonts w:ascii="標楷體" w:eastAsia="標楷體" w:hAnsi="標楷體" w:hint="eastAsia"/>
          <w:bCs/>
          <w:sz w:val="32"/>
          <w:szCs w:val="32"/>
        </w:rPr>
        <w:t>家</w:t>
      </w:r>
      <w:r w:rsidRPr="00345B32">
        <w:rPr>
          <w:rFonts w:ascii="標楷體" w:eastAsia="標楷體" w:hAnsi="標楷體" w:hint="eastAsia"/>
          <w:bCs/>
          <w:sz w:val="32"/>
          <w:szCs w:val="32"/>
        </w:rPr>
        <w:t>科</w:t>
      </w:r>
      <w:r>
        <w:rPr>
          <w:rFonts w:ascii="標楷體" w:eastAsia="標楷體" w:hAnsi="標楷體" w:hint="eastAsia"/>
          <w:bCs/>
          <w:sz w:val="32"/>
          <w:szCs w:val="32"/>
        </w:rPr>
        <w:t>學及技術委員</w:t>
      </w:r>
      <w:r w:rsidRPr="00345B32">
        <w:rPr>
          <w:rFonts w:ascii="標楷體" w:eastAsia="標楷體" w:hAnsi="標楷體" w:hint="eastAsia"/>
          <w:bCs/>
          <w:sz w:val="32"/>
          <w:szCs w:val="32"/>
        </w:rPr>
        <w:t>會中</w:t>
      </w:r>
      <w:r>
        <w:rPr>
          <w:rFonts w:ascii="標楷體" w:eastAsia="標楷體" w:hAnsi="標楷體" w:hint="eastAsia"/>
          <w:bCs/>
          <w:sz w:val="32"/>
          <w:szCs w:val="32"/>
        </w:rPr>
        <w:t>部</w:t>
      </w:r>
      <w:r w:rsidRPr="00345B32">
        <w:rPr>
          <w:rFonts w:ascii="標楷體" w:eastAsia="標楷體" w:hAnsi="標楷體" w:hint="eastAsia"/>
          <w:bCs/>
          <w:sz w:val="32"/>
          <w:szCs w:val="32"/>
        </w:rPr>
        <w:t>科</w:t>
      </w:r>
      <w:r>
        <w:rPr>
          <w:rFonts w:ascii="標楷體" w:eastAsia="標楷體" w:hAnsi="標楷體" w:hint="eastAsia"/>
          <w:bCs/>
          <w:sz w:val="32"/>
          <w:szCs w:val="32"/>
        </w:rPr>
        <w:t>學園區</w:t>
      </w:r>
      <w:r w:rsidRPr="00345B32">
        <w:rPr>
          <w:rFonts w:ascii="標楷體" w:eastAsia="標楷體" w:hAnsi="標楷體" w:hint="eastAsia"/>
          <w:bCs/>
          <w:sz w:val="32"/>
          <w:szCs w:val="32"/>
        </w:rPr>
        <w:t>管理局於</w:t>
      </w:r>
      <w:r>
        <w:rPr>
          <w:rFonts w:ascii="標楷體" w:eastAsia="標楷體" w:hAnsi="標楷體" w:hint="eastAsia"/>
          <w:bCs/>
          <w:sz w:val="32"/>
          <w:szCs w:val="32"/>
        </w:rPr>
        <w:t>3</w:t>
      </w:r>
      <w:r w:rsidRPr="00345B32">
        <w:rPr>
          <w:rFonts w:ascii="標楷體" w:eastAsia="標楷體" w:hAnsi="標楷體" w:hint="eastAsia"/>
          <w:bCs/>
          <w:sz w:val="32"/>
          <w:szCs w:val="32"/>
        </w:rPr>
        <w:t>個月內就如何加強</w:t>
      </w:r>
      <w:r w:rsidRPr="00495752">
        <w:rPr>
          <w:rFonts w:ascii="標楷體" w:eastAsia="標楷體" w:hAnsi="標楷體" w:hint="eastAsia"/>
          <w:bCs/>
          <w:sz w:val="32"/>
          <w:szCs w:val="32"/>
        </w:rPr>
        <w:t>中部科學園區</w:t>
      </w:r>
      <w:r w:rsidRPr="00345B32">
        <w:rPr>
          <w:rFonts w:ascii="標楷體" w:eastAsia="標楷體" w:hAnsi="標楷體" w:hint="eastAsia"/>
          <w:bCs/>
          <w:sz w:val="32"/>
          <w:szCs w:val="32"/>
        </w:rPr>
        <w:t>二林園區土地招租成效向</w:t>
      </w:r>
      <w:r>
        <w:rPr>
          <w:rFonts w:ascii="標楷體" w:eastAsia="標楷體" w:hAnsi="標楷體" w:hint="eastAsia"/>
          <w:bCs/>
          <w:sz w:val="32"/>
          <w:szCs w:val="32"/>
        </w:rPr>
        <w:t>立法</w:t>
      </w:r>
      <w:r w:rsidRPr="00345B32">
        <w:rPr>
          <w:rFonts w:ascii="標楷體" w:eastAsia="標楷體" w:hAnsi="標楷體" w:hint="eastAsia"/>
          <w:bCs/>
          <w:sz w:val="32"/>
          <w:szCs w:val="32"/>
        </w:rPr>
        <w:t>院教育及文化委員會提出策進作為書面報告。</w:t>
      </w:r>
      <w:r>
        <w:rPr>
          <w:rFonts w:ascii="標楷體" w:eastAsia="標楷體" w:hAnsi="標楷體" w:hint="eastAsia"/>
          <w:bCs/>
          <w:sz w:val="32"/>
          <w:szCs w:val="32"/>
        </w:rPr>
        <w:t>187</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王婉諭</w:t>
      </w:r>
    </w:p>
    <w:p w:rsidR="00A52DD2"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黃國書  張廖萬堅</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(六)</w:t>
      </w:r>
      <w:r w:rsidRPr="00B07E6B">
        <w:rPr>
          <w:rFonts w:ascii="標楷體" w:eastAsia="標楷體" w:hAnsi="標楷體" w:hint="eastAsia"/>
          <w:bCs/>
          <w:sz w:val="32"/>
          <w:szCs w:val="32"/>
        </w:rPr>
        <w:t>112年度</w:t>
      </w:r>
      <w:r w:rsidRPr="00345B32">
        <w:rPr>
          <w:rFonts w:ascii="標楷體" w:eastAsia="標楷體" w:hAnsi="標楷體" w:hint="eastAsia"/>
          <w:bCs/>
          <w:sz w:val="32"/>
          <w:szCs w:val="32"/>
        </w:rPr>
        <w:t>國家科學及技術委員會中部科學園區管理局</w:t>
      </w:r>
      <w:r>
        <w:rPr>
          <w:rFonts w:ascii="標楷體" w:eastAsia="標楷體" w:hAnsi="標楷體" w:hint="eastAsia"/>
          <w:bCs/>
          <w:sz w:val="32"/>
          <w:szCs w:val="32"/>
        </w:rPr>
        <w:t>「園區業務推展」項下</w:t>
      </w:r>
      <w:r w:rsidRPr="00345B32">
        <w:rPr>
          <w:rFonts w:ascii="標楷體" w:eastAsia="標楷體" w:hAnsi="標楷體" w:hint="eastAsia"/>
          <w:bCs/>
          <w:sz w:val="32"/>
          <w:szCs w:val="32"/>
        </w:rPr>
        <w:t>「環安行政」編列</w:t>
      </w:r>
      <w:r>
        <w:rPr>
          <w:rFonts w:ascii="標楷體" w:eastAsia="標楷體" w:hAnsi="標楷體" w:hint="eastAsia"/>
          <w:bCs/>
          <w:sz w:val="32"/>
          <w:szCs w:val="32"/>
        </w:rPr>
        <w:t>之</w:t>
      </w:r>
      <w:r w:rsidRPr="00345B32">
        <w:rPr>
          <w:rFonts w:ascii="標楷體" w:eastAsia="標楷體" w:hAnsi="標楷體" w:hint="eastAsia"/>
          <w:bCs/>
          <w:sz w:val="32"/>
          <w:szCs w:val="32"/>
        </w:rPr>
        <w:t>預算包含辦理園區環境保護與污染防治等相關經費。惟中部科學園區之用電負載量由106年的94.29萬KW增加至110年的156.25萬KW，增幅達65.71%，為</w:t>
      </w:r>
      <w:r>
        <w:rPr>
          <w:rFonts w:ascii="標楷體" w:eastAsia="標楷體" w:hAnsi="標楷體" w:hint="eastAsia"/>
          <w:bCs/>
          <w:sz w:val="32"/>
          <w:szCs w:val="32"/>
        </w:rPr>
        <w:t>3</w:t>
      </w:r>
      <w:r w:rsidRPr="00345B32">
        <w:rPr>
          <w:rFonts w:ascii="標楷體" w:eastAsia="標楷體" w:hAnsi="標楷體" w:hint="eastAsia"/>
          <w:bCs/>
          <w:sz w:val="32"/>
          <w:szCs w:val="32"/>
        </w:rPr>
        <w:t>個科學園區增幅最大，未來亦不排除會再增加。國家科學及技術委員會中部科學園區管理局允宜</w:t>
      </w:r>
      <w:r>
        <w:rPr>
          <w:rFonts w:ascii="標楷體" w:eastAsia="標楷體" w:hAnsi="標楷體" w:hint="eastAsia"/>
          <w:bCs/>
          <w:sz w:val="32"/>
          <w:szCs w:val="32"/>
        </w:rPr>
        <w:t>儘</w:t>
      </w:r>
      <w:r w:rsidRPr="00345B32">
        <w:rPr>
          <w:rFonts w:ascii="標楷體" w:eastAsia="標楷體" w:hAnsi="標楷體" w:hint="eastAsia"/>
          <w:bCs/>
          <w:sz w:val="32"/>
          <w:szCs w:val="32"/>
        </w:rPr>
        <w:t>速規劃設置再生能源設施，因應未來園區用電需求，使園區內之科技產業能有穩定之電力，俾利科技產業發展，</w:t>
      </w:r>
      <w:r>
        <w:rPr>
          <w:rFonts w:ascii="標楷體" w:eastAsia="標楷體" w:hAnsi="標楷體" w:hint="eastAsia"/>
          <w:bCs/>
          <w:sz w:val="32"/>
          <w:szCs w:val="32"/>
        </w:rPr>
        <w:t>並</w:t>
      </w:r>
      <w:r w:rsidRPr="00345B32">
        <w:rPr>
          <w:rFonts w:ascii="標楷體" w:eastAsia="標楷體" w:hAnsi="標楷體" w:hint="eastAsia"/>
          <w:bCs/>
          <w:sz w:val="32"/>
          <w:szCs w:val="32"/>
        </w:rPr>
        <w:t>於</w:t>
      </w:r>
      <w:r>
        <w:rPr>
          <w:rFonts w:ascii="標楷體" w:eastAsia="標楷體" w:hAnsi="標楷體" w:hint="eastAsia"/>
          <w:bCs/>
          <w:sz w:val="32"/>
          <w:szCs w:val="32"/>
        </w:rPr>
        <w:t>3</w:t>
      </w:r>
      <w:r w:rsidRPr="00345B32">
        <w:rPr>
          <w:rFonts w:ascii="標楷體" w:eastAsia="標楷體" w:hAnsi="標楷體" w:hint="eastAsia"/>
          <w:bCs/>
          <w:sz w:val="32"/>
          <w:szCs w:val="32"/>
        </w:rPr>
        <w:t>個月</w:t>
      </w:r>
      <w:r w:rsidRPr="00345B32">
        <w:rPr>
          <w:rFonts w:ascii="標楷體" w:eastAsia="標楷體" w:hAnsi="標楷體" w:hint="eastAsia"/>
          <w:bCs/>
          <w:sz w:val="32"/>
          <w:szCs w:val="32"/>
        </w:rPr>
        <w:lastRenderedPageBreak/>
        <w:t>內向立法院教育及文化委員會提出書面報告。</w:t>
      </w:r>
      <w:r>
        <w:rPr>
          <w:rFonts w:ascii="標楷體" w:eastAsia="標楷體" w:hAnsi="標楷體" w:hint="eastAsia"/>
          <w:bCs/>
          <w:sz w:val="32"/>
          <w:szCs w:val="32"/>
        </w:rPr>
        <w:t>192</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陳秀寳</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黃國書  張廖萬堅</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(七)</w:t>
      </w:r>
      <w:r w:rsidRPr="00345B32">
        <w:rPr>
          <w:rFonts w:ascii="標楷體" w:eastAsia="標楷體" w:hAnsi="標楷體" w:hint="eastAsia"/>
          <w:bCs/>
          <w:sz w:val="32"/>
          <w:szCs w:val="32"/>
        </w:rPr>
        <w:t>112年度國家科學及技術委員會中部科學園區管理局「園區業務推展」項下「營建行政」</w:t>
      </w:r>
      <w:r>
        <w:rPr>
          <w:rFonts w:ascii="標楷體" w:eastAsia="標楷體" w:hAnsi="標楷體" w:hint="eastAsia"/>
          <w:bCs/>
          <w:sz w:val="32"/>
          <w:szCs w:val="32"/>
        </w:rPr>
        <w:t>計畫</w:t>
      </w:r>
      <w:r w:rsidRPr="00345B32">
        <w:rPr>
          <w:rFonts w:ascii="標楷體" w:eastAsia="標楷體" w:hAnsi="標楷體" w:hint="eastAsia"/>
          <w:bCs/>
          <w:sz w:val="32"/>
          <w:szCs w:val="32"/>
        </w:rPr>
        <w:t>辦理園區用電計畫審查，以及電力供需之協調、安全輔導等相關事項。有鑑於減碳、推動再生能源的發展已成為全球趨勢，許多大型國際企業如蘋果即要求供應鏈在2050年達到100%再生能源的目標。而我國也在</w:t>
      </w:r>
      <w:r>
        <w:rPr>
          <w:rFonts w:ascii="標楷體" w:eastAsia="標楷體" w:hAnsi="標楷體" w:hint="eastAsia"/>
          <w:bCs/>
          <w:sz w:val="32"/>
          <w:szCs w:val="32"/>
        </w:rPr>
        <w:t>111</w:t>
      </w:r>
      <w:r w:rsidRPr="00345B32">
        <w:rPr>
          <w:rFonts w:ascii="標楷體" w:eastAsia="標楷體" w:hAnsi="標楷體" w:hint="eastAsia"/>
          <w:bCs/>
          <w:sz w:val="32"/>
          <w:szCs w:val="32"/>
        </w:rPr>
        <w:t>年3月公布2050淨零排放路徑，以促進關鍵領域之技術、研究與創新，引導產業綠色轉型。經查，中科111年至116年用電負載量預計需求，將從111</w:t>
      </w:r>
      <w:r>
        <w:rPr>
          <w:rFonts w:ascii="標楷體" w:eastAsia="標楷體" w:hAnsi="標楷體" w:hint="eastAsia"/>
          <w:bCs/>
          <w:sz w:val="32"/>
          <w:szCs w:val="32"/>
        </w:rPr>
        <w:t>年</w:t>
      </w:r>
      <w:r w:rsidRPr="00345B32">
        <w:rPr>
          <w:rFonts w:ascii="標楷體" w:eastAsia="標楷體" w:hAnsi="標楷體" w:hint="eastAsia"/>
          <w:bCs/>
          <w:sz w:val="32"/>
          <w:szCs w:val="32"/>
        </w:rPr>
        <w:t>之195.72萬KW，至116年將達341.42萬KW，未來用電需求明顯呈現逐年遞增的趨勢。而截至</w:t>
      </w:r>
      <w:r>
        <w:rPr>
          <w:rFonts w:ascii="標楷體" w:eastAsia="標楷體" w:hAnsi="標楷體" w:hint="eastAsia"/>
          <w:bCs/>
          <w:sz w:val="32"/>
          <w:szCs w:val="32"/>
        </w:rPr>
        <w:t>111</w:t>
      </w:r>
      <w:r w:rsidRPr="00345B32">
        <w:rPr>
          <w:rFonts w:ascii="標楷體" w:eastAsia="標楷體" w:hAnsi="標楷體" w:hint="eastAsia"/>
          <w:bCs/>
          <w:sz w:val="32"/>
          <w:szCs w:val="32"/>
        </w:rPr>
        <w:t>年7月底，中</w:t>
      </w:r>
      <w:r>
        <w:rPr>
          <w:rFonts w:ascii="標楷體" w:eastAsia="標楷體" w:hAnsi="標楷體" w:hint="eastAsia"/>
          <w:bCs/>
          <w:sz w:val="32"/>
          <w:szCs w:val="32"/>
        </w:rPr>
        <w:t>部</w:t>
      </w:r>
      <w:r w:rsidRPr="00345B32">
        <w:rPr>
          <w:rFonts w:ascii="標楷體" w:eastAsia="標楷體" w:hAnsi="標楷體" w:hint="eastAsia"/>
          <w:bCs/>
          <w:sz w:val="32"/>
          <w:szCs w:val="32"/>
        </w:rPr>
        <w:t>科</w:t>
      </w:r>
      <w:r>
        <w:rPr>
          <w:rFonts w:ascii="標楷體" w:eastAsia="標楷體" w:hAnsi="標楷體" w:hint="eastAsia"/>
          <w:bCs/>
          <w:sz w:val="32"/>
          <w:szCs w:val="32"/>
        </w:rPr>
        <w:t>學園區</w:t>
      </w:r>
      <w:r w:rsidRPr="00345B32">
        <w:rPr>
          <w:rFonts w:ascii="標楷體" w:eastAsia="標楷體" w:hAnsi="標楷體" w:hint="eastAsia"/>
          <w:bCs/>
          <w:sz w:val="32"/>
          <w:szCs w:val="32"/>
        </w:rPr>
        <w:t>太陽光電設備發電量僅</w:t>
      </w:r>
      <w:r>
        <w:rPr>
          <w:rFonts w:ascii="標楷體" w:eastAsia="標楷體" w:hAnsi="標楷體" w:hint="eastAsia"/>
          <w:bCs/>
          <w:sz w:val="32"/>
          <w:szCs w:val="32"/>
        </w:rPr>
        <w:t>占</w:t>
      </w:r>
      <w:r w:rsidRPr="00345B32">
        <w:rPr>
          <w:rFonts w:ascii="標楷體" w:eastAsia="標楷體" w:hAnsi="標楷體" w:hint="eastAsia"/>
          <w:bCs/>
          <w:sz w:val="32"/>
          <w:szCs w:val="32"/>
        </w:rPr>
        <w:t>園區用電量之比重3.35%，占比十分有限。綜上，國家科學及技術委員會中部科學園區管理局應審慎研擬有效誘因與配套措施，持續鼓勵、督促園區廠商設置太陽光電設備，以增加再生能源發電量，因應未來用電需求</w:t>
      </w:r>
      <w:r>
        <w:rPr>
          <w:rFonts w:ascii="標楷體" w:eastAsia="標楷體" w:hAnsi="標楷體" w:hint="eastAsia"/>
          <w:bCs/>
          <w:sz w:val="32"/>
          <w:szCs w:val="32"/>
        </w:rPr>
        <w:t>，並</w:t>
      </w:r>
      <w:r w:rsidRPr="00345B32">
        <w:rPr>
          <w:rFonts w:ascii="標楷體" w:eastAsia="標楷體" w:hAnsi="標楷體" w:hint="eastAsia"/>
          <w:bCs/>
          <w:sz w:val="32"/>
          <w:szCs w:val="32"/>
        </w:rPr>
        <w:t>於</w:t>
      </w:r>
      <w:r>
        <w:rPr>
          <w:rFonts w:ascii="標楷體" w:eastAsia="標楷體" w:hAnsi="標楷體" w:hint="eastAsia"/>
          <w:bCs/>
          <w:sz w:val="32"/>
          <w:szCs w:val="32"/>
        </w:rPr>
        <w:t>3</w:t>
      </w:r>
      <w:r w:rsidRPr="00345B32">
        <w:rPr>
          <w:rFonts w:ascii="標楷體" w:eastAsia="標楷體" w:hAnsi="標楷體" w:hint="eastAsia"/>
          <w:bCs/>
          <w:sz w:val="32"/>
          <w:szCs w:val="32"/>
        </w:rPr>
        <w:t>個月內向立法院教育及文化委員會提出書面報告。</w:t>
      </w:r>
      <w:r>
        <w:rPr>
          <w:rFonts w:ascii="標楷體" w:eastAsia="標楷體" w:hAnsi="標楷體" w:hint="eastAsia"/>
          <w:bCs/>
          <w:sz w:val="32"/>
          <w:szCs w:val="32"/>
        </w:rPr>
        <w:t>194</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張廖萬堅</w:t>
      </w:r>
    </w:p>
    <w:p w:rsidR="00A52DD2"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黃國書  陳秀寳</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(八)</w:t>
      </w:r>
      <w:r w:rsidRPr="00345B32">
        <w:rPr>
          <w:rFonts w:ascii="標楷體" w:eastAsia="標楷體" w:hAnsi="標楷體" w:hint="eastAsia"/>
          <w:bCs/>
          <w:sz w:val="32"/>
          <w:szCs w:val="32"/>
        </w:rPr>
        <w:t>112年度國家科學及技術委員會中部科學園區管理局「園區業務推展」項下「建管行政」辦理有關園區籌設、開發、土地取得及營運管理等相關事項。經查</w:t>
      </w:r>
      <w:r>
        <w:rPr>
          <w:rFonts w:ascii="標楷體" w:eastAsia="標楷體" w:hAnsi="標楷體" w:hint="eastAsia"/>
          <w:bCs/>
          <w:sz w:val="32"/>
          <w:szCs w:val="32"/>
        </w:rPr>
        <w:t>行政院</w:t>
      </w:r>
      <w:r w:rsidRPr="00345B32">
        <w:rPr>
          <w:rFonts w:ascii="標楷體" w:eastAsia="標楷體" w:hAnsi="標楷體" w:hint="eastAsia"/>
          <w:bCs/>
          <w:sz w:val="32"/>
          <w:szCs w:val="32"/>
        </w:rPr>
        <w:t>環</w:t>
      </w:r>
      <w:r>
        <w:rPr>
          <w:rFonts w:ascii="標楷體" w:eastAsia="標楷體" w:hAnsi="標楷體" w:hint="eastAsia"/>
          <w:bCs/>
          <w:sz w:val="32"/>
          <w:szCs w:val="32"/>
        </w:rPr>
        <w:t>境</w:t>
      </w:r>
      <w:r w:rsidRPr="00345B32">
        <w:rPr>
          <w:rFonts w:ascii="標楷體" w:eastAsia="標楷體" w:hAnsi="標楷體" w:hint="eastAsia"/>
          <w:bCs/>
          <w:sz w:val="32"/>
          <w:szCs w:val="32"/>
        </w:rPr>
        <w:t>保</w:t>
      </w:r>
      <w:r>
        <w:rPr>
          <w:rFonts w:ascii="標楷體" w:eastAsia="標楷體" w:hAnsi="標楷體" w:hint="eastAsia"/>
          <w:bCs/>
          <w:sz w:val="32"/>
          <w:szCs w:val="32"/>
        </w:rPr>
        <w:t>護</w:t>
      </w:r>
      <w:r w:rsidRPr="00345B32">
        <w:rPr>
          <w:rFonts w:ascii="標楷體" w:eastAsia="標楷體" w:hAnsi="標楷體" w:hint="eastAsia"/>
          <w:bCs/>
          <w:sz w:val="32"/>
          <w:szCs w:val="32"/>
        </w:rPr>
        <w:t>署在</w:t>
      </w:r>
      <w:r>
        <w:rPr>
          <w:rFonts w:ascii="標楷體" w:eastAsia="標楷體" w:hAnsi="標楷體" w:hint="eastAsia"/>
          <w:bCs/>
          <w:sz w:val="32"/>
          <w:szCs w:val="32"/>
        </w:rPr>
        <w:t>111</w:t>
      </w:r>
      <w:r w:rsidRPr="00345B32">
        <w:rPr>
          <w:rFonts w:ascii="標楷體" w:eastAsia="標楷體" w:hAnsi="標楷體" w:hint="eastAsia"/>
          <w:bCs/>
          <w:sz w:val="32"/>
          <w:szCs w:val="32"/>
        </w:rPr>
        <w:t>年10</w:t>
      </w:r>
      <w:r>
        <w:rPr>
          <w:rFonts w:ascii="標楷體" w:eastAsia="標楷體" w:hAnsi="標楷體" w:hint="eastAsia"/>
          <w:bCs/>
          <w:sz w:val="32"/>
          <w:szCs w:val="32"/>
        </w:rPr>
        <w:t>月</w:t>
      </w:r>
      <w:r w:rsidRPr="00345B32">
        <w:rPr>
          <w:rFonts w:ascii="標楷體" w:eastAsia="標楷體" w:hAnsi="標楷體" w:hint="eastAsia"/>
          <w:bCs/>
          <w:sz w:val="32"/>
          <w:szCs w:val="32"/>
        </w:rPr>
        <w:t>3</w:t>
      </w:r>
      <w:r>
        <w:rPr>
          <w:rFonts w:ascii="標楷體" w:eastAsia="標楷體" w:hAnsi="標楷體" w:hint="eastAsia"/>
          <w:bCs/>
          <w:sz w:val="32"/>
          <w:szCs w:val="32"/>
        </w:rPr>
        <w:t>日</w:t>
      </w:r>
      <w:r w:rsidRPr="00345B32">
        <w:rPr>
          <w:rFonts w:ascii="標楷體" w:eastAsia="標楷體" w:hAnsi="標楷體" w:hint="eastAsia"/>
          <w:bCs/>
          <w:sz w:val="32"/>
          <w:szCs w:val="32"/>
        </w:rPr>
        <w:t>召開中</w:t>
      </w:r>
      <w:r>
        <w:rPr>
          <w:rFonts w:ascii="標楷體" w:eastAsia="標楷體" w:hAnsi="標楷體" w:hint="eastAsia"/>
          <w:bCs/>
          <w:sz w:val="32"/>
          <w:szCs w:val="32"/>
        </w:rPr>
        <w:t>部科學園區</w:t>
      </w:r>
      <w:r w:rsidRPr="00345B32">
        <w:rPr>
          <w:rFonts w:ascii="標楷體" w:eastAsia="標楷體" w:hAnsi="標楷體" w:hint="eastAsia"/>
          <w:bCs/>
          <w:sz w:val="32"/>
          <w:szCs w:val="32"/>
        </w:rPr>
        <w:t>擴建二期環評案審查會，中科已主動降低開發強度，開發面積由94.62公頃縮減為89.75公頃，保留大規模的公園綠地，並降低用水、用電量。但仍被質疑用水、用電只減5%降幅太小，有加重台中市整</w:t>
      </w:r>
      <w:r w:rsidRPr="00345B32">
        <w:rPr>
          <w:rFonts w:ascii="標楷體" w:eastAsia="標楷體" w:hAnsi="標楷體" w:hint="eastAsia"/>
          <w:bCs/>
          <w:sz w:val="32"/>
          <w:szCs w:val="32"/>
        </w:rPr>
        <w:lastRenderedPageBreak/>
        <w:t>體的環境負載之虞。環評委員即要求加嚴空污排放限值，與加強廢棄物能自主處理，並於會議結論請中科在</w:t>
      </w:r>
      <w:r>
        <w:rPr>
          <w:rFonts w:ascii="標楷體" w:eastAsia="標楷體" w:hAnsi="標楷體" w:hint="eastAsia"/>
          <w:bCs/>
          <w:sz w:val="32"/>
          <w:szCs w:val="32"/>
        </w:rPr>
        <w:t>111</w:t>
      </w:r>
      <w:r w:rsidRPr="00345B32">
        <w:rPr>
          <w:rFonts w:ascii="標楷體" w:eastAsia="標楷體" w:hAnsi="標楷體" w:hint="eastAsia"/>
          <w:bCs/>
          <w:sz w:val="32"/>
          <w:szCs w:val="32"/>
        </w:rPr>
        <w:t>年12</w:t>
      </w:r>
      <w:r>
        <w:rPr>
          <w:rFonts w:ascii="標楷體" w:eastAsia="標楷體" w:hAnsi="標楷體" w:hint="eastAsia"/>
          <w:bCs/>
          <w:sz w:val="32"/>
          <w:szCs w:val="32"/>
        </w:rPr>
        <w:t>月</w:t>
      </w:r>
      <w:r w:rsidRPr="00345B32">
        <w:rPr>
          <w:rFonts w:ascii="標楷體" w:eastAsia="標楷體" w:hAnsi="標楷體" w:hint="eastAsia"/>
          <w:bCs/>
          <w:sz w:val="32"/>
          <w:szCs w:val="32"/>
        </w:rPr>
        <w:t>31</w:t>
      </w:r>
      <w:r>
        <w:rPr>
          <w:rFonts w:ascii="標楷體" w:eastAsia="標楷體" w:hAnsi="標楷體" w:hint="eastAsia"/>
          <w:bCs/>
          <w:sz w:val="32"/>
          <w:szCs w:val="32"/>
        </w:rPr>
        <w:t>日</w:t>
      </w:r>
      <w:r w:rsidRPr="00345B32">
        <w:rPr>
          <w:rFonts w:ascii="標楷體" w:eastAsia="標楷體" w:hAnsi="標楷體" w:hint="eastAsia"/>
          <w:bCs/>
          <w:sz w:val="32"/>
          <w:szCs w:val="32"/>
        </w:rPr>
        <w:t>前補正後再審。惟中科擴建二期攸關半導體及上中下游產業在中台灣的布局，更為擴大台灣整體科技發展動能，以維持我國半導體產業的全球競爭力。因此中</w:t>
      </w:r>
      <w:r>
        <w:rPr>
          <w:rFonts w:ascii="標楷體" w:eastAsia="標楷體" w:hAnsi="標楷體" w:hint="eastAsia"/>
          <w:bCs/>
          <w:sz w:val="32"/>
          <w:szCs w:val="32"/>
        </w:rPr>
        <w:t>部</w:t>
      </w:r>
      <w:r w:rsidRPr="00345B32">
        <w:rPr>
          <w:rFonts w:ascii="標楷體" w:eastAsia="標楷體" w:hAnsi="標楷體" w:hint="eastAsia"/>
          <w:bCs/>
          <w:sz w:val="32"/>
          <w:szCs w:val="32"/>
        </w:rPr>
        <w:t>科</w:t>
      </w:r>
      <w:r>
        <w:rPr>
          <w:rFonts w:ascii="標楷體" w:eastAsia="標楷體" w:hAnsi="標楷體" w:hint="eastAsia"/>
          <w:bCs/>
          <w:sz w:val="32"/>
          <w:szCs w:val="32"/>
        </w:rPr>
        <w:t>學園區</w:t>
      </w:r>
      <w:r w:rsidRPr="00345B32">
        <w:rPr>
          <w:rFonts w:ascii="標楷體" w:eastAsia="標楷體" w:hAnsi="標楷體" w:hint="eastAsia"/>
          <w:bCs/>
          <w:sz w:val="32"/>
          <w:szCs w:val="32"/>
        </w:rPr>
        <w:t>應</w:t>
      </w:r>
      <w:r>
        <w:rPr>
          <w:rFonts w:ascii="標楷體" w:eastAsia="標楷體" w:hAnsi="標楷體" w:hint="eastAsia"/>
          <w:bCs/>
          <w:sz w:val="32"/>
          <w:szCs w:val="32"/>
        </w:rPr>
        <w:t>儘</w:t>
      </w:r>
      <w:r w:rsidRPr="00345B32">
        <w:rPr>
          <w:rFonts w:ascii="標楷體" w:eastAsia="標楷體" w:hAnsi="標楷體" w:hint="eastAsia"/>
          <w:bCs/>
          <w:sz w:val="32"/>
          <w:szCs w:val="32"/>
        </w:rPr>
        <w:t>速完成環評等相關程序，並加強對外說明，協助大眾釐清相關疑慮，以兼顧環境永續與產業發展。爰請國家科學及技術委員會中部科學園區管理局於</w:t>
      </w:r>
      <w:r>
        <w:rPr>
          <w:rFonts w:ascii="標楷體" w:eastAsia="標楷體" w:hAnsi="標楷體" w:hint="eastAsia"/>
          <w:bCs/>
          <w:sz w:val="32"/>
          <w:szCs w:val="32"/>
        </w:rPr>
        <w:t>3</w:t>
      </w:r>
      <w:r w:rsidRPr="00345B32">
        <w:rPr>
          <w:rFonts w:ascii="標楷體" w:eastAsia="標楷體" w:hAnsi="標楷體" w:hint="eastAsia"/>
          <w:bCs/>
          <w:sz w:val="32"/>
          <w:szCs w:val="32"/>
        </w:rPr>
        <w:t>個月向立法院教育及文化委員會提出書面報告。</w:t>
      </w:r>
      <w:r>
        <w:rPr>
          <w:rFonts w:ascii="標楷體" w:eastAsia="標楷體" w:hAnsi="標楷體" w:hint="eastAsia"/>
          <w:bCs/>
          <w:sz w:val="32"/>
          <w:szCs w:val="32"/>
        </w:rPr>
        <w:t>195</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張廖萬堅  黃國書</w:t>
      </w:r>
    </w:p>
    <w:p w:rsidR="00A52DD2" w:rsidRPr="006B4A91"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林宜瑾  陳秀寳</w:t>
      </w:r>
    </w:p>
    <w:p w:rsidR="00A52DD2" w:rsidRPr="00FA4CA2" w:rsidRDefault="00A52DD2" w:rsidP="00F035E0">
      <w:pPr>
        <w:snapToGrid w:val="0"/>
        <w:spacing w:beforeLines="50" w:before="180" w:line="460" w:lineRule="exact"/>
        <w:ind w:leftChars="100" w:left="1558" w:hangingChars="412" w:hanging="1318"/>
        <w:rPr>
          <w:rFonts w:ascii="標楷體" w:eastAsia="標楷體" w:hAnsi="標楷體"/>
          <w:snapToGrid w:val="0"/>
          <w:sz w:val="32"/>
          <w:szCs w:val="32"/>
        </w:rPr>
      </w:pPr>
      <w:r w:rsidRPr="00E94241">
        <w:rPr>
          <w:rFonts w:ascii="標楷體" w:eastAsia="標楷體" w:hAnsi="標楷體"/>
          <w:snapToGrid w:val="0"/>
          <w:sz w:val="32"/>
          <w:szCs w:val="32"/>
        </w:rPr>
        <w:t xml:space="preserve">第4項　</w:t>
      </w:r>
      <w:r w:rsidRPr="00FA4CA2">
        <w:rPr>
          <w:rFonts w:ascii="標楷體" w:eastAsia="標楷體" w:hAnsi="標楷體" w:hint="eastAsia"/>
          <w:snapToGrid w:val="0"/>
          <w:sz w:val="32"/>
          <w:szCs w:val="32"/>
        </w:rPr>
        <w:t>南部科學園區管理局原列11億7,555萬1千元，除第2目「非營業特種基金」第1節「科學園區管理局作業基金」4億0,348</w:t>
      </w:r>
      <w:r w:rsidRPr="00FA4CA2">
        <w:rPr>
          <w:rFonts w:ascii="標楷體" w:eastAsia="標楷體" w:hAnsi="標楷體" w:hint="eastAsia"/>
          <w:sz w:val="32"/>
          <w:szCs w:val="40"/>
        </w:rPr>
        <w:t>萬2千</w:t>
      </w:r>
      <w:r w:rsidRPr="00FA4CA2">
        <w:rPr>
          <w:rFonts w:ascii="標楷體" w:eastAsia="標楷體" w:hAnsi="標楷體" w:hint="eastAsia"/>
          <w:snapToGrid w:val="0"/>
          <w:sz w:val="32"/>
          <w:szCs w:val="32"/>
        </w:rPr>
        <w:t>元，暫照列，俟所屬非營業特種基金審議確定，再行調整外，其餘均照列。</w:t>
      </w:r>
    </w:p>
    <w:p w:rsidR="00A52DD2" w:rsidRPr="00E94241" w:rsidRDefault="00A52DD2" w:rsidP="00F035E0">
      <w:pPr>
        <w:snapToGrid w:val="0"/>
        <w:spacing w:beforeLines="50" w:before="180" w:line="460" w:lineRule="exact"/>
        <w:ind w:leftChars="100" w:left="1558" w:hangingChars="412" w:hanging="1318"/>
        <w:rPr>
          <w:rFonts w:ascii="標楷體" w:eastAsia="標楷體" w:hAnsi="標楷體"/>
          <w:snapToGrid w:val="0"/>
          <w:sz w:val="32"/>
          <w:szCs w:val="32"/>
        </w:rPr>
      </w:pPr>
      <w:r w:rsidRPr="00E94241">
        <w:rPr>
          <w:rFonts w:ascii="標楷體" w:eastAsia="標楷體" w:hAnsi="標楷體" w:hint="eastAsia"/>
          <w:snapToGrid w:val="0"/>
          <w:sz w:val="32"/>
          <w:szCs w:val="32"/>
        </w:rPr>
        <w:t>本項通過決議</w:t>
      </w:r>
      <w:r>
        <w:rPr>
          <w:rFonts w:ascii="標楷體" w:eastAsia="標楷體" w:hAnsi="標楷體" w:hint="eastAsia"/>
          <w:snapToGrid w:val="0"/>
          <w:sz w:val="32"/>
          <w:szCs w:val="32"/>
        </w:rPr>
        <w:t>6</w:t>
      </w:r>
      <w:r w:rsidRPr="00E94241">
        <w:rPr>
          <w:rFonts w:ascii="標楷體" w:eastAsia="標楷體" w:hAnsi="標楷體" w:hint="eastAsia"/>
          <w:snapToGrid w:val="0"/>
          <w:sz w:val="32"/>
          <w:szCs w:val="32"/>
        </w:rPr>
        <w:t>項：</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E94241">
        <w:rPr>
          <w:rFonts w:ascii="標楷體" w:eastAsia="標楷體" w:hAnsi="標楷體" w:hint="eastAsia"/>
          <w:snapToGrid w:val="0"/>
          <w:sz w:val="32"/>
          <w:szCs w:val="32"/>
        </w:rPr>
        <w:t>(一)</w:t>
      </w:r>
      <w:r>
        <w:rPr>
          <w:rFonts w:ascii="標楷體" w:eastAsia="標楷體" w:hAnsi="標楷體"/>
          <w:snapToGrid w:val="0"/>
          <w:sz w:val="32"/>
          <w:szCs w:val="32"/>
        </w:rPr>
        <w:t>112</w:t>
      </w:r>
      <w:r>
        <w:rPr>
          <w:rFonts w:ascii="標楷體" w:eastAsia="標楷體" w:hAnsi="標楷體" w:hint="eastAsia"/>
          <w:snapToGrid w:val="0"/>
          <w:sz w:val="32"/>
          <w:szCs w:val="32"/>
        </w:rPr>
        <w:t>年度</w:t>
      </w:r>
      <w:r w:rsidRPr="00591205">
        <w:rPr>
          <w:rFonts w:ascii="標楷體" w:eastAsia="標楷體" w:hAnsi="標楷體" w:hint="eastAsia"/>
          <w:snapToGrid w:val="0"/>
          <w:sz w:val="32"/>
          <w:szCs w:val="32"/>
        </w:rPr>
        <w:t>南部科學園區管理局第</w:t>
      </w:r>
      <w:r>
        <w:rPr>
          <w:rFonts w:ascii="標楷體" w:eastAsia="標楷體" w:hAnsi="標楷體"/>
          <w:snapToGrid w:val="0"/>
          <w:sz w:val="32"/>
          <w:szCs w:val="32"/>
        </w:rPr>
        <w:t>4</w:t>
      </w:r>
      <w:r w:rsidRPr="00591205">
        <w:rPr>
          <w:rFonts w:ascii="標楷體" w:eastAsia="標楷體" w:hAnsi="標楷體" w:hint="eastAsia"/>
          <w:snapToGrid w:val="0"/>
          <w:sz w:val="32"/>
          <w:szCs w:val="32"/>
        </w:rPr>
        <w:t>目「</w:t>
      </w:r>
      <w:r>
        <w:rPr>
          <w:rFonts w:ascii="標楷體" w:eastAsia="標楷體" w:hAnsi="標楷體" w:hint="eastAsia"/>
          <w:snapToGrid w:val="0"/>
          <w:sz w:val="32"/>
          <w:szCs w:val="32"/>
        </w:rPr>
        <w:t>園區業務推展</w:t>
      </w:r>
      <w:r w:rsidRPr="00591205">
        <w:rPr>
          <w:rFonts w:ascii="標楷體" w:eastAsia="標楷體" w:hAnsi="標楷體" w:hint="eastAsia"/>
          <w:snapToGrid w:val="0"/>
          <w:sz w:val="32"/>
          <w:szCs w:val="32"/>
        </w:rPr>
        <w:t>」預算編列</w:t>
      </w:r>
      <w:r>
        <w:rPr>
          <w:rFonts w:ascii="標楷體" w:eastAsia="標楷體" w:hAnsi="標楷體"/>
          <w:snapToGrid w:val="0"/>
          <w:sz w:val="32"/>
          <w:szCs w:val="32"/>
        </w:rPr>
        <w:t>1</w:t>
      </w:r>
      <w:r w:rsidRPr="00591205">
        <w:rPr>
          <w:rFonts w:ascii="標楷體" w:eastAsia="標楷體" w:hAnsi="標楷體" w:hint="eastAsia"/>
          <w:snapToGrid w:val="0"/>
          <w:sz w:val="32"/>
          <w:szCs w:val="32"/>
        </w:rPr>
        <w:t>億</w:t>
      </w:r>
      <w:r>
        <w:rPr>
          <w:rFonts w:ascii="標楷體" w:eastAsia="標楷體" w:hAnsi="標楷體"/>
          <w:snapToGrid w:val="0"/>
          <w:sz w:val="32"/>
          <w:szCs w:val="32"/>
        </w:rPr>
        <w:t>2</w:t>
      </w:r>
      <w:r w:rsidRPr="00591205">
        <w:rPr>
          <w:rFonts w:ascii="標楷體" w:eastAsia="標楷體" w:hAnsi="標楷體" w:hint="eastAsia"/>
          <w:snapToGrid w:val="0"/>
          <w:sz w:val="32"/>
          <w:szCs w:val="32"/>
        </w:rPr>
        <w:t>,</w:t>
      </w:r>
      <w:r>
        <w:rPr>
          <w:rFonts w:ascii="標楷體" w:eastAsia="標楷體" w:hAnsi="標楷體"/>
          <w:snapToGrid w:val="0"/>
          <w:sz w:val="32"/>
          <w:szCs w:val="32"/>
        </w:rPr>
        <w:t>6</w:t>
      </w:r>
      <w:r>
        <w:rPr>
          <w:rFonts w:ascii="標楷體" w:eastAsia="標楷體" w:hAnsi="標楷體" w:hint="eastAsia"/>
          <w:snapToGrid w:val="0"/>
          <w:sz w:val="32"/>
          <w:szCs w:val="32"/>
        </w:rPr>
        <w:t>8</w:t>
      </w:r>
      <w:r>
        <w:rPr>
          <w:rFonts w:ascii="標楷體" w:eastAsia="標楷體" w:hAnsi="標楷體"/>
          <w:snapToGrid w:val="0"/>
          <w:sz w:val="32"/>
          <w:szCs w:val="32"/>
        </w:rPr>
        <w:t>0</w:t>
      </w:r>
      <w:r w:rsidRPr="00591205">
        <w:rPr>
          <w:rFonts w:ascii="標楷體" w:eastAsia="標楷體" w:hAnsi="標楷體" w:hint="eastAsia"/>
          <w:snapToGrid w:val="0"/>
          <w:sz w:val="32"/>
          <w:szCs w:val="32"/>
        </w:rPr>
        <w:t>萬</w:t>
      </w:r>
      <w:r>
        <w:rPr>
          <w:rFonts w:ascii="標楷體" w:eastAsia="標楷體" w:hAnsi="標楷體"/>
          <w:snapToGrid w:val="0"/>
          <w:sz w:val="32"/>
          <w:szCs w:val="32"/>
        </w:rPr>
        <w:t>3</w:t>
      </w:r>
      <w:r w:rsidRPr="00591205">
        <w:rPr>
          <w:rFonts w:ascii="標楷體" w:eastAsia="標楷體" w:hAnsi="標楷體" w:hint="eastAsia"/>
          <w:snapToGrid w:val="0"/>
          <w:sz w:val="32"/>
          <w:szCs w:val="32"/>
        </w:rPr>
        <w:t>千元，凍結</w:t>
      </w:r>
      <w:r>
        <w:rPr>
          <w:rFonts w:ascii="標楷體" w:eastAsia="標楷體" w:hAnsi="標楷體" w:hint="eastAsia"/>
          <w:snapToGrid w:val="0"/>
          <w:sz w:val="32"/>
          <w:szCs w:val="32"/>
        </w:rPr>
        <w:t>50</w:t>
      </w:r>
      <w:r w:rsidRPr="00591205">
        <w:rPr>
          <w:rFonts w:ascii="標楷體" w:eastAsia="標楷體" w:hAnsi="標楷體" w:hint="eastAsia"/>
          <w:snapToGrid w:val="0"/>
          <w:sz w:val="32"/>
          <w:szCs w:val="32"/>
        </w:rPr>
        <w:t>萬元，俟國家科學及技術委員會向立法院教育及文化委員會提出書面報告後，始得動支。</w:t>
      </w:r>
      <w:r>
        <w:rPr>
          <w:rFonts w:ascii="標楷體" w:eastAsia="標楷體" w:hAnsi="標楷體" w:hint="eastAsia"/>
          <w:snapToGrid w:val="0"/>
          <w:sz w:val="32"/>
          <w:szCs w:val="32"/>
        </w:rPr>
        <w:t>198-204</w:t>
      </w:r>
    </w:p>
    <w:p w:rsidR="00A52DD2"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吳思瑤  何欣純  陳秀寳  鄭正鈐</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張廖萬堅</w:t>
      </w:r>
    </w:p>
    <w:p w:rsidR="00A52DD2"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賴品妤  范  雲  林宜瑾  吳怡玎</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林奕華  黃國書</w:t>
      </w:r>
    </w:p>
    <w:p w:rsidR="00A52DD2" w:rsidRPr="006B4A91"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bCs/>
          <w:sz w:val="32"/>
          <w:szCs w:val="32"/>
        </w:rPr>
        <w:t>(二)</w:t>
      </w:r>
      <w:r w:rsidRPr="006B4A91">
        <w:rPr>
          <w:rFonts w:ascii="標楷體" w:eastAsia="標楷體" w:hAnsi="標楷體" w:hint="eastAsia"/>
          <w:sz w:val="32"/>
          <w:szCs w:val="32"/>
        </w:rPr>
        <w:t>政府積極發展我國高科技產業，南部科學園區3期亦啟動擴建計畫，將擴大納入更多廠商。惟近年南科之用水、用電，以及廢棄物處理量能皆有極大需求，尤其在企業廢棄物處理方面，已排擠一般民生廢棄物處理量能，亟需改進。國家科</w:t>
      </w:r>
      <w:r w:rsidRPr="006B4A91">
        <w:rPr>
          <w:rFonts w:ascii="標楷體" w:eastAsia="標楷體" w:hAnsi="標楷體" w:hint="eastAsia"/>
          <w:sz w:val="32"/>
          <w:szCs w:val="32"/>
        </w:rPr>
        <w:lastRenderedPageBreak/>
        <w:t>學及技術委員會南部科學園區管理局應積極思考南科廠商之廢棄物處理量能，尤其在南部科學園區3期擴建之際，更需及早擬定與增設廢棄物處理措施。205</w:t>
      </w:r>
    </w:p>
    <w:p w:rsidR="00A52DD2" w:rsidRPr="006B4A91" w:rsidRDefault="00A52DD2" w:rsidP="00F035E0">
      <w:pPr>
        <w:overflowPunct w:val="0"/>
        <w:spacing w:line="500" w:lineRule="exact"/>
        <w:ind w:leftChars="1250" w:left="3000"/>
        <w:jc w:val="both"/>
        <w:rPr>
          <w:rFonts w:ascii="標楷體" w:eastAsia="標楷體" w:hAnsi="標楷體"/>
          <w:sz w:val="32"/>
          <w:szCs w:val="32"/>
        </w:rPr>
      </w:pPr>
      <w:r w:rsidRPr="006B4A91">
        <w:rPr>
          <w:rFonts w:ascii="標楷體" w:eastAsia="標楷體" w:hAnsi="標楷體" w:hint="eastAsia"/>
          <w:sz w:val="32"/>
          <w:szCs w:val="32"/>
        </w:rPr>
        <w:t>提案人：林宜瑾</w:t>
      </w:r>
    </w:p>
    <w:p w:rsidR="00A52DD2" w:rsidRDefault="00A52DD2" w:rsidP="00F035E0">
      <w:pPr>
        <w:overflowPunct w:val="0"/>
        <w:spacing w:line="500" w:lineRule="exact"/>
        <w:ind w:leftChars="1250" w:left="3000"/>
        <w:jc w:val="both"/>
        <w:rPr>
          <w:rFonts w:ascii="標楷體" w:eastAsia="標楷體" w:hAnsi="標楷體"/>
          <w:bCs/>
          <w:sz w:val="32"/>
          <w:szCs w:val="32"/>
        </w:rPr>
      </w:pPr>
      <w:r w:rsidRPr="006B4A91">
        <w:rPr>
          <w:rFonts w:ascii="標楷體" w:eastAsia="標楷體" w:hAnsi="標楷體" w:hint="eastAsia"/>
          <w:sz w:val="32"/>
          <w:szCs w:val="32"/>
        </w:rPr>
        <w:t>連署人：黃國書  張廖萬堅</w:t>
      </w:r>
    </w:p>
    <w:p w:rsidR="00A52DD2" w:rsidRPr="00E143F0"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(三)</w:t>
      </w:r>
      <w:r w:rsidRPr="00B07E1A">
        <w:rPr>
          <w:rFonts w:ascii="標楷體" w:eastAsia="標楷體" w:hAnsi="標楷體" w:hint="eastAsia"/>
          <w:bCs/>
          <w:sz w:val="32"/>
          <w:szCs w:val="32"/>
        </w:rPr>
        <w:t>鑑於淨零排放、推動再生能源的發展已為全球趨勢，大型跨國企業皆要求其供應鏈需於2050年達到100%再生能源之目標，國家發展委員會亦於</w:t>
      </w:r>
      <w:r>
        <w:rPr>
          <w:rFonts w:ascii="標楷體" w:eastAsia="標楷體" w:hAnsi="標楷體" w:hint="eastAsia"/>
          <w:bCs/>
          <w:sz w:val="32"/>
          <w:szCs w:val="32"/>
        </w:rPr>
        <w:t>111</w:t>
      </w:r>
      <w:r w:rsidRPr="00B07E1A">
        <w:rPr>
          <w:rFonts w:ascii="標楷體" w:eastAsia="標楷體" w:hAnsi="標楷體" w:hint="eastAsia"/>
          <w:bCs/>
          <w:sz w:val="32"/>
          <w:szCs w:val="32"/>
        </w:rPr>
        <w:t>年3月公布臺灣2050淨零排放路徑，國家科學及技術委員會之施政目標亦扣合淨零科技領域，聚焦前瞻性或突破性之淨零科技研發，引導產業綠色轉型。經查南部科學園區111年至116年之用電負載量預計需求，將從111</w:t>
      </w:r>
      <w:r>
        <w:rPr>
          <w:rFonts w:ascii="標楷體" w:eastAsia="標楷體" w:hAnsi="標楷體" w:hint="eastAsia"/>
          <w:bCs/>
          <w:sz w:val="32"/>
          <w:szCs w:val="32"/>
        </w:rPr>
        <w:t>年</w:t>
      </w:r>
      <w:r w:rsidRPr="00B07E1A">
        <w:rPr>
          <w:rFonts w:ascii="標楷體" w:eastAsia="標楷體" w:hAnsi="標楷體" w:hint="eastAsia"/>
          <w:bCs/>
          <w:sz w:val="32"/>
          <w:szCs w:val="32"/>
        </w:rPr>
        <w:t>之225.96萬KW，提升至116年之342萬KW，顯見未來用電需求呈現逐年遞增之趨勢，而據科學園區管理局統計截至</w:t>
      </w:r>
      <w:r>
        <w:rPr>
          <w:rFonts w:ascii="標楷體" w:eastAsia="標楷體" w:hAnsi="標楷體" w:hint="eastAsia"/>
          <w:bCs/>
          <w:sz w:val="32"/>
          <w:szCs w:val="32"/>
        </w:rPr>
        <w:t>111</w:t>
      </w:r>
      <w:r w:rsidRPr="00B07E1A">
        <w:rPr>
          <w:rFonts w:ascii="標楷體" w:eastAsia="標楷體" w:hAnsi="標楷體" w:hint="eastAsia"/>
          <w:bCs/>
          <w:sz w:val="32"/>
          <w:szCs w:val="32"/>
        </w:rPr>
        <w:t>年7月底，南部科學園區太陽光電設備發電量僅</w:t>
      </w:r>
      <w:r>
        <w:rPr>
          <w:rFonts w:ascii="標楷體" w:eastAsia="標楷體" w:hAnsi="標楷體" w:hint="eastAsia"/>
          <w:bCs/>
          <w:sz w:val="32"/>
          <w:szCs w:val="32"/>
        </w:rPr>
        <w:t>占</w:t>
      </w:r>
      <w:r w:rsidRPr="00B07E1A">
        <w:rPr>
          <w:rFonts w:ascii="標楷體" w:eastAsia="標楷體" w:hAnsi="標楷體" w:hint="eastAsia"/>
          <w:bCs/>
          <w:sz w:val="32"/>
          <w:szCs w:val="32"/>
        </w:rPr>
        <w:t>園區用電量之比重2.83%，占比十分有限，國家科學及技術委員會應儘速研擬有效誘因與配套措施，持續鼓勵園區廠商設置太陽光電設備，增加再生能源發電量。綜上所述，爰請國家科學及技術委員會南部科學園區管理局於</w:t>
      </w:r>
      <w:r>
        <w:rPr>
          <w:rFonts w:ascii="標楷體" w:eastAsia="標楷體" w:hAnsi="標楷體" w:hint="eastAsia"/>
          <w:bCs/>
          <w:sz w:val="32"/>
          <w:szCs w:val="32"/>
        </w:rPr>
        <w:t>3</w:t>
      </w:r>
      <w:r w:rsidRPr="00B07E1A">
        <w:rPr>
          <w:rFonts w:ascii="標楷體" w:eastAsia="標楷體" w:hAnsi="標楷體" w:hint="eastAsia"/>
          <w:bCs/>
          <w:sz w:val="32"/>
          <w:szCs w:val="32"/>
        </w:rPr>
        <w:t>個月內向立法院</w:t>
      </w:r>
      <w:r w:rsidRPr="00E143F0">
        <w:rPr>
          <w:rFonts w:ascii="標楷體" w:eastAsia="標楷體" w:hAnsi="標楷體" w:hint="eastAsia"/>
          <w:bCs/>
          <w:sz w:val="32"/>
          <w:szCs w:val="32"/>
        </w:rPr>
        <w:t>教育及文化委員會提出改進作為書面報告。198</w:t>
      </w:r>
    </w:p>
    <w:p w:rsidR="00A52DD2" w:rsidRPr="00E143F0" w:rsidRDefault="00A52DD2" w:rsidP="00F035E0">
      <w:pPr>
        <w:snapToGrid w:val="0"/>
        <w:spacing w:line="460" w:lineRule="exact"/>
        <w:ind w:leftChars="1250" w:left="4280" w:hangingChars="400" w:hanging="1280"/>
        <w:jc w:val="both"/>
        <w:rPr>
          <w:rFonts w:ascii="標楷體" w:eastAsia="標楷體" w:hAnsi="標楷體"/>
          <w:sz w:val="32"/>
          <w:szCs w:val="32"/>
        </w:rPr>
      </w:pPr>
      <w:r w:rsidRPr="00E143F0">
        <w:rPr>
          <w:rFonts w:ascii="標楷體" w:eastAsia="標楷體" w:hAnsi="標楷體" w:hint="eastAsia"/>
          <w:sz w:val="32"/>
          <w:szCs w:val="32"/>
        </w:rPr>
        <w:t>提案人：吳思瑤</w:t>
      </w:r>
    </w:p>
    <w:p w:rsidR="00A52DD2" w:rsidRPr="00E143F0" w:rsidRDefault="00A52DD2" w:rsidP="00F035E0">
      <w:pPr>
        <w:snapToGrid w:val="0"/>
        <w:spacing w:line="460" w:lineRule="exact"/>
        <w:ind w:leftChars="1250" w:left="4280" w:hangingChars="400" w:hanging="1280"/>
        <w:jc w:val="both"/>
        <w:rPr>
          <w:rFonts w:ascii="標楷體" w:eastAsia="標楷體" w:hAnsi="標楷體"/>
          <w:sz w:val="32"/>
          <w:szCs w:val="32"/>
        </w:rPr>
      </w:pPr>
      <w:r w:rsidRPr="00E143F0">
        <w:rPr>
          <w:rFonts w:ascii="標楷體" w:eastAsia="標楷體" w:hAnsi="標楷體" w:hint="eastAsia"/>
          <w:sz w:val="32"/>
          <w:szCs w:val="32"/>
        </w:rPr>
        <w:t>連署人：林宜瑾  黃國書  陳秀寳</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sidRPr="00E143F0">
        <w:rPr>
          <w:rFonts w:ascii="標楷體" w:eastAsia="標楷體" w:hAnsi="標楷體" w:hint="eastAsia"/>
          <w:bCs/>
          <w:sz w:val="32"/>
          <w:szCs w:val="32"/>
        </w:rPr>
        <w:t>(四)112年度國家科學及技術委員會南部科學園區管理局「園區業務推展」項下「投資推廣」中「產學研發業務經費」預算</w:t>
      </w:r>
      <w:r w:rsidRPr="00B07E1A">
        <w:rPr>
          <w:rFonts w:ascii="標楷體" w:eastAsia="標楷體" w:hAnsi="標楷體" w:hint="eastAsia"/>
          <w:bCs/>
          <w:sz w:val="32"/>
          <w:szCs w:val="32"/>
        </w:rPr>
        <w:t>編列</w:t>
      </w:r>
      <w:r>
        <w:rPr>
          <w:rFonts w:ascii="標楷體" w:eastAsia="標楷體" w:hAnsi="標楷體" w:hint="eastAsia"/>
          <w:bCs/>
          <w:sz w:val="32"/>
          <w:szCs w:val="32"/>
        </w:rPr>
        <w:t>2</w:t>
      </w:r>
      <w:r>
        <w:rPr>
          <w:rFonts w:ascii="標楷體" w:eastAsia="標楷體" w:hAnsi="標楷體"/>
          <w:bCs/>
          <w:sz w:val="32"/>
          <w:szCs w:val="32"/>
        </w:rPr>
        <w:t>,</w:t>
      </w:r>
      <w:r>
        <w:rPr>
          <w:rFonts w:ascii="標楷體" w:eastAsia="標楷體" w:hAnsi="標楷體" w:hint="eastAsia"/>
          <w:bCs/>
          <w:sz w:val="32"/>
          <w:szCs w:val="32"/>
        </w:rPr>
        <w:t>0</w:t>
      </w:r>
      <w:r w:rsidRPr="00B07E1A">
        <w:rPr>
          <w:rFonts w:ascii="標楷體" w:eastAsia="標楷體" w:hAnsi="標楷體" w:hint="eastAsia"/>
          <w:bCs/>
          <w:sz w:val="32"/>
          <w:szCs w:val="32"/>
        </w:rPr>
        <w:t>06</w:t>
      </w:r>
      <w:r>
        <w:rPr>
          <w:rFonts w:ascii="標楷體" w:eastAsia="標楷體" w:hAnsi="標楷體" w:hint="eastAsia"/>
          <w:bCs/>
          <w:sz w:val="32"/>
          <w:szCs w:val="32"/>
        </w:rPr>
        <w:t>萬</w:t>
      </w:r>
      <w:r w:rsidRPr="00B07E1A">
        <w:rPr>
          <w:rFonts w:ascii="標楷體" w:eastAsia="標楷體" w:hAnsi="標楷體" w:hint="eastAsia"/>
          <w:bCs/>
          <w:sz w:val="32"/>
          <w:szCs w:val="32"/>
        </w:rPr>
        <w:t>3千元，較</w:t>
      </w:r>
      <w:r>
        <w:rPr>
          <w:rFonts w:ascii="標楷體" w:eastAsia="標楷體" w:hAnsi="標楷體" w:hint="eastAsia"/>
          <w:bCs/>
          <w:sz w:val="32"/>
          <w:szCs w:val="32"/>
        </w:rPr>
        <w:t>111</w:t>
      </w:r>
      <w:r w:rsidRPr="00B07E1A">
        <w:rPr>
          <w:rFonts w:ascii="標楷體" w:eastAsia="標楷體" w:hAnsi="標楷體" w:hint="eastAsia"/>
          <w:bCs/>
          <w:sz w:val="32"/>
          <w:szCs w:val="32"/>
        </w:rPr>
        <w:t>年度增列管理課程與專題研討人才培訓及科學園區人才培育補助計畫等經費</w:t>
      </w:r>
      <w:r>
        <w:rPr>
          <w:rFonts w:ascii="標楷體" w:eastAsia="標楷體" w:hAnsi="標楷體" w:hint="eastAsia"/>
          <w:bCs/>
          <w:sz w:val="32"/>
          <w:szCs w:val="32"/>
        </w:rPr>
        <w:t>5</w:t>
      </w:r>
      <w:r w:rsidRPr="00B07E1A">
        <w:rPr>
          <w:rFonts w:ascii="標楷體" w:eastAsia="標楷體" w:hAnsi="標楷體" w:hint="eastAsia"/>
          <w:bCs/>
          <w:sz w:val="32"/>
          <w:szCs w:val="32"/>
        </w:rPr>
        <w:t>21</w:t>
      </w:r>
      <w:r>
        <w:rPr>
          <w:rFonts w:ascii="標楷體" w:eastAsia="標楷體" w:hAnsi="標楷體" w:hint="eastAsia"/>
          <w:bCs/>
          <w:sz w:val="32"/>
          <w:szCs w:val="32"/>
        </w:rPr>
        <w:t>萬</w:t>
      </w:r>
      <w:r w:rsidRPr="00B07E1A">
        <w:rPr>
          <w:rFonts w:ascii="標楷體" w:eastAsia="標楷體" w:hAnsi="標楷體" w:hint="eastAsia"/>
          <w:bCs/>
          <w:sz w:val="32"/>
          <w:szCs w:val="32"/>
        </w:rPr>
        <w:t>1千元。經費增加較多，並未詳細說明使用效益，爰請國家科學及技術委員會南部科學園區管理局於</w:t>
      </w:r>
      <w:r>
        <w:rPr>
          <w:rFonts w:ascii="標楷體" w:eastAsia="標楷體" w:hAnsi="標楷體" w:hint="eastAsia"/>
          <w:bCs/>
          <w:sz w:val="32"/>
          <w:szCs w:val="32"/>
        </w:rPr>
        <w:t>3</w:t>
      </w:r>
      <w:r w:rsidRPr="00B07E1A">
        <w:rPr>
          <w:rFonts w:ascii="標楷體" w:eastAsia="標楷體" w:hAnsi="標楷體" w:hint="eastAsia"/>
          <w:bCs/>
          <w:sz w:val="32"/>
          <w:szCs w:val="32"/>
        </w:rPr>
        <w:t>個月內向立法院教育及</w:t>
      </w:r>
      <w:r w:rsidRPr="00B07E1A">
        <w:rPr>
          <w:rFonts w:ascii="標楷體" w:eastAsia="標楷體" w:hAnsi="標楷體" w:hint="eastAsia"/>
          <w:bCs/>
          <w:sz w:val="32"/>
          <w:szCs w:val="32"/>
        </w:rPr>
        <w:lastRenderedPageBreak/>
        <w:t>文化委員會提出書面報告。</w:t>
      </w:r>
      <w:r>
        <w:rPr>
          <w:rFonts w:ascii="標楷體" w:eastAsia="標楷體" w:hAnsi="標楷體" w:hint="eastAsia"/>
          <w:bCs/>
          <w:sz w:val="32"/>
          <w:szCs w:val="32"/>
        </w:rPr>
        <w:t>202</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鄭正鈐</w:t>
      </w:r>
    </w:p>
    <w:p w:rsidR="00A52DD2"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陳秀寳  黃國書</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(五)</w:t>
      </w:r>
      <w:r w:rsidRPr="00B07E1A">
        <w:rPr>
          <w:rFonts w:ascii="標楷體" w:eastAsia="標楷體" w:hAnsi="標楷體" w:hint="eastAsia"/>
          <w:bCs/>
          <w:sz w:val="32"/>
          <w:szCs w:val="32"/>
        </w:rPr>
        <w:t>112年度</w:t>
      </w:r>
      <w:r>
        <w:rPr>
          <w:rFonts w:ascii="標楷體" w:eastAsia="標楷體" w:hAnsi="標楷體" w:hint="eastAsia"/>
          <w:bCs/>
          <w:sz w:val="32"/>
          <w:szCs w:val="32"/>
        </w:rPr>
        <w:t>國家科學及技術委員會</w:t>
      </w:r>
      <w:r w:rsidRPr="00B07E1A">
        <w:rPr>
          <w:rFonts w:ascii="標楷體" w:eastAsia="標楷體" w:hAnsi="標楷體" w:hint="eastAsia"/>
          <w:bCs/>
          <w:sz w:val="32"/>
          <w:szCs w:val="32"/>
        </w:rPr>
        <w:t>南部科學園區管理局</w:t>
      </w:r>
      <w:r>
        <w:rPr>
          <w:rFonts w:ascii="標楷體" w:eastAsia="標楷體" w:hAnsi="標楷體" w:hint="eastAsia"/>
          <w:bCs/>
          <w:sz w:val="32"/>
          <w:szCs w:val="32"/>
        </w:rPr>
        <w:t>「園區業務推展」項下</w:t>
      </w:r>
      <w:r w:rsidRPr="00B07E1A">
        <w:rPr>
          <w:rFonts w:ascii="標楷體" w:eastAsia="標楷體" w:hAnsi="標楷體" w:hint="eastAsia"/>
          <w:bCs/>
          <w:sz w:val="32"/>
          <w:szCs w:val="32"/>
        </w:rPr>
        <w:t>「營建行政」</w:t>
      </w:r>
      <w:r>
        <w:rPr>
          <w:rFonts w:ascii="標楷體" w:eastAsia="標楷體" w:hAnsi="標楷體" w:hint="eastAsia"/>
          <w:bCs/>
          <w:sz w:val="32"/>
          <w:szCs w:val="32"/>
        </w:rPr>
        <w:t>計畫</w:t>
      </w:r>
      <w:r w:rsidRPr="00B07E1A">
        <w:rPr>
          <w:rFonts w:ascii="標楷體" w:eastAsia="標楷體" w:hAnsi="標楷體" w:hint="eastAsia"/>
          <w:bCs/>
          <w:sz w:val="32"/>
          <w:szCs w:val="32"/>
        </w:rPr>
        <w:t>辦理園區用電計畫審查，以及電力供需之協調、安全輔導等相關事項。有鑑於減碳、推動再生能源的發展已成為全球趨勢，許多大型國際企業如蘋果即要求供應鏈在2050年達到100%再生能源的目標。而我國也在</w:t>
      </w:r>
      <w:r>
        <w:rPr>
          <w:rFonts w:ascii="標楷體" w:eastAsia="標楷體" w:hAnsi="標楷體" w:hint="eastAsia"/>
          <w:bCs/>
          <w:sz w:val="32"/>
          <w:szCs w:val="32"/>
        </w:rPr>
        <w:t>111</w:t>
      </w:r>
      <w:r w:rsidRPr="00B07E1A">
        <w:rPr>
          <w:rFonts w:ascii="標楷體" w:eastAsia="標楷體" w:hAnsi="標楷體" w:hint="eastAsia"/>
          <w:bCs/>
          <w:sz w:val="32"/>
          <w:szCs w:val="32"/>
        </w:rPr>
        <w:t>年3月公布2050淨零排放</w:t>
      </w:r>
      <w:r>
        <w:rPr>
          <w:rFonts w:ascii="標楷體" w:eastAsia="標楷體" w:hAnsi="標楷體" w:hint="eastAsia"/>
          <w:bCs/>
          <w:sz w:val="32"/>
          <w:szCs w:val="32"/>
        </w:rPr>
        <w:t>路徑，以促進關鍵領域之技術、研究與創新，引導產業綠色轉型。經查</w:t>
      </w:r>
      <w:r w:rsidRPr="00B07E1A">
        <w:rPr>
          <w:rFonts w:ascii="標楷體" w:eastAsia="標楷體" w:hAnsi="標楷體" w:hint="eastAsia"/>
          <w:bCs/>
          <w:sz w:val="32"/>
          <w:szCs w:val="32"/>
        </w:rPr>
        <w:t>南</w:t>
      </w:r>
      <w:r>
        <w:rPr>
          <w:rFonts w:ascii="標楷體" w:eastAsia="標楷體" w:hAnsi="標楷體" w:hint="eastAsia"/>
          <w:bCs/>
          <w:sz w:val="32"/>
          <w:szCs w:val="32"/>
        </w:rPr>
        <w:t>部</w:t>
      </w:r>
      <w:r w:rsidRPr="00B07E1A">
        <w:rPr>
          <w:rFonts w:ascii="標楷體" w:eastAsia="標楷體" w:hAnsi="標楷體" w:hint="eastAsia"/>
          <w:bCs/>
          <w:sz w:val="32"/>
          <w:szCs w:val="32"/>
        </w:rPr>
        <w:t>科</w:t>
      </w:r>
      <w:r>
        <w:rPr>
          <w:rFonts w:ascii="標楷體" w:eastAsia="標楷體" w:hAnsi="標楷體" w:hint="eastAsia"/>
          <w:bCs/>
          <w:sz w:val="32"/>
          <w:szCs w:val="32"/>
        </w:rPr>
        <w:t>學園區</w:t>
      </w:r>
      <w:r w:rsidRPr="00B07E1A">
        <w:rPr>
          <w:rFonts w:ascii="標楷體" w:eastAsia="標楷體" w:hAnsi="標楷體" w:hint="eastAsia"/>
          <w:bCs/>
          <w:sz w:val="32"/>
          <w:szCs w:val="32"/>
        </w:rPr>
        <w:t>111至116年用電負載量預計需求，將從111年之225.96萬KW，至116年將達342萬KW，未來用電需求明顯呈現逐年遞增的趨勢。而截至</w:t>
      </w:r>
      <w:r>
        <w:rPr>
          <w:rFonts w:ascii="標楷體" w:eastAsia="標楷體" w:hAnsi="標楷體" w:hint="eastAsia"/>
          <w:bCs/>
          <w:sz w:val="32"/>
          <w:szCs w:val="32"/>
        </w:rPr>
        <w:t>111</w:t>
      </w:r>
      <w:r w:rsidRPr="00B07E1A">
        <w:rPr>
          <w:rFonts w:ascii="標楷體" w:eastAsia="標楷體" w:hAnsi="標楷體" w:hint="eastAsia"/>
          <w:bCs/>
          <w:sz w:val="32"/>
          <w:szCs w:val="32"/>
        </w:rPr>
        <w:t>年7月底，南</w:t>
      </w:r>
      <w:r>
        <w:rPr>
          <w:rFonts w:ascii="標楷體" w:eastAsia="標楷體" w:hAnsi="標楷體" w:hint="eastAsia"/>
          <w:bCs/>
          <w:sz w:val="32"/>
          <w:szCs w:val="32"/>
        </w:rPr>
        <w:t>部</w:t>
      </w:r>
      <w:r w:rsidRPr="00B07E1A">
        <w:rPr>
          <w:rFonts w:ascii="標楷體" w:eastAsia="標楷體" w:hAnsi="標楷體" w:hint="eastAsia"/>
          <w:bCs/>
          <w:sz w:val="32"/>
          <w:szCs w:val="32"/>
        </w:rPr>
        <w:t>科</w:t>
      </w:r>
      <w:r>
        <w:rPr>
          <w:rFonts w:ascii="標楷體" w:eastAsia="標楷體" w:hAnsi="標楷體" w:hint="eastAsia"/>
          <w:bCs/>
          <w:sz w:val="32"/>
          <w:szCs w:val="32"/>
        </w:rPr>
        <w:t>學園區</w:t>
      </w:r>
      <w:r w:rsidRPr="00B07E1A">
        <w:rPr>
          <w:rFonts w:ascii="標楷體" w:eastAsia="標楷體" w:hAnsi="標楷體" w:hint="eastAsia"/>
          <w:bCs/>
          <w:sz w:val="32"/>
          <w:szCs w:val="32"/>
        </w:rPr>
        <w:t>太陽光電設備發電量僅</w:t>
      </w:r>
      <w:r>
        <w:rPr>
          <w:rFonts w:ascii="標楷體" w:eastAsia="標楷體" w:hAnsi="標楷體" w:hint="eastAsia"/>
          <w:bCs/>
          <w:sz w:val="32"/>
          <w:szCs w:val="32"/>
        </w:rPr>
        <w:t>占</w:t>
      </w:r>
      <w:r w:rsidRPr="00B07E1A">
        <w:rPr>
          <w:rFonts w:ascii="標楷體" w:eastAsia="標楷體" w:hAnsi="標楷體" w:hint="eastAsia"/>
          <w:bCs/>
          <w:sz w:val="32"/>
          <w:szCs w:val="32"/>
        </w:rPr>
        <w:t>園區用電量之比重2.83%，占比十分有限。綜上，國家科學及技術委員會南部科學園區管理局應審慎研擬有效誘因與配套措施，持續鼓勵、督促園區廠商設置太陽光電設備，以增加再生能源發電量，因應未來用電需求</w:t>
      </w:r>
      <w:r>
        <w:rPr>
          <w:rFonts w:ascii="標楷體" w:eastAsia="標楷體" w:hAnsi="標楷體" w:hint="eastAsia"/>
          <w:bCs/>
          <w:sz w:val="32"/>
          <w:szCs w:val="32"/>
        </w:rPr>
        <w:t>，並</w:t>
      </w:r>
      <w:r w:rsidRPr="00B07E1A">
        <w:rPr>
          <w:rFonts w:ascii="標楷體" w:eastAsia="標楷體" w:hAnsi="標楷體" w:hint="eastAsia"/>
          <w:bCs/>
          <w:sz w:val="32"/>
          <w:szCs w:val="32"/>
        </w:rPr>
        <w:t>於</w:t>
      </w:r>
      <w:r>
        <w:rPr>
          <w:rFonts w:ascii="標楷體" w:eastAsia="標楷體" w:hAnsi="標楷體" w:hint="eastAsia"/>
          <w:bCs/>
          <w:sz w:val="32"/>
          <w:szCs w:val="32"/>
        </w:rPr>
        <w:t>3個月內</w:t>
      </w:r>
      <w:r w:rsidRPr="00B07E1A">
        <w:rPr>
          <w:rFonts w:ascii="標楷體" w:eastAsia="標楷體" w:hAnsi="標楷體" w:hint="eastAsia"/>
          <w:bCs/>
          <w:sz w:val="32"/>
          <w:szCs w:val="32"/>
        </w:rPr>
        <w:t>向立法院教育及文化委員會提出書面報告。</w:t>
      </w:r>
      <w:r>
        <w:rPr>
          <w:rFonts w:ascii="標楷體" w:eastAsia="標楷體" w:hAnsi="標楷體" w:hint="eastAsia"/>
          <w:bCs/>
          <w:sz w:val="32"/>
          <w:szCs w:val="32"/>
        </w:rPr>
        <w:t>203</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張廖萬堅</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連署人：</w:t>
      </w:r>
      <w:r>
        <w:rPr>
          <w:rFonts w:ascii="標楷體" w:eastAsia="標楷體" w:hAnsi="標楷體" w:hint="eastAsia"/>
          <w:sz w:val="32"/>
          <w:szCs w:val="32"/>
        </w:rPr>
        <w:t>黃國書  陳秀寳</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Pr>
          <w:rFonts w:ascii="標楷體" w:eastAsia="標楷體" w:hAnsi="標楷體" w:hint="eastAsia"/>
          <w:bCs/>
          <w:sz w:val="32"/>
          <w:szCs w:val="32"/>
        </w:rPr>
        <w:t>(六)</w:t>
      </w:r>
      <w:r w:rsidRPr="00B07E1A">
        <w:rPr>
          <w:rFonts w:ascii="標楷體" w:eastAsia="標楷體" w:hAnsi="標楷體" w:hint="eastAsia"/>
          <w:bCs/>
          <w:sz w:val="32"/>
          <w:szCs w:val="32"/>
        </w:rPr>
        <w:t>112年度國家科學及技術委員會南部科學園區管理局「園區業務推展」項下「建管行政」編列</w:t>
      </w:r>
      <w:r>
        <w:rPr>
          <w:rFonts w:ascii="標楷體" w:eastAsia="標楷體" w:hAnsi="標楷體" w:hint="eastAsia"/>
          <w:bCs/>
          <w:sz w:val="32"/>
          <w:szCs w:val="32"/>
        </w:rPr>
        <w:t>之</w:t>
      </w:r>
      <w:r w:rsidRPr="00B07E1A">
        <w:rPr>
          <w:rFonts w:ascii="標楷體" w:eastAsia="標楷體" w:hAnsi="標楷體" w:hint="eastAsia"/>
          <w:bCs/>
          <w:sz w:val="32"/>
          <w:szCs w:val="32"/>
        </w:rPr>
        <w:t>預算包含辦理園區各期都市計畫及土地使用規劃業務及永續園區等業務。按國科會提供之111至116</w:t>
      </w:r>
      <w:r>
        <w:rPr>
          <w:rFonts w:ascii="標楷體" w:eastAsia="標楷體" w:hAnsi="標楷體" w:hint="eastAsia"/>
          <w:bCs/>
          <w:sz w:val="32"/>
          <w:szCs w:val="32"/>
        </w:rPr>
        <w:t>年</w:t>
      </w:r>
      <w:r w:rsidRPr="00B07E1A">
        <w:rPr>
          <w:rFonts w:ascii="標楷體" w:eastAsia="標楷體" w:hAnsi="標楷體" w:hint="eastAsia"/>
          <w:bCs/>
          <w:sz w:val="32"/>
          <w:szCs w:val="32"/>
        </w:rPr>
        <w:t>用電負載量預計需求南部科學園區111</w:t>
      </w:r>
      <w:r>
        <w:rPr>
          <w:rFonts w:ascii="標楷體" w:eastAsia="標楷體" w:hAnsi="標楷體" w:hint="eastAsia"/>
          <w:bCs/>
          <w:sz w:val="32"/>
          <w:szCs w:val="32"/>
        </w:rPr>
        <w:t>年</w:t>
      </w:r>
      <w:r w:rsidRPr="00B07E1A">
        <w:rPr>
          <w:rFonts w:ascii="標楷體" w:eastAsia="標楷體" w:hAnsi="標楷體" w:hint="eastAsia"/>
          <w:bCs/>
          <w:sz w:val="32"/>
          <w:szCs w:val="32"/>
        </w:rPr>
        <w:t>預計用電負載量為225.96萬KW、113</w:t>
      </w:r>
      <w:r>
        <w:rPr>
          <w:rFonts w:ascii="標楷體" w:eastAsia="標楷體" w:hAnsi="標楷體" w:hint="eastAsia"/>
          <w:bCs/>
          <w:sz w:val="32"/>
          <w:szCs w:val="32"/>
        </w:rPr>
        <w:t>年</w:t>
      </w:r>
      <w:r w:rsidRPr="00B07E1A">
        <w:rPr>
          <w:rFonts w:ascii="標楷體" w:eastAsia="標楷體" w:hAnsi="標楷體" w:hint="eastAsia"/>
          <w:bCs/>
          <w:sz w:val="32"/>
          <w:szCs w:val="32"/>
        </w:rPr>
        <w:t>為266.76萬KW，連年增加至116</w:t>
      </w:r>
      <w:r>
        <w:rPr>
          <w:rFonts w:ascii="標楷體" w:eastAsia="標楷體" w:hAnsi="標楷體" w:hint="eastAsia"/>
          <w:bCs/>
          <w:sz w:val="32"/>
          <w:szCs w:val="32"/>
        </w:rPr>
        <w:t>年</w:t>
      </w:r>
      <w:r w:rsidRPr="00B07E1A">
        <w:rPr>
          <w:rFonts w:ascii="標楷體" w:eastAsia="標楷體" w:hAnsi="標楷體" w:hint="eastAsia"/>
          <w:bCs/>
          <w:sz w:val="32"/>
          <w:szCs w:val="32"/>
        </w:rPr>
        <w:t>的342萬KW，總增幅達到51.35%。惟據南科管理局111年7月統計，園區太陽光電設備發電量僅</w:t>
      </w:r>
      <w:r>
        <w:rPr>
          <w:rFonts w:ascii="標楷體" w:eastAsia="標楷體" w:hAnsi="標楷體" w:hint="eastAsia"/>
          <w:bCs/>
          <w:sz w:val="32"/>
          <w:szCs w:val="32"/>
        </w:rPr>
        <w:t>占</w:t>
      </w:r>
      <w:r w:rsidRPr="00B07E1A">
        <w:rPr>
          <w:rFonts w:ascii="標楷體" w:eastAsia="標楷體" w:hAnsi="標楷體" w:hint="eastAsia"/>
          <w:bCs/>
          <w:sz w:val="32"/>
          <w:szCs w:val="32"/>
        </w:rPr>
        <w:t>總用電量2.83%，</w:t>
      </w:r>
      <w:r>
        <w:rPr>
          <w:rFonts w:ascii="標楷體" w:eastAsia="標楷體" w:hAnsi="標楷體" w:hint="eastAsia"/>
          <w:bCs/>
          <w:sz w:val="32"/>
          <w:szCs w:val="32"/>
        </w:rPr>
        <w:t>國家科學及技術委員會</w:t>
      </w:r>
      <w:r w:rsidRPr="00B07E1A">
        <w:rPr>
          <w:rFonts w:ascii="標楷體" w:eastAsia="標楷體" w:hAnsi="標楷體" w:hint="eastAsia"/>
          <w:bCs/>
          <w:sz w:val="32"/>
          <w:szCs w:val="32"/>
        </w:rPr>
        <w:t>南部科學園區管理局</w:t>
      </w:r>
      <w:r w:rsidRPr="00B07E1A">
        <w:rPr>
          <w:rFonts w:ascii="標楷體" w:eastAsia="標楷體" w:hAnsi="標楷體" w:hint="eastAsia"/>
          <w:bCs/>
          <w:sz w:val="32"/>
          <w:szCs w:val="32"/>
        </w:rPr>
        <w:lastRenderedPageBreak/>
        <w:t>允宜持續鼓勵廠商設置再生能源設備，並配合2050年淨零排放之時程，穩定園區之用電，俾利科技產業發展</w:t>
      </w:r>
      <w:r>
        <w:rPr>
          <w:rFonts w:ascii="標楷體" w:eastAsia="標楷體" w:hAnsi="標楷體" w:hint="eastAsia"/>
          <w:bCs/>
          <w:sz w:val="32"/>
          <w:szCs w:val="32"/>
        </w:rPr>
        <w:t>，並</w:t>
      </w:r>
      <w:r w:rsidRPr="00B07E1A">
        <w:rPr>
          <w:rFonts w:ascii="標楷體" w:eastAsia="標楷體" w:hAnsi="標楷體" w:hint="eastAsia"/>
          <w:bCs/>
          <w:sz w:val="32"/>
          <w:szCs w:val="32"/>
        </w:rPr>
        <w:t>於</w:t>
      </w:r>
      <w:r>
        <w:rPr>
          <w:rFonts w:ascii="標楷體" w:eastAsia="標楷體" w:hAnsi="標楷體" w:hint="eastAsia"/>
          <w:bCs/>
          <w:sz w:val="32"/>
          <w:szCs w:val="32"/>
        </w:rPr>
        <w:t>3</w:t>
      </w:r>
      <w:r w:rsidRPr="00B07E1A">
        <w:rPr>
          <w:rFonts w:ascii="標楷體" w:eastAsia="標楷體" w:hAnsi="標楷體" w:hint="eastAsia"/>
          <w:bCs/>
          <w:sz w:val="32"/>
          <w:szCs w:val="32"/>
        </w:rPr>
        <w:t>個月內向立法院教育及文化委員會提出書面報告。</w:t>
      </w:r>
      <w:r>
        <w:rPr>
          <w:rFonts w:ascii="標楷體" w:eastAsia="標楷體" w:hAnsi="標楷體" w:hint="eastAsia"/>
          <w:bCs/>
          <w:sz w:val="32"/>
          <w:szCs w:val="32"/>
        </w:rPr>
        <w:t>204</w:t>
      </w:r>
    </w:p>
    <w:p w:rsidR="00A52DD2" w:rsidRPr="00E94241" w:rsidRDefault="00A52DD2" w:rsidP="00F035E0">
      <w:pPr>
        <w:snapToGrid w:val="0"/>
        <w:spacing w:line="460" w:lineRule="exact"/>
        <w:ind w:leftChars="1250" w:left="4280" w:hangingChars="400" w:hanging="1280"/>
        <w:jc w:val="both"/>
        <w:rPr>
          <w:rFonts w:ascii="標楷體" w:eastAsia="標楷體" w:hAnsi="標楷體"/>
          <w:sz w:val="32"/>
          <w:szCs w:val="32"/>
        </w:rPr>
      </w:pPr>
      <w:r w:rsidRPr="00E94241">
        <w:rPr>
          <w:rFonts w:ascii="標楷體" w:eastAsia="標楷體" w:hAnsi="標楷體" w:hint="eastAsia"/>
          <w:sz w:val="32"/>
          <w:szCs w:val="32"/>
        </w:rPr>
        <w:t>提案人：</w:t>
      </w:r>
      <w:r>
        <w:rPr>
          <w:rFonts w:ascii="標楷體" w:eastAsia="標楷體" w:hAnsi="標楷體" w:hint="eastAsia"/>
          <w:sz w:val="32"/>
          <w:szCs w:val="32"/>
        </w:rPr>
        <w:t>陳秀寳</w:t>
      </w:r>
    </w:p>
    <w:p w:rsidR="00A52DD2" w:rsidRPr="0000524E" w:rsidRDefault="00A52DD2" w:rsidP="00F035E0">
      <w:pPr>
        <w:snapToGrid w:val="0"/>
        <w:spacing w:line="460" w:lineRule="exact"/>
        <w:ind w:leftChars="1250" w:left="4280" w:hangingChars="400" w:hanging="1280"/>
        <w:jc w:val="both"/>
        <w:rPr>
          <w:rFonts w:ascii="標楷體" w:eastAsia="標楷體" w:hAnsi="標楷體"/>
          <w:bCs/>
          <w:sz w:val="32"/>
          <w:szCs w:val="32"/>
        </w:rPr>
      </w:pPr>
      <w:r w:rsidRPr="00E94241">
        <w:rPr>
          <w:rFonts w:ascii="標楷體" w:eastAsia="標楷體" w:hAnsi="標楷體" w:hint="eastAsia"/>
          <w:sz w:val="32"/>
          <w:szCs w:val="32"/>
        </w:rPr>
        <w:t>連署人：</w:t>
      </w:r>
      <w:r>
        <w:rPr>
          <w:rFonts w:ascii="標楷體" w:eastAsia="標楷體" w:hAnsi="標楷體" w:hint="eastAsia"/>
          <w:bCs/>
          <w:sz w:val="32"/>
          <w:szCs w:val="32"/>
        </w:rPr>
        <w:t>黃國書  林宜瑾</w:t>
      </w:r>
    </w:p>
    <w:p w:rsidR="00A52DD2" w:rsidRPr="00F371D9" w:rsidRDefault="00A52DD2" w:rsidP="00F035E0">
      <w:pPr>
        <w:spacing w:beforeLines="50" w:before="180" w:afterLines="50" w:after="180" w:line="500" w:lineRule="exact"/>
        <w:ind w:left="640" w:hangingChars="200" w:hanging="640"/>
        <w:jc w:val="both"/>
        <w:rPr>
          <w:rFonts w:ascii="標楷體" w:eastAsia="標楷體" w:hAnsi="標楷體"/>
          <w:color w:val="000000"/>
          <w:sz w:val="32"/>
          <w:szCs w:val="32"/>
        </w:rPr>
      </w:pPr>
      <w:r>
        <w:rPr>
          <w:rFonts w:ascii="標楷體" w:eastAsia="標楷體" w:hAnsi="標楷體" w:hint="eastAsia"/>
          <w:bCs/>
          <w:sz w:val="32"/>
          <w:szCs w:val="32"/>
        </w:rPr>
        <w:t>二</w:t>
      </w:r>
      <w:r w:rsidRPr="00F371D9">
        <w:rPr>
          <w:rFonts w:ascii="標楷體" w:eastAsia="標楷體" w:hAnsi="標楷體" w:hint="eastAsia"/>
          <w:bCs/>
          <w:sz w:val="32"/>
          <w:szCs w:val="32"/>
        </w:rPr>
        <w:t>、</w:t>
      </w:r>
      <w:r w:rsidRPr="00F371D9">
        <w:rPr>
          <w:rFonts w:ascii="標楷體" w:eastAsia="標楷體" w:hAnsi="標楷體" w:hint="eastAsia"/>
          <w:sz w:val="32"/>
          <w:szCs w:val="32"/>
        </w:rPr>
        <w:t>112年度中央政府總預算案有關</w:t>
      </w:r>
      <w:r w:rsidRPr="00F371D9">
        <w:rPr>
          <w:rFonts w:ascii="標楷體" w:eastAsia="標楷體" w:hint="eastAsia"/>
          <w:color w:val="000000"/>
          <w:sz w:val="32"/>
          <w:szCs w:val="32"/>
        </w:rPr>
        <w:t>行政院主管行政院國家科學技術發展基金附屬單位</w:t>
      </w:r>
      <w:r w:rsidRPr="00F371D9">
        <w:rPr>
          <w:rFonts w:ascii="標楷體" w:eastAsia="標楷體" w:hAnsi="標楷體" w:hint="eastAsia"/>
          <w:sz w:val="32"/>
          <w:szCs w:val="32"/>
        </w:rPr>
        <w:t>預算案，審查完竣。審查結果如下：</w:t>
      </w:r>
    </w:p>
    <w:p w:rsidR="00A52DD2" w:rsidRPr="00F371D9" w:rsidRDefault="00A52DD2" w:rsidP="00F035E0">
      <w:pPr>
        <w:kinsoku w:val="0"/>
        <w:overflowPunct w:val="0"/>
        <w:spacing w:line="500" w:lineRule="exact"/>
        <w:ind w:leftChars="200" w:left="1120" w:hangingChars="200" w:hanging="640"/>
        <w:jc w:val="both"/>
        <w:textAlignment w:val="center"/>
        <w:rPr>
          <w:rFonts w:ascii="標楷體" w:eastAsia="標楷體" w:hAnsi="標楷體"/>
          <w:sz w:val="32"/>
          <w:szCs w:val="32"/>
        </w:rPr>
      </w:pPr>
      <w:r w:rsidRPr="00F371D9">
        <w:rPr>
          <w:rFonts w:ascii="標楷體" w:eastAsia="標楷體" w:hAnsi="標楷體" w:hint="eastAsia"/>
          <w:sz w:val="32"/>
          <w:szCs w:val="32"/>
        </w:rPr>
        <w:t>(一)業務計畫：應依據基金來源與用途審查結果，隨同調整。</w:t>
      </w:r>
    </w:p>
    <w:p w:rsidR="00A52DD2" w:rsidRPr="00881FFF" w:rsidRDefault="00A52DD2" w:rsidP="00F035E0">
      <w:pPr>
        <w:kinsoku w:val="0"/>
        <w:overflowPunct w:val="0"/>
        <w:spacing w:line="500" w:lineRule="exact"/>
        <w:ind w:leftChars="200" w:left="1120" w:hangingChars="200" w:hanging="640"/>
        <w:jc w:val="both"/>
        <w:textAlignment w:val="center"/>
        <w:rPr>
          <w:rFonts w:ascii="標楷體" w:eastAsia="標楷體" w:hAnsi="標楷體"/>
          <w:sz w:val="32"/>
          <w:szCs w:val="32"/>
        </w:rPr>
      </w:pPr>
      <w:r w:rsidRPr="00881FFF">
        <w:rPr>
          <w:rFonts w:ascii="標楷體" w:eastAsia="標楷體" w:hAnsi="標楷體" w:hint="eastAsia"/>
          <w:sz w:val="32"/>
          <w:szCs w:val="32"/>
        </w:rPr>
        <w:t>(二)基金來源、用途及餘絀：</w:t>
      </w:r>
    </w:p>
    <w:p w:rsidR="00A52DD2" w:rsidRPr="00881FFF" w:rsidRDefault="00A52DD2" w:rsidP="00F035E0">
      <w:pPr>
        <w:kinsoku w:val="0"/>
        <w:overflowPunct w:val="0"/>
        <w:spacing w:line="500" w:lineRule="exact"/>
        <w:ind w:leftChars="450" w:left="1400" w:hangingChars="100" w:hanging="320"/>
        <w:jc w:val="both"/>
        <w:textAlignment w:val="center"/>
        <w:rPr>
          <w:rFonts w:ascii="標楷體" w:eastAsia="標楷體" w:hAnsi="標楷體"/>
          <w:sz w:val="32"/>
          <w:szCs w:val="32"/>
        </w:rPr>
      </w:pPr>
      <w:r w:rsidRPr="00881FFF">
        <w:rPr>
          <w:rFonts w:ascii="標楷體" w:eastAsia="標楷體" w:hAnsi="標楷體" w:hint="eastAsia"/>
          <w:sz w:val="32"/>
          <w:szCs w:val="32"/>
        </w:rPr>
        <w:t>1.基金來源：原列431億3,828萬5千元，增列</w:t>
      </w:r>
      <w:r w:rsidRPr="00881FFF">
        <w:rPr>
          <w:rFonts w:ascii="新細明體" w:hAnsi="新細明體" w:hint="eastAsia"/>
          <w:sz w:val="32"/>
          <w:szCs w:val="32"/>
        </w:rPr>
        <w:t>「</w:t>
      </w:r>
      <w:r w:rsidRPr="00881FFF">
        <w:rPr>
          <w:rFonts w:ascii="標楷體" w:eastAsia="標楷體" w:hAnsi="標楷體" w:hint="eastAsia"/>
          <w:sz w:val="32"/>
          <w:szCs w:val="32"/>
        </w:rPr>
        <w:t>財產收入」項下「權利金收入」</w:t>
      </w:r>
      <w:r w:rsidRPr="00881FFF">
        <w:rPr>
          <w:rFonts w:ascii="標楷體" w:eastAsia="標楷體" w:hAnsi="標楷體"/>
          <w:sz w:val="32"/>
          <w:szCs w:val="32"/>
        </w:rPr>
        <w:t>1</w:t>
      </w:r>
      <w:r w:rsidRPr="00881FFF">
        <w:rPr>
          <w:rFonts w:ascii="標楷體" w:eastAsia="標楷體" w:hAnsi="標楷體" w:hint="eastAsia"/>
          <w:sz w:val="32"/>
          <w:szCs w:val="32"/>
        </w:rPr>
        <w:t>,000萬元，其餘均照列，改列為</w:t>
      </w:r>
      <w:r w:rsidRPr="00881FFF">
        <w:rPr>
          <w:rFonts w:ascii="標楷體" w:eastAsia="標楷體" w:hAnsi="標楷體"/>
          <w:sz w:val="32"/>
          <w:szCs w:val="32"/>
        </w:rPr>
        <w:t>431</w:t>
      </w:r>
      <w:r w:rsidRPr="00881FFF">
        <w:rPr>
          <w:rFonts w:ascii="標楷體" w:eastAsia="標楷體" w:hAnsi="標楷體" w:hint="eastAsia"/>
          <w:sz w:val="32"/>
          <w:szCs w:val="32"/>
        </w:rPr>
        <w:t>億</w:t>
      </w:r>
      <w:r w:rsidRPr="00881FFF">
        <w:rPr>
          <w:rFonts w:ascii="標楷體" w:eastAsia="標楷體" w:hAnsi="標楷體"/>
          <w:sz w:val="32"/>
          <w:szCs w:val="32"/>
        </w:rPr>
        <w:t>4</w:t>
      </w:r>
      <w:r w:rsidRPr="00881FFF">
        <w:rPr>
          <w:rFonts w:ascii="標楷體" w:eastAsia="標楷體" w:hAnsi="標楷體" w:hint="eastAsia"/>
          <w:sz w:val="32"/>
          <w:szCs w:val="32"/>
        </w:rPr>
        <w:t>,</w:t>
      </w:r>
      <w:r w:rsidRPr="00881FFF">
        <w:rPr>
          <w:rFonts w:ascii="標楷體" w:eastAsia="標楷體" w:hAnsi="標楷體"/>
          <w:sz w:val="32"/>
          <w:szCs w:val="32"/>
        </w:rPr>
        <w:t>828</w:t>
      </w:r>
      <w:r w:rsidRPr="00881FFF">
        <w:rPr>
          <w:rFonts w:ascii="標楷體" w:eastAsia="標楷體" w:hAnsi="標楷體" w:hint="eastAsia"/>
          <w:sz w:val="32"/>
          <w:szCs w:val="32"/>
        </w:rPr>
        <w:t>萬</w:t>
      </w:r>
      <w:r w:rsidRPr="00881FFF">
        <w:rPr>
          <w:rFonts w:ascii="標楷體" w:eastAsia="標楷體" w:hAnsi="標楷體"/>
          <w:sz w:val="32"/>
          <w:szCs w:val="32"/>
        </w:rPr>
        <w:t>5</w:t>
      </w:r>
      <w:r w:rsidRPr="00881FFF">
        <w:rPr>
          <w:rFonts w:ascii="標楷體" w:eastAsia="標楷體" w:hAnsi="標楷體" w:hint="eastAsia"/>
          <w:sz w:val="32"/>
          <w:szCs w:val="32"/>
        </w:rPr>
        <w:t>千元。</w:t>
      </w:r>
    </w:p>
    <w:p w:rsidR="00A52DD2" w:rsidRPr="00881FFF" w:rsidRDefault="00A52DD2" w:rsidP="00F035E0">
      <w:pPr>
        <w:kinsoku w:val="0"/>
        <w:overflowPunct w:val="0"/>
        <w:spacing w:line="500" w:lineRule="exact"/>
        <w:ind w:leftChars="450" w:left="1400" w:hangingChars="100" w:hanging="320"/>
        <w:jc w:val="both"/>
        <w:textAlignment w:val="center"/>
        <w:rPr>
          <w:rFonts w:ascii="標楷體" w:eastAsia="標楷體" w:hAnsi="標楷體"/>
          <w:sz w:val="32"/>
          <w:szCs w:val="32"/>
        </w:rPr>
      </w:pPr>
      <w:r w:rsidRPr="00881FFF">
        <w:rPr>
          <w:rFonts w:ascii="標楷體" w:eastAsia="標楷體" w:hAnsi="標楷體" w:hint="eastAsia"/>
          <w:sz w:val="32"/>
          <w:szCs w:val="32"/>
        </w:rPr>
        <w:t>2.基金用途：431億3,828萬5千元，照列。</w:t>
      </w:r>
    </w:p>
    <w:p w:rsidR="00A52DD2" w:rsidRPr="00881FFF" w:rsidRDefault="00A52DD2" w:rsidP="00F035E0">
      <w:pPr>
        <w:kinsoku w:val="0"/>
        <w:overflowPunct w:val="0"/>
        <w:spacing w:line="500" w:lineRule="exact"/>
        <w:ind w:leftChars="450" w:left="1400" w:hangingChars="100" w:hanging="320"/>
        <w:jc w:val="both"/>
        <w:textAlignment w:val="center"/>
        <w:rPr>
          <w:rFonts w:ascii="標楷體" w:eastAsia="標楷體" w:hAnsi="標楷體"/>
          <w:sz w:val="32"/>
          <w:szCs w:val="32"/>
        </w:rPr>
      </w:pPr>
      <w:r w:rsidRPr="00881FFF">
        <w:rPr>
          <w:rFonts w:ascii="標楷體" w:eastAsia="標楷體" w:hAnsi="標楷體" w:hint="eastAsia"/>
          <w:sz w:val="32"/>
          <w:szCs w:val="32"/>
        </w:rPr>
        <w:t>3.本期</w:t>
      </w:r>
      <w:r w:rsidRPr="00881FFF">
        <w:rPr>
          <w:rFonts w:ascii="標楷體" w:eastAsia="標楷體" w:hAnsi="標楷體"/>
          <w:sz w:val="32"/>
          <w:szCs w:val="32"/>
        </w:rPr>
        <w:t>賸餘</w:t>
      </w:r>
      <w:r w:rsidRPr="00881FFF">
        <w:rPr>
          <w:rFonts w:ascii="標楷體" w:eastAsia="標楷體" w:hAnsi="標楷體" w:hint="eastAsia"/>
          <w:sz w:val="32"/>
          <w:szCs w:val="32"/>
        </w:rPr>
        <w:t>：原列0元，增列1,000萬元，改列為1</w:t>
      </w:r>
      <w:r w:rsidRPr="00881FFF">
        <w:rPr>
          <w:rFonts w:ascii="標楷體" w:eastAsia="標楷體" w:hAnsi="標楷體"/>
          <w:sz w:val="32"/>
          <w:szCs w:val="32"/>
        </w:rPr>
        <w:t>,</w:t>
      </w:r>
      <w:r w:rsidRPr="00881FFF">
        <w:rPr>
          <w:rFonts w:ascii="標楷體" w:eastAsia="標楷體" w:hAnsi="標楷體" w:hint="eastAsia"/>
          <w:sz w:val="32"/>
          <w:szCs w:val="32"/>
        </w:rPr>
        <w:t>000萬元。</w:t>
      </w:r>
    </w:p>
    <w:p w:rsidR="00A52DD2" w:rsidRPr="00F371D9" w:rsidRDefault="00A52DD2" w:rsidP="00F035E0">
      <w:pPr>
        <w:kinsoku w:val="0"/>
        <w:overflowPunct w:val="0"/>
        <w:spacing w:line="500" w:lineRule="exact"/>
        <w:ind w:leftChars="200" w:left="1120" w:hangingChars="200" w:hanging="640"/>
        <w:jc w:val="both"/>
        <w:textAlignment w:val="center"/>
        <w:rPr>
          <w:rFonts w:ascii="標楷體" w:eastAsia="標楷體" w:hAnsi="標楷體"/>
          <w:sz w:val="32"/>
          <w:szCs w:val="32"/>
        </w:rPr>
      </w:pPr>
      <w:r w:rsidRPr="00F371D9">
        <w:rPr>
          <w:rFonts w:ascii="標楷體" w:eastAsia="標楷體" w:hAnsi="標楷體" w:hint="eastAsia"/>
          <w:sz w:val="32"/>
          <w:szCs w:val="32"/>
        </w:rPr>
        <w:t>(三)</w:t>
      </w:r>
      <w:r w:rsidRPr="00F371D9">
        <w:rPr>
          <w:rFonts w:ascii="標楷體" w:eastAsia="標楷體" w:hAnsi="標楷體"/>
          <w:sz w:val="32"/>
          <w:szCs w:val="32"/>
        </w:rPr>
        <w:t>解繳</w:t>
      </w:r>
      <w:r w:rsidRPr="00F371D9">
        <w:rPr>
          <w:rFonts w:ascii="標楷體" w:eastAsia="標楷體" w:hAnsi="標楷體" w:hint="eastAsia"/>
          <w:sz w:val="32"/>
          <w:szCs w:val="32"/>
        </w:rPr>
        <w:t>公</w:t>
      </w:r>
      <w:r w:rsidRPr="00F371D9">
        <w:rPr>
          <w:rFonts w:ascii="標楷體" w:eastAsia="標楷體" w:hAnsi="標楷體"/>
          <w:sz w:val="32"/>
          <w:szCs w:val="32"/>
        </w:rPr>
        <w:t>庫：無列數。</w:t>
      </w:r>
    </w:p>
    <w:p w:rsidR="00A52DD2" w:rsidRPr="00F371D9" w:rsidRDefault="00A52DD2" w:rsidP="00F035E0">
      <w:pPr>
        <w:kinsoku w:val="0"/>
        <w:overflowPunct w:val="0"/>
        <w:spacing w:line="500" w:lineRule="exact"/>
        <w:ind w:leftChars="200" w:left="1120" w:hangingChars="200" w:hanging="640"/>
        <w:jc w:val="both"/>
        <w:textAlignment w:val="center"/>
        <w:rPr>
          <w:rFonts w:ascii="標楷體" w:eastAsia="標楷體" w:hAnsi="標楷體"/>
          <w:sz w:val="32"/>
          <w:szCs w:val="32"/>
        </w:rPr>
      </w:pPr>
      <w:r w:rsidRPr="00F371D9">
        <w:rPr>
          <w:rFonts w:ascii="標楷體" w:eastAsia="標楷體" w:hAnsi="標楷體" w:hint="eastAsia"/>
          <w:sz w:val="32"/>
          <w:szCs w:val="32"/>
        </w:rPr>
        <w:t>(四)</w:t>
      </w:r>
      <w:r w:rsidRPr="00F371D9">
        <w:rPr>
          <w:rFonts w:ascii="標楷體" w:eastAsia="標楷體" w:hAnsi="標楷體" w:hint="eastAsia"/>
          <w:snapToGrid w:val="0"/>
          <w:color w:val="000000"/>
          <w:sz w:val="32"/>
          <w:szCs w:val="32"/>
        </w:rPr>
        <w:t>補辦預算：</w:t>
      </w:r>
      <w:r w:rsidRPr="00F371D9">
        <w:rPr>
          <w:rFonts w:ascii="標楷體" w:eastAsia="標楷體" w:hAnsi="標楷體"/>
          <w:sz w:val="32"/>
          <w:szCs w:val="32"/>
        </w:rPr>
        <w:t>無列數</w:t>
      </w:r>
      <w:r w:rsidRPr="00F371D9">
        <w:rPr>
          <w:rFonts w:ascii="標楷體" w:eastAsia="標楷體" w:hAnsi="標楷體" w:hint="eastAsia"/>
          <w:snapToGrid w:val="0"/>
          <w:color w:val="000000"/>
          <w:sz w:val="32"/>
          <w:szCs w:val="32"/>
        </w:rPr>
        <w:t>。</w:t>
      </w:r>
    </w:p>
    <w:p w:rsidR="00A52DD2" w:rsidRPr="00881FFF" w:rsidRDefault="00A52DD2" w:rsidP="00F035E0">
      <w:pPr>
        <w:kinsoku w:val="0"/>
        <w:overflowPunct w:val="0"/>
        <w:spacing w:line="500" w:lineRule="exact"/>
        <w:ind w:leftChars="200" w:left="1120" w:hangingChars="200" w:hanging="640"/>
        <w:jc w:val="both"/>
        <w:textAlignment w:val="center"/>
        <w:rPr>
          <w:rFonts w:ascii="標楷體" w:eastAsia="標楷體" w:hAnsi="標楷體"/>
          <w:sz w:val="32"/>
          <w:szCs w:val="32"/>
        </w:rPr>
      </w:pPr>
      <w:r w:rsidRPr="00881FFF">
        <w:rPr>
          <w:rFonts w:ascii="標楷體" w:eastAsia="標楷體" w:hAnsi="標楷體" w:hint="eastAsia"/>
          <w:sz w:val="32"/>
          <w:szCs w:val="32"/>
        </w:rPr>
        <w:t>(五)通過決議</w:t>
      </w:r>
      <w:r>
        <w:rPr>
          <w:rFonts w:ascii="標楷體" w:eastAsia="標楷體" w:hAnsi="標楷體" w:hint="eastAsia"/>
          <w:sz w:val="32"/>
          <w:szCs w:val="32"/>
        </w:rPr>
        <w:t>7</w:t>
      </w:r>
      <w:r w:rsidRPr="00881FFF">
        <w:rPr>
          <w:rFonts w:ascii="標楷體" w:eastAsia="標楷體" w:hAnsi="標楷體" w:hint="eastAsia"/>
          <w:sz w:val="32"/>
          <w:szCs w:val="32"/>
        </w:rPr>
        <w:t>項</w:t>
      </w:r>
      <w:r w:rsidRPr="00881FFF">
        <w:rPr>
          <w:rFonts w:ascii="標楷體" w:eastAsia="標楷體" w:hAnsi="標楷體"/>
          <w:sz w:val="32"/>
          <w:szCs w:val="32"/>
        </w:rPr>
        <w:t>：</w:t>
      </w:r>
    </w:p>
    <w:p w:rsidR="00A52DD2" w:rsidRPr="00881FFF" w:rsidRDefault="00A52DD2" w:rsidP="00F035E0">
      <w:pPr>
        <w:kinsoku w:val="0"/>
        <w:overflowPunct w:val="0"/>
        <w:spacing w:line="500" w:lineRule="exact"/>
        <w:ind w:leftChars="450" w:left="1400" w:hangingChars="100" w:hanging="320"/>
        <w:jc w:val="both"/>
        <w:textAlignment w:val="center"/>
        <w:rPr>
          <w:rFonts w:ascii="標楷體" w:eastAsia="標楷體" w:hAnsi="標楷體"/>
          <w:sz w:val="32"/>
          <w:szCs w:val="32"/>
        </w:rPr>
      </w:pPr>
      <w:r w:rsidRPr="00881FFF">
        <w:rPr>
          <w:rFonts w:ascii="標楷體" w:eastAsia="標楷體" w:hAnsi="標楷體" w:hint="eastAsia"/>
          <w:sz w:val="32"/>
          <w:szCs w:val="32"/>
        </w:rPr>
        <w:t>1.112年度</w:t>
      </w:r>
      <w:r w:rsidRPr="00881FFF">
        <w:rPr>
          <w:rFonts w:ascii="標楷體" w:eastAsia="標楷體" w:hint="eastAsia"/>
          <w:sz w:val="32"/>
          <w:szCs w:val="32"/>
        </w:rPr>
        <w:t>行政院國家科學技術發展基金</w:t>
      </w:r>
      <w:r w:rsidRPr="00881FFF">
        <w:rPr>
          <w:rFonts w:ascii="標楷體" w:eastAsia="標楷體" w:hAnsi="標楷體" w:hint="eastAsia"/>
          <w:sz w:val="32"/>
          <w:szCs w:val="32"/>
        </w:rPr>
        <w:t>「基金用途」預算編列</w:t>
      </w:r>
      <w:r w:rsidRPr="00881FFF">
        <w:rPr>
          <w:rFonts w:ascii="標楷體" w:eastAsia="標楷體" w:hAnsi="標楷體"/>
          <w:sz w:val="32"/>
          <w:szCs w:val="32"/>
        </w:rPr>
        <w:t>431</w:t>
      </w:r>
      <w:r w:rsidRPr="00881FFF">
        <w:rPr>
          <w:rFonts w:ascii="標楷體" w:eastAsia="標楷體" w:hAnsi="標楷體" w:hint="eastAsia"/>
          <w:sz w:val="32"/>
          <w:szCs w:val="32"/>
        </w:rPr>
        <w:t>億</w:t>
      </w:r>
      <w:r w:rsidRPr="00881FFF">
        <w:rPr>
          <w:rFonts w:ascii="標楷體" w:eastAsia="標楷體" w:hAnsi="標楷體"/>
          <w:sz w:val="32"/>
          <w:szCs w:val="32"/>
        </w:rPr>
        <w:t>3</w:t>
      </w:r>
      <w:r w:rsidRPr="00881FFF">
        <w:rPr>
          <w:rFonts w:ascii="標楷體" w:eastAsia="標楷體" w:hAnsi="標楷體" w:hint="eastAsia"/>
          <w:sz w:val="32"/>
          <w:szCs w:val="32"/>
        </w:rPr>
        <w:t>,</w:t>
      </w:r>
      <w:r w:rsidRPr="00881FFF">
        <w:rPr>
          <w:rFonts w:ascii="標楷體" w:eastAsia="標楷體" w:hAnsi="標楷體"/>
          <w:sz w:val="32"/>
          <w:szCs w:val="32"/>
        </w:rPr>
        <w:t>828</w:t>
      </w:r>
      <w:r w:rsidRPr="00881FFF">
        <w:rPr>
          <w:rFonts w:ascii="標楷體" w:eastAsia="標楷體" w:hAnsi="標楷體" w:hint="eastAsia"/>
          <w:sz w:val="32"/>
          <w:szCs w:val="32"/>
        </w:rPr>
        <w:t>萬</w:t>
      </w:r>
      <w:r>
        <w:rPr>
          <w:rFonts w:ascii="標楷體" w:eastAsia="標楷體" w:hAnsi="標楷體" w:hint="eastAsia"/>
          <w:sz w:val="32"/>
          <w:szCs w:val="32"/>
        </w:rPr>
        <w:t>5</w:t>
      </w:r>
      <w:r w:rsidRPr="00881FFF">
        <w:rPr>
          <w:rFonts w:ascii="標楷體" w:eastAsia="標楷體" w:hAnsi="標楷體" w:hint="eastAsia"/>
          <w:sz w:val="32"/>
          <w:szCs w:val="32"/>
        </w:rPr>
        <w:t>千元，凍結2</w:t>
      </w:r>
      <w:r w:rsidRPr="00881FFF">
        <w:rPr>
          <w:rFonts w:ascii="標楷體" w:eastAsia="標楷體" w:hAnsi="標楷體"/>
          <w:sz w:val="32"/>
          <w:szCs w:val="32"/>
        </w:rPr>
        <w:t>,</w:t>
      </w:r>
      <w:r w:rsidRPr="00881FFF">
        <w:rPr>
          <w:rFonts w:ascii="標楷體" w:eastAsia="標楷體" w:hAnsi="標楷體" w:hint="eastAsia"/>
          <w:sz w:val="32"/>
          <w:szCs w:val="32"/>
        </w:rPr>
        <w:t>000萬元，俟國家科學及技術委員會向立法院教育及文化委員會提出書面報告後，始得動支。2-17</w:t>
      </w:r>
    </w:p>
    <w:p w:rsidR="00A52DD2" w:rsidRPr="00881FFF" w:rsidRDefault="00A52DD2" w:rsidP="00F035E0">
      <w:pPr>
        <w:snapToGrid w:val="0"/>
        <w:spacing w:line="460" w:lineRule="exact"/>
        <w:ind w:leftChars="1300" w:left="3120"/>
        <w:jc w:val="both"/>
        <w:rPr>
          <w:rFonts w:ascii="標楷體" w:eastAsia="標楷體" w:hAnsi="標楷體"/>
          <w:sz w:val="32"/>
          <w:szCs w:val="32"/>
        </w:rPr>
      </w:pPr>
      <w:r w:rsidRPr="00881FFF">
        <w:rPr>
          <w:rFonts w:ascii="標楷體" w:eastAsia="標楷體" w:hAnsi="標楷體"/>
          <w:sz w:val="32"/>
          <w:szCs w:val="32"/>
        </w:rPr>
        <w:t>提案</w:t>
      </w:r>
      <w:r w:rsidRPr="00881FFF">
        <w:rPr>
          <w:rFonts w:ascii="標楷體" w:eastAsia="標楷體" w:hAnsi="標楷體" w:hint="eastAsia"/>
          <w:sz w:val="32"/>
          <w:szCs w:val="32"/>
        </w:rPr>
        <w:t>人</w:t>
      </w:r>
      <w:r w:rsidRPr="00881FFF">
        <w:rPr>
          <w:rFonts w:ascii="標楷體" w:eastAsia="標楷體" w:hAnsi="標楷體"/>
          <w:sz w:val="32"/>
          <w:szCs w:val="32"/>
        </w:rPr>
        <w:t>：</w:t>
      </w:r>
      <w:r w:rsidRPr="00881FFF">
        <w:rPr>
          <w:rFonts w:ascii="標楷體" w:eastAsia="標楷體" w:hAnsi="標楷體" w:hint="eastAsia"/>
          <w:sz w:val="32"/>
          <w:szCs w:val="32"/>
        </w:rPr>
        <w:t>陳秀寳  鄭正鈐  黃國書  范  雲</w:t>
      </w:r>
    </w:p>
    <w:p w:rsidR="00A52DD2" w:rsidRPr="00881FFF" w:rsidRDefault="00A52DD2" w:rsidP="00F035E0">
      <w:pPr>
        <w:snapToGrid w:val="0"/>
        <w:spacing w:line="460" w:lineRule="exact"/>
        <w:ind w:leftChars="1300" w:left="3120"/>
        <w:jc w:val="both"/>
        <w:rPr>
          <w:rFonts w:ascii="標楷體" w:eastAsia="標楷體" w:hAnsi="標楷體"/>
          <w:sz w:val="32"/>
          <w:szCs w:val="32"/>
        </w:rPr>
      </w:pPr>
      <w:r w:rsidRPr="00881FFF">
        <w:rPr>
          <w:rFonts w:ascii="標楷體" w:eastAsia="標楷體" w:hAnsi="標楷體" w:hint="eastAsia"/>
          <w:sz w:val="32"/>
          <w:szCs w:val="32"/>
        </w:rPr>
        <w:t xml:space="preserve">        賴品妤  吳思瑤  張廖萬堅</w:t>
      </w:r>
    </w:p>
    <w:p w:rsidR="00A52DD2" w:rsidRPr="00881FFF" w:rsidRDefault="00A52DD2" w:rsidP="00F035E0">
      <w:pPr>
        <w:snapToGrid w:val="0"/>
        <w:spacing w:afterLines="50" w:after="180" w:line="460" w:lineRule="exact"/>
        <w:ind w:leftChars="1300" w:left="3120"/>
        <w:jc w:val="both"/>
        <w:rPr>
          <w:rFonts w:ascii="標楷體" w:eastAsia="標楷體" w:hAnsi="標楷體"/>
          <w:sz w:val="32"/>
          <w:szCs w:val="32"/>
        </w:rPr>
      </w:pPr>
      <w:r w:rsidRPr="00881FFF">
        <w:rPr>
          <w:rFonts w:ascii="標楷體" w:eastAsia="標楷體" w:hAnsi="標楷體"/>
          <w:sz w:val="32"/>
          <w:szCs w:val="32"/>
        </w:rPr>
        <w:t>連署人：</w:t>
      </w:r>
      <w:r w:rsidRPr="00881FFF">
        <w:rPr>
          <w:rFonts w:ascii="標楷體" w:eastAsia="標楷體" w:hAnsi="標楷體" w:hint="eastAsia"/>
          <w:sz w:val="32"/>
          <w:szCs w:val="32"/>
        </w:rPr>
        <w:t>林宜瑾  萬美玲  吳怡玎</w:t>
      </w:r>
    </w:p>
    <w:p w:rsidR="00A52DD2" w:rsidRPr="00F371D9" w:rsidRDefault="00A52DD2" w:rsidP="00F035E0">
      <w:pPr>
        <w:kinsoku w:val="0"/>
        <w:overflowPunct w:val="0"/>
        <w:spacing w:line="500" w:lineRule="exact"/>
        <w:ind w:leftChars="450" w:left="1400" w:hangingChars="100" w:hanging="320"/>
        <w:jc w:val="both"/>
        <w:textAlignment w:val="center"/>
        <w:rPr>
          <w:rFonts w:ascii="標楷體" w:eastAsia="標楷體" w:hAnsi="標楷體"/>
          <w:sz w:val="32"/>
          <w:szCs w:val="32"/>
        </w:rPr>
      </w:pPr>
      <w:r>
        <w:rPr>
          <w:rFonts w:ascii="標楷體" w:eastAsia="標楷體" w:hAnsi="標楷體" w:hint="eastAsia"/>
          <w:sz w:val="32"/>
          <w:szCs w:val="32"/>
        </w:rPr>
        <w:t>2.</w:t>
      </w:r>
      <w:r w:rsidRPr="00881FFF">
        <w:rPr>
          <w:rFonts w:ascii="標楷體" w:eastAsia="標楷體" w:hAnsi="標楷體" w:hint="eastAsia"/>
          <w:sz w:val="32"/>
          <w:szCs w:val="32"/>
        </w:rPr>
        <w:t>112年度</w:t>
      </w:r>
      <w:r w:rsidRPr="00881FFF">
        <w:rPr>
          <w:rFonts w:ascii="標楷體" w:eastAsia="標楷體" w:hint="eastAsia"/>
          <w:sz w:val="32"/>
          <w:szCs w:val="32"/>
        </w:rPr>
        <w:t>行政院國家科學技術發展基金</w:t>
      </w:r>
      <w:r w:rsidRPr="00022F79">
        <w:rPr>
          <w:rFonts w:ascii="標楷體" w:eastAsia="標楷體" w:hAnsi="標楷體" w:hint="eastAsia"/>
          <w:sz w:val="32"/>
          <w:szCs w:val="32"/>
        </w:rPr>
        <w:t>「生物醫農科學研究發展」</w:t>
      </w:r>
      <w:r>
        <w:rPr>
          <w:rFonts w:ascii="標楷體" w:eastAsia="標楷體" w:hAnsi="標楷體" w:hint="eastAsia"/>
          <w:sz w:val="32"/>
          <w:szCs w:val="32"/>
        </w:rPr>
        <w:t>項下「生物醫農科學策略專案研究」</w:t>
      </w:r>
      <w:r w:rsidRPr="00022F79">
        <w:rPr>
          <w:rFonts w:ascii="標楷體" w:eastAsia="標楷體" w:hAnsi="標楷體" w:hint="eastAsia"/>
          <w:sz w:val="32"/>
          <w:szCs w:val="32"/>
        </w:rPr>
        <w:t>計畫中新增</w:t>
      </w:r>
      <w:r w:rsidRPr="00022F79">
        <w:rPr>
          <w:rFonts w:ascii="標楷體" w:eastAsia="標楷體" w:hAnsi="標楷體" w:hint="eastAsia"/>
          <w:sz w:val="32"/>
          <w:szCs w:val="32"/>
        </w:rPr>
        <w:lastRenderedPageBreak/>
        <w:t>辦理「腦科技創新研發及應用計畫」預算</w:t>
      </w:r>
      <w:r>
        <w:rPr>
          <w:rFonts w:ascii="標楷體" w:eastAsia="標楷體" w:hAnsi="標楷體" w:hint="eastAsia"/>
          <w:sz w:val="32"/>
          <w:szCs w:val="32"/>
        </w:rPr>
        <w:t>編列</w:t>
      </w:r>
      <w:r w:rsidRPr="00022F79">
        <w:rPr>
          <w:rFonts w:ascii="標楷體" w:eastAsia="標楷體" w:hAnsi="標楷體" w:hint="eastAsia"/>
          <w:sz w:val="32"/>
          <w:szCs w:val="32"/>
        </w:rPr>
        <w:t>2億4,500萬元，聚焦精準健康，透過跨領域及國際鏈結，以破解大腦奧秘、臨床應用、產業效益為導向，發展腦與神經科學之創新突破研究與關鍵技術。經查「腦科技創新研發及應用計畫」之計畫目標，112</w:t>
      </w:r>
      <w:r>
        <w:rPr>
          <w:rFonts w:ascii="標楷體" w:eastAsia="標楷體" w:hAnsi="標楷體" w:hint="eastAsia"/>
          <w:sz w:val="32"/>
          <w:szCs w:val="32"/>
        </w:rPr>
        <w:t>至</w:t>
      </w:r>
      <w:r w:rsidRPr="00022F79">
        <w:rPr>
          <w:rFonts w:ascii="標楷體" w:eastAsia="標楷體" w:hAnsi="標楷體" w:hint="eastAsia"/>
          <w:sz w:val="32"/>
          <w:szCs w:val="32"/>
        </w:rPr>
        <w:t>113年以開發商品化技術、進行相關專利布局及發展關鍵技術雛型品為主，114</w:t>
      </w:r>
      <w:r>
        <w:rPr>
          <w:rFonts w:ascii="標楷體" w:eastAsia="標楷體" w:hAnsi="標楷體" w:hint="eastAsia"/>
          <w:sz w:val="32"/>
          <w:szCs w:val="32"/>
        </w:rPr>
        <w:t>至</w:t>
      </w:r>
      <w:r w:rsidRPr="00022F79">
        <w:rPr>
          <w:rFonts w:ascii="標楷體" w:eastAsia="標楷體" w:hAnsi="標楷體" w:hint="eastAsia"/>
          <w:sz w:val="32"/>
          <w:szCs w:val="32"/>
        </w:rPr>
        <w:t>115年度納入獲取專利數(至少10件)及累積技轉金額或研發投資之技術價值(至少達4,000萬元)。惟查該計畫之相關計畫「台灣腦科技發展及國際躍升計畫」108</w:t>
      </w:r>
      <w:r>
        <w:rPr>
          <w:rFonts w:ascii="標楷體" w:eastAsia="標楷體" w:hAnsi="標楷體" w:hint="eastAsia"/>
          <w:sz w:val="32"/>
          <w:szCs w:val="32"/>
        </w:rPr>
        <w:t>至</w:t>
      </w:r>
      <w:r w:rsidRPr="00022F79">
        <w:rPr>
          <w:rFonts w:ascii="標楷體" w:eastAsia="標楷體" w:hAnsi="標楷體" w:hint="eastAsia"/>
          <w:sz w:val="32"/>
          <w:szCs w:val="32"/>
        </w:rPr>
        <w:t>110年度申請及獲得專利數分別為18件、16件及34件，產學合作數則分別為7件、24件及2件，且109及110年度各有技轉與智財授權6件及1件，顯示「腦科技創新研發及應用計畫」之績效目標設定過低。爰請國</w:t>
      </w:r>
      <w:r>
        <w:rPr>
          <w:rFonts w:ascii="標楷體" w:eastAsia="標楷體" w:hAnsi="標楷體" w:hint="eastAsia"/>
          <w:sz w:val="32"/>
          <w:szCs w:val="32"/>
        </w:rPr>
        <w:t>家</w:t>
      </w:r>
      <w:r w:rsidRPr="00022F79">
        <w:rPr>
          <w:rFonts w:ascii="標楷體" w:eastAsia="標楷體" w:hAnsi="標楷體" w:hint="eastAsia"/>
          <w:sz w:val="32"/>
          <w:szCs w:val="32"/>
        </w:rPr>
        <w:t>科</w:t>
      </w:r>
      <w:r>
        <w:rPr>
          <w:rFonts w:ascii="標楷體" w:eastAsia="標楷體" w:hAnsi="標楷體" w:hint="eastAsia"/>
          <w:sz w:val="32"/>
          <w:szCs w:val="32"/>
        </w:rPr>
        <w:t>學及技術委員</w:t>
      </w:r>
      <w:r w:rsidRPr="00022F79">
        <w:rPr>
          <w:rFonts w:ascii="標楷體" w:eastAsia="標楷體" w:hAnsi="標楷體" w:hint="eastAsia"/>
          <w:sz w:val="32"/>
          <w:szCs w:val="32"/>
        </w:rPr>
        <w:t>會於</w:t>
      </w:r>
      <w:r>
        <w:rPr>
          <w:rFonts w:ascii="標楷體" w:eastAsia="標楷體" w:hAnsi="標楷體" w:hint="eastAsia"/>
          <w:sz w:val="32"/>
          <w:szCs w:val="32"/>
        </w:rPr>
        <w:t>3</w:t>
      </w:r>
      <w:r w:rsidRPr="00022F79">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6</w:t>
      </w:r>
    </w:p>
    <w:p w:rsidR="00A52DD2" w:rsidRPr="00F371D9" w:rsidRDefault="00A52DD2" w:rsidP="00F035E0">
      <w:pPr>
        <w:snapToGrid w:val="0"/>
        <w:spacing w:line="460" w:lineRule="exact"/>
        <w:ind w:leftChars="1300" w:left="3120"/>
        <w:jc w:val="both"/>
        <w:rPr>
          <w:rFonts w:ascii="標楷體" w:eastAsia="標楷體" w:hAnsi="標楷體"/>
          <w:sz w:val="32"/>
          <w:szCs w:val="32"/>
        </w:rPr>
      </w:pPr>
      <w:r w:rsidRPr="00F371D9">
        <w:rPr>
          <w:rFonts w:ascii="標楷體" w:eastAsia="標楷體" w:hAnsi="標楷體"/>
          <w:sz w:val="32"/>
          <w:szCs w:val="32"/>
        </w:rPr>
        <w:t>提案</w:t>
      </w:r>
      <w:r w:rsidRPr="00F371D9">
        <w:rPr>
          <w:rFonts w:ascii="標楷體" w:eastAsia="標楷體" w:hAnsi="標楷體" w:hint="eastAsia"/>
          <w:sz w:val="32"/>
          <w:szCs w:val="32"/>
        </w:rPr>
        <w:t>人</w:t>
      </w:r>
      <w:r w:rsidRPr="00F371D9">
        <w:rPr>
          <w:rFonts w:ascii="標楷體" w:eastAsia="標楷體" w:hAnsi="標楷體"/>
          <w:sz w:val="32"/>
          <w:szCs w:val="32"/>
        </w:rPr>
        <w:t>：</w:t>
      </w:r>
      <w:r>
        <w:rPr>
          <w:rFonts w:ascii="標楷體" w:eastAsia="標楷體" w:hAnsi="標楷體" w:hint="eastAsia"/>
          <w:sz w:val="32"/>
          <w:szCs w:val="32"/>
        </w:rPr>
        <w:t>黃國書</w:t>
      </w:r>
    </w:p>
    <w:p w:rsidR="00A52DD2" w:rsidRPr="00F371D9" w:rsidRDefault="00A52DD2" w:rsidP="00F035E0">
      <w:pPr>
        <w:snapToGrid w:val="0"/>
        <w:spacing w:afterLines="50" w:after="180" w:line="460" w:lineRule="exact"/>
        <w:ind w:leftChars="1300" w:left="3120"/>
        <w:jc w:val="both"/>
        <w:rPr>
          <w:rFonts w:ascii="標楷體" w:eastAsia="標楷體" w:hAnsi="標楷體"/>
          <w:sz w:val="32"/>
          <w:szCs w:val="32"/>
        </w:rPr>
      </w:pPr>
      <w:r w:rsidRPr="00F371D9">
        <w:rPr>
          <w:rFonts w:ascii="標楷體" w:eastAsia="標楷體" w:hAnsi="標楷體"/>
          <w:sz w:val="32"/>
          <w:szCs w:val="32"/>
        </w:rPr>
        <w:t>連署人：</w:t>
      </w:r>
      <w:r>
        <w:rPr>
          <w:rFonts w:ascii="標楷體" w:eastAsia="標楷體" w:hAnsi="標楷體" w:hint="eastAsia"/>
          <w:sz w:val="32"/>
          <w:szCs w:val="32"/>
        </w:rPr>
        <w:t>林宜瑾  陳秀寳</w:t>
      </w:r>
    </w:p>
    <w:p w:rsidR="00A52DD2" w:rsidRPr="00F371D9" w:rsidRDefault="00A52DD2" w:rsidP="00F035E0">
      <w:pPr>
        <w:kinsoku w:val="0"/>
        <w:overflowPunct w:val="0"/>
        <w:spacing w:line="500" w:lineRule="exact"/>
        <w:ind w:leftChars="450" w:left="1400" w:hangingChars="100" w:hanging="320"/>
        <w:jc w:val="both"/>
        <w:textAlignment w:val="center"/>
        <w:rPr>
          <w:rFonts w:ascii="標楷體" w:eastAsia="標楷體" w:hAnsi="標楷體"/>
          <w:sz w:val="32"/>
          <w:szCs w:val="32"/>
        </w:rPr>
      </w:pPr>
      <w:r w:rsidRPr="00F371D9">
        <w:rPr>
          <w:rFonts w:ascii="標楷體" w:eastAsia="標楷體" w:hAnsi="標楷體" w:hint="eastAsia"/>
          <w:sz w:val="32"/>
          <w:szCs w:val="32"/>
        </w:rPr>
        <w:t>3.</w:t>
      </w:r>
      <w:r w:rsidRPr="00022F79">
        <w:rPr>
          <w:rFonts w:ascii="標楷體" w:eastAsia="標楷體" w:hAnsi="標楷體" w:hint="eastAsia"/>
          <w:sz w:val="32"/>
          <w:szCs w:val="32"/>
        </w:rPr>
        <w:t>112年度行政院國家科學技術發展基金「推動整體科技發展計畫</w:t>
      </w:r>
      <w:r>
        <w:rPr>
          <w:rFonts w:ascii="標楷體" w:eastAsia="標楷體" w:hAnsi="標楷體" w:hint="eastAsia"/>
          <w:sz w:val="32"/>
          <w:szCs w:val="32"/>
        </w:rPr>
        <w:t>」項下「</w:t>
      </w:r>
      <w:r w:rsidRPr="00022F79">
        <w:rPr>
          <w:rFonts w:ascii="標楷體" w:eastAsia="標楷體" w:hAnsi="標楷體" w:hint="eastAsia"/>
          <w:sz w:val="32"/>
          <w:szCs w:val="32"/>
        </w:rPr>
        <w:t>國際科技合作」</w:t>
      </w:r>
      <w:r>
        <w:rPr>
          <w:rFonts w:ascii="標楷體" w:eastAsia="標楷體" w:hAnsi="標楷體" w:hint="eastAsia"/>
          <w:sz w:val="32"/>
          <w:szCs w:val="32"/>
        </w:rPr>
        <w:t>預算</w:t>
      </w:r>
      <w:r w:rsidRPr="00022F79">
        <w:rPr>
          <w:rFonts w:ascii="標楷體" w:eastAsia="標楷體" w:hAnsi="標楷體" w:hint="eastAsia"/>
          <w:sz w:val="32"/>
          <w:szCs w:val="32"/>
        </w:rPr>
        <w:t>編列8億7</w:t>
      </w:r>
      <w:r>
        <w:rPr>
          <w:rFonts w:ascii="標楷體" w:eastAsia="標楷體" w:hAnsi="標楷體"/>
          <w:sz w:val="32"/>
          <w:szCs w:val="32"/>
        </w:rPr>
        <w:t>,</w:t>
      </w:r>
      <w:r w:rsidRPr="00022F79">
        <w:rPr>
          <w:rFonts w:ascii="標楷體" w:eastAsia="標楷體" w:hAnsi="標楷體" w:hint="eastAsia"/>
          <w:sz w:val="32"/>
          <w:szCs w:val="32"/>
        </w:rPr>
        <w:t>490萬元。根據「</w:t>
      </w:r>
      <w:r>
        <w:rPr>
          <w:rFonts w:ascii="標楷體" w:eastAsia="標楷體" w:hAnsi="標楷體" w:hint="eastAsia"/>
          <w:sz w:val="32"/>
          <w:szCs w:val="32"/>
        </w:rPr>
        <w:t>行政院</w:t>
      </w:r>
      <w:r w:rsidRPr="00022F79">
        <w:rPr>
          <w:rFonts w:ascii="標楷體" w:eastAsia="標楷體" w:hAnsi="標楷體" w:hint="eastAsia"/>
          <w:sz w:val="32"/>
          <w:szCs w:val="32"/>
        </w:rPr>
        <w:t>國家科學</w:t>
      </w:r>
      <w:r>
        <w:rPr>
          <w:rFonts w:ascii="標楷體" w:eastAsia="標楷體" w:hAnsi="標楷體" w:hint="eastAsia"/>
          <w:sz w:val="32"/>
          <w:szCs w:val="32"/>
        </w:rPr>
        <w:t>技術</w:t>
      </w:r>
      <w:r w:rsidRPr="00022F79">
        <w:rPr>
          <w:rFonts w:ascii="標楷體" w:eastAsia="標楷體" w:hAnsi="標楷體" w:hint="eastAsia"/>
          <w:sz w:val="32"/>
          <w:szCs w:val="32"/>
        </w:rPr>
        <w:t>發展基金」預算</w:t>
      </w:r>
      <w:r>
        <w:rPr>
          <w:rFonts w:ascii="標楷體" w:eastAsia="標楷體" w:hAnsi="標楷體" w:hint="eastAsia"/>
          <w:sz w:val="32"/>
          <w:szCs w:val="32"/>
        </w:rPr>
        <w:t>書</w:t>
      </w:r>
      <w:r w:rsidRPr="00022F79">
        <w:rPr>
          <w:rFonts w:ascii="標楷體" w:eastAsia="標楷體" w:hAnsi="標楷體" w:hint="eastAsia"/>
          <w:sz w:val="32"/>
          <w:szCs w:val="32"/>
        </w:rPr>
        <w:t>第3</w:t>
      </w:r>
      <w:r>
        <w:rPr>
          <w:rFonts w:ascii="標楷體" w:eastAsia="標楷體" w:hAnsi="標楷體" w:hint="eastAsia"/>
          <w:sz w:val="32"/>
          <w:szCs w:val="32"/>
        </w:rPr>
        <w:t>頁施政重點說明「</w:t>
      </w:r>
      <w:r w:rsidRPr="00022F79">
        <w:rPr>
          <w:rFonts w:ascii="標楷體" w:eastAsia="標楷體" w:hAnsi="標楷體" w:hint="eastAsia"/>
          <w:sz w:val="32"/>
          <w:szCs w:val="32"/>
        </w:rPr>
        <w:t>（三）臻善科技人才生態系，打造科技外交新據點-2.深化國際科技合作，接軌全球資源與能量，建構科技外交網絡。</w:t>
      </w:r>
      <w:r>
        <w:rPr>
          <w:rFonts w:ascii="標楷體" w:eastAsia="標楷體" w:hAnsi="標楷體" w:hint="eastAsia"/>
          <w:sz w:val="32"/>
          <w:szCs w:val="32"/>
        </w:rPr>
        <w:t>」惟</w:t>
      </w:r>
      <w:r w:rsidRPr="00022F79">
        <w:rPr>
          <w:rFonts w:ascii="標楷體" w:eastAsia="標楷體" w:hAnsi="標楷體" w:hint="eastAsia"/>
          <w:sz w:val="32"/>
          <w:szCs w:val="32"/>
        </w:rPr>
        <w:t>在國際晶片戰爭中，美日等國競相運用政策工具，削弱臺灣半導體能量，國家科學及技術委員會及駐外科技組對此卻未能及時回報與示警。爰請</w:t>
      </w:r>
      <w:r>
        <w:rPr>
          <w:rFonts w:ascii="標楷體" w:eastAsia="標楷體" w:hAnsi="標楷體" w:hint="eastAsia"/>
          <w:sz w:val="32"/>
          <w:szCs w:val="32"/>
        </w:rPr>
        <w:t>國家科學及技術委員會</w:t>
      </w:r>
      <w:r w:rsidRPr="00022F79">
        <w:rPr>
          <w:rFonts w:ascii="標楷體" w:eastAsia="標楷體" w:hAnsi="標楷體" w:hint="eastAsia"/>
          <w:sz w:val="32"/>
          <w:szCs w:val="32"/>
        </w:rPr>
        <w:t>於</w:t>
      </w:r>
      <w:r>
        <w:rPr>
          <w:rFonts w:ascii="標楷體" w:eastAsia="標楷體" w:hAnsi="標楷體" w:hint="eastAsia"/>
          <w:sz w:val="32"/>
          <w:szCs w:val="32"/>
        </w:rPr>
        <w:t>3</w:t>
      </w:r>
      <w:r w:rsidRPr="00022F79">
        <w:rPr>
          <w:rFonts w:ascii="標楷體" w:eastAsia="標楷體" w:hAnsi="標楷體" w:hint="eastAsia"/>
          <w:sz w:val="32"/>
          <w:szCs w:val="32"/>
        </w:rPr>
        <w:t>個月內針對台灣積體電路製造股份有限公司前往美日設廠對</w:t>
      </w:r>
      <w:r>
        <w:rPr>
          <w:rFonts w:ascii="標楷體" w:eastAsia="標楷體" w:hAnsi="標楷體" w:hint="eastAsia"/>
          <w:sz w:val="32"/>
          <w:szCs w:val="32"/>
        </w:rPr>
        <w:t>台</w:t>
      </w:r>
      <w:r w:rsidRPr="00022F79">
        <w:rPr>
          <w:rFonts w:ascii="標楷體" w:eastAsia="標楷體" w:hAnsi="標楷體" w:hint="eastAsia"/>
          <w:sz w:val="32"/>
          <w:szCs w:val="32"/>
        </w:rPr>
        <w:t>灣半導體衝擊影響評估及後續因應作法向立法院教育及文化委員會提出書面報告。</w:t>
      </w:r>
      <w:r>
        <w:rPr>
          <w:rFonts w:ascii="標楷體" w:eastAsia="標楷體" w:hAnsi="標楷體" w:hint="eastAsia"/>
          <w:sz w:val="32"/>
          <w:szCs w:val="32"/>
        </w:rPr>
        <w:t>8</w:t>
      </w:r>
    </w:p>
    <w:p w:rsidR="00A52DD2" w:rsidRPr="00F371D9" w:rsidRDefault="00A52DD2" w:rsidP="00F035E0">
      <w:pPr>
        <w:snapToGrid w:val="0"/>
        <w:spacing w:line="460" w:lineRule="exact"/>
        <w:ind w:leftChars="1300" w:left="3120"/>
        <w:jc w:val="both"/>
        <w:rPr>
          <w:rFonts w:ascii="標楷體" w:eastAsia="標楷體" w:hAnsi="標楷體"/>
          <w:sz w:val="32"/>
          <w:szCs w:val="32"/>
        </w:rPr>
      </w:pPr>
      <w:r w:rsidRPr="00F371D9">
        <w:rPr>
          <w:rFonts w:ascii="標楷體" w:eastAsia="標楷體" w:hAnsi="標楷體"/>
          <w:sz w:val="32"/>
          <w:szCs w:val="32"/>
        </w:rPr>
        <w:lastRenderedPageBreak/>
        <w:t>提案</w:t>
      </w:r>
      <w:r w:rsidRPr="00F371D9">
        <w:rPr>
          <w:rFonts w:ascii="標楷體" w:eastAsia="標楷體" w:hAnsi="標楷體" w:hint="eastAsia"/>
          <w:sz w:val="32"/>
          <w:szCs w:val="32"/>
        </w:rPr>
        <w:t>人</w:t>
      </w:r>
      <w:r w:rsidRPr="00F371D9">
        <w:rPr>
          <w:rFonts w:ascii="標楷體" w:eastAsia="標楷體" w:hAnsi="標楷體"/>
          <w:sz w:val="32"/>
          <w:szCs w:val="32"/>
        </w:rPr>
        <w:t>：</w:t>
      </w:r>
      <w:r>
        <w:rPr>
          <w:rFonts w:ascii="標楷體" w:eastAsia="標楷體" w:hAnsi="標楷體" w:hint="eastAsia"/>
          <w:sz w:val="32"/>
          <w:szCs w:val="32"/>
        </w:rPr>
        <w:t>鄭正鈐</w:t>
      </w:r>
    </w:p>
    <w:p w:rsidR="00A52DD2" w:rsidRDefault="00A52DD2" w:rsidP="00F035E0">
      <w:pPr>
        <w:snapToGrid w:val="0"/>
        <w:spacing w:afterLines="50" w:after="180" w:line="460" w:lineRule="exact"/>
        <w:ind w:leftChars="1300" w:left="3120"/>
        <w:jc w:val="both"/>
        <w:rPr>
          <w:rFonts w:ascii="標楷體" w:eastAsia="標楷體" w:hAnsi="標楷體"/>
          <w:sz w:val="32"/>
          <w:szCs w:val="32"/>
        </w:rPr>
      </w:pPr>
      <w:r w:rsidRPr="00F371D9">
        <w:rPr>
          <w:rFonts w:ascii="標楷體" w:eastAsia="標楷體" w:hAnsi="標楷體"/>
          <w:sz w:val="32"/>
          <w:szCs w:val="32"/>
        </w:rPr>
        <w:t>連署人：</w:t>
      </w:r>
      <w:r>
        <w:rPr>
          <w:rFonts w:ascii="標楷體" w:eastAsia="標楷體" w:hAnsi="標楷體" w:hint="eastAsia"/>
          <w:sz w:val="32"/>
          <w:szCs w:val="32"/>
        </w:rPr>
        <w:t>黃國書  何欣純</w:t>
      </w:r>
    </w:p>
    <w:p w:rsidR="00A52DD2" w:rsidRPr="00F371D9" w:rsidRDefault="00A52DD2" w:rsidP="00F035E0">
      <w:pPr>
        <w:kinsoku w:val="0"/>
        <w:overflowPunct w:val="0"/>
        <w:spacing w:line="500" w:lineRule="exact"/>
        <w:ind w:leftChars="450" w:left="1400" w:hangingChars="100" w:hanging="320"/>
        <w:jc w:val="both"/>
        <w:textAlignment w:val="center"/>
        <w:rPr>
          <w:rFonts w:ascii="標楷體" w:eastAsia="標楷體" w:hAnsi="標楷體"/>
          <w:sz w:val="32"/>
          <w:szCs w:val="32"/>
        </w:rPr>
      </w:pPr>
      <w:r>
        <w:rPr>
          <w:rFonts w:ascii="標楷體" w:eastAsia="標楷體" w:hAnsi="標楷體" w:hint="eastAsia"/>
          <w:sz w:val="32"/>
          <w:szCs w:val="32"/>
        </w:rPr>
        <w:t>4</w:t>
      </w:r>
      <w:r w:rsidRPr="00F371D9">
        <w:rPr>
          <w:rFonts w:ascii="標楷體" w:eastAsia="標楷體" w:hAnsi="標楷體" w:hint="eastAsia"/>
          <w:sz w:val="32"/>
          <w:szCs w:val="32"/>
        </w:rPr>
        <w:t>.</w:t>
      </w:r>
      <w:r>
        <w:rPr>
          <w:rFonts w:ascii="標楷體" w:eastAsia="標楷體" w:hAnsi="標楷體" w:hint="eastAsia"/>
          <w:sz w:val="32"/>
        </w:rPr>
        <w:t>112年度行政院</w:t>
      </w:r>
      <w:r w:rsidRPr="00ED4109">
        <w:rPr>
          <w:rFonts w:ascii="標楷體" w:eastAsia="標楷體" w:hAnsi="標楷體" w:hint="eastAsia"/>
          <w:sz w:val="32"/>
          <w:szCs w:val="32"/>
        </w:rPr>
        <w:t>國家科學技術發展基金「推動整體科技發展計畫」項下「研發成果收入運用計畫」，目的為透過妥善運用研發成果收入，來達到促進「科研發展」，以及擴散「科研成果」。因此，計畫申請內容應符合上述目標。經查該計畫近</w:t>
      </w:r>
      <w:r>
        <w:rPr>
          <w:rFonts w:ascii="標楷體" w:eastAsia="標楷體" w:hAnsi="標楷體" w:hint="eastAsia"/>
          <w:sz w:val="32"/>
          <w:szCs w:val="32"/>
        </w:rPr>
        <w:t>5</w:t>
      </w:r>
      <w:r w:rsidRPr="00ED4109">
        <w:rPr>
          <w:rFonts w:ascii="標楷體" w:eastAsia="標楷體" w:hAnsi="標楷體" w:hint="eastAsia"/>
          <w:sz w:val="32"/>
          <w:szCs w:val="32"/>
        </w:rPr>
        <w:t>年花費52億</w:t>
      </w:r>
      <w:r>
        <w:rPr>
          <w:rFonts w:ascii="標楷體" w:eastAsia="標楷體" w:hAnsi="標楷體" w:hint="eastAsia"/>
          <w:sz w:val="32"/>
          <w:szCs w:val="32"/>
        </w:rPr>
        <w:t>元</w:t>
      </w:r>
      <w:r w:rsidRPr="00ED4109">
        <w:rPr>
          <w:rFonts w:ascii="標楷體" w:eastAsia="標楷體" w:hAnsi="標楷體" w:hint="eastAsia"/>
          <w:sz w:val="32"/>
          <w:szCs w:val="32"/>
        </w:rPr>
        <w:t>經費，衍伸收入僅有</w:t>
      </w:r>
      <w:r>
        <w:rPr>
          <w:rFonts w:ascii="標楷體" w:eastAsia="標楷體" w:hAnsi="標楷體" w:hint="eastAsia"/>
          <w:sz w:val="32"/>
          <w:szCs w:val="32"/>
        </w:rPr>
        <w:t>6</w:t>
      </w:r>
      <w:r>
        <w:rPr>
          <w:rFonts w:ascii="標楷體" w:eastAsia="標楷體" w:hAnsi="標楷體"/>
          <w:sz w:val="32"/>
          <w:szCs w:val="32"/>
        </w:rPr>
        <w:t>,</w:t>
      </w:r>
      <w:r>
        <w:rPr>
          <w:rFonts w:ascii="標楷體" w:eastAsia="標楷體" w:hAnsi="標楷體" w:hint="eastAsia"/>
          <w:sz w:val="32"/>
          <w:szCs w:val="32"/>
        </w:rPr>
        <w:t>000</w:t>
      </w:r>
      <w:r w:rsidRPr="00ED4109">
        <w:rPr>
          <w:rFonts w:ascii="標楷體" w:eastAsia="標楷體" w:hAnsi="標楷體" w:hint="eastAsia"/>
          <w:sz w:val="32"/>
          <w:szCs w:val="32"/>
        </w:rPr>
        <w:t>萬</w:t>
      </w:r>
      <w:r>
        <w:rPr>
          <w:rFonts w:ascii="標楷體" w:eastAsia="標楷體" w:hAnsi="標楷體" w:hint="eastAsia"/>
          <w:sz w:val="32"/>
          <w:szCs w:val="32"/>
        </w:rPr>
        <w:t>元</w:t>
      </w:r>
      <w:r w:rsidRPr="00ED4109">
        <w:rPr>
          <w:rFonts w:ascii="標楷體" w:eastAsia="標楷體" w:hAnsi="標楷體" w:hint="eastAsia"/>
          <w:sz w:val="32"/>
          <w:szCs w:val="32"/>
        </w:rPr>
        <w:t>，且節錄部分計畫，有觀摩參訪等各部會應可自行編列、可預期之計畫內容。國</w:t>
      </w:r>
      <w:r>
        <w:rPr>
          <w:rFonts w:ascii="標楷體" w:eastAsia="標楷體" w:hAnsi="標楷體" w:hint="eastAsia"/>
          <w:sz w:val="32"/>
          <w:szCs w:val="32"/>
        </w:rPr>
        <w:t>家</w:t>
      </w:r>
      <w:r w:rsidRPr="00ED4109">
        <w:rPr>
          <w:rFonts w:ascii="標楷體" w:eastAsia="標楷體" w:hAnsi="標楷體" w:hint="eastAsia"/>
          <w:sz w:val="32"/>
          <w:szCs w:val="32"/>
        </w:rPr>
        <w:t>科</w:t>
      </w:r>
      <w:r>
        <w:rPr>
          <w:rFonts w:ascii="標楷體" w:eastAsia="標楷體" w:hAnsi="標楷體" w:hint="eastAsia"/>
          <w:sz w:val="32"/>
          <w:szCs w:val="32"/>
        </w:rPr>
        <w:t>學及技術委員</w:t>
      </w:r>
      <w:r w:rsidRPr="00ED4109">
        <w:rPr>
          <w:rFonts w:ascii="標楷體" w:eastAsia="標楷體" w:hAnsi="標楷體" w:hint="eastAsia"/>
          <w:sz w:val="32"/>
          <w:szCs w:val="32"/>
        </w:rPr>
        <w:t>會應強化收入運用計畫把關機制，將可預期性、例行性計畫回歸各部會預算編列，使各部會更妥善運用研發成果收入，以符合「研發成果收入運用計畫」訂定之目標，避免資源之浪費。爰請國</w:t>
      </w:r>
      <w:r>
        <w:rPr>
          <w:rFonts w:ascii="標楷體" w:eastAsia="標楷體" w:hAnsi="標楷體" w:hint="eastAsia"/>
          <w:sz w:val="32"/>
          <w:szCs w:val="32"/>
        </w:rPr>
        <w:t>家</w:t>
      </w:r>
      <w:r w:rsidRPr="00ED4109">
        <w:rPr>
          <w:rFonts w:ascii="標楷體" w:eastAsia="標楷體" w:hAnsi="標楷體" w:hint="eastAsia"/>
          <w:sz w:val="32"/>
          <w:szCs w:val="32"/>
        </w:rPr>
        <w:t>科</w:t>
      </w:r>
      <w:r>
        <w:rPr>
          <w:rFonts w:ascii="標楷體" w:eastAsia="標楷體" w:hAnsi="標楷體" w:hint="eastAsia"/>
          <w:sz w:val="32"/>
          <w:szCs w:val="32"/>
        </w:rPr>
        <w:t>學及技術委員</w:t>
      </w:r>
      <w:r w:rsidRPr="00ED4109">
        <w:rPr>
          <w:rFonts w:ascii="標楷體" w:eastAsia="標楷體" w:hAnsi="標楷體" w:hint="eastAsia"/>
          <w:sz w:val="32"/>
          <w:szCs w:val="32"/>
        </w:rPr>
        <w:t>會完善收入運用計畫把關機制，並於</w:t>
      </w:r>
      <w:r>
        <w:rPr>
          <w:rFonts w:ascii="標楷體" w:eastAsia="標楷體" w:hAnsi="標楷體" w:hint="eastAsia"/>
          <w:sz w:val="32"/>
          <w:szCs w:val="32"/>
        </w:rPr>
        <w:t>3</w:t>
      </w:r>
      <w:r w:rsidRPr="00ED4109">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10</w:t>
      </w:r>
    </w:p>
    <w:p w:rsidR="00A52DD2" w:rsidRPr="00F371D9" w:rsidRDefault="00A52DD2" w:rsidP="00F035E0">
      <w:pPr>
        <w:snapToGrid w:val="0"/>
        <w:spacing w:line="460" w:lineRule="exact"/>
        <w:ind w:leftChars="1300" w:left="3120"/>
        <w:jc w:val="both"/>
        <w:rPr>
          <w:rFonts w:ascii="標楷體" w:eastAsia="標楷體" w:hAnsi="標楷體"/>
          <w:sz w:val="32"/>
          <w:szCs w:val="32"/>
        </w:rPr>
      </w:pPr>
      <w:r w:rsidRPr="00F371D9">
        <w:rPr>
          <w:rFonts w:ascii="標楷體" w:eastAsia="標楷體" w:hAnsi="標楷體"/>
          <w:sz w:val="32"/>
          <w:szCs w:val="32"/>
        </w:rPr>
        <w:t>提案</w:t>
      </w:r>
      <w:r w:rsidRPr="00F371D9">
        <w:rPr>
          <w:rFonts w:ascii="標楷體" w:eastAsia="標楷體" w:hAnsi="標楷體" w:hint="eastAsia"/>
          <w:sz w:val="32"/>
          <w:szCs w:val="32"/>
        </w:rPr>
        <w:t>人</w:t>
      </w:r>
      <w:r w:rsidRPr="00F371D9">
        <w:rPr>
          <w:rFonts w:ascii="標楷體" w:eastAsia="標楷體" w:hAnsi="標楷體"/>
          <w:sz w:val="32"/>
          <w:szCs w:val="32"/>
        </w:rPr>
        <w:t>：</w:t>
      </w:r>
      <w:r>
        <w:rPr>
          <w:rFonts w:ascii="標楷體" w:eastAsia="標楷體" w:hAnsi="標楷體" w:hint="eastAsia"/>
          <w:sz w:val="32"/>
          <w:szCs w:val="32"/>
        </w:rPr>
        <w:t>范  雲</w:t>
      </w:r>
    </w:p>
    <w:p w:rsidR="00A52DD2" w:rsidRPr="00F371D9" w:rsidRDefault="00A52DD2" w:rsidP="00F035E0">
      <w:pPr>
        <w:snapToGrid w:val="0"/>
        <w:spacing w:afterLines="50" w:after="180" w:line="460" w:lineRule="exact"/>
        <w:ind w:leftChars="1300" w:left="3120"/>
        <w:jc w:val="both"/>
        <w:rPr>
          <w:rFonts w:ascii="標楷體" w:eastAsia="標楷體" w:hAnsi="標楷體"/>
          <w:sz w:val="32"/>
          <w:szCs w:val="32"/>
        </w:rPr>
      </w:pPr>
      <w:r w:rsidRPr="00F371D9">
        <w:rPr>
          <w:rFonts w:ascii="標楷體" w:eastAsia="標楷體" w:hAnsi="標楷體"/>
          <w:sz w:val="32"/>
          <w:szCs w:val="32"/>
        </w:rPr>
        <w:t>連署人：</w:t>
      </w:r>
      <w:r>
        <w:rPr>
          <w:rFonts w:ascii="標楷體" w:eastAsia="標楷體" w:hAnsi="標楷體" w:hint="eastAsia"/>
          <w:sz w:val="32"/>
          <w:szCs w:val="32"/>
        </w:rPr>
        <w:t>何欣純  林宜瑾</w:t>
      </w:r>
    </w:p>
    <w:p w:rsidR="00A52DD2" w:rsidRPr="00F371D9" w:rsidRDefault="00A52DD2" w:rsidP="00F035E0">
      <w:pPr>
        <w:kinsoku w:val="0"/>
        <w:overflowPunct w:val="0"/>
        <w:spacing w:line="500" w:lineRule="exact"/>
        <w:ind w:leftChars="450" w:left="1400" w:hangingChars="100" w:hanging="320"/>
        <w:jc w:val="both"/>
        <w:textAlignment w:val="center"/>
        <w:rPr>
          <w:rFonts w:ascii="標楷體" w:eastAsia="標楷體" w:hAnsi="標楷體"/>
          <w:sz w:val="32"/>
          <w:szCs w:val="32"/>
        </w:rPr>
      </w:pPr>
      <w:r>
        <w:rPr>
          <w:rFonts w:ascii="標楷體" w:eastAsia="標楷體" w:hAnsi="標楷體" w:hint="eastAsia"/>
          <w:sz w:val="32"/>
          <w:szCs w:val="32"/>
        </w:rPr>
        <w:t>5</w:t>
      </w:r>
      <w:r w:rsidRPr="00F371D9">
        <w:rPr>
          <w:rFonts w:ascii="標楷體" w:eastAsia="標楷體" w:hAnsi="標楷體" w:hint="eastAsia"/>
          <w:sz w:val="32"/>
          <w:szCs w:val="32"/>
        </w:rPr>
        <w:t>.</w:t>
      </w:r>
      <w:r w:rsidRPr="00ED4109">
        <w:rPr>
          <w:rFonts w:ascii="標楷體" w:eastAsia="標楷體" w:hAnsi="標楷體" w:hint="eastAsia"/>
          <w:sz w:val="32"/>
          <w:szCs w:val="32"/>
        </w:rPr>
        <w:t>我國正積極研擬「臺灣無人機產業發展方案」，期望結合產官學研能量，推動無人機產業發展。然，近日有關國慶晚會表演之無人機，部分零件疑似為中國製造，相關調查尚在進行中。目前初步調查結果，無人機中國製的部分為無涉及資安之馬達、電池、外殼等零件，而與資安相關之關鍵零件則為歐美製，因此無資安疑慮。國</w:t>
      </w:r>
      <w:r>
        <w:rPr>
          <w:rFonts w:ascii="標楷體" w:eastAsia="標楷體" w:hAnsi="標楷體" w:hint="eastAsia"/>
          <w:sz w:val="32"/>
          <w:szCs w:val="32"/>
        </w:rPr>
        <w:t>家</w:t>
      </w:r>
      <w:r w:rsidRPr="00ED4109">
        <w:rPr>
          <w:rFonts w:ascii="標楷體" w:eastAsia="標楷體" w:hAnsi="標楷體" w:hint="eastAsia"/>
          <w:sz w:val="32"/>
          <w:szCs w:val="32"/>
        </w:rPr>
        <w:t>科</w:t>
      </w:r>
      <w:r>
        <w:rPr>
          <w:rFonts w:ascii="標楷體" w:eastAsia="標楷體" w:hAnsi="標楷體" w:hint="eastAsia"/>
          <w:sz w:val="32"/>
          <w:szCs w:val="32"/>
        </w:rPr>
        <w:t>學及技術委員</w:t>
      </w:r>
      <w:r w:rsidRPr="00ED4109">
        <w:rPr>
          <w:rFonts w:ascii="標楷體" w:eastAsia="標楷體" w:hAnsi="標楷體" w:hint="eastAsia"/>
          <w:sz w:val="32"/>
          <w:szCs w:val="32"/>
        </w:rPr>
        <w:t>會</w:t>
      </w:r>
      <w:r>
        <w:rPr>
          <w:rFonts w:ascii="標楷體" w:eastAsia="標楷體" w:hAnsi="標楷體" w:hint="eastAsia"/>
          <w:sz w:val="32"/>
          <w:szCs w:val="32"/>
        </w:rPr>
        <w:t>吳</w:t>
      </w:r>
      <w:r w:rsidRPr="00ED4109">
        <w:rPr>
          <w:rFonts w:ascii="標楷體" w:eastAsia="標楷體" w:hAnsi="標楷體" w:hint="eastAsia"/>
          <w:sz w:val="32"/>
          <w:szCs w:val="32"/>
        </w:rPr>
        <w:t>主</w:t>
      </w:r>
      <w:r>
        <w:rPr>
          <w:rFonts w:ascii="標楷體" w:eastAsia="標楷體" w:hAnsi="標楷體" w:hint="eastAsia"/>
          <w:sz w:val="32"/>
          <w:szCs w:val="32"/>
        </w:rPr>
        <w:t>任</w:t>
      </w:r>
      <w:r w:rsidRPr="00ED4109">
        <w:rPr>
          <w:rFonts w:ascii="標楷體" w:eastAsia="標楷體" w:hAnsi="標楷體" w:hint="eastAsia"/>
          <w:sz w:val="32"/>
          <w:szCs w:val="32"/>
        </w:rPr>
        <w:t>委</w:t>
      </w:r>
      <w:r>
        <w:rPr>
          <w:rFonts w:ascii="標楷體" w:eastAsia="標楷體" w:hAnsi="標楷體" w:hint="eastAsia"/>
          <w:sz w:val="32"/>
          <w:szCs w:val="32"/>
        </w:rPr>
        <w:t>員政忠111年</w:t>
      </w:r>
      <w:r w:rsidRPr="00ED4109">
        <w:rPr>
          <w:rFonts w:ascii="標楷體" w:eastAsia="標楷體" w:hAnsi="標楷體" w:hint="eastAsia"/>
          <w:sz w:val="32"/>
          <w:szCs w:val="32"/>
        </w:rPr>
        <w:t>11月</w:t>
      </w:r>
      <w:r>
        <w:rPr>
          <w:rFonts w:ascii="標楷體" w:eastAsia="標楷體" w:hAnsi="標楷體" w:hint="eastAsia"/>
          <w:sz w:val="32"/>
          <w:szCs w:val="32"/>
        </w:rPr>
        <w:t>於</w:t>
      </w:r>
      <w:r w:rsidRPr="00ED4109">
        <w:rPr>
          <w:rFonts w:ascii="標楷體" w:eastAsia="標楷體" w:hAnsi="標楷體" w:hint="eastAsia"/>
          <w:sz w:val="32"/>
          <w:szCs w:val="32"/>
        </w:rPr>
        <w:t>立法院教育及文化委員會備詢時針對此案，曾提及無人機應介接國際標準，建立資安檢測機制。未來如有需要，國</w:t>
      </w:r>
      <w:r>
        <w:rPr>
          <w:rFonts w:ascii="標楷體" w:eastAsia="標楷體" w:hAnsi="標楷體" w:hint="eastAsia"/>
          <w:sz w:val="32"/>
          <w:szCs w:val="32"/>
        </w:rPr>
        <w:t>家</w:t>
      </w:r>
      <w:r w:rsidRPr="00ED4109">
        <w:rPr>
          <w:rFonts w:ascii="標楷體" w:eastAsia="標楷體" w:hAnsi="標楷體" w:hint="eastAsia"/>
          <w:sz w:val="32"/>
          <w:szCs w:val="32"/>
        </w:rPr>
        <w:t>科</w:t>
      </w:r>
      <w:r>
        <w:rPr>
          <w:rFonts w:ascii="標楷體" w:eastAsia="標楷體" w:hAnsi="標楷體" w:hint="eastAsia"/>
          <w:sz w:val="32"/>
          <w:szCs w:val="32"/>
        </w:rPr>
        <w:t>學及技術委員</w:t>
      </w:r>
      <w:r w:rsidRPr="00ED4109">
        <w:rPr>
          <w:rFonts w:ascii="標楷體" w:eastAsia="標楷體" w:hAnsi="標楷體" w:hint="eastAsia"/>
          <w:sz w:val="32"/>
          <w:szCs w:val="32"/>
        </w:rPr>
        <w:t>會科技辦公室將協調數位發展部與民間資安檢測單位，建立有公信力第三方驗證制度。資安議題是重要國安議題，</w:t>
      </w:r>
      <w:r w:rsidRPr="00ED4109">
        <w:rPr>
          <w:rFonts w:ascii="標楷體" w:eastAsia="標楷體" w:hAnsi="標楷體" w:hint="eastAsia"/>
          <w:sz w:val="32"/>
          <w:szCs w:val="32"/>
        </w:rPr>
        <w:lastRenderedPageBreak/>
        <w:t>面對近年中國各項滲透行動，政府部門不可不審慎應對。國科會主委身兼科技政</w:t>
      </w:r>
      <w:r>
        <w:rPr>
          <w:rFonts w:ascii="標楷體" w:eastAsia="標楷體" w:hAnsi="標楷體" w:hint="eastAsia"/>
          <w:sz w:val="32"/>
          <w:szCs w:val="32"/>
        </w:rPr>
        <w:t>務</w:t>
      </w:r>
      <w:r w:rsidRPr="00ED4109">
        <w:rPr>
          <w:rFonts w:ascii="標楷體" w:eastAsia="標楷體" w:hAnsi="標楷體" w:hint="eastAsia"/>
          <w:sz w:val="32"/>
          <w:szCs w:val="32"/>
        </w:rPr>
        <w:t>委</w:t>
      </w:r>
      <w:r>
        <w:rPr>
          <w:rFonts w:ascii="標楷體" w:eastAsia="標楷體" w:hAnsi="標楷體" w:hint="eastAsia"/>
          <w:sz w:val="32"/>
          <w:szCs w:val="32"/>
        </w:rPr>
        <w:t>員</w:t>
      </w:r>
      <w:r w:rsidRPr="00ED4109">
        <w:rPr>
          <w:rFonts w:ascii="標楷體" w:eastAsia="標楷體" w:hAnsi="標楷體" w:hint="eastAsia"/>
          <w:sz w:val="32"/>
          <w:szCs w:val="32"/>
        </w:rPr>
        <w:t>與行政院國家資通安全會報副召集人，而國科會科技辦公室為跨部會協調重要單位，應肩負協調各部會共同維護國家資安之重任。爰請國</w:t>
      </w:r>
      <w:r>
        <w:rPr>
          <w:rFonts w:ascii="標楷體" w:eastAsia="標楷體" w:hAnsi="標楷體" w:hint="eastAsia"/>
          <w:sz w:val="32"/>
          <w:szCs w:val="32"/>
        </w:rPr>
        <w:t>家</w:t>
      </w:r>
      <w:r w:rsidRPr="00ED4109">
        <w:rPr>
          <w:rFonts w:ascii="標楷體" w:eastAsia="標楷體" w:hAnsi="標楷體" w:hint="eastAsia"/>
          <w:sz w:val="32"/>
          <w:szCs w:val="32"/>
        </w:rPr>
        <w:t>科</w:t>
      </w:r>
      <w:r>
        <w:rPr>
          <w:rFonts w:ascii="標楷體" w:eastAsia="標楷體" w:hAnsi="標楷體" w:hint="eastAsia"/>
          <w:sz w:val="32"/>
          <w:szCs w:val="32"/>
        </w:rPr>
        <w:t>學及技術委員</w:t>
      </w:r>
      <w:r w:rsidRPr="00ED4109">
        <w:rPr>
          <w:rFonts w:ascii="標楷體" w:eastAsia="標楷體" w:hAnsi="標楷體" w:hint="eastAsia"/>
          <w:sz w:val="32"/>
          <w:szCs w:val="32"/>
        </w:rPr>
        <w:t>會科技辦公室全面盤點無人機相關法規，並與相關部會(如數位發展部、交通部、經濟部、</w:t>
      </w:r>
      <w:r>
        <w:rPr>
          <w:rFonts w:ascii="標楷體" w:eastAsia="標楷體" w:hAnsi="標楷體" w:hint="eastAsia"/>
          <w:sz w:val="32"/>
          <w:szCs w:val="32"/>
        </w:rPr>
        <w:t>行政院</w:t>
      </w:r>
      <w:r w:rsidRPr="00ED4109">
        <w:rPr>
          <w:rFonts w:ascii="標楷體" w:eastAsia="標楷體" w:hAnsi="標楷體" w:hint="eastAsia"/>
          <w:sz w:val="32"/>
          <w:szCs w:val="32"/>
        </w:rPr>
        <w:t>公共工程委員會等)研議無人機資安檢測完善機制之規劃報告，</w:t>
      </w:r>
      <w:r>
        <w:rPr>
          <w:rFonts w:ascii="標楷體" w:eastAsia="標楷體" w:hAnsi="標楷體" w:hint="eastAsia"/>
          <w:sz w:val="32"/>
          <w:szCs w:val="32"/>
        </w:rPr>
        <w:t>並</w:t>
      </w:r>
      <w:r w:rsidRPr="00ED4109">
        <w:rPr>
          <w:rFonts w:ascii="標楷體" w:eastAsia="標楷體" w:hAnsi="標楷體" w:hint="eastAsia"/>
          <w:sz w:val="32"/>
          <w:szCs w:val="32"/>
        </w:rPr>
        <w:t>於</w:t>
      </w:r>
      <w:r>
        <w:rPr>
          <w:rFonts w:ascii="標楷體" w:eastAsia="標楷體" w:hAnsi="標楷體" w:hint="eastAsia"/>
          <w:sz w:val="32"/>
          <w:szCs w:val="32"/>
        </w:rPr>
        <w:t>3</w:t>
      </w:r>
      <w:r w:rsidRPr="00ED4109">
        <w:rPr>
          <w:rFonts w:ascii="標楷體" w:eastAsia="標楷體" w:hAnsi="標楷體" w:hint="eastAsia"/>
          <w:sz w:val="32"/>
          <w:szCs w:val="32"/>
        </w:rPr>
        <w:t>個月內向立法院教</w:t>
      </w:r>
      <w:r>
        <w:rPr>
          <w:rFonts w:ascii="標楷體" w:eastAsia="標楷體" w:hAnsi="標楷體" w:hint="eastAsia"/>
          <w:sz w:val="32"/>
          <w:szCs w:val="32"/>
        </w:rPr>
        <w:t>育及</w:t>
      </w:r>
      <w:r w:rsidRPr="00ED4109">
        <w:rPr>
          <w:rFonts w:ascii="標楷體" w:eastAsia="標楷體" w:hAnsi="標楷體" w:hint="eastAsia"/>
          <w:sz w:val="32"/>
          <w:szCs w:val="32"/>
        </w:rPr>
        <w:t>文</w:t>
      </w:r>
      <w:r>
        <w:rPr>
          <w:rFonts w:ascii="標楷體" w:eastAsia="標楷體" w:hAnsi="標楷體" w:hint="eastAsia"/>
          <w:sz w:val="32"/>
          <w:szCs w:val="32"/>
        </w:rPr>
        <w:t>化</w:t>
      </w:r>
      <w:r w:rsidRPr="00ED4109">
        <w:rPr>
          <w:rFonts w:ascii="標楷體" w:eastAsia="標楷體" w:hAnsi="標楷體" w:hint="eastAsia"/>
          <w:sz w:val="32"/>
          <w:szCs w:val="32"/>
        </w:rPr>
        <w:t>委員會提出書面報告。</w:t>
      </w:r>
      <w:r>
        <w:rPr>
          <w:rFonts w:ascii="標楷體" w:eastAsia="標楷體" w:hAnsi="標楷體" w:hint="eastAsia"/>
          <w:sz w:val="32"/>
          <w:szCs w:val="32"/>
        </w:rPr>
        <w:t>13</w:t>
      </w:r>
    </w:p>
    <w:p w:rsidR="00A52DD2" w:rsidRPr="00F371D9" w:rsidRDefault="00A52DD2" w:rsidP="00F035E0">
      <w:pPr>
        <w:snapToGrid w:val="0"/>
        <w:spacing w:line="460" w:lineRule="exact"/>
        <w:ind w:leftChars="1300" w:left="3120"/>
        <w:jc w:val="both"/>
        <w:rPr>
          <w:rFonts w:ascii="標楷體" w:eastAsia="標楷體" w:hAnsi="標楷體"/>
          <w:sz w:val="32"/>
          <w:szCs w:val="32"/>
        </w:rPr>
      </w:pPr>
      <w:r w:rsidRPr="00F371D9">
        <w:rPr>
          <w:rFonts w:ascii="標楷體" w:eastAsia="標楷體" w:hAnsi="標楷體"/>
          <w:sz w:val="32"/>
          <w:szCs w:val="32"/>
        </w:rPr>
        <w:t>提案</w:t>
      </w:r>
      <w:r w:rsidRPr="00F371D9">
        <w:rPr>
          <w:rFonts w:ascii="標楷體" w:eastAsia="標楷體" w:hAnsi="標楷體" w:hint="eastAsia"/>
          <w:sz w:val="32"/>
          <w:szCs w:val="32"/>
        </w:rPr>
        <w:t>人</w:t>
      </w:r>
      <w:r w:rsidRPr="00F371D9">
        <w:rPr>
          <w:rFonts w:ascii="標楷體" w:eastAsia="標楷體" w:hAnsi="標楷體"/>
          <w:sz w:val="32"/>
          <w:szCs w:val="32"/>
        </w:rPr>
        <w:t>：</w:t>
      </w:r>
      <w:r>
        <w:rPr>
          <w:rFonts w:ascii="標楷體" w:eastAsia="標楷體" w:hAnsi="標楷體" w:hint="eastAsia"/>
          <w:sz w:val="32"/>
          <w:szCs w:val="32"/>
        </w:rPr>
        <w:t>范  雲</w:t>
      </w:r>
    </w:p>
    <w:p w:rsidR="00A52DD2" w:rsidRPr="00F371D9" w:rsidRDefault="00A52DD2" w:rsidP="00F035E0">
      <w:pPr>
        <w:snapToGrid w:val="0"/>
        <w:spacing w:afterLines="50" w:after="180" w:line="460" w:lineRule="exact"/>
        <w:ind w:leftChars="1300" w:left="3120"/>
        <w:jc w:val="both"/>
        <w:rPr>
          <w:rFonts w:ascii="標楷體" w:eastAsia="標楷體" w:hAnsi="標楷體"/>
          <w:sz w:val="32"/>
          <w:szCs w:val="32"/>
        </w:rPr>
      </w:pPr>
      <w:r w:rsidRPr="00F371D9">
        <w:rPr>
          <w:rFonts w:ascii="標楷體" w:eastAsia="標楷體" w:hAnsi="標楷體"/>
          <w:sz w:val="32"/>
          <w:szCs w:val="32"/>
        </w:rPr>
        <w:t>連署人：</w:t>
      </w:r>
      <w:r>
        <w:rPr>
          <w:rFonts w:ascii="標楷體" w:eastAsia="標楷體" w:hAnsi="標楷體" w:hint="eastAsia"/>
          <w:sz w:val="32"/>
          <w:szCs w:val="32"/>
        </w:rPr>
        <w:t>何欣純  林宜瑾</w:t>
      </w:r>
    </w:p>
    <w:p w:rsidR="00A52DD2" w:rsidRPr="00F371D9" w:rsidRDefault="00A52DD2" w:rsidP="00F035E0">
      <w:pPr>
        <w:kinsoku w:val="0"/>
        <w:overflowPunct w:val="0"/>
        <w:spacing w:line="500" w:lineRule="exact"/>
        <w:ind w:leftChars="450" w:left="1400" w:hangingChars="100" w:hanging="320"/>
        <w:jc w:val="both"/>
        <w:textAlignment w:val="center"/>
        <w:rPr>
          <w:rFonts w:ascii="標楷體" w:eastAsia="標楷體" w:hAnsi="標楷體"/>
          <w:sz w:val="32"/>
          <w:szCs w:val="32"/>
        </w:rPr>
      </w:pPr>
      <w:r>
        <w:rPr>
          <w:rFonts w:ascii="標楷體" w:eastAsia="標楷體" w:hAnsi="標楷體" w:hint="eastAsia"/>
          <w:sz w:val="32"/>
          <w:szCs w:val="32"/>
        </w:rPr>
        <w:t>6</w:t>
      </w:r>
      <w:r w:rsidRPr="00F371D9">
        <w:rPr>
          <w:rFonts w:ascii="標楷體" w:eastAsia="標楷體" w:hAnsi="標楷體" w:hint="eastAsia"/>
          <w:sz w:val="32"/>
          <w:szCs w:val="32"/>
        </w:rPr>
        <w:t>.</w:t>
      </w:r>
      <w:r w:rsidRPr="00ED4109">
        <w:rPr>
          <w:rFonts w:ascii="標楷體" w:eastAsia="標楷體" w:hAnsi="標楷體" w:hint="eastAsia"/>
          <w:sz w:val="32"/>
          <w:szCs w:val="32"/>
        </w:rPr>
        <w:t>國家科學及技術委員會為協助大專校院強化延攬國際頂尖人才及留住國內優秀人才，自107 年起依行政院核定教育部「延攬及留住大專校院特殊優秀人才實施彈性薪資方案」政策，訂定「國家科學及技術委員會補助大專校院研究獎勵作業要點」。為有效推動延攬及獎助科技人才，國科會應針對該計畫進行績效評估，並持續精進計畫內涵。現已知，國科會未有受補助對象類型統計分析，僅有年齡、申請領域之人數統計，缺乏性別以及國內外人才受補助比例等重要統計，更無法得知各群體受補助比例之差異並檢視其合理性。</w:t>
      </w:r>
      <w:r>
        <w:rPr>
          <w:rFonts w:ascii="標楷體" w:eastAsia="標楷體" w:hAnsi="標楷體" w:hint="eastAsia"/>
          <w:sz w:val="32"/>
          <w:szCs w:val="32"/>
        </w:rPr>
        <w:t>爰請</w:t>
      </w:r>
      <w:r w:rsidRPr="00ED4109">
        <w:rPr>
          <w:rFonts w:ascii="標楷體" w:eastAsia="標楷體" w:hAnsi="標楷體" w:hint="eastAsia"/>
          <w:sz w:val="32"/>
          <w:szCs w:val="32"/>
        </w:rPr>
        <w:t>國</w:t>
      </w:r>
      <w:r>
        <w:rPr>
          <w:rFonts w:ascii="標楷體" w:eastAsia="標楷體" w:hAnsi="標楷體" w:hint="eastAsia"/>
          <w:sz w:val="32"/>
          <w:szCs w:val="32"/>
        </w:rPr>
        <w:t>家</w:t>
      </w:r>
      <w:r w:rsidRPr="00ED4109">
        <w:rPr>
          <w:rFonts w:ascii="標楷體" w:eastAsia="標楷體" w:hAnsi="標楷體" w:hint="eastAsia"/>
          <w:sz w:val="32"/>
          <w:szCs w:val="32"/>
        </w:rPr>
        <w:t>科</w:t>
      </w:r>
      <w:r>
        <w:rPr>
          <w:rFonts w:ascii="標楷體" w:eastAsia="標楷體" w:hAnsi="標楷體" w:hint="eastAsia"/>
          <w:sz w:val="32"/>
          <w:szCs w:val="32"/>
        </w:rPr>
        <w:t>學及技術委員</w:t>
      </w:r>
      <w:r w:rsidRPr="00ED4109">
        <w:rPr>
          <w:rFonts w:ascii="標楷體" w:eastAsia="標楷體" w:hAnsi="標楷體" w:hint="eastAsia"/>
          <w:sz w:val="32"/>
          <w:szCs w:val="32"/>
        </w:rPr>
        <w:t>會</w:t>
      </w:r>
      <w:r>
        <w:rPr>
          <w:rFonts w:ascii="標楷體" w:eastAsia="標楷體" w:hAnsi="標楷體" w:hint="eastAsia"/>
          <w:sz w:val="32"/>
          <w:szCs w:val="32"/>
        </w:rPr>
        <w:t>改進上述問題，並提出績效評估報告，內容至少要包括：(1)未來將新增的統計項目，如性別、是否為新進延攬人才等；(2)就國科會既有的統計項目(例如年齡、領域、外國籍)，提供完整統計分析，包含各群體中受補助者占母體之比例，以及各群體間就該比例之比較及分析等；並將前述統計分析，納入未來績效評估標準；(3)新的績效評估標準。並於2023年1月31日前向立法院教育及文化委員會提出書面</w:t>
      </w:r>
      <w:r>
        <w:rPr>
          <w:rFonts w:ascii="標楷體" w:eastAsia="標楷體" w:hAnsi="標楷體" w:hint="eastAsia"/>
          <w:sz w:val="32"/>
          <w:szCs w:val="32"/>
        </w:rPr>
        <w:lastRenderedPageBreak/>
        <w:t>報告。14-15</w:t>
      </w:r>
    </w:p>
    <w:p w:rsidR="00A52DD2" w:rsidRPr="00F371D9" w:rsidRDefault="00A52DD2" w:rsidP="00F035E0">
      <w:pPr>
        <w:snapToGrid w:val="0"/>
        <w:spacing w:line="460" w:lineRule="exact"/>
        <w:ind w:leftChars="1300" w:left="3120"/>
        <w:jc w:val="both"/>
        <w:rPr>
          <w:rFonts w:ascii="標楷體" w:eastAsia="標楷體" w:hAnsi="標楷體"/>
          <w:sz w:val="32"/>
          <w:szCs w:val="32"/>
        </w:rPr>
      </w:pPr>
      <w:r w:rsidRPr="00F371D9">
        <w:rPr>
          <w:rFonts w:ascii="標楷體" w:eastAsia="標楷體" w:hAnsi="標楷體"/>
          <w:sz w:val="32"/>
          <w:szCs w:val="32"/>
        </w:rPr>
        <w:t>提案</w:t>
      </w:r>
      <w:r w:rsidRPr="00F371D9">
        <w:rPr>
          <w:rFonts w:ascii="標楷體" w:eastAsia="標楷體" w:hAnsi="標楷體" w:hint="eastAsia"/>
          <w:sz w:val="32"/>
          <w:szCs w:val="32"/>
        </w:rPr>
        <w:t>人</w:t>
      </w:r>
      <w:r w:rsidRPr="00F371D9">
        <w:rPr>
          <w:rFonts w:ascii="標楷體" w:eastAsia="標楷體" w:hAnsi="標楷體"/>
          <w:sz w:val="32"/>
          <w:szCs w:val="32"/>
        </w:rPr>
        <w:t>：</w:t>
      </w:r>
      <w:r>
        <w:rPr>
          <w:rFonts w:ascii="標楷體" w:eastAsia="標楷體" w:hAnsi="標楷體" w:hint="eastAsia"/>
          <w:sz w:val="32"/>
          <w:szCs w:val="32"/>
        </w:rPr>
        <w:t>范  雲</w:t>
      </w:r>
    </w:p>
    <w:p w:rsidR="00A52DD2" w:rsidRPr="00F371D9" w:rsidRDefault="00A52DD2" w:rsidP="00F035E0">
      <w:pPr>
        <w:snapToGrid w:val="0"/>
        <w:spacing w:afterLines="50" w:after="180" w:line="460" w:lineRule="exact"/>
        <w:ind w:leftChars="1300" w:left="3120"/>
        <w:jc w:val="both"/>
        <w:rPr>
          <w:rFonts w:ascii="標楷體" w:eastAsia="標楷體" w:hAnsi="標楷體"/>
          <w:sz w:val="32"/>
          <w:szCs w:val="32"/>
        </w:rPr>
      </w:pPr>
      <w:r w:rsidRPr="00F371D9">
        <w:rPr>
          <w:rFonts w:ascii="標楷體" w:eastAsia="標楷體" w:hAnsi="標楷體"/>
          <w:sz w:val="32"/>
          <w:szCs w:val="32"/>
        </w:rPr>
        <w:t>連署人：</w:t>
      </w:r>
      <w:r>
        <w:rPr>
          <w:rFonts w:ascii="標楷體" w:eastAsia="標楷體" w:hAnsi="標楷體" w:hint="eastAsia"/>
          <w:sz w:val="32"/>
          <w:szCs w:val="32"/>
        </w:rPr>
        <w:t>何欣純  林宜瑾</w:t>
      </w:r>
    </w:p>
    <w:p w:rsidR="00A52DD2" w:rsidRPr="00E143F0" w:rsidRDefault="00A52DD2" w:rsidP="00F035E0">
      <w:pPr>
        <w:kinsoku w:val="0"/>
        <w:overflowPunct w:val="0"/>
        <w:spacing w:line="500" w:lineRule="exact"/>
        <w:ind w:leftChars="450" w:left="1400" w:hangingChars="100" w:hanging="320"/>
        <w:jc w:val="both"/>
        <w:textAlignment w:val="center"/>
        <w:rPr>
          <w:rFonts w:ascii="標楷體" w:eastAsia="標楷體" w:hAnsi="標楷體"/>
          <w:sz w:val="32"/>
          <w:szCs w:val="32"/>
        </w:rPr>
      </w:pPr>
      <w:r>
        <w:rPr>
          <w:rFonts w:ascii="標楷體" w:eastAsia="標楷體" w:hAnsi="標楷體" w:hint="eastAsia"/>
          <w:sz w:val="32"/>
          <w:szCs w:val="32"/>
        </w:rPr>
        <w:t>7</w:t>
      </w:r>
      <w:r w:rsidRPr="00F371D9">
        <w:rPr>
          <w:rFonts w:ascii="標楷體" w:eastAsia="標楷體" w:hAnsi="標楷體" w:hint="eastAsia"/>
          <w:sz w:val="32"/>
          <w:szCs w:val="32"/>
        </w:rPr>
        <w:t>.</w:t>
      </w:r>
      <w:r w:rsidRPr="007D7257">
        <w:rPr>
          <w:rFonts w:ascii="標楷體" w:eastAsia="標楷體" w:hAnsi="標楷體" w:hint="eastAsia"/>
          <w:sz w:val="32"/>
          <w:szCs w:val="32"/>
        </w:rPr>
        <w:t>有關</w:t>
      </w:r>
      <w:r>
        <w:rPr>
          <w:rFonts w:ascii="標楷體" w:eastAsia="標楷體" w:hAnsi="標楷體" w:hint="eastAsia"/>
          <w:sz w:val="32"/>
          <w:szCs w:val="32"/>
        </w:rPr>
        <w:t>112年度行政院國家科學技術發展基金</w:t>
      </w:r>
      <w:r w:rsidRPr="007D7257">
        <w:rPr>
          <w:rFonts w:ascii="標楷體" w:eastAsia="標楷體" w:hAnsi="標楷體" w:hint="eastAsia"/>
          <w:sz w:val="32"/>
          <w:szCs w:val="32"/>
        </w:rPr>
        <w:t>「培育、延攬及獎助科技人才計畫」</w:t>
      </w:r>
      <w:r>
        <w:rPr>
          <w:rFonts w:ascii="標楷體" w:eastAsia="標楷體" w:hAnsi="標楷體" w:hint="eastAsia"/>
          <w:sz w:val="32"/>
          <w:szCs w:val="32"/>
        </w:rPr>
        <w:t>項下</w:t>
      </w:r>
      <w:r w:rsidRPr="007D7257">
        <w:rPr>
          <w:rFonts w:ascii="標楷體" w:eastAsia="標楷體" w:hAnsi="標楷體" w:hint="eastAsia"/>
          <w:sz w:val="32"/>
          <w:szCs w:val="32"/>
        </w:rPr>
        <w:t>「海外人才交流」</w:t>
      </w:r>
      <w:r>
        <w:rPr>
          <w:rFonts w:ascii="標楷體" w:eastAsia="標楷體" w:hAnsi="標楷體" w:hint="eastAsia"/>
          <w:sz w:val="32"/>
          <w:szCs w:val="32"/>
        </w:rPr>
        <w:t>中「</w:t>
      </w:r>
      <w:r w:rsidRPr="007D7257">
        <w:rPr>
          <w:rFonts w:ascii="標楷體" w:eastAsia="標楷體" w:hAnsi="標楷體" w:hint="eastAsia"/>
          <w:sz w:val="32"/>
          <w:szCs w:val="32"/>
        </w:rPr>
        <w:t>旅運費</w:t>
      </w:r>
      <w:r>
        <w:rPr>
          <w:rFonts w:ascii="標楷體" w:eastAsia="標楷體" w:hAnsi="標楷體" w:hint="eastAsia"/>
          <w:sz w:val="32"/>
          <w:szCs w:val="32"/>
        </w:rPr>
        <w:t>」之</w:t>
      </w:r>
      <w:r w:rsidRPr="007D7257">
        <w:rPr>
          <w:rFonts w:ascii="標楷體" w:eastAsia="標楷體" w:hAnsi="標楷體" w:hint="eastAsia"/>
          <w:sz w:val="32"/>
          <w:szCs w:val="32"/>
        </w:rPr>
        <w:t>「推動兩岸科技交流、兩岸學術議題交流研究會議、科技研討會議等」</w:t>
      </w:r>
      <w:r>
        <w:rPr>
          <w:rFonts w:ascii="標楷體" w:eastAsia="標楷體" w:hAnsi="標楷體" w:hint="eastAsia"/>
          <w:sz w:val="32"/>
          <w:szCs w:val="32"/>
        </w:rPr>
        <w:t>預算</w:t>
      </w:r>
      <w:r w:rsidRPr="007D7257">
        <w:rPr>
          <w:rFonts w:ascii="標楷體" w:eastAsia="標楷體" w:hAnsi="標楷體" w:hint="eastAsia"/>
          <w:sz w:val="32"/>
          <w:szCs w:val="32"/>
        </w:rPr>
        <w:t>編列47萬7千元。然據法務部調查局指出，自110年起，專案偵辦中國對我國高科技產業之人才挖角，至少查獲40</w:t>
      </w:r>
      <w:r>
        <w:rPr>
          <w:rFonts w:ascii="標楷體" w:eastAsia="標楷體" w:hAnsi="標楷體" w:hint="eastAsia"/>
          <w:sz w:val="32"/>
          <w:szCs w:val="32"/>
        </w:rPr>
        <w:t>起迂迴來臺惡意挖角、竊密等不法行為案件，且中國對臺灣文攻武嚇</w:t>
      </w:r>
      <w:r w:rsidRPr="007D7257">
        <w:rPr>
          <w:rFonts w:ascii="標楷體" w:eastAsia="標楷體" w:hAnsi="標楷體" w:hint="eastAsia"/>
          <w:sz w:val="32"/>
          <w:szCs w:val="32"/>
        </w:rPr>
        <w:t>力道未減，多次惡意禁止我國農產品輸入，並增派軍機、軍艦侵擾，更意圖挖角，顯見赴中國之風險巨大。綜上所述，在中國對臺政治敵對未緩解，並對我國人才以違背企業倫理之惡意挖角、竊取機密狀況停止前，不宜與中國進行交流，爰請國家科學及技</w:t>
      </w:r>
      <w:r w:rsidRPr="00E143F0">
        <w:rPr>
          <w:rFonts w:ascii="標楷體" w:eastAsia="標楷體" w:hAnsi="標楷體" w:hint="eastAsia"/>
          <w:sz w:val="32"/>
          <w:szCs w:val="32"/>
        </w:rPr>
        <w:t>術委員會針對前述事由於3個月內向立法院教育及文化委員會提出書面報告。16</w:t>
      </w:r>
    </w:p>
    <w:p w:rsidR="00A52DD2" w:rsidRPr="00E143F0" w:rsidRDefault="00A52DD2" w:rsidP="00F035E0">
      <w:pPr>
        <w:snapToGrid w:val="0"/>
        <w:spacing w:line="460" w:lineRule="exact"/>
        <w:ind w:leftChars="1300" w:left="3120"/>
        <w:jc w:val="both"/>
        <w:rPr>
          <w:rFonts w:ascii="標楷體" w:eastAsia="標楷體" w:hAnsi="標楷體"/>
          <w:sz w:val="32"/>
          <w:szCs w:val="32"/>
        </w:rPr>
      </w:pPr>
      <w:r w:rsidRPr="00E143F0">
        <w:rPr>
          <w:rFonts w:ascii="標楷體" w:eastAsia="標楷體" w:hAnsi="標楷體"/>
          <w:sz w:val="32"/>
          <w:szCs w:val="32"/>
        </w:rPr>
        <w:t>提案</w:t>
      </w:r>
      <w:r w:rsidRPr="00E143F0">
        <w:rPr>
          <w:rFonts w:ascii="標楷體" w:eastAsia="標楷體" w:hAnsi="標楷體" w:hint="eastAsia"/>
          <w:sz w:val="32"/>
          <w:szCs w:val="32"/>
        </w:rPr>
        <w:t>人</w:t>
      </w:r>
      <w:r w:rsidRPr="00E143F0">
        <w:rPr>
          <w:rFonts w:ascii="標楷體" w:eastAsia="標楷體" w:hAnsi="標楷體"/>
          <w:sz w:val="32"/>
          <w:szCs w:val="32"/>
        </w:rPr>
        <w:t>：</w:t>
      </w:r>
      <w:r w:rsidRPr="00E143F0">
        <w:rPr>
          <w:rFonts w:ascii="標楷體" w:eastAsia="標楷體" w:hAnsi="標楷體" w:hint="eastAsia"/>
          <w:sz w:val="32"/>
          <w:szCs w:val="32"/>
        </w:rPr>
        <w:t>吳思瑤</w:t>
      </w:r>
    </w:p>
    <w:p w:rsidR="00A52DD2" w:rsidRPr="00E143F0" w:rsidRDefault="00A52DD2" w:rsidP="00F035E0">
      <w:pPr>
        <w:snapToGrid w:val="0"/>
        <w:spacing w:afterLines="50" w:after="180" w:line="460" w:lineRule="exact"/>
        <w:ind w:leftChars="1300" w:left="3120"/>
        <w:jc w:val="both"/>
        <w:rPr>
          <w:rFonts w:ascii="標楷體" w:eastAsia="標楷體" w:hAnsi="標楷體"/>
          <w:bCs/>
          <w:sz w:val="32"/>
          <w:szCs w:val="32"/>
        </w:rPr>
      </w:pPr>
      <w:r w:rsidRPr="00E143F0">
        <w:rPr>
          <w:rFonts w:ascii="標楷體" w:eastAsia="標楷體" w:hAnsi="標楷體"/>
          <w:sz w:val="32"/>
          <w:szCs w:val="32"/>
        </w:rPr>
        <w:t>連署人：</w:t>
      </w:r>
      <w:r w:rsidRPr="00E143F0">
        <w:rPr>
          <w:rFonts w:ascii="標楷體" w:eastAsia="標楷體" w:hAnsi="標楷體" w:hint="eastAsia"/>
          <w:sz w:val="32"/>
          <w:szCs w:val="32"/>
        </w:rPr>
        <w:t>陳秀寳  黃國書  林宜瑾</w:t>
      </w:r>
    </w:p>
    <w:p w:rsidR="00A52DD2" w:rsidRPr="00E143F0" w:rsidRDefault="00A52DD2" w:rsidP="00F035E0">
      <w:pPr>
        <w:spacing w:beforeLines="50" w:before="180" w:afterLines="50" w:after="180" w:line="500" w:lineRule="exact"/>
        <w:ind w:left="640" w:hangingChars="200" w:hanging="640"/>
        <w:jc w:val="both"/>
        <w:rPr>
          <w:rFonts w:ascii="標楷體" w:eastAsia="標楷體" w:hAnsi="標楷體"/>
          <w:sz w:val="32"/>
          <w:szCs w:val="32"/>
        </w:rPr>
      </w:pPr>
      <w:r w:rsidRPr="00E143F0">
        <w:rPr>
          <w:rFonts w:ascii="標楷體" w:eastAsia="標楷體" w:hAnsi="標楷體" w:hint="eastAsia"/>
          <w:bCs/>
          <w:sz w:val="32"/>
          <w:szCs w:val="32"/>
        </w:rPr>
        <w:t>三、</w:t>
      </w:r>
      <w:r w:rsidRPr="00E143F0">
        <w:rPr>
          <w:rFonts w:ascii="標楷體" w:eastAsia="標楷體" w:hAnsi="標楷體" w:hint="eastAsia"/>
          <w:sz w:val="32"/>
          <w:szCs w:val="32"/>
        </w:rPr>
        <w:t>112年度中央政府總預算案關於</w:t>
      </w:r>
      <w:r>
        <w:rPr>
          <w:rFonts w:ascii="標楷體" w:eastAsia="標楷體" w:hAnsi="標楷體" w:hint="eastAsia"/>
          <w:sz w:val="32"/>
          <w:szCs w:val="32"/>
        </w:rPr>
        <w:t>國家科學及技術委員會</w:t>
      </w:r>
      <w:r w:rsidRPr="00E143F0">
        <w:rPr>
          <w:rFonts w:ascii="標楷體" w:eastAsia="標楷體" w:hAnsi="標楷體" w:hint="eastAsia"/>
          <w:sz w:val="32"/>
          <w:szCs w:val="32"/>
        </w:rPr>
        <w:t>主管科學園區管理局作業基金附屬單位預算案，審查完竣。審查結果如下：</w:t>
      </w:r>
    </w:p>
    <w:p w:rsidR="00A52DD2" w:rsidRPr="00F371D9" w:rsidRDefault="00A52DD2" w:rsidP="00F035E0">
      <w:pPr>
        <w:kinsoku w:val="0"/>
        <w:overflowPunct w:val="0"/>
        <w:spacing w:line="500" w:lineRule="exact"/>
        <w:ind w:leftChars="200" w:left="1120" w:hangingChars="200" w:hanging="640"/>
        <w:jc w:val="both"/>
        <w:textAlignment w:val="center"/>
        <w:rPr>
          <w:rFonts w:ascii="標楷體" w:eastAsia="標楷體" w:hAnsi="標楷體"/>
          <w:sz w:val="32"/>
          <w:szCs w:val="32"/>
        </w:rPr>
      </w:pPr>
      <w:r w:rsidRPr="00E143F0">
        <w:rPr>
          <w:rFonts w:ascii="標楷體" w:eastAsia="標楷體" w:hAnsi="標楷體" w:hint="eastAsia"/>
          <w:sz w:val="32"/>
          <w:szCs w:val="32"/>
        </w:rPr>
        <w:t>(一)</w:t>
      </w:r>
      <w:r w:rsidRPr="00E143F0">
        <w:rPr>
          <w:rFonts w:ascii="標楷體" w:eastAsia="標楷體" w:hAnsi="標楷體"/>
          <w:sz w:val="32"/>
          <w:szCs w:val="32"/>
        </w:rPr>
        <w:t>業務計畫：</w:t>
      </w:r>
      <w:r w:rsidRPr="00E143F0">
        <w:rPr>
          <w:rFonts w:ascii="標楷體" w:eastAsia="標楷體" w:hAnsi="標楷體" w:hint="eastAsia"/>
          <w:sz w:val="32"/>
          <w:szCs w:val="32"/>
        </w:rPr>
        <w:t>應依據業務收支、轉投資、固定資產建設改良</w:t>
      </w:r>
      <w:r w:rsidRPr="00F371D9">
        <w:rPr>
          <w:rFonts w:ascii="標楷體" w:eastAsia="標楷體" w:hAnsi="標楷體" w:hint="eastAsia"/>
          <w:sz w:val="32"/>
          <w:szCs w:val="32"/>
        </w:rPr>
        <w:t>擴充及資金運用等項之審查結果，隨同調整</w:t>
      </w:r>
      <w:r w:rsidRPr="00F371D9">
        <w:rPr>
          <w:rFonts w:ascii="標楷體" w:eastAsia="標楷體" w:hAnsi="標楷體"/>
          <w:sz w:val="32"/>
          <w:szCs w:val="32"/>
        </w:rPr>
        <w:t>。</w:t>
      </w:r>
    </w:p>
    <w:p w:rsidR="00A52DD2" w:rsidRPr="00F371D9" w:rsidRDefault="00A52DD2" w:rsidP="00F035E0">
      <w:pPr>
        <w:kinsoku w:val="0"/>
        <w:overflowPunct w:val="0"/>
        <w:spacing w:line="500" w:lineRule="exact"/>
        <w:ind w:leftChars="200" w:left="1120" w:hangingChars="200" w:hanging="640"/>
        <w:jc w:val="both"/>
        <w:textAlignment w:val="center"/>
        <w:rPr>
          <w:rFonts w:ascii="標楷體" w:eastAsia="標楷體" w:hAnsi="標楷體"/>
          <w:sz w:val="32"/>
          <w:szCs w:val="32"/>
        </w:rPr>
      </w:pPr>
      <w:r w:rsidRPr="00F371D9">
        <w:rPr>
          <w:rFonts w:ascii="標楷體" w:eastAsia="標楷體" w:hAnsi="標楷體" w:hint="eastAsia"/>
          <w:sz w:val="32"/>
          <w:szCs w:val="32"/>
        </w:rPr>
        <w:t>(二)</w:t>
      </w:r>
      <w:r w:rsidRPr="00F371D9">
        <w:rPr>
          <w:rFonts w:ascii="標楷體" w:eastAsia="標楷體" w:hAnsi="標楷體"/>
          <w:sz w:val="32"/>
          <w:szCs w:val="32"/>
        </w:rPr>
        <w:t>業務收支：</w:t>
      </w:r>
    </w:p>
    <w:p w:rsidR="00A52DD2" w:rsidRPr="008E79D1" w:rsidRDefault="00A52DD2" w:rsidP="00F035E0">
      <w:pPr>
        <w:kinsoku w:val="0"/>
        <w:overflowPunct w:val="0"/>
        <w:spacing w:line="500" w:lineRule="exact"/>
        <w:ind w:leftChars="450" w:left="1400" w:hangingChars="100" w:hanging="320"/>
        <w:jc w:val="both"/>
        <w:textAlignment w:val="center"/>
        <w:rPr>
          <w:rFonts w:ascii="標楷體" w:eastAsia="標楷體" w:hAnsi="標楷體"/>
          <w:sz w:val="32"/>
          <w:szCs w:val="32"/>
        </w:rPr>
      </w:pPr>
      <w:r w:rsidRPr="00881FFF">
        <w:rPr>
          <w:rFonts w:ascii="標楷體" w:eastAsia="標楷體" w:hAnsi="標楷體" w:hint="eastAsia"/>
          <w:sz w:val="32"/>
          <w:szCs w:val="32"/>
        </w:rPr>
        <w:t>1.</w:t>
      </w:r>
      <w:r w:rsidRPr="00881FFF">
        <w:rPr>
          <w:rFonts w:ascii="標楷體" w:eastAsia="標楷體" w:hAnsi="標楷體"/>
          <w:sz w:val="32"/>
          <w:szCs w:val="32"/>
        </w:rPr>
        <w:t>業務總收入：</w:t>
      </w:r>
      <w:r w:rsidRPr="00881FFF">
        <w:rPr>
          <w:rFonts w:ascii="標楷體" w:eastAsia="標楷體" w:hAnsi="標楷體" w:hint="eastAsia"/>
          <w:sz w:val="32"/>
          <w:szCs w:val="32"/>
        </w:rPr>
        <w:t>原列207億6,908萬9千元，增列「業務收入」項下「租金及權利金收入」300萬元，其餘均照列，改列為207億7,</w:t>
      </w:r>
      <w:r w:rsidRPr="00881FFF">
        <w:rPr>
          <w:rFonts w:ascii="標楷體" w:eastAsia="標楷體" w:hAnsi="標楷體"/>
          <w:sz w:val="32"/>
          <w:szCs w:val="32"/>
        </w:rPr>
        <w:t>2</w:t>
      </w:r>
      <w:r w:rsidRPr="00881FFF">
        <w:rPr>
          <w:rFonts w:ascii="標楷體" w:eastAsia="標楷體" w:hAnsi="標楷體" w:hint="eastAsia"/>
          <w:sz w:val="32"/>
          <w:szCs w:val="32"/>
        </w:rPr>
        <w:t>08萬9千元。</w:t>
      </w:r>
    </w:p>
    <w:p w:rsidR="00A52DD2" w:rsidRPr="00F371D9" w:rsidRDefault="00A52DD2" w:rsidP="00F035E0">
      <w:pPr>
        <w:kinsoku w:val="0"/>
        <w:overflowPunct w:val="0"/>
        <w:spacing w:line="500" w:lineRule="exact"/>
        <w:ind w:leftChars="450" w:left="1400" w:hangingChars="100" w:hanging="320"/>
        <w:jc w:val="both"/>
        <w:textAlignment w:val="center"/>
        <w:rPr>
          <w:rFonts w:ascii="標楷體" w:eastAsia="標楷體" w:hAnsi="標楷體"/>
          <w:sz w:val="32"/>
          <w:szCs w:val="32"/>
        </w:rPr>
      </w:pPr>
      <w:r w:rsidRPr="00F371D9">
        <w:rPr>
          <w:rFonts w:ascii="標楷體" w:eastAsia="標楷體" w:hAnsi="標楷體" w:hint="eastAsia"/>
          <w:sz w:val="32"/>
          <w:szCs w:val="32"/>
        </w:rPr>
        <w:lastRenderedPageBreak/>
        <w:t>2.</w:t>
      </w:r>
      <w:r w:rsidRPr="00F371D9">
        <w:rPr>
          <w:rFonts w:ascii="標楷體" w:eastAsia="標楷體" w:hAnsi="標楷體"/>
          <w:sz w:val="32"/>
          <w:szCs w:val="32"/>
        </w:rPr>
        <w:t>業務總支出：</w:t>
      </w:r>
      <w:r w:rsidRPr="00F371D9">
        <w:rPr>
          <w:rFonts w:ascii="標楷體" w:eastAsia="標楷體" w:hAnsi="標楷體" w:hint="eastAsia"/>
          <w:color w:val="000000"/>
          <w:sz w:val="32"/>
          <w:szCs w:val="32"/>
        </w:rPr>
        <w:t>162億1,522萬3千元，照</w:t>
      </w:r>
      <w:r w:rsidRPr="00F371D9">
        <w:rPr>
          <w:rFonts w:ascii="標楷體" w:eastAsia="標楷體" w:hAnsi="標楷體" w:hint="eastAsia"/>
          <w:sz w:val="32"/>
          <w:szCs w:val="32"/>
        </w:rPr>
        <w:t>列。</w:t>
      </w:r>
    </w:p>
    <w:p w:rsidR="00A52DD2" w:rsidRPr="00F371D9" w:rsidRDefault="00A52DD2" w:rsidP="00F035E0">
      <w:pPr>
        <w:kinsoku w:val="0"/>
        <w:overflowPunct w:val="0"/>
        <w:spacing w:line="500" w:lineRule="exact"/>
        <w:ind w:leftChars="450" w:left="1400" w:hangingChars="100" w:hanging="320"/>
        <w:jc w:val="both"/>
        <w:textAlignment w:val="center"/>
        <w:rPr>
          <w:rFonts w:ascii="標楷體" w:eastAsia="標楷體" w:hAnsi="標楷體"/>
          <w:color w:val="000000"/>
          <w:sz w:val="32"/>
          <w:szCs w:val="32"/>
        </w:rPr>
      </w:pPr>
      <w:r w:rsidRPr="00F371D9">
        <w:rPr>
          <w:rFonts w:ascii="標楷體" w:eastAsia="標楷體" w:hAnsi="標楷體" w:hint="eastAsia"/>
          <w:sz w:val="32"/>
          <w:szCs w:val="32"/>
        </w:rPr>
        <w:t>3.</w:t>
      </w:r>
      <w:r w:rsidRPr="00F371D9">
        <w:rPr>
          <w:rFonts w:ascii="標楷體" w:eastAsia="標楷體" w:hAnsi="標楷體"/>
          <w:sz w:val="32"/>
          <w:szCs w:val="32"/>
        </w:rPr>
        <w:t>本期賸餘：</w:t>
      </w:r>
      <w:r w:rsidRPr="00F371D9">
        <w:rPr>
          <w:rFonts w:ascii="標楷體" w:eastAsia="標楷體" w:hAnsi="標楷體" w:hint="eastAsia"/>
          <w:color w:val="000000"/>
          <w:sz w:val="32"/>
          <w:szCs w:val="32"/>
        </w:rPr>
        <w:t>原列45億5,386萬6千元，增列</w:t>
      </w:r>
      <w:r>
        <w:rPr>
          <w:rFonts w:ascii="標楷體" w:eastAsia="標楷體" w:hAnsi="標楷體" w:hint="eastAsia"/>
          <w:color w:val="000000"/>
          <w:sz w:val="32"/>
          <w:szCs w:val="32"/>
        </w:rPr>
        <w:t>300</w:t>
      </w:r>
      <w:r w:rsidRPr="00F371D9">
        <w:rPr>
          <w:rFonts w:ascii="標楷體" w:eastAsia="標楷體" w:hAnsi="標楷體" w:hint="eastAsia"/>
          <w:color w:val="000000"/>
          <w:sz w:val="32"/>
          <w:szCs w:val="32"/>
        </w:rPr>
        <w:t>萬元，改列為</w:t>
      </w:r>
      <w:r>
        <w:rPr>
          <w:rFonts w:ascii="標楷體" w:eastAsia="標楷體" w:hAnsi="標楷體" w:hint="eastAsia"/>
          <w:color w:val="000000"/>
          <w:sz w:val="32"/>
          <w:szCs w:val="32"/>
        </w:rPr>
        <w:t>45億5</w:t>
      </w:r>
      <w:r>
        <w:rPr>
          <w:rFonts w:ascii="標楷體" w:eastAsia="標楷體" w:hAnsi="標楷體"/>
          <w:color w:val="000000"/>
          <w:sz w:val="32"/>
          <w:szCs w:val="32"/>
        </w:rPr>
        <w:t>,</w:t>
      </w:r>
      <w:r>
        <w:rPr>
          <w:rFonts w:ascii="標楷體" w:eastAsia="標楷體" w:hAnsi="標楷體" w:hint="eastAsia"/>
          <w:color w:val="000000"/>
          <w:sz w:val="32"/>
          <w:szCs w:val="32"/>
        </w:rPr>
        <w:t>686萬6千元</w:t>
      </w:r>
      <w:r w:rsidRPr="00F371D9">
        <w:rPr>
          <w:rFonts w:ascii="標楷體" w:eastAsia="標楷體" w:hAnsi="標楷體" w:hint="eastAsia"/>
          <w:color w:val="000000"/>
          <w:sz w:val="32"/>
          <w:szCs w:val="32"/>
        </w:rPr>
        <w:t>。</w:t>
      </w:r>
    </w:p>
    <w:p w:rsidR="00A52DD2" w:rsidRPr="00F371D9" w:rsidRDefault="00A52DD2" w:rsidP="00F035E0">
      <w:pPr>
        <w:kinsoku w:val="0"/>
        <w:overflowPunct w:val="0"/>
        <w:spacing w:line="500" w:lineRule="exact"/>
        <w:ind w:leftChars="200" w:left="1120" w:hangingChars="200" w:hanging="640"/>
        <w:jc w:val="both"/>
        <w:textAlignment w:val="center"/>
        <w:rPr>
          <w:rFonts w:ascii="標楷體" w:eastAsia="標楷體" w:hAnsi="標楷體"/>
          <w:sz w:val="32"/>
          <w:szCs w:val="32"/>
        </w:rPr>
      </w:pPr>
      <w:r w:rsidRPr="00F371D9">
        <w:rPr>
          <w:rFonts w:ascii="標楷體" w:eastAsia="標楷體" w:hAnsi="標楷體" w:hint="eastAsia"/>
          <w:sz w:val="32"/>
          <w:szCs w:val="32"/>
        </w:rPr>
        <w:t>(三)</w:t>
      </w:r>
      <w:r w:rsidRPr="00F371D9">
        <w:rPr>
          <w:rFonts w:ascii="標楷體" w:eastAsia="標楷體" w:hAnsi="標楷體"/>
          <w:sz w:val="32"/>
          <w:szCs w:val="32"/>
        </w:rPr>
        <w:t>解繳</w:t>
      </w:r>
      <w:r w:rsidRPr="00F371D9">
        <w:rPr>
          <w:rFonts w:ascii="標楷體" w:eastAsia="標楷體" w:hAnsi="標楷體" w:hint="eastAsia"/>
          <w:sz w:val="32"/>
          <w:szCs w:val="32"/>
        </w:rPr>
        <w:t>公</w:t>
      </w:r>
      <w:r w:rsidRPr="00F371D9">
        <w:rPr>
          <w:rFonts w:ascii="標楷體" w:eastAsia="標楷體" w:hAnsi="標楷體"/>
          <w:sz w:val="32"/>
          <w:szCs w:val="32"/>
        </w:rPr>
        <w:t>庫淨額：無列數</w:t>
      </w:r>
      <w:r w:rsidRPr="00F371D9">
        <w:rPr>
          <w:rFonts w:ascii="標楷體" w:eastAsia="標楷體" w:hAnsi="標楷體" w:hint="eastAsia"/>
          <w:sz w:val="32"/>
          <w:szCs w:val="32"/>
        </w:rPr>
        <w:t>。</w:t>
      </w:r>
    </w:p>
    <w:p w:rsidR="00A52DD2" w:rsidRPr="00F371D9" w:rsidRDefault="00A52DD2" w:rsidP="00F035E0">
      <w:pPr>
        <w:kinsoku w:val="0"/>
        <w:overflowPunct w:val="0"/>
        <w:spacing w:line="500" w:lineRule="exact"/>
        <w:ind w:leftChars="200" w:left="1120" w:hangingChars="200" w:hanging="640"/>
        <w:jc w:val="both"/>
        <w:textAlignment w:val="center"/>
        <w:rPr>
          <w:rFonts w:ascii="標楷體" w:eastAsia="標楷體" w:hAnsi="標楷體"/>
          <w:sz w:val="32"/>
          <w:szCs w:val="32"/>
        </w:rPr>
      </w:pPr>
      <w:r w:rsidRPr="00F371D9">
        <w:rPr>
          <w:rFonts w:ascii="標楷體" w:eastAsia="標楷體" w:hAnsi="標楷體" w:hint="eastAsia"/>
          <w:sz w:val="32"/>
          <w:szCs w:val="32"/>
        </w:rPr>
        <w:t>(四)</w:t>
      </w:r>
      <w:r w:rsidRPr="00F371D9">
        <w:rPr>
          <w:rFonts w:ascii="標楷體" w:eastAsia="標楷體" w:hAnsi="標楷體"/>
          <w:sz w:val="32"/>
          <w:szCs w:val="32"/>
        </w:rPr>
        <w:t>轉投資計畫：無列數。</w:t>
      </w:r>
    </w:p>
    <w:p w:rsidR="00A52DD2" w:rsidRPr="00FE5A11" w:rsidRDefault="00A52DD2" w:rsidP="00F035E0">
      <w:pPr>
        <w:kinsoku w:val="0"/>
        <w:overflowPunct w:val="0"/>
        <w:spacing w:line="500" w:lineRule="exact"/>
        <w:ind w:leftChars="200" w:left="1120" w:hangingChars="200" w:hanging="640"/>
        <w:jc w:val="both"/>
        <w:textAlignment w:val="center"/>
        <w:rPr>
          <w:rFonts w:ascii="標楷體" w:eastAsia="標楷體" w:hAnsi="標楷體"/>
          <w:sz w:val="32"/>
          <w:szCs w:val="32"/>
        </w:rPr>
      </w:pPr>
      <w:r w:rsidRPr="00FE5A11">
        <w:rPr>
          <w:rFonts w:ascii="標楷體" w:eastAsia="標楷體" w:hAnsi="標楷體" w:hint="eastAsia"/>
          <w:sz w:val="32"/>
          <w:szCs w:val="32"/>
        </w:rPr>
        <w:t>(五)</w:t>
      </w:r>
      <w:r w:rsidRPr="00FE5A11">
        <w:rPr>
          <w:rFonts w:ascii="標楷體" w:eastAsia="標楷體" w:hAnsi="標楷體"/>
          <w:sz w:val="32"/>
          <w:szCs w:val="32"/>
        </w:rPr>
        <w:t>固定資產建設改良擴充：</w:t>
      </w:r>
      <w:r w:rsidRPr="00FE5A11">
        <w:rPr>
          <w:rFonts w:ascii="標楷體" w:eastAsia="標楷體" w:hAnsi="標楷體" w:hint="eastAsia"/>
          <w:sz w:val="32"/>
          <w:szCs w:val="32"/>
        </w:rPr>
        <w:t>400億1,996萬8千元，照列。</w:t>
      </w:r>
    </w:p>
    <w:p w:rsidR="00A52DD2" w:rsidRPr="00FE5A11" w:rsidRDefault="00A52DD2" w:rsidP="00F035E0">
      <w:pPr>
        <w:kinsoku w:val="0"/>
        <w:overflowPunct w:val="0"/>
        <w:spacing w:line="500" w:lineRule="exact"/>
        <w:ind w:leftChars="200" w:left="1120" w:hangingChars="200" w:hanging="640"/>
        <w:jc w:val="both"/>
        <w:textAlignment w:val="center"/>
        <w:rPr>
          <w:rFonts w:ascii="標楷體" w:eastAsia="標楷體" w:hAnsi="標楷體"/>
          <w:sz w:val="32"/>
          <w:szCs w:val="32"/>
        </w:rPr>
      </w:pPr>
      <w:r w:rsidRPr="00FE5A11">
        <w:rPr>
          <w:rFonts w:ascii="標楷體" w:eastAsia="標楷體" w:hAnsi="標楷體" w:hint="eastAsia"/>
          <w:sz w:val="32"/>
          <w:szCs w:val="32"/>
        </w:rPr>
        <w:t>(六)</w:t>
      </w:r>
      <w:r w:rsidRPr="00FE5A11">
        <w:rPr>
          <w:rFonts w:ascii="標楷體" w:eastAsia="標楷體" w:hAnsi="標楷體"/>
          <w:sz w:val="32"/>
          <w:szCs w:val="32"/>
        </w:rPr>
        <w:t>國庫增撥基金額：</w:t>
      </w:r>
      <w:r w:rsidRPr="00FE5A11">
        <w:rPr>
          <w:rFonts w:ascii="標楷體" w:eastAsia="標楷體" w:hAnsi="標楷體" w:hint="eastAsia"/>
          <w:sz w:val="32"/>
          <w:szCs w:val="32"/>
        </w:rPr>
        <w:t>9億1,177萬2千元，照列</w:t>
      </w:r>
      <w:r w:rsidRPr="00FE5A11">
        <w:rPr>
          <w:rFonts w:ascii="標楷體" w:eastAsia="標楷體" w:hAnsi="標楷體"/>
          <w:sz w:val="32"/>
          <w:szCs w:val="32"/>
        </w:rPr>
        <w:t>。</w:t>
      </w:r>
    </w:p>
    <w:p w:rsidR="00A52DD2" w:rsidRPr="00FE5A11" w:rsidRDefault="00A52DD2" w:rsidP="00F035E0">
      <w:pPr>
        <w:kinsoku w:val="0"/>
        <w:overflowPunct w:val="0"/>
        <w:spacing w:line="500" w:lineRule="exact"/>
        <w:ind w:leftChars="200" w:left="1120" w:hangingChars="200" w:hanging="640"/>
        <w:jc w:val="both"/>
        <w:textAlignment w:val="center"/>
        <w:rPr>
          <w:rFonts w:ascii="標楷體" w:eastAsia="標楷體" w:hAnsi="標楷體"/>
          <w:sz w:val="32"/>
          <w:szCs w:val="32"/>
        </w:rPr>
      </w:pPr>
      <w:r w:rsidRPr="00FE5A11">
        <w:rPr>
          <w:rFonts w:ascii="標楷體" w:eastAsia="標楷體" w:hAnsi="標楷體" w:hint="eastAsia"/>
          <w:sz w:val="32"/>
          <w:szCs w:val="32"/>
        </w:rPr>
        <w:t>(七)</w:t>
      </w:r>
      <w:r w:rsidRPr="00FE5A11">
        <w:rPr>
          <w:rFonts w:ascii="標楷體" w:eastAsia="標楷體" w:hAnsi="標楷體" w:hint="eastAsia"/>
          <w:snapToGrid w:val="0"/>
          <w:sz w:val="32"/>
          <w:szCs w:val="32"/>
        </w:rPr>
        <w:t>補辦預算：6,360萬6千元</w:t>
      </w:r>
      <w:r w:rsidRPr="00FE5A11">
        <w:rPr>
          <w:rFonts w:ascii="標楷體" w:eastAsia="標楷體" w:hAnsi="標楷體" w:hint="eastAsia"/>
          <w:sz w:val="32"/>
          <w:szCs w:val="32"/>
        </w:rPr>
        <w:t>，照列</w:t>
      </w:r>
      <w:r w:rsidRPr="00FE5A11">
        <w:rPr>
          <w:rFonts w:ascii="標楷體" w:eastAsia="標楷體" w:hAnsi="標楷體"/>
          <w:sz w:val="32"/>
          <w:szCs w:val="32"/>
        </w:rPr>
        <w:t>。</w:t>
      </w:r>
    </w:p>
    <w:p w:rsidR="00A52DD2" w:rsidRPr="00F371D9" w:rsidRDefault="00A52DD2" w:rsidP="00F035E0">
      <w:pPr>
        <w:kinsoku w:val="0"/>
        <w:overflowPunct w:val="0"/>
        <w:spacing w:line="500" w:lineRule="exact"/>
        <w:ind w:leftChars="200" w:left="1120" w:hangingChars="200" w:hanging="640"/>
        <w:jc w:val="both"/>
        <w:textAlignment w:val="center"/>
        <w:rPr>
          <w:rFonts w:ascii="標楷體" w:eastAsia="標楷體" w:hAnsi="標楷體"/>
          <w:sz w:val="32"/>
          <w:szCs w:val="32"/>
        </w:rPr>
      </w:pPr>
      <w:r w:rsidRPr="00F371D9">
        <w:rPr>
          <w:rFonts w:ascii="標楷體" w:eastAsia="標楷體" w:hAnsi="標楷體" w:hint="eastAsia"/>
          <w:sz w:val="32"/>
          <w:szCs w:val="32"/>
        </w:rPr>
        <w:t>(八)通過決議</w:t>
      </w:r>
      <w:r>
        <w:rPr>
          <w:rFonts w:ascii="標楷體" w:eastAsia="標楷體" w:hAnsi="標楷體" w:hint="eastAsia"/>
          <w:sz w:val="32"/>
          <w:szCs w:val="32"/>
        </w:rPr>
        <w:t>3</w:t>
      </w:r>
      <w:r w:rsidRPr="00F371D9">
        <w:rPr>
          <w:rFonts w:ascii="標楷體" w:eastAsia="標楷體" w:hAnsi="標楷體" w:hint="eastAsia"/>
          <w:sz w:val="32"/>
          <w:szCs w:val="32"/>
        </w:rPr>
        <w:t>項</w:t>
      </w:r>
      <w:r w:rsidRPr="00F371D9">
        <w:rPr>
          <w:rFonts w:ascii="標楷體" w:eastAsia="標楷體" w:hAnsi="標楷體"/>
          <w:sz w:val="32"/>
          <w:szCs w:val="32"/>
        </w:rPr>
        <w:t>：</w:t>
      </w:r>
    </w:p>
    <w:p w:rsidR="00A52DD2" w:rsidRPr="006B4A91" w:rsidRDefault="00A52DD2" w:rsidP="00F035E0">
      <w:pPr>
        <w:overflowPunct w:val="0"/>
        <w:spacing w:line="500" w:lineRule="exact"/>
        <w:ind w:leftChars="350" w:left="1160" w:hangingChars="100" w:hanging="320"/>
        <w:jc w:val="both"/>
        <w:rPr>
          <w:rFonts w:ascii="標楷體" w:eastAsia="標楷體" w:hAnsi="標楷體"/>
          <w:sz w:val="32"/>
          <w:szCs w:val="32"/>
        </w:rPr>
      </w:pPr>
      <w:r w:rsidRPr="00F371D9">
        <w:rPr>
          <w:rFonts w:ascii="標楷體" w:eastAsia="標楷體" w:hAnsi="標楷體" w:hint="eastAsia"/>
          <w:sz w:val="32"/>
          <w:szCs w:val="32"/>
        </w:rPr>
        <w:t>1.</w:t>
      </w:r>
      <w:r w:rsidRPr="006B4A91">
        <w:rPr>
          <w:rFonts w:ascii="標楷體" w:eastAsia="標楷體" w:hAnsi="標楷體" w:hint="eastAsia"/>
          <w:sz w:val="32"/>
          <w:szCs w:val="32"/>
        </w:rPr>
        <w:t>新竹科學園區14萬多就業人口，但是宿舍卻只有1</w:t>
      </w:r>
      <w:r w:rsidRPr="006B4A91">
        <w:rPr>
          <w:rFonts w:ascii="標楷體" w:eastAsia="標楷體" w:hAnsi="標楷體"/>
          <w:sz w:val="32"/>
          <w:szCs w:val="32"/>
        </w:rPr>
        <w:t>,</w:t>
      </w:r>
      <w:r w:rsidRPr="006B4A91">
        <w:rPr>
          <w:rFonts w:ascii="標楷體" w:eastAsia="標楷體" w:hAnsi="標楷體" w:hint="eastAsia"/>
          <w:sz w:val="32"/>
          <w:szCs w:val="32"/>
        </w:rPr>
        <w:t>412間，只有就業人口的零頭，這也難怪為什麼園區上下班的車流可以癱瘓新竹市東區和新竹縣竹北市。這1</w:t>
      </w:r>
      <w:r w:rsidRPr="006B4A91">
        <w:rPr>
          <w:rFonts w:ascii="標楷體" w:eastAsia="標楷體" w:hAnsi="標楷體"/>
          <w:sz w:val="32"/>
          <w:szCs w:val="32"/>
        </w:rPr>
        <w:t>,</w:t>
      </w:r>
      <w:r w:rsidRPr="006B4A91">
        <w:rPr>
          <w:rFonts w:ascii="標楷體" w:eastAsia="標楷體" w:hAnsi="標楷體" w:hint="eastAsia"/>
          <w:sz w:val="32"/>
          <w:szCs w:val="32"/>
        </w:rPr>
        <w:t>412間宿舍很多都是新竹科學園區設置初期就用到現在，不論是防震還是電力供應都已經跟不上現在的生活型態，為了避免影響現有住戶的權益。爰要求國家科學及技術委員會宜先在園區現有的宿舍區內</w:t>
      </w:r>
      <w:r>
        <w:rPr>
          <w:rFonts w:ascii="標楷體" w:eastAsia="標楷體" w:hAnsi="標楷體" w:hint="eastAsia"/>
          <w:sz w:val="32"/>
          <w:szCs w:val="32"/>
        </w:rPr>
        <w:t>蓋棟新宿舍，把舊宿舍的住戶移到新宿舍，再把舊宿舍重建成更大更好</w:t>
      </w:r>
      <w:r w:rsidRPr="006B4A91">
        <w:rPr>
          <w:rFonts w:ascii="標楷體" w:eastAsia="標楷體" w:hAnsi="標楷體" w:hint="eastAsia"/>
          <w:sz w:val="32"/>
          <w:szCs w:val="32"/>
        </w:rPr>
        <w:t>可以住更多人的宿舍，同時也要規劃新的宿舍區，讓更多的就業人口可以就近上下班，</w:t>
      </w:r>
      <w:r>
        <w:rPr>
          <w:rFonts w:ascii="標楷體" w:eastAsia="標楷體" w:hAnsi="標楷體" w:hint="eastAsia"/>
          <w:sz w:val="32"/>
          <w:szCs w:val="32"/>
        </w:rPr>
        <w:t>紓緩</w:t>
      </w:r>
      <w:r w:rsidRPr="006B4A91">
        <w:rPr>
          <w:rFonts w:ascii="標楷體" w:eastAsia="標楷體" w:hAnsi="標楷體" w:hint="eastAsia"/>
          <w:sz w:val="32"/>
          <w:szCs w:val="32"/>
        </w:rPr>
        <w:t>新竹市和新竹縣竹北市的交通。4</w:t>
      </w:r>
    </w:p>
    <w:tbl>
      <w:tblPr>
        <w:tblW w:w="8505" w:type="dxa"/>
        <w:jc w:val="right"/>
        <w:tblLayout w:type="fixed"/>
        <w:tblCellMar>
          <w:left w:w="28" w:type="dxa"/>
          <w:right w:w="28" w:type="dxa"/>
        </w:tblCellMar>
        <w:tblLook w:val="04A0" w:firstRow="1" w:lastRow="0" w:firstColumn="1" w:lastColumn="0" w:noHBand="0" w:noVBand="1"/>
      </w:tblPr>
      <w:tblGrid>
        <w:gridCol w:w="962"/>
        <w:gridCol w:w="709"/>
        <w:gridCol w:w="739"/>
        <w:gridCol w:w="2126"/>
        <w:gridCol w:w="851"/>
        <w:gridCol w:w="1134"/>
        <w:gridCol w:w="850"/>
        <w:gridCol w:w="1134"/>
      </w:tblGrid>
      <w:tr w:rsidR="00A52DD2" w:rsidRPr="006B4A91" w:rsidTr="00F035E0">
        <w:trPr>
          <w:trHeight w:val="330"/>
          <w:tblHeader/>
          <w:jc w:val="right"/>
        </w:trPr>
        <w:tc>
          <w:tcPr>
            <w:tcW w:w="1671" w:type="dxa"/>
            <w:gridSpan w:val="2"/>
            <w:vMerge w:val="restart"/>
            <w:tcBorders>
              <w:top w:val="single" w:sz="12" w:space="0" w:color="auto"/>
              <w:left w:val="single" w:sz="12" w:space="0" w:color="auto"/>
              <w:bottom w:val="single" w:sz="4" w:space="0" w:color="auto"/>
              <w:right w:val="single" w:sz="4" w:space="0" w:color="auto"/>
            </w:tcBorders>
            <w:shd w:val="clear" w:color="auto" w:fill="FFFFFF"/>
            <w:noWrap/>
            <w:vAlign w:val="center"/>
            <w:hideMark/>
          </w:tcPr>
          <w:p w:rsidR="00A52DD2" w:rsidRPr="006B4A91" w:rsidRDefault="00A52DD2" w:rsidP="00F035E0">
            <w:pPr>
              <w:widowControl/>
              <w:spacing w:line="34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園區別</w:t>
            </w:r>
          </w:p>
        </w:tc>
        <w:tc>
          <w:tcPr>
            <w:tcW w:w="739" w:type="dxa"/>
            <w:vMerge w:val="restart"/>
            <w:tcBorders>
              <w:top w:val="single" w:sz="12" w:space="0" w:color="auto"/>
              <w:left w:val="nil"/>
              <w:bottom w:val="single" w:sz="4" w:space="0" w:color="auto"/>
              <w:right w:val="single" w:sz="4" w:space="0" w:color="auto"/>
            </w:tcBorders>
            <w:vAlign w:val="center"/>
            <w:hideMark/>
          </w:tcPr>
          <w:p w:rsidR="00A52DD2" w:rsidRPr="006B4A91" w:rsidRDefault="00A52DD2" w:rsidP="00F035E0">
            <w:pPr>
              <w:widowControl/>
              <w:spacing w:line="34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宿舍類型</w:t>
            </w:r>
          </w:p>
        </w:tc>
        <w:tc>
          <w:tcPr>
            <w:tcW w:w="2126" w:type="dxa"/>
            <w:vMerge w:val="restart"/>
            <w:tcBorders>
              <w:top w:val="single" w:sz="12" w:space="0" w:color="auto"/>
              <w:left w:val="single" w:sz="4" w:space="0" w:color="auto"/>
              <w:right w:val="single" w:sz="4" w:space="0" w:color="auto"/>
            </w:tcBorders>
            <w:vAlign w:val="center"/>
          </w:tcPr>
          <w:p w:rsidR="00A52DD2" w:rsidRPr="006B4A91" w:rsidRDefault="00A52DD2" w:rsidP="00F035E0">
            <w:pPr>
              <w:widowControl/>
              <w:spacing w:line="34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1</w:t>
            </w:r>
            <w:r w:rsidRPr="006B4A91">
              <w:rPr>
                <w:rFonts w:ascii="標楷體" w:eastAsia="標楷體" w:hAnsi="標楷體"/>
                <w:color w:val="000000"/>
                <w:kern w:val="0"/>
                <w:szCs w:val="24"/>
              </w:rPr>
              <w:t>11</w:t>
            </w:r>
            <w:r w:rsidRPr="006B4A91">
              <w:rPr>
                <w:rFonts w:ascii="標楷體" w:eastAsia="標楷體" w:hAnsi="標楷體" w:hint="eastAsia"/>
                <w:color w:val="000000"/>
                <w:kern w:val="0"/>
                <w:szCs w:val="24"/>
              </w:rPr>
              <w:t>年度收費標準</w:t>
            </w:r>
          </w:p>
          <w:p w:rsidR="00A52DD2" w:rsidRPr="006B4A91" w:rsidRDefault="00A52DD2" w:rsidP="00F035E0">
            <w:pPr>
              <w:widowControl/>
              <w:spacing w:line="34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(元</w:t>
            </w:r>
            <w:r w:rsidRPr="006B4A91">
              <w:rPr>
                <w:rFonts w:ascii="標楷體" w:eastAsia="標楷體" w:hAnsi="標楷體"/>
                <w:color w:val="000000"/>
                <w:kern w:val="0"/>
                <w:szCs w:val="24"/>
              </w:rPr>
              <w:t>/</w:t>
            </w:r>
            <w:r w:rsidRPr="006B4A91">
              <w:rPr>
                <w:rFonts w:ascii="標楷體" w:eastAsia="標楷體" w:hAnsi="標楷體" w:hint="eastAsia"/>
                <w:color w:val="000000"/>
                <w:kern w:val="0"/>
                <w:szCs w:val="24"/>
              </w:rPr>
              <w:t>每平方公尺㎡)</w:t>
            </w:r>
          </w:p>
        </w:tc>
        <w:tc>
          <w:tcPr>
            <w:tcW w:w="1985" w:type="dxa"/>
            <w:gridSpan w:val="2"/>
            <w:tcBorders>
              <w:top w:val="single" w:sz="12" w:space="0" w:color="auto"/>
              <w:left w:val="single" w:sz="4" w:space="0" w:color="auto"/>
              <w:bottom w:val="single" w:sz="4" w:space="0" w:color="auto"/>
              <w:right w:val="single" w:sz="4" w:space="0" w:color="auto"/>
            </w:tcBorders>
            <w:noWrap/>
            <w:vAlign w:val="center"/>
            <w:hideMark/>
          </w:tcPr>
          <w:p w:rsidR="00A52DD2" w:rsidRPr="006B4A91" w:rsidRDefault="00A52DD2" w:rsidP="00F035E0">
            <w:pPr>
              <w:widowControl/>
              <w:spacing w:line="34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已出租</w:t>
            </w:r>
          </w:p>
        </w:tc>
        <w:tc>
          <w:tcPr>
            <w:tcW w:w="1984" w:type="dxa"/>
            <w:gridSpan w:val="2"/>
            <w:tcBorders>
              <w:top w:val="single" w:sz="12" w:space="0" w:color="auto"/>
              <w:left w:val="nil"/>
              <w:bottom w:val="single" w:sz="4" w:space="0" w:color="auto"/>
              <w:right w:val="single" w:sz="12" w:space="0" w:color="auto"/>
            </w:tcBorders>
            <w:noWrap/>
            <w:vAlign w:val="center"/>
            <w:hideMark/>
          </w:tcPr>
          <w:p w:rsidR="00A52DD2" w:rsidRPr="006B4A91" w:rsidRDefault="00A52DD2" w:rsidP="00F035E0">
            <w:pPr>
              <w:widowControl/>
              <w:spacing w:line="34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待出租</w:t>
            </w:r>
          </w:p>
        </w:tc>
      </w:tr>
      <w:tr w:rsidR="00A52DD2" w:rsidRPr="006B4A91" w:rsidTr="00F035E0">
        <w:trPr>
          <w:trHeight w:val="330"/>
          <w:tblHeader/>
          <w:jc w:val="right"/>
        </w:trPr>
        <w:tc>
          <w:tcPr>
            <w:tcW w:w="1671" w:type="dxa"/>
            <w:gridSpan w:val="2"/>
            <w:vMerge/>
            <w:tcBorders>
              <w:top w:val="single" w:sz="12" w:space="0" w:color="auto"/>
              <w:left w:val="single" w:sz="12" w:space="0" w:color="auto"/>
              <w:bottom w:val="single" w:sz="4" w:space="0" w:color="auto"/>
              <w:right w:val="single" w:sz="4" w:space="0" w:color="auto"/>
            </w:tcBorders>
            <w:vAlign w:val="center"/>
            <w:hideMark/>
          </w:tcPr>
          <w:p w:rsidR="00A52DD2" w:rsidRPr="006B4A91" w:rsidRDefault="00A52DD2" w:rsidP="00F035E0">
            <w:pPr>
              <w:widowControl/>
              <w:spacing w:line="340" w:lineRule="exact"/>
              <w:jc w:val="center"/>
              <w:rPr>
                <w:rFonts w:ascii="標楷體" w:eastAsia="標楷體" w:hAnsi="標楷體"/>
                <w:color w:val="000000"/>
                <w:kern w:val="0"/>
                <w:szCs w:val="24"/>
              </w:rPr>
            </w:pPr>
          </w:p>
        </w:tc>
        <w:tc>
          <w:tcPr>
            <w:tcW w:w="739" w:type="dxa"/>
            <w:vMerge/>
            <w:tcBorders>
              <w:top w:val="single" w:sz="12" w:space="0" w:color="auto"/>
              <w:left w:val="nil"/>
              <w:bottom w:val="single" w:sz="4" w:space="0" w:color="auto"/>
              <w:right w:val="single" w:sz="4" w:space="0" w:color="auto"/>
            </w:tcBorders>
            <w:vAlign w:val="center"/>
            <w:hideMark/>
          </w:tcPr>
          <w:p w:rsidR="00A52DD2" w:rsidRPr="006B4A91" w:rsidRDefault="00A52DD2" w:rsidP="00F035E0">
            <w:pPr>
              <w:widowControl/>
              <w:spacing w:line="340" w:lineRule="exact"/>
              <w:jc w:val="center"/>
              <w:rPr>
                <w:rFonts w:ascii="標楷體" w:eastAsia="標楷體" w:hAnsi="標楷體"/>
                <w:color w:val="000000"/>
                <w:kern w:val="0"/>
                <w:szCs w:val="24"/>
              </w:rPr>
            </w:pPr>
          </w:p>
        </w:tc>
        <w:tc>
          <w:tcPr>
            <w:tcW w:w="2126" w:type="dxa"/>
            <w:vMerge/>
            <w:tcBorders>
              <w:left w:val="single" w:sz="4" w:space="0" w:color="auto"/>
              <w:bottom w:val="single" w:sz="4" w:space="0" w:color="auto"/>
              <w:right w:val="single" w:sz="4" w:space="0" w:color="auto"/>
            </w:tcBorders>
            <w:vAlign w:val="center"/>
          </w:tcPr>
          <w:p w:rsidR="00A52DD2" w:rsidRPr="006B4A91" w:rsidRDefault="00A52DD2" w:rsidP="00F035E0">
            <w:pPr>
              <w:widowControl/>
              <w:spacing w:line="340" w:lineRule="exact"/>
              <w:jc w:val="center"/>
              <w:rPr>
                <w:rFonts w:ascii="標楷體" w:eastAsia="標楷體" w:hAnsi="標楷體"/>
                <w:color w:val="000000"/>
                <w:kern w:val="0"/>
                <w:szCs w:val="24"/>
              </w:rPr>
            </w:pPr>
          </w:p>
        </w:tc>
        <w:tc>
          <w:tcPr>
            <w:tcW w:w="851" w:type="dxa"/>
            <w:tcBorders>
              <w:top w:val="nil"/>
              <w:left w:val="single" w:sz="4" w:space="0" w:color="auto"/>
              <w:bottom w:val="single" w:sz="4" w:space="0" w:color="auto"/>
              <w:right w:val="single" w:sz="4" w:space="0" w:color="auto"/>
            </w:tcBorders>
            <w:noWrap/>
            <w:vAlign w:val="center"/>
            <w:hideMark/>
          </w:tcPr>
          <w:p w:rsidR="00A52DD2" w:rsidRPr="006B4A91" w:rsidRDefault="00A52DD2" w:rsidP="00F035E0">
            <w:pPr>
              <w:widowControl/>
              <w:spacing w:line="34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間數</w:t>
            </w:r>
          </w:p>
        </w:tc>
        <w:tc>
          <w:tcPr>
            <w:tcW w:w="1134" w:type="dxa"/>
            <w:tcBorders>
              <w:top w:val="nil"/>
              <w:left w:val="nil"/>
              <w:bottom w:val="single" w:sz="4" w:space="0" w:color="auto"/>
              <w:right w:val="single" w:sz="4" w:space="0" w:color="auto"/>
            </w:tcBorders>
            <w:noWrap/>
            <w:vAlign w:val="center"/>
            <w:hideMark/>
          </w:tcPr>
          <w:p w:rsidR="00A52DD2" w:rsidRPr="006B4A91" w:rsidRDefault="00A52DD2" w:rsidP="00F035E0">
            <w:pPr>
              <w:widowControl/>
              <w:spacing w:line="34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比率</w:t>
            </w:r>
          </w:p>
        </w:tc>
        <w:tc>
          <w:tcPr>
            <w:tcW w:w="850" w:type="dxa"/>
            <w:tcBorders>
              <w:top w:val="nil"/>
              <w:left w:val="nil"/>
              <w:bottom w:val="single" w:sz="4" w:space="0" w:color="auto"/>
              <w:right w:val="single" w:sz="4" w:space="0" w:color="auto"/>
            </w:tcBorders>
            <w:noWrap/>
            <w:vAlign w:val="center"/>
            <w:hideMark/>
          </w:tcPr>
          <w:p w:rsidR="00A52DD2" w:rsidRPr="006B4A91" w:rsidRDefault="00A52DD2" w:rsidP="00F035E0">
            <w:pPr>
              <w:widowControl/>
              <w:spacing w:line="34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間數</w:t>
            </w:r>
          </w:p>
        </w:tc>
        <w:tc>
          <w:tcPr>
            <w:tcW w:w="1134" w:type="dxa"/>
            <w:tcBorders>
              <w:top w:val="nil"/>
              <w:left w:val="nil"/>
              <w:bottom w:val="single" w:sz="4" w:space="0" w:color="auto"/>
              <w:right w:val="single" w:sz="12" w:space="0" w:color="auto"/>
            </w:tcBorders>
            <w:noWrap/>
            <w:vAlign w:val="center"/>
            <w:hideMark/>
          </w:tcPr>
          <w:p w:rsidR="00A52DD2" w:rsidRPr="006B4A91" w:rsidRDefault="00A52DD2" w:rsidP="00F035E0">
            <w:pPr>
              <w:widowControl/>
              <w:spacing w:line="34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比率</w:t>
            </w:r>
          </w:p>
        </w:tc>
      </w:tr>
      <w:tr w:rsidR="00A52DD2" w:rsidRPr="006B4A91" w:rsidTr="00F035E0">
        <w:trPr>
          <w:trHeight w:val="330"/>
          <w:jc w:val="right"/>
        </w:trPr>
        <w:tc>
          <w:tcPr>
            <w:tcW w:w="962" w:type="dxa"/>
            <w:vMerge w:val="restart"/>
            <w:tcBorders>
              <w:top w:val="single" w:sz="2" w:space="0" w:color="auto"/>
              <w:left w:val="single" w:sz="12" w:space="0" w:color="auto"/>
              <w:bottom w:val="single" w:sz="2" w:space="0" w:color="auto"/>
              <w:right w:val="single" w:sz="4" w:space="0" w:color="auto"/>
            </w:tcBorders>
            <w:shd w:val="clear" w:color="auto" w:fill="FFFFFF"/>
            <w:vAlign w:val="center"/>
            <w:hideMark/>
          </w:tcPr>
          <w:p w:rsidR="00A52DD2" w:rsidRPr="006B4A91" w:rsidRDefault="00A52DD2" w:rsidP="00F035E0">
            <w:pPr>
              <w:widowControl/>
              <w:spacing w:line="26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新竹科學園區</w:t>
            </w:r>
          </w:p>
        </w:tc>
        <w:tc>
          <w:tcPr>
            <w:tcW w:w="709" w:type="dxa"/>
            <w:vMerge w:val="restart"/>
            <w:tcBorders>
              <w:top w:val="single" w:sz="4" w:space="0" w:color="auto"/>
              <w:left w:val="nil"/>
              <w:bottom w:val="single" w:sz="4" w:space="0" w:color="auto"/>
              <w:right w:val="single" w:sz="4" w:space="0" w:color="auto"/>
            </w:tcBorders>
            <w:shd w:val="clear" w:color="auto" w:fill="FFFFFF"/>
            <w:noWrap/>
            <w:vAlign w:val="center"/>
            <w:hideMark/>
          </w:tcPr>
          <w:p w:rsidR="00A52DD2" w:rsidRPr="006B4A91" w:rsidRDefault="00A52DD2" w:rsidP="00F035E0">
            <w:pPr>
              <w:widowControl/>
              <w:spacing w:line="34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新竹</w:t>
            </w:r>
          </w:p>
          <w:p w:rsidR="00A52DD2" w:rsidRPr="006B4A91" w:rsidRDefault="00A52DD2" w:rsidP="00F035E0">
            <w:pPr>
              <w:widowControl/>
              <w:spacing w:line="34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園區</w:t>
            </w:r>
          </w:p>
        </w:tc>
        <w:tc>
          <w:tcPr>
            <w:tcW w:w="739" w:type="dxa"/>
            <w:tcBorders>
              <w:top w:val="nil"/>
              <w:left w:val="nil"/>
              <w:bottom w:val="single" w:sz="4" w:space="0" w:color="auto"/>
              <w:right w:val="single" w:sz="4" w:space="0" w:color="auto"/>
            </w:tcBorders>
            <w:shd w:val="clear" w:color="auto" w:fill="FFFFFF"/>
            <w:vAlign w:val="center"/>
            <w:hideMark/>
          </w:tcPr>
          <w:p w:rsidR="00A52DD2" w:rsidRPr="006B4A91" w:rsidRDefault="00A52DD2" w:rsidP="00F035E0">
            <w:pPr>
              <w:widowControl/>
              <w:spacing w:line="34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單身</w:t>
            </w:r>
          </w:p>
        </w:tc>
        <w:tc>
          <w:tcPr>
            <w:tcW w:w="2126" w:type="dxa"/>
            <w:tcBorders>
              <w:top w:val="nil"/>
              <w:left w:val="single" w:sz="4" w:space="0" w:color="auto"/>
              <w:bottom w:val="single" w:sz="4" w:space="0" w:color="auto"/>
              <w:right w:val="single" w:sz="4" w:space="0" w:color="auto"/>
            </w:tcBorders>
            <w:shd w:val="clear" w:color="auto" w:fill="FFFFFF"/>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277.55~293.984</w:t>
            </w:r>
          </w:p>
        </w:tc>
        <w:tc>
          <w:tcPr>
            <w:tcW w:w="851" w:type="dxa"/>
            <w:tcBorders>
              <w:top w:val="nil"/>
              <w:left w:val="single" w:sz="4" w:space="0" w:color="auto"/>
              <w:bottom w:val="single" w:sz="4"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678</w:t>
            </w:r>
          </w:p>
        </w:tc>
        <w:tc>
          <w:tcPr>
            <w:tcW w:w="1134" w:type="dxa"/>
            <w:tcBorders>
              <w:top w:val="nil"/>
              <w:left w:val="nil"/>
              <w:bottom w:val="single" w:sz="4"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88.74</w:t>
            </w:r>
          </w:p>
        </w:tc>
        <w:tc>
          <w:tcPr>
            <w:tcW w:w="850" w:type="dxa"/>
            <w:tcBorders>
              <w:top w:val="nil"/>
              <w:left w:val="nil"/>
              <w:bottom w:val="single" w:sz="4"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86</w:t>
            </w:r>
          </w:p>
        </w:tc>
        <w:tc>
          <w:tcPr>
            <w:tcW w:w="1134" w:type="dxa"/>
            <w:tcBorders>
              <w:top w:val="nil"/>
              <w:left w:val="nil"/>
              <w:bottom w:val="single" w:sz="4" w:space="0" w:color="auto"/>
              <w:right w:val="single" w:sz="12"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11.26</w:t>
            </w:r>
          </w:p>
        </w:tc>
      </w:tr>
      <w:tr w:rsidR="00A52DD2" w:rsidRPr="006B4A91" w:rsidTr="00F035E0">
        <w:trPr>
          <w:trHeight w:val="330"/>
          <w:jc w:val="right"/>
        </w:trPr>
        <w:tc>
          <w:tcPr>
            <w:tcW w:w="962" w:type="dxa"/>
            <w:vMerge/>
            <w:tcBorders>
              <w:top w:val="single" w:sz="2" w:space="0" w:color="auto"/>
              <w:left w:val="single" w:sz="12" w:space="0" w:color="auto"/>
              <w:bottom w:val="single" w:sz="2" w:space="0" w:color="auto"/>
              <w:right w:val="single" w:sz="4" w:space="0" w:color="auto"/>
            </w:tcBorders>
            <w:vAlign w:val="center"/>
            <w:hideMark/>
          </w:tcPr>
          <w:p w:rsidR="00A52DD2" w:rsidRPr="006B4A91" w:rsidRDefault="00A52DD2" w:rsidP="00F035E0">
            <w:pPr>
              <w:widowControl/>
              <w:spacing w:line="260" w:lineRule="exact"/>
              <w:jc w:val="center"/>
              <w:rPr>
                <w:rFonts w:ascii="標楷體" w:eastAsia="標楷體" w:hAnsi="標楷體"/>
                <w:color w:val="000000"/>
                <w:kern w:val="0"/>
                <w:szCs w:val="24"/>
              </w:rPr>
            </w:pPr>
          </w:p>
        </w:tc>
        <w:tc>
          <w:tcPr>
            <w:tcW w:w="709" w:type="dxa"/>
            <w:vMerge/>
            <w:tcBorders>
              <w:top w:val="single" w:sz="4" w:space="0" w:color="auto"/>
              <w:left w:val="nil"/>
              <w:bottom w:val="single" w:sz="4" w:space="0" w:color="auto"/>
              <w:right w:val="single" w:sz="4" w:space="0" w:color="auto"/>
            </w:tcBorders>
            <w:vAlign w:val="center"/>
            <w:hideMark/>
          </w:tcPr>
          <w:p w:rsidR="00A52DD2" w:rsidRPr="006B4A91" w:rsidRDefault="00A52DD2" w:rsidP="00F035E0">
            <w:pPr>
              <w:widowControl/>
              <w:spacing w:line="340" w:lineRule="exact"/>
              <w:jc w:val="center"/>
              <w:rPr>
                <w:rFonts w:ascii="標楷體" w:eastAsia="標楷體" w:hAnsi="標楷體"/>
                <w:color w:val="000000"/>
                <w:kern w:val="0"/>
                <w:szCs w:val="24"/>
              </w:rPr>
            </w:pPr>
          </w:p>
        </w:tc>
        <w:tc>
          <w:tcPr>
            <w:tcW w:w="739" w:type="dxa"/>
            <w:tcBorders>
              <w:top w:val="nil"/>
              <w:left w:val="nil"/>
              <w:bottom w:val="single" w:sz="4" w:space="0" w:color="auto"/>
              <w:right w:val="single" w:sz="4" w:space="0" w:color="auto"/>
            </w:tcBorders>
            <w:shd w:val="clear" w:color="auto" w:fill="FFFFFF"/>
            <w:vAlign w:val="center"/>
            <w:hideMark/>
          </w:tcPr>
          <w:p w:rsidR="00A52DD2" w:rsidRPr="006B4A91" w:rsidRDefault="00A52DD2" w:rsidP="00F035E0">
            <w:pPr>
              <w:widowControl/>
              <w:spacing w:line="34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有眷</w:t>
            </w:r>
          </w:p>
        </w:tc>
        <w:tc>
          <w:tcPr>
            <w:tcW w:w="2126" w:type="dxa"/>
            <w:tcBorders>
              <w:top w:val="nil"/>
              <w:left w:val="single" w:sz="4" w:space="0" w:color="auto"/>
              <w:bottom w:val="single" w:sz="4" w:space="0" w:color="auto"/>
              <w:right w:val="single" w:sz="4" w:space="0" w:color="auto"/>
            </w:tcBorders>
            <w:shd w:val="clear" w:color="auto" w:fill="FFFFFF"/>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121.21~252.143</w:t>
            </w:r>
          </w:p>
        </w:tc>
        <w:tc>
          <w:tcPr>
            <w:tcW w:w="851" w:type="dxa"/>
            <w:tcBorders>
              <w:top w:val="nil"/>
              <w:left w:val="single" w:sz="4" w:space="0" w:color="auto"/>
              <w:bottom w:val="single" w:sz="4"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734</w:t>
            </w:r>
          </w:p>
        </w:tc>
        <w:tc>
          <w:tcPr>
            <w:tcW w:w="1134" w:type="dxa"/>
            <w:tcBorders>
              <w:top w:val="nil"/>
              <w:left w:val="nil"/>
              <w:bottom w:val="single" w:sz="4"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97.35</w:t>
            </w:r>
          </w:p>
        </w:tc>
        <w:tc>
          <w:tcPr>
            <w:tcW w:w="850" w:type="dxa"/>
            <w:tcBorders>
              <w:top w:val="nil"/>
              <w:left w:val="nil"/>
              <w:bottom w:val="single" w:sz="4"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20</w:t>
            </w:r>
          </w:p>
        </w:tc>
        <w:tc>
          <w:tcPr>
            <w:tcW w:w="1134" w:type="dxa"/>
            <w:tcBorders>
              <w:top w:val="nil"/>
              <w:left w:val="nil"/>
              <w:bottom w:val="single" w:sz="4" w:space="0" w:color="auto"/>
              <w:right w:val="single" w:sz="12"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2.65</w:t>
            </w:r>
          </w:p>
        </w:tc>
      </w:tr>
      <w:tr w:rsidR="00A52DD2" w:rsidRPr="006B4A91" w:rsidTr="00F035E0">
        <w:trPr>
          <w:trHeight w:val="330"/>
          <w:jc w:val="right"/>
        </w:trPr>
        <w:tc>
          <w:tcPr>
            <w:tcW w:w="962" w:type="dxa"/>
            <w:vMerge/>
            <w:tcBorders>
              <w:top w:val="single" w:sz="2" w:space="0" w:color="auto"/>
              <w:left w:val="single" w:sz="12" w:space="0" w:color="auto"/>
              <w:bottom w:val="single" w:sz="2" w:space="0" w:color="auto"/>
              <w:right w:val="single" w:sz="4" w:space="0" w:color="auto"/>
            </w:tcBorders>
            <w:vAlign w:val="center"/>
            <w:hideMark/>
          </w:tcPr>
          <w:p w:rsidR="00A52DD2" w:rsidRPr="006B4A91" w:rsidRDefault="00A52DD2" w:rsidP="00F035E0">
            <w:pPr>
              <w:widowControl/>
              <w:spacing w:line="260" w:lineRule="exact"/>
              <w:jc w:val="center"/>
              <w:rPr>
                <w:rFonts w:ascii="標楷體" w:eastAsia="標楷體" w:hAnsi="標楷體"/>
                <w:color w:val="000000"/>
                <w:kern w:val="0"/>
                <w:szCs w:val="24"/>
              </w:rPr>
            </w:pPr>
          </w:p>
        </w:tc>
        <w:tc>
          <w:tcPr>
            <w:tcW w:w="709" w:type="dxa"/>
            <w:tcBorders>
              <w:top w:val="single" w:sz="4" w:space="0" w:color="auto"/>
              <w:left w:val="nil"/>
              <w:bottom w:val="single" w:sz="4" w:space="0" w:color="auto"/>
              <w:right w:val="single" w:sz="4" w:space="0" w:color="auto"/>
            </w:tcBorders>
            <w:shd w:val="clear" w:color="auto" w:fill="FFFFFF"/>
            <w:noWrap/>
            <w:vAlign w:val="center"/>
            <w:hideMark/>
          </w:tcPr>
          <w:p w:rsidR="00A52DD2" w:rsidRPr="006B4A91" w:rsidRDefault="00A52DD2" w:rsidP="00F035E0">
            <w:pPr>
              <w:widowControl/>
              <w:spacing w:line="34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新竹生醫園區</w:t>
            </w:r>
          </w:p>
        </w:tc>
        <w:tc>
          <w:tcPr>
            <w:tcW w:w="739" w:type="dxa"/>
            <w:tcBorders>
              <w:top w:val="nil"/>
              <w:left w:val="nil"/>
              <w:bottom w:val="single" w:sz="4" w:space="0" w:color="auto"/>
              <w:right w:val="single" w:sz="4" w:space="0" w:color="auto"/>
            </w:tcBorders>
            <w:shd w:val="clear" w:color="auto" w:fill="FFFFFF"/>
            <w:vAlign w:val="center"/>
            <w:hideMark/>
          </w:tcPr>
          <w:p w:rsidR="00A52DD2" w:rsidRPr="006B4A91" w:rsidRDefault="00A52DD2" w:rsidP="00F035E0">
            <w:pPr>
              <w:widowControl/>
              <w:spacing w:line="34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單身</w:t>
            </w:r>
          </w:p>
        </w:tc>
        <w:tc>
          <w:tcPr>
            <w:tcW w:w="2126" w:type="dxa"/>
            <w:tcBorders>
              <w:top w:val="nil"/>
              <w:left w:val="single" w:sz="4" w:space="0" w:color="auto"/>
              <w:bottom w:val="single" w:sz="4" w:space="0" w:color="auto"/>
              <w:right w:val="single" w:sz="4" w:space="0" w:color="auto"/>
            </w:tcBorders>
            <w:shd w:val="clear" w:color="auto" w:fill="FFFFFF"/>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119</w:t>
            </w:r>
          </w:p>
        </w:tc>
        <w:tc>
          <w:tcPr>
            <w:tcW w:w="851" w:type="dxa"/>
            <w:tcBorders>
              <w:top w:val="nil"/>
              <w:left w:val="single" w:sz="4" w:space="0" w:color="auto"/>
              <w:bottom w:val="single" w:sz="4"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15</w:t>
            </w:r>
          </w:p>
        </w:tc>
        <w:tc>
          <w:tcPr>
            <w:tcW w:w="1134" w:type="dxa"/>
            <w:tcBorders>
              <w:top w:val="nil"/>
              <w:left w:val="nil"/>
              <w:bottom w:val="single" w:sz="4"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100</w:t>
            </w:r>
            <w:r w:rsidRPr="006B4A91">
              <w:rPr>
                <w:rFonts w:ascii="標楷體" w:eastAsia="標楷體" w:hAnsi="標楷體"/>
                <w:color w:val="000000"/>
                <w:kern w:val="0"/>
                <w:szCs w:val="24"/>
              </w:rPr>
              <w:t>.00</w:t>
            </w:r>
          </w:p>
        </w:tc>
        <w:tc>
          <w:tcPr>
            <w:tcW w:w="850" w:type="dxa"/>
            <w:tcBorders>
              <w:top w:val="nil"/>
              <w:left w:val="nil"/>
              <w:bottom w:val="single" w:sz="4"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0</w:t>
            </w:r>
          </w:p>
        </w:tc>
        <w:tc>
          <w:tcPr>
            <w:tcW w:w="1134" w:type="dxa"/>
            <w:tcBorders>
              <w:top w:val="nil"/>
              <w:left w:val="nil"/>
              <w:bottom w:val="single" w:sz="4" w:space="0" w:color="auto"/>
              <w:right w:val="single" w:sz="12"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0</w:t>
            </w:r>
          </w:p>
        </w:tc>
      </w:tr>
      <w:tr w:rsidR="00A52DD2" w:rsidRPr="006B4A91" w:rsidTr="00F035E0">
        <w:trPr>
          <w:trHeight w:val="330"/>
          <w:jc w:val="right"/>
        </w:trPr>
        <w:tc>
          <w:tcPr>
            <w:tcW w:w="962" w:type="dxa"/>
            <w:vMerge w:val="restart"/>
            <w:tcBorders>
              <w:top w:val="single" w:sz="2" w:space="0" w:color="auto"/>
              <w:left w:val="single" w:sz="12" w:space="0" w:color="auto"/>
              <w:bottom w:val="single" w:sz="2" w:space="0" w:color="auto"/>
              <w:right w:val="single" w:sz="4" w:space="0" w:color="auto"/>
            </w:tcBorders>
            <w:shd w:val="clear" w:color="auto" w:fill="FFFFFF"/>
            <w:vAlign w:val="center"/>
            <w:hideMark/>
          </w:tcPr>
          <w:p w:rsidR="00A52DD2" w:rsidRPr="006B4A91" w:rsidRDefault="00A52DD2" w:rsidP="00F035E0">
            <w:pPr>
              <w:widowControl/>
              <w:spacing w:line="26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中部科學園區</w:t>
            </w:r>
          </w:p>
        </w:tc>
        <w:tc>
          <w:tcPr>
            <w:tcW w:w="709" w:type="dxa"/>
            <w:vMerge w:val="restart"/>
            <w:tcBorders>
              <w:top w:val="single" w:sz="4" w:space="0" w:color="auto"/>
              <w:left w:val="nil"/>
              <w:bottom w:val="single" w:sz="4" w:space="0" w:color="auto"/>
              <w:right w:val="single" w:sz="4" w:space="0" w:color="auto"/>
            </w:tcBorders>
            <w:shd w:val="clear" w:color="auto" w:fill="FFFFFF"/>
            <w:noWrap/>
            <w:vAlign w:val="center"/>
            <w:hideMark/>
          </w:tcPr>
          <w:p w:rsidR="00A52DD2" w:rsidRPr="006B4A91" w:rsidRDefault="00A52DD2" w:rsidP="00F035E0">
            <w:pPr>
              <w:widowControl/>
              <w:spacing w:line="34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臺中</w:t>
            </w:r>
          </w:p>
          <w:p w:rsidR="00A52DD2" w:rsidRPr="006B4A91" w:rsidRDefault="00A52DD2" w:rsidP="00F035E0">
            <w:pPr>
              <w:widowControl/>
              <w:spacing w:line="34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園區</w:t>
            </w:r>
          </w:p>
        </w:tc>
        <w:tc>
          <w:tcPr>
            <w:tcW w:w="739" w:type="dxa"/>
            <w:tcBorders>
              <w:top w:val="nil"/>
              <w:left w:val="nil"/>
              <w:bottom w:val="single" w:sz="4" w:space="0" w:color="auto"/>
              <w:right w:val="single" w:sz="4" w:space="0" w:color="auto"/>
            </w:tcBorders>
            <w:shd w:val="clear" w:color="auto" w:fill="FFFFFF"/>
            <w:vAlign w:val="center"/>
            <w:hideMark/>
          </w:tcPr>
          <w:p w:rsidR="00A52DD2" w:rsidRPr="006B4A91" w:rsidRDefault="00A52DD2" w:rsidP="00F035E0">
            <w:pPr>
              <w:widowControl/>
              <w:spacing w:line="34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單身</w:t>
            </w:r>
          </w:p>
        </w:tc>
        <w:tc>
          <w:tcPr>
            <w:tcW w:w="2126" w:type="dxa"/>
            <w:tcBorders>
              <w:top w:val="nil"/>
              <w:left w:val="single" w:sz="4" w:space="0" w:color="auto"/>
              <w:bottom w:val="single" w:sz="4" w:space="0" w:color="auto"/>
              <w:right w:val="single" w:sz="4" w:space="0" w:color="auto"/>
            </w:tcBorders>
            <w:shd w:val="clear" w:color="auto" w:fill="FFFFFF"/>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color w:val="000000"/>
                <w:kern w:val="0"/>
                <w:szCs w:val="24"/>
              </w:rPr>
              <w:t>108</w:t>
            </w:r>
          </w:p>
        </w:tc>
        <w:tc>
          <w:tcPr>
            <w:tcW w:w="851" w:type="dxa"/>
            <w:tcBorders>
              <w:top w:val="nil"/>
              <w:left w:val="single" w:sz="4" w:space="0" w:color="auto"/>
              <w:bottom w:val="single" w:sz="4"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color w:val="000000"/>
                <w:kern w:val="0"/>
                <w:szCs w:val="24"/>
              </w:rPr>
              <w:t>400</w:t>
            </w:r>
          </w:p>
        </w:tc>
        <w:tc>
          <w:tcPr>
            <w:tcW w:w="1134" w:type="dxa"/>
            <w:tcBorders>
              <w:top w:val="nil"/>
              <w:left w:val="nil"/>
              <w:bottom w:val="single" w:sz="4"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color w:val="000000"/>
                <w:kern w:val="0"/>
                <w:szCs w:val="24"/>
              </w:rPr>
              <w:t>100.00</w:t>
            </w:r>
          </w:p>
        </w:tc>
        <w:tc>
          <w:tcPr>
            <w:tcW w:w="850" w:type="dxa"/>
            <w:tcBorders>
              <w:top w:val="nil"/>
              <w:left w:val="nil"/>
              <w:bottom w:val="single" w:sz="4"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color w:val="000000"/>
                <w:kern w:val="0"/>
                <w:szCs w:val="24"/>
              </w:rPr>
              <w:t>0</w:t>
            </w:r>
          </w:p>
        </w:tc>
        <w:tc>
          <w:tcPr>
            <w:tcW w:w="1134" w:type="dxa"/>
            <w:tcBorders>
              <w:top w:val="nil"/>
              <w:left w:val="nil"/>
              <w:bottom w:val="single" w:sz="4" w:space="0" w:color="auto"/>
              <w:right w:val="single" w:sz="12"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color w:val="000000"/>
                <w:kern w:val="0"/>
                <w:szCs w:val="24"/>
              </w:rPr>
              <w:t>0</w:t>
            </w:r>
          </w:p>
        </w:tc>
      </w:tr>
      <w:tr w:rsidR="00A52DD2" w:rsidRPr="006B4A91" w:rsidTr="00F035E0">
        <w:trPr>
          <w:trHeight w:val="330"/>
          <w:jc w:val="right"/>
        </w:trPr>
        <w:tc>
          <w:tcPr>
            <w:tcW w:w="962" w:type="dxa"/>
            <w:vMerge/>
            <w:tcBorders>
              <w:top w:val="single" w:sz="2" w:space="0" w:color="auto"/>
              <w:left w:val="single" w:sz="12" w:space="0" w:color="auto"/>
              <w:bottom w:val="single" w:sz="2" w:space="0" w:color="auto"/>
              <w:right w:val="single" w:sz="4" w:space="0" w:color="auto"/>
            </w:tcBorders>
            <w:vAlign w:val="center"/>
            <w:hideMark/>
          </w:tcPr>
          <w:p w:rsidR="00A52DD2" w:rsidRPr="006B4A91" w:rsidRDefault="00A52DD2" w:rsidP="00F035E0">
            <w:pPr>
              <w:widowControl/>
              <w:spacing w:line="260" w:lineRule="exact"/>
              <w:jc w:val="center"/>
              <w:rPr>
                <w:rFonts w:ascii="標楷體" w:eastAsia="標楷體" w:hAnsi="標楷體"/>
                <w:color w:val="000000"/>
                <w:kern w:val="0"/>
                <w:szCs w:val="24"/>
              </w:rPr>
            </w:pPr>
          </w:p>
        </w:tc>
        <w:tc>
          <w:tcPr>
            <w:tcW w:w="709" w:type="dxa"/>
            <w:vMerge/>
            <w:tcBorders>
              <w:top w:val="single" w:sz="4" w:space="0" w:color="auto"/>
              <w:left w:val="nil"/>
              <w:bottom w:val="single" w:sz="4" w:space="0" w:color="auto"/>
              <w:right w:val="single" w:sz="4" w:space="0" w:color="auto"/>
            </w:tcBorders>
            <w:vAlign w:val="center"/>
            <w:hideMark/>
          </w:tcPr>
          <w:p w:rsidR="00A52DD2" w:rsidRPr="006B4A91" w:rsidRDefault="00A52DD2" w:rsidP="00F035E0">
            <w:pPr>
              <w:widowControl/>
              <w:spacing w:line="340" w:lineRule="exact"/>
              <w:jc w:val="center"/>
              <w:rPr>
                <w:rFonts w:ascii="標楷體" w:eastAsia="標楷體" w:hAnsi="標楷體"/>
                <w:color w:val="000000"/>
                <w:kern w:val="0"/>
                <w:szCs w:val="24"/>
              </w:rPr>
            </w:pPr>
          </w:p>
        </w:tc>
        <w:tc>
          <w:tcPr>
            <w:tcW w:w="739" w:type="dxa"/>
            <w:tcBorders>
              <w:top w:val="nil"/>
              <w:left w:val="nil"/>
              <w:bottom w:val="single" w:sz="4" w:space="0" w:color="auto"/>
              <w:right w:val="single" w:sz="4" w:space="0" w:color="auto"/>
            </w:tcBorders>
            <w:shd w:val="clear" w:color="auto" w:fill="FFFFFF"/>
            <w:vAlign w:val="center"/>
            <w:hideMark/>
          </w:tcPr>
          <w:p w:rsidR="00A52DD2" w:rsidRPr="006B4A91" w:rsidRDefault="00A52DD2" w:rsidP="00F035E0">
            <w:pPr>
              <w:widowControl/>
              <w:spacing w:line="34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有眷</w:t>
            </w:r>
          </w:p>
        </w:tc>
        <w:tc>
          <w:tcPr>
            <w:tcW w:w="2126" w:type="dxa"/>
            <w:tcBorders>
              <w:top w:val="nil"/>
              <w:left w:val="single" w:sz="4" w:space="0" w:color="auto"/>
              <w:bottom w:val="single" w:sz="4" w:space="0" w:color="auto"/>
              <w:right w:val="single" w:sz="4" w:space="0" w:color="auto"/>
            </w:tcBorders>
            <w:shd w:val="clear" w:color="auto" w:fill="FFFFFF"/>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color w:val="000000"/>
                <w:kern w:val="0"/>
                <w:szCs w:val="24"/>
              </w:rPr>
              <w:t>110</w:t>
            </w:r>
          </w:p>
        </w:tc>
        <w:tc>
          <w:tcPr>
            <w:tcW w:w="851" w:type="dxa"/>
            <w:tcBorders>
              <w:top w:val="nil"/>
              <w:left w:val="single" w:sz="4" w:space="0" w:color="auto"/>
              <w:bottom w:val="single" w:sz="4"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color w:val="000000"/>
                <w:kern w:val="0"/>
                <w:szCs w:val="24"/>
              </w:rPr>
              <w:t>80</w:t>
            </w:r>
          </w:p>
        </w:tc>
        <w:tc>
          <w:tcPr>
            <w:tcW w:w="1134" w:type="dxa"/>
            <w:tcBorders>
              <w:top w:val="nil"/>
              <w:left w:val="nil"/>
              <w:bottom w:val="single" w:sz="4"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color w:val="000000"/>
                <w:kern w:val="0"/>
                <w:szCs w:val="24"/>
              </w:rPr>
              <w:t>80.00</w:t>
            </w:r>
          </w:p>
        </w:tc>
        <w:tc>
          <w:tcPr>
            <w:tcW w:w="850" w:type="dxa"/>
            <w:tcBorders>
              <w:top w:val="nil"/>
              <w:left w:val="nil"/>
              <w:bottom w:val="single" w:sz="4"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color w:val="000000"/>
                <w:kern w:val="0"/>
                <w:szCs w:val="24"/>
              </w:rPr>
              <w:t>20</w:t>
            </w:r>
          </w:p>
        </w:tc>
        <w:tc>
          <w:tcPr>
            <w:tcW w:w="1134" w:type="dxa"/>
            <w:tcBorders>
              <w:top w:val="nil"/>
              <w:left w:val="nil"/>
              <w:bottom w:val="single" w:sz="4" w:space="0" w:color="auto"/>
              <w:right w:val="single" w:sz="12"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color w:val="000000"/>
                <w:kern w:val="0"/>
                <w:szCs w:val="24"/>
              </w:rPr>
              <w:t>20.00</w:t>
            </w:r>
          </w:p>
        </w:tc>
      </w:tr>
      <w:tr w:rsidR="00A52DD2" w:rsidRPr="006B4A91" w:rsidTr="00F035E0">
        <w:trPr>
          <w:trHeight w:val="330"/>
          <w:jc w:val="right"/>
        </w:trPr>
        <w:tc>
          <w:tcPr>
            <w:tcW w:w="962" w:type="dxa"/>
            <w:vMerge/>
            <w:tcBorders>
              <w:top w:val="single" w:sz="2" w:space="0" w:color="auto"/>
              <w:left w:val="single" w:sz="12" w:space="0" w:color="auto"/>
              <w:bottom w:val="single" w:sz="2" w:space="0" w:color="auto"/>
              <w:right w:val="single" w:sz="4" w:space="0" w:color="auto"/>
            </w:tcBorders>
            <w:vAlign w:val="center"/>
            <w:hideMark/>
          </w:tcPr>
          <w:p w:rsidR="00A52DD2" w:rsidRPr="006B4A91" w:rsidRDefault="00A52DD2" w:rsidP="00F035E0">
            <w:pPr>
              <w:widowControl/>
              <w:spacing w:line="260" w:lineRule="exact"/>
              <w:jc w:val="center"/>
              <w:rPr>
                <w:rFonts w:ascii="標楷體" w:eastAsia="標楷體" w:hAnsi="標楷體"/>
                <w:color w:val="000000"/>
                <w:kern w:val="0"/>
                <w:szCs w:val="24"/>
              </w:rPr>
            </w:pPr>
          </w:p>
        </w:tc>
        <w:tc>
          <w:tcPr>
            <w:tcW w:w="709" w:type="dxa"/>
            <w:tcBorders>
              <w:top w:val="single" w:sz="4" w:space="0" w:color="auto"/>
              <w:left w:val="nil"/>
              <w:bottom w:val="single" w:sz="4" w:space="0" w:color="auto"/>
              <w:right w:val="single" w:sz="4" w:space="0" w:color="auto"/>
            </w:tcBorders>
            <w:shd w:val="clear" w:color="auto" w:fill="FFFFFF"/>
            <w:noWrap/>
            <w:vAlign w:val="center"/>
            <w:hideMark/>
          </w:tcPr>
          <w:p w:rsidR="00A52DD2" w:rsidRPr="006B4A91" w:rsidRDefault="00A52DD2" w:rsidP="00F035E0">
            <w:pPr>
              <w:widowControl/>
              <w:spacing w:line="34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中興</w:t>
            </w:r>
          </w:p>
          <w:p w:rsidR="00A52DD2" w:rsidRPr="006B4A91" w:rsidRDefault="00A52DD2" w:rsidP="00F035E0">
            <w:pPr>
              <w:widowControl/>
              <w:spacing w:line="34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園區</w:t>
            </w:r>
          </w:p>
        </w:tc>
        <w:tc>
          <w:tcPr>
            <w:tcW w:w="739" w:type="dxa"/>
            <w:tcBorders>
              <w:top w:val="nil"/>
              <w:left w:val="nil"/>
              <w:bottom w:val="single" w:sz="4" w:space="0" w:color="auto"/>
              <w:right w:val="single" w:sz="4" w:space="0" w:color="auto"/>
            </w:tcBorders>
            <w:shd w:val="clear" w:color="auto" w:fill="FFFFFF"/>
            <w:vAlign w:val="center"/>
            <w:hideMark/>
          </w:tcPr>
          <w:p w:rsidR="00A52DD2" w:rsidRPr="006B4A91" w:rsidRDefault="00A52DD2" w:rsidP="00F035E0">
            <w:pPr>
              <w:widowControl/>
              <w:spacing w:line="34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租賃</w:t>
            </w:r>
          </w:p>
        </w:tc>
        <w:tc>
          <w:tcPr>
            <w:tcW w:w="2126" w:type="dxa"/>
            <w:tcBorders>
              <w:top w:val="nil"/>
              <w:left w:val="single" w:sz="4" w:space="0" w:color="auto"/>
              <w:bottom w:val="single" w:sz="4" w:space="0" w:color="auto"/>
              <w:right w:val="single" w:sz="4" w:space="0" w:color="auto"/>
            </w:tcBorders>
            <w:shd w:val="clear" w:color="auto" w:fill="FFFFFF"/>
            <w:vAlign w:val="center"/>
          </w:tcPr>
          <w:p w:rsidR="00A52DD2" w:rsidRPr="006B4A91" w:rsidRDefault="00A52DD2" w:rsidP="00F035E0">
            <w:pPr>
              <w:widowControl/>
              <w:spacing w:line="34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房屋現值10%+土地租金單價(9.94~9.96)×使用面積(詳說明)</w:t>
            </w:r>
          </w:p>
        </w:tc>
        <w:tc>
          <w:tcPr>
            <w:tcW w:w="851" w:type="dxa"/>
            <w:tcBorders>
              <w:top w:val="nil"/>
              <w:left w:val="single" w:sz="4" w:space="0" w:color="auto"/>
              <w:bottom w:val="single" w:sz="4"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11</w:t>
            </w:r>
          </w:p>
        </w:tc>
        <w:tc>
          <w:tcPr>
            <w:tcW w:w="1134" w:type="dxa"/>
            <w:tcBorders>
              <w:top w:val="nil"/>
              <w:left w:val="nil"/>
              <w:bottom w:val="single" w:sz="4"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w:t>
            </w:r>
          </w:p>
        </w:tc>
        <w:tc>
          <w:tcPr>
            <w:tcW w:w="850" w:type="dxa"/>
            <w:tcBorders>
              <w:top w:val="nil"/>
              <w:left w:val="nil"/>
              <w:bottom w:val="single" w:sz="4"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0</w:t>
            </w:r>
          </w:p>
        </w:tc>
        <w:tc>
          <w:tcPr>
            <w:tcW w:w="1134" w:type="dxa"/>
            <w:tcBorders>
              <w:top w:val="nil"/>
              <w:left w:val="nil"/>
              <w:bottom w:val="single" w:sz="4" w:space="0" w:color="auto"/>
              <w:right w:val="single" w:sz="12"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w:t>
            </w:r>
          </w:p>
        </w:tc>
      </w:tr>
      <w:tr w:rsidR="00A52DD2" w:rsidRPr="006B4A91" w:rsidTr="00F035E0">
        <w:trPr>
          <w:trHeight w:val="330"/>
          <w:jc w:val="right"/>
        </w:trPr>
        <w:tc>
          <w:tcPr>
            <w:tcW w:w="962" w:type="dxa"/>
            <w:vMerge w:val="restart"/>
            <w:tcBorders>
              <w:top w:val="single" w:sz="2" w:space="0" w:color="auto"/>
              <w:left w:val="single" w:sz="12" w:space="0" w:color="auto"/>
              <w:bottom w:val="single" w:sz="12" w:space="0" w:color="auto"/>
              <w:right w:val="single" w:sz="4" w:space="0" w:color="auto"/>
            </w:tcBorders>
            <w:shd w:val="clear" w:color="auto" w:fill="FFFFFF"/>
            <w:vAlign w:val="center"/>
            <w:hideMark/>
          </w:tcPr>
          <w:p w:rsidR="00A52DD2" w:rsidRPr="006B4A91" w:rsidRDefault="00A52DD2" w:rsidP="00F035E0">
            <w:pPr>
              <w:widowControl/>
              <w:spacing w:line="26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lastRenderedPageBreak/>
              <w:t>南部科學園區</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A52DD2" w:rsidRPr="006B4A91" w:rsidRDefault="00A52DD2" w:rsidP="00F035E0">
            <w:pPr>
              <w:widowControl/>
              <w:spacing w:line="34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臺南</w:t>
            </w:r>
          </w:p>
          <w:p w:rsidR="00A52DD2" w:rsidRPr="006B4A91" w:rsidRDefault="00A52DD2" w:rsidP="00F035E0">
            <w:pPr>
              <w:widowControl/>
              <w:spacing w:line="34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園區</w:t>
            </w:r>
          </w:p>
        </w:tc>
        <w:tc>
          <w:tcPr>
            <w:tcW w:w="739" w:type="dxa"/>
            <w:tcBorders>
              <w:top w:val="nil"/>
              <w:left w:val="nil"/>
              <w:bottom w:val="single" w:sz="4" w:space="0" w:color="auto"/>
              <w:right w:val="single" w:sz="4" w:space="0" w:color="auto"/>
            </w:tcBorders>
            <w:shd w:val="clear" w:color="auto" w:fill="FFFFFF"/>
            <w:vAlign w:val="center"/>
            <w:hideMark/>
          </w:tcPr>
          <w:p w:rsidR="00A52DD2" w:rsidRPr="006B4A91" w:rsidRDefault="00A52DD2" w:rsidP="00F035E0">
            <w:pPr>
              <w:widowControl/>
              <w:spacing w:line="34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單身</w:t>
            </w:r>
          </w:p>
        </w:tc>
        <w:tc>
          <w:tcPr>
            <w:tcW w:w="2126" w:type="dxa"/>
            <w:tcBorders>
              <w:top w:val="nil"/>
              <w:left w:val="single" w:sz="4" w:space="0" w:color="auto"/>
              <w:bottom w:val="single" w:sz="4" w:space="0" w:color="auto"/>
              <w:right w:val="single" w:sz="4" w:space="0" w:color="auto"/>
            </w:tcBorders>
            <w:shd w:val="clear" w:color="auto" w:fill="FFFFFF"/>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87</w:t>
            </w:r>
          </w:p>
        </w:tc>
        <w:tc>
          <w:tcPr>
            <w:tcW w:w="851" w:type="dxa"/>
            <w:tcBorders>
              <w:top w:val="nil"/>
              <w:left w:val="single" w:sz="4" w:space="0" w:color="auto"/>
              <w:bottom w:val="single" w:sz="4"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1,561</w:t>
            </w:r>
          </w:p>
        </w:tc>
        <w:tc>
          <w:tcPr>
            <w:tcW w:w="1134" w:type="dxa"/>
            <w:tcBorders>
              <w:top w:val="nil"/>
              <w:left w:val="nil"/>
              <w:bottom w:val="single" w:sz="4"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90.76</w:t>
            </w:r>
          </w:p>
        </w:tc>
        <w:tc>
          <w:tcPr>
            <w:tcW w:w="850" w:type="dxa"/>
            <w:tcBorders>
              <w:top w:val="nil"/>
              <w:left w:val="nil"/>
              <w:bottom w:val="single" w:sz="4"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159</w:t>
            </w:r>
          </w:p>
        </w:tc>
        <w:tc>
          <w:tcPr>
            <w:tcW w:w="1134" w:type="dxa"/>
            <w:tcBorders>
              <w:top w:val="nil"/>
              <w:left w:val="nil"/>
              <w:bottom w:val="single" w:sz="4" w:space="0" w:color="auto"/>
              <w:right w:val="single" w:sz="12"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9.24</w:t>
            </w:r>
          </w:p>
        </w:tc>
      </w:tr>
      <w:tr w:rsidR="00A52DD2" w:rsidRPr="006B4A91" w:rsidTr="00F035E0">
        <w:trPr>
          <w:trHeight w:val="330"/>
          <w:jc w:val="right"/>
        </w:trPr>
        <w:tc>
          <w:tcPr>
            <w:tcW w:w="962" w:type="dxa"/>
            <w:vMerge/>
            <w:tcBorders>
              <w:top w:val="single" w:sz="4" w:space="0" w:color="auto"/>
              <w:left w:val="single" w:sz="12" w:space="0" w:color="auto"/>
              <w:bottom w:val="single" w:sz="12" w:space="0" w:color="auto"/>
              <w:right w:val="single" w:sz="4" w:space="0" w:color="auto"/>
            </w:tcBorders>
            <w:vAlign w:val="center"/>
            <w:hideMark/>
          </w:tcPr>
          <w:p w:rsidR="00A52DD2" w:rsidRPr="006B4A91" w:rsidRDefault="00A52DD2" w:rsidP="00F035E0">
            <w:pPr>
              <w:widowControl/>
              <w:spacing w:line="260" w:lineRule="exact"/>
              <w:jc w:val="center"/>
              <w:rPr>
                <w:rFonts w:ascii="標楷體" w:eastAsia="標楷體" w:hAnsi="標楷體"/>
                <w:color w:val="000000"/>
                <w:kern w:val="0"/>
                <w:szCs w:val="24"/>
              </w:rPr>
            </w:pPr>
          </w:p>
        </w:tc>
        <w:tc>
          <w:tcPr>
            <w:tcW w:w="709" w:type="dxa"/>
            <w:vMerge/>
            <w:tcBorders>
              <w:top w:val="single" w:sz="12" w:space="0" w:color="auto"/>
              <w:left w:val="single" w:sz="4" w:space="0" w:color="auto"/>
              <w:bottom w:val="single" w:sz="4" w:space="0" w:color="auto"/>
              <w:right w:val="single" w:sz="4" w:space="0" w:color="auto"/>
            </w:tcBorders>
            <w:vAlign w:val="center"/>
            <w:hideMark/>
          </w:tcPr>
          <w:p w:rsidR="00A52DD2" w:rsidRPr="006B4A91" w:rsidRDefault="00A52DD2" w:rsidP="00F035E0">
            <w:pPr>
              <w:widowControl/>
              <w:spacing w:line="340" w:lineRule="exact"/>
              <w:jc w:val="center"/>
              <w:rPr>
                <w:rFonts w:ascii="標楷體" w:eastAsia="標楷體" w:hAnsi="標楷體"/>
                <w:color w:val="000000"/>
                <w:kern w:val="0"/>
                <w:szCs w:val="24"/>
              </w:rPr>
            </w:pPr>
          </w:p>
        </w:tc>
        <w:tc>
          <w:tcPr>
            <w:tcW w:w="739" w:type="dxa"/>
            <w:tcBorders>
              <w:top w:val="nil"/>
              <w:left w:val="nil"/>
              <w:bottom w:val="single" w:sz="4" w:space="0" w:color="auto"/>
              <w:right w:val="single" w:sz="4" w:space="0" w:color="auto"/>
            </w:tcBorders>
            <w:shd w:val="clear" w:color="auto" w:fill="FFFFFF"/>
            <w:vAlign w:val="center"/>
            <w:hideMark/>
          </w:tcPr>
          <w:p w:rsidR="00A52DD2" w:rsidRPr="006B4A91" w:rsidRDefault="00A52DD2" w:rsidP="00F035E0">
            <w:pPr>
              <w:widowControl/>
              <w:spacing w:line="34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有眷</w:t>
            </w:r>
          </w:p>
        </w:tc>
        <w:tc>
          <w:tcPr>
            <w:tcW w:w="2126" w:type="dxa"/>
            <w:tcBorders>
              <w:top w:val="nil"/>
              <w:left w:val="single" w:sz="4" w:space="0" w:color="auto"/>
              <w:bottom w:val="single" w:sz="4" w:space="0" w:color="auto"/>
              <w:right w:val="single" w:sz="4" w:space="0" w:color="auto"/>
            </w:tcBorders>
            <w:shd w:val="clear" w:color="auto" w:fill="FFFFFF"/>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87</w:t>
            </w:r>
          </w:p>
        </w:tc>
        <w:tc>
          <w:tcPr>
            <w:tcW w:w="851" w:type="dxa"/>
            <w:tcBorders>
              <w:top w:val="nil"/>
              <w:left w:val="single" w:sz="4" w:space="0" w:color="auto"/>
              <w:bottom w:val="single" w:sz="4"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163</w:t>
            </w:r>
          </w:p>
        </w:tc>
        <w:tc>
          <w:tcPr>
            <w:tcW w:w="1134" w:type="dxa"/>
            <w:tcBorders>
              <w:top w:val="nil"/>
              <w:left w:val="nil"/>
              <w:bottom w:val="single" w:sz="4"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99.39</w:t>
            </w:r>
          </w:p>
        </w:tc>
        <w:tc>
          <w:tcPr>
            <w:tcW w:w="850" w:type="dxa"/>
            <w:tcBorders>
              <w:top w:val="nil"/>
              <w:left w:val="nil"/>
              <w:bottom w:val="single" w:sz="4"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1</w:t>
            </w:r>
          </w:p>
        </w:tc>
        <w:tc>
          <w:tcPr>
            <w:tcW w:w="1134" w:type="dxa"/>
            <w:tcBorders>
              <w:top w:val="nil"/>
              <w:left w:val="nil"/>
              <w:bottom w:val="single" w:sz="4" w:space="0" w:color="auto"/>
              <w:right w:val="single" w:sz="12"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0.61</w:t>
            </w:r>
          </w:p>
        </w:tc>
      </w:tr>
      <w:tr w:rsidR="00A52DD2" w:rsidRPr="006B4A91" w:rsidTr="00F035E0">
        <w:trPr>
          <w:trHeight w:val="330"/>
          <w:jc w:val="right"/>
        </w:trPr>
        <w:tc>
          <w:tcPr>
            <w:tcW w:w="962" w:type="dxa"/>
            <w:vMerge/>
            <w:tcBorders>
              <w:top w:val="single" w:sz="4" w:space="0" w:color="auto"/>
              <w:left w:val="single" w:sz="12" w:space="0" w:color="auto"/>
              <w:bottom w:val="single" w:sz="12" w:space="0" w:color="auto"/>
              <w:right w:val="single" w:sz="4" w:space="0" w:color="auto"/>
            </w:tcBorders>
            <w:vAlign w:val="center"/>
            <w:hideMark/>
          </w:tcPr>
          <w:p w:rsidR="00A52DD2" w:rsidRPr="006B4A91" w:rsidRDefault="00A52DD2" w:rsidP="00F035E0">
            <w:pPr>
              <w:widowControl/>
              <w:spacing w:line="260" w:lineRule="exact"/>
              <w:jc w:val="center"/>
              <w:rPr>
                <w:rFonts w:ascii="標楷體" w:eastAsia="標楷體" w:hAnsi="標楷體"/>
                <w:color w:val="000000"/>
                <w:kern w:val="0"/>
                <w:szCs w:val="24"/>
              </w:rPr>
            </w:pPr>
          </w:p>
        </w:tc>
        <w:tc>
          <w:tcPr>
            <w:tcW w:w="709" w:type="dxa"/>
            <w:vMerge/>
            <w:tcBorders>
              <w:top w:val="single" w:sz="12" w:space="0" w:color="auto"/>
              <w:left w:val="single" w:sz="4" w:space="0" w:color="auto"/>
              <w:bottom w:val="single" w:sz="4" w:space="0" w:color="auto"/>
              <w:right w:val="single" w:sz="4" w:space="0" w:color="auto"/>
            </w:tcBorders>
            <w:vAlign w:val="center"/>
            <w:hideMark/>
          </w:tcPr>
          <w:p w:rsidR="00A52DD2" w:rsidRPr="006B4A91" w:rsidRDefault="00A52DD2" w:rsidP="00F035E0">
            <w:pPr>
              <w:widowControl/>
              <w:spacing w:line="340" w:lineRule="exact"/>
              <w:jc w:val="center"/>
              <w:rPr>
                <w:rFonts w:ascii="標楷體" w:eastAsia="標楷體" w:hAnsi="標楷體"/>
                <w:color w:val="000000"/>
                <w:kern w:val="0"/>
                <w:szCs w:val="24"/>
              </w:rPr>
            </w:pPr>
          </w:p>
        </w:tc>
        <w:tc>
          <w:tcPr>
            <w:tcW w:w="739" w:type="dxa"/>
            <w:tcBorders>
              <w:top w:val="nil"/>
              <w:left w:val="nil"/>
              <w:bottom w:val="single" w:sz="4" w:space="0" w:color="auto"/>
              <w:right w:val="single" w:sz="4" w:space="0" w:color="auto"/>
            </w:tcBorders>
            <w:shd w:val="clear" w:color="auto" w:fill="FFFFFF"/>
            <w:vAlign w:val="center"/>
            <w:hideMark/>
          </w:tcPr>
          <w:p w:rsidR="00A52DD2" w:rsidRPr="006B4A91" w:rsidRDefault="00A52DD2" w:rsidP="00F035E0">
            <w:pPr>
              <w:widowControl/>
              <w:spacing w:line="34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主管</w:t>
            </w:r>
          </w:p>
        </w:tc>
        <w:tc>
          <w:tcPr>
            <w:tcW w:w="2126" w:type="dxa"/>
            <w:tcBorders>
              <w:top w:val="nil"/>
              <w:left w:val="single" w:sz="4" w:space="0" w:color="auto"/>
              <w:bottom w:val="single" w:sz="4" w:space="0" w:color="auto"/>
              <w:right w:val="single" w:sz="4" w:space="0" w:color="auto"/>
            </w:tcBorders>
            <w:shd w:val="clear" w:color="auto" w:fill="FFFFFF"/>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87</w:t>
            </w:r>
          </w:p>
        </w:tc>
        <w:tc>
          <w:tcPr>
            <w:tcW w:w="851" w:type="dxa"/>
            <w:tcBorders>
              <w:top w:val="nil"/>
              <w:left w:val="single" w:sz="4" w:space="0" w:color="auto"/>
              <w:bottom w:val="single" w:sz="4"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70</w:t>
            </w:r>
          </w:p>
        </w:tc>
        <w:tc>
          <w:tcPr>
            <w:tcW w:w="1134" w:type="dxa"/>
            <w:tcBorders>
              <w:top w:val="nil"/>
              <w:left w:val="nil"/>
              <w:bottom w:val="single" w:sz="4"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97.22</w:t>
            </w:r>
          </w:p>
        </w:tc>
        <w:tc>
          <w:tcPr>
            <w:tcW w:w="850" w:type="dxa"/>
            <w:tcBorders>
              <w:top w:val="nil"/>
              <w:left w:val="nil"/>
              <w:bottom w:val="single" w:sz="4"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2</w:t>
            </w:r>
          </w:p>
        </w:tc>
        <w:tc>
          <w:tcPr>
            <w:tcW w:w="1134" w:type="dxa"/>
            <w:tcBorders>
              <w:top w:val="nil"/>
              <w:left w:val="nil"/>
              <w:bottom w:val="single" w:sz="4" w:space="0" w:color="auto"/>
              <w:right w:val="single" w:sz="12"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2.78</w:t>
            </w:r>
          </w:p>
        </w:tc>
      </w:tr>
      <w:tr w:rsidR="00A52DD2" w:rsidRPr="006B4A91" w:rsidTr="00F035E0">
        <w:trPr>
          <w:trHeight w:val="330"/>
          <w:jc w:val="right"/>
        </w:trPr>
        <w:tc>
          <w:tcPr>
            <w:tcW w:w="962" w:type="dxa"/>
            <w:vMerge/>
            <w:tcBorders>
              <w:top w:val="single" w:sz="4" w:space="0" w:color="auto"/>
              <w:left w:val="single" w:sz="12" w:space="0" w:color="auto"/>
              <w:bottom w:val="single" w:sz="12" w:space="0" w:color="auto"/>
              <w:right w:val="single" w:sz="4" w:space="0" w:color="auto"/>
            </w:tcBorders>
            <w:vAlign w:val="center"/>
            <w:hideMark/>
          </w:tcPr>
          <w:p w:rsidR="00A52DD2" w:rsidRPr="006B4A91" w:rsidRDefault="00A52DD2" w:rsidP="00F035E0">
            <w:pPr>
              <w:widowControl/>
              <w:spacing w:line="260" w:lineRule="exact"/>
              <w:jc w:val="center"/>
              <w:rPr>
                <w:rFonts w:ascii="標楷體" w:eastAsia="標楷體" w:hAnsi="標楷體"/>
                <w:color w:val="000000"/>
                <w:kern w:val="0"/>
                <w:szCs w:val="24"/>
              </w:rPr>
            </w:pPr>
          </w:p>
        </w:tc>
        <w:tc>
          <w:tcPr>
            <w:tcW w:w="709" w:type="dxa"/>
            <w:vMerge w:val="restart"/>
            <w:tcBorders>
              <w:top w:val="single" w:sz="4" w:space="0" w:color="auto"/>
              <w:left w:val="single" w:sz="4" w:space="0" w:color="auto"/>
              <w:bottom w:val="single" w:sz="12" w:space="0" w:color="auto"/>
              <w:right w:val="single" w:sz="4" w:space="0" w:color="auto"/>
            </w:tcBorders>
            <w:shd w:val="clear" w:color="auto" w:fill="FFFFFF"/>
            <w:noWrap/>
            <w:vAlign w:val="center"/>
            <w:hideMark/>
          </w:tcPr>
          <w:p w:rsidR="00A52DD2" w:rsidRPr="006B4A91" w:rsidRDefault="00A52DD2" w:rsidP="00F035E0">
            <w:pPr>
              <w:widowControl/>
              <w:spacing w:line="34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高雄</w:t>
            </w:r>
          </w:p>
          <w:p w:rsidR="00A52DD2" w:rsidRPr="006B4A91" w:rsidRDefault="00A52DD2" w:rsidP="00F035E0">
            <w:pPr>
              <w:widowControl/>
              <w:spacing w:line="34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園區</w:t>
            </w:r>
          </w:p>
        </w:tc>
        <w:tc>
          <w:tcPr>
            <w:tcW w:w="739" w:type="dxa"/>
            <w:tcBorders>
              <w:top w:val="nil"/>
              <w:left w:val="nil"/>
              <w:bottom w:val="single" w:sz="4" w:space="0" w:color="auto"/>
              <w:right w:val="single" w:sz="4" w:space="0" w:color="auto"/>
            </w:tcBorders>
            <w:shd w:val="clear" w:color="auto" w:fill="FFFFFF"/>
            <w:vAlign w:val="center"/>
            <w:hideMark/>
          </w:tcPr>
          <w:p w:rsidR="00A52DD2" w:rsidRPr="006B4A91" w:rsidRDefault="00A52DD2" w:rsidP="00F035E0">
            <w:pPr>
              <w:widowControl/>
              <w:spacing w:line="34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單身</w:t>
            </w:r>
          </w:p>
        </w:tc>
        <w:tc>
          <w:tcPr>
            <w:tcW w:w="2126" w:type="dxa"/>
            <w:tcBorders>
              <w:top w:val="nil"/>
              <w:left w:val="single" w:sz="4" w:space="0" w:color="auto"/>
              <w:bottom w:val="single" w:sz="4" w:space="0" w:color="auto"/>
              <w:right w:val="single" w:sz="4" w:space="0" w:color="auto"/>
            </w:tcBorders>
            <w:shd w:val="clear" w:color="auto" w:fill="FFFFFF"/>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85</w:t>
            </w:r>
          </w:p>
        </w:tc>
        <w:tc>
          <w:tcPr>
            <w:tcW w:w="851" w:type="dxa"/>
            <w:tcBorders>
              <w:top w:val="nil"/>
              <w:left w:val="single" w:sz="4" w:space="0" w:color="auto"/>
              <w:bottom w:val="single" w:sz="4"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513</w:t>
            </w:r>
          </w:p>
        </w:tc>
        <w:tc>
          <w:tcPr>
            <w:tcW w:w="1134" w:type="dxa"/>
            <w:tcBorders>
              <w:top w:val="nil"/>
              <w:left w:val="nil"/>
              <w:bottom w:val="single" w:sz="4"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90.16</w:t>
            </w:r>
          </w:p>
        </w:tc>
        <w:tc>
          <w:tcPr>
            <w:tcW w:w="850" w:type="dxa"/>
            <w:tcBorders>
              <w:top w:val="nil"/>
              <w:left w:val="nil"/>
              <w:bottom w:val="single" w:sz="4"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56</w:t>
            </w:r>
          </w:p>
        </w:tc>
        <w:tc>
          <w:tcPr>
            <w:tcW w:w="1134" w:type="dxa"/>
            <w:tcBorders>
              <w:top w:val="nil"/>
              <w:left w:val="nil"/>
              <w:bottom w:val="single" w:sz="4" w:space="0" w:color="auto"/>
              <w:right w:val="single" w:sz="12"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9.84</w:t>
            </w:r>
          </w:p>
        </w:tc>
      </w:tr>
      <w:tr w:rsidR="00A52DD2" w:rsidRPr="006B4A91" w:rsidTr="00F035E0">
        <w:trPr>
          <w:trHeight w:val="330"/>
          <w:jc w:val="right"/>
        </w:trPr>
        <w:tc>
          <w:tcPr>
            <w:tcW w:w="962" w:type="dxa"/>
            <w:vMerge/>
            <w:tcBorders>
              <w:top w:val="single" w:sz="4" w:space="0" w:color="auto"/>
              <w:left w:val="single" w:sz="12" w:space="0" w:color="auto"/>
              <w:bottom w:val="single" w:sz="12" w:space="0" w:color="auto"/>
              <w:right w:val="single" w:sz="4" w:space="0" w:color="auto"/>
            </w:tcBorders>
            <w:vAlign w:val="center"/>
            <w:hideMark/>
          </w:tcPr>
          <w:p w:rsidR="00A52DD2" w:rsidRPr="006B4A91" w:rsidRDefault="00A52DD2" w:rsidP="00F035E0">
            <w:pPr>
              <w:widowControl/>
              <w:spacing w:line="260" w:lineRule="exact"/>
              <w:jc w:val="center"/>
              <w:rPr>
                <w:rFonts w:ascii="標楷體" w:eastAsia="標楷體" w:hAnsi="標楷體"/>
                <w:color w:val="000000"/>
                <w:kern w:val="0"/>
                <w:szCs w:val="24"/>
              </w:rPr>
            </w:pPr>
          </w:p>
        </w:tc>
        <w:tc>
          <w:tcPr>
            <w:tcW w:w="709" w:type="dxa"/>
            <w:vMerge/>
            <w:tcBorders>
              <w:top w:val="single" w:sz="4" w:space="0" w:color="auto"/>
              <w:left w:val="single" w:sz="4" w:space="0" w:color="auto"/>
              <w:bottom w:val="single" w:sz="12" w:space="0" w:color="auto"/>
              <w:right w:val="single" w:sz="4" w:space="0" w:color="auto"/>
            </w:tcBorders>
            <w:vAlign w:val="center"/>
            <w:hideMark/>
          </w:tcPr>
          <w:p w:rsidR="00A52DD2" w:rsidRPr="006B4A91" w:rsidRDefault="00A52DD2" w:rsidP="00F035E0">
            <w:pPr>
              <w:widowControl/>
              <w:spacing w:line="340" w:lineRule="exact"/>
              <w:jc w:val="center"/>
              <w:rPr>
                <w:rFonts w:ascii="標楷體" w:eastAsia="標楷體" w:hAnsi="標楷體"/>
                <w:color w:val="000000"/>
                <w:kern w:val="0"/>
                <w:szCs w:val="24"/>
              </w:rPr>
            </w:pPr>
          </w:p>
        </w:tc>
        <w:tc>
          <w:tcPr>
            <w:tcW w:w="739" w:type="dxa"/>
            <w:tcBorders>
              <w:top w:val="single" w:sz="4" w:space="0" w:color="auto"/>
              <w:left w:val="nil"/>
              <w:bottom w:val="single" w:sz="4" w:space="0" w:color="auto"/>
              <w:right w:val="single" w:sz="4" w:space="0" w:color="auto"/>
            </w:tcBorders>
            <w:shd w:val="clear" w:color="auto" w:fill="FFFFFF"/>
            <w:vAlign w:val="center"/>
            <w:hideMark/>
          </w:tcPr>
          <w:p w:rsidR="00A52DD2" w:rsidRPr="006B4A91" w:rsidRDefault="00A52DD2" w:rsidP="00F035E0">
            <w:pPr>
              <w:widowControl/>
              <w:spacing w:line="34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有眷</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65</w:t>
            </w:r>
          </w:p>
        </w:tc>
        <w:tc>
          <w:tcPr>
            <w:tcW w:w="851"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44</w:t>
            </w:r>
          </w:p>
        </w:tc>
        <w:tc>
          <w:tcPr>
            <w:tcW w:w="1134" w:type="dxa"/>
            <w:tcBorders>
              <w:top w:val="single" w:sz="4" w:space="0" w:color="auto"/>
              <w:left w:val="nil"/>
              <w:bottom w:val="single" w:sz="4"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91.67</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4</w:t>
            </w:r>
          </w:p>
        </w:tc>
        <w:tc>
          <w:tcPr>
            <w:tcW w:w="1134" w:type="dxa"/>
            <w:tcBorders>
              <w:top w:val="single" w:sz="4" w:space="0" w:color="auto"/>
              <w:left w:val="nil"/>
              <w:bottom w:val="single" w:sz="4" w:space="0" w:color="auto"/>
              <w:right w:val="single" w:sz="12"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8.33</w:t>
            </w:r>
          </w:p>
        </w:tc>
      </w:tr>
      <w:tr w:rsidR="00A52DD2" w:rsidRPr="006B4A91" w:rsidTr="00F035E0">
        <w:trPr>
          <w:trHeight w:val="330"/>
          <w:jc w:val="right"/>
        </w:trPr>
        <w:tc>
          <w:tcPr>
            <w:tcW w:w="962" w:type="dxa"/>
            <w:vMerge/>
            <w:tcBorders>
              <w:top w:val="single" w:sz="4" w:space="0" w:color="auto"/>
              <w:left w:val="single" w:sz="12" w:space="0" w:color="auto"/>
              <w:bottom w:val="single" w:sz="12" w:space="0" w:color="auto"/>
              <w:right w:val="single" w:sz="4" w:space="0" w:color="auto"/>
            </w:tcBorders>
            <w:vAlign w:val="center"/>
            <w:hideMark/>
          </w:tcPr>
          <w:p w:rsidR="00A52DD2" w:rsidRPr="006B4A91" w:rsidRDefault="00A52DD2" w:rsidP="00F035E0">
            <w:pPr>
              <w:widowControl/>
              <w:spacing w:line="260" w:lineRule="exact"/>
              <w:jc w:val="center"/>
              <w:rPr>
                <w:rFonts w:ascii="標楷體" w:eastAsia="標楷體" w:hAnsi="標楷體"/>
                <w:color w:val="000000"/>
                <w:kern w:val="0"/>
                <w:szCs w:val="24"/>
              </w:rPr>
            </w:pPr>
          </w:p>
        </w:tc>
        <w:tc>
          <w:tcPr>
            <w:tcW w:w="709" w:type="dxa"/>
            <w:vMerge/>
            <w:tcBorders>
              <w:top w:val="single" w:sz="4" w:space="0" w:color="auto"/>
              <w:left w:val="single" w:sz="4" w:space="0" w:color="auto"/>
              <w:bottom w:val="single" w:sz="12" w:space="0" w:color="auto"/>
              <w:right w:val="single" w:sz="4" w:space="0" w:color="auto"/>
            </w:tcBorders>
            <w:vAlign w:val="center"/>
            <w:hideMark/>
          </w:tcPr>
          <w:p w:rsidR="00A52DD2" w:rsidRPr="006B4A91" w:rsidRDefault="00A52DD2" w:rsidP="00F035E0">
            <w:pPr>
              <w:widowControl/>
              <w:spacing w:line="340" w:lineRule="exact"/>
              <w:jc w:val="center"/>
              <w:rPr>
                <w:rFonts w:ascii="標楷體" w:eastAsia="標楷體" w:hAnsi="標楷體"/>
                <w:color w:val="000000"/>
                <w:kern w:val="0"/>
                <w:szCs w:val="24"/>
              </w:rPr>
            </w:pPr>
          </w:p>
        </w:tc>
        <w:tc>
          <w:tcPr>
            <w:tcW w:w="739" w:type="dxa"/>
            <w:tcBorders>
              <w:top w:val="single" w:sz="4" w:space="0" w:color="auto"/>
              <w:left w:val="nil"/>
              <w:bottom w:val="single" w:sz="12" w:space="0" w:color="auto"/>
              <w:right w:val="single" w:sz="4" w:space="0" w:color="auto"/>
            </w:tcBorders>
            <w:shd w:val="clear" w:color="auto" w:fill="FFFFFF"/>
            <w:vAlign w:val="center"/>
            <w:hideMark/>
          </w:tcPr>
          <w:p w:rsidR="00A52DD2" w:rsidRPr="006B4A91" w:rsidRDefault="00A52DD2" w:rsidP="00F035E0">
            <w:pPr>
              <w:widowControl/>
              <w:spacing w:line="340" w:lineRule="exact"/>
              <w:jc w:val="center"/>
              <w:rPr>
                <w:rFonts w:ascii="標楷體" w:eastAsia="標楷體" w:hAnsi="標楷體"/>
                <w:color w:val="000000"/>
                <w:kern w:val="0"/>
                <w:szCs w:val="24"/>
              </w:rPr>
            </w:pPr>
            <w:r w:rsidRPr="006B4A91">
              <w:rPr>
                <w:rFonts w:ascii="標楷體" w:eastAsia="標楷體" w:hAnsi="標楷體" w:hint="eastAsia"/>
                <w:color w:val="000000"/>
                <w:kern w:val="0"/>
                <w:szCs w:val="24"/>
              </w:rPr>
              <w:t>主管</w:t>
            </w:r>
          </w:p>
        </w:tc>
        <w:tc>
          <w:tcPr>
            <w:tcW w:w="2126" w:type="dxa"/>
            <w:tcBorders>
              <w:top w:val="single" w:sz="4" w:space="0" w:color="auto"/>
              <w:left w:val="single" w:sz="4" w:space="0" w:color="auto"/>
              <w:bottom w:val="single" w:sz="12" w:space="0" w:color="auto"/>
              <w:right w:val="single" w:sz="4" w:space="0" w:color="auto"/>
            </w:tcBorders>
            <w:shd w:val="clear" w:color="auto" w:fill="FFFFFF"/>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61</w:t>
            </w:r>
          </w:p>
        </w:tc>
        <w:tc>
          <w:tcPr>
            <w:tcW w:w="851" w:type="dxa"/>
            <w:tcBorders>
              <w:top w:val="single" w:sz="4" w:space="0" w:color="auto"/>
              <w:left w:val="single" w:sz="4" w:space="0" w:color="auto"/>
              <w:bottom w:val="single" w:sz="12"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5</w:t>
            </w:r>
          </w:p>
        </w:tc>
        <w:tc>
          <w:tcPr>
            <w:tcW w:w="1134" w:type="dxa"/>
            <w:tcBorders>
              <w:top w:val="single" w:sz="4" w:space="0" w:color="auto"/>
              <w:left w:val="nil"/>
              <w:bottom w:val="single" w:sz="12"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41.67</w:t>
            </w:r>
          </w:p>
        </w:tc>
        <w:tc>
          <w:tcPr>
            <w:tcW w:w="850" w:type="dxa"/>
            <w:tcBorders>
              <w:top w:val="single" w:sz="4" w:space="0" w:color="auto"/>
              <w:left w:val="nil"/>
              <w:bottom w:val="single" w:sz="12" w:space="0" w:color="auto"/>
              <w:right w:val="single" w:sz="4"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7</w:t>
            </w:r>
          </w:p>
        </w:tc>
        <w:tc>
          <w:tcPr>
            <w:tcW w:w="1134" w:type="dxa"/>
            <w:tcBorders>
              <w:top w:val="single" w:sz="4" w:space="0" w:color="auto"/>
              <w:left w:val="nil"/>
              <w:bottom w:val="single" w:sz="12" w:space="0" w:color="auto"/>
              <w:right w:val="single" w:sz="12" w:space="0" w:color="auto"/>
            </w:tcBorders>
            <w:shd w:val="clear" w:color="auto" w:fill="FFFFFF"/>
            <w:noWrap/>
            <w:vAlign w:val="center"/>
          </w:tcPr>
          <w:p w:rsidR="00A52DD2" w:rsidRPr="006B4A91" w:rsidRDefault="00A52DD2" w:rsidP="00F035E0">
            <w:pPr>
              <w:widowControl/>
              <w:spacing w:line="340" w:lineRule="exact"/>
              <w:jc w:val="right"/>
              <w:rPr>
                <w:rFonts w:ascii="標楷體" w:eastAsia="標楷體" w:hAnsi="標楷體"/>
                <w:color w:val="000000"/>
                <w:kern w:val="0"/>
                <w:szCs w:val="24"/>
              </w:rPr>
            </w:pPr>
            <w:r w:rsidRPr="006B4A91">
              <w:rPr>
                <w:rFonts w:ascii="標楷體" w:eastAsia="標楷體" w:hAnsi="標楷體" w:hint="eastAsia"/>
                <w:color w:val="000000"/>
                <w:kern w:val="0"/>
                <w:szCs w:val="24"/>
              </w:rPr>
              <w:t>58.33</w:t>
            </w:r>
          </w:p>
        </w:tc>
      </w:tr>
    </w:tbl>
    <w:p w:rsidR="00A52DD2" w:rsidRPr="006B4A91" w:rsidRDefault="00A52DD2" w:rsidP="00F035E0">
      <w:pPr>
        <w:overflowPunct w:val="0"/>
        <w:spacing w:line="500" w:lineRule="exact"/>
        <w:ind w:leftChars="1250" w:left="3000"/>
        <w:jc w:val="both"/>
        <w:rPr>
          <w:rFonts w:ascii="標楷體" w:eastAsia="標楷體" w:hAnsi="標楷體"/>
          <w:sz w:val="32"/>
          <w:szCs w:val="32"/>
        </w:rPr>
      </w:pPr>
      <w:r w:rsidRPr="006B4A91">
        <w:rPr>
          <w:rFonts w:ascii="標楷體" w:eastAsia="標楷體" w:hAnsi="標楷體" w:hint="eastAsia"/>
          <w:sz w:val="32"/>
          <w:szCs w:val="32"/>
        </w:rPr>
        <w:t>提案人：鄭正鈐</w:t>
      </w:r>
    </w:p>
    <w:p w:rsidR="00A52DD2" w:rsidRPr="006B4A91" w:rsidRDefault="00A52DD2" w:rsidP="00F035E0">
      <w:pPr>
        <w:overflowPunct w:val="0"/>
        <w:spacing w:line="500" w:lineRule="exact"/>
        <w:ind w:leftChars="1250" w:left="3000"/>
        <w:jc w:val="both"/>
        <w:rPr>
          <w:rFonts w:ascii="標楷體" w:eastAsia="標楷體" w:hAnsi="標楷體"/>
          <w:sz w:val="32"/>
          <w:szCs w:val="32"/>
        </w:rPr>
      </w:pPr>
      <w:r w:rsidRPr="006B4A91">
        <w:rPr>
          <w:rFonts w:ascii="標楷體" w:eastAsia="標楷體" w:hAnsi="標楷體" w:hint="eastAsia"/>
          <w:sz w:val="32"/>
          <w:szCs w:val="32"/>
        </w:rPr>
        <w:t>連署人：吳怡玎  萬美玲</w:t>
      </w:r>
    </w:p>
    <w:p w:rsidR="00A52DD2" w:rsidRPr="006B4A91" w:rsidRDefault="00A52DD2" w:rsidP="00F035E0">
      <w:pPr>
        <w:overflowPunct w:val="0"/>
        <w:spacing w:line="500" w:lineRule="exact"/>
        <w:ind w:leftChars="350" w:left="1160" w:hangingChars="100" w:hanging="320"/>
        <w:jc w:val="both"/>
        <w:rPr>
          <w:rFonts w:ascii="標楷體" w:eastAsia="標楷體" w:hAnsi="標楷體"/>
          <w:sz w:val="32"/>
          <w:szCs w:val="32"/>
        </w:rPr>
      </w:pPr>
      <w:r>
        <w:rPr>
          <w:rFonts w:ascii="標楷體" w:eastAsia="標楷體" w:hAnsi="標楷體" w:hint="eastAsia"/>
          <w:sz w:val="32"/>
          <w:szCs w:val="32"/>
        </w:rPr>
        <w:t>2.</w:t>
      </w:r>
      <w:r w:rsidRPr="006B4A91">
        <w:rPr>
          <w:rFonts w:ascii="標楷體" w:eastAsia="標楷體" w:hAnsi="標楷體" w:hint="eastAsia"/>
          <w:sz w:val="32"/>
          <w:szCs w:val="32"/>
        </w:rPr>
        <w:t>新竹科學園區成功的經驗帶動全國各地爭設科學園區。惟科技產業多是高耗能產業，且以新竹科學園區為例，園區內就業人數及週邊協力廠商合計涵蓋之人口規模，直接衝擊桃竹苗地區之經濟、社會、環境發展。考量科學園區影響地方發展甚鉅，爰此國家科學及技術委員會應於1個月內向立法院教育及文化委員會提出各科學園區對於週邊城鄉生活需求(應包含但不限於交通、教育、居住正義、醫療、環境污染等項目)之評估及如何改進與在地連結之規劃書面報告。5</w:t>
      </w:r>
    </w:p>
    <w:p w:rsidR="00A52DD2" w:rsidRPr="006B4A91" w:rsidRDefault="00A52DD2" w:rsidP="00F035E0">
      <w:pPr>
        <w:overflowPunct w:val="0"/>
        <w:spacing w:line="500" w:lineRule="exact"/>
        <w:ind w:leftChars="1250" w:left="3000"/>
        <w:jc w:val="both"/>
        <w:rPr>
          <w:rFonts w:ascii="標楷體" w:eastAsia="標楷體" w:hAnsi="標楷體"/>
          <w:sz w:val="32"/>
          <w:szCs w:val="32"/>
        </w:rPr>
      </w:pPr>
      <w:r w:rsidRPr="006B4A91">
        <w:rPr>
          <w:rFonts w:ascii="標楷體" w:eastAsia="標楷體" w:hAnsi="標楷體" w:hint="eastAsia"/>
          <w:sz w:val="32"/>
          <w:szCs w:val="32"/>
        </w:rPr>
        <w:t>提案人：鄭正鈐</w:t>
      </w:r>
    </w:p>
    <w:p w:rsidR="00A52DD2" w:rsidRPr="006B4A91" w:rsidRDefault="00A52DD2" w:rsidP="00F035E0">
      <w:pPr>
        <w:overflowPunct w:val="0"/>
        <w:spacing w:line="500" w:lineRule="exact"/>
        <w:ind w:leftChars="1250" w:left="3000"/>
        <w:jc w:val="both"/>
        <w:rPr>
          <w:rFonts w:ascii="標楷體" w:eastAsia="標楷體" w:hAnsi="標楷體"/>
          <w:sz w:val="32"/>
          <w:szCs w:val="32"/>
        </w:rPr>
      </w:pPr>
      <w:r w:rsidRPr="006B4A91">
        <w:rPr>
          <w:rFonts w:ascii="標楷體" w:eastAsia="標楷體" w:hAnsi="標楷體" w:hint="eastAsia"/>
          <w:sz w:val="32"/>
          <w:szCs w:val="32"/>
        </w:rPr>
        <w:t>連署人：萬美玲  吳怡玎</w:t>
      </w:r>
    </w:p>
    <w:p w:rsidR="00A52DD2" w:rsidRPr="00F371D9" w:rsidRDefault="00A52DD2" w:rsidP="00F035E0">
      <w:pPr>
        <w:overflowPunct w:val="0"/>
        <w:spacing w:line="500" w:lineRule="exact"/>
        <w:ind w:leftChars="350" w:left="1160" w:hangingChars="100" w:hanging="320"/>
        <w:jc w:val="both"/>
        <w:rPr>
          <w:rFonts w:ascii="標楷體" w:eastAsia="標楷體" w:hAnsi="標楷體"/>
          <w:sz w:val="32"/>
          <w:szCs w:val="32"/>
        </w:rPr>
      </w:pPr>
      <w:r>
        <w:rPr>
          <w:rFonts w:ascii="標楷體" w:eastAsia="標楷體" w:hAnsi="標楷體" w:hint="eastAsia"/>
          <w:sz w:val="32"/>
          <w:szCs w:val="32"/>
        </w:rPr>
        <w:t>3.</w:t>
      </w:r>
      <w:r w:rsidRPr="007D7257">
        <w:rPr>
          <w:rFonts w:ascii="標楷體" w:eastAsia="標楷體" w:hAnsi="標楷體" w:hint="eastAsia"/>
          <w:sz w:val="32"/>
          <w:szCs w:val="32"/>
        </w:rPr>
        <w:t>112年</w:t>
      </w:r>
      <w:r>
        <w:rPr>
          <w:rFonts w:ascii="標楷體" w:eastAsia="標楷體" w:hAnsi="標楷體" w:hint="eastAsia"/>
          <w:sz w:val="32"/>
          <w:szCs w:val="32"/>
        </w:rPr>
        <w:t>度</w:t>
      </w:r>
      <w:r w:rsidRPr="007D7257">
        <w:rPr>
          <w:rFonts w:ascii="標楷體" w:eastAsia="標楷體" w:hAnsi="標楷體" w:hint="eastAsia"/>
          <w:sz w:val="32"/>
          <w:szCs w:val="32"/>
        </w:rPr>
        <w:t>科學園區管理局作業基金「固定資產建設改良擴充」</w:t>
      </w:r>
      <w:r>
        <w:rPr>
          <w:rFonts w:ascii="標楷體" w:eastAsia="標楷體" w:hAnsi="標楷體" w:hint="eastAsia"/>
          <w:sz w:val="32"/>
          <w:szCs w:val="32"/>
        </w:rPr>
        <w:t>預算編列</w:t>
      </w:r>
      <w:r w:rsidRPr="007D7257">
        <w:rPr>
          <w:rFonts w:ascii="標楷體" w:eastAsia="標楷體" w:hAnsi="標楷體" w:hint="eastAsia"/>
          <w:sz w:val="32"/>
          <w:szCs w:val="32"/>
        </w:rPr>
        <w:t>400億1</w:t>
      </w:r>
      <w:r>
        <w:rPr>
          <w:rFonts w:ascii="標楷體" w:eastAsia="標楷體" w:hAnsi="標楷體"/>
          <w:sz w:val="32"/>
          <w:szCs w:val="32"/>
        </w:rPr>
        <w:t>,</w:t>
      </w:r>
      <w:r w:rsidRPr="007D7257">
        <w:rPr>
          <w:rFonts w:ascii="標楷體" w:eastAsia="標楷體" w:hAnsi="標楷體" w:hint="eastAsia"/>
          <w:sz w:val="32"/>
          <w:szCs w:val="32"/>
        </w:rPr>
        <w:t>996萬8千元</w:t>
      </w:r>
      <w:r>
        <w:rPr>
          <w:rFonts w:ascii="標楷體" w:eastAsia="標楷體" w:hAnsi="標楷體" w:hint="eastAsia"/>
          <w:sz w:val="32"/>
          <w:szCs w:val="32"/>
        </w:rPr>
        <w:t>。</w:t>
      </w:r>
      <w:r w:rsidRPr="007D7257">
        <w:rPr>
          <w:rFonts w:ascii="標楷體" w:eastAsia="標楷體" w:hAnsi="標楷體" w:hint="eastAsia"/>
          <w:sz w:val="32"/>
          <w:szCs w:val="32"/>
        </w:rPr>
        <w:t>經查，截至111年7月底止，由行政院公共工程委員會列管科學園區管理局作業基金所辦理之10項重大公共建設計畫中，曾辦理計畫修正之項數共7件，比率高達</w:t>
      </w:r>
      <w:r>
        <w:rPr>
          <w:rFonts w:ascii="標楷體" w:eastAsia="標楷體" w:hAnsi="標楷體" w:hint="eastAsia"/>
          <w:sz w:val="32"/>
          <w:szCs w:val="32"/>
        </w:rPr>
        <w:t>七</w:t>
      </w:r>
      <w:r w:rsidRPr="007D7257">
        <w:rPr>
          <w:rFonts w:ascii="標楷體" w:eastAsia="標楷體" w:hAnsi="標楷體" w:hint="eastAsia"/>
          <w:sz w:val="32"/>
          <w:szCs w:val="32"/>
        </w:rPr>
        <w:t>成，修正次數1至3次者共4項，4次以上者計3項。曾修正計畫中增加經費逾100億元者，包括「新竹科學園區建設計畫」淨增加669</w:t>
      </w:r>
      <w:r>
        <w:rPr>
          <w:rFonts w:ascii="標楷體" w:eastAsia="標楷體" w:hAnsi="標楷體" w:hint="eastAsia"/>
          <w:sz w:val="32"/>
          <w:szCs w:val="32"/>
        </w:rPr>
        <w:t>億</w:t>
      </w:r>
      <w:r w:rsidRPr="007D7257">
        <w:rPr>
          <w:rFonts w:ascii="標楷體" w:eastAsia="標楷體" w:hAnsi="標楷體" w:hint="eastAsia"/>
          <w:sz w:val="32"/>
          <w:szCs w:val="32"/>
        </w:rPr>
        <w:t>2</w:t>
      </w:r>
      <w:r>
        <w:rPr>
          <w:rFonts w:ascii="標楷體" w:eastAsia="標楷體" w:hAnsi="標楷體"/>
          <w:sz w:val="32"/>
          <w:szCs w:val="32"/>
        </w:rPr>
        <w:t>,</w:t>
      </w:r>
      <w:r w:rsidRPr="007D7257">
        <w:rPr>
          <w:rFonts w:ascii="標楷體" w:eastAsia="標楷體" w:hAnsi="標楷體" w:hint="eastAsia"/>
          <w:sz w:val="32"/>
          <w:szCs w:val="32"/>
        </w:rPr>
        <w:t>8</w:t>
      </w:r>
      <w:r>
        <w:rPr>
          <w:rFonts w:ascii="標楷體" w:eastAsia="標楷體" w:hAnsi="標楷體" w:hint="eastAsia"/>
          <w:sz w:val="32"/>
          <w:szCs w:val="32"/>
        </w:rPr>
        <w:t>00萬</w:t>
      </w:r>
      <w:r w:rsidRPr="007D7257">
        <w:rPr>
          <w:rFonts w:ascii="標楷體" w:eastAsia="標楷體" w:hAnsi="標楷體" w:hint="eastAsia"/>
          <w:sz w:val="32"/>
          <w:szCs w:val="32"/>
        </w:rPr>
        <w:t>元、「南部科學園區建設計畫」淨增加642</w:t>
      </w:r>
      <w:r>
        <w:rPr>
          <w:rFonts w:ascii="標楷體" w:eastAsia="標楷體" w:hAnsi="標楷體" w:hint="eastAsia"/>
          <w:sz w:val="32"/>
          <w:szCs w:val="32"/>
        </w:rPr>
        <w:t>億</w:t>
      </w:r>
      <w:r w:rsidRPr="007D7257">
        <w:rPr>
          <w:rFonts w:ascii="標楷體" w:eastAsia="標楷體" w:hAnsi="標楷體" w:hint="eastAsia"/>
          <w:sz w:val="32"/>
          <w:szCs w:val="32"/>
        </w:rPr>
        <w:t>3</w:t>
      </w:r>
      <w:r>
        <w:rPr>
          <w:rFonts w:ascii="標楷體" w:eastAsia="標楷體" w:hAnsi="標楷體"/>
          <w:sz w:val="32"/>
          <w:szCs w:val="32"/>
        </w:rPr>
        <w:t>,</w:t>
      </w:r>
      <w:r w:rsidRPr="007D7257">
        <w:rPr>
          <w:rFonts w:ascii="標楷體" w:eastAsia="標楷體" w:hAnsi="標楷體" w:hint="eastAsia"/>
          <w:sz w:val="32"/>
          <w:szCs w:val="32"/>
        </w:rPr>
        <w:t>6</w:t>
      </w:r>
      <w:r>
        <w:rPr>
          <w:rFonts w:ascii="標楷體" w:eastAsia="標楷體" w:hAnsi="標楷體" w:hint="eastAsia"/>
          <w:sz w:val="32"/>
          <w:szCs w:val="32"/>
        </w:rPr>
        <w:t>00萬</w:t>
      </w:r>
      <w:r w:rsidRPr="007D7257">
        <w:rPr>
          <w:rFonts w:ascii="標楷體" w:eastAsia="標楷體" w:hAnsi="標楷體" w:hint="eastAsia"/>
          <w:sz w:val="32"/>
          <w:szCs w:val="32"/>
        </w:rPr>
        <w:t>元及「中部科學園區建設計畫」淨增加543</w:t>
      </w:r>
      <w:r>
        <w:rPr>
          <w:rFonts w:ascii="標楷體" w:eastAsia="標楷體" w:hAnsi="標楷體" w:hint="eastAsia"/>
          <w:sz w:val="32"/>
          <w:szCs w:val="32"/>
        </w:rPr>
        <w:t>億</w:t>
      </w:r>
      <w:r w:rsidRPr="007D7257">
        <w:rPr>
          <w:rFonts w:ascii="標楷體" w:eastAsia="標楷體" w:hAnsi="標楷體" w:hint="eastAsia"/>
          <w:sz w:val="32"/>
          <w:szCs w:val="32"/>
        </w:rPr>
        <w:t>6</w:t>
      </w:r>
      <w:r>
        <w:rPr>
          <w:rFonts w:ascii="標楷體" w:eastAsia="標楷體" w:hAnsi="標楷體"/>
          <w:sz w:val="32"/>
          <w:szCs w:val="32"/>
        </w:rPr>
        <w:t>,</w:t>
      </w:r>
      <w:r w:rsidRPr="007D7257">
        <w:rPr>
          <w:rFonts w:ascii="標楷體" w:eastAsia="標楷體" w:hAnsi="標楷體" w:hint="eastAsia"/>
          <w:sz w:val="32"/>
          <w:szCs w:val="32"/>
        </w:rPr>
        <w:t>5</w:t>
      </w:r>
      <w:r>
        <w:rPr>
          <w:rFonts w:ascii="標楷體" w:eastAsia="標楷體" w:hAnsi="標楷體" w:hint="eastAsia"/>
          <w:sz w:val="32"/>
          <w:szCs w:val="32"/>
        </w:rPr>
        <w:t>00萬</w:t>
      </w:r>
      <w:r w:rsidRPr="007D7257">
        <w:rPr>
          <w:rFonts w:ascii="標楷體" w:eastAsia="標楷體" w:hAnsi="標楷體" w:hint="eastAsia"/>
          <w:sz w:val="32"/>
          <w:szCs w:val="32"/>
        </w:rPr>
        <w:t>元；另有</w:t>
      </w:r>
      <w:r w:rsidRPr="007D7257">
        <w:rPr>
          <w:rFonts w:ascii="標楷體" w:eastAsia="標楷體" w:hAnsi="標楷體" w:hint="eastAsia"/>
          <w:sz w:val="32"/>
          <w:szCs w:val="32"/>
        </w:rPr>
        <w:lastRenderedPageBreak/>
        <w:t>「中興園區籌設計畫」淨減少經費44</w:t>
      </w:r>
      <w:r>
        <w:rPr>
          <w:rFonts w:ascii="標楷體" w:eastAsia="標楷體" w:hAnsi="標楷體" w:hint="eastAsia"/>
          <w:sz w:val="32"/>
          <w:szCs w:val="32"/>
        </w:rPr>
        <w:t>億</w:t>
      </w:r>
      <w:r w:rsidRPr="007D7257">
        <w:rPr>
          <w:rFonts w:ascii="標楷體" w:eastAsia="標楷體" w:hAnsi="標楷體" w:hint="eastAsia"/>
          <w:sz w:val="32"/>
          <w:szCs w:val="32"/>
        </w:rPr>
        <w:t>2</w:t>
      </w:r>
      <w:r>
        <w:rPr>
          <w:rFonts w:ascii="標楷體" w:eastAsia="標楷體" w:hAnsi="標楷體"/>
          <w:sz w:val="32"/>
          <w:szCs w:val="32"/>
        </w:rPr>
        <w:t>,</w:t>
      </w:r>
      <w:r w:rsidRPr="007D7257">
        <w:rPr>
          <w:rFonts w:ascii="標楷體" w:eastAsia="標楷體" w:hAnsi="標楷體" w:hint="eastAsia"/>
          <w:sz w:val="32"/>
          <w:szCs w:val="32"/>
        </w:rPr>
        <w:t>5</w:t>
      </w:r>
      <w:r>
        <w:rPr>
          <w:rFonts w:ascii="標楷體" w:eastAsia="標楷體" w:hAnsi="標楷體" w:hint="eastAsia"/>
          <w:sz w:val="32"/>
          <w:szCs w:val="32"/>
        </w:rPr>
        <w:t>00萬</w:t>
      </w:r>
      <w:r w:rsidRPr="007D7257">
        <w:rPr>
          <w:rFonts w:ascii="標楷體" w:eastAsia="標楷體" w:hAnsi="標楷體" w:hint="eastAsia"/>
          <w:sz w:val="32"/>
          <w:szCs w:val="32"/>
        </w:rPr>
        <w:t>元，顯示各科學園區應檢討預算籌編之妥適性。爰請</w:t>
      </w:r>
      <w:r w:rsidRPr="00E143F0">
        <w:rPr>
          <w:rFonts w:ascii="標楷體" w:eastAsia="標楷體" w:hAnsi="標楷體" w:hint="eastAsia"/>
          <w:sz w:val="32"/>
          <w:szCs w:val="32"/>
        </w:rPr>
        <w:t>國家科學及技術委員會於3個月內向立法院教</w:t>
      </w:r>
      <w:r w:rsidRPr="007D7257">
        <w:rPr>
          <w:rFonts w:ascii="標楷體" w:eastAsia="標楷體" w:hAnsi="標楷體" w:hint="eastAsia"/>
          <w:sz w:val="32"/>
          <w:szCs w:val="32"/>
        </w:rPr>
        <w:t>育及文化委員會提出書面報告。</w:t>
      </w:r>
      <w:r>
        <w:rPr>
          <w:rFonts w:ascii="標楷體" w:eastAsia="標楷體" w:hAnsi="標楷體" w:hint="eastAsia"/>
          <w:sz w:val="32"/>
          <w:szCs w:val="32"/>
        </w:rPr>
        <w:t>2</w:t>
      </w:r>
    </w:p>
    <w:p w:rsidR="00A52DD2" w:rsidRPr="00F371D9" w:rsidRDefault="00A52DD2" w:rsidP="00F035E0">
      <w:pPr>
        <w:snapToGrid w:val="0"/>
        <w:spacing w:line="460" w:lineRule="exact"/>
        <w:ind w:leftChars="1300" w:left="3120"/>
        <w:jc w:val="both"/>
        <w:rPr>
          <w:rFonts w:ascii="標楷體" w:eastAsia="標楷體" w:hAnsi="標楷體"/>
          <w:sz w:val="32"/>
          <w:szCs w:val="32"/>
        </w:rPr>
      </w:pPr>
      <w:r w:rsidRPr="00F371D9">
        <w:rPr>
          <w:rFonts w:ascii="標楷體" w:eastAsia="標楷體" w:hAnsi="標楷體"/>
          <w:sz w:val="32"/>
          <w:szCs w:val="32"/>
        </w:rPr>
        <w:t>提案</w:t>
      </w:r>
      <w:r w:rsidRPr="00F371D9">
        <w:rPr>
          <w:rFonts w:ascii="標楷體" w:eastAsia="標楷體" w:hAnsi="標楷體" w:hint="eastAsia"/>
          <w:sz w:val="32"/>
          <w:szCs w:val="32"/>
        </w:rPr>
        <w:t>人</w:t>
      </w:r>
      <w:r w:rsidRPr="00F371D9">
        <w:rPr>
          <w:rFonts w:ascii="標楷體" w:eastAsia="標楷體" w:hAnsi="標楷體"/>
          <w:sz w:val="32"/>
          <w:szCs w:val="32"/>
        </w:rPr>
        <w:t>：</w:t>
      </w:r>
      <w:r>
        <w:rPr>
          <w:rFonts w:ascii="標楷體" w:eastAsia="標楷體" w:hAnsi="標楷體" w:hint="eastAsia"/>
          <w:sz w:val="32"/>
          <w:szCs w:val="32"/>
        </w:rPr>
        <w:t>黃國書</w:t>
      </w:r>
    </w:p>
    <w:p w:rsidR="00A52DD2" w:rsidRPr="00F371D9" w:rsidRDefault="00A52DD2" w:rsidP="00F035E0">
      <w:pPr>
        <w:snapToGrid w:val="0"/>
        <w:spacing w:afterLines="50" w:after="180" w:line="460" w:lineRule="exact"/>
        <w:ind w:leftChars="1300" w:left="3120"/>
        <w:jc w:val="both"/>
        <w:rPr>
          <w:rFonts w:ascii="標楷體" w:eastAsia="標楷體" w:hAnsi="標楷體"/>
          <w:sz w:val="32"/>
          <w:szCs w:val="32"/>
        </w:rPr>
      </w:pPr>
      <w:r w:rsidRPr="00F371D9">
        <w:rPr>
          <w:rFonts w:ascii="標楷體" w:eastAsia="標楷體" w:hAnsi="標楷體"/>
          <w:sz w:val="32"/>
          <w:szCs w:val="32"/>
        </w:rPr>
        <w:t>連署人：</w:t>
      </w:r>
      <w:r>
        <w:rPr>
          <w:rFonts w:ascii="標楷體" w:eastAsia="標楷體" w:hAnsi="標楷體" w:hint="eastAsia"/>
          <w:sz w:val="32"/>
          <w:szCs w:val="32"/>
        </w:rPr>
        <w:t>何欣純  林宜瑾</w:t>
      </w:r>
    </w:p>
    <w:p w:rsidR="00A52DD2" w:rsidRPr="006B4A91" w:rsidRDefault="00A52DD2" w:rsidP="00F035E0">
      <w:pPr>
        <w:spacing w:beforeLines="50" w:before="180" w:afterLines="50" w:after="180" w:line="460" w:lineRule="exact"/>
        <w:ind w:left="640" w:hangingChars="200" w:hanging="640"/>
        <w:jc w:val="both"/>
        <w:rPr>
          <w:rFonts w:ascii="標楷體" w:eastAsia="標楷體" w:hAnsi="標楷體"/>
          <w:bCs/>
          <w:sz w:val="32"/>
          <w:szCs w:val="32"/>
        </w:rPr>
      </w:pPr>
      <w:r>
        <w:rPr>
          <w:rFonts w:ascii="標楷體" w:eastAsia="標楷體" w:hAnsi="標楷體" w:hint="eastAsia"/>
          <w:bCs/>
          <w:sz w:val="32"/>
          <w:szCs w:val="32"/>
        </w:rPr>
        <w:t>四</w:t>
      </w:r>
      <w:r w:rsidRPr="00E94241">
        <w:rPr>
          <w:rFonts w:ascii="標楷體" w:eastAsia="標楷體" w:hAnsi="標楷體" w:hint="eastAsia"/>
          <w:bCs/>
          <w:sz w:val="32"/>
          <w:szCs w:val="32"/>
        </w:rPr>
        <w:t>、</w:t>
      </w:r>
      <w:r w:rsidRPr="006B4A91">
        <w:rPr>
          <w:rFonts w:ascii="標楷體" w:eastAsia="標楷體" w:hAnsi="標楷體" w:hint="eastAsia"/>
          <w:sz w:val="32"/>
          <w:szCs w:val="32"/>
        </w:rPr>
        <w:t>112年度行政法人國家災害防救科技中心預算案，審查完竣，</w:t>
      </w:r>
      <w:r>
        <w:rPr>
          <w:rFonts w:ascii="標楷體" w:eastAsia="標楷體" w:hAnsi="標楷體" w:hint="eastAsia"/>
          <w:sz w:val="32"/>
          <w:szCs w:val="32"/>
        </w:rPr>
        <w:t>擬具審查報告，提報院會，</w:t>
      </w:r>
      <w:r w:rsidRPr="006B4A91">
        <w:rPr>
          <w:rFonts w:ascii="標楷體" w:eastAsia="標楷體" w:hAnsi="標楷體" w:hint="eastAsia"/>
          <w:sz w:val="32"/>
          <w:szCs w:val="32"/>
        </w:rPr>
        <w:t>不須交由黨團協商，院會討論時，由鄭召集委員正鈐補充說明。審查結果如下：</w:t>
      </w:r>
    </w:p>
    <w:p w:rsidR="00A52DD2" w:rsidRPr="00E94241" w:rsidRDefault="00A52DD2" w:rsidP="00F035E0">
      <w:pPr>
        <w:spacing w:beforeLines="50" w:before="180" w:afterLines="50" w:after="180" w:line="460" w:lineRule="exact"/>
        <w:jc w:val="both"/>
        <w:rPr>
          <w:rFonts w:ascii="標楷體" w:eastAsia="標楷體" w:hAnsi="標楷體"/>
          <w:b/>
          <w:sz w:val="32"/>
          <w:szCs w:val="32"/>
        </w:rPr>
      </w:pPr>
      <w:r w:rsidRPr="00E94241">
        <w:rPr>
          <w:rFonts w:ascii="標楷體" w:eastAsia="標楷體" w:hAnsi="標楷體" w:hint="eastAsia"/>
          <w:b/>
          <w:sz w:val="32"/>
          <w:szCs w:val="32"/>
        </w:rPr>
        <w:t>國家災害防救科技中心112年度預算書案</w:t>
      </w:r>
    </w:p>
    <w:p w:rsidR="00A52DD2" w:rsidRPr="00E94241" w:rsidRDefault="00A52DD2" w:rsidP="00F035E0">
      <w:pPr>
        <w:snapToGrid w:val="0"/>
        <w:spacing w:line="500" w:lineRule="exact"/>
        <w:ind w:leftChars="11" w:left="666" w:hangingChars="200" w:hanging="640"/>
        <w:contextualSpacing/>
        <w:jc w:val="both"/>
        <w:rPr>
          <w:rFonts w:ascii="標楷體" w:eastAsia="標楷體" w:hAnsi="標楷體"/>
          <w:snapToGrid w:val="0"/>
          <w:sz w:val="32"/>
          <w:szCs w:val="32"/>
        </w:rPr>
      </w:pPr>
      <w:r>
        <w:rPr>
          <w:rFonts w:ascii="標楷體" w:eastAsia="標楷體" w:hAnsi="標楷體" w:hint="eastAsia"/>
          <w:snapToGrid w:val="0"/>
          <w:sz w:val="32"/>
          <w:szCs w:val="32"/>
        </w:rPr>
        <w:t>(</w:t>
      </w:r>
      <w:r w:rsidRPr="00E94241">
        <w:rPr>
          <w:rFonts w:ascii="標楷體" w:eastAsia="標楷體" w:hAnsi="標楷體" w:hint="eastAsia"/>
          <w:snapToGrid w:val="0"/>
          <w:sz w:val="32"/>
          <w:szCs w:val="32"/>
        </w:rPr>
        <w:t>一</w:t>
      </w:r>
      <w:r>
        <w:rPr>
          <w:rFonts w:ascii="標楷體" w:eastAsia="標楷體" w:hAnsi="標楷體" w:hint="eastAsia"/>
          <w:snapToGrid w:val="0"/>
          <w:sz w:val="32"/>
          <w:szCs w:val="32"/>
        </w:rPr>
        <w:t>)</w:t>
      </w:r>
      <w:r w:rsidRPr="00E94241">
        <w:rPr>
          <w:rFonts w:ascii="標楷體" w:eastAsia="標楷體" w:hAnsi="標楷體"/>
          <w:snapToGrid w:val="0"/>
          <w:sz w:val="32"/>
          <w:szCs w:val="32"/>
        </w:rPr>
        <w:t>業務計畫：應依據業務收支、固定資產建設改良擴充及資金運用等項之審查結果，隨同調整。</w:t>
      </w:r>
    </w:p>
    <w:p w:rsidR="00A52DD2" w:rsidRPr="00E94241" w:rsidRDefault="00A52DD2" w:rsidP="00F035E0">
      <w:pPr>
        <w:snapToGrid w:val="0"/>
        <w:spacing w:line="500" w:lineRule="exact"/>
        <w:ind w:leftChars="11" w:left="666" w:hangingChars="200" w:hanging="640"/>
        <w:contextualSpacing/>
        <w:jc w:val="both"/>
        <w:rPr>
          <w:rFonts w:ascii="標楷體" w:eastAsia="標楷體" w:hAnsi="標楷體"/>
          <w:snapToGrid w:val="0"/>
          <w:sz w:val="32"/>
          <w:szCs w:val="32"/>
        </w:rPr>
      </w:pPr>
      <w:r>
        <w:rPr>
          <w:rFonts w:ascii="標楷體" w:eastAsia="標楷體" w:hAnsi="標楷體" w:hint="eastAsia"/>
          <w:snapToGrid w:val="0"/>
          <w:sz w:val="32"/>
          <w:szCs w:val="32"/>
        </w:rPr>
        <w:t>(</w:t>
      </w:r>
      <w:r w:rsidRPr="00E94241">
        <w:rPr>
          <w:rFonts w:ascii="標楷體" w:eastAsia="標楷體" w:hAnsi="標楷體"/>
          <w:snapToGrid w:val="0"/>
          <w:sz w:val="32"/>
          <w:szCs w:val="32"/>
        </w:rPr>
        <w:t>二</w:t>
      </w:r>
      <w:r>
        <w:rPr>
          <w:rFonts w:ascii="標楷體" w:eastAsia="標楷體" w:hAnsi="標楷體" w:hint="eastAsia"/>
          <w:snapToGrid w:val="0"/>
          <w:sz w:val="32"/>
          <w:szCs w:val="32"/>
        </w:rPr>
        <w:t>)</w:t>
      </w:r>
      <w:r w:rsidRPr="00E94241">
        <w:rPr>
          <w:rFonts w:ascii="標楷體" w:eastAsia="標楷體" w:hAnsi="標楷體"/>
          <w:snapToGrid w:val="0"/>
          <w:sz w:val="32"/>
          <w:szCs w:val="32"/>
        </w:rPr>
        <w:t>業務收支：</w:t>
      </w:r>
    </w:p>
    <w:p w:rsidR="00A52DD2" w:rsidRPr="00E94241" w:rsidRDefault="00A52DD2" w:rsidP="00F035E0">
      <w:pPr>
        <w:kinsoku w:val="0"/>
        <w:overflowPunct w:val="0"/>
        <w:spacing w:line="500" w:lineRule="exact"/>
        <w:ind w:leftChars="150" w:left="680" w:hangingChars="100" w:hanging="320"/>
        <w:contextualSpacing/>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1.</w:t>
      </w:r>
      <w:r w:rsidRPr="00E94241">
        <w:rPr>
          <w:rFonts w:ascii="標楷體" w:eastAsia="標楷體" w:hAnsi="標楷體"/>
          <w:snapToGrid w:val="0"/>
          <w:sz w:val="32"/>
          <w:szCs w:val="32"/>
        </w:rPr>
        <w:t>業務總收入：</w:t>
      </w:r>
      <w:r w:rsidRPr="00E94241">
        <w:rPr>
          <w:rFonts w:ascii="標楷體" w:eastAsia="標楷體" w:hAnsi="標楷體" w:hint="eastAsia"/>
          <w:color w:val="000000"/>
          <w:sz w:val="32"/>
          <w:szCs w:val="32"/>
        </w:rPr>
        <w:t>4億3,393萬2千元</w:t>
      </w:r>
      <w:r w:rsidRPr="00E94241">
        <w:rPr>
          <w:rFonts w:ascii="標楷體" w:eastAsia="標楷體" w:hAnsi="標楷體" w:hint="eastAsia"/>
          <w:snapToGrid w:val="0"/>
          <w:color w:val="000000"/>
          <w:sz w:val="32"/>
          <w:szCs w:val="32"/>
        </w:rPr>
        <w:t>，</w:t>
      </w:r>
      <w:r>
        <w:rPr>
          <w:rFonts w:ascii="標楷體" w:eastAsia="標楷體" w:hAnsi="標楷體" w:hint="eastAsia"/>
          <w:snapToGrid w:val="0"/>
          <w:color w:val="000000"/>
          <w:sz w:val="32"/>
          <w:szCs w:val="32"/>
        </w:rPr>
        <w:t>照列</w:t>
      </w:r>
      <w:r w:rsidRPr="00E94241">
        <w:rPr>
          <w:rFonts w:ascii="標楷體" w:eastAsia="標楷體" w:hAnsi="標楷體"/>
          <w:snapToGrid w:val="0"/>
          <w:sz w:val="32"/>
          <w:szCs w:val="32"/>
        </w:rPr>
        <w:t>。</w:t>
      </w:r>
    </w:p>
    <w:p w:rsidR="00A52DD2" w:rsidRPr="00E94241" w:rsidRDefault="00A52DD2" w:rsidP="00F035E0">
      <w:pPr>
        <w:kinsoku w:val="0"/>
        <w:overflowPunct w:val="0"/>
        <w:spacing w:line="500" w:lineRule="exact"/>
        <w:ind w:leftChars="150" w:left="1000" w:hangingChars="200" w:hanging="640"/>
        <w:contextualSpacing/>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2.</w:t>
      </w:r>
      <w:r w:rsidRPr="00E94241">
        <w:rPr>
          <w:rFonts w:ascii="標楷體" w:eastAsia="標楷體" w:hAnsi="標楷體"/>
          <w:snapToGrid w:val="0"/>
          <w:sz w:val="32"/>
          <w:szCs w:val="32"/>
        </w:rPr>
        <w:t>業務總支出：</w:t>
      </w:r>
      <w:r w:rsidRPr="00E94241">
        <w:rPr>
          <w:rFonts w:ascii="標楷體" w:eastAsia="標楷體" w:hAnsi="標楷體" w:hint="eastAsia"/>
          <w:snapToGrid w:val="0"/>
          <w:color w:val="000000"/>
          <w:sz w:val="32"/>
          <w:szCs w:val="32"/>
        </w:rPr>
        <w:t>4億4,300萬9千元</w:t>
      </w:r>
      <w:r w:rsidRPr="00E94241">
        <w:rPr>
          <w:rFonts w:ascii="標楷體" w:eastAsia="標楷體" w:hAnsi="標楷體"/>
          <w:snapToGrid w:val="0"/>
          <w:color w:val="000000"/>
          <w:sz w:val="32"/>
          <w:szCs w:val="32"/>
        </w:rPr>
        <w:t>，</w:t>
      </w:r>
      <w:r w:rsidRPr="00E94241">
        <w:rPr>
          <w:rFonts w:ascii="標楷體" w:eastAsia="標楷體" w:hAnsi="標楷體"/>
          <w:snapToGrid w:val="0"/>
          <w:sz w:val="32"/>
          <w:szCs w:val="32"/>
        </w:rPr>
        <w:t>照列。</w:t>
      </w:r>
    </w:p>
    <w:p w:rsidR="00A52DD2" w:rsidRPr="00E94241" w:rsidRDefault="00A52DD2" w:rsidP="00F035E0">
      <w:pPr>
        <w:kinsoku w:val="0"/>
        <w:overflowPunct w:val="0"/>
        <w:spacing w:line="500" w:lineRule="exact"/>
        <w:ind w:leftChars="150" w:left="1000" w:hangingChars="200" w:hanging="640"/>
        <w:contextualSpacing/>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3.</w:t>
      </w:r>
      <w:r w:rsidRPr="00E94241">
        <w:rPr>
          <w:rFonts w:ascii="標楷體" w:eastAsia="標楷體" w:hAnsi="標楷體" w:hint="eastAsia"/>
          <w:snapToGrid w:val="0"/>
          <w:sz w:val="32"/>
          <w:szCs w:val="32"/>
        </w:rPr>
        <w:t>本期</w:t>
      </w:r>
      <w:r w:rsidRPr="00E94241">
        <w:rPr>
          <w:rFonts w:ascii="標楷體" w:eastAsia="標楷體" w:hAnsi="標楷體"/>
          <w:snapToGrid w:val="0"/>
          <w:sz w:val="32"/>
          <w:szCs w:val="32"/>
        </w:rPr>
        <w:t>短絀：</w:t>
      </w:r>
      <w:r w:rsidRPr="00E94241">
        <w:rPr>
          <w:rFonts w:ascii="標楷體" w:eastAsia="標楷體" w:hAnsi="標楷體" w:hint="eastAsia"/>
          <w:snapToGrid w:val="0"/>
          <w:color w:val="000000"/>
          <w:sz w:val="32"/>
          <w:szCs w:val="32"/>
        </w:rPr>
        <w:t>907萬7千元</w:t>
      </w:r>
      <w:r w:rsidRPr="00E94241">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照列</w:t>
      </w:r>
      <w:r w:rsidRPr="00E94241">
        <w:rPr>
          <w:rFonts w:ascii="標楷體" w:eastAsia="標楷體" w:hAnsi="標楷體"/>
          <w:snapToGrid w:val="0"/>
          <w:sz w:val="32"/>
          <w:szCs w:val="32"/>
        </w:rPr>
        <w:t>。</w:t>
      </w:r>
    </w:p>
    <w:p w:rsidR="00A52DD2" w:rsidRPr="00E94241" w:rsidRDefault="00A52DD2" w:rsidP="00F035E0">
      <w:pPr>
        <w:snapToGrid w:val="0"/>
        <w:spacing w:line="500" w:lineRule="exact"/>
        <w:ind w:leftChars="11" w:left="666" w:hangingChars="200" w:hanging="640"/>
        <w:contextualSpacing/>
        <w:jc w:val="both"/>
        <w:rPr>
          <w:rFonts w:ascii="標楷體" w:eastAsia="標楷體" w:hAnsi="標楷體"/>
          <w:snapToGrid w:val="0"/>
          <w:sz w:val="32"/>
          <w:szCs w:val="32"/>
        </w:rPr>
      </w:pPr>
      <w:r>
        <w:rPr>
          <w:rFonts w:ascii="標楷體" w:eastAsia="標楷體" w:hAnsi="標楷體" w:hint="eastAsia"/>
          <w:snapToGrid w:val="0"/>
          <w:sz w:val="32"/>
          <w:szCs w:val="32"/>
        </w:rPr>
        <w:t>(</w:t>
      </w:r>
      <w:r w:rsidRPr="00E94241">
        <w:rPr>
          <w:rFonts w:ascii="標楷體" w:eastAsia="標楷體" w:hAnsi="標楷體" w:hint="eastAsia"/>
          <w:snapToGrid w:val="0"/>
          <w:sz w:val="32"/>
          <w:szCs w:val="32"/>
        </w:rPr>
        <w:t>三</w:t>
      </w:r>
      <w:r>
        <w:rPr>
          <w:rFonts w:ascii="標楷體" w:eastAsia="標楷體" w:hAnsi="標楷體" w:hint="eastAsia"/>
          <w:snapToGrid w:val="0"/>
          <w:sz w:val="32"/>
          <w:szCs w:val="32"/>
        </w:rPr>
        <w:t>)</w:t>
      </w:r>
      <w:r w:rsidRPr="00E94241">
        <w:rPr>
          <w:rFonts w:ascii="標楷體" w:eastAsia="標楷體" w:hAnsi="標楷體"/>
          <w:snapToGrid w:val="0"/>
          <w:sz w:val="32"/>
          <w:szCs w:val="32"/>
        </w:rPr>
        <w:t>固定資產建設改良擴充：</w:t>
      </w:r>
      <w:r w:rsidRPr="00E94241">
        <w:rPr>
          <w:rFonts w:ascii="標楷體" w:eastAsia="標楷體" w:hAnsi="標楷體"/>
          <w:snapToGrid w:val="0"/>
          <w:color w:val="000000"/>
          <w:sz w:val="32"/>
          <w:szCs w:val="32"/>
        </w:rPr>
        <w:t>1,250</w:t>
      </w:r>
      <w:r w:rsidRPr="00E94241">
        <w:rPr>
          <w:rFonts w:ascii="標楷體" w:eastAsia="標楷體" w:hAnsi="標楷體" w:hint="eastAsia"/>
          <w:snapToGrid w:val="0"/>
          <w:color w:val="000000"/>
          <w:sz w:val="32"/>
          <w:szCs w:val="32"/>
        </w:rPr>
        <w:t>萬元</w:t>
      </w:r>
      <w:r w:rsidRPr="00E94241">
        <w:rPr>
          <w:rFonts w:ascii="標楷體" w:eastAsia="標楷體" w:hAnsi="標楷體"/>
          <w:snapToGrid w:val="0"/>
          <w:sz w:val="32"/>
          <w:szCs w:val="32"/>
        </w:rPr>
        <w:t>，照列。</w:t>
      </w:r>
    </w:p>
    <w:p w:rsidR="00A52DD2" w:rsidRPr="00E94241" w:rsidRDefault="00A52DD2" w:rsidP="00F035E0">
      <w:pPr>
        <w:snapToGrid w:val="0"/>
        <w:spacing w:line="500" w:lineRule="exact"/>
        <w:ind w:leftChars="11" w:left="666" w:hangingChars="200" w:hanging="640"/>
        <w:contextualSpacing/>
        <w:jc w:val="both"/>
        <w:rPr>
          <w:rFonts w:ascii="標楷體" w:eastAsia="標楷體" w:hAnsi="標楷體"/>
          <w:snapToGrid w:val="0"/>
          <w:sz w:val="32"/>
          <w:szCs w:val="32"/>
        </w:rPr>
      </w:pPr>
      <w:r>
        <w:rPr>
          <w:rFonts w:ascii="標楷體" w:eastAsia="標楷體" w:hAnsi="標楷體" w:hint="eastAsia"/>
          <w:snapToGrid w:val="0"/>
          <w:sz w:val="32"/>
          <w:szCs w:val="32"/>
        </w:rPr>
        <w:t>(</w:t>
      </w:r>
      <w:r w:rsidRPr="00E94241">
        <w:rPr>
          <w:rFonts w:ascii="標楷體" w:eastAsia="標楷體" w:hAnsi="標楷體" w:hint="eastAsia"/>
          <w:snapToGrid w:val="0"/>
          <w:sz w:val="32"/>
          <w:szCs w:val="32"/>
        </w:rPr>
        <w:t>四</w:t>
      </w:r>
      <w:r>
        <w:rPr>
          <w:rFonts w:ascii="標楷體" w:eastAsia="標楷體" w:hAnsi="標楷體" w:hint="eastAsia"/>
          <w:snapToGrid w:val="0"/>
          <w:sz w:val="32"/>
          <w:szCs w:val="32"/>
        </w:rPr>
        <w:t>)</w:t>
      </w:r>
      <w:r w:rsidRPr="00E94241">
        <w:rPr>
          <w:rFonts w:ascii="標楷體" w:eastAsia="標楷體" w:hAnsi="標楷體"/>
          <w:snapToGrid w:val="0"/>
          <w:sz w:val="32"/>
          <w:szCs w:val="32"/>
        </w:rPr>
        <w:t>資金運用：應依據業務收支及固定資產建設改良擴充等項之審查結果，隨同調整。</w:t>
      </w:r>
    </w:p>
    <w:p w:rsidR="00A52DD2" w:rsidRPr="00E94241" w:rsidRDefault="00A52DD2" w:rsidP="00F035E0">
      <w:pPr>
        <w:snapToGrid w:val="0"/>
        <w:spacing w:line="500" w:lineRule="exact"/>
        <w:ind w:leftChars="11" w:left="666" w:hangingChars="200" w:hanging="640"/>
        <w:contextualSpacing/>
        <w:jc w:val="both"/>
        <w:rPr>
          <w:rFonts w:ascii="標楷體" w:eastAsia="標楷體" w:hAnsi="標楷體"/>
          <w:snapToGrid w:val="0"/>
          <w:sz w:val="32"/>
          <w:szCs w:val="32"/>
        </w:rPr>
      </w:pPr>
      <w:r>
        <w:rPr>
          <w:rFonts w:ascii="標楷體" w:eastAsia="標楷體" w:hAnsi="標楷體" w:hint="eastAsia"/>
          <w:snapToGrid w:val="0"/>
          <w:sz w:val="32"/>
          <w:szCs w:val="32"/>
        </w:rPr>
        <w:t>(</w:t>
      </w:r>
      <w:r w:rsidRPr="00E94241">
        <w:rPr>
          <w:rFonts w:ascii="標楷體" w:eastAsia="標楷體" w:hAnsi="標楷體" w:hint="eastAsia"/>
          <w:snapToGrid w:val="0"/>
          <w:sz w:val="32"/>
          <w:szCs w:val="32"/>
        </w:rPr>
        <w:t>五</w:t>
      </w:r>
      <w:r>
        <w:rPr>
          <w:rFonts w:ascii="標楷體" w:eastAsia="標楷體" w:hAnsi="標楷體" w:hint="eastAsia"/>
          <w:snapToGrid w:val="0"/>
          <w:sz w:val="32"/>
          <w:szCs w:val="32"/>
        </w:rPr>
        <w:t>)</w:t>
      </w:r>
      <w:r w:rsidRPr="00E94241">
        <w:rPr>
          <w:rFonts w:ascii="標楷體" w:eastAsia="標楷體" w:hAnsi="標楷體"/>
          <w:snapToGrid w:val="0"/>
          <w:sz w:val="32"/>
          <w:szCs w:val="32"/>
        </w:rPr>
        <w:t>通過決議</w:t>
      </w:r>
      <w:r>
        <w:rPr>
          <w:rFonts w:ascii="標楷體" w:eastAsia="標楷體" w:hAnsi="標楷體" w:hint="eastAsia"/>
          <w:snapToGrid w:val="0"/>
          <w:sz w:val="32"/>
          <w:szCs w:val="32"/>
        </w:rPr>
        <w:t>3</w:t>
      </w:r>
      <w:r w:rsidRPr="00E94241">
        <w:rPr>
          <w:rFonts w:ascii="標楷體" w:eastAsia="標楷體" w:hAnsi="標楷體"/>
          <w:snapToGrid w:val="0"/>
          <w:sz w:val="32"/>
          <w:szCs w:val="32"/>
        </w:rPr>
        <w:t>項：</w:t>
      </w:r>
    </w:p>
    <w:p w:rsidR="00A52DD2" w:rsidRPr="006B4A91" w:rsidRDefault="00A52DD2" w:rsidP="00F035E0">
      <w:pPr>
        <w:overflowPunct w:val="0"/>
        <w:spacing w:line="500" w:lineRule="exact"/>
        <w:ind w:leftChars="150" w:left="680" w:hangingChars="100" w:hanging="320"/>
        <w:jc w:val="both"/>
        <w:rPr>
          <w:rFonts w:ascii="標楷體" w:eastAsia="標楷體" w:hAnsi="標楷體"/>
          <w:sz w:val="32"/>
          <w:szCs w:val="32"/>
        </w:rPr>
      </w:pPr>
      <w:r>
        <w:rPr>
          <w:rFonts w:ascii="標楷體" w:eastAsia="標楷體" w:hAnsi="標楷體" w:hint="eastAsia"/>
          <w:snapToGrid w:val="0"/>
          <w:sz w:val="32"/>
          <w:szCs w:val="32"/>
        </w:rPr>
        <w:t>1.</w:t>
      </w:r>
      <w:r w:rsidRPr="006B4A91">
        <w:rPr>
          <w:rFonts w:ascii="標楷體" w:eastAsia="標楷體" w:hAnsi="標楷體" w:hint="eastAsia"/>
          <w:sz w:val="32"/>
          <w:szCs w:val="32"/>
        </w:rPr>
        <w:t>有鑑於氣候變遷對臺灣本土衝擊以及建構調適能力的必要性，國家科學及技術委員會於111年推動4年期「建構面對氣候緊急狀態下之韌性臺灣」中程綱要計畫，於此同時，行政法人國家災害防救科技中心執行第4期「氣候變遷服務平台」(TCCIP)計畫。TCCIP計畫前期計畫以產製大量氣候變遷資料提供外界進行本土衝擊應用為主，第4期則新增更高解析度的氣候模擬資料，並強化氣候研析的科學分析，以提供國人更能理解的本</w:t>
      </w:r>
      <w:r w:rsidRPr="006B4A91">
        <w:rPr>
          <w:rFonts w:ascii="標楷體" w:eastAsia="標楷體" w:hAnsi="標楷體" w:hint="eastAsia"/>
          <w:sz w:val="32"/>
          <w:szCs w:val="32"/>
        </w:rPr>
        <w:lastRenderedPageBreak/>
        <w:t>土氣候資訊。TCCIP計畫之重要目標係將相關資料及分析提供予學研單位科學研究、政府調適施政、一般民眾科普知識以及產業應用，惟使用者進用相關資料時，常遭遇資料尺度不合用、資料項目無法對應實務需求等困難，爰此，請行政法人國家災害防救科技中心針對氣候變遷風險辨識的資料需求，以及資料治理之架構、流程、需求者分析、使用者體驗等，與環境保護署及各業務主責部會協調合作，研擬氣候變遷資料治理之機制與規範，包括資料保護及資訊安全等相關政策。1</w:t>
      </w:r>
    </w:p>
    <w:p w:rsidR="00A52DD2" w:rsidRPr="006B4A91" w:rsidRDefault="00A52DD2" w:rsidP="00F035E0">
      <w:pPr>
        <w:overflowPunct w:val="0"/>
        <w:spacing w:line="500" w:lineRule="exact"/>
        <w:ind w:leftChars="1250" w:left="3000"/>
        <w:jc w:val="both"/>
        <w:rPr>
          <w:rFonts w:ascii="標楷體" w:eastAsia="標楷體" w:hAnsi="標楷體"/>
          <w:sz w:val="32"/>
          <w:szCs w:val="32"/>
        </w:rPr>
      </w:pPr>
      <w:r w:rsidRPr="006B4A91">
        <w:rPr>
          <w:rFonts w:ascii="標楷體" w:eastAsia="標楷體" w:hAnsi="標楷體" w:hint="eastAsia"/>
          <w:sz w:val="32"/>
          <w:szCs w:val="32"/>
        </w:rPr>
        <w:t>提案人：吳思瑤  賴品妤  范  雲</w:t>
      </w:r>
      <w:r>
        <w:rPr>
          <w:rFonts w:ascii="標楷體" w:eastAsia="標楷體" w:hAnsi="標楷體" w:hint="eastAsia"/>
          <w:sz w:val="32"/>
          <w:szCs w:val="32"/>
        </w:rPr>
        <w:t xml:space="preserve">  </w:t>
      </w:r>
      <w:r w:rsidRPr="006B4A91">
        <w:rPr>
          <w:rFonts w:ascii="標楷體" w:eastAsia="標楷體" w:hAnsi="標楷體" w:hint="eastAsia"/>
          <w:sz w:val="32"/>
          <w:szCs w:val="32"/>
        </w:rPr>
        <w:t>洪申翰</w:t>
      </w:r>
    </w:p>
    <w:p w:rsidR="00A52DD2" w:rsidRPr="006B4A91" w:rsidRDefault="00A52DD2" w:rsidP="00F035E0">
      <w:pPr>
        <w:overflowPunct w:val="0"/>
        <w:spacing w:line="500" w:lineRule="exact"/>
        <w:ind w:leftChars="150" w:left="680" w:hangingChars="100" w:hanging="320"/>
        <w:jc w:val="both"/>
        <w:rPr>
          <w:rFonts w:ascii="標楷體" w:eastAsia="標楷體" w:hAnsi="標楷體"/>
          <w:sz w:val="32"/>
          <w:szCs w:val="32"/>
        </w:rPr>
      </w:pPr>
      <w:r>
        <w:rPr>
          <w:rFonts w:ascii="標楷體" w:eastAsia="標楷體" w:hAnsi="標楷體" w:hint="eastAsia"/>
          <w:sz w:val="32"/>
          <w:szCs w:val="32"/>
        </w:rPr>
        <w:t>2.</w:t>
      </w:r>
      <w:r w:rsidRPr="006B4A91">
        <w:rPr>
          <w:rFonts w:ascii="標楷體" w:eastAsia="標楷體" w:hAnsi="標楷體" w:hint="eastAsia"/>
          <w:sz w:val="32"/>
          <w:szCs w:val="32"/>
        </w:rPr>
        <w:t>為配合新南向政策，行政法人國家災害防救科技中心自107年度起受託辦理「建置維運新南向國家整合式災害情資決策系統與智慧防震技術輸出計畫」。原規劃分4個階段於6至7個新南向國家建置數位化環境監測系統，透過收集數位化資料以提供防災基礎資訊。該計畫施行第1年由菲律賓、印尼、越南、泰國與印度中選擇合作國家；第2年後，除維運與強化已完成安裝之系統外，並逐年增加合作國家。經查108至110年國家災害防救科技中心於菲律賓、尼泊爾、不丹及越南等4個國家建置監測站計83站，其中108年於尼泊爾及不丹各設置12站皆已結束維運；另108年於菲律賓建置26站及109年於尼泊爾建置13站監測站，受到當地基礎建設欠佳等因素影響，110及111年1至7月底各妥善率平均為50%及62%。而原預計於110年間於越南設置20站，因受嚴重特殊傳染性肺炎疫情影響亦延至111年7月起安裝。鑑於該計畫原目標係透過災害情資決策及智慧防震技術之輸出，以帶領國內防災產業擴展海外市場，惟部分觀測站已結束維運，且維運中監測站之妥善率亦不高，爰請行政法人國家災害防救科技中心於3個月內向立法院教育及文化委員會提出書面報告。2</w:t>
      </w:r>
    </w:p>
    <w:p w:rsidR="00A52DD2" w:rsidRPr="006B4A91" w:rsidRDefault="00A52DD2" w:rsidP="00F035E0">
      <w:pPr>
        <w:overflowPunct w:val="0"/>
        <w:spacing w:line="500" w:lineRule="exact"/>
        <w:ind w:leftChars="1250" w:left="3000"/>
        <w:jc w:val="both"/>
        <w:rPr>
          <w:rFonts w:ascii="標楷體" w:eastAsia="標楷體" w:hAnsi="標楷體"/>
          <w:sz w:val="32"/>
          <w:szCs w:val="32"/>
        </w:rPr>
      </w:pPr>
      <w:r w:rsidRPr="006B4A91">
        <w:rPr>
          <w:rFonts w:ascii="標楷體" w:eastAsia="標楷體" w:hAnsi="標楷體" w:hint="eastAsia"/>
          <w:sz w:val="32"/>
          <w:szCs w:val="32"/>
        </w:rPr>
        <w:t>提案人：黃國書</w:t>
      </w:r>
    </w:p>
    <w:p w:rsidR="00A52DD2" w:rsidRPr="006B4A91" w:rsidRDefault="00A52DD2" w:rsidP="00F035E0">
      <w:pPr>
        <w:overflowPunct w:val="0"/>
        <w:spacing w:line="500" w:lineRule="exact"/>
        <w:ind w:leftChars="1250" w:left="3000"/>
        <w:jc w:val="both"/>
        <w:rPr>
          <w:rFonts w:ascii="標楷體" w:eastAsia="標楷體" w:hAnsi="標楷體"/>
          <w:sz w:val="32"/>
          <w:szCs w:val="32"/>
        </w:rPr>
      </w:pPr>
      <w:r w:rsidRPr="006B4A91">
        <w:rPr>
          <w:rFonts w:ascii="標楷體" w:eastAsia="標楷體" w:hAnsi="標楷體" w:hint="eastAsia"/>
          <w:sz w:val="32"/>
          <w:szCs w:val="32"/>
        </w:rPr>
        <w:lastRenderedPageBreak/>
        <w:t>連署人：林宜瑾  鄭正鈐</w:t>
      </w:r>
    </w:p>
    <w:p w:rsidR="00A52DD2" w:rsidRPr="006B4A91" w:rsidRDefault="00A52DD2" w:rsidP="00F035E0">
      <w:pPr>
        <w:overflowPunct w:val="0"/>
        <w:spacing w:line="500" w:lineRule="exact"/>
        <w:ind w:leftChars="150" w:left="680" w:hangingChars="100" w:hanging="320"/>
        <w:jc w:val="both"/>
        <w:rPr>
          <w:rFonts w:ascii="標楷體" w:eastAsia="標楷體" w:hAnsi="標楷體"/>
          <w:sz w:val="32"/>
          <w:szCs w:val="32"/>
        </w:rPr>
      </w:pPr>
      <w:r>
        <w:rPr>
          <w:rFonts w:ascii="標楷體" w:eastAsia="標楷體" w:hAnsi="標楷體" w:hint="eastAsia"/>
          <w:sz w:val="32"/>
          <w:szCs w:val="32"/>
        </w:rPr>
        <w:t>3.</w:t>
      </w:r>
      <w:r w:rsidRPr="006B4A91">
        <w:rPr>
          <w:rFonts w:ascii="標楷體" w:eastAsia="標楷體" w:hAnsi="標楷體" w:hint="eastAsia"/>
          <w:sz w:val="32"/>
          <w:szCs w:val="32"/>
        </w:rPr>
        <w:t>行政法人國家災害防救科技中心係為提升國家災害防救科技研發能力、推動災害防救科技成果及技術之落實應用而設立。經查災防中心</w:t>
      </w:r>
      <w:r>
        <w:rPr>
          <w:rFonts w:ascii="標楷體" w:eastAsia="標楷體" w:hAnsi="標楷體" w:hint="eastAsia"/>
          <w:sz w:val="32"/>
          <w:szCs w:val="32"/>
        </w:rPr>
        <w:t>於</w:t>
      </w:r>
      <w:r w:rsidRPr="006B4A91">
        <w:rPr>
          <w:rFonts w:ascii="標楷體" w:eastAsia="標楷體" w:hAnsi="標楷體" w:hint="eastAsia"/>
          <w:sz w:val="32"/>
          <w:szCs w:val="32"/>
        </w:rPr>
        <w:t>108至110年度之自籌收入預算數分別為6,031萬元、6,552萬8千元及7,061萬元，決算數為1億7,421萬2千元、1億2,466萬3千元及1億2,774萬4千元。收入決算雖高於預算數，惟其來源多為國家科學及技術委員會及以外之政府單位。其中，來自民間之收入決算數分別僅1萬1千元、5千元及3千元，不僅</w:t>
      </w:r>
      <w:r>
        <w:rPr>
          <w:rFonts w:ascii="標楷體" w:eastAsia="標楷體" w:hAnsi="標楷體" w:hint="eastAsia"/>
          <w:sz w:val="32"/>
          <w:szCs w:val="32"/>
        </w:rPr>
        <w:t>占</w:t>
      </w:r>
      <w:r w:rsidRPr="006B4A91">
        <w:rPr>
          <w:rFonts w:ascii="標楷體" w:eastAsia="標楷體" w:hAnsi="標楷體" w:hint="eastAsia"/>
          <w:sz w:val="32"/>
          <w:szCs w:val="32"/>
        </w:rPr>
        <w:t>總收入比例低落，且呈逐年遞減趨勢。另查，國家災害防救科技中心設置條例第23條第1項及第3項規定：「監督機關應邀集有關機關代表、學者專家及社會公正人士，辦理本中心之績效評鑑；其學者專家及社會公正人士之人數不得少於二分之一」、「績效評鑑之內容如下：一、…。三、本中心年度自</w:t>
      </w:r>
      <w:r>
        <w:rPr>
          <w:rFonts w:ascii="標楷體" w:eastAsia="標楷體" w:hAnsi="標楷體" w:hint="eastAsia"/>
          <w:sz w:val="32"/>
          <w:szCs w:val="32"/>
        </w:rPr>
        <w:t>籌款比率達成率。四、本中心經費核撥之建議。五、其他有關事項。」</w:t>
      </w:r>
      <w:r w:rsidRPr="006B4A91">
        <w:rPr>
          <w:rFonts w:ascii="標楷體" w:eastAsia="標楷體" w:hAnsi="標楷體" w:hint="eastAsia"/>
          <w:sz w:val="32"/>
          <w:szCs w:val="32"/>
        </w:rPr>
        <w:t>災防中心</w:t>
      </w:r>
      <w:r>
        <w:rPr>
          <w:rFonts w:ascii="標楷體" w:eastAsia="標楷體" w:hAnsi="標楷體" w:hint="eastAsia"/>
          <w:sz w:val="32"/>
          <w:szCs w:val="32"/>
        </w:rPr>
        <w:t>於</w:t>
      </w:r>
      <w:r w:rsidRPr="006B4A91">
        <w:rPr>
          <w:rFonts w:ascii="標楷體" w:eastAsia="標楷體" w:hAnsi="標楷體" w:hint="eastAsia"/>
          <w:sz w:val="32"/>
          <w:szCs w:val="32"/>
        </w:rPr>
        <w:t>108至110年度決算收支相抵，分別短絀612萬8千元、389萬5千元及532萬8千元，111及112年度更預計短絀811萬5千元及907萬7千元，顯示災防中心近年短絀情形日益成長。行政法人國家災害防救科技中心應提升民間自籌收入、改善短絀情形，並於3個月內向立法院教育及文化委員會提出書面報告。3</w:t>
      </w:r>
    </w:p>
    <w:p w:rsidR="00A52DD2" w:rsidRPr="006B4A91" w:rsidRDefault="00A52DD2" w:rsidP="00F035E0">
      <w:pPr>
        <w:overflowPunct w:val="0"/>
        <w:spacing w:line="500" w:lineRule="exact"/>
        <w:ind w:leftChars="1250" w:left="3000"/>
        <w:jc w:val="both"/>
        <w:rPr>
          <w:rFonts w:ascii="標楷體" w:eastAsia="標楷體" w:hAnsi="標楷體"/>
          <w:sz w:val="32"/>
          <w:szCs w:val="32"/>
        </w:rPr>
      </w:pPr>
      <w:r w:rsidRPr="006B4A91">
        <w:rPr>
          <w:rFonts w:ascii="標楷體" w:eastAsia="標楷體" w:hAnsi="標楷體" w:hint="eastAsia"/>
          <w:sz w:val="32"/>
          <w:szCs w:val="32"/>
        </w:rPr>
        <w:t>提案人：黃國書</w:t>
      </w:r>
    </w:p>
    <w:p w:rsidR="00A52DD2" w:rsidRPr="006B4A91" w:rsidRDefault="00A52DD2" w:rsidP="00F035E0">
      <w:pPr>
        <w:overflowPunct w:val="0"/>
        <w:spacing w:line="500" w:lineRule="exact"/>
        <w:ind w:leftChars="1250" w:left="3000"/>
        <w:jc w:val="both"/>
        <w:rPr>
          <w:rFonts w:ascii="標楷體" w:eastAsia="標楷體" w:hAnsi="標楷體"/>
          <w:snapToGrid w:val="0"/>
          <w:sz w:val="32"/>
          <w:szCs w:val="32"/>
        </w:rPr>
      </w:pPr>
      <w:r w:rsidRPr="006B4A91">
        <w:rPr>
          <w:rFonts w:ascii="標楷體" w:eastAsia="標楷體" w:hAnsi="標楷體" w:hint="eastAsia"/>
          <w:sz w:val="32"/>
          <w:szCs w:val="32"/>
        </w:rPr>
        <w:t>連署人：林宜瑾  鄭正鈐</w:t>
      </w:r>
    </w:p>
    <w:p w:rsidR="00A52DD2" w:rsidRDefault="00A52DD2" w:rsidP="00F035E0">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五、對於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A52DD2" w:rsidRPr="004E33B8" w:rsidRDefault="00A52DD2" w:rsidP="00F035E0">
      <w:pPr>
        <w:snapToGrid w:val="0"/>
        <w:spacing w:beforeLines="50" w:before="180" w:line="52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六、</w:t>
      </w:r>
      <w:r w:rsidRPr="001C5DBE">
        <w:rPr>
          <w:rFonts w:ascii="標楷體" w:eastAsia="標楷體" w:hAnsi="標楷體" w:hint="eastAsia"/>
          <w:bCs/>
          <w:sz w:val="32"/>
          <w:szCs w:val="32"/>
        </w:rPr>
        <w:t>在不影響文意前提下，授權議事人員依「112年度中央政府總預算案審查報告與黨團協商之範例」整理。</w:t>
      </w:r>
    </w:p>
    <w:p w:rsidR="00A52DD2" w:rsidRPr="00011F80" w:rsidRDefault="00A52DD2" w:rsidP="00F035E0">
      <w:pPr>
        <w:snapToGrid w:val="0"/>
        <w:spacing w:beforeLines="50" w:before="18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七、</w:t>
      </w:r>
      <w:r w:rsidRPr="00E94241">
        <w:rPr>
          <w:rFonts w:ascii="標楷體" w:eastAsia="標楷體" w:hAnsi="標楷體" w:hint="eastAsia"/>
          <w:bCs/>
          <w:sz w:val="32"/>
          <w:szCs w:val="32"/>
        </w:rPr>
        <w:t>112</w:t>
      </w:r>
      <w:r>
        <w:rPr>
          <w:rFonts w:ascii="標楷體" w:eastAsia="標楷體" w:hAnsi="標楷體" w:hint="eastAsia"/>
          <w:bCs/>
          <w:sz w:val="32"/>
          <w:szCs w:val="32"/>
        </w:rPr>
        <w:t>年度中央政府總預算案有關國家科學及技術委員會及</w:t>
      </w:r>
      <w:r w:rsidRPr="00E94241">
        <w:rPr>
          <w:rFonts w:ascii="標楷體" w:eastAsia="標楷體" w:hAnsi="標楷體" w:hint="eastAsia"/>
          <w:bCs/>
          <w:sz w:val="32"/>
          <w:szCs w:val="32"/>
        </w:rPr>
        <w:t>所屬單位預算案、行政院國家科學技術發展基金附屬單位預算案、</w:t>
      </w:r>
      <w:r w:rsidRPr="00E94241">
        <w:rPr>
          <w:rFonts w:ascii="標楷體" w:eastAsia="標楷體" w:hAnsi="標楷體" w:hint="eastAsia"/>
          <w:bCs/>
          <w:sz w:val="32"/>
          <w:szCs w:val="32"/>
        </w:rPr>
        <w:lastRenderedPageBreak/>
        <w:t>科學園區管理局作業基金附屬單位預算案及行政法人國家災害防救科技中心預算案，</w:t>
      </w:r>
      <w:r>
        <w:rPr>
          <w:rFonts w:ascii="標楷體" w:eastAsia="標楷體" w:hAnsi="標楷體" w:hint="eastAsia"/>
          <w:bCs/>
          <w:sz w:val="32"/>
          <w:szCs w:val="32"/>
        </w:rPr>
        <w:t>全部審查完竣。</w:t>
      </w:r>
    </w:p>
    <w:p w:rsidR="00A52DD2" w:rsidRDefault="00A52DD2" w:rsidP="00F035E0">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A52DD2" w:rsidRDefault="00A52DD2">
      <w:pPr>
        <w:widowControl/>
        <w:rPr>
          <w:rFonts w:ascii="標楷體" w:eastAsia="標楷體" w:hAnsi="標楷體"/>
          <w:b/>
          <w:bCs/>
          <w:sz w:val="32"/>
          <w:szCs w:val="32"/>
        </w:rPr>
      </w:pPr>
      <w:r>
        <w:rPr>
          <w:rFonts w:ascii="標楷體" w:eastAsia="標楷體" w:hAnsi="標楷體"/>
          <w:b/>
          <w:bCs/>
          <w:sz w:val="32"/>
          <w:szCs w:val="32"/>
        </w:rPr>
        <w:br w:type="page"/>
      </w:r>
    </w:p>
    <w:p w:rsidR="00A52DD2" w:rsidRPr="00B70493" w:rsidRDefault="00A52DD2" w:rsidP="00A52DD2">
      <w:pPr>
        <w:pStyle w:val="01-45"/>
        <w:rPr>
          <w:position w:val="2"/>
        </w:rPr>
      </w:pPr>
      <w:bookmarkStart w:id="279" w:name="_Toc126068187"/>
      <w:r w:rsidRPr="00B70493">
        <w:rPr>
          <w:rFonts w:hint="eastAsia"/>
        </w:rPr>
        <w:lastRenderedPageBreak/>
        <w:t>立法院第10屆第</w:t>
      </w:r>
      <w:r w:rsidRPr="00B70493">
        <w:t>6</w:t>
      </w:r>
      <w:r w:rsidRPr="00B70493">
        <w:rPr>
          <w:rFonts w:hint="eastAsia"/>
        </w:rPr>
        <w:t>會期教育及文化委員會第</w:t>
      </w:r>
      <w:r>
        <w:t>14</w:t>
      </w:r>
      <w:r w:rsidRPr="00B70493">
        <w:rPr>
          <w:rFonts w:hint="eastAsia"/>
        </w:rPr>
        <w:t>次全體委員會議議事錄</w:t>
      </w:r>
      <w:bookmarkEnd w:id="279"/>
    </w:p>
    <w:p w:rsidR="00A52DD2" w:rsidRPr="00AB746E" w:rsidRDefault="00A52DD2" w:rsidP="00F035E0">
      <w:pPr>
        <w:snapToGrid w:val="0"/>
        <w:spacing w:line="460" w:lineRule="exact"/>
        <w:ind w:left="1600" w:rightChars="9" w:right="22" w:hangingChars="500" w:hanging="1600"/>
        <w:jc w:val="distribute"/>
        <w:rPr>
          <w:rFonts w:ascii="標楷體" w:eastAsia="標楷體" w:hAnsi="標楷體"/>
          <w:sz w:val="32"/>
          <w:szCs w:val="32"/>
        </w:rPr>
      </w:pPr>
      <w:r w:rsidRPr="00115442">
        <w:rPr>
          <w:rFonts w:ascii="標楷體" w:eastAsia="標楷體" w:hAnsi="標楷體"/>
          <w:kern w:val="0"/>
          <w:sz w:val="32"/>
          <w:szCs w:val="32"/>
          <w:fitText w:val="1600" w:id="-1323541760"/>
        </w:rPr>
        <w:t>時    間：</w:t>
      </w:r>
      <w:r w:rsidRPr="00B70493">
        <w:rPr>
          <w:rFonts w:ascii="標楷體" w:eastAsia="標楷體" w:hAnsi="標楷體" w:hint="eastAsia"/>
          <w:spacing w:val="-32"/>
          <w:kern w:val="0"/>
          <w:sz w:val="32"/>
          <w:szCs w:val="32"/>
        </w:rPr>
        <w:t>中華民國1</w:t>
      </w:r>
      <w:r w:rsidRPr="00B70493">
        <w:rPr>
          <w:rFonts w:ascii="標楷體" w:eastAsia="標楷體" w:hAnsi="標楷體"/>
          <w:spacing w:val="-32"/>
          <w:kern w:val="0"/>
          <w:sz w:val="32"/>
          <w:szCs w:val="32"/>
        </w:rPr>
        <w:t>1</w:t>
      </w:r>
      <w:r w:rsidRPr="00B70493">
        <w:rPr>
          <w:rFonts w:ascii="標楷體" w:eastAsia="標楷體" w:hAnsi="標楷體" w:hint="eastAsia"/>
          <w:spacing w:val="-32"/>
          <w:kern w:val="0"/>
          <w:sz w:val="32"/>
          <w:szCs w:val="32"/>
        </w:rPr>
        <w:t>1年</w:t>
      </w:r>
      <w:r w:rsidRPr="00B70493">
        <w:rPr>
          <w:rFonts w:ascii="標楷體" w:eastAsia="標楷體" w:hAnsi="標楷體"/>
          <w:spacing w:val="-32"/>
          <w:kern w:val="0"/>
          <w:sz w:val="32"/>
          <w:szCs w:val="32"/>
        </w:rPr>
        <w:t>12</w:t>
      </w:r>
      <w:r w:rsidRPr="00B70493">
        <w:rPr>
          <w:rFonts w:ascii="標楷體" w:eastAsia="標楷體" w:hAnsi="標楷體" w:hint="eastAsia"/>
          <w:spacing w:val="-32"/>
          <w:kern w:val="0"/>
          <w:sz w:val="32"/>
          <w:szCs w:val="32"/>
        </w:rPr>
        <w:t>月</w:t>
      </w:r>
      <w:r>
        <w:rPr>
          <w:rFonts w:ascii="標楷體" w:eastAsia="標楷體" w:hAnsi="標楷體" w:hint="eastAsia"/>
          <w:spacing w:val="-32"/>
          <w:kern w:val="0"/>
          <w:sz w:val="32"/>
          <w:szCs w:val="32"/>
        </w:rPr>
        <w:t>12</w:t>
      </w:r>
      <w:r w:rsidRPr="00B70493">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一</w:t>
      </w:r>
      <w:r w:rsidRPr="00B70493">
        <w:rPr>
          <w:rFonts w:ascii="標楷體" w:eastAsia="標楷體" w:hAnsi="標楷體" w:hint="eastAsia"/>
          <w:spacing w:val="-32"/>
          <w:kern w:val="0"/>
          <w:sz w:val="32"/>
          <w:szCs w:val="32"/>
        </w:rPr>
        <w:t>）上午9時至</w:t>
      </w:r>
      <w:r>
        <w:rPr>
          <w:rFonts w:ascii="標楷體" w:eastAsia="標楷體" w:hAnsi="標楷體" w:hint="eastAsia"/>
          <w:spacing w:val="-32"/>
          <w:kern w:val="0"/>
          <w:sz w:val="32"/>
          <w:szCs w:val="32"/>
        </w:rPr>
        <w:t>下午1</w:t>
      </w:r>
      <w:r w:rsidRPr="00B70493">
        <w:rPr>
          <w:rFonts w:ascii="標楷體" w:eastAsia="標楷體" w:hAnsi="標楷體" w:hint="eastAsia"/>
          <w:spacing w:val="-32"/>
          <w:kern w:val="0"/>
          <w:sz w:val="32"/>
          <w:szCs w:val="32"/>
        </w:rPr>
        <w:t>時</w:t>
      </w:r>
      <w:r>
        <w:rPr>
          <w:rFonts w:ascii="標楷體" w:eastAsia="標楷體" w:hAnsi="標楷體"/>
          <w:spacing w:val="-32"/>
          <w:kern w:val="0"/>
          <w:sz w:val="32"/>
          <w:szCs w:val="32"/>
        </w:rPr>
        <w:t>28</w:t>
      </w:r>
      <w:r>
        <w:rPr>
          <w:rFonts w:ascii="標楷體" w:eastAsia="標楷體" w:hAnsi="標楷體" w:hint="eastAsia"/>
          <w:spacing w:val="-32"/>
          <w:kern w:val="0"/>
          <w:sz w:val="32"/>
          <w:szCs w:val="32"/>
        </w:rPr>
        <w:t>分</w:t>
      </w:r>
    </w:p>
    <w:p w:rsidR="00A52DD2" w:rsidRPr="00B70493" w:rsidRDefault="00A52DD2" w:rsidP="00F035E0">
      <w:pPr>
        <w:snapToGrid w:val="0"/>
        <w:spacing w:line="460" w:lineRule="exact"/>
        <w:ind w:left="1280" w:rightChars="9" w:right="22" w:hangingChars="500" w:hanging="1280"/>
        <w:jc w:val="distribute"/>
        <w:rPr>
          <w:rFonts w:ascii="標楷體" w:eastAsia="標楷體" w:hAnsi="標楷體"/>
          <w:spacing w:val="-32"/>
          <w:kern w:val="0"/>
          <w:sz w:val="32"/>
          <w:szCs w:val="32"/>
        </w:rPr>
      </w:pPr>
      <w:r w:rsidRPr="00B70493">
        <w:rPr>
          <w:rFonts w:ascii="標楷體" w:eastAsia="標楷體" w:hAnsi="標楷體" w:hint="eastAsia"/>
          <w:spacing w:val="-32"/>
          <w:kern w:val="0"/>
          <w:sz w:val="32"/>
          <w:szCs w:val="32"/>
        </w:rPr>
        <w:t xml:space="preserve">               </w:t>
      </w:r>
      <w:r w:rsidRPr="00B70493">
        <w:rPr>
          <w:rFonts w:ascii="標楷體" w:eastAsia="標楷體" w:hAnsi="標楷體" w:hint="eastAsia"/>
          <w:spacing w:val="-32"/>
          <w:kern w:val="0"/>
          <w:sz w:val="44"/>
          <w:szCs w:val="32"/>
        </w:rPr>
        <w:t xml:space="preserve"> </w:t>
      </w:r>
      <w:r w:rsidRPr="00B70493">
        <w:rPr>
          <w:rFonts w:ascii="標楷體" w:eastAsia="標楷體" w:hAnsi="標楷體" w:hint="eastAsia"/>
          <w:spacing w:val="-32"/>
          <w:kern w:val="0"/>
          <w:sz w:val="32"/>
          <w:szCs w:val="32"/>
        </w:rPr>
        <w:t>中華民國1</w:t>
      </w:r>
      <w:r w:rsidRPr="00B70493">
        <w:rPr>
          <w:rFonts w:ascii="標楷體" w:eastAsia="標楷體" w:hAnsi="標楷體"/>
          <w:spacing w:val="-32"/>
          <w:kern w:val="0"/>
          <w:sz w:val="32"/>
          <w:szCs w:val="32"/>
        </w:rPr>
        <w:t>1</w:t>
      </w:r>
      <w:r w:rsidRPr="00B70493">
        <w:rPr>
          <w:rFonts w:ascii="標楷體" w:eastAsia="標楷體" w:hAnsi="標楷體" w:hint="eastAsia"/>
          <w:spacing w:val="-32"/>
          <w:kern w:val="0"/>
          <w:sz w:val="32"/>
          <w:szCs w:val="32"/>
        </w:rPr>
        <w:t>1年</w:t>
      </w:r>
      <w:r w:rsidRPr="00B70493">
        <w:rPr>
          <w:rFonts w:ascii="標楷體" w:eastAsia="標楷體" w:hAnsi="標楷體"/>
          <w:spacing w:val="-32"/>
          <w:kern w:val="0"/>
          <w:sz w:val="32"/>
          <w:szCs w:val="32"/>
        </w:rPr>
        <w:t>12</w:t>
      </w:r>
      <w:r w:rsidRPr="00B70493">
        <w:rPr>
          <w:rFonts w:ascii="標楷體" w:eastAsia="標楷體" w:hAnsi="標楷體" w:hint="eastAsia"/>
          <w:spacing w:val="-32"/>
          <w:kern w:val="0"/>
          <w:sz w:val="32"/>
          <w:szCs w:val="32"/>
        </w:rPr>
        <w:t>月</w:t>
      </w:r>
      <w:r>
        <w:rPr>
          <w:rFonts w:ascii="標楷體" w:eastAsia="標楷體" w:hAnsi="標楷體"/>
          <w:spacing w:val="-32"/>
          <w:kern w:val="0"/>
          <w:sz w:val="32"/>
          <w:szCs w:val="32"/>
        </w:rPr>
        <w:t>14</w:t>
      </w:r>
      <w:r w:rsidRPr="00B70493">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三</w:t>
      </w:r>
      <w:r w:rsidRPr="00B70493">
        <w:rPr>
          <w:rFonts w:ascii="標楷體" w:eastAsia="標楷體" w:hAnsi="標楷體" w:hint="eastAsia"/>
          <w:spacing w:val="-32"/>
          <w:kern w:val="0"/>
          <w:sz w:val="32"/>
          <w:szCs w:val="32"/>
        </w:rPr>
        <w:t>）上午9時至</w:t>
      </w:r>
      <w:r>
        <w:rPr>
          <w:rFonts w:ascii="標楷體" w:eastAsia="標楷體" w:hAnsi="標楷體" w:hint="eastAsia"/>
          <w:spacing w:val="-32"/>
          <w:kern w:val="0"/>
          <w:sz w:val="32"/>
          <w:szCs w:val="32"/>
        </w:rPr>
        <w:t>12</w:t>
      </w:r>
      <w:r w:rsidRPr="00B70493">
        <w:rPr>
          <w:rFonts w:ascii="標楷體" w:eastAsia="標楷體" w:hAnsi="標楷體" w:hint="eastAsia"/>
          <w:spacing w:val="-32"/>
          <w:kern w:val="0"/>
          <w:sz w:val="32"/>
          <w:szCs w:val="32"/>
        </w:rPr>
        <w:t>時</w:t>
      </w:r>
      <w:r>
        <w:rPr>
          <w:rFonts w:ascii="標楷體" w:eastAsia="標楷體" w:hAnsi="標楷體"/>
          <w:spacing w:val="-32"/>
          <w:kern w:val="0"/>
          <w:sz w:val="32"/>
          <w:szCs w:val="32"/>
        </w:rPr>
        <w:t>5</w:t>
      </w:r>
      <w:r>
        <w:rPr>
          <w:rFonts w:ascii="標楷體" w:eastAsia="標楷體" w:hAnsi="標楷體" w:hint="eastAsia"/>
          <w:spacing w:val="-32"/>
          <w:kern w:val="0"/>
          <w:sz w:val="32"/>
          <w:szCs w:val="32"/>
        </w:rPr>
        <w:t>分</w:t>
      </w:r>
    </w:p>
    <w:p w:rsidR="00A52DD2" w:rsidRPr="00B70493" w:rsidRDefault="00A52DD2" w:rsidP="00F035E0">
      <w:pPr>
        <w:snapToGrid w:val="0"/>
        <w:spacing w:line="460" w:lineRule="exact"/>
        <w:ind w:left="1706" w:rightChars="9" w:right="22" w:hangingChars="533" w:hanging="1706"/>
        <w:jc w:val="both"/>
        <w:rPr>
          <w:rFonts w:ascii="標楷體" w:eastAsia="標楷體" w:hAnsi="標楷體"/>
          <w:sz w:val="32"/>
          <w:szCs w:val="32"/>
        </w:rPr>
      </w:pPr>
      <w:r w:rsidRPr="00B70493">
        <w:rPr>
          <w:rFonts w:ascii="標楷體" w:eastAsia="標楷體" w:hAnsi="標楷體"/>
          <w:sz w:val="32"/>
          <w:szCs w:val="32"/>
        </w:rPr>
        <w:t>地    點：</w:t>
      </w:r>
      <w:r w:rsidRPr="00B70493">
        <w:rPr>
          <w:rFonts w:ascii="標楷體" w:eastAsia="標楷體" w:hAnsi="標楷體" w:hint="eastAsia"/>
          <w:sz w:val="32"/>
          <w:szCs w:val="32"/>
        </w:rPr>
        <w:t>本院群賢樓101會議室</w:t>
      </w:r>
    </w:p>
    <w:p w:rsidR="00A52DD2" w:rsidRDefault="00A52DD2" w:rsidP="00F035E0">
      <w:pPr>
        <w:snapToGrid w:val="0"/>
        <w:spacing w:line="480" w:lineRule="exact"/>
        <w:ind w:leftChars="2" w:left="5"/>
        <w:jc w:val="both"/>
        <w:rPr>
          <w:rFonts w:ascii="標楷體" w:eastAsia="標楷體" w:hAnsi="標楷體"/>
          <w:sz w:val="32"/>
          <w:szCs w:val="32"/>
        </w:rPr>
      </w:pPr>
      <w:r w:rsidRPr="00B70493">
        <w:rPr>
          <w:rFonts w:ascii="標楷體" w:eastAsia="標楷體" w:hAnsi="標楷體"/>
          <w:sz w:val="32"/>
          <w:szCs w:val="32"/>
        </w:rPr>
        <w:t>出席委員</w:t>
      </w:r>
      <w:r w:rsidRPr="00B70493">
        <w:rPr>
          <w:rFonts w:ascii="標楷體" w:eastAsia="標楷體" w:hAnsi="標楷體" w:hint="eastAsia"/>
          <w:sz w:val="32"/>
          <w:szCs w:val="32"/>
        </w:rPr>
        <w:t xml:space="preserve">：黃國書  陳秀寳  林奕華  林宜瑾  </w:t>
      </w:r>
      <w:r>
        <w:rPr>
          <w:rFonts w:ascii="標楷體" w:eastAsia="標楷體" w:hAnsi="標楷體" w:hint="eastAsia"/>
          <w:sz w:val="32"/>
          <w:szCs w:val="32"/>
        </w:rPr>
        <w:t xml:space="preserve">萬美玲  </w:t>
      </w:r>
      <w:r w:rsidRPr="00B70493">
        <w:rPr>
          <w:rFonts w:ascii="標楷體" w:eastAsia="標楷體" w:hAnsi="標楷體" w:hint="eastAsia"/>
          <w:sz w:val="32"/>
          <w:szCs w:val="32"/>
        </w:rPr>
        <w:t>張廖萬堅</w:t>
      </w:r>
    </w:p>
    <w:p w:rsidR="00A52DD2" w:rsidRPr="00B70493" w:rsidRDefault="00A52DD2" w:rsidP="00F035E0">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w:t>
      </w:r>
      <w:r w:rsidRPr="00B70493">
        <w:rPr>
          <w:rFonts w:ascii="標楷體" w:eastAsia="標楷體" w:hAnsi="標楷體" w:hint="eastAsia"/>
          <w:sz w:val="32"/>
          <w:szCs w:val="32"/>
        </w:rPr>
        <w:t>何欣純  王婉諭  賴品妤  鄭正鈐  吳思瑤  范  雲</w:t>
      </w:r>
    </w:p>
    <w:p w:rsidR="00A52DD2" w:rsidRPr="00B70493" w:rsidRDefault="00A52DD2" w:rsidP="00F035E0">
      <w:pPr>
        <w:snapToGrid w:val="0"/>
        <w:spacing w:line="480" w:lineRule="exact"/>
        <w:ind w:leftChars="2" w:left="5"/>
        <w:jc w:val="both"/>
        <w:rPr>
          <w:rFonts w:ascii="標楷體" w:eastAsia="標楷體" w:hAnsi="標楷體"/>
          <w:sz w:val="32"/>
          <w:szCs w:val="32"/>
        </w:rPr>
      </w:pPr>
      <w:r w:rsidRPr="00B70493">
        <w:rPr>
          <w:rFonts w:ascii="標楷體" w:eastAsia="標楷體" w:hAnsi="標楷體" w:hint="eastAsia"/>
          <w:sz w:val="32"/>
          <w:szCs w:val="32"/>
        </w:rPr>
        <w:t xml:space="preserve">          </w:t>
      </w:r>
      <w:r>
        <w:rPr>
          <w:rFonts w:ascii="標楷體" w:eastAsia="標楷體" w:hAnsi="標楷體" w:hint="eastAsia"/>
          <w:sz w:val="32"/>
          <w:szCs w:val="32"/>
        </w:rPr>
        <w:t>吳怡玎  高金素梅</w:t>
      </w:r>
      <w:r w:rsidRPr="00B70493">
        <w:rPr>
          <w:rFonts w:ascii="標楷體" w:eastAsia="標楷體" w:hAnsi="標楷體" w:hint="eastAsia"/>
          <w:sz w:val="32"/>
          <w:szCs w:val="32"/>
        </w:rPr>
        <w:t xml:space="preserve"> </w:t>
      </w:r>
    </w:p>
    <w:p w:rsidR="00A52DD2" w:rsidRPr="00B70493" w:rsidRDefault="00A52DD2" w:rsidP="00F035E0">
      <w:pPr>
        <w:snapToGrid w:val="0"/>
        <w:spacing w:line="480" w:lineRule="exact"/>
        <w:ind w:leftChars="2" w:left="5"/>
        <w:jc w:val="both"/>
        <w:rPr>
          <w:rFonts w:ascii="標楷體" w:eastAsia="標楷體" w:hAnsi="標楷體"/>
          <w:sz w:val="32"/>
          <w:szCs w:val="32"/>
        </w:rPr>
      </w:pPr>
      <w:r w:rsidRPr="00B70493">
        <w:rPr>
          <w:rFonts w:ascii="標楷體" w:eastAsia="標楷體" w:hAnsi="標楷體" w:hint="eastAsia"/>
          <w:sz w:val="32"/>
          <w:szCs w:val="32"/>
        </w:rPr>
        <w:t xml:space="preserve">          委員出席</w:t>
      </w:r>
      <w:r w:rsidRPr="00B70493">
        <w:rPr>
          <w:rFonts w:ascii="標楷體" w:eastAsia="標楷體" w:hAnsi="標楷體"/>
          <w:sz w:val="32"/>
          <w:szCs w:val="32"/>
        </w:rPr>
        <w:t>14</w:t>
      </w:r>
      <w:r w:rsidRPr="00B70493">
        <w:rPr>
          <w:rFonts w:ascii="標楷體" w:eastAsia="標楷體" w:hAnsi="標楷體" w:hint="eastAsia"/>
          <w:sz w:val="32"/>
          <w:szCs w:val="32"/>
        </w:rPr>
        <w:t>人</w:t>
      </w:r>
    </w:p>
    <w:p w:rsidR="00A52DD2" w:rsidRDefault="00A52DD2" w:rsidP="00F035E0">
      <w:pPr>
        <w:snapToGrid w:val="0"/>
        <w:spacing w:line="480" w:lineRule="exact"/>
        <w:ind w:left="1920" w:rightChars="9" w:right="22" w:hangingChars="600" w:hanging="1920"/>
        <w:jc w:val="both"/>
        <w:rPr>
          <w:rFonts w:ascii="標楷體" w:eastAsia="標楷體" w:hAnsi="標楷體"/>
          <w:sz w:val="32"/>
          <w:szCs w:val="32"/>
        </w:rPr>
      </w:pPr>
      <w:r w:rsidRPr="00B70493">
        <w:rPr>
          <w:rFonts w:ascii="標楷體" w:eastAsia="標楷體" w:hAnsi="標楷體"/>
          <w:sz w:val="32"/>
          <w:szCs w:val="32"/>
        </w:rPr>
        <w:t>列席委員：</w:t>
      </w:r>
      <w:r w:rsidRPr="00B70493">
        <w:rPr>
          <w:rFonts w:ascii="標楷體" w:eastAsia="標楷體" w:hAnsi="標楷體" w:hint="eastAsia"/>
          <w:sz w:val="32"/>
          <w:szCs w:val="32"/>
        </w:rPr>
        <w:t>李貴敏</w:t>
      </w:r>
      <w:r>
        <w:rPr>
          <w:rFonts w:ascii="標楷體" w:eastAsia="標楷體" w:hAnsi="標楷體" w:hint="eastAsia"/>
          <w:sz w:val="32"/>
          <w:szCs w:val="32"/>
        </w:rPr>
        <w:t xml:space="preserve">  林德福  鍾佳濱  羅明才  </w:t>
      </w:r>
      <w:r w:rsidRPr="00B70493">
        <w:rPr>
          <w:rFonts w:ascii="標楷體" w:eastAsia="標楷體" w:hAnsi="標楷體" w:hint="eastAsia"/>
          <w:sz w:val="32"/>
          <w:szCs w:val="32"/>
        </w:rPr>
        <w:t xml:space="preserve">陳椒華  </w:t>
      </w:r>
      <w:r>
        <w:rPr>
          <w:rFonts w:ascii="標楷體" w:eastAsia="標楷體" w:hAnsi="標楷體" w:hint="eastAsia"/>
          <w:sz w:val="32"/>
          <w:szCs w:val="32"/>
        </w:rPr>
        <w:t>邱顯智</w:t>
      </w:r>
    </w:p>
    <w:p w:rsidR="00A52DD2" w:rsidRDefault="00A52DD2" w:rsidP="00F035E0">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郭國文  高嘉瑜  楊瓊瓔  張其祿  </w:t>
      </w:r>
      <w:r w:rsidRPr="00BE28D6">
        <w:rPr>
          <w:rFonts w:ascii="標楷體" w:eastAsia="標楷體" w:hAnsi="標楷體" w:hint="eastAsia"/>
          <w:sz w:val="32"/>
          <w:szCs w:val="32"/>
        </w:rPr>
        <w:t>鄭天財Sra Kacaw</w:t>
      </w:r>
    </w:p>
    <w:p w:rsidR="00A52DD2" w:rsidRDefault="00A52DD2" w:rsidP="00F035E0">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邱志偉  </w:t>
      </w:r>
      <w:r w:rsidRPr="00B70493">
        <w:rPr>
          <w:rFonts w:ascii="標楷體" w:eastAsia="標楷體" w:hAnsi="標楷體" w:hint="eastAsia"/>
          <w:sz w:val="32"/>
          <w:szCs w:val="32"/>
        </w:rPr>
        <w:t xml:space="preserve">陳亭妃  </w:t>
      </w:r>
      <w:r>
        <w:rPr>
          <w:rFonts w:ascii="標楷體" w:eastAsia="標楷體" w:hAnsi="標楷體" w:hint="eastAsia"/>
          <w:sz w:val="32"/>
          <w:szCs w:val="32"/>
        </w:rPr>
        <w:t xml:space="preserve">張育美  </w:t>
      </w:r>
      <w:r w:rsidRPr="00BE28D6">
        <w:rPr>
          <w:rFonts w:ascii="標楷體" w:eastAsia="標楷體" w:hAnsi="標楷體" w:hint="eastAsia"/>
          <w:sz w:val="32"/>
          <w:szCs w:val="32"/>
        </w:rPr>
        <w:t>伍麗華Saidhai Tahovecahe</w:t>
      </w:r>
    </w:p>
    <w:p w:rsidR="00A52DD2" w:rsidRDefault="00A52DD2" w:rsidP="00F035E0">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蘇巧慧  莊競程  王美惠  </w:t>
      </w:r>
      <w:r w:rsidRPr="00B70493">
        <w:rPr>
          <w:rFonts w:ascii="標楷體" w:eastAsia="標楷體" w:hAnsi="標楷體" w:hint="eastAsia"/>
          <w:sz w:val="32"/>
          <w:szCs w:val="32"/>
        </w:rPr>
        <w:t xml:space="preserve">劉世芳  </w:t>
      </w:r>
      <w:r>
        <w:rPr>
          <w:rFonts w:ascii="標楷體" w:eastAsia="標楷體" w:hAnsi="標楷體" w:hint="eastAsia"/>
          <w:sz w:val="32"/>
          <w:szCs w:val="32"/>
        </w:rPr>
        <w:t xml:space="preserve">廖婉汝  </w:t>
      </w:r>
      <w:r w:rsidRPr="00B70493">
        <w:rPr>
          <w:rFonts w:ascii="標楷體" w:eastAsia="標楷體" w:hAnsi="標楷體" w:hint="eastAsia"/>
          <w:sz w:val="32"/>
          <w:szCs w:val="32"/>
        </w:rPr>
        <w:t>洪孟楷</w:t>
      </w:r>
    </w:p>
    <w:p w:rsidR="00A52DD2" w:rsidRDefault="00A52DD2" w:rsidP="00F035E0">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w:t>
      </w:r>
      <w:r w:rsidRPr="00B70493">
        <w:rPr>
          <w:rFonts w:ascii="標楷體" w:eastAsia="標楷體" w:hAnsi="標楷體" w:hint="eastAsia"/>
          <w:sz w:val="32"/>
          <w:szCs w:val="32"/>
        </w:rPr>
        <w:t>謝衣鳯</w:t>
      </w:r>
    </w:p>
    <w:p w:rsidR="00A52DD2" w:rsidRPr="00B70493" w:rsidRDefault="00A52DD2" w:rsidP="00F035E0">
      <w:pPr>
        <w:snapToGrid w:val="0"/>
        <w:spacing w:line="480" w:lineRule="exact"/>
        <w:ind w:left="1920" w:rightChars="9" w:right="22" w:hangingChars="600" w:hanging="1920"/>
        <w:jc w:val="both"/>
        <w:rPr>
          <w:rFonts w:ascii="標楷體" w:eastAsia="標楷體" w:hAnsi="標楷體"/>
          <w:position w:val="2"/>
          <w:sz w:val="32"/>
          <w:szCs w:val="32"/>
        </w:rPr>
      </w:pPr>
      <w:r w:rsidRPr="00B70493">
        <w:rPr>
          <w:rFonts w:ascii="標楷體" w:eastAsia="標楷體" w:hAnsi="標楷體" w:hint="eastAsia"/>
          <w:sz w:val="32"/>
          <w:szCs w:val="32"/>
        </w:rPr>
        <w:t xml:space="preserve">          </w:t>
      </w:r>
      <w:r w:rsidRPr="00B70493">
        <w:rPr>
          <w:rFonts w:ascii="標楷體" w:eastAsia="標楷體" w:hAnsi="標楷體"/>
          <w:position w:val="2"/>
          <w:sz w:val="32"/>
          <w:szCs w:val="32"/>
        </w:rPr>
        <w:t>委員列席</w:t>
      </w:r>
      <w:r>
        <w:rPr>
          <w:rFonts w:ascii="標楷體" w:eastAsia="標楷體" w:hAnsi="標楷體" w:hint="eastAsia"/>
          <w:position w:val="2"/>
          <w:sz w:val="32"/>
          <w:szCs w:val="32"/>
        </w:rPr>
        <w:t>22</w:t>
      </w:r>
      <w:r w:rsidRPr="00B70493">
        <w:rPr>
          <w:rFonts w:ascii="標楷體" w:eastAsia="標楷體" w:hAnsi="標楷體"/>
          <w:position w:val="2"/>
          <w:sz w:val="32"/>
          <w:szCs w:val="32"/>
        </w:rPr>
        <w:t>人</w:t>
      </w:r>
    </w:p>
    <w:p w:rsidR="00A52DD2" w:rsidRPr="00B70493" w:rsidRDefault="00A52DD2" w:rsidP="00F035E0">
      <w:pPr>
        <w:pStyle w:val="ac"/>
        <w:spacing w:line="500" w:lineRule="exact"/>
        <w:ind w:left="975" w:hanging="964"/>
        <w:contextualSpacing/>
        <w:rPr>
          <w:sz w:val="32"/>
          <w:szCs w:val="32"/>
        </w:rPr>
      </w:pPr>
      <w:r w:rsidRPr="00B70493">
        <w:rPr>
          <w:sz w:val="32"/>
          <w:szCs w:val="32"/>
        </w:rPr>
        <w:t>列席人員</w:t>
      </w:r>
      <w:r w:rsidRPr="00B70493">
        <w:rPr>
          <w:rFonts w:hint="eastAsia"/>
          <w:sz w:val="32"/>
          <w:szCs w:val="32"/>
        </w:rPr>
        <w:t>：(</w:t>
      </w:r>
      <w:r>
        <w:rPr>
          <w:sz w:val="32"/>
          <w:szCs w:val="32"/>
        </w:rPr>
        <w:t>12</w:t>
      </w:r>
      <w:r w:rsidRPr="00B70493">
        <w:rPr>
          <w:rFonts w:hint="eastAsia"/>
          <w:sz w:val="32"/>
          <w:szCs w:val="32"/>
        </w:rPr>
        <w:t>月</w:t>
      </w:r>
      <w:r>
        <w:rPr>
          <w:sz w:val="32"/>
          <w:szCs w:val="32"/>
        </w:rPr>
        <w:t>12</w:t>
      </w:r>
      <w:r w:rsidRPr="00B70493">
        <w:rPr>
          <w:rFonts w:hint="eastAsia"/>
          <w:sz w:val="32"/>
          <w:szCs w:val="32"/>
        </w:rPr>
        <w:t>日)</w:t>
      </w:r>
    </w:p>
    <w:p w:rsidR="00A52DD2" w:rsidRDefault="00A52DD2" w:rsidP="00F035E0">
      <w:pPr>
        <w:pStyle w:val="ac"/>
        <w:tabs>
          <w:tab w:val="left" w:pos="1418"/>
        </w:tabs>
        <w:spacing w:line="500" w:lineRule="exact"/>
        <w:ind w:left="975" w:hanging="964"/>
        <w:contextualSpacing/>
        <w:rPr>
          <w:sz w:val="32"/>
          <w:szCs w:val="32"/>
        </w:rPr>
      </w:pPr>
      <w:r w:rsidRPr="00B70493">
        <w:rPr>
          <w:rFonts w:hint="eastAsia"/>
          <w:sz w:val="32"/>
          <w:szCs w:val="32"/>
        </w:rPr>
        <w:t xml:space="preserve">      </w:t>
      </w:r>
      <w:r w:rsidRPr="00B70493">
        <w:rPr>
          <w:rFonts w:hint="eastAsia"/>
          <w:sz w:val="40"/>
          <w:szCs w:val="32"/>
        </w:rPr>
        <w:t xml:space="preserve"> </w:t>
      </w:r>
      <w:r w:rsidRPr="00B70493">
        <w:rPr>
          <w:rFonts w:hint="eastAsia"/>
          <w:sz w:val="32"/>
          <w:szCs w:val="32"/>
        </w:rPr>
        <w:t xml:space="preserve"> </w:t>
      </w:r>
      <w:r w:rsidRPr="00B70493">
        <w:rPr>
          <w:rFonts w:hint="eastAsia"/>
          <w:sz w:val="56"/>
          <w:szCs w:val="32"/>
        </w:rPr>
        <w:t xml:space="preserve"> </w:t>
      </w:r>
      <w:r w:rsidRPr="009A0D81">
        <w:rPr>
          <w:rFonts w:hint="eastAsia"/>
          <w:sz w:val="32"/>
          <w:szCs w:val="32"/>
        </w:rPr>
        <w:t>教育部常務次長兼代體育署署長</w:t>
      </w:r>
      <w:r>
        <w:rPr>
          <w:rFonts w:hint="eastAsia"/>
          <w:sz w:val="32"/>
          <w:szCs w:val="32"/>
        </w:rPr>
        <w:t xml:space="preserve">  </w:t>
      </w:r>
      <w:r w:rsidRPr="009A0D81">
        <w:rPr>
          <w:rFonts w:hint="eastAsia"/>
          <w:sz w:val="32"/>
          <w:szCs w:val="32"/>
        </w:rPr>
        <w:t>林騰蛟</w:t>
      </w:r>
      <w:r w:rsidRPr="00B70493">
        <w:rPr>
          <w:rFonts w:hint="eastAsia"/>
          <w:sz w:val="32"/>
          <w:szCs w:val="32"/>
        </w:rPr>
        <w:t>率同有關人員</w:t>
      </w:r>
    </w:p>
    <w:p w:rsidR="00A52DD2" w:rsidRPr="00B70493" w:rsidRDefault="00A52DD2" w:rsidP="00F035E0">
      <w:pPr>
        <w:pStyle w:val="ac"/>
        <w:spacing w:line="500" w:lineRule="exact"/>
        <w:ind w:left="975" w:hanging="964"/>
        <w:contextualSpacing/>
        <w:rPr>
          <w:spacing w:val="-2"/>
          <w:position w:val="2"/>
          <w:sz w:val="32"/>
          <w:szCs w:val="32"/>
        </w:rPr>
      </w:pPr>
      <w:r w:rsidRPr="00B70493">
        <w:rPr>
          <w:rFonts w:hint="eastAsia"/>
          <w:spacing w:val="-2"/>
          <w:position w:val="2"/>
          <w:sz w:val="32"/>
          <w:szCs w:val="32"/>
        </w:rPr>
        <w:t xml:space="preserve">          (12月</w:t>
      </w:r>
      <w:r>
        <w:rPr>
          <w:spacing w:val="-2"/>
          <w:position w:val="2"/>
          <w:sz w:val="32"/>
          <w:szCs w:val="32"/>
        </w:rPr>
        <w:t>14</w:t>
      </w:r>
      <w:r w:rsidRPr="00B70493">
        <w:rPr>
          <w:rFonts w:hint="eastAsia"/>
          <w:spacing w:val="-2"/>
          <w:position w:val="2"/>
          <w:sz w:val="32"/>
          <w:szCs w:val="32"/>
        </w:rPr>
        <w:t>日)</w:t>
      </w:r>
    </w:p>
    <w:p w:rsidR="00A52DD2" w:rsidRPr="00B70493" w:rsidRDefault="00A52DD2" w:rsidP="00F035E0">
      <w:pPr>
        <w:pStyle w:val="ac"/>
        <w:tabs>
          <w:tab w:val="left" w:pos="1418"/>
        </w:tabs>
        <w:spacing w:line="500" w:lineRule="exact"/>
        <w:ind w:left="975" w:hanging="964"/>
        <w:contextualSpacing/>
        <w:rPr>
          <w:sz w:val="32"/>
          <w:szCs w:val="32"/>
        </w:rPr>
      </w:pPr>
      <w:r w:rsidRPr="00B70493">
        <w:rPr>
          <w:rFonts w:hint="eastAsia"/>
          <w:spacing w:val="-2"/>
          <w:position w:val="2"/>
          <w:sz w:val="32"/>
          <w:szCs w:val="32"/>
        </w:rPr>
        <w:t xml:space="preserve">        </w:t>
      </w:r>
      <w:r w:rsidRPr="00B70493">
        <w:rPr>
          <w:rFonts w:hint="eastAsia"/>
          <w:spacing w:val="-2"/>
          <w:position w:val="2"/>
          <w:sz w:val="72"/>
          <w:szCs w:val="32"/>
        </w:rPr>
        <w:t xml:space="preserve"> </w:t>
      </w:r>
      <w:r w:rsidRPr="00B70493">
        <w:rPr>
          <w:rFonts w:hint="eastAsia"/>
          <w:sz w:val="32"/>
          <w:szCs w:val="32"/>
        </w:rPr>
        <w:t>行政院原子能委員會</w:t>
      </w:r>
      <w:r>
        <w:rPr>
          <w:rFonts w:hint="eastAsia"/>
          <w:sz w:val="32"/>
          <w:szCs w:val="32"/>
        </w:rPr>
        <w:t>副</w:t>
      </w:r>
      <w:r w:rsidRPr="00B70493">
        <w:rPr>
          <w:rFonts w:hint="eastAsia"/>
          <w:sz w:val="32"/>
          <w:szCs w:val="32"/>
        </w:rPr>
        <w:t xml:space="preserve">主任委員  </w:t>
      </w:r>
      <w:r>
        <w:rPr>
          <w:rFonts w:hint="eastAsia"/>
          <w:sz w:val="32"/>
          <w:szCs w:val="32"/>
        </w:rPr>
        <w:t>張靜文</w:t>
      </w:r>
      <w:r w:rsidRPr="00B70493">
        <w:rPr>
          <w:rFonts w:hint="eastAsia"/>
          <w:sz w:val="32"/>
          <w:szCs w:val="32"/>
        </w:rPr>
        <w:t>率同有關人員</w:t>
      </w:r>
    </w:p>
    <w:p w:rsidR="00A52DD2" w:rsidRPr="00B70493" w:rsidRDefault="00A52DD2" w:rsidP="00F035E0">
      <w:pPr>
        <w:pStyle w:val="ac"/>
        <w:tabs>
          <w:tab w:val="left" w:pos="1418"/>
        </w:tabs>
        <w:spacing w:line="500" w:lineRule="exact"/>
        <w:ind w:left="975" w:hanging="964"/>
        <w:contextualSpacing/>
        <w:rPr>
          <w:sz w:val="32"/>
          <w:szCs w:val="32"/>
        </w:rPr>
      </w:pPr>
      <w:r w:rsidRPr="00B70493">
        <w:rPr>
          <w:rFonts w:hint="eastAsia"/>
          <w:sz w:val="32"/>
          <w:szCs w:val="32"/>
        </w:rPr>
        <w:t xml:space="preserve">          行政院主計總處公務預算處專門委員          </w:t>
      </w:r>
      <w:r>
        <w:rPr>
          <w:rFonts w:hint="eastAsia"/>
          <w:sz w:val="32"/>
          <w:szCs w:val="32"/>
        </w:rPr>
        <w:t>黃子菡</w:t>
      </w:r>
    </w:p>
    <w:p w:rsidR="00A52DD2" w:rsidRPr="00B70493" w:rsidRDefault="00A52DD2" w:rsidP="00F035E0">
      <w:pPr>
        <w:pStyle w:val="ac"/>
        <w:tabs>
          <w:tab w:val="left" w:pos="1418"/>
        </w:tabs>
        <w:spacing w:line="500" w:lineRule="exact"/>
        <w:ind w:left="975" w:hanging="964"/>
        <w:contextualSpacing/>
        <w:rPr>
          <w:sz w:val="32"/>
          <w:szCs w:val="32"/>
        </w:rPr>
      </w:pPr>
      <w:r w:rsidRPr="00B70493">
        <w:rPr>
          <w:rFonts w:hint="eastAsia"/>
          <w:sz w:val="32"/>
          <w:szCs w:val="32"/>
        </w:rPr>
        <w:t xml:space="preserve">          行政院主計總處基金預算處</w:t>
      </w:r>
      <w:r>
        <w:rPr>
          <w:rFonts w:hint="eastAsia"/>
          <w:sz w:val="32"/>
          <w:szCs w:val="32"/>
        </w:rPr>
        <w:t>科長</w:t>
      </w:r>
      <w:r w:rsidRPr="00B70493">
        <w:rPr>
          <w:rFonts w:hint="eastAsia"/>
          <w:sz w:val="32"/>
          <w:szCs w:val="32"/>
        </w:rPr>
        <w:t xml:space="preserve">          </w:t>
      </w:r>
      <w:r>
        <w:rPr>
          <w:rFonts w:hint="eastAsia"/>
          <w:sz w:val="32"/>
          <w:szCs w:val="32"/>
        </w:rPr>
        <w:t xml:space="preserve">    謝閔傑</w:t>
      </w:r>
    </w:p>
    <w:p w:rsidR="00A52DD2" w:rsidRPr="00B70493" w:rsidRDefault="00A52DD2" w:rsidP="00F035E0">
      <w:pPr>
        <w:pStyle w:val="ac"/>
        <w:tabs>
          <w:tab w:val="left" w:pos="1418"/>
        </w:tabs>
        <w:spacing w:line="500" w:lineRule="exact"/>
        <w:ind w:left="975" w:hanging="964"/>
        <w:contextualSpacing/>
        <w:rPr>
          <w:sz w:val="32"/>
          <w:szCs w:val="32"/>
        </w:rPr>
      </w:pPr>
      <w:r w:rsidRPr="00B70493">
        <w:rPr>
          <w:sz w:val="32"/>
          <w:szCs w:val="32"/>
        </w:rPr>
        <w:t>主    席</w:t>
      </w:r>
      <w:r w:rsidRPr="00B70493">
        <w:rPr>
          <w:rFonts w:hint="eastAsia"/>
          <w:sz w:val="32"/>
          <w:szCs w:val="32"/>
        </w:rPr>
        <w:t>：陳</w:t>
      </w:r>
      <w:r w:rsidRPr="00B70493">
        <w:rPr>
          <w:sz w:val="32"/>
          <w:szCs w:val="32"/>
        </w:rPr>
        <w:t>召集委員</w:t>
      </w:r>
      <w:r w:rsidRPr="00B70493">
        <w:rPr>
          <w:rFonts w:hint="eastAsia"/>
          <w:sz w:val="32"/>
          <w:szCs w:val="32"/>
        </w:rPr>
        <w:t>秀寳</w:t>
      </w:r>
    </w:p>
    <w:p w:rsidR="00A52DD2" w:rsidRPr="00B70493" w:rsidRDefault="00A52DD2" w:rsidP="00F035E0">
      <w:pPr>
        <w:snapToGrid w:val="0"/>
        <w:spacing w:line="500" w:lineRule="exact"/>
        <w:ind w:rightChars="9" w:right="22"/>
        <w:jc w:val="both"/>
        <w:rPr>
          <w:rFonts w:ascii="標楷體" w:eastAsia="標楷體" w:hAnsi="標楷體"/>
          <w:sz w:val="32"/>
          <w:szCs w:val="32"/>
        </w:rPr>
      </w:pPr>
      <w:r w:rsidRPr="00B70493">
        <w:rPr>
          <w:rFonts w:ascii="標楷體" w:eastAsia="標楷體" w:hAnsi="標楷體"/>
          <w:sz w:val="32"/>
          <w:szCs w:val="32"/>
        </w:rPr>
        <w:t>主任秘書：</w:t>
      </w:r>
      <w:r w:rsidRPr="00B70493">
        <w:rPr>
          <w:rFonts w:ascii="標楷體" w:eastAsia="標楷體" w:hAnsi="標楷體" w:hint="eastAsia"/>
          <w:sz w:val="32"/>
          <w:szCs w:val="32"/>
        </w:rPr>
        <w:t>陳錫欽</w:t>
      </w:r>
    </w:p>
    <w:p w:rsidR="00A52DD2" w:rsidRPr="00B70493" w:rsidRDefault="00A52DD2" w:rsidP="00F035E0">
      <w:pPr>
        <w:snapToGrid w:val="0"/>
        <w:spacing w:line="500" w:lineRule="exact"/>
        <w:ind w:rightChars="9" w:right="22"/>
        <w:jc w:val="both"/>
        <w:rPr>
          <w:rFonts w:ascii="標楷體" w:eastAsia="標楷體" w:hAnsi="標楷體"/>
          <w:sz w:val="32"/>
          <w:szCs w:val="32"/>
        </w:rPr>
      </w:pPr>
      <w:r w:rsidRPr="00B70493">
        <w:rPr>
          <w:rFonts w:ascii="標楷體" w:eastAsia="標楷體" w:hAnsi="標楷體"/>
          <w:sz w:val="32"/>
          <w:szCs w:val="32"/>
        </w:rPr>
        <w:t>專門委員：</w:t>
      </w:r>
      <w:r w:rsidRPr="00B70493">
        <w:rPr>
          <w:rFonts w:ascii="標楷體" w:eastAsia="標楷體" w:hAnsi="標楷體" w:hint="eastAsia"/>
          <w:sz w:val="32"/>
          <w:szCs w:val="32"/>
        </w:rPr>
        <w:t>朱蔚菁</w:t>
      </w:r>
    </w:p>
    <w:p w:rsidR="00A52DD2" w:rsidRPr="00B70493" w:rsidRDefault="00A52DD2" w:rsidP="00F035E0">
      <w:pPr>
        <w:snapToGrid w:val="0"/>
        <w:spacing w:line="500" w:lineRule="exact"/>
        <w:ind w:rightChars="9" w:right="22"/>
        <w:jc w:val="both"/>
        <w:rPr>
          <w:rFonts w:ascii="標楷體" w:eastAsia="標楷體" w:hAnsi="標楷體"/>
          <w:sz w:val="32"/>
          <w:szCs w:val="32"/>
        </w:rPr>
      </w:pPr>
      <w:r w:rsidRPr="00B70493">
        <w:rPr>
          <w:rFonts w:ascii="標楷體" w:eastAsia="標楷體" w:hAnsi="標楷體"/>
          <w:sz w:val="32"/>
          <w:szCs w:val="32"/>
        </w:rPr>
        <w:t>紀    錄：</w:t>
      </w:r>
      <w:r w:rsidRPr="00B70493">
        <w:rPr>
          <w:rFonts w:ascii="標楷體" w:eastAsia="標楷體" w:hAnsi="標楷體" w:hint="eastAsia"/>
          <w:sz w:val="32"/>
          <w:szCs w:val="32"/>
        </w:rPr>
        <w:t>簡任秘書  林素惠  簡任編審  蔡月秋  科長  蔡國治</w:t>
      </w:r>
    </w:p>
    <w:p w:rsidR="00A52DD2" w:rsidRPr="00B70493" w:rsidRDefault="00A52DD2" w:rsidP="00F035E0">
      <w:pPr>
        <w:snapToGrid w:val="0"/>
        <w:spacing w:line="500" w:lineRule="exact"/>
        <w:ind w:rightChars="9" w:right="22"/>
        <w:jc w:val="both"/>
        <w:rPr>
          <w:rFonts w:ascii="標楷體" w:eastAsia="標楷體" w:hAnsi="標楷體"/>
          <w:sz w:val="32"/>
          <w:szCs w:val="32"/>
        </w:rPr>
      </w:pPr>
      <w:r w:rsidRPr="00B70493">
        <w:rPr>
          <w:rFonts w:ascii="標楷體" w:eastAsia="標楷體" w:hAnsi="標楷體" w:hint="eastAsia"/>
          <w:sz w:val="32"/>
          <w:szCs w:val="32"/>
        </w:rPr>
        <w:t xml:space="preserve">          薦任科員  李宗一</w:t>
      </w:r>
    </w:p>
    <w:p w:rsidR="00A52DD2" w:rsidRPr="00B70493" w:rsidRDefault="00A52DD2" w:rsidP="00F035E0">
      <w:pPr>
        <w:snapToGrid w:val="0"/>
        <w:spacing w:line="460" w:lineRule="exact"/>
        <w:ind w:rightChars="9" w:right="22"/>
        <w:jc w:val="both"/>
        <w:rPr>
          <w:rFonts w:ascii="標楷體" w:eastAsia="標楷體" w:hAnsi="標楷體"/>
          <w:sz w:val="32"/>
          <w:szCs w:val="32"/>
        </w:rPr>
      </w:pPr>
      <w:r w:rsidRPr="00B70493">
        <w:rPr>
          <w:rFonts w:ascii="標楷體" w:eastAsia="標楷體" w:hAnsi="標楷體" w:hint="eastAsia"/>
          <w:sz w:val="32"/>
          <w:szCs w:val="32"/>
        </w:rPr>
        <w:t>(</w:t>
      </w:r>
      <w:r>
        <w:rPr>
          <w:rFonts w:ascii="標楷體" w:eastAsia="標楷體" w:hAnsi="標楷體"/>
          <w:sz w:val="32"/>
          <w:szCs w:val="32"/>
        </w:rPr>
        <w:t>12</w:t>
      </w:r>
      <w:r w:rsidRPr="00B70493">
        <w:rPr>
          <w:rFonts w:ascii="標楷體" w:eastAsia="標楷體" w:hAnsi="標楷體" w:hint="eastAsia"/>
          <w:sz w:val="32"/>
          <w:szCs w:val="32"/>
        </w:rPr>
        <w:t>月</w:t>
      </w:r>
      <w:r>
        <w:rPr>
          <w:rFonts w:ascii="標楷體" w:eastAsia="標楷體" w:hAnsi="標楷體"/>
          <w:sz w:val="32"/>
          <w:szCs w:val="32"/>
        </w:rPr>
        <w:t>12</w:t>
      </w:r>
      <w:r w:rsidRPr="00B70493">
        <w:rPr>
          <w:rFonts w:ascii="標楷體" w:eastAsia="標楷體" w:hAnsi="標楷體" w:hint="eastAsia"/>
          <w:sz w:val="32"/>
          <w:szCs w:val="32"/>
        </w:rPr>
        <w:t>日)</w:t>
      </w:r>
    </w:p>
    <w:p w:rsidR="00A52DD2" w:rsidRPr="00B70493" w:rsidRDefault="00A52DD2" w:rsidP="00F035E0">
      <w:pPr>
        <w:pStyle w:val="ac"/>
        <w:spacing w:line="460" w:lineRule="exact"/>
        <w:ind w:left="980" w:hanging="966"/>
        <w:rPr>
          <w:b/>
          <w:sz w:val="32"/>
          <w:szCs w:val="32"/>
        </w:rPr>
      </w:pPr>
      <w:r w:rsidRPr="00B70493">
        <w:rPr>
          <w:rFonts w:hint="eastAsia"/>
          <w:b/>
          <w:sz w:val="32"/>
          <w:szCs w:val="32"/>
        </w:rPr>
        <w:t>報  告  事  項</w:t>
      </w:r>
    </w:p>
    <w:p w:rsidR="00A52DD2" w:rsidRPr="00B70493" w:rsidRDefault="00A52DD2" w:rsidP="00F035E0">
      <w:pPr>
        <w:pStyle w:val="a4"/>
        <w:snapToGrid w:val="0"/>
        <w:spacing w:before="120" w:line="500" w:lineRule="exact"/>
        <w:ind w:leftChars="0" w:left="0"/>
        <w:rPr>
          <w:rFonts w:ascii="標楷體" w:eastAsia="標楷體"/>
          <w:b/>
          <w:sz w:val="32"/>
          <w:szCs w:val="32"/>
        </w:rPr>
      </w:pPr>
      <w:r w:rsidRPr="00B70493">
        <w:rPr>
          <w:rFonts w:ascii="標楷體" w:eastAsia="標楷體" w:hint="eastAsia"/>
          <w:b/>
          <w:sz w:val="32"/>
          <w:szCs w:val="32"/>
        </w:rPr>
        <w:t>一、宣讀上次會議議事錄。</w:t>
      </w:r>
    </w:p>
    <w:p w:rsidR="00A52DD2" w:rsidRPr="00B70493" w:rsidRDefault="00A52DD2" w:rsidP="00F035E0">
      <w:pPr>
        <w:snapToGrid w:val="0"/>
        <w:spacing w:beforeLines="50" w:before="180" w:afterLines="50" w:after="180" w:line="500" w:lineRule="exact"/>
        <w:rPr>
          <w:rFonts w:ascii="標楷體" w:eastAsia="標楷體" w:hAnsi="標楷體"/>
          <w:sz w:val="32"/>
          <w:szCs w:val="32"/>
        </w:rPr>
      </w:pPr>
      <w:r w:rsidRPr="00B70493">
        <w:rPr>
          <w:rFonts w:ascii="標楷體" w:eastAsia="標楷體" w:hAnsi="標楷體"/>
          <w:b/>
          <w:sz w:val="32"/>
          <w:szCs w:val="32"/>
        </w:rPr>
        <w:lastRenderedPageBreak/>
        <w:t>決定：</w:t>
      </w:r>
      <w:r w:rsidRPr="00B70493">
        <w:rPr>
          <w:rFonts w:ascii="標楷體" w:eastAsia="標楷體" w:hAnsi="標楷體"/>
          <w:sz w:val="32"/>
          <w:szCs w:val="32"/>
        </w:rPr>
        <w:t>議事錄確定。</w:t>
      </w:r>
    </w:p>
    <w:p w:rsidR="00A52DD2" w:rsidRPr="00AB746E" w:rsidRDefault="00A52DD2" w:rsidP="00F035E0">
      <w:pPr>
        <w:pStyle w:val="a4"/>
        <w:snapToGrid w:val="0"/>
        <w:spacing w:before="120" w:line="480" w:lineRule="exact"/>
        <w:ind w:leftChars="0" w:left="577" w:hangingChars="180" w:hanging="577"/>
        <w:rPr>
          <w:rFonts w:ascii="標楷體" w:eastAsia="標楷體"/>
          <w:b/>
          <w:sz w:val="32"/>
          <w:szCs w:val="32"/>
        </w:rPr>
      </w:pPr>
      <w:r w:rsidRPr="00AB746E">
        <w:rPr>
          <w:rFonts w:ascii="標楷體" w:eastAsia="標楷體" w:hint="eastAsia"/>
          <w:b/>
          <w:sz w:val="32"/>
          <w:szCs w:val="32"/>
        </w:rPr>
        <w:t>二、教育部部長潘文忠列席就「足球運動推動現況與後續輔導作為」進行專題報告，並備質詢。</w:t>
      </w:r>
    </w:p>
    <w:p w:rsidR="00A52DD2" w:rsidRPr="00B11197" w:rsidRDefault="00A52DD2" w:rsidP="00F035E0">
      <w:pPr>
        <w:snapToGrid w:val="0"/>
        <w:spacing w:before="120" w:line="460" w:lineRule="exact"/>
        <w:jc w:val="both"/>
        <w:rPr>
          <w:rFonts w:ascii="標楷體" w:eastAsia="標楷體"/>
          <w:b/>
          <w:sz w:val="32"/>
          <w:szCs w:val="32"/>
        </w:rPr>
      </w:pPr>
      <w:r w:rsidRPr="00B11197">
        <w:rPr>
          <w:rFonts w:ascii="標楷體" w:eastAsia="標楷體" w:hAnsi="標楷體"/>
          <w:sz w:val="32"/>
          <w:szCs w:val="32"/>
        </w:rPr>
        <w:t>（本</w:t>
      </w:r>
      <w:r>
        <w:rPr>
          <w:rFonts w:ascii="標楷體" w:eastAsia="標楷體" w:hAnsi="標楷體" w:hint="eastAsia"/>
          <w:sz w:val="32"/>
          <w:szCs w:val="32"/>
        </w:rPr>
        <w:t>日</w:t>
      </w:r>
      <w:r w:rsidRPr="00B11197">
        <w:rPr>
          <w:rFonts w:ascii="標楷體" w:eastAsia="標楷體" w:hAnsi="標楷體"/>
          <w:sz w:val="32"/>
          <w:szCs w:val="32"/>
        </w:rPr>
        <w:t>議程</w:t>
      </w:r>
      <w:r w:rsidRPr="00B11197">
        <w:rPr>
          <w:rFonts w:ascii="標楷體" w:eastAsia="標楷體" w:hAnsi="標楷體" w:hint="eastAsia"/>
          <w:sz w:val="32"/>
          <w:szCs w:val="32"/>
        </w:rPr>
        <w:t>有委員黃國書</w:t>
      </w:r>
      <w:r>
        <w:rPr>
          <w:rFonts w:ascii="標楷體" w:eastAsia="標楷體" w:hAnsi="標楷體" w:hint="eastAsia"/>
          <w:sz w:val="32"/>
          <w:szCs w:val="32"/>
        </w:rPr>
        <w:t>、</w:t>
      </w:r>
      <w:r w:rsidRPr="00B11197">
        <w:rPr>
          <w:rFonts w:ascii="標楷體" w:eastAsia="標楷體" w:hAnsi="標楷體" w:hint="eastAsia"/>
          <w:sz w:val="32"/>
          <w:szCs w:val="32"/>
        </w:rPr>
        <w:t>陳秀寳</w:t>
      </w:r>
      <w:r>
        <w:rPr>
          <w:rFonts w:ascii="標楷體" w:eastAsia="標楷體" w:hAnsi="標楷體" w:hint="eastAsia"/>
          <w:sz w:val="32"/>
          <w:szCs w:val="32"/>
        </w:rPr>
        <w:t>、</w:t>
      </w:r>
      <w:r w:rsidRPr="00B11197">
        <w:rPr>
          <w:rFonts w:ascii="標楷體" w:eastAsia="標楷體" w:hAnsi="標楷體" w:hint="eastAsia"/>
          <w:sz w:val="32"/>
          <w:szCs w:val="32"/>
        </w:rPr>
        <w:t>張廖萬堅</w:t>
      </w:r>
      <w:r>
        <w:rPr>
          <w:rFonts w:ascii="標楷體" w:eastAsia="標楷體" w:hAnsi="標楷體" w:hint="eastAsia"/>
          <w:sz w:val="32"/>
          <w:szCs w:val="32"/>
        </w:rPr>
        <w:t>、</w:t>
      </w:r>
      <w:r w:rsidRPr="00B11197">
        <w:rPr>
          <w:rFonts w:ascii="標楷體" w:eastAsia="標楷體" w:hAnsi="標楷體" w:hint="eastAsia"/>
          <w:sz w:val="32"/>
          <w:szCs w:val="32"/>
        </w:rPr>
        <w:t>林奕華</w:t>
      </w:r>
      <w:r>
        <w:rPr>
          <w:rFonts w:ascii="標楷體" w:eastAsia="標楷體" w:hAnsi="標楷體" w:hint="eastAsia"/>
          <w:sz w:val="32"/>
          <w:szCs w:val="32"/>
        </w:rPr>
        <w:t>、</w:t>
      </w:r>
      <w:r w:rsidRPr="00B11197">
        <w:rPr>
          <w:rFonts w:ascii="標楷體" w:eastAsia="標楷體" w:hAnsi="標楷體" w:hint="eastAsia"/>
          <w:sz w:val="32"/>
          <w:szCs w:val="32"/>
        </w:rPr>
        <w:t>林宜瑾</w:t>
      </w:r>
      <w:r>
        <w:rPr>
          <w:rFonts w:ascii="標楷體" w:eastAsia="標楷體" w:hAnsi="標楷體" w:hint="eastAsia"/>
          <w:sz w:val="32"/>
          <w:szCs w:val="32"/>
        </w:rPr>
        <w:t>、</w:t>
      </w:r>
      <w:r w:rsidRPr="00B11197">
        <w:rPr>
          <w:rFonts w:ascii="標楷體" w:eastAsia="標楷體" w:hAnsi="標楷體" w:hint="eastAsia"/>
          <w:sz w:val="32"/>
          <w:szCs w:val="32"/>
        </w:rPr>
        <w:t>萬美玲</w:t>
      </w:r>
      <w:r>
        <w:rPr>
          <w:rFonts w:ascii="標楷體" w:eastAsia="標楷體" w:hAnsi="標楷體" w:hint="eastAsia"/>
          <w:sz w:val="32"/>
          <w:szCs w:val="32"/>
        </w:rPr>
        <w:t>、何欣純、邱顯智、</w:t>
      </w:r>
      <w:r w:rsidRPr="00B11197">
        <w:rPr>
          <w:rFonts w:ascii="標楷體" w:eastAsia="標楷體" w:hAnsi="標楷體" w:hint="eastAsia"/>
          <w:sz w:val="32"/>
          <w:szCs w:val="32"/>
        </w:rPr>
        <w:t>鄭正鈐</w:t>
      </w:r>
      <w:r>
        <w:rPr>
          <w:rFonts w:ascii="標楷體" w:eastAsia="標楷體" w:hAnsi="標楷體" w:hint="eastAsia"/>
          <w:sz w:val="32"/>
          <w:szCs w:val="32"/>
        </w:rPr>
        <w:t>、</w:t>
      </w:r>
      <w:r w:rsidRPr="00B11197">
        <w:rPr>
          <w:rFonts w:ascii="標楷體" w:eastAsia="標楷體" w:hAnsi="標楷體" w:hint="eastAsia"/>
          <w:sz w:val="32"/>
          <w:szCs w:val="32"/>
        </w:rPr>
        <w:t>吳思瑤</w:t>
      </w:r>
      <w:r>
        <w:rPr>
          <w:rFonts w:ascii="標楷體" w:eastAsia="標楷體" w:hAnsi="標楷體" w:hint="eastAsia"/>
          <w:sz w:val="32"/>
          <w:szCs w:val="32"/>
        </w:rPr>
        <w:t>、</w:t>
      </w:r>
      <w:r w:rsidRPr="00B11197">
        <w:rPr>
          <w:rFonts w:ascii="標楷體" w:eastAsia="標楷體" w:hAnsi="標楷體" w:hint="eastAsia"/>
          <w:sz w:val="32"/>
          <w:szCs w:val="32"/>
        </w:rPr>
        <w:t>賴品妤</w:t>
      </w:r>
      <w:r>
        <w:rPr>
          <w:rFonts w:ascii="標楷體" w:eastAsia="標楷體" w:hAnsi="標楷體" w:hint="eastAsia"/>
          <w:sz w:val="32"/>
          <w:szCs w:val="32"/>
        </w:rPr>
        <w:t>、</w:t>
      </w:r>
      <w:r w:rsidRPr="00B11197">
        <w:rPr>
          <w:rFonts w:ascii="標楷體" w:eastAsia="標楷體" w:hAnsi="標楷體" w:hint="eastAsia"/>
          <w:sz w:val="32"/>
          <w:szCs w:val="32"/>
        </w:rPr>
        <w:t>范雲</w:t>
      </w:r>
      <w:r>
        <w:rPr>
          <w:rFonts w:ascii="標楷體" w:eastAsia="標楷體" w:hAnsi="標楷體" w:hint="eastAsia"/>
          <w:sz w:val="32"/>
          <w:szCs w:val="32"/>
        </w:rPr>
        <w:t>、高金素梅、</w:t>
      </w:r>
      <w:r w:rsidRPr="00B11197">
        <w:rPr>
          <w:rFonts w:ascii="標楷體" w:eastAsia="標楷體" w:hAnsi="標楷體" w:hint="eastAsia"/>
          <w:sz w:val="32"/>
          <w:szCs w:val="32"/>
        </w:rPr>
        <w:t>王婉諭</w:t>
      </w:r>
      <w:r>
        <w:rPr>
          <w:rFonts w:ascii="標楷體" w:eastAsia="標楷體" w:hAnsi="標楷體" w:hint="eastAsia"/>
          <w:sz w:val="32"/>
          <w:szCs w:val="32"/>
        </w:rPr>
        <w:t>、</w:t>
      </w:r>
      <w:r w:rsidRPr="004927CB">
        <w:rPr>
          <w:rFonts w:ascii="標楷體" w:eastAsia="標楷體" w:hAnsi="標楷體" w:hint="eastAsia"/>
          <w:sz w:val="32"/>
          <w:szCs w:val="32"/>
        </w:rPr>
        <w:t>伍麗華Saidhai Tahovecahe</w:t>
      </w:r>
      <w:r>
        <w:rPr>
          <w:rFonts w:ascii="標楷體" w:eastAsia="標楷體" w:hAnsi="標楷體" w:hint="eastAsia"/>
          <w:sz w:val="32"/>
          <w:szCs w:val="32"/>
        </w:rPr>
        <w:t>、李貴敏、</w:t>
      </w:r>
      <w:r w:rsidRPr="006829A5">
        <w:rPr>
          <w:rFonts w:ascii="標楷體" w:eastAsia="標楷體" w:hAnsi="標楷體" w:hint="eastAsia"/>
          <w:sz w:val="32"/>
          <w:szCs w:val="32"/>
        </w:rPr>
        <w:t>陳椒華</w:t>
      </w:r>
      <w:r>
        <w:rPr>
          <w:rFonts w:ascii="標楷體" w:eastAsia="標楷體" w:hAnsi="標楷體" w:hint="eastAsia"/>
          <w:sz w:val="32"/>
          <w:szCs w:val="32"/>
        </w:rPr>
        <w:t>、</w:t>
      </w:r>
      <w:r w:rsidRPr="00D94E8D">
        <w:rPr>
          <w:rFonts w:ascii="標楷體" w:eastAsia="標楷體" w:hAnsi="標楷體" w:hint="eastAsia"/>
          <w:sz w:val="32"/>
          <w:szCs w:val="32"/>
        </w:rPr>
        <w:t>鄭天財Sra Kacaw</w:t>
      </w:r>
      <w:r>
        <w:rPr>
          <w:rFonts w:ascii="標楷體" w:eastAsia="標楷體" w:hAnsi="標楷體" w:hint="eastAsia"/>
          <w:sz w:val="32"/>
          <w:szCs w:val="32"/>
        </w:rPr>
        <w:t>、邱志偉、楊瓊瓔、</w:t>
      </w:r>
      <w:r w:rsidRPr="00B11197">
        <w:rPr>
          <w:rFonts w:ascii="標楷體" w:eastAsia="標楷體" w:hAnsi="標楷體" w:hint="eastAsia"/>
          <w:sz w:val="32"/>
          <w:szCs w:val="32"/>
        </w:rPr>
        <w:t>吳怡玎等</w:t>
      </w:r>
      <w:r>
        <w:rPr>
          <w:rFonts w:ascii="標楷體" w:eastAsia="標楷體" w:hAnsi="標楷體"/>
          <w:sz w:val="32"/>
          <w:szCs w:val="32"/>
        </w:rPr>
        <w:t>21</w:t>
      </w:r>
      <w:r w:rsidRPr="00B11197">
        <w:rPr>
          <w:rFonts w:ascii="標楷體" w:eastAsia="標楷體" w:hAnsi="標楷體"/>
          <w:sz w:val="32"/>
          <w:szCs w:val="32"/>
        </w:rPr>
        <w:t>人提出質詢，均經</w:t>
      </w:r>
      <w:r w:rsidRPr="00A543CF">
        <w:rPr>
          <w:rFonts w:ascii="標楷體" w:eastAsia="標楷體" w:hAnsi="標楷體" w:hint="eastAsia"/>
          <w:sz w:val="32"/>
          <w:szCs w:val="32"/>
        </w:rPr>
        <w:t>教育部常務次長兼代體育署署長林騰蛟</w:t>
      </w:r>
      <w:r w:rsidRPr="00B11197">
        <w:rPr>
          <w:rFonts w:ascii="標楷體" w:eastAsia="標楷體" w:hAnsi="標楷體"/>
          <w:sz w:val="32"/>
          <w:szCs w:val="32"/>
        </w:rPr>
        <w:t>及相關人員即席答</w:t>
      </w:r>
      <w:r w:rsidRPr="00B11197">
        <w:rPr>
          <w:rFonts w:ascii="標楷體" w:eastAsia="標楷體" w:hAnsi="標楷體" w:hint="eastAsia"/>
          <w:sz w:val="32"/>
          <w:szCs w:val="32"/>
        </w:rPr>
        <w:t>復</w:t>
      </w:r>
      <w:r w:rsidRPr="00B11197">
        <w:rPr>
          <w:rFonts w:ascii="標楷體" w:eastAsia="標楷體" w:hAnsi="標楷體"/>
          <w:sz w:val="32"/>
          <w:szCs w:val="32"/>
        </w:rPr>
        <w:t>說明</w:t>
      </w:r>
      <w:r>
        <w:rPr>
          <w:rFonts w:ascii="標楷體" w:eastAsia="標楷體" w:hAnsi="標楷體" w:hint="eastAsia"/>
          <w:sz w:val="32"/>
          <w:szCs w:val="32"/>
        </w:rPr>
        <w:t>。</w:t>
      </w:r>
      <w:r w:rsidRPr="00B11197">
        <w:rPr>
          <w:rFonts w:ascii="標楷體" w:eastAsia="標楷體" w:hAnsi="標楷體"/>
          <w:sz w:val="32"/>
          <w:szCs w:val="32"/>
        </w:rPr>
        <w:t>）</w:t>
      </w:r>
    </w:p>
    <w:p w:rsidR="00A52DD2" w:rsidRPr="0000524E" w:rsidRDefault="00A52DD2" w:rsidP="00F035E0">
      <w:pPr>
        <w:snapToGrid w:val="0"/>
        <w:spacing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A52DD2" w:rsidRPr="0000524E" w:rsidRDefault="00A52DD2" w:rsidP="00F035E0">
      <w:pPr>
        <w:snapToGrid w:val="0"/>
        <w:spacing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A52DD2" w:rsidRPr="0000524E" w:rsidRDefault="00A52DD2" w:rsidP="00F035E0">
      <w:pPr>
        <w:snapToGrid w:val="0"/>
        <w:spacing w:line="500" w:lineRule="exact"/>
        <w:ind w:left="640" w:hangingChars="200" w:hanging="640"/>
        <w:contextualSpacing/>
        <w:rPr>
          <w:rFonts w:ascii="標楷體" w:eastAsia="標楷體" w:hAnsi="標楷體"/>
          <w:bCs/>
          <w:sz w:val="32"/>
          <w:szCs w:val="32"/>
        </w:rPr>
      </w:pP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A52DD2" w:rsidRDefault="00A52DD2" w:rsidP="00F035E0">
      <w:pPr>
        <w:snapToGrid w:val="0"/>
        <w:spacing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A52DD2" w:rsidRPr="001918A3" w:rsidRDefault="00A52DD2" w:rsidP="00F035E0">
      <w:pPr>
        <w:snapToGrid w:val="0"/>
        <w:spacing w:before="120" w:line="500" w:lineRule="exact"/>
        <w:rPr>
          <w:rFonts w:ascii="標楷體" w:eastAsia="標楷體" w:hAnsi="標楷體"/>
          <w:b/>
          <w:bCs/>
          <w:sz w:val="32"/>
          <w:szCs w:val="32"/>
        </w:rPr>
      </w:pPr>
      <w:r w:rsidRPr="001918A3">
        <w:rPr>
          <w:rFonts w:ascii="標楷體" w:eastAsia="標楷體" w:hAnsi="標楷體" w:hint="eastAsia"/>
          <w:b/>
          <w:bCs/>
          <w:sz w:val="32"/>
          <w:szCs w:val="32"/>
        </w:rPr>
        <w:t>通過臨時提案</w:t>
      </w:r>
      <w:r>
        <w:rPr>
          <w:rFonts w:ascii="標楷體" w:eastAsia="標楷體" w:hAnsi="標楷體" w:hint="eastAsia"/>
          <w:b/>
          <w:bCs/>
          <w:sz w:val="32"/>
          <w:szCs w:val="32"/>
        </w:rPr>
        <w:t>3</w:t>
      </w:r>
      <w:r w:rsidRPr="001918A3">
        <w:rPr>
          <w:rFonts w:ascii="標楷體" w:eastAsia="標楷體" w:hAnsi="標楷體" w:hint="eastAsia"/>
          <w:b/>
          <w:bCs/>
          <w:sz w:val="32"/>
          <w:szCs w:val="32"/>
        </w:rPr>
        <w:t>項：</w:t>
      </w:r>
    </w:p>
    <w:p w:rsidR="00A52DD2" w:rsidRDefault="00A52DD2" w:rsidP="00F035E0">
      <w:pPr>
        <w:snapToGrid w:val="0"/>
        <w:spacing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一、</w:t>
      </w:r>
      <w:r w:rsidRPr="003C7AC3">
        <w:rPr>
          <w:rFonts w:ascii="標楷體" w:eastAsia="標楷體" w:hAnsi="標楷體" w:hint="eastAsia"/>
          <w:bCs/>
          <w:sz w:val="32"/>
          <w:szCs w:val="32"/>
        </w:rPr>
        <w:t>在2022</w:t>
      </w:r>
      <w:r>
        <w:rPr>
          <w:rFonts w:ascii="標楷體" w:eastAsia="標楷體" w:hAnsi="標楷體" w:hint="eastAsia"/>
          <w:bCs/>
          <w:sz w:val="32"/>
          <w:szCs w:val="32"/>
        </w:rPr>
        <w:t>年初</w:t>
      </w:r>
      <w:r w:rsidRPr="003C7AC3">
        <w:rPr>
          <w:rFonts w:ascii="標楷體" w:eastAsia="標楷體" w:hAnsi="標楷體" w:hint="eastAsia"/>
          <w:bCs/>
          <w:sz w:val="32"/>
          <w:szCs w:val="32"/>
        </w:rPr>
        <w:t>結束的女足亞洲盃賽事中，台灣先後在</w:t>
      </w:r>
      <w:r>
        <w:rPr>
          <w:rFonts w:ascii="標楷體" w:eastAsia="標楷體" w:hAnsi="標楷體" w:hint="eastAsia"/>
          <w:bCs/>
          <w:sz w:val="32"/>
          <w:szCs w:val="32"/>
        </w:rPr>
        <w:t>8</w:t>
      </w:r>
      <w:r w:rsidRPr="003C7AC3">
        <w:rPr>
          <w:rFonts w:ascii="標楷體" w:eastAsia="標楷體" w:hAnsi="標楷體" w:hint="eastAsia"/>
          <w:bCs/>
          <w:sz w:val="32"/>
          <w:szCs w:val="32"/>
        </w:rPr>
        <w:t>強與附加賽都因一球之差惜敗菲律賓與越南錯過取得世界盃晉級門票的機會，在對戰越南的賽後訪問中，當想到我們居然是</w:t>
      </w:r>
      <w:r>
        <w:rPr>
          <w:rFonts w:ascii="標楷體" w:eastAsia="標楷體" w:hAnsi="標楷體" w:hint="eastAsia"/>
          <w:bCs/>
          <w:sz w:val="32"/>
          <w:szCs w:val="32"/>
        </w:rPr>
        <w:t>12</w:t>
      </w:r>
      <w:r w:rsidRPr="003C7AC3">
        <w:rPr>
          <w:rFonts w:ascii="標楷體" w:eastAsia="標楷體" w:hAnsi="標楷體" w:hint="eastAsia"/>
          <w:bCs/>
          <w:sz w:val="32"/>
          <w:szCs w:val="32"/>
        </w:rPr>
        <w:t>支晉級女足亞洲盃的球隊中，唯一一個沒有國家足球訓練基地的參賽隊伍，台灣女足國腳蘇育萱在對越南賽後也不禁有感而發：「希望政府可以給我們更完善的訓練設施、訓練園區或訓練基地，讓我們可以更專心地練習、統合大家，有更好的訓練。」同時，台灣男足國家隊吳隊長俊青，也於近日在社群媒體上呼籲，要縮小台灣與世界的距離，如果說資源有限的狀況下優先必要的還是足球訓練中心。考量足球運動於國際體育發展之關鍵地位，且</w:t>
      </w:r>
      <w:r>
        <w:rPr>
          <w:rFonts w:ascii="標楷體" w:eastAsia="標楷體" w:hAnsi="標楷體" w:hint="eastAsia"/>
          <w:bCs/>
          <w:sz w:val="32"/>
          <w:szCs w:val="32"/>
        </w:rPr>
        <w:t>鑑</w:t>
      </w:r>
      <w:r w:rsidRPr="003C7AC3">
        <w:rPr>
          <w:rFonts w:ascii="標楷體" w:eastAsia="標楷體" w:hAnsi="標楷體" w:hint="eastAsia"/>
          <w:bCs/>
          <w:sz w:val="32"/>
          <w:szCs w:val="32"/>
        </w:rPr>
        <w:t>於目前</w:t>
      </w:r>
      <w:r>
        <w:rPr>
          <w:rFonts w:ascii="標楷體" w:eastAsia="標楷體" w:hAnsi="標楷體" w:hint="eastAsia"/>
          <w:bCs/>
          <w:sz w:val="32"/>
          <w:szCs w:val="32"/>
        </w:rPr>
        <w:t>教育部</w:t>
      </w:r>
      <w:r w:rsidRPr="003C7AC3">
        <w:rPr>
          <w:rFonts w:ascii="標楷體" w:eastAsia="標楷體" w:hAnsi="標楷體" w:hint="eastAsia"/>
          <w:bCs/>
          <w:sz w:val="32"/>
          <w:szCs w:val="32"/>
        </w:rPr>
        <w:t>體育署對於各級足球國家代表隊訓練基地之態度過</w:t>
      </w:r>
      <w:r>
        <w:rPr>
          <w:rFonts w:ascii="標楷體" w:eastAsia="標楷體" w:hAnsi="標楷體" w:hint="eastAsia"/>
          <w:bCs/>
          <w:sz w:val="32"/>
          <w:szCs w:val="32"/>
        </w:rPr>
        <w:t>於</w:t>
      </w:r>
      <w:r w:rsidRPr="003C7AC3">
        <w:rPr>
          <w:rFonts w:ascii="標楷體" w:eastAsia="標楷體" w:hAnsi="標楷體" w:hint="eastAsia"/>
          <w:bCs/>
          <w:sz w:val="32"/>
          <w:szCs w:val="32"/>
        </w:rPr>
        <w:t>消極，參考世界各國足球發展中，國家足球訓練基地之設置均為極其重要之戰略，絕非</w:t>
      </w:r>
      <w:r>
        <w:rPr>
          <w:rFonts w:ascii="標楷體" w:eastAsia="標楷體" w:hAnsi="標楷體" w:hint="eastAsia"/>
          <w:bCs/>
          <w:sz w:val="32"/>
          <w:szCs w:val="32"/>
        </w:rPr>
        <w:t>體育署所稱借用學校場地即可之作法。爰</w:t>
      </w:r>
      <w:r w:rsidRPr="003C7AC3">
        <w:rPr>
          <w:rFonts w:ascii="標楷體" w:eastAsia="標楷體" w:hAnsi="標楷體" w:hint="eastAsia"/>
          <w:bCs/>
          <w:sz w:val="32"/>
          <w:szCs w:val="32"/>
        </w:rPr>
        <w:t>要求</w:t>
      </w:r>
      <w:r w:rsidRPr="003503B1">
        <w:rPr>
          <w:rFonts w:ascii="標楷體" w:eastAsia="標楷體" w:hAnsi="標楷體" w:hint="eastAsia"/>
          <w:bCs/>
          <w:sz w:val="32"/>
          <w:szCs w:val="32"/>
        </w:rPr>
        <w:t>教育部</w:t>
      </w:r>
      <w:r w:rsidRPr="003C7AC3">
        <w:rPr>
          <w:rFonts w:ascii="標楷體" w:eastAsia="標楷體" w:hAnsi="標楷體" w:hint="eastAsia"/>
          <w:bCs/>
          <w:sz w:val="32"/>
          <w:szCs w:val="32"/>
        </w:rPr>
        <w:t>體育署應評估於</w:t>
      </w:r>
      <w:r>
        <w:rPr>
          <w:rFonts w:ascii="標楷體" w:eastAsia="標楷體" w:hAnsi="標楷體" w:hint="eastAsia"/>
          <w:bCs/>
          <w:sz w:val="32"/>
          <w:szCs w:val="32"/>
        </w:rPr>
        <w:t>1</w:t>
      </w:r>
      <w:r w:rsidRPr="003C7AC3">
        <w:rPr>
          <w:rFonts w:ascii="標楷體" w:eastAsia="標楷體" w:hAnsi="標楷體" w:hint="eastAsia"/>
          <w:bCs/>
          <w:sz w:val="32"/>
          <w:szCs w:val="32"/>
        </w:rPr>
        <w:t>年內規劃</w:t>
      </w:r>
      <w:r w:rsidRPr="003C7AC3">
        <w:rPr>
          <w:rFonts w:ascii="標楷體" w:eastAsia="標楷體" w:hAnsi="標楷體" w:hint="eastAsia"/>
          <w:bCs/>
          <w:sz w:val="32"/>
          <w:szCs w:val="32"/>
        </w:rPr>
        <w:lastRenderedPageBreak/>
        <w:t>並主導興建首座台灣足球訓練基地，以</w:t>
      </w:r>
      <w:r>
        <w:rPr>
          <w:rFonts w:ascii="標楷體" w:eastAsia="標楷體" w:hAnsi="標楷體" w:hint="eastAsia"/>
          <w:bCs/>
          <w:sz w:val="32"/>
          <w:szCs w:val="32"/>
        </w:rPr>
        <w:t>至少</w:t>
      </w:r>
      <w:r w:rsidRPr="003C7AC3">
        <w:rPr>
          <w:rFonts w:ascii="標楷體" w:eastAsia="標楷體" w:hAnsi="標楷體" w:hint="eastAsia"/>
          <w:bCs/>
          <w:sz w:val="32"/>
          <w:szCs w:val="32"/>
        </w:rPr>
        <w:t>2</w:t>
      </w:r>
      <w:r>
        <w:rPr>
          <w:rFonts w:ascii="標楷體" w:eastAsia="標楷體" w:hAnsi="標楷體" w:hint="eastAsia"/>
          <w:bCs/>
          <w:sz w:val="32"/>
          <w:szCs w:val="32"/>
        </w:rPr>
        <w:t>加</w:t>
      </w:r>
      <w:r w:rsidRPr="003C7AC3">
        <w:rPr>
          <w:rFonts w:ascii="標楷體" w:eastAsia="標楷體" w:hAnsi="標楷體" w:hint="eastAsia"/>
          <w:bCs/>
          <w:sz w:val="32"/>
          <w:szCs w:val="32"/>
        </w:rPr>
        <w:t>2的場地配置(</w:t>
      </w:r>
      <w:r>
        <w:rPr>
          <w:rFonts w:ascii="標楷體" w:eastAsia="標楷體" w:hAnsi="標楷體" w:hint="eastAsia"/>
          <w:bCs/>
          <w:sz w:val="32"/>
          <w:szCs w:val="32"/>
        </w:rPr>
        <w:t>2</w:t>
      </w:r>
      <w:r w:rsidRPr="003C7AC3">
        <w:rPr>
          <w:rFonts w:ascii="標楷體" w:eastAsia="標楷體" w:hAnsi="標楷體" w:hint="eastAsia"/>
          <w:bCs/>
          <w:sz w:val="32"/>
          <w:szCs w:val="32"/>
        </w:rPr>
        <w:t>面11人制天然草皮球場</w:t>
      </w:r>
      <w:r>
        <w:rPr>
          <w:rFonts w:ascii="標楷體" w:eastAsia="標楷體" w:hAnsi="標楷體" w:hint="eastAsia"/>
          <w:bCs/>
          <w:sz w:val="32"/>
          <w:szCs w:val="32"/>
        </w:rPr>
        <w:t>加2</w:t>
      </w:r>
      <w:r w:rsidRPr="003C7AC3">
        <w:rPr>
          <w:rFonts w:ascii="標楷體" w:eastAsia="標楷體" w:hAnsi="標楷體" w:hint="eastAsia"/>
          <w:bCs/>
          <w:sz w:val="32"/>
          <w:szCs w:val="32"/>
        </w:rPr>
        <w:t>面11人制人工草皮球場)，以及室內練習場及附屬設施之規格</w:t>
      </w:r>
      <w:r>
        <w:rPr>
          <w:rFonts w:ascii="標楷體" w:eastAsia="標楷體" w:hAnsi="標楷體" w:hint="eastAsia"/>
          <w:bCs/>
          <w:sz w:val="32"/>
          <w:szCs w:val="32"/>
        </w:rPr>
        <w:t>進行研議</w:t>
      </w:r>
      <w:r w:rsidRPr="003C7AC3">
        <w:rPr>
          <w:rFonts w:ascii="標楷體" w:eastAsia="標楷體" w:hAnsi="標楷體" w:hint="eastAsia"/>
          <w:bCs/>
          <w:sz w:val="32"/>
          <w:szCs w:val="32"/>
        </w:rPr>
        <w:t>，落實我國發展足球運動之政策。</w:t>
      </w:r>
    </w:p>
    <w:p w:rsidR="00A52DD2" w:rsidRDefault="00A52DD2" w:rsidP="00F035E0">
      <w:pPr>
        <w:snapToGrid w:val="0"/>
        <w:spacing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提案人：陳秀寳  范  雲</w:t>
      </w:r>
    </w:p>
    <w:p w:rsidR="00A52DD2" w:rsidRDefault="00A52DD2" w:rsidP="00F035E0">
      <w:pPr>
        <w:snapToGrid w:val="0"/>
        <w:spacing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連署人：王婉諭  黃國書  林奕華 張廖萬堅</w:t>
      </w:r>
    </w:p>
    <w:p w:rsidR="00A52DD2" w:rsidRDefault="00A52DD2" w:rsidP="00F035E0">
      <w:pPr>
        <w:snapToGrid w:val="0"/>
        <w:spacing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林宜瑾  賴品妤</w:t>
      </w:r>
    </w:p>
    <w:p w:rsidR="00A52DD2" w:rsidRDefault="00A52DD2" w:rsidP="00F035E0">
      <w:pPr>
        <w:snapToGrid w:val="0"/>
        <w:spacing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二、</w:t>
      </w:r>
      <w:r w:rsidRPr="003C7AC3">
        <w:rPr>
          <w:rFonts w:ascii="標楷體" w:eastAsia="標楷體" w:hAnsi="標楷體" w:hint="eastAsia"/>
          <w:bCs/>
          <w:sz w:val="32"/>
          <w:szCs w:val="32"/>
        </w:rPr>
        <w:t>有鑑於國內職業運動如職業籃球、壘球、射擊等，企業聘僱之全職選手幾乎均有納入企業勞</w:t>
      </w:r>
      <w:r>
        <w:rPr>
          <w:rFonts w:ascii="標楷體" w:eastAsia="標楷體" w:hAnsi="標楷體" w:hint="eastAsia"/>
          <w:bCs/>
          <w:sz w:val="32"/>
          <w:szCs w:val="32"/>
        </w:rPr>
        <w:t>、</w:t>
      </w:r>
      <w:r w:rsidRPr="003C7AC3">
        <w:rPr>
          <w:rFonts w:ascii="標楷體" w:eastAsia="標楷體" w:hAnsi="標楷體" w:hint="eastAsia"/>
          <w:bCs/>
          <w:sz w:val="32"/>
          <w:szCs w:val="32"/>
        </w:rPr>
        <w:t>健保，保障全職選手權益。然因目前國內尚未成立企業足球聯隊，而是轉型以俱樂部方式進行選手培訓，部分全職球員反應聘僱企業拒絕提供勞</w:t>
      </w:r>
      <w:r>
        <w:rPr>
          <w:rFonts w:ascii="標楷體" w:eastAsia="標楷體" w:hAnsi="標楷體" w:hint="eastAsia"/>
          <w:bCs/>
          <w:sz w:val="32"/>
          <w:szCs w:val="32"/>
        </w:rPr>
        <w:t>、</w:t>
      </w:r>
      <w:r w:rsidRPr="003C7AC3">
        <w:rPr>
          <w:rFonts w:ascii="標楷體" w:eastAsia="標楷體" w:hAnsi="標楷體" w:hint="eastAsia"/>
          <w:bCs/>
          <w:sz w:val="32"/>
          <w:szCs w:val="32"/>
        </w:rPr>
        <w:t>健保，選手僅能自費在工會投保且多次向</w:t>
      </w:r>
      <w:r>
        <w:rPr>
          <w:rFonts w:ascii="標楷體" w:eastAsia="標楷體" w:hAnsi="標楷體" w:hint="eastAsia"/>
          <w:bCs/>
          <w:sz w:val="32"/>
          <w:szCs w:val="32"/>
        </w:rPr>
        <w:t>教育部體育署反應未果。為健全國內足球運動發展，完善選手權益，爰</w:t>
      </w:r>
      <w:r w:rsidRPr="003C7AC3">
        <w:rPr>
          <w:rFonts w:ascii="標楷體" w:eastAsia="標楷體" w:hAnsi="標楷體" w:hint="eastAsia"/>
          <w:bCs/>
          <w:sz w:val="32"/>
          <w:szCs w:val="32"/>
        </w:rPr>
        <w:t>要求</w:t>
      </w:r>
      <w:r>
        <w:rPr>
          <w:rFonts w:ascii="標楷體" w:eastAsia="標楷體" w:hAnsi="標楷體" w:hint="eastAsia"/>
          <w:bCs/>
          <w:sz w:val="32"/>
          <w:szCs w:val="32"/>
        </w:rPr>
        <w:t>教育部</w:t>
      </w:r>
      <w:r w:rsidRPr="003C7AC3">
        <w:rPr>
          <w:rFonts w:ascii="標楷體" w:eastAsia="標楷體" w:hAnsi="標楷體" w:hint="eastAsia"/>
          <w:bCs/>
          <w:sz w:val="32"/>
          <w:szCs w:val="32"/>
        </w:rPr>
        <w:t>體育署</w:t>
      </w:r>
      <w:r>
        <w:rPr>
          <w:rFonts w:ascii="標楷體" w:eastAsia="標楷體" w:hAnsi="標楷體" w:hint="eastAsia"/>
          <w:bCs/>
          <w:sz w:val="32"/>
          <w:szCs w:val="32"/>
        </w:rPr>
        <w:t>3</w:t>
      </w:r>
      <w:r w:rsidRPr="003C7AC3">
        <w:rPr>
          <w:rFonts w:ascii="標楷體" w:eastAsia="標楷體" w:hAnsi="標楷體" w:hint="eastAsia"/>
          <w:bCs/>
          <w:sz w:val="32"/>
          <w:szCs w:val="32"/>
        </w:rPr>
        <w:t>個月內與相關企業協調，協助選手加入聘僱企業勞</w:t>
      </w:r>
      <w:r>
        <w:rPr>
          <w:rFonts w:ascii="標楷體" w:eastAsia="標楷體" w:hAnsi="標楷體" w:hint="eastAsia"/>
          <w:bCs/>
          <w:sz w:val="32"/>
          <w:szCs w:val="32"/>
        </w:rPr>
        <w:t>、健保，讓選手培訓無後顧之憂。相關檢討與具體改善作為向立法</w:t>
      </w:r>
      <w:r w:rsidRPr="003C7AC3">
        <w:rPr>
          <w:rFonts w:ascii="標楷體" w:eastAsia="標楷體" w:hAnsi="標楷體" w:hint="eastAsia"/>
          <w:bCs/>
          <w:sz w:val="32"/>
          <w:szCs w:val="32"/>
        </w:rPr>
        <w:t>院教育</w:t>
      </w:r>
      <w:r>
        <w:rPr>
          <w:rFonts w:ascii="標楷體" w:eastAsia="標楷體" w:hAnsi="標楷體" w:hint="eastAsia"/>
          <w:bCs/>
          <w:sz w:val="32"/>
          <w:szCs w:val="32"/>
        </w:rPr>
        <w:t>及</w:t>
      </w:r>
      <w:r w:rsidRPr="003C7AC3">
        <w:rPr>
          <w:rFonts w:ascii="標楷體" w:eastAsia="標楷體" w:hAnsi="標楷體" w:hint="eastAsia"/>
          <w:bCs/>
          <w:sz w:val="32"/>
          <w:szCs w:val="32"/>
        </w:rPr>
        <w:t>文化委員會</w:t>
      </w:r>
      <w:r>
        <w:rPr>
          <w:rFonts w:ascii="標楷體" w:eastAsia="標楷體" w:hAnsi="標楷體" w:hint="eastAsia"/>
          <w:bCs/>
          <w:sz w:val="32"/>
          <w:szCs w:val="32"/>
        </w:rPr>
        <w:t>提出</w:t>
      </w:r>
      <w:r w:rsidRPr="003C7AC3">
        <w:rPr>
          <w:rFonts w:ascii="標楷體" w:eastAsia="標楷體" w:hAnsi="標楷體" w:hint="eastAsia"/>
          <w:bCs/>
          <w:sz w:val="32"/>
          <w:szCs w:val="32"/>
        </w:rPr>
        <w:t>書面</w:t>
      </w:r>
      <w:r>
        <w:rPr>
          <w:rFonts w:ascii="標楷體" w:eastAsia="標楷體" w:hAnsi="標楷體" w:hint="eastAsia"/>
          <w:bCs/>
          <w:sz w:val="32"/>
          <w:szCs w:val="32"/>
        </w:rPr>
        <w:t>報告</w:t>
      </w:r>
      <w:r w:rsidRPr="003C7AC3">
        <w:rPr>
          <w:rFonts w:ascii="標楷體" w:eastAsia="標楷體" w:hAnsi="標楷體" w:hint="eastAsia"/>
          <w:bCs/>
          <w:sz w:val="32"/>
          <w:szCs w:val="32"/>
        </w:rPr>
        <w:t>。</w:t>
      </w:r>
    </w:p>
    <w:p w:rsidR="00A52DD2" w:rsidRDefault="00A52DD2" w:rsidP="00F035E0">
      <w:pPr>
        <w:snapToGrid w:val="0"/>
        <w:spacing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提案人：林奕華</w:t>
      </w:r>
    </w:p>
    <w:p w:rsidR="00A52DD2" w:rsidRPr="003C7AC3" w:rsidRDefault="00A52DD2" w:rsidP="00F035E0">
      <w:pPr>
        <w:snapToGrid w:val="0"/>
        <w:spacing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連署人：萬美玲  鄭正鈐  王婉諭</w:t>
      </w:r>
    </w:p>
    <w:p w:rsidR="00A52DD2" w:rsidRDefault="00A52DD2" w:rsidP="00F035E0">
      <w:pPr>
        <w:snapToGrid w:val="0"/>
        <w:spacing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三、</w:t>
      </w:r>
      <w:r w:rsidRPr="003C7AC3">
        <w:rPr>
          <w:rFonts w:ascii="標楷體" w:eastAsia="標楷體" w:hAnsi="標楷體" w:hint="eastAsia"/>
          <w:bCs/>
          <w:sz w:val="32"/>
          <w:szCs w:val="32"/>
        </w:rPr>
        <w:t>足球作為世界上最風行的體育運動，亦為提升國家能見度最好的競技舞台。近20年來，政府對於足球發展提出過</w:t>
      </w:r>
      <w:r>
        <w:rPr>
          <w:rFonts w:ascii="標楷體" w:eastAsia="標楷體" w:hAnsi="標楷體" w:hint="eastAsia"/>
          <w:bCs/>
          <w:sz w:val="32"/>
          <w:szCs w:val="32"/>
        </w:rPr>
        <w:t>「</w:t>
      </w:r>
      <w:r w:rsidRPr="003C7AC3">
        <w:rPr>
          <w:rFonts w:ascii="標楷體" w:eastAsia="標楷體" w:hAnsi="標楷體" w:hint="eastAsia"/>
          <w:bCs/>
          <w:sz w:val="32"/>
          <w:szCs w:val="32"/>
        </w:rPr>
        <w:t>大足球計畫（2010</w:t>
      </w:r>
      <w:r>
        <w:rPr>
          <w:rFonts w:ascii="標楷體" w:eastAsia="標楷體" w:hAnsi="標楷體" w:hint="eastAsia"/>
          <w:bCs/>
          <w:sz w:val="32"/>
          <w:szCs w:val="32"/>
        </w:rPr>
        <w:t>至</w:t>
      </w:r>
      <w:r w:rsidRPr="003C7AC3">
        <w:rPr>
          <w:rFonts w:ascii="標楷體" w:eastAsia="標楷體" w:hAnsi="標楷體" w:hint="eastAsia"/>
          <w:bCs/>
          <w:sz w:val="32"/>
          <w:szCs w:val="32"/>
        </w:rPr>
        <w:t>2013）</w:t>
      </w:r>
      <w:r>
        <w:rPr>
          <w:rFonts w:ascii="標楷體" w:eastAsia="標楷體" w:hAnsi="標楷體" w:hint="eastAsia"/>
          <w:bCs/>
          <w:sz w:val="32"/>
          <w:szCs w:val="32"/>
        </w:rPr>
        <w:t>」</w:t>
      </w:r>
      <w:r w:rsidRPr="003C7AC3">
        <w:rPr>
          <w:rFonts w:ascii="標楷體" w:eastAsia="標楷體" w:hAnsi="標楷體" w:hint="eastAsia"/>
          <w:bCs/>
          <w:sz w:val="32"/>
          <w:szCs w:val="32"/>
        </w:rPr>
        <w:t>、</w:t>
      </w:r>
      <w:r>
        <w:rPr>
          <w:rFonts w:ascii="標楷體" w:eastAsia="標楷體" w:hAnsi="標楷體" w:hint="eastAsia"/>
          <w:bCs/>
          <w:sz w:val="32"/>
          <w:szCs w:val="32"/>
        </w:rPr>
        <w:t>「</w:t>
      </w:r>
      <w:r w:rsidRPr="003C7AC3">
        <w:rPr>
          <w:rFonts w:ascii="標楷體" w:eastAsia="標楷體" w:hAnsi="標楷體" w:hint="eastAsia"/>
          <w:bCs/>
          <w:sz w:val="32"/>
          <w:szCs w:val="32"/>
        </w:rPr>
        <w:t>足球中程計畫（2014</w:t>
      </w:r>
      <w:r>
        <w:rPr>
          <w:rFonts w:ascii="標楷體" w:eastAsia="標楷體" w:hAnsi="標楷體" w:hint="eastAsia"/>
          <w:bCs/>
          <w:sz w:val="32"/>
          <w:szCs w:val="32"/>
        </w:rPr>
        <w:t>至</w:t>
      </w:r>
      <w:r w:rsidRPr="003C7AC3">
        <w:rPr>
          <w:rFonts w:ascii="標楷體" w:eastAsia="標楷體" w:hAnsi="標楷體" w:hint="eastAsia"/>
          <w:bCs/>
          <w:sz w:val="32"/>
          <w:szCs w:val="32"/>
        </w:rPr>
        <w:t>2017）</w:t>
      </w:r>
      <w:r>
        <w:rPr>
          <w:rFonts w:ascii="標楷體" w:eastAsia="標楷體" w:hAnsi="標楷體" w:hint="eastAsia"/>
          <w:bCs/>
          <w:sz w:val="32"/>
          <w:szCs w:val="32"/>
        </w:rPr>
        <w:t>」</w:t>
      </w:r>
      <w:r w:rsidRPr="003C7AC3">
        <w:rPr>
          <w:rFonts w:ascii="標楷體" w:eastAsia="標楷體" w:hAnsi="標楷體" w:hint="eastAsia"/>
          <w:bCs/>
          <w:sz w:val="32"/>
          <w:szCs w:val="32"/>
        </w:rPr>
        <w:t>以及</w:t>
      </w:r>
      <w:r>
        <w:rPr>
          <w:rFonts w:ascii="標楷體" w:eastAsia="標楷體" w:hAnsi="標楷體" w:hint="eastAsia"/>
          <w:bCs/>
          <w:sz w:val="32"/>
          <w:szCs w:val="32"/>
        </w:rPr>
        <w:t>「</w:t>
      </w:r>
      <w:r w:rsidRPr="003C7AC3">
        <w:rPr>
          <w:rFonts w:ascii="標楷體" w:eastAsia="標楷體" w:hAnsi="標楷體" w:hint="eastAsia"/>
          <w:bCs/>
          <w:sz w:val="32"/>
          <w:szCs w:val="32"/>
        </w:rPr>
        <w:t>足球6年計畫（2018</w:t>
      </w:r>
      <w:r>
        <w:rPr>
          <w:rFonts w:ascii="標楷體" w:eastAsia="標楷體" w:hAnsi="標楷體" w:hint="eastAsia"/>
          <w:bCs/>
          <w:sz w:val="32"/>
          <w:szCs w:val="32"/>
        </w:rPr>
        <w:t>至</w:t>
      </w:r>
      <w:r w:rsidRPr="003C7AC3">
        <w:rPr>
          <w:rFonts w:ascii="標楷體" w:eastAsia="標楷體" w:hAnsi="標楷體" w:hint="eastAsia"/>
          <w:bCs/>
          <w:sz w:val="32"/>
          <w:szCs w:val="32"/>
        </w:rPr>
        <w:t>2023）</w:t>
      </w:r>
      <w:r>
        <w:rPr>
          <w:rFonts w:ascii="標楷體" w:eastAsia="標楷體" w:hAnsi="標楷體" w:hint="eastAsia"/>
          <w:bCs/>
          <w:sz w:val="32"/>
          <w:szCs w:val="32"/>
        </w:rPr>
        <w:t>」</w:t>
      </w:r>
      <w:r w:rsidRPr="003C7AC3">
        <w:rPr>
          <w:rFonts w:ascii="標楷體" w:eastAsia="標楷體" w:hAnsi="標楷體" w:hint="eastAsia"/>
          <w:bCs/>
          <w:sz w:val="32"/>
          <w:szCs w:val="32"/>
        </w:rPr>
        <w:t>等計畫。然而由於資源配置與策略有誤，導致我國足球環境至今仍未見具體改善，各級足球代表隊也無自身之訓練基地。考量國家足球訓練基地的設置將可解決目前各級足球國家代表隊必須受訓練場地不固定而四處流浪問題，並且在訓練空間集中與專用後，大幅減少的行政作業、移動時間、器材</w:t>
      </w:r>
      <w:r>
        <w:rPr>
          <w:rFonts w:ascii="標楷體" w:eastAsia="標楷體" w:hAnsi="標楷體" w:hint="eastAsia"/>
          <w:bCs/>
          <w:sz w:val="32"/>
          <w:szCs w:val="32"/>
        </w:rPr>
        <w:t>搬運成本，將可讓球員與教練團擁有更多時間與精神專注於訓練。爰</w:t>
      </w:r>
      <w:r w:rsidRPr="003C7AC3">
        <w:rPr>
          <w:rFonts w:ascii="標楷體" w:eastAsia="標楷體" w:hAnsi="標楷體" w:hint="eastAsia"/>
          <w:bCs/>
          <w:sz w:val="32"/>
          <w:szCs w:val="32"/>
        </w:rPr>
        <w:t>請教育部儘速研議，以至少2</w:t>
      </w:r>
      <w:r>
        <w:rPr>
          <w:rFonts w:ascii="標楷體" w:eastAsia="標楷體" w:hAnsi="標楷體" w:hint="eastAsia"/>
          <w:bCs/>
          <w:sz w:val="32"/>
          <w:szCs w:val="32"/>
        </w:rPr>
        <w:lastRenderedPageBreak/>
        <w:t>加</w:t>
      </w:r>
      <w:r w:rsidRPr="003C7AC3">
        <w:rPr>
          <w:rFonts w:ascii="標楷體" w:eastAsia="標楷體" w:hAnsi="標楷體" w:hint="eastAsia"/>
          <w:bCs/>
          <w:sz w:val="32"/>
          <w:szCs w:val="32"/>
        </w:rPr>
        <w:t>2之場地配置(</w:t>
      </w:r>
      <w:r>
        <w:rPr>
          <w:rFonts w:ascii="標楷體" w:eastAsia="標楷體" w:hAnsi="標楷體" w:hint="eastAsia"/>
          <w:bCs/>
          <w:sz w:val="32"/>
          <w:szCs w:val="32"/>
        </w:rPr>
        <w:t>2</w:t>
      </w:r>
      <w:r w:rsidRPr="003C7AC3">
        <w:rPr>
          <w:rFonts w:ascii="標楷體" w:eastAsia="標楷體" w:hAnsi="標楷體" w:hint="eastAsia"/>
          <w:bCs/>
          <w:sz w:val="32"/>
          <w:szCs w:val="32"/>
        </w:rPr>
        <w:t>面11人制天然草皮球場</w:t>
      </w:r>
      <w:r>
        <w:rPr>
          <w:rFonts w:ascii="標楷體" w:eastAsia="標楷體" w:hAnsi="標楷體" w:hint="eastAsia"/>
          <w:bCs/>
          <w:sz w:val="32"/>
          <w:szCs w:val="32"/>
        </w:rPr>
        <w:t>加2</w:t>
      </w:r>
      <w:r w:rsidRPr="003C7AC3">
        <w:rPr>
          <w:rFonts w:ascii="標楷體" w:eastAsia="標楷體" w:hAnsi="標楷體" w:hint="eastAsia"/>
          <w:bCs/>
          <w:sz w:val="32"/>
          <w:szCs w:val="32"/>
        </w:rPr>
        <w:t>面11人制人工草皮球場)，搭配附屬設施之規格，興建首座國家足球訓練中心，真正落實我國發展足球運動之決心。相關規劃請於</w:t>
      </w:r>
      <w:r>
        <w:rPr>
          <w:rFonts w:ascii="標楷體" w:eastAsia="標楷體" w:hAnsi="標楷體" w:hint="eastAsia"/>
          <w:bCs/>
          <w:sz w:val="32"/>
          <w:szCs w:val="32"/>
        </w:rPr>
        <w:t>1</w:t>
      </w:r>
      <w:r w:rsidRPr="003C7AC3">
        <w:rPr>
          <w:rFonts w:ascii="標楷體" w:eastAsia="標楷體" w:hAnsi="標楷體" w:hint="eastAsia"/>
          <w:bCs/>
          <w:sz w:val="32"/>
          <w:szCs w:val="32"/>
        </w:rPr>
        <w:t>年內，</w:t>
      </w:r>
      <w:r>
        <w:rPr>
          <w:rFonts w:ascii="標楷體" w:eastAsia="標楷體" w:hAnsi="標楷體" w:hint="eastAsia"/>
          <w:bCs/>
          <w:sz w:val="32"/>
          <w:szCs w:val="32"/>
        </w:rPr>
        <w:t>向立法</w:t>
      </w:r>
      <w:r w:rsidRPr="003C7AC3">
        <w:rPr>
          <w:rFonts w:ascii="標楷體" w:eastAsia="標楷體" w:hAnsi="標楷體" w:hint="eastAsia"/>
          <w:bCs/>
          <w:sz w:val="32"/>
          <w:szCs w:val="32"/>
        </w:rPr>
        <w:t>院教育及文化委員</w:t>
      </w:r>
      <w:r>
        <w:rPr>
          <w:rFonts w:ascii="標楷體" w:eastAsia="標楷體" w:hAnsi="標楷體" w:hint="eastAsia"/>
          <w:bCs/>
          <w:sz w:val="32"/>
          <w:szCs w:val="32"/>
        </w:rPr>
        <w:t>會提出</w:t>
      </w:r>
      <w:r w:rsidRPr="003C7AC3">
        <w:rPr>
          <w:rFonts w:ascii="標楷體" w:eastAsia="標楷體" w:hAnsi="標楷體" w:hint="eastAsia"/>
          <w:bCs/>
          <w:sz w:val="32"/>
          <w:szCs w:val="32"/>
        </w:rPr>
        <w:t>書面</w:t>
      </w:r>
      <w:r>
        <w:rPr>
          <w:rFonts w:ascii="標楷體" w:eastAsia="標楷體" w:hAnsi="標楷體" w:hint="eastAsia"/>
          <w:bCs/>
          <w:sz w:val="32"/>
          <w:szCs w:val="32"/>
        </w:rPr>
        <w:t>報告</w:t>
      </w:r>
      <w:r w:rsidRPr="003C7AC3">
        <w:rPr>
          <w:rFonts w:ascii="標楷體" w:eastAsia="標楷體" w:hAnsi="標楷體" w:hint="eastAsia"/>
          <w:bCs/>
          <w:sz w:val="32"/>
          <w:szCs w:val="32"/>
        </w:rPr>
        <w:t>。</w:t>
      </w:r>
    </w:p>
    <w:p w:rsidR="00A52DD2" w:rsidRDefault="00A52DD2" w:rsidP="00F035E0">
      <w:pPr>
        <w:snapToGrid w:val="0"/>
        <w:spacing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提案人：林奕華</w:t>
      </w:r>
    </w:p>
    <w:p w:rsidR="00A52DD2" w:rsidRDefault="00A52DD2" w:rsidP="00F035E0">
      <w:pPr>
        <w:snapToGrid w:val="0"/>
        <w:spacing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連署人：陳秀寳  萬美玲  范  雲  鄭正鈐</w:t>
      </w:r>
    </w:p>
    <w:p w:rsidR="00A52DD2" w:rsidRPr="003C7AC3" w:rsidRDefault="00A52DD2" w:rsidP="00F035E0">
      <w:pPr>
        <w:snapToGrid w:val="0"/>
        <w:spacing w:line="500" w:lineRule="exact"/>
        <w:ind w:leftChars="1250" w:left="3640" w:hangingChars="200" w:hanging="640"/>
        <w:contextualSpacing/>
        <w:rPr>
          <w:rFonts w:ascii="標楷體" w:eastAsia="標楷體" w:hAnsi="標楷體"/>
          <w:bCs/>
          <w:sz w:val="32"/>
          <w:szCs w:val="32"/>
        </w:rPr>
      </w:pPr>
      <w:r>
        <w:rPr>
          <w:rFonts w:ascii="標楷體" w:eastAsia="標楷體" w:hAnsi="標楷體" w:hint="eastAsia"/>
          <w:bCs/>
          <w:sz w:val="32"/>
          <w:szCs w:val="32"/>
        </w:rPr>
        <w:t xml:space="preserve">        王婉諭  楊瓊瓔</w:t>
      </w:r>
    </w:p>
    <w:p w:rsidR="00A52DD2" w:rsidRPr="00324B24" w:rsidRDefault="00A52DD2" w:rsidP="00F035E0">
      <w:pPr>
        <w:pStyle w:val="ac"/>
        <w:spacing w:beforeLines="50" w:before="180" w:line="460" w:lineRule="exact"/>
        <w:ind w:left="0" w:firstLine="0"/>
        <w:rPr>
          <w:rFonts w:cs="新細明體"/>
          <w:bCs/>
          <w:kern w:val="0"/>
          <w:sz w:val="32"/>
          <w:szCs w:val="32"/>
        </w:rPr>
      </w:pPr>
      <w:r w:rsidRPr="00595AAF">
        <w:rPr>
          <w:rFonts w:hAnsi="Times New Roman" w:hint="eastAsia"/>
          <w:sz w:val="32"/>
          <w:szCs w:val="32"/>
        </w:rPr>
        <w:t>（</w:t>
      </w:r>
      <w:r>
        <w:rPr>
          <w:rFonts w:hAnsi="Times New Roman" w:hint="eastAsia"/>
          <w:sz w:val="32"/>
          <w:szCs w:val="32"/>
        </w:rPr>
        <w:t>12</w:t>
      </w:r>
      <w:r w:rsidRPr="00595AAF">
        <w:rPr>
          <w:rFonts w:hAnsi="Times New Roman" w:hint="eastAsia"/>
          <w:sz w:val="32"/>
          <w:szCs w:val="32"/>
        </w:rPr>
        <w:t>月</w:t>
      </w:r>
      <w:r>
        <w:rPr>
          <w:rFonts w:hAnsi="Times New Roman" w:hint="eastAsia"/>
          <w:sz w:val="32"/>
          <w:szCs w:val="32"/>
        </w:rPr>
        <w:t>14日</w:t>
      </w:r>
      <w:r w:rsidRPr="00595AAF">
        <w:rPr>
          <w:rFonts w:hAnsi="Times New Roman" w:hint="eastAsia"/>
          <w:sz w:val="32"/>
          <w:szCs w:val="32"/>
        </w:rPr>
        <w:t>）</w:t>
      </w:r>
    </w:p>
    <w:p w:rsidR="00A52DD2" w:rsidRDefault="00A52DD2" w:rsidP="00F035E0">
      <w:pPr>
        <w:pStyle w:val="a4"/>
        <w:snapToGrid w:val="0"/>
        <w:spacing w:before="120" w:afterLines="50" w:after="180" w:line="460" w:lineRule="exact"/>
        <w:ind w:leftChars="0" w:left="0"/>
        <w:rPr>
          <w:rFonts w:ascii="標楷體" w:eastAsia="標楷體" w:hAnsi="標楷體"/>
          <w:b/>
          <w:sz w:val="32"/>
          <w:szCs w:val="32"/>
        </w:rPr>
      </w:pPr>
      <w:r w:rsidRPr="00AE0707">
        <w:rPr>
          <w:rFonts w:ascii="標楷體" w:eastAsia="標楷體" w:hAnsi="標楷體" w:hint="eastAsia"/>
          <w:b/>
          <w:sz w:val="32"/>
          <w:szCs w:val="32"/>
        </w:rPr>
        <w:t>討  論  事  項</w:t>
      </w:r>
    </w:p>
    <w:p w:rsidR="00A52DD2" w:rsidRPr="00AB746E" w:rsidRDefault="00A52DD2" w:rsidP="006934DD">
      <w:pPr>
        <w:widowControl/>
        <w:numPr>
          <w:ilvl w:val="0"/>
          <w:numId w:val="41"/>
        </w:numPr>
        <w:snapToGrid w:val="0"/>
        <w:spacing w:before="120"/>
        <w:jc w:val="both"/>
        <w:rPr>
          <w:rFonts w:ascii="標楷體" w:eastAsia="標楷體" w:hAnsi="標楷體" w:cs="新細明體"/>
          <w:b/>
          <w:bCs/>
          <w:kern w:val="0"/>
          <w:sz w:val="32"/>
          <w:szCs w:val="32"/>
        </w:rPr>
      </w:pPr>
      <w:r w:rsidRPr="00AB746E">
        <w:rPr>
          <w:rFonts w:ascii="標楷體" w:eastAsia="標楷體" w:hAnsi="標楷體" w:cs="新細明體" w:hint="eastAsia"/>
          <w:b/>
          <w:bCs/>
          <w:kern w:val="0"/>
          <w:sz w:val="32"/>
          <w:szCs w:val="32"/>
        </w:rPr>
        <w:t>繼續審查112年度中央政府總預算案有關行政院原子能委員會及所屬單位預算案。</w:t>
      </w:r>
    </w:p>
    <w:p w:rsidR="00A52DD2" w:rsidRPr="00AB746E" w:rsidRDefault="00A52DD2" w:rsidP="006934DD">
      <w:pPr>
        <w:widowControl/>
        <w:numPr>
          <w:ilvl w:val="0"/>
          <w:numId w:val="41"/>
        </w:numPr>
        <w:snapToGrid w:val="0"/>
        <w:spacing w:before="120"/>
        <w:jc w:val="both"/>
        <w:rPr>
          <w:rFonts w:ascii="標楷體" w:eastAsia="標楷體" w:hAnsi="標楷體" w:cs="新細明體"/>
          <w:b/>
          <w:bCs/>
          <w:kern w:val="0"/>
          <w:sz w:val="32"/>
          <w:szCs w:val="32"/>
        </w:rPr>
      </w:pPr>
      <w:r w:rsidRPr="00AB746E">
        <w:rPr>
          <w:rFonts w:ascii="標楷體" w:eastAsia="標楷體" w:hAnsi="標楷體" w:cs="新細明體" w:hint="eastAsia"/>
          <w:b/>
          <w:bCs/>
          <w:kern w:val="0"/>
          <w:sz w:val="32"/>
          <w:szCs w:val="32"/>
        </w:rPr>
        <w:t>繼續審查112年度中央政府總預算案有關原子能委員會主管核子事故緊急應變基金附屬單位預算案。</w:t>
      </w:r>
    </w:p>
    <w:p w:rsidR="00A52DD2" w:rsidRPr="00B70493" w:rsidRDefault="00A52DD2" w:rsidP="00F035E0">
      <w:pPr>
        <w:snapToGrid w:val="0"/>
        <w:spacing w:beforeLines="50" w:before="180" w:line="500" w:lineRule="exact"/>
        <w:ind w:left="641" w:hangingChars="200" w:hanging="641"/>
        <w:contextualSpacing/>
        <w:rPr>
          <w:rFonts w:ascii="標楷體" w:eastAsia="標楷體" w:hAnsi="標楷體"/>
          <w:b/>
          <w:bCs/>
          <w:sz w:val="32"/>
          <w:szCs w:val="32"/>
        </w:rPr>
      </w:pPr>
      <w:r w:rsidRPr="00B70493">
        <w:rPr>
          <w:rFonts w:ascii="標楷體" w:eastAsia="標楷體" w:hAnsi="標楷體" w:hint="eastAsia"/>
          <w:b/>
          <w:sz w:val="32"/>
          <w:szCs w:val="32"/>
        </w:rPr>
        <w:t>決議</w:t>
      </w:r>
      <w:r w:rsidRPr="00B70493">
        <w:rPr>
          <w:rFonts w:ascii="標楷體" w:eastAsia="標楷體" w:hAnsi="標楷體"/>
          <w:b/>
          <w:bCs/>
          <w:sz w:val="32"/>
          <w:szCs w:val="32"/>
        </w:rPr>
        <w:t>：</w:t>
      </w:r>
    </w:p>
    <w:p w:rsidR="00A52DD2" w:rsidRDefault="00A52DD2" w:rsidP="00F035E0">
      <w:pPr>
        <w:snapToGrid w:val="0"/>
        <w:spacing w:beforeLines="50" w:before="180" w:line="500" w:lineRule="exact"/>
        <w:ind w:left="640" w:hangingChars="200" w:hanging="640"/>
        <w:contextualSpacing/>
        <w:rPr>
          <w:rFonts w:ascii="標楷體" w:eastAsia="標楷體" w:hAnsi="標楷體"/>
          <w:bCs/>
          <w:sz w:val="32"/>
          <w:szCs w:val="32"/>
        </w:rPr>
      </w:pPr>
      <w:r w:rsidRPr="00B70493">
        <w:rPr>
          <w:rFonts w:ascii="標楷體" w:eastAsia="標楷體" w:hAnsi="標楷體" w:hint="eastAsia"/>
          <w:bCs/>
          <w:sz w:val="32"/>
          <w:szCs w:val="32"/>
        </w:rPr>
        <w:t>一、</w:t>
      </w:r>
      <w:r w:rsidRPr="009A0D81">
        <w:rPr>
          <w:rFonts w:ascii="標楷體" w:eastAsia="標楷體" w:hAnsi="標楷體" w:hint="eastAsia"/>
          <w:bCs/>
          <w:sz w:val="32"/>
          <w:szCs w:val="32"/>
        </w:rPr>
        <w:t>11</w:t>
      </w:r>
      <w:r>
        <w:rPr>
          <w:rFonts w:ascii="標楷體" w:eastAsia="標楷體" w:hAnsi="標楷體"/>
          <w:bCs/>
          <w:sz w:val="32"/>
          <w:szCs w:val="32"/>
        </w:rPr>
        <w:t>2</w:t>
      </w:r>
      <w:r w:rsidRPr="009A0D81">
        <w:rPr>
          <w:rFonts w:ascii="標楷體" w:eastAsia="標楷體" w:hAnsi="標楷體" w:hint="eastAsia"/>
          <w:bCs/>
          <w:sz w:val="32"/>
          <w:szCs w:val="32"/>
        </w:rPr>
        <w:t>年度中央政府總預算案有關行政院原子能委員會及所屬單位預算案，審查完竣。審查結果如下：</w:t>
      </w:r>
    </w:p>
    <w:p w:rsidR="00A52DD2" w:rsidRPr="00FB7CC2" w:rsidRDefault="00A52DD2" w:rsidP="00F035E0">
      <w:pPr>
        <w:snapToGrid w:val="0"/>
        <w:spacing w:before="120" w:line="460" w:lineRule="exact"/>
        <w:rPr>
          <w:rFonts w:ascii="標楷體" w:eastAsia="標楷體" w:hAnsi="標楷體"/>
          <w:color w:val="000000"/>
          <w:sz w:val="32"/>
          <w:szCs w:val="32"/>
        </w:rPr>
      </w:pPr>
      <w:r w:rsidRPr="00FB7CC2">
        <w:rPr>
          <w:rFonts w:ascii="標楷體" w:eastAsia="標楷體" w:hAnsi="標楷體"/>
          <w:color w:val="000000"/>
          <w:sz w:val="32"/>
          <w:szCs w:val="32"/>
        </w:rPr>
        <w:t>歲入部分</w:t>
      </w:r>
    </w:p>
    <w:p w:rsidR="00A52DD2" w:rsidRPr="00FB7CC2" w:rsidRDefault="00A52DD2" w:rsidP="00F035E0">
      <w:pPr>
        <w:snapToGrid w:val="0"/>
        <w:spacing w:before="120" w:line="460" w:lineRule="exact"/>
        <w:rPr>
          <w:rFonts w:ascii="標楷體" w:eastAsia="標楷體" w:hAnsi="標楷體"/>
          <w:color w:val="000000"/>
          <w:sz w:val="32"/>
          <w:szCs w:val="32"/>
        </w:rPr>
      </w:pPr>
      <w:r w:rsidRPr="00FB7CC2">
        <w:rPr>
          <w:rFonts w:ascii="標楷體" w:eastAsia="標楷體" w:hAnsi="標楷體"/>
          <w:color w:val="000000"/>
          <w:sz w:val="32"/>
          <w:szCs w:val="32"/>
        </w:rPr>
        <w:t>第2款　罰款及賠償收入</w:t>
      </w:r>
    </w:p>
    <w:p w:rsidR="00A52DD2" w:rsidRPr="00FB7CC2" w:rsidRDefault="00A52DD2" w:rsidP="00F035E0">
      <w:pPr>
        <w:snapToGrid w:val="0"/>
        <w:spacing w:line="460" w:lineRule="exact"/>
        <w:ind w:leftChars="100" w:left="1888" w:hangingChars="515" w:hanging="1648"/>
        <w:rPr>
          <w:rFonts w:ascii="標楷體" w:eastAsia="標楷體" w:hAnsi="標楷體"/>
          <w:color w:val="000000"/>
          <w:sz w:val="32"/>
          <w:szCs w:val="32"/>
        </w:rPr>
      </w:pPr>
      <w:r w:rsidRPr="00FB7CC2">
        <w:rPr>
          <w:rFonts w:ascii="標楷體" w:eastAsia="標楷體" w:hAnsi="標楷體" w:hint="eastAsia"/>
          <w:color w:val="000000"/>
          <w:sz w:val="32"/>
          <w:szCs w:val="32"/>
        </w:rPr>
        <w:t>第160項　原子能委員會181萬元，照列</w:t>
      </w:r>
      <w:r w:rsidRPr="00FB7CC2">
        <w:rPr>
          <w:rFonts w:ascii="標楷體" w:eastAsia="標楷體" w:hAnsi="標楷體"/>
          <w:color w:val="000000"/>
          <w:sz w:val="32"/>
          <w:szCs w:val="32"/>
        </w:rPr>
        <w:t>。</w:t>
      </w:r>
    </w:p>
    <w:p w:rsidR="00A52DD2" w:rsidRPr="00FB7CC2" w:rsidRDefault="00A52DD2" w:rsidP="00F035E0">
      <w:pPr>
        <w:snapToGrid w:val="0"/>
        <w:spacing w:line="460" w:lineRule="exact"/>
        <w:ind w:leftChars="100" w:left="1888" w:hangingChars="515" w:hanging="1648"/>
        <w:rPr>
          <w:rFonts w:ascii="標楷體" w:eastAsia="標楷體" w:hAnsi="標楷體"/>
          <w:color w:val="000000"/>
          <w:sz w:val="32"/>
          <w:szCs w:val="32"/>
        </w:rPr>
      </w:pPr>
      <w:r w:rsidRPr="00FB7CC2">
        <w:rPr>
          <w:rFonts w:ascii="標楷體" w:eastAsia="標楷體" w:hAnsi="標楷體" w:hint="eastAsia"/>
          <w:color w:val="000000"/>
          <w:sz w:val="32"/>
          <w:szCs w:val="32"/>
        </w:rPr>
        <w:t>第161項　輻射偵測中心，無列數。</w:t>
      </w:r>
    </w:p>
    <w:p w:rsidR="00A52DD2" w:rsidRPr="00FB7CC2" w:rsidRDefault="00A52DD2" w:rsidP="00F035E0">
      <w:pPr>
        <w:snapToGrid w:val="0"/>
        <w:spacing w:line="460" w:lineRule="exact"/>
        <w:ind w:leftChars="100" w:left="1888" w:hangingChars="515" w:hanging="1648"/>
        <w:rPr>
          <w:rFonts w:ascii="標楷體" w:eastAsia="標楷體" w:hAnsi="標楷體"/>
          <w:color w:val="000000"/>
          <w:sz w:val="32"/>
          <w:szCs w:val="32"/>
        </w:rPr>
      </w:pPr>
      <w:r w:rsidRPr="00FB7CC2">
        <w:rPr>
          <w:rFonts w:ascii="標楷體" w:eastAsia="標楷體" w:hAnsi="標楷體" w:hint="eastAsia"/>
          <w:color w:val="000000"/>
          <w:sz w:val="32"/>
          <w:szCs w:val="32"/>
        </w:rPr>
        <w:t>第162項　核能研究所1</w:t>
      </w:r>
      <w:r w:rsidRPr="00FB7CC2">
        <w:rPr>
          <w:rFonts w:ascii="標楷體" w:eastAsia="標楷體" w:hAnsi="標楷體"/>
          <w:color w:val="000000"/>
          <w:sz w:val="32"/>
          <w:szCs w:val="32"/>
        </w:rPr>
        <w:t>5</w:t>
      </w:r>
      <w:r w:rsidRPr="00FB7CC2">
        <w:rPr>
          <w:rFonts w:ascii="標楷體" w:eastAsia="標楷體" w:hAnsi="標楷體" w:hint="eastAsia"/>
          <w:color w:val="000000"/>
          <w:sz w:val="32"/>
          <w:szCs w:val="32"/>
        </w:rPr>
        <w:t>0萬元，照列</w:t>
      </w:r>
      <w:r w:rsidRPr="00FB7CC2">
        <w:rPr>
          <w:rFonts w:ascii="標楷體" w:eastAsia="標楷體" w:hAnsi="標楷體"/>
          <w:color w:val="000000"/>
          <w:sz w:val="32"/>
          <w:szCs w:val="32"/>
        </w:rPr>
        <w:t>。</w:t>
      </w:r>
    </w:p>
    <w:p w:rsidR="00A52DD2" w:rsidRPr="00FB7CC2" w:rsidRDefault="00A52DD2" w:rsidP="00F035E0">
      <w:pPr>
        <w:snapToGrid w:val="0"/>
        <w:spacing w:before="120" w:line="460" w:lineRule="exact"/>
        <w:rPr>
          <w:rFonts w:ascii="標楷體" w:eastAsia="標楷體" w:hAnsi="標楷體"/>
          <w:color w:val="000000"/>
          <w:sz w:val="32"/>
          <w:szCs w:val="32"/>
        </w:rPr>
      </w:pPr>
      <w:r w:rsidRPr="00FB7CC2">
        <w:rPr>
          <w:rFonts w:ascii="標楷體" w:eastAsia="標楷體" w:hAnsi="標楷體"/>
          <w:color w:val="000000"/>
          <w:sz w:val="32"/>
          <w:szCs w:val="32"/>
        </w:rPr>
        <w:t>第3款　規費收入</w:t>
      </w:r>
    </w:p>
    <w:p w:rsidR="00A52DD2" w:rsidRPr="00FB7CC2" w:rsidRDefault="00A52DD2" w:rsidP="00F035E0">
      <w:pPr>
        <w:snapToGrid w:val="0"/>
        <w:spacing w:line="460" w:lineRule="exact"/>
        <w:ind w:leftChars="100" w:left="1888" w:hangingChars="515" w:hanging="1648"/>
        <w:rPr>
          <w:rFonts w:ascii="標楷體" w:eastAsia="標楷體" w:hAnsi="標楷體"/>
          <w:color w:val="000000"/>
          <w:sz w:val="32"/>
          <w:szCs w:val="32"/>
        </w:rPr>
      </w:pPr>
      <w:r w:rsidRPr="00FB7CC2">
        <w:rPr>
          <w:rFonts w:ascii="標楷體" w:eastAsia="標楷體" w:hAnsi="標楷體" w:hint="eastAsia"/>
          <w:color w:val="000000"/>
          <w:sz w:val="32"/>
          <w:szCs w:val="32"/>
        </w:rPr>
        <w:t>第125項　原子能委員會</w:t>
      </w:r>
      <w:r w:rsidRPr="00FB7CC2">
        <w:rPr>
          <w:rFonts w:ascii="標楷體" w:eastAsia="標楷體" w:hAnsi="標楷體"/>
          <w:color w:val="000000"/>
          <w:sz w:val="32"/>
          <w:szCs w:val="32"/>
        </w:rPr>
        <w:t>9</w:t>
      </w:r>
      <w:r w:rsidRPr="00FB7CC2">
        <w:rPr>
          <w:rFonts w:ascii="標楷體" w:eastAsia="標楷體" w:hAnsi="標楷體" w:hint="eastAsia"/>
          <w:color w:val="000000"/>
          <w:sz w:val="32"/>
          <w:szCs w:val="32"/>
        </w:rPr>
        <w:t>,253萬4千元，照列。</w:t>
      </w:r>
    </w:p>
    <w:p w:rsidR="00A52DD2" w:rsidRPr="00FB7CC2" w:rsidRDefault="00A52DD2" w:rsidP="00F035E0">
      <w:pPr>
        <w:snapToGrid w:val="0"/>
        <w:spacing w:line="460" w:lineRule="exact"/>
        <w:ind w:leftChars="100" w:left="1888" w:hangingChars="515" w:hanging="1648"/>
        <w:rPr>
          <w:rFonts w:ascii="標楷體" w:eastAsia="標楷體" w:hAnsi="標楷體"/>
          <w:color w:val="000000"/>
          <w:sz w:val="32"/>
          <w:szCs w:val="32"/>
        </w:rPr>
      </w:pPr>
      <w:r w:rsidRPr="00FB7CC2">
        <w:rPr>
          <w:rFonts w:ascii="標楷體" w:eastAsia="標楷體" w:hAnsi="標楷體" w:hint="eastAsia"/>
          <w:color w:val="000000"/>
          <w:sz w:val="32"/>
          <w:szCs w:val="32"/>
        </w:rPr>
        <w:t>第126項　輻射偵測中心188萬5千元，照列。</w:t>
      </w:r>
    </w:p>
    <w:p w:rsidR="00A52DD2" w:rsidRPr="00FB7CC2" w:rsidRDefault="00A52DD2" w:rsidP="00F035E0">
      <w:pPr>
        <w:snapToGrid w:val="0"/>
        <w:spacing w:line="460" w:lineRule="exact"/>
        <w:ind w:leftChars="100" w:left="1888" w:hangingChars="515" w:hanging="1648"/>
        <w:rPr>
          <w:rFonts w:ascii="標楷體" w:eastAsia="標楷體" w:hAnsi="標楷體"/>
          <w:color w:val="000000"/>
          <w:sz w:val="32"/>
          <w:szCs w:val="32"/>
        </w:rPr>
      </w:pPr>
      <w:r w:rsidRPr="00FB7CC2">
        <w:rPr>
          <w:rFonts w:ascii="標楷體" w:eastAsia="標楷體" w:hAnsi="標楷體" w:hint="eastAsia"/>
          <w:color w:val="000000"/>
          <w:sz w:val="32"/>
          <w:szCs w:val="32"/>
        </w:rPr>
        <w:t>第127項　放射性物料管理局2,501萬9千元，照列。</w:t>
      </w:r>
    </w:p>
    <w:p w:rsidR="00A52DD2" w:rsidRPr="00FB7CC2" w:rsidRDefault="00A52DD2" w:rsidP="00F035E0">
      <w:pPr>
        <w:snapToGrid w:val="0"/>
        <w:spacing w:line="460" w:lineRule="exact"/>
        <w:ind w:leftChars="100" w:left="1888" w:hangingChars="515" w:hanging="1648"/>
        <w:rPr>
          <w:rFonts w:ascii="標楷體" w:eastAsia="標楷體" w:hAnsi="標楷體"/>
          <w:color w:val="000000"/>
          <w:sz w:val="32"/>
          <w:szCs w:val="32"/>
        </w:rPr>
      </w:pPr>
      <w:r w:rsidRPr="00FB7CC2">
        <w:rPr>
          <w:rFonts w:ascii="標楷體" w:eastAsia="標楷體" w:hAnsi="標楷體" w:hint="eastAsia"/>
          <w:color w:val="000000"/>
          <w:sz w:val="32"/>
          <w:szCs w:val="32"/>
        </w:rPr>
        <w:t>第128項　核能研究所1億</w:t>
      </w:r>
      <w:r w:rsidRPr="00FB7CC2">
        <w:rPr>
          <w:rFonts w:ascii="標楷體" w:eastAsia="標楷體" w:hAnsi="標楷體"/>
          <w:color w:val="000000"/>
          <w:sz w:val="32"/>
          <w:szCs w:val="32"/>
        </w:rPr>
        <w:t>3,400</w:t>
      </w:r>
      <w:r w:rsidRPr="00FB7CC2">
        <w:rPr>
          <w:rFonts w:ascii="標楷體" w:eastAsia="標楷體" w:hAnsi="標楷體" w:hint="eastAsia"/>
          <w:color w:val="000000"/>
          <w:sz w:val="32"/>
          <w:szCs w:val="32"/>
        </w:rPr>
        <w:t>萬元，照列</w:t>
      </w:r>
      <w:r w:rsidRPr="00FB7CC2">
        <w:rPr>
          <w:rFonts w:ascii="標楷體" w:eastAsia="標楷體" w:hAnsi="標楷體"/>
          <w:color w:val="000000"/>
          <w:sz w:val="32"/>
          <w:szCs w:val="32"/>
        </w:rPr>
        <w:t>。</w:t>
      </w:r>
    </w:p>
    <w:p w:rsidR="00A52DD2" w:rsidRPr="00FB7CC2" w:rsidRDefault="00A52DD2" w:rsidP="00F035E0">
      <w:pPr>
        <w:snapToGrid w:val="0"/>
        <w:spacing w:before="120" w:line="460" w:lineRule="exact"/>
        <w:rPr>
          <w:rFonts w:ascii="標楷體" w:eastAsia="標楷體" w:hAnsi="標楷體"/>
          <w:color w:val="000000"/>
          <w:sz w:val="32"/>
          <w:szCs w:val="32"/>
        </w:rPr>
      </w:pPr>
      <w:r w:rsidRPr="00FB7CC2">
        <w:rPr>
          <w:rFonts w:ascii="標楷體" w:eastAsia="標楷體" w:hAnsi="標楷體"/>
          <w:color w:val="000000"/>
          <w:sz w:val="32"/>
          <w:szCs w:val="32"/>
        </w:rPr>
        <w:t>第4款　財產收入</w:t>
      </w:r>
    </w:p>
    <w:p w:rsidR="00A52DD2" w:rsidRPr="00FB7CC2" w:rsidRDefault="00A52DD2" w:rsidP="00F035E0">
      <w:pPr>
        <w:snapToGrid w:val="0"/>
        <w:spacing w:line="460" w:lineRule="exact"/>
        <w:ind w:leftChars="100" w:left="1888" w:hangingChars="515" w:hanging="1648"/>
        <w:rPr>
          <w:rFonts w:ascii="標楷體" w:eastAsia="標楷體" w:hAnsi="標楷體"/>
          <w:color w:val="000000"/>
          <w:sz w:val="32"/>
          <w:szCs w:val="32"/>
        </w:rPr>
      </w:pPr>
      <w:r w:rsidRPr="00FB7CC2">
        <w:rPr>
          <w:rFonts w:ascii="標楷體" w:eastAsia="標楷體" w:hAnsi="標楷體" w:hint="eastAsia"/>
          <w:color w:val="000000"/>
          <w:sz w:val="32"/>
          <w:szCs w:val="32"/>
        </w:rPr>
        <w:t>第170項　原子能委員會，無列數。</w:t>
      </w:r>
    </w:p>
    <w:p w:rsidR="00A52DD2" w:rsidRPr="00FB7CC2" w:rsidRDefault="00A52DD2" w:rsidP="00F035E0">
      <w:pPr>
        <w:snapToGrid w:val="0"/>
        <w:spacing w:line="460" w:lineRule="exact"/>
        <w:ind w:leftChars="100" w:left="1888" w:hangingChars="515" w:hanging="1648"/>
        <w:rPr>
          <w:rFonts w:ascii="標楷體" w:eastAsia="標楷體" w:hAnsi="標楷體"/>
          <w:color w:val="000000"/>
          <w:sz w:val="32"/>
          <w:szCs w:val="32"/>
        </w:rPr>
      </w:pPr>
      <w:r w:rsidRPr="00FB7CC2">
        <w:rPr>
          <w:rFonts w:ascii="標楷體" w:eastAsia="標楷體" w:hAnsi="標楷體" w:hint="eastAsia"/>
          <w:color w:val="000000"/>
          <w:sz w:val="32"/>
          <w:szCs w:val="32"/>
        </w:rPr>
        <w:lastRenderedPageBreak/>
        <w:t>第171項　輻射偵測中心2萬元，照列。</w:t>
      </w:r>
    </w:p>
    <w:p w:rsidR="00A52DD2" w:rsidRPr="00FB7CC2" w:rsidRDefault="00A52DD2" w:rsidP="00F035E0">
      <w:pPr>
        <w:snapToGrid w:val="0"/>
        <w:spacing w:line="460" w:lineRule="exact"/>
        <w:ind w:leftChars="100" w:left="1888" w:hangingChars="515" w:hanging="1648"/>
        <w:rPr>
          <w:rFonts w:ascii="標楷體" w:eastAsia="標楷體" w:hAnsi="標楷體"/>
          <w:color w:val="000000"/>
          <w:sz w:val="32"/>
          <w:szCs w:val="32"/>
        </w:rPr>
      </w:pPr>
      <w:r w:rsidRPr="00FB7CC2">
        <w:rPr>
          <w:rFonts w:ascii="標楷體" w:eastAsia="標楷體" w:hAnsi="標楷體" w:hint="eastAsia"/>
          <w:color w:val="000000"/>
          <w:sz w:val="32"/>
          <w:szCs w:val="32"/>
        </w:rPr>
        <w:t>第172項　放射性物料管理局，無列數。</w:t>
      </w:r>
    </w:p>
    <w:p w:rsidR="00A52DD2" w:rsidRPr="00FB7CC2" w:rsidRDefault="00A52DD2" w:rsidP="00F035E0">
      <w:pPr>
        <w:snapToGrid w:val="0"/>
        <w:spacing w:line="460" w:lineRule="exact"/>
        <w:ind w:leftChars="100" w:left="1888" w:hangingChars="515" w:hanging="1648"/>
        <w:rPr>
          <w:rFonts w:ascii="標楷體" w:eastAsia="標楷體" w:hAnsi="標楷體"/>
          <w:color w:val="000000"/>
          <w:sz w:val="32"/>
          <w:szCs w:val="32"/>
        </w:rPr>
      </w:pPr>
      <w:r w:rsidRPr="00FB7CC2">
        <w:rPr>
          <w:rFonts w:ascii="標楷體" w:eastAsia="標楷體" w:hAnsi="標楷體" w:hint="eastAsia"/>
          <w:color w:val="000000"/>
          <w:sz w:val="32"/>
          <w:szCs w:val="32"/>
        </w:rPr>
        <w:t>第173項　核能研究所675萬5千元，照列</w:t>
      </w:r>
      <w:r w:rsidRPr="00FB7CC2">
        <w:rPr>
          <w:rFonts w:ascii="標楷體" w:eastAsia="標楷體" w:hAnsi="標楷體"/>
          <w:color w:val="000000"/>
          <w:sz w:val="32"/>
          <w:szCs w:val="32"/>
        </w:rPr>
        <w:t>。</w:t>
      </w:r>
    </w:p>
    <w:p w:rsidR="00A52DD2" w:rsidRPr="00FB7CC2" w:rsidRDefault="00A52DD2" w:rsidP="00F035E0">
      <w:pPr>
        <w:snapToGrid w:val="0"/>
        <w:spacing w:before="120" w:line="460" w:lineRule="exact"/>
        <w:rPr>
          <w:rFonts w:ascii="標楷體" w:eastAsia="標楷體" w:hAnsi="標楷體"/>
          <w:color w:val="000000"/>
          <w:sz w:val="32"/>
          <w:szCs w:val="32"/>
        </w:rPr>
      </w:pPr>
      <w:r w:rsidRPr="00FB7CC2">
        <w:rPr>
          <w:rFonts w:ascii="標楷體" w:eastAsia="標楷體" w:hAnsi="標楷體"/>
          <w:color w:val="000000"/>
          <w:sz w:val="32"/>
          <w:szCs w:val="32"/>
        </w:rPr>
        <w:t>第7款　其他收入</w:t>
      </w:r>
    </w:p>
    <w:p w:rsidR="00A52DD2" w:rsidRPr="00FB7CC2" w:rsidRDefault="00A52DD2" w:rsidP="00F035E0">
      <w:pPr>
        <w:snapToGrid w:val="0"/>
        <w:spacing w:line="460" w:lineRule="exact"/>
        <w:ind w:leftChars="100" w:left="1888" w:hangingChars="515" w:hanging="1648"/>
        <w:rPr>
          <w:rFonts w:ascii="標楷體" w:eastAsia="標楷體" w:hAnsi="標楷體"/>
          <w:color w:val="000000"/>
          <w:sz w:val="32"/>
          <w:szCs w:val="32"/>
        </w:rPr>
      </w:pPr>
      <w:r w:rsidRPr="00FB7CC2">
        <w:rPr>
          <w:rFonts w:ascii="標楷體" w:eastAsia="標楷體" w:hAnsi="標楷體" w:hint="eastAsia"/>
          <w:color w:val="000000"/>
          <w:sz w:val="32"/>
          <w:szCs w:val="32"/>
        </w:rPr>
        <w:t>第16</w:t>
      </w:r>
      <w:r w:rsidRPr="00FB7CC2">
        <w:rPr>
          <w:rFonts w:ascii="標楷體" w:eastAsia="標楷體" w:hAnsi="標楷體"/>
          <w:color w:val="000000"/>
          <w:sz w:val="32"/>
          <w:szCs w:val="32"/>
        </w:rPr>
        <w:t>8</w:t>
      </w:r>
      <w:r w:rsidRPr="00FB7CC2">
        <w:rPr>
          <w:rFonts w:ascii="標楷體" w:eastAsia="標楷體" w:hAnsi="標楷體" w:hint="eastAsia"/>
          <w:color w:val="000000"/>
          <w:sz w:val="32"/>
          <w:szCs w:val="32"/>
        </w:rPr>
        <w:t>項　原子能委員會6萬3千元，照列。</w:t>
      </w:r>
    </w:p>
    <w:p w:rsidR="00A52DD2" w:rsidRPr="00FB7CC2" w:rsidRDefault="00A52DD2" w:rsidP="00F035E0">
      <w:pPr>
        <w:snapToGrid w:val="0"/>
        <w:spacing w:line="460" w:lineRule="exact"/>
        <w:ind w:leftChars="100" w:left="1888" w:hangingChars="515" w:hanging="1648"/>
        <w:rPr>
          <w:rFonts w:ascii="標楷體" w:eastAsia="標楷體" w:hAnsi="標楷體"/>
          <w:color w:val="000000"/>
          <w:sz w:val="32"/>
          <w:szCs w:val="32"/>
        </w:rPr>
      </w:pPr>
      <w:r w:rsidRPr="00FB7CC2">
        <w:rPr>
          <w:rFonts w:ascii="標楷體" w:eastAsia="標楷體" w:hAnsi="標楷體" w:hint="eastAsia"/>
          <w:color w:val="000000"/>
          <w:sz w:val="32"/>
          <w:szCs w:val="32"/>
        </w:rPr>
        <w:t>第16</w:t>
      </w:r>
      <w:r w:rsidRPr="00FB7CC2">
        <w:rPr>
          <w:rFonts w:ascii="標楷體" w:eastAsia="標楷體" w:hAnsi="標楷體"/>
          <w:color w:val="000000"/>
          <w:sz w:val="32"/>
          <w:szCs w:val="32"/>
        </w:rPr>
        <w:t>9</w:t>
      </w:r>
      <w:r w:rsidRPr="00FB7CC2">
        <w:rPr>
          <w:rFonts w:ascii="標楷體" w:eastAsia="標楷體" w:hAnsi="標楷體" w:hint="eastAsia"/>
          <w:color w:val="000000"/>
          <w:sz w:val="32"/>
          <w:szCs w:val="32"/>
        </w:rPr>
        <w:t>項　輻射偵測中心8千元，照列。</w:t>
      </w:r>
    </w:p>
    <w:p w:rsidR="00A52DD2" w:rsidRPr="00FB7CC2" w:rsidRDefault="00A52DD2" w:rsidP="00F035E0">
      <w:pPr>
        <w:snapToGrid w:val="0"/>
        <w:spacing w:line="460" w:lineRule="exact"/>
        <w:ind w:leftChars="100" w:left="1888" w:hangingChars="515" w:hanging="1648"/>
        <w:rPr>
          <w:rFonts w:ascii="標楷體" w:eastAsia="標楷體" w:hAnsi="標楷體"/>
          <w:color w:val="000000"/>
          <w:sz w:val="32"/>
          <w:szCs w:val="32"/>
        </w:rPr>
      </w:pPr>
      <w:r w:rsidRPr="00FB7CC2">
        <w:rPr>
          <w:rFonts w:ascii="標楷體" w:eastAsia="標楷體" w:hAnsi="標楷體" w:hint="eastAsia"/>
          <w:color w:val="000000"/>
          <w:sz w:val="32"/>
          <w:szCs w:val="32"/>
        </w:rPr>
        <w:t>第1</w:t>
      </w:r>
      <w:r w:rsidRPr="00FB7CC2">
        <w:rPr>
          <w:rFonts w:ascii="標楷體" w:eastAsia="標楷體" w:hAnsi="標楷體"/>
          <w:color w:val="000000"/>
          <w:sz w:val="32"/>
          <w:szCs w:val="32"/>
        </w:rPr>
        <w:t>70</w:t>
      </w:r>
      <w:r w:rsidRPr="00FB7CC2">
        <w:rPr>
          <w:rFonts w:ascii="標楷體" w:eastAsia="標楷體" w:hAnsi="標楷體" w:hint="eastAsia"/>
          <w:color w:val="000000"/>
          <w:sz w:val="32"/>
          <w:szCs w:val="32"/>
        </w:rPr>
        <w:t>項　核能研究所123萬</w:t>
      </w:r>
      <w:r w:rsidRPr="00FB7CC2">
        <w:rPr>
          <w:rFonts w:ascii="標楷體" w:eastAsia="標楷體" w:hAnsi="標楷體"/>
          <w:color w:val="000000"/>
          <w:sz w:val="32"/>
          <w:szCs w:val="32"/>
        </w:rPr>
        <w:t>7</w:t>
      </w:r>
      <w:r w:rsidRPr="00FB7CC2">
        <w:rPr>
          <w:rFonts w:ascii="標楷體" w:eastAsia="標楷體" w:hAnsi="標楷體" w:hint="eastAsia"/>
          <w:color w:val="000000"/>
          <w:sz w:val="32"/>
          <w:szCs w:val="32"/>
        </w:rPr>
        <w:t>千元，照列</w:t>
      </w:r>
      <w:r w:rsidRPr="00FB7CC2">
        <w:rPr>
          <w:rFonts w:ascii="標楷體" w:eastAsia="標楷體" w:hAnsi="標楷體"/>
          <w:color w:val="000000"/>
          <w:sz w:val="32"/>
          <w:szCs w:val="32"/>
        </w:rPr>
        <w:t>。</w:t>
      </w:r>
    </w:p>
    <w:p w:rsidR="00A52DD2" w:rsidRPr="00FB7CC2" w:rsidRDefault="00A52DD2" w:rsidP="00F035E0">
      <w:pPr>
        <w:snapToGrid w:val="0"/>
        <w:spacing w:beforeLines="50" w:before="180" w:line="460" w:lineRule="exact"/>
        <w:rPr>
          <w:rFonts w:ascii="標楷體" w:eastAsia="標楷體" w:hAnsi="標楷體"/>
          <w:color w:val="000000"/>
          <w:sz w:val="32"/>
          <w:szCs w:val="32"/>
        </w:rPr>
      </w:pPr>
      <w:r w:rsidRPr="00FB7CC2">
        <w:rPr>
          <w:rFonts w:ascii="標楷體" w:eastAsia="標楷體" w:hAnsi="標楷體" w:hint="eastAsia"/>
          <w:color w:val="000000"/>
          <w:sz w:val="32"/>
          <w:szCs w:val="32"/>
        </w:rPr>
        <w:t>歲出部分</w:t>
      </w:r>
    </w:p>
    <w:p w:rsidR="00A52DD2" w:rsidRPr="00FB7CC2" w:rsidRDefault="00A52DD2" w:rsidP="00F035E0">
      <w:pPr>
        <w:snapToGrid w:val="0"/>
        <w:spacing w:before="120" w:line="460" w:lineRule="exact"/>
        <w:rPr>
          <w:rFonts w:ascii="標楷體" w:eastAsia="標楷體" w:hAnsi="標楷體"/>
          <w:color w:val="000000"/>
          <w:sz w:val="32"/>
          <w:szCs w:val="32"/>
        </w:rPr>
      </w:pPr>
      <w:r w:rsidRPr="00FB7CC2">
        <w:rPr>
          <w:rFonts w:ascii="標楷體" w:eastAsia="標楷體" w:hAnsi="標楷體"/>
          <w:color w:val="000000"/>
          <w:sz w:val="32"/>
          <w:szCs w:val="32"/>
        </w:rPr>
        <w:t>第1</w:t>
      </w:r>
      <w:r w:rsidRPr="00FB7CC2">
        <w:rPr>
          <w:rFonts w:ascii="標楷體" w:eastAsia="標楷體" w:hAnsi="標楷體" w:hint="eastAsia"/>
          <w:color w:val="000000"/>
          <w:sz w:val="32"/>
          <w:szCs w:val="32"/>
        </w:rPr>
        <w:t>7</w:t>
      </w:r>
      <w:r w:rsidRPr="00FB7CC2">
        <w:rPr>
          <w:rFonts w:ascii="標楷體" w:eastAsia="標楷體" w:hAnsi="標楷體"/>
          <w:color w:val="000000"/>
          <w:sz w:val="32"/>
          <w:szCs w:val="32"/>
        </w:rPr>
        <w:t xml:space="preserve">款　原子能委員會主管 </w:t>
      </w:r>
    </w:p>
    <w:p w:rsidR="00A52DD2" w:rsidRPr="00251FB7" w:rsidRDefault="00A52DD2" w:rsidP="00F035E0">
      <w:pPr>
        <w:snapToGrid w:val="0"/>
        <w:spacing w:line="460" w:lineRule="exact"/>
        <w:ind w:leftChars="100" w:left="1888" w:hangingChars="515" w:hanging="1648"/>
        <w:rPr>
          <w:rFonts w:ascii="標楷體" w:eastAsia="標楷體" w:hAnsi="標楷體"/>
          <w:sz w:val="32"/>
          <w:szCs w:val="32"/>
        </w:rPr>
      </w:pPr>
      <w:r w:rsidRPr="00251FB7">
        <w:rPr>
          <w:rFonts w:ascii="標楷體" w:eastAsia="標楷體" w:hAnsi="標楷體"/>
          <w:sz w:val="32"/>
          <w:szCs w:val="32"/>
        </w:rPr>
        <w:t xml:space="preserve">第1項　</w:t>
      </w:r>
      <w:r w:rsidRPr="00251FB7">
        <w:rPr>
          <w:rFonts w:ascii="標楷體" w:eastAsia="標楷體" w:hAnsi="標楷體" w:hint="eastAsia"/>
          <w:sz w:val="32"/>
          <w:szCs w:val="32"/>
        </w:rPr>
        <w:t>原子能委員會5億5,545萬4千元，照列</w:t>
      </w:r>
      <w:r w:rsidRPr="00251FB7">
        <w:rPr>
          <w:rFonts w:ascii="標楷體" w:eastAsia="標楷體" w:hAnsi="標楷體"/>
          <w:sz w:val="32"/>
          <w:szCs w:val="32"/>
        </w:rPr>
        <w:t>。</w:t>
      </w:r>
    </w:p>
    <w:p w:rsidR="00A52DD2" w:rsidRPr="00FB7CC2" w:rsidRDefault="00A52DD2" w:rsidP="00F035E0">
      <w:pPr>
        <w:snapToGrid w:val="0"/>
        <w:spacing w:line="460" w:lineRule="exact"/>
        <w:ind w:leftChars="100" w:left="1558" w:hangingChars="412" w:hanging="1318"/>
        <w:rPr>
          <w:rFonts w:ascii="標楷體" w:eastAsia="標楷體" w:hAnsi="標楷體"/>
          <w:snapToGrid w:val="0"/>
          <w:color w:val="000000"/>
          <w:sz w:val="32"/>
          <w:szCs w:val="32"/>
        </w:rPr>
      </w:pPr>
      <w:r w:rsidRPr="00FB7CC2">
        <w:rPr>
          <w:rFonts w:ascii="標楷體" w:eastAsia="標楷體" w:hAnsi="標楷體"/>
          <w:snapToGrid w:val="0"/>
          <w:color w:val="000000"/>
          <w:sz w:val="32"/>
          <w:szCs w:val="32"/>
        </w:rPr>
        <w:t>本項通過決議</w:t>
      </w:r>
      <w:r>
        <w:rPr>
          <w:rFonts w:ascii="標楷體" w:eastAsia="標楷體" w:hAnsi="標楷體" w:hint="eastAsia"/>
          <w:snapToGrid w:val="0"/>
          <w:color w:val="000000"/>
          <w:sz w:val="32"/>
          <w:szCs w:val="32"/>
        </w:rPr>
        <w:t>32</w:t>
      </w:r>
      <w:r w:rsidRPr="00FB7CC2">
        <w:rPr>
          <w:rFonts w:ascii="標楷體" w:eastAsia="標楷體" w:hAnsi="標楷體"/>
          <w:snapToGrid w:val="0"/>
          <w:color w:val="000000"/>
          <w:sz w:val="32"/>
          <w:szCs w:val="32"/>
        </w:rPr>
        <w:t>項：</w:t>
      </w:r>
    </w:p>
    <w:p w:rsidR="00A52DD2" w:rsidRPr="00FB7CC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snapToGrid w:val="0"/>
          <w:color w:val="000000"/>
          <w:sz w:val="32"/>
          <w:szCs w:val="32"/>
        </w:rPr>
        <w:t>(</w:t>
      </w:r>
      <w:r w:rsidRPr="00FB7CC2">
        <w:rPr>
          <w:rFonts w:ascii="標楷體" w:eastAsia="標楷體" w:hAnsi="標楷體" w:hint="eastAsia"/>
          <w:snapToGrid w:val="0"/>
          <w:color w:val="000000"/>
          <w:sz w:val="32"/>
          <w:szCs w:val="32"/>
        </w:rPr>
        <w:t>一</w:t>
      </w:r>
      <w:r w:rsidRPr="00251FB7">
        <w:rPr>
          <w:rFonts w:ascii="標楷體" w:eastAsia="標楷體" w:hAnsi="標楷體"/>
          <w:snapToGrid w:val="0"/>
          <w:color w:val="000000"/>
          <w:sz w:val="32"/>
          <w:szCs w:val="32"/>
        </w:rPr>
        <w:t>)</w:t>
      </w:r>
      <w:r w:rsidRPr="00251FB7">
        <w:rPr>
          <w:rFonts w:ascii="標楷體" w:eastAsia="標楷體" w:hAnsi="標楷體" w:hint="eastAsia"/>
          <w:snapToGrid w:val="0"/>
          <w:color w:val="000000"/>
          <w:sz w:val="32"/>
          <w:szCs w:val="32"/>
        </w:rPr>
        <w:t>112年度行政院原子能委員會第1目「一般行政」預算編列3億5</w:t>
      </w:r>
      <w:r w:rsidRPr="00251FB7">
        <w:rPr>
          <w:rFonts w:ascii="標楷體" w:eastAsia="標楷體" w:hAnsi="標楷體" w:hint="eastAsia"/>
          <w:color w:val="000000"/>
          <w:sz w:val="32"/>
          <w:szCs w:val="32"/>
        </w:rPr>
        <w:t>,</w:t>
      </w:r>
      <w:r w:rsidRPr="00251FB7">
        <w:rPr>
          <w:rFonts w:ascii="標楷體" w:eastAsia="標楷體" w:hAnsi="標楷體"/>
          <w:color w:val="000000"/>
          <w:sz w:val="32"/>
          <w:szCs w:val="32"/>
        </w:rPr>
        <w:t>680</w:t>
      </w:r>
      <w:r w:rsidRPr="00251FB7">
        <w:rPr>
          <w:rFonts w:ascii="標楷體" w:eastAsia="標楷體" w:hAnsi="標楷體" w:hint="eastAsia"/>
          <w:color w:val="000000"/>
          <w:sz w:val="32"/>
          <w:szCs w:val="32"/>
        </w:rPr>
        <w:t>萬</w:t>
      </w:r>
      <w:r w:rsidRPr="00251FB7">
        <w:rPr>
          <w:rFonts w:ascii="標楷體" w:eastAsia="標楷體" w:hAnsi="標楷體"/>
          <w:color w:val="000000"/>
          <w:sz w:val="32"/>
          <w:szCs w:val="32"/>
        </w:rPr>
        <w:t>4</w:t>
      </w:r>
      <w:r w:rsidRPr="00251FB7">
        <w:rPr>
          <w:rFonts w:ascii="標楷體" w:eastAsia="標楷體" w:hAnsi="標楷體" w:hint="eastAsia"/>
          <w:color w:val="000000"/>
          <w:sz w:val="32"/>
          <w:szCs w:val="32"/>
        </w:rPr>
        <w:t>千元</w:t>
      </w:r>
      <w:r w:rsidRPr="00251FB7">
        <w:rPr>
          <w:rFonts w:ascii="標楷體" w:eastAsia="標楷體" w:hAnsi="標楷體" w:hint="eastAsia"/>
          <w:snapToGrid w:val="0"/>
          <w:color w:val="000000"/>
          <w:sz w:val="32"/>
          <w:szCs w:val="32"/>
        </w:rPr>
        <w:t>，凍結</w:t>
      </w:r>
      <w:r w:rsidRPr="00251FB7">
        <w:rPr>
          <w:rFonts w:ascii="標楷體" w:eastAsia="標楷體" w:hAnsi="標楷體"/>
          <w:snapToGrid w:val="0"/>
          <w:color w:val="000000"/>
          <w:sz w:val="32"/>
          <w:szCs w:val="32"/>
        </w:rPr>
        <w:t>1,047</w:t>
      </w:r>
      <w:r w:rsidRPr="00251FB7">
        <w:rPr>
          <w:rFonts w:ascii="標楷體" w:eastAsia="標楷體" w:hAnsi="標楷體" w:hint="eastAsia"/>
          <w:snapToGrid w:val="0"/>
          <w:color w:val="000000"/>
          <w:sz w:val="32"/>
          <w:szCs w:val="32"/>
        </w:rPr>
        <w:t>萬7千元(含首長特別費47萬7千元)，俟行政院原子能委員會向立法院教育及文化委員會提出書面報告後，始得動支。4-13</w:t>
      </w:r>
    </w:p>
    <w:p w:rsidR="00A52DD2" w:rsidRDefault="00A52DD2" w:rsidP="00F035E0">
      <w:pPr>
        <w:snapToGrid w:val="0"/>
        <w:spacing w:line="460" w:lineRule="exact"/>
        <w:ind w:leftChars="1250" w:left="4280" w:hangingChars="400" w:hanging="1280"/>
        <w:jc w:val="both"/>
        <w:rPr>
          <w:rFonts w:ascii="標楷體" w:eastAsia="標楷體" w:hAnsi="標楷體"/>
          <w:color w:val="000000"/>
          <w:sz w:val="32"/>
          <w:szCs w:val="32"/>
        </w:rPr>
      </w:pPr>
      <w:r w:rsidRPr="00FB7CC2">
        <w:rPr>
          <w:rFonts w:ascii="標楷體" w:eastAsia="標楷體" w:hAnsi="標楷體" w:hint="eastAsia"/>
          <w:color w:val="000000"/>
          <w:sz w:val="32"/>
          <w:szCs w:val="32"/>
        </w:rPr>
        <w:t>提案人：</w:t>
      </w:r>
      <w:r>
        <w:rPr>
          <w:rFonts w:ascii="標楷體" w:eastAsia="標楷體" w:hAnsi="標楷體" w:hint="eastAsia"/>
          <w:color w:val="000000"/>
          <w:sz w:val="32"/>
          <w:szCs w:val="32"/>
        </w:rPr>
        <w:t>陳秀寳  范  雲  黃國書 張廖萬堅</w:t>
      </w:r>
    </w:p>
    <w:p w:rsidR="00A52DD2" w:rsidRDefault="00A52DD2" w:rsidP="00F035E0">
      <w:pPr>
        <w:snapToGrid w:val="0"/>
        <w:spacing w:line="460" w:lineRule="exact"/>
        <w:ind w:leftChars="1250" w:left="4280" w:hangingChars="400" w:hanging="1280"/>
        <w:jc w:val="both"/>
        <w:rPr>
          <w:rFonts w:ascii="標楷體" w:eastAsia="標楷體" w:hAnsi="標楷體"/>
          <w:color w:val="000000"/>
          <w:sz w:val="32"/>
          <w:szCs w:val="32"/>
        </w:rPr>
      </w:pPr>
      <w:r>
        <w:rPr>
          <w:rFonts w:ascii="標楷體" w:eastAsia="標楷體" w:hAnsi="標楷體" w:hint="eastAsia"/>
          <w:color w:val="000000"/>
          <w:sz w:val="32"/>
          <w:szCs w:val="32"/>
        </w:rPr>
        <w:t xml:space="preserve">        鄭正鈐  吳怡玎  萬美玲  王婉諭</w:t>
      </w:r>
    </w:p>
    <w:p w:rsidR="00A52DD2" w:rsidRPr="00FB7CC2" w:rsidRDefault="00A52DD2" w:rsidP="00F035E0">
      <w:pPr>
        <w:snapToGrid w:val="0"/>
        <w:spacing w:line="460" w:lineRule="exact"/>
        <w:ind w:leftChars="1250" w:left="4280" w:hangingChars="400" w:hanging="1280"/>
        <w:jc w:val="both"/>
        <w:rPr>
          <w:rFonts w:ascii="標楷體" w:eastAsia="標楷體" w:hAnsi="標楷體"/>
          <w:color w:val="000000"/>
          <w:sz w:val="32"/>
          <w:szCs w:val="32"/>
        </w:rPr>
      </w:pPr>
      <w:r>
        <w:rPr>
          <w:rFonts w:ascii="標楷體" w:eastAsia="標楷體" w:hAnsi="標楷體" w:hint="eastAsia"/>
          <w:color w:val="000000"/>
          <w:sz w:val="32"/>
          <w:szCs w:val="32"/>
        </w:rPr>
        <w:t xml:space="preserve">        賴品妤</w:t>
      </w:r>
    </w:p>
    <w:p w:rsidR="00A52DD2" w:rsidRPr="00F2100D"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sidRPr="00FB7CC2">
        <w:rPr>
          <w:rFonts w:ascii="標楷體" w:eastAsia="標楷體" w:hAnsi="標楷體" w:hint="eastAsia"/>
          <w:color w:val="000000"/>
          <w:sz w:val="32"/>
          <w:szCs w:val="32"/>
        </w:rPr>
        <w:t>連署人：</w:t>
      </w:r>
      <w:r>
        <w:rPr>
          <w:rFonts w:ascii="標楷體" w:eastAsia="標楷體" w:hAnsi="標楷體" w:hint="eastAsia"/>
          <w:color w:val="000000"/>
          <w:sz w:val="32"/>
          <w:szCs w:val="32"/>
        </w:rPr>
        <w:t>林宜瑾  林奕華</w:t>
      </w:r>
    </w:p>
    <w:p w:rsidR="00A52DD2" w:rsidRPr="00FB7CC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(二)</w:t>
      </w:r>
      <w:r w:rsidRPr="00FB7CC2">
        <w:rPr>
          <w:rFonts w:ascii="標楷體" w:eastAsia="標楷體" w:hAnsi="標楷體" w:hint="eastAsia"/>
          <w:snapToGrid w:val="0"/>
          <w:color w:val="000000"/>
          <w:sz w:val="32"/>
          <w:szCs w:val="32"/>
        </w:rPr>
        <w:t>112年度行政院原子能委員會第2目「原子能管理發展業務」預算編列</w:t>
      </w:r>
      <w:r>
        <w:rPr>
          <w:rFonts w:ascii="標楷體" w:eastAsia="標楷體" w:hAnsi="標楷體" w:hint="eastAsia"/>
          <w:snapToGrid w:val="0"/>
          <w:color w:val="000000"/>
          <w:sz w:val="32"/>
          <w:szCs w:val="32"/>
        </w:rPr>
        <w:t>1億</w:t>
      </w:r>
      <w:r>
        <w:rPr>
          <w:rFonts w:ascii="標楷體" w:eastAsia="標楷體" w:hAnsi="標楷體"/>
          <w:snapToGrid w:val="0"/>
          <w:color w:val="000000"/>
          <w:sz w:val="32"/>
          <w:szCs w:val="32"/>
        </w:rPr>
        <w:t>9</w:t>
      </w:r>
      <w:r w:rsidRPr="00FB7CC2">
        <w:rPr>
          <w:rFonts w:ascii="標楷體" w:eastAsia="標楷體" w:hAnsi="標楷體" w:hint="eastAsia"/>
          <w:color w:val="000000"/>
          <w:sz w:val="32"/>
          <w:szCs w:val="32"/>
        </w:rPr>
        <w:t>,</w:t>
      </w:r>
      <w:r>
        <w:rPr>
          <w:rFonts w:ascii="標楷體" w:eastAsia="標楷體" w:hAnsi="標楷體"/>
          <w:color w:val="000000"/>
          <w:sz w:val="32"/>
          <w:szCs w:val="32"/>
        </w:rPr>
        <w:t>847</w:t>
      </w:r>
      <w:r w:rsidRPr="00FB7CC2">
        <w:rPr>
          <w:rFonts w:ascii="標楷體" w:eastAsia="標楷體" w:hAnsi="標楷體" w:hint="eastAsia"/>
          <w:color w:val="000000"/>
          <w:sz w:val="32"/>
          <w:szCs w:val="32"/>
        </w:rPr>
        <w:t>萬</w:t>
      </w:r>
      <w:r>
        <w:rPr>
          <w:rFonts w:ascii="標楷體" w:eastAsia="標楷體" w:hAnsi="標楷體"/>
          <w:color w:val="000000"/>
          <w:sz w:val="32"/>
          <w:szCs w:val="32"/>
        </w:rPr>
        <w:t>6</w:t>
      </w:r>
      <w:r w:rsidRPr="00FB7CC2">
        <w:rPr>
          <w:rFonts w:ascii="標楷體" w:eastAsia="標楷體" w:hAnsi="標楷體" w:hint="eastAsia"/>
          <w:color w:val="000000"/>
          <w:sz w:val="32"/>
          <w:szCs w:val="32"/>
        </w:rPr>
        <w:t>千元</w:t>
      </w:r>
      <w:r w:rsidRPr="00FB7CC2">
        <w:rPr>
          <w:rFonts w:ascii="標楷體" w:eastAsia="標楷體" w:hAnsi="標楷體" w:hint="eastAsia"/>
          <w:snapToGrid w:val="0"/>
          <w:color w:val="000000"/>
          <w:sz w:val="32"/>
          <w:szCs w:val="32"/>
        </w:rPr>
        <w:t>，凍結</w:t>
      </w:r>
      <w:r>
        <w:rPr>
          <w:rFonts w:ascii="標楷體" w:eastAsia="標楷體" w:hAnsi="標楷體" w:hint="eastAsia"/>
          <w:snapToGrid w:val="0"/>
          <w:color w:val="000000"/>
          <w:sz w:val="32"/>
          <w:szCs w:val="32"/>
        </w:rPr>
        <w:t>3</w:t>
      </w:r>
      <w:r w:rsidRPr="00FB7CC2">
        <w:rPr>
          <w:rFonts w:ascii="標楷體" w:eastAsia="標楷體" w:hAnsi="標楷體" w:hint="eastAsia"/>
          <w:snapToGrid w:val="0"/>
          <w:color w:val="000000"/>
          <w:sz w:val="32"/>
          <w:szCs w:val="32"/>
        </w:rPr>
        <w:t>00萬元，俟行政院原子能委員會向立法院教育及文化委員會提出書面報告後，始得動支。</w:t>
      </w:r>
      <w:r>
        <w:rPr>
          <w:rFonts w:ascii="標楷體" w:eastAsia="標楷體" w:hAnsi="標楷體" w:hint="eastAsia"/>
          <w:snapToGrid w:val="0"/>
          <w:color w:val="000000"/>
          <w:sz w:val="32"/>
          <w:szCs w:val="32"/>
        </w:rPr>
        <w:t>1</w:t>
      </w:r>
      <w:r>
        <w:rPr>
          <w:rFonts w:ascii="標楷體" w:eastAsia="標楷體" w:hAnsi="標楷體"/>
          <w:snapToGrid w:val="0"/>
          <w:color w:val="000000"/>
          <w:sz w:val="32"/>
          <w:szCs w:val="32"/>
        </w:rPr>
        <w:t>4-49</w:t>
      </w:r>
    </w:p>
    <w:p w:rsidR="00A52DD2" w:rsidRDefault="00A52DD2" w:rsidP="00F035E0">
      <w:pPr>
        <w:snapToGrid w:val="0"/>
        <w:spacing w:line="460" w:lineRule="exact"/>
        <w:ind w:leftChars="1250" w:left="4280" w:hangingChars="400" w:hanging="1280"/>
        <w:jc w:val="both"/>
        <w:rPr>
          <w:rFonts w:ascii="標楷體" w:eastAsia="標楷體" w:hAnsi="標楷體"/>
          <w:color w:val="000000"/>
          <w:sz w:val="32"/>
          <w:szCs w:val="32"/>
        </w:rPr>
      </w:pPr>
      <w:r w:rsidRPr="00FB7CC2">
        <w:rPr>
          <w:rFonts w:ascii="標楷體" w:eastAsia="標楷體" w:hAnsi="標楷體" w:hint="eastAsia"/>
          <w:color w:val="000000"/>
          <w:sz w:val="32"/>
          <w:szCs w:val="32"/>
        </w:rPr>
        <w:t>提案人：</w:t>
      </w:r>
      <w:r>
        <w:rPr>
          <w:rFonts w:ascii="標楷體" w:eastAsia="標楷體" w:hAnsi="標楷體" w:hint="eastAsia"/>
          <w:color w:val="000000"/>
          <w:sz w:val="32"/>
          <w:szCs w:val="32"/>
        </w:rPr>
        <w:t>陳秀寳  吳思瑤  林宜瑾 張廖萬堅</w:t>
      </w:r>
    </w:p>
    <w:p w:rsidR="00A52DD2" w:rsidRDefault="00A52DD2" w:rsidP="00F035E0">
      <w:pPr>
        <w:snapToGrid w:val="0"/>
        <w:spacing w:line="460" w:lineRule="exact"/>
        <w:ind w:leftChars="1250" w:left="4280" w:hangingChars="400" w:hanging="1280"/>
        <w:jc w:val="both"/>
        <w:rPr>
          <w:rFonts w:ascii="標楷體" w:eastAsia="標楷體" w:hAnsi="標楷體"/>
          <w:color w:val="000000"/>
          <w:sz w:val="32"/>
          <w:szCs w:val="32"/>
        </w:rPr>
      </w:pPr>
      <w:r>
        <w:rPr>
          <w:rFonts w:ascii="標楷體" w:eastAsia="標楷體" w:hAnsi="標楷體" w:hint="eastAsia"/>
          <w:color w:val="000000"/>
          <w:sz w:val="32"/>
          <w:szCs w:val="32"/>
        </w:rPr>
        <w:t xml:space="preserve">        何欣純  賴品妤  林奕華  黃國書</w:t>
      </w:r>
    </w:p>
    <w:p w:rsidR="00A52DD2" w:rsidRPr="00FB7CC2" w:rsidRDefault="00A52DD2" w:rsidP="00F035E0">
      <w:pPr>
        <w:snapToGrid w:val="0"/>
        <w:spacing w:line="460" w:lineRule="exact"/>
        <w:ind w:leftChars="1250" w:left="4280" w:hangingChars="400" w:hanging="1280"/>
        <w:jc w:val="both"/>
        <w:rPr>
          <w:rFonts w:ascii="標楷體" w:eastAsia="標楷體" w:hAnsi="標楷體"/>
          <w:color w:val="000000"/>
          <w:sz w:val="32"/>
          <w:szCs w:val="32"/>
        </w:rPr>
      </w:pPr>
      <w:r>
        <w:rPr>
          <w:rFonts w:ascii="標楷體" w:eastAsia="標楷體" w:hAnsi="標楷體" w:hint="eastAsia"/>
          <w:color w:val="000000"/>
          <w:sz w:val="32"/>
          <w:szCs w:val="32"/>
        </w:rPr>
        <w:t xml:space="preserve">        鄭正鈐  萬美玲  吳怡玎  王婉諭</w:t>
      </w:r>
    </w:p>
    <w:p w:rsidR="00A52DD2" w:rsidRDefault="00A52DD2" w:rsidP="00F035E0">
      <w:pPr>
        <w:snapToGrid w:val="0"/>
        <w:spacing w:line="460" w:lineRule="exact"/>
        <w:ind w:leftChars="1250" w:left="4280" w:hangingChars="400" w:hanging="1280"/>
        <w:jc w:val="both"/>
        <w:rPr>
          <w:rFonts w:ascii="標楷體" w:eastAsia="標楷體" w:hAnsi="標楷體"/>
          <w:color w:val="000000"/>
          <w:sz w:val="32"/>
          <w:szCs w:val="32"/>
        </w:rPr>
      </w:pPr>
      <w:r w:rsidRPr="00FB7CC2">
        <w:rPr>
          <w:rFonts w:ascii="標楷體" w:eastAsia="標楷體" w:hAnsi="標楷體" w:hint="eastAsia"/>
          <w:color w:val="000000"/>
          <w:sz w:val="32"/>
          <w:szCs w:val="32"/>
        </w:rPr>
        <w:t>連署人：</w:t>
      </w:r>
      <w:r>
        <w:rPr>
          <w:rFonts w:ascii="標楷體" w:eastAsia="標楷體" w:hAnsi="標楷體" w:hint="eastAsia"/>
          <w:color w:val="000000"/>
          <w:sz w:val="32"/>
          <w:szCs w:val="32"/>
        </w:rPr>
        <w:t>范  雲</w:t>
      </w:r>
    </w:p>
    <w:p w:rsidR="00A52DD2" w:rsidRPr="002F41A1" w:rsidRDefault="00A52DD2" w:rsidP="00F035E0">
      <w:pPr>
        <w:overflowPunct w:val="0"/>
        <w:spacing w:line="500" w:lineRule="exact"/>
        <w:ind w:leftChars="150" w:left="1000" w:hangingChars="200" w:hanging="640"/>
        <w:jc w:val="both"/>
        <w:rPr>
          <w:rFonts w:ascii="標楷體" w:eastAsia="標楷體" w:hAnsi="標楷體"/>
          <w:sz w:val="32"/>
          <w:szCs w:val="32"/>
        </w:rPr>
      </w:pP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三</w:t>
      </w:r>
      <w:r w:rsidRPr="00FB7CC2">
        <w:rPr>
          <w:rFonts w:ascii="標楷體" w:eastAsia="標楷體" w:hAnsi="標楷體"/>
          <w:snapToGrid w:val="0"/>
          <w:color w:val="000000"/>
          <w:sz w:val="32"/>
          <w:szCs w:val="32"/>
        </w:rPr>
        <w:t>)</w:t>
      </w:r>
      <w:r w:rsidRPr="002F41A1">
        <w:rPr>
          <w:rFonts w:ascii="標楷體" w:eastAsia="標楷體" w:hAnsi="標楷體" w:hint="eastAsia"/>
          <w:sz w:val="32"/>
          <w:szCs w:val="32"/>
        </w:rPr>
        <w:t>行政院原子能委員會執行環境輻射劑量監測及抽檢等工作，</w:t>
      </w:r>
      <w:r w:rsidRPr="002F41A1">
        <w:rPr>
          <w:rFonts w:ascii="標楷體" w:eastAsia="標楷體" w:hAnsi="標楷體" w:hint="eastAsia"/>
          <w:sz w:val="32"/>
          <w:szCs w:val="32"/>
        </w:rPr>
        <w:lastRenderedPageBreak/>
        <w:t>以保障民眾生活安全，近年來與行政院消費者保護會及其他單位合作，進行市場端商品查驗，並陸續查獲輻射不合格商品</w:t>
      </w:r>
      <w:r>
        <w:rPr>
          <w:rFonts w:ascii="標楷體" w:eastAsia="標楷體" w:hAnsi="標楷體" w:hint="eastAsia"/>
          <w:sz w:val="32"/>
          <w:szCs w:val="32"/>
        </w:rPr>
        <w:t>。</w:t>
      </w:r>
      <w:r w:rsidRPr="002F41A1">
        <w:rPr>
          <w:rFonts w:ascii="標楷體" w:eastAsia="標楷體" w:hAnsi="標楷體" w:hint="eastAsia"/>
          <w:sz w:val="32"/>
          <w:szCs w:val="32"/>
        </w:rPr>
        <w:t>以2018年為例，查驗出負離子超標不合格床墊成品、半成品近5</w:t>
      </w:r>
      <w:r w:rsidRPr="002F41A1">
        <w:rPr>
          <w:rFonts w:ascii="標楷體" w:eastAsia="標楷體" w:hAnsi="標楷體"/>
          <w:sz w:val="32"/>
          <w:szCs w:val="32"/>
        </w:rPr>
        <w:t>,</w:t>
      </w:r>
      <w:r w:rsidRPr="002F41A1">
        <w:rPr>
          <w:rFonts w:ascii="標楷體" w:eastAsia="標楷體" w:hAnsi="標楷體" w:hint="eastAsia"/>
          <w:sz w:val="32"/>
          <w:szCs w:val="32"/>
        </w:rPr>
        <w:t>500公斤，原能會以專案方式交由行政院原子能委員會核能研究所集中銷毀，其銷毀灰渣也以高規格封裝儲存</w:t>
      </w:r>
      <w:r>
        <w:rPr>
          <w:rFonts w:ascii="標楷體" w:eastAsia="標楷體" w:hAnsi="標楷體" w:hint="eastAsia"/>
          <w:sz w:val="32"/>
          <w:szCs w:val="32"/>
        </w:rPr>
        <w:t>。</w:t>
      </w:r>
      <w:r w:rsidRPr="002F41A1">
        <w:rPr>
          <w:rFonts w:ascii="標楷體" w:eastAsia="標楷體" w:hAnsi="標楷體" w:hint="eastAsia"/>
          <w:sz w:val="32"/>
          <w:szCs w:val="32"/>
        </w:rPr>
        <w:t>但後續各年查獲之其他商品，僅交由經濟部標準檢驗局處理，對於回收處理即銷毀、廢棄物處置等，都缺乏明確流程，恐對環境及民眾生活安全產生疑慮</w:t>
      </w:r>
      <w:r>
        <w:rPr>
          <w:rFonts w:ascii="標楷體" w:eastAsia="標楷體" w:hAnsi="標楷體" w:hint="eastAsia"/>
          <w:sz w:val="32"/>
          <w:szCs w:val="32"/>
        </w:rPr>
        <w:t>。</w:t>
      </w:r>
      <w:r w:rsidRPr="002F41A1">
        <w:rPr>
          <w:rFonts w:ascii="標楷體" w:eastAsia="標楷體" w:hAnsi="標楷體" w:hint="eastAsia"/>
          <w:sz w:val="32"/>
          <w:szCs w:val="32"/>
        </w:rPr>
        <w:t>基於維護環境及國人安全，爰請行政院原子能委員會儘速與相關單位協調，訂定輻射超量之不合格商品下架、回收、集中、銷毀、灰渣廢棄物處理處置標準程序。50</w:t>
      </w:r>
    </w:p>
    <w:p w:rsidR="00A52DD2" w:rsidRPr="002F41A1" w:rsidRDefault="00A52DD2" w:rsidP="00F035E0">
      <w:pPr>
        <w:overflowPunct w:val="0"/>
        <w:spacing w:line="500" w:lineRule="exact"/>
        <w:ind w:leftChars="1250" w:left="3000"/>
        <w:jc w:val="both"/>
        <w:rPr>
          <w:rFonts w:ascii="標楷體" w:eastAsia="標楷體" w:hAnsi="標楷體"/>
          <w:sz w:val="32"/>
          <w:szCs w:val="32"/>
        </w:rPr>
      </w:pPr>
      <w:r w:rsidRPr="002F41A1">
        <w:rPr>
          <w:rFonts w:ascii="標楷體" w:eastAsia="標楷體" w:hAnsi="標楷體" w:hint="eastAsia"/>
          <w:sz w:val="32"/>
          <w:szCs w:val="32"/>
        </w:rPr>
        <w:t>提案人：何欣純</w:t>
      </w:r>
    </w:p>
    <w:p w:rsidR="00A52DD2" w:rsidRPr="002F41A1" w:rsidRDefault="00A52DD2" w:rsidP="00F035E0">
      <w:pPr>
        <w:overflowPunct w:val="0"/>
        <w:spacing w:line="500" w:lineRule="exact"/>
        <w:ind w:leftChars="1250" w:left="3000"/>
        <w:jc w:val="both"/>
        <w:rPr>
          <w:rFonts w:ascii="標楷體" w:eastAsia="標楷體" w:hAnsi="標楷體"/>
          <w:sz w:val="32"/>
          <w:szCs w:val="32"/>
        </w:rPr>
      </w:pPr>
      <w:r w:rsidRPr="002F41A1">
        <w:rPr>
          <w:rFonts w:ascii="標楷體" w:eastAsia="標楷體" w:hAnsi="標楷體" w:hint="eastAsia"/>
          <w:sz w:val="32"/>
          <w:szCs w:val="32"/>
        </w:rPr>
        <w:t>連署人：陳秀寳  張廖萬堅</w:t>
      </w:r>
    </w:p>
    <w:p w:rsidR="00A52DD2" w:rsidRPr="002F41A1"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(四)</w:t>
      </w:r>
      <w:r w:rsidRPr="002F41A1">
        <w:rPr>
          <w:rFonts w:ascii="標楷體" w:eastAsia="標楷體" w:hAnsi="標楷體" w:hint="eastAsia"/>
          <w:sz w:val="32"/>
          <w:szCs w:val="32"/>
        </w:rPr>
        <w:t>近日國立中山大學海洋科學系陳講座教授鎮東發表最新研究指出，黑潮深水輸送著60年前美俄核彈試爆遺留的大量放射性銫137，且含量遠超福島核爆2016至2018年每年釋出海洋1</w:t>
      </w:r>
      <w:r w:rsidRPr="002F41A1">
        <w:rPr>
          <w:rFonts w:ascii="標楷體" w:eastAsia="標楷體" w:hAnsi="標楷體"/>
          <w:sz w:val="32"/>
          <w:szCs w:val="32"/>
        </w:rPr>
        <w:t>,</w:t>
      </w:r>
      <w:r w:rsidRPr="002F41A1">
        <w:rPr>
          <w:rFonts w:ascii="標楷體" w:eastAsia="標楷體" w:hAnsi="標楷體" w:hint="eastAsia"/>
          <w:sz w:val="32"/>
          <w:szCs w:val="32"/>
        </w:rPr>
        <w:t>000倍，可能輸送至東北角湧升海域被蝦蟹藻類吸收，若人類捕食恐受影響，並獲世界級期刊刊登。雖行政院原子能委員會說明，因目前並無輻射異常事故，對國人無影響。行政院原子能委員會輻射偵測中心於2018至2021年委託國立中山大學協助執行台灣海域環境輻射背景調查，協助海水、沉積物、岩心等樣品取樣及數據分析等工作</w:t>
      </w:r>
      <w:r>
        <w:rPr>
          <w:rFonts w:ascii="標楷體" w:eastAsia="標楷體" w:hAnsi="標楷體" w:hint="eastAsia"/>
          <w:sz w:val="32"/>
          <w:szCs w:val="32"/>
        </w:rPr>
        <w:t>。</w:t>
      </w:r>
      <w:r w:rsidRPr="002F41A1">
        <w:rPr>
          <w:rFonts w:ascii="標楷體" w:eastAsia="標楷體" w:hAnsi="標楷體" w:hint="eastAsia"/>
          <w:sz w:val="32"/>
          <w:szCs w:val="32"/>
        </w:rPr>
        <w:t>據歷年海域輻射調查結果顯示，台灣周遭海域中放射性銫，黑潮 200至400公尺深處有較強輸送量，在台灣東北角湧升至東海表面。又未來為因應日本福島含氚排放水，原能會規劃海域監測計畫，持續監控台灣周邊海域環境輻射變化，針對台灣周邊海域海水生物及放射性物質監測，除加速周邊海域建置輻射背景資料數據庫，同時儘早完成預警及各類</w:t>
      </w:r>
      <w:r>
        <w:rPr>
          <w:rFonts w:ascii="標楷體" w:eastAsia="標楷體" w:hAnsi="標楷體" w:hint="eastAsia"/>
          <w:sz w:val="32"/>
          <w:szCs w:val="32"/>
        </w:rPr>
        <w:t>洄游</w:t>
      </w:r>
      <w:r w:rsidRPr="002F41A1">
        <w:rPr>
          <w:rFonts w:ascii="標楷體" w:eastAsia="標楷體" w:hAnsi="標楷體" w:hint="eastAsia"/>
          <w:sz w:val="32"/>
          <w:szCs w:val="32"/>
        </w:rPr>
        <w:t>生物及水</w:t>
      </w:r>
      <w:r w:rsidRPr="002F41A1">
        <w:rPr>
          <w:rFonts w:ascii="標楷體" w:eastAsia="標楷體" w:hAnsi="標楷體" w:hint="eastAsia"/>
          <w:sz w:val="32"/>
          <w:szCs w:val="32"/>
        </w:rPr>
        <w:lastRenderedPageBreak/>
        <w:t>質的安全評估</w:t>
      </w:r>
      <w:r>
        <w:rPr>
          <w:rFonts w:ascii="標楷體" w:eastAsia="標楷體" w:hAnsi="標楷體" w:hint="eastAsia"/>
          <w:sz w:val="32"/>
          <w:szCs w:val="32"/>
        </w:rPr>
        <w:t>。</w:t>
      </w:r>
      <w:r w:rsidRPr="002F41A1">
        <w:rPr>
          <w:rFonts w:ascii="標楷體" w:eastAsia="標楷體" w:hAnsi="標楷體" w:hint="eastAsia"/>
          <w:sz w:val="32"/>
          <w:szCs w:val="32"/>
        </w:rPr>
        <w:t>尤其各項細部計畫及執行項目涉及行政院農業委員會、海洋委員會、交通部中央氣象局等跨部會協調，爰請行政院原子能委員會盤點執行能量，針對台灣黑潮周遭海域，對於監測範圍、時間、抽樣</w:t>
      </w:r>
      <w:r>
        <w:rPr>
          <w:rFonts w:ascii="標楷體" w:eastAsia="標楷體" w:hAnsi="標楷體" w:hint="eastAsia"/>
          <w:sz w:val="32"/>
          <w:szCs w:val="32"/>
        </w:rPr>
        <w:t>洄游</w:t>
      </w:r>
      <w:r w:rsidRPr="002F41A1">
        <w:rPr>
          <w:rFonts w:ascii="標楷體" w:eastAsia="標楷體" w:hAnsi="標楷體" w:hint="eastAsia"/>
          <w:sz w:val="32"/>
          <w:szCs w:val="32"/>
        </w:rPr>
        <w:t>生物、沉積物、水質等及監測地點、時點與頻次等應予檢討，確保環境輻射安全、並昭全國民眾公信。51</w:t>
      </w:r>
    </w:p>
    <w:p w:rsidR="00A52DD2" w:rsidRPr="002F41A1" w:rsidRDefault="00A52DD2" w:rsidP="00F035E0">
      <w:pPr>
        <w:overflowPunct w:val="0"/>
        <w:spacing w:line="500" w:lineRule="exact"/>
        <w:ind w:leftChars="1250" w:left="3000"/>
        <w:jc w:val="both"/>
        <w:rPr>
          <w:rFonts w:ascii="標楷體" w:eastAsia="標楷體" w:hAnsi="標楷體"/>
          <w:sz w:val="32"/>
          <w:szCs w:val="32"/>
        </w:rPr>
      </w:pPr>
      <w:r w:rsidRPr="002F41A1">
        <w:rPr>
          <w:rFonts w:ascii="標楷體" w:eastAsia="標楷體" w:hAnsi="標楷體" w:hint="eastAsia"/>
          <w:sz w:val="32"/>
          <w:szCs w:val="32"/>
        </w:rPr>
        <w:t>提案人：何欣純</w:t>
      </w:r>
    </w:p>
    <w:p w:rsidR="00A52DD2" w:rsidRPr="002F41A1" w:rsidRDefault="00A52DD2" w:rsidP="00F035E0">
      <w:pPr>
        <w:overflowPunct w:val="0"/>
        <w:spacing w:line="500" w:lineRule="exact"/>
        <w:ind w:leftChars="1250" w:left="3000"/>
        <w:jc w:val="both"/>
        <w:rPr>
          <w:rFonts w:ascii="標楷體" w:eastAsia="標楷體" w:hAnsi="標楷體"/>
          <w:sz w:val="32"/>
          <w:szCs w:val="32"/>
        </w:rPr>
      </w:pPr>
      <w:r w:rsidRPr="002F41A1">
        <w:rPr>
          <w:rFonts w:ascii="標楷體" w:eastAsia="標楷體" w:hAnsi="標楷體" w:hint="eastAsia"/>
          <w:sz w:val="32"/>
          <w:szCs w:val="32"/>
        </w:rPr>
        <w:t>連署人：陳秀寳  張廖萬堅</w:t>
      </w:r>
    </w:p>
    <w:p w:rsidR="00A52DD2" w:rsidRPr="002F41A1"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(五)</w:t>
      </w:r>
      <w:r w:rsidRPr="002F41A1">
        <w:rPr>
          <w:rFonts w:ascii="標楷體" w:eastAsia="標楷體" w:hAnsi="標楷體" w:hint="eastAsia"/>
          <w:sz w:val="32"/>
          <w:szCs w:val="32"/>
        </w:rPr>
        <w:t>111年10月經媒體報導行政院原子能委員會主任委員涉性騷擾女下屬，目前由行政院進行調查。經查原能會自101年起每年皆辦理性別主流化訓練，並定期召開性別平等專案小組會議。惟111年因主任委員疑似性騷擾下屬事件爆發，可見相關訓練恐未於高階主管中達成應有成效。為保障行政院原子能委員會所有同仁享有性別友善、安心安全之職場環境，提升整體性別平等、性騷擾防治概念，爰請行政院原子能委員會安排全體高階主管（含主任委員、副主任委員、主任秘書、各處室主管及附屬機關首長）於3個月內接受至少2小時之性騷擾防治訓練（含實例探討），並向立法院教育</w:t>
      </w:r>
      <w:r>
        <w:rPr>
          <w:rFonts w:ascii="標楷體" w:eastAsia="標楷體" w:hAnsi="標楷體" w:hint="eastAsia"/>
          <w:sz w:val="32"/>
          <w:szCs w:val="32"/>
        </w:rPr>
        <w:t>及</w:t>
      </w:r>
      <w:r w:rsidRPr="002F41A1">
        <w:rPr>
          <w:rFonts w:ascii="標楷體" w:eastAsia="標楷體" w:hAnsi="標楷體" w:hint="eastAsia"/>
          <w:sz w:val="32"/>
          <w:szCs w:val="32"/>
        </w:rPr>
        <w:t>文化委員會提出書面報告。52</w:t>
      </w:r>
    </w:p>
    <w:p w:rsidR="00A52DD2" w:rsidRPr="002F41A1" w:rsidRDefault="00A52DD2" w:rsidP="00F035E0">
      <w:pPr>
        <w:overflowPunct w:val="0"/>
        <w:spacing w:line="500" w:lineRule="exact"/>
        <w:ind w:leftChars="1250" w:left="3000"/>
        <w:jc w:val="both"/>
        <w:rPr>
          <w:rFonts w:ascii="標楷體" w:eastAsia="標楷體" w:hAnsi="標楷體"/>
          <w:sz w:val="32"/>
          <w:szCs w:val="32"/>
        </w:rPr>
      </w:pPr>
      <w:r w:rsidRPr="002F41A1">
        <w:rPr>
          <w:rFonts w:ascii="標楷體" w:eastAsia="標楷體" w:hAnsi="標楷體" w:hint="eastAsia"/>
          <w:sz w:val="32"/>
          <w:szCs w:val="32"/>
        </w:rPr>
        <w:t>提案人：范  雲</w:t>
      </w:r>
    </w:p>
    <w:p w:rsidR="00A52DD2" w:rsidRPr="002F41A1" w:rsidRDefault="00A52DD2" w:rsidP="00F035E0">
      <w:pPr>
        <w:overflowPunct w:val="0"/>
        <w:spacing w:line="500" w:lineRule="exact"/>
        <w:ind w:leftChars="1250" w:left="3000"/>
        <w:jc w:val="both"/>
        <w:rPr>
          <w:rFonts w:ascii="標楷體" w:eastAsia="標楷體" w:hAnsi="標楷體"/>
          <w:sz w:val="32"/>
          <w:szCs w:val="32"/>
        </w:rPr>
      </w:pPr>
      <w:r w:rsidRPr="002F41A1">
        <w:rPr>
          <w:rFonts w:ascii="標楷體" w:eastAsia="標楷體" w:hAnsi="標楷體" w:hint="eastAsia"/>
          <w:sz w:val="32"/>
          <w:szCs w:val="32"/>
        </w:rPr>
        <w:t>連署人：陳秀寳  林宜瑾</w:t>
      </w:r>
    </w:p>
    <w:p w:rsidR="00A52DD2" w:rsidRPr="002F41A1"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(六)</w:t>
      </w:r>
      <w:r w:rsidRPr="002F41A1">
        <w:rPr>
          <w:rFonts w:ascii="標楷體" w:eastAsia="標楷體" w:hAnsi="標楷體" w:hint="eastAsia"/>
          <w:sz w:val="32"/>
          <w:szCs w:val="32"/>
        </w:rPr>
        <w:t>行政院原子能委員會為我國原子能安全主管機關，且「核安守護」</w:t>
      </w:r>
      <w:r>
        <w:rPr>
          <w:rFonts w:ascii="標楷體" w:eastAsia="標楷體" w:hAnsi="標楷體" w:hint="eastAsia"/>
          <w:sz w:val="32"/>
          <w:szCs w:val="32"/>
        </w:rPr>
        <w:t>及「核廢處理」不只是原能會的重點業務，更是跨世代的工程與責任。</w:t>
      </w:r>
      <w:r w:rsidRPr="002F41A1">
        <w:rPr>
          <w:rFonts w:ascii="標楷體" w:eastAsia="標楷體" w:hAnsi="標楷體" w:hint="eastAsia"/>
          <w:sz w:val="32"/>
          <w:szCs w:val="32"/>
        </w:rPr>
        <w:t>換言之，「鏡週刊」所報導「原能會主委遭控性騷霸凌」一案，已不僅只是性平、勞權議題，更可能危及國家安全。原能會應配合行政院調查結果積極釐清內部民心士氣低迷狀況是否為真，如果為真又該如何改善。如原能會同仁於工作過程中感受到週刊所稱的痛苦與不當對待，</w:t>
      </w:r>
      <w:r w:rsidRPr="002F41A1">
        <w:rPr>
          <w:rFonts w:ascii="標楷體" w:eastAsia="標楷體" w:hAnsi="標楷體" w:hint="eastAsia"/>
          <w:sz w:val="32"/>
          <w:szCs w:val="32"/>
        </w:rPr>
        <w:lastRenderedPageBreak/>
        <w:t>不但將離全民的原能會越行越遠，亦難以說服民眾安心將核能安全管控交由此一勞權意識低落之組織。鑑於上述憂慮，行政院原子能委員會應於行政院調查結果出爐後向立法院教育及文化委員會提出書面報告，清楚說明勞動條件現況，以及未來對勞權的保障方案。53</w:t>
      </w:r>
    </w:p>
    <w:p w:rsidR="00A52DD2" w:rsidRPr="002F41A1" w:rsidRDefault="00A52DD2" w:rsidP="00F035E0">
      <w:pPr>
        <w:overflowPunct w:val="0"/>
        <w:spacing w:line="500" w:lineRule="exact"/>
        <w:ind w:leftChars="1250" w:left="3000"/>
        <w:jc w:val="both"/>
        <w:rPr>
          <w:rFonts w:ascii="標楷體" w:eastAsia="標楷體" w:hAnsi="標楷體"/>
          <w:sz w:val="32"/>
          <w:szCs w:val="32"/>
        </w:rPr>
      </w:pPr>
      <w:r w:rsidRPr="002F41A1">
        <w:rPr>
          <w:rFonts w:ascii="標楷體" w:eastAsia="標楷體" w:hAnsi="標楷體" w:hint="eastAsia"/>
          <w:sz w:val="32"/>
          <w:szCs w:val="32"/>
        </w:rPr>
        <w:t>提案人：林宜瑾</w:t>
      </w:r>
    </w:p>
    <w:p w:rsidR="00A52DD2" w:rsidRPr="002F41A1" w:rsidRDefault="00A52DD2" w:rsidP="00F035E0">
      <w:pPr>
        <w:overflowPunct w:val="0"/>
        <w:spacing w:line="500" w:lineRule="exact"/>
        <w:ind w:leftChars="1250" w:left="3000"/>
        <w:jc w:val="both"/>
        <w:rPr>
          <w:rFonts w:ascii="標楷體" w:eastAsia="標楷體" w:hAnsi="標楷體"/>
          <w:sz w:val="32"/>
          <w:szCs w:val="32"/>
        </w:rPr>
      </w:pPr>
      <w:r w:rsidRPr="002F41A1">
        <w:rPr>
          <w:rFonts w:ascii="標楷體" w:eastAsia="標楷體" w:hAnsi="標楷體" w:hint="eastAsia"/>
          <w:sz w:val="32"/>
          <w:szCs w:val="32"/>
        </w:rPr>
        <w:t>連署人：陳秀寳  黃國書</w:t>
      </w:r>
    </w:p>
    <w:p w:rsidR="00A52DD2" w:rsidRPr="002F41A1"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(七)</w:t>
      </w:r>
      <w:r w:rsidRPr="002F41A1">
        <w:rPr>
          <w:rFonts w:ascii="標楷體" w:eastAsia="標楷體" w:hAnsi="標楷體" w:hint="eastAsia"/>
          <w:sz w:val="32"/>
          <w:szCs w:val="32"/>
        </w:rPr>
        <w:t>行政院原子能委員會主任委員原應擔負防治職場性騷擾、捍衛性別平權之責，卻遭爆為性騷擾案件嫌疑人，且於國會答詢期間展盡對於性別平權知識的嚴重匱乏，並遲至立法委員聯合聲明要求其於性騷擾案件調查期間請假，以免影響調查結果後，方暫時離開職場。職場性騷案件或恐涉及權力不對等關係之濫用，防治與處理不可不慎，尤其應當使性別平權觀念、性騷擾之定義與相關知識，深植每一</w:t>
      </w:r>
      <w:r>
        <w:rPr>
          <w:rFonts w:ascii="標楷體" w:eastAsia="標楷體" w:hAnsi="標楷體" w:hint="eastAsia"/>
          <w:sz w:val="32"/>
          <w:szCs w:val="32"/>
        </w:rPr>
        <w:t>位</w:t>
      </w:r>
      <w:r w:rsidRPr="002F41A1">
        <w:rPr>
          <w:rFonts w:ascii="標楷體" w:eastAsia="標楷體" w:hAnsi="標楷體" w:hint="eastAsia"/>
          <w:sz w:val="32"/>
          <w:szCs w:val="32"/>
        </w:rPr>
        <w:t>原能會同仁心中、落實於原能會的每一工作日常。身為最高主管，原能會主委涉入性騷擾案件本應深自檢討，並釋出最大誠意配合行政院調查，避免任何影響調查結果之可能性。性別平權、性騷擾防治乃普世價值，原能會作為政府部門，一舉一動眾人盡收眼底，應以全民表率自居，透過最高標準自我要求。鑑於原能會此次處理性騷擾爭議的方式拙劣，且「行政院原子能委員會性騷擾申訴調查處理要點」亦未載明主任委員涉案之調查程序，為鞭策原能會改善上述疑義，要求行政院原子能委員會應向立法院教育及文化委員會做出專案報告，以清楚交代改革方向。54</w:t>
      </w:r>
    </w:p>
    <w:p w:rsidR="00A52DD2" w:rsidRPr="002F41A1" w:rsidRDefault="00A52DD2" w:rsidP="00F035E0">
      <w:pPr>
        <w:overflowPunct w:val="0"/>
        <w:spacing w:line="500" w:lineRule="exact"/>
        <w:ind w:leftChars="1250" w:left="3000"/>
        <w:jc w:val="both"/>
        <w:rPr>
          <w:rFonts w:ascii="標楷體" w:eastAsia="標楷體" w:hAnsi="標楷體"/>
          <w:sz w:val="32"/>
          <w:szCs w:val="32"/>
        </w:rPr>
      </w:pPr>
      <w:r w:rsidRPr="002F41A1">
        <w:rPr>
          <w:rFonts w:ascii="標楷體" w:eastAsia="標楷體" w:hAnsi="標楷體" w:hint="eastAsia"/>
          <w:sz w:val="32"/>
          <w:szCs w:val="32"/>
        </w:rPr>
        <w:t>提案人：林宜瑾</w:t>
      </w:r>
    </w:p>
    <w:p w:rsidR="00A52DD2" w:rsidRPr="002F41A1" w:rsidRDefault="00A52DD2" w:rsidP="00F035E0">
      <w:pPr>
        <w:overflowPunct w:val="0"/>
        <w:spacing w:line="500" w:lineRule="exact"/>
        <w:ind w:leftChars="1250" w:left="3000"/>
        <w:jc w:val="both"/>
        <w:rPr>
          <w:rFonts w:ascii="標楷體" w:eastAsia="標楷體" w:hAnsi="標楷體"/>
          <w:sz w:val="32"/>
          <w:szCs w:val="32"/>
        </w:rPr>
      </w:pPr>
      <w:r w:rsidRPr="002F41A1">
        <w:rPr>
          <w:rFonts w:ascii="標楷體" w:eastAsia="標楷體" w:hAnsi="標楷體" w:hint="eastAsia"/>
          <w:sz w:val="32"/>
          <w:szCs w:val="32"/>
        </w:rPr>
        <w:t>連署人：陳秀寳  黃國書</w:t>
      </w:r>
    </w:p>
    <w:p w:rsidR="00A52DD2" w:rsidRPr="002F41A1"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(八)因應日本福島第一</w:t>
      </w:r>
      <w:r w:rsidRPr="002F41A1">
        <w:rPr>
          <w:rFonts w:ascii="標楷體" w:eastAsia="標楷體" w:hAnsi="標楷體" w:hint="eastAsia"/>
          <w:sz w:val="32"/>
          <w:szCs w:val="32"/>
        </w:rPr>
        <w:t>核電廠含氚廢水擬於112年排放，行政院核定4年總計5億1,109萬2千元之應對計畫並跨部會辦理，</w:t>
      </w:r>
      <w:r w:rsidRPr="002F41A1">
        <w:rPr>
          <w:rFonts w:ascii="標楷體" w:eastAsia="標楷體" w:hAnsi="標楷體" w:hint="eastAsia"/>
          <w:sz w:val="32"/>
          <w:szCs w:val="32"/>
        </w:rPr>
        <w:lastRenderedPageBreak/>
        <w:t>其中逾半數之經費係由行政院原子能委員會及所屬執行。然檢視112年度所編預算，國內差旅費、國外旅費及環境清潔勞務外包經費等項目，占計畫經費比率過高，恐有浮編預算之虞。爰要求行政院原子能委員會應於1個月內務實檢討相關預算編列，以撙節相關開支，俾利相關應對計畫之進行。55</w:t>
      </w:r>
    </w:p>
    <w:p w:rsidR="00A52DD2" w:rsidRPr="002F41A1" w:rsidRDefault="00A52DD2" w:rsidP="00F035E0">
      <w:pPr>
        <w:overflowPunct w:val="0"/>
        <w:spacing w:line="500" w:lineRule="exact"/>
        <w:ind w:leftChars="1250" w:left="3000"/>
        <w:jc w:val="both"/>
        <w:rPr>
          <w:rFonts w:ascii="標楷體" w:eastAsia="標楷體" w:hAnsi="標楷體"/>
          <w:sz w:val="32"/>
          <w:szCs w:val="32"/>
        </w:rPr>
      </w:pPr>
      <w:r w:rsidRPr="002F41A1">
        <w:rPr>
          <w:rFonts w:ascii="標楷體" w:eastAsia="標楷體" w:hAnsi="標楷體" w:hint="eastAsia"/>
          <w:sz w:val="32"/>
          <w:szCs w:val="32"/>
        </w:rPr>
        <w:t>提案人：林奕華</w:t>
      </w:r>
    </w:p>
    <w:p w:rsidR="00A52DD2" w:rsidRPr="002F41A1" w:rsidRDefault="00A52DD2" w:rsidP="00F035E0">
      <w:pPr>
        <w:overflowPunct w:val="0"/>
        <w:spacing w:line="500" w:lineRule="exact"/>
        <w:ind w:leftChars="1250" w:left="3000"/>
        <w:jc w:val="both"/>
        <w:rPr>
          <w:rFonts w:ascii="標楷體" w:eastAsia="標楷體" w:hAnsi="標楷體"/>
          <w:sz w:val="32"/>
          <w:szCs w:val="32"/>
        </w:rPr>
      </w:pPr>
      <w:r w:rsidRPr="002F41A1">
        <w:rPr>
          <w:rFonts w:ascii="標楷體" w:eastAsia="標楷體" w:hAnsi="標楷體" w:hint="eastAsia"/>
          <w:sz w:val="32"/>
          <w:szCs w:val="32"/>
        </w:rPr>
        <w:t>連署人：萬美玲  鄭正鈐</w:t>
      </w:r>
    </w:p>
    <w:p w:rsidR="00A52DD2" w:rsidRPr="002F41A1"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(九)</w:t>
      </w:r>
      <w:r w:rsidRPr="002F41A1">
        <w:rPr>
          <w:rFonts w:ascii="標楷體" w:eastAsia="標楷體" w:hAnsi="標楷體" w:hint="eastAsia"/>
          <w:sz w:val="32"/>
          <w:szCs w:val="32"/>
        </w:rPr>
        <w:t>依行政院原子能委員會「蘭嶼貯存場遷場規劃報告」之審查結論，集中式貯存設施應自106年3月起8年內(114年2月)完工啟用，然截至110年底為止，台灣電力股份有限公司之選址作業仍未有實質進展，恐大幅延後遷址作業之執行時程。爰要求行政院原子能委員會應依法要求台灣電力股份有限公司提出中期暫時貯存設施</w:t>
      </w:r>
      <w:r>
        <w:rPr>
          <w:rFonts w:ascii="標楷體" w:eastAsia="標楷體" w:hAnsi="標楷體" w:hint="eastAsia"/>
          <w:sz w:val="32"/>
          <w:szCs w:val="32"/>
        </w:rPr>
        <w:t>場</w:t>
      </w:r>
      <w:r w:rsidRPr="002F41A1">
        <w:rPr>
          <w:rFonts w:ascii="標楷體" w:eastAsia="標楷體" w:hAnsi="標楷體" w:hint="eastAsia"/>
          <w:sz w:val="32"/>
          <w:szCs w:val="32"/>
        </w:rPr>
        <w:t>所需地質條件與選址程序或原則，並於3個月內向立法院教育及文化委員會提出書面報告，俾使蘭嶼貯存場遷場作業如期完成。56</w:t>
      </w:r>
    </w:p>
    <w:p w:rsidR="00A52DD2" w:rsidRPr="002F41A1" w:rsidRDefault="00A52DD2" w:rsidP="00F035E0">
      <w:pPr>
        <w:overflowPunct w:val="0"/>
        <w:spacing w:line="500" w:lineRule="exact"/>
        <w:ind w:leftChars="1250" w:left="3000"/>
        <w:jc w:val="both"/>
        <w:rPr>
          <w:rFonts w:ascii="標楷體" w:eastAsia="標楷體" w:hAnsi="標楷體"/>
          <w:sz w:val="32"/>
          <w:szCs w:val="32"/>
        </w:rPr>
      </w:pPr>
      <w:r w:rsidRPr="002F41A1">
        <w:rPr>
          <w:rFonts w:ascii="標楷體" w:eastAsia="標楷體" w:hAnsi="標楷體" w:hint="eastAsia"/>
          <w:sz w:val="32"/>
          <w:szCs w:val="32"/>
        </w:rPr>
        <w:t>提案人：林奕華</w:t>
      </w:r>
    </w:p>
    <w:p w:rsidR="00A52DD2" w:rsidRPr="002F41A1" w:rsidRDefault="00A52DD2" w:rsidP="00F035E0">
      <w:pPr>
        <w:overflowPunct w:val="0"/>
        <w:spacing w:line="500" w:lineRule="exact"/>
        <w:ind w:leftChars="1250" w:left="3000"/>
        <w:jc w:val="both"/>
        <w:rPr>
          <w:rFonts w:ascii="標楷體" w:eastAsia="標楷體" w:hAnsi="標楷體"/>
          <w:sz w:val="32"/>
          <w:szCs w:val="32"/>
        </w:rPr>
      </w:pPr>
      <w:r w:rsidRPr="002F41A1">
        <w:rPr>
          <w:rFonts w:ascii="標楷體" w:eastAsia="標楷體" w:hAnsi="標楷體" w:hint="eastAsia"/>
          <w:sz w:val="32"/>
          <w:szCs w:val="32"/>
        </w:rPr>
        <w:t>連署人：萬美玲  鄭正鈐</w:t>
      </w:r>
    </w:p>
    <w:p w:rsidR="00A52DD2" w:rsidRPr="002F41A1"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w:t>
      </w:r>
      <w:r w:rsidRPr="002F41A1">
        <w:rPr>
          <w:rFonts w:ascii="標楷體" w:eastAsia="標楷體" w:hAnsi="標楷體" w:hint="eastAsia"/>
          <w:sz w:val="32"/>
          <w:szCs w:val="32"/>
        </w:rPr>
        <w:t>鑑於日本預計於112年春季啟動福島核電廠含氚核廢水排放作業，為確認日本之含氚廢水處理及排放符合安全標準規範，行政院原子能委員會於111年3</w:t>
      </w:r>
      <w:r>
        <w:rPr>
          <w:rFonts w:ascii="標楷體" w:eastAsia="標楷體" w:hAnsi="標楷體" w:hint="eastAsia"/>
          <w:sz w:val="32"/>
          <w:szCs w:val="32"/>
        </w:rPr>
        <w:t>月</w:t>
      </w:r>
      <w:r w:rsidRPr="002F41A1">
        <w:rPr>
          <w:rFonts w:ascii="標楷體" w:eastAsia="標楷體" w:hAnsi="標楷體" w:hint="eastAsia"/>
          <w:sz w:val="32"/>
          <w:szCs w:val="32"/>
        </w:rPr>
        <w:t>及11月2度赴日，進行實地觀察及與日方交流環境監測、核種分析與排放作業相關技術評估等業務。惟原能會3月首</w:t>
      </w:r>
      <w:r>
        <w:rPr>
          <w:rFonts w:ascii="標楷體" w:eastAsia="標楷體" w:hAnsi="標楷體" w:hint="eastAsia"/>
          <w:sz w:val="32"/>
          <w:szCs w:val="32"/>
        </w:rPr>
        <w:t>次赴日考察後，所提出之「分享海洋監測數據、確認排放符合安全標準</w:t>
      </w:r>
      <w:r w:rsidRPr="002F41A1">
        <w:rPr>
          <w:rFonts w:ascii="標楷體" w:eastAsia="標楷體" w:hAnsi="標楷體" w:hint="eastAsia"/>
          <w:sz w:val="32"/>
          <w:szCs w:val="32"/>
        </w:rPr>
        <w:t>以及公開審查資訊」等3點建議，至今未見提出進一步之辦理進度及說明。行政院原子能委員會應於第2次赴日考察完畢後，一併提出112年含氚廢水排放之具體因應策略及考察建議辦理進度說明，以落實輻安監測管制工作，確保公眾健康與安全。</w:t>
      </w:r>
      <w:r w:rsidRPr="002F41A1">
        <w:rPr>
          <w:rFonts w:ascii="標楷體" w:eastAsia="標楷體" w:hAnsi="標楷體" w:hint="eastAsia"/>
          <w:sz w:val="32"/>
          <w:szCs w:val="32"/>
        </w:rPr>
        <w:lastRenderedPageBreak/>
        <w:t>爰請行政院原子能委員會於3個月內向立法院教育及文化委員會提出書面報告。57</w:t>
      </w:r>
    </w:p>
    <w:p w:rsidR="00A52DD2" w:rsidRPr="002F41A1" w:rsidRDefault="00A52DD2" w:rsidP="00F035E0">
      <w:pPr>
        <w:overflowPunct w:val="0"/>
        <w:spacing w:line="500" w:lineRule="exact"/>
        <w:ind w:leftChars="1250" w:left="3000"/>
        <w:jc w:val="both"/>
        <w:rPr>
          <w:rFonts w:ascii="標楷體" w:eastAsia="標楷體" w:hAnsi="標楷體"/>
          <w:sz w:val="32"/>
          <w:szCs w:val="32"/>
        </w:rPr>
      </w:pPr>
      <w:r w:rsidRPr="002F41A1">
        <w:rPr>
          <w:rFonts w:ascii="標楷體" w:eastAsia="標楷體" w:hAnsi="標楷體" w:hint="eastAsia"/>
          <w:sz w:val="32"/>
          <w:szCs w:val="32"/>
        </w:rPr>
        <w:t>提案人：黃國書</w:t>
      </w:r>
    </w:p>
    <w:p w:rsidR="00A52DD2" w:rsidRPr="002F41A1" w:rsidRDefault="00A52DD2" w:rsidP="00F035E0">
      <w:pPr>
        <w:overflowPunct w:val="0"/>
        <w:spacing w:line="500" w:lineRule="exact"/>
        <w:ind w:leftChars="1250" w:left="3000"/>
        <w:jc w:val="both"/>
        <w:rPr>
          <w:rFonts w:ascii="標楷體" w:eastAsia="標楷體" w:hAnsi="標楷體"/>
          <w:sz w:val="32"/>
          <w:szCs w:val="32"/>
        </w:rPr>
      </w:pPr>
      <w:r w:rsidRPr="002F41A1">
        <w:rPr>
          <w:rFonts w:ascii="標楷體" w:eastAsia="標楷體" w:hAnsi="標楷體" w:hint="eastAsia"/>
          <w:sz w:val="32"/>
          <w:szCs w:val="32"/>
        </w:rPr>
        <w:t>連署人：陳秀寳  林奕華</w:t>
      </w:r>
    </w:p>
    <w:p w:rsidR="00A52DD2" w:rsidRPr="002F41A1"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(十一)</w:t>
      </w:r>
      <w:r w:rsidRPr="002F41A1">
        <w:rPr>
          <w:rFonts w:ascii="標楷體" w:eastAsia="標楷體" w:hAnsi="標楷體" w:hint="eastAsia"/>
          <w:sz w:val="32"/>
          <w:szCs w:val="32"/>
        </w:rPr>
        <w:t>鑑於近來國際間興起有關SMR（小型模組化核反應器）之討論，據日本海外電力調查會之資料，全球正在開發之SMR共73座，其中以美國的數量與種類最多，且技術領先群雄，最快可望於2030年開始商轉。我國產業界為求供電穩定，亦開始啟動SMR之可行性研究。而原能會身為我國核能安全監督管理機關，應掌握目前國際上SMR技術發展趨勢，並研議相關管制法規，以提供未來SMR發展之因應。爰請行政院原子能委員會針對SMR之技術發展趨勢、安全性評估，以及不同SMR</w:t>
      </w:r>
      <w:r>
        <w:rPr>
          <w:rFonts w:ascii="標楷體" w:eastAsia="標楷體" w:hAnsi="標楷體" w:hint="eastAsia"/>
          <w:sz w:val="32"/>
          <w:szCs w:val="32"/>
        </w:rPr>
        <w:t>型式</w:t>
      </w:r>
      <w:r w:rsidRPr="002F41A1">
        <w:rPr>
          <w:rFonts w:ascii="標楷體" w:eastAsia="標楷體" w:hAnsi="標楷體" w:hint="eastAsia"/>
          <w:sz w:val="32"/>
          <w:szCs w:val="32"/>
        </w:rPr>
        <w:t>放射性廢棄物之差異評估，並於3個月內向立法院教育及文化委員會提出書面報告。58</w:t>
      </w:r>
    </w:p>
    <w:p w:rsidR="00A52DD2" w:rsidRPr="002F41A1" w:rsidRDefault="00A52DD2" w:rsidP="00F035E0">
      <w:pPr>
        <w:overflowPunct w:val="0"/>
        <w:spacing w:line="500" w:lineRule="exact"/>
        <w:ind w:leftChars="1250" w:left="3000"/>
        <w:jc w:val="both"/>
        <w:rPr>
          <w:rFonts w:ascii="標楷體" w:eastAsia="標楷體" w:hAnsi="標楷體"/>
          <w:sz w:val="32"/>
          <w:szCs w:val="32"/>
        </w:rPr>
      </w:pPr>
      <w:r w:rsidRPr="002F41A1">
        <w:rPr>
          <w:rFonts w:ascii="標楷體" w:eastAsia="標楷體" w:hAnsi="標楷體" w:hint="eastAsia"/>
          <w:sz w:val="32"/>
          <w:szCs w:val="32"/>
        </w:rPr>
        <w:t>提案人：黃國書</w:t>
      </w:r>
    </w:p>
    <w:p w:rsidR="00A52DD2" w:rsidRPr="002F41A1" w:rsidRDefault="00A52DD2" w:rsidP="00F035E0">
      <w:pPr>
        <w:overflowPunct w:val="0"/>
        <w:spacing w:line="500" w:lineRule="exact"/>
        <w:ind w:leftChars="1250" w:left="3000"/>
        <w:jc w:val="both"/>
        <w:rPr>
          <w:rFonts w:ascii="標楷體" w:eastAsia="標楷體" w:hAnsi="標楷體"/>
          <w:sz w:val="32"/>
          <w:szCs w:val="32"/>
        </w:rPr>
      </w:pPr>
      <w:r w:rsidRPr="002F41A1">
        <w:rPr>
          <w:rFonts w:ascii="標楷體" w:eastAsia="標楷體" w:hAnsi="標楷體" w:hint="eastAsia"/>
          <w:sz w:val="32"/>
          <w:szCs w:val="32"/>
        </w:rPr>
        <w:t>連署人：陳秀寳  林奕華</w:t>
      </w:r>
    </w:p>
    <w:p w:rsidR="00A52DD2" w:rsidRPr="002F41A1"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(十二)</w:t>
      </w:r>
      <w:r w:rsidRPr="002F41A1">
        <w:rPr>
          <w:rFonts w:ascii="標楷體" w:eastAsia="標楷體" w:hAnsi="標楷體" w:hint="eastAsia"/>
          <w:sz w:val="32"/>
          <w:szCs w:val="32"/>
        </w:rPr>
        <w:t>據監察院指出高階核廢料對於人類及環境之影響深遠，深層地質處置須面對各種複雜難測之風險，因此高階核廢料處置須以地下</w:t>
      </w:r>
      <w:r>
        <w:rPr>
          <w:rFonts w:ascii="標楷體" w:eastAsia="標楷體" w:hAnsi="標楷體" w:hint="eastAsia"/>
          <w:sz w:val="32"/>
          <w:szCs w:val="32"/>
        </w:rPr>
        <w:t>實</w:t>
      </w:r>
      <w:r w:rsidRPr="002F41A1">
        <w:rPr>
          <w:rFonts w:ascii="標楷體" w:eastAsia="標楷體" w:hAnsi="標楷體" w:hint="eastAsia"/>
          <w:sz w:val="32"/>
          <w:szCs w:val="32"/>
        </w:rPr>
        <w:t>驗室作為技術研發、測試等地質調查作業之重要設施，不僅有助於了解地質環境特性，於處置設計工程技術及安全評估上亦屬必要。惟台灣電力股份有限公司受限於無法處理民意接受度及土地取得等問題，拖延規避建置地下實驗室，最終於未取得台灣本土深層地質環境資訊、無法驗證本土地質環境進行最終處置合適性之情形下，進行後續調查研究。使得我國歷時</w:t>
      </w:r>
      <w:r w:rsidRPr="002F41A1">
        <w:rPr>
          <w:rFonts w:ascii="標楷體" w:eastAsia="標楷體" w:hAnsi="標楷體"/>
          <w:sz w:val="32"/>
          <w:szCs w:val="32"/>
        </w:rPr>
        <w:t>50</w:t>
      </w:r>
      <w:r w:rsidRPr="002F41A1">
        <w:rPr>
          <w:rFonts w:ascii="標楷體" w:eastAsia="標楷體" w:hAnsi="標楷體" w:hint="eastAsia"/>
          <w:sz w:val="32"/>
          <w:szCs w:val="32"/>
        </w:rPr>
        <w:t>年、耗資近600億元之「用過核子燃料最終處置計畫」，最終恐難以尋得地質穩定達百萬年的處置場址。而原能會身為監督之主管機關，未落實要求台電公司對候選場址區域之地質條件進一步調查評估，導致台灣</w:t>
      </w:r>
      <w:r w:rsidRPr="002F41A1">
        <w:rPr>
          <w:rFonts w:ascii="標楷體" w:eastAsia="標楷體" w:hAnsi="標楷體" w:hint="eastAsia"/>
          <w:sz w:val="32"/>
          <w:szCs w:val="32"/>
        </w:rPr>
        <w:lastRenderedPageBreak/>
        <w:t>電力股份有限公司於欠缺候選場址相關地質數據的情況下進行紙上作業，造成基金經費浪費。爰請行政院原子能委員會本於職掌針對上述問題提出報告，並於3個月內向立法院教育及文化委員會提出書面報告。59</w:t>
      </w:r>
    </w:p>
    <w:p w:rsidR="00A52DD2" w:rsidRPr="002F41A1" w:rsidRDefault="00A52DD2" w:rsidP="00F035E0">
      <w:pPr>
        <w:overflowPunct w:val="0"/>
        <w:spacing w:line="500" w:lineRule="exact"/>
        <w:ind w:leftChars="1250" w:left="3000"/>
        <w:jc w:val="both"/>
        <w:rPr>
          <w:rFonts w:ascii="標楷體" w:eastAsia="標楷體" w:hAnsi="標楷體"/>
          <w:sz w:val="32"/>
          <w:szCs w:val="32"/>
        </w:rPr>
      </w:pPr>
      <w:r w:rsidRPr="002F41A1">
        <w:rPr>
          <w:rFonts w:ascii="標楷體" w:eastAsia="標楷體" w:hAnsi="標楷體" w:hint="eastAsia"/>
          <w:sz w:val="32"/>
          <w:szCs w:val="32"/>
        </w:rPr>
        <w:t>提案人：黃國書</w:t>
      </w:r>
    </w:p>
    <w:p w:rsidR="00A52DD2" w:rsidRPr="002F41A1" w:rsidRDefault="00A52DD2" w:rsidP="00F035E0">
      <w:pPr>
        <w:overflowPunct w:val="0"/>
        <w:spacing w:line="500" w:lineRule="exact"/>
        <w:ind w:leftChars="1250" w:left="3000"/>
        <w:jc w:val="both"/>
        <w:rPr>
          <w:rFonts w:ascii="標楷體" w:eastAsia="標楷體" w:hAnsi="標楷體"/>
          <w:sz w:val="32"/>
          <w:szCs w:val="32"/>
        </w:rPr>
      </w:pPr>
      <w:r w:rsidRPr="002F41A1">
        <w:rPr>
          <w:rFonts w:ascii="標楷體" w:eastAsia="標楷體" w:hAnsi="標楷體" w:hint="eastAsia"/>
          <w:sz w:val="32"/>
          <w:szCs w:val="32"/>
        </w:rPr>
        <w:t>連署人：陳秀寳  林奕華</w:t>
      </w:r>
    </w:p>
    <w:p w:rsidR="00A52DD2" w:rsidRPr="002F41A1"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(十三)</w:t>
      </w:r>
      <w:r w:rsidRPr="002F41A1">
        <w:rPr>
          <w:rFonts w:ascii="標楷體" w:eastAsia="標楷體" w:hAnsi="標楷體" w:hint="eastAsia"/>
          <w:sz w:val="32"/>
          <w:szCs w:val="32"/>
        </w:rPr>
        <w:t>行政院原子能委員會為因應日本將於2023年春季排放含氚廢水進入海洋，已於2022年完成「輻射廢水海洋擴散模擬預報系統」及「國內第一間生物氚檢測實驗室」。又生物氚檢測實驗室亦對經濟漁獲進行安全相關檢測，惟現行檢測之漁獲項目並未全面檢測台灣重要經濟漁獲。台灣乃海島國家，行政院農業委員會漁業署估計有40萬漁業工作人口，並盤點可能遭受含氚廢水影響之漁產約有10種、年產值高達140億元，影響台灣漁業及經濟甚鉅。為保障台灣漁業工作人員、相關產業及食品安全，行政院原子能委員會應協調行政院農業委員會漁業署提供之重要經濟漁產資訊，規劃定期檢測。60</w:t>
      </w:r>
    </w:p>
    <w:p w:rsidR="00A52DD2" w:rsidRPr="002F41A1" w:rsidRDefault="00A52DD2" w:rsidP="00F035E0">
      <w:pPr>
        <w:overflowPunct w:val="0"/>
        <w:spacing w:line="500" w:lineRule="exact"/>
        <w:ind w:leftChars="1250" w:left="3000"/>
        <w:jc w:val="both"/>
        <w:rPr>
          <w:rFonts w:ascii="標楷體" w:eastAsia="標楷體" w:hAnsi="標楷體"/>
          <w:sz w:val="32"/>
          <w:szCs w:val="32"/>
        </w:rPr>
      </w:pPr>
      <w:r w:rsidRPr="002F41A1">
        <w:rPr>
          <w:rFonts w:ascii="標楷體" w:eastAsia="標楷體" w:hAnsi="標楷體" w:hint="eastAsia"/>
          <w:sz w:val="32"/>
          <w:szCs w:val="32"/>
        </w:rPr>
        <w:t>提案人：賴品妤</w:t>
      </w:r>
    </w:p>
    <w:p w:rsidR="00A52DD2" w:rsidRPr="002F41A1" w:rsidRDefault="00A52DD2" w:rsidP="00F035E0">
      <w:pPr>
        <w:overflowPunct w:val="0"/>
        <w:spacing w:line="500" w:lineRule="exact"/>
        <w:ind w:leftChars="1250" w:left="3000"/>
        <w:jc w:val="both"/>
        <w:rPr>
          <w:rFonts w:ascii="標楷體" w:eastAsia="標楷體" w:hAnsi="標楷體"/>
          <w:sz w:val="32"/>
          <w:szCs w:val="32"/>
        </w:rPr>
      </w:pPr>
      <w:r w:rsidRPr="002F41A1">
        <w:rPr>
          <w:rFonts w:ascii="標楷體" w:eastAsia="標楷體" w:hAnsi="標楷體" w:hint="eastAsia"/>
          <w:sz w:val="32"/>
          <w:szCs w:val="32"/>
        </w:rPr>
        <w:t>連署人：陳秀寳  張廖萬堅</w:t>
      </w:r>
    </w:p>
    <w:p w:rsidR="00A52DD2" w:rsidRPr="002F41A1"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(十四)</w:t>
      </w:r>
      <w:r w:rsidRPr="002F41A1">
        <w:rPr>
          <w:rFonts w:ascii="標楷體" w:eastAsia="標楷體" w:hAnsi="標楷體" w:hint="eastAsia"/>
          <w:sz w:val="32"/>
          <w:szCs w:val="32"/>
        </w:rPr>
        <w:t>112年度行政院原子能委員會</w:t>
      </w:r>
      <w:r>
        <w:rPr>
          <w:rFonts w:ascii="標楷體" w:eastAsia="標楷體" w:hAnsi="標楷體" w:hint="eastAsia"/>
          <w:sz w:val="32"/>
          <w:szCs w:val="32"/>
        </w:rPr>
        <w:t>「罰款及賠償收入」</w:t>
      </w:r>
      <w:r w:rsidRPr="002F41A1">
        <w:rPr>
          <w:rFonts w:ascii="標楷體" w:eastAsia="標楷體" w:hAnsi="標楷體" w:hint="eastAsia"/>
          <w:sz w:val="32"/>
          <w:szCs w:val="32"/>
        </w:rPr>
        <w:t>項下「罰金罰鍰及怠金」</w:t>
      </w:r>
      <w:r>
        <w:rPr>
          <w:rFonts w:ascii="標楷體" w:eastAsia="標楷體" w:hAnsi="標楷體" w:hint="eastAsia"/>
          <w:sz w:val="32"/>
          <w:szCs w:val="32"/>
        </w:rPr>
        <w:t>中</w:t>
      </w:r>
      <w:r w:rsidRPr="002F41A1">
        <w:rPr>
          <w:rFonts w:ascii="標楷體" w:eastAsia="標楷體" w:hAnsi="標楷體" w:hint="eastAsia"/>
          <w:sz w:val="32"/>
          <w:szCs w:val="32"/>
        </w:rPr>
        <w:t>「罰金罰鍰」預算編列180萬元，並說明該項收入係違反「游離輻射防護法」罰</w:t>
      </w:r>
      <w:r>
        <w:rPr>
          <w:rFonts w:ascii="標楷體" w:eastAsia="標楷體" w:hAnsi="標楷體" w:hint="eastAsia"/>
          <w:sz w:val="32"/>
          <w:szCs w:val="32"/>
        </w:rPr>
        <w:t>鍰</w:t>
      </w:r>
      <w:r w:rsidRPr="002F41A1">
        <w:rPr>
          <w:rFonts w:ascii="標楷體" w:eastAsia="標楷體" w:hAnsi="標楷體" w:hint="eastAsia"/>
          <w:sz w:val="32"/>
          <w:szCs w:val="32"/>
        </w:rPr>
        <w:t>收入。又違反「游離輻射防護法」之規定，依據情節態樣不同，罰</w:t>
      </w:r>
      <w:r>
        <w:rPr>
          <w:rFonts w:ascii="標楷體" w:eastAsia="標楷體" w:hAnsi="標楷體" w:hint="eastAsia"/>
          <w:sz w:val="32"/>
          <w:szCs w:val="32"/>
        </w:rPr>
        <w:t>鍰</w:t>
      </w:r>
      <w:r w:rsidRPr="002F41A1">
        <w:rPr>
          <w:rFonts w:ascii="標楷體" w:eastAsia="標楷體" w:hAnsi="標楷體" w:hint="eastAsia"/>
          <w:sz w:val="32"/>
          <w:szCs w:val="32"/>
        </w:rPr>
        <w:t>範圍由5萬元至300萬元不等。輻射乃對人體有長期且無法回復之傷害，有違相關管制法規應予以裁罰，然裁罰目的除了懲戒，避免再次發生導致人體傷害更為重要。據此，行政院原子能委員會於發現有違反者，除予以裁罰外，更應確</w:t>
      </w:r>
      <w:r>
        <w:rPr>
          <w:rFonts w:ascii="標楷體" w:eastAsia="標楷體" w:hAnsi="標楷體" w:hint="eastAsia"/>
          <w:sz w:val="32"/>
          <w:szCs w:val="32"/>
        </w:rPr>
        <w:t>實督促改善，並規劃後續一定期間內，不定期抽查有違反紀</w:t>
      </w:r>
      <w:r w:rsidRPr="002F41A1">
        <w:rPr>
          <w:rFonts w:ascii="標楷體" w:eastAsia="標楷體" w:hAnsi="標楷體" w:hint="eastAsia"/>
          <w:sz w:val="32"/>
          <w:szCs w:val="32"/>
        </w:rPr>
        <w:t>錄者是</w:t>
      </w:r>
      <w:r w:rsidRPr="002F41A1">
        <w:rPr>
          <w:rFonts w:ascii="標楷體" w:eastAsia="標楷體" w:hAnsi="標楷體" w:hint="eastAsia"/>
          <w:sz w:val="32"/>
          <w:szCs w:val="32"/>
        </w:rPr>
        <w:lastRenderedPageBreak/>
        <w:t>否謹遵輻射防護相關法規，以免再次發生違法事件。61</w:t>
      </w:r>
    </w:p>
    <w:p w:rsidR="00A52DD2" w:rsidRPr="002F41A1" w:rsidRDefault="00A52DD2" w:rsidP="00F035E0">
      <w:pPr>
        <w:overflowPunct w:val="0"/>
        <w:spacing w:line="500" w:lineRule="exact"/>
        <w:ind w:leftChars="1250" w:left="3000"/>
        <w:jc w:val="both"/>
        <w:rPr>
          <w:rFonts w:ascii="標楷體" w:eastAsia="標楷體" w:hAnsi="標楷體"/>
          <w:sz w:val="32"/>
          <w:szCs w:val="32"/>
        </w:rPr>
      </w:pPr>
      <w:r w:rsidRPr="002F41A1">
        <w:rPr>
          <w:rFonts w:ascii="標楷體" w:eastAsia="標楷體" w:hAnsi="標楷體" w:hint="eastAsia"/>
          <w:sz w:val="32"/>
          <w:szCs w:val="32"/>
        </w:rPr>
        <w:t>提案人：賴品妤</w:t>
      </w:r>
    </w:p>
    <w:p w:rsidR="00A52DD2" w:rsidRDefault="00A52DD2" w:rsidP="00F035E0">
      <w:pPr>
        <w:overflowPunct w:val="0"/>
        <w:spacing w:line="500" w:lineRule="exact"/>
        <w:ind w:leftChars="1250" w:left="3000"/>
        <w:jc w:val="both"/>
        <w:rPr>
          <w:rFonts w:ascii="標楷體" w:eastAsia="標楷體" w:hAnsi="標楷體"/>
          <w:snapToGrid w:val="0"/>
          <w:color w:val="000000"/>
          <w:sz w:val="32"/>
          <w:szCs w:val="32"/>
        </w:rPr>
      </w:pPr>
      <w:r w:rsidRPr="002F41A1">
        <w:rPr>
          <w:rFonts w:ascii="標楷體" w:eastAsia="標楷體" w:hAnsi="標楷體" w:hint="eastAsia"/>
          <w:sz w:val="32"/>
          <w:szCs w:val="32"/>
        </w:rPr>
        <w:t>連署人：陳秀寳  張廖萬堅</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(十五)</w:t>
      </w:r>
      <w:r w:rsidRPr="00A723FD">
        <w:rPr>
          <w:rFonts w:ascii="標楷體" w:eastAsia="標楷體" w:hAnsi="標楷體" w:hint="eastAsia"/>
          <w:snapToGrid w:val="0"/>
          <w:color w:val="000000"/>
          <w:sz w:val="32"/>
          <w:szCs w:val="32"/>
        </w:rPr>
        <w:t>112年度</w:t>
      </w:r>
      <w:r w:rsidRPr="002F41A1">
        <w:rPr>
          <w:rFonts w:ascii="標楷體" w:eastAsia="標楷體" w:hAnsi="標楷體" w:hint="eastAsia"/>
          <w:sz w:val="32"/>
          <w:szCs w:val="32"/>
        </w:rPr>
        <w:t>行政院原子能委員會</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業務費</w:t>
      </w:r>
      <w:r>
        <w:rPr>
          <w:rFonts w:ascii="標楷體" w:eastAsia="標楷體" w:hAnsi="標楷體" w:hint="eastAsia"/>
          <w:snapToGrid w:val="0"/>
          <w:color w:val="000000"/>
          <w:sz w:val="32"/>
          <w:szCs w:val="32"/>
        </w:rPr>
        <w:t>」預算編列</w:t>
      </w:r>
      <w:r w:rsidRPr="00A723FD">
        <w:rPr>
          <w:rFonts w:ascii="標楷體" w:eastAsia="標楷體" w:hAnsi="標楷體" w:hint="eastAsia"/>
          <w:snapToGrid w:val="0"/>
          <w:color w:val="000000"/>
          <w:sz w:val="32"/>
          <w:szCs w:val="32"/>
        </w:rPr>
        <w:t>2億</w:t>
      </w:r>
      <w:r>
        <w:rPr>
          <w:rFonts w:ascii="標楷體" w:eastAsia="標楷體" w:hAnsi="標楷體" w:hint="eastAsia"/>
          <w:snapToGrid w:val="0"/>
          <w:color w:val="000000"/>
          <w:sz w:val="32"/>
          <w:szCs w:val="32"/>
        </w:rPr>
        <w:t>0</w:t>
      </w:r>
      <w:r>
        <w:rPr>
          <w:rFonts w:ascii="標楷體" w:eastAsia="標楷體" w:hAnsi="標楷體"/>
          <w:snapToGrid w:val="0"/>
          <w:color w:val="000000"/>
          <w:sz w:val="32"/>
          <w:szCs w:val="32"/>
        </w:rPr>
        <w:t>,</w:t>
      </w:r>
      <w:r w:rsidRPr="00A723FD">
        <w:rPr>
          <w:rFonts w:ascii="標楷體" w:eastAsia="標楷體" w:hAnsi="標楷體" w:hint="eastAsia"/>
          <w:snapToGrid w:val="0"/>
          <w:color w:val="000000"/>
          <w:sz w:val="32"/>
          <w:szCs w:val="32"/>
        </w:rPr>
        <w:t>154萬4千元，其中</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委辦費</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預算</w:t>
      </w:r>
      <w:r>
        <w:rPr>
          <w:rFonts w:ascii="標楷體" w:eastAsia="標楷體" w:hAnsi="標楷體" w:hint="eastAsia"/>
          <w:snapToGrid w:val="0"/>
          <w:color w:val="000000"/>
          <w:sz w:val="32"/>
          <w:szCs w:val="32"/>
        </w:rPr>
        <w:t>編列</w:t>
      </w:r>
      <w:r w:rsidRPr="00A723FD">
        <w:rPr>
          <w:rFonts w:ascii="標楷體" w:eastAsia="標楷體" w:hAnsi="標楷體" w:hint="eastAsia"/>
          <w:snapToGrid w:val="0"/>
          <w:color w:val="000000"/>
          <w:sz w:val="32"/>
          <w:szCs w:val="32"/>
        </w:rPr>
        <w:t>1億</w:t>
      </w:r>
      <w:r>
        <w:rPr>
          <w:rFonts w:ascii="標楷體" w:eastAsia="標楷體" w:hAnsi="標楷體" w:hint="eastAsia"/>
          <w:snapToGrid w:val="0"/>
          <w:color w:val="000000"/>
          <w:sz w:val="32"/>
          <w:szCs w:val="32"/>
        </w:rPr>
        <w:t>0</w:t>
      </w:r>
      <w:r>
        <w:rPr>
          <w:rFonts w:ascii="標楷體" w:eastAsia="標楷體" w:hAnsi="標楷體"/>
          <w:snapToGrid w:val="0"/>
          <w:color w:val="000000"/>
          <w:sz w:val="32"/>
          <w:szCs w:val="32"/>
        </w:rPr>
        <w:t>,</w:t>
      </w:r>
      <w:r w:rsidRPr="00A723FD">
        <w:rPr>
          <w:rFonts w:ascii="標楷體" w:eastAsia="標楷體" w:hAnsi="標楷體" w:hint="eastAsia"/>
          <w:snapToGrid w:val="0"/>
          <w:color w:val="000000"/>
          <w:sz w:val="32"/>
          <w:szCs w:val="32"/>
        </w:rPr>
        <w:t>462萬2千元，占業務費比率51.91%，意即原能會逾</w:t>
      </w:r>
      <w:r>
        <w:rPr>
          <w:rFonts w:ascii="標楷體" w:eastAsia="標楷體" w:hAnsi="標楷體" w:hint="eastAsia"/>
          <w:snapToGrid w:val="0"/>
          <w:color w:val="000000"/>
          <w:sz w:val="32"/>
          <w:szCs w:val="32"/>
        </w:rPr>
        <w:t>五</w:t>
      </w:r>
      <w:r w:rsidRPr="00A723FD">
        <w:rPr>
          <w:rFonts w:ascii="標楷體" w:eastAsia="標楷體" w:hAnsi="標楷體" w:hint="eastAsia"/>
          <w:snapToGrid w:val="0"/>
          <w:color w:val="000000"/>
          <w:sz w:val="32"/>
          <w:szCs w:val="32"/>
        </w:rPr>
        <w:t>成之業務費係以委外辦理之方式執行，宜檢討委辦之合理性，爰請</w:t>
      </w:r>
      <w:r w:rsidRPr="00D31443">
        <w:rPr>
          <w:rFonts w:ascii="標楷體" w:eastAsia="標楷體" w:hAnsi="標楷體" w:hint="eastAsia"/>
          <w:snapToGrid w:val="0"/>
          <w:color w:val="000000"/>
          <w:sz w:val="32"/>
          <w:szCs w:val="32"/>
        </w:rPr>
        <w:t>行政院原子能委員會</w:t>
      </w:r>
      <w:r>
        <w:rPr>
          <w:rFonts w:ascii="標楷體" w:eastAsia="標楷體" w:hAnsi="標楷體" w:hint="eastAsia"/>
          <w:snapToGrid w:val="0"/>
          <w:color w:val="000000"/>
          <w:sz w:val="32"/>
          <w:szCs w:val="32"/>
        </w:rPr>
        <w:t>就相關委辦費必要性及效益</w:t>
      </w:r>
      <w:r w:rsidRPr="00A723FD">
        <w:rPr>
          <w:rFonts w:ascii="標楷體" w:eastAsia="標楷體" w:hAnsi="標楷體" w:hint="eastAsia"/>
          <w:snapToGrid w:val="0"/>
          <w:color w:val="000000"/>
          <w:sz w:val="32"/>
          <w:szCs w:val="32"/>
        </w:rPr>
        <w:t>於2個月內向立法院教育及文化委員會提出書面報告。</w:t>
      </w:r>
      <w:r>
        <w:rPr>
          <w:rFonts w:ascii="標楷體" w:eastAsia="標楷體" w:hAnsi="標楷體"/>
          <w:snapToGrid w:val="0"/>
          <w:color w:val="000000"/>
          <w:sz w:val="32"/>
          <w:szCs w:val="32"/>
        </w:rPr>
        <w:t>1</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提案人：鄭正鈐</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連署人：賴品妤  張廖萬堅</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十六</w:t>
      </w:r>
      <w:r w:rsidRPr="00FB7CC2">
        <w:rPr>
          <w:rFonts w:ascii="標楷體" w:eastAsia="標楷體" w:hAnsi="標楷體"/>
          <w:snapToGrid w:val="0"/>
          <w:color w:val="000000"/>
          <w:sz w:val="32"/>
          <w:szCs w:val="32"/>
        </w:rPr>
        <w:t>)</w:t>
      </w:r>
      <w:r w:rsidRPr="00D31443">
        <w:rPr>
          <w:rFonts w:ascii="標楷體" w:eastAsia="標楷體" w:hAnsi="標楷體" w:hint="eastAsia"/>
          <w:snapToGrid w:val="0"/>
          <w:color w:val="000000"/>
          <w:sz w:val="32"/>
          <w:szCs w:val="32"/>
        </w:rPr>
        <w:t>行政院原子能委員會</w:t>
      </w:r>
      <w:r w:rsidRPr="00A723FD">
        <w:rPr>
          <w:rFonts w:ascii="標楷體" w:eastAsia="標楷體" w:hAnsi="標楷體" w:hint="eastAsia"/>
          <w:snapToGrid w:val="0"/>
          <w:color w:val="000000"/>
          <w:sz w:val="32"/>
          <w:szCs w:val="32"/>
        </w:rPr>
        <w:t>為我國原子能業務之主管機關，負責國內核能電廠、核子設施及輻射作業場所之安全監督，112年度歲出</w:t>
      </w:r>
      <w:r>
        <w:rPr>
          <w:rFonts w:ascii="標楷體" w:eastAsia="標楷體" w:hAnsi="標楷體" w:hint="eastAsia"/>
          <w:snapToGrid w:val="0"/>
          <w:color w:val="000000"/>
          <w:sz w:val="32"/>
          <w:szCs w:val="32"/>
        </w:rPr>
        <w:t>預算編列</w:t>
      </w:r>
      <w:r w:rsidRPr="00A723FD">
        <w:rPr>
          <w:rFonts w:ascii="標楷體" w:eastAsia="標楷體" w:hAnsi="標楷體" w:hint="eastAsia"/>
          <w:snapToGrid w:val="0"/>
          <w:color w:val="000000"/>
          <w:sz w:val="32"/>
          <w:szCs w:val="32"/>
        </w:rPr>
        <w:t>5億5,545萬4千元，預算員額261人之人事費3億2,011萬元，人事費占歲出預算比率達57.63%，意即該會近</w:t>
      </w:r>
      <w:r>
        <w:rPr>
          <w:rFonts w:ascii="標楷體" w:eastAsia="標楷體" w:hAnsi="標楷體" w:hint="eastAsia"/>
          <w:snapToGrid w:val="0"/>
          <w:color w:val="000000"/>
          <w:sz w:val="32"/>
          <w:szCs w:val="32"/>
        </w:rPr>
        <w:t>六</w:t>
      </w:r>
      <w:r w:rsidRPr="00A723FD">
        <w:rPr>
          <w:rFonts w:ascii="標楷體" w:eastAsia="標楷體" w:hAnsi="標楷體" w:hint="eastAsia"/>
          <w:snapToGrid w:val="0"/>
          <w:color w:val="000000"/>
          <w:sz w:val="32"/>
          <w:szCs w:val="32"/>
        </w:rPr>
        <w:t>成之預算係用於支付人事費。再觀其近3年度決算(108至110年度決算)情形均有類此情況，人事費占比均逾56%，110年度決算甚高達58.64%，人力運用有檢討改進之空間，請</w:t>
      </w:r>
      <w:r w:rsidRPr="002F41A1">
        <w:rPr>
          <w:rFonts w:ascii="標楷體" w:eastAsia="標楷體" w:hAnsi="標楷體" w:hint="eastAsia"/>
          <w:sz w:val="32"/>
          <w:szCs w:val="32"/>
        </w:rPr>
        <w:t>行政院原子能委員會</w:t>
      </w:r>
      <w:r w:rsidRPr="00A723FD">
        <w:rPr>
          <w:rFonts w:ascii="標楷體" w:eastAsia="標楷體" w:hAnsi="標楷體" w:hint="eastAsia"/>
          <w:snapToGrid w:val="0"/>
          <w:color w:val="000000"/>
          <w:sz w:val="32"/>
          <w:szCs w:val="32"/>
        </w:rPr>
        <w:t>向立法院教育及文化委員會提出人力規劃書面報告。</w:t>
      </w:r>
      <w:r>
        <w:rPr>
          <w:rFonts w:ascii="標楷體" w:eastAsia="標楷體" w:hAnsi="標楷體"/>
          <w:snapToGrid w:val="0"/>
          <w:color w:val="000000"/>
          <w:sz w:val="32"/>
          <w:szCs w:val="32"/>
        </w:rPr>
        <w:t>8</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提案人：鄭正鈐</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連署人：賴品妤  張廖萬堅</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十七</w:t>
      </w:r>
      <w:r w:rsidRPr="00FB7CC2">
        <w:rPr>
          <w:rFonts w:ascii="標楷體" w:eastAsia="標楷體" w:hAnsi="標楷體"/>
          <w:snapToGrid w:val="0"/>
          <w:color w:val="000000"/>
          <w:sz w:val="32"/>
          <w:szCs w:val="32"/>
        </w:rPr>
        <w:t>)</w:t>
      </w:r>
      <w:r w:rsidRPr="00A723FD">
        <w:rPr>
          <w:rFonts w:ascii="標楷體" w:eastAsia="標楷體" w:hAnsi="標楷體" w:hint="eastAsia"/>
          <w:snapToGrid w:val="0"/>
          <w:color w:val="000000"/>
          <w:sz w:val="32"/>
          <w:szCs w:val="32"/>
        </w:rPr>
        <w:t>為配合我國推動永續發展目標，</w:t>
      </w:r>
      <w:r w:rsidRPr="002F41A1">
        <w:rPr>
          <w:rFonts w:ascii="標楷體" w:eastAsia="標楷體" w:hAnsi="標楷體" w:hint="eastAsia"/>
          <w:sz w:val="32"/>
          <w:szCs w:val="32"/>
        </w:rPr>
        <w:t>行政院原子能委員會</w:t>
      </w:r>
      <w:r w:rsidRPr="00A723FD">
        <w:rPr>
          <w:rFonts w:ascii="標楷體" w:eastAsia="標楷體" w:hAnsi="標楷體" w:hint="eastAsia"/>
          <w:snapToGrid w:val="0"/>
          <w:color w:val="000000"/>
          <w:sz w:val="32"/>
          <w:szCs w:val="32"/>
        </w:rPr>
        <w:t>已於2021年4月6日召開第1次工作會議，成立「臺灣永續發展目標推動小組」，通過原能會之</w:t>
      </w:r>
      <w:r>
        <w:rPr>
          <w:rFonts w:ascii="標楷體" w:eastAsia="標楷體" w:hAnsi="標楷體" w:hint="eastAsia"/>
          <w:snapToGrid w:val="0"/>
          <w:color w:val="000000"/>
          <w:sz w:val="32"/>
          <w:szCs w:val="32"/>
        </w:rPr>
        <w:t>「臺灣永續發展目標推動小組設置</w:t>
      </w:r>
      <w:r w:rsidRPr="00A723FD">
        <w:rPr>
          <w:rFonts w:ascii="標楷體" w:eastAsia="標楷體" w:hAnsi="標楷體" w:hint="eastAsia"/>
          <w:snapToGrid w:val="0"/>
          <w:color w:val="000000"/>
          <w:sz w:val="32"/>
          <w:szCs w:val="32"/>
        </w:rPr>
        <w:t>要點</w:t>
      </w:r>
      <w:r>
        <w:rPr>
          <w:rFonts w:ascii="標楷體" w:eastAsia="標楷體" w:hAnsi="標楷體" w:hint="eastAsia"/>
          <w:snapToGrid w:val="0"/>
          <w:color w:val="000000"/>
          <w:sz w:val="32"/>
          <w:szCs w:val="32"/>
        </w:rPr>
        <w:t>」（下稱原能會永續小組要點），並</w:t>
      </w:r>
      <w:r w:rsidRPr="00A723FD">
        <w:rPr>
          <w:rFonts w:ascii="標楷體" w:eastAsia="標楷體" w:hAnsi="標楷體" w:hint="eastAsia"/>
          <w:snapToGrid w:val="0"/>
          <w:color w:val="000000"/>
          <w:sz w:val="32"/>
          <w:szCs w:val="32"/>
        </w:rPr>
        <w:t>於</w:t>
      </w:r>
      <w:r>
        <w:rPr>
          <w:rFonts w:ascii="標楷體" w:eastAsia="標楷體" w:hAnsi="標楷體" w:hint="eastAsia"/>
          <w:snapToGrid w:val="0"/>
          <w:color w:val="000000"/>
          <w:sz w:val="32"/>
          <w:szCs w:val="32"/>
        </w:rPr>
        <w:t>2</w:t>
      </w:r>
      <w:r>
        <w:rPr>
          <w:rFonts w:ascii="標楷體" w:eastAsia="標楷體" w:hAnsi="標楷體"/>
          <w:snapToGrid w:val="0"/>
          <w:color w:val="000000"/>
          <w:sz w:val="32"/>
          <w:szCs w:val="32"/>
        </w:rPr>
        <w:t>021</w:t>
      </w:r>
      <w:r w:rsidRPr="00A723FD">
        <w:rPr>
          <w:rFonts w:ascii="標楷體" w:eastAsia="標楷體" w:hAnsi="標楷體" w:hint="eastAsia"/>
          <w:snapToGrid w:val="0"/>
          <w:color w:val="000000"/>
          <w:sz w:val="32"/>
          <w:szCs w:val="32"/>
        </w:rPr>
        <w:t>年12月提出「政府部會永續發展目標自願檢視報告」。根據</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原能會永續小組要點</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第</w:t>
      </w:r>
      <w:r>
        <w:rPr>
          <w:rFonts w:ascii="標楷體" w:eastAsia="標楷體" w:hAnsi="標楷體" w:hint="eastAsia"/>
          <w:snapToGrid w:val="0"/>
          <w:color w:val="000000"/>
          <w:sz w:val="32"/>
          <w:szCs w:val="32"/>
        </w:rPr>
        <w:t>5點</w:t>
      </w:r>
      <w:r w:rsidRPr="00A723FD">
        <w:rPr>
          <w:rFonts w:ascii="標楷體" w:eastAsia="標楷體" w:hAnsi="標楷體" w:hint="eastAsia"/>
          <w:snapToGrid w:val="0"/>
          <w:color w:val="000000"/>
          <w:sz w:val="32"/>
          <w:szCs w:val="32"/>
        </w:rPr>
        <w:t>指出，其工作會議每年係召開2</w:t>
      </w:r>
      <w:r w:rsidRPr="00A723FD">
        <w:rPr>
          <w:rFonts w:ascii="標楷體" w:eastAsia="標楷體" w:hAnsi="標楷體" w:hint="eastAsia"/>
          <w:snapToGrid w:val="0"/>
          <w:color w:val="000000"/>
          <w:sz w:val="32"/>
          <w:szCs w:val="32"/>
        </w:rPr>
        <w:lastRenderedPageBreak/>
        <w:t>次為原則，經</w:t>
      </w:r>
      <w:r>
        <w:rPr>
          <w:rFonts w:ascii="標楷體" w:eastAsia="標楷體" w:hAnsi="標楷體" w:hint="eastAsia"/>
          <w:snapToGrid w:val="0"/>
          <w:color w:val="000000"/>
          <w:sz w:val="32"/>
          <w:szCs w:val="32"/>
        </w:rPr>
        <w:t>吳委員思瑤</w:t>
      </w:r>
      <w:r w:rsidRPr="00A723FD">
        <w:rPr>
          <w:rFonts w:ascii="標楷體" w:eastAsia="標楷體" w:hAnsi="標楷體" w:hint="eastAsia"/>
          <w:snapToGrid w:val="0"/>
          <w:color w:val="000000"/>
          <w:sz w:val="32"/>
          <w:szCs w:val="32"/>
        </w:rPr>
        <w:t>調閱原能會之公開資料，自2021年4月6日後並未召開任何會議，恐與上開要點第</w:t>
      </w:r>
      <w:r>
        <w:rPr>
          <w:rFonts w:ascii="標楷體" w:eastAsia="標楷體" w:hAnsi="標楷體" w:hint="eastAsia"/>
          <w:snapToGrid w:val="0"/>
          <w:color w:val="000000"/>
          <w:sz w:val="32"/>
          <w:szCs w:val="32"/>
        </w:rPr>
        <w:t>5點相悖逆不符，</w:t>
      </w:r>
      <w:r w:rsidRPr="00A723FD">
        <w:rPr>
          <w:rFonts w:ascii="標楷體" w:eastAsia="標楷體" w:hAnsi="標楷體" w:hint="eastAsia"/>
          <w:snapToGrid w:val="0"/>
          <w:color w:val="000000"/>
          <w:sz w:val="32"/>
          <w:szCs w:val="32"/>
        </w:rPr>
        <w:t>請原能會應進行下列事項：1.召開工作小組會議已是刻不容緩，請依照</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原能會永續小組要點</w:t>
      </w:r>
      <w:r>
        <w:rPr>
          <w:rFonts w:ascii="標楷體" w:eastAsia="標楷體" w:hAnsi="標楷體" w:hint="eastAsia"/>
          <w:snapToGrid w:val="0"/>
          <w:color w:val="000000"/>
          <w:sz w:val="32"/>
          <w:szCs w:val="32"/>
        </w:rPr>
        <w:t>」儘速</w:t>
      </w:r>
      <w:r w:rsidRPr="00A723FD">
        <w:rPr>
          <w:rFonts w:ascii="標楷體" w:eastAsia="標楷體" w:hAnsi="標楷體" w:hint="eastAsia"/>
          <w:snapToGrid w:val="0"/>
          <w:color w:val="000000"/>
          <w:sz w:val="32"/>
          <w:szCs w:val="32"/>
        </w:rPr>
        <w:t>辦理</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2.依據</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原能會永續小組要點</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第</w:t>
      </w:r>
      <w:r>
        <w:rPr>
          <w:rFonts w:ascii="標楷體" w:eastAsia="標楷體" w:hAnsi="標楷體" w:hint="eastAsia"/>
          <w:snapToGrid w:val="0"/>
          <w:color w:val="000000"/>
          <w:sz w:val="32"/>
          <w:szCs w:val="32"/>
        </w:rPr>
        <w:t>4點</w:t>
      </w:r>
      <w:r w:rsidRPr="00A723FD">
        <w:rPr>
          <w:rFonts w:ascii="標楷體" w:eastAsia="標楷體" w:hAnsi="標楷體" w:hint="eastAsia"/>
          <w:snapToGrid w:val="0"/>
          <w:color w:val="000000"/>
          <w:sz w:val="32"/>
          <w:szCs w:val="32"/>
        </w:rPr>
        <w:t>之第</w:t>
      </w:r>
      <w:r>
        <w:rPr>
          <w:rFonts w:ascii="標楷體" w:eastAsia="標楷體" w:hAnsi="標楷體" w:hint="eastAsia"/>
          <w:snapToGrid w:val="0"/>
          <w:color w:val="000000"/>
          <w:sz w:val="32"/>
          <w:szCs w:val="32"/>
        </w:rPr>
        <w:t>4</w:t>
      </w:r>
      <w:r w:rsidRPr="00A723FD">
        <w:rPr>
          <w:rFonts w:ascii="標楷體" w:eastAsia="標楷體" w:hAnsi="標楷體" w:hint="eastAsia"/>
          <w:snapToGrid w:val="0"/>
          <w:color w:val="000000"/>
          <w:sz w:val="32"/>
          <w:szCs w:val="32"/>
        </w:rPr>
        <w:t>項、第</w:t>
      </w:r>
      <w:r>
        <w:rPr>
          <w:rFonts w:ascii="標楷體" w:eastAsia="標楷體" w:hAnsi="標楷體" w:hint="eastAsia"/>
          <w:snapToGrid w:val="0"/>
          <w:color w:val="000000"/>
          <w:sz w:val="32"/>
          <w:szCs w:val="32"/>
        </w:rPr>
        <w:t>5</w:t>
      </w:r>
      <w:r w:rsidRPr="00A723FD">
        <w:rPr>
          <w:rFonts w:ascii="標楷體" w:eastAsia="標楷體" w:hAnsi="標楷體" w:hint="eastAsia"/>
          <w:snapToGrid w:val="0"/>
          <w:color w:val="000000"/>
          <w:sz w:val="32"/>
          <w:szCs w:val="32"/>
        </w:rPr>
        <w:t>項指出，推動小組之任務亦須掌握組織內部推動臺灣永續發展目標之執行進度與成果、養成組織永續文化，為符合全球重視環境(Environmental)、社會(Social)及治理(Governance)等永續相關議題之趨勢，可借鏡由</w:t>
      </w:r>
      <w:r w:rsidRPr="00D31443">
        <w:rPr>
          <w:rFonts w:ascii="標楷體" w:eastAsia="標楷體" w:hAnsi="標楷體" w:hint="eastAsia"/>
          <w:snapToGrid w:val="0"/>
          <w:color w:val="000000"/>
          <w:sz w:val="32"/>
          <w:szCs w:val="32"/>
        </w:rPr>
        <w:t>金融監督管理委員會</w:t>
      </w:r>
      <w:r w:rsidRPr="00A723FD">
        <w:rPr>
          <w:rFonts w:ascii="標楷體" w:eastAsia="標楷體" w:hAnsi="標楷體" w:hint="eastAsia"/>
          <w:snapToGrid w:val="0"/>
          <w:color w:val="000000"/>
          <w:sz w:val="32"/>
          <w:szCs w:val="32"/>
        </w:rPr>
        <w:t>所推動「公司治理3.0永續發展藍圖」之執行策略，作為原能會內部推動永續治理之參照，爰建議將「組織永續治理」列為會議主題</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3.為回應全球暖化議題，我國政府已於2021年4月宣示與國際接軌，規劃於2050達成淨零碳排，已陸續規劃公有建築成為近零碳建築，且要求各機關編列預算改善。為打造原能會之淨零基礎，應進行轄下單</w:t>
      </w:r>
      <w:r>
        <w:rPr>
          <w:rFonts w:ascii="標楷體" w:eastAsia="標楷體" w:hAnsi="標楷體" w:hint="eastAsia"/>
          <w:snapToGrid w:val="0"/>
          <w:color w:val="000000"/>
          <w:sz w:val="32"/>
          <w:szCs w:val="32"/>
        </w:rPr>
        <w:t>位</w:t>
      </w:r>
      <w:r w:rsidRPr="00A723FD">
        <w:rPr>
          <w:rFonts w:ascii="標楷體" w:eastAsia="標楷體" w:hAnsi="標楷體" w:hint="eastAsia"/>
          <w:snapToGrid w:val="0"/>
          <w:color w:val="000000"/>
          <w:sz w:val="32"/>
          <w:szCs w:val="32"/>
        </w:rPr>
        <w:t>之「碳盤查」，建議請於永續小組工作會議中，要求各單位盤點所有的碳排來源，接續執行「減量」與「移除」，俾利達到淨零。並針對電力、照明、空調、隔熱、水資源、區域降溫等硬體設備；以及儲存、運輸的方式進行改善，並積極研擬有效誘因與配套措施，持續鼓勵設置太陽光電與儲能相關設備，增加再生能源發電量。爰請</w:t>
      </w:r>
      <w:r>
        <w:rPr>
          <w:rFonts w:ascii="標楷體" w:eastAsia="標楷體" w:hAnsi="標楷體" w:hint="eastAsia"/>
          <w:snapToGrid w:val="0"/>
          <w:color w:val="000000"/>
          <w:sz w:val="32"/>
          <w:szCs w:val="32"/>
        </w:rPr>
        <w:t>行政院原子能委員會</w:t>
      </w:r>
      <w:r w:rsidRPr="00A723FD">
        <w:rPr>
          <w:rFonts w:ascii="標楷體" w:eastAsia="標楷體" w:hAnsi="標楷體" w:hint="eastAsia"/>
          <w:snapToGrid w:val="0"/>
          <w:color w:val="000000"/>
          <w:sz w:val="32"/>
          <w:szCs w:val="32"/>
        </w:rPr>
        <w:t>就前述事項積極辦理，並於2個月內向立法院教育及文化委員會提出書面報告。</w:t>
      </w:r>
      <w:r>
        <w:rPr>
          <w:rFonts w:ascii="標楷體" w:eastAsia="標楷體" w:hAnsi="標楷體"/>
          <w:snapToGrid w:val="0"/>
          <w:color w:val="000000"/>
          <w:sz w:val="32"/>
          <w:szCs w:val="32"/>
        </w:rPr>
        <w:t>16</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提案人：吳思瑤</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連署人：何欣純  張廖萬堅</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十八</w:t>
      </w:r>
      <w:r w:rsidRPr="00FB7CC2">
        <w:rPr>
          <w:rFonts w:ascii="標楷體" w:eastAsia="標楷體" w:hAnsi="標楷體"/>
          <w:snapToGrid w:val="0"/>
          <w:color w:val="000000"/>
          <w:sz w:val="32"/>
          <w:szCs w:val="32"/>
        </w:rPr>
        <w:t>)</w:t>
      </w:r>
      <w:r w:rsidRPr="00A723FD">
        <w:rPr>
          <w:rFonts w:ascii="標楷體" w:eastAsia="標楷體" w:hAnsi="標楷體" w:hint="eastAsia"/>
          <w:snapToGrid w:val="0"/>
          <w:color w:val="000000"/>
          <w:sz w:val="32"/>
          <w:szCs w:val="32"/>
        </w:rPr>
        <w:t>依</w:t>
      </w:r>
      <w:r w:rsidRPr="00D31443">
        <w:rPr>
          <w:rFonts w:ascii="標楷體" w:eastAsia="標楷體" w:hAnsi="標楷體" w:hint="eastAsia"/>
          <w:snapToGrid w:val="0"/>
          <w:color w:val="000000"/>
          <w:sz w:val="32"/>
          <w:szCs w:val="32"/>
        </w:rPr>
        <w:t>行政院國家永續發展委員會</w:t>
      </w:r>
      <w:r w:rsidRPr="00A723FD">
        <w:rPr>
          <w:rFonts w:ascii="標楷體" w:eastAsia="標楷體" w:hAnsi="標楷體" w:hint="eastAsia"/>
          <w:snapToGrid w:val="0"/>
          <w:color w:val="000000"/>
          <w:sz w:val="32"/>
          <w:szCs w:val="32"/>
        </w:rPr>
        <w:t>於2020年11月19日召開之第32次委員會議決議，行政院將自2022年起，每4年提出一次國家自願檢視報告</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永續會為期國家自願檢視報告順利提出，已推動行政院所屬二級機關應編製部會自願檢視報告</w:t>
      </w:r>
      <w:r w:rsidRPr="00A723FD">
        <w:rPr>
          <w:rFonts w:ascii="標楷體" w:eastAsia="標楷體" w:hAnsi="標楷體" w:hint="eastAsia"/>
          <w:snapToGrid w:val="0"/>
          <w:color w:val="000000"/>
          <w:sz w:val="32"/>
          <w:szCs w:val="32"/>
        </w:rPr>
        <w:lastRenderedPageBreak/>
        <w:t>，以及要求各地方政府編製地方政府自願檢視報告，作為未來編製國家自願檢視報告之參考資料。根據行政院永續會網站公告之自願檢視報告清單，</w:t>
      </w:r>
      <w:r>
        <w:rPr>
          <w:rFonts w:ascii="標楷體" w:eastAsia="標楷體" w:hAnsi="標楷體" w:hint="eastAsia"/>
          <w:snapToGrid w:val="0"/>
          <w:color w:val="000000"/>
          <w:sz w:val="32"/>
          <w:szCs w:val="32"/>
        </w:rPr>
        <w:t>行政院原子能委員會</w:t>
      </w:r>
      <w:r w:rsidRPr="00A723FD">
        <w:rPr>
          <w:rFonts w:ascii="標楷體" w:eastAsia="標楷體" w:hAnsi="標楷體" w:hint="eastAsia"/>
          <w:snapToGrid w:val="0"/>
          <w:color w:val="000000"/>
          <w:sz w:val="32"/>
          <w:szCs w:val="32"/>
        </w:rPr>
        <w:t>業於2021年12月提出政府部會永續發展目標自願檢視報告，又查行政院為配合組織改造、推動2025非核家園政策，預計將針對原子能委員會與相關附屬機關進行組織改造</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擬將原能會改制為三級機關核能安全委員會，相關法案已於2022年5月送入立法院。然根據上開</w:t>
      </w:r>
      <w:r w:rsidRPr="00D31443">
        <w:rPr>
          <w:rFonts w:ascii="標楷體" w:eastAsia="標楷體" w:hAnsi="標楷體" w:hint="eastAsia"/>
          <w:snapToGrid w:val="0"/>
          <w:color w:val="000000"/>
          <w:sz w:val="32"/>
          <w:szCs w:val="32"/>
        </w:rPr>
        <w:t>行政院國家永續發展委員會</w:t>
      </w:r>
      <w:r w:rsidRPr="00A723FD">
        <w:rPr>
          <w:rFonts w:ascii="標楷體" w:eastAsia="標楷體" w:hAnsi="標楷體" w:hint="eastAsia"/>
          <w:snapToGrid w:val="0"/>
          <w:color w:val="000000"/>
          <w:sz w:val="32"/>
          <w:szCs w:val="32"/>
        </w:rPr>
        <w:t>會議決議，部會永續報告為二級機關所編制，故原能會未來改制三級機關後，已不符上開編制範圍</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但</w:t>
      </w:r>
      <w:r w:rsidRPr="00DA02D5">
        <w:rPr>
          <w:rFonts w:ascii="標楷體" w:eastAsia="標楷體" w:hAnsi="標楷體" w:hint="eastAsia"/>
          <w:snapToGrid w:val="0"/>
          <w:color w:val="000000"/>
          <w:sz w:val="32"/>
          <w:szCs w:val="32"/>
        </w:rPr>
        <w:t>行政院國家永續發展委員會</w:t>
      </w:r>
      <w:r w:rsidRPr="00A723FD">
        <w:rPr>
          <w:rFonts w:ascii="標楷體" w:eastAsia="標楷體" w:hAnsi="標楷體" w:hint="eastAsia"/>
          <w:snapToGrid w:val="0"/>
          <w:color w:val="000000"/>
          <w:sz w:val="32"/>
          <w:szCs w:val="32"/>
        </w:rPr>
        <w:t>所公布之「台灣永續發展目標」，其中第18項核心目標為非核家園，故核安會仍扮演關鍵角色，賡續編製部會永續報告有其必要性，俾利國家自願檢視報告記載之內容詳實周延。爰請</w:t>
      </w:r>
      <w:r>
        <w:rPr>
          <w:rFonts w:ascii="標楷體" w:eastAsia="標楷體" w:hAnsi="標楷體" w:hint="eastAsia"/>
          <w:snapToGrid w:val="0"/>
          <w:color w:val="000000"/>
          <w:sz w:val="32"/>
          <w:szCs w:val="32"/>
        </w:rPr>
        <w:t>行政院原子能委員會</w:t>
      </w:r>
      <w:r w:rsidRPr="00A723FD">
        <w:rPr>
          <w:rFonts w:ascii="標楷體" w:eastAsia="標楷體" w:hAnsi="標楷體" w:hint="eastAsia"/>
          <w:snapToGrid w:val="0"/>
          <w:color w:val="000000"/>
          <w:sz w:val="32"/>
          <w:szCs w:val="32"/>
        </w:rPr>
        <w:t>組改後賡續編製</w:t>
      </w:r>
      <w:r w:rsidRPr="00DA02D5">
        <w:rPr>
          <w:rFonts w:ascii="標楷體" w:eastAsia="標楷體" w:hAnsi="標楷體" w:hint="eastAsia"/>
          <w:snapToGrid w:val="0"/>
          <w:color w:val="000000"/>
          <w:sz w:val="32"/>
          <w:szCs w:val="32"/>
        </w:rPr>
        <w:t>核能安全委員會部會永續發展目標自願檢視報告</w:t>
      </w:r>
      <w:r w:rsidRPr="00A723FD">
        <w:rPr>
          <w:rFonts w:ascii="標楷體" w:eastAsia="標楷體" w:hAnsi="標楷體" w:hint="eastAsia"/>
          <w:snapToGrid w:val="0"/>
          <w:color w:val="000000"/>
          <w:sz w:val="32"/>
          <w:szCs w:val="32"/>
        </w:rPr>
        <w:t>，並於2個月內向立法院教育及文化委員會提出書面報告。</w:t>
      </w:r>
      <w:r>
        <w:rPr>
          <w:rFonts w:ascii="標楷體" w:eastAsia="標楷體" w:hAnsi="標楷體"/>
          <w:snapToGrid w:val="0"/>
          <w:color w:val="000000"/>
          <w:sz w:val="32"/>
          <w:szCs w:val="32"/>
        </w:rPr>
        <w:t>17</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提案人：吳思瑤</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連署人：何欣純  張廖萬堅</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十九</w:t>
      </w:r>
      <w:r w:rsidRPr="00FB7CC2">
        <w:rPr>
          <w:rFonts w:ascii="標楷體" w:eastAsia="標楷體" w:hAnsi="標楷體"/>
          <w:snapToGrid w:val="0"/>
          <w:color w:val="000000"/>
          <w:sz w:val="32"/>
          <w:szCs w:val="32"/>
        </w:rPr>
        <w:t>)</w:t>
      </w:r>
      <w:r w:rsidRPr="00DA02D5">
        <w:rPr>
          <w:rFonts w:ascii="標楷體" w:eastAsia="標楷體" w:hAnsi="標楷體" w:hint="eastAsia"/>
          <w:snapToGrid w:val="0"/>
          <w:color w:val="000000"/>
          <w:sz w:val="32"/>
          <w:szCs w:val="32"/>
        </w:rPr>
        <w:t>行政院原子能委員會</w:t>
      </w:r>
      <w:r w:rsidRPr="00A723FD">
        <w:rPr>
          <w:rFonts w:ascii="標楷體" w:eastAsia="標楷體" w:hAnsi="標楷體" w:hint="eastAsia"/>
          <w:snapToGrid w:val="0"/>
          <w:color w:val="000000"/>
          <w:sz w:val="32"/>
          <w:szCs w:val="32"/>
        </w:rPr>
        <w:t>除推動科技研究創新，從核安守護、核廢處理的施政主軸，近年更積極逐步擴充到確保公眾安全、推廣原子能科技創新、培養跨域人才的施政目標。</w:t>
      </w:r>
      <w:r>
        <w:rPr>
          <w:rFonts w:ascii="標楷體" w:eastAsia="標楷體" w:hAnsi="標楷體" w:hint="eastAsia"/>
          <w:snapToGrid w:val="0"/>
          <w:color w:val="000000"/>
          <w:sz w:val="32"/>
          <w:szCs w:val="32"/>
        </w:rPr>
        <w:t>112年度行政院原子能委員會</w:t>
      </w:r>
      <w:r w:rsidRPr="00A723FD">
        <w:rPr>
          <w:rFonts w:ascii="標楷體" w:eastAsia="標楷體" w:hAnsi="標楷體" w:hint="eastAsia"/>
          <w:snapToGrid w:val="0"/>
          <w:color w:val="000000"/>
          <w:sz w:val="32"/>
          <w:szCs w:val="32"/>
        </w:rPr>
        <w:t>「原子能科學發展」項下「公眾參與及民眾溝通」</w:t>
      </w:r>
      <w:r>
        <w:rPr>
          <w:rFonts w:ascii="標楷體" w:eastAsia="標楷體" w:hAnsi="標楷體" w:hint="eastAsia"/>
          <w:snapToGrid w:val="0"/>
          <w:color w:val="000000"/>
          <w:sz w:val="32"/>
          <w:szCs w:val="32"/>
        </w:rPr>
        <w:t>預算</w:t>
      </w:r>
      <w:r w:rsidRPr="00A723FD">
        <w:rPr>
          <w:rFonts w:ascii="標楷體" w:eastAsia="標楷體" w:hAnsi="標楷體" w:hint="eastAsia"/>
          <w:snapToGrid w:val="0"/>
          <w:color w:val="000000"/>
          <w:sz w:val="32"/>
          <w:szCs w:val="32"/>
        </w:rPr>
        <w:t>編列384萬2千元，辦理公眾參與、</w:t>
      </w:r>
      <w:r>
        <w:rPr>
          <w:rFonts w:ascii="標楷體" w:eastAsia="標楷體" w:hAnsi="標楷體" w:hint="eastAsia"/>
          <w:snapToGrid w:val="0"/>
          <w:color w:val="000000"/>
          <w:sz w:val="32"/>
          <w:szCs w:val="32"/>
        </w:rPr>
        <w:t>交流</w:t>
      </w:r>
      <w:r w:rsidRPr="00A723FD">
        <w:rPr>
          <w:rFonts w:ascii="標楷體" w:eastAsia="標楷體" w:hAnsi="標楷體" w:hint="eastAsia"/>
          <w:snapToGrid w:val="0"/>
          <w:color w:val="000000"/>
          <w:sz w:val="32"/>
          <w:szCs w:val="32"/>
        </w:rPr>
        <w:t>或宣傳活動，同時規劃原子能科普展，透過策展及互動體驗，建立民眾正確原子能知識。但以</w:t>
      </w:r>
      <w:r>
        <w:rPr>
          <w:rFonts w:ascii="標楷體" w:eastAsia="標楷體" w:hAnsi="標楷體" w:hint="eastAsia"/>
          <w:snapToGrid w:val="0"/>
          <w:color w:val="000000"/>
          <w:sz w:val="32"/>
          <w:szCs w:val="32"/>
        </w:rPr>
        <w:t>111</w:t>
      </w:r>
      <w:r w:rsidRPr="00A723FD">
        <w:rPr>
          <w:rFonts w:ascii="標楷體" w:eastAsia="標楷體" w:hAnsi="標楷體" w:hint="eastAsia"/>
          <w:snapToGrid w:val="0"/>
          <w:color w:val="000000"/>
          <w:sz w:val="32"/>
          <w:szCs w:val="32"/>
        </w:rPr>
        <w:t>年2月與7月分別於台北</w:t>
      </w:r>
      <w:r>
        <w:rPr>
          <w:rFonts w:ascii="標楷體" w:eastAsia="標楷體" w:hAnsi="標楷體" w:hint="eastAsia"/>
          <w:snapToGrid w:val="0"/>
          <w:color w:val="000000"/>
          <w:sz w:val="32"/>
          <w:szCs w:val="32"/>
        </w:rPr>
        <w:t>市</w:t>
      </w:r>
      <w:r w:rsidRPr="00DA02D5">
        <w:rPr>
          <w:rFonts w:ascii="標楷體" w:eastAsia="標楷體" w:hAnsi="標楷體" w:hint="eastAsia"/>
          <w:snapToGrid w:val="0"/>
          <w:color w:val="000000"/>
          <w:sz w:val="32"/>
          <w:szCs w:val="32"/>
        </w:rPr>
        <w:t>華山1914文化創意產業園區</w:t>
      </w:r>
      <w:r w:rsidRPr="00A723FD">
        <w:rPr>
          <w:rFonts w:ascii="標楷體" w:eastAsia="標楷體" w:hAnsi="標楷體" w:hint="eastAsia"/>
          <w:snapToGrid w:val="0"/>
          <w:color w:val="000000"/>
          <w:sz w:val="32"/>
          <w:szCs w:val="32"/>
        </w:rPr>
        <w:t>辦理為期4天「原子總動員科技樂無限」及「原子GO</w:t>
      </w:r>
      <w:r>
        <w:rPr>
          <w:rFonts w:ascii="標楷體" w:eastAsia="標楷體" w:hAnsi="標楷體" w:hint="eastAsia"/>
          <w:snapToGrid w:val="0"/>
          <w:color w:val="000000"/>
          <w:sz w:val="32"/>
          <w:szCs w:val="32"/>
        </w:rPr>
        <w:t>探險趣」</w:t>
      </w:r>
      <w:r w:rsidRPr="00A723FD">
        <w:rPr>
          <w:rFonts w:ascii="標楷體" w:eastAsia="標楷體" w:hAnsi="標楷體" w:hint="eastAsia"/>
          <w:snapToGrid w:val="0"/>
          <w:color w:val="000000"/>
          <w:sz w:val="32"/>
          <w:szCs w:val="32"/>
        </w:rPr>
        <w:t>科普活動，再以2019年7月、2020年10月，亦於台北</w:t>
      </w:r>
      <w:r>
        <w:rPr>
          <w:rFonts w:ascii="標楷體" w:eastAsia="標楷體" w:hAnsi="標楷體" w:hint="eastAsia"/>
          <w:snapToGrid w:val="0"/>
          <w:color w:val="000000"/>
          <w:sz w:val="32"/>
          <w:szCs w:val="32"/>
        </w:rPr>
        <w:t>市</w:t>
      </w:r>
      <w:r w:rsidRPr="00DA02D5">
        <w:rPr>
          <w:rFonts w:ascii="標楷體" w:eastAsia="標楷體" w:hAnsi="標楷體" w:hint="eastAsia"/>
          <w:snapToGrid w:val="0"/>
          <w:color w:val="000000"/>
          <w:sz w:val="32"/>
          <w:szCs w:val="32"/>
        </w:rPr>
        <w:t>華山1914文化創意產業</w:t>
      </w:r>
      <w:r w:rsidRPr="00DA02D5">
        <w:rPr>
          <w:rFonts w:ascii="標楷體" w:eastAsia="標楷體" w:hAnsi="標楷體" w:hint="eastAsia"/>
          <w:snapToGrid w:val="0"/>
          <w:color w:val="000000"/>
          <w:sz w:val="32"/>
          <w:szCs w:val="32"/>
        </w:rPr>
        <w:lastRenderedPageBreak/>
        <w:t>園區</w:t>
      </w:r>
      <w:r w:rsidRPr="00A723FD">
        <w:rPr>
          <w:rFonts w:ascii="標楷體" w:eastAsia="標楷體" w:hAnsi="標楷體" w:hint="eastAsia"/>
          <w:snapToGrid w:val="0"/>
          <w:color w:val="000000"/>
          <w:sz w:val="32"/>
          <w:szCs w:val="32"/>
        </w:rPr>
        <w:t>辦理「Fun科學環保科技」及「i上原子能綠能e世界」科普活動；2021年4月在台中</w:t>
      </w:r>
      <w:r>
        <w:rPr>
          <w:rFonts w:ascii="標楷體" w:eastAsia="標楷體" w:hAnsi="標楷體" w:hint="eastAsia"/>
          <w:snapToGrid w:val="0"/>
          <w:color w:val="000000"/>
          <w:sz w:val="32"/>
          <w:szCs w:val="32"/>
        </w:rPr>
        <w:t>市</w:t>
      </w:r>
      <w:r w:rsidRPr="00A723FD">
        <w:rPr>
          <w:rFonts w:ascii="標楷體" w:eastAsia="標楷體" w:hAnsi="標楷體" w:hint="eastAsia"/>
          <w:snapToGrid w:val="0"/>
          <w:color w:val="000000"/>
          <w:sz w:val="32"/>
          <w:szCs w:val="32"/>
        </w:rPr>
        <w:t>老虎城購物中心舉辦2天期「原子能科技科普展」，另於彰化</w:t>
      </w:r>
      <w:r>
        <w:rPr>
          <w:rFonts w:ascii="標楷體" w:eastAsia="標楷體" w:hAnsi="標楷體" w:hint="eastAsia"/>
          <w:snapToGrid w:val="0"/>
          <w:color w:val="000000"/>
          <w:sz w:val="32"/>
          <w:szCs w:val="32"/>
        </w:rPr>
        <w:t>縣</w:t>
      </w:r>
      <w:r w:rsidRPr="00A723FD">
        <w:rPr>
          <w:rFonts w:ascii="標楷體" w:eastAsia="標楷體" w:hAnsi="標楷體" w:hint="eastAsia"/>
          <w:snapToGrid w:val="0"/>
          <w:color w:val="000000"/>
          <w:sz w:val="32"/>
          <w:szCs w:val="32"/>
        </w:rPr>
        <w:t>、屏東</w:t>
      </w:r>
      <w:r>
        <w:rPr>
          <w:rFonts w:ascii="標楷體" w:eastAsia="標楷體" w:hAnsi="標楷體" w:hint="eastAsia"/>
          <w:snapToGrid w:val="0"/>
          <w:color w:val="000000"/>
          <w:sz w:val="32"/>
          <w:szCs w:val="32"/>
        </w:rPr>
        <w:t>縣</w:t>
      </w:r>
      <w:r w:rsidRPr="00A723FD">
        <w:rPr>
          <w:rFonts w:ascii="標楷體" w:eastAsia="標楷體" w:hAnsi="標楷體" w:hint="eastAsia"/>
          <w:snapToGrid w:val="0"/>
          <w:color w:val="000000"/>
          <w:sz w:val="32"/>
          <w:szCs w:val="32"/>
        </w:rPr>
        <w:t>、新竹市辦理，皆有其科普教育效</w:t>
      </w:r>
      <w:r>
        <w:rPr>
          <w:rFonts w:ascii="標楷體" w:eastAsia="標楷體" w:hAnsi="標楷體" w:hint="eastAsia"/>
          <w:snapToGrid w:val="0"/>
          <w:color w:val="000000"/>
          <w:sz w:val="32"/>
          <w:szCs w:val="32"/>
        </w:rPr>
        <w:t>益</w:t>
      </w:r>
      <w:r w:rsidRPr="00A723FD">
        <w:rPr>
          <w:rFonts w:ascii="標楷體" w:eastAsia="標楷體" w:hAnsi="標楷體" w:hint="eastAsia"/>
          <w:snapToGrid w:val="0"/>
          <w:color w:val="000000"/>
          <w:sz w:val="32"/>
          <w:szCs w:val="32"/>
        </w:rPr>
        <w:t>與意義</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惟科普活動應有長期規劃與策略，並基於區域均衡原則辦理，爰請</w:t>
      </w:r>
      <w:r w:rsidRPr="00DA02D5">
        <w:rPr>
          <w:rFonts w:ascii="標楷體" w:eastAsia="標楷體" w:hAnsi="標楷體" w:hint="eastAsia"/>
          <w:snapToGrid w:val="0"/>
          <w:color w:val="000000"/>
          <w:sz w:val="32"/>
          <w:szCs w:val="32"/>
        </w:rPr>
        <w:t>行政院原子能委員會</w:t>
      </w:r>
      <w:r>
        <w:rPr>
          <w:rFonts w:ascii="標楷體" w:eastAsia="標楷體" w:hAnsi="標楷體" w:hint="eastAsia"/>
          <w:snapToGrid w:val="0"/>
          <w:color w:val="000000"/>
          <w:sz w:val="32"/>
          <w:szCs w:val="32"/>
        </w:rPr>
        <w:t>就相關科普規劃與策略</w:t>
      </w:r>
      <w:r w:rsidRPr="00A723FD">
        <w:rPr>
          <w:rFonts w:ascii="標楷體" w:eastAsia="標楷體" w:hAnsi="標楷體" w:hint="eastAsia"/>
          <w:snapToGrid w:val="0"/>
          <w:color w:val="000000"/>
          <w:sz w:val="32"/>
          <w:szCs w:val="32"/>
        </w:rPr>
        <w:t>於2個月內向立法院教育及文化委員會提出書面報告。</w:t>
      </w:r>
      <w:r>
        <w:rPr>
          <w:rFonts w:ascii="標楷體" w:eastAsia="標楷體" w:hAnsi="標楷體"/>
          <w:snapToGrid w:val="0"/>
          <w:color w:val="000000"/>
          <w:sz w:val="32"/>
          <w:szCs w:val="32"/>
        </w:rPr>
        <w:t>19</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提案人：何欣純</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連署人：賴品妤  張廖萬堅</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(二十)</w:t>
      </w:r>
      <w:r w:rsidRPr="00A723FD">
        <w:rPr>
          <w:rFonts w:ascii="標楷體" w:eastAsia="標楷體" w:hAnsi="標楷體" w:hint="eastAsia"/>
          <w:snapToGrid w:val="0"/>
          <w:color w:val="000000"/>
          <w:sz w:val="32"/>
          <w:szCs w:val="32"/>
        </w:rPr>
        <w:t>112年度</w:t>
      </w:r>
      <w:r w:rsidRPr="00DA02D5">
        <w:rPr>
          <w:rFonts w:ascii="標楷體" w:eastAsia="標楷體" w:hAnsi="標楷體" w:hint="eastAsia"/>
          <w:snapToGrid w:val="0"/>
          <w:color w:val="000000"/>
          <w:sz w:val="32"/>
          <w:szCs w:val="32"/>
        </w:rPr>
        <w:t>行政院原子能委員會</w:t>
      </w:r>
      <w:r>
        <w:rPr>
          <w:rFonts w:ascii="標楷體" w:eastAsia="標楷體" w:hAnsi="標楷體" w:hint="eastAsia"/>
          <w:snapToGrid w:val="0"/>
          <w:color w:val="000000"/>
          <w:sz w:val="32"/>
          <w:szCs w:val="32"/>
        </w:rPr>
        <w:t>「原子能科學發展」項下「</w:t>
      </w:r>
      <w:r w:rsidRPr="00A723FD">
        <w:rPr>
          <w:rFonts w:ascii="標楷體" w:eastAsia="標楷體" w:hAnsi="標楷體" w:hint="eastAsia"/>
          <w:snapToGrid w:val="0"/>
          <w:color w:val="000000"/>
          <w:sz w:val="32"/>
          <w:szCs w:val="32"/>
        </w:rPr>
        <w:t>原子能科技基礎研究及環境建構計畫</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較</w:t>
      </w:r>
      <w:r>
        <w:rPr>
          <w:rFonts w:ascii="標楷體" w:eastAsia="標楷體" w:hAnsi="標楷體" w:hint="eastAsia"/>
          <w:snapToGrid w:val="0"/>
          <w:color w:val="000000"/>
          <w:sz w:val="32"/>
          <w:szCs w:val="32"/>
        </w:rPr>
        <w:t>111</w:t>
      </w:r>
      <w:r w:rsidRPr="00A723FD">
        <w:rPr>
          <w:rFonts w:ascii="標楷體" w:eastAsia="標楷體" w:hAnsi="標楷體" w:hint="eastAsia"/>
          <w:snapToGrid w:val="0"/>
          <w:color w:val="000000"/>
          <w:sz w:val="32"/>
          <w:szCs w:val="32"/>
        </w:rPr>
        <w:t>年度增列原子能科技學術合作研究與衛星元件開發、輻射驗證環境建構經費</w:t>
      </w:r>
      <w:r>
        <w:rPr>
          <w:rFonts w:ascii="標楷體" w:eastAsia="標楷體" w:hAnsi="標楷體" w:hint="eastAsia"/>
          <w:snapToGrid w:val="0"/>
          <w:color w:val="000000"/>
          <w:sz w:val="32"/>
          <w:szCs w:val="32"/>
        </w:rPr>
        <w:t>1</w:t>
      </w:r>
      <w:r>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7</w:t>
      </w:r>
      <w:r w:rsidRPr="00A723FD">
        <w:rPr>
          <w:rFonts w:ascii="標楷體" w:eastAsia="標楷體" w:hAnsi="標楷體" w:hint="eastAsia"/>
          <w:snapToGrid w:val="0"/>
          <w:color w:val="000000"/>
          <w:sz w:val="32"/>
          <w:szCs w:val="32"/>
        </w:rPr>
        <w:t>00</w:t>
      </w:r>
      <w:r>
        <w:rPr>
          <w:rFonts w:ascii="標楷體" w:eastAsia="標楷體" w:hAnsi="標楷體" w:hint="eastAsia"/>
          <w:snapToGrid w:val="0"/>
          <w:color w:val="000000"/>
          <w:sz w:val="32"/>
          <w:szCs w:val="32"/>
        </w:rPr>
        <w:t>萬</w:t>
      </w:r>
      <w:r w:rsidRPr="00A723FD">
        <w:rPr>
          <w:rFonts w:ascii="標楷體" w:eastAsia="標楷體" w:hAnsi="標楷體" w:hint="eastAsia"/>
          <w:snapToGrid w:val="0"/>
          <w:color w:val="000000"/>
          <w:sz w:val="32"/>
          <w:szCs w:val="32"/>
        </w:rPr>
        <w:t>元，新增經費是否均為研究經費？計畫</w:t>
      </w:r>
      <w:r>
        <w:rPr>
          <w:rFonts w:ascii="標楷體" w:eastAsia="標楷體" w:hAnsi="標楷體" w:hint="eastAsia"/>
          <w:snapToGrid w:val="0"/>
          <w:color w:val="000000"/>
          <w:sz w:val="32"/>
          <w:szCs w:val="32"/>
        </w:rPr>
        <w:t>111</w:t>
      </w:r>
      <w:r w:rsidRPr="00A723FD">
        <w:rPr>
          <w:rFonts w:ascii="標楷體" w:eastAsia="標楷體" w:hAnsi="標楷體" w:hint="eastAsia"/>
          <w:snapToGrid w:val="0"/>
          <w:color w:val="000000"/>
          <w:sz w:val="32"/>
          <w:szCs w:val="32"/>
        </w:rPr>
        <w:t>年度之預算執行率與研究之應用效益為何</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應提出具體說明，爰要求</w:t>
      </w:r>
      <w:r w:rsidRPr="00DA02D5">
        <w:rPr>
          <w:rFonts w:ascii="標楷體" w:eastAsia="標楷體" w:hAnsi="標楷體" w:hint="eastAsia"/>
          <w:snapToGrid w:val="0"/>
          <w:color w:val="000000"/>
          <w:sz w:val="32"/>
          <w:szCs w:val="32"/>
        </w:rPr>
        <w:t>行政院原子能委員會</w:t>
      </w:r>
      <w:r w:rsidRPr="00A723FD">
        <w:rPr>
          <w:rFonts w:ascii="標楷體" w:eastAsia="標楷體" w:hAnsi="標楷體" w:hint="eastAsia"/>
          <w:snapToGrid w:val="0"/>
          <w:color w:val="000000"/>
          <w:sz w:val="32"/>
          <w:szCs w:val="32"/>
        </w:rPr>
        <w:t>於3個月內向立法院教育及文化委員會提出書面報告。</w:t>
      </w:r>
      <w:r>
        <w:rPr>
          <w:rFonts w:ascii="標楷體" w:eastAsia="標楷體" w:hAnsi="標楷體"/>
          <w:snapToGrid w:val="0"/>
          <w:color w:val="000000"/>
          <w:sz w:val="32"/>
          <w:szCs w:val="32"/>
        </w:rPr>
        <w:t>21</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提案人：林奕華</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連署人：何欣純  吳思瑤</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二十一</w:t>
      </w: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112年度行政院原子能會委員會</w:t>
      </w:r>
      <w:r w:rsidRPr="00A723FD">
        <w:rPr>
          <w:rFonts w:ascii="標楷體" w:eastAsia="標楷體" w:hAnsi="標楷體" w:hint="eastAsia"/>
          <w:snapToGrid w:val="0"/>
          <w:color w:val="000000"/>
          <w:sz w:val="32"/>
          <w:szCs w:val="32"/>
        </w:rPr>
        <w:t>「游離輻射安全防護」計畫，其分支計畫包括「核設施游離輻射防護管制與環境輻射安全管制」、「游離輻射安全評估及防護督導與輻射鋼筋處理專案」、「醫用及非醫用游離輻射安全防護檢查與管制」、「新興輻射安全管制技術與</w:t>
      </w:r>
      <w:r>
        <w:rPr>
          <w:rFonts w:ascii="標楷體" w:eastAsia="標楷體" w:hAnsi="標楷體" w:hint="eastAsia"/>
          <w:snapToGrid w:val="0"/>
          <w:color w:val="000000"/>
          <w:sz w:val="32"/>
          <w:szCs w:val="32"/>
        </w:rPr>
        <w:t>法規精進研究」、「接軌國際輻防技術規範與精進量測技術能力研究」</w:t>
      </w:r>
      <w:r w:rsidRPr="00A723FD">
        <w:rPr>
          <w:rFonts w:ascii="標楷體" w:eastAsia="標楷體" w:hAnsi="標楷體" w:hint="eastAsia"/>
          <w:snapToGrid w:val="0"/>
          <w:color w:val="000000"/>
          <w:sz w:val="32"/>
          <w:szCs w:val="32"/>
        </w:rPr>
        <w:t>及「海域氚水監控跨部會合作」等</w:t>
      </w:r>
      <w:r>
        <w:rPr>
          <w:rFonts w:ascii="標楷體" w:eastAsia="標楷體" w:hAnsi="標楷體" w:hint="eastAsia"/>
          <w:snapToGrid w:val="0"/>
          <w:color w:val="000000"/>
          <w:sz w:val="32"/>
          <w:szCs w:val="32"/>
        </w:rPr>
        <w:t>6</w:t>
      </w:r>
      <w:r w:rsidRPr="00A723FD">
        <w:rPr>
          <w:rFonts w:ascii="標楷體" w:eastAsia="標楷體" w:hAnsi="標楷體" w:hint="eastAsia"/>
          <w:snapToGrid w:val="0"/>
          <w:color w:val="000000"/>
          <w:sz w:val="32"/>
          <w:szCs w:val="32"/>
        </w:rPr>
        <w:t>項，</w:t>
      </w:r>
      <w:r>
        <w:rPr>
          <w:rFonts w:ascii="標楷體" w:eastAsia="標楷體" w:hAnsi="標楷體" w:hint="eastAsia"/>
          <w:snapToGrid w:val="0"/>
          <w:color w:val="000000"/>
          <w:sz w:val="32"/>
          <w:szCs w:val="32"/>
        </w:rPr>
        <w:t>預算</w:t>
      </w:r>
      <w:r w:rsidRPr="00A723FD">
        <w:rPr>
          <w:rFonts w:ascii="標楷體" w:eastAsia="標楷體" w:hAnsi="標楷體" w:hint="eastAsia"/>
          <w:snapToGrid w:val="0"/>
          <w:color w:val="000000"/>
          <w:sz w:val="32"/>
          <w:szCs w:val="32"/>
        </w:rPr>
        <w:t>共計編列5</w:t>
      </w:r>
      <w:r>
        <w:rPr>
          <w:rFonts w:ascii="標楷體" w:eastAsia="標楷體" w:hAnsi="標楷體"/>
          <w:snapToGrid w:val="0"/>
          <w:color w:val="000000"/>
          <w:sz w:val="32"/>
          <w:szCs w:val="32"/>
        </w:rPr>
        <w:t>,</w:t>
      </w:r>
      <w:r w:rsidRPr="00A723FD">
        <w:rPr>
          <w:rFonts w:ascii="標楷體" w:eastAsia="標楷體" w:hAnsi="標楷體" w:hint="eastAsia"/>
          <w:snapToGrid w:val="0"/>
          <w:color w:val="000000"/>
          <w:sz w:val="32"/>
          <w:szCs w:val="32"/>
        </w:rPr>
        <w:t>712</w:t>
      </w:r>
      <w:r>
        <w:rPr>
          <w:rFonts w:ascii="標楷體" w:eastAsia="標楷體" w:hAnsi="標楷體" w:hint="eastAsia"/>
          <w:snapToGrid w:val="0"/>
          <w:color w:val="000000"/>
          <w:sz w:val="32"/>
          <w:szCs w:val="32"/>
        </w:rPr>
        <w:t>萬</w:t>
      </w:r>
      <w:r w:rsidRPr="00A723FD">
        <w:rPr>
          <w:rFonts w:ascii="標楷體" w:eastAsia="標楷體" w:hAnsi="標楷體" w:hint="eastAsia"/>
          <w:snapToGrid w:val="0"/>
          <w:color w:val="000000"/>
          <w:sz w:val="32"/>
          <w:szCs w:val="32"/>
        </w:rPr>
        <w:t>8</w:t>
      </w:r>
      <w:r>
        <w:rPr>
          <w:rFonts w:ascii="標楷體" w:eastAsia="標楷體" w:hAnsi="標楷體" w:hint="eastAsia"/>
          <w:snapToGrid w:val="0"/>
          <w:color w:val="000000"/>
          <w:sz w:val="32"/>
          <w:szCs w:val="32"/>
        </w:rPr>
        <w:t>千元</w:t>
      </w:r>
      <w:r w:rsidRPr="00A723FD">
        <w:rPr>
          <w:rFonts w:ascii="標楷體" w:eastAsia="標楷體" w:hAnsi="標楷體" w:hint="eastAsia"/>
          <w:snapToGrid w:val="0"/>
          <w:color w:val="000000"/>
          <w:sz w:val="32"/>
          <w:szCs w:val="32"/>
        </w:rPr>
        <w:t>，期能確保民眾健康與環境品質</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其中更推動醫療曝露品質保證計畫、擴大辦理輻射</w:t>
      </w:r>
      <w:r>
        <w:rPr>
          <w:rFonts w:ascii="標楷體" w:eastAsia="標楷體" w:hAnsi="標楷體" w:hint="eastAsia"/>
          <w:snapToGrid w:val="0"/>
          <w:color w:val="000000"/>
          <w:sz w:val="32"/>
          <w:szCs w:val="32"/>
        </w:rPr>
        <w:t>源</w:t>
      </w:r>
      <w:r w:rsidRPr="00A723FD">
        <w:rPr>
          <w:rFonts w:ascii="標楷體" w:eastAsia="標楷體" w:hAnsi="標楷體" w:hint="eastAsia"/>
          <w:snapToGrid w:val="0"/>
          <w:color w:val="000000"/>
          <w:sz w:val="32"/>
          <w:szCs w:val="32"/>
        </w:rPr>
        <w:t>安全稽查，以及執行含天然放射性物質商品調查及管理研究</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另有鑑</w:t>
      </w:r>
      <w:r>
        <w:rPr>
          <w:rFonts w:ascii="標楷體" w:eastAsia="標楷體" w:hAnsi="標楷體" w:hint="eastAsia"/>
          <w:snapToGrid w:val="0"/>
          <w:color w:val="000000"/>
          <w:sz w:val="32"/>
          <w:szCs w:val="32"/>
        </w:rPr>
        <w:t>於</w:t>
      </w:r>
      <w:r w:rsidRPr="00A723FD">
        <w:rPr>
          <w:rFonts w:ascii="標楷體" w:eastAsia="標楷體" w:hAnsi="標楷體" w:hint="eastAsia"/>
          <w:snapToGrid w:val="0"/>
          <w:color w:val="000000"/>
          <w:sz w:val="32"/>
          <w:szCs w:val="32"/>
        </w:rPr>
        <w:t>日本福島含氚處理水排放</w:t>
      </w:r>
      <w:r w:rsidRPr="00A723FD">
        <w:rPr>
          <w:rFonts w:ascii="標楷體" w:eastAsia="標楷體" w:hAnsi="標楷體" w:hint="eastAsia"/>
          <w:snapToGrid w:val="0"/>
          <w:color w:val="000000"/>
          <w:sz w:val="32"/>
          <w:szCs w:val="32"/>
        </w:rPr>
        <w:lastRenderedPageBreak/>
        <w:t>作業，辦理國家海域放射性物質擴散預警及安全評估，以上計畫內容，都是與民眾健康切身議題，在現今環境更顯重要，尤其執行醫用、非醫用游離輻射防護、國家海域放射性物質擴散預警及安全評估。爰請行政院原子能委員會審慎規劃我國輻射安全管制之策略，落實管制政策推動，以確保民眾及環境之輻射安全，並於</w:t>
      </w:r>
      <w:r>
        <w:rPr>
          <w:rFonts w:ascii="標楷體" w:eastAsia="標楷體" w:hAnsi="標楷體" w:hint="eastAsia"/>
          <w:snapToGrid w:val="0"/>
          <w:color w:val="000000"/>
          <w:sz w:val="32"/>
          <w:szCs w:val="32"/>
        </w:rPr>
        <w:t>2</w:t>
      </w:r>
      <w:r w:rsidRPr="00A723FD">
        <w:rPr>
          <w:rFonts w:ascii="標楷體" w:eastAsia="標楷體" w:hAnsi="標楷體" w:hint="eastAsia"/>
          <w:snapToGrid w:val="0"/>
          <w:color w:val="000000"/>
          <w:sz w:val="32"/>
          <w:szCs w:val="32"/>
        </w:rPr>
        <w:t>個月內</w:t>
      </w:r>
      <w:r>
        <w:rPr>
          <w:rFonts w:ascii="標楷體" w:eastAsia="標楷體" w:hAnsi="標楷體" w:hint="eastAsia"/>
          <w:snapToGrid w:val="0"/>
          <w:color w:val="000000"/>
          <w:sz w:val="32"/>
          <w:szCs w:val="32"/>
        </w:rPr>
        <w:t>向立法院教育及文化委員會</w:t>
      </w:r>
      <w:r w:rsidRPr="00A723FD">
        <w:rPr>
          <w:rFonts w:ascii="標楷體" w:eastAsia="標楷體" w:hAnsi="標楷體" w:hint="eastAsia"/>
          <w:snapToGrid w:val="0"/>
          <w:color w:val="000000"/>
          <w:sz w:val="32"/>
          <w:szCs w:val="32"/>
        </w:rPr>
        <w:t>提</w:t>
      </w:r>
      <w:r>
        <w:rPr>
          <w:rFonts w:ascii="標楷體" w:eastAsia="標楷體" w:hAnsi="標楷體" w:hint="eastAsia"/>
          <w:snapToGrid w:val="0"/>
          <w:color w:val="000000"/>
          <w:sz w:val="32"/>
          <w:szCs w:val="32"/>
        </w:rPr>
        <w:t>出</w:t>
      </w:r>
      <w:r w:rsidRPr="00A723FD">
        <w:rPr>
          <w:rFonts w:ascii="標楷體" w:eastAsia="標楷體" w:hAnsi="標楷體" w:hint="eastAsia"/>
          <w:snapToGrid w:val="0"/>
          <w:color w:val="000000"/>
          <w:sz w:val="32"/>
          <w:szCs w:val="32"/>
        </w:rPr>
        <w:t>書面報告。</w:t>
      </w:r>
      <w:r>
        <w:rPr>
          <w:rFonts w:ascii="標楷體" w:eastAsia="標楷體" w:hAnsi="標楷體"/>
          <w:snapToGrid w:val="0"/>
          <w:color w:val="000000"/>
          <w:sz w:val="32"/>
          <w:szCs w:val="32"/>
        </w:rPr>
        <w:t>26</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提案人：何欣純</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連署人：賴品妤  張廖萬堅</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二十二</w:t>
      </w:r>
      <w:r w:rsidRPr="00FB7CC2">
        <w:rPr>
          <w:rFonts w:ascii="標楷體" w:eastAsia="標楷體" w:hAnsi="標楷體"/>
          <w:snapToGrid w:val="0"/>
          <w:color w:val="000000"/>
          <w:sz w:val="32"/>
          <w:szCs w:val="32"/>
        </w:rPr>
        <w:t>)</w:t>
      </w:r>
      <w:r w:rsidRPr="00A723FD">
        <w:rPr>
          <w:rFonts w:ascii="標楷體" w:eastAsia="標楷體" w:hAnsi="標楷體" w:hint="eastAsia"/>
          <w:snapToGrid w:val="0"/>
          <w:color w:val="000000"/>
          <w:sz w:val="32"/>
          <w:szCs w:val="32"/>
        </w:rPr>
        <w:t>為因應日本112</w:t>
      </w:r>
      <w:r>
        <w:rPr>
          <w:rFonts w:ascii="標楷體" w:eastAsia="標楷體" w:hAnsi="標楷體" w:hint="eastAsia"/>
          <w:snapToGrid w:val="0"/>
          <w:color w:val="000000"/>
          <w:sz w:val="32"/>
          <w:szCs w:val="32"/>
        </w:rPr>
        <w:t>年</w:t>
      </w:r>
      <w:r w:rsidRPr="00A723FD">
        <w:rPr>
          <w:rFonts w:ascii="標楷體" w:eastAsia="標楷體" w:hAnsi="標楷體" w:hint="eastAsia"/>
          <w:snapToGrid w:val="0"/>
          <w:color w:val="000000"/>
          <w:sz w:val="32"/>
          <w:szCs w:val="32"/>
        </w:rPr>
        <w:t>春季排放含氚廢水，</w:t>
      </w:r>
      <w:r>
        <w:rPr>
          <w:rFonts w:ascii="標楷體" w:eastAsia="標楷體" w:hAnsi="標楷體" w:hint="eastAsia"/>
          <w:snapToGrid w:val="0"/>
          <w:color w:val="000000"/>
          <w:sz w:val="32"/>
          <w:szCs w:val="32"/>
        </w:rPr>
        <w:t>行政院原子能委員會</w:t>
      </w:r>
      <w:r w:rsidRPr="00A723FD">
        <w:rPr>
          <w:rFonts w:ascii="標楷體" w:eastAsia="標楷體" w:hAnsi="標楷體" w:hint="eastAsia"/>
          <w:snapToGrid w:val="0"/>
          <w:color w:val="000000"/>
          <w:sz w:val="32"/>
          <w:szCs w:val="32"/>
        </w:rPr>
        <w:t>編列預算前往日本考察</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惟</w:t>
      </w:r>
      <w:r>
        <w:rPr>
          <w:rFonts w:ascii="標楷體" w:eastAsia="標楷體" w:hAnsi="標楷體" w:hint="eastAsia"/>
          <w:snapToGrid w:val="0"/>
          <w:color w:val="000000"/>
          <w:sz w:val="32"/>
          <w:szCs w:val="32"/>
        </w:rPr>
        <w:t>立法院</w:t>
      </w:r>
      <w:r w:rsidRPr="00A723FD">
        <w:rPr>
          <w:rFonts w:ascii="標楷體" w:eastAsia="標楷體" w:hAnsi="標楷體" w:hint="eastAsia"/>
          <w:snapToGrid w:val="0"/>
          <w:color w:val="000000"/>
          <w:sz w:val="32"/>
          <w:szCs w:val="32"/>
        </w:rPr>
        <w:t>預算中心</w:t>
      </w:r>
      <w:r>
        <w:rPr>
          <w:rFonts w:ascii="標楷體" w:eastAsia="標楷體" w:hAnsi="標楷體" w:hint="eastAsia"/>
          <w:snapToGrid w:val="0"/>
          <w:color w:val="000000"/>
          <w:sz w:val="32"/>
          <w:szCs w:val="32"/>
        </w:rPr>
        <w:t>評估</w:t>
      </w:r>
      <w:r w:rsidRPr="00A723FD">
        <w:rPr>
          <w:rFonts w:ascii="標楷體" w:eastAsia="標楷體" w:hAnsi="標楷體" w:hint="eastAsia"/>
          <w:snapToGrid w:val="0"/>
          <w:color w:val="000000"/>
          <w:sz w:val="32"/>
          <w:szCs w:val="32"/>
        </w:rPr>
        <w:t>報告指出出國考察</w:t>
      </w:r>
      <w:r>
        <w:rPr>
          <w:rFonts w:ascii="標楷體" w:eastAsia="標楷體" w:hAnsi="標楷體" w:hint="eastAsia"/>
          <w:snapToGrid w:val="0"/>
          <w:color w:val="000000"/>
          <w:sz w:val="32"/>
          <w:szCs w:val="32"/>
        </w:rPr>
        <w:t>應</w:t>
      </w:r>
      <w:r w:rsidRPr="00A723FD">
        <w:rPr>
          <w:rFonts w:ascii="標楷體" w:eastAsia="標楷體" w:hAnsi="標楷體" w:hint="eastAsia"/>
          <w:snapToGrid w:val="0"/>
          <w:color w:val="000000"/>
          <w:sz w:val="32"/>
          <w:szCs w:val="32"/>
        </w:rPr>
        <w:t>切實針對考察內容等做事先規</w:t>
      </w:r>
      <w:r>
        <w:rPr>
          <w:rFonts w:ascii="標楷體" w:eastAsia="標楷體" w:hAnsi="標楷體" w:hint="eastAsia"/>
          <w:snapToGrid w:val="0"/>
          <w:color w:val="000000"/>
          <w:sz w:val="32"/>
          <w:szCs w:val="32"/>
        </w:rPr>
        <w:t>劃</w:t>
      </w:r>
      <w:r w:rsidRPr="00A723FD">
        <w:rPr>
          <w:rFonts w:ascii="標楷體" w:eastAsia="標楷體" w:hAnsi="標楷體" w:hint="eastAsia"/>
          <w:snapToGrid w:val="0"/>
          <w:color w:val="000000"/>
          <w:sz w:val="32"/>
          <w:szCs w:val="32"/>
        </w:rPr>
        <w:t>，又針對考察含氚廢水措施迄今已前往日本</w:t>
      </w:r>
      <w:r>
        <w:rPr>
          <w:rFonts w:ascii="標楷體" w:eastAsia="標楷體" w:hAnsi="標楷體" w:hint="eastAsia"/>
          <w:snapToGrid w:val="0"/>
          <w:color w:val="000000"/>
          <w:sz w:val="32"/>
          <w:szCs w:val="32"/>
        </w:rPr>
        <w:t>2</w:t>
      </w:r>
      <w:r w:rsidRPr="00A723FD">
        <w:rPr>
          <w:rFonts w:ascii="標楷體" w:eastAsia="標楷體" w:hAnsi="標楷體" w:hint="eastAsia"/>
          <w:snapToGrid w:val="0"/>
          <w:color w:val="000000"/>
          <w:sz w:val="32"/>
          <w:szCs w:val="32"/>
        </w:rPr>
        <w:t>次，但卻無針對排放規劃、因應措施等做出具體的說明與報告。爰請行政院原子能委員會，確實掌握日本含氚廢水之排放，以規劃我國的因應措施，保障台灣海域環境及民眾之輻射安全，並於</w:t>
      </w:r>
      <w:r>
        <w:rPr>
          <w:rFonts w:ascii="標楷體" w:eastAsia="標楷體" w:hAnsi="標楷體" w:hint="eastAsia"/>
          <w:snapToGrid w:val="0"/>
          <w:color w:val="000000"/>
          <w:sz w:val="32"/>
          <w:szCs w:val="32"/>
        </w:rPr>
        <w:t>2</w:t>
      </w:r>
      <w:r w:rsidRPr="00A723FD">
        <w:rPr>
          <w:rFonts w:ascii="標楷體" w:eastAsia="標楷體" w:hAnsi="標楷體" w:hint="eastAsia"/>
          <w:snapToGrid w:val="0"/>
          <w:color w:val="000000"/>
          <w:sz w:val="32"/>
          <w:szCs w:val="32"/>
        </w:rPr>
        <w:t>個月內</w:t>
      </w:r>
      <w:r>
        <w:rPr>
          <w:rFonts w:ascii="標楷體" w:eastAsia="標楷體" w:hAnsi="標楷體" w:hint="eastAsia"/>
          <w:snapToGrid w:val="0"/>
          <w:color w:val="000000"/>
          <w:sz w:val="32"/>
          <w:szCs w:val="32"/>
        </w:rPr>
        <w:t>向立法院教育及文化委員會</w:t>
      </w:r>
      <w:r w:rsidRPr="00A723FD">
        <w:rPr>
          <w:rFonts w:ascii="標楷體" w:eastAsia="標楷體" w:hAnsi="標楷體" w:hint="eastAsia"/>
          <w:snapToGrid w:val="0"/>
          <w:color w:val="000000"/>
          <w:sz w:val="32"/>
          <w:szCs w:val="32"/>
        </w:rPr>
        <w:t>提</w:t>
      </w:r>
      <w:r>
        <w:rPr>
          <w:rFonts w:ascii="標楷體" w:eastAsia="標楷體" w:hAnsi="標楷體" w:hint="eastAsia"/>
          <w:snapToGrid w:val="0"/>
          <w:color w:val="000000"/>
          <w:sz w:val="32"/>
          <w:szCs w:val="32"/>
        </w:rPr>
        <w:t>出</w:t>
      </w:r>
      <w:r w:rsidRPr="00A723FD">
        <w:rPr>
          <w:rFonts w:ascii="標楷體" w:eastAsia="標楷體" w:hAnsi="標楷體" w:hint="eastAsia"/>
          <w:snapToGrid w:val="0"/>
          <w:color w:val="000000"/>
          <w:sz w:val="32"/>
          <w:szCs w:val="32"/>
        </w:rPr>
        <w:t>書面報告。</w:t>
      </w:r>
      <w:r>
        <w:rPr>
          <w:rFonts w:ascii="標楷體" w:eastAsia="標楷體" w:hAnsi="標楷體"/>
          <w:snapToGrid w:val="0"/>
          <w:color w:val="000000"/>
          <w:sz w:val="32"/>
          <w:szCs w:val="32"/>
        </w:rPr>
        <w:t>27</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提案人：陳秀寳</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連署人：何欣純  吳思瑤</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二十三</w:t>
      </w:r>
      <w:r w:rsidRPr="00FB7CC2">
        <w:rPr>
          <w:rFonts w:ascii="標楷體" w:eastAsia="標楷體" w:hAnsi="標楷體"/>
          <w:snapToGrid w:val="0"/>
          <w:color w:val="000000"/>
          <w:sz w:val="32"/>
          <w:szCs w:val="32"/>
        </w:rPr>
        <w:t>)</w:t>
      </w:r>
      <w:r w:rsidRPr="00A723FD">
        <w:rPr>
          <w:rFonts w:ascii="標楷體" w:eastAsia="標楷體" w:hAnsi="標楷體" w:hint="eastAsia"/>
          <w:snapToGrid w:val="0"/>
          <w:color w:val="000000"/>
          <w:sz w:val="32"/>
          <w:szCs w:val="32"/>
        </w:rPr>
        <w:t>111</w:t>
      </w:r>
      <w:r>
        <w:rPr>
          <w:rFonts w:ascii="標楷體" w:eastAsia="標楷體" w:hAnsi="標楷體" w:hint="eastAsia"/>
          <w:snapToGrid w:val="0"/>
          <w:color w:val="000000"/>
          <w:sz w:val="32"/>
          <w:szCs w:val="32"/>
        </w:rPr>
        <w:t>年度</w:t>
      </w:r>
      <w:r w:rsidRPr="00A723FD">
        <w:rPr>
          <w:rFonts w:ascii="標楷體" w:eastAsia="標楷體" w:hAnsi="標楷體" w:hint="eastAsia"/>
          <w:snapToGrid w:val="0"/>
          <w:color w:val="000000"/>
          <w:sz w:val="32"/>
          <w:szCs w:val="32"/>
        </w:rPr>
        <w:t>符合1至5毫西弗輻射屋的居民人數為2,935人，並皆已執行健康關懷</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但其中參與健檢人數為125人，占符合資格人數4.25%，雖已較110年</w:t>
      </w:r>
      <w:r>
        <w:rPr>
          <w:rFonts w:ascii="標楷體" w:eastAsia="標楷體" w:hAnsi="標楷體" w:hint="eastAsia"/>
          <w:snapToGrid w:val="0"/>
          <w:color w:val="000000"/>
          <w:sz w:val="32"/>
          <w:szCs w:val="32"/>
        </w:rPr>
        <w:t>度</w:t>
      </w:r>
      <w:r w:rsidRPr="00A723FD">
        <w:rPr>
          <w:rFonts w:ascii="標楷體" w:eastAsia="標楷體" w:hAnsi="標楷體" w:hint="eastAsia"/>
          <w:snapToGrid w:val="0"/>
          <w:color w:val="000000"/>
          <w:sz w:val="32"/>
          <w:szCs w:val="32"/>
        </w:rPr>
        <w:t>增加，但健檢執行率仍不高，且預算執行數亦未達80%。爰請行政院原子能委員會宜視實際需求編列預算或研議鼓勵民眾參與健檢之方式，以提升預算執行率，並於</w:t>
      </w:r>
      <w:r>
        <w:rPr>
          <w:rFonts w:ascii="標楷體" w:eastAsia="標楷體" w:hAnsi="標楷體" w:hint="eastAsia"/>
          <w:snapToGrid w:val="0"/>
          <w:color w:val="000000"/>
          <w:sz w:val="32"/>
          <w:szCs w:val="32"/>
        </w:rPr>
        <w:t>2</w:t>
      </w:r>
      <w:r w:rsidRPr="00A723FD">
        <w:rPr>
          <w:rFonts w:ascii="標楷體" w:eastAsia="標楷體" w:hAnsi="標楷體" w:hint="eastAsia"/>
          <w:snapToGrid w:val="0"/>
          <w:color w:val="000000"/>
          <w:sz w:val="32"/>
          <w:szCs w:val="32"/>
        </w:rPr>
        <w:t>個月內</w:t>
      </w:r>
      <w:r>
        <w:rPr>
          <w:rFonts w:ascii="標楷體" w:eastAsia="標楷體" w:hAnsi="標楷體" w:hint="eastAsia"/>
          <w:snapToGrid w:val="0"/>
          <w:color w:val="000000"/>
          <w:sz w:val="32"/>
          <w:szCs w:val="32"/>
        </w:rPr>
        <w:t>向立法院教育及文化委員會</w:t>
      </w:r>
      <w:r w:rsidRPr="00A723FD">
        <w:rPr>
          <w:rFonts w:ascii="標楷體" w:eastAsia="標楷體" w:hAnsi="標楷體" w:hint="eastAsia"/>
          <w:snapToGrid w:val="0"/>
          <w:color w:val="000000"/>
          <w:sz w:val="32"/>
          <w:szCs w:val="32"/>
        </w:rPr>
        <w:t>提</w:t>
      </w:r>
      <w:r>
        <w:rPr>
          <w:rFonts w:ascii="標楷體" w:eastAsia="標楷體" w:hAnsi="標楷體" w:hint="eastAsia"/>
          <w:snapToGrid w:val="0"/>
          <w:color w:val="000000"/>
          <w:sz w:val="32"/>
          <w:szCs w:val="32"/>
        </w:rPr>
        <w:t>出</w:t>
      </w:r>
      <w:r w:rsidRPr="00A723FD">
        <w:rPr>
          <w:rFonts w:ascii="標楷體" w:eastAsia="標楷體" w:hAnsi="標楷體" w:hint="eastAsia"/>
          <w:snapToGrid w:val="0"/>
          <w:color w:val="000000"/>
          <w:sz w:val="32"/>
          <w:szCs w:val="32"/>
        </w:rPr>
        <w:t>書面報告。</w:t>
      </w:r>
      <w:r>
        <w:rPr>
          <w:rFonts w:ascii="標楷體" w:eastAsia="標楷體" w:hAnsi="標楷體"/>
          <w:snapToGrid w:val="0"/>
          <w:color w:val="000000"/>
          <w:sz w:val="32"/>
          <w:szCs w:val="32"/>
        </w:rPr>
        <w:t>2</w:t>
      </w:r>
      <w:r>
        <w:rPr>
          <w:rFonts w:ascii="標楷體" w:eastAsia="標楷體" w:hAnsi="標楷體" w:hint="eastAsia"/>
          <w:snapToGrid w:val="0"/>
          <w:color w:val="000000"/>
          <w:sz w:val="32"/>
          <w:szCs w:val="32"/>
        </w:rPr>
        <w:t>8</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提案人：張廖萬堅</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連署人：賴品妤  何欣純</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snapToGrid w:val="0"/>
          <w:color w:val="000000"/>
          <w:sz w:val="32"/>
          <w:szCs w:val="32"/>
        </w:rPr>
        <w:lastRenderedPageBreak/>
        <w:t>(</w:t>
      </w:r>
      <w:r>
        <w:rPr>
          <w:rFonts w:ascii="標楷體" w:eastAsia="標楷體" w:hAnsi="標楷體" w:hint="eastAsia"/>
          <w:snapToGrid w:val="0"/>
          <w:color w:val="000000"/>
          <w:sz w:val="32"/>
          <w:szCs w:val="32"/>
        </w:rPr>
        <w:t>二十四</w:t>
      </w:r>
      <w:r w:rsidRPr="00FB7CC2">
        <w:rPr>
          <w:rFonts w:ascii="標楷體" w:eastAsia="標楷體" w:hAnsi="標楷體"/>
          <w:snapToGrid w:val="0"/>
          <w:color w:val="000000"/>
          <w:sz w:val="32"/>
          <w:szCs w:val="32"/>
        </w:rPr>
        <w:t>)</w:t>
      </w:r>
      <w:r w:rsidRPr="00A723FD">
        <w:rPr>
          <w:rFonts w:ascii="標楷體" w:eastAsia="標楷體" w:hAnsi="標楷體" w:hint="eastAsia"/>
          <w:snapToGrid w:val="0"/>
          <w:color w:val="000000"/>
          <w:sz w:val="32"/>
          <w:szCs w:val="32"/>
        </w:rPr>
        <w:t>有</w:t>
      </w:r>
      <w:r>
        <w:rPr>
          <w:rFonts w:ascii="標楷體" w:eastAsia="標楷體" w:hAnsi="標楷體" w:hint="eastAsia"/>
          <w:snapToGrid w:val="0"/>
          <w:color w:val="000000"/>
          <w:sz w:val="32"/>
          <w:szCs w:val="32"/>
        </w:rPr>
        <w:t>鑑</w:t>
      </w:r>
      <w:r w:rsidRPr="00A723FD">
        <w:rPr>
          <w:rFonts w:ascii="標楷體" w:eastAsia="標楷體" w:hAnsi="標楷體" w:hint="eastAsia"/>
          <w:snapToGrid w:val="0"/>
          <w:color w:val="000000"/>
          <w:sz w:val="32"/>
          <w:szCs w:val="32"/>
        </w:rPr>
        <w:t>於</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原子能法</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自</w:t>
      </w:r>
      <w:r>
        <w:rPr>
          <w:rFonts w:ascii="標楷體" w:eastAsia="標楷體" w:hAnsi="標楷體" w:hint="eastAsia"/>
          <w:snapToGrid w:val="0"/>
          <w:color w:val="000000"/>
          <w:sz w:val="32"/>
          <w:szCs w:val="32"/>
        </w:rPr>
        <w:t>57</w:t>
      </w:r>
      <w:r w:rsidRPr="00A723FD">
        <w:rPr>
          <w:rFonts w:ascii="標楷體" w:eastAsia="標楷體" w:hAnsi="標楷體" w:hint="eastAsia"/>
          <w:snapToGrid w:val="0"/>
          <w:color w:val="000000"/>
          <w:sz w:val="32"/>
          <w:szCs w:val="32"/>
        </w:rPr>
        <w:t>年5月9日公布施行以來，迄今已歷近50年，期間雖於</w:t>
      </w:r>
      <w:r>
        <w:rPr>
          <w:rFonts w:ascii="標楷體" w:eastAsia="標楷體" w:hAnsi="標楷體" w:hint="eastAsia"/>
          <w:snapToGrid w:val="0"/>
          <w:color w:val="000000"/>
          <w:sz w:val="32"/>
          <w:szCs w:val="32"/>
        </w:rPr>
        <w:t>60</w:t>
      </w:r>
      <w:r w:rsidRPr="00A723FD">
        <w:rPr>
          <w:rFonts w:ascii="標楷體" w:eastAsia="標楷體" w:hAnsi="標楷體" w:hint="eastAsia"/>
          <w:snapToGrid w:val="0"/>
          <w:color w:val="000000"/>
          <w:sz w:val="32"/>
          <w:szCs w:val="32"/>
        </w:rPr>
        <w:t>年曾作修正</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惟僅增列第</w:t>
      </w:r>
      <w:r>
        <w:rPr>
          <w:rFonts w:ascii="標楷體" w:eastAsia="標楷體" w:hAnsi="標楷體" w:hint="eastAsia"/>
          <w:snapToGrid w:val="0"/>
          <w:color w:val="000000"/>
          <w:sz w:val="32"/>
          <w:szCs w:val="32"/>
        </w:rPr>
        <w:t>33</w:t>
      </w:r>
      <w:r w:rsidRPr="00A723FD">
        <w:rPr>
          <w:rFonts w:ascii="標楷體" w:eastAsia="標楷體" w:hAnsi="標楷體" w:hint="eastAsia"/>
          <w:snapToGrid w:val="0"/>
          <w:color w:val="000000"/>
          <w:sz w:val="32"/>
          <w:szCs w:val="32"/>
        </w:rPr>
        <w:t>條第</w:t>
      </w:r>
      <w:r>
        <w:rPr>
          <w:rFonts w:ascii="標楷體" w:eastAsia="標楷體" w:hAnsi="標楷體" w:hint="eastAsia"/>
          <w:snapToGrid w:val="0"/>
          <w:color w:val="000000"/>
          <w:sz w:val="32"/>
          <w:szCs w:val="32"/>
        </w:rPr>
        <w:t>2</w:t>
      </w:r>
      <w:r w:rsidRPr="00A723FD">
        <w:rPr>
          <w:rFonts w:ascii="標楷體" w:eastAsia="標楷體" w:hAnsi="標楷體" w:hint="eastAsia"/>
          <w:snapToGrid w:val="0"/>
          <w:color w:val="000000"/>
          <w:sz w:val="32"/>
          <w:szCs w:val="32"/>
        </w:rPr>
        <w:t>項，規定政府得徵收規費及訂定收費標準，整體並無重大變動，經查有下列情況：</w:t>
      </w:r>
      <w:r>
        <w:rPr>
          <w:rFonts w:ascii="標楷體" w:eastAsia="標楷體" w:hAnsi="標楷體" w:hint="eastAsia"/>
          <w:snapToGrid w:val="0"/>
          <w:color w:val="000000"/>
          <w:sz w:val="32"/>
          <w:szCs w:val="32"/>
        </w:rPr>
        <w:t>1.</w:t>
      </w:r>
      <w:r w:rsidRPr="00A723FD">
        <w:rPr>
          <w:rFonts w:ascii="標楷體" w:eastAsia="標楷體" w:hAnsi="標楷體" w:hint="eastAsia"/>
          <w:snapToGrid w:val="0"/>
          <w:color w:val="000000"/>
          <w:sz w:val="32"/>
          <w:szCs w:val="32"/>
        </w:rPr>
        <w:t>我國在原子能科學技術上雖持續發展，但相關法制上卻未能與</w:t>
      </w:r>
      <w:r>
        <w:rPr>
          <w:rFonts w:ascii="標楷體" w:eastAsia="標楷體" w:hAnsi="標楷體" w:hint="eastAsia"/>
          <w:snapToGrid w:val="0"/>
          <w:color w:val="000000"/>
          <w:sz w:val="32"/>
          <w:szCs w:val="32"/>
        </w:rPr>
        <w:t>時</w:t>
      </w:r>
      <w:r w:rsidRPr="00A723FD">
        <w:rPr>
          <w:rFonts w:ascii="標楷體" w:eastAsia="標楷體" w:hAnsi="標楷體" w:hint="eastAsia"/>
          <w:snapToGrid w:val="0"/>
          <w:color w:val="000000"/>
          <w:sz w:val="32"/>
          <w:szCs w:val="32"/>
        </w:rPr>
        <w:t>俱進，近年來原子能和平應用蓬勃發展，如核電發展、放射性物質及可發生游離輻射設備皆為醫、農、工、商及學術各界廣泛應用，而有關核能設施安全、游離輻射防護及放射性廢棄物管制事項之規定亟待賡續突破</w:t>
      </w:r>
      <w:r>
        <w:rPr>
          <w:rFonts w:ascii="標楷體" w:eastAsia="標楷體" w:hAnsi="標楷體" w:hint="eastAsia"/>
          <w:snapToGrid w:val="0"/>
          <w:color w:val="000000"/>
          <w:sz w:val="32"/>
          <w:szCs w:val="32"/>
        </w:rPr>
        <w:t>；2.</w:t>
      </w:r>
      <w:r w:rsidRPr="00A723FD">
        <w:rPr>
          <w:rFonts w:ascii="標楷體" w:eastAsia="標楷體" w:hAnsi="標楷體" w:hint="eastAsia"/>
          <w:snapToGrid w:val="0"/>
          <w:color w:val="000000"/>
          <w:sz w:val="32"/>
          <w:szCs w:val="32"/>
        </w:rPr>
        <w:t>經查</w:t>
      </w:r>
      <w:r>
        <w:rPr>
          <w:rFonts w:ascii="標楷體" w:eastAsia="標楷體" w:hAnsi="標楷體" w:hint="eastAsia"/>
          <w:snapToGrid w:val="0"/>
          <w:color w:val="000000"/>
          <w:sz w:val="32"/>
          <w:szCs w:val="32"/>
        </w:rPr>
        <w:t>行政院原子能委員會</w:t>
      </w:r>
      <w:r w:rsidRPr="00A723FD">
        <w:rPr>
          <w:rFonts w:ascii="標楷體" w:eastAsia="標楷體" w:hAnsi="標楷體" w:hint="eastAsia"/>
          <w:snapToGrid w:val="0"/>
          <w:color w:val="000000"/>
          <w:sz w:val="32"/>
          <w:szCs w:val="32"/>
        </w:rPr>
        <w:t>曾於</w:t>
      </w:r>
      <w:r>
        <w:rPr>
          <w:rFonts w:ascii="標楷體" w:eastAsia="標楷體" w:hAnsi="標楷體" w:hint="eastAsia"/>
          <w:snapToGrid w:val="0"/>
          <w:color w:val="000000"/>
          <w:sz w:val="32"/>
          <w:szCs w:val="32"/>
        </w:rPr>
        <w:t>82</w:t>
      </w:r>
      <w:r w:rsidRPr="00A723FD">
        <w:rPr>
          <w:rFonts w:ascii="標楷體" w:eastAsia="標楷體" w:hAnsi="標楷體" w:hint="eastAsia"/>
          <w:snapToGrid w:val="0"/>
          <w:color w:val="000000"/>
          <w:sz w:val="32"/>
          <w:szCs w:val="32"/>
        </w:rPr>
        <w:t>、</w:t>
      </w:r>
      <w:r>
        <w:rPr>
          <w:rFonts w:ascii="標楷體" w:eastAsia="標楷體" w:hAnsi="標楷體" w:hint="eastAsia"/>
          <w:snapToGrid w:val="0"/>
          <w:color w:val="000000"/>
          <w:sz w:val="32"/>
          <w:szCs w:val="32"/>
        </w:rPr>
        <w:t>83</w:t>
      </w:r>
      <w:r w:rsidRPr="00A723FD">
        <w:rPr>
          <w:rFonts w:ascii="標楷體" w:eastAsia="標楷體" w:hAnsi="標楷體" w:hint="eastAsia"/>
          <w:snapToGrid w:val="0"/>
          <w:color w:val="000000"/>
          <w:sz w:val="32"/>
          <w:szCs w:val="32"/>
        </w:rPr>
        <w:t>、</w:t>
      </w:r>
      <w:r>
        <w:rPr>
          <w:rFonts w:ascii="標楷體" w:eastAsia="標楷體" w:hAnsi="標楷體" w:hint="eastAsia"/>
          <w:snapToGrid w:val="0"/>
          <w:color w:val="000000"/>
          <w:sz w:val="32"/>
          <w:szCs w:val="32"/>
        </w:rPr>
        <w:t>88</w:t>
      </w:r>
      <w:r w:rsidRPr="00A723FD">
        <w:rPr>
          <w:rFonts w:ascii="標楷體" w:eastAsia="標楷體" w:hAnsi="標楷體" w:hint="eastAsia"/>
          <w:snapToGrid w:val="0"/>
          <w:color w:val="000000"/>
          <w:sz w:val="32"/>
          <w:szCs w:val="32"/>
        </w:rPr>
        <w:t>、</w:t>
      </w:r>
      <w:r>
        <w:rPr>
          <w:rFonts w:ascii="標楷體" w:eastAsia="標楷體" w:hAnsi="標楷體" w:hint="eastAsia"/>
          <w:snapToGrid w:val="0"/>
          <w:color w:val="000000"/>
          <w:sz w:val="32"/>
          <w:szCs w:val="32"/>
        </w:rPr>
        <w:t>91</w:t>
      </w:r>
      <w:r w:rsidRPr="00A723FD">
        <w:rPr>
          <w:rFonts w:ascii="標楷體" w:eastAsia="標楷體" w:hAnsi="標楷體" w:hint="eastAsia"/>
          <w:snapToGrid w:val="0"/>
          <w:color w:val="000000"/>
          <w:sz w:val="32"/>
          <w:szCs w:val="32"/>
        </w:rPr>
        <w:t>年多次提出</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原子能法</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修正草案，但提出之草案均停留於立法院一讀階段後便無後續</w:t>
      </w:r>
      <w:r>
        <w:rPr>
          <w:rFonts w:ascii="標楷體" w:eastAsia="標楷體" w:hAnsi="標楷體" w:hint="eastAsia"/>
          <w:snapToGrid w:val="0"/>
          <w:color w:val="000000"/>
          <w:sz w:val="32"/>
          <w:szCs w:val="32"/>
        </w:rPr>
        <w:t>；3.</w:t>
      </w:r>
      <w:r w:rsidRPr="00A723FD">
        <w:rPr>
          <w:rFonts w:ascii="標楷體" w:eastAsia="標楷體" w:hAnsi="標楷體" w:hint="eastAsia"/>
          <w:snapToGrid w:val="0"/>
          <w:color w:val="000000"/>
          <w:sz w:val="32"/>
          <w:szCs w:val="32"/>
        </w:rPr>
        <w:t>我國</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原子能法</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係參酌日本、韓國等國制定，查日本經311福島核災後，為避免放射線所造成人體、健康及環境有害影響，已修正</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原子力基本法</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，增設原子力規制委員會法源，要求規範核能利用之安全性必須參照國際最新動向，以確保原子力安全規制</w:t>
      </w:r>
      <w:r>
        <w:rPr>
          <w:rFonts w:ascii="標楷體" w:eastAsia="標楷體" w:hAnsi="標楷體" w:hint="eastAsia"/>
          <w:snapToGrid w:val="0"/>
          <w:color w:val="000000"/>
          <w:sz w:val="32"/>
          <w:szCs w:val="32"/>
        </w:rPr>
        <w:t>；4.</w:t>
      </w:r>
      <w:r w:rsidRPr="00A723FD">
        <w:rPr>
          <w:rFonts w:ascii="標楷體" w:eastAsia="標楷體" w:hAnsi="標楷體" w:hint="eastAsia"/>
          <w:snapToGrid w:val="0"/>
          <w:color w:val="000000"/>
          <w:sz w:val="32"/>
          <w:szCs w:val="32"/>
        </w:rPr>
        <w:t>為落實</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原子能法</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第7條，原能會於</w:t>
      </w:r>
      <w:r>
        <w:rPr>
          <w:rFonts w:ascii="標楷體" w:eastAsia="標楷體" w:hAnsi="標楷體" w:hint="eastAsia"/>
          <w:snapToGrid w:val="0"/>
          <w:color w:val="000000"/>
          <w:sz w:val="32"/>
          <w:szCs w:val="32"/>
        </w:rPr>
        <w:t>111</w:t>
      </w:r>
      <w:r w:rsidRPr="00A723FD">
        <w:rPr>
          <w:rFonts w:ascii="標楷體" w:eastAsia="標楷體" w:hAnsi="標楷體" w:hint="eastAsia"/>
          <w:snapToGrid w:val="0"/>
          <w:color w:val="000000"/>
          <w:sz w:val="32"/>
          <w:szCs w:val="32"/>
        </w:rPr>
        <w:t>年4月7日經行政院核定「111至114年原子能科技民生應用發展策略藍圖」，以期善用原子能協助永續發展，但經查原能會未來均朝三級獨立機關、專職原子能管制方向改制，與</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原子能法</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第</w:t>
      </w:r>
      <w:r>
        <w:rPr>
          <w:rFonts w:ascii="標楷體" w:eastAsia="標楷體" w:hAnsi="標楷體" w:hint="eastAsia"/>
          <w:snapToGrid w:val="0"/>
          <w:color w:val="000000"/>
          <w:sz w:val="32"/>
          <w:szCs w:val="32"/>
        </w:rPr>
        <w:t>3</w:t>
      </w:r>
      <w:r w:rsidRPr="00A723FD">
        <w:rPr>
          <w:rFonts w:ascii="標楷體" w:eastAsia="標楷體" w:hAnsi="標楷體" w:hint="eastAsia"/>
          <w:snapToGrid w:val="0"/>
          <w:color w:val="000000"/>
          <w:sz w:val="32"/>
          <w:szCs w:val="32"/>
        </w:rPr>
        <w:t>章之促進原子能科學與技術之研究發展之意涵有所落差，故建議</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原子能法</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應配合行政院組織改造進行調整。綜上所述，基於社會大眾日益重視追求永續發展，國際亦重新檢討原子能安全管理政策，實有必要進行</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原子能法</w:t>
      </w:r>
      <w:r>
        <w:rPr>
          <w:rFonts w:ascii="標楷體" w:eastAsia="標楷體" w:hAnsi="標楷體" w:hint="eastAsia"/>
          <w:snapToGrid w:val="0"/>
          <w:color w:val="000000"/>
          <w:sz w:val="32"/>
          <w:szCs w:val="32"/>
        </w:rPr>
        <w:t>」檢討修正。爰</w:t>
      </w:r>
      <w:r w:rsidRPr="00A723FD">
        <w:rPr>
          <w:rFonts w:ascii="標楷體" w:eastAsia="標楷體" w:hAnsi="標楷體" w:hint="eastAsia"/>
          <w:snapToGrid w:val="0"/>
          <w:color w:val="000000"/>
          <w:sz w:val="32"/>
          <w:szCs w:val="32"/>
        </w:rPr>
        <w:t>請</w:t>
      </w:r>
      <w:r>
        <w:rPr>
          <w:rFonts w:ascii="標楷體" w:eastAsia="標楷體" w:hAnsi="標楷體" w:hint="eastAsia"/>
          <w:snapToGrid w:val="0"/>
          <w:color w:val="000000"/>
          <w:sz w:val="32"/>
          <w:szCs w:val="32"/>
        </w:rPr>
        <w:t>行政院原子能委員會</w:t>
      </w:r>
      <w:r w:rsidRPr="00A723FD">
        <w:rPr>
          <w:rFonts w:ascii="標楷體" w:eastAsia="標楷體" w:hAnsi="標楷體" w:hint="eastAsia"/>
          <w:snapToGrid w:val="0"/>
          <w:color w:val="000000"/>
          <w:sz w:val="32"/>
          <w:szCs w:val="32"/>
        </w:rPr>
        <w:t>應以上開草案為基底，</w:t>
      </w:r>
      <w:r>
        <w:rPr>
          <w:rFonts w:ascii="標楷體" w:eastAsia="標楷體" w:hAnsi="標楷體" w:hint="eastAsia"/>
          <w:snapToGrid w:val="0"/>
          <w:color w:val="000000"/>
          <w:sz w:val="32"/>
          <w:szCs w:val="32"/>
        </w:rPr>
        <w:t>儘速</w:t>
      </w:r>
      <w:r w:rsidRPr="00A723FD">
        <w:rPr>
          <w:rFonts w:ascii="標楷體" w:eastAsia="標楷體" w:hAnsi="標楷體" w:hint="eastAsia"/>
          <w:snapToGrid w:val="0"/>
          <w:color w:val="000000"/>
          <w:sz w:val="32"/>
          <w:szCs w:val="32"/>
        </w:rPr>
        <w:t>邀集國內產官學各界廣泛討論，</w:t>
      </w:r>
      <w:r>
        <w:rPr>
          <w:rFonts w:ascii="標楷體" w:eastAsia="標楷體" w:hAnsi="標楷體" w:hint="eastAsia"/>
          <w:snapToGrid w:val="0"/>
          <w:color w:val="000000"/>
          <w:sz w:val="32"/>
          <w:szCs w:val="32"/>
        </w:rPr>
        <w:t>儘</w:t>
      </w:r>
      <w:r w:rsidRPr="00A723FD">
        <w:rPr>
          <w:rFonts w:ascii="標楷體" w:eastAsia="標楷體" w:hAnsi="標楷體" w:hint="eastAsia"/>
          <w:snapToGrid w:val="0"/>
          <w:color w:val="000000"/>
          <w:sz w:val="32"/>
          <w:szCs w:val="32"/>
        </w:rPr>
        <w:t>快提出</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原子能法</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修正草案，並於2個月內向立法院教育及文化委員會提出書面報告。</w:t>
      </w:r>
      <w:r>
        <w:rPr>
          <w:rFonts w:ascii="標楷體" w:eastAsia="標楷體" w:hAnsi="標楷體"/>
          <w:snapToGrid w:val="0"/>
          <w:color w:val="000000"/>
          <w:sz w:val="32"/>
          <w:szCs w:val="32"/>
        </w:rPr>
        <w:t>31</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提案人：吳思瑤</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lastRenderedPageBreak/>
        <w:t>連署人：賴品妤  何欣純</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(二十五)</w:t>
      </w:r>
      <w:r w:rsidRPr="0000068D">
        <w:rPr>
          <w:rFonts w:ascii="標楷體" w:eastAsia="標楷體" w:hAnsi="標楷體" w:hint="eastAsia"/>
          <w:snapToGrid w:val="0"/>
          <w:color w:val="000000"/>
          <w:sz w:val="32"/>
          <w:szCs w:val="32"/>
        </w:rPr>
        <w:t>有</w:t>
      </w:r>
      <w:r>
        <w:rPr>
          <w:rFonts w:ascii="標楷體" w:eastAsia="標楷體" w:hAnsi="標楷體" w:hint="eastAsia"/>
          <w:snapToGrid w:val="0"/>
          <w:color w:val="000000"/>
          <w:sz w:val="32"/>
          <w:szCs w:val="32"/>
        </w:rPr>
        <w:t>鑑</w:t>
      </w:r>
      <w:r w:rsidRPr="0000068D">
        <w:rPr>
          <w:rFonts w:ascii="標楷體" w:eastAsia="標楷體" w:hAnsi="標楷體" w:hint="eastAsia"/>
          <w:snapToGrid w:val="0"/>
          <w:color w:val="000000"/>
          <w:sz w:val="32"/>
          <w:szCs w:val="32"/>
        </w:rPr>
        <w:t>於日本政府最終敲定擬將有關東京電力公司福島第</w:t>
      </w:r>
      <w:r>
        <w:rPr>
          <w:rFonts w:ascii="標楷體" w:eastAsia="標楷體" w:hAnsi="標楷體" w:hint="eastAsia"/>
          <w:snapToGrid w:val="0"/>
          <w:color w:val="000000"/>
          <w:sz w:val="32"/>
          <w:szCs w:val="32"/>
        </w:rPr>
        <w:t>一</w:t>
      </w:r>
      <w:r w:rsidRPr="0000068D">
        <w:rPr>
          <w:rFonts w:ascii="標楷體" w:eastAsia="標楷體" w:hAnsi="標楷體" w:hint="eastAsia"/>
          <w:snapToGrid w:val="0"/>
          <w:color w:val="000000"/>
          <w:sz w:val="32"/>
          <w:szCs w:val="32"/>
        </w:rPr>
        <w:t>核電廠之含氚廢水，在經過多核種除去系統設備（ALPS）淨化後將排放入海，並預定於2023年春季施行。為因應上開情事，我國於2021年由</w:t>
      </w:r>
      <w:r>
        <w:rPr>
          <w:rFonts w:ascii="標楷體" w:eastAsia="標楷體" w:hAnsi="標楷體" w:hint="eastAsia"/>
          <w:snapToGrid w:val="0"/>
          <w:color w:val="000000"/>
          <w:sz w:val="32"/>
          <w:szCs w:val="32"/>
        </w:rPr>
        <w:t>行政院原子能委員會、海洋委員</w:t>
      </w:r>
      <w:r w:rsidRPr="0000068D">
        <w:rPr>
          <w:rFonts w:ascii="標楷體" w:eastAsia="標楷體" w:hAnsi="標楷體" w:hint="eastAsia"/>
          <w:snapToGrid w:val="0"/>
          <w:color w:val="000000"/>
          <w:sz w:val="32"/>
          <w:szCs w:val="32"/>
        </w:rPr>
        <w:t>會國家海洋研究院、交通部中央氣象局共同辦理「國家海域放射性物質環境輻射監測及安全評估整備計畫」，計畫期程2021年7月1日至2022年12月31日，經費由</w:t>
      </w:r>
      <w:r>
        <w:rPr>
          <w:rFonts w:ascii="標楷體" w:eastAsia="標楷體" w:hAnsi="標楷體" w:hint="eastAsia"/>
          <w:snapToGrid w:val="0"/>
          <w:color w:val="000000"/>
          <w:sz w:val="32"/>
          <w:szCs w:val="32"/>
        </w:rPr>
        <w:t>行政院</w:t>
      </w:r>
      <w:r w:rsidRPr="0000068D">
        <w:rPr>
          <w:rFonts w:ascii="標楷體" w:eastAsia="標楷體" w:hAnsi="標楷體" w:hint="eastAsia"/>
          <w:snapToGrid w:val="0"/>
          <w:color w:val="000000"/>
          <w:sz w:val="32"/>
          <w:szCs w:val="32"/>
        </w:rPr>
        <w:t>國家科學技術發展基金支應；接續前期之整備計畫，行政院亦於2022年5月核定含氚廢水排放後之應對計畫，總經費5億1,109萬2千元，擬由原能會、衛</w:t>
      </w:r>
      <w:r>
        <w:rPr>
          <w:rFonts w:ascii="標楷體" w:eastAsia="標楷體" w:hAnsi="標楷體" w:hint="eastAsia"/>
          <w:snapToGrid w:val="0"/>
          <w:color w:val="000000"/>
          <w:sz w:val="32"/>
          <w:szCs w:val="32"/>
        </w:rPr>
        <w:t>生</w:t>
      </w:r>
      <w:r w:rsidRPr="0000068D">
        <w:rPr>
          <w:rFonts w:ascii="標楷體" w:eastAsia="標楷體" w:hAnsi="標楷體" w:hint="eastAsia"/>
          <w:snapToGrid w:val="0"/>
          <w:color w:val="000000"/>
          <w:sz w:val="32"/>
          <w:szCs w:val="32"/>
        </w:rPr>
        <w:t>福</w:t>
      </w:r>
      <w:r>
        <w:rPr>
          <w:rFonts w:ascii="標楷體" w:eastAsia="標楷體" w:hAnsi="標楷體" w:hint="eastAsia"/>
          <w:snapToGrid w:val="0"/>
          <w:color w:val="000000"/>
          <w:sz w:val="32"/>
          <w:szCs w:val="32"/>
        </w:rPr>
        <w:t>利</w:t>
      </w:r>
      <w:r w:rsidRPr="0000068D">
        <w:rPr>
          <w:rFonts w:ascii="標楷體" w:eastAsia="標楷體" w:hAnsi="標楷體" w:hint="eastAsia"/>
          <w:snapToGrid w:val="0"/>
          <w:color w:val="000000"/>
          <w:sz w:val="32"/>
          <w:szCs w:val="32"/>
        </w:rPr>
        <w:t>部食</w:t>
      </w:r>
      <w:r>
        <w:rPr>
          <w:rFonts w:ascii="標楷體" w:eastAsia="標楷體" w:hAnsi="標楷體" w:hint="eastAsia"/>
          <w:snapToGrid w:val="0"/>
          <w:color w:val="000000"/>
          <w:sz w:val="32"/>
          <w:szCs w:val="32"/>
        </w:rPr>
        <w:t>品</w:t>
      </w:r>
      <w:r w:rsidRPr="0000068D">
        <w:rPr>
          <w:rFonts w:ascii="標楷體" w:eastAsia="標楷體" w:hAnsi="標楷體" w:hint="eastAsia"/>
          <w:snapToGrid w:val="0"/>
          <w:color w:val="000000"/>
          <w:sz w:val="32"/>
          <w:szCs w:val="32"/>
        </w:rPr>
        <w:t>藥</w:t>
      </w:r>
      <w:r>
        <w:rPr>
          <w:rFonts w:ascii="標楷體" w:eastAsia="標楷體" w:hAnsi="標楷體" w:hint="eastAsia"/>
          <w:snapToGrid w:val="0"/>
          <w:color w:val="000000"/>
          <w:sz w:val="32"/>
          <w:szCs w:val="32"/>
        </w:rPr>
        <w:t>物管理</w:t>
      </w:r>
      <w:r w:rsidRPr="0000068D">
        <w:rPr>
          <w:rFonts w:ascii="標楷體" w:eastAsia="標楷體" w:hAnsi="標楷體" w:hint="eastAsia"/>
          <w:snapToGrid w:val="0"/>
          <w:color w:val="000000"/>
          <w:sz w:val="32"/>
          <w:szCs w:val="32"/>
        </w:rPr>
        <w:t>署、</w:t>
      </w:r>
      <w:r>
        <w:rPr>
          <w:rFonts w:ascii="標楷體" w:eastAsia="標楷體" w:hAnsi="標楷體" w:hint="eastAsia"/>
          <w:snapToGrid w:val="0"/>
          <w:color w:val="000000"/>
          <w:sz w:val="32"/>
          <w:szCs w:val="32"/>
        </w:rPr>
        <w:t>行政院</w:t>
      </w:r>
      <w:r w:rsidRPr="0000068D">
        <w:rPr>
          <w:rFonts w:ascii="標楷體" w:eastAsia="標楷體" w:hAnsi="標楷體" w:hint="eastAsia"/>
          <w:snapToGrid w:val="0"/>
          <w:color w:val="000000"/>
          <w:sz w:val="32"/>
          <w:szCs w:val="32"/>
        </w:rPr>
        <w:t>農</w:t>
      </w:r>
      <w:r>
        <w:rPr>
          <w:rFonts w:ascii="標楷體" w:eastAsia="標楷體" w:hAnsi="標楷體" w:hint="eastAsia"/>
          <w:snapToGrid w:val="0"/>
          <w:color w:val="000000"/>
          <w:sz w:val="32"/>
          <w:szCs w:val="32"/>
        </w:rPr>
        <w:t>業</w:t>
      </w:r>
      <w:r w:rsidRPr="0000068D">
        <w:rPr>
          <w:rFonts w:ascii="標楷體" w:eastAsia="標楷體" w:hAnsi="標楷體" w:hint="eastAsia"/>
          <w:snapToGrid w:val="0"/>
          <w:color w:val="000000"/>
          <w:sz w:val="32"/>
          <w:szCs w:val="32"/>
        </w:rPr>
        <w:t>委</w:t>
      </w:r>
      <w:r>
        <w:rPr>
          <w:rFonts w:ascii="標楷體" w:eastAsia="標楷體" w:hAnsi="標楷體" w:hint="eastAsia"/>
          <w:snapToGrid w:val="0"/>
          <w:color w:val="000000"/>
          <w:sz w:val="32"/>
          <w:szCs w:val="32"/>
        </w:rPr>
        <w:t>員</w:t>
      </w:r>
      <w:r w:rsidRPr="0000068D">
        <w:rPr>
          <w:rFonts w:ascii="標楷體" w:eastAsia="標楷體" w:hAnsi="標楷體" w:hint="eastAsia"/>
          <w:snapToGrid w:val="0"/>
          <w:color w:val="000000"/>
          <w:sz w:val="32"/>
          <w:szCs w:val="32"/>
        </w:rPr>
        <w:t>會漁業署與水產試驗所、交通部中央氣象局、</w:t>
      </w:r>
      <w:r>
        <w:rPr>
          <w:rFonts w:ascii="標楷體" w:eastAsia="標楷體" w:hAnsi="標楷體" w:hint="eastAsia"/>
          <w:snapToGrid w:val="0"/>
          <w:color w:val="000000"/>
          <w:sz w:val="32"/>
          <w:szCs w:val="32"/>
        </w:rPr>
        <w:t>海洋委員</w:t>
      </w:r>
      <w:r w:rsidRPr="0000068D">
        <w:rPr>
          <w:rFonts w:ascii="標楷體" w:eastAsia="標楷體" w:hAnsi="標楷體" w:hint="eastAsia"/>
          <w:snapToGrid w:val="0"/>
          <w:color w:val="000000"/>
          <w:sz w:val="32"/>
          <w:szCs w:val="32"/>
        </w:rPr>
        <w:t>會國家海洋研究院等跨部會執行4分項計畫（詳見表1）；並在</w:t>
      </w:r>
      <w:r>
        <w:rPr>
          <w:rFonts w:ascii="標楷體" w:eastAsia="標楷體" w:hAnsi="標楷體" w:hint="eastAsia"/>
          <w:snapToGrid w:val="0"/>
          <w:color w:val="000000"/>
          <w:sz w:val="32"/>
          <w:szCs w:val="32"/>
        </w:rPr>
        <w:t>吳委員思瑤</w:t>
      </w:r>
      <w:r w:rsidRPr="0000068D">
        <w:rPr>
          <w:rFonts w:ascii="標楷體" w:eastAsia="標楷體" w:hAnsi="標楷體" w:hint="eastAsia"/>
          <w:snapToGrid w:val="0"/>
          <w:color w:val="000000"/>
          <w:sz w:val="32"/>
          <w:szCs w:val="32"/>
        </w:rPr>
        <w:t>的要求下，已組成專家觀察團於2022年3、11月</w:t>
      </w:r>
      <w:r>
        <w:rPr>
          <w:rFonts w:ascii="標楷體" w:eastAsia="標楷體" w:hAnsi="標楷體" w:hint="eastAsia"/>
          <w:snapToGrid w:val="0"/>
          <w:color w:val="000000"/>
          <w:sz w:val="32"/>
          <w:szCs w:val="32"/>
        </w:rPr>
        <w:t>2</w:t>
      </w:r>
      <w:r w:rsidRPr="0000068D">
        <w:rPr>
          <w:rFonts w:ascii="標楷體" w:eastAsia="標楷體" w:hAnsi="標楷體" w:hint="eastAsia"/>
          <w:snapToGrid w:val="0"/>
          <w:color w:val="000000"/>
          <w:sz w:val="32"/>
          <w:szCs w:val="32"/>
        </w:rPr>
        <w:t>度前往日本，實地考察掌握含氚廢水排放作業動態。基於</w:t>
      </w:r>
      <w:r>
        <w:rPr>
          <w:rFonts w:ascii="標楷體" w:eastAsia="標楷體" w:hAnsi="標楷體" w:hint="eastAsia"/>
          <w:snapToGrid w:val="0"/>
          <w:color w:val="000000"/>
          <w:sz w:val="32"/>
          <w:szCs w:val="32"/>
        </w:rPr>
        <w:t>日本排放含氚廢水，恐衝擊我國漁業與對日關係，除執行上開計畫外，</w:t>
      </w:r>
      <w:r w:rsidRPr="0000068D">
        <w:rPr>
          <w:rFonts w:ascii="標楷體" w:eastAsia="標楷體" w:hAnsi="標楷體" w:hint="eastAsia"/>
          <w:snapToGrid w:val="0"/>
          <w:color w:val="000000"/>
          <w:sz w:val="32"/>
          <w:szCs w:val="32"/>
        </w:rPr>
        <w:t>請原能會應進行下列事項：1.</w:t>
      </w:r>
      <w:r>
        <w:rPr>
          <w:rFonts w:ascii="標楷體" w:eastAsia="標楷體" w:hAnsi="標楷體" w:hint="eastAsia"/>
          <w:snapToGrid w:val="0"/>
          <w:color w:val="000000"/>
          <w:sz w:val="32"/>
          <w:szCs w:val="32"/>
        </w:rPr>
        <w:t>擴大與社會對話已是刻不容緩，</w:t>
      </w:r>
      <w:r w:rsidRPr="0000068D">
        <w:rPr>
          <w:rFonts w:ascii="標楷體" w:eastAsia="標楷體" w:hAnsi="標楷體" w:hint="eastAsia"/>
          <w:snapToGrid w:val="0"/>
          <w:color w:val="000000"/>
          <w:sz w:val="32"/>
          <w:szCs w:val="32"/>
        </w:rPr>
        <w:t>請原能會於跨部會因應平台中，請</w:t>
      </w:r>
      <w:r>
        <w:rPr>
          <w:rFonts w:ascii="標楷體" w:eastAsia="標楷體" w:hAnsi="標楷體" w:hint="eastAsia"/>
          <w:snapToGrid w:val="0"/>
          <w:color w:val="000000"/>
          <w:sz w:val="32"/>
          <w:szCs w:val="32"/>
        </w:rPr>
        <w:t>行政院農業委員會</w:t>
      </w:r>
      <w:r w:rsidRPr="0000068D">
        <w:rPr>
          <w:rFonts w:ascii="標楷體" w:eastAsia="標楷體" w:hAnsi="標楷體" w:hint="eastAsia"/>
          <w:snapToGrid w:val="0"/>
          <w:color w:val="000000"/>
          <w:sz w:val="32"/>
          <w:szCs w:val="32"/>
        </w:rPr>
        <w:t>漁業署提供可能受衝擊之漁港清單，前往當地召開說明會，說明政府已啟動因應機制，降低民意反彈</w:t>
      </w:r>
      <w:r>
        <w:rPr>
          <w:rFonts w:ascii="標楷體" w:eastAsia="標楷體" w:hAnsi="標楷體" w:hint="eastAsia"/>
          <w:snapToGrid w:val="0"/>
          <w:color w:val="000000"/>
          <w:sz w:val="32"/>
          <w:szCs w:val="32"/>
        </w:rPr>
        <w:t>；</w:t>
      </w:r>
      <w:r w:rsidRPr="0000068D">
        <w:rPr>
          <w:rFonts w:ascii="標楷體" w:eastAsia="標楷體" w:hAnsi="標楷體" w:hint="eastAsia"/>
          <w:snapToGrid w:val="0"/>
          <w:color w:val="000000"/>
          <w:sz w:val="32"/>
          <w:szCs w:val="32"/>
        </w:rPr>
        <w:t>2.有關相關科研計畫之檢測資訊，雖已於公開平台供民眾即時查詢，但經查「全民原能會」app累積下載次數迄2022年7月底，僅有1</w:t>
      </w:r>
      <w:r>
        <w:rPr>
          <w:rFonts w:ascii="標楷體" w:eastAsia="標楷體" w:hAnsi="標楷體" w:hint="eastAsia"/>
          <w:snapToGrid w:val="0"/>
          <w:color w:val="000000"/>
          <w:sz w:val="32"/>
          <w:szCs w:val="32"/>
        </w:rPr>
        <w:t>萬</w:t>
      </w:r>
      <w:r w:rsidRPr="0000068D">
        <w:rPr>
          <w:rFonts w:ascii="標楷體" w:eastAsia="標楷體" w:hAnsi="標楷體" w:hint="eastAsia"/>
          <w:snapToGrid w:val="0"/>
          <w:color w:val="000000"/>
          <w:sz w:val="32"/>
          <w:szCs w:val="32"/>
        </w:rPr>
        <w:t>0,309次，足顯見民眾接觸率甚低，為協助漁民了解最新環境輻射資料，應於受衝擊之漁港區域推廣app之使用率，以達綜效</w:t>
      </w:r>
      <w:r>
        <w:rPr>
          <w:rFonts w:ascii="標楷體" w:eastAsia="標楷體" w:hAnsi="標楷體" w:hint="eastAsia"/>
          <w:snapToGrid w:val="0"/>
          <w:color w:val="000000"/>
          <w:sz w:val="32"/>
          <w:szCs w:val="32"/>
        </w:rPr>
        <w:t>；</w:t>
      </w:r>
      <w:r w:rsidRPr="0000068D">
        <w:rPr>
          <w:rFonts w:ascii="標楷體" w:eastAsia="標楷體" w:hAnsi="標楷體" w:hint="eastAsia"/>
          <w:snapToGrid w:val="0"/>
          <w:color w:val="000000"/>
          <w:sz w:val="32"/>
          <w:szCs w:val="32"/>
        </w:rPr>
        <w:t>3.善用科研能量，借鏡日本當地漁港進行輻射檢測的內容及機制，評估於我國漁港實施之可行性。爰請行政院原子能委員會就赴日考察團之考察經驗，</w:t>
      </w:r>
      <w:r>
        <w:rPr>
          <w:rFonts w:ascii="標楷體" w:eastAsia="標楷體" w:hAnsi="標楷體" w:hint="eastAsia"/>
          <w:snapToGrid w:val="0"/>
          <w:color w:val="000000"/>
          <w:sz w:val="32"/>
          <w:szCs w:val="32"/>
        </w:rPr>
        <w:t>向立法院教育及文化委員會</w:t>
      </w:r>
      <w:r w:rsidRPr="0000068D">
        <w:rPr>
          <w:rFonts w:ascii="標楷體" w:eastAsia="標楷體" w:hAnsi="標楷體" w:hint="eastAsia"/>
          <w:snapToGrid w:val="0"/>
          <w:color w:val="000000"/>
          <w:sz w:val="32"/>
          <w:szCs w:val="32"/>
        </w:rPr>
        <w:t>提出具體建議</w:t>
      </w:r>
      <w:r>
        <w:rPr>
          <w:rFonts w:ascii="標楷體" w:eastAsia="標楷體" w:hAnsi="標楷體" w:hint="eastAsia"/>
          <w:snapToGrid w:val="0"/>
          <w:color w:val="000000"/>
          <w:sz w:val="32"/>
          <w:szCs w:val="32"/>
        </w:rPr>
        <w:t>書面報告</w:t>
      </w:r>
      <w:r w:rsidRPr="0000068D">
        <w:rPr>
          <w:rFonts w:ascii="標楷體" w:eastAsia="標楷體" w:hAnsi="標楷體" w:hint="eastAsia"/>
          <w:snapToGrid w:val="0"/>
          <w:color w:val="000000"/>
          <w:sz w:val="32"/>
          <w:szCs w:val="32"/>
        </w:rPr>
        <w:t>，並加強</w:t>
      </w:r>
      <w:r w:rsidRPr="0000068D">
        <w:rPr>
          <w:rFonts w:ascii="標楷體" w:eastAsia="標楷體" w:hAnsi="標楷體" w:hint="eastAsia"/>
          <w:snapToGrid w:val="0"/>
          <w:color w:val="000000"/>
          <w:sz w:val="32"/>
          <w:szCs w:val="32"/>
        </w:rPr>
        <w:lastRenderedPageBreak/>
        <w:t>民眾及漁民之溝通，俾利強化國民對我國漁產之信心。</w:t>
      </w:r>
      <w:r>
        <w:rPr>
          <w:rFonts w:ascii="標楷體" w:eastAsia="標楷體" w:hAnsi="標楷體"/>
          <w:snapToGrid w:val="0"/>
          <w:color w:val="000000"/>
          <w:sz w:val="32"/>
          <w:szCs w:val="32"/>
        </w:rPr>
        <w:t>33</w:t>
      </w:r>
    </w:p>
    <w:p w:rsidR="00A52DD2" w:rsidRDefault="00A52DD2" w:rsidP="00F035E0">
      <w:pPr>
        <w:spacing w:line="400" w:lineRule="exact"/>
        <w:ind w:left="718" w:hangingChars="299" w:hanging="718"/>
        <w:contextualSpacing/>
        <w:jc w:val="right"/>
        <w:rPr>
          <w:rFonts w:ascii="標楷體" w:eastAsia="標楷體" w:hAnsi="標楷體"/>
          <w:snapToGrid w:val="0"/>
          <w:szCs w:val="28"/>
        </w:rPr>
      </w:pPr>
      <w:r w:rsidRPr="0000068D">
        <w:rPr>
          <w:rFonts w:ascii="標楷體" w:eastAsia="標楷體" w:hint="eastAsia"/>
          <w:snapToGrid w:val="0"/>
          <w:szCs w:val="28"/>
        </w:rPr>
        <w:t xml:space="preserve">表1  </w:t>
      </w:r>
      <w:r w:rsidRPr="0000068D">
        <w:rPr>
          <w:rFonts w:ascii="標楷體" w:eastAsia="標楷體" w:hAnsi="標楷體" w:hint="eastAsia"/>
          <w:snapToGrid w:val="0"/>
          <w:szCs w:val="28"/>
        </w:rPr>
        <w:t>「</w:t>
      </w:r>
      <w:r w:rsidRPr="0000068D">
        <w:rPr>
          <w:rFonts w:ascii="標楷體" w:eastAsia="標楷體" w:hint="eastAsia"/>
          <w:snapToGrid w:val="0"/>
          <w:szCs w:val="28"/>
        </w:rPr>
        <w:t>國家海域放射性物質擴散預警及安全評估應對計畫</w:t>
      </w:r>
      <w:r w:rsidRPr="0000068D">
        <w:rPr>
          <w:rFonts w:ascii="標楷體" w:eastAsia="標楷體" w:hAnsi="標楷體" w:hint="eastAsia"/>
          <w:snapToGrid w:val="0"/>
          <w:szCs w:val="28"/>
        </w:rPr>
        <w:t>」(112至115年度)</w:t>
      </w:r>
    </w:p>
    <w:p w:rsidR="00A52DD2" w:rsidRPr="0000068D" w:rsidRDefault="00A52DD2" w:rsidP="00F035E0">
      <w:pPr>
        <w:spacing w:line="400" w:lineRule="exact"/>
        <w:ind w:left="718" w:hangingChars="299" w:hanging="718"/>
        <w:contextualSpacing/>
        <w:rPr>
          <w:rFonts w:ascii="標楷體" w:eastAsia="標楷體" w:hAnsi="標楷體"/>
          <w:snapToGrid w:val="0"/>
          <w:szCs w:val="28"/>
        </w:rPr>
      </w:pPr>
      <w:r>
        <w:rPr>
          <w:rFonts w:ascii="標楷體" w:eastAsia="標楷體" w:hAnsi="標楷體" w:hint="eastAsia"/>
          <w:snapToGrid w:val="0"/>
          <w:szCs w:val="28"/>
        </w:rPr>
        <w:t xml:space="preserve">               </w:t>
      </w:r>
      <w:r w:rsidRPr="0000068D">
        <w:rPr>
          <w:rFonts w:ascii="標楷體" w:eastAsia="標楷體" w:hAnsi="標楷體" w:hint="eastAsia"/>
          <w:snapToGrid w:val="0"/>
          <w:szCs w:val="28"/>
        </w:rPr>
        <w:t>各分項計畫目標及辦理單位預算分配概況表</w:t>
      </w:r>
    </w:p>
    <w:p w:rsidR="00A52DD2" w:rsidRPr="0000068D" w:rsidRDefault="00A52DD2" w:rsidP="00F035E0">
      <w:pPr>
        <w:spacing w:line="360" w:lineRule="exact"/>
        <w:ind w:left="718" w:hangingChars="299" w:hanging="718"/>
        <w:contextualSpacing/>
        <w:jc w:val="right"/>
        <w:rPr>
          <w:rFonts w:ascii="標楷體" w:eastAsia="標楷體"/>
          <w:snapToGrid w:val="0"/>
          <w:szCs w:val="24"/>
        </w:rPr>
      </w:pPr>
      <w:r w:rsidRPr="0000068D">
        <w:rPr>
          <w:rFonts w:ascii="標楷體" w:eastAsia="標楷體" w:hint="eastAsia"/>
          <w:snapToGrid w:val="0"/>
          <w:szCs w:val="24"/>
        </w:rPr>
        <w:t>單位</w:t>
      </w:r>
      <w:r w:rsidRPr="0000068D">
        <w:rPr>
          <w:rFonts w:ascii="標楷體" w:eastAsia="標楷體" w:hAnsi="標楷體" w:hint="eastAsia"/>
          <w:snapToGrid w:val="0"/>
          <w:szCs w:val="24"/>
        </w:rPr>
        <w:t>：</w:t>
      </w:r>
      <w:r w:rsidRPr="0000068D">
        <w:rPr>
          <w:rFonts w:ascii="標楷體" w:eastAsia="標楷體" w:hint="eastAsia"/>
          <w:snapToGrid w:val="0"/>
          <w:szCs w:val="24"/>
        </w:rPr>
        <w:t>新臺幣千元</w:t>
      </w:r>
    </w:p>
    <w:tbl>
      <w:tblPr>
        <w:tblW w:w="0" w:type="auto"/>
        <w:jc w:val="righ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600"/>
        <w:gridCol w:w="1031"/>
        <w:gridCol w:w="1393"/>
        <w:gridCol w:w="1400"/>
        <w:gridCol w:w="1465"/>
        <w:gridCol w:w="1568"/>
        <w:gridCol w:w="1099"/>
      </w:tblGrid>
      <w:tr w:rsidR="00A52DD2" w:rsidRPr="0000068D" w:rsidTr="00F035E0">
        <w:trPr>
          <w:tblHeader/>
          <w:jc w:val="right"/>
        </w:trPr>
        <w:tc>
          <w:tcPr>
            <w:tcW w:w="1631" w:type="dxa"/>
            <w:gridSpan w:val="2"/>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項   目</w:t>
            </w:r>
          </w:p>
        </w:tc>
        <w:tc>
          <w:tcPr>
            <w:tcW w:w="1393" w:type="dxa"/>
            <w:shd w:val="clear" w:color="auto" w:fill="auto"/>
            <w:vAlign w:val="center"/>
          </w:tcPr>
          <w:p w:rsidR="00A52DD2" w:rsidRPr="0000068D" w:rsidRDefault="00A52DD2" w:rsidP="00F035E0">
            <w:pPr>
              <w:spacing w:line="280" w:lineRule="exact"/>
              <w:ind w:leftChars="-23" w:left="-55" w:rightChars="-13" w:right="-31" w:firstLineChars="8" w:firstLine="14"/>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海域重要魚場水質與洄游魚種輻射安全評估研究</w:t>
            </w:r>
          </w:p>
        </w:tc>
        <w:tc>
          <w:tcPr>
            <w:tcW w:w="1400" w:type="dxa"/>
            <w:shd w:val="clear" w:color="auto" w:fill="auto"/>
          </w:tcPr>
          <w:p w:rsidR="00A52DD2" w:rsidRPr="0000068D" w:rsidRDefault="00A52DD2" w:rsidP="00F035E0">
            <w:pPr>
              <w:spacing w:line="280" w:lineRule="exact"/>
              <w:ind w:leftChars="-23" w:left="-55" w:rightChars="-13" w:right="-31" w:firstLineChars="8" w:firstLine="14"/>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日本含氚處理水排放對水產動物類及藻類劑量安全與風險研究</w:t>
            </w:r>
          </w:p>
        </w:tc>
        <w:tc>
          <w:tcPr>
            <w:tcW w:w="1465" w:type="dxa"/>
            <w:shd w:val="clear" w:color="auto" w:fill="auto"/>
          </w:tcPr>
          <w:p w:rsidR="00A52DD2" w:rsidRPr="0000068D" w:rsidRDefault="00A52DD2" w:rsidP="00F035E0">
            <w:pPr>
              <w:spacing w:line="280" w:lineRule="exact"/>
              <w:ind w:leftChars="-23" w:left="-55" w:rightChars="-13" w:right="-31" w:firstLineChars="8" w:firstLine="14"/>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海域放射性物質排放事件例行化預報及異常排放示警處理研究</w:t>
            </w:r>
          </w:p>
        </w:tc>
        <w:tc>
          <w:tcPr>
            <w:tcW w:w="1568" w:type="dxa"/>
            <w:shd w:val="clear" w:color="auto" w:fill="auto"/>
            <w:vAlign w:val="center"/>
          </w:tcPr>
          <w:p w:rsidR="00A52DD2" w:rsidRPr="0000068D" w:rsidRDefault="00A52DD2" w:rsidP="00F035E0">
            <w:pPr>
              <w:spacing w:line="280" w:lineRule="exact"/>
              <w:ind w:leftChars="-23" w:left="-55" w:rightChars="-13" w:right="-31" w:firstLineChars="8" w:firstLine="14"/>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海洋輻射沿近岸生態系核污染採樣調查</w:t>
            </w:r>
          </w:p>
        </w:tc>
        <w:tc>
          <w:tcPr>
            <w:tcW w:w="1099" w:type="dxa"/>
            <w:shd w:val="clear" w:color="auto" w:fill="auto"/>
            <w:vAlign w:val="center"/>
          </w:tcPr>
          <w:p w:rsidR="00A52DD2" w:rsidRPr="0000068D" w:rsidRDefault="00A52DD2" w:rsidP="00F035E0">
            <w:pPr>
              <w:spacing w:line="280" w:lineRule="exact"/>
              <w:ind w:leftChars="-23" w:left="-55" w:rightChars="-13" w:right="-31" w:firstLineChars="8" w:firstLine="14"/>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合  計</w:t>
            </w:r>
          </w:p>
        </w:tc>
      </w:tr>
      <w:tr w:rsidR="00A52DD2" w:rsidRPr="0000068D" w:rsidTr="00F035E0">
        <w:trPr>
          <w:jc w:val="right"/>
        </w:trPr>
        <w:tc>
          <w:tcPr>
            <w:tcW w:w="1631" w:type="dxa"/>
            <w:gridSpan w:val="2"/>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計畫目標</w:t>
            </w:r>
          </w:p>
        </w:tc>
        <w:tc>
          <w:tcPr>
            <w:tcW w:w="1393" w:type="dxa"/>
            <w:shd w:val="clear" w:color="auto" w:fill="auto"/>
          </w:tcPr>
          <w:p w:rsidR="00A52DD2" w:rsidRPr="0000068D" w:rsidRDefault="00A52DD2" w:rsidP="00F035E0">
            <w:pPr>
              <w:spacing w:line="280" w:lineRule="exact"/>
              <w:ind w:leftChars="-23" w:left="-55" w:rightChars="-13" w:right="-31" w:firstLineChars="8" w:firstLine="14"/>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建立海水氚連續輻射監測技術及海洋放射性物質外釋應對機制</w:t>
            </w:r>
          </w:p>
        </w:tc>
        <w:tc>
          <w:tcPr>
            <w:tcW w:w="1400" w:type="dxa"/>
            <w:shd w:val="clear" w:color="auto" w:fill="auto"/>
          </w:tcPr>
          <w:p w:rsidR="00A52DD2" w:rsidRPr="0000068D" w:rsidRDefault="00A52DD2" w:rsidP="00F035E0">
            <w:pPr>
              <w:spacing w:line="280" w:lineRule="exact"/>
              <w:ind w:leftChars="-23" w:left="-55" w:rightChars="-13" w:right="-31" w:firstLineChars="8" w:firstLine="14"/>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建立抽驗及氚核種檢測程序，瞭解國人食用進口水產動物類及藻類中放射性核種氚之健康風險</w:t>
            </w:r>
          </w:p>
        </w:tc>
        <w:tc>
          <w:tcPr>
            <w:tcW w:w="1465" w:type="dxa"/>
            <w:shd w:val="clear" w:color="auto" w:fill="auto"/>
          </w:tcPr>
          <w:p w:rsidR="00A52DD2" w:rsidRPr="0000068D" w:rsidRDefault="00A52DD2" w:rsidP="00F035E0">
            <w:pPr>
              <w:spacing w:line="280" w:lineRule="exact"/>
              <w:ind w:leftChars="-23" w:left="-55" w:rightChars="-13" w:right="-31" w:firstLineChars="8" w:firstLine="14"/>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開發放射性物質衝擊潛勢分析及預報示警系統，範圍擴大至臺灣海峽全面，建立海洋放射性物質外釋應對機制</w:t>
            </w:r>
          </w:p>
        </w:tc>
        <w:tc>
          <w:tcPr>
            <w:tcW w:w="1568" w:type="dxa"/>
            <w:shd w:val="clear" w:color="auto" w:fill="auto"/>
          </w:tcPr>
          <w:p w:rsidR="00A52DD2" w:rsidRPr="0000068D" w:rsidRDefault="00A52DD2" w:rsidP="00F035E0">
            <w:pPr>
              <w:spacing w:line="280" w:lineRule="exact"/>
              <w:ind w:leftChars="-23" w:left="-55" w:rightChars="-13" w:right="-31" w:firstLineChars="8" w:firstLine="14"/>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調查日方排放含氚處理水前後之沿岸生態，評估其對臺灣周遭海域之生態影響，完備海洋生態資料庫。</w:t>
            </w:r>
          </w:p>
        </w:tc>
        <w:tc>
          <w:tcPr>
            <w:tcW w:w="1099"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w:t>
            </w:r>
          </w:p>
        </w:tc>
      </w:tr>
      <w:tr w:rsidR="00A52DD2" w:rsidRPr="0000068D" w:rsidTr="00F035E0">
        <w:trPr>
          <w:jc w:val="right"/>
        </w:trPr>
        <w:tc>
          <w:tcPr>
            <w:tcW w:w="1631" w:type="dxa"/>
            <w:gridSpan w:val="2"/>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主責單位</w:t>
            </w:r>
          </w:p>
        </w:tc>
        <w:tc>
          <w:tcPr>
            <w:tcW w:w="1393" w:type="dxa"/>
            <w:shd w:val="clear" w:color="auto" w:fill="auto"/>
            <w:vAlign w:val="center"/>
          </w:tcPr>
          <w:p w:rsidR="00A52DD2" w:rsidRPr="0000068D" w:rsidRDefault="00A52DD2" w:rsidP="00F035E0">
            <w:pPr>
              <w:spacing w:line="280" w:lineRule="exact"/>
              <w:ind w:leftChars="-23" w:left="-55" w:rightChars="-13" w:right="-31" w:firstLineChars="8" w:firstLine="14"/>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核研所</w:t>
            </w:r>
          </w:p>
        </w:tc>
        <w:tc>
          <w:tcPr>
            <w:tcW w:w="1400" w:type="dxa"/>
            <w:shd w:val="clear" w:color="auto" w:fill="auto"/>
            <w:vAlign w:val="center"/>
          </w:tcPr>
          <w:p w:rsidR="00A52DD2" w:rsidRPr="0000068D" w:rsidRDefault="00A52DD2" w:rsidP="00F035E0">
            <w:pPr>
              <w:spacing w:line="280" w:lineRule="exact"/>
              <w:ind w:leftChars="-23" w:left="-55" w:rightChars="-13" w:right="-31" w:firstLineChars="8" w:firstLine="14"/>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核研所</w:t>
            </w:r>
          </w:p>
        </w:tc>
        <w:tc>
          <w:tcPr>
            <w:tcW w:w="1465" w:type="dxa"/>
            <w:shd w:val="clear" w:color="auto" w:fill="auto"/>
            <w:vAlign w:val="center"/>
          </w:tcPr>
          <w:p w:rsidR="00A52DD2" w:rsidRPr="0000068D" w:rsidRDefault="00A52DD2" w:rsidP="00F035E0">
            <w:pPr>
              <w:spacing w:line="280" w:lineRule="exact"/>
              <w:ind w:leftChars="-23" w:left="-55" w:rightChars="-13" w:right="-31" w:firstLineChars="8" w:firstLine="14"/>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氣象局</w:t>
            </w:r>
          </w:p>
        </w:tc>
        <w:tc>
          <w:tcPr>
            <w:tcW w:w="1568" w:type="dxa"/>
            <w:shd w:val="clear" w:color="auto" w:fill="auto"/>
          </w:tcPr>
          <w:p w:rsidR="00A52DD2" w:rsidRPr="0000068D" w:rsidRDefault="00A52DD2" w:rsidP="00F035E0">
            <w:pPr>
              <w:spacing w:line="280" w:lineRule="exact"/>
              <w:ind w:leftChars="-23" w:left="-55" w:rightChars="-13" w:right="-31" w:firstLineChars="8" w:firstLine="14"/>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海委會國海院</w:t>
            </w:r>
          </w:p>
        </w:tc>
        <w:tc>
          <w:tcPr>
            <w:tcW w:w="1099" w:type="dxa"/>
            <w:shd w:val="clear" w:color="auto" w:fill="auto"/>
            <w:vAlign w:val="center"/>
          </w:tcPr>
          <w:p w:rsidR="00A52DD2" w:rsidRPr="0000068D" w:rsidRDefault="00A52DD2" w:rsidP="00F035E0">
            <w:pPr>
              <w:spacing w:line="280" w:lineRule="exact"/>
              <w:jc w:val="center"/>
              <w:rPr>
                <w:rFonts w:ascii="標楷體" w:eastAsia="標楷體" w:hAnsi="標楷體"/>
                <w:snapToGrid w:val="0"/>
                <w:color w:val="0070C0"/>
                <w:spacing w:val="-20"/>
                <w:w w:val="90"/>
                <w:szCs w:val="24"/>
              </w:rPr>
            </w:pPr>
            <w:r w:rsidRPr="0000068D">
              <w:rPr>
                <w:rFonts w:ascii="標楷體" w:eastAsia="標楷體" w:hAnsi="標楷體" w:hint="eastAsia"/>
                <w:snapToGrid w:val="0"/>
                <w:color w:val="0070C0"/>
                <w:spacing w:val="-20"/>
                <w:w w:val="90"/>
                <w:szCs w:val="24"/>
              </w:rPr>
              <w:t>-</w:t>
            </w:r>
          </w:p>
        </w:tc>
      </w:tr>
      <w:tr w:rsidR="00A52DD2" w:rsidRPr="0000068D" w:rsidTr="00F035E0">
        <w:trPr>
          <w:jc w:val="right"/>
        </w:trPr>
        <w:tc>
          <w:tcPr>
            <w:tcW w:w="600" w:type="dxa"/>
            <w:vMerge w:val="restart"/>
            <w:shd w:val="clear" w:color="auto" w:fill="auto"/>
            <w:vAlign w:val="center"/>
          </w:tcPr>
          <w:p w:rsidR="00A52DD2" w:rsidRPr="0000068D" w:rsidRDefault="00A52DD2" w:rsidP="00F035E0">
            <w:pPr>
              <w:spacing w:line="280" w:lineRule="exact"/>
              <w:ind w:leftChars="-23" w:left="-55" w:rightChars="-13" w:right="-31" w:firstLineChars="8" w:firstLine="14"/>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112至115年度各辦理單位經費需求</w:t>
            </w:r>
          </w:p>
        </w:tc>
        <w:tc>
          <w:tcPr>
            <w:tcW w:w="1031" w:type="dxa"/>
            <w:shd w:val="clear" w:color="auto" w:fill="auto"/>
          </w:tcPr>
          <w:p w:rsidR="00A52DD2" w:rsidRPr="0000068D" w:rsidRDefault="00A52DD2" w:rsidP="00F035E0">
            <w:pPr>
              <w:spacing w:line="280" w:lineRule="exact"/>
              <w:ind w:leftChars="-23" w:left="-55" w:rightChars="-13" w:right="-31" w:firstLineChars="8" w:firstLine="14"/>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原能會</w:t>
            </w:r>
          </w:p>
        </w:tc>
        <w:tc>
          <w:tcPr>
            <w:tcW w:w="1393"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w:t>
            </w:r>
          </w:p>
        </w:tc>
        <w:tc>
          <w:tcPr>
            <w:tcW w:w="1400"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w:t>
            </w:r>
          </w:p>
        </w:tc>
        <w:tc>
          <w:tcPr>
            <w:tcW w:w="1465"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8</w:t>
            </w:r>
            <w:r w:rsidRPr="0000068D">
              <w:rPr>
                <w:rFonts w:ascii="標楷體" w:eastAsia="標楷體" w:hAnsi="標楷體"/>
                <w:snapToGrid w:val="0"/>
                <w:spacing w:val="-20"/>
                <w:w w:val="90"/>
                <w:szCs w:val="24"/>
              </w:rPr>
              <w:t>,428</w:t>
            </w:r>
          </w:p>
        </w:tc>
        <w:tc>
          <w:tcPr>
            <w:tcW w:w="1568"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w:t>
            </w:r>
          </w:p>
        </w:tc>
        <w:tc>
          <w:tcPr>
            <w:tcW w:w="1099" w:type="dxa"/>
            <w:shd w:val="clear" w:color="auto" w:fill="auto"/>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8</w:t>
            </w:r>
            <w:r w:rsidRPr="0000068D">
              <w:rPr>
                <w:rFonts w:ascii="標楷體" w:eastAsia="標楷體" w:hAnsi="標楷體"/>
                <w:snapToGrid w:val="0"/>
                <w:spacing w:val="-20"/>
                <w:w w:val="90"/>
                <w:szCs w:val="24"/>
              </w:rPr>
              <w:t>,428</w:t>
            </w:r>
          </w:p>
        </w:tc>
      </w:tr>
      <w:tr w:rsidR="00A52DD2" w:rsidRPr="0000068D" w:rsidTr="00F035E0">
        <w:trPr>
          <w:jc w:val="right"/>
        </w:trPr>
        <w:tc>
          <w:tcPr>
            <w:tcW w:w="600" w:type="dxa"/>
            <w:vMerge/>
            <w:shd w:val="clear" w:color="auto" w:fill="auto"/>
          </w:tcPr>
          <w:p w:rsidR="00A52DD2" w:rsidRPr="0000068D" w:rsidRDefault="00A52DD2" w:rsidP="00F035E0">
            <w:pPr>
              <w:spacing w:line="280" w:lineRule="exact"/>
              <w:jc w:val="center"/>
              <w:rPr>
                <w:rFonts w:ascii="標楷體" w:eastAsia="標楷體" w:hAnsi="標楷體"/>
                <w:snapToGrid w:val="0"/>
                <w:spacing w:val="-20"/>
                <w:w w:val="90"/>
                <w:szCs w:val="24"/>
              </w:rPr>
            </w:pPr>
          </w:p>
        </w:tc>
        <w:tc>
          <w:tcPr>
            <w:tcW w:w="1031" w:type="dxa"/>
            <w:shd w:val="clear" w:color="auto" w:fill="auto"/>
          </w:tcPr>
          <w:p w:rsidR="00A52DD2" w:rsidRPr="0000068D" w:rsidRDefault="00A52DD2" w:rsidP="00F035E0">
            <w:pPr>
              <w:spacing w:line="280" w:lineRule="exact"/>
              <w:ind w:leftChars="-23" w:left="-55" w:rightChars="-13" w:right="-31" w:firstLineChars="8" w:firstLine="14"/>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輻偵中心</w:t>
            </w:r>
          </w:p>
        </w:tc>
        <w:tc>
          <w:tcPr>
            <w:tcW w:w="1393"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34</w:t>
            </w:r>
            <w:r w:rsidRPr="0000068D">
              <w:rPr>
                <w:rFonts w:ascii="標楷體" w:eastAsia="標楷體" w:hAnsi="標楷體"/>
                <w:snapToGrid w:val="0"/>
                <w:spacing w:val="-20"/>
                <w:w w:val="90"/>
                <w:szCs w:val="24"/>
              </w:rPr>
              <w:t>,404</w:t>
            </w:r>
          </w:p>
        </w:tc>
        <w:tc>
          <w:tcPr>
            <w:tcW w:w="1400"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w:t>
            </w:r>
          </w:p>
        </w:tc>
        <w:tc>
          <w:tcPr>
            <w:tcW w:w="1465"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w:t>
            </w:r>
          </w:p>
        </w:tc>
        <w:tc>
          <w:tcPr>
            <w:tcW w:w="1568"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w:t>
            </w:r>
          </w:p>
        </w:tc>
        <w:tc>
          <w:tcPr>
            <w:tcW w:w="1099" w:type="dxa"/>
            <w:shd w:val="clear" w:color="auto" w:fill="auto"/>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3</w:t>
            </w:r>
            <w:r w:rsidRPr="0000068D">
              <w:rPr>
                <w:rFonts w:ascii="標楷體" w:eastAsia="標楷體" w:hAnsi="標楷體"/>
                <w:snapToGrid w:val="0"/>
                <w:spacing w:val="-20"/>
                <w:w w:val="90"/>
                <w:szCs w:val="24"/>
              </w:rPr>
              <w:t>4,404</w:t>
            </w:r>
          </w:p>
        </w:tc>
      </w:tr>
      <w:tr w:rsidR="00A52DD2" w:rsidRPr="0000068D" w:rsidTr="00F035E0">
        <w:trPr>
          <w:jc w:val="right"/>
        </w:trPr>
        <w:tc>
          <w:tcPr>
            <w:tcW w:w="600" w:type="dxa"/>
            <w:vMerge/>
            <w:shd w:val="clear" w:color="auto" w:fill="auto"/>
          </w:tcPr>
          <w:p w:rsidR="00A52DD2" w:rsidRPr="0000068D" w:rsidRDefault="00A52DD2" w:rsidP="00F035E0">
            <w:pPr>
              <w:spacing w:line="280" w:lineRule="exact"/>
              <w:jc w:val="center"/>
              <w:rPr>
                <w:rFonts w:ascii="標楷體" w:eastAsia="標楷體" w:hAnsi="標楷體"/>
                <w:snapToGrid w:val="0"/>
                <w:spacing w:val="-20"/>
                <w:w w:val="90"/>
                <w:szCs w:val="24"/>
              </w:rPr>
            </w:pPr>
          </w:p>
        </w:tc>
        <w:tc>
          <w:tcPr>
            <w:tcW w:w="1031" w:type="dxa"/>
            <w:shd w:val="clear" w:color="auto" w:fill="auto"/>
          </w:tcPr>
          <w:p w:rsidR="00A52DD2" w:rsidRPr="0000068D" w:rsidRDefault="00A52DD2" w:rsidP="00F035E0">
            <w:pPr>
              <w:spacing w:line="280" w:lineRule="exact"/>
              <w:ind w:leftChars="-23" w:left="-55" w:rightChars="-13" w:right="-31" w:firstLineChars="8" w:firstLine="14"/>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核研所</w:t>
            </w:r>
          </w:p>
        </w:tc>
        <w:tc>
          <w:tcPr>
            <w:tcW w:w="1393"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1</w:t>
            </w:r>
            <w:r w:rsidRPr="0000068D">
              <w:rPr>
                <w:rFonts w:ascii="標楷體" w:eastAsia="標楷體" w:hAnsi="標楷體"/>
                <w:snapToGrid w:val="0"/>
                <w:spacing w:val="-20"/>
                <w:w w:val="90"/>
                <w:szCs w:val="24"/>
              </w:rPr>
              <w:t>36,723</w:t>
            </w:r>
          </w:p>
        </w:tc>
        <w:tc>
          <w:tcPr>
            <w:tcW w:w="1400"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3</w:t>
            </w:r>
            <w:r w:rsidRPr="0000068D">
              <w:rPr>
                <w:rFonts w:ascii="標楷體" w:eastAsia="標楷體" w:hAnsi="標楷體"/>
                <w:snapToGrid w:val="0"/>
                <w:spacing w:val="-20"/>
                <w:w w:val="90"/>
                <w:szCs w:val="24"/>
              </w:rPr>
              <w:t>4,541</w:t>
            </w:r>
          </w:p>
        </w:tc>
        <w:tc>
          <w:tcPr>
            <w:tcW w:w="1465"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5</w:t>
            </w:r>
            <w:r w:rsidRPr="0000068D">
              <w:rPr>
                <w:rFonts w:ascii="標楷體" w:eastAsia="標楷體" w:hAnsi="標楷體"/>
                <w:snapToGrid w:val="0"/>
                <w:spacing w:val="-20"/>
                <w:w w:val="90"/>
                <w:szCs w:val="24"/>
              </w:rPr>
              <w:t>6,200</w:t>
            </w:r>
          </w:p>
        </w:tc>
        <w:tc>
          <w:tcPr>
            <w:tcW w:w="1568"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w:t>
            </w:r>
          </w:p>
        </w:tc>
        <w:tc>
          <w:tcPr>
            <w:tcW w:w="1099" w:type="dxa"/>
            <w:shd w:val="clear" w:color="auto" w:fill="auto"/>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2</w:t>
            </w:r>
            <w:r w:rsidRPr="0000068D">
              <w:rPr>
                <w:rFonts w:ascii="標楷體" w:eastAsia="標楷體" w:hAnsi="標楷體"/>
                <w:snapToGrid w:val="0"/>
                <w:spacing w:val="-20"/>
                <w:w w:val="90"/>
                <w:szCs w:val="24"/>
              </w:rPr>
              <w:t>27,464</w:t>
            </w:r>
          </w:p>
        </w:tc>
      </w:tr>
      <w:tr w:rsidR="00A52DD2" w:rsidRPr="0000068D" w:rsidTr="00F035E0">
        <w:trPr>
          <w:jc w:val="right"/>
        </w:trPr>
        <w:tc>
          <w:tcPr>
            <w:tcW w:w="600" w:type="dxa"/>
            <w:vMerge/>
            <w:shd w:val="clear" w:color="auto" w:fill="auto"/>
          </w:tcPr>
          <w:p w:rsidR="00A52DD2" w:rsidRPr="0000068D" w:rsidRDefault="00A52DD2" w:rsidP="00F035E0">
            <w:pPr>
              <w:spacing w:line="280" w:lineRule="exact"/>
              <w:jc w:val="center"/>
              <w:rPr>
                <w:rFonts w:ascii="標楷體" w:eastAsia="標楷體" w:hAnsi="標楷體"/>
                <w:snapToGrid w:val="0"/>
                <w:spacing w:val="-20"/>
                <w:w w:val="90"/>
                <w:szCs w:val="24"/>
              </w:rPr>
            </w:pPr>
          </w:p>
        </w:tc>
        <w:tc>
          <w:tcPr>
            <w:tcW w:w="1031" w:type="dxa"/>
            <w:shd w:val="clear" w:color="auto" w:fill="auto"/>
          </w:tcPr>
          <w:p w:rsidR="00A52DD2" w:rsidRPr="0000068D" w:rsidRDefault="00A52DD2" w:rsidP="00F035E0">
            <w:pPr>
              <w:spacing w:line="280" w:lineRule="exact"/>
              <w:ind w:leftChars="-23" w:left="-55" w:rightChars="-13" w:right="-31" w:firstLineChars="8" w:firstLine="14"/>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食藥署</w:t>
            </w:r>
          </w:p>
        </w:tc>
        <w:tc>
          <w:tcPr>
            <w:tcW w:w="1393"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w:t>
            </w:r>
          </w:p>
        </w:tc>
        <w:tc>
          <w:tcPr>
            <w:tcW w:w="1400"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1</w:t>
            </w:r>
            <w:r w:rsidRPr="0000068D">
              <w:rPr>
                <w:rFonts w:ascii="標楷體" w:eastAsia="標楷體" w:hAnsi="標楷體"/>
                <w:snapToGrid w:val="0"/>
                <w:spacing w:val="-20"/>
                <w:w w:val="90"/>
                <w:szCs w:val="24"/>
              </w:rPr>
              <w:t>1,200</w:t>
            </w:r>
          </w:p>
        </w:tc>
        <w:tc>
          <w:tcPr>
            <w:tcW w:w="1465"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w:t>
            </w:r>
          </w:p>
        </w:tc>
        <w:tc>
          <w:tcPr>
            <w:tcW w:w="1568"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w:t>
            </w:r>
          </w:p>
        </w:tc>
        <w:tc>
          <w:tcPr>
            <w:tcW w:w="1099"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1</w:t>
            </w:r>
            <w:r w:rsidRPr="0000068D">
              <w:rPr>
                <w:rFonts w:ascii="標楷體" w:eastAsia="標楷體" w:hAnsi="標楷體"/>
                <w:snapToGrid w:val="0"/>
                <w:spacing w:val="-20"/>
                <w:w w:val="90"/>
                <w:szCs w:val="24"/>
              </w:rPr>
              <w:t>1,200</w:t>
            </w:r>
          </w:p>
        </w:tc>
      </w:tr>
      <w:tr w:rsidR="00A52DD2" w:rsidRPr="0000068D" w:rsidTr="00F035E0">
        <w:trPr>
          <w:jc w:val="right"/>
        </w:trPr>
        <w:tc>
          <w:tcPr>
            <w:tcW w:w="600" w:type="dxa"/>
            <w:vMerge/>
            <w:shd w:val="clear" w:color="auto" w:fill="auto"/>
          </w:tcPr>
          <w:p w:rsidR="00A52DD2" w:rsidRPr="0000068D" w:rsidRDefault="00A52DD2" w:rsidP="00F035E0">
            <w:pPr>
              <w:spacing w:line="280" w:lineRule="exact"/>
              <w:jc w:val="center"/>
              <w:rPr>
                <w:rFonts w:ascii="標楷體" w:eastAsia="標楷體" w:hAnsi="標楷體"/>
                <w:snapToGrid w:val="0"/>
                <w:spacing w:val="-20"/>
                <w:w w:val="90"/>
                <w:szCs w:val="24"/>
              </w:rPr>
            </w:pPr>
          </w:p>
        </w:tc>
        <w:tc>
          <w:tcPr>
            <w:tcW w:w="1031" w:type="dxa"/>
            <w:shd w:val="clear" w:color="auto" w:fill="auto"/>
          </w:tcPr>
          <w:p w:rsidR="00A52DD2" w:rsidRPr="0000068D" w:rsidRDefault="00A52DD2" w:rsidP="00F035E0">
            <w:pPr>
              <w:spacing w:line="280" w:lineRule="exact"/>
              <w:ind w:leftChars="-23" w:left="-55" w:rightChars="-13" w:right="-31" w:firstLineChars="8" w:firstLine="14"/>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漁業署</w:t>
            </w:r>
          </w:p>
        </w:tc>
        <w:tc>
          <w:tcPr>
            <w:tcW w:w="1393"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5</w:t>
            </w:r>
            <w:r w:rsidRPr="0000068D">
              <w:rPr>
                <w:rFonts w:ascii="標楷體" w:eastAsia="標楷體" w:hAnsi="標楷體"/>
                <w:snapToGrid w:val="0"/>
                <w:spacing w:val="-20"/>
                <w:w w:val="90"/>
                <w:szCs w:val="24"/>
              </w:rPr>
              <w:t>0,444</w:t>
            </w:r>
          </w:p>
        </w:tc>
        <w:tc>
          <w:tcPr>
            <w:tcW w:w="1400"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w:t>
            </w:r>
          </w:p>
        </w:tc>
        <w:tc>
          <w:tcPr>
            <w:tcW w:w="1465"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w:t>
            </w:r>
          </w:p>
        </w:tc>
        <w:tc>
          <w:tcPr>
            <w:tcW w:w="1568"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w:t>
            </w:r>
          </w:p>
        </w:tc>
        <w:tc>
          <w:tcPr>
            <w:tcW w:w="1099"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5</w:t>
            </w:r>
            <w:r w:rsidRPr="0000068D">
              <w:rPr>
                <w:rFonts w:ascii="標楷體" w:eastAsia="標楷體" w:hAnsi="標楷體"/>
                <w:snapToGrid w:val="0"/>
                <w:spacing w:val="-20"/>
                <w:w w:val="90"/>
                <w:szCs w:val="24"/>
              </w:rPr>
              <w:t>0,444</w:t>
            </w:r>
          </w:p>
        </w:tc>
      </w:tr>
      <w:tr w:rsidR="00A52DD2" w:rsidRPr="0000068D" w:rsidTr="00F035E0">
        <w:trPr>
          <w:jc w:val="right"/>
        </w:trPr>
        <w:tc>
          <w:tcPr>
            <w:tcW w:w="600" w:type="dxa"/>
            <w:vMerge/>
            <w:shd w:val="clear" w:color="auto" w:fill="auto"/>
          </w:tcPr>
          <w:p w:rsidR="00A52DD2" w:rsidRPr="0000068D" w:rsidRDefault="00A52DD2" w:rsidP="00F035E0">
            <w:pPr>
              <w:spacing w:line="280" w:lineRule="exact"/>
              <w:jc w:val="center"/>
              <w:rPr>
                <w:rFonts w:ascii="標楷體" w:eastAsia="標楷體" w:hAnsi="標楷體"/>
                <w:snapToGrid w:val="0"/>
                <w:spacing w:val="-20"/>
                <w:w w:val="90"/>
                <w:szCs w:val="24"/>
              </w:rPr>
            </w:pPr>
          </w:p>
        </w:tc>
        <w:tc>
          <w:tcPr>
            <w:tcW w:w="1031" w:type="dxa"/>
            <w:shd w:val="clear" w:color="auto" w:fill="auto"/>
          </w:tcPr>
          <w:p w:rsidR="00A52DD2" w:rsidRPr="0000068D" w:rsidRDefault="00A52DD2" w:rsidP="00F035E0">
            <w:pPr>
              <w:spacing w:line="280" w:lineRule="exact"/>
              <w:ind w:leftChars="-23" w:left="-55" w:rightChars="-13" w:right="-31" w:firstLineChars="8" w:firstLine="14"/>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水試所</w:t>
            </w:r>
          </w:p>
        </w:tc>
        <w:tc>
          <w:tcPr>
            <w:tcW w:w="1393"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3</w:t>
            </w:r>
            <w:r w:rsidRPr="0000068D">
              <w:rPr>
                <w:rFonts w:ascii="標楷體" w:eastAsia="標楷體" w:hAnsi="標楷體"/>
                <w:snapToGrid w:val="0"/>
                <w:spacing w:val="-20"/>
                <w:w w:val="90"/>
                <w:szCs w:val="24"/>
              </w:rPr>
              <w:t>2,824</w:t>
            </w:r>
          </w:p>
        </w:tc>
        <w:tc>
          <w:tcPr>
            <w:tcW w:w="1400"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w:t>
            </w:r>
          </w:p>
        </w:tc>
        <w:tc>
          <w:tcPr>
            <w:tcW w:w="1465"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w:t>
            </w:r>
          </w:p>
        </w:tc>
        <w:tc>
          <w:tcPr>
            <w:tcW w:w="1568"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w:t>
            </w:r>
          </w:p>
        </w:tc>
        <w:tc>
          <w:tcPr>
            <w:tcW w:w="1099"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3</w:t>
            </w:r>
            <w:r w:rsidRPr="0000068D">
              <w:rPr>
                <w:rFonts w:ascii="標楷體" w:eastAsia="標楷體" w:hAnsi="標楷體"/>
                <w:snapToGrid w:val="0"/>
                <w:spacing w:val="-20"/>
                <w:w w:val="90"/>
                <w:szCs w:val="24"/>
              </w:rPr>
              <w:t>2,824</w:t>
            </w:r>
          </w:p>
        </w:tc>
      </w:tr>
      <w:tr w:rsidR="00A52DD2" w:rsidRPr="0000068D" w:rsidTr="00F035E0">
        <w:trPr>
          <w:jc w:val="right"/>
        </w:trPr>
        <w:tc>
          <w:tcPr>
            <w:tcW w:w="600" w:type="dxa"/>
            <w:vMerge/>
            <w:shd w:val="clear" w:color="auto" w:fill="auto"/>
          </w:tcPr>
          <w:p w:rsidR="00A52DD2" w:rsidRPr="0000068D" w:rsidRDefault="00A52DD2" w:rsidP="00F035E0">
            <w:pPr>
              <w:spacing w:line="280" w:lineRule="exact"/>
              <w:jc w:val="center"/>
              <w:rPr>
                <w:rFonts w:ascii="標楷體" w:eastAsia="標楷體" w:hAnsi="標楷體"/>
                <w:snapToGrid w:val="0"/>
                <w:spacing w:val="-20"/>
                <w:w w:val="90"/>
                <w:szCs w:val="24"/>
              </w:rPr>
            </w:pPr>
          </w:p>
        </w:tc>
        <w:tc>
          <w:tcPr>
            <w:tcW w:w="1031" w:type="dxa"/>
            <w:shd w:val="clear" w:color="auto" w:fill="auto"/>
          </w:tcPr>
          <w:p w:rsidR="00A52DD2" w:rsidRPr="0000068D" w:rsidRDefault="00A52DD2" w:rsidP="00F035E0">
            <w:pPr>
              <w:spacing w:line="280" w:lineRule="exact"/>
              <w:ind w:leftChars="-23" w:left="-55" w:rightChars="-13" w:right="-31" w:firstLineChars="8" w:firstLine="14"/>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氣象局</w:t>
            </w:r>
          </w:p>
        </w:tc>
        <w:tc>
          <w:tcPr>
            <w:tcW w:w="1393"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w:t>
            </w:r>
          </w:p>
        </w:tc>
        <w:tc>
          <w:tcPr>
            <w:tcW w:w="1400"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w:t>
            </w:r>
          </w:p>
        </w:tc>
        <w:tc>
          <w:tcPr>
            <w:tcW w:w="1465"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9</w:t>
            </w:r>
            <w:r w:rsidRPr="0000068D">
              <w:rPr>
                <w:rFonts w:ascii="標楷體" w:eastAsia="標楷體" w:hAnsi="標楷體"/>
                <w:snapToGrid w:val="0"/>
                <w:spacing w:val="-20"/>
                <w:w w:val="90"/>
                <w:szCs w:val="24"/>
              </w:rPr>
              <w:t>8,328</w:t>
            </w:r>
          </w:p>
        </w:tc>
        <w:tc>
          <w:tcPr>
            <w:tcW w:w="1568"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w:t>
            </w:r>
          </w:p>
        </w:tc>
        <w:tc>
          <w:tcPr>
            <w:tcW w:w="1099"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9</w:t>
            </w:r>
            <w:r w:rsidRPr="0000068D">
              <w:rPr>
                <w:rFonts w:ascii="標楷體" w:eastAsia="標楷體" w:hAnsi="標楷體"/>
                <w:snapToGrid w:val="0"/>
                <w:spacing w:val="-20"/>
                <w:w w:val="90"/>
                <w:szCs w:val="24"/>
              </w:rPr>
              <w:t>8,328</w:t>
            </w:r>
          </w:p>
        </w:tc>
      </w:tr>
      <w:tr w:rsidR="00A52DD2" w:rsidRPr="0000068D" w:rsidTr="00F035E0">
        <w:trPr>
          <w:jc w:val="right"/>
        </w:trPr>
        <w:tc>
          <w:tcPr>
            <w:tcW w:w="600" w:type="dxa"/>
            <w:vMerge/>
            <w:shd w:val="clear" w:color="auto" w:fill="auto"/>
          </w:tcPr>
          <w:p w:rsidR="00A52DD2" w:rsidRPr="0000068D" w:rsidRDefault="00A52DD2" w:rsidP="00F035E0">
            <w:pPr>
              <w:spacing w:line="280" w:lineRule="exact"/>
              <w:jc w:val="center"/>
              <w:rPr>
                <w:rFonts w:ascii="標楷體" w:eastAsia="標楷體" w:hAnsi="標楷體"/>
                <w:snapToGrid w:val="0"/>
                <w:spacing w:val="-20"/>
                <w:w w:val="90"/>
                <w:szCs w:val="24"/>
              </w:rPr>
            </w:pPr>
          </w:p>
        </w:tc>
        <w:tc>
          <w:tcPr>
            <w:tcW w:w="1031" w:type="dxa"/>
            <w:shd w:val="clear" w:color="auto" w:fill="auto"/>
          </w:tcPr>
          <w:p w:rsidR="00A52DD2" w:rsidRPr="0000068D" w:rsidRDefault="00A52DD2" w:rsidP="00F035E0">
            <w:pPr>
              <w:spacing w:line="280" w:lineRule="exact"/>
              <w:ind w:leftChars="-23" w:left="-55" w:rightChars="-13" w:right="-31" w:firstLineChars="8" w:firstLine="14"/>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海委會國海院</w:t>
            </w:r>
          </w:p>
        </w:tc>
        <w:tc>
          <w:tcPr>
            <w:tcW w:w="1393"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w:t>
            </w:r>
          </w:p>
        </w:tc>
        <w:tc>
          <w:tcPr>
            <w:tcW w:w="1400"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w:t>
            </w:r>
          </w:p>
        </w:tc>
        <w:tc>
          <w:tcPr>
            <w:tcW w:w="1465"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w:t>
            </w:r>
          </w:p>
        </w:tc>
        <w:tc>
          <w:tcPr>
            <w:tcW w:w="1568"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4</w:t>
            </w:r>
            <w:r w:rsidRPr="0000068D">
              <w:rPr>
                <w:rFonts w:ascii="標楷體" w:eastAsia="標楷體" w:hAnsi="標楷體"/>
                <w:snapToGrid w:val="0"/>
                <w:spacing w:val="-20"/>
                <w:w w:val="90"/>
                <w:szCs w:val="24"/>
              </w:rPr>
              <w:t>8,000</w:t>
            </w:r>
          </w:p>
        </w:tc>
        <w:tc>
          <w:tcPr>
            <w:tcW w:w="1099"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4</w:t>
            </w:r>
            <w:r w:rsidRPr="0000068D">
              <w:rPr>
                <w:rFonts w:ascii="標楷體" w:eastAsia="標楷體" w:hAnsi="標楷體"/>
                <w:snapToGrid w:val="0"/>
                <w:spacing w:val="-20"/>
                <w:w w:val="90"/>
                <w:szCs w:val="24"/>
              </w:rPr>
              <w:t>8,000</w:t>
            </w:r>
          </w:p>
        </w:tc>
      </w:tr>
      <w:tr w:rsidR="00A52DD2" w:rsidRPr="0000068D" w:rsidTr="00F035E0">
        <w:trPr>
          <w:jc w:val="right"/>
        </w:trPr>
        <w:tc>
          <w:tcPr>
            <w:tcW w:w="600" w:type="dxa"/>
            <w:vMerge/>
            <w:shd w:val="clear" w:color="auto" w:fill="auto"/>
          </w:tcPr>
          <w:p w:rsidR="00A52DD2" w:rsidRPr="0000068D" w:rsidRDefault="00A52DD2" w:rsidP="00F035E0">
            <w:pPr>
              <w:spacing w:line="280" w:lineRule="exact"/>
              <w:jc w:val="center"/>
              <w:rPr>
                <w:rFonts w:ascii="標楷體" w:eastAsia="標楷體" w:hAnsi="標楷體"/>
                <w:snapToGrid w:val="0"/>
                <w:spacing w:val="-20"/>
                <w:w w:val="90"/>
                <w:szCs w:val="24"/>
              </w:rPr>
            </w:pPr>
          </w:p>
        </w:tc>
        <w:tc>
          <w:tcPr>
            <w:tcW w:w="1031" w:type="dxa"/>
            <w:shd w:val="clear" w:color="auto" w:fill="auto"/>
          </w:tcPr>
          <w:p w:rsidR="00A52DD2" w:rsidRPr="0000068D" w:rsidRDefault="00A52DD2" w:rsidP="00F035E0">
            <w:pPr>
              <w:spacing w:line="280" w:lineRule="exact"/>
              <w:ind w:leftChars="-23" w:left="-55" w:rightChars="-13" w:right="-31" w:firstLineChars="8" w:firstLine="14"/>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合  計</w:t>
            </w:r>
          </w:p>
        </w:tc>
        <w:tc>
          <w:tcPr>
            <w:tcW w:w="1393"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254,</w:t>
            </w:r>
            <w:r w:rsidRPr="0000068D">
              <w:rPr>
                <w:rFonts w:ascii="標楷體" w:eastAsia="標楷體" w:hAnsi="標楷體"/>
                <w:snapToGrid w:val="0"/>
                <w:spacing w:val="-20"/>
                <w:w w:val="90"/>
                <w:szCs w:val="24"/>
              </w:rPr>
              <w:t>395</w:t>
            </w:r>
          </w:p>
        </w:tc>
        <w:tc>
          <w:tcPr>
            <w:tcW w:w="1400"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4</w:t>
            </w:r>
            <w:r w:rsidRPr="0000068D">
              <w:rPr>
                <w:rFonts w:ascii="標楷體" w:eastAsia="標楷體" w:hAnsi="標楷體"/>
                <w:snapToGrid w:val="0"/>
                <w:spacing w:val="-20"/>
                <w:w w:val="90"/>
                <w:szCs w:val="24"/>
              </w:rPr>
              <w:t>5,741</w:t>
            </w:r>
          </w:p>
        </w:tc>
        <w:tc>
          <w:tcPr>
            <w:tcW w:w="1465"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1</w:t>
            </w:r>
            <w:r w:rsidRPr="0000068D">
              <w:rPr>
                <w:rFonts w:ascii="標楷體" w:eastAsia="標楷體" w:hAnsi="標楷體"/>
                <w:snapToGrid w:val="0"/>
                <w:spacing w:val="-20"/>
                <w:w w:val="90"/>
                <w:szCs w:val="24"/>
              </w:rPr>
              <w:t>62,956</w:t>
            </w:r>
          </w:p>
        </w:tc>
        <w:tc>
          <w:tcPr>
            <w:tcW w:w="1568"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4</w:t>
            </w:r>
            <w:r w:rsidRPr="0000068D">
              <w:rPr>
                <w:rFonts w:ascii="標楷體" w:eastAsia="標楷體" w:hAnsi="標楷體"/>
                <w:snapToGrid w:val="0"/>
                <w:spacing w:val="-20"/>
                <w:w w:val="90"/>
                <w:szCs w:val="24"/>
              </w:rPr>
              <w:t>8,000</w:t>
            </w:r>
          </w:p>
        </w:tc>
        <w:tc>
          <w:tcPr>
            <w:tcW w:w="1099" w:type="dxa"/>
            <w:shd w:val="clear" w:color="auto" w:fill="auto"/>
            <w:vAlign w:val="center"/>
          </w:tcPr>
          <w:p w:rsidR="00A52DD2" w:rsidRPr="0000068D" w:rsidRDefault="00A52DD2" w:rsidP="00F035E0">
            <w:pPr>
              <w:spacing w:line="280" w:lineRule="exact"/>
              <w:jc w:val="center"/>
              <w:rPr>
                <w:rFonts w:ascii="標楷體" w:eastAsia="標楷體" w:hAnsi="標楷體"/>
                <w:snapToGrid w:val="0"/>
                <w:spacing w:val="-20"/>
                <w:w w:val="90"/>
                <w:szCs w:val="24"/>
              </w:rPr>
            </w:pPr>
            <w:r w:rsidRPr="0000068D">
              <w:rPr>
                <w:rFonts w:ascii="標楷體" w:eastAsia="標楷體" w:hAnsi="標楷體" w:hint="eastAsia"/>
                <w:snapToGrid w:val="0"/>
                <w:spacing w:val="-20"/>
                <w:w w:val="90"/>
                <w:szCs w:val="24"/>
              </w:rPr>
              <w:t>5</w:t>
            </w:r>
            <w:r w:rsidRPr="0000068D">
              <w:rPr>
                <w:rFonts w:ascii="標楷體" w:eastAsia="標楷體" w:hAnsi="標楷體"/>
                <w:snapToGrid w:val="0"/>
                <w:spacing w:val="-20"/>
                <w:w w:val="90"/>
                <w:szCs w:val="24"/>
              </w:rPr>
              <w:t>11,092</w:t>
            </w:r>
          </w:p>
        </w:tc>
      </w:tr>
    </w:tbl>
    <w:p w:rsidR="00A52DD2" w:rsidRDefault="00A52DD2" w:rsidP="00F035E0">
      <w:pPr>
        <w:spacing w:line="280" w:lineRule="exact"/>
        <w:ind w:left="1102" w:hangingChars="501" w:hanging="1102"/>
        <w:jc w:val="right"/>
        <w:rPr>
          <w:rFonts w:ascii="標楷體" w:eastAsia="標楷體" w:hAnsi="標楷體"/>
          <w:snapToGrid w:val="0"/>
          <w:sz w:val="22"/>
          <w:szCs w:val="28"/>
        </w:rPr>
      </w:pPr>
      <w:r w:rsidRPr="0000068D">
        <w:rPr>
          <w:rFonts w:ascii="標楷體" w:eastAsia="標楷體" w:hint="eastAsia"/>
          <w:snapToGrid w:val="0"/>
          <w:sz w:val="22"/>
          <w:szCs w:val="28"/>
        </w:rPr>
        <w:t>資料來源</w:t>
      </w:r>
      <w:r w:rsidRPr="0000068D">
        <w:rPr>
          <w:rFonts w:ascii="標楷體" w:eastAsia="標楷體" w:hAnsi="標楷體" w:hint="eastAsia"/>
          <w:snapToGrid w:val="0"/>
          <w:sz w:val="22"/>
          <w:szCs w:val="28"/>
        </w:rPr>
        <w:t>：彙整自「國家海域放射性物質擴散預警及安全評估應對計畫」</w:t>
      </w:r>
    </w:p>
    <w:p w:rsidR="00A52DD2" w:rsidRPr="0000068D" w:rsidRDefault="00A52DD2" w:rsidP="00F035E0">
      <w:pPr>
        <w:spacing w:line="280" w:lineRule="exact"/>
        <w:ind w:left="1102" w:hangingChars="501" w:hanging="1102"/>
        <w:jc w:val="right"/>
        <w:rPr>
          <w:rFonts w:ascii="標楷體" w:eastAsia="標楷體" w:hAnsi="標楷體"/>
          <w:snapToGrid w:val="0"/>
          <w:color w:val="000000"/>
          <w:sz w:val="32"/>
          <w:szCs w:val="32"/>
        </w:rPr>
      </w:pPr>
      <w:r w:rsidRPr="0000068D">
        <w:rPr>
          <w:rFonts w:ascii="標楷體" w:eastAsia="標楷體" w:hAnsi="標楷體" w:hint="eastAsia"/>
          <w:snapToGrid w:val="0"/>
          <w:sz w:val="22"/>
          <w:szCs w:val="28"/>
        </w:rPr>
        <w:t>(行政院111年5月4日核定版)</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提案人：吳思瑤</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連署人：賴品妤  何欣純</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二十六</w:t>
      </w: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112年度行政院原子能委員會「游離輻射安全防護」項下「</w:t>
      </w:r>
      <w:r w:rsidRPr="00A723FD">
        <w:rPr>
          <w:rFonts w:ascii="標楷體" w:eastAsia="標楷體" w:hAnsi="標楷體" w:hint="eastAsia"/>
          <w:snapToGrid w:val="0"/>
          <w:color w:val="000000"/>
          <w:sz w:val="32"/>
          <w:szCs w:val="32"/>
        </w:rPr>
        <w:t>海域氚水監控跨部會合作</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預算</w:t>
      </w:r>
      <w:r>
        <w:rPr>
          <w:rFonts w:ascii="標楷體" w:eastAsia="標楷體" w:hAnsi="標楷體" w:hint="eastAsia"/>
          <w:snapToGrid w:val="0"/>
          <w:color w:val="000000"/>
          <w:sz w:val="32"/>
          <w:szCs w:val="32"/>
        </w:rPr>
        <w:t>編列</w:t>
      </w:r>
      <w:r w:rsidRPr="00A723FD">
        <w:rPr>
          <w:rFonts w:ascii="標楷體" w:eastAsia="標楷體" w:hAnsi="標楷體" w:hint="eastAsia"/>
          <w:snapToGrid w:val="0"/>
          <w:color w:val="000000"/>
          <w:sz w:val="32"/>
          <w:szCs w:val="32"/>
        </w:rPr>
        <w:t>169萬2千元，係因為</w:t>
      </w:r>
      <w:r>
        <w:rPr>
          <w:rFonts w:ascii="標楷體" w:eastAsia="標楷體" w:hAnsi="標楷體" w:hint="eastAsia"/>
          <w:snapToGrid w:val="0"/>
          <w:color w:val="000000"/>
          <w:sz w:val="32"/>
          <w:szCs w:val="32"/>
        </w:rPr>
        <w:t>100</w:t>
      </w:r>
      <w:r w:rsidRPr="00A723FD">
        <w:rPr>
          <w:rFonts w:ascii="標楷體" w:eastAsia="標楷體" w:hAnsi="標楷體" w:hint="eastAsia"/>
          <w:snapToGrid w:val="0"/>
          <w:color w:val="000000"/>
          <w:sz w:val="32"/>
          <w:szCs w:val="32"/>
        </w:rPr>
        <w:t>年福島核電廠因為地震與海嘯受到嚴重毀損，造成1萬9</w:t>
      </w:r>
      <w:r>
        <w:rPr>
          <w:rFonts w:ascii="標楷體" w:eastAsia="標楷體" w:hAnsi="標楷體" w:hint="eastAsia"/>
          <w:snapToGrid w:val="0"/>
          <w:color w:val="000000"/>
          <w:sz w:val="32"/>
          <w:szCs w:val="32"/>
        </w:rPr>
        <w:t>千</w:t>
      </w:r>
      <w:r w:rsidRPr="00A723FD">
        <w:rPr>
          <w:rFonts w:ascii="標楷體" w:eastAsia="標楷體" w:hAnsi="標楷體" w:hint="eastAsia"/>
          <w:snapToGrid w:val="0"/>
          <w:color w:val="000000"/>
          <w:sz w:val="32"/>
          <w:szCs w:val="32"/>
        </w:rPr>
        <w:t>人罹難，福島核電廠</w:t>
      </w:r>
      <w:r>
        <w:rPr>
          <w:rFonts w:ascii="標楷體" w:eastAsia="標楷體" w:hAnsi="標楷體" w:hint="eastAsia"/>
          <w:snapToGrid w:val="0"/>
          <w:color w:val="000000"/>
          <w:sz w:val="32"/>
          <w:szCs w:val="32"/>
        </w:rPr>
        <w:t>6</w:t>
      </w:r>
      <w:r w:rsidRPr="00A723FD">
        <w:rPr>
          <w:rFonts w:ascii="標楷體" w:eastAsia="標楷體" w:hAnsi="標楷體" w:hint="eastAsia"/>
          <w:snapToGrid w:val="0"/>
          <w:color w:val="000000"/>
          <w:sz w:val="32"/>
          <w:szCs w:val="32"/>
        </w:rPr>
        <w:t>座反應爐中的</w:t>
      </w:r>
      <w:r>
        <w:rPr>
          <w:rFonts w:ascii="標楷體" w:eastAsia="標楷體" w:hAnsi="標楷體" w:hint="eastAsia"/>
          <w:snapToGrid w:val="0"/>
          <w:color w:val="000000"/>
          <w:sz w:val="32"/>
          <w:szCs w:val="32"/>
        </w:rPr>
        <w:t>3</w:t>
      </w:r>
      <w:r w:rsidRPr="00A723FD">
        <w:rPr>
          <w:rFonts w:ascii="標楷體" w:eastAsia="標楷體" w:hAnsi="標楷體" w:hint="eastAsia"/>
          <w:snapToGrid w:val="0"/>
          <w:color w:val="000000"/>
          <w:sz w:val="32"/>
          <w:szCs w:val="32"/>
        </w:rPr>
        <w:t>座爐心熔毀，導致輻射外洩，超過128萬噸的核廢水至今仍儲存在福島第</w:t>
      </w:r>
      <w:r>
        <w:rPr>
          <w:rFonts w:ascii="標楷體" w:eastAsia="標楷體" w:hAnsi="標楷體" w:hint="eastAsia"/>
          <w:snapToGrid w:val="0"/>
          <w:color w:val="000000"/>
          <w:sz w:val="32"/>
          <w:szCs w:val="32"/>
        </w:rPr>
        <w:t>一</w:t>
      </w:r>
      <w:r w:rsidRPr="00A723FD">
        <w:rPr>
          <w:rFonts w:ascii="標楷體" w:eastAsia="標楷體" w:hAnsi="標楷體" w:hint="eastAsia"/>
          <w:snapToGrid w:val="0"/>
          <w:color w:val="000000"/>
          <w:sz w:val="32"/>
          <w:szCs w:val="32"/>
        </w:rPr>
        <w:t>核電廠中，且每日仍持續產生約140立方公尺的污染水。然而這些處理過的「核廢水」仍無法分離放射性同位素如氚、碳14，以及碘、釕、鍶等放射性物質，即使經ALPS處理後仍會留於水中。此項預算係依行政院111年5月4日核定</w:t>
      </w:r>
      <w:r w:rsidRPr="00A723FD">
        <w:rPr>
          <w:rFonts w:ascii="標楷體" w:eastAsia="標楷體" w:hAnsi="標楷體" w:hint="eastAsia"/>
          <w:snapToGrid w:val="0"/>
          <w:color w:val="000000"/>
          <w:sz w:val="32"/>
          <w:szCs w:val="32"/>
        </w:rPr>
        <w:lastRenderedPageBreak/>
        <w:t>之「國家海域放射性物質擴散預警及安全評估應對計畫」辦理日本福島核災含氚廢水海洋排放後之措施。爰請行政院原子能委員會確實督導計畫執行進度，強化跨部會合作機制，以確保達成計畫之成果與效益，保護國人輻安權益，並於</w:t>
      </w:r>
      <w:r>
        <w:rPr>
          <w:rFonts w:ascii="標楷體" w:eastAsia="標楷體" w:hAnsi="標楷體" w:hint="eastAsia"/>
          <w:snapToGrid w:val="0"/>
          <w:color w:val="000000"/>
          <w:sz w:val="32"/>
          <w:szCs w:val="32"/>
        </w:rPr>
        <w:t>2</w:t>
      </w:r>
      <w:r w:rsidRPr="00A723FD">
        <w:rPr>
          <w:rFonts w:ascii="標楷體" w:eastAsia="標楷體" w:hAnsi="標楷體" w:hint="eastAsia"/>
          <w:snapToGrid w:val="0"/>
          <w:color w:val="000000"/>
          <w:sz w:val="32"/>
          <w:szCs w:val="32"/>
        </w:rPr>
        <w:t>個月內</w:t>
      </w:r>
      <w:r>
        <w:rPr>
          <w:rFonts w:ascii="標楷體" w:eastAsia="標楷體" w:hAnsi="標楷體" w:hint="eastAsia"/>
          <w:snapToGrid w:val="0"/>
          <w:color w:val="000000"/>
          <w:sz w:val="32"/>
          <w:szCs w:val="32"/>
        </w:rPr>
        <w:t>向立法院教育及文化委員會</w:t>
      </w:r>
      <w:r w:rsidRPr="00A723FD">
        <w:rPr>
          <w:rFonts w:ascii="標楷體" w:eastAsia="標楷體" w:hAnsi="標楷體" w:hint="eastAsia"/>
          <w:snapToGrid w:val="0"/>
          <w:color w:val="000000"/>
          <w:sz w:val="32"/>
          <w:szCs w:val="32"/>
        </w:rPr>
        <w:t>提</w:t>
      </w:r>
      <w:r>
        <w:rPr>
          <w:rFonts w:ascii="標楷體" w:eastAsia="標楷體" w:hAnsi="標楷體" w:hint="eastAsia"/>
          <w:snapToGrid w:val="0"/>
          <w:color w:val="000000"/>
          <w:sz w:val="32"/>
          <w:szCs w:val="32"/>
        </w:rPr>
        <w:t>出</w:t>
      </w:r>
      <w:r w:rsidRPr="00A723FD">
        <w:rPr>
          <w:rFonts w:ascii="標楷體" w:eastAsia="標楷體" w:hAnsi="標楷體" w:hint="eastAsia"/>
          <w:snapToGrid w:val="0"/>
          <w:color w:val="000000"/>
          <w:sz w:val="32"/>
          <w:szCs w:val="32"/>
        </w:rPr>
        <w:t>書面報告。</w:t>
      </w:r>
      <w:r>
        <w:rPr>
          <w:rFonts w:ascii="標楷體" w:eastAsia="標楷體" w:hAnsi="標楷體"/>
          <w:snapToGrid w:val="0"/>
          <w:color w:val="000000"/>
          <w:sz w:val="32"/>
          <w:szCs w:val="32"/>
        </w:rPr>
        <w:t>34</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提案人：鄭正鈐</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連署人：賴品妤  張廖萬堅</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二十七</w:t>
      </w:r>
      <w:r w:rsidRPr="00FB7CC2">
        <w:rPr>
          <w:rFonts w:ascii="標楷體" w:eastAsia="標楷體" w:hAnsi="標楷體"/>
          <w:snapToGrid w:val="0"/>
          <w:color w:val="000000"/>
          <w:sz w:val="32"/>
          <w:szCs w:val="32"/>
        </w:rPr>
        <w:t>)</w:t>
      </w:r>
      <w:r w:rsidRPr="00A723FD">
        <w:rPr>
          <w:rFonts w:ascii="標楷體" w:eastAsia="標楷體" w:hAnsi="標楷體" w:hint="eastAsia"/>
          <w:snapToGrid w:val="0"/>
          <w:color w:val="000000"/>
          <w:sz w:val="32"/>
          <w:szCs w:val="32"/>
        </w:rPr>
        <w:t>112年度</w:t>
      </w:r>
      <w:r w:rsidRPr="002F3877">
        <w:rPr>
          <w:rFonts w:ascii="標楷體" w:eastAsia="標楷體" w:hAnsi="標楷體" w:hint="eastAsia"/>
          <w:snapToGrid w:val="0"/>
          <w:color w:val="000000"/>
          <w:sz w:val="32"/>
          <w:szCs w:val="32"/>
        </w:rPr>
        <w:t>行政院原子能委員會</w:t>
      </w:r>
      <w:r>
        <w:rPr>
          <w:rFonts w:ascii="標楷體" w:eastAsia="標楷體" w:hAnsi="標楷體" w:hint="eastAsia"/>
          <w:snapToGrid w:val="0"/>
          <w:color w:val="000000"/>
          <w:sz w:val="32"/>
          <w:szCs w:val="32"/>
        </w:rPr>
        <w:t>歲出預算編列</w:t>
      </w:r>
      <w:r w:rsidRPr="00A723FD">
        <w:rPr>
          <w:rFonts w:ascii="標楷體" w:eastAsia="標楷體" w:hAnsi="標楷體" w:hint="eastAsia"/>
          <w:snapToGrid w:val="0"/>
          <w:color w:val="000000"/>
          <w:sz w:val="32"/>
          <w:szCs w:val="32"/>
        </w:rPr>
        <w:t>5</w:t>
      </w:r>
      <w:r>
        <w:rPr>
          <w:rFonts w:ascii="標楷體" w:eastAsia="標楷體" w:hAnsi="標楷體" w:hint="eastAsia"/>
          <w:snapToGrid w:val="0"/>
          <w:color w:val="000000"/>
          <w:sz w:val="32"/>
          <w:szCs w:val="32"/>
        </w:rPr>
        <w:t>億</w:t>
      </w:r>
      <w:r w:rsidRPr="00A723FD">
        <w:rPr>
          <w:rFonts w:ascii="標楷體" w:eastAsia="標楷體" w:hAnsi="標楷體" w:hint="eastAsia"/>
          <w:snapToGrid w:val="0"/>
          <w:color w:val="000000"/>
          <w:sz w:val="32"/>
          <w:szCs w:val="32"/>
        </w:rPr>
        <w:t>5,545</w:t>
      </w:r>
      <w:r>
        <w:rPr>
          <w:rFonts w:ascii="標楷體" w:eastAsia="標楷體" w:hAnsi="標楷體" w:hint="eastAsia"/>
          <w:snapToGrid w:val="0"/>
          <w:color w:val="000000"/>
          <w:sz w:val="32"/>
          <w:szCs w:val="32"/>
        </w:rPr>
        <w:t>萬</w:t>
      </w:r>
      <w:r w:rsidRPr="00A723FD">
        <w:rPr>
          <w:rFonts w:ascii="標楷體" w:eastAsia="標楷體" w:hAnsi="標楷體" w:hint="eastAsia"/>
          <w:snapToGrid w:val="0"/>
          <w:color w:val="000000"/>
          <w:sz w:val="32"/>
          <w:szCs w:val="32"/>
        </w:rPr>
        <w:t>4千元，其中近六成（57.63</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）為人事費，計</w:t>
      </w:r>
      <w:r>
        <w:rPr>
          <w:rFonts w:ascii="標楷體" w:eastAsia="標楷體" w:hAnsi="標楷體" w:hint="eastAsia"/>
          <w:snapToGrid w:val="0"/>
          <w:color w:val="000000"/>
          <w:sz w:val="32"/>
          <w:szCs w:val="32"/>
        </w:rPr>
        <w:t>3億2</w:t>
      </w:r>
      <w:r>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0</w:t>
      </w:r>
      <w:r w:rsidRPr="00A723FD">
        <w:rPr>
          <w:rFonts w:ascii="標楷體" w:eastAsia="標楷體" w:hAnsi="標楷體" w:hint="eastAsia"/>
          <w:snapToGrid w:val="0"/>
          <w:color w:val="000000"/>
          <w:sz w:val="32"/>
          <w:szCs w:val="32"/>
        </w:rPr>
        <w:t>11</w:t>
      </w:r>
      <w:r>
        <w:rPr>
          <w:rFonts w:ascii="標楷體" w:eastAsia="標楷體" w:hAnsi="標楷體" w:hint="eastAsia"/>
          <w:snapToGrid w:val="0"/>
          <w:color w:val="000000"/>
          <w:sz w:val="32"/>
          <w:szCs w:val="32"/>
        </w:rPr>
        <w:t>萬</w:t>
      </w:r>
      <w:r w:rsidRPr="00A723FD">
        <w:rPr>
          <w:rFonts w:ascii="標楷體" w:eastAsia="標楷體" w:hAnsi="標楷體" w:hint="eastAsia"/>
          <w:snapToGrid w:val="0"/>
          <w:color w:val="000000"/>
          <w:sz w:val="32"/>
          <w:szCs w:val="32"/>
        </w:rPr>
        <w:t>元，導致可以運用的業務費可能遭到壓縮。同為二級機關之</w:t>
      </w:r>
      <w:r>
        <w:rPr>
          <w:rFonts w:ascii="標楷體" w:eastAsia="標楷體" w:hAnsi="標楷體" w:hint="eastAsia"/>
          <w:snapToGrid w:val="0"/>
          <w:color w:val="000000"/>
          <w:sz w:val="32"/>
          <w:szCs w:val="32"/>
        </w:rPr>
        <w:t>國家發展委員會</w:t>
      </w:r>
      <w:r w:rsidRPr="00A723FD">
        <w:rPr>
          <w:rFonts w:ascii="標楷體" w:eastAsia="標楷體" w:hAnsi="標楷體" w:hint="eastAsia"/>
          <w:snapToGrid w:val="0"/>
          <w:color w:val="000000"/>
          <w:sz w:val="32"/>
          <w:szCs w:val="32"/>
        </w:rPr>
        <w:t>，雖業務範疇不盡相同，但112年度國</w:t>
      </w:r>
      <w:r>
        <w:rPr>
          <w:rFonts w:ascii="標楷體" w:eastAsia="標楷體" w:hAnsi="標楷體" w:hint="eastAsia"/>
          <w:snapToGrid w:val="0"/>
          <w:color w:val="000000"/>
          <w:sz w:val="32"/>
          <w:szCs w:val="32"/>
        </w:rPr>
        <w:t>家</w:t>
      </w:r>
      <w:r w:rsidRPr="00A723FD">
        <w:rPr>
          <w:rFonts w:ascii="標楷體" w:eastAsia="標楷體" w:hAnsi="標楷體" w:hint="eastAsia"/>
          <w:snapToGrid w:val="0"/>
          <w:color w:val="000000"/>
          <w:sz w:val="32"/>
          <w:szCs w:val="32"/>
        </w:rPr>
        <w:t>發</w:t>
      </w:r>
      <w:r>
        <w:rPr>
          <w:rFonts w:ascii="標楷體" w:eastAsia="標楷體" w:hAnsi="標楷體" w:hint="eastAsia"/>
          <w:snapToGrid w:val="0"/>
          <w:color w:val="000000"/>
          <w:sz w:val="32"/>
          <w:szCs w:val="32"/>
        </w:rPr>
        <w:t>展委員</w:t>
      </w:r>
      <w:r w:rsidRPr="00A723FD">
        <w:rPr>
          <w:rFonts w:ascii="標楷體" w:eastAsia="標楷體" w:hAnsi="標楷體" w:hint="eastAsia"/>
          <w:snapToGrid w:val="0"/>
          <w:color w:val="000000"/>
          <w:sz w:val="32"/>
          <w:szCs w:val="32"/>
        </w:rPr>
        <w:t>會歲出預算</w:t>
      </w:r>
      <w:r>
        <w:rPr>
          <w:rFonts w:ascii="標楷體" w:eastAsia="標楷體" w:hAnsi="標楷體" w:hint="eastAsia"/>
          <w:snapToGrid w:val="0"/>
          <w:color w:val="000000"/>
          <w:sz w:val="32"/>
          <w:szCs w:val="32"/>
        </w:rPr>
        <w:t>編列</w:t>
      </w:r>
      <w:r w:rsidRPr="00A723FD">
        <w:rPr>
          <w:rFonts w:ascii="標楷體" w:eastAsia="標楷體" w:hAnsi="標楷體" w:hint="eastAsia"/>
          <w:snapToGrid w:val="0"/>
          <w:color w:val="000000"/>
          <w:sz w:val="32"/>
          <w:szCs w:val="32"/>
        </w:rPr>
        <w:t>23億6,207萬4千元，人事費</w:t>
      </w:r>
      <w:r>
        <w:rPr>
          <w:rFonts w:ascii="標楷體" w:eastAsia="標楷體" w:hAnsi="標楷體" w:hint="eastAsia"/>
          <w:snapToGrid w:val="0"/>
          <w:color w:val="000000"/>
          <w:sz w:val="32"/>
          <w:szCs w:val="32"/>
        </w:rPr>
        <w:t>預算編列</w:t>
      </w:r>
      <w:r w:rsidRPr="00A723FD">
        <w:rPr>
          <w:rFonts w:ascii="標楷體" w:eastAsia="標楷體" w:hAnsi="標楷體" w:hint="eastAsia"/>
          <w:snapToGrid w:val="0"/>
          <w:color w:val="000000"/>
          <w:sz w:val="32"/>
          <w:szCs w:val="32"/>
        </w:rPr>
        <w:t>6億8,546萬4千元，占整體預算29.02%，業務費</w:t>
      </w:r>
      <w:r>
        <w:rPr>
          <w:rFonts w:ascii="標楷體" w:eastAsia="標楷體" w:hAnsi="標楷體" w:hint="eastAsia"/>
          <w:snapToGrid w:val="0"/>
          <w:color w:val="000000"/>
          <w:sz w:val="32"/>
          <w:szCs w:val="32"/>
        </w:rPr>
        <w:t>預算編列</w:t>
      </w:r>
      <w:r w:rsidRPr="00A723FD">
        <w:rPr>
          <w:rFonts w:ascii="標楷體" w:eastAsia="標楷體" w:hAnsi="標楷體" w:hint="eastAsia"/>
          <w:snapToGrid w:val="0"/>
          <w:color w:val="000000"/>
          <w:sz w:val="32"/>
          <w:szCs w:val="32"/>
        </w:rPr>
        <w:t>5億6,038萬8千元，其中委辦費</w:t>
      </w:r>
      <w:r>
        <w:rPr>
          <w:rFonts w:ascii="標楷體" w:eastAsia="標楷體" w:hAnsi="標楷體" w:hint="eastAsia"/>
          <w:snapToGrid w:val="0"/>
          <w:color w:val="000000"/>
          <w:sz w:val="32"/>
          <w:szCs w:val="32"/>
        </w:rPr>
        <w:t>預算</w:t>
      </w:r>
      <w:r w:rsidRPr="00A723FD">
        <w:rPr>
          <w:rFonts w:ascii="標楷體" w:eastAsia="標楷體" w:hAnsi="標楷體" w:hint="eastAsia"/>
          <w:snapToGrid w:val="0"/>
          <w:color w:val="000000"/>
          <w:sz w:val="32"/>
          <w:szCs w:val="32"/>
        </w:rPr>
        <w:t>編列2億6,611萬3千元，占業務費比率47.49%</w:t>
      </w:r>
      <w:r>
        <w:rPr>
          <w:rFonts w:ascii="標楷體" w:eastAsia="標楷體" w:hAnsi="標楷體" w:hint="eastAsia"/>
          <w:snapToGrid w:val="0"/>
          <w:color w:val="000000"/>
          <w:sz w:val="32"/>
          <w:szCs w:val="32"/>
        </w:rPr>
        <w:t>。相較之下，凸顯原能會委辦費用占比較高。爰</w:t>
      </w:r>
      <w:r w:rsidRPr="00A723FD">
        <w:rPr>
          <w:rFonts w:ascii="標楷體" w:eastAsia="標楷體" w:hAnsi="標楷體" w:hint="eastAsia"/>
          <w:snapToGrid w:val="0"/>
          <w:color w:val="000000"/>
          <w:sz w:val="32"/>
          <w:szCs w:val="32"/>
        </w:rPr>
        <w:t>要求</w:t>
      </w:r>
      <w:r>
        <w:rPr>
          <w:rFonts w:ascii="標楷體" w:eastAsia="標楷體" w:hAnsi="標楷體" w:hint="eastAsia"/>
          <w:snapToGrid w:val="0"/>
          <w:color w:val="000000"/>
          <w:sz w:val="32"/>
          <w:szCs w:val="32"/>
        </w:rPr>
        <w:t>行政院</w:t>
      </w:r>
      <w:r w:rsidRPr="00A723FD">
        <w:rPr>
          <w:rFonts w:ascii="標楷體" w:eastAsia="標楷體" w:hAnsi="標楷體" w:hint="eastAsia"/>
          <w:snapToGrid w:val="0"/>
          <w:color w:val="000000"/>
          <w:sz w:val="32"/>
          <w:szCs w:val="32"/>
        </w:rPr>
        <w:t>原子能委員會於2個月內向立法院教育及文化委員會提出書面報告。</w:t>
      </w:r>
      <w:r>
        <w:rPr>
          <w:rFonts w:ascii="標楷體" w:eastAsia="標楷體" w:hAnsi="標楷體"/>
          <w:snapToGrid w:val="0"/>
          <w:color w:val="000000"/>
          <w:sz w:val="32"/>
          <w:szCs w:val="32"/>
        </w:rPr>
        <w:t>36</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提案人：張廖萬堅</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連署人：賴品妤  何欣純</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二十八</w:t>
      </w:r>
      <w:r w:rsidRPr="00FB7CC2">
        <w:rPr>
          <w:rFonts w:ascii="標楷體" w:eastAsia="標楷體" w:hAnsi="標楷體"/>
          <w:snapToGrid w:val="0"/>
          <w:color w:val="000000"/>
          <w:sz w:val="32"/>
          <w:szCs w:val="32"/>
        </w:rPr>
        <w:t>)</w:t>
      </w:r>
      <w:r w:rsidRPr="00A723FD">
        <w:rPr>
          <w:rFonts w:ascii="標楷體" w:eastAsia="標楷體" w:hAnsi="標楷體" w:hint="eastAsia"/>
          <w:snapToGrid w:val="0"/>
          <w:color w:val="000000"/>
          <w:sz w:val="32"/>
          <w:szCs w:val="32"/>
        </w:rPr>
        <w:t>經查</w:t>
      </w:r>
      <w:r>
        <w:rPr>
          <w:rFonts w:ascii="標楷體" w:eastAsia="標楷體" w:hAnsi="標楷體" w:hint="eastAsia"/>
          <w:snapToGrid w:val="0"/>
          <w:color w:val="000000"/>
          <w:sz w:val="32"/>
          <w:szCs w:val="32"/>
        </w:rPr>
        <w:t>112年度行政院原子能委員會「核設施安全管制」項下「</w:t>
      </w:r>
      <w:r w:rsidRPr="00A723FD">
        <w:rPr>
          <w:rFonts w:ascii="標楷體" w:eastAsia="標楷體" w:hAnsi="標楷體" w:hint="eastAsia"/>
          <w:snapToGrid w:val="0"/>
          <w:color w:val="000000"/>
          <w:sz w:val="32"/>
          <w:szCs w:val="32"/>
        </w:rPr>
        <w:t>核設施安全與維護之管制</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係辦理「運轉中核能電廠視察」、「核設施運轉安全專案審查」等業務，以確保核電廠運轉安全無虞，惟查，108</w:t>
      </w:r>
      <w:r>
        <w:rPr>
          <w:rFonts w:ascii="標楷體" w:eastAsia="標楷體" w:hAnsi="標楷體" w:hint="eastAsia"/>
          <w:snapToGrid w:val="0"/>
          <w:color w:val="000000"/>
          <w:sz w:val="32"/>
          <w:szCs w:val="32"/>
        </w:rPr>
        <w:t>至</w:t>
      </w:r>
      <w:r w:rsidRPr="00A723FD">
        <w:rPr>
          <w:rFonts w:ascii="標楷體" w:eastAsia="標楷體" w:hAnsi="標楷體" w:hint="eastAsia"/>
          <w:snapToGrid w:val="0"/>
          <w:color w:val="000000"/>
          <w:sz w:val="32"/>
          <w:szCs w:val="32"/>
        </w:rPr>
        <w:t>111年我國各核電廠急停情形，</w:t>
      </w:r>
      <w:r w:rsidRPr="0000068D">
        <w:rPr>
          <w:rFonts w:ascii="標楷體" w:eastAsia="標楷體" w:hAnsi="標楷體" w:hint="eastAsia"/>
          <w:snapToGrid w:val="0"/>
          <w:color w:val="000000"/>
          <w:sz w:val="32"/>
          <w:szCs w:val="32"/>
        </w:rPr>
        <w:t>第三核能發電廠</w:t>
      </w:r>
      <w:r w:rsidRPr="00A723FD">
        <w:rPr>
          <w:rFonts w:ascii="標楷體" w:eastAsia="標楷體" w:hAnsi="標楷體" w:hint="eastAsia"/>
          <w:snapToGrid w:val="0"/>
          <w:color w:val="000000"/>
          <w:sz w:val="32"/>
          <w:szCs w:val="32"/>
        </w:rPr>
        <w:t>111</w:t>
      </w:r>
      <w:r>
        <w:rPr>
          <w:rFonts w:ascii="標楷體" w:eastAsia="標楷體" w:hAnsi="標楷體" w:hint="eastAsia"/>
          <w:snapToGrid w:val="0"/>
          <w:color w:val="000000"/>
          <w:sz w:val="32"/>
          <w:szCs w:val="32"/>
        </w:rPr>
        <w:t>年</w:t>
      </w:r>
      <w:r w:rsidRPr="00A723FD">
        <w:rPr>
          <w:rFonts w:ascii="標楷體" w:eastAsia="標楷體" w:hAnsi="標楷體" w:hint="eastAsia"/>
          <w:snapToGrid w:val="0"/>
          <w:color w:val="000000"/>
          <w:sz w:val="32"/>
          <w:szCs w:val="32"/>
        </w:rPr>
        <w:t>發生2次急停，係108年以來之新高。</w:t>
      </w:r>
      <w:r>
        <w:rPr>
          <w:rFonts w:ascii="標楷體" w:eastAsia="標楷體" w:hAnsi="標楷體" w:hint="eastAsia"/>
          <w:snapToGrid w:val="0"/>
          <w:color w:val="000000"/>
          <w:sz w:val="32"/>
          <w:szCs w:val="32"/>
        </w:rPr>
        <w:t>行政院</w:t>
      </w:r>
      <w:r w:rsidRPr="00A723FD">
        <w:rPr>
          <w:rFonts w:ascii="標楷體" w:eastAsia="標楷體" w:hAnsi="標楷體" w:hint="eastAsia"/>
          <w:snapToGrid w:val="0"/>
          <w:color w:val="000000"/>
          <w:sz w:val="32"/>
          <w:szCs w:val="32"/>
        </w:rPr>
        <w:t>原子能委員會應加強督導</w:t>
      </w:r>
      <w:r w:rsidRPr="002009A9">
        <w:rPr>
          <w:rFonts w:ascii="標楷體" w:eastAsia="標楷體" w:hAnsi="標楷體" w:hint="eastAsia"/>
          <w:snapToGrid w:val="0"/>
          <w:color w:val="000000"/>
          <w:sz w:val="32"/>
          <w:szCs w:val="32"/>
        </w:rPr>
        <w:t>台灣電力股份有限公司</w:t>
      </w:r>
      <w:r w:rsidRPr="00A723FD">
        <w:rPr>
          <w:rFonts w:ascii="標楷體" w:eastAsia="標楷體" w:hAnsi="標楷體" w:hint="eastAsia"/>
          <w:snapToGrid w:val="0"/>
          <w:color w:val="000000"/>
          <w:sz w:val="32"/>
          <w:szCs w:val="32"/>
        </w:rPr>
        <w:t>確實改善，以強化核能安全管制，爰要求</w:t>
      </w:r>
      <w:r>
        <w:rPr>
          <w:rFonts w:ascii="標楷體" w:eastAsia="標楷體" w:hAnsi="標楷體" w:hint="eastAsia"/>
          <w:snapToGrid w:val="0"/>
          <w:color w:val="000000"/>
          <w:sz w:val="32"/>
          <w:szCs w:val="32"/>
        </w:rPr>
        <w:t>行政院</w:t>
      </w:r>
      <w:r w:rsidRPr="00A723FD">
        <w:rPr>
          <w:rFonts w:ascii="標楷體" w:eastAsia="標楷體" w:hAnsi="標楷體" w:hint="eastAsia"/>
          <w:snapToGrid w:val="0"/>
          <w:color w:val="000000"/>
          <w:sz w:val="32"/>
          <w:szCs w:val="32"/>
        </w:rPr>
        <w:t>原子能委員會於2個月內向立法院教育及文化委員會就111年</w:t>
      </w:r>
      <w:r w:rsidRPr="0000068D">
        <w:rPr>
          <w:rFonts w:ascii="標楷體" w:eastAsia="標楷體" w:hAnsi="標楷體" w:hint="eastAsia"/>
          <w:snapToGrid w:val="0"/>
          <w:color w:val="000000"/>
          <w:sz w:val="32"/>
          <w:szCs w:val="32"/>
        </w:rPr>
        <w:t>第三核能發電廠</w:t>
      </w:r>
      <w:r w:rsidRPr="00A723FD">
        <w:rPr>
          <w:rFonts w:ascii="標楷體" w:eastAsia="標楷體" w:hAnsi="標楷體" w:hint="eastAsia"/>
          <w:snapToGrid w:val="0"/>
          <w:color w:val="000000"/>
          <w:sz w:val="32"/>
          <w:szCs w:val="32"/>
        </w:rPr>
        <w:t>急停事件之管制作為提出書面報告。</w:t>
      </w:r>
      <w:r>
        <w:rPr>
          <w:rFonts w:ascii="標楷體" w:eastAsia="標楷體" w:hAnsi="標楷體"/>
          <w:snapToGrid w:val="0"/>
          <w:color w:val="000000"/>
          <w:sz w:val="32"/>
          <w:szCs w:val="32"/>
        </w:rPr>
        <w:t>40</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lastRenderedPageBreak/>
        <w:t>提案人：黃國書</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連署人：賴品妤  何欣純</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二十九</w:t>
      </w:r>
      <w:r w:rsidRPr="00FB7CC2">
        <w:rPr>
          <w:rFonts w:ascii="標楷體" w:eastAsia="標楷體" w:hAnsi="標楷體"/>
          <w:snapToGrid w:val="0"/>
          <w:color w:val="000000"/>
          <w:sz w:val="32"/>
          <w:szCs w:val="32"/>
        </w:rPr>
        <w:t>)</w:t>
      </w:r>
      <w:r w:rsidRPr="00A723FD">
        <w:rPr>
          <w:rFonts w:ascii="標楷體" w:eastAsia="標楷體" w:hAnsi="標楷體" w:hint="eastAsia"/>
          <w:snapToGrid w:val="0"/>
          <w:color w:val="000000"/>
          <w:sz w:val="32"/>
          <w:szCs w:val="32"/>
        </w:rPr>
        <w:t>112年</w:t>
      </w:r>
      <w:r>
        <w:rPr>
          <w:rFonts w:ascii="標楷體" w:eastAsia="標楷體" w:hAnsi="標楷體" w:hint="eastAsia"/>
          <w:snapToGrid w:val="0"/>
          <w:color w:val="000000"/>
          <w:sz w:val="32"/>
          <w:szCs w:val="32"/>
        </w:rPr>
        <w:t>度行政院</w:t>
      </w:r>
      <w:r w:rsidRPr="00A723FD">
        <w:rPr>
          <w:rFonts w:ascii="標楷體" w:eastAsia="標楷體" w:hAnsi="標楷體" w:hint="eastAsia"/>
          <w:snapToGrid w:val="0"/>
          <w:color w:val="000000"/>
          <w:sz w:val="32"/>
          <w:szCs w:val="32"/>
        </w:rPr>
        <w:t>原子能委員會「核設施安全管制」項下「核設施安全與維護之管制」預算</w:t>
      </w:r>
      <w:r>
        <w:rPr>
          <w:rFonts w:ascii="標楷體" w:eastAsia="標楷體" w:hAnsi="標楷體" w:hint="eastAsia"/>
          <w:snapToGrid w:val="0"/>
          <w:color w:val="000000"/>
          <w:sz w:val="32"/>
          <w:szCs w:val="32"/>
        </w:rPr>
        <w:t>編列</w:t>
      </w:r>
      <w:r w:rsidRPr="00A723FD">
        <w:rPr>
          <w:rFonts w:ascii="標楷體" w:eastAsia="標楷體" w:hAnsi="標楷體" w:hint="eastAsia"/>
          <w:snapToGrid w:val="0"/>
          <w:color w:val="000000"/>
          <w:sz w:val="32"/>
          <w:szCs w:val="32"/>
        </w:rPr>
        <w:t>1,014</w:t>
      </w:r>
      <w:r>
        <w:rPr>
          <w:rFonts w:ascii="標楷體" w:eastAsia="標楷體" w:hAnsi="標楷體" w:hint="eastAsia"/>
          <w:snapToGrid w:val="0"/>
          <w:color w:val="000000"/>
          <w:sz w:val="32"/>
          <w:szCs w:val="32"/>
        </w:rPr>
        <w:t>萬</w:t>
      </w:r>
      <w:r w:rsidRPr="00A723FD">
        <w:rPr>
          <w:rFonts w:ascii="標楷體" w:eastAsia="標楷體" w:hAnsi="標楷體" w:hint="eastAsia"/>
          <w:snapToGrid w:val="0"/>
          <w:color w:val="000000"/>
          <w:sz w:val="32"/>
          <w:szCs w:val="32"/>
        </w:rPr>
        <w:t>元，係用於相關保障相關核設施安全。烏俄衝突發生至今，對於全球地緣政治產生巨大衝擊。衝突中不僅造成眾多的軍民傷亡，更因為戰爭過程中，俄國率先攻擊基礎設施及發電場所，導致多個烏克蘭境內的核電廠遭到襲擊或</w:t>
      </w:r>
      <w:r>
        <w:rPr>
          <w:rFonts w:ascii="標楷體" w:eastAsia="標楷體" w:hAnsi="標楷體" w:hint="eastAsia"/>
          <w:snapToGrid w:val="0"/>
          <w:color w:val="000000"/>
          <w:sz w:val="32"/>
          <w:szCs w:val="32"/>
        </w:rPr>
        <w:t>占</w:t>
      </w:r>
      <w:r w:rsidRPr="00A723FD">
        <w:rPr>
          <w:rFonts w:ascii="標楷體" w:eastAsia="標楷體" w:hAnsi="標楷體" w:hint="eastAsia"/>
          <w:snapToGrid w:val="0"/>
          <w:color w:val="000000"/>
          <w:sz w:val="32"/>
          <w:szCs w:val="32"/>
        </w:rPr>
        <w:t>領，引發各界對於核安考量的疑慮。而台海局勢近年來也持續升溫，不僅軍機繞台頻繁，中方也多次聲明強調不放棄武力犯台的最終手段。因此我們也無法排除，中國侵略戰爭爆發後，可能會攻擊或</w:t>
      </w:r>
      <w:r>
        <w:rPr>
          <w:rFonts w:ascii="標楷體" w:eastAsia="標楷體" w:hAnsi="標楷體" w:hint="eastAsia"/>
          <w:snapToGrid w:val="0"/>
          <w:color w:val="000000"/>
          <w:sz w:val="32"/>
          <w:szCs w:val="32"/>
        </w:rPr>
        <w:t>占</w:t>
      </w:r>
      <w:r w:rsidRPr="00A723FD">
        <w:rPr>
          <w:rFonts w:ascii="標楷體" w:eastAsia="標楷體" w:hAnsi="標楷體" w:hint="eastAsia"/>
          <w:snapToGrid w:val="0"/>
          <w:color w:val="000000"/>
          <w:sz w:val="32"/>
          <w:szCs w:val="32"/>
        </w:rPr>
        <w:t>領我國的核電廠，甚至導致核子緊急事故發生。原能會應針對可能發生之情境進行模擬，設立相關因應措施，並且說明非戰爭時間，原能會如何針對各類情境進行準備及演習。爰請</w:t>
      </w:r>
      <w:r>
        <w:rPr>
          <w:rFonts w:ascii="標楷體" w:eastAsia="標楷體" w:hAnsi="標楷體" w:hint="eastAsia"/>
          <w:snapToGrid w:val="0"/>
          <w:color w:val="000000"/>
          <w:sz w:val="32"/>
          <w:szCs w:val="32"/>
        </w:rPr>
        <w:t>行政院</w:t>
      </w:r>
      <w:r w:rsidRPr="00A723FD">
        <w:rPr>
          <w:rFonts w:ascii="標楷體" w:eastAsia="標楷體" w:hAnsi="標楷體" w:hint="eastAsia"/>
          <w:snapToGrid w:val="0"/>
          <w:color w:val="000000"/>
          <w:sz w:val="32"/>
          <w:szCs w:val="32"/>
        </w:rPr>
        <w:t>原子能委員會於</w:t>
      </w:r>
      <w:r>
        <w:rPr>
          <w:rFonts w:ascii="標楷體" w:eastAsia="標楷體" w:hAnsi="標楷體" w:hint="eastAsia"/>
          <w:snapToGrid w:val="0"/>
          <w:color w:val="000000"/>
          <w:sz w:val="32"/>
          <w:szCs w:val="32"/>
        </w:rPr>
        <w:t>1</w:t>
      </w:r>
      <w:r w:rsidRPr="00A723FD">
        <w:rPr>
          <w:rFonts w:ascii="標楷體" w:eastAsia="標楷體" w:hAnsi="標楷體" w:hint="eastAsia"/>
          <w:snapToGrid w:val="0"/>
          <w:color w:val="000000"/>
          <w:sz w:val="32"/>
          <w:szCs w:val="32"/>
        </w:rPr>
        <w:t>個月內向</w:t>
      </w:r>
      <w:r>
        <w:rPr>
          <w:rFonts w:ascii="標楷體" w:eastAsia="標楷體" w:hAnsi="標楷體" w:hint="eastAsia"/>
          <w:snapToGrid w:val="0"/>
          <w:color w:val="000000"/>
          <w:sz w:val="32"/>
          <w:szCs w:val="32"/>
        </w:rPr>
        <w:t>立法</w:t>
      </w:r>
      <w:r w:rsidRPr="00A723FD">
        <w:rPr>
          <w:rFonts w:ascii="標楷體" w:eastAsia="標楷體" w:hAnsi="標楷體" w:hint="eastAsia"/>
          <w:snapToGrid w:val="0"/>
          <w:color w:val="000000"/>
          <w:sz w:val="32"/>
          <w:szCs w:val="32"/>
        </w:rPr>
        <w:t>院教育及文化委員會提出書面報告。</w:t>
      </w:r>
      <w:r>
        <w:rPr>
          <w:rFonts w:ascii="標楷體" w:eastAsia="標楷體" w:hAnsi="標楷體"/>
          <w:snapToGrid w:val="0"/>
          <w:color w:val="000000"/>
          <w:sz w:val="32"/>
          <w:szCs w:val="32"/>
        </w:rPr>
        <w:t>41</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提案人：王婉諭</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連署人：黃國書  張廖萬堅</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(三十)</w:t>
      </w:r>
      <w:r w:rsidRPr="00A723FD">
        <w:rPr>
          <w:rFonts w:ascii="標楷體" w:eastAsia="標楷體" w:hAnsi="標楷體" w:hint="eastAsia"/>
          <w:snapToGrid w:val="0"/>
          <w:color w:val="000000"/>
          <w:sz w:val="32"/>
          <w:szCs w:val="32"/>
        </w:rPr>
        <w:t>俄烏戰爭爆發，國際媒體曾指出俄羅斯可能引爆髒彈升高戰爭衝突，惟髒彈係有輻射</w:t>
      </w:r>
      <w:r>
        <w:rPr>
          <w:rFonts w:ascii="標楷體" w:eastAsia="標楷體" w:hAnsi="標楷體" w:hint="eastAsia"/>
          <w:snapToGrid w:val="0"/>
          <w:color w:val="000000"/>
          <w:sz w:val="32"/>
          <w:szCs w:val="32"/>
        </w:rPr>
        <w:t>污</w:t>
      </w:r>
      <w:r w:rsidRPr="00A723FD">
        <w:rPr>
          <w:rFonts w:ascii="標楷體" w:eastAsia="標楷體" w:hAnsi="標楷體" w:hint="eastAsia"/>
          <w:snapToGrid w:val="0"/>
          <w:color w:val="000000"/>
          <w:sz w:val="32"/>
          <w:szCs w:val="32"/>
        </w:rPr>
        <w:t>染之武器，雖迄今未有成功引爆之紀錄，但</w:t>
      </w:r>
      <w:r>
        <w:rPr>
          <w:rFonts w:ascii="標楷體" w:eastAsia="標楷體" w:hAnsi="標楷體" w:hint="eastAsia"/>
          <w:snapToGrid w:val="0"/>
          <w:color w:val="000000"/>
          <w:sz w:val="32"/>
          <w:szCs w:val="32"/>
        </w:rPr>
        <w:t>行政院</w:t>
      </w:r>
      <w:r w:rsidRPr="00A723FD">
        <w:rPr>
          <w:rFonts w:ascii="標楷體" w:eastAsia="標楷體" w:hAnsi="標楷體" w:hint="eastAsia"/>
          <w:snapToGrid w:val="0"/>
          <w:color w:val="000000"/>
          <w:sz w:val="32"/>
          <w:szCs w:val="32"/>
        </w:rPr>
        <w:t>原子能委員會</w:t>
      </w:r>
      <w:r>
        <w:rPr>
          <w:rFonts w:ascii="標楷體" w:eastAsia="標楷體" w:hAnsi="標楷體" w:hint="eastAsia"/>
          <w:snapToGrid w:val="0"/>
          <w:color w:val="000000"/>
          <w:sz w:val="32"/>
          <w:szCs w:val="32"/>
        </w:rPr>
        <w:t>身為我國最高核</w:t>
      </w:r>
      <w:r w:rsidRPr="00A723FD">
        <w:rPr>
          <w:rFonts w:ascii="標楷體" w:eastAsia="標楷體" w:hAnsi="標楷體" w:hint="eastAsia"/>
          <w:snapToGrid w:val="0"/>
          <w:color w:val="000000"/>
          <w:sz w:val="32"/>
          <w:szCs w:val="32"/>
        </w:rPr>
        <w:t>能管制相關專業單位，應密切注意並研議相關防護措施。請</w:t>
      </w:r>
      <w:r>
        <w:rPr>
          <w:rFonts w:ascii="標楷體" w:eastAsia="標楷體" w:hAnsi="標楷體" w:hint="eastAsia"/>
          <w:snapToGrid w:val="0"/>
          <w:color w:val="000000"/>
          <w:sz w:val="32"/>
          <w:szCs w:val="32"/>
        </w:rPr>
        <w:t>行政院</w:t>
      </w:r>
      <w:r w:rsidRPr="00A723FD">
        <w:rPr>
          <w:rFonts w:ascii="標楷體" w:eastAsia="標楷體" w:hAnsi="標楷體" w:hint="eastAsia"/>
          <w:snapToGrid w:val="0"/>
          <w:color w:val="000000"/>
          <w:sz w:val="32"/>
          <w:szCs w:val="32"/>
        </w:rPr>
        <w:t>原子能委員會於</w:t>
      </w:r>
      <w:r>
        <w:rPr>
          <w:rFonts w:ascii="標楷體" w:eastAsia="標楷體" w:hAnsi="標楷體" w:hint="eastAsia"/>
          <w:snapToGrid w:val="0"/>
          <w:color w:val="000000"/>
          <w:sz w:val="32"/>
          <w:szCs w:val="32"/>
        </w:rPr>
        <w:t>2個月內針對上述問題</w:t>
      </w:r>
      <w:r w:rsidRPr="00A723FD">
        <w:rPr>
          <w:rFonts w:ascii="標楷體" w:eastAsia="標楷體" w:hAnsi="標楷體" w:hint="eastAsia"/>
          <w:snapToGrid w:val="0"/>
          <w:color w:val="000000"/>
          <w:sz w:val="32"/>
          <w:szCs w:val="32"/>
        </w:rPr>
        <w:t>向立法院教育及文化委員會提出書面報告。</w:t>
      </w:r>
      <w:r>
        <w:rPr>
          <w:rFonts w:ascii="標楷體" w:eastAsia="標楷體" w:hAnsi="標楷體"/>
          <w:snapToGrid w:val="0"/>
          <w:color w:val="000000"/>
          <w:sz w:val="32"/>
          <w:szCs w:val="32"/>
        </w:rPr>
        <w:t>44</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提案人：陳秀寳</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連署人：何欣純  吳思瑤</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三十一</w:t>
      </w:r>
      <w:r w:rsidRPr="00FB7CC2">
        <w:rPr>
          <w:rFonts w:ascii="標楷體" w:eastAsia="標楷體" w:hAnsi="標楷體"/>
          <w:snapToGrid w:val="0"/>
          <w:color w:val="000000"/>
          <w:sz w:val="32"/>
          <w:szCs w:val="32"/>
        </w:rPr>
        <w:t>)</w:t>
      </w:r>
      <w:r w:rsidRPr="00A723FD">
        <w:rPr>
          <w:rFonts w:ascii="標楷體" w:eastAsia="標楷體" w:hAnsi="標楷體" w:hint="eastAsia"/>
          <w:snapToGrid w:val="0"/>
          <w:color w:val="000000"/>
          <w:sz w:val="32"/>
          <w:szCs w:val="32"/>
        </w:rPr>
        <w:t>有</w:t>
      </w:r>
      <w:r>
        <w:rPr>
          <w:rFonts w:ascii="標楷體" w:eastAsia="標楷體" w:hAnsi="標楷體" w:hint="eastAsia"/>
          <w:snapToGrid w:val="0"/>
          <w:color w:val="000000"/>
          <w:sz w:val="32"/>
          <w:szCs w:val="32"/>
        </w:rPr>
        <w:t>鑑</w:t>
      </w:r>
      <w:r w:rsidRPr="00A723FD">
        <w:rPr>
          <w:rFonts w:ascii="標楷體" w:eastAsia="標楷體" w:hAnsi="標楷體" w:hint="eastAsia"/>
          <w:snapToGrid w:val="0"/>
          <w:color w:val="000000"/>
          <w:sz w:val="32"/>
          <w:szCs w:val="32"/>
        </w:rPr>
        <w:t>於歷年來之核災演習，陸續遭到地方政府拒絕配合</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甚至有帶隊抗議之窘境，其災害防救攸關民眾與環境安全</w:t>
      </w:r>
      <w:r w:rsidRPr="00A723FD">
        <w:rPr>
          <w:rFonts w:ascii="標楷體" w:eastAsia="標楷體" w:hAnsi="標楷體" w:hint="eastAsia"/>
          <w:snapToGrid w:val="0"/>
          <w:color w:val="000000"/>
          <w:sz w:val="32"/>
          <w:szCs w:val="32"/>
        </w:rPr>
        <w:lastRenderedPageBreak/>
        <w:t>，對國家社會經濟有重大影響。查</w:t>
      </w:r>
      <w:r>
        <w:rPr>
          <w:rFonts w:ascii="標楷體" w:eastAsia="標楷體" w:hAnsi="標楷體" w:hint="eastAsia"/>
          <w:snapToGrid w:val="0"/>
          <w:color w:val="000000"/>
          <w:sz w:val="32"/>
          <w:szCs w:val="32"/>
        </w:rPr>
        <w:t>行政院</w:t>
      </w:r>
      <w:r w:rsidRPr="00A723FD">
        <w:rPr>
          <w:rFonts w:ascii="標楷體" w:eastAsia="標楷體" w:hAnsi="標楷體" w:hint="eastAsia"/>
          <w:snapToGrid w:val="0"/>
          <w:color w:val="000000"/>
          <w:sz w:val="32"/>
          <w:szCs w:val="32"/>
        </w:rPr>
        <w:t>原子能委員會所擬具之</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核子事故緊急應變法修正草案</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已於</w:t>
      </w:r>
      <w:r w:rsidRPr="00A723FD">
        <w:rPr>
          <w:rFonts w:ascii="標楷體" w:eastAsia="標楷體" w:hAnsi="標楷體"/>
          <w:snapToGrid w:val="0"/>
          <w:color w:val="000000"/>
          <w:sz w:val="32"/>
          <w:szCs w:val="32"/>
        </w:rPr>
        <w:t>2018</w:t>
      </w:r>
      <w:r w:rsidRPr="00A723FD">
        <w:rPr>
          <w:rFonts w:ascii="標楷體" w:eastAsia="標楷體" w:hAnsi="標楷體" w:hint="eastAsia"/>
          <w:snapToGrid w:val="0"/>
          <w:color w:val="000000"/>
          <w:sz w:val="32"/>
          <w:szCs w:val="32"/>
        </w:rPr>
        <w:t>年</w:t>
      </w:r>
      <w:r w:rsidRPr="00A723FD">
        <w:rPr>
          <w:rFonts w:ascii="標楷體" w:eastAsia="標楷體" w:hAnsi="標楷體"/>
          <w:snapToGrid w:val="0"/>
          <w:color w:val="000000"/>
          <w:sz w:val="32"/>
          <w:szCs w:val="32"/>
        </w:rPr>
        <w:t>5</w:t>
      </w:r>
      <w:r w:rsidRPr="00A723FD">
        <w:rPr>
          <w:rFonts w:ascii="標楷體" w:eastAsia="標楷體" w:hAnsi="標楷體" w:hint="eastAsia"/>
          <w:snapToGrid w:val="0"/>
          <w:color w:val="000000"/>
          <w:sz w:val="32"/>
          <w:szCs w:val="32"/>
        </w:rPr>
        <w:t>月</w:t>
      </w:r>
      <w:r w:rsidRPr="00A723FD">
        <w:rPr>
          <w:rFonts w:ascii="標楷體" w:eastAsia="標楷體" w:hAnsi="標楷體"/>
          <w:snapToGrid w:val="0"/>
          <w:color w:val="000000"/>
          <w:sz w:val="32"/>
          <w:szCs w:val="32"/>
        </w:rPr>
        <w:t>18</w:t>
      </w:r>
      <w:r w:rsidRPr="00A723FD">
        <w:rPr>
          <w:rFonts w:ascii="標楷體" w:eastAsia="標楷體" w:hAnsi="標楷體" w:hint="eastAsia"/>
          <w:snapToGrid w:val="0"/>
          <w:color w:val="000000"/>
          <w:sz w:val="32"/>
          <w:szCs w:val="32"/>
        </w:rPr>
        <w:t>日送入立法院，但於立法院第</w:t>
      </w:r>
      <w:r>
        <w:rPr>
          <w:rFonts w:ascii="標楷體" w:eastAsia="標楷體" w:hAnsi="標楷體" w:hint="eastAsia"/>
          <w:snapToGrid w:val="0"/>
          <w:color w:val="000000"/>
          <w:sz w:val="32"/>
          <w:szCs w:val="32"/>
        </w:rPr>
        <w:t>9</w:t>
      </w:r>
      <w:r w:rsidRPr="00A723FD">
        <w:rPr>
          <w:rFonts w:ascii="標楷體" w:eastAsia="標楷體" w:hAnsi="標楷體" w:hint="eastAsia"/>
          <w:snapToGrid w:val="0"/>
          <w:color w:val="000000"/>
          <w:sz w:val="32"/>
          <w:szCs w:val="32"/>
        </w:rPr>
        <w:t>屆任期內未獲排審，又因</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立法院職權行使法</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第</w:t>
      </w:r>
      <w:r w:rsidRPr="00A723FD">
        <w:rPr>
          <w:rFonts w:ascii="標楷體" w:eastAsia="標楷體" w:hAnsi="標楷體"/>
          <w:snapToGrid w:val="0"/>
          <w:color w:val="000000"/>
          <w:sz w:val="32"/>
          <w:szCs w:val="32"/>
        </w:rPr>
        <w:t>13</w:t>
      </w:r>
      <w:r w:rsidRPr="00A723FD">
        <w:rPr>
          <w:rFonts w:ascii="標楷體" w:eastAsia="標楷體" w:hAnsi="標楷體" w:hint="eastAsia"/>
          <w:snapToGrid w:val="0"/>
          <w:color w:val="000000"/>
          <w:sz w:val="32"/>
          <w:szCs w:val="32"/>
        </w:rPr>
        <w:t>條規定：「每屆立法委員任期屆滿時，除預（決）算案及人民請願案外，尚未議決之議案，下屆不予繼續審議。」加以行政院並未於立法院第</w:t>
      </w:r>
      <w:r>
        <w:rPr>
          <w:rFonts w:ascii="標楷體" w:eastAsia="標楷體" w:hAnsi="標楷體" w:hint="eastAsia"/>
          <w:snapToGrid w:val="0"/>
          <w:color w:val="000000"/>
          <w:sz w:val="32"/>
          <w:szCs w:val="32"/>
        </w:rPr>
        <w:t>10</w:t>
      </w:r>
      <w:r w:rsidRPr="00A723FD">
        <w:rPr>
          <w:rFonts w:ascii="標楷體" w:eastAsia="標楷體" w:hAnsi="標楷體" w:hint="eastAsia"/>
          <w:snapToGrid w:val="0"/>
          <w:color w:val="000000"/>
          <w:sz w:val="32"/>
          <w:szCs w:val="32"/>
        </w:rPr>
        <w:t>屆再度函請審議，以致</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核子事故緊急應變法</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迄今尚未修正。針對</w:t>
      </w:r>
      <w:r w:rsidRPr="00B41334">
        <w:rPr>
          <w:rFonts w:ascii="標楷體" w:eastAsia="標楷體" w:hAnsi="標楷體" w:hint="eastAsia"/>
          <w:snapToGrid w:val="0"/>
          <w:color w:val="000000"/>
          <w:sz w:val="32"/>
          <w:szCs w:val="32"/>
        </w:rPr>
        <w:t>「核子事故緊急應變法」</w:t>
      </w:r>
      <w:r w:rsidRPr="00A723FD">
        <w:rPr>
          <w:rFonts w:ascii="標楷體" w:eastAsia="標楷體" w:hAnsi="標楷體" w:hint="eastAsia"/>
          <w:snapToGrid w:val="0"/>
          <w:color w:val="000000"/>
          <w:sz w:val="32"/>
          <w:szCs w:val="32"/>
        </w:rPr>
        <w:t>修正完成前可能面臨前述狀況之處理方式，請</w:t>
      </w:r>
      <w:r>
        <w:rPr>
          <w:rFonts w:ascii="標楷體" w:eastAsia="標楷體" w:hAnsi="標楷體" w:hint="eastAsia"/>
          <w:snapToGrid w:val="0"/>
          <w:color w:val="000000"/>
          <w:sz w:val="32"/>
          <w:szCs w:val="32"/>
        </w:rPr>
        <w:t>行政院</w:t>
      </w:r>
      <w:r w:rsidRPr="00A723FD">
        <w:rPr>
          <w:rFonts w:ascii="標楷體" w:eastAsia="標楷體" w:hAnsi="標楷體" w:hint="eastAsia"/>
          <w:snapToGrid w:val="0"/>
          <w:color w:val="000000"/>
          <w:sz w:val="32"/>
          <w:szCs w:val="32"/>
        </w:rPr>
        <w:t>原子能委員會於</w:t>
      </w:r>
      <w:r>
        <w:rPr>
          <w:rFonts w:ascii="標楷體" w:eastAsia="標楷體" w:hAnsi="標楷體" w:hint="eastAsia"/>
          <w:snapToGrid w:val="0"/>
          <w:color w:val="000000"/>
          <w:sz w:val="32"/>
          <w:szCs w:val="32"/>
        </w:rPr>
        <w:t>2</w:t>
      </w:r>
      <w:r w:rsidRPr="00A723FD">
        <w:rPr>
          <w:rFonts w:ascii="標楷體" w:eastAsia="標楷體" w:hAnsi="標楷體" w:hint="eastAsia"/>
          <w:snapToGrid w:val="0"/>
          <w:color w:val="000000"/>
          <w:sz w:val="32"/>
          <w:szCs w:val="32"/>
        </w:rPr>
        <w:t>個月內向立法院教育及文化委員提出書面報告。</w:t>
      </w:r>
      <w:r>
        <w:rPr>
          <w:rFonts w:ascii="標楷體" w:eastAsia="標楷體" w:hAnsi="標楷體"/>
          <w:snapToGrid w:val="0"/>
          <w:color w:val="000000"/>
          <w:sz w:val="32"/>
          <w:szCs w:val="32"/>
        </w:rPr>
        <w:t>46</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提案人：吳思瑤</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連署人：賴品妤  何欣純</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三十二</w:t>
      </w:r>
      <w:r w:rsidRPr="00FB7CC2">
        <w:rPr>
          <w:rFonts w:ascii="標楷體" w:eastAsia="標楷體" w:hAnsi="標楷體"/>
          <w:snapToGrid w:val="0"/>
          <w:color w:val="000000"/>
          <w:sz w:val="32"/>
          <w:szCs w:val="32"/>
        </w:rPr>
        <w:t>)</w:t>
      </w:r>
      <w:r w:rsidRPr="00A723FD">
        <w:rPr>
          <w:rFonts w:ascii="標楷體" w:eastAsia="標楷體" w:hAnsi="標楷體"/>
          <w:snapToGrid w:val="0"/>
          <w:color w:val="000000"/>
          <w:sz w:val="32"/>
          <w:szCs w:val="32"/>
        </w:rPr>
        <w:t>112</w:t>
      </w:r>
      <w:r w:rsidRPr="00A723FD">
        <w:rPr>
          <w:rFonts w:ascii="標楷體" w:eastAsia="標楷體" w:hAnsi="標楷體" w:hint="eastAsia"/>
          <w:snapToGrid w:val="0"/>
          <w:color w:val="000000"/>
          <w:sz w:val="32"/>
          <w:szCs w:val="32"/>
        </w:rPr>
        <w:t>年</w:t>
      </w:r>
      <w:r>
        <w:rPr>
          <w:rFonts w:ascii="標楷體" w:eastAsia="標楷體" w:hAnsi="標楷體" w:hint="eastAsia"/>
          <w:snapToGrid w:val="0"/>
          <w:color w:val="000000"/>
          <w:sz w:val="32"/>
          <w:szCs w:val="32"/>
        </w:rPr>
        <w:t>度行政院</w:t>
      </w:r>
      <w:r w:rsidRPr="00A723FD">
        <w:rPr>
          <w:rFonts w:ascii="標楷體" w:eastAsia="標楷體" w:hAnsi="標楷體" w:hint="eastAsia"/>
          <w:snapToGrid w:val="0"/>
          <w:color w:val="000000"/>
          <w:sz w:val="32"/>
          <w:szCs w:val="32"/>
        </w:rPr>
        <w:t>原子能委員會「核子保安與應變」項下</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強化</w:t>
      </w:r>
      <w:r>
        <w:rPr>
          <w:rFonts w:ascii="標楷體" w:eastAsia="標楷體" w:hAnsi="標楷體" w:hint="eastAsia"/>
          <w:snapToGrid w:val="0"/>
          <w:color w:val="000000"/>
          <w:sz w:val="32"/>
          <w:szCs w:val="32"/>
        </w:rPr>
        <w:t>輻</w:t>
      </w:r>
      <w:r w:rsidRPr="00A723FD">
        <w:rPr>
          <w:rFonts w:ascii="標楷體" w:eastAsia="標楷體" w:hAnsi="標楷體" w:hint="eastAsia"/>
          <w:snapToGrid w:val="0"/>
          <w:color w:val="000000"/>
          <w:sz w:val="32"/>
          <w:szCs w:val="32"/>
        </w:rPr>
        <w:t>射災害應變與管制技術之研究」預算</w:t>
      </w:r>
      <w:r>
        <w:rPr>
          <w:rFonts w:ascii="標楷體" w:eastAsia="標楷體" w:hAnsi="標楷體" w:hint="eastAsia"/>
          <w:snapToGrid w:val="0"/>
          <w:color w:val="000000"/>
          <w:sz w:val="32"/>
          <w:szCs w:val="32"/>
        </w:rPr>
        <w:t>編列</w:t>
      </w:r>
      <w:r>
        <w:rPr>
          <w:rFonts w:ascii="標楷體" w:eastAsia="標楷體" w:hAnsi="標楷體"/>
          <w:snapToGrid w:val="0"/>
          <w:color w:val="000000"/>
          <w:sz w:val="32"/>
          <w:szCs w:val="32"/>
        </w:rPr>
        <w:t>1,4</w:t>
      </w:r>
      <w:r w:rsidRPr="00A723FD">
        <w:rPr>
          <w:rFonts w:ascii="標楷體" w:eastAsia="標楷體" w:hAnsi="標楷體"/>
          <w:snapToGrid w:val="0"/>
          <w:color w:val="000000"/>
          <w:sz w:val="32"/>
          <w:szCs w:val="32"/>
        </w:rPr>
        <w:t>00</w:t>
      </w:r>
      <w:r>
        <w:rPr>
          <w:rFonts w:ascii="標楷體" w:eastAsia="標楷體" w:hAnsi="標楷體" w:hint="eastAsia"/>
          <w:snapToGrid w:val="0"/>
          <w:color w:val="000000"/>
          <w:sz w:val="32"/>
          <w:szCs w:val="32"/>
        </w:rPr>
        <w:t>萬</w:t>
      </w:r>
      <w:r w:rsidRPr="00A723FD">
        <w:rPr>
          <w:rFonts w:ascii="標楷體" w:eastAsia="標楷體" w:hAnsi="標楷體" w:hint="eastAsia"/>
          <w:snapToGrid w:val="0"/>
          <w:color w:val="000000"/>
          <w:sz w:val="32"/>
          <w:szCs w:val="32"/>
        </w:rPr>
        <w:t>元，係用於精進及開發輻射災害應變技術。烏俄衝突情勢越發激烈，更導致</w:t>
      </w:r>
      <w:r>
        <w:rPr>
          <w:rFonts w:ascii="標楷體" w:eastAsia="標楷體" w:hAnsi="標楷體" w:hint="eastAsia"/>
          <w:snapToGrid w:val="0"/>
          <w:color w:val="000000"/>
          <w:sz w:val="32"/>
          <w:szCs w:val="32"/>
        </w:rPr>
        <w:t>俄方高層多次祭出核威脅，表示將不惜動用戰略核武以取得優勢。對此</w:t>
      </w:r>
      <w:r w:rsidRPr="00A723FD">
        <w:rPr>
          <w:rFonts w:ascii="標楷體" w:eastAsia="標楷體" w:hAnsi="標楷體" w:hint="eastAsia"/>
          <w:snapToGrid w:val="0"/>
          <w:color w:val="000000"/>
          <w:sz w:val="32"/>
          <w:szCs w:val="32"/>
        </w:rPr>
        <w:t>各國皆表示相關威脅不得輕忽，美國總統拜登更指出，這是古巴危機後世界面臨最大的一次核戰爭威脅。台灣地理位置雖較烏俄衝突所在地較為遙遠，然而倘若全面性核戰爭出現，熱效應及輻射塵將遍</w:t>
      </w:r>
      <w:r>
        <w:rPr>
          <w:rFonts w:ascii="標楷體" w:eastAsia="標楷體" w:hAnsi="標楷體" w:hint="eastAsia"/>
          <w:snapToGrid w:val="0"/>
          <w:color w:val="000000"/>
          <w:sz w:val="32"/>
          <w:szCs w:val="32"/>
        </w:rPr>
        <w:t>布</w:t>
      </w:r>
      <w:r w:rsidRPr="00A723FD">
        <w:rPr>
          <w:rFonts w:ascii="標楷體" w:eastAsia="標楷體" w:hAnsi="標楷體" w:hint="eastAsia"/>
          <w:snapToGrid w:val="0"/>
          <w:color w:val="000000"/>
          <w:sz w:val="32"/>
          <w:szCs w:val="32"/>
        </w:rPr>
        <w:t>全球，更可能出現所謂「核子冬天」的氣候浩劫。原能會應對於雙方衝突爆發後之可行情境說明，評估對台</w:t>
      </w:r>
      <w:r>
        <w:rPr>
          <w:rFonts w:ascii="標楷體" w:eastAsia="標楷體" w:hAnsi="標楷體" w:hint="eastAsia"/>
          <w:snapToGrid w:val="0"/>
          <w:color w:val="000000"/>
          <w:sz w:val="32"/>
          <w:szCs w:val="32"/>
        </w:rPr>
        <w:t>威脅，並且具體衡量我國現有應變計畫、相關物資是否充足。爰</w:t>
      </w:r>
      <w:r w:rsidRPr="00A723FD">
        <w:rPr>
          <w:rFonts w:ascii="標楷體" w:eastAsia="標楷體" w:hAnsi="標楷體" w:hint="eastAsia"/>
          <w:snapToGrid w:val="0"/>
          <w:color w:val="000000"/>
          <w:sz w:val="32"/>
          <w:szCs w:val="32"/>
        </w:rPr>
        <w:t>請</w:t>
      </w:r>
      <w:r>
        <w:rPr>
          <w:rFonts w:ascii="標楷體" w:eastAsia="標楷體" w:hAnsi="標楷體" w:hint="eastAsia"/>
          <w:snapToGrid w:val="0"/>
          <w:color w:val="000000"/>
          <w:sz w:val="32"/>
          <w:szCs w:val="32"/>
        </w:rPr>
        <w:t>行政院</w:t>
      </w:r>
      <w:r w:rsidRPr="00A723FD">
        <w:rPr>
          <w:rFonts w:ascii="標楷體" w:eastAsia="標楷體" w:hAnsi="標楷體" w:hint="eastAsia"/>
          <w:snapToGrid w:val="0"/>
          <w:color w:val="000000"/>
          <w:sz w:val="32"/>
          <w:szCs w:val="32"/>
        </w:rPr>
        <w:t>原子能委員會於</w:t>
      </w:r>
      <w:r>
        <w:rPr>
          <w:rFonts w:ascii="標楷體" w:eastAsia="標楷體" w:hAnsi="標楷體" w:hint="eastAsia"/>
          <w:snapToGrid w:val="0"/>
          <w:color w:val="000000"/>
          <w:sz w:val="32"/>
          <w:szCs w:val="32"/>
        </w:rPr>
        <w:t>1</w:t>
      </w:r>
      <w:r w:rsidRPr="00A723FD">
        <w:rPr>
          <w:rFonts w:ascii="標楷體" w:eastAsia="標楷體" w:hAnsi="標楷體" w:hint="eastAsia"/>
          <w:snapToGrid w:val="0"/>
          <w:color w:val="000000"/>
          <w:sz w:val="32"/>
          <w:szCs w:val="32"/>
        </w:rPr>
        <w:t>個月內向</w:t>
      </w:r>
      <w:r>
        <w:rPr>
          <w:rFonts w:ascii="標楷體" w:eastAsia="標楷體" w:hAnsi="標楷體" w:hint="eastAsia"/>
          <w:snapToGrid w:val="0"/>
          <w:color w:val="000000"/>
          <w:sz w:val="32"/>
          <w:szCs w:val="32"/>
        </w:rPr>
        <w:t>立法</w:t>
      </w:r>
      <w:r w:rsidRPr="00A723FD">
        <w:rPr>
          <w:rFonts w:ascii="標楷體" w:eastAsia="標楷體" w:hAnsi="標楷體" w:hint="eastAsia"/>
          <w:snapToGrid w:val="0"/>
          <w:color w:val="000000"/>
          <w:sz w:val="32"/>
          <w:szCs w:val="32"/>
        </w:rPr>
        <w:t>院教育及文化委員會提出書面報告。</w:t>
      </w:r>
      <w:r>
        <w:rPr>
          <w:rFonts w:ascii="標楷體" w:eastAsia="標楷體" w:hAnsi="標楷體"/>
          <w:snapToGrid w:val="0"/>
          <w:color w:val="000000"/>
          <w:sz w:val="32"/>
          <w:szCs w:val="32"/>
        </w:rPr>
        <w:t>49</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提案人：王婉諭</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連署人：黃國書  張廖萬堅</w:t>
      </w:r>
    </w:p>
    <w:p w:rsidR="00A52DD2" w:rsidRPr="00251FB7" w:rsidRDefault="00A52DD2" w:rsidP="00F035E0">
      <w:pPr>
        <w:snapToGrid w:val="0"/>
        <w:spacing w:before="120" w:line="460" w:lineRule="exact"/>
        <w:ind w:leftChars="100" w:left="1558" w:hangingChars="412" w:hanging="1318"/>
        <w:rPr>
          <w:rFonts w:ascii="標楷體" w:eastAsia="標楷體" w:hAnsi="標楷體"/>
          <w:sz w:val="32"/>
          <w:szCs w:val="32"/>
        </w:rPr>
      </w:pPr>
      <w:r w:rsidRPr="00251FB7">
        <w:rPr>
          <w:rFonts w:ascii="標楷體" w:eastAsia="標楷體" w:hAnsi="標楷體"/>
          <w:sz w:val="32"/>
          <w:szCs w:val="32"/>
        </w:rPr>
        <w:t>第2項　輻射偵測中心</w:t>
      </w:r>
      <w:r w:rsidRPr="00251FB7">
        <w:rPr>
          <w:rFonts w:ascii="標楷體" w:eastAsia="標楷體" w:hAnsi="標楷體"/>
          <w:sz w:val="32"/>
          <w:szCs w:val="40"/>
        </w:rPr>
        <w:t>7</w:t>
      </w:r>
      <w:r w:rsidRPr="00251FB7">
        <w:rPr>
          <w:rFonts w:ascii="標楷體" w:eastAsia="標楷體" w:hAnsi="標楷體" w:hint="eastAsia"/>
          <w:sz w:val="32"/>
          <w:szCs w:val="40"/>
        </w:rPr>
        <w:t>,975萬9千元</w:t>
      </w:r>
      <w:r w:rsidRPr="00251FB7">
        <w:rPr>
          <w:rFonts w:ascii="標楷體" w:eastAsia="標楷體" w:hAnsi="標楷體"/>
          <w:sz w:val="32"/>
          <w:szCs w:val="32"/>
        </w:rPr>
        <w:t>，照列。</w:t>
      </w:r>
    </w:p>
    <w:p w:rsidR="00A52DD2" w:rsidRPr="00FB7CC2" w:rsidRDefault="00A52DD2" w:rsidP="00F035E0">
      <w:pPr>
        <w:snapToGrid w:val="0"/>
        <w:spacing w:line="460" w:lineRule="exact"/>
        <w:ind w:leftChars="100" w:left="1558" w:hangingChars="412" w:hanging="1318"/>
        <w:rPr>
          <w:rFonts w:ascii="標楷體" w:eastAsia="標楷體" w:hAnsi="標楷體"/>
          <w:color w:val="000000"/>
          <w:sz w:val="32"/>
          <w:szCs w:val="32"/>
        </w:rPr>
      </w:pPr>
      <w:r w:rsidRPr="00FB7CC2">
        <w:rPr>
          <w:rFonts w:ascii="標楷體" w:eastAsia="標楷體" w:hAnsi="標楷體"/>
          <w:color w:val="000000"/>
          <w:sz w:val="32"/>
          <w:szCs w:val="32"/>
        </w:rPr>
        <w:lastRenderedPageBreak/>
        <w:t>本項通過決議</w:t>
      </w:r>
      <w:r>
        <w:rPr>
          <w:rFonts w:ascii="標楷體" w:eastAsia="標楷體" w:hAnsi="標楷體"/>
          <w:color w:val="000000"/>
          <w:sz w:val="32"/>
          <w:szCs w:val="32"/>
        </w:rPr>
        <w:t>3</w:t>
      </w:r>
      <w:r w:rsidRPr="00FB7CC2">
        <w:rPr>
          <w:rFonts w:ascii="標楷體" w:eastAsia="標楷體" w:hAnsi="標楷體"/>
          <w:color w:val="000000"/>
          <w:sz w:val="32"/>
          <w:szCs w:val="32"/>
        </w:rPr>
        <w:t>項：</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snapToGrid w:val="0"/>
          <w:color w:val="000000"/>
          <w:sz w:val="32"/>
          <w:szCs w:val="32"/>
        </w:rPr>
        <w:t>(</w:t>
      </w:r>
      <w:r w:rsidRPr="00FB7CC2">
        <w:rPr>
          <w:rFonts w:ascii="標楷體" w:eastAsia="標楷體" w:hAnsi="標楷體" w:hint="eastAsia"/>
          <w:snapToGrid w:val="0"/>
          <w:color w:val="000000"/>
          <w:sz w:val="32"/>
          <w:szCs w:val="32"/>
        </w:rPr>
        <w:t>一</w:t>
      </w: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行政院</w:t>
      </w:r>
      <w:r w:rsidRPr="00A723FD">
        <w:rPr>
          <w:rFonts w:ascii="標楷體" w:eastAsia="標楷體" w:hAnsi="標楷體" w:hint="eastAsia"/>
          <w:snapToGrid w:val="0"/>
          <w:color w:val="000000"/>
          <w:sz w:val="32"/>
          <w:szCs w:val="32"/>
        </w:rPr>
        <w:t>原子能委員會</w:t>
      </w:r>
      <w:r w:rsidRPr="00B41334">
        <w:rPr>
          <w:rFonts w:ascii="標楷體" w:eastAsia="標楷體" w:hAnsi="標楷體" w:hint="eastAsia"/>
          <w:snapToGrid w:val="0"/>
          <w:color w:val="000000"/>
          <w:sz w:val="32"/>
          <w:szCs w:val="32"/>
        </w:rPr>
        <w:t>輻射偵測中心主管環境中</w:t>
      </w:r>
      <w:r>
        <w:rPr>
          <w:rFonts w:ascii="標楷體" w:eastAsia="標楷體" w:hAnsi="標楷體" w:hint="eastAsia"/>
          <w:snapToGrid w:val="0"/>
          <w:color w:val="000000"/>
          <w:sz w:val="32"/>
          <w:szCs w:val="32"/>
        </w:rPr>
        <w:t>之</w:t>
      </w:r>
      <w:r w:rsidRPr="00B41334">
        <w:rPr>
          <w:rFonts w:ascii="標楷體" w:eastAsia="標楷體" w:hAnsi="標楷體" w:hint="eastAsia"/>
          <w:snapToGrid w:val="0"/>
          <w:color w:val="000000"/>
          <w:sz w:val="32"/>
          <w:szCs w:val="32"/>
        </w:rPr>
        <w:t>天然</w:t>
      </w:r>
      <w:r>
        <w:rPr>
          <w:rFonts w:ascii="標楷體" w:eastAsia="標楷體" w:hAnsi="標楷體" w:hint="eastAsia"/>
          <w:snapToGrid w:val="0"/>
          <w:color w:val="000000"/>
          <w:sz w:val="32"/>
          <w:szCs w:val="32"/>
        </w:rPr>
        <w:t>輻射、放射性落塵、食物及飲用水放射性含量、核設施周圍環境等偵測</w:t>
      </w:r>
      <w:r w:rsidRPr="00B41334">
        <w:rPr>
          <w:rFonts w:ascii="標楷體" w:eastAsia="標楷體" w:hAnsi="標楷體" w:hint="eastAsia"/>
          <w:snapToGrid w:val="0"/>
          <w:color w:val="000000"/>
          <w:sz w:val="32"/>
          <w:szCs w:val="32"/>
        </w:rPr>
        <w:t>及國民輻射劑量評估，其中「環境輻射偵測」包含3個計畫項目：</w:t>
      </w:r>
      <w:r>
        <w:rPr>
          <w:rFonts w:ascii="標楷體" w:eastAsia="標楷體" w:hAnsi="標楷體" w:hint="eastAsia"/>
          <w:snapToGrid w:val="0"/>
          <w:color w:val="000000"/>
          <w:sz w:val="32"/>
          <w:szCs w:val="32"/>
        </w:rPr>
        <w:t>「</w:t>
      </w:r>
      <w:r w:rsidRPr="00B41334">
        <w:rPr>
          <w:rFonts w:ascii="標楷體" w:eastAsia="標楷體" w:hAnsi="標楷體" w:hint="eastAsia"/>
          <w:snapToGrid w:val="0"/>
          <w:color w:val="000000"/>
          <w:sz w:val="32"/>
          <w:szCs w:val="32"/>
        </w:rPr>
        <w:t>台灣地區環境輻射監測</w:t>
      </w:r>
      <w:r>
        <w:rPr>
          <w:rFonts w:ascii="標楷體" w:eastAsia="標楷體" w:hAnsi="標楷體" w:hint="eastAsia"/>
          <w:snapToGrid w:val="0"/>
          <w:color w:val="000000"/>
          <w:sz w:val="32"/>
          <w:szCs w:val="32"/>
        </w:rPr>
        <w:t>」</w:t>
      </w:r>
      <w:r w:rsidRPr="00B41334">
        <w:rPr>
          <w:rFonts w:ascii="標楷體" w:eastAsia="標楷體" w:hAnsi="標楷體" w:hint="eastAsia"/>
          <w:snapToGrid w:val="0"/>
          <w:color w:val="000000"/>
          <w:sz w:val="32"/>
          <w:szCs w:val="32"/>
        </w:rPr>
        <w:t>、</w:t>
      </w:r>
      <w:r>
        <w:rPr>
          <w:rFonts w:ascii="標楷體" w:eastAsia="標楷體" w:hAnsi="標楷體" w:hint="eastAsia"/>
          <w:snapToGrid w:val="0"/>
          <w:color w:val="000000"/>
          <w:sz w:val="32"/>
          <w:szCs w:val="32"/>
        </w:rPr>
        <w:t>「</w:t>
      </w:r>
      <w:r w:rsidRPr="00B41334">
        <w:rPr>
          <w:rFonts w:ascii="標楷體" w:eastAsia="標楷體" w:hAnsi="標楷體" w:hint="eastAsia"/>
          <w:snapToGrid w:val="0"/>
          <w:color w:val="000000"/>
          <w:sz w:val="32"/>
          <w:szCs w:val="32"/>
        </w:rPr>
        <w:t>核設施周圍環境輻射偵測</w:t>
      </w:r>
      <w:r>
        <w:rPr>
          <w:rFonts w:ascii="標楷體" w:eastAsia="標楷體" w:hAnsi="標楷體" w:hint="eastAsia"/>
          <w:snapToGrid w:val="0"/>
          <w:color w:val="000000"/>
          <w:sz w:val="32"/>
          <w:szCs w:val="32"/>
        </w:rPr>
        <w:t>」</w:t>
      </w:r>
      <w:r w:rsidRPr="00B41334">
        <w:rPr>
          <w:rFonts w:ascii="標楷體" w:eastAsia="標楷體" w:hAnsi="標楷體" w:hint="eastAsia"/>
          <w:snapToGrid w:val="0"/>
          <w:color w:val="000000"/>
          <w:sz w:val="32"/>
          <w:szCs w:val="32"/>
        </w:rPr>
        <w:t>、</w:t>
      </w:r>
      <w:r>
        <w:rPr>
          <w:rFonts w:ascii="標楷體" w:eastAsia="標楷體" w:hAnsi="標楷體" w:hint="eastAsia"/>
          <w:snapToGrid w:val="0"/>
          <w:color w:val="000000"/>
          <w:sz w:val="32"/>
          <w:szCs w:val="32"/>
        </w:rPr>
        <w:t>「</w:t>
      </w:r>
      <w:r w:rsidRPr="00B41334">
        <w:rPr>
          <w:rFonts w:ascii="標楷體" w:eastAsia="標楷體" w:hAnsi="標楷體" w:hint="eastAsia"/>
          <w:snapToGrid w:val="0"/>
          <w:color w:val="000000"/>
          <w:sz w:val="32"/>
          <w:szCs w:val="32"/>
        </w:rPr>
        <w:t>台灣周邊海域海水氚監測</w:t>
      </w:r>
      <w:r>
        <w:rPr>
          <w:rFonts w:ascii="標楷體" w:eastAsia="標楷體" w:hAnsi="標楷體" w:hint="eastAsia"/>
          <w:snapToGrid w:val="0"/>
          <w:color w:val="000000"/>
          <w:sz w:val="32"/>
          <w:szCs w:val="32"/>
        </w:rPr>
        <w:t>」</w:t>
      </w:r>
      <w:r w:rsidRPr="00B41334">
        <w:rPr>
          <w:rFonts w:ascii="標楷體" w:eastAsia="標楷體" w:hAnsi="標楷體" w:hint="eastAsia"/>
          <w:snapToGrid w:val="0"/>
          <w:color w:val="000000"/>
          <w:sz w:val="32"/>
          <w:szCs w:val="32"/>
        </w:rPr>
        <w:t>，此</w:t>
      </w:r>
      <w:r>
        <w:rPr>
          <w:rFonts w:ascii="標楷體" w:eastAsia="標楷體" w:hAnsi="標楷體" w:hint="eastAsia"/>
          <w:snapToGrid w:val="0"/>
          <w:color w:val="000000"/>
          <w:sz w:val="32"/>
          <w:szCs w:val="32"/>
        </w:rPr>
        <w:t>3</w:t>
      </w:r>
      <w:r w:rsidRPr="00B41334">
        <w:rPr>
          <w:rFonts w:ascii="標楷體" w:eastAsia="標楷體" w:hAnsi="標楷體" w:hint="eastAsia"/>
          <w:snapToGrid w:val="0"/>
          <w:color w:val="000000"/>
          <w:sz w:val="32"/>
          <w:szCs w:val="32"/>
        </w:rPr>
        <w:t>項計畫皆與國民健康直接關聯，同時為因</w:t>
      </w:r>
      <w:r>
        <w:rPr>
          <w:rFonts w:ascii="標楷體" w:eastAsia="標楷體" w:hAnsi="標楷體" w:hint="eastAsia"/>
          <w:snapToGrid w:val="0"/>
          <w:color w:val="000000"/>
          <w:sz w:val="32"/>
          <w:szCs w:val="32"/>
        </w:rPr>
        <w:t>應日本福島排放含氚處理水，行政院原子能委員會應加速我國周邊海域建置輻射背景資料，</w:t>
      </w:r>
      <w:r w:rsidRPr="00B41334">
        <w:rPr>
          <w:rFonts w:ascii="標楷體" w:eastAsia="標楷體" w:hAnsi="標楷體" w:hint="eastAsia"/>
          <w:snapToGrid w:val="0"/>
          <w:color w:val="000000"/>
          <w:sz w:val="32"/>
          <w:szCs w:val="32"/>
        </w:rPr>
        <w:t>定期檢討監測品項與頻次，以確保環境輻射安全，並於2個月內向立法院教育及文化委員會提出書面報告。</w:t>
      </w:r>
      <w:r>
        <w:rPr>
          <w:rFonts w:ascii="標楷體" w:eastAsia="標楷體" w:hAnsi="標楷體"/>
          <w:snapToGrid w:val="0"/>
          <w:color w:val="000000"/>
          <w:sz w:val="32"/>
          <w:szCs w:val="32"/>
        </w:rPr>
        <w:t>62</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提案人：何欣純  黃國書</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連署人：吳思瑤  林宜瑾</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二</w:t>
      </w:r>
      <w:r w:rsidRPr="00FB7CC2">
        <w:rPr>
          <w:rFonts w:ascii="標楷體" w:eastAsia="標楷體" w:hAnsi="標楷體"/>
          <w:snapToGrid w:val="0"/>
          <w:color w:val="000000"/>
          <w:sz w:val="32"/>
          <w:szCs w:val="32"/>
        </w:rPr>
        <w:t>)</w:t>
      </w:r>
      <w:r w:rsidRPr="00A723FD">
        <w:rPr>
          <w:rFonts w:ascii="標楷體" w:eastAsia="標楷體" w:hAnsi="標楷體" w:hint="eastAsia"/>
          <w:snapToGrid w:val="0"/>
          <w:color w:val="000000"/>
          <w:sz w:val="32"/>
          <w:szCs w:val="32"/>
        </w:rPr>
        <w:t>有關日本排放含氚廢水，輻射偵測中心針對我國</w:t>
      </w:r>
      <w:r>
        <w:rPr>
          <w:rFonts w:ascii="標楷體" w:eastAsia="標楷體" w:hAnsi="標楷體" w:hint="eastAsia"/>
          <w:snapToGrid w:val="0"/>
          <w:color w:val="000000"/>
          <w:sz w:val="32"/>
          <w:szCs w:val="32"/>
        </w:rPr>
        <w:t>周</w:t>
      </w:r>
      <w:r w:rsidRPr="00A723FD">
        <w:rPr>
          <w:rFonts w:ascii="標楷體" w:eastAsia="標楷體" w:hAnsi="標楷體" w:hint="eastAsia"/>
          <w:snapToGrid w:val="0"/>
          <w:color w:val="000000"/>
          <w:sz w:val="32"/>
          <w:szCs w:val="32"/>
        </w:rPr>
        <w:t>邊海域有相關監測計畫，包括洄游魚類等各類漁產物。我國為漁業大國，相關監測結果為相當重要之參考依據，雖</w:t>
      </w:r>
      <w:r>
        <w:rPr>
          <w:rFonts w:ascii="標楷體" w:eastAsia="標楷體" w:hAnsi="標楷體" w:hint="eastAsia"/>
          <w:snapToGrid w:val="0"/>
          <w:color w:val="000000"/>
          <w:sz w:val="32"/>
          <w:szCs w:val="32"/>
        </w:rPr>
        <w:t>行政院</w:t>
      </w:r>
      <w:r w:rsidRPr="00A723FD">
        <w:rPr>
          <w:rFonts w:ascii="標楷體" w:eastAsia="標楷體" w:hAnsi="標楷體" w:hint="eastAsia"/>
          <w:snapToGrid w:val="0"/>
          <w:color w:val="000000"/>
          <w:sz w:val="32"/>
          <w:szCs w:val="32"/>
        </w:rPr>
        <w:t>原子能委員會</w:t>
      </w:r>
      <w:r w:rsidRPr="00B41334">
        <w:rPr>
          <w:rFonts w:ascii="標楷體" w:eastAsia="標楷體" w:hAnsi="標楷體" w:hint="eastAsia"/>
          <w:snapToGrid w:val="0"/>
          <w:color w:val="000000"/>
          <w:sz w:val="32"/>
          <w:szCs w:val="32"/>
        </w:rPr>
        <w:t>輻射偵測中心</w:t>
      </w:r>
      <w:r w:rsidRPr="00A723FD">
        <w:rPr>
          <w:rFonts w:ascii="標楷體" w:eastAsia="標楷體" w:hAnsi="標楷體" w:hint="eastAsia"/>
          <w:snapToGrid w:val="0"/>
          <w:color w:val="000000"/>
          <w:sz w:val="32"/>
          <w:szCs w:val="32"/>
        </w:rPr>
        <w:t>於原能會官網有定期公開檢測資訊，惟應思索如何加強宣導，讓漁民及民眾安心放心。爰此，建議</w:t>
      </w:r>
      <w:r>
        <w:rPr>
          <w:rFonts w:ascii="標楷體" w:eastAsia="標楷體" w:hAnsi="標楷體" w:hint="eastAsia"/>
          <w:snapToGrid w:val="0"/>
          <w:color w:val="000000"/>
          <w:sz w:val="32"/>
          <w:szCs w:val="32"/>
        </w:rPr>
        <w:t>行政院</w:t>
      </w:r>
      <w:r w:rsidRPr="00A723FD">
        <w:rPr>
          <w:rFonts w:ascii="標楷體" w:eastAsia="標楷體" w:hAnsi="標楷體" w:hint="eastAsia"/>
          <w:snapToGrid w:val="0"/>
          <w:color w:val="000000"/>
          <w:sz w:val="32"/>
          <w:szCs w:val="32"/>
        </w:rPr>
        <w:t>原子能委員會允宜與相關單位合作加強漁產品檢測數據公開資訊之宣導，並於2個月內向立法院教育及文化委員會提出書面報告。</w:t>
      </w:r>
      <w:r>
        <w:rPr>
          <w:rFonts w:ascii="標楷體" w:eastAsia="標楷體" w:hAnsi="標楷體"/>
          <w:snapToGrid w:val="0"/>
          <w:color w:val="000000"/>
          <w:sz w:val="32"/>
          <w:szCs w:val="32"/>
        </w:rPr>
        <w:t>64</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提案人：陳秀寳</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連署人：吳思瑤  黃國書</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三</w:t>
      </w: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112年度行政院</w:t>
      </w:r>
      <w:r w:rsidRPr="00A723FD">
        <w:rPr>
          <w:rFonts w:ascii="標楷體" w:eastAsia="標楷體" w:hAnsi="標楷體" w:hint="eastAsia"/>
          <w:snapToGrid w:val="0"/>
          <w:color w:val="000000"/>
          <w:sz w:val="32"/>
          <w:szCs w:val="32"/>
        </w:rPr>
        <w:t>原子能委員會</w:t>
      </w:r>
      <w:r w:rsidRPr="00B41334">
        <w:rPr>
          <w:rFonts w:ascii="標楷體" w:eastAsia="標楷體" w:hAnsi="標楷體" w:hint="eastAsia"/>
          <w:snapToGrid w:val="0"/>
          <w:color w:val="000000"/>
          <w:sz w:val="32"/>
          <w:szCs w:val="32"/>
        </w:rPr>
        <w:t>輻射偵測中心</w:t>
      </w:r>
      <w:r>
        <w:rPr>
          <w:rFonts w:ascii="標楷體" w:eastAsia="標楷體" w:hAnsi="標楷體" w:hint="eastAsia"/>
          <w:snapToGrid w:val="0"/>
          <w:color w:val="000000"/>
          <w:sz w:val="32"/>
          <w:szCs w:val="32"/>
        </w:rPr>
        <w:t>「環境輻射偵測」項下「</w:t>
      </w:r>
      <w:r w:rsidRPr="00B41334">
        <w:rPr>
          <w:rFonts w:ascii="標楷體" w:eastAsia="標楷體" w:hAnsi="標楷體" w:hint="eastAsia"/>
          <w:snapToGrid w:val="0"/>
          <w:color w:val="000000"/>
          <w:sz w:val="32"/>
          <w:szCs w:val="32"/>
        </w:rPr>
        <w:t>台灣周邊海域海水氚監測</w:t>
      </w:r>
      <w:r>
        <w:rPr>
          <w:rFonts w:ascii="標楷體" w:eastAsia="標楷體" w:hAnsi="標楷體" w:hint="eastAsia"/>
          <w:snapToGrid w:val="0"/>
          <w:color w:val="000000"/>
          <w:sz w:val="32"/>
          <w:szCs w:val="32"/>
        </w:rPr>
        <w:t>」</w:t>
      </w:r>
      <w:r w:rsidRPr="00B41334">
        <w:rPr>
          <w:rFonts w:ascii="標楷體" w:eastAsia="標楷體" w:hAnsi="標楷體" w:hint="eastAsia"/>
          <w:snapToGrid w:val="0"/>
          <w:color w:val="000000"/>
          <w:sz w:val="32"/>
          <w:szCs w:val="32"/>
        </w:rPr>
        <w:t>為</w:t>
      </w:r>
      <w:r>
        <w:rPr>
          <w:rFonts w:ascii="標楷體" w:eastAsia="標楷體" w:hAnsi="標楷體" w:hint="eastAsia"/>
          <w:snapToGrid w:val="0"/>
          <w:color w:val="000000"/>
          <w:sz w:val="32"/>
          <w:szCs w:val="32"/>
        </w:rPr>
        <w:t>112</w:t>
      </w:r>
      <w:r w:rsidRPr="00B41334">
        <w:rPr>
          <w:rFonts w:ascii="標楷體" w:eastAsia="標楷體" w:hAnsi="標楷體" w:hint="eastAsia"/>
          <w:snapToGrid w:val="0"/>
          <w:color w:val="000000"/>
          <w:sz w:val="32"/>
          <w:szCs w:val="32"/>
        </w:rPr>
        <w:t>年</w:t>
      </w:r>
      <w:r>
        <w:rPr>
          <w:rFonts w:ascii="標楷體" w:eastAsia="標楷體" w:hAnsi="標楷體" w:hint="eastAsia"/>
          <w:snapToGrid w:val="0"/>
          <w:color w:val="000000"/>
          <w:sz w:val="32"/>
          <w:szCs w:val="32"/>
        </w:rPr>
        <w:t>度</w:t>
      </w:r>
      <w:r w:rsidRPr="00B41334">
        <w:rPr>
          <w:rFonts w:ascii="標楷體" w:eastAsia="標楷體" w:hAnsi="標楷體" w:hint="eastAsia"/>
          <w:snapToGrid w:val="0"/>
          <w:color w:val="000000"/>
          <w:sz w:val="32"/>
          <w:szCs w:val="32"/>
        </w:rPr>
        <w:t>新增計畫，為因應日本政府排放含氚廢水，而建置台灣周邊海域海水氚監測。據查，本計畫為</w:t>
      </w:r>
      <w:r>
        <w:rPr>
          <w:rFonts w:ascii="標楷體" w:eastAsia="標楷體" w:hAnsi="標楷體" w:hint="eastAsia"/>
          <w:snapToGrid w:val="0"/>
          <w:color w:val="000000"/>
          <w:sz w:val="32"/>
          <w:szCs w:val="32"/>
        </w:rPr>
        <w:t>4</w:t>
      </w:r>
      <w:r w:rsidRPr="00B41334">
        <w:rPr>
          <w:rFonts w:ascii="標楷體" w:eastAsia="標楷體" w:hAnsi="標楷體" w:hint="eastAsia"/>
          <w:snapToGrid w:val="0"/>
          <w:color w:val="000000"/>
          <w:sz w:val="32"/>
          <w:szCs w:val="32"/>
        </w:rPr>
        <w:t>年期連續型計畫，</w:t>
      </w:r>
      <w:r>
        <w:rPr>
          <w:rFonts w:ascii="標楷體" w:eastAsia="標楷體" w:hAnsi="標楷體" w:hint="eastAsia"/>
          <w:snapToGrid w:val="0"/>
          <w:color w:val="000000"/>
          <w:sz w:val="32"/>
          <w:szCs w:val="32"/>
        </w:rPr>
        <w:t>112</w:t>
      </w:r>
      <w:r w:rsidRPr="00B41334">
        <w:rPr>
          <w:rFonts w:ascii="標楷體" w:eastAsia="標楷體" w:hAnsi="標楷體" w:hint="eastAsia"/>
          <w:snapToGrid w:val="0"/>
          <w:color w:val="000000"/>
          <w:sz w:val="32"/>
          <w:szCs w:val="32"/>
        </w:rPr>
        <w:t>年度為第</w:t>
      </w:r>
      <w:r>
        <w:rPr>
          <w:rFonts w:ascii="標楷體" w:eastAsia="標楷體" w:hAnsi="標楷體" w:hint="eastAsia"/>
          <w:snapToGrid w:val="0"/>
          <w:color w:val="000000"/>
          <w:sz w:val="32"/>
          <w:szCs w:val="32"/>
        </w:rPr>
        <w:t>1</w:t>
      </w:r>
      <w:r w:rsidRPr="00B41334">
        <w:rPr>
          <w:rFonts w:ascii="標楷體" w:eastAsia="標楷體" w:hAnsi="標楷體" w:hint="eastAsia"/>
          <w:snapToGrid w:val="0"/>
          <w:color w:val="000000"/>
          <w:sz w:val="32"/>
          <w:szCs w:val="32"/>
        </w:rPr>
        <w:t>年，</w:t>
      </w:r>
      <w:r>
        <w:rPr>
          <w:rFonts w:ascii="標楷體" w:eastAsia="標楷體" w:hAnsi="標楷體" w:hint="eastAsia"/>
          <w:snapToGrid w:val="0"/>
          <w:color w:val="000000"/>
          <w:sz w:val="32"/>
          <w:szCs w:val="32"/>
        </w:rPr>
        <w:t>行政院</w:t>
      </w:r>
      <w:r w:rsidRPr="00A723FD">
        <w:rPr>
          <w:rFonts w:ascii="標楷體" w:eastAsia="標楷體" w:hAnsi="標楷體" w:hint="eastAsia"/>
          <w:snapToGrid w:val="0"/>
          <w:color w:val="000000"/>
          <w:sz w:val="32"/>
          <w:szCs w:val="32"/>
        </w:rPr>
        <w:t>原子能委員會</w:t>
      </w:r>
      <w:r w:rsidRPr="00B41334">
        <w:rPr>
          <w:rFonts w:ascii="標楷體" w:eastAsia="標楷體" w:hAnsi="標楷體" w:hint="eastAsia"/>
          <w:snapToGrid w:val="0"/>
          <w:color w:val="000000"/>
          <w:sz w:val="32"/>
          <w:szCs w:val="32"/>
        </w:rPr>
        <w:t>應落實行政院核定計畫內容並強化跨部會合作機制，以確保計畫之成果與效益，保護國人輻安權</w:t>
      </w:r>
      <w:r w:rsidRPr="00B41334">
        <w:rPr>
          <w:rFonts w:ascii="標楷體" w:eastAsia="標楷體" w:hAnsi="標楷體" w:hint="eastAsia"/>
          <w:snapToGrid w:val="0"/>
          <w:color w:val="000000"/>
          <w:sz w:val="32"/>
          <w:szCs w:val="32"/>
        </w:rPr>
        <w:lastRenderedPageBreak/>
        <w:t>益，並於2個月內向立法院教育及文化委員會提出書面報告。</w:t>
      </w:r>
      <w:r>
        <w:rPr>
          <w:rFonts w:ascii="標楷體" w:eastAsia="標楷體" w:hAnsi="標楷體"/>
          <w:snapToGrid w:val="0"/>
          <w:color w:val="000000"/>
          <w:sz w:val="32"/>
          <w:szCs w:val="32"/>
        </w:rPr>
        <w:t>65</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提案人：林奕華  吳思瑤</w:t>
      </w:r>
    </w:p>
    <w:p w:rsidR="00A52DD2" w:rsidRPr="00FB7CC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連署人：黃國書  陳秀寳</w:t>
      </w:r>
    </w:p>
    <w:p w:rsidR="00A52DD2" w:rsidRPr="00251FB7" w:rsidRDefault="00A52DD2" w:rsidP="00F035E0">
      <w:pPr>
        <w:snapToGrid w:val="0"/>
        <w:spacing w:before="120" w:line="460" w:lineRule="exact"/>
        <w:ind w:leftChars="100" w:left="1558" w:hangingChars="412" w:hanging="1318"/>
        <w:rPr>
          <w:rFonts w:ascii="標楷體" w:eastAsia="標楷體" w:hAnsi="標楷體"/>
          <w:sz w:val="32"/>
          <w:szCs w:val="32"/>
        </w:rPr>
      </w:pPr>
      <w:r w:rsidRPr="00251FB7">
        <w:rPr>
          <w:rFonts w:ascii="標楷體" w:eastAsia="標楷體" w:hAnsi="標楷體"/>
          <w:sz w:val="32"/>
          <w:szCs w:val="32"/>
        </w:rPr>
        <w:t xml:space="preserve">第3項　</w:t>
      </w:r>
      <w:r w:rsidRPr="00251FB7">
        <w:rPr>
          <w:rFonts w:ascii="標楷體" w:eastAsia="標楷體" w:hAnsi="標楷體" w:hint="eastAsia"/>
          <w:sz w:val="32"/>
          <w:szCs w:val="32"/>
        </w:rPr>
        <w:t>放射性物料管理局9,113萬6</w:t>
      </w:r>
      <w:r w:rsidRPr="00251FB7">
        <w:rPr>
          <w:rFonts w:ascii="標楷體" w:eastAsia="標楷體" w:hAnsi="標楷體" w:hint="eastAsia"/>
          <w:sz w:val="32"/>
          <w:szCs w:val="40"/>
        </w:rPr>
        <w:t>千</w:t>
      </w:r>
      <w:r w:rsidRPr="00251FB7">
        <w:rPr>
          <w:rFonts w:ascii="標楷體" w:eastAsia="標楷體" w:hAnsi="標楷體" w:hint="eastAsia"/>
          <w:sz w:val="32"/>
          <w:szCs w:val="32"/>
        </w:rPr>
        <w:t>元</w:t>
      </w:r>
      <w:r w:rsidRPr="00251FB7">
        <w:rPr>
          <w:rFonts w:ascii="標楷體" w:eastAsia="標楷體" w:hAnsi="標楷體"/>
          <w:sz w:val="32"/>
          <w:szCs w:val="32"/>
        </w:rPr>
        <w:t>，照列。</w:t>
      </w:r>
    </w:p>
    <w:p w:rsidR="00A52DD2" w:rsidRPr="00FB7CC2" w:rsidRDefault="00A52DD2" w:rsidP="00F035E0">
      <w:pPr>
        <w:snapToGrid w:val="0"/>
        <w:spacing w:line="460" w:lineRule="exact"/>
        <w:ind w:leftChars="100" w:left="1558" w:hangingChars="412" w:hanging="1318"/>
        <w:rPr>
          <w:rFonts w:ascii="標楷體" w:eastAsia="標楷體" w:hAnsi="標楷體"/>
          <w:color w:val="000000"/>
          <w:sz w:val="32"/>
          <w:szCs w:val="32"/>
        </w:rPr>
      </w:pPr>
      <w:r w:rsidRPr="00FB7CC2">
        <w:rPr>
          <w:rFonts w:ascii="標楷體" w:eastAsia="標楷體" w:hAnsi="標楷體"/>
          <w:color w:val="000000"/>
          <w:sz w:val="32"/>
          <w:szCs w:val="32"/>
        </w:rPr>
        <w:t>本項通過決議</w:t>
      </w:r>
      <w:r>
        <w:rPr>
          <w:rFonts w:ascii="標楷體" w:eastAsia="標楷體" w:hAnsi="標楷體"/>
          <w:color w:val="000000"/>
          <w:sz w:val="32"/>
          <w:szCs w:val="32"/>
        </w:rPr>
        <w:t>9</w:t>
      </w:r>
      <w:r w:rsidRPr="00FB7CC2">
        <w:rPr>
          <w:rFonts w:ascii="標楷體" w:eastAsia="標楷體" w:hAnsi="標楷體"/>
          <w:color w:val="000000"/>
          <w:sz w:val="32"/>
          <w:szCs w:val="32"/>
        </w:rPr>
        <w:t>項：</w:t>
      </w:r>
    </w:p>
    <w:p w:rsidR="00A52DD2" w:rsidRPr="00FB7CC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snapToGrid w:val="0"/>
          <w:color w:val="000000"/>
          <w:sz w:val="32"/>
          <w:szCs w:val="32"/>
        </w:rPr>
        <w:t>(</w:t>
      </w:r>
      <w:r w:rsidRPr="00FB7CC2">
        <w:rPr>
          <w:rFonts w:ascii="標楷體" w:eastAsia="標楷體" w:hAnsi="標楷體" w:hint="eastAsia"/>
          <w:snapToGrid w:val="0"/>
          <w:color w:val="000000"/>
          <w:sz w:val="32"/>
          <w:szCs w:val="32"/>
        </w:rPr>
        <w:t>一</w:t>
      </w:r>
      <w:r w:rsidRPr="00FB7CC2">
        <w:rPr>
          <w:rFonts w:ascii="標楷體" w:eastAsia="標楷體" w:hAnsi="標楷體"/>
          <w:snapToGrid w:val="0"/>
          <w:color w:val="000000"/>
          <w:sz w:val="32"/>
          <w:szCs w:val="32"/>
        </w:rPr>
        <w:t>)</w:t>
      </w:r>
      <w:r w:rsidRPr="00FB7CC2">
        <w:rPr>
          <w:rFonts w:ascii="標楷體" w:eastAsia="標楷體" w:hAnsi="標楷體" w:hint="eastAsia"/>
          <w:snapToGrid w:val="0"/>
          <w:color w:val="000000"/>
          <w:sz w:val="32"/>
          <w:szCs w:val="32"/>
        </w:rPr>
        <w:t>112年度行政院原子能委員會</w:t>
      </w:r>
      <w:r w:rsidRPr="00FB7CC2">
        <w:rPr>
          <w:rFonts w:ascii="標楷體" w:eastAsia="標楷體" w:hAnsi="標楷體" w:hint="eastAsia"/>
          <w:color w:val="000000"/>
          <w:sz w:val="32"/>
          <w:szCs w:val="32"/>
        </w:rPr>
        <w:t>放射性物料管理局</w:t>
      </w:r>
      <w:r w:rsidRPr="00FB7CC2">
        <w:rPr>
          <w:rFonts w:ascii="標楷體" w:eastAsia="標楷體" w:hAnsi="標楷體" w:hint="eastAsia"/>
          <w:snapToGrid w:val="0"/>
          <w:color w:val="000000"/>
          <w:sz w:val="32"/>
          <w:szCs w:val="32"/>
        </w:rPr>
        <w:t>第2目「放射性物料管理」預算編列2</w:t>
      </w:r>
      <w:r w:rsidRPr="00FB7CC2">
        <w:rPr>
          <w:rFonts w:ascii="標楷體" w:eastAsia="標楷體" w:hAnsi="標楷體" w:hint="eastAsia"/>
          <w:color w:val="000000"/>
          <w:sz w:val="32"/>
          <w:szCs w:val="32"/>
        </w:rPr>
        <w:t>,231萬2千元</w:t>
      </w:r>
      <w:r w:rsidRPr="00FB7CC2">
        <w:rPr>
          <w:rFonts w:ascii="標楷體" w:eastAsia="標楷體" w:hAnsi="標楷體" w:hint="eastAsia"/>
          <w:snapToGrid w:val="0"/>
          <w:color w:val="000000"/>
          <w:sz w:val="32"/>
          <w:szCs w:val="32"/>
        </w:rPr>
        <w:t>，凍結</w:t>
      </w:r>
      <w:r>
        <w:rPr>
          <w:rFonts w:ascii="標楷體" w:eastAsia="標楷體" w:hAnsi="標楷體" w:hint="eastAsia"/>
          <w:snapToGrid w:val="0"/>
          <w:color w:val="000000"/>
          <w:sz w:val="32"/>
          <w:szCs w:val="32"/>
        </w:rPr>
        <w:t>5</w:t>
      </w:r>
      <w:r w:rsidRPr="00FB7CC2">
        <w:rPr>
          <w:rFonts w:ascii="標楷體" w:eastAsia="標楷體" w:hAnsi="標楷體" w:hint="eastAsia"/>
          <w:snapToGrid w:val="0"/>
          <w:color w:val="000000"/>
          <w:sz w:val="32"/>
          <w:szCs w:val="32"/>
        </w:rPr>
        <w:t>0萬元，俟行政院原子能委員會向立法院教育及文化委員會提出書面報告後，始得動支。</w:t>
      </w:r>
      <w:r>
        <w:rPr>
          <w:rFonts w:ascii="標楷體" w:eastAsia="標楷體" w:hAnsi="標楷體"/>
          <w:snapToGrid w:val="0"/>
          <w:color w:val="000000"/>
          <w:sz w:val="32"/>
          <w:szCs w:val="32"/>
        </w:rPr>
        <w:t>67-82</w:t>
      </w:r>
    </w:p>
    <w:p w:rsidR="00A52DD2" w:rsidRDefault="00A52DD2" w:rsidP="00F035E0">
      <w:pPr>
        <w:snapToGrid w:val="0"/>
        <w:spacing w:line="460" w:lineRule="exact"/>
        <w:ind w:leftChars="1250" w:left="4280" w:hangingChars="400" w:hanging="1280"/>
        <w:jc w:val="both"/>
        <w:rPr>
          <w:rFonts w:ascii="標楷體" w:eastAsia="標楷體" w:hAnsi="標楷體"/>
          <w:color w:val="000000"/>
          <w:sz w:val="32"/>
          <w:szCs w:val="32"/>
        </w:rPr>
      </w:pPr>
      <w:r w:rsidRPr="00FB7CC2">
        <w:rPr>
          <w:rFonts w:ascii="標楷體" w:eastAsia="標楷體" w:hAnsi="標楷體" w:hint="eastAsia"/>
          <w:color w:val="000000"/>
          <w:sz w:val="32"/>
          <w:szCs w:val="32"/>
        </w:rPr>
        <w:t>提案人：</w:t>
      </w:r>
      <w:r>
        <w:rPr>
          <w:rFonts w:ascii="標楷體" w:eastAsia="標楷體" w:hAnsi="標楷體" w:hint="eastAsia"/>
          <w:color w:val="000000"/>
          <w:sz w:val="32"/>
          <w:szCs w:val="32"/>
        </w:rPr>
        <w:t>陳秀寳  吳思瑤  鄭正鈐 張廖萬堅</w:t>
      </w:r>
    </w:p>
    <w:p w:rsidR="00A52DD2" w:rsidRPr="00FB7CC2" w:rsidRDefault="00A52DD2" w:rsidP="00F035E0">
      <w:pPr>
        <w:snapToGrid w:val="0"/>
        <w:spacing w:line="460" w:lineRule="exact"/>
        <w:ind w:leftChars="1250" w:left="4280" w:hangingChars="400" w:hanging="1280"/>
        <w:jc w:val="both"/>
        <w:rPr>
          <w:rFonts w:ascii="標楷體" w:eastAsia="標楷體" w:hAnsi="標楷體"/>
          <w:color w:val="000000"/>
          <w:sz w:val="32"/>
          <w:szCs w:val="32"/>
        </w:rPr>
      </w:pPr>
      <w:r>
        <w:rPr>
          <w:rFonts w:ascii="標楷體" w:eastAsia="標楷體" w:hAnsi="標楷體" w:hint="eastAsia"/>
          <w:color w:val="000000"/>
          <w:sz w:val="32"/>
          <w:szCs w:val="32"/>
        </w:rPr>
        <w:t xml:space="preserve">        萬美玲  王婉諭  黃國書  林宜瑾</w:t>
      </w:r>
    </w:p>
    <w:p w:rsidR="00A52DD2" w:rsidRPr="00FB7CC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sidRPr="00FB7CC2">
        <w:rPr>
          <w:rFonts w:ascii="標楷體" w:eastAsia="標楷體" w:hAnsi="標楷體" w:hint="eastAsia"/>
          <w:color w:val="000000"/>
          <w:sz w:val="32"/>
          <w:szCs w:val="32"/>
        </w:rPr>
        <w:t>連署人：</w:t>
      </w:r>
      <w:r>
        <w:rPr>
          <w:rFonts w:ascii="標楷體" w:eastAsia="標楷體" w:hAnsi="標楷體" w:hint="eastAsia"/>
          <w:color w:val="000000"/>
          <w:sz w:val="32"/>
          <w:szCs w:val="32"/>
        </w:rPr>
        <w:t>范  雲  何欣純  林奕華</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二</w:t>
      </w:r>
      <w:r w:rsidRPr="00FB7CC2">
        <w:rPr>
          <w:rFonts w:ascii="標楷體" w:eastAsia="標楷體" w:hAnsi="標楷體"/>
          <w:snapToGrid w:val="0"/>
          <w:color w:val="000000"/>
          <w:sz w:val="32"/>
          <w:szCs w:val="32"/>
        </w:rPr>
        <w:t>)</w:t>
      </w:r>
      <w:r w:rsidRPr="00A723FD">
        <w:rPr>
          <w:rFonts w:ascii="標楷體" w:eastAsia="標楷體" w:hAnsi="標楷體" w:hint="eastAsia"/>
          <w:snapToGrid w:val="0"/>
          <w:color w:val="000000"/>
          <w:sz w:val="32"/>
          <w:szCs w:val="32"/>
        </w:rPr>
        <w:t>目前我國核電廠漸入除役停止運轉之狀態，其中</w:t>
      </w:r>
      <w:r w:rsidRPr="00B41334">
        <w:rPr>
          <w:rFonts w:ascii="標楷體" w:eastAsia="標楷體" w:hAnsi="標楷體" w:hint="eastAsia"/>
          <w:snapToGrid w:val="0"/>
          <w:color w:val="000000"/>
          <w:sz w:val="32"/>
          <w:szCs w:val="32"/>
        </w:rPr>
        <w:t>台灣電力股份有限公司</w:t>
      </w:r>
      <w:r w:rsidRPr="00A723FD">
        <w:rPr>
          <w:rFonts w:ascii="標楷體" w:eastAsia="標楷體" w:hAnsi="標楷體" w:hint="eastAsia"/>
          <w:snapToGrid w:val="0"/>
          <w:color w:val="000000"/>
          <w:sz w:val="32"/>
          <w:szCs w:val="32"/>
        </w:rPr>
        <w:t>仍未依據時程提出放</w:t>
      </w:r>
      <w:r>
        <w:rPr>
          <w:rFonts w:ascii="標楷體" w:eastAsia="標楷體" w:hAnsi="標楷體" w:hint="eastAsia"/>
          <w:snapToGrid w:val="0"/>
          <w:color w:val="000000"/>
          <w:sz w:val="32"/>
          <w:szCs w:val="32"/>
        </w:rPr>
        <w:t>射性廢</w:t>
      </w:r>
      <w:r w:rsidRPr="00A723FD">
        <w:rPr>
          <w:rFonts w:ascii="標楷體" w:eastAsia="標楷體" w:hAnsi="標楷體" w:hint="eastAsia"/>
          <w:snapToGrid w:val="0"/>
          <w:color w:val="000000"/>
          <w:sz w:val="32"/>
          <w:szCs w:val="32"/>
        </w:rPr>
        <w:t>棄物處置之候選場址，恐延誤相關期程，惟</w:t>
      </w:r>
      <w:r w:rsidRPr="00FB7CC2">
        <w:rPr>
          <w:rFonts w:ascii="標楷體" w:eastAsia="標楷體" w:hAnsi="標楷體" w:hint="eastAsia"/>
          <w:snapToGrid w:val="0"/>
          <w:color w:val="000000"/>
          <w:sz w:val="32"/>
          <w:szCs w:val="32"/>
        </w:rPr>
        <w:t>行政院原子能委員會</w:t>
      </w:r>
      <w:r w:rsidRPr="00A723FD">
        <w:rPr>
          <w:rFonts w:ascii="標楷體" w:eastAsia="標楷體" w:hAnsi="標楷體" w:hint="eastAsia"/>
          <w:snapToGrid w:val="0"/>
          <w:color w:val="000000"/>
          <w:sz w:val="32"/>
          <w:szCs w:val="32"/>
        </w:rPr>
        <w:t>相關單位為非核小組機關代表成員之一，應嚴格監督</w:t>
      </w:r>
      <w:r w:rsidRPr="00B41334">
        <w:rPr>
          <w:rFonts w:ascii="標楷體" w:eastAsia="標楷體" w:hAnsi="標楷體" w:hint="eastAsia"/>
          <w:snapToGrid w:val="0"/>
          <w:color w:val="000000"/>
          <w:sz w:val="32"/>
          <w:szCs w:val="32"/>
        </w:rPr>
        <w:t>台灣電力股份有限公司</w:t>
      </w:r>
      <w:r>
        <w:rPr>
          <w:rFonts w:ascii="標楷體" w:eastAsia="標楷體" w:hAnsi="標楷體" w:hint="eastAsia"/>
          <w:snapToGrid w:val="0"/>
          <w:color w:val="000000"/>
          <w:sz w:val="32"/>
          <w:szCs w:val="32"/>
        </w:rPr>
        <w:t>提出候選場址等方案。爰</w:t>
      </w:r>
      <w:r w:rsidRPr="00A723FD">
        <w:rPr>
          <w:rFonts w:ascii="標楷體" w:eastAsia="標楷體" w:hAnsi="標楷體" w:hint="eastAsia"/>
          <w:snapToGrid w:val="0"/>
          <w:color w:val="000000"/>
          <w:sz w:val="32"/>
          <w:szCs w:val="32"/>
        </w:rPr>
        <w:t>要求</w:t>
      </w:r>
      <w:r w:rsidRPr="00FB7CC2">
        <w:rPr>
          <w:rFonts w:ascii="標楷體" w:eastAsia="標楷體" w:hAnsi="標楷體" w:hint="eastAsia"/>
          <w:snapToGrid w:val="0"/>
          <w:color w:val="000000"/>
          <w:sz w:val="32"/>
          <w:szCs w:val="32"/>
        </w:rPr>
        <w:t>行政院原子能委員會</w:t>
      </w:r>
      <w:r>
        <w:rPr>
          <w:rFonts w:ascii="標楷體" w:eastAsia="標楷體" w:hAnsi="標楷體" w:hint="eastAsia"/>
          <w:snapToGrid w:val="0"/>
          <w:color w:val="000000"/>
          <w:sz w:val="32"/>
          <w:szCs w:val="32"/>
        </w:rPr>
        <w:t>於</w:t>
      </w:r>
      <w:r w:rsidRPr="00A723FD">
        <w:rPr>
          <w:rFonts w:ascii="標楷體" w:eastAsia="標楷體" w:hAnsi="標楷體" w:hint="eastAsia"/>
          <w:snapToGrid w:val="0"/>
          <w:color w:val="000000"/>
          <w:sz w:val="32"/>
          <w:szCs w:val="32"/>
        </w:rPr>
        <w:t>3個月內向立法院教育及文化委員會提出書面報告。</w:t>
      </w:r>
      <w:r>
        <w:rPr>
          <w:rFonts w:ascii="標楷體" w:eastAsia="標楷體" w:hAnsi="標楷體"/>
          <w:snapToGrid w:val="0"/>
          <w:color w:val="000000"/>
          <w:sz w:val="32"/>
          <w:szCs w:val="32"/>
        </w:rPr>
        <w:t>67</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提案人：陳秀寳</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連署人：黃國書  吳思瑤</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(三)</w:t>
      </w:r>
      <w:r w:rsidRPr="00A723FD">
        <w:rPr>
          <w:rFonts w:ascii="標楷體" w:eastAsia="標楷體" w:hAnsi="標楷體" w:hint="eastAsia"/>
          <w:snapToGrid w:val="0"/>
          <w:color w:val="000000"/>
          <w:sz w:val="32"/>
          <w:szCs w:val="32"/>
        </w:rPr>
        <w:t>我國為積極追求永續發展，行政院國家永續發展委員會於2019年已訂定「台灣永續發展目標」共計18項核心目標、143項具體目標、336項對應指標，其中第18項核心目標為逐步達成</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環境基本法</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所訂定之非核家園目標、依法推動核能電廠除役事項。依據109年</w:t>
      </w:r>
      <w:r>
        <w:rPr>
          <w:rFonts w:ascii="標楷體" w:eastAsia="標楷體" w:hAnsi="標楷體" w:hint="eastAsia"/>
          <w:snapToGrid w:val="0"/>
          <w:color w:val="000000"/>
          <w:sz w:val="32"/>
          <w:szCs w:val="32"/>
        </w:rPr>
        <w:t>度</w:t>
      </w:r>
      <w:r w:rsidRPr="00A723FD">
        <w:rPr>
          <w:rFonts w:ascii="標楷體" w:eastAsia="標楷體" w:hAnsi="標楷體" w:hint="eastAsia"/>
          <w:snapToGrid w:val="0"/>
          <w:color w:val="000000"/>
          <w:sz w:val="32"/>
          <w:szCs w:val="32"/>
        </w:rPr>
        <w:t>審計部中央政府總決算之審核報告，針對</w:t>
      </w:r>
      <w:r w:rsidRPr="00FB7CC2">
        <w:rPr>
          <w:rFonts w:ascii="標楷體" w:eastAsia="標楷體" w:hAnsi="標楷體" w:hint="eastAsia"/>
          <w:snapToGrid w:val="0"/>
          <w:color w:val="000000"/>
          <w:sz w:val="32"/>
          <w:szCs w:val="32"/>
        </w:rPr>
        <w:t>行政院原子能委員會</w:t>
      </w:r>
      <w:r w:rsidRPr="00A723FD">
        <w:rPr>
          <w:rFonts w:ascii="標楷體" w:eastAsia="標楷體" w:hAnsi="標楷體" w:hint="eastAsia"/>
          <w:snapToGrid w:val="0"/>
          <w:color w:val="000000"/>
          <w:sz w:val="32"/>
          <w:szCs w:val="32"/>
        </w:rPr>
        <w:t>所提之重要審核意見指出，</w:t>
      </w:r>
      <w:r w:rsidRPr="00B41334">
        <w:rPr>
          <w:rFonts w:ascii="標楷體" w:eastAsia="標楷體" w:hAnsi="標楷體" w:hint="eastAsia"/>
          <w:snapToGrid w:val="0"/>
          <w:color w:val="000000"/>
          <w:sz w:val="32"/>
          <w:szCs w:val="32"/>
        </w:rPr>
        <w:t>台灣電力股份有限公司</w:t>
      </w:r>
      <w:r w:rsidRPr="00A723FD">
        <w:rPr>
          <w:rFonts w:ascii="標楷體" w:eastAsia="標楷體" w:hAnsi="標楷體" w:hint="eastAsia"/>
          <w:snapToGrid w:val="0"/>
          <w:color w:val="000000"/>
          <w:sz w:val="32"/>
          <w:szCs w:val="32"/>
        </w:rPr>
        <w:t>於2004年提報、2006年核定之</w:t>
      </w:r>
      <w:r w:rsidRPr="00A723FD">
        <w:rPr>
          <w:rFonts w:ascii="標楷體" w:eastAsia="標楷體" w:hAnsi="標楷體" w:hint="eastAsia"/>
          <w:snapToGrid w:val="0"/>
          <w:color w:val="000000"/>
          <w:sz w:val="32"/>
          <w:szCs w:val="32"/>
        </w:rPr>
        <w:lastRenderedPageBreak/>
        <w:t>「用過核子燃料最終處置計畫書」經歷原能會核定已逾15年，該計畫已進入「候選場址評選與核定（107</w:t>
      </w:r>
      <w:r>
        <w:rPr>
          <w:rFonts w:ascii="標楷體" w:eastAsia="標楷體" w:hAnsi="標楷體" w:hint="eastAsia"/>
          <w:snapToGrid w:val="0"/>
          <w:color w:val="000000"/>
          <w:sz w:val="32"/>
          <w:szCs w:val="32"/>
        </w:rPr>
        <w:t>至</w:t>
      </w:r>
      <w:r w:rsidRPr="00A723FD">
        <w:rPr>
          <w:rFonts w:ascii="標楷體" w:eastAsia="標楷體" w:hAnsi="標楷體" w:hint="eastAsia"/>
          <w:snapToGrid w:val="0"/>
          <w:color w:val="000000"/>
          <w:sz w:val="32"/>
          <w:szCs w:val="32"/>
        </w:rPr>
        <w:t>117年）」階段，迄今仍未研擬「高放場址選址設置條例草案」，然以經濟部之回覆意見，卻以高放選址設置條例，未組改前仍屬原能會權責，不宜主辦立法。上述計畫邁入「候選場址評選與核定（107</w:t>
      </w:r>
      <w:r>
        <w:rPr>
          <w:rFonts w:ascii="標楷體" w:eastAsia="標楷體" w:hAnsi="標楷體" w:hint="eastAsia"/>
          <w:snapToGrid w:val="0"/>
          <w:color w:val="000000"/>
          <w:sz w:val="32"/>
          <w:szCs w:val="32"/>
        </w:rPr>
        <w:t>至</w:t>
      </w:r>
      <w:r w:rsidRPr="00A723FD">
        <w:rPr>
          <w:rFonts w:ascii="標楷體" w:eastAsia="標楷體" w:hAnsi="標楷體" w:hint="eastAsia"/>
          <w:snapToGrid w:val="0"/>
          <w:color w:val="000000"/>
          <w:sz w:val="32"/>
          <w:szCs w:val="32"/>
        </w:rPr>
        <w:t>117年）」階段，其所剩時間未達8年，最終處置場址之選定事涉廣泛，參照國際原子能總署(IAEA)之管理與安全權責分工原則，有關國際間針對放射性廢棄物最終處理之選址、興建、營運、選址推動法（管理法)等作業，均由經濟與能源相關主管機關負責，例如美國由能源部、日本為經濟產業省及法國為工業部等，並制</w:t>
      </w:r>
      <w:r>
        <w:rPr>
          <w:rFonts w:ascii="標楷體" w:eastAsia="標楷體" w:hAnsi="標楷體" w:hint="eastAsia"/>
          <w:snapToGrid w:val="0"/>
          <w:color w:val="000000"/>
          <w:sz w:val="32"/>
          <w:szCs w:val="32"/>
        </w:rPr>
        <w:t>定</w:t>
      </w:r>
      <w:r w:rsidRPr="00A723FD">
        <w:rPr>
          <w:rFonts w:ascii="標楷體" w:eastAsia="標楷體" w:hAnsi="標楷體" w:hint="eastAsia"/>
          <w:snapToGrid w:val="0"/>
          <w:color w:val="000000"/>
          <w:sz w:val="32"/>
          <w:szCs w:val="32"/>
        </w:rPr>
        <w:t>放射性廢棄物管理有關法案，作為執行依據，有關管制法規方為核能安全主管機關負責。參照瑞典、芬蘭等已擇定處置場址之國家經驗，制定選址條例雖非必要、社會溝通才是關鍵，反觀我國法制，低放射性廢棄物最終處置設施之建議候選場址，明定須經公投同意後，得為候選場址（</w:t>
      </w:r>
      <w:r>
        <w:rPr>
          <w:rFonts w:ascii="標楷體" w:eastAsia="標楷體" w:hAnsi="標楷體" w:hint="eastAsia"/>
          <w:snapToGrid w:val="0"/>
          <w:color w:val="000000"/>
          <w:sz w:val="32"/>
          <w:szCs w:val="32"/>
        </w:rPr>
        <w:t>「</w:t>
      </w:r>
      <w:r w:rsidRPr="0096361D">
        <w:rPr>
          <w:rFonts w:ascii="標楷體" w:eastAsia="標楷體" w:hAnsi="標楷體" w:hint="eastAsia"/>
          <w:snapToGrid w:val="0"/>
          <w:color w:val="000000"/>
          <w:sz w:val="32"/>
          <w:szCs w:val="32"/>
        </w:rPr>
        <w:t>低放射性廢棄物最終處置設施場址設置條例</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第11條）。其特色在於強制進行地方性公投，不受</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公民投票法</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之限制，相較「高放射性廢棄物最終處置設施選址」缺乏無法律依據，亦無公民投票機制，實為不妥。依據</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放射性物料管理法</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第49條</w:t>
      </w:r>
      <w:r>
        <w:rPr>
          <w:rFonts w:ascii="標楷體" w:eastAsia="標楷體" w:hAnsi="標楷體" w:hint="eastAsia"/>
          <w:snapToGrid w:val="0"/>
          <w:color w:val="000000"/>
          <w:sz w:val="32"/>
          <w:szCs w:val="32"/>
        </w:rPr>
        <w:t>第2項</w:t>
      </w:r>
      <w:r w:rsidRPr="00A723FD">
        <w:rPr>
          <w:rFonts w:ascii="標楷體" w:eastAsia="標楷體" w:hAnsi="標楷體" w:hint="eastAsia"/>
          <w:snapToGrid w:val="0"/>
          <w:color w:val="000000"/>
          <w:sz w:val="32"/>
          <w:szCs w:val="32"/>
        </w:rPr>
        <w:t>規定：「本法公布施行後，主管機關應督促廢棄物產生者規劃國內放射性廢棄物最終處置設</w:t>
      </w:r>
      <w:r>
        <w:rPr>
          <w:rFonts w:ascii="標楷體" w:eastAsia="標楷體" w:hAnsi="標楷體" w:hint="eastAsia"/>
          <w:snapToGrid w:val="0"/>
          <w:color w:val="000000"/>
          <w:sz w:val="32"/>
          <w:szCs w:val="32"/>
        </w:rPr>
        <w:t>施之籌建，並要求廢棄物產生者解決放射性廢棄物最終處置問題。」爰</w:t>
      </w:r>
      <w:r w:rsidRPr="00A723FD">
        <w:rPr>
          <w:rFonts w:ascii="標楷體" w:eastAsia="標楷體" w:hAnsi="標楷體" w:hint="eastAsia"/>
          <w:snapToGrid w:val="0"/>
          <w:color w:val="000000"/>
          <w:sz w:val="32"/>
          <w:szCs w:val="32"/>
        </w:rPr>
        <w:t>要求</w:t>
      </w:r>
      <w:r w:rsidRPr="00FB7CC2">
        <w:rPr>
          <w:rFonts w:ascii="標楷體" w:eastAsia="標楷體" w:hAnsi="標楷體" w:hint="eastAsia"/>
          <w:snapToGrid w:val="0"/>
          <w:color w:val="000000"/>
          <w:sz w:val="32"/>
          <w:szCs w:val="32"/>
        </w:rPr>
        <w:t>行政院原子能委員會</w:t>
      </w:r>
      <w:r w:rsidRPr="00A723FD">
        <w:rPr>
          <w:rFonts w:ascii="標楷體" w:eastAsia="標楷體" w:hAnsi="標楷體" w:hint="eastAsia"/>
          <w:snapToGrid w:val="0"/>
          <w:color w:val="000000"/>
          <w:sz w:val="32"/>
          <w:szCs w:val="32"/>
        </w:rPr>
        <w:t>積極與經濟部共同督促</w:t>
      </w:r>
      <w:r w:rsidRPr="00B41334">
        <w:rPr>
          <w:rFonts w:ascii="標楷體" w:eastAsia="標楷體" w:hAnsi="標楷體" w:hint="eastAsia"/>
          <w:snapToGrid w:val="0"/>
          <w:color w:val="000000"/>
          <w:sz w:val="32"/>
          <w:szCs w:val="32"/>
        </w:rPr>
        <w:t>台灣電力股份有限公司</w:t>
      </w:r>
      <w:r w:rsidRPr="00A723FD">
        <w:rPr>
          <w:rFonts w:ascii="標楷體" w:eastAsia="標楷體" w:hAnsi="標楷體" w:hint="eastAsia"/>
          <w:snapToGrid w:val="0"/>
          <w:color w:val="000000"/>
          <w:sz w:val="32"/>
          <w:szCs w:val="32"/>
        </w:rPr>
        <w:t>妥為善用</w:t>
      </w:r>
      <w:r w:rsidRPr="0096361D">
        <w:rPr>
          <w:rFonts w:ascii="標楷體" w:eastAsia="標楷體" w:hAnsi="標楷體" w:hint="eastAsia"/>
          <w:snapToGrid w:val="0"/>
          <w:color w:val="000000"/>
          <w:sz w:val="32"/>
          <w:szCs w:val="32"/>
        </w:rPr>
        <w:t>核能發電後端營運基金</w:t>
      </w:r>
      <w:r w:rsidRPr="00A723FD">
        <w:rPr>
          <w:rFonts w:ascii="標楷體" w:eastAsia="標楷體" w:hAnsi="標楷體" w:hint="eastAsia"/>
          <w:snapToGrid w:val="0"/>
          <w:color w:val="000000"/>
          <w:sz w:val="32"/>
          <w:szCs w:val="32"/>
        </w:rPr>
        <w:t>，就選址作業的宣傳溝通、回饋，</w:t>
      </w:r>
      <w:r>
        <w:rPr>
          <w:rFonts w:ascii="標楷體" w:eastAsia="標楷體" w:hAnsi="標楷體" w:hint="eastAsia"/>
          <w:snapToGrid w:val="0"/>
          <w:color w:val="000000"/>
          <w:sz w:val="32"/>
          <w:szCs w:val="32"/>
        </w:rPr>
        <w:t>儘速</w:t>
      </w:r>
      <w:r w:rsidRPr="00A723FD">
        <w:rPr>
          <w:rFonts w:ascii="標楷體" w:eastAsia="標楷體" w:hAnsi="標楷體" w:hint="eastAsia"/>
          <w:snapToGrid w:val="0"/>
          <w:color w:val="000000"/>
          <w:sz w:val="32"/>
          <w:szCs w:val="32"/>
        </w:rPr>
        <w:t>提出法案或其他配套措施，俾利核子燃料最終處置之執行，並於3個月內向立法院教育及文化委員會提出書面報告。</w:t>
      </w:r>
      <w:r>
        <w:rPr>
          <w:rFonts w:ascii="標楷體" w:eastAsia="標楷體" w:hAnsi="標楷體"/>
          <w:snapToGrid w:val="0"/>
          <w:color w:val="000000"/>
          <w:sz w:val="32"/>
          <w:szCs w:val="32"/>
        </w:rPr>
        <w:t>68</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提案人：吳思瑤</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lastRenderedPageBreak/>
        <w:t>連署人：黃國書  林奕華</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四</w:t>
      </w:r>
      <w:r w:rsidRPr="00FB7CC2">
        <w:rPr>
          <w:rFonts w:ascii="標楷體" w:eastAsia="標楷體" w:hAnsi="標楷體"/>
          <w:snapToGrid w:val="0"/>
          <w:color w:val="000000"/>
          <w:sz w:val="32"/>
          <w:szCs w:val="32"/>
        </w:rPr>
        <w:t>)</w:t>
      </w:r>
      <w:r w:rsidRPr="00A723FD">
        <w:rPr>
          <w:rFonts w:ascii="標楷體" w:eastAsia="標楷體" w:hAnsi="標楷體" w:hint="eastAsia"/>
          <w:snapToGrid w:val="0"/>
          <w:color w:val="000000"/>
          <w:sz w:val="32"/>
          <w:szCs w:val="32"/>
        </w:rPr>
        <w:t>根據</w:t>
      </w:r>
      <w:r>
        <w:rPr>
          <w:rFonts w:ascii="標楷體" w:eastAsia="標楷體" w:hAnsi="標楷體" w:hint="eastAsia"/>
          <w:snapToGrid w:val="0"/>
          <w:color w:val="000000"/>
          <w:sz w:val="32"/>
          <w:szCs w:val="32"/>
        </w:rPr>
        <w:t>行政院原子能委員會</w:t>
      </w:r>
      <w:r w:rsidRPr="00A723FD">
        <w:rPr>
          <w:rFonts w:ascii="標楷體" w:eastAsia="標楷體" w:hAnsi="標楷體" w:hint="eastAsia"/>
          <w:snapToGrid w:val="0"/>
          <w:color w:val="000000"/>
          <w:sz w:val="32"/>
          <w:szCs w:val="32"/>
        </w:rPr>
        <w:t>放射性物料管理局對</w:t>
      </w:r>
      <w:r w:rsidRPr="0096361D">
        <w:rPr>
          <w:rFonts w:ascii="標楷體" w:eastAsia="標楷體" w:hAnsi="標楷體" w:hint="eastAsia"/>
          <w:snapToGrid w:val="0"/>
          <w:color w:val="000000"/>
          <w:sz w:val="32"/>
          <w:szCs w:val="32"/>
        </w:rPr>
        <w:t>台灣電力股份有限公司</w:t>
      </w:r>
      <w:r w:rsidRPr="00A723FD">
        <w:rPr>
          <w:rFonts w:ascii="標楷體" w:eastAsia="標楷體" w:hAnsi="標楷體" w:hint="eastAsia"/>
          <w:snapToGrid w:val="0"/>
          <w:color w:val="000000"/>
          <w:sz w:val="32"/>
          <w:szCs w:val="32"/>
        </w:rPr>
        <w:t>低放射性廢棄物最終處置計畫2021年下半年執行成果審查及2022年專案檢查結果，均發現台電公司對處置場址自2012年7月經濟部公布台東</w:t>
      </w:r>
      <w:r>
        <w:rPr>
          <w:rFonts w:ascii="標楷體" w:eastAsia="標楷體" w:hAnsi="標楷體" w:hint="eastAsia"/>
          <w:snapToGrid w:val="0"/>
          <w:color w:val="000000"/>
          <w:sz w:val="32"/>
          <w:szCs w:val="32"/>
        </w:rPr>
        <w:t>縣</w:t>
      </w:r>
      <w:r w:rsidRPr="00A723FD">
        <w:rPr>
          <w:rFonts w:ascii="標楷體" w:eastAsia="標楷體" w:hAnsi="標楷體" w:hint="eastAsia"/>
          <w:snapToGrid w:val="0"/>
          <w:color w:val="000000"/>
          <w:sz w:val="32"/>
          <w:szCs w:val="32"/>
        </w:rPr>
        <w:t>達仁</w:t>
      </w:r>
      <w:r>
        <w:rPr>
          <w:rFonts w:ascii="標楷體" w:eastAsia="標楷體" w:hAnsi="標楷體" w:hint="eastAsia"/>
          <w:snapToGrid w:val="0"/>
          <w:color w:val="000000"/>
          <w:sz w:val="32"/>
          <w:szCs w:val="32"/>
        </w:rPr>
        <w:t>鄉</w:t>
      </w:r>
      <w:r w:rsidRPr="00A723FD">
        <w:rPr>
          <w:rFonts w:ascii="標楷體" w:eastAsia="標楷體" w:hAnsi="標楷體" w:hint="eastAsia"/>
          <w:snapToGrid w:val="0"/>
          <w:color w:val="000000"/>
          <w:sz w:val="32"/>
          <w:szCs w:val="32"/>
        </w:rPr>
        <w:t>及金門</w:t>
      </w:r>
      <w:r>
        <w:rPr>
          <w:rFonts w:ascii="標楷體" w:eastAsia="標楷體" w:hAnsi="標楷體" w:hint="eastAsia"/>
          <w:snapToGrid w:val="0"/>
          <w:color w:val="000000"/>
          <w:sz w:val="32"/>
          <w:szCs w:val="32"/>
        </w:rPr>
        <w:t>縣</w:t>
      </w:r>
      <w:r w:rsidRPr="00A723FD">
        <w:rPr>
          <w:rFonts w:ascii="標楷體" w:eastAsia="標楷體" w:hAnsi="標楷體" w:hint="eastAsia"/>
          <w:snapToGrid w:val="0"/>
          <w:color w:val="000000"/>
          <w:sz w:val="32"/>
          <w:szCs w:val="32"/>
        </w:rPr>
        <w:t>烏坵</w:t>
      </w:r>
      <w:r>
        <w:rPr>
          <w:rFonts w:ascii="標楷體" w:eastAsia="標楷體" w:hAnsi="標楷體" w:hint="eastAsia"/>
          <w:snapToGrid w:val="0"/>
          <w:color w:val="000000"/>
          <w:sz w:val="32"/>
          <w:szCs w:val="32"/>
        </w:rPr>
        <w:t>鄉</w:t>
      </w:r>
      <w:r w:rsidRPr="00A723FD">
        <w:rPr>
          <w:rFonts w:ascii="標楷體" w:eastAsia="標楷體" w:hAnsi="標楷體" w:hint="eastAsia"/>
          <w:snapToGrid w:val="0"/>
          <w:color w:val="000000"/>
          <w:sz w:val="32"/>
          <w:szCs w:val="32"/>
        </w:rPr>
        <w:t>兩地為建議候選場址後，迄至2021年底於公眾溝通上仍未獲得在地政府及民眾認同，且未辦理公投，以致選址作業及集中式貯存應變方案無實質進展。綜上所述，針對台電公司未依現行低放射性廢棄物最終處置計畫所訂時程執行作業，</w:t>
      </w:r>
      <w:r>
        <w:rPr>
          <w:rFonts w:ascii="標楷體" w:eastAsia="標楷體" w:hAnsi="標楷體" w:hint="eastAsia"/>
          <w:snapToGrid w:val="0"/>
          <w:color w:val="000000"/>
          <w:sz w:val="32"/>
          <w:szCs w:val="32"/>
        </w:rPr>
        <w:t>行政院原子能委員會</w:t>
      </w:r>
      <w:r w:rsidRPr="00A723FD">
        <w:rPr>
          <w:rFonts w:ascii="標楷體" w:eastAsia="標楷體" w:hAnsi="標楷體" w:hint="eastAsia"/>
          <w:snapToGrid w:val="0"/>
          <w:color w:val="000000"/>
          <w:sz w:val="32"/>
          <w:szCs w:val="32"/>
        </w:rPr>
        <w:t>放射性物料管理局依</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放射性物料管理法</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第37條規定分別於2016年及2017年開立三級違規並各裁處1,000</w:t>
      </w:r>
      <w:r>
        <w:rPr>
          <w:rFonts w:ascii="標楷體" w:eastAsia="標楷體" w:hAnsi="標楷體" w:hint="eastAsia"/>
          <w:snapToGrid w:val="0"/>
          <w:color w:val="000000"/>
          <w:sz w:val="32"/>
          <w:szCs w:val="32"/>
        </w:rPr>
        <w:t>萬</w:t>
      </w:r>
      <w:r w:rsidRPr="00A723FD">
        <w:rPr>
          <w:rFonts w:ascii="標楷體" w:eastAsia="標楷體" w:hAnsi="標楷體" w:hint="eastAsia"/>
          <w:snapToGrid w:val="0"/>
          <w:color w:val="000000"/>
          <w:sz w:val="32"/>
          <w:szCs w:val="32"/>
        </w:rPr>
        <w:t>與3,000萬元罰鍰</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但台電公司以行政院非核小組對放射性廢棄物中期處置作業未形成決策，無法依原能會要求期限啟用集中式貯存設施，並建議原能會應研議其</w:t>
      </w:r>
      <w:r>
        <w:rPr>
          <w:rFonts w:ascii="標楷體" w:eastAsia="標楷體" w:hAnsi="標楷體" w:hint="eastAsia"/>
          <w:snapToGrid w:val="0"/>
          <w:color w:val="000000"/>
          <w:sz w:val="32"/>
          <w:szCs w:val="32"/>
        </w:rPr>
        <w:t>他</w:t>
      </w:r>
      <w:r w:rsidRPr="00A723FD">
        <w:rPr>
          <w:rFonts w:ascii="標楷體" w:eastAsia="標楷體" w:hAnsi="標楷體" w:hint="eastAsia"/>
          <w:snapToGrid w:val="0"/>
          <w:color w:val="000000"/>
          <w:sz w:val="32"/>
          <w:szCs w:val="32"/>
        </w:rPr>
        <w:t>選址機制為由，獲經臺北高等行政法院判決撤銷原處分。綜上，</w:t>
      </w:r>
      <w:r>
        <w:rPr>
          <w:rFonts w:ascii="標楷體" w:eastAsia="標楷體" w:hAnsi="標楷體" w:hint="eastAsia"/>
          <w:snapToGrid w:val="0"/>
          <w:color w:val="000000"/>
          <w:sz w:val="32"/>
          <w:szCs w:val="32"/>
        </w:rPr>
        <w:t>囿於低放射性廢棄物最終處置設施場址長期無法選定，</w:t>
      </w:r>
      <w:r w:rsidRPr="00A723FD">
        <w:rPr>
          <w:rFonts w:ascii="標楷體" w:eastAsia="標楷體" w:hAnsi="標楷體" w:hint="eastAsia"/>
          <w:snapToGrid w:val="0"/>
          <w:color w:val="000000"/>
          <w:sz w:val="32"/>
          <w:szCs w:val="32"/>
        </w:rPr>
        <w:t>請</w:t>
      </w:r>
      <w:r>
        <w:rPr>
          <w:rFonts w:ascii="標楷體" w:eastAsia="標楷體" w:hAnsi="標楷體" w:hint="eastAsia"/>
          <w:snapToGrid w:val="0"/>
          <w:color w:val="000000"/>
          <w:sz w:val="32"/>
          <w:szCs w:val="32"/>
        </w:rPr>
        <w:t>行政院原子能委員會</w:t>
      </w:r>
      <w:r w:rsidRPr="00A723FD">
        <w:rPr>
          <w:rFonts w:ascii="標楷體" w:eastAsia="標楷體" w:hAnsi="標楷體" w:hint="eastAsia"/>
          <w:snapToGrid w:val="0"/>
          <w:color w:val="000000"/>
          <w:sz w:val="32"/>
          <w:szCs w:val="32"/>
        </w:rPr>
        <w:t>進行下列事項：1.請原能會會同經濟部督導台電公司，參考國際間高放</w:t>
      </w:r>
      <w:r>
        <w:rPr>
          <w:rFonts w:ascii="標楷體" w:eastAsia="標楷體" w:hAnsi="標楷體" w:hint="eastAsia"/>
          <w:snapToGrid w:val="0"/>
          <w:color w:val="000000"/>
          <w:sz w:val="32"/>
          <w:szCs w:val="32"/>
        </w:rPr>
        <w:t>射性廢棄物最終</w:t>
      </w:r>
      <w:r w:rsidRPr="00A723FD">
        <w:rPr>
          <w:rFonts w:ascii="標楷體" w:eastAsia="標楷體" w:hAnsi="標楷體" w:hint="eastAsia"/>
          <w:snapToGrid w:val="0"/>
          <w:color w:val="000000"/>
          <w:sz w:val="32"/>
          <w:szCs w:val="32"/>
        </w:rPr>
        <w:t>處置</w:t>
      </w:r>
      <w:r>
        <w:rPr>
          <w:rFonts w:ascii="標楷體" w:eastAsia="標楷體" w:hAnsi="標楷體" w:hint="eastAsia"/>
          <w:snapToGrid w:val="0"/>
          <w:color w:val="000000"/>
          <w:sz w:val="32"/>
          <w:szCs w:val="32"/>
        </w:rPr>
        <w:t>設施</w:t>
      </w:r>
      <w:r w:rsidRPr="00A723FD">
        <w:rPr>
          <w:rFonts w:ascii="標楷體" w:eastAsia="標楷體" w:hAnsi="標楷體" w:hint="eastAsia"/>
          <w:snapToGrid w:val="0"/>
          <w:color w:val="000000"/>
          <w:sz w:val="32"/>
          <w:szCs w:val="32"/>
        </w:rPr>
        <w:t>選址作業與回饋獎勵作法進行研議</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2.行政院為協調核廢料處置、貯存政策，於2017年成立非核小組，以經濟部為幕僚單位，並邀集原能會、</w:t>
      </w:r>
      <w:r w:rsidRPr="0096361D">
        <w:rPr>
          <w:rFonts w:ascii="標楷體" w:eastAsia="標楷體" w:hAnsi="標楷體" w:hint="eastAsia"/>
          <w:snapToGrid w:val="0"/>
          <w:color w:val="000000"/>
          <w:sz w:val="32"/>
          <w:szCs w:val="32"/>
        </w:rPr>
        <w:t>原住民族委員會</w:t>
      </w:r>
      <w:r w:rsidRPr="00A723FD">
        <w:rPr>
          <w:rFonts w:ascii="標楷體" w:eastAsia="標楷體" w:hAnsi="標楷體" w:hint="eastAsia"/>
          <w:snapToGrid w:val="0"/>
          <w:color w:val="000000"/>
          <w:sz w:val="32"/>
          <w:szCs w:val="32"/>
        </w:rPr>
        <w:t>、</w:t>
      </w:r>
      <w:r w:rsidRPr="0096361D">
        <w:rPr>
          <w:rFonts w:ascii="標楷體" w:eastAsia="標楷體" w:hAnsi="標楷體" w:hint="eastAsia"/>
          <w:snapToGrid w:val="0"/>
          <w:color w:val="000000"/>
          <w:sz w:val="32"/>
          <w:szCs w:val="32"/>
        </w:rPr>
        <w:t>行政院環境保護署</w:t>
      </w:r>
      <w:r w:rsidRPr="00A723FD">
        <w:rPr>
          <w:rFonts w:ascii="標楷體" w:eastAsia="標楷體" w:hAnsi="標楷體" w:hint="eastAsia"/>
          <w:snapToGrid w:val="0"/>
          <w:color w:val="000000"/>
          <w:sz w:val="32"/>
          <w:szCs w:val="32"/>
        </w:rPr>
        <w:t>、內政部等相關機關為小組成員，但查非核小組自2020年12月25日開第5次會議後，即未再就中期暫存設施進行討論；且依112年</w:t>
      </w:r>
      <w:r>
        <w:rPr>
          <w:rFonts w:ascii="標楷體" w:eastAsia="標楷體" w:hAnsi="標楷體" w:hint="eastAsia"/>
          <w:snapToGrid w:val="0"/>
          <w:color w:val="000000"/>
          <w:sz w:val="32"/>
          <w:szCs w:val="32"/>
        </w:rPr>
        <w:t>度</w:t>
      </w:r>
      <w:r w:rsidRPr="00A723FD">
        <w:rPr>
          <w:rFonts w:ascii="標楷體" w:eastAsia="標楷體" w:hAnsi="標楷體" w:hint="eastAsia"/>
          <w:snapToGrid w:val="0"/>
          <w:color w:val="000000"/>
          <w:sz w:val="32"/>
          <w:szCs w:val="32"/>
        </w:rPr>
        <w:t>「核能發電後端營運基金」</w:t>
      </w:r>
      <w:r>
        <w:rPr>
          <w:rFonts w:ascii="標楷體" w:eastAsia="標楷體" w:hAnsi="標楷體" w:hint="eastAsia"/>
          <w:snapToGrid w:val="0"/>
          <w:color w:val="000000"/>
          <w:sz w:val="32"/>
          <w:szCs w:val="32"/>
        </w:rPr>
        <w:t>立法院</w:t>
      </w:r>
      <w:r w:rsidRPr="00A723FD">
        <w:rPr>
          <w:rFonts w:ascii="標楷體" w:eastAsia="標楷體" w:hAnsi="標楷體" w:hint="eastAsia"/>
          <w:snapToGrid w:val="0"/>
          <w:color w:val="000000"/>
          <w:sz w:val="32"/>
          <w:szCs w:val="32"/>
        </w:rPr>
        <w:t>預算</w:t>
      </w:r>
      <w:r>
        <w:rPr>
          <w:rFonts w:ascii="標楷體" w:eastAsia="標楷體" w:hAnsi="標楷體" w:hint="eastAsia"/>
          <w:snapToGrid w:val="0"/>
          <w:color w:val="000000"/>
          <w:sz w:val="32"/>
          <w:szCs w:val="32"/>
        </w:rPr>
        <w:t>中心</w:t>
      </w:r>
      <w:r w:rsidRPr="00A723FD">
        <w:rPr>
          <w:rFonts w:ascii="標楷體" w:eastAsia="標楷體" w:hAnsi="標楷體" w:hint="eastAsia"/>
          <w:snapToGrid w:val="0"/>
          <w:color w:val="000000"/>
          <w:sz w:val="32"/>
          <w:szCs w:val="32"/>
        </w:rPr>
        <w:t>評估報告指出，該案執行率僅5.82%，經濟部原編列辦理之場址調查、環評、公眾溝通與設施設計均未落實</w:t>
      </w:r>
      <w:r>
        <w:rPr>
          <w:rFonts w:ascii="標楷體" w:eastAsia="標楷體" w:hAnsi="標楷體" w:hint="eastAsia"/>
          <w:snapToGrid w:val="0"/>
          <w:color w:val="000000"/>
          <w:sz w:val="32"/>
          <w:szCs w:val="32"/>
        </w:rPr>
        <w:t>。</w:t>
      </w:r>
      <w:r w:rsidRPr="00A723FD">
        <w:rPr>
          <w:rFonts w:ascii="標楷體" w:eastAsia="標楷體" w:hAnsi="標楷體" w:hint="eastAsia"/>
          <w:snapToGrid w:val="0"/>
          <w:color w:val="000000"/>
          <w:sz w:val="32"/>
          <w:szCs w:val="32"/>
        </w:rPr>
        <w:t>原能會身為放射性物料主管機關，且係非核小組機關代表，應積極督促經濟部</w:t>
      </w:r>
      <w:r>
        <w:rPr>
          <w:rFonts w:ascii="標楷體" w:eastAsia="標楷體" w:hAnsi="標楷體" w:hint="eastAsia"/>
          <w:snapToGrid w:val="0"/>
          <w:color w:val="000000"/>
          <w:sz w:val="32"/>
          <w:szCs w:val="32"/>
        </w:rPr>
        <w:t>儘速</w:t>
      </w:r>
      <w:r w:rsidRPr="00A723FD">
        <w:rPr>
          <w:rFonts w:ascii="標楷體" w:eastAsia="標楷體" w:hAnsi="標楷體" w:hint="eastAsia"/>
          <w:snapToGrid w:val="0"/>
          <w:color w:val="000000"/>
          <w:sz w:val="32"/>
          <w:szCs w:val="32"/>
        </w:rPr>
        <w:t>召開第7次非核小組會議，要求</w:t>
      </w:r>
      <w:r w:rsidRPr="0096361D">
        <w:rPr>
          <w:rFonts w:ascii="標楷體" w:eastAsia="標楷體" w:hAnsi="標楷體" w:hint="eastAsia"/>
          <w:snapToGrid w:val="0"/>
          <w:color w:val="000000"/>
          <w:sz w:val="32"/>
          <w:szCs w:val="32"/>
        </w:rPr>
        <w:t>台灣電力股份有限</w:t>
      </w:r>
      <w:r w:rsidRPr="0096361D">
        <w:rPr>
          <w:rFonts w:ascii="標楷體" w:eastAsia="標楷體" w:hAnsi="標楷體" w:hint="eastAsia"/>
          <w:snapToGrid w:val="0"/>
          <w:color w:val="000000"/>
          <w:sz w:val="32"/>
          <w:szCs w:val="32"/>
        </w:rPr>
        <w:lastRenderedPageBreak/>
        <w:t>公司</w:t>
      </w:r>
      <w:r>
        <w:rPr>
          <w:rFonts w:ascii="標楷體" w:eastAsia="標楷體" w:hAnsi="標楷體" w:hint="eastAsia"/>
          <w:snapToGrid w:val="0"/>
          <w:color w:val="000000"/>
          <w:sz w:val="32"/>
          <w:szCs w:val="32"/>
        </w:rPr>
        <w:t>儘</w:t>
      </w:r>
      <w:r w:rsidRPr="00A723FD">
        <w:rPr>
          <w:rFonts w:ascii="標楷體" w:eastAsia="標楷體" w:hAnsi="標楷體" w:hint="eastAsia"/>
          <w:snapToGrid w:val="0"/>
          <w:color w:val="000000"/>
          <w:sz w:val="32"/>
          <w:szCs w:val="32"/>
        </w:rPr>
        <w:t>快提出低階核廢料解決方案，俾順利推動低放射性廢棄物最終處置計畫。爰請</w:t>
      </w:r>
      <w:r>
        <w:rPr>
          <w:rFonts w:ascii="標楷體" w:eastAsia="標楷體" w:hAnsi="標楷體" w:hint="eastAsia"/>
          <w:snapToGrid w:val="0"/>
          <w:color w:val="000000"/>
          <w:sz w:val="32"/>
          <w:szCs w:val="32"/>
        </w:rPr>
        <w:t>行政院原子能委員會</w:t>
      </w:r>
      <w:r w:rsidRPr="00A723FD">
        <w:rPr>
          <w:rFonts w:ascii="標楷體" w:eastAsia="標楷體" w:hAnsi="標楷體" w:hint="eastAsia"/>
          <w:snapToGrid w:val="0"/>
          <w:color w:val="000000"/>
          <w:sz w:val="32"/>
          <w:szCs w:val="32"/>
        </w:rPr>
        <w:t>於3個月內向立法院教育及文化委員會提出書面報告。</w:t>
      </w:r>
      <w:r>
        <w:rPr>
          <w:rFonts w:ascii="標楷體" w:eastAsia="標楷體" w:hAnsi="標楷體"/>
          <w:snapToGrid w:val="0"/>
          <w:color w:val="000000"/>
          <w:sz w:val="32"/>
          <w:szCs w:val="32"/>
        </w:rPr>
        <w:t>69</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提案人：吳思瑤</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連署人：黃國書  林奕華</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五</w:t>
      </w:r>
      <w:r w:rsidRPr="00FB7CC2">
        <w:rPr>
          <w:rFonts w:ascii="標楷體" w:eastAsia="標楷體" w:hAnsi="標楷體"/>
          <w:snapToGrid w:val="0"/>
          <w:color w:val="000000"/>
          <w:sz w:val="32"/>
          <w:szCs w:val="32"/>
        </w:rPr>
        <w:t>)</w:t>
      </w:r>
      <w:r w:rsidRPr="00A723FD">
        <w:rPr>
          <w:rFonts w:ascii="標楷體" w:eastAsia="標楷體" w:hAnsi="標楷體" w:hint="eastAsia"/>
          <w:snapToGrid w:val="0"/>
          <w:color w:val="000000"/>
          <w:sz w:val="32"/>
          <w:szCs w:val="32"/>
        </w:rPr>
        <w:t>蘭嶼</w:t>
      </w:r>
      <w:r w:rsidRPr="0096361D">
        <w:rPr>
          <w:rFonts w:ascii="標楷體" w:eastAsia="標楷體" w:hAnsi="標楷體" w:hint="eastAsia"/>
          <w:snapToGrid w:val="0"/>
          <w:color w:val="000000"/>
          <w:sz w:val="32"/>
          <w:szCs w:val="32"/>
        </w:rPr>
        <w:t>低放射性廢棄物貯存場</w:t>
      </w:r>
      <w:r w:rsidRPr="00A723FD">
        <w:rPr>
          <w:rFonts w:ascii="標楷體" w:eastAsia="標楷體" w:hAnsi="標楷體" w:hint="eastAsia"/>
          <w:snapToGrid w:val="0"/>
          <w:color w:val="000000"/>
          <w:sz w:val="32"/>
          <w:szCs w:val="32"/>
        </w:rPr>
        <w:t>自1980年興建至今，長期接收來自全國的低放廢棄物，現貯有10萬</w:t>
      </w:r>
      <w:r>
        <w:rPr>
          <w:rFonts w:ascii="標楷體" w:eastAsia="標楷體" w:hAnsi="標楷體" w:hint="eastAsia"/>
          <w:snapToGrid w:val="0"/>
          <w:color w:val="000000"/>
          <w:sz w:val="32"/>
          <w:szCs w:val="32"/>
        </w:rPr>
        <w:t>0</w:t>
      </w:r>
      <w:r>
        <w:rPr>
          <w:rFonts w:ascii="標楷體" w:eastAsia="標楷體" w:hAnsi="標楷體"/>
          <w:snapToGrid w:val="0"/>
          <w:color w:val="000000"/>
          <w:sz w:val="32"/>
          <w:szCs w:val="32"/>
        </w:rPr>
        <w:t>,</w:t>
      </w:r>
      <w:r w:rsidRPr="00A723FD">
        <w:rPr>
          <w:rFonts w:ascii="標楷體" w:eastAsia="標楷體" w:hAnsi="標楷體" w:hint="eastAsia"/>
          <w:snapToGrid w:val="0"/>
          <w:color w:val="000000"/>
          <w:sz w:val="32"/>
          <w:szCs w:val="32"/>
        </w:rPr>
        <w:t>277桶。然而自存放廢棄物以來，居民多次遊行抗議，要求台</w:t>
      </w:r>
      <w:r>
        <w:rPr>
          <w:rFonts w:ascii="標楷體" w:eastAsia="標楷體" w:hAnsi="標楷體" w:hint="eastAsia"/>
          <w:snapToGrid w:val="0"/>
          <w:color w:val="000000"/>
          <w:sz w:val="32"/>
          <w:szCs w:val="32"/>
        </w:rPr>
        <w:t>灣</w:t>
      </w:r>
      <w:r w:rsidRPr="00A723FD">
        <w:rPr>
          <w:rFonts w:ascii="標楷體" w:eastAsia="標楷體" w:hAnsi="標楷體" w:hint="eastAsia"/>
          <w:snapToGrid w:val="0"/>
          <w:color w:val="000000"/>
          <w:sz w:val="32"/>
          <w:szCs w:val="32"/>
        </w:rPr>
        <w:t>電</w:t>
      </w:r>
      <w:r>
        <w:rPr>
          <w:rFonts w:ascii="標楷體" w:eastAsia="標楷體" w:hAnsi="標楷體" w:hint="eastAsia"/>
          <w:snapToGrid w:val="0"/>
          <w:color w:val="000000"/>
          <w:sz w:val="32"/>
          <w:szCs w:val="32"/>
        </w:rPr>
        <w:t>力股份有限公司</w:t>
      </w:r>
      <w:r w:rsidRPr="00A723FD">
        <w:rPr>
          <w:rFonts w:ascii="標楷體" w:eastAsia="標楷體" w:hAnsi="標楷體" w:hint="eastAsia"/>
          <w:snapToGrid w:val="0"/>
          <w:color w:val="000000"/>
          <w:sz w:val="32"/>
          <w:szCs w:val="32"/>
        </w:rPr>
        <w:t>遷場。然而在低放</w:t>
      </w:r>
      <w:r>
        <w:rPr>
          <w:rFonts w:ascii="標楷體" w:eastAsia="標楷體" w:hAnsi="標楷體" w:hint="eastAsia"/>
          <w:snapToGrid w:val="0"/>
          <w:color w:val="000000"/>
          <w:sz w:val="32"/>
          <w:szCs w:val="32"/>
        </w:rPr>
        <w:t>射性</w:t>
      </w:r>
      <w:r w:rsidRPr="00A723FD">
        <w:rPr>
          <w:rFonts w:ascii="標楷體" w:eastAsia="標楷體" w:hAnsi="標楷體" w:hint="eastAsia"/>
          <w:snapToGrid w:val="0"/>
          <w:color w:val="000000"/>
          <w:sz w:val="32"/>
          <w:szCs w:val="32"/>
        </w:rPr>
        <w:t>廢棄物最終處置場址未能順利選定下，為處理蘭嶼地區現所貯存低放</w:t>
      </w:r>
      <w:r>
        <w:rPr>
          <w:rFonts w:ascii="標楷體" w:eastAsia="標楷體" w:hAnsi="標楷體" w:hint="eastAsia"/>
          <w:snapToGrid w:val="0"/>
          <w:color w:val="000000"/>
          <w:sz w:val="32"/>
          <w:szCs w:val="32"/>
        </w:rPr>
        <w:t>射性</w:t>
      </w:r>
      <w:r w:rsidRPr="00A723FD">
        <w:rPr>
          <w:rFonts w:ascii="標楷體" w:eastAsia="標楷體" w:hAnsi="標楷體" w:hint="eastAsia"/>
          <w:snapToGrid w:val="0"/>
          <w:color w:val="000000"/>
          <w:sz w:val="32"/>
          <w:szCs w:val="32"/>
        </w:rPr>
        <w:t>廢棄物問題，</w:t>
      </w:r>
      <w:r w:rsidRPr="0096361D">
        <w:rPr>
          <w:rFonts w:ascii="標楷體" w:eastAsia="標楷體" w:hAnsi="標楷體" w:hint="eastAsia"/>
          <w:snapToGrid w:val="0"/>
          <w:color w:val="000000"/>
          <w:sz w:val="32"/>
          <w:szCs w:val="32"/>
        </w:rPr>
        <w:t>行政院原子能委員會</w:t>
      </w:r>
      <w:r w:rsidRPr="00A723FD">
        <w:rPr>
          <w:rFonts w:ascii="標楷體" w:eastAsia="標楷體" w:hAnsi="標楷體" w:hint="eastAsia"/>
          <w:snapToGrid w:val="0"/>
          <w:color w:val="000000"/>
          <w:sz w:val="32"/>
          <w:szCs w:val="32"/>
        </w:rPr>
        <w:t>要求台電應採「集中式貯存設施」之應變方案以銜接未來之最終處置。然依「蘭嶼貯存場遷場規劃報告」之審查結論，集中式貯存設施應於114年2</w:t>
      </w:r>
      <w:r>
        <w:rPr>
          <w:rFonts w:ascii="標楷體" w:eastAsia="標楷體" w:hAnsi="標楷體" w:hint="eastAsia"/>
          <w:snapToGrid w:val="0"/>
          <w:color w:val="000000"/>
          <w:sz w:val="32"/>
          <w:szCs w:val="32"/>
        </w:rPr>
        <w:t>月前完工啟用。惟迄今</w:t>
      </w:r>
      <w:r w:rsidRPr="00A723FD">
        <w:rPr>
          <w:rFonts w:ascii="標楷體" w:eastAsia="標楷體" w:hAnsi="標楷體" w:hint="eastAsia"/>
          <w:snapToGrid w:val="0"/>
          <w:color w:val="000000"/>
          <w:sz w:val="32"/>
          <w:szCs w:val="32"/>
        </w:rPr>
        <w:t>台</w:t>
      </w:r>
      <w:r>
        <w:rPr>
          <w:rFonts w:ascii="標楷體" w:eastAsia="標楷體" w:hAnsi="標楷體" w:hint="eastAsia"/>
          <w:snapToGrid w:val="0"/>
          <w:color w:val="000000"/>
          <w:sz w:val="32"/>
          <w:szCs w:val="32"/>
        </w:rPr>
        <w:t>灣</w:t>
      </w:r>
      <w:r w:rsidRPr="00A723FD">
        <w:rPr>
          <w:rFonts w:ascii="標楷體" w:eastAsia="標楷體" w:hAnsi="標楷體" w:hint="eastAsia"/>
          <w:snapToGrid w:val="0"/>
          <w:color w:val="000000"/>
          <w:sz w:val="32"/>
          <w:szCs w:val="32"/>
        </w:rPr>
        <w:t>電</w:t>
      </w:r>
      <w:r>
        <w:rPr>
          <w:rFonts w:ascii="標楷體" w:eastAsia="標楷體" w:hAnsi="標楷體" w:hint="eastAsia"/>
          <w:snapToGrid w:val="0"/>
          <w:color w:val="000000"/>
          <w:sz w:val="32"/>
          <w:szCs w:val="32"/>
        </w:rPr>
        <w:t>力股份有限公司</w:t>
      </w:r>
      <w:r w:rsidRPr="00A723FD">
        <w:rPr>
          <w:rFonts w:ascii="標楷體" w:eastAsia="標楷體" w:hAnsi="標楷體" w:hint="eastAsia"/>
          <w:snapToGrid w:val="0"/>
          <w:color w:val="000000"/>
          <w:sz w:val="32"/>
          <w:szCs w:val="32"/>
        </w:rPr>
        <w:t>對於選址作業未有實質進展，恐大幅延後執行時程。且此案歷經評估、審核多年，卻始終未有具體成效，對於當地居民非常不公平。原能會作為監理機關，應肩負責任推動相關計畫執行。</w:t>
      </w:r>
      <w:r w:rsidRPr="0096361D">
        <w:rPr>
          <w:rFonts w:ascii="標楷體" w:eastAsia="標楷體" w:hAnsi="標楷體" w:hint="eastAsia"/>
          <w:snapToGrid w:val="0"/>
          <w:color w:val="000000"/>
          <w:sz w:val="32"/>
          <w:szCs w:val="32"/>
        </w:rPr>
        <w:t>行政院原子能委員會</w:t>
      </w:r>
      <w:r w:rsidRPr="00A723FD">
        <w:rPr>
          <w:rFonts w:ascii="標楷體" w:eastAsia="標楷體" w:hAnsi="標楷體" w:hint="eastAsia"/>
          <w:snapToGrid w:val="0"/>
          <w:color w:val="000000"/>
          <w:sz w:val="32"/>
          <w:szCs w:val="32"/>
        </w:rPr>
        <w:t>允宜依法加強監督，以期順利按時程完成</w:t>
      </w:r>
      <w:r w:rsidRPr="0096361D">
        <w:rPr>
          <w:rFonts w:ascii="標楷體" w:eastAsia="標楷體" w:hAnsi="標楷體" w:hint="eastAsia"/>
          <w:snapToGrid w:val="0"/>
          <w:color w:val="000000"/>
          <w:sz w:val="32"/>
          <w:szCs w:val="32"/>
        </w:rPr>
        <w:t>蘭嶼低放射性廢棄物貯存場</w:t>
      </w:r>
      <w:r>
        <w:rPr>
          <w:rFonts w:ascii="標楷體" w:eastAsia="標楷體" w:hAnsi="標楷體" w:hint="eastAsia"/>
          <w:snapToGrid w:val="0"/>
          <w:color w:val="000000"/>
          <w:sz w:val="32"/>
          <w:szCs w:val="32"/>
        </w:rPr>
        <w:t>遷場作業，並於</w:t>
      </w:r>
      <w:r w:rsidRPr="00A723FD">
        <w:rPr>
          <w:rFonts w:ascii="標楷體" w:eastAsia="標楷體" w:hAnsi="標楷體" w:hint="eastAsia"/>
          <w:snapToGrid w:val="0"/>
          <w:color w:val="000000"/>
          <w:sz w:val="32"/>
          <w:szCs w:val="32"/>
        </w:rPr>
        <w:t>3個月內向立法院教育及文化委員會提出書面報告。</w:t>
      </w:r>
      <w:r>
        <w:rPr>
          <w:rFonts w:ascii="標楷體" w:eastAsia="標楷體" w:hAnsi="標楷體"/>
          <w:snapToGrid w:val="0"/>
          <w:color w:val="000000"/>
          <w:sz w:val="32"/>
          <w:szCs w:val="32"/>
        </w:rPr>
        <w:t>73</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提案人：王婉諭</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連署人：黃國書  張廖萬堅</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六</w:t>
      </w: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鑑</w:t>
      </w:r>
      <w:r w:rsidRPr="0096361D">
        <w:rPr>
          <w:rFonts w:ascii="標楷體" w:eastAsia="標楷體" w:hAnsi="標楷體" w:hint="eastAsia"/>
          <w:snapToGrid w:val="0"/>
          <w:color w:val="000000"/>
          <w:sz w:val="32"/>
          <w:szCs w:val="32"/>
        </w:rPr>
        <w:t>於</w:t>
      </w:r>
      <w:r w:rsidRPr="00A723FD">
        <w:rPr>
          <w:rFonts w:ascii="標楷體" w:eastAsia="標楷體" w:hAnsi="標楷體" w:hint="eastAsia"/>
          <w:snapToGrid w:val="0"/>
          <w:color w:val="000000"/>
          <w:sz w:val="32"/>
          <w:szCs w:val="32"/>
        </w:rPr>
        <w:t>蘭嶼</w:t>
      </w:r>
      <w:r w:rsidRPr="0096361D">
        <w:rPr>
          <w:rFonts w:ascii="標楷體" w:eastAsia="標楷體" w:hAnsi="標楷體" w:hint="eastAsia"/>
          <w:snapToGrid w:val="0"/>
          <w:color w:val="000000"/>
          <w:sz w:val="32"/>
          <w:szCs w:val="32"/>
        </w:rPr>
        <w:t>低放射性廢棄物貯存場自接收存放低放射性廢棄物以來，遭居民多次抗議要求遷場。惟低放</w:t>
      </w:r>
      <w:r>
        <w:rPr>
          <w:rFonts w:ascii="標楷體" w:eastAsia="標楷體" w:hAnsi="標楷體" w:hint="eastAsia"/>
          <w:snapToGrid w:val="0"/>
          <w:color w:val="000000"/>
          <w:sz w:val="32"/>
          <w:szCs w:val="32"/>
        </w:rPr>
        <w:t>射性</w:t>
      </w:r>
      <w:r w:rsidRPr="0096361D">
        <w:rPr>
          <w:rFonts w:ascii="標楷體" w:eastAsia="標楷體" w:hAnsi="標楷體" w:hint="eastAsia"/>
          <w:snapToGrid w:val="0"/>
          <w:color w:val="000000"/>
          <w:sz w:val="32"/>
          <w:szCs w:val="32"/>
        </w:rPr>
        <w:t>廢棄物最終處置場選址至今尚未完成，經行政院原子能委員會核定「蘭嶼貯存場遷場規劃報告」後，</w:t>
      </w:r>
      <w:r w:rsidRPr="00A723FD">
        <w:rPr>
          <w:rFonts w:ascii="標楷體" w:eastAsia="標楷體" w:hAnsi="標楷體" w:hint="eastAsia"/>
          <w:snapToGrid w:val="0"/>
          <w:color w:val="000000"/>
          <w:sz w:val="32"/>
          <w:szCs w:val="32"/>
        </w:rPr>
        <w:t>台</w:t>
      </w:r>
      <w:r>
        <w:rPr>
          <w:rFonts w:ascii="標楷體" w:eastAsia="標楷體" w:hAnsi="標楷體" w:hint="eastAsia"/>
          <w:snapToGrid w:val="0"/>
          <w:color w:val="000000"/>
          <w:sz w:val="32"/>
          <w:szCs w:val="32"/>
        </w:rPr>
        <w:t>灣</w:t>
      </w:r>
      <w:r w:rsidRPr="00A723FD">
        <w:rPr>
          <w:rFonts w:ascii="標楷體" w:eastAsia="標楷體" w:hAnsi="標楷體" w:hint="eastAsia"/>
          <w:snapToGrid w:val="0"/>
          <w:color w:val="000000"/>
          <w:sz w:val="32"/>
          <w:szCs w:val="32"/>
        </w:rPr>
        <w:t>電</w:t>
      </w:r>
      <w:r>
        <w:rPr>
          <w:rFonts w:ascii="標楷體" w:eastAsia="標楷體" w:hAnsi="標楷體" w:hint="eastAsia"/>
          <w:snapToGrid w:val="0"/>
          <w:color w:val="000000"/>
          <w:sz w:val="32"/>
          <w:szCs w:val="32"/>
        </w:rPr>
        <w:t>力股份有限公司</w:t>
      </w:r>
      <w:r w:rsidRPr="0096361D">
        <w:rPr>
          <w:rFonts w:ascii="標楷體" w:eastAsia="標楷體" w:hAnsi="標楷體" w:hint="eastAsia"/>
          <w:snapToGrid w:val="0"/>
          <w:color w:val="000000"/>
          <w:sz w:val="32"/>
          <w:szCs w:val="32"/>
        </w:rPr>
        <w:t>應於106年3月起8年內(114年2月)完工啟用「集中式貯存設施」，將蘭嶼廢棄物遷移進行中期貯存</w:t>
      </w:r>
      <w:r>
        <w:rPr>
          <w:rFonts w:ascii="標楷體" w:eastAsia="標楷體" w:hAnsi="標楷體" w:hint="eastAsia"/>
          <w:snapToGrid w:val="0"/>
          <w:color w:val="000000"/>
          <w:sz w:val="32"/>
          <w:szCs w:val="32"/>
        </w:rPr>
        <w:t>。</w:t>
      </w:r>
      <w:r w:rsidRPr="0096361D">
        <w:rPr>
          <w:rFonts w:ascii="標楷體" w:eastAsia="標楷體" w:hAnsi="標楷體" w:hint="eastAsia"/>
          <w:snapToGrid w:val="0"/>
          <w:color w:val="000000"/>
          <w:sz w:val="32"/>
          <w:szCs w:val="32"/>
        </w:rPr>
        <w:t>惟</w:t>
      </w:r>
      <w:r w:rsidRPr="00A723FD">
        <w:rPr>
          <w:rFonts w:ascii="標楷體" w:eastAsia="標楷體" w:hAnsi="標楷體" w:hint="eastAsia"/>
          <w:snapToGrid w:val="0"/>
          <w:color w:val="000000"/>
          <w:sz w:val="32"/>
          <w:szCs w:val="32"/>
        </w:rPr>
        <w:t>台</w:t>
      </w:r>
      <w:r>
        <w:rPr>
          <w:rFonts w:ascii="標楷體" w:eastAsia="標楷體" w:hAnsi="標楷體" w:hint="eastAsia"/>
          <w:snapToGrid w:val="0"/>
          <w:color w:val="000000"/>
          <w:sz w:val="32"/>
          <w:szCs w:val="32"/>
        </w:rPr>
        <w:t>灣</w:t>
      </w:r>
      <w:r w:rsidRPr="00A723FD">
        <w:rPr>
          <w:rFonts w:ascii="標楷體" w:eastAsia="標楷體" w:hAnsi="標楷體" w:hint="eastAsia"/>
          <w:snapToGrid w:val="0"/>
          <w:color w:val="000000"/>
          <w:sz w:val="32"/>
          <w:szCs w:val="32"/>
        </w:rPr>
        <w:t>電</w:t>
      </w:r>
      <w:r>
        <w:rPr>
          <w:rFonts w:ascii="標楷體" w:eastAsia="標楷體" w:hAnsi="標楷體" w:hint="eastAsia"/>
          <w:snapToGrid w:val="0"/>
          <w:color w:val="000000"/>
          <w:sz w:val="32"/>
          <w:szCs w:val="32"/>
        </w:rPr>
        <w:t>力股份有限公司</w:t>
      </w:r>
      <w:r>
        <w:rPr>
          <w:rFonts w:ascii="標楷體" w:eastAsia="標楷體" w:hAnsi="標楷體" w:hint="eastAsia"/>
          <w:snapToGrid w:val="0"/>
          <w:color w:val="000000"/>
          <w:sz w:val="32"/>
          <w:szCs w:val="32"/>
        </w:rPr>
        <w:lastRenderedPageBreak/>
        <w:t>迄今未有實質進展，恐大幅延宕遷移時程，原能會應加強監督，爰</w:t>
      </w:r>
      <w:r w:rsidRPr="0096361D">
        <w:rPr>
          <w:rFonts w:ascii="標楷體" w:eastAsia="標楷體" w:hAnsi="標楷體" w:hint="eastAsia"/>
          <w:snapToGrid w:val="0"/>
          <w:color w:val="000000"/>
          <w:sz w:val="32"/>
          <w:szCs w:val="32"/>
        </w:rPr>
        <w:t>要求行政院原子能委員會</w:t>
      </w:r>
      <w:r>
        <w:rPr>
          <w:rFonts w:ascii="標楷體" w:eastAsia="標楷體" w:hAnsi="標楷體" w:hint="eastAsia"/>
          <w:snapToGrid w:val="0"/>
          <w:color w:val="000000"/>
          <w:sz w:val="32"/>
          <w:szCs w:val="32"/>
        </w:rPr>
        <w:t>於</w:t>
      </w:r>
      <w:r w:rsidRPr="0096361D">
        <w:rPr>
          <w:rFonts w:ascii="標楷體" w:eastAsia="標楷體" w:hAnsi="標楷體" w:hint="eastAsia"/>
          <w:snapToGrid w:val="0"/>
          <w:color w:val="000000"/>
          <w:sz w:val="32"/>
          <w:szCs w:val="32"/>
        </w:rPr>
        <w:t>3個月內向立法院教育及文化委員會提出書面報告。</w:t>
      </w:r>
      <w:r>
        <w:rPr>
          <w:rFonts w:ascii="標楷體" w:eastAsia="標楷體" w:hAnsi="標楷體"/>
          <w:snapToGrid w:val="0"/>
          <w:color w:val="000000"/>
          <w:sz w:val="32"/>
          <w:szCs w:val="32"/>
        </w:rPr>
        <w:t>76</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提案人：黃國書</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連署人：林奕華  陳秀寳</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七</w:t>
      </w:r>
      <w:r w:rsidRPr="00FB7CC2">
        <w:rPr>
          <w:rFonts w:ascii="標楷體" w:eastAsia="標楷體" w:hAnsi="標楷體"/>
          <w:snapToGrid w:val="0"/>
          <w:color w:val="000000"/>
          <w:sz w:val="32"/>
          <w:szCs w:val="32"/>
        </w:rPr>
        <w:t>)</w:t>
      </w:r>
      <w:r w:rsidRPr="00A723FD">
        <w:rPr>
          <w:rFonts w:ascii="標楷體" w:eastAsia="標楷體" w:hAnsi="標楷體" w:hint="eastAsia"/>
          <w:snapToGrid w:val="0"/>
          <w:color w:val="000000"/>
          <w:sz w:val="32"/>
          <w:szCs w:val="32"/>
        </w:rPr>
        <w:t>我國為落實台灣永續目標、推動非核家園政策，台</w:t>
      </w:r>
      <w:r>
        <w:rPr>
          <w:rFonts w:ascii="標楷體" w:eastAsia="標楷體" w:hAnsi="標楷體" w:hint="eastAsia"/>
          <w:snapToGrid w:val="0"/>
          <w:color w:val="000000"/>
          <w:sz w:val="32"/>
          <w:szCs w:val="32"/>
        </w:rPr>
        <w:t>灣</w:t>
      </w:r>
      <w:r w:rsidRPr="00A723FD">
        <w:rPr>
          <w:rFonts w:ascii="標楷體" w:eastAsia="標楷體" w:hAnsi="標楷體" w:hint="eastAsia"/>
          <w:snapToGrid w:val="0"/>
          <w:color w:val="000000"/>
          <w:sz w:val="32"/>
          <w:szCs w:val="32"/>
        </w:rPr>
        <w:t>電</w:t>
      </w:r>
      <w:r>
        <w:rPr>
          <w:rFonts w:ascii="標楷體" w:eastAsia="標楷體" w:hAnsi="標楷體" w:hint="eastAsia"/>
          <w:snapToGrid w:val="0"/>
          <w:color w:val="000000"/>
          <w:sz w:val="32"/>
          <w:szCs w:val="32"/>
        </w:rPr>
        <w:t>力股份有限公司</w:t>
      </w:r>
      <w:r w:rsidRPr="00A723FD">
        <w:rPr>
          <w:rFonts w:ascii="標楷體" w:eastAsia="標楷體" w:hAnsi="標楷體" w:hint="eastAsia"/>
          <w:snapToGrid w:val="0"/>
          <w:color w:val="000000"/>
          <w:sz w:val="32"/>
          <w:szCs w:val="32"/>
        </w:rPr>
        <w:t>已提出</w:t>
      </w:r>
      <w:r w:rsidRPr="0096361D">
        <w:rPr>
          <w:rFonts w:ascii="標楷體" w:eastAsia="標楷體" w:hAnsi="標楷體" w:hint="eastAsia"/>
          <w:snapToGrid w:val="0"/>
          <w:color w:val="000000"/>
          <w:sz w:val="32"/>
          <w:szCs w:val="32"/>
        </w:rPr>
        <w:t>第一核能發電廠</w:t>
      </w:r>
      <w:r w:rsidRPr="00A723FD">
        <w:rPr>
          <w:rFonts w:ascii="標楷體" w:eastAsia="標楷體" w:hAnsi="標楷體" w:hint="eastAsia"/>
          <w:snapToGrid w:val="0"/>
          <w:color w:val="000000"/>
          <w:sz w:val="32"/>
          <w:szCs w:val="32"/>
        </w:rPr>
        <w:t>、</w:t>
      </w:r>
      <w:r w:rsidRPr="0096361D">
        <w:rPr>
          <w:rFonts w:ascii="標楷體" w:eastAsia="標楷體" w:hAnsi="標楷體" w:hint="eastAsia"/>
          <w:snapToGrid w:val="0"/>
          <w:color w:val="000000"/>
          <w:sz w:val="32"/>
          <w:szCs w:val="32"/>
        </w:rPr>
        <w:t>第二核能發電廠</w:t>
      </w:r>
      <w:r w:rsidRPr="00A723FD">
        <w:rPr>
          <w:rFonts w:ascii="標楷體" w:eastAsia="標楷體" w:hAnsi="標楷體" w:hint="eastAsia"/>
          <w:snapToGrid w:val="0"/>
          <w:color w:val="000000"/>
          <w:sz w:val="32"/>
          <w:szCs w:val="32"/>
        </w:rPr>
        <w:t>之除役計畫，</w:t>
      </w:r>
      <w:r w:rsidRPr="0096361D">
        <w:rPr>
          <w:rFonts w:ascii="標楷體" w:eastAsia="標楷體" w:hAnsi="標楷體" w:hint="eastAsia"/>
          <w:snapToGrid w:val="0"/>
          <w:color w:val="000000"/>
          <w:sz w:val="32"/>
          <w:szCs w:val="32"/>
        </w:rPr>
        <w:t>行政院原子能委員會</w:t>
      </w:r>
      <w:r w:rsidRPr="00A723FD">
        <w:rPr>
          <w:rFonts w:ascii="標楷體" w:eastAsia="標楷體" w:hAnsi="標楷體" w:hint="eastAsia"/>
          <w:snapToGrid w:val="0"/>
          <w:color w:val="000000"/>
          <w:sz w:val="32"/>
          <w:szCs w:val="32"/>
        </w:rPr>
        <w:t>並於2019年7月核發核一廠除役許可，2020年10月審核通過核二廠除役計畫，待</w:t>
      </w:r>
      <w:r>
        <w:rPr>
          <w:rFonts w:ascii="標楷體" w:eastAsia="標楷體" w:hAnsi="標楷體" w:hint="eastAsia"/>
          <w:snapToGrid w:val="0"/>
          <w:color w:val="000000"/>
          <w:sz w:val="32"/>
          <w:szCs w:val="32"/>
        </w:rPr>
        <w:t>行政院</w:t>
      </w:r>
      <w:r w:rsidRPr="00A723FD">
        <w:rPr>
          <w:rFonts w:ascii="標楷體" w:eastAsia="標楷體" w:hAnsi="標楷體" w:hint="eastAsia"/>
          <w:snapToGrid w:val="0"/>
          <w:color w:val="000000"/>
          <w:sz w:val="32"/>
          <w:szCs w:val="32"/>
        </w:rPr>
        <w:t>環</w:t>
      </w:r>
      <w:r>
        <w:rPr>
          <w:rFonts w:ascii="標楷體" w:eastAsia="標楷體" w:hAnsi="標楷體" w:hint="eastAsia"/>
          <w:snapToGrid w:val="0"/>
          <w:color w:val="000000"/>
          <w:sz w:val="32"/>
          <w:szCs w:val="32"/>
        </w:rPr>
        <w:t>境</w:t>
      </w:r>
      <w:r w:rsidRPr="00A723FD">
        <w:rPr>
          <w:rFonts w:ascii="標楷體" w:eastAsia="標楷體" w:hAnsi="標楷體" w:hint="eastAsia"/>
          <w:snapToGrid w:val="0"/>
          <w:color w:val="000000"/>
          <w:sz w:val="32"/>
          <w:szCs w:val="32"/>
        </w:rPr>
        <w:t>保</w:t>
      </w:r>
      <w:r>
        <w:rPr>
          <w:rFonts w:ascii="標楷體" w:eastAsia="標楷體" w:hAnsi="標楷體" w:hint="eastAsia"/>
          <w:snapToGrid w:val="0"/>
          <w:color w:val="000000"/>
          <w:sz w:val="32"/>
          <w:szCs w:val="32"/>
        </w:rPr>
        <w:t>護</w:t>
      </w:r>
      <w:r w:rsidRPr="00A723FD">
        <w:rPr>
          <w:rFonts w:ascii="標楷體" w:eastAsia="標楷體" w:hAnsi="標楷體" w:hint="eastAsia"/>
          <w:snapToGrid w:val="0"/>
          <w:color w:val="000000"/>
          <w:sz w:val="32"/>
          <w:szCs w:val="32"/>
        </w:rPr>
        <w:t>署通過後，原能會即可核發除役許可。根據台電所提報之核一廠、核二廠之除役計畫所載，其停機過渡階段規劃將用過核子燃料退出，存放於第1期室外乾式貯存設施內。經查：核一廠之第1期室外乾式貯存設施計畫，已於2013年6月興建完成，惟因新北市政府遲未核發水土保持完工證明，以致設施無法正常啟用。核二廠之第1期室外乾式貯存設施計畫，其「營建工地逕流廢水削減計畫」未獲新北市政府同意，以及水土保持計畫遭新北市政府不予同意，台電公司雖依法提起訴願救濟與行政訴訟，惟新北市政府已提上訴，以致相關工程尚未順利作業。根據</w:t>
      </w:r>
      <w:r>
        <w:rPr>
          <w:rFonts w:ascii="標楷體" w:eastAsia="標楷體" w:hAnsi="標楷體" w:hint="eastAsia"/>
          <w:snapToGrid w:val="0"/>
          <w:color w:val="000000"/>
          <w:sz w:val="32"/>
          <w:szCs w:val="32"/>
        </w:rPr>
        <w:t>行政院原子能委員會放射性物料管理局</w:t>
      </w:r>
      <w:r w:rsidRPr="00A723FD">
        <w:rPr>
          <w:rFonts w:ascii="標楷體" w:eastAsia="標楷體" w:hAnsi="標楷體" w:hint="eastAsia"/>
          <w:snapToGrid w:val="0"/>
          <w:color w:val="000000"/>
          <w:sz w:val="32"/>
          <w:szCs w:val="32"/>
        </w:rPr>
        <w:t>所提供之資料，核一廠與核二廠之用過核子燃料池已幾近滿貯，若無法將現存燃料池之用過核燃料棒移至室外乾式貯存設施，恐致反應爐心</w:t>
      </w:r>
      <w:r>
        <w:rPr>
          <w:rFonts w:ascii="標楷體" w:eastAsia="標楷體" w:hAnsi="標楷體" w:hint="eastAsia"/>
          <w:snapToGrid w:val="0"/>
          <w:color w:val="000000"/>
          <w:sz w:val="32"/>
          <w:szCs w:val="32"/>
        </w:rPr>
        <w:t>尚有用過核子燃料無法退出，進而延宕後續除役拆廠時程。綜上所述，</w:t>
      </w:r>
      <w:r w:rsidRPr="00A723FD">
        <w:rPr>
          <w:rFonts w:ascii="標楷體" w:eastAsia="標楷體" w:hAnsi="標楷體" w:hint="eastAsia"/>
          <w:snapToGrid w:val="0"/>
          <w:color w:val="000000"/>
          <w:sz w:val="32"/>
          <w:szCs w:val="32"/>
        </w:rPr>
        <w:t>請</w:t>
      </w:r>
      <w:r>
        <w:rPr>
          <w:rFonts w:ascii="標楷體" w:eastAsia="標楷體" w:hAnsi="標楷體" w:hint="eastAsia"/>
          <w:snapToGrid w:val="0"/>
          <w:color w:val="000000"/>
          <w:sz w:val="32"/>
          <w:szCs w:val="32"/>
        </w:rPr>
        <w:t>行政院原子能委員會放射性物料管理局</w:t>
      </w:r>
      <w:r w:rsidRPr="00A723FD">
        <w:rPr>
          <w:rFonts w:ascii="標楷體" w:eastAsia="標楷體" w:hAnsi="標楷體" w:hint="eastAsia"/>
          <w:snapToGrid w:val="0"/>
          <w:color w:val="000000"/>
          <w:sz w:val="32"/>
          <w:szCs w:val="32"/>
        </w:rPr>
        <w:t>應賡續督促台電公司與新北市政府溝通協調，使</w:t>
      </w:r>
      <w:r>
        <w:rPr>
          <w:rFonts w:ascii="標楷體" w:eastAsia="標楷體" w:hAnsi="標楷體" w:hint="eastAsia"/>
          <w:snapToGrid w:val="0"/>
          <w:color w:val="000000"/>
          <w:sz w:val="32"/>
          <w:szCs w:val="32"/>
        </w:rPr>
        <w:t>第一</w:t>
      </w:r>
      <w:r w:rsidRPr="00A723FD">
        <w:rPr>
          <w:rFonts w:ascii="標楷體" w:eastAsia="標楷體" w:hAnsi="標楷體" w:hint="eastAsia"/>
          <w:snapToGrid w:val="0"/>
          <w:color w:val="000000"/>
          <w:sz w:val="32"/>
          <w:szCs w:val="32"/>
        </w:rPr>
        <w:t>核</w:t>
      </w:r>
      <w:r>
        <w:rPr>
          <w:rFonts w:ascii="標楷體" w:eastAsia="標楷體" w:hAnsi="標楷體" w:hint="eastAsia"/>
          <w:snapToGrid w:val="0"/>
          <w:color w:val="000000"/>
          <w:sz w:val="32"/>
          <w:szCs w:val="32"/>
        </w:rPr>
        <w:t>能發電</w:t>
      </w:r>
      <w:r w:rsidRPr="00A723FD">
        <w:rPr>
          <w:rFonts w:ascii="標楷體" w:eastAsia="標楷體" w:hAnsi="標楷體" w:hint="eastAsia"/>
          <w:snapToGrid w:val="0"/>
          <w:color w:val="000000"/>
          <w:sz w:val="32"/>
          <w:szCs w:val="32"/>
        </w:rPr>
        <w:t>廠、</w:t>
      </w:r>
      <w:r w:rsidRPr="0096361D">
        <w:rPr>
          <w:rFonts w:ascii="標楷體" w:eastAsia="標楷體" w:hAnsi="標楷體" w:hint="eastAsia"/>
          <w:snapToGrid w:val="0"/>
          <w:color w:val="000000"/>
          <w:sz w:val="32"/>
          <w:szCs w:val="32"/>
        </w:rPr>
        <w:t>第二核能發電廠</w:t>
      </w:r>
      <w:r w:rsidRPr="00A723FD">
        <w:rPr>
          <w:rFonts w:ascii="標楷體" w:eastAsia="標楷體" w:hAnsi="標楷體" w:hint="eastAsia"/>
          <w:snapToGrid w:val="0"/>
          <w:color w:val="000000"/>
          <w:sz w:val="32"/>
          <w:szCs w:val="32"/>
        </w:rPr>
        <w:t>之第1期室外乾式貯存設施計畫順利推動、除役工作妥適展開，並協請台</w:t>
      </w:r>
      <w:r>
        <w:rPr>
          <w:rFonts w:ascii="標楷體" w:eastAsia="標楷體" w:hAnsi="標楷體" w:hint="eastAsia"/>
          <w:snapToGrid w:val="0"/>
          <w:color w:val="000000"/>
          <w:sz w:val="32"/>
          <w:szCs w:val="32"/>
        </w:rPr>
        <w:t>灣</w:t>
      </w:r>
      <w:r w:rsidRPr="00A723FD">
        <w:rPr>
          <w:rFonts w:ascii="標楷體" w:eastAsia="標楷體" w:hAnsi="標楷體" w:hint="eastAsia"/>
          <w:snapToGrid w:val="0"/>
          <w:color w:val="000000"/>
          <w:sz w:val="32"/>
          <w:szCs w:val="32"/>
        </w:rPr>
        <w:t>電</w:t>
      </w:r>
      <w:r>
        <w:rPr>
          <w:rFonts w:ascii="標楷體" w:eastAsia="標楷體" w:hAnsi="標楷體" w:hint="eastAsia"/>
          <w:snapToGrid w:val="0"/>
          <w:color w:val="000000"/>
          <w:sz w:val="32"/>
          <w:szCs w:val="32"/>
        </w:rPr>
        <w:t>力股份有限公司</w:t>
      </w:r>
      <w:r w:rsidRPr="00A723FD">
        <w:rPr>
          <w:rFonts w:ascii="標楷體" w:eastAsia="標楷體" w:hAnsi="標楷體" w:hint="eastAsia"/>
          <w:snapToGrid w:val="0"/>
          <w:color w:val="000000"/>
          <w:sz w:val="32"/>
          <w:szCs w:val="32"/>
        </w:rPr>
        <w:t>提供歷年與新北市政府溝通、審查、核照情況，俾利釐清責任歸屬。爰要求</w:t>
      </w:r>
      <w:r>
        <w:rPr>
          <w:rFonts w:ascii="標楷體" w:eastAsia="標楷體" w:hAnsi="標楷體" w:hint="eastAsia"/>
          <w:snapToGrid w:val="0"/>
          <w:color w:val="000000"/>
          <w:sz w:val="32"/>
          <w:szCs w:val="32"/>
        </w:rPr>
        <w:t>行政院</w:t>
      </w:r>
      <w:r w:rsidRPr="00A723FD">
        <w:rPr>
          <w:rFonts w:ascii="標楷體" w:eastAsia="標楷體" w:hAnsi="標楷體" w:hint="eastAsia"/>
          <w:snapToGrid w:val="0"/>
          <w:color w:val="000000"/>
          <w:sz w:val="32"/>
          <w:szCs w:val="32"/>
        </w:rPr>
        <w:t>原子能委員</w:t>
      </w:r>
      <w:r w:rsidRPr="00A723FD">
        <w:rPr>
          <w:rFonts w:ascii="標楷體" w:eastAsia="標楷體" w:hAnsi="標楷體" w:hint="eastAsia"/>
          <w:snapToGrid w:val="0"/>
          <w:color w:val="000000"/>
          <w:sz w:val="32"/>
          <w:szCs w:val="32"/>
        </w:rPr>
        <w:lastRenderedPageBreak/>
        <w:t>會</w:t>
      </w:r>
      <w:r>
        <w:rPr>
          <w:rFonts w:ascii="標楷體" w:eastAsia="標楷體" w:hAnsi="標楷體" w:hint="eastAsia"/>
          <w:snapToGrid w:val="0"/>
          <w:color w:val="000000"/>
          <w:sz w:val="32"/>
          <w:szCs w:val="32"/>
        </w:rPr>
        <w:t>於</w:t>
      </w:r>
      <w:r w:rsidRPr="00A723FD">
        <w:rPr>
          <w:rFonts w:ascii="標楷體" w:eastAsia="標楷體" w:hAnsi="標楷體" w:hint="eastAsia"/>
          <w:snapToGrid w:val="0"/>
          <w:color w:val="000000"/>
          <w:sz w:val="32"/>
          <w:szCs w:val="32"/>
        </w:rPr>
        <w:t>3個月內向立法院教育及文化委員會提出書面報告。</w:t>
      </w:r>
      <w:r>
        <w:rPr>
          <w:rFonts w:ascii="標楷體" w:eastAsia="標楷體" w:hAnsi="標楷體"/>
          <w:snapToGrid w:val="0"/>
          <w:color w:val="000000"/>
          <w:sz w:val="32"/>
          <w:szCs w:val="32"/>
        </w:rPr>
        <w:t>79</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提案人：吳思瑤</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連署人：黃國書  林奕華</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(八)鑑</w:t>
      </w:r>
      <w:r w:rsidRPr="00E77B68">
        <w:rPr>
          <w:rFonts w:ascii="標楷體" w:eastAsia="標楷體" w:hAnsi="標楷體" w:hint="eastAsia"/>
          <w:snapToGrid w:val="0"/>
          <w:color w:val="000000"/>
          <w:sz w:val="32"/>
          <w:szCs w:val="32"/>
        </w:rPr>
        <w:t>於用過之核子燃料自反應器移出時，須置於燃料池冷卻後再移至乾式貯存設施，始得進行除役作業。惟</w:t>
      </w:r>
      <w:r w:rsidRPr="00A723FD">
        <w:rPr>
          <w:rFonts w:ascii="標楷體" w:eastAsia="標楷體" w:hAnsi="標楷體" w:hint="eastAsia"/>
          <w:snapToGrid w:val="0"/>
          <w:color w:val="000000"/>
          <w:sz w:val="32"/>
          <w:szCs w:val="32"/>
        </w:rPr>
        <w:t>台</w:t>
      </w:r>
      <w:r>
        <w:rPr>
          <w:rFonts w:ascii="標楷體" w:eastAsia="標楷體" w:hAnsi="標楷體" w:hint="eastAsia"/>
          <w:snapToGrid w:val="0"/>
          <w:color w:val="000000"/>
          <w:sz w:val="32"/>
          <w:szCs w:val="32"/>
        </w:rPr>
        <w:t>灣</w:t>
      </w:r>
      <w:r w:rsidRPr="00A723FD">
        <w:rPr>
          <w:rFonts w:ascii="標楷體" w:eastAsia="標楷體" w:hAnsi="標楷體" w:hint="eastAsia"/>
          <w:snapToGrid w:val="0"/>
          <w:color w:val="000000"/>
          <w:sz w:val="32"/>
          <w:szCs w:val="32"/>
        </w:rPr>
        <w:t>電</w:t>
      </w:r>
      <w:r>
        <w:rPr>
          <w:rFonts w:ascii="標楷體" w:eastAsia="標楷體" w:hAnsi="標楷體" w:hint="eastAsia"/>
          <w:snapToGrid w:val="0"/>
          <w:color w:val="000000"/>
          <w:sz w:val="32"/>
          <w:szCs w:val="32"/>
        </w:rPr>
        <w:t>力股份有限公司</w:t>
      </w:r>
      <w:r w:rsidRPr="00E77B68">
        <w:rPr>
          <w:rFonts w:ascii="標楷體" w:eastAsia="標楷體" w:hAnsi="標楷體" w:hint="eastAsia"/>
          <w:snapToGrid w:val="0"/>
          <w:color w:val="000000"/>
          <w:sz w:val="32"/>
          <w:szCs w:val="32"/>
        </w:rPr>
        <w:t>雖完成第一核能發電廠第1期乾式貯存設施興建，卻因新北市政府未予核發水土保持完工證明，致設施無法啟用；而第二核能發電廠乾式貯存設施，亦因台電公司提報「營建工地逕流廢水污染削減計畫」未獲新北市政府核定，致工程未能開工。上述案件均於法院審理中。而核一廠及核二廠之用過核子燃料池已接近滿貯，為避免影響後續除役拆廠進度，台電公司刻正進行第一核能發電廠、第二核能發電廠第2期室內乾式貯存設施興建計畫，規劃分別於117、118年底完工啟用。其中，第一核能發電廠應於111年7月底完成室內乾貯設施採購帶安裝招標作業，惟台電公司自111年1月完成採購案第</w:t>
      </w:r>
      <w:r>
        <w:rPr>
          <w:rFonts w:ascii="標楷體" w:eastAsia="標楷體" w:hAnsi="標楷體" w:hint="eastAsia"/>
          <w:snapToGrid w:val="0"/>
          <w:color w:val="000000"/>
          <w:sz w:val="32"/>
          <w:szCs w:val="32"/>
        </w:rPr>
        <w:t>2</w:t>
      </w:r>
      <w:r w:rsidRPr="00E77B68">
        <w:rPr>
          <w:rFonts w:ascii="標楷體" w:eastAsia="標楷體" w:hAnsi="標楷體" w:hint="eastAsia"/>
          <w:snapToGrid w:val="0"/>
          <w:color w:val="000000"/>
          <w:sz w:val="32"/>
          <w:szCs w:val="32"/>
        </w:rPr>
        <w:t>次公開閱覽後，迄無實質辦理進度，恐造成除役作業延宕。</w:t>
      </w:r>
      <w:r>
        <w:rPr>
          <w:rFonts w:ascii="標楷體" w:eastAsia="標楷體" w:hAnsi="標楷體" w:hint="eastAsia"/>
          <w:snapToGrid w:val="0"/>
          <w:color w:val="000000"/>
          <w:sz w:val="32"/>
          <w:szCs w:val="32"/>
        </w:rPr>
        <w:t>行政院</w:t>
      </w:r>
      <w:r w:rsidRPr="00A723FD">
        <w:rPr>
          <w:rFonts w:ascii="標楷體" w:eastAsia="標楷體" w:hAnsi="標楷體" w:hint="eastAsia"/>
          <w:snapToGrid w:val="0"/>
          <w:color w:val="000000"/>
          <w:sz w:val="32"/>
          <w:szCs w:val="32"/>
        </w:rPr>
        <w:t>原子能委員會</w:t>
      </w:r>
      <w:r w:rsidRPr="00E77B68">
        <w:rPr>
          <w:rFonts w:ascii="標楷體" w:eastAsia="標楷體" w:hAnsi="標楷體" w:hint="eastAsia"/>
          <w:snapToGrid w:val="0"/>
          <w:color w:val="000000"/>
          <w:sz w:val="32"/>
          <w:szCs w:val="32"/>
        </w:rPr>
        <w:t>應加強督導</w:t>
      </w:r>
      <w:r w:rsidRPr="00A723FD">
        <w:rPr>
          <w:rFonts w:ascii="標楷體" w:eastAsia="標楷體" w:hAnsi="標楷體" w:hint="eastAsia"/>
          <w:snapToGrid w:val="0"/>
          <w:color w:val="000000"/>
          <w:sz w:val="32"/>
          <w:szCs w:val="32"/>
        </w:rPr>
        <w:t>台</w:t>
      </w:r>
      <w:r>
        <w:rPr>
          <w:rFonts w:ascii="標楷體" w:eastAsia="標楷體" w:hAnsi="標楷體" w:hint="eastAsia"/>
          <w:snapToGrid w:val="0"/>
          <w:color w:val="000000"/>
          <w:sz w:val="32"/>
          <w:szCs w:val="32"/>
        </w:rPr>
        <w:t>灣</w:t>
      </w:r>
      <w:r w:rsidRPr="00A723FD">
        <w:rPr>
          <w:rFonts w:ascii="標楷體" w:eastAsia="標楷體" w:hAnsi="標楷體" w:hint="eastAsia"/>
          <w:snapToGrid w:val="0"/>
          <w:color w:val="000000"/>
          <w:sz w:val="32"/>
          <w:szCs w:val="32"/>
        </w:rPr>
        <w:t>電</w:t>
      </w:r>
      <w:r>
        <w:rPr>
          <w:rFonts w:ascii="標楷體" w:eastAsia="標楷體" w:hAnsi="標楷體" w:hint="eastAsia"/>
          <w:snapToGrid w:val="0"/>
          <w:color w:val="000000"/>
          <w:sz w:val="32"/>
          <w:szCs w:val="32"/>
        </w:rPr>
        <w:t>力股份有限公司，以確保除役工作如期推動。爰</w:t>
      </w:r>
      <w:r w:rsidRPr="00E77B68">
        <w:rPr>
          <w:rFonts w:ascii="標楷體" w:eastAsia="標楷體" w:hAnsi="標楷體" w:hint="eastAsia"/>
          <w:snapToGrid w:val="0"/>
          <w:color w:val="000000"/>
          <w:sz w:val="32"/>
          <w:szCs w:val="32"/>
        </w:rPr>
        <w:t>要求</w:t>
      </w:r>
      <w:r>
        <w:rPr>
          <w:rFonts w:ascii="標楷體" w:eastAsia="標楷體" w:hAnsi="標楷體" w:hint="eastAsia"/>
          <w:snapToGrid w:val="0"/>
          <w:color w:val="000000"/>
          <w:sz w:val="32"/>
          <w:szCs w:val="32"/>
        </w:rPr>
        <w:t>行政院</w:t>
      </w:r>
      <w:r w:rsidRPr="00A723FD">
        <w:rPr>
          <w:rFonts w:ascii="標楷體" w:eastAsia="標楷體" w:hAnsi="標楷體" w:hint="eastAsia"/>
          <w:snapToGrid w:val="0"/>
          <w:color w:val="000000"/>
          <w:sz w:val="32"/>
          <w:szCs w:val="32"/>
        </w:rPr>
        <w:t>原子能委員會</w:t>
      </w:r>
      <w:r>
        <w:rPr>
          <w:rFonts w:ascii="標楷體" w:eastAsia="標楷體" w:hAnsi="標楷體" w:hint="eastAsia"/>
          <w:snapToGrid w:val="0"/>
          <w:color w:val="000000"/>
          <w:sz w:val="32"/>
          <w:szCs w:val="32"/>
        </w:rPr>
        <w:t>於</w:t>
      </w:r>
      <w:r w:rsidRPr="00E77B68">
        <w:rPr>
          <w:rFonts w:ascii="標楷體" w:eastAsia="標楷體" w:hAnsi="標楷體" w:hint="eastAsia"/>
          <w:snapToGrid w:val="0"/>
          <w:color w:val="000000"/>
          <w:sz w:val="32"/>
          <w:szCs w:val="32"/>
        </w:rPr>
        <w:t>3個月內向立法院教育及文化委員會提出書面報告。</w:t>
      </w:r>
      <w:r>
        <w:rPr>
          <w:rFonts w:ascii="標楷體" w:eastAsia="標楷體" w:hAnsi="標楷體"/>
          <w:snapToGrid w:val="0"/>
          <w:color w:val="000000"/>
          <w:sz w:val="32"/>
          <w:szCs w:val="32"/>
        </w:rPr>
        <w:t>80</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提案人：黃國書</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連署人：林奕華  陳秀寳</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九</w:t>
      </w:r>
      <w:r w:rsidRPr="00FB7CC2">
        <w:rPr>
          <w:rFonts w:ascii="標楷體" w:eastAsia="標楷體" w:hAnsi="標楷體"/>
          <w:snapToGrid w:val="0"/>
          <w:color w:val="000000"/>
          <w:sz w:val="32"/>
          <w:szCs w:val="32"/>
        </w:rPr>
        <w:t>)</w:t>
      </w:r>
      <w:r w:rsidRPr="007F69F9">
        <w:rPr>
          <w:rFonts w:ascii="標楷體" w:eastAsia="標楷體" w:hAnsi="標楷體" w:hint="eastAsia"/>
          <w:snapToGrid w:val="0"/>
          <w:color w:val="000000"/>
          <w:sz w:val="32"/>
          <w:szCs w:val="32"/>
        </w:rPr>
        <w:t>由於低放</w:t>
      </w:r>
      <w:r>
        <w:rPr>
          <w:rFonts w:ascii="標楷體" w:eastAsia="標楷體" w:hAnsi="標楷體" w:hint="eastAsia"/>
          <w:snapToGrid w:val="0"/>
          <w:color w:val="000000"/>
          <w:sz w:val="32"/>
          <w:szCs w:val="32"/>
        </w:rPr>
        <w:t>射性</w:t>
      </w:r>
      <w:r w:rsidRPr="007F69F9">
        <w:rPr>
          <w:rFonts w:ascii="標楷體" w:eastAsia="標楷體" w:hAnsi="標楷體" w:hint="eastAsia"/>
          <w:snapToGrid w:val="0"/>
          <w:color w:val="000000"/>
          <w:sz w:val="32"/>
          <w:szCs w:val="32"/>
        </w:rPr>
        <w:t>廢棄物最終處置設施場址長期無法選定，於是</w:t>
      </w:r>
      <w:r w:rsidRPr="00A723FD">
        <w:rPr>
          <w:rFonts w:ascii="標楷體" w:eastAsia="標楷體" w:hAnsi="標楷體" w:hint="eastAsia"/>
          <w:snapToGrid w:val="0"/>
          <w:color w:val="000000"/>
          <w:sz w:val="32"/>
          <w:szCs w:val="32"/>
        </w:rPr>
        <w:t>台</w:t>
      </w:r>
      <w:r>
        <w:rPr>
          <w:rFonts w:ascii="標楷體" w:eastAsia="標楷體" w:hAnsi="標楷體" w:hint="eastAsia"/>
          <w:snapToGrid w:val="0"/>
          <w:color w:val="000000"/>
          <w:sz w:val="32"/>
          <w:szCs w:val="32"/>
        </w:rPr>
        <w:t>灣</w:t>
      </w:r>
      <w:r w:rsidRPr="00A723FD">
        <w:rPr>
          <w:rFonts w:ascii="標楷體" w:eastAsia="標楷體" w:hAnsi="標楷體" w:hint="eastAsia"/>
          <w:snapToGrid w:val="0"/>
          <w:color w:val="000000"/>
          <w:sz w:val="32"/>
          <w:szCs w:val="32"/>
        </w:rPr>
        <w:t>電</w:t>
      </w:r>
      <w:r>
        <w:rPr>
          <w:rFonts w:ascii="標楷體" w:eastAsia="標楷體" w:hAnsi="標楷體" w:hint="eastAsia"/>
          <w:snapToGrid w:val="0"/>
          <w:color w:val="000000"/>
          <w:sz w:val="32"/>
          <w:szCs w:val="32"/>
        </w:rPr>
        <w:t>力股份有限公司</w:t>
      </w:r>
      <w:r w:rsidRPr="007F69F9">
        <w:rPr>
          <w:rFonts w:ascii="標楷體" w:eastAsia="標楷體" w:hAnsi="標楷體" w:hint="eastAsia"/>
          <w:snapToGrid w:val="0"/>
          <w:color w:val="000000"/>
          <w:sz w:val="32"/>
          <w:szCs w:val="32"/>
        </w:rPr>
        <w:t>規劃興建集中式貯存設施作為最終處置前之過渡措施，然迄至110年底無論係對最終處置場址之選定抑或集中式貯存應變方案之執行，</w:t>
      </w:r>
      <w:r w:rsidRPr="00A723FD">
        <w:rPr>
          <w:rFonts w:ascii="標楷體" w:eastAsia="標楷體" w:hAnsi="標楷體" w:hint="eastAsia"/>
          <w:snapToGrid w:val="0"/>
          <w:color w:val="000000"/>
          <w:sz w:val="32"/>
          <w:szCs w:val="32"/>
        </w:rPr>
        <w:t>台</w:t>
      </w:r>
      <w:r>
        <w:rPr>
          <w:rFonts w:ascii="標楷體" w:eastAsia="標楷體" w:hAnsi="標楷體" w:hint="eastAsia"/>
          <w:snapToGrid w:val="0"/>
          <w:color w:val="000000"/>
          <w:sz w:val="32"/>
          <w:szCs w:val="32"/>
        </w:rPr>
        <w:t>灣</w:t>
      </w:r>
      <w:r w:rsidRPr="00A723FD">
        <w:rPr>
          <w:rFonts w:ascii="標楷體" w:eastAsia="標楷體" w:hAnsi="標楷體" w:hint="eastAsia"/>
          <w:snapToGrid w:val="0"/>
          <w:color w:val="000000"/>
          <w:sz w:val="32"/>
          <w:szCs w:val="32"/>
        </w:rPr>
        <w:t>電</w:t>
      </w:r>
      <w:r>
        <w:rPr>
          <w:rFonts w:ascii="標楷體" w:eastAsia="標楷體" w:hAnsi="標楷體" w:hint="eastAsia"/>
          <w:snapToGrid w:val="0"/>
          <w:color w:val="000000"/>
          <w:sz w:val="32"/>
          <w:szCs w:val="32"/>
        </w:rPr>
        <w:t>力股份有限公司</w:t>
      </w:r>
      <w:r w:rsidRPr="007F69F9">
        <w:rPr>
          <w:rFonts w:ascii="標楷體" w:eastAsia="標楷體" w:hAnsi="標楷體" w:hint="eastAsia"/>
          <w:snapToGrid w:val="0"/>
          <w:color w:val="000000"/>
          <w:sz w:val="32"/>
          <w:szCs w:val="32"/>
        </w:rPr>
        <w:t>均無實質進展</w:t>
      </w:r>
      <w:r>
        <w:rPr>
          <w:rFonts w:ascii="標楷體" w:eastAsia="標楷體" w:hAnsi="標楷體" w:hint="eastAsia"/>
          <w:snapToGrid w:val="0"/>
          <w:color w:val="000000"/>
          <w:sz w:val="32"/>
          <w:szCs w:val="32"/>
        </w:rPr>
        <w:t>。</w:t>
      </w:r>
      <w:r w:rsidRPr="007F69F9">
        <w:rPr>
          <w:rFonts w:ascii="標楷體" w:eastAsia="標楷體" w:hAnsi="標楷體" w:hint="eastAsia"/>
          <w:snapToGrid w:val="0"/>
          <w:color w:val="000000"/>
          <w:sz w:val="32"/>
          <w:szCs w:val="32"/>
        </w:rPr>
        <w:t>然預算並未詳細說明執行狀況計畫成果與效益，難以審認預算成效。爰要求</w:t>
      </w:r>
      <w:r>
        <w:rPr>
          <w:rFonts w:ascii="標楷體" w:eastAsia="標楷體" w:hAnsi="標楷體" w:hint="eastAsia"/>
          <w:snapToGrid w:val="0"/>
          <w:color w:val="000000"/>
          <w:sz w:val="32"/>
          <w:szCs w:val="32"/>
        </w:rPr>
        <w:t>行政院</w:t>
      </w:r>
      <w:r w:rsidRPr="007F69F9">
        <w:rPr>
          <w:rFonts w:ascii="標楷體" w:eastAsia="標楷體" w:hAnsi="標楷體" w:hint="eastAsia"/>
          <w:snapToGrid w:val="0"/>
          <w:color w:val="000000"/>
          <w:sz w:val="32"/>
          <w:szCs w:val="32"/>
        </w:rPr>
        <w:t>原子能委員會</w:t>
      </w:r>
      <w:r>
        <w:rPr>
          <w:rFonts w:ascii="標楷體" w:eastAsia="標楷體" w:hAnsi="標楷體" w:hint="eastAsia"/>
          <w:snapToGrid w:val="0"/>
          <w:color w:val="000000"/>
          <w:sz w:val="32"/>
          <w:szCs w:val="32"/>
        </w:rPr>
        <w:t>於</w:t>
      </w:r>
      <w:r w:rsidRPr="007F69F9">
        <w:rPr>
          <w:rFonts w:ascii="標楷體" w:eastAsia="標楷體" w:hAnsi="標楷體" w:hint="eastAsia"/>
          <w:snapToGrid w:val="0"/>
          <w:color w:val="000000"/>
          <w:sz w:val="32"/>
          <w:szCs w:val="32"/>
        </w:rPr>
        <w:t>3</w:t>
      </w:r>
      <w:r w:rsidRPr="007F69F9">
        <w:rPr>
          <w:rFonts w:ascii="標楷體" w:eastAsia="標楷體" w:hAnsi="標楷體" w:hint="eastAsia"/>
          <w:snapToGrid w:val="0"/>
          <w:color w:val="000000"/>
          <w:sz w:val="32"/>
          <w:szCs w:val="32"/>
        </w:rPr>
        <w:lastRenderedPageBreak/>
        <w:t>個月內向立法院教育及文化委員會提出書面報告。</w:t>
      </w:r>
      <w:r>
        <w:rPr>
          <w:rFonts w:ascii="標楷體" w:eastAsia="標楷體" w:hAnsi="標楷體"/>
          <w:snapToGrid w:val="0"/>
          <w:color w:val="000000"/>
          <w:sz w:val="32"/>
          <w:szCs w:val="32"/>
        </w:rPr>
        <w:t>82</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提案人：鄭正鈐</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連署人：吳思瑤  黃國書</w:t>
      </w:r>
    </w:p>
    <w:p w:rsidR="00A52DD2" w:rsidRPr="00251FB7" w:rsidRDefault="00A52DD2" w:rsidP="00F035E0">
      <w:pPr>
        <w:snapToGrid w:val="0"/>
        <w:spacing w:before="120" w:line="460" w:lineRule="exact"/>
        <w:ind w:leftChars="100" w:left="1558" w:hangingChars="412" w:hanging="1318"/>
        <w:rPr>
          <w:rFonts w:ascii="標楷體" w:eastAsia="標楷體" w:hAnsi="標楷體"/>
          <w:sz w:val="32"/>
          <w:szCs w:val="32"/>
        </w:rPr>
      </w:pPr>
      <w:r w:rsidRPr="00251FB7">
        <w:rPr>
          <w:rFonts w:ascii="標楷體" w:eastAsia="標楷體" w:hAnsi="標楷體"/>
          <w:sz w:val="32"/>
          <w:szCs w:val="32"/>
        </w:rPr>
        <w:t xml:space="preserve">第4項　</w:t>
      </w:r>
      <w:r w:rsidRPr="00251FB7">
        <w:rPr>
          <w:rFonts w:ascii="標楷體" w:eastAsia="標楷體" w:hAnsi="標楷體" w:hint="eastAsia"/>
          <w:sz w:val="32"/>
          <w:szCs w:val="32"/>
        </w:rPr>
        <w:t>核能研究所21億1,664萬3</w:t>
      </w:r>
      <w:r w:rsidRPr="00251FB7">
        <w:rPr>
          <w:rFonts w:ascii="標楷體" w:eastAsia="標楷體" w:hAnsi="標楷體" w:hint="eastAsia"/>
          <w:sz w:val="32"/>
          <w:szCs w:val="40"/>
        </w:rPr>
        <w:t>千</w:t>
      </w:r>
      <w:r w:rsidRPr="00251FB7">
        <w:rPr>
          <w:rFonts w:ascii="標楷體" w:eastAsia="標楷體" w:hAnsi="標楷體" w:hint="eastAsia"/>
          <w:sz w:val="32"/>
          <w:szCs w:val="32"/>
        </w:rPr>
        <w:t>元，照列</w:t>
      </w:r>
      <w:r w:rsidRPr="00251FB7">
        <w:rPr>
          <w:rFonts w:ascii="標楷體" w:eastAsia="標楷體" w:hAnsi="標楷體"/>
          <w:sz w:val="32"/>
          <w:szCs w:val="32"/>
        </w:rPr>
        <w:t>。</w:t>
      </w:r>
    </w:p>
    <w:p w:rsidR="00A52DD2" w:rsidRPr="00FB7CC2" w:rsidRDefault="00A52DD2" w:rsidP="00F035E0">
      <w:pPr>
        <w:snapToGrid w:val="0"/>
        <w:spacing w:line="460" w:lineRule="exact"/>
        <w:ind w:leftChars="100" w:left="1558" w:hangingChars="412" w:hanging="1318"/>
        <w:rPr>
          <w:rFonts w:ascii="標楷體" w:eastAsia="標楷體" w:hAnsi="標楷體"/>
          <w:color w:val="000000"/>
          <w:sz w:val="32"/>
          <w:szCs w:val="32"/>
        </w:rPr>
      </w:pPr>
      <w:r w:rsidRPr="00FB7CC2">
        <w:rPr>
          <w:rFonts w:ascii="標楷體" w:eastAsia="標楷體" w:hAnsi="標楷體"/>
          <w:color w:val="000000"/>
          <w:sz w:val="32"/>
          <w:szCs w:val="32"/>
        </w:rPr>
        <w:t>本項通過決議</w:t>
      </w:r>
      <w:r>
        <w:rPr>
          <w:rFonts w:ascii="標楷體" w:eastAsia="標楷體" w:hAnsi="標楷體"/>
          <w:color w:val="000000"/>
          <w:sz w:val="32"/>
          <w:szCs w:val="32"/>
        </w:rPr>
        <w:t>1</w:t>
      </w:r>
      <w:r>
        <w:rPr>
          <w:rFonts w:ascii="標楷體" w:eastAsia="標楷體" w:hAnsi="標楷體" w:hint="eastAsia"/>
          <w:color w:val="000000"/>
          <w:sz w:val="32"/>
          <w:szCs w:val="32"/>
        </w:rPr>
        <w:t>4</w:t>
      </w:r>
      <w:r w:rsidRPr="00FB7CC2">
        <w:rPr>
          <w:rFonts w:ascii="標楷體" w:eastAsia="標楷體" w:hAnsi="標楷體"/>
          <w:color w:val="000000"/>
          <w:sz w:val="32"/>
          <w:szCs w:val="32"/>
        </w:rPr>
        <w:t>項：</w:t>
      </w:r>
    </w:p>
    <w:p w:rsidR="00A52DD2" w:rsidRPr="00FB7CC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snapToGrid w:val="0"/>
          <w:color w:val="000000"/>
          <w:sz w:val="32"/>
          <w:szCs w:val="32"/>
        </w:rPr>
        <w:t>(</w:t>
      </w:r>
      <w:r w:rsidRPr="00FB7CC2">
        <w:rPr>
          <w:rFonts w:ascii="標楷體" w:eastAsia="標楷體" w:hAnsi="標楷體" w:hint="eastAsia"/>
          <w:snapToGrid w:val="0"/>
          <w:color w:val="000000"/>
          <w:sz w:val="32"/>
          <w:szCs w:val="32"/>
        </w:rPr>
        <w:t>一</w:t>
      </w:r>
      <w:r w:rsidRPr="00FB7CC2">
        <w:rPr>
          <w:rFonts w:ascii="標楷體" w:eastAsia="標楷體" w:hAnsi="標楷體"/>
          <w:snapToGrid w:val="0"/>
          <w:color w:val="000000"/>
          <w:sz w:val="32"/>
          <w:szCs w:val="32"/>
        </w:rPr>
        <w:t>)</w:t>
      </w:r>
      <w:r w:rsidRPr="00FB7CC2">
        <w:rPr>
          <w:rFonts w:ascii="標楷體" w:eastAsia="標楷體" w:hAnsi="標楷體" w:hint="eastAsia"/>
          <w:snapToGrid w:val="0"/>
          <w:color w:val="000000"/>
          <w:sz w:val="32"/>
          <w:szCs w:val="32"/>
        </w:rPr>
        <w:t>112年度行政院原子能委員會核能研究所預算編列</w:t>
      </w:r>
      <w:r>
        <w:rPr>
          <w:rFonts w:ascii="標楷體" w:eastAsia="標楷體" w:hAnsi="標楷體" w:hint="eastAsia"/>
          <w:snapToGrid w:val="0"/>
          <w:color w:val="000000"/>
          <w:sz w:val="32"/>
          <w:szCs w:val="32"/>
        </w:rPr>
        <w:t>21</w:t>
      </w:r>
      <w:r w:rsidRPr="00FB7CC2">
        <w:rPr>
          <w:rFonts w:ascii="標楷體" w:eastAsia="標楷體" w:hAnsi="標楷體" w:hint="eastAsia"/>
          <w:color w:val="000000"/>
          <w:sz w:val="32"/>
          <w:szCs w:val="32"/>
        </w:rPr>
        <w:t>億</w:t>
      </w:r>
      <w:r>
        <w:rPr>
          <w:rFonts w:ascii="標楷體" w:eastAsia="標楷體" w:hAnsi="標楷體"/>
          <w:color w:val="000000"/>
          <w:sz w:val="32"/>
          <w:szCs w:val="32"/>
        </w:rPr>
        <w:t>1</w:t>
      </w:r>
      <w:r w:rsidRPr="00FB7CC2">
        <w:rPr>
          <w:rFonts w:ascii="標楷體" w:eastAsia="標楷體" w:hAnsi="標楷體" w:hint="eastAsia"/>
          <w:color w:val="000000"/>
          <w:sz w:val="32"/>
          <w:szCs w:val="32"/>
        </w:rPr>
        <w:t>,</w:t>
      </w:r>
      <w:r>
        <w:rPr>
          <w:rFonts w:ascii="標楷體" w:eastAsia="標楷體" w:hAnsi="標楷體"/>
          <w:color w:val="000000"/>
          <w:sz w:val="32"/>
          <w:szCs w:val="32"/>
        </w:rPr>
        <w:t>664</w:t>
      </w:r>
      <w:r w:rsidRPr="00FB7CC2">
        <w:rPr>
          <w:rFonts w:ascii="標楷體" w:eastAsia="標楷體" w:hAnsi="標楷體" w:hint="eastAsia"/>
          <w:color w:val="000000"/>
          <w:sz w:val="32"/>
          <w:szCs w:val="32"/>
        </w:rPr>
        <w:t>萬</w:t>
      </w:r>
      <w:r>
        <w:rPr>
          <w:rFonts w:ascii="標楷體" w:eastAsia="標楷體" w:hAnsi="標楷體"/>
          <w:color w:val="000000"/>
          <w:sz w:val="32"/>
          <w:szCs w:val="32"/>
        </w:rPr>
        <w:t>3</w:t>
      </w:r>
      <w:r w:rsidRPr="00FB7CC2">
        <w:rPr>
          <w:rFonts w:ascii="標楷體" w:eastAsia="標楷體" w:hAnsi="標楷體" w:hint="eastAsia"/>
          <w:color w:val="000000"/>
          <w:sz w:val="32"/>
          <w:szCs w:val="40"/>
        </w:rPr>
        <w:t>千</w:t>
      </w:r>
      <w:r w:rsidRPr="00FB7CC2">
        <w:rPr>
          <w:rFonts w:ascii="標楷體" w:eastAsia="標楷體" w:hAnsi="標楷體" w:hint="eastAsia"/>
          <w:color w:val="000000"/>
          <w:sz w:val="32"/>
          <w:szCs w:val="32"/>
        </w:rPr>
        <w:t>元</w:t>
      </w:r>
      <w:r w:rsidRPr="00FB7CC2">
        <w:rPr>
          <w:rFonts w:ascii="標楷體" w:eastAsia="標楷體" w:hAnsi="標楷體" w:hint="eastAsia"/>
          <w:snapToGrid w:val="0"/>
          <w:color w:val="000000"/>
          <w:sz w:val="32"/>
          <w:szCs w:val="32"/>
        </w:rPr>
        <w:t>，凍結</w:t>
      </w:r>
      <w:r>
        <w:rPr>
          <w:rFonts w:ascii="標楷體" w:eastAsia="標楷體" w:hAnsi="標楷體"/>
          <w:snapToGrid w:val="0"/>
          <w:color w:val="000000"/>
          <w:sz w:val="32"/>
          <w:szCs w:val="32"/>
        </w:rPr>
        <w:t>2</w:t>
      </w:r>
      <w:r>
        <w:rPr>
          <w:rFonts w:ascii="標楷體" w:eastAsia="標楷體" w:hAnsi="標楷體" w:hint="eastAsia"/>
          <w:snapToGrid w:val="0"/>
          <w:color w:val="000000"/>
          <w:sz w:val="32"/>
          <w:szCs w:val="32"/>
        </w:rPr>
        <w:t>,</w:t>
      </w:r>
      <w:r>
        <w:rPr>
          <w:rFonts w:ascii="標楷體" w:eastAsia="標楷體" w:hAnsi="標楷體"/>
          <w:snapToGrid w:val="0"/>
          <w:color w:val="000000"/>
          <w:sz w:val="32"/>
          <w:szCs w:val="32"/>
        </w:rPr>
        <w:t>000</w:t>
      </w:r>
      <w:r w:rsidRPr="00FB7CC2">
        <w:rPr>
          <w:rFonts w:ascii="標楷體" w:eastAsia="標楷體" w:hAnsi="標楷體" w:hint="eastAsia"/>
          <w:snapToGrid w:val="0"/>
          <w:color w:val="000000"/>
          <w:sz w:val="32"/>
          <w:szCs w:val="32"/>
        </w:rPr>
        <w:t>萬元，俟行政院原子能委員會向立法院教育及文化委員會提出書面報告後，始得動支。</w:t>
      </w:r>
      <w:r>
        <w:rPr>
          <w:rFonts w:ascii="標楷體" w:eastAsia="標楷體" w:hAnsi="標楷體" w:hint="eastAsia"/>
          <w:snapToGrid w:val="0"/>
          <w:color w:val="000000"/>
          <w:sz w:val="32"/>
          <w:szCs w:val="32"/>
        </w:rPr>
        <w:t>8</w:t>
      </w:r>
      <w:r>
        <w:rPr>
          <w:rFonts w:ascii="標楷體" w:eastAsia="標楷體" w:hAnsi="標楷體"/>
          <w:snapToGrid w:val="0"/>
          <w:color w:val="000000"/>
          <w:sz w:val="32"/>
          <w:szCs w:val="32"/>
        </w:rPr>
        <w:t>3-110</w:t>
      </w:r>
    </w:p>
    <w:p w:rsidR="00A52DD2" w:rsidRDefault="00A52DD2" w:rsidP="00F035E0">
      <w:pPr>
        <w:snapToGrid w:val="0"/>
        <w:spacing w:line="460" w:lineRule="exact"/>
        <w:ind w:leftChars="1250" w:left="4280" w:hangingChars="400" w:hanging="1280"/>
        <w:jc w:val="both"/>
        <w:rPr>
          <w:rFonts w:ascii="標楷體" w:eastAsia="標楷體" w:hAnsi="標楷體"/>
          <w:color w:val="000000"/>
          <w:sz w:val="32"/>
          <w:szCs w:val="32"/>
        </w:rPr>
      </w:pPr>
      <w:r w:rsidRPr="00FB7CC2">
        <w:rPr>
          <w:rFonts w:ascii="標楷體" w:eastAsia="標楷體" w:hAnsi="標楷體" w:hint="eastAsia"/>
          <w:color w:val="000000"/>
          <w:sz w:val="32"/>
          <w:szCs w:val="32"/>
        </w:rPr>
        <w:t>提案人：</w:t>
      </w:r>
      <w:r>
        <w:rPr>
          <w:rFonts w:ascii="標楷體" w:eastAsia="標楷體" w:hAnsi="標楷體" w:hint="eastAsia"/>
          <w:color w:val="000000"/>
          <w:sz w:val="32"/>
          <w:szCs w:val="32"/>
        </w:rPr>
        <w:t>萬美玲  范  雲  陳秀寳 張廖萬堅</w:t>
      </w:r>
    </w:p>
    <w:p w:rsidR="00A52DD2" w:rsidRDefault="00A52DD2" w:rsidP="00F035E0">
      <w:pPr>
        <w:snapToGrid w:val="0"/>
        <w:spacing w:line="460" w:lineRule="exact"/>
        <w:ind w:leftChars="1250" w:left="4280" w:hangingChars="400" w:hanging="1280"/>
        <w:jc w:val="both"/>
        <w:rPr>
          <w:rFonts w:ascii="標楷體" w:eastAsia="標楷體" w:hAnsi="標楷體"/>
          <w:color w:val="000000"/>
          <w:sz w:val="32"/>
          <w:szCs w:val="32"/>
        </w:rPr>
      </w:pPr>
      <w:r>
        <w:rPr>
          <w:rFonts w:ascii="標楷體" w:eastAsia="標楷體" w:hAnsi="標楷體" w:hint="eastAsia"/>
          <w:color w:val="000000"/>
          <w:sz w:val="32"/>
          <w:szCs w:val="32"/>
        </w:rPr>
        <w:t xml:space="preserve">        鄭正鈐  林宜瑾  吳思瑤  吳怡玎</w:t>
      </w:r>
    </w:p>
    <w:p w:rsidR="00A52DD2" w:rsidRPr="00FB7CC2" w:rsidRDefault="00A52DD2" w:rsidP="00F035E0">
      <w:pPr>
        <w:snapToGrid w:val="0"/>
        <w:spacing w:line="460" w:lineRule="exact"/>
        <w:ind w:leftChars="1250" w:left="4280" w:hangingChars="400" w:hanging="1280"/>
        <w:jc w:val="both"/>
        <w:rPr>
          <w:rFonts w:ascii="標楷體" w:eastAsia="標楷體" w:hAnsi="標楷體"/>
          <w:color w:val="000000"/>
          <w:sz w:val="32"/>
          <w:szCs w:val="32"/>
        </w:rPr>
      </w:pPr>
      <w:r>
        <w:rPr>
          <w:rFonts w:ascii="標楷體" w:eastAsia="標楷體" w:hAnsi="標楷體" w:hint="eastAsia"/>
          <w:color w:val="000000"/>
          <w:sz w:val="32"/>
          <w:szCs w:val="32"/>
        </w:rPr>
        <w:t xml:space="preserve">        林奕華  黃國書  何欣純  王婉諭</w:t>
      </w:r>
    </w:p>
    <w:p w:rsidR="00A52DD2" w:rsidRPr="002F41A1"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napToGrid w:val="0"/>
          <w:color w:val="000000"/>
          <w:sz w:val="32"/>
          <w:szCs w:val="32"/>
        </w:rPr>
        <w:t>(二)</w:t>
      </w:r>
      <w:r w:rsidRPr="002F41A1">
        <w:rPr>
          <w:rFonts w:ascii="標楷體" w:eastAsia="標楷體" w:hAnsi="標楷體" w:hint="eastAsia"/>
          <w:sz w:val="32"/>
          <w:szCs w:val="32"/>
        </w:rPr>
        <w:t>行政院原子能委員會核能研究所從事生醫與醫材領域研究多年，近年來陸續有核醫藥物進入臨床商用，穩定供應國內心臟腫瘤、甲狀腺、神經、精神</w:t>
      </w:r>
      <w:r>
        <w:rPr>
          <w:rFonts w:ascii="標楷體" w:eastAsia="標楷體" w:hAnsi="標楷體" w:hint="eastAsia"/>
          <w:sz w:val="32"/>
          <w:szCs w:val="32"/>
        </w:rPr>
        <w:t>或</w:t>
      </w:r>
      <w:r w:rsidRPr="002F41A1">
        <w:rPr>
          <w:rFonts w:ascii="標楷體" w:eastAsia="標楷體" w:hAnsi="標楷體" w:hint="eastAsia"/>
          <w:sz w:val="32"/>
          <w:szCs w:val="32"/>
        </w:rPr>
        <w:t>腦血管等疾病核醫藥物。再加上3D等先進技術，使得非侵入式的影像偵檢技術，其應用上更能協助醫護人員清楚病灶的立體結構，進一步協助顯微手術、精準治療的進行，故輻射應用在影像醫學診斷治療領域上，已是不可或缺的科技。同時，核研所刻正進行農作物改良、病蟲害防治、疾病疫苗研發等應用，核研所建立生技醫藥產業發展鏈，擁有國內唯一輻射類高階影像系統開發及臨床試驗，也是具備產業輔導、技術移轉能力的研發機構。更因核研所長年開發核醫藥物與醫材與技術，具有進口取代的實際效益，並能授權、技轉業界，合作創新市場發展，基於國家研究成果，應為國人共享</w:t>
      </w:r>
      <w:r>
        <w:rPr>
          <w:rFonts w:ascii="標楷體" w:eastAsia="標楷體" w:hAnsi="標楷體" w:hint="eastAsia"/>
          <w:sz w:val="32"/>
          <w:szCs w:val="32"/>
        </w:rPr>
        <w:t>。</w:t>
      </w:r>
      <w:r w:rsidRPr="002F41A1">
        <w:rPr>
          <w:rFonts w:ascii="標楷體" w:eastAsia="標楷體" w:hAnsi="標楷體" w:hint="eastAsia"/>
          <w:sz w:val="32"/>
          <w:szCs w:val="32"/>
        </w:rPr>
        <w:t>爰請行政院原子能委員會核能研究所來對於平穩進口核醫藥物價格，並於需要時能夠以平價獲得相關技術與服務，以降低民眾負擔等2個面向考量，作為未來施政或與民間合作洽談的目標方針。111</w:t>
      </w:r>
    </w:p>
    <w:p w:rsidR="00A52DD2" w:rsidRPr="002F41A1" w:rsidRDefault="00A52DD2" w:rsidP="00F035E0">
      <w:pPr>
        <w:overflowPunct w:val="0"/>
        <w:spacing w:line="500" w:lineRule="exact"/>
        <w:ind w:leftChars="1250" w:left="3000"/>
        <w:jc w:val="both"/>
        <w:rPr>
          <w:rFonts w:ascii="標楷體" w:eastAsia="標楷體" w:hAnsi="標楷體"/>
          <w:sz w:val="32"/>
          <w:szCs w:val="32"/>
        </w:rPr>
      </w:pPr>
      <w:r w:rsidRPr="002F41A1">
        <w:rPr>
          <w:rFonts w:ascii="標楷體" w:eastAsia="標楷體" w:hAnsi="標楷體" w:hint="eastAsia"/>
          <w:sz w:val="32"/>
          <w:szCs w:val="32"/>
        </w:rPr>
        <w:lastRenderedPageBreak/>
        <w:t>提案人：何欣純</w:t>
      </w:r>
    </w:p>
    <w:p w:rsidR="00A52DD2" w:rsidRPr="002F41A1" w:rsidRDefault="00A52DD2" w:rsidP="00F035E0">
      <w:pPr>
        <w:overflowPunct w:val="0"/>
        <w:spacing w:line="500" w:lineRule="exact"/>
        <w:ind w:leftChars="1250" w:left="3000"/>
        <w:jc w:val="both"/>
        <w:rPr>
          <w:rFonts w:ascii="標楷體" w:eastAsia="標楷體" w:hAnsi="標楷體"/>
          <w:sz w:val="32"/>
          <w:szCs w:val="32"/>
        </w:rPr>
      </w:pPr>
      <w:r w:rsidRPr="002F41A1">
        <w:rPr>
          <w:rFonts w:ascii="標楷體" w:eastAsia="標楷體" w:hAnsi="標楷體" w:hint="eastAsia"/>
          <w:sz w:val="32"/>
          <w:szCs w:val="32"/>
        </w:rPr>
        <w:t>連署人：陳秀寳  張廖萬堅</w:t>
      </w:r>
    </w:p>
    <w:p w:rsidR="00A52DD2" w:rsidRPr="002F41A1" w:rsidRDefault="00A52DD2" w:rsidP="00F035E0">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w:t>
      </w:r>
      <w:r w:rsidRPr="002F41A1">
        <w:rPr>
          <w:rFonts w:ascii="標楷體" w:eastAsia="標楷體" w:hAnsi="標楷體" w:hint="eastAsia"/>
          <w:sz w:val="32"/>
          <w:szCs w:val="32"/>
        </w:rPr>
        <w:t>鑑於行政院原子能委員會核能研究所為國內首屈一指的核能、能源研究機構，每年皆產出超過1</w:t>
      </w:r>
      <w:r w:rsidRPr="002F41A1">
        <w:rPr>
          <w:rFonts w:ascii="標楷體" w:eastAsia="標楷體" w:hAnsi="標楷體"/>
          <w:sz w:val="32"/>
          <w:szCs w:val="32"/>
        </w:rPr>
        <w:t>,</w:t>
      </w:r>
      <w:r w:rsidRPr="002F41A1">
        <w:rPr>
          <w:rFonts w:ascii="標楷體" w:eastAsia="標楷體" w:hAnsi="標楷體" w:hint="eastAsia"/>
          <w:sz w:val="32"/>
          <w:szCs w:val="32"/>
        </w:rPr>
        <w:t>000篇的相關論文、研究報告，但現行論文審查制度係採人工審查，易有疏漏或不夠周延</w:t>
      </w:r>
      <w:r>
        <w:rPr>
          <w:rFonts w:ascii="標楷體" w:eastAsia="標楷體" w:hAnsi="標楷體" w:hint="eastAsia"/>
          <w:sz w:val="32"/>
          <w:szCs w:val="32"/>
        </w:rPr>
        <w:t>。</w:t>
      </w:r>
      <w:r w:rsidRPr="002F41A1">
        <w:rPr>
          <w:rFonts w:ascii="標楷體" w:eastAsia="標楷體" w:hAnsi="標楷體" w:hint="eastAsia"/>
          <w:sz w:val="32"/>
          <w:szCs w:val="32"/>
        </w:rPr>
        <w:t>為求謹慎，爰請行政院原子能委員會核能研究所建立完善之論文審核規則及制度，以維護行政院原子能委員會核能研究所論文產出之品質及學術倫理。112</w:t>
      </w:r>
    </w:p>
    <w:p w:rsidR="00A52DD2" w:rsidRPr="002F41A1" w:rsidRDefault="00A52DD2" w:rsidP="00F035E0">
      <w:pPr>
        <w:overflowPunct w:val="0"/>
        <w:spacing w:line="500" w:lineRule="exact"/>
        <w:ind w:leftChars="1250" w:left="3000"/>
        <w:jc w:val="both"/>
        <w:rPr>
          <w:rFonts w:ascii="標楷體" w:eastAsia="標楷體" w:hAnsi="標楷體"/>
          <w:sz w:val="32"/>
          <w:szCs w:val="32"/>
        </w:rPr>
      </w:pPr>
      <w:r w:rsidRPr="002F41A1">
        <w:rPr>
          <w:rFonts w:ascii="標楷體" w:eastAsia="標楷體" w:hAnsi="標楷體" w:hint="eastAsia"/>
          <w:sz w:val="32"/>
          <w:szCs w:val="32"/>
        </w:rPr>
        <w:t>提案人：張廖萬堅</w:t>
      </w:r>
    </w:p>
    <w:p w:rsidR="00A52DD2" w:rsidRDefault="00A52DD2" w:rsidP="00F035E0">
      <w:pPr>
        <w:overflowPunct w:val="0"/>
        <w:spacing w:line="500" w:lineRule="exact"/>
        <w:ind w:leftChars="1250" w:left="3000"/>
        <w:jc w:val="both"/>
        <w:rPr>
          <w:rFonts w:ascii="標楷體" w:eastAsia="標楷體" w:hAnsi="標楷體"/>
          <w:snapToGrid w:val="0"/>
          <w:color w:val="000000"/>
          <w:sz w:val="32"/>
          <w:szCs w:val="32"/>
        </w:rPr>
      </w:pPr>
      <w:r w:rsidRPr="002F41A1">
        <w:rPr>
          <w:rFonts w:ascii="標楷體" w:eastAsia="標楷體" w:hAnsi="標楷體" w:hint="eastAsia"/>
          <w:sz w:val="32"/>
          <w:szCs w:val="32"/>
        </w:rPr>
        <w:t>連署人：黃國書  陳秀寳</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(四)</w:t>
      </w:r>
      <w:r w:rsidRPr="002F41A1">
        <w:rPr>
          <w:rFonts w:ascii="標楷體" w:eastAsia="標楷體" w:hAnsi="標楷體" w:hint="eastAsia"/>
          <w:sz w:val="32"/>
          <w:szCs w:val="32"/>
        </w:rPr>
        <w:t>行政院原子能委員會核能研究所</w:t>
      </w:r>
      <w:r w:rsidRPr="007F69F9">
        <w:rPr>
          <w:rFonts w:ascii="標楷體" w:eastAsia="標楷體" w:hAnsi="標楷體" w:hint="eastAsia"/>
          <w:snapToGrid w:val="0"/>
          <w:color w:val="000000"/>
          <w:sz w:val="32"/>
          <w:szCs w:val="32"/>
        </w:rPr>
        <w:t>為我國研究核能科技重要學術單位。2022年11月經媒體報導</w:t>
      </w:r>
      <w:r w:rsidRPr="002F41A1">
        <w:rPr>
          <w:rFonts w:ascii="標楷體" w:eastAsia="標楷體" w:hAnsi="標楷體" w:hint="eastAsia"/>
          <w:sz w:val="32"/>
          <w:szCs w:val="32"/>
        </w:rPr>
        <w:t>行政院原子能委員會</w:t>
      </w:r>
      <w:r w:rsidRPr="007F69F9">
        <w:rPr>
          <w:rFonts w:ascii="標楷體" w:eastAsia="標楷體" w:hAnsi="標楷體" w:hint="eastAsia"/>
          <w:snapToGrid w:val="0"/>
          <w:color w:val="000000"/>
          <w:sz w:val="32"/>
          <w:szCs w:val="32"/>
        </w:rPr>
        <w:t>多位主管未符合規範，使用過往早期論文重製、更名、或論文分拆方式等，於核研所中提審並晉升職等。經查</w:t>
      </w:r>
      <w:r>
        <w:rPr>
          <w:rFonts w:ascii="標楷體" w:eastAsia="標楷體" w:hAnsi="標楷體" w:hint="eastAsia"/>
          <w:snapToGrid w:val="0"/>
          <w:color w:val="000000"/>
          <w:sz w:val="32"/>
          <w:szCs w:val="32"/>
        </w:rPr>
        <w:t>「</w:t>
      </w:r>
      <w:r w:rsidRPr="007F69F9">
        <w:rPr>
          <w:rFonts w:ascii="標楷體" w:eastAsia="標楷體" w:hAnsi="標楷體" w:hint="eastAsia"/>
          <w:snapToGrid w:val="0"/>
          <w:color w:val="000000"/>
          <w:sz w:val="32"/>
          <w:szCs w:val="32"/>
        </w:rPr>
        <w:t>行政院原子能委員會核能研究所論著撰寫與申請作業要點</w:t>
      </w:r>
      <w:r>
        <w:rPr>
          <w:rFonts w:ascii="標楷體" w:eastAsia="標楷體" w:hAnsi="標楷體" w:hint="eastAsia"/>
          <w:snapToGrid w:val="0"/>
          <w:color w:val="000000"/>
          <w:sz w:val="32"/>
          <w:szCs w:val="32"/>
        </w:rPr>
        <w:t>」</w:t>
      </w:r>
      <w:r w:rsidRPr="007F69F9">
        <w:rPr>
          <w:rFonts w:ascii="標楷體" w:eastAsia="標楷體" w:hAnsi="標楷體" w:hint="eastAsia"/>
          <w:snapToGrid w:val="0"/>
          <w:color w:val="000000"/>
          <w:sz w:val="32"/>
          <w:szCs w:val="32"/>
        </w:rPr>
        <w:t>第</w:t>
      </w:r>
      <w:r>
        <w:rPr>
          <w:rFonts w:ascii="標楷體" w:eastAsia="標楷體" w:hAnsi="標楷體" w:hint="eastAsia"/>
          <w:snapToGrid w:val="0"/>
          <w:color w:val="000000"/>
          <w:sz w:val="32"/>
          <w:szCs w:val="32"/>
        </w:rPr>
        <w:t>4</w:t>
      </w:r>
      <w:r w:rsidRPr="007F69F9">
        <w:rPr>
          <w:rFonts w:ascii="標楷體" w:eastAsia="標楷體" w:hAnsi="標楷體" w:hint="eastAsia"/>
          <w:snapToGrid w:val="0"/>
          <w:color w:val="000000"/>
          <w:sz w:val="32"/>
          <w:szCs w:val="32"/>
        </w:rPr>
        <w:t>點，已有相關規範：論著所有作者應遵循「科技部對研究人員學術倫理規範」，如有違反學術倫理之行為，依本所「學術倫理案件處理及審議要點」辦理。惟核能研究領域精細窄深，學者經常引用自身過去研究，雖未直接違反現有之相關規範，卻仍有不符學術倫理之爭議。應研議修正</w:t>
      </w:r>
      <w:r>
        <w:rPr>
          <w:rFonts w:ascii="標楷體" w:eastAsia="標楷體" w:hAnsi="標楷體" w:hint="eastAsia"/>
          <w:snapToGrid w:val="0"/>
          <w:color w:val="000000"/>
          <w:sz w:val="32"/>
          <w:szCs w:val="32"/>
        </w:rPr>
        <w:t>「</w:t>
      </w:r>
      <w:r w:rsidRPr="007F69F9">
        <w:rPr>
          <w:rFonts w:ascii="標楷體" w:eastAsia="標楷體" w:hAnsi="標楷體" w:hint="eastAsia"/>
          <w:snapToGrid w:val="0"/>
          <w:color w:val="000000"/>
          <w:sz w:val="32"/>
          <w:szCs w:val="32"/>
        </w:rPr>
        <w:t>行政院原子能委員會核能研究所論著撰寫與申請作業要點</w:t>
      </w:r>
      <w:r>
        <w:rPr>
          <w:rFonts w:ascii="標楷體" w:eastAsia="標楷體" w:hAnsi="標楷體" w:hint="eastAsia"/>
          <w:snapToGrid w:val="0"/>
          <w:color w:val="000000"/>
          <w:sz w:val="32"/>
          <w:szCs w:val="32"/>
        </w:rPr>
        <w:t>」</w:t>
      </w:r>
      <w:r w:rsidRPr="007F69F9">
        <w:rPr>
          <w:rFonts w:ascii="標楷體" w:eastAsia="標楷體" w:hAnsi="標楷體" w:hint="eastAsia"/>
          <w:snapToGrid w:val="0"/>
          <w:color w:val="000000"/>
          <w:sz w:val="32"/>
          <w:szCs w:val="32"/>
        </w:rPr>
        <w:t>或相關法規，並增列</w:t>
      </w:r>
      <w:r>
        <w:rPr>
          <w:rFonts w:ascii="標楷體" w:eastAsia="標楷體" w:hAnsi="標楷體" w:hint="eastAsia"/>
          <w:snapToGrid w:val="0"/>
          <w:color w:val="000000"/>
          <w:sz w:val="32"/>
          <w:szCs w:val="32"/>
        </w:rPr>
        <w:t>相關控管方式與論文瑕疵議處方式，方能防堵現今升等漏洞。</w:t>
      </w:r>
      <w:r w:rsidRPr="002F41A1">
        <w:rPr>
          <w:rFonts w:ascii="標楷體" w:eastAsia="標楷體" w:hAnsi="標楷體" w:hint="eastAsia"/>
          <w:sz w:val="32"/>
          <w:szCs w:val="32"/>
        </w:rPr>
        <w:t>行政院原子能委員會核能研究所</w:t>
      </w:r>
      <w:r w:rsidRPr="007F69F9">
        <w:rPr>
          <w:rFonts w:ascii="標楷體" w:eastAsia="標楷體" w:hAnsi="標楷體" w:hint="eastAsia"/>
          <w:snapToGrid w:val="0"/>
          <w:color w:val="000000"/>
          <w:sz w:val="32"/>
          <w:szCs w:val="32"/>
        </w:rPr>
        <w:t>應就上述</w:t>
      </w:r>
      <w:r>
        <w:rPr>
          <w:rFonts w:ascii="標楷體" w:eastAsia="標楷體" w:hAnsi="標楷體" w:hint="eastAsia"/>
          <w:snapToGrid w:val="0"/>
          <w:color w:val="000000"/>
          <w:sz w:val="32"/>
          <w:szCs w:val="32"/>
        </w:rPr>
        <w:t>論文爭議，研擬如修正相關要點、增設管控方式等具體改善方案，並</w:t>
      </w:r>
      <w:r w:rsidRPr="007F69F9">
        <w:rPr>
          <w:rFonts w:ascii="標楷體" w:eastAsia="標楷體" w:hAnsi="標楷體" w:hint="eastAsia"/>
          <w:snapToGrid w:val="0"/>
          <w:color w:val="000000"/>
          <w:sz w:val="32"/>
          <w:szCs w:val="32"/>
        </w:rPr>
        <w:t>於</w:t>
      </w:r>
      <w:r>
        <w:rPr>
          <w:rFonts w:ascii="標楷體" w:eastAsia="標楷體" w:hAnsi="標楷體" w:hint="eastAsia"/>
          <w:snapToGrid w:val="0"/>
          <w:color w:val="000000"/>
          <w:sz w:val="32"/>
          <w:szCs w:val="32"/>
        </w:rPr>
        <w:t>3</w:t>
      </w:r>
      <w:r w:rsidRPr="007F69F9">
        <w:rPr>
          <w:rFonts w:ascii="標楷體" w:eastAsia="標楷體" w:hAnsi="標楷體" w:hint="eastAsia"/>
          <w:snapToGrid w:val="0"/>
          <w:color w:val="000000"/>
          <w:sz w:val="32"/>
          <w:szCs w:val="32"/>
        </w:rPr>
        <w:t>個月內向立法院教育及文化委員會提出書面報告。</w:t>
      </w:r>
      <w:r>
        <w:rPr>
          <w:rFonts w:ascii="標楷體" w:eastAsia="標楷體" w:hAnsi="標楷體"/>
          <w:snapToGrid w:val="0"/>
          <w:color w:val="000000"/>
          <w:sz w:val="32"/>
          <w:szCs w:val="32"/>
        </w:rPr>
        <w:t>84</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提案人：范  雲</w:t>
      </w:r>
    </w:p>
    <w:p w:rsidR="00A52DD2" w:rsidRPr="00123E37"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連署人：吳思瑤  黃國書</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(五)112年度</w:t>
      </w:r>
      <w:r w:rsidRPr="002F41A1">
        <w:rPr>
          <w:rFonts w:ascii="標楷體" w:eastAsia="標楷體" w:hAnsi="標楷體" w:hint="eastAsia"/>
          <w:sz w:val="32"/>
          <w:szCs w:val="32"/>
        </w:rPr>
        <w:t>行政院原子能委員會核能研究所</w:t>
      </w:r>
      <w:r w:rsidRPr="007F69F9">
        <w:rPr>
          <w:rFonts w:ascii="標楷體" w:eastAsia="標楷體" w:hAnsi="標楷體" w:hint="eastAsia"/>
          <w:snapToGrid w:val="0"/>
          <w:color w:val="000000"/>
          <w:sz w:val="32"/>
          <w:szCs w:val="32"/>
        </w:rPr>
        <w:t>「計畫管理維運及</w:t>
      </w:r>
      <w:r w:rsidRPr="007F69F9">
        <w:rPr>
          <w:rFonts w:ascii="標楷體" w:eastAsia="標楷體" w:hAnsi="標楷體" w:hint="eastAsia"/>
          <w:snapToGrid w:val="0"/>
          <w:color w:val="000000"/>
          <w:sz w:val="32"/>
          <w:szCs w:val="32"/>
        </w:rPr>
        <w:lastRenderedPageBreak/>
        <w:t>成果應用」</w:t>
      </w:r>
      <w:r>
        <w:rPr>
          <w:rFonts w:ascii="標楷體" w:eastAsia="標楷體" w:hAnsi="標楷體" w:hint="eastAsia"/>
          <w:snapToGrid w:val="0"/>
          <w:color w:val="000000"/>
          <w:sz w:val="32"/>
          <w:szCs w:val="32"/>
        </w:rPr>
        <w:t>項下「能源及輻射技術推廣應用」中「</w:t>
      </w:r>
      <w:r w:rsidRPr="007F69F9">
        <w:rPr>
          <w:rFonts w:ascii="標楷體" w:eastAsia="標楷體" w:hAnsi="標楷體" w:hint="eastAsia"/>
          <w:snapToGrid w:val="0"/>
          <w:color w:val="000000"/>
          <w:sz w:val="32"/>
          <w:szCs w:val="32"/>
        </w:rPr>
        <w:t>權利使用費</w:t>
      </w:r>
      <w:r>
        <w:rPr>
          <w:rFonts w:ascii="標楷體" w:eastAsia="標楷體" w:hAnsi="標楷體" w:hint="eastAsia"/>
          <w:snapToGrid w:val="0"/>
          <w:color w:val="000000"/>
          <w:sz w:val="32"/>
          <w:szCs w:val="32"/>
        </w:rPr>
        <w:t>」預算編列</w:t>
      </w:r>
      <w:r w:rsidRPr="007F69F9">
        <w:rPr>
          <w:rFonts w:ascii="標楷體" w:eastAsia="標楷體" w:hAnsi="標楷體" w:hint="eastAsia"/>
          <w:snapToGrid w:val="0"/>
          <w:color w:val="000000"/>
          <w:sz w:val="32"/>
          <w:szCs w:val="32"/>
        </w:rPr>
        <w:t>150萬元，係專利申請審查相關費用。查核研所近5年度(106至110年度</w:t>
      </w:r>
      <w:r>
        <w:rPr>
          <w:rFonts w:ascii="標楷體" w:eastAsia="標楷體" w:hAnsi="標楷體" w:hint="eastAsia"/>
          <w:snapToGrid w:val="0"/>
          <w:color w:val="000000"/>
          <w:sz w:val="32"/>
          <w:szCs w:val="32"/>
        </w:rPr>
        <w:t>)</w:t>
      </w:r>
      <w:r w:rsidRPr="007F69F9">
        <w:rPr>
          <w:rFonts w:ascii="標楷體" w:eastAsia="標楷體" w:hAnsi="標楷體" w:hint="eastAsia"/>
          <w:snapToGrid w:val="0"/>
          <w:color w:val="000000"/>
          <w:sz w:val="32"/>
          <w:szCs w:val="32"/>
        </w:rPr>
        <w:t>公務預算加計前瞻基礎建設計畫特別預算之執行成果，專利申請及維護之件數均有下降，且迄110年底已取得專利多年未使用之比率仍高，宜積極推廣運用，爰</w:t>
      </w:r>
      <w:r>
        <w:rPr>
          <w:rFonts w:ascii="標楷體" w:eastAsia="標楷體" w:hAnsi="標楷體" w:hint="eastAsia"/>
          <w:snapToGrid w:val="0"/>
          <w:color w:val="000000"/>
          <w:sz w:val="32"/>
          <w:szCs w:val="32"/>
        </w:rPr>
        <w:t>請</w:t>
      </w:r>
      <w:r w:rsidRPr="002F41A1">
        <w:rPr>
          <w:rFonts w:ascii="標楷體" w:eastAsia="標楷體" w:hAnsi="標楷體" w:hint="eastAsia"/>
          <w:sz w:val="32"/>
          <w:szCs w:val="32"/>
        </w:rPr>
        <w:t>行政院原子能委員會核能研究所</w:t>
      </w:r>
      <w:r w:rsidRPr="007F69F9">
        <w:rPr>
          <w:rFonts w:ascii="標楷體" w:eastAsia="標楷體" w:hAnsi="標楷體" w:hint="eastAsia"/>
          <w:snapToGrid w:val="0"/>
          <w:color w:val="000000"/>
          <w:sz w:val="32"/>
          <w:szCs w:val="32"/>
        </w:rPr>
        <w:t>於</w:t>
      </w:r>
      <w:r>
        <w:rPr>
          <w:rFonts w:ascii="標楷體" w:eastAsia="標楷體" w:hAnsi="標楷體" w:hint="eastAsia"/>
          <w:snapToGrid w:val="0"/>
          <w:color w:val="000000"/>
          <w:sz w:val="32"/>
          <w:szCs w:val="32"/>
        </w:rPr>
        <w:t>3</w:t>
      </w:r>
      <w:r w:rsidRPr="007F69F9">
        <w:rPr>
          <w:rFonts w:ascii="標楷體" w:eastAsia="標楷體" w:hAnsi="標楷體" w:hint="eastAsia"/>
          <w:snapToGrid w:val="0"/>
          <w:color w:val="000000"/>
          <w:sz w:val="32"/>
          <w:szCs w:val="32"/>
        </w:rPr>
        <w:t>個月內向立法院教育及文化委員會提出書面報告。</w:t>
      </w:r>
      <w:r>
        <w:rPr>
          <w:rFonts w:ascii="標楷體" w:eastAsia="標楷體" w:hAnsi="標楷體"/>
          <w:snapToGrid w:val="0"/>
          <w:color w:val="000000"/>
          <w:sz w:val="32"/>
          <w:szCs w:val="32"/>
        </w:rPr>
        <w:t>87</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提案人：鄭正鈐</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連署人：陳秀寳  吳思瑤</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六</w:t>
      </w:r>
      <w:r w:rsidRPr="00FB7CC2">
        <w:rPr>
          <w:rFonts w:ascii="標楷體" w:eastAsia="標楷體" w:hAnsi="標楷體"/>
          <w:snapToGrid w:val="0"/>
          <w:color w:val="000000"/>
          <w:sz w:val="32"/>
          <w:szCs w:val="32"/>
        </w:rPr>
        <w:t>)</w:t>
      </w:r>
      <w:r w:rsidRPr="002F41A1">
        <w:rPr>
          <w:rFonts w:ascii="標楷體" w:eastAsia="標楷體" w:hAnsi="標楷體" w:hint="eastAsia"/>
          <w:sz w:val="32"/>
          <w:szCs w:val="32"/>
        </w:rPr>
        <w:t>行政院原子能委員會</w:t>
      </w:r>
      <w:r w:rsidRPr="007F69F9">
        <w:rPr>
          <w:rFonts w:ascii="標楷體" w:eastAsia="標楷體" w:hAnsi="標楷體" w:hint="eastAsia"/>
          <w:snapToGrid w:val="0"/>
          <w:color w:val="000000"/>
          <w:sz w:val="32"/>
          <w:szCs w:val="32"/>
        </w:rPr>
        <w:t>於93年核定臺灣研究用反應器(TRR)除役計畫，工作項目包含附屬設施拆除、TRR燃料池清理、TRR核子燃料乾貯場(DSP)清除、TRR爐體廢棄物拆解、附屬貯存與處理設施除役等。「管制區安全強化改善計畫」係為TRR除役而辦理之中長程計畫。第</w:t>
      </w:r>
      <w:r>
        <w:rPr>
          <w:rFonts w:ascii="標楷體" w:eastAsia="標楷體" w:hAnsi="標楷體" w:hint="eastAsia"/>
          <w:snapToGrid w:val="0"/>
          <w:color w:val="000000"/>
          <w:sz w:val="32"/>
          <w:szCs w:val="32"/>
        </w:rPr>
        <w:t>1</w:t>
      </w:r>
      <w:r w:rsidRPr="007F69F9">
        <w:rPr>
          <w:rFonts w:ascii="標楷體" w:eastAsia="標楷體" w:hAnsi="標楷體" w:hint="eastAsia"/>
          <w:snapToGrid w:val="0"/>
          <w:color w:val="000000"/>
          <w:sz w:val="32"/>
          <w:szCs w:val="32"/>
        </w:rPr>
        <w:t>期計畫，辦理期程102</w:t>
      </w:r>
      <w:r>
        <w:rPr>
          <w:rFonts w:ascii="標楷體" w:eastAsia="標楷體" w:hAnsi="標楷體" w:hint="eastAsia"/>
          <w:snapToGrid w:val="0"/>
          <w:color w:val="000000"/>
          <w:sz w:val="32"/>
          <w:szCs w:val="32"/>
        </w:rPr>
        <w:t>至</w:t>
      </w:r>
      <w:r w:rsidRPr="007F69F9">
        <w:rPr>
          <w:rFonts w:ascii="標楷體" w:eastAsia="標楷體" w:hAnsi="標楷體" w:hint="eastAsia"/>
          <w:snapToGrid w:val="0"/>
          <w:color w:val="000000"/>
          <w:sz w:val="32"/>
          <w:szCs w:val="32"/>
        </w:rPr>
        <w:t>105年度，預算執行率99.94%；第</w:t>
      </w:r>
      <w:r>
        <w:rPr>
          <w:rFonts w:ascii="標楷體" w:eastAsia="標楷體" w:hAnsi="標楷體" w:hint="eastAsia"/>
          <w:snapToGrid w:val="0"/>
          <w:color w:val="000000"/>
          <w:sz w:val="32"/>
          <w:szCs w:val="32"/>
        </w:rPr>
        <w:t>2</w:t>
      </w:r>
      <w:r w:rsidRPr="007F69F9">
        <w:rPr>
          <w:rFonts w:ascii="標楷體" w:eastAsia="標楷體" w:hAnsi="標楷體" w:hint="eastAsia"/>
          <w:snapToGrid w:val="0"/>
          <w:color w:val="000000"/>
          <w:sz w:val="32"/>
          <w:szCs w:val="32"/>
        </w:rPr>
        <w:t>期計畫，原訂期程106</w:t>
      </w:r>
      <w:r>
        <w:rPr>
          <w:rFonts w:ascii="標楷體" w:eastAsia="標楷體" w:hAnsi="標楷體" w:hint="eastAsia"/>
          <w:snapToGrid w:val="0"/>
          <w:color w:val="000000"/>
          <w:sz w:val="32"/>
          <w:szCs w:val="32"/>
        </w:rPr>
        <w:t>至</w:t>
      </w:r>
      <w:r w:rsidRPr="007F69F9">
        <w:rPr>
          <w:rFonts w:ascii="標楷體" w:eastAsia="標楷體" w:hAnsi="標楷體" w:hint="eastAsia"/>
          <w:snapToGrid w:val="0"/>
          <w:color w:val="000000"/>
          <w:sz w:val="32"/>
          <w:szCs w:val="32"/>
        </w:rPr>
        <w:t>109年度，惟因DSP清除工法變更等原因，展延至110年度。惟第</w:t>
      </w:r>
      <w:r>
        <w:rPr>
          <w:rFonts w:ascii="標楷體" w:eastAsia="標楷體" w:hAnsi="標楷體" w:hint="eastAsia"/>
          <w:snapToGrid w:val="0"/>
          <w:color w:val="000000"/>
          <w:sz w:val="32"/>
          <w:szCs w:val="32"/>
        </w:rPr>
        <w:t>2</w:t>
      </w:r>
      <w:r w:rsidRPr="007F69F9">
        <w:rPr>
          <w:rFonts w:ascii="標楷體" w:eastAsia="標楷體" w:hAnsi="標楷體" w:hint="eastAsia"/>
          <w:snapToGrid w:val="0"/>
          <w:color w:val="000000"/>
          <w:sz w:val="32"/>
          <w:szCs w:val="32"/>
        </w:rPr>
        <w:t>期計畫自108年度起因受地質、COVID-19疫情、開挖實況與設計不符等因素影響，工程進度落後。經專業技師評估需辦理第3次變更設計，爰再度延至113</w:t>
      </w:r>
      <w:r>
        <w:rPr>
          <w:rFonts w:ascii="標楷體" w:eastAsia="標楷體" w:hAnsi="標楷體" w:hint="eastAsia"/>
          <w:snapToGrid w:val="0"/>
          <w:color w:val="000000"/>
          <w:sz w:val="32"/>
          <w:szCs w:val="32"/>
        </w:rPr>
        <w:t>年度，</w:t>
      </w:r>
      <w:r w:rsidRPr="007F69F9">
        <w:rPr>
          <w:rFonts w:ascii="標楷體" w:eastAsia="標楷體" w:hAnsi="標楷體" w:hint="eastAsia"/>
          <w:snapToGrid w:val="0"/>
          <w:color w:val="000000"/>
          <w:sz w:val="32"/>
          <w:szCs w:val="32"/>
        </w:rPr>
        <w:t>並新增經費需求。第</w:t>
      </w:r>
      <w:r>
        <w:rPr>
          <w:rFonts w:ascii="標楷體" w:eastAsia="標楷體" w:hAnsi="標楷體" w:hint="eastAsia"/>
          <w:snapToGrid w:val="0"/>
          <w:color w:val="000000"/>
          <w:sz w:val="32"/>
          <w:szCs w:val="32"/>
        </w:rPr>
        <w:t>2</w:t>
      </w:r>
      <w:r w:rsidRPr="007F69F9">
        <w:rPr>
          <w:rFonts w:ascii="標楷體" w:eastAsia="標楷體" w:hAnsi="標楷體" w:hint="eastAsia"/>
          <w:snapToGrid w:val="0"/>
          <w:color w:val="000000"/>
          <w:sz w:val="32"/>
          <w:szCs w:val="32"/>
        </w:rPr>
        <w:t>期計畫迄110年度累計編列2億1,000萬元、實支數1億7,958萬6千元、應付未付數358萬8千元、保留數2,679萬9千元，不含保留數之預算執行率87.24%。</w:t>
      </w:r>
      <w:r>
        <w:rPr>
          <w:rFonts w:ascii="標楷體" w:eastAsia="標楷體" w:hAnsi="標楷體" w:hint="eastAsia"/>
          <w:snapToGrid w:val="0"/>
          <w:color w:val="000000"/>
          <w:sz w:val="32"/>
          <w:szCs w:val="32"/>
        </w:rPr>
        <w:t>鑑</w:t>
      </w:r>
      <w:r w:rsidRPr="007F69F9">
        <w:rPr>
          <w:rFonts w:ascii="標楷體" w:eastAsia="標楷體" w:hAnsi="標楷體" w:hint="eastAsia"/>
          <w:snapToGrid w:val="0"/>
          <w:color w:val="000000"/>
          <w:sz w:val="32"/>
          <w:szCs w:val="32"/>
        </w:rPr>
        <w:t>於該計畫係屬延續型計畫，第</w:t>
      </w:r>
      <w:r>
        <w:rPr>
          <w:rFonts w:ascii="標楷體" w:eastAsia="標楷體" w:hAnsi="標楷體" w:hint="eastAsia"/>
          <w:snapToGrid w:val="0"/>
          <w:color w:val="000000"/>
          <w:sz w:val="32"/>
          <w:szCs w:val="32"/>
        </w:rPr>
        <w:t>2</w:t>
      </w:r>
      <w:r w:rsidRPr="007F69F9">
        <w:rPr>
          <w:rFonts w:ascii="標楷體" w:eastAsia="標楷體" w:hAnsi="標楷體" w:hint="eastAsia"/>
          <w:snapToGrid w:val="0"/>
          <w:color w:val="000000"/>
          <w:sz w:val="32"/>
          <w:szCs w:val="32"/>
        </w:rPr>
        <w:t>期計畫未完成之工作自112年度起由第</w:t>
      </w:r>
      <w:r>
        <w:rPr>
          <w:rFonts w:ascii="標楷體" w:eastAsia="標楷體" w:hAnsi="標楷體" w:hint="eastAsia"/>
          <w:snapToGrid w:val="0"/>
          <w:color w:val="000000"/>
          <w:sz w:val="32"/>
          <w:szCs w:val="32"/>
        </w:rPr>
        <w:t>3</w:t>
      </w:r>
      <w:r w:rsidRPr="007F69F9">
        <w:rPr>
          <w:rFonts w:ascii="標楷體" w:eastAsia="標楷體" w:hAnsi="標楷體" w:hint="eastAsia"/>
          <w:snapToGrid w:val="0"/>
          <w:color w:val="000000"/>
          <w:sz w:val="32"/>
          <w:szCs w:val="32"/>
        </w:rPr>
        <w:t>期計畫賡續辦理。</w:t>
      </w:r>
      <w:r w:rsidRPr="00E77B68">
        <w:rPr>
          <w:rFonts w:ascii="標楷體" w:eastAsia="標楷體" w:hAnsi="標楷體" w:hint="eastAsia"/>
          <w:snapToGrid w:val="0"/>
          <w:color w:val="000000"/>
          <w:sz w:val="32"/>
          <w:szCs w:val="32"/>
        </w:rPr>
        <w:t>行政院原子能委員會</w:t>
      </w:r>
      <w:r w:rsidRPr="007F69F9">
        <w:rPr>
          <w:rFonts w:ascii="標楷體" w:eastAsia="標楷體" w:hAnsi="標楷體" w:hint="eastAsia"/>
          <w:snapToGrid w:val="0"/>
          <w:color w:val="000000"/>
          <w:sz w:val="32"/>
          <w:szCs w:val="32"/>
        </w:rPr>
        <w:t>核能研究所應持續加強計畫進度控管，以確保第</w:t>
      </w:r>
      <w:r>
        <w:rPr>
          <w:rFonts w:ascii="標楷體" w:eastAsia="標楷體" w:hAnsi="標楷體" w:hint="eastAsia"/>
          <w:snapToGrid w:val="0"/>
          <w:color w:val="000000"/>
          <w:sz w:val="32"/>
          <w:szCs w:val="32"/>
        </w:rPr>
        <w:t>3</w:t>
      </w:r>
      <w:r w:rsidRPr="007F69F9">
        <w:rPr>
          <w:rFonts w:ascii="標楷體" w:eastAsia="標楷體" w:hAnsi="標楷體" w:hint="eastAsia"/>
          <w:snapToGrid w:val="0"/>
          <w:color w:val="000000"/>
          <w:sz w:val="32"/>
          <w:szCs w:val="32"/>
        </w:rPr>
        <w:t>期計畫如期完成，</w:t>
      </w:r>
      <w:r>
        <w:rPr>
          <w:rFonts w:ascii="標楷體" w:eastAsia="標楷體" w:hAnsi="標楷體" w:hint="eastAsia"/>
          <w:snapToGrid w:val="0"/>
          <w:color w:val="000000"/>
          <w:sz w:val="32"/>
          <w:szCs w:val="32"/>
        </w:rPr>
        <w:t>並</w:t>
      </w:r>
      <w:r w:rsidRPr="007F69F9">
        <w:rPr>
          <w:rFonts w:ascii="標楷體" w:eastAsia="標楷體" w:hAnsi="標楷體" w:hint="eastAsia"/>
          <w:snapToGrid w:val="0"/>
          <w:color w:val="000000"/>
          <w:sz w:val="32"/>
          <w:szCs w:val="32"/>
        </w:rPr>
        <w:t>於</w:t>
      </w:r>
      <w:r>
        <w:rPr>
          <w:rFonts w:ascii="標楷體" w:eastAsia="標楷體" w:hAnsi="標楷體" w:hint="eastAsia"/>
          <w:snapToGrid w:val="0"/>
          <w:color w:val="000000"/>
          <w:sz w:val="32"/>
          <w:szCs w:val="32"/>
        </w:rPr>
        <w:t>3</w:t>
      </w:r>
      <w:r w:rsidRPr="007F69F9">
        <w:rPr>
          <w:rFonts w:ascii="標楷體" w:eastAsia="標楷體" w:hAnsi="標楷體" w:hint="eastAsia"/>
          <w:snapToGrid w:val="0"/>
          <w:color w:val="000000"/>
          <w:sz w:val="32"/>
          <w:szCs w:val="32"/>
        </w:rPr>
        <w:t>個月內向立法院教育及文化委員會提出書面報告。</w:t>
      </w:r>
      <w:r>
        <w:rPr>
          <w:rFonts w:ascii="標楷體" w:eastAsia="標楷體" w:hAnsi="標楷體"/>
          <w:snapToGrid w:val="0"/>
          <w:color w:val="000000"/>
          <w:sz w:val="32"/>
          <w:szCs w:val="32"/>
        </w:rPr>
        <w:t>93</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提案人：黃國書</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連署人：吳思瑤  陳秀寳</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snapToGrid w:val="0"/>
          <w:color w:val="000000"/>
          <w:sz w:val="32"/>
          <w:szCs w:val="32"/>
        </w:rPr>
        <w:lastRenderedPageBreak/>
        <w:t>(</w:t>
      </w:r>
      <w:r>
        <w:rPr>
          <w:rFonts w:ascii="標楷體" w:eastAsia="標楷體" w:hAnsi="標楷體" w:hint="eastAsia"/>
          <w:snapToGrid w:val="0"/>
          <w:color w:val="000000"/>
          <w:sz w:val="32"/>
          <w:szCs w:val="32"/>
        </w:rPr>
        <w:t>七</w:t>
      </w: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112年度</w:t>
      </w:r>
      <w:r w:rsidRPr="002F41A1">
        <w:rPr>
          <w:rFonts w:ascii="標楷體" w:eastAsia="標楷體" w:hAnsi="標楷體" w:hint="eastAsia"/>
          <w:sz w:val="32"/>
          <w:szCs w:val="32"/>
        </w:rPr>
        <w:t>行政院原子能委員會核能研究所</w:t>
      </w:r>
      <w:r w:rsidRPr="007F69F9">
        <w:rPr>
          <w:rFonts w:ascii="標楷體" w:eastAsia="標楷體" w:hAnsi="標楷體" w:hint="eastAsia"/>
          <w:snapToGrid w:val="0"/>
          <w:color w:val="000000"/>
          <w:sz w:val="32"/>
          <w:szCs w:val="32"/>
        </w:rPr>
        <w:t>「計畫管理維運及成果應用」項下「能源及輻射技術推廣應用」</w:t>
      </w:r>
      <w:r>
        <w:rPr>
          <w:rFonts w:ascii="標楷體" w:eastAsia="標楷體" w:hAnsi="標楷體" w:hint="eastAsia"/>
          <w:snapToGrid w:val="0"/>
          <w:color w:val="000000"/>
          <w:sz w:val="32"/>
          <w:szCs w:val="32"/>
        </w:rPr>
        <w:t>預算</w:t>
      </w:r>
      <w:r w:rsidRPr="007F69F9">
        <w:rPr>
          <w:rFonts w:ascii="標楷體" w:eastAsia="標楷體" w:hAnsi="標楷體" w:hint="eastAsia"/>
          <w:snapToGrid w:val="0"/>
          <w:color w:val="000000"/>
          <w:sz w:val="32"/>
          <w:szCs w:val="32"/>
        </w:rPr>
        <w:t>增</w:t>
      </w:r>
      <w:r>
        <w:rPr>
          <w:rFonts w:ascii="標楷體" w:eastAsia="標楷體" w:hAnsi="標楷體" w:hint="eastAsia"/>
          <w:snapToGrid w:val="0"/>
          <w:color w:val="000000"/>
          <w:sz w:val="32"/>
          <w:szCs w:val="32"/>
        </w:rPr>
        <w:t>列2</w:t>
      </w:r>
      <w:r w:rsidRPr="007F69F9">
        <w:rPr>
          <w:rFonts w:ascii="標楷體" w:eastAsia="標楷體" w:hAnsi="標楷體" w:hint="eastAsia"/>
          <w:snapToGrid w:val="0"/>
          <w:color w:val="000000"/>
          <w:sz w:val="32"/>
          <w:szCs w:val="32"/>
        </w:rPr>
        <w:t>40</w:t>
      </w:r>
      <w:r>
        <w:rPr>
          <w:rFonts w:ascii="標楷體" w:eastAsia="標楷體" w:hAnsi="標楷體" w:hint="eastAsia"/>
          <w:snapToGrid w:val="0"/>
          <w:color w:val="000000"/>
          <w:sz w:val="32"/>
          <w:szCs w:val="32"/>
        </w:rPr>
        <w:t>萬</w:t>
      </w:r>
      <w:r w:rsidRPr="007F69F9">
        <w:rPr>
          <w:rFonts w:ascii="標楷體" w:eastAsia="標楷體" w:hAnsi="標楷體" w:hint="eastAsia"/>
          <w:snapToGrid w:val="0"/>
          <w:color w:val="000000"/>
          <w:sz w:val="32"/>
          <w:szCs w:val="32"/>
        </w:rPr>
        <w:t>9千元</w:t>
      </w:r>
      <w:r>
        <w:rPr>
          <w:rFonts w:ascii="標楷體" w:eastAsia="標楷體" w:hAnsi="標楷體" w:hint="eastAsia"/>
          <w:snapToGrid w:val="0"/>
          <w:color w:val="000000"/>
          <w:sz w:val="32"/>
          <w:szCs w:val="32"/>
        </w:rPr>
        <w:t>為</w:t>
      </w:r>
      <w:r w:rsidRPr="007F69F9">
        <w:rPr>
          <w:rFonts w:ascii="標楷體" w:eastAsia="標楷體" w:hAnsi="標楷體" w:hint="eastAsia"/>
          <w:snapToGrid w:val="0"/>
          <w:color w:val="000000"/>
          <w:sz w:val="32"/>
          <w:szCs w:val="32"/>
        </w:rPr>
        <w:t>食品輻射檢測所需設備費用，應提供說明目前</w:t>
      </w:r>
      <w:r w:rsidRPr="00E77B68">
        <w:rPr>
          <w:rFonts w:ascii="標楷體" w:eastAsia="標楷體" w:hAnsi="標楷體" w:hint="eastAsia"/>
          <w:snapToGrid w:val="0"/>
          <w:color w:val="000000"/>
          <w:sz w:val="32"/>
          <w:szCs w:val="32"/>
        </w:rPr>
        <w:t>行政院原子能委員會</w:t>
      </w:r>
      <w:r w:rsidRPr="007F69F9">
        <w:rPr>
          <w:rFonts w:ascii="標楷體" w:eastAsia="標楷體" w:hAnsi="標楷體" w:hint="eastAsia"/>
          <w:snapToGrid w:val="0"/>
          <w:color w:val="000000"/>
          <w:sz w:val="32"/>
          <w:szCs w:val="32"/>
        </w:rPr>
        <w:t>核能研究所支援進行食品輻射檢測之具體內容與成果，設備不足會有何影響等，爰</w:t>
      </w:r>
      <w:r>
        <w:rPr>
          <w:rFonts w:ascii="標楷體" w:eastAsia="標楷體" w:hAnsi="標楷體" w:hint="eastAsia"/>
          <w:snapToGrid w:val="0"/>
          <w:color w:val="000000"/>
          <w:sz w:val="32"/>
          <w:szCs w:val="32"/>
        </w:rPr>
        <w:t>請</w:t>
      </w:r>
      <w:r w:rsidRPr="00E77B68">
        <w:rPr>
          <w:rFonts w:ascii="標楷體" w:eastAsia="標楷體" w:hAnsi="標楷體" w:hint="eastAsia"/>
          <w:snapToGrid w:val="0"/>
          <w:color w:val="000000"/>
          <w:sz w:val="32"/>
          <w:szCs w:val="32"/>
        </w:rPr>
        <w:t>行政院原子能委員會</w:t>
      </w:r>
      <w:r w:rsidRPr="007F69F9">
        <w:rPr>
          <w:rFonts w:ascii="標楷體" w:eastAsia="標楷體" w:hAnsi="標楷體" w:hint="eastAsia"/>
          <w:snapToGrid w:val="0"/>
          <w:color w:val="000000"/>
          <w:sz w:val="32"/>
          <w:szCs w:val="32"/>
        </w:rPr>
        <w:t>核能研究所於</w:t>
      </w:r>
      <w:r>
        <w:rPr>
          <w:rFonts w:ascii="標楷體" w:eastAsia="標楷體" w:hAnsi="標楷體" w:hint="eastAsia"/>
          <w:snapToGrid w:val="0"/>
          <w:color w:val="000000"/>
          <w:sz w:val="32"/>
          <w:szCs w:val="32"/>
        </w:rPr>
        <w:t>3</w:t>
      </w:r>
      <w:r w:rsidRPr="007F69F9">
        <w:rPr>
          <w:rFonts w:ascii="標楷體" w:eastAsia="標楷體" w:hAnsi="標楷體" w:hint="eastAsia"/>
          <w:snapToGrid w:val="0"/>
          <w:color w:val="000000"/>
          <w:sz w:val="32"/>
          <w:szCs w:val="32"/>
        </w:rPr>
        <w:t>個月內向立法院教育及文化委員會提出書面報告。</w:t>
      </w:r>
      <w:r>
        <w:rPr>
          <w:rFonts w:ascii="標楷體" w:eastAsia="標楷體" w:hAnsi="標楷體"/>
          <w:snapToGrid w:val="0"/>
          <w:color w:val="000000"/>
          <w:sz w:val="32"/>
          <w:szCs w:val="32"/>
        </w:rPr>
        <w:t>95</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提案人：林奕華</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連署人：林宜瑾  陳秀寳</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八</w:t>
      </w: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鑑</w:t>
      </w:r>
      <w:r w:rsidRPr="007F69F9">
        <w:rPr>
          <w:rFonts w:ascii="標楷體" w:eastAsia="標楷體" w:hAnsi="標楷體" w:hint="eastAsia"/>
          <w:snapToGrid w:val="0"/>
          <w:color w:val="000000"/>
          <w:sz w:val="32"/>
          <w:szCs w:val="32"/>
        </w:rPr>
        <w:t>於原子能科技技術研發為</w:t>
      </w:r>
      <w:r w:rsidRPr="00E77B68">
        <w:rPr>
          <w:rFonts w:ascii="標楷體" w:eastAsia="標楷體" w:hAnsi="標楷體" w:hint="eastAsia"/>
          <w:snapToGrid w:val="0"/>
          <w:color w:val="000000"/>
          <w:sz w:val="32"/>
          <w:szCs w:val="32"/>
        </w:rPr>
        <w:t>行政院原子能委員會</w:t>
      </w:r>
      <w:r w:rsidRPr="007F69F9">
        <w:rPr>
          <w:rFonts w:ascii="標楷體" w:eastAsia="標楷體" w:hAnsi="標楷體" w:hint="eastAsia"/>
          <w:snapToGrid w:val="0"/>
          <w:color w:val="000000"/>
          <w:sz w:val="32"/>
          <w:szCs w:val="32"/>
        </w:rPr>
        <w:t>核能研究所之重要業務，包括核安與核後端、輻射民生應用、綠能與系統整合等</w:t>
      </w:r>
      <w:r>
        <w:rPr>
          <w:rFonts w:ascii="標楷體" w:eastAsia="標楷體" w:hAnsi="標楷體" w:hint="eastAsia"/>
          <w:snapToGrid w:val="0"/>
          <w:color w:val="000000"/>
          <w:sz w:val="32"/>
          <w:szCs w:val="32"/>
        </w:rPr>
        <w:t>3</w:t>
      </w:r>
      <w:r w:rsidRPr="007F69F9">
        <w:rPr>
          <w:rFonts w:ascii="標楷體" w:eastAsia="標楷體" w:hAnsi="標楷體" w:hint="eastAsia"/>
          <w:snapToGrid w:val="0"/>
          <w:color w:val="000000"/>
          <w:sz w:val="32"/>
          <w:szCs w:val="32"/>
        </w:rPr>
        <w:t>大科技領域。惟核能研究所106</w:t>
      </w:r>
      <w:r>
        <w:rPr>
          <w:rFonts w:ascii="標楷體" w:eastAsia="標楷體" w:hAnsi="標楷體" w:hint="eastAsia"/>
          <w:snapToGrid w:val="0"/>
          <w:color w:val="000000"/>
          <w:sz w:val="32"/>
          <w:szCs w:val="32"/>
        </w:rPr>
        <w:t>至</w:t>
      </w:r>
      <w:r w:rsidRPr="007F69F9">
        <w:rPr>
          <w:rFonts w:ascii="標楷體" w:eastAsia="標楷體" w:hAnsi="標楷體" w:hint="eastAsia"/>
          <w:snapToGrid w:val="0"/>
          <w:color w:val="000000"/>
          <w:sz w:val="32"/>
          <w:szCs w:val="32"/>
        </w:rPr>
        <w:t>110年度專利申請件數自106年度93件下降至110年度59件(降幅36.56%)；維護件數亦自106年度928件下降至110年度712件(降幅23.28%)。</w:t>
      </w:r>
    </w:p>
    <w:p w:rsidR="00A52DD2" w:rsidRPr="007F69F9" w:rsidRDefault="00A52DD2" w:rsidP="00F035E0">
      <w:pPr>
        <w:widowControl/>
        <w:snapToGrid w:val="0"/>
        <w:jc w:val="right"/>
        <w:rPr>
          <w:rFonts w:ascii="標楷體" w:eastAsia="標楷體" w:hAnsi="標楷體" w:cs="Calibri"/>
          <w:szCs w:val="32"/>
        </w:rPr>
      </w:pPr>
      <w:r w:rsidRPr="007F69F9">
        <w:rPr>
          <w:rFonts w:ascii="標楷體" w:eastAsia="標楷體" w:hAnsi="標楷體" w:cs="Calibri" w:hint="eastAsia"/>
          <w:szCs w:val="32"/>
        </w:rPr>
        <w:t>單位：新臺幣千元；件</w:t>
      </w:r>
    </w:p>
    <w:tbl>
      <w:tblPr>
        <w:tblW w:w="8598" w:type="dxa"/>
        <w:tblInd w:w="738" w:type="dxa"/>
        <w:tblCellMar>
          <w:left w:w="10" w:type="dxa"/>
          <w:right w:w="10" w:type="dxa"/>
        </w:tblCellMar>
        <w:tblLook w:val="04A0" w:firstRow="1" w:lastRow="0" w:firstColumn="1" w:lastColumn="0" w:noHBand="0" w:noVBand="1"/>
      </w:tblPr>
      <w:tblGrid>
        <w:gridCol w:w="524"/>
        <w:gridCol w:w="799"/>
        <w:gridCol w:w="1023"/>
        <w:gridCol w:w="1058"/>
        <w:gridCol w:w="1041"/>
        <w:gridCol w:w="1040"/>
        <w:gridCol w:w="1041"/>
        <w:gridCol w:w="1041"/>
        <w:gridCol w:w="1031"/>
      </w:tblGrid>
      <w:tr w:rsidR="00A52DD2" w:rsidRPr="007F69F9" w:rsidTr="00F035E0">
        <w:trPr>
          <w:tblHeader/>
        </w:trPr>
        <w:tc>
          <w:tcPr>
            <w:tcW w:w="1323" w:type="dxa"/>
            <w:gridSpan w:val="2"/>
            <w:tcBorders>
              <w:top w:val="single" w:sz="12" w:space="0" w:color="000000"/>
              <w:left w:val="single" w:sz="12" w:space="0" w:color="000000"/>
              <w:bottom w:val="single" w:sz="6" w:space="0" w:color="000000"/>
              <w:right w:val="single" w:sz="6"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p>
        </w:tc>
        <w:tc>
          <w:tcPr>
            <w:tcW w:w="1023" w:type="dxa"/>
            <w:tcBorders>
              <w:top w:val="single" w:sz="12"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106年</w:t>
            </w:r>
          </w:p>
        </w:tc>
        <w:tc>
          <w:tcPr>
            <w:tcW w:w="1058" w:type="dxa"/>
            <w:tcBorders>
              <w:top w:val="single" w:sz="12"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107年</w:t>
            </w:r>
          </w:p>
        </w:tc>
        <w:tc>
          <w:tcPr>
            <w:tcW w:w="1041" w:type="dxa"/>
            <w:tcBorders>
              <w:top w:val="single" w:sz="12"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108年</w:t>
            </w:r>
          </w:p>
        </w:tc>
        <w:tc>
          <w:tcPr>
            <w:tcW w:w="1040" w:type="dxa"/>
            <w:tcBorders>
              <w:top w:val="single" w:sz="12"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109年</w:t>
            </w:r>
          </w:p>
        </w:tc>
        <w:tc>
          <w:tcPr>
            <w:tcW w:w="1041" w:type="dxa"/>
            <w:tcBorders>
              <w:top w:val="single" w:sz="12"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110年</w:t>
            </w:r>
          </w:p>
        </w:tc>
        <w:tc>
          <w:tcPr>
            <w:tcW w:w="1041" w:type="dxa"/>
            <w:tcBorders>
              <w:top w:val="single" w:sz="12"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111年</w:t>
            </w:r>
          </w:p>
        </w:tc>
        <w:tc>
          <w:tcPr>
            <w:tcW w:w="1031" w:type="dxa"/>
            <w:tcBorders>
              <w:top w:val="single" w:sz="12" w:space="0" w:color="000000"/>
              <w:left w:val="single" w:sz="6" w:space="0" w:color="000000"/>
              <w:bottom w:val="single" w:sz="6" w:space="0" w:color="000000"/>
              <w:right w:val="single" w:sz="12"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112年</w:t>
            </w:r>
          </w:p>
        </w:tc>
      </w:tr>
      <w:tr w:rsidR="00A52DD2" w:rsidRPr="007F69F9" w:rsidTr="00F035E0">
        <w:trPr>
          <w:trHeight w:val="81"/>
        </w:trPr>
        <w:tc>
          <w:tcPr>
            <w:tcW w:w="524" w:type="dxa"/>
            <w:vMerge w:val="restart"/>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申請</w:t>
            </w:r>
          </w:p>
        </w:tc>
        <w:tc>
          <w:tcPr>
            <w:tcW w:w="79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件數</w:t>
            </w:r>
          </w:p>
        </w:tc>
        <w:tc>
          <w:tcPr>
            <w:tcW w:w="102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93</w:t>
            </w:r>
          </w:p>
        </w:tc>
        <w:tc>
          <w:tcPr>
            <w:tcW w:w="105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78</w:t>
            </w:r>
          </w:p>
        </w:tc>
        <w:tc>
          <w:tcPr>
            <w:tcW w:w="10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69</w:t>
            </w:r>
          </w:p>
        </w:tc>
        <w:tc>
          <w:tcPr>
            <w:tcW w:w="1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59</w:t>
            </w:r>
          </w:p>
        </w:tc>
        <w:tc>
          <w:tcPr>
            <w:tcW w:w="10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59</w:t>
            </w:r>
          </w:p>
        </w:tc>
        <w:tc>
          <w:tcPr>
            <w:tcW w:w="10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17</w:t>
            </w:r>
          </w:p>
        </w:tc>
        <w:tc>
          <w:tcPr>
            <w:tcW w:w="1031" w:type="dxa"/>
            <w:tcBorders>
              <w:top w:val="single" w:sz="6" w:space="0" w:color="000000"/>
              <w:left w:val="single" w:sz="6" w:space="0" w:color="000000"/>
              <w:bottom w:val="single" w:sz="6" w:space="0" w:color="000000"/>
              <w:right w:val="single" w:sz="12"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w:t>
            </w:r>
          </w:p>
        </w:tc>
      </w:tr>
      <w:tr w:rsidR="00A52DD2" w:rsidRPr="007F69F9" w:rsidTr="00F035E0">
        <w:trPr>
          <w:trHeight w:val="81"/>
        </w:trPr>
        <w:tc>
          <w:tcPr>
            <w:tcW w:w="0" w:type="auto"/>
            <w:vMerge/>
            <w:tcBorders>
              <w:top w:val="single" w:sz="6" w:space="0" w:color="000000"/>
              <w:left w:val="single" w:sz="12" w:space="0" w:color="000000"/>
              <w:bottom w:val="single" w:sz="6" w:space="0" w:color="000000"/>
              <w:right w:val="single" w:sz="6" w:space="0" w:color="000000"/>
            </w:tcBorders>
            <w:vAlign w:val="center"/>
            <w:hideMark/>
          </w:tcPr>
          <w:p w:rsidR="00A52DD2" w:rsidRPr="007F69F9" w:rsidRDefault="00A52DD2" w:rsidP="00F035E0">
            <w:pPr>
              <w:widowControl/>
              <w:jc w:val="center"/>
              <w:rPr>
                <w:rFonts w:ascii="標楷體" w:eastAsia="標楷體" w:hAnsi="標楷體" w:cs="Calibri"/>
                <w:szCs w:val="32"/>
              </w:rPr>
            </w:pPr>
          </w:p>
        </w:tc>
        <w:tc>
          <w:tcPr>
            <w:tcW w:w="79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支出</w:t>
            </w:r>
          </w:p>
        </w:tc>
        <w:tc>
          <w:tcPr>
            <w:tcW w:w="102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13,790</w:t>
            </w:r>
          </w:p>
        </w:tc>
        <w:tc>
          <w:tcPr>
            <w:tcW w:w="105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11,089</w:t>
            </w:r>
          </w:p>
        </w:tc>
        <w:tc>
          <w:tcPr>
            <w:tcW w:w="10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6,985</w:t>
            </w:r>
          </w:p>
        </w:tc>
        <w:tc>
          <w:tcPr>
            <w:tcW w:w="1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6,667</w:t>
            </w:r>
          </w:p>
        </w:tc>
        <w:tc>
          <w:tcPr>
            <w:tcW w:w="10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4,558</w:t>
            </w:r>
          </w:p>
        </w:tc>
        <w:tc>
          <w:tcPr>
            <w:tcW w:w="10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1,508</w:t>
            </w:r>
          </w:p>
        </w:tc>
        <w:tc>
          <w:tcPr>
            <w:tcW w:w="1031" w:type="dxa"/>
            <w:tcBorders>
              <w:top w:val="single" w:sz="6" w:space="0" w:color="000000"/>
              <w:left w:val="single" w:sz="6" w:space="0" w:color="000000"/>
              <w:bottom w:val="single" w:sz="6" w:space="0" w:color="000000"/>
              <w:right w:val="single" w:sz="12"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5,398</w:t>
            </w:r>
          </w:p>
        </w:tc>
      </w:tr>
      <w:tr w:rsidR="00A52DD2" w:rsidRPr="007F69F9" w:rsidTr="00F035E0">
        <w:trPr>
          <w:trHeight w:val="81"/>
        </w:trPr>
        <w:tc>
          <w:tcPr>
            <w:tcW w:w="524" w:type="dxa"/>
            <w:vMerge w:val="restart"/>
            <w:tcBorders>
              <w:top w:val="single" w:sz="6" w:space="0" w:color="000000"/>
              <w:left w:val="single" w:sz="12" w:space="0" w:color="000000"/>
              <w:bottom w:val="single" w:sz="12" w:space="0" w:color="000000"/>
              <w:right w:val="single" w:sz="6" w:space="0" w:color="000000"/>
            </w:tcBorders>
            <w:tcMar>
              <w:top w:w="0" w:type="dxa"/>
              <w:left w:w="108" w:type="dxa"/>
              <w:bottom w:w="0" w:type="dxa"/>
              <w:right w:w="108" w:type="dxa"/>
            </w:tcMar>
            <w:vAlign w:val="cente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維護</w:t>
            </w:r>
          </w:p>
        </w:tc>
        <w:tc>
          <w:tcPr>
            <w:tcW w:w="79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件數</w:t>
            </w:r>
          </w:p>
        </w:tc>
        <w:tc>
          <w:tcPr>
            <w:tcW w:w="102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928</w:t>
            </w:r>
          </w:p>
        </w:tc>
        <w:tc>
          <w:tcPr>
            <w:tcW w:w="105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977</w:t>
            </w:r>
          </w:p>
        </w:tc>
        <w:tc>
          <w:tcPr>
            <w:tcW w:w="10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863</w:t>
            </w:r>
          </w:p>
        </w:tc>
        <w:tc>
          <w:tcPr>
            <w:tcW w:w="1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770</w:t>
            </w:r>
          </w:p>
        </w:tc>
        <w:tc>
          <w:tcPr>
            <w:tcW w:w="10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712</w:t>
            </w:r>
          </w:p>
        </w:tc>
        <w:tc>
          <w:tcPr>
            <w:tcW w:w="104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670</w:t>
            </w:r>
          </w:p>
        </w:tc>
        <w:tc>
          <w:tcPr>
            <w:tcW w:w="1031" w:type="dxa"/>
            <w:tcBorders>
              <w:top w:val="single" w:sz="6" w:space="0" w:color="000000"/>
              <w:left w:val="single" w:sz="6" w:space="0" w:color="000000"/>
              <w:bottom w:val="single" w:sz="6" w:space="0" w:color="000000"/>
              <w:right w:val="single" w:sz="12"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w:t>
            </w:r>
          </w:p>
        </w:tc>
      </w:tr>
      <w:tr w:rsidR="00A52DD2" w:rsidRPr="007F69F9" w:rsidTr="00F035E0">
        <w:trPr>
          <w:trHeight w:val="81"/>
        </w:trPr>
        <w:tc>
          <w:tcPr>
            <w:tcW w:w="0" w:type="auto"/>
            <w:vMerge/>
            <w:tcBorders>
              <w:top w:val="single" w:sz="6" w:space="0" w:color="000000"/>
              <w:left w:val="single" w:sz="12" w:space="0" w:color="000000"/>
              <w:bottom w:val="single" w:sz="12" w:space="0" w:color="000000"/>
              <w:right w:val="single" w:sz="6" w:space="0" w:color="000000"/>
            </w:tcBorders>
            <w:vAlign w:val="center"/>
            <w:hideMark/>
          </w:tcPr>
          <w:p w:rsidR="00A52DD2" w:rsidRPr="007F69F9" w:rsidRDefault="00A52DD2" w:rsidP="00F035E0">
            <w:pPr>
              <w:widowControl/>
              <w:jc w:val="center"/>
              <w:rPr>
                <w:rFonts w:ascii="標楷體" w:eastAsia="標楷體" w:hAnsi="標楷體" w:cs="Calibri"/>
                <w:szCs w:val="32"/>
              </w:rPr>
            </w:pPr>
          </w:p>
        </w:tc>
        <w:tc>
          <w:tcPr>
            <w:tcW w:w="799" w:type="dxa"/>
            <w:tcBorders>
              <w:top w:val="single" w:sz="6" w:space="0" w:color="000000"/>
              <w:left w:val="single" w:sz="6" w:space="0" w:color="000000"/>
              <w:bottom w:val="single" w:sz="12" w:space="0" w:color="000000"/>
              <w:right w:val="single" w:sz="6"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支出</w:t>
            </w:r>
          </w:p>
        </w:tc>
        <w:tc>
          <w:tcPr>
            <w:tcW w:w="1023" w:type="dxa"/>
            <w:tcBorders>
              <w:top w:val="single" w:sz="6" w:space="0" w:color="000000"/>
              <w:left w:val="single" w:sz="6" w:space="0" w:color="000000"/>
              <w:bottom w:val="single" w:sz="12" w:space="0" w:color="000000"/>
              <w:right w:val="single" w:sz="6"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8,627</w:t>
            </w:r>
          </w:p>
        </w:tc>
        <w:tc>
          <w:tcPr>
            <w:tcW w:w="1058" w:type="dxa"/>
            <w:tcBorders>
              <w:top w:val="single" w:sz="6" w:space="0" w:color="000000"/>
              <w:left w:val="single" w:sz="6" w:space="0" w:color="000000"/>
              <w:bottom w:val="single" w:sz="12" w:space="0" w:color="000000"/>
              <w:right w:val="single" w:sz="6"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10,423</w:t>
            </w:r>
          </w:p>
        </w:tc>
        <w:tc>
          <w:tcPr>
            <w:tcW w:w="1041" w:type="dxa"/>
            <w:tcBorders>
              <w:top w:val="single" w:sz="6" w:space="0" w:color="000000"/>
              <w:left w:val="single" w:sz="6" w:space="0" w:color="000000"/>
              <w:bottom w:val="single" w:sz="12" w:space="0" w:color="000000"/>
              <w:right w:val="single" w:sz="6"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9,237</w:t>
            </w:r>
          </w:p>
        </w:tc>
        <w:tc>
          <w:tcPr>
            <w:tcW w:w="1040" w:type="dxa"/>
            <w:tcBorders>
              <w:top w:val="single" w:sz="6" w:space="0" w:color="000000"/>
              <w:left w:val="single" w:sz="6" w:space="0" w:color="000000"/>
              <w:bottom w:val="single" w:sz="12" w:space="0" w:color="000000"/>
              <w:right w:val="single" w:sz="6"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8,184</w:t>
            </w:r>
          </w:p>
        </w:tc>
        <w:tc>
          <w:tcPr>
            <w:tcW w:w="1041" w:type="dxa"/>
            <w:tcBorders>
              <w:top w:val="single" w:sz="6" w:space="0" w:color="000000"/>
              <w:left w:val="single" w:sz="6" w:space="0" w:color="000000"/>
              <w:bottom w:val="single" w:sz="12" w:space="0" w:color="000000"/>
              <w:right w:val="single" w:sz="6"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8,469</w:t>
            </w:r>
          </w:p>
        </w:tc>
        <w:tc>
          <w:tcPr>
            <w:tcW w:w="1041" w:type="dxa"/>
            <w:tcBorders>
              <w:top w:val="single" w:sz="6" w:space="0" w:color="000000"/>
              <w:left w:val="single" w:sz="6" w:space="0" w:color="000000"/>
              <w:bottom w:val="single" w:sz="12" w:space="0" w:color="000000"/>
              <w:right w:val="single" w:sz="6"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4,127</w:t>
            </w:r>
          </w:p>
        </w:tc>
        <w:tc>
          <w:tcPr>
            <w:tcW w:w="1031" w:type="dxa"/>
            <w:tcBorders>
              <w:top w:val="single" w:sz="6" w:space="0" w:color="000000"/>
              <w:left w:val="single" w:sz="6" w:space="0" w:color="000000"/>
              <w:bottom w:val="single" w:sz="12" w:space="0" w:color="000000"/>
              <w:right w:val="single" w:sz="12" w:space="0" w:color="000000"/>
            </w:tcBorders>
            <w:tcMar>
              <w:top w:w="0" w:type="dxa"/>
              <w:left w:w="108" w:type="dxa"/>
              <w:bottom w:w="0" w:type="dxa"/>
              <w:right w:w="108" w:type="dxa"/>
            </w:tcMar>
            <w:hideMark/>
          </w:tcPr>
          <w:p w:rsidR="00A52DD2" w:rsidRPr="007F69F9" w:rsidRDefault="00A52DD2" w:rsidP="00F035E0">
            <w:pPr>
              <w:widowControl/>
              <w:suppressAutoHyphens/>
              <w:autoSpaceDN w:val="0"/>
              <w:spacing w:line="280" w:lineRule="exact"/>
              <w:jc w:val="center"/>
              <w:rPr>
                <w:rFonts w:ascii="標楷體" w:eastAsia="標楷體" w:hAnsi="標楷體" w:cs="Calibri"/>
                <w:szCs w:val="32"/>
              </w:rPr>
            </w:pPr>
            <w:r w:rsidRPr="007F69F9">
              <w:rPr>
                <w:rFonts w:ascii="標楷體" w:eastAsia="標楷體" w:hAnsi="標楷體" w:cs="Calibri" w:hint="eastAsia"/>
                <w:szCs w:val="32"/>
              </w:rPr>
              <w:t>7,515</w:t>
            </w:r>
          </w:p>
        </w:tc>
      </w:tr>
    </w:tbl>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 xml:space="preserve">        </w:t>
      </w:r>
      <w:r w:rsidRPr="007F69F9">
        <w:rPr>
          <w:rFonts w:ascii="標楷體" w:eastAsia="標楷體" w:hAnsi="標楷體" w:hint="eastAsia"/>
          <w:snapToGrid w:val="0"/>
          <w:color w:val="000000"/>
          <w:sz w:val="32"/>
          <w:szCs w:val="32"/>
        </w:rPr>
        <w:t>另查，核能研究所110年度專利取得後逾5年(含10年)未使用之比率仍達24.86%，較108年(23.06%)及109年(22.21%)增加，且其中逾10年未使用者有21件。為使政府有限之研發資源發揮最大效益，</w:t>
      </w:r>
      <w:r w:rsidRPr="00E77B68">
        <w:rPr>
          <w:rFonts w:ascii="標楷體" w:eastAsia="標楷體" w:hAnsi="標楷體" w:hint="eastAsia"/>
          <w:snapToGrid w:val="0"/>
          <w:color w:val="000000"/>
          <w:sz w:val="32"/>
          <w:szCs w:val="32"/>
        </w:rPr>
        <w:t>行政院原子能委員會</w:t>
      </w:r>
      <w:r w:rsidRPr="007F69F9">
        <w:rPr>
          <w:rFonts w:ascii="標楷體" w:eastAsia="標楷體" w:hAnsi="標楷體" w:hint="eastAsia"/>
          <w:snapToGrid w:val="0"/>
          <w:color w:val="000000"/>
          <w:sz w:val="32"/>
          <w:szCs w:val="32"/>
        </w:rPr>
        <w:t>核能研究所應持續加強專利權效益性之評估及管理，</w:t>
      </w:r>
      <w:r>
        <w:rPr>
          <w:rFonts w:ascii="標楷體" w:eastAsia="標楷體" w:hAnsi="標楷體" w:hint="eastAsia"/>
          <w:snapToGrid w:val="0"/>
          <w:color w:val="000000"/>
          <w:sz w:val="32"/>
          <w:szCs w:val="32"/>
        </w:rPr>
        <w:t>並</w:t>
      </w:r>
      <w:r w:rsidRPr="007F69F9">
        <w:rPr>
          <w:rFonts w:ascii="標楷體" w:eastAsia="標楷體" w:hAnsi="標楷體" w:hint="eastAsia"/>
          <w:snapToGrid w:val="0"/>
          <w:color w:val="000000"/>
          <w:sz w:val="32"/>
          <w:szCs w:val="32"/>
        </w:rPr>
        <w:t>於</w:t>
      </w:r>
      <w:r>
        <w:rPr>
          <w:rFonts w:ascii="標楷體" w:eastAsia="標楷體" w:hAnsi="標楷體" w:hint="eastAsia"/>
          <w:snapToGrid w:val="0"/>
          <w:color w:val="000000"/>
          <w:sz w:val="32"/>
          <w:szCs w:val="32"/>
        </w:rPr>
        <w:t>3</w:t>
      </w:r>
      <w:r w:rsidRPr="007F69F9">
        <w:rPr>
          <w:rFonts w:ascii="標楷體" w:eastAsia="標楷體" w:hAnsi="標楷體" w:hint="eastAsia"/>
          <w:snapToGrid w:val="0"/>
          <w:color w:val="000000"/>
          <w:sz w:val="32"/>
          <w:szCs w:val="32"/>
        </w:rPr>
        <w:t>個月內向立法院教育及文化委員會提出書面報告。</w:t>
      </w:r>
      <w:r>
        <w:rPr>
          <w:rFonts w:ascii="標楷體" w:eastAsia="標楷體" w:hAnsi="標楷體"/>
          <w:snapToGrid w:val="0"/>
          <w:color w:val="000000"/>
          <w:sz w:val="32"/>
          <w:szCs w:val="32"/>
        </w:rPr>
        <w:t>96</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提案人：黃國書</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連署人：吳思瑤  陳秀寳</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九</w:t>
      </w:r>
      <w:r w:rsidRPr="00FB7CC2">
        <w:rPr>
          <w:rFonts w:ascii="標楷體" w:eastAsia="標楷體" w:hAnsi="標楷體"/>
          <w:snapToGrid w:val="0"/>
          <w:color w:val="000000"/>
          <w:sz w:val="32"/>
          <w:szCs w:val="32"/>
        </w:rPr>
        <w:t>)</w:t>
      </w:r>
      <w:r w:rsidRPr="007F69F9">
        <w:rPr>
          <w:rFonts w:ascii="標楷體" w:eastAsia="標楷體" w:hAnsi="標楷體" w:hint="eastAsia"/>
          <w:snapToGrid w:val="0"/>
          <w:color w:val="000000"/>
          <w:sz w:val="32"/>
          <w:szCs w:val="32"/>
        </w:rPr>
        <w:t>112年度</w:t>
      </w:r>
      <w:r w:rsidRPr="00ED0F15">
        <w:rPr>
          <w:rFonts w:ascii="標楷體" w:eastAsia="標楷體" w:hAnsi="標楷體" w:hint="eastAsia"/>
          <w:snapToGrid w:val="0"/>
          <w:color w:val="000000"/>
          <w:sz w:val="32"/>
          <w:szCs w:val="32"/>
        </w:rPr>
        <w:t>行政院原子能委員會核能研究所「計畫管理維運及</w:t>
      </w:r>
      <w:r w:rsidRPr="00ED0F15">
        <w:rPr>
          <w:rFonts w:ascii="標楷體" w:eastAsia="標楷體" w:hAnsi="標楷體" w:hint="eastAsia"/>
          <w:snapToGrid w:val="0"/>
          <w:color w:val="000000"/>
          <w:sz w:val="32"/>
          <w:szCs w:val="32"/>
        </w:rPr>
        <w:lastRenderedPageBreak/>
        <w:t>成果應用」項下</w:t>
      </w:r>
      <w:r w:rsidRPr="007F69F9">
        <w:rPr>
          <w:rFonts w:ascii="標楷體" w:eastAsia="標楷體" w:hAnsi="標楷體" w:hint="eastAsia"/>
          <w:snapToGrid w:val="0"/>
          <w:color w:val="000000"/>
          <w:sz w:val="32"/>
          <w:szCs w:val="32"/>
        </w:rPr>
        <w:t>「能源及輻射技術推廣應用」中</w:t>
      </w:r>
      <w:r>
        <w:rPr>
          <w:rFonts w:ascii="標楷體" w:eastAsia="標楷體" w:hAnsi="標楷體" w:hint="eastAsia"/>
          <w:snapToGrid w:val="0"/>
          <w:color w:val="000000"/>
          <w:sz w:val="32"/>
          <w:szCs w:val="32"/>
        </w:rPr>
        <w:t>「</w:t>
      </w:r>
      <w:r w:rsidRPr="007F69F9">
        <w:rPr>
          <w:rFonts w:ascii="標楷體" w:eastAsia="標楷體" w:hAnsi="標楷體" w:hint="eastAsia"/>
          <w:snapToGrid w:val="0"/>
          <w:color w:val="000000"/>
          <w:sz w:val="32"/>
          <w:szCs w:val="32"/>
        </w:rPr>
        <w:t>執行技術服務計畫及專案管理相關業務之勞務承攬37人</w:t>
      </w:r>
      <w:r>
        <w:rPr>
          <w:rFonts w:ascii="標楷體" w:eastAsia="標楷體" w:hAnsi="標楷體" w:hint="eastAsia"/>
          <w:snapToGrid w:val="0"/>
          <w:color w:val="000000"/>
          <w:sz w:val="32"/>
          <w:szCs w:val="32"/>
        </w:rPr>
        <w:t>」預算編列</w:t>
      </w:r>
      <w:r w:rsidRPr="007F69F9">
        <w:rPr>
          <w:rFonts w:ascii="標楷體" w:eastAsia="標楷體" w:hAnsi="標楷體" w:hint="eastAsia"/>
          <w:snapToGrid w:val="0"/>
          <w:color w:val="000000"/>
          <w:sz w:val="32"/>
          <w:szCs w:val="32"/>
        </w:rPr>
        <w:t>4,218萬元，較111年度37人、3,441萬元，人數並無增減，經費卻大幅增加777萬元</w:t>
      </w:r>
      <w:r>
        <w:rPr>
          <w:rFonts w:ascii="標楷體" w:eastAsia="標楷體" w:hAnsi="標楷體" w:hint="eastAsia"/>
          <w:snapToGrid w:val="0"/>
          <w:color w:val="000000"/>
          <w:sz w:val="32"/>
          <w:szCs w:val="32"/>
        </w:rPr>
        <w:t>，</w:t>
      </w:r>
      <w:r w:rsidRPr="007F69F9">
        <w:rPr>
          <w:rFonts w:ascii="標楷體" w:eastAsia="標楷體" w:hAnsi="標楷體" w:hint="eastAsia"/>
          <w:snapToGrid w:val="0"/>
          <w:color w:val="000000"/>
          <w:sz w:val="32"/>
          <w:szCs w:val="32"/>
        </w:rPr>
        <w:t>增幅22.58%，且預算並未詳細說明計畫成果與效益，難以審認預算成效，爰</w:t>
      </w:r>
      <w:r>
        <w:rPr>
          <w:rFonts w:ascii="標楷體" w:eastAsia="標楷體" w:hAnsi="標楷體" w:hint="eastAsia"/>
          <w:snapToGrid w:val="0"/>
          <w:color w:val="000000"/>
          <w:sz w:val="32"/>
          <w:szCs w:val="32"/>
        </w:rPr>
        <w:t>請</w:t>
      </w:r>
      <w:r w:rsidRPr="00ED0F15">
        <w:rPr>
          <w:rFonts w:ascii="標楷體" w:eastAsia="標楷體" w:hAnsi="標楷體" w:hint="eastAsia"/>
          <w:snapToGrid w:val="0"/>
          <w:color w:val="000000"/>
          <w:sz w:val="32"/>
          <w:szCs w:val="32"/>
        </w:rPr>
        <w:t>行政院原子能委員會核能研究所</w:t>
      </w:r>
      <w:r w:rsidRPr="007F69F9">
        <w:rPr>
          <w:rFonts w:ascii="標楷體" w:eastAsia="標楷體" w:hAnsi="標楷體" w:hint="eastAsia"/>
          <w:snapToGrid w:val="0"/>
          <w:color w:val="000000"/>
          <w:sz w:val="32"/>
          <w:szCs w:val="32"/>
        </w:rPr>
        <w:t>於</w:t>
      </w:r>
      <w:r>
        <w:rPr>
          <w:rFonts w:ascii="標楷體" w:eastAsia="標楷體" w:hAnsi="標楷體" w:hint="eastAsia"/>
          <w:snapToGrid w:val="0"/>
          <w:color w:val="000000"/>
          <w:sz w:val="32"/>
          <w:szCs w:val="32"/>
        </w:rPr>
        <w:t>3</w:t>
      </w:r>
      <w:r w:rsidRPr="007F69F9">
        <w:rPr>
          <w:rFonts w:ascii="標楷體" w:eastAsia="標楷體" w:hAnsi="標楷體" w:hint="eastAsia"/>
          <w:snapToGrid w:val="0"/>
          <w:color w:val="000000"/>
          <w:sz w:val="32"/>
          <w:szCs w:val="32"/>
        </w:rPr>
        <w:t>個月內向立法院教育及文化委員會提出書面報告。</w:t>
      </w:r>
      <w:r>
        <w:rPr>
          <w:rFonts w:ascii="標楷體" w:eastAsia="標楷體" w:hAnsi="標楷體"/>
          <w:snapToGrid w:val="0"/>
          <w:color w:val="000000"/>
          <w:sz w:val="32"/>
          <w:szCs w:val="32"/>
        </w:rPr>
        <w:t>98</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提案人：鄭正鈐</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連署人：陳秀寳  吳思瑤</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(十)經查</w:t>
      </w:r>
      <w:r w:rsidRPr="007F69F9">
        <w:rPr>
          <w:rFonts w:ascii="標楷體" w:eastAsia="標楷體" w:hAnsi="標楷體" w:hint="eastAsia"/>
          <w:snapToGrid w:val="0"/>
          <w:color w:val="000000"/>
          <w:sz w:val="32"/>
          <w:szCs w:val="32"/>
        </w:rPr>
        <w:t>六氟化鈾處置計畫為</w:t>
      </w:r>
      <w:r>
        <w:rPr>
          <w:rFonts w:ascii="標楷體" w:eastAsia="標楷體" w:hAnsi="標楷體" w:hint="eastAsia"/>
          <w:snapToGrid w:val="0"/>
          <w:color w:val="000000"/>
          <w:sz w:val="32"/>
          <w:szCs w:val="32"/>
        </w:rPr>
        <w:t>行政院原子能委員會</w:t>
      </w:r>
      <w:r w:rsidRPr="007F69F9">
        <w:rPr>
          <w:rFonts w:ascii="標楷體" w:eastAsia="標楷體" w:hAnsi="標楷體" w:hint="eastAsia"/>
          <w:snapToGrid w:val="0"/>
          <w:color w:val="000000"/>
          <w:sz w:val="32"/>
          <w:szCs w:val="32"/>
        </w:rPr>
        <w:t>核能研究所依台美民用合作會議機制，請美方協助將六氟化鈾運回美國進行穩定化處理及處置，並於104</w:t>
      </w:r>
      <w:r>
        <w:rPr>
          <w:rFonts w:ascii="標楷體" w:eastAsia="標楷體" w:hAnsi="標楷體" w:hint="eastAsia"/>
          <w:snapToGrid w:val="0"/>
          <w:color w:val="000000"/>
          <w:sz w:val="32"/>
          <w:szCs w:val="32"/>
        </w:rPr>
        <w:t>至</w:t>
      </w:r>
      <w:r w:rsidRPr="007F69F9">
        <w:rPr>
          <w:rFonts w:ascii="標楷體" w:eastAsia="標楷體" w:hAnsi="標楷體" w:hint="eastAsia"/>
          <w:snapToGrid w:val="0"/>
          <w:color w:val="000000"/>
          <w:sz w:val="32"/>
          <w:szCs w:val="32"/>
        </w:rPr>
        <w:t>105年度編列1億2</w:t>
      </w:r>
      <w:r>
        <w:rPr>
          <w:rFonts w:ascii="標楷體" w:eastAsia="標楷體" w:hAnsi="標楷體"/>
          <w:snapToGrid w:val="0"/>
          <w:color w:val="000000"/>
          <w:sz w:val="32"/>
          <w:szCs w:val="32"/>
        </w:rPr>
        <w:t>,</w:t>
      </w:r>
      <w:r w:rsidRPr="007F69F9">
        <w:rPr>
          <w:rFonts w:ascii="標楷體" w:eastAsia="標楷體" w:hAnsi="標楷體" w:hint="eastAsia"/>
          <w:snapToGrid w:val="0"/>
          <w:color w:val="000000"/>
          <w:sz w:val="32"/>
          <w:szCs w:val="32"/>
        </w:rPr>
        <w:t>000萬</w:t>
      </w:r>
      <w:r>
        <w:rPr>
          <w:rFonts w:ascii="標楷體" w:eastAsia="標楷體" w:hAnsi="標楷體" w:hint="eastAsia"/>
          <w:snapToGrid w:val="0"/>
          <w:color w:val="000000"/>
          <w:sz w:val="32"/>
          <w:szCs w:val="32"/>
        </w:rPr>
        <w:t>元</w:t>
      </w:r>
      <w:r w:rsidRPr="007F69F9">
        <w:rPr>
          <w:rFonts w:ascii="標楷體" w:eastAsia="標楷體" w:hAnsi="標楷體" w:hint="eastAsia"/>
          <w:snapToGrid w:val="0"/>
          <w:color w:val="000000"/>
          <w:sz w:val="32"/>
          <w:szCs w:val="32"/>
        </w:rPr>
        <w:t>預算。惟因美方認處理境外六氟化鈾並非其能源部執掌，而請我國另尋相關民間廠商辦理。核能研究所遂於106年提報「六氟化鈾安定化處理與處置專案計畫」，期程為107</w:t>
      </w:r>
      <w:r>
        <w:rPr>
          <w:rFonts w:ascii="標楷體" w:eastAsia="標楷體" w:hAnsi="標楷體" w:hint="eastAsia"/>
          <w:snapToGrid w:val="0"/>
          <w:color w:val="000000"/>
          <w:sz w:val="32"/>
          <w:szCs w:val="32"/>
        </w:rPr>
        <w:t>至</w:t>
      </w:r>
      <w:r w:rsidRPr="007F69F9">
        <w:rPr>
          <w:rFonts w:ascii="標楷體" w:eastAsia="標楷體" w:hAnsi="標楷體" w:hint="eastAsia"/>
          <w:snapToGrid w:val="0"/>
          <w:color w:val="000000"/>
          <w:sz w:val="32"/>
          <w:szCs w:val="32"/>
        </w:rPr>
        <w:t>108年度(預算1億5,530萬8千元)；又因數度流標、經費上漲等原因，而辦理3次修正，完成期限自108年延至113年，變更後總經費3億5,072萬5</w:t>
      </w:r>
      <w:r>
        <w:rPr>
          <w:rFonts w:ascii="標楷體" w:eastAsia="標楷體" w:hAnsi="標楷體" w:hint="eastAsia"/>
          <w:snapToGrid w:val="0"/>
          <w:color w:val="000000"/>
          <w:sz w:val="32"/>
          <w:szCs w:val="32"/>
        </w:rPr>
        <w:t>千元。惟查</w:t>
      </w:r>
      <w:r w:rsidRPr="007F69F9">
        <w:rPr>
          <w:rFonts w:ascii="標楷體" w:eastAsia="標楷體" w:hAnsi="標楷體" w:hint="eastAsia"/>
          <w:snapToGrid w:val="0"/>
          <w:color w:val="000000"/>
          <w:sz w:val="32"/>
          <w:szCs w:val="32"/>
        </w:rPr>
        <w:t>該計畫104</w:t>
      </w:r>
      <w:r>
        <w:rPr>
          <w:rFonts w:ascii="標楷體" w:eastAsia="標楷體" w:hAnsi="標楷體" w:hint="eastAsia"/>
          <w:snapToGrid w:val="0"/>
          <w:color w:val="000000"/>
          <w:sz w:val="32"/>
          <w:szCs w:val="32"/>
        </w:rPr>
        <w:t>至</w:t>
      </w:r>
      <w:r w:rsidRPr="007F69F9">
        <w:rPr>
          <w:rFonts w:ascii="標楷體" w:eastAsia="標楷體" w:hAnsi="標楷體" w:hint="eastAsia"/>
          <w:snapToGrid w:val="0"/>
          <w:color w:val="000000"/>
          <w:sz w:val="32"/>
          <w:szCs w:val="32"/>
        </w:rPr>
        <w:t>111年度共編列預算2億9,929萬8千元，至111年7月底止，實支數僅1,306萬元(占4.36%)、保留數1億2,694萬2千元(占42.41%)及賸餘繳庫數1億5,929萬6千元(占比53.22%)。顯示核能研究所之前置規劃未盡周延，以致預算執行不力，爰</w:t>
      </w:r>
      <w:r>
        <w:rPr>
          <w:rFonts w:ascii="標楷體" w:eastAsia="標楷體" w:hAnsi="標楷體" w:hint="eastAsia"/>
          <w:snapToGrid w:val="0"/>
          <w:color w:val="000000"/>
          <w:sz w:val="32"/>
          <w:szCs w:val="32"/>
        </w:rPr>
        <w:t>請行政院原子能委員會</w:t>
      </w:r>
      <w:r w:rsidRPr="007F69F9">
        <w:rPr>
          <w:rFonts w:ascii="標楷體" w:eastAsia="標楷體" w:hAnsi="標楷體" w:hint="eastAsia"/>
          <w:snapToGrid w:val="0"/>
          <w:color w:val="000000"/>
          <w:sz w:val="32"/>
          <w:szCs w:val="32"/>
        </w:rPr>
        <w:t>核能研究所</w:t>
      </w:r>
      <w:r>
        <w:rPr>
          <w:rFonts w:ascii="標楷體" w:eastAsia="標楷體" w:hAnsi="標楷體" w:hint="eastAsia"/>
          <w:snapToGrid w:val="0"/>
          <w:color w:val="000000"/>
          <w:sz w:val="32"/>
          <w:szCs w:val="32"/>
        </w:rPr>
        <w:t>於3</w:t>
      </w:r>
      <w:r w:rsidRPr="007F69F9">
        <w:rPr>
          <w:rFonts w:ascii="標楷體" w:eastAsia="標楷體" w:hAnsi="標楷體" w:hint="eastAsia"/>
          <w:snapToGrid w:val="0"/>
          <w:color w:val="000000"/>
          <w:sz w:val="32"/>
          <w:szCs w:val="32"/>
        </w:rPr>
        <w:t>個月內向立法院教育及文化委員會提出書面報告。</w:t>
      </w:r>
      <w:r>
        <w:rPr>
          <w:rFonts w:ascii="標楷體" w:eastAsia="標楷體" w:hAnsi="標楷體"/>
          <w:snapToGrid w:val="0"/>
          <w:color w:val="000000"/>
          <w:sz w:val="32"/>
          <w:szCs w:val="32"/>
        </w:rPr>
        <w:t>100</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提案人：黃國書</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連署人：吳思瑤  陳秀寳</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十一</w:t>
      </w: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112年度</w:t>
      </w:r>
      <w:r w:rsidRPr="00A83B67">
        <w:rPr>
          <w:rFonts w:ascii="標楷體" w:eastAsia="標楷體" w:hAnsi="標楷體" w:hint="eastAsia"/>
          <w:snapToGrid w:val="0"/>
          <w:color w:val="000000"/>
          <w:sz w:val="32"/>
          <w:szCs w:val="32"/>
        </w:rPr>
        <w:t>行政院</w:t>
      </w:r>
      <w:r>
        <w:rPr>
          <w:rFonts w:ascii="標楷體" w:eastAsia="標楷體" w:hAnsi="標楷體" w:hint="eastAsia"/>
          <w:snapToGrid w:val="0"/>
          <w:color w:val="000000"/>
          <w:sz w:val="32"/>
          <w:szCs w:val="32"/>
        </w:rPr>
        <w:t>原子能委員會</w:t>
      </w:r>
      <w:r w:rsidRPr="00A83B67">
        <w:rPr>
          <w:rFonts w:ascii="標楷體" w:eastAsia="標楷體" w:hAnsi="標楷體" w:hint="eastAsia"/>
          <w:snapToGrid w:val="0"/>
          <w:color w:val="000000"/>
          <w:sz w:val="32"/>
          <w:szCs w:val="32"/>
        </w:rPr>
        <w:t>核能研究所</w:t>
      </w:r>
      <w:r w:rsidRPr="007F69F9">
        <w:rPr>
          <w:rFonts w:ascii="標楷體" w:eastAsia="標楷體" w:hAnsi="標楷體" w:hint="eastAsia"/>
          <w:snapToGrid w:val="0"/>
          <w:color w:val="000000"/>
          <w:sz w:val="32"/>
          <w:szCs w:val="32"/>
        </w:rPr>
        <w:t>「核能科技研發計畫」</w:t>
      </w:r>
      <w:r>
        <w:rPr>
          <w:rFonts w:ascii="標楷體" w:eastAsia="標楷體" w:hAnsi="標楷體" w:hint="eastAsia"/>
          <w:snapToGrid w:val="0"/>
          <w:color w:val="000000"/>
          <w:sz w:val="32"/>
          <w:szCs w:val="32"/>
        </w:rPr>
        <w:t>項</w:t>
      </w:r>
      <w:r w:rsidRPr="007F69F9">
        <w:rPr>
          <w:rFonts w:ascii="標楷體" w:eastAsia="標楷體" w:hAnsi="標楷體" w:hint="eastAsia"/>
          <w:snapToGrid w:val="0"/>
          <w:color w:val="000000"/>
          <w:sz w:val="32"/>
          <w:szCs w:val="32"/>
        </w:rPr>
        <w:t>下</w:t>
      </w:r>
      <w:r>
        <w:rPr>
          <w:rFonts w:ascii="標楷體" w:eastAsia="標楷體" w:hAnsi="標楷體" w:hint="eastAsia"/>
          <w:snapToGrid w:val="0"/>
          <w:color w:val="000000"/>
          <w:sz w:val="32"/>
          <w:szCs w:val="32"/>
        </w:rPr>
        <w:t>「業務費」中「</w:t>
      </w:r>
      <w:r w:rsidRPr="007F69F9">
        <w:rPr>
          <w:rFonts w:ascii="標楷體" w:eastAsia="標楷體" w:hAnsi="標楷體" w:hint="eastAsia"/>
          <w:snapToGrid w:val="0"/>
          <w:color w:val="000000"/>
          <w:sz w:val="32"/>
          <w:szCs w:val="32"/>
        </w:rPr>
        <w:t>權利使用費</w:t>
      </w:r>
      <w:r>
        <w:rPr>
          <w:rFonts w:ascii="標楷體" w:eastAsia="標楷體" w:hAnsi="標楷體" w:hint="eastAsia"/>
          <w:snapToGrid w:val="0"/>
          <w:color w:val="000000"/>
          <w:sz w:val="32"/>
          <w:szCs w:val="32"/>
        </w:rPr>
        <w:t>」預算編列</w:t>
      </w:r>
      <w:r w:rsidRPr="007F69F9">
        <w:rPr>
          <w:rFonts w:ascii="標楷體" w:eastAsia="標楷體" w:hAnsi="標楷體" w:hint="eastAsia"/>
          <w:snapToGrid w:val="0"/>
          <w:color w:val="000000"/>
          <w:sz w:val="32"/>
          <w:szCs w:val="32"/>
        </w:rPr>
        <w:t>305萬8</w:t>
      </w:r>
      <w:r w:rsidRPr="007F69F9">
        <w:rPr>
          <w:rFonts w:ascii="標楷體" w:eastAsia="標楷體" w:hAnsi="標楷體" w:hint="eastAsia"/>
          <w:snapToGrid w:val="0"/>
          <w:color w:val="000000"/>
          <w:sz w:val="32"/>
          <w:szCs w:val="32"/>
        </w:rPr>
        <w:lastRenderedPageBreak/>
        <w:t>千元,係專利申請審查相關費用。查核研所近5年度(106至110年度)公務預算加計前瞻基礎建設計畫特別預算之執行成果，專利申請及維護之件數均有下降，且迄110年底已取得專利多年未使用之比率仍高，宜積極推廣運用</w:t>
      </w:r>
      <w:r>
        <w:rPr>
          <w:rFonts w:ascii="標楷體" w:eastAsia="標楷體" w:hAnsi="標楷體" w:hint="eastAsia"/>
          <w:snapToGrid w:val="0"/>
          <w:color w:val="000000"/>
          <w:sz w:val="32"/>
          <w:szCs w:val="32"/>
        </w:rPr>
        <w:t>。</w:t>
      </w:r>
      <w:r w:rsidRPr="007F69F9">
        <w:rPr>
          <w:rFonts w:ascii="標楷體" w:eastAsia="標楷體" w:hAnsi="標楷體" w:hint="eastAsia"/>
          <w:snapToGrid w:val="0"/>
          <w:color w:val="000000"/>
          <w:sz w:val="32"/>
          <w:szCs w:val="32"/>
        </w:rPr>
        <w:t>爰</w:t>
      </w:r>
      <w:r>
        <w:rPr>
          <w:rFonts w:ascii="標楷體" w:eastAsia="標楷體" w:hAnsi="標楷體" w:hint="eastAsia"/>
          <w:snapToGrid w:val="0"/>
          <w:color w:val="000000"/>
          <w:sz w:val="32"/>
          <w:szCs w:val="32"/>
        </w:rPr>
        <w:t>請行政院原子能委員會</w:t>
      </w:r>
      <w:r w:rsidRPr="007F69F9">
        <w:rPr>
          <w:rFonts w:ascii="標楷體" w:eastAsia="標楷體" w:hAnsi="標楷體" w:hint="eastAsia"/>
          <w:snapToGrid w:val="0"/>
          <w:color w:val="000000"/>
          <w:sz w:val="32"/>
          <w:szCs w:val="32"/>
        </w:rPr>
        <w:t>核能研究所於</w:t>
      </w:r>
      <w:r>
        <w:rPr>
          <w:rFonts w:ascii="標楷體" w:eastAsia="標楷體" w:hAnsi="標楷體" w:hint="eastAsia"/>
          <w:snapToGrid w:val="0"/>
          <w:color w:val="000000"/>
          <w:sz w:val="32"/>
          <w:szCs w:val="32"/>
        </w:rPr>
        <w:t>3</w:t>
      </w:r>
      <w:r w:rsidRPr="007F69F9">
        <w:rPr>
          <w:rFonts w:ascii="標楷體" w:eastAsia="標楷體" w:hAnsi="標楷體" w:hint="eastAsia"/>
          <w:snapToGrid w:val="0"/>
          <w:color w:val="000000"/>
          <w:sz w:val="32"/>
          <w:szCs w:val="32"/>
        </w:rPr>
        <w:t>個月內向立法院教育及文化委員會提出書面報告。</w:t>
      </w:r>
      <w:r>
        <w:rPr>
          <w:rFonts w:ascii="標楷體" w:eastAsia="標楷體" w:hAnsi="標楷體"/>
          <w:snapToGrid w:val="0"/>
          <w:color w:val="000000"/>
          <w:sz w:val="32"/>
          <w:szCs w:val="32"/>
        </w:rPr>
        <w:t>104</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提案人：鄭正鈐</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連署人：陳秀寳  吳思瑤</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十二</w:t>
      </w:r>
      <w:r w:rsidRPr="00FB7CC2">
        <w:rPr>
          <w:rFonts w:ascii="標楷體" w:eastAsia="標楷體" w:hAnsi="標楷體"/>
          <w:snapToGrid w:val="0"/>
          <w:color w:val="000000"/>
          <w:sz w:val="32"/>
          <w:szCs w:val="32"/>
        </w:rPr>
        <w:t>)</w:t>
      </w:r>
      <w:r w:rsidRPr="007F69F9">
        <w:rPr>
          <w:rFonts w:ascii="標楷體" w:eastAsia="標楷體" w:hAnsi="標楷體" w:hint="eastAsia"/>
          <w:snapToGrid w:val="0"/>
          <w:color w:val="000000"/>
          <w:sz w:val="32"/>
          <w:szCs w:val="32"/>
        </w:rPr>
        <w:t>112年</w:t>
      </w:r>
      <w:r>
        <w:rPr>
          <w:rFonts w:ascii="標楷體" w:eastAsia="標楷體" w:hAnsi="標楷體" w:hint="eastAsia"/>
          <w:snapToGrid w:val="0"/>
          <w:color w:val="000000"/>
          <w:sz w:val="32"/>
          <w:szCs w:val="32"/>
        </w:rPr>
        <w:t>度行政院</w:t>
      </w:r>
      <w:r w:rsidRPr="007F69F9">
        <w:rPr>
          <w:rFonts w:ascii="標楷體" w:eastAsia="標楷體" w:hAnsi="標楷體" w:hint="eastAsia"/>
          <w:snapToGrid w:val="0"/>
          <w:color w:val="000000"/>
          <w:sz w:val="32"/>
          <w:szCs w:val="32"/>
        </w:rPr>
        <w:t>原子能委員會核能研究所「核能科技研發計畫」項下「原子能系統工程跨域整合發展計畫（第二期）」預算</w:t>
      </w:r>
      <w:r>
        <w:rPr>
          <w:rFonts w:ascii="標楷體" w:eastAsia="標楷體" w:hAnsi="標楷體" w:hint="eastAsia"/>
          <w:snapToGrid w:val="0"/>
          <w:color w:val="000000"/>
          <w:sz w:val="32"/>
          <w:szCs w:val="32"/>
        </w:rPr>
        <w:t>編列</w:t>
      </w:r>
      <w:r w:rsidRPr="007F69F9">
        <w:rPr>
          <w:rFonts w:ascii="標楷體" w:eastAsia="標楷體" w:hAnsi="標楷體" w:hint="eastAsia"/>
          <w:snapToGrid w:val="0"/>
          <w:color w:val="000000"/>
          <w:sz w:val="32"/>
          <w:szCs w:val="32"/>
        </w:rPr>
        <w:t>2</w:t>
      </w:r>
      <w:r>
        <w:rPr>
          <w:rFonts w:ascii="標楷體" w:eastAsia="標楷體" w:hAnsi="標楷體" w:hint="eastAsia"/>
          <w:snapToGrid w:val="0"/>
          <w:color w:val="000000"/>
          <w:sz w:val="32"/>
          <w:szCs w:val="32"/>
        </w:rPr>
        <w:t>億</w:t>
      </w:r>
      <w:r w:rsidRPr="007F69F9">
        <w:rPr>
          <w:rFonts w:ascii="標楷體" w:eastAsia="標楷體" w:hAnsi="標楷體" w:hint="eastAsia"/>
          <w:snapToGrid w:val="0"/>
          <w:color w:val="000000"/>
          <w:sz w:val="32"/>
          <w:szCs w:val="32"/>
        </w:rPr>
        <w:t>2</w:t>
      </w:r>
      <w:r>
        <w:rPr>
          <w:rFonts w:ascii="標楷體" w:eastAsia="標楷體" w:hAnsi="標楷體"/>
          <w:snapToGrid w:val="0"/>
          <w:color w:val="000000"/>
          <w:sz w:val="32"/>
          <w:szCs w:val="32"/>
        </w:rPr>
        <w:t>,</w:t>
      </w:r>
      <w:r w:rsidRPr="007F69F9">
        <w:rPr>
          <w:rFonts w:ascii="標楷體" w:eastAsia="標楷體" w:hAnsi="標楷體" w:hint="eastAsia"/>
          <w:snapToGrid w:val="0"/>
          <w:color w:val="000000"/>
          <w:sz w:val="32"/>
          <w:szCs w:val="32"/>
        </w:rPr>
        <w:t>100</w:t>
      </w:r>
      <w:r>
        <w:rPr>
          <w:rFonts w:ascii="標楷體" w:eastAsia="標楷體" w:hAnsi="標楷體" w:hint="eastAsia"/>
          <w:snapToGrid w:val="0"/>
          <w:color w:val="000000"/>
          <w:sz w:val="32"/>
          <w:szCs w:val="32"/>
        </w:rPr>
        <w:t>萬</w:t>
      </w:r>
      <w:r w:rsidRPr="007F69F9">
        <w:rPr>
          <w:rFonts w:ascii="標楷體" w:eastAsia="標楷體" w:hAnsi="標楷體" w:hint="eastAsia"/>
          <w:snapToGrid w:val="0"/>
          <w:color w:val="000000"/>
          <w:sz w:val="32"/>
          <w:szCs w:val="32"/>
        </w:rPr>
        <w:t>元，係用於原子能技術開發與應用。為配合行政院組織調整，原子能委員會核能研究所將規劃轉型為「行政法人國家原子能科技研究院」，對此，行政院也已提出</w:t>
      </w:r>
      <w:r>
        <w:rPr>
          <w:rFonts w:ascii="標楷體" w:eastAsia="標楷體" w:hAnsi="標楷體" w:hint="eastAsia"/>
          <w:snapToGrid w:val="0"/>
          <w:color w:val="000000"/>
          <w:sz w:val="32"/>
          <w:szCs w:val="32"/>
        </w:rPr>
        <w:t>「</w:t>
      </w:r>
      <w:r w:rsidRPr="007F69F9">
        <w:rPr>
          <w:rFonts w:ascii="標楷體" w:eastAsia="標楷體" w:hAnsi="標楷體" w:hint="eastAsia"/>
          <w:snapToGrid w:val="0"/>
          <w:color w:val="000000"/>
          <w:sz w:val="32"/>
          <w:szCs w:val="32"/>
        </w:rPr>
        <w:t>國家原子能科技研究院設置條例</w:t>
      </w:r>
      <w:r>
        <w:rPr>
          <w:rFonts w:ascii="標楷體" w:eastAsia="標楷體" w:hAnsi="標楷體" w:hint="eastAsia"/>
          <w:snapToGrid w:val="0"/>
          <w:color w:val="000000"/>
          <w:sz w:val="32"/>
          <w:szCs w:val="32"/>
        </w:rPr>
        <w:t>」</w:t>
      </w:r>
      <w:r w:rsidRPr="007F69F9">
        <w:rPr>
          <w:rFonts w:ascii="標楷體" w:eastAsia="標楷體" w:hAnsi="標楷體" w:hint="eastAsia"/>
          <w:snapToGrid w:val="0"/>
          <w:color w:val="000000"/>
          <w:sz w:val="32"/>
          <w:szCs w:val="32"/>
        </w:rPr>
        <w:t>相關草案，希冀未來能繼續扮演我國原子能科技研發之專業機構。現行我國政府能源政策方向明確，考量到現行技術限制及環境發展，非核家園亦屬社會所形塑之整體共識，更是台灣地理條件考量下的最佳選擇。然隨著科技及能源技術發展，各國在第</w:t>
      </w:r>
      <w:r>
        <w:rPr>
          <w:rFonts w:ascii="標楷體" w:eastAsia="標楷體" w:hAnsi="標楷體" w:hint="eastAsia"/>
          <w:snapToGrid w:val="0"/>
          <w:color w:val="000000"/>
          <w:sz w:val="32"/>
          <w:szCs w:val="32"/>
        </w:rPr>
        <w:t>4</w:t>
      </w:r>
      <w:r w:rsidRPr="007F69F9">
        <w:rPr>
          <w:rFonts w:ascii="標楷體" w:eastAsia="標楷體" w:hAnsi="標楷體" w:hint="eastAsia"/>
          <w:snapToGrid w:val="0"/>
          <w:color w:val="000000"/>
          <w:sz w:val="32"/>
          <w:szCs w:val="32"/>
        </w:rPr>
        <w:t>代核反應器、小型模組化反應器、熱融合反應器等技術上仍不斷突破，更成為國際科學界的合作及重點發展項目。倘未來在技術上有重大創新，更有可能為能源發展設下新的里程碑，使未來科技發展途徑走向全新的可能性。核能研究所雖應遵循整體能源政策之發展，但仍肩負原子能科技研發的重責大任，統籌規劃台灣未來針對新型技術之產、官、學相關計畫，並且保持與國際相關研究之接軌與合作。爰</w:t>
      </w:r>
      <w:r>
        <w:rPr>
          <w:rFonts w:ascii="標楷體" w:eastAsia="標楷體" w:hAnsi="標楷體" w:hint="eastAsia"/>
          <w:snapToGrid w:val="0"/>
          <w:color w:val="000000"/>
          <w:sz w:val="32"/>
          <w:szCs w:val="32"/>
        </w:rPr>
        <w:t>請行政院</w:t>
      </w:r>
      <w:r w:rsidRPr="007F69F9">
        <w:rPr>
          <w:rFonts w:ascii="標楷體" w:eastAsia="標楷體" w:hAnsi="標楷體" w:hint="eastAsia"/>
          <w:snapToGrid w:val="0"/>
          <w:color w:val="000000"/>
          <w:sz w:val="32"/>
          <w:szCs w:val="32"/>
        </w:rPr>
        <w:t>原子能委員會核能研究所於</w:t>
      </w:r>
      <w:r>
        <w:rPr>
          <w:rFonts w:ascii="標楷體" w:eastAsia="標楷體" w:hAnsi="標楷體" w:hint="eastAsia"/>
          <w:snapToGrid w:val="0"/>
          <w:color w:val="000000"/>
          <w:sz w:val="32"/>
          <w:szCs w:val="32"/>
        </w:rPr>
        <w:t>3</w:t>
      </w:r>
      <w:r w:rsidRPr="007F69F9">
        <w:rPr>
          <w:rFonts w:ascii="標楷體" w:eastAsia="標楷體" w:hAnsi="標楷體" w:hint="eastAsia"/>
          <w:snapToGrid w:val="0"/>
          <w:color w:val="000000"/>
          <w:sz w:val="32"/>
          <w:szCs w:val="32"/>
        </w:rPr>
        <w:t>個月內向立法院教育及文化委員會提出書面報告。</w:t>
      </w:r>
      <w:r>
        <w:rPr>
          <w:rFonts w:ascii="標楷體" w:eastAsia="標楷體" w:hAnsi="標楷體"/>
          <w:snapToGrid w:val="0"/>
          <w:color w:val="000000"/>
          <w:sz w:val="32"/>
          <w:szCs w:val="32"/>
        </w:rPr>
        <w:t>105</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提案人：王婉諭</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lastRenderedPageBreak/>
        <w:t>連署人：黃國書  張廖萬堅</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十三</w:t>
      </w:r>
      <w:r w:rsidRPr="00FB7CC2">
        <w:rPr>
          <w:rFonts w:ascii="標楷體" w:eastAsia="標楷體" w:hAnsi="標楷體"/>
          <w:snapToGrid w:val="0"/>
          <w:color w:val="000000"/>
          <w:sz w:val="32"/>
          <w:szCs w:val="32"/>
        </w:rPr>
        <w:t>)</w:t>
      </w:r>
      <w:r w:rsidRPr="007F69F9">
        <w:rPr>
          <w:rFonts w:ascii="標楷體" w:eastAsia="標楷體" w:hAnsi="標楷體" w:hint="eastAsia"/>
          <w:snapToGrid w:val="0"/>
          <w:color w:val="000000"/>
          <w:sz w:val="32"/>
          <w:szCs w:val="32"/>
        </w:rPr>
        <w:t>112年</w:t>
      </w:r>
      <w:r>
        <w:rPr>
          <w:rFonts w:ascii="標楷體" w:eastAsia="標楷體" w:hAnsi="標楷體" w:hint="eastAsia"/>
          <w:snapToGrid w:val="0"/>
          <w:color w:val="000000"/>
          <w:sz w:val="32"/>
          <w:szCs w:val="32"/>
        </w:rPr>
        <w:t>度行政院</w:t>
      </w:r>
      <w:r w:rsidRPr="007F69F9">
        <w:rPr>
          <w:rFonts w:ascii="標楷體" w:eastAsia="標楷體" w:hAnsi="標楷體" w:hint="eastAsia"/>
          <w:snapToGrid w:val="0"/>
          <w:color w:val="000000"/>
          <w:sz w:val="32"/>
          <w:szCs w:val="32"/>
        </w:rPr>
        <w:t>原子能委員會核能研究所新增辦理</w:t>
      </w:r>
      <w:r w:rsidRPr="00A83B67">
        <w:rPr>
          <w:rFonts w:ascii="標楷體" w:eastAsia="標楷體" w:hAnsi="標楷體" w:hint="eastAsia"/>
          <w:snapToGrid w:val="0"/>
          <w:color w:val="000000"/>
          <w:sz w:val="32"/>
          <w:szCs w:val="32"/>
        </w:rPr>
        <w:t>「核能科技研發計畫」項下</w:t>
      </w:r>
      <w:r w:rsidRPr="007F69F9">
        <w:rPr>
          <w:rFonts w:ascii="標楷體" w:eastAsia="標楷體" w:hAnsi="標楷體" w:hint="eastAsia"/>
          <w:snapToGrid w:val="0"/>
          <w:color w:val="000000"/>
          <w:sz w:val="32"/>
          <w:szCs w:val="32"/>
        </w:rPr>
        <w:t>「國家中子與質子科學應用研究：70 MeV中型迴旋加速器建置計畫」。規劃112</w:t>
      </w:r>
      <w:r>
        <w:rPr>
          <w:rFonts w:ascii="標楷體" w:eastAsia="標楷體" w:hAnsi="標楷體" w:hint="eastAsia"/>
          <w:snapToGrid w:val="0"/>
          <w:color w:val="000000"/>
          <w:sz w:val="32"/>
          <w:szCs w:val="32"/>
        </w:rPr>
        <w:t>至</w:t>
      </w:r>
      <w:r w:rsidRPr="007F69F9">
        <w:rPr>
          <w:rFonts w:ascii="標楷體" w:eastAsia="標楷體" w:hAnsi="標楷體" w:hint="eastAsia"/>
          <w:snapToGrid w:val="0"/>
          <w:color w:val="000000"/>
          <w:sz w:val="32"/>
          <w:szCs w:val="32"/>
        </w:rPr>
        <w:t>115年(總經費15億4,473萬5千元)，辦理建置迴旋加速器與放射性同位素研製國家實驗室、質子照射驗證分析國家實驗室、中子應用研究國家實驗室、土木工程建造(土建與機電)及系統工程(輻防與PRA )等5分項計畫。其中「土木工程建造(土建與機電)」分項計畫為辦理加速器廠館新建工程。廠館新建工程4年所需經費計6億3,700萬元(占計畫總經費41.24%)，112年度規劃辦理建造流程細部規劃、依迴旋加速器主體與各試驗室空間配置需求，委託規劃設計、辦理工程採購發包等業務。惟「70 MeV中型迴旋加速器建置計畫」首年經費2億6,570萬元中，機械設備費高達1億7,841萬2千元，占年度預算67.15%，預計採購70 MeV中型迴旋加速器本體相關設備、固體靶站、氣體靶站周邊設備等。</w:t>
      </w:r>
      <w:r>
        <w:rPr>
          <w:rFonts w:ascii="標楷體" w:eastAsia="標楷體" w:hAnsi="標楷體" w:hint="eastAsia"/>
          <w:snapToGrid w:val="0"/>
          <w:color w:val="000000"/>
          <w:sz w:val="32"/>
          <w:szCs w:val="32"/>
        </w:rPr>
        <w:t>鑑</w:t>
      </w:r>
      <w:r w:rsidRPr="007F69F9">
        <w:rPr>
          <w:rFonts w:ascii="標楷體" w:eastAsia="標楷體" w:hAnsi="標楷體" w:hint="eastAsia"/>
          <w:snapToGrid w:val="0"/>
          <w:color w:val="000000"/>
          <w:sz w:val="32"/>
          <w:szCs w:val="32"/>
        </w:rPr>
        <w:t>於設備係配置於新建廠館中，而廠館興建工程於112年度方進行建造流程細部規劃，第1年即編列逾</w:t>
      </w:r>
      <w:r>
        <w:rPr>
          <w:rFonts w:ascii="標楷體" w:eastAsia="標楷體" w:hAnsi="標楷體" w:hint="eastAsia"/>
          <w:snapToGrid w:val="0"/>
          <w:color w:val="000000"/>
          <w:sz w:val="32"/>
          <w:szCs w:val="32"/>
        </w:rPr>
        <w:t>六</w:t>
      </w:r>
      <w:r w:rsidRPr="007F69F9">
        <w:rPr>
          <w:rFonts w:ascii="標楷體" w:eastAsia="標楷體" w:hAnsi="標楷體" w:hint="eastAsia"/>
          <w:snapToGrid w:val="0"/>
          <w:color w:val="000000"/>
          <w:sz w:val="32"/>
          <w:szCs w:val="32"/>
        </w:rPr>
        <w:t>成經費辦理周邊機械設備採購，顯不合理。</w:t>
      </w:r>
      <w:r>
        <w:rPr>
          <w:rFonts w:ascii="標楷體" w:eastAsia="標楷體" w:hAnsi="標楷體" w:hint="eastAsia"/>
          <w:snapToGrid w:val="0"/>
          <w:color w:val="000000"/>
          <w:sz w:val="32"/>
          <w:szCs w:val="32"/>
        </w:rPr>
        <w:t>行政院</w:t>
      </w:r>
      <w:r w:rsidRPr="007F69F9">
        <w:rPr>
          <w:rFonts w:ascii="標楷體" w:eastAsia="標楷體" w:hAnsi="標楷體" w:hint="eastAsia"/>
          <w:snapToGrid w:val="0"/>
          <w:color w:val="000000"/>
          <w:sz w:val="32"/>
          <w:szCs w:val="32"/>
        </w:rPr>
        <w:t>原子能委員會核能研究所應重新檢視預算編列妥適性，</w:t>
      </w:r>
      <w:r>
        <w:rPr>
          <w:rFonts w:ascii="標楷體" w:eastAsia="標楷體" w:hAnsi="標楷體" w:hint="eastAsia"/>
          <w:snapToGrid w:val="0"/>
          <w:color w:val="000000"/>
          <w:sz w:val="32"/>
          <w:szCs w:val="32"/>
        </w:rPr>
        <w:t>並</w:t>
      </w:r>
      <w:r w:rsidRPr="007F69F9">
        <w:rPr>
          <w:rFonts w:ascii="標楷體" w:eastAsia="標楷體" w:hAnsi="標楷體" w:hint="eastAsia"/>
          <w:snapToGrid w:val="0"/>
          <w:color w:val="000000"/>
          <w:sz w:val="32"/>
          <w:szCs w:val="32"/>
        </w:rPr>
        <w:t>於</w:t>
      </w:r>
      <w:r>
        <w:rPr>
          <w:rFonts w:ascii="標楷體" w:eastAsia="標楷體" w:hAnsi="標楷體" w:hint="eastAsia"/>
          <w:snapToGrid w:val="0"/>
          <w:color w:val="000000"/>
          <w:sz w:val="32"/>
          <w:szCs w:val="32"/>
        </w:rPr>
        <w:t>3</w:t>
      </w:r>
      <w:r w:rsidRPr="007F69F9">
        <w:rPr>
          <w:rFonts w:ascii="標楷體" w:eastAsia="標楷體" w:hAnsi="標楷體" w:hint="eastAsia"/>
          <w:snapToGrid w:val="0"/>
          <w:color w:val="000000"/>
          <w:sz w:val="32"/>
          <w:szCs w:val="32"/>
        </w:rPr>
        <w:t>個月內向立法院教育及文化委員會提出書面報告。</w:t>
      </w:r>
      <w:r>
        <w:rPr>
          <w:rFonts w:ascii="標楷體" w:eastAsia="標楷體" w:hAnsi="標楷體"/>
          <w:snapToGrid w:val="0"/>
          <w:color w:val="000000"/>
          <w:sz w:val="32"/>
          <w:szCs w:val="32"/>
        </w:rPr>
        <w:t>108</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提案人：黃國書</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連署人：吳思瑤  陳秀寳</w:t>
      </w:r>
    </w:p>
    <w:p w:rsidR="00A52DD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十四</w:t>
      </w:r>
      <w:r w:rsidRPr="00FB7CC2">
        <w:rPr>
          <w:rFonts w:ascii="標楷體" w:eastAsia="標楷體" w:hAnsi="標楷體"/>
          <w:snapToGrid w:val="0"/>
          <w:color w:val="000000"/>
          <w:sz w:val="32"/>
          <w:szCs w:val="32"/>
        </w:rPr>
        <w:t>)</w:t>
      </w:r>
      <w:r>
        <w:rPr>
          <w:rFonts w:ascii="標楷體" w:eastAsia="標楷體" w:hAnsi="標楷體" w:hint="eastAsia"/>
          <w:snapToGrid w:val="0"/>
          <w:color w:val="000000"/>
          <w:sz w:val="32"/>
          <w:szCs w:val="32"/>
        </w:rPr>
        <w:t>112年度</w:t>
      </w:r>
      <w:r w:rsidRPr="00A83B67">
        <w:rPr>
          <w:rFonts w:ascii="標楷體" w:eastAsia="標楷體" w:hAnsi="標楷體" w:hint="eastAsia"/>
          <w:snapToGrid w:val="0"/>
          <w:color w:val="000000"/>
          <w:sz w:val="32"/>
          <w:szCs w:val="32"/>
        </w:rPr>
        <w:t>行政院原子能委員會核能研究所</w:t>
      </w:r>
      <w:r>
        <w:rPr>
          <w:rFonts w:ascii="標楷體" w:eastAsia="標楷體" w:hAnsi="標楷體" w:hint="eastAsia"/>
          <w:snapToGrid w:val="0"/>
          <w:color w:val="000000"/>
          <w:sz w:val="32"/>
          <w:szCs w:val="32"/>
        </w:rPr>
        <w:t>「核能科技研發計畫」項下「</w:t>
      </w:r>
      <w:r w:rsidRPr="007F69F9">
        <w:rPr>
          <w:rFonts w:ascii="標楷體" w:eastAsia="標楷體" w:hAnsi="標楷體" w:hint="eastAsia"/>
          <w:snapToGrid w:val="0"/>
          <w:color w:val="000000"/>
          <w:sz w:val="32"/>
          <w:szCs w:val="32"/>
        </w:rPr>
        <w:t>海域生物氚量測及放射性物質傳輸安全評估研究</w:t>
      </w:r>
      <w:r>
        <w:rPr>
          <w:rFonts w:ascii="標楷體" w:eastAsia="標楷體" w:hAnsi="標楷體" w:hint="eastAsia"/>
          <w:snapToGrid w:val="0"/>
          <w:color w:val="000000"/>
          <w:sz w:val="32"/>
          <w:szCs w:val="32"/>
        </w:rPr>
        <w:t>」</w:t>
      </w:r>
      <w:r w:rsidRPr="007F69F9">
        <w:rPr>
          <w:rFonts w:ascii="標楷體" w:eastAsia="標楷體" w:hAnsi="標楷體" w:hint="eastAsia"/>
          <w:snapToGrid w:val="0"/>
          <w:color w:val="000000"/>
          <w:sz w:val="32"/>
          <w:szCs w:val="32"/>
        </w:rPr>
        <w:t>預算</w:t>
      </w:r>
      <w:r>
        <w:rPr>
          <w:rFonts w:ascii="標楷體" w:eastAsia="標楷體" w:hAnsi="標楷體" w:hint="eastAsia"/>
          <w:snapToGrid w:val="0"/>
          <w:color w:val="000000"/>
          <w:sz w:val="32"/>
          <w:szCs w:val="32"/>
        </w:rPr>
        <w:t>編列</w:t>
      </w:r>
      <w:r w:rsidRPr="007F69F9">
        <w:rPr>
          <w:rFonts w:ascii="標楷體" w:eastAsia="標楷體" w:hAnsi="標楷體" w:hint="eastAsia"/>
          <w:snapToGrid w:val="0"/>
          <w:color w:val="000000"/>
          <w:sz w:val="32"/>
          <w:szCs w:val="32"/>
        </w:rPr>
        <w:t>4</w:t>
      </w:r>
      <w:r>
        <w:rPr>
          <w:rFonts w:ascii="標楷體" w:eastAsia="標楷體" w:hAnsi="標楷體" w:hint="eastAsia"/>
          <w:snapToGrid w:val="0"/>
          <w:color w:val="000000"/>
          <w:sz w:val="32"/>
          <w:szCs w:val="32"/>
        </w:rPr>
        <w:t>,</w:t>
      </w:r>
      <w:r w:rsidRPr="007F69F9">
        <w:rPr>
          <w:rFonts w:ascii="標楷體" w:eastAsia="標楷體" w:hAnsi="標楷體" w:hint="eastAsia"/>
          <w:snapToGrid w:val="0"/>
          <w:color w:val="000000"/>
          <w:sz w:val="32"/>
          <w:szCs w:val="32"/>
        </w:rPr>
        <w:t>989萬6千元，係因為</w:t>
      </w:r>
      <w:r>
        <w:rPr>
          <w:rFonts w:ascii="標楷體" w:eastAsia="標楷體" w:hAnsi="標楷體" w:hint="eastAsia"/>
          <w:snapToGrid w:val="0"/>
          <w:color w:val="000000"/>
          <w:sz w:val="32"/>
          <w:szCs w:val="32"/>
        </w:rPr>
        <w:t>100</w:t>
      </w:r>
      <w:r w:rsidRPr="007F69F9">
        <w:rPr>
          <w:rFonts w:ascii="標楷體" w:eastAsia="標楷體" w:hAnsi="標楷體" w:hint="eastAsia"/>
          <w:snapToGrid w:val="0"/>
          <w:color w:val="000000"/>
          <w:sz w:val="32"/>
          <w:szCs w:val="32"/>
        </w:rPr>
        <w:t>年福島核電廠因為地震與海嘯受到嚴重毀損，造成1萬9</w:t>
      </w:r>
      <w:r>
        <w:rPr>
          <w:rFonts w:ascii="標楷體" w:eastAsia="標楷體" w:hAnsi="標楷體" w:hint="eastAsia"/>
          <w:snapToGrid w:val="0"/>
          <w:color w:val="000000"/>
          <w:sz w:val="32"/>
          <w:szCs w:val="32"/>
        </w:rPr>
        <w:t>千</w:t>
      </w:r>
      <w:r w:rsidRPr="007F69F9">
        <w:rPr>
          <w:rFonts w:ascii="標楷體" w:eastAsia="標楷體" w:hAnsi="標楷體" w:hint="eastAsia"/>
          <w:snapToGrid w:val="0"/>
          <w:color w:val="000000"/>
          <w:sz w:val="32"/>
          <w:szCs w:val="32"/>
        </w:rPr>
        <w:t>人罹難，福島核電廠</w:t>
      </w:r>
      <w:r>
        <w:rPr>
          <w:rFonts w:ascii="標楷體" w:eastAsia="標楷體" w:hAnsi="標楷體" w:hint="eastAsia"/>
          <w:snapToGrid w:val="0"/>
          <w:color w:val="000000"/>
          <w:sz w:val="32"/>
          <w:szCs w:val="32"/>
        </w:rPr>
        <w:t>6</w:t>
      </w:r>
      <w:r w:rsidRPr="007F69F9">
        <w:rPr>
          <w:rFonts w:ascii="標楷體" w:eastAsia="標楷體" w:hAnsi="標楷體" w:hint="eastAsia"/>
          <w:snapToGrid w:val="0"/>
          <w:color w:val="000000"/>
          <w:sz w:val="32"/>
          <w:szCs w:val="32"/>
        </w:rPr>
        <w:t>座反應爐中的</w:t>
      </w:r>
      <w:r>
        <w:rPr>
          <w:rFonts w:ascii="標楷體" w:eastAsia="標楷體" w:hAnsi="標楷體" w:hint="eastAsia"/>
          <w:snapToGrid w:val="0"/>
          <w:color w:val="000000"/>
          <w:sz w:val="32"/>
          <w:szCs w:val="32"/>
        </w:rPr>
        <w:t>3</w:t>
      </w:r>
      <w:r w:rsidRPr="007F69F9">
        <w:rPr>
          <w:rFonts w:ascii="標楷體" w:eastAsia="標楷體" w:hAnsi="標楷體" w:hint="eastAsia"/>
          <w:snapToGrid w:val="0"/>
          <w:color w:val="000000"/>
          <w:sz w:val="32"/>
          <w:szCs w:val="32"/>
        </w:rPr>
        <w:t>座爐心熔毀，導致輻射外洩，超過128</w:t>
      </w:r>
      <w:r>
        <w:rPr>
          <w:rFonts w:ascii="標楷體" w:eastAsia="標楷體" w:hAnsi="標楷體" w:hint="eastAsia"/>
          <w:snapToGrid w:val="0"/>
          <w:color w:val="000000"/>
          <w:sz w:val="32"/>
          <w:szCs w:val="32"/>
        </w:rPr>
        <w:lastRenderedPageBreak/>
        <w:t>萬噸的核廢水至今仍儲存在福島第一</w:t>
      </w:r>
      <w:r w:rsidRPr="007F69F9">
        <w:rPr>
          <w:rFonts w:ascii="標楷體" w:eastAsia="標楷體" w:hAnsi="標楷體" w:hint="eastAsia"/>
          <w:snapToGrid w:val="0"/>
          <w:color w:val="000000"/>
          <w:sz w:val="32"/>
          <w:szCs w:val="32"/>
        </w:rPr>
        <w:t>核電廠中，且每日仍持續產生約140</w:t>
      </w:r>
      <w:r>
        <w:rPr>
          <w:rFonts w:ascii="標楷體" w:eastAsia="標楷體" w:hAnsi="標楷體" w:hint="eastAsia"/>
          <w:snapToGrid w:val="0"/>
          <w:color w:val="000000"/>
          <w:sz w:val="32"/>
          <w:szCs w:val="32"/>
        </w:rPr>
        <w:t>立方公尺的污染水。然而</w:t>
      </w:r>
      <w:r w:rsidRPr="007F69F9">
        <w:rPr>
          <w:rFonts w:ascii="標楷體" w:eastAsia="標楷體" w:hAnsi="標楷體" w:hint="eastAsia"/>
          <w:snapToGrid w:val="0"/>
          <w:color w:val="000000"/>
          <w:sz w:val="32"/>
          <w:szCs w:val="32"/>
        </w:rPr>
        <w:t>這些處理過的「核廢水」仍無法分離放射性同位素如氚、碳14，以及碘、釕、鍶等放射性物質，即使經ALPS處理後仍會留於水中。此項預算，係依行政院111年5月4日核定之「國家海域放射性物質擴散預警及安全評估應對計畫」辦理日本福島核災含氚廢水海洋排放後之措施。然預算並未詳細說明執行狀況計畫成果與效益，難以審認預算成效。爰</w:t>
      </w:r>
      <w:r>
        <w:rPr>
          <w:rFonts w:ascii="標楷體" w:eastAsia="標楷體" w:hAnsi="標楷體" w:hint="eastAsia"/>
          <w:snapToGrid w:val="0"/>
          <w:color w:val="000000"/>
          <w:sz w:val="32"/>
          <w:szCs w:val="32"/>
        </w:rPr>
        <w:t>請</w:t>
      </w:r>
      <w:r w:rsidRPr="00A83B67">
        <w:rPr>
          <w:rFonts w:ascii="標楷體" w:eastAsia="標楷體" w:hAnsi="標楷體" w:hint="eastAsia"/>
          <w:snapToGrid w:val="0"/>
          <w:color w:val="000000"/>
          <w:sz w:val="32"/>
          <w:szCs w:val="32"/>
        </w:rPr>
        <w:t>行政院原子能委員會核能研究所</w:t>
      </w:r>
      <w:r w:rsidRPr="007F69F9">
        <w:rPr>
          <w:rFonts w:ascii="標楷體" w:eastAsia="標楷體" w:hAnsi="標楷體" w:hint="eastAsia"/>
          <w:snapToGrid w:val="0"/>
          <w:color w:val="000000"/>
          <w:sz w:val="32"/>
          <w:szCs w:val="32"/>
        </w:rPr>
        <w:t>於</w:t>
      </w:r>
      <w:r>
        <w:rPr>
          <w:rFonts w:ascii="標楷體" w:eastAsia="標楷體" w:hAnsi="標楷體" w:hint="eastAsia"/>
          <w:snapToGrid w:val="0"/>
          <w:color w:val="000000"/>
          <w:sz w:val="32"/>
          <w:szCs w:val="32"/>
        </w:rPr>
        <w:t>3</w:t>
      </w:r>
      <w:r w:rsidRPr="007F69F9">
        <w:rPr>
          <w:rFonts w:ascii="標楷體" w:eastAsia="標楷體" w:hAnsi="標楷體" w:hint="eastAsia"/>
          <w:snapToGrid w:val="0"/>
          <w:color w:val="000000"/>
          <w:sz w:val="32"/>
          <w:szCs w:val="32"/>
        </w:rPr>
        <w:t>個月內向立法院教育及文化委員會提出書面報告。</w:t>
      </w:r>
      <w:r>
        <w:rPr>
          <w:rFonts w:ascii="標楷體" w:eastAsia="標楷體" w:hAnsi="標楷體"/>
          <w:snapToGrid w:val="0"/>
          <w:color w:val="000000"/>
          <w:sz w:val="32"/>
          <w:szCs w:val="32"/>
        </w:rPr>
        <w:t>110</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提案人：鄭正鈐</w:t>
      </w:r>
    </w:p>
    <w:p w:rsidR="00A52DD2" w:rsidRPr="00B70493" w:rsidRDefault="00A52DD2" w:rsidP="00F035E0">
      <w:pPr>
        <w:snapToGrid w:val="0"/>
        <w:spacing w:line="460" w:lineRule="exact"/>
        <w:ind w:leftChars="1250" w:left="4280" w:hangingChars="400" w:hanging="1280"/>
        <w:jc w:val="both"/>
        <w:rPr>
          <w:rFonts w:ascii="標楷體" w:eastAsia="標楷體" w:hAnsi="標楷體"/>
          <w:bCs/>
          <w:sz w:val="32"/>
          <w:szCs w:val="32"/>
        </w:rPr>
      </w:pPr>
      <w:r>
        <w:rPr>
          <w:rFonts w:ascii="標楷體" w:eastAsia="標楷體" w:hAnsi="標楷體" w:hint="eastAsia"/>
          <w:snapToGrid w:val="0"/>
          <w:color w:val="000000"/>
          <w:sz w:val="32"/>
          <w:szCs w:val="32"/>
        </w:rPr>
        <w:t>連署人：陳秀寳  吳思瑤</w:t>
      </w:r>
    </w:p>
    <w:p w:rsidR="00A52DD2" w:rsidRDefault="00A52DD2" w:rsidP="00F035E0">
      <w:pPr>
        <w:snapToGrid w:val="0"/>
        <w:spacing w:beforeLines="50" w:before="180" w:line="500" w:lineRule="exact"/>
        <w:ind w:left="640" w:hangingChars="200" w:hanging="640"/>
        <w:contextualSpacing/>
        <w:jc w:val="both"/>
        <w:rPr>
          <w:rFonts w:ascii="標楷體" w:eastAsia="標楷體" w:hAnsi="標楷體"/>
          <w:bCs/>
          <w:sz w:val="32"/>
          <w:szCs w:val="32"/>
        </w:rPr>
      </w:pPr>
      <w:r w:rsidRPr="00B70493">
        <w:rPr>
          <w:rFonts w:ascii="標楷體" w:eastAsia="標楷體" w:hAnsi="標楷體"/>
          <w:bCs/>
          <w:sz w:val="32"/>
          <w:szCs w:val="32"/>
        </w:rPr>
        <w:t>二</w:t>
      </w:r>
      <w:r w:rsidRPr="00B70493">
        <w:rPr>
          <w:rFonts w:ascii="標楷體" w:eastAsia="標楷體" w:hAnsi="標楷體" w:hint="eastAsia"/>
          <w:bCs/>
          <w:sz w:val="32"/>
          <w:szCs w:val="32"/>
        </w:rPr>
        <w:t>、</w:t>
      </w:r>
      <w:r>
        <w:rPr>
          <w:rFonts w:ascii="標楷體" w:eastAsia="標楷體" w:hAnsi="標楷體" w:hint="eastAsia"/>
          <w:bCs/>
          <w:sz w:val="32"/>
          <w:szCs w:val="32"/>
        </w:rPr>
        <w:t>112</w:t>
      </w:r>
      <w:r w:rsidRPr="009A0D81">
        <w:rPr>
          <w:rFonts w:ascii="標楷體" w:eastAsia="標楷體" w:hAnsi="標楷體" w:hint="eastAsia"/>
          <w:bCs/>
          <w:sz w:val="32"/>
          <w:szCs w:val="32"/>
        </w:rPr>
        <w:t>年度中央政府總預算案有關原子能委員會主管核子事故緊急應變基金附屬單位預算案，審查完竣。審查結果如下：</w:t>
      </w:r>
    </w:p>
    <w:p w:rsidR="00A52DD2" w:rsidRPr="00FB7CC2" w:rsidRDefault="00A52DD2" w:rsidP="00F035E0">
      <w:pPr>
        <w:snapToGrid w:val="0"/>
        <w:spacing w:before="120" w:line="440" w:lineRule="exact"/>
        <w:ind w:leftChars="11" w:left="666" w:hangingChars="200" w:hanging="640"/>
        <w:jc w:val="both"/>
        <w:rPr>
          <w:rFonts w:ascii="標楷體" w:eastAsia="標楷體" w:hAnsi="標楷體"/>
          <w:snapToGrid w:val="0"/>
          <w:color w:val="000000"/>
          <w:sz w:val="32"/>
          <w:szCs w:val="32"/>
        </w:rPr>
      </w:pPr>
      <w:r w:rsidRPr="00FB7CC2">
        <w:rPr>
          <w:rFonts w:ascii="標楷體" w:eastAsia="標楷體" w:hAnsi="標楷體" w:hint="eastAsia"/>
          <w:snapToGrid w:val="0"/>
          <w:color w:val="000000"/>
          <w:sz w:val="32"/>
          <w:szCs w:val="32"/>
        </w:rPr>
        <w:t>一、</w:t>
      </w:r>
      <w:r w:rsidRPr="00FB7CC2">
        <w:rPr>
          <w:rFonts w:ascii="標楷體" w:eastAsia="標楷體" w:hAnsi="標楷體" w:hint="eastAsia"/>
          <w:b/>
          <w:color w:val="000000"/>
          <w:sz w:val="32"/>
          <w:szCs w:val="32"/>
        </w:rPr>
        <w:t>核子事故緊急應變基金</w:t>
      </w:r>
    </w:p>
    <w:p w:rsidR="00A52DD2" w:rsidRPr="00FB7CC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hint="eastAsia"/>
          <w:snapToGrid w:val="0"/>
          <w:color w:val="000000"/>
          <w:sz w:val="32"/>
          <w:szCs w:val="32"/>
        </w:rPr>
        <w:t>(一)</w:t>
      </w:r>
      <w:r w:rsidRPr="00FB7CC2">
        <w:rPr>
          <w:rFonts w:ascii="標楷體" w:eastAsia="標楷體" w:hAnsi="標楷體"/>
          <w:snapToGrid w:val="0"/>
          <w:color w:val="000000"/>
          <w:sz w:val="32"/>
          <w:szCs w:val="32"/>
        </w:rPr>
        <w:t>業務計畫：應依據基金來源與用途審查結果，隨同調整。</w:t>
      </w:r>
    </w:p>
    <w:p w:rsidR="00A52DD2" w:rsidRPr="00FB7CC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hint="eastAsia"/>
          <w:snapToGrid w:val="0"/>
          <w:color w:val="000000"/>
          <w:sz w:val="32"/>
          <w:szCs w:val="32"/>
        </w:rPr>
        <w:t>(二)</w:t>
      </w:r>
      <w:r w:rsidRPr="00FB7CC2">
        <w:rPr>
          <w:rFonts w:ascii="標楷體" w:eastAsia="標楷體" w:hAnsi="標楷體"/>
          <w:snapToGrid w:val="0"/>
          <w:color w:val="000000"/>
          <w:sz w:val="32"/>
          <w:szCs w:val="32"/>
        </w:rPr>
        <w:t>基金來源、用途及餘絀：</w:t>
      </w:r>
    </w:p>
    <w:p w:rsidR="00A52DD2" w:rsidRPr="00251FB7" w:rsidRDefault="00A52DD2" w:rsidP="00F035E0">
      <w:pPr>
        <w:kinsoku w:val="0"/>
        <w:overflowPunct w:val="0"/>
        <w:spacing w:before="120" w:line="500" w:lineRule="exact"/>
        <w:ind w:leftChars="250" w:left="2520" w:hangingChars="600" w:hanging="1920"/>
        <w:jc w:val="both"/>
        <w:textAlignment w:val="center"/>
        <w:rPr>
          <w:rFonts w:ascii="標楷體" w:eastAsia="標楷體" w:hAnsi="標楷體"/>
          <w:snapToGrid w:val="0"/>
          <w:sz w:val="32"/>
          <w:szCs w:val="32"/>
        </w:rPr>
      </w:pPr>
      <w:r w:rsidRPr="00251FB7">
        <w:rPr>
          <w:rFonts w:ascii="標楷體" w:eastAsia="標楷體" w:hAnsi="標楷體" w:hint="eastAsia"/>
          <w:snapToGrid w:val="0"/>
          <w:sz w:val="32"/>
          <w:szCs w:val="32"/>
        </w:rPr>
        <w:t>1.</w:t>
      </w:r>
      <w:r w:rsidRPr="00251FB7">
        <w:rPr>
          <w:rFonts w:ascii="標楷體" w:eastAsia="標楷體" w:hAnsi="標楷體"/>
          <w:snapToGrid w:val="0"/>
          <w:sz w:val="32"/>
          <w:szCs w:val="32"/>
        </w:rPr>
        <w:t>基金來源：</w:t>
      </w:r>
      <w:r w:rsidRPr="00251FB7">
        <w:rPr>
          <w:rFonts w:ascii="標楷體" w:eastAsia="標楷體" w:hAnsi="標楷體" w:hint="eastAsia"/>
          <w:snapToGrid w:val="0"/>
          <w:sz w:val="32"/>
          <w:szCs w:val="32"/>
        </w:rPr>
        <w:t>1億1,694萬9千元</w:t>
      </w:r>
      <w:r w:rsidRPr="00251FB7">
        <w:rPr>
          <w:rFonts w:ascii="標楷體" w:eastAsia="標楷體" w:hAnsi="標楷體"/>
          <w:snapToGrid w:val="0"/>
          <w:sz w:val="32"/>
          <w:szCs w:val="32"/>
        </w:rPr>
        <w:t>，</w:t>
      </w:r>
      <w:r w:rsidRPr="00251FB7">
        <w:rPr>
          <w:rFonts w:ascii="標楷體" w:eastAsia="標楷體" w:hAnsi="標楷體" w:hint="eastAsia"/>
          <w:snapToGrid w:val="0"/>
          <w:sz w:val="32"/>
          <w:szCs w:val="32"/>
        </w:rPr>
        <w:t>照列</w:t>
      </w:r>
      <w:r w:rsidRPr="00251FB7">
        <w:rPr>
          <w:rFonts w:ascii="標楷體" w:eastAsia="標楷體" w:hAnsi="標楷體"/>
          <w:snapToGrid w:val="0"/>
          <w:sz w:val="32"/>
          <w:szCs w:val="32"/>
        </w:rPr>
        <w:t>。</w:t>
      </w:r>
    </w:p>
    <w:p w:rsidR="00A52DD2" w:rsidRPr="00251FB7" w:rsidRDefault="00A52DD2" w:rsidP="00F035E0">
      <w:pPr>
        <w:kinsoku w:val="0"/>
        <w:overflowPunct w:val="0"/>
        <w:spacing w:before="120" w:line="500" w:lineRule="exact"/>
        <w:ind w:leftChars="250" w:left="2520" w:hangingChars="600" w:hanging="1920"/>
        <w:jc w:val="both"/>
        <w:textAlignment w:val="center"/>
        <w:rPr>
          <w:rFonts w:ascii="標楷體" w:eastAsia="標楷體" w:hAnsi="標楷體"/>
          <w:snapToGrid w:val="0"/>
          <w:sz w:val="32"/>
          <w:szCs w:val="32"/>
        </w:rPr>
      </w:pPr>
      <w:r w:rsidRPr="00251FB7">
        <w:rPr>
          <w:rFonts w:ascii="標楷體" w:eastAsia="標楷體" w:hAnsi="標楷體" w:hint="eastAsia"/>
          <w:snapToGrid w:val="0"/>
          <w:sz w:val="32"/>
          <w:szCs w:val="32"/>
        </w:rPr>
        <w:t>2.</w:t>
      </w:r>
      <w:r w:rsidRPr="00251FB7">
        <w:rPr>
          <w:rFonts w:ascii="標楷體" w:eastAsia="標楷體" w:hAnsi="標楷體"/>
          <w:snapToGrid w:val="0"/>
          <w:sz w:val="32"/>
          <w:szCs w:val="32"/>
        </w:rPr>
        <w:t>基金用途：</w:t>
      </w:r>
      <w:r w:rsidRPr="00251FB7">
        <w:rPr>
          <w:rFonts w:ascii="標楷體" w:eastAsia="標楷體" w:hAnsi="標楷體" w:hint="eastAsia"/>
          <w:snapToGrid w:val="0"/>
          <w:sz w:val="32"/>
          <w:szCs w:val="32"/>
        </w:rPr>
        <w:t>9,446萬4千元</w:t>
      </w:r>
      <w:r w:rsidRPr="00251FB7">
        <w:rPr>
          <w:rFonts w:ascii="標楷體" w:eastAsia="標楷體" w:hAnsi="標楷體"/>
          <w:snapToGrid w:val="0"/>
          <w:sz w:val="32"/>
          <w:szCs w:val="32"/>
        </w:rPr>
        <w:t>，</w:t>
      </w:r>
      <w:r w:rsidRPr="00251FB7">
        <w:rPr>
          <w:rFonts w:ascii="標楷體" w:eastAsia="標楷體" w:hAnsi="標楷體" w:hint="eastAsia"/>
          <w:snapToGrid w:val="0"/>
          <w:sz w:val="32"/>
          <w:szCs w:val="32"/>
        </w:rPr>
        <w:t>照列</w:t>
      </w:r>
      <w:r w:rsidRPr="00251FB7">
        <w:rPr>
          <w:rFonts w:ascii="標楷體" w:eastAsia="標楷體" w:hAnsi="標楷體"/>
          <w:snapToGrid w:val="0"/>
          <w:sz w:val="32"/>
          <w:szCs w:val="32"/>
        </w:rPr>
        <w:t>。</w:t>
      </w:r>
    </w:p>
    <w:p w:rsidR="00A52DD2" w:rsidRPr="00251FB7" w:rsidRDefault="00A52DD2" w:rsidP="00F035E0">
      <w:pPr>
        <w:kinsoku w:val="0"/>
        <w:overflowPunct w:val="0"/>
        <w:spacing w:before="120" w:line="500" w:lineRule="exact"/>
        <w:ind w:leftChars="250" w:left="2424" w:hangingChars="570" w:hanging="1824"/>
        <w:jc w:val="both"/>
        <w:textAlignment w:val="center"/>
        <w:rPr>
          <w:rFonts w:ascii="標楷體" w:eastAsia="標楷體" w:hAnsi="標楷體"/>
          <w:snapToGrid w:val="0"/>
          <w:sz w:val="32"/>
          <w:szCs w:val="32"/>
        </w:rPr>
      </w:pPr>
      <w:r w:rsidRPr="00251FB7">
        <w:rPr>
          <w:rFonts w:ascii="標楷體" w:eastAsia="標楷體" w:hAnsi="標楷體" w:hint="eastAsia"/>
          <w:snapToGrid w:val="0"/>
          <w:sz w:val="32"/>
          <w:szCs w:val="32"/>
        </w:rPr>
        <w:t>3.</w:t>
      </w:r>
      <w:r w:rsidRPr="00251FB7">
        <w:rPr>
          <w:rFonts w:ascii="標楷體" w:eastAsia="標楷體" w:hAnsi="標楷體"/>
          <w:snapToGrid w:val="0"/>
          <w:sz w:val="32"/>
          <w:szCs w:val="32"/>
        </w:rPr>
        <w:t>本期</w:t>
      </w:r>
      <w:r w:rsidRPr="00251FB7">
        <w:rPr>
          <w:rFonts w:ascii="標楷體" w:eastAsia="標楷體" w:hAnsi="標楷體" w:hint="eastAsia"/>
          <w:snapToGrid w:val="0"/>
          <w:sz w:val="32"/>
          <w:szCs w:val="32"/>
        </w:rPr>
        <w:t>賸餘</w:t>
      </w:r>
      <w:r w:rsidRPr="00251FB7">
        <w:rPr>
          <w:rFonts w:ascii="標楷體" w:eastAsia="標楷體" w:hAnsi="標楷體"/>
          <w:snapToGrid w:val="0"/>
          <w:sz w:val="32"/>
          <w:szCs w:val="32"/>
        </w:rPr>
        <w:t>：</w:t>
      </w:r>
      <w:r w:rsidRPr="00251FB7">
        <w:rPr>
          <w:rFonts w:ascii="標楷體" w:eastAsia="標楷體" w:hAnsi="標楷體" w:hint="eastAsia"/>
          <w:snapToGrid w:val="0"/>
          <w:sz w:val="32"/>
          <w:szCs w:val="32"/>
        </w:rPr>
        <w:t>2,248萬</w:t>
      </w:r>
      <w:r w:rsidRPr="00251FB7">
        <w:rPr>
          <w:rFonts w:ascii="標楷體" w:eastAsia="標楷體" w:hAnsi="標楷體"/>
          <w:snapToGrid w:val="0"/>
          <w:sz w:val="32"/>
          <w:szCs w:val="32"/>
        </w:rPr>
        <w:t>5</w:t>
      </w:r>
      <w:r w:rsidRPr="00251FB7">
        <w:rPr>
          <w:rFonts w:ascii="標楷體" w:eastAsia="標楷體" w:hAnsi="標楷體" w:hint="eastAsia"/>
          <w:snapToGrid w:val="0"/>
          <w:sz w:val="32"/>
          <w:szCs w:val="32"/>
        </w:rPr>
        <w:t>千元，照列</w:t>
      </w:r>
      <w:r w:rsidRPr="00251FB7">
        <w:rPr>
          <w:rFonts w:ascii="標楷體" w:eastAsia="標楷體" w:hAnsi="標楷體"/>
          <w:snapToGrid w:val="0"/>
          <w:sz w:val="32"/>
          <w:szCs w:val="32"/>
        </w:rPr>
        <w:t>。</w:t>
      </w:r>
    </w:p>
    <w:p w:rsidR="00A52DD2" w:rsidRPr="00FB7CC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hint="eastAsia"/>
          <w:snapToGrid w:val="0"/>
          <w:color w:val="000000"/>
          <w:sz w:val="32"/>
          <w:szCs w:val="32"/>
        </w:rPr>
        <w:t>(三)</w:t>
      </w:r>
      <w:r w:rsidRPr="00FB7CC2">
        <w:rPr>
          <w:rFonts w:ascii="標楷體" w:eastAsia="標楷體" w:hAnsi="標楷體"/>
          <w:snapToGrid w:val="0"/>
          <w:color w:val="000000"/>
          <w:sz w:val="32"/>
          <w:szCs w:val="32"/>
        </w:rPr>
        <w:t>解繳</w:t>
      </w:r>
      <w:r w:rsidRPr="00FB7CC2">
        <w:rPr>
          <w:rFonts w:ascii="標楷體" w:eastAsia="標楷體" w:hAnsi="標楷體" w:hint="eastAsia"/>
          <w:snapToGrid w:val="0"/>
          <w:color w:val="000000"/>
          <w:sz w:val="32"/>
          <w:szCs w:val="32"/>
        </w:rPr>
        <w:t>公</w:t>
      </w:r>
      <w:r w:rsidRPr="00FB7CC2">
        <w:rPr>
          <w:rFonts w:ascii="標楷體" w:eastAsia="標楷體" w:hAnsi="標楷體"/>
          <w:snapToGrid w:val="0"/>
          <w:color w:val="000000"/>
          <w:sz w:val="32"/>
          <w:szCs w:val="32"/>
        </w:rPr>
        <w:t>庫：無列數。</w:t>
      </w:r>
    </w:p>
    <w:p w:rsidR="00A52DD2" w:rsidRPr="00FB7CC2"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hint="eastAsia"/>
          <w:snapToGrid w:val="0"/>
          <w:color w:val="000000"/>
          <w:sz w:val="32"/>
          <w:szCs w:val="32"/>
        </w:rPr>
        <w:t>(四)通過決議</w:t>
      </w:r>
      <w:r>
        <w:rPr>
          <w:rFonts w:ascii="標楷體" w:eastAsia="標楷體" w:hAnsi="標楷體" w:hint="eastAsia"/>
          <w:snapToGrid w:val="0"/>
          <w:color w:val="000000"/>
          <w:sz w:val="32"/>
          <w:szCs w:val="32"/>
        </w:rPr>
        <w:t>5</w:t>
      </w:r>
      <w:r w:rsidRPr="00FB7CC2">
        <w:rPr>
          <w:rFonts w:ascii="標楷體" w:eastAsia="標楷體" w:hAnsi="標楷體" w:hint="eastAsia"/>
          <w:snapToGrid w:val="0"/>
          <w:color w:val="000000"/>
          <w:sz w:val="32"/>
          <w:szCs w:val="32"/>
        </w:rPr>
        <w:t>項：</w:t>
      </w:r>
    </w:p>
    <w:p w:rsidR="00A52DD2" w:rsidRPr="00FB7CC2" w:rsidRDefault="00A52DD2" w:rsidP="00F035E0">
      <w:pPr>
        <w:kinsoku w:val="0"/>
        <w:overflowPunct w:val="0"/>
        <w:spacing w:before="120" w:line="500" w:lineRule="exact"/>
        <w:ind w:leftChars="250" w:left="920" w:hangingChars="100" w:hanging="320"/>
        <w:jc w:val="both"/>
        <w:textAlignment w:val="center"/>
        <w:rPr>
          <w:rFonts w:ascii="標楷體" w:eastAsia="標楷體" w:hAnsi="標楷體"/>
          <w:snapToGrid w:val="0"/>
          <w:color w:val="000000"/>
          <w:sz w:val="32"/>
          <w:szCs w:val="32"/>
        </w:rPr>
      </w:pPr>
      <w:r w:rsidRPr="00FB7CC2">
        <w:rPr>
          <w:rFonts w:ascii="標楷體" w:eastAsia="標楷體" w:hAnsi="標楷體" w:hint="eastAsia"/>
          <w:snapToGrid w:val="0"/>
          <w:color w:val="000000"/>
          <w:sz w:val="32"/>
          <w:szCs w:val="32"/>
        </w:rPr>
        <w:t>1.</w:t>
      </w:r>
      <w:r>
        <w:rPr>
          <w:rFonts w:ascii="標楷體" w:eastAsia="標楷體" w:hAnsi="標楷體" w:hint="eastAsia"/>
          <w:snapToGrid w:val="0"/>
          <w:color w:val="000000"/>
          <w:sz w:val="32"/>
          <w:szCs w:val="32"/>
        </w:rPr>
        <w:t>經查</w:t>
      </w:r>
      <w:r w:rsidRPr="00A83B67">
        <w:rPr>
          <w:rFonts w:ascii="標楷體" w:eastAsia="標楷體" w:hAnsi="標楷體" w:hint="eastAsia"/>
          <w:snapToGrid w:val="0"/>
          <w:color w:val="000000"/>
          <w:sz w:val="32"/>
          <w:szCs w:val="32"/>
        </w:rPr>
        <w:t>近</w:t>
      </w:r>
      <w:r>
        <w:rPr>
          <w:rFonts w:ascii="標楷體" w:eastAsia="標楷體" w:hAnsi="標楷體" w:hint="eastAsia"/>
          <w:snapToGrid w:val="0"/>
          <w:color w:val="000000"/>
          <w:sz w:val="32"/>
          <w:szCs w:val="32"/>
        </w:rPr>
        <w:t>3</w:t>
      </w:r>
      <w:r w:rsidRPr="00A83B67">
        <w:rPr>
          <w:rFonts w:ascii="標楷體" w:eastAsia="標楷體" w:hAnsi="標楷體" w:hint="eastAsia"/>
          <w:snapToGrid w:val="0"/>
          <w:color w:val="000000"/>
          <w:sz w:val="32"/>
          <w:szCs w:val="32"/>
        </w:rPr>
        <w:t>年辦理對各緊急應變計畫區家訪，惟民眾參與</w:t>
      </w:r>
      <w:r w:rsidRPr="002C1828">
        <w:rPr>
          <w:rFonts w:ascii="標楷體" w:eastAsia="標楷體" w:hAnsi="標楷體" w:hint="eastAsia"/>
          <w:snapToGrid w:val="0"/>
          <w:color w:val="000000"/>
          <w:sz w:val="32"/>
          <w:szCs w:val="32"/>
        </w:rPr>
        <w:t>行政院原子能委員會</w:t>
      </w:r>
      <w:r w:rsidRPr="00A83B67">
        <w:rPr>
          <w:rFonts w:ascii="標楷體" w:eastAsia="標楷體" w:hAnsi="標楷體" w:hint="eastAsia"/>
          <w:snapToGrid w:val="0"/>
          <w:color w:val="000000"/>
          <w:sz w:val="32"/>
          <w:szCs w:val="32"/>
        </w:rPr>
        <w:t>活動之意願仍不高，應加強檢討並強化傳達核子事故防護知識之管道。爰此，請</w:t>
      </w:r>
      <w:r>
        <w:rPr>
          <w:rFonts w:ascii="標楷體" w:eastAsia="標楷體" w:hAnsi="標楷體" w:hint="eastAsia"/>
          <w:snapToGrid w:val="0"/>
          <w:color w:val="000000"/>
          <w:sz w:val="32"/>
          <w:szCs w:val="32"/>
        </w:rPr>
        <w:t>行政院原子能委員會</w:t>
      </w:r>
      <w:r w:rsidRPr="00A83B67">
        <w:rPr>
          <w:rFonts w:ascii="標楷體" w:eastAsia="標楷體" w:hAnsi="標楷體" w:hint="eastAsia"/>
          <w:snapToGrid w:val="0"/>
          <w:color w:val="000000"/>
          <w:sz w:val="32"/>
          <w:szCs w:val="32"/>
        </w:rPr>
        <w:t>針對上述問題於</w:t>
      </w:r>
      <w:r>
        <w:rPr>
          <w:rFonts w:ascii="標楷體" w:eastAsia="標楷體" w:hAnsi="標楷體" w:hint="eastAsia"/>
          <w:snapToGrid w:val="0"/>
          <w:color w:val="000000"/>
          <w:sz w:val="32"/>
          <w:szCs w:val="32"/>
        </w:rPr>
        <w:t>2</w:t>
      </w:r>
      <w:r w:rsidRPr="00A83B67">
        <w:rPr>
          <w:rFonts w:ascii="標楷體" w:eastAsia="標楷體" w:hAnsi="標楷體" w:hint="eastAsia"/>
          <w:snapToGrid w:val="0"/>
          <w:color w:val="000000"/>
          <w:sz w:val="32"/>
          <w:szCs w:val="32"/>
        </w:rPr>
        <w:t>個月內向立法院教育及文化委員會提出書面</w:t>
      </w:r>
      <w:r w:rsidRPr="00A83B67">
        <w:rPr>
          <w:rFonts w:ascii="標楷體" w:eastAsia="標楷體" w:hAnsi="標楷體" w:hint="eastAsia"/>
          <w:snapToGrid w:val="0"/>
          <w:color w:val="000000"/>
          <w:sz w:val="32"/>
          <w:szCs w:val="32"/>
        </w:rPr>
        <w:lastRenderedPageBreak/>
        <w:t>檢討報告。</w:t>
      </w:r>
      <w:r>
        <w:rPr>
          <w:rFonts w:ascii="標楷體" w:eastAsia="標楷體" w:hAnsi="標楷體"/>
          <w:snapToGrid w:val="0"/>
          <w:color w:val="000000"/>
          <w:sz w:val="32"/>
          <w:szCs w:val="32"/>
        </w:rPr>
        <w:t>4</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提案人：陳秀寳</w:t>
      </w:r>
    </w:p>
    <w:p w:rsidR="00A52DD2" w:rsidRPr="00B70493" w:rsidRDefault="00A52DD2" w:rsidP="00F035E0">
      <w:pPr>
        <w:snapToGrid w:val="0"/>
        <w:spacing w:line="460" w:lineRule="exact"/>
        <w:ind w:leftChars="1250" w:left="4280" w:hangingChars="400" w:hanging="1280"/>
        <w:jc w:val="both"/>
        <w:rPr>
          <w:rFonts w:ascii="標楷體" w:eastAsia="標楷體" w:hAnsi="標楷體"/>
          <w:bCs/>
          <w:sz w:val="32"/>
          <w:szCs w:val="32"/>
        </w:rPr>
      </w:pPr>
      <w:r>
        <w:rPr>
          <w:rFonts w:ascii="標楷體" w:eastAsia="標楷體" w:hAnsi="標楷體" w:hint="eastAsia"/>
          <w:snapToGrid w:val="0"/>
          <w:color w:val="000000"/>
          <w:sz w:val="32"/>
          <w:szCs w:val="32"/>
        </w:rPr>
        <w:t>連署人：吳思瑤  黃國書</w:t>
      </w:r>
    </w:p>
    <w:p w:rsidR="00A52DD2" w:rsidRPr="00FB7CC2" w:rsidRDefault="00A52DD2" w:rsidP="00F035E0">
      <w:pPr>
        <w:kinsoku w:val="0"/>
        <w:overflowPunct w:val="0"/>
        <w:spacing w:before="120" w:line="500" w:lineRule="exact"/>
        <w:ind w:leftChars="250" w:left="920" w:hangingChars="100" w:hanging="320"/>
        <w:jc w:val="both"/>
        <w:textAlignment w:val="center"/>
        <w:rPr>
          <w:rFonts w:ascii="標楷體" w:eastAsia="標楷體" w:hAnsi="標楷體"/>
          <w:snapToGrid w:val="0"/>
          <w:color w:val="000000"/>
          <w:sz w:val="32"/>
          <w:szCs w:val="32"/>
        </w:rPr>
      </w:pPr>
      <w:r>
        <w:rPr>
          <w:rFonts w:ascii="標楷體" w:eastAsia="標楷體" w:hAnsi="標楷體"/>
          <w:snapToGrid w:val="0"/>
          <w:color w:val="000000"/>
          <w:sz w:val="32"/>
          <w:szCs w:val="32"/>
        </w:rPr>
        <w:t>2</w:t>
      </w:r>
      <w:r w:rsidRPr="00FB7CC2">
        <w:rPr>
          <w:rFonts w:ascii="標楷體" w:eastAsia="標楷體" w:hAnsi="標楷體" w:hint="eastAsia"/>
          <w:snapToGrid w:val="0"/>
          <w:color w:val="000000"/>
          <w:sz w:val="32"/>
          <w:szCs w:val="32"/>
        </w:rPr>
        <w:t>.</w:t>
      </w:r>
      <w:r w:rsidRPr="00A83B67">
        <w:rPr>
          <w:rFonts w:ascii="標楷體" w:eastAsia="標楷體" w:hAnsi="標楷體" w:hint="eastAsia"/>
          <w:snapToGrid w:val="0"/>
          <w:color w:val="000000"/>
          <w:sz w:val="32"/>
          <w:szCs w:val="32"/>
        </w:rPr>
        <w:t>112年度</w:t>
      </w:r>
      <w:r w:rsidRPr="001E4C49">
        <w:rPr>
          <w:rFonts w:ascii="標楷體" w:eastAsia="標楷體" w:hAnsi="標楷體" w:hint="eastAsia"/>
          <w:snapToGrid w:val="0"/>
          <w:color w:val="000000"/>
          <w:sz w:val="32"/>
          <w:szCs w:val="32"/>
        </w:rPr>
        <w:t>核子事故緊急應變基金</w:t>
      </w:r>
      <w:r w:rsidRPr="00A83B67">
        <w:rPr>
          <w:rFonts w:ascii="標楷體" w:eastAsia="標楷體" w:hAnsi="標楷體" w:hint="eastAsia"/>
          <w:snapToGrid w:val="0"/>
          <w:color w:val="000000"/>
          <w:sz w:val="32"/>
          <w:szCs w:val="32"/>
        </w:rPr>
        <w:t>「核子事故中央災害應變工作計畫」</w:t>
      </w:r>
      <w:r>
        <w:rPr>
          <w:rFonts w:ascii="標楷體" w:eastAsia="標楷體" w:hAnsi="標楷體" w:hint="eastAsia"/>
          <w:snapToGrid w:val="0"/>
          <w:color w:val="000000"/>
          <w:sz w:val="32"/>
          <w:szCs w:val="32"/>
        </w:rPr>
        <w:t>項下「服務費用」中「專業服務費」之「電腦軟體服務費」之「全民原能會APP相關之軟體維護費」</w:t>
      </w:r>
      <w:r w:rsidRPr="00A83B67">
        <w:rPr>
          <w:rFonts w:ascii="標楷體" w:eastAsia="標楷體" w:hAnsi="標楷體" w:hint="eastAsia"/>
          <w:snapToGrid w:val="0"/>
          <w:color w:val="000000"/>
          <w:sz w:val="32"/>
          <w:szCs w:val="32"/>
        </w:rPr>
        <w:t>預算編列10萬元</w:t>
      </w:r>
      <w:r>
        <w:rPr>
          <w:rFonts w:ascii="標楷體" w:eastAsia="標楷體" w:hAnsi="標楷體" w:hint="eastAsia"/>
          <w:snapToGrid w:val="0"/>
          <w:color w:val="000000"/>
          <w:sz w:val="32"/>
          <w:szCs w:val="32"/>
        </w:rPr>
        <w:t>，</w:t>
      </w:r>
      <w:r w:rsidRPr="00A83B67">
        <w:rPr>
          <w:rFonts w:ascii="標楷體" w:eastAsia="標楷體" w:hAnsi="標楷體" w:hint="eastAsia"/>
          <w:snapToGrid w:val="0"/>
          <w:color w:val="000000"/>
          <w:sz w:val="32"/>
          <w:szCs w:val="32"/>
        </w:rPr>
        <w:t>辦理「全民原能會」APP相關之軟體維護。經查</w:t>
      </w:r>
      <w:r>
        <w:rPr>
          <w:rFonts w:ascii="標楷體" w:eastAsia="標楷體" w:hAnsi="標楷體" w:hint="eastAsia"/>
          <w:snapToGrid w:val="0"/>
          <w:color w:val="000000"/>
          <w:sz w:val="32"/>
          <w:szCs w:val="32"/>
        </w:rPr>
        <w:t>行政院</w:t>
      </w:r>
      <w:r w:rsidRPr="00A83B67">
        <w:rPr>
          <w:rFonts w:ascii="標楷體" w:eastAsia="標楷體" w:hAnsi="標楷體" w:hint="eastAsia"/>
          <w:snapToGrid w:val="0"/>
          <w:color w:val="000000"/>
          <w:sz w:val="32"/>
          <w:szCs w:val="32"/>
        </w:rPr>
        <w:t>原</w:t>
      </w:r>
      <w:r>
        <w:rPr>
          <w:rFonts w:ascii="標楷體" w:eastAsia="標楷體" w:hAnsi="標楷體" w:hint="eastAsia"/>
          <w:snapToGrid w:val="0"/>
          <w:color w:val="000000"/>
          <w:sz w:val="32"/>
          <w:szCs w:val="32"/>
        </w:rPr>
        <w:t>子</w:t>
      </w:r>
      <w:r w:rsidRPr="00A83B67">
        <w:rPr>
          <w:rFonts w:ascii="標楷體" w:eastAsia="標楷體" w:hAnsi="標楷體" w:hint="eastAsia"/>
          <w:snapToGrid w:val="0"/>
          <w:color w:val="000000"/>
          <w:sz w:val="32"/>
          <w:szCs w:val="32"/>
        </w:rPr>
        <w:t>能</w:t>
      </w:r>
      <w:r>
        <w:rPr>
          <w:rFonts w:ascii="標楷體" w:eastAsia="標楷體" w:hAnsi="標楷體" w:hint="eastAsia"/>
          <w:snapToGrid w:val="0"/>
          <w:color w:val="000000"/>
          <w:sz w:val="32"/>
          <w:szCs w:val="32"/>
        </w:rPr>
        <w:t>委員</w:t>
      </w:r>
      <w:r w:rsidRPr="00A83B67">
        <w:rPr>
          <w:rFonts w:ascii="標楷體" w:eastAsia="標楷體" w:hAnsi="標楷體" w:hint="eastAsia"/>
          <w:snapToGrid w:val="0"/>
          <w:color w:val="000000"/>
          <w:sz w:val="32"/>
          <w:szCs w:val="32"/>
        </w:rPr>
        <w:t>會自101年建置「核安即時通」APP</w:t>
      </w:r>
      <w:r>
        <w:rPr>
          <w:rFonts w:ascii="標楷體" w:eastAsia="標楷體" w:hAnsi="標楷體" w:hint="eastAsia"/>
          <w:snapToGrid w:val="0"/>
          <w:color w:val="000000"/>
          <w:sz w:val="32"/>
          <w:szCs w:val="32"/>
        </w:rPr>
        <w:t>，</w:t>
      </w:r>
      <w:r w:rsidRPr="00A83B67">
        <w:rPr>
          <w:rFonts w:ascii="標楷體" w:eastAsia="標楷體" w:hAnsi="標楷體" w:hint="eastAsia"/>
          <w:snapToGrid w:val="0"/>
          <w:color w:val="000000"/>
          <w:sz w:val="32"/>
          <w:szCs w:val="32"/>
        </w:rPr>
        <w:t>106年改版為「全民原能會」APP，並於111年9月改版更新，包括加快APP連線速度、增加操作流暢性、新增輻射與操作人員報名網頁及抓取使用者在地氣象資料等。惟檢視APP累計下載情形</w:t>
      </w:r>
      <w:r>
        <w:rPr>
          <w:rFonts w:ascii="標楷體" w:eastAsia="標楷體" w:hAnsi="標楷體" w:hint="eastAsia"/>
          <w:snapToGrid w:val="0"/>
          <w:color w:val="000000"/>
          <w:sz w:val="32"/>
          <w:szCs w:val="32"/>
        </w:rPr>
        <w:t>，</w:t>
      </w:r>
      <w:r w:rsidRPr="00A83B67">
        <w:rPr>
          <w:rFonts w:ascii="標楷體" w:eastAsia="標楷體" w:hAnsi="標楷體" w:hint="eastAsia"/>
          <w:snapToGrid w:val="0"/>
          <w:color w:val="000000"/>
          <w:sz w:val="32"/>
          <w:szCs w:val="32"/>
        </w:rPr>
        <w:t>「核安即時通」APP於101年4月9日上線後，</w:t>
      </w:r>
      <w:r>
        <w:rPr>
          <w:rFonts w:ascii="標楷體" w:eastAsia="標楷體" w:hAnsi="標楷體" w:hint="eastAsia"/>
          <w:snapToGrid w:val="0"/>
          <w:color w:val="000000"/>
          <w:sz w:val="32"/>
          <w:szCs w:val="32"/>
        </w:rPr>
        <w:t>101</w:t>
      </w:r>
      <w:r w:rsidRPr="00A83B67">
        <w:rPr>
          <w:rFonts w:ascii="標楷體" w:eastAsia="標楷體" w:hAnsi="標楷體" w:hint="eastAsia"/>
          <w:snapToGrid w:val="0"/>
          <w:color w:val="000000"/>
          <w:sz w:val="32"/>
          <w:szCs w:val="32"/>
        </w:rPr>
        <w:t>年底即獲下載6,636次，至106年度累計下載1</w:t>
      </w:r>
      <w:r>
        <w:rPr>
          <w:rFonts w:ascii="標楷體" w:eastAsia="標楷體" w:hAnsi="標楷體" w:hint="eastAsia"/>
          <w:snapToGrid w:val="0"/>
          <w:color w:val="000000"/>
          <w:sz w:val="32"/>
          <w:szCs w:val="32"/>
        </w:rPr>
        <w:t>萬</w:t>
      </w:r>
      <w:r w:rsidRPr="00A83B67">
        <w:rPr>
          <w:rFonts w:ascii="標楷體" w:eastAsia="標楷體" w:hAnsi="標楷體" w:hint="eastAsia"/>
          <w:snapToGrid w:val="0"/>
          <w:color w:val="000000"/>
          <w:sz w:val="32"/>
          <w:szCs w:val="32"/>
        </w:rPr>
        <w:t>2,118次。而改版擴增功能之「全民原能會」APP，迄111年7月31日下載僅1萬</w:t>
      </w:r>
      <w:r>
        <w:rPr>
          <w:rFonts w:ascii="標楷體" w:eastAsia="標楷體" w:hAnsi="標楷體" w:hint="eastAsia"/>
          <w:snapToGrid w:val="0"/>
          <w:color w:val="000000"/>
          <w:sz w:val="32"/>
          <w:szCs w:val="32"/>
        </w:rPr>
        <w:t>0</w:t>
      </w:r>
      <w:r>
        <w:rPr>
          <w:rFonts w:ascii="標楷體" w:eastAsia="標楷體" w:hAnsi="標楷體"/>
          <w:snapToGrid w:val="0"/>
          <w:color w:val="000000"/>
          <w:sz w:val="32"/>
          <w:szCs w:val="32"/>
        </w:rPr>
        <w:t>,</w:t>
      </w:r>
      <w:r w:rsidRPr="00A83B67">
        <w:rPr>
          <w:rFonts w:ascii="標楷體" w:eastAsia="標楷體" w:hAnsi="標楷體" w:hint="eastAsia"/>
          <w:snapToGrid w:val="0"/>
          <w:color w:val="000000"/>
          <w:sz w:val="32"/>
          <w:szCs w:val="32"/>
        </w:rPr>
        <w:t>309次。且位於核子事故緊急應變計畫區之民眾接觸過「全民原能會」APP比率低落，最高僅新北市之1.61%。</w:t>
      </w:r>
      <w:r>
        <w:rPr>
          <w:rFonts w:ascii="標楷體" w:eastAsia="標楷體" w:hAnsi="標楷體" w:hint="eastAsia"/>
          <w:snapToGrid w:val="0"/>
          <w:color w:val="000000"/>
          <w:sz w:val="32"/>
          <w:szCs w:val="32"/>
        </w:rPr>
        <w:t>行政院</w:t>
      </w:r>
      <w:r w:rsidRPr="00A83B67">
        <w:rPr>
          <w:rFonts w:ascii="標楷體" w:eastAsia="標楷體" w:hAnsi="標楷體" w:hint="eastAsia"/>
          <w:snapToGrid w:val="0"/>
          <w:color w:val="000000"/>
          <w:sz w:val="32"/>
          <w:szCs w:val="32"/>
        </w:rPr>
        <w:t>原</w:t>
      </w:r>
      <w:r>
        <w:rPr>
          <w:rFonts w:ascii="標楷體" w:eastAsia="標楷體" w:hAnsi="標楷體" w:hint="eastAsia"/>
          <w:snapToGrid w:val="0"/>
          <w:color w:val="000000"/>
          <w:sz w:val="32"/>
          <w:szCs w:val="32"/>
        </w:rPr>
        <w:t>子</w:t>
      </w:r>
      <w:r w:rsidRPr="00A83B67">
        <w:rPr>
          <w:rFonts w:ascii="標楷體" w:eastAsia="標楷體" w:hAnsi="標楷體" w:hint="eastAsia"/>
          <w:snapToGrid w:val="0"/>
          <w:color w:val="000000"/>
          <w:sz w:val="32"/>
          <w:szCs w:val="32"/>
        </w:rPr>
        <w:t>能</w:t>
      </w:r>
      <w:r>
        <w:rPr>
          <w:rFonts w:ascii="標楷體" w:eastAsia="標楷體" w:hAnsi="標楷體" w:hint="eastAsia"/>
          <w:snapToGrid w:val="0"/>
          <w:color w:val="000000"/>
          <w:sz w:val="32"/>
          <w:szCs w:val="32"/>
        </w:rPr>
        <w:t>委員</w:t>
      </w:r>
      <w:r w:rsidRPr="00A83B67">
        <w:rPr>
          <w:rFonts w:ascii="標楷體" w:eastAsia="標楷體" w:hAnsi="標楷體" w:hint="eastAsia"/>
          <w:snapToGrid w:val="0"/>
          <w:color w:val="000000"/>
          <w:sz w:val="32"/>
          <w:szCs w:val="32"/>
        </w:rPr>
        <w:t>會應檢討該APP使用率低落原因，滾動修正APP功能，以提高APP之運用效益</w:t>
      </w:r>
      <w:r>
        <w:rPr>
          <w:rFonts w:ascii="標楷體" w:eastAsia="標楷體" w:hAnsi="標楷體" w:hint="eastAsia"/>
          <w:snapToGrid w:val="0"/>
          <w:color w:val="000000"/>
          <w:sz w:val="32"/>
          <w:szCs w:val="32"/>
        </w:rPr>
        <w:t>，並</w:t>
      </w:r>
      <w:r w:rsidRPr="00A83B67">
        <w:rPr>
          <w:rFonts w:ascii="標楷體" w:eastAsia="標楷體" w:hAnsi="標楷體" w:hint="eastAsia"/>
          <w:snapToGrid w:val="0"/>
          <w:color w:val="000000"/>
          <w:sz w:val="32"/>
          <w:szCs w:val="32"/>
        </w:rPr>
        <w:t>於</w:t>
      </w:r>
      <w:r>
        <w:rPr>
          <w:rFonts w:ascii="標楷體" w:eastAsia="標楷體" w:hAnsi="標楷體" w:hint="eastAsia"/>
          <w:snapToGrid w:val="0"/>
          <w:color w:val="000000"/>
          <w:sz w:val="32"/>
          <w:szCs w:val="32"/>
        </w:rPr>
        <w:t>2</w:t>
      </w:r>
      <w:r w:rsidRPr="00A83B67">
        <w:rPr>
          <w:rFonts w:ascii="標楷體" w:eastAsia="標楷體" w:hAnsi="標楷體" w:hint="eastAsia"/>
          <w:snapToGrid w:val="0"/>
          <w:color w:val="000000"/>
          <w:sz w:val="32"/>
          <w:szCs w:val="32"/>
        </w:rPr>
        <w:t>個月內向立法院教育及文化委員會提出書面報告。</w:t>
      </w:r>
      <w:r>
        <w:rPr>
          <w:rFonts w:ascii="標楷體" w:eastAsia="標楷體" w:hAnsi="標楷體"/>
          <w:snapToGrid w:val="0"/>
          <w:color w:val="000000"/>
          <w:sz w:val="32"/>
          <w:szCs w:val="32"/>
        </w:rPr>
        <w:t>6</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提案人：黃國書</w:t>
      </w:r>
    </w:p>
    <w:p w:rsidR="00A52DD2" w:rsidRPr="00B70493" w:rsidRDefault="00A52DD2" w:rsidP="00F035E0">
      <w:pPr>
        <w:snapToGrid w:val="0"/>
        <w:spacing w:line="460" w:lineRule="exact"/>
        <w:ind w:leftChars="1250" w:left="4280" w:hangingChars="400" w:hanging="1280"/>
        <w:jc w:val="both"/>
        <w:rPr>
          <w:rFonts w:ascii="標楷體" w:eastAsia="標楷體" w:hAnsi="標楷體"/>
          <w:bCs/>
          <w:sz w:val="32"/>
          <w:szCs w:val="32"/>
        </w:rPr>
      </w:pPr>
      <w:r>
        <w:rPr>
          <w:rFonts w:ascii="標楷體" w:eastAsia="標楷體" w:hAnsi="標楷體" w:hint="eastAsia"/>
          <w:snapToGrid w:val="0"/>
          <w:color w:val="000000"/>
          <w:sz w:val="32"/>
          <w:szCs w:val="32"/>
        </w:rPr>
        <w:t>連署人：林宜瑾  吳思瑤  陳秀寳</w:t>
      </w:r>
    </w:p>
    <w:p w:rsidR="00A52DD2" w:rsidRPr="00FB7CC2" w:rsidRDefault="00A52DD2" w:rsidP="00F035E0">
      <w:pPr>
        <w:kinsoku w:val="0"/>
        <w:overflowPunct w:val="0"/>
        <w:spacing w:before="120" w:line="500" w:lineRule="exact"/>
        <w:ind w:leftChars="250" w:left="920" w:hangingChars="100" w:hanging="320"/>
        <w:jc w:val="both"/>
        <w:textAlignment w:val="center"/>
        <w:rPr>
          <w:rFonts w:ascii="標楷體" w:eastAsia="標楷體" w:hAnsi="標楷體"/>
          <w:snapToGrid w:val="0"/>
          <w:color w:val="000000"/>
          <w:sz w:val="32"/>
          <w:szCs w:val="32"/>
        </w:rPr>
      </w:pPr>
      <w:r>
        <w:rPr>
          <w:rFonts w:ascii="標楷體" w:eastAsia="標楷體" w:hAnsi="標楷體"/>
          <w:snapToGrid w:val="0"/>
          <w:color w:val="000000"/>
          <w:sz w:val="32"/>
          <w:szCs w:val="32"/>
        </w:rPr>
        <w:t>3</w:t>
      </w:r>
      <w:r w:rsidRPr="00FB7CC2">
        <w:rPr>
          <w:rFonts w:ascii="標楷體" w:eastAsia="標楷體" w:hAnsi="標楷體" w:hint="eastAsia"/>
          <w:snapToGrid w:val="0"/>
          <w:color w:val="000000"/>
          <w:sz w:val="32"/>
          <w:szCs w:val="32"/>
        </w:rPr>
        <w:t>.</w:t>
      </w:r>
      <w:r w:rsidRPr="00A83B67">
        <w:rPr>
          <w:rFonts w:ascii="標楷體" w:eastAsia="標楷體" w:hAnsi="標楷體" w:hint="eastAsia"/>
          <w:snapToGrid w:val="0"/>
          <w:color w:val="000000"/>
          <w:sz w:val="32"/>
          <w:szCs w:val="32"/>
        </w:rPr>
        <w:t>綠色公民行動聯盟研究員指出，根據最新出版的</w:t>
      </w:r>
      <w:r>
        <w:rPr>
          <w:rFonts w:ascii="標楷體" w:eastAsia="標楷體" w:hAnsi="標楷體" w:hint="eastAsia"/>
          <w:snapToGrid w:val="0"/>
          <w:color w:val="000000"/>
          <w:sz w:val="32"/>
          <w:szCs w:val="32"/>
        </w:rPr>
        <w:t>「</w:t>
      </w:r>
      <w:r w:rsidRPr="00A83B67">
        <w:rPr>
          <w:rFonts w:ascii="標楷體" w:eastAsia="標楷體" w:hAnsi="標楷體" w:hint="eastAsia"/>
          <w:snapToGrid w:val="0"/>
          <w:color w:val="000000"/>
          <w:sz w:val="32"/>
          <w:szCs w:val="32"/>
        </w:rPr>
        <w:t>2022世界核能產業現狀報告</w:t>
      </w:r>
      <w:r>
        <w:rPr>
          <w:rFonts w:ascii="標楷體" w:eastAsia="標楷體" w:hAnsi="標楷體" w:hint="eastAsia"/>
          <w:snapToGrid w:val="0"/>
          <w:color w:val="000000"/>
          <w:sz w:val="32"/>
          <w:szCs w:val="32"/>
        </w:rPr>
        <w:t>」</w:t>
      </w:r>
      <w:r w:rsidRPr="00A83B67">
        <w:rPr>
          <w:rFonts w:ascii="標楷體" w:eastAsia="標楷體" w:hAnsi="標楷體" w:hint="eastAsia"/>
          <w:snapToGrid w:val="0"/>
          <w:color w:val="000000"/>
          <w:sz w:val="32"/>
          <w:szCs w:val="32"/>
        </w:rPr>
        <w:t>，全球沒有任何一座核電廠考慮過如何在戰爭中運作。一</w:t>
      </w:r>
      <w:r>
        <w:rPr>
          <w:rFonts w:ascii="標楷體" w:eastAsia="標楷體" w:hAnsi="標楷體" w:hint="eastAsia"/>
          <w:snapToGrid w:val="0"/>
          <w:color w:val="000000"/>
          <w:sz w:val="32"/>
          <w:szCs w:val="32"/>
        </w:rPr>
        <w:t>旦</w:t>
      </w:r>
      <w:r w:rsidRPr="00A83B67">
        <w:rPr>
          <w:rFonts w:ascii="標楷體" w:eastAsia="標楷體" w:hAnsi="標楷體" w:hint="eastAsia"/>
          <w:snapToGrid w:val="0"/>
          <w:color w:val="000000"/>
          <w:sz w:val="32"/>
          <w:szCs w:val="32"/>
        </w:rPr>
        <w:t>軍事攻擊引發電力中斷，喪失冷卻功能，就可能導致冷卻池起火、爆炸、核災、輻射外洩。核子設施於戰爭中受波及的風險確實存在，2022年核安第28號演習亦將戰爭因素納入考量。</w:t>
      </w:r>
      <w:r>
        <w:rPr>
          <w:rFonts w:ascii="標楷體" w:eastAsia="標楷體" w:hAnsi="標楷體" w:hint="eastAsia"/>
          <w:snapToGrid w:val="0"/>
          <w:color w:val="000000"/>
          <w:sz w:val="32"/>
          <w:szCs w:val="32"/>
        </w:rPr>
        <w:t>行政院</w:t>
      </w:r>
      <w:r w:rsidRPr="00A83B67">
        <w:rPr>
          <w:rFonts w:ascii="標楷體" w:eastAsia="標楷體" w:hAnsi="標楷體" w:hint="eastAsia"/>
          <w:snapToGrid w:val="0"/>
          <w:color w:val="000000"/>
          <w:sz w:val="32"/>
          <w:szCs w:val="32"/>
        </w:rPr>
        <w:t>原</w:t>
      </w:r>
      <w:r>
        <w:rPr>
          <w:rFonts w:ascii="標楷體" w:eastAsia="標楷體" w:hAnsi="標楷體" w:hint="eastAsia"/>
          <w:snapToGrid w:val="0"/>
          <w:color w:val="000000"/>
          <w:sz w:val="32"/>
          <w:szCs w:val="32"/>
        </w:rPr>
        <w:t>子</w:t>
      </w:r>
      <w:r w:rsidRPr="00A83B67">
        <w:rPr>
          <w:rFonts w:ascii="標楷體" w:eastAsia="標楷體" w:hAnsi="標楷體" w:hint="eastAsia"/>
          <w:snapToGrid w:val="0"/>
          <w:color w:val="000000"/>
          <w:sz w:val="32"/>
          <w:szCs w:val="32"/>
        </w:rPr>
        <w:t>能</w:t>
      </w:r>
      <w:r>
        <w:rPr>
          <w:rFonts w:ascii="標楷體" w:eastAsia="標楷體" w:hAnsi="標楷體" w:hint="eastAsia"/>
          <w:snapToGrid w:val="0"/>
          <w:color w:val="000000"/>
          <w:sz w:val="32"/>
          <w:szCs w:val="32"/>
        </w:rPr>
        <w:t>委員</w:t>
      </w:r>
      <w:r w:rsidRPr="00A83B67">
        <w:rPr>
          <w:rFonts w:ascii="標楷體" w:eastAsia="標楷體" w:hAnsi="標楷體" w:hint="eastAsia"/>
          <w:snapToGrid w:val="0"/>
          <w:color w:val="000000"/>
          <w:sz w:val="32"/>
          <w:szCs w:val="32"/>
        </w:rPr>
        <w:t>會應積極關注國際情勢發展，並隨時做好應變準備，同時讓民眾清楚國家應</w:t>
      </w:r>
      <w:r w:rsidRPr="00A83B67">
        <w:rPr>
          <w:rFonts w:ascii="標楷體" w:eastAsia="標楷體" w:hAnsi="標楷體" w:hint="eastAsia"/>
          <w:snapToGrid w:val="0"/>
          <w:color w:val="000000"/>
          <w:sz w:val="32"/>
          <w:szCs w:val="32"/>
        </w:rPr>
        <w:lastRenderedPageBreak/>
        <w:t>變相關核安問題時的處置流程。為提高民眾核安意識，並進一步認知戰爭之於核電廠所可能造成的危害及應變程序，爰</w:t>
      </w:r>
      <w:r>
        <w:rPr>
          <w:rFonts w:ascii="標楷體" w:eastAsia="標楷體" w:hAnsi="標楷體" w:hint="eastAsia"/>
          <w:snapToGrid w:val="0"/>
          <w:color w:val="000000"/>
          <w:sz w:val="32"/>
          <w:szCs w:val="32"/>
        </w:rPr>
        <w:t>請行政院</w:t>
      </w:r>
      <w:r w:rsidRPr="00A83B67">
        <w:rPr>
          <w:rFonts w:ascii="標楷體" w:eastAsia="標楷體" w:hAnsi="標楷體" w:hint="eastAsia"/>
          <w:snapToGrid w:val="0"/>
          <w:color w:val="000000"/>
          <w:sz w:val="32"/>
          <w:szCs w:val="32"/>
        </w:rPr>
        <w:t>原</w:t>
      </w:r>
      <w:r>
        <w:rPr>
          <w:rFonts w:ascii="標楷體" w:eastAsia="標楷體" w:hAnsi="標楷體" w:hint="eastAsia"/>
          <w:snapToGrid w:val="0"/>
          <w:color w:val="000000"/>
          <w:sz w:val="32"/>
          <w:szCs w:val="32"/>
        </w:rPr>
        <w:t>子</w:t>
      </w:r>
      <w:r w:rsidRPr="00A83B67">
        <w:rPr>
          <w:rFonts w:ascii="標楷體" w:eastAsia="標楷體" w:hAnsi="標楷體" w:hint="eastAsia"/>
          <w:snapToGrid w:val="0"/>
          <w:color w:val="000000"/>
          <w:sz w:val="32"/>
          <w:szCs w:val="32"/>
        </w:rPr>
        <w:t>能</w:t>
      </w:r>
      <w:r>
        <w:rPr>
          <w:rFonts w:ascii="標楷體" w:eastAsia="標楷體" w:hAnsi="標楷體" w:hint="eastAsia"/>
          <w:snapToGrid w:val="0"/>
          <w:color w:val="000000"/>
          <w:sz w:val="32"/>
          <w:szCs w:val="32"/>
        </w:rPr>
        <w:t>委員</w:t>
      </w:r>
      <w:r w:rsidRPr="00A83B67">
        <w:rPr>
          <w:rFonts w:ascii="標楷體" w:eastAsia="標楷體" w:hAnsi="標楷體" w:hint="eastAsia"/>
          <w:snapToGrid w:val="0"/>
          <w:color w:val="000000"/>
          <w:sz w:val="32"/>
          <w:szCs w:val="32"/>
        </w:rPr>
        <w:t>會於</w:t>
      </w:r>
      <w:r>
        <w:rPr>
          <w:rFonts w:ascii="標楷體" w:eastAsia="標楷體" w:hAnsi="標楷體" w:hint="eastAsia"/>
          <w:snapToGrid w:val="0"/>
          <w:color w:val="000000"/>
          <w:sz w:val="32"/>
          <w:szCs w:val="32"/>
        </w:rPr>
        <w:t>2</w:t>
      </w:r>
      <w:r w:rsidRPr="00A83B67">
        <w:rPr>
          <w:rFonts w:ascii="標楷體" w:eastAsia="標楷體" w:hAnsi="標楷體" w:hint="eastAsia"/>
          <w:snapToGrid w:val="0"/>
          <w:color w:val="000000"/>
          <w:sz w:val="32"/>
          <w:szCs w:val="32"/>
        </w:rPr>
        <w:t>個月內向立法院教育及文化委員會提出相關書面報告，檢討核安第28號演習之不足並清楚說明因應戰爭危害，未來演習將有何因應規劃。</w:t>
      </w:r>
      <w:r>
        <w:rPr>
          <w:rFonts w:ascii="標楷體" w:eastAsia="標楷體" w:hAnsi="標楷體"/>
          <w:snapToGrid w:val="0"/>
          <w:color w:val="000000"/>
          <w:sz w:val="32"/>
          <w:szCs w:val="32"/>
        </w:rPr>
        <w:t>7</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提案人：林宜瑾</w:t>
      </w:r>
    </w:p>
    <w:p w:rsidR="00A52DD2" w:rsidRPr="00B70493" w:rsidRDefault="00A52DD2" w:rsidP="00F035E0">
      <w:pPr>
        <w:snapToGrid w:val="0"/>
        <w:spacing w:line="460" w:lineRule="exact"/>
        <w:ind w:leftChars="1250" w:left="4280" w:hangingChars="400" w:hanging="1280"/>
        <w:jc w:val="both"/>
        <w:rPr>
          <w:rFonts w:ascii="標楷體" w:eastAsia="標楷體" w:hAnsi="標楷體"/>
          <w:bCs/>
          <w:sz w:val="32"/>
          <w:szCs w:val="32"/>
        </w:rPr>
      </w:pPr>
      <w:r>
        <w:rPr>
          <w:rFonts w:ascii="標楷體" w:eastAsia="標楷體" w:hAnsi="標楷體" w:hint="eastAsia"/>
          <w:snapToGrid w:val="0"/>
          <w:color w:val="000000"/>
          <w:sz w:val="32"/>
          <w:szCs w:val="32"/>
        </w:rPr>
        <w:t>連署人：陳秀寳  吳思瑤</w:t>
      </w:r>
    </w:p>
    <w:p w:rsidR="00A52DD2" w:rsidRPr="00FB7CC2" w:rsidRDefault="00A52DD2" w:rsidP="00F035E0">
      <w:pPr>
        <w:kinsoku w:val="0"/>
        <w:overflowPunct w:val="0"/>
        <w:spacing w:before="120" w:line="500" w:lineRule="exact"/>
        <w:ind w:leftChars="250" w:left="920" w:hangingChars="100" w:hanging="320"/>
        <w:jc w:val="both"/>
        <w:textAlignment w:val="center"/>
        <w:rPr>
          <w:rFonts w:ascii="標楷體" w:eastAsia="標楷體" w:hAnsi="標楷體"/>
          <w:snapToGrid w:val="0"/>
          <w:color w:val="000000"/>
          <w:sz w:val="32"/>
          <w:szCs w:val="32"/>
        </w:rPr>
      </w:pPr>
      <w:r>
        <w:rPr>
          <w:rFonts w:ascii="標楷體" w:eastAsia="標楷體" w:hAnsi="標楷體"/>
          <w:snapToGrid w:val="0"/>
          <w:color w:val="000000"/>
          <w:sz w:val="32"/>
          <w:szCs w:val="32"/>
        </w:rPr>
        <w:t>4</w:t>
      </w:r>
      <w:r w:rsidRPr="00FB7CC2">
        <w:rPr>
          <w:rFonts w:ascii="標楷體" w:eastAsia="標楷體" w:hAnsi="標楷體" w:hint="eastAsia"/>
          <w:snapToGrid w:val="0"/>
          <w:color w:val="000000"/>
          <w:sz w:val="32"/>
          <w:szCs w:val="32"/>
        </w:rPr>
        <w:t>.</w:t>
      </w:r>
      <w:r>
        <w:rPr>
          <w:rFonts w:ascii="標楷體" w:eastAsia="標楷體" w:hAnsi="標楷體" w:hint="eastAsia"/>
          <w:snapToGrid w:val="0"/>
          <w:color w:val="000000"/>
          <w:sz w:val="32"/>
          <w:szCs w:val="32"/>
        </w:rPr>
        <w:t>鑑</w:t>
      </w:r>
      <w:r w:rsidRPr="00A83B67">
        <w:rPr>
          <w:rFonts w:ascii="標楷體" w:eastAsia="標楷體" w:hAnsi="標楷體" w:hint="eastAsia"/>
          <w:snapToGrid w:val="0"/>
          <w:color w:val="000000"/>
          <w:sz w:val="32"/>
          <w:szCs w:val="32"/>
        </w:rPr>
        <w:t>於日本311地震造成福島核子事故，我國於101至102年間自美國引進空中輻射偵測系統，並於後續核安演習中納入空中輻射偵測作業演練。該空中輻射偵測系統係由硬體之高階放射性能譜量測電腦系統(SPARCS系統)及軟體之進步型視覺化資料處理系統(AVID系統)所組成。然美國提供SPARCS系統硬體相關零組件係為美國軍規管制品，無法透過商業管道採購，而AVID軟體新版本美方亦未對外開放授權使用，因此我國面臨硬體設備老舊及軟體未獲美國授權更新之問題。我國引進空中輻射偵測系統至今已逾9年，該偵測系統異常及故障頻繁，且系統軟體已近5年未予更新，嚴重影響空中輻射偵測之穩定性，且輻射數據圖像化整合系統，僅能顯示陸上及海上輻射偵測數據，空中偵測數據無法匯入使用，</w:t>
      </w:r>
      <w:r>
        <w:rPr>
          <w:rFonts w:ascii="標楷體" w:eastAsia="標楷體" w:hAnsi="標楷體" w:hint="eastAsia"/>
          <w:snapToGrid w:val="0"/>
          <w:color w:val="000000"/>
          <w:sz w:val="32"/>
          <w:szCs w:val="32"/>
        </w:rPr>
        <w:t>行政院</w:t>
      </w:r>
      <w:r w:rsidRPr="00A83B67">
        <w:rPr>
          <w:rFonts w:ascii="標楷體" w:eastAsia="標楷體" w:hAnsi="標楷體" w:hint="eastAsia"/>
          <w:snapToGrid w:val="0"/>
          <w:color w:val="000000"/>
          <w:sz w:val="32"/>
          <w:szCs w:val="32"/>
        </w:rPr>
        <w:t>原</w:t>
      </w:r>
      <w:r>
        <w:rPr>
          <w:rFonts w:ascii="標楷體" w:eastAsia="標楷體" w:hAnsi="標楷體" w:hint="eastAsia"/>
          <w:snapToGrid w:val="0"/>
          <w:color w:val="000000"/>
          <w:sz w:val="32"/>
          <w:szCs w:val="32"/>
        </w:rPr>
        <w:t>子</w:t>
      </w:r>
      <w:r w:rsidRPr="00A83B67">
        <w:rPr>
          <w:rFonts w:ascii="標楷體" w:eastAsia="標楷體" w:hAnsi="標楷體" w:hint="eastAsia"/>
          <w:snapToGrid w:val="0"/>
          <w:color w:val="000000"/>
          <w:sz w:val="32"/>
          <w:szCs w:val="32"/>
        </w:rPr>
        <w:t>能</w:t>
      </w:r>
      <w:r>
        <w:rPr>
          <w:rFonts w:ascii="標楷體" w:eastAsia="標楷體" w:hAnsi="標楷體" w:hint="eastAsia"/>
          <w:snapToGrid w:val="0"/>
          <w:color w:val="000000"/>
          <w:sz w:val="32"/>
          <w:szCs w:val="32"/>
        </w:rPr>
        <w:t>委員</w:t>
      </w:r>
      <w:r w:rsidRPr="00A83B67">
        <w:rPr>
          <w:rFonts w:ascii="標楷體" w:eastAsia="標楷體" w:hAnsi="標楷體" w:hint="eastAsia"/>
          <w:snapToGrid w:val="0"/>
          <w:color w:val="000000"/>
          <w:sz w:val="32"/>
          <w:szCs w:val="32"/>
        </w:rPr>
        <w:t>會應積極透過台美民用核能合作管道，取得更新軟體版本</w:t>
      </w:r>
      <w:r>
        <w:rPr>
          <w:rFonts w:ascii="標楷體" w:eastAsia="標楷體" w:hAnsi="標楷體" w:hint="eastAsia"/>
          <w:snapToGrid w:val="0"/>
          <w:color w:val="000000"/>
          <w:sz w:val="32"/>
          <w:szCs w:val="32"/>
        </w:rPr>
        <w:t>，並</w:t>
      </w:r>
      <w:r w:rsidRPr="00A83B67">
        <w:rPr>
          <w:rFonts w:ascii="標楷體" w:eastAsia="標楷體" w:hAnsi="標楷體" w:hint="eastAsia"/>
          <w:snapToGrid w:val="0"/>
          <w:color w:val="000000"/>
          <w:sz w:val="32"/>
          <w:szCs w:val="32"/>
        </w:rPr>
        <w:t>於</w:t>
      </w:r>
      <w:r>
        <w:rPr>
          <w:rFonts w:ascii="標楷體" w:eastAsia="標楷體" w:hAnsi="標楷體" w:hint="eastAsia"/>
          <w:snapToGrid w:val="0"/>
          <w:color w:val="000000"/>
          <w:sz w:val="32"/>
          <w:szCs w:val="32"/>
        </w:rPr>
        <w:t>2</w:t>
      </w:r>
      <w:r w:rsidRPr="00A83B67">
        <w:rPr>
          <w:rFonts w:ascii="標楷體" w:eastAsia="標楷體" w:hAnsi="標楷體" w:hint="eastAsia"/>
          <w:snapToGrid w:val="0"/>
          <w:color w:val="000000"/>
          <w:sz w:val="32"/>
          <w:szCs w:val="32"/>
        </w:rPr>
        <w:t>個月內向立法院教育及文化委員會提出書面報告。</w:t>
      </w:r>
      <w:r>
        <w:rPr>
          <w:rFonts w:ascii="標楷體" w:eastAsia="標楷體" w:hAnsi="標楷體"/>
          <w:snapToGrid w:val="0"/>
          <w:color w:val="000000"/>
          <w:sz w:val="32"/>
          <w:szCs w:val="32"/>
        </w:rPr>
        <w:t>9</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提案人：黃國書</w:t>
      </w:r>
    </w:p>
    <w:p w:rsidR="00A52DD2" w:rsidRPr="00B70493" w:rsidRDefault="00A52DD2" w:rsidP="00F035E0">
      <w:pPr>
        <w:snapToGrid w:val="0"/>
        <w:spacing w:line="460" w:lineRule="exact"/>
        <w:ind w:leftChars="1250" w:left="4280" w:hangingChars="400" w:hanging="1280"/>
        <w:jc w:val="both"/>
        <w:rPr>
          <w:rFonts w:ascii="標楷體" w:eastAsia="標楷體" w:hAnsi="標楷體"/>
          <w:bCs/>
          <w:sz w:val="32"/>
          <w:szCs w:val="32"/>
        </w:rPr>
      </w:pPr>
      <w:r>
        <w:rPr>
          <w:rFonts w:ascii="標楷體" w:eastAsia="標楷體" w:hAnsi="標楷體" w:hint="eastAsia"/>
          <w:snapToGrid w:val="0"/>
          <w:color w:val="000000"/>
          <w:sz w:val="32"/>
          <w:szCs w:val="32"/>
        </w:rPr>
        <w:t>連署人：林宜瑾  吳思瑤  陳秀寳</w:t>
      </w:r>
    </w:p>
    <w:p w:rsidR="00A52DD2" w:rsidRPr="00FB7CC2" w:rsidRDefault="00A52DD2" w:rsidP="00F035E0">
      <w:pPr>
        <w:kinsoku w:val="0"/>
        <w:overflowPunct w:val="0"/>
        <w:spacing w:before="120" w:line="500" w:lineRule="exact"/>
        <w:ind w:leftChars="250" w:left="920" w:hangingChars="100" w:hanging="320"/>
        <w:jc w:val="both"/>
        <w:textAlignment w:val="center"/>
        <w:rPr>
          <w:rFonts w:ascii="標楷體" w:eastAsia="標楷體" w:hAnsi="標楷體"/>
          <w:snapToGrid w:val="0"/>
          <w:color w:val="000000"/>
          <w:sz w:val="32"/>
          <w:szCs w:val="32"/>
        </w:rPr>
      </w:pPr>
      <w:r>
        <w:rPr>
          <w:rFonts w:ascii="標楷體" w:eastAsia="標楷體" w:hAnsi="標楷體"/>
          <w:snapToGrid w:val="0"/>
          <w:color w:val="000000"/>
          <w:sz w:val="32"/>
          <w:szCs w:val="32"/>
        </w:rPr>
        <w:t>5</w:t>
      </w:r>
      <w:r w:rsidRPr="00FB7CC2">
        <w:rPr>
          <w:rFonts w:ascii="標楷體" w:eastAsia="標楷體" w:hAnsi="標楷體" w:hint="eastAsia"/>
          <w:snapToGrid w:val="0"/>
          <w:color w:val="000000"/>
          <w:sz w:val="32"/>
          <w:szCs w:val="32"/>
        </w:rPr>
        <w:t>.</w:t>
      </w:r>
      <w:r w:rsidRPr="00A83B67">
        <w:rPr>
          <w:rFonts w:ascii="標楷體" w:eastAsia="標楷體" w:hAnsi="標楷體" w:hint="eastAsia"/>
          <w:snapToGrid w:val="0"/>
          <w:color w:val="000000"/>
          <w:sz w:val="32"/>
          <w:szCs w:val="32"/>
        </w:rPr>
        <w:t>為提升核電廠周邊民眾對核子事故緊急應變措施及防護行動認知，108</w:t>
      </w:r>
      <w:r>
        <w:rPr>
          <w:rFonts w:ascii="標楷體" w:eastAsia="標楷體" w:hAnsi="標楷體" w:hint="eastAsia"/>
          <w:snapToGrid w:val="0"/>
          <w:color w:val="000000"/>
          <w:sz w:val="32"/>
          <w:szCs w:val="32"/>
        </w:rPr>
        <w:t>至</w:t>
      </w:r>
      <w:r w:rsidRPr="00A83B67">
        <w:rPr>
          <w:rFonts w:ascii="標楷體" w:eastAsia="標楷體" w:hAnsi="標楷體" w:hint="eastAsia"/>
          <w:snapToGrid w:val="0"/>
          <w:color w:val="000000"/>
          <w:sz w:val="32"/>
          <w:szCs w:val="32"/>
        </w:rPr>
        <w:t>110年度</w:t>
      </w:r>
      <w:r w:rsidRPr="005143FE">
        <w:rPr>
          <w:rFonts w:ascii="標楷體" w:eastAsia="標楷體" w:hAnsi="標楷體" w:hint="eastAsia"/>
          <w:snapToGrid w:val="0"/>
          <w:color w:val="000000"/>
          <w:sz w:val="32"/>
          <w:szCs w:val="32"/>
        </w:rPr>
        <w:t>核子事故緊急應變基金</w:t>
      </w:r>
      <w:r w:rsidRPr="00A83B67">
        <w:rPr>
          <w:rFonts w:ascii="標楷體" w:eastAsia="標楷體" w:hAnsi="標楷體" w:hint="eastAsia"/>
          <w:snapToGrid w:val="0"/>
          <w:color w:val="000000"/>
          <w:sz w:val="32"/>
          <w:szCs w:val="32"/>
        </w:rPr>
        <w:t>辦理</w:t>
      </w:r>
      <w:r>
        <w:rPr>
          <w:rFonts w:ascii="標楷體" w:eastAsia="標楷體" w:hAnsi="標楷體" w:hint="eastAsia"/>
          <w:snapToGrid w:val="0"/>
          <w:color w:val="000000"/>
          <w:sz w:val="32"/>
          <w:szCs w:val="32"/>
        </w:rPr>
        <w:t>第三核能發電廠</w:t>
      </w:r>
      <w:r w:rsidRPr="00A83B67">
        <w:rPr>
          <w:rFonts w:ascii="標楷體" w:eastAsia="標楷體" w:hAnsi="標楷體" w:hint="eastAsia"/>
          <w:snapToGrid w:val="0"/>
          <w:color w:val="000000"/>
          <w:sz w:val="32"/>
          <w:szCs w:val="32"/>
        </w:rPr>
        <w:t>緊急應變計畫區(屏東縣)、</w:t>
      </w:r>
      <w:r w:rsidRPr="005143FE">
        <w:rPr>
          <w:rFonts w:ascii="標楷體" w:eastAsia="標楷體" w:hAnsi="標楷體" w:hint="eastAsia"/>
          <w:snapToGrid w:val="0"/>
          <w:color w:val="000000"/>
          <w:sz w:val="32"/>
          <w:szCs w:val="32"/>
        </w:rPr>
        <w:t>第二核能發電廠</w:t>
      </w:r>
      <w:r w:rsidRPr="00A83B67">
        <w:rPr>
          <w:rFonts w:ascii="標楷體" w:eastAsia="標楷體" w:hAnsi="標楷體" w:hint="eastAsia"/>
          <w:snapToGrid w:val="0"/>
          <w:color w:val="000000"/>
          <w:sz w:val="32"/>
          <w:szCs w:val="32"/>
        </w:rPr>
        <w:t>緊急應變計畫區(基隆市)部分及</w:t>
      </w:r>
      <w:r>
        <w:rPr>
          <w:rFonts w:ascii="標楷體" w:eastAsia="標楷體" w:hAnsi="標楷體" w:hint="eastAsia"/>
          <w:snapToGrid w:val="0"/>
          <w:color w:val="000000"/>
          <w:sz w:val="32"/>
          <w:szCs w:val="32"/>
        </w:rPr>
        <w:t>第</w:t>
      </w:r>
      <w:r w:rsidRPr="00A83B67">
        <w:rPr>
          <w:rFonts w:ascii="標楷體" w:eastAsia="標楷體" w:hAnsi="標楷體" w:hint="eastAsia"/>
          <w:snapToGrid w:val="0"/>
          <w:color w:val="000000"/>
          <w:sz w:val="32"/>
          <w:szCs w:val="32"/>
        </w:rPr>
        <w:t>一、二</w:t>
      </w:r>
      <w:r>
        <w:rPr>
          <w:rFonts w:ascii="標楷體" w:eastAsia="標楷體" w:hAnsi="標楷體" w:hint="eastAsia"/>
          <w:snapToGrid w:val="0"/>
          <w:color w:val="000000"/>
          <w:sz w:val="32"/>
          <w:szCs w:val="32"/>
        </w:rPr>
        <w:t>核能發電</w:t>
      </w:r>
      <w:r w:rsidRPr="00A83B67">
        <w:rPr>
          <w:rFonts w:ascii="標楷體" w:eastAsia="標楷體" w:hAnsi="標楷體" w:hint="eastAsia"/>
          <w:snapToGrid w:val="0"/>
          <w:color w:val="000000"/>
          <w:sz w:val="32"/>
          <w:szCs w:val="32"/>
        </w:rPr>
        <w:t>廠緊急應變計畫區(新</w:t>
      </w:r>
      <w:r w:rsidRPr="00A83B67">
        <w:rPr>
          <w:rFonts w:ascii="標楷體" w:eastAsia="標楷體" w:hAnsi="標楷體" w:hint="eastAsia"/>
          <w:snapToGrid w:val="0"/>
          <w:color w:val="000000"/>
          <w:sz w:val="32"/>
          <w:szCs w:val="32"/>
        </w:rPr>
        <w:lastRenderedPageBreak/>
        <w:t>北市4區)之家庭訪問計畫。檢視訪問結果發現：108年</w:t>
      </w:r>
      <w:r>
        <w:rPr>
          <w:rFonts w:ascii="標楷體" w:eastAsia="標楷體" w:hAnsi="標楷體" w:hint="eastAsia"/>
          <w:snapToGrid w:val="0"/>
          <w:color w:val="000000"/>
          <w:sz w:val="32"/>
          <w:szCs w:val="32"/>
        </w:rPr>
        <w:t>第三核能發電廠</w:t>
      </w:r>
      <w:r w:rsidRPr="00A83B67">
        <w:rPr>
          <w:rFonts w:ascii="標楷體" w:eastAsia="標楷體" w:hAnsi="標楷體" w:hint="eastAsia"/>
          <w:snapToGrid w:val="0"/>
          <w:color w:val="000000"/>
          <w:sz w:val="32"/>
          <w:szCs w:val="32"/>
        </w:rPr>
        <w:t>緊急應變計畫區(屏東縣)部分，區內21.9%不曾收到核安演習訊息、非住戶不願意配合辦理核安演練及不希望</w:t>
      </w:r>
      <w:r>
        <w:rPr>
          <w:rFonts w:ascii="標楷體" w:eastAsia="標楷體" w:hAnsi="標楷體" w:hint="eastAsia"/>
          <w:snapToGrid w:val="0"/>
          <w:color w:val="000000"/>
          <w:sz w:val="32"/>
          <w:szCs w:val="32"/>
        </w:rPr>
        <w:t>行政院</w:t>
      </w:r>
      <w:r w:rsidRPr="00A83B67">
        <w:rPr>
          <w:rFonts w:ascii="標楷體" w:eastAsia="標楷體" w:hAnsi="標楷體" w:hint="eastAsia"/>
          <w:snapToGrid w:val="0"/>
          <w:color w:val="000000"/>
          <w:sz w:val="32"/>
          <w:szCs w:val="32"/>
        </w:rPr>
        <w:t>原</w:t>
      </w:r>
      <w:r>
        <w:rPr>
          <w:rFonts w:ascii="標楷體" w:eastAsia="標楷體" w:hAnsi="標楷體" w:hint="eastAsia"/>
          <w:snapToGrid w:val="0"/>
          <w:color w:val="000000"/>
          <w:sz w:val="32"/>
          <w:szCs w:val="32"/>
        </w:rPr>
        <w:t>子</w:t>
      </w:r>
      <w:r w:rsidRPr="00A83B67">
        <w:rPr>
          <w:rFonts w:ascii="標楷體" w:eastAsia="標楷體" w:hAnsi="標楷體" w:hint="eastAsia"/>
          <w:snapToGrid w:val="0"/>
          <w:color w:val="000000"/>
          <w:sz w:val="32"/>
          <w:szCs w:val="32"/>
        </w:rPr>
        <w:t>能</w:t>
      </w:r>
      <w:r>
        <w:rPr>
          <w:rFonts w:ascii="標楷體" w:eastAsia="標楷體" w:hAnsi="標楷體" w:hint="eastAsia"/>
          <w:snapToGrid w:val="0"/>
          <w:color w:val="000000"/>
          <w:sz w:val="32"/>
          <w:szCs w:val="32"/>
        </w:rPr>
        <w:t>委員</w:t>
      </w:r>
      <w:r w:rsidRPr="00A83B67">
        <w:rPr>
          <w:rFonts w:ascii="標楷體" w:eastAsia="標楷體" w:hAnsi="標楷體" w:hint="eastAsia"/>
          <w:snapToGrid w:val="0"/>
          <w:color w:val="000000"/>
          <w:sz w:val="32"/>
          <w:szCs w:val="32"/>
        </w:rPr>
        <w:t>會至該單位辦理講習活動者分別高達81.1%、96.3%。109年核能二廠緊急應變計畫區(基隆市)部分部分，區內26.44%不曾收到核安演習之訊息、對參與核安演習演練認為沒收獲者20.54%、非住戶不願意配合辦理核安演練及不希望原能會至該單位辦理講習活動者分別高達79.43%、75.47%。110年</w:t>
      </w:r>
      <w:r>
        <w:rPr>
          <w:rFonts w:ascii="標楷體" w:eastAsia="標楷體" w:hAnsi="標楷體" w:hint="eastAsia"/>
          <w:snapToGrid w:val="0"/>
          <w:color w:val="000000"/>
          <w:sz w:val="32"/>
          <w:szCs w:val="32"/>
        </w:rPr>
        <w:t>第</w:t>
      </w:r>
      <w:r w:rsidRPr="00A83B67">
        <w:rPr>
          <w:rFonts w:ascii="標楷體" w:eastAsia="標楷體" w:hAnsi="標楷體" w:hint="eastAsia"/>
          <w:snapToGrid w:val="0"/>
          <w:color w:val="000000"/>
          <w:sz w:val="32"/>
          <w:szCs w:val="32"/>
        </w:rPr>
        <w:t>一、二</w:t>
      </w:r>
      <w:r>
        <w:rPr>
          <w:rFonts w:ascii="標楷體" w:eastAsia="標楷體" w:hAnsi="標楷體" w:hint="eastAsia"/>
          <w:snapToGrid w:val="0"/>
          <w:color w:val="000000"/>
          <w:sz w:val="32"/>
          <w:szCs w:val="32"/>
        </w:rPr>
        <w:t>核能發電</w:t>
      </w:r>
      <w:r w:rsidRPr="00A83B67">
        <w:rPr>
          <w:rFonts w:ascii="標楷體" w:eastAsia="標楷體" w:hAnsi="標楷體" w:hint="eastAsia"/>
          <w:snapToGrid w:val="0"/>
          <w:color w:val="000000"/>
          <w:sz w:val="32"/>
          <w:szCs w:val="32"/>
        </w:rPr>
        <w:t>廠緊急應變計畫區(新北市4區)部分，非住戶不願意配合辦理核安演練及不希望原能會至該單位辦理講習活動者分別高達84.27%、94.03%。且與106年訪問結果比較，民眾不願意參與活動比率自106年33.40%上升至110年41.89%。</w:t>
      </w:r>
      <w:r>
        <w:rPr>
          <w:rFonts w:ascii="標楷體" w:eastAsia="標楷體" w:hAnsi="標楷體" w:hint="eastAsia"/>
          <w:snapToGrid w:val="0"/>
          <w:color w:val="000000"/>
          <w:sz w:val="32"/>
          <w:szCs w:val="32"/>
        </w:rPr>
        <w:t>行政院</w:t>
      </w:r>
      <w:r w:rsidRPr="00A83B67">
        <w:rPr>
          <w:rFonts w:ascii="標楷體" w:eastAsia="標楷體" w:hAnsi="標楷體" w:hint="eastAsia"/>
          <w:snapToGrid w:val="0"/>
          <w:color w:val="000000"/>
          <w:sz w:val="32"/>
          <w:szCs w:val="32"/>
        </w:rPr>
        <w:t>原</w:t>
      </w:r>
      <w:r>
        <w:rPr>
          <w:rFonts w:ascii="標楷體" w:eastAsia="標楷體" w:hAnsi="標楷體" w:hint="eastAsia"/>
          <w:snapToGrid w:val="0"/>
          <w:color w:val="000000"/>
          <w:sz w:val="32"/>
          <w:szCs w:val="32"/>
        </w:rPr>
        <w:t>子</w:t>
      </w:r>
      <w:r w:rsidRPr="00A83B67">
        <w:rPr>
          <w:rFonts w:ascii="標楷體" w:eastAsia="標楷體" w:hAnsi="標楷體" w:hint="eastAsia"/>
          <w:snapToGrid w:val="0"/>
          <w:color w:val="000000"/>
          <w:sz w:val="32"/>
          <w:szCs w:val="32"/>
        </w:rPr>
        <w:t>能</w:t>
      </w:r>
      <w:r>
        <w:rPr>
          <w:rFonts w:ascii="標楷體" w:eastAsia="標楷體" w:hAnsi="標楷體" w:hint="eastAsia"/>
          <w:snapToGrid w:val="0"/>
          <w:color w:val="000000"/>
          <w:sz w:val="32"/>
          <w:szCs w:val="32"/>
        </w:rPr>
        <w:t>委員</w:t>
      </w:r>
      <w:r w:rsidRPr="00A83B67">
        <w:rPr>
          <w:rFonts w:ascii="標楷體" w:eastAsia="標楷體" w:hAnsi="標楷體" w:hint="eastAsia"/>
          <w:snapToGrid w:val="0"/>
          <w:color w:val="000000"/>
          <w:sz w:val="32"/>
          <w:szCs w:val="32"/>
        </w:rPr>
        <w:t>會應掌握民眾參與活動意願低落原因，檢討活動辦理方式，以提升推動成效</w:t>
      </w:r>
      <w:r>
        <w:rPr>
          <w:rFonts w:ascii="標楷體" w:eastAsia="標楷體" w:hAnsi="標楷體" w:hint="eastAsia"/>
          <w:snapToGrid w:val="0"/>
          <w:color w:val="000000"/>
          <w:sz w:val="32"/>
          <w:szCs w:val="32"/>
        </w:rPr>
        <w:t>，並</w:t>
      </w:r>
      <w:r w:rsidRPr="00A83B67">
        <w:rPr>
          <w:rFonts w:ascii="標楷體" w:eastAsia="標楷體" w:hAnsi="標楷體" w:hint="eastAsia"/>
          <w:snapToGrid w:val="0"/>
          <w:color w:val="000000"/>
          <w:sz w:val="32"/>
          <w:szCs w:val="32"/>
        </w:rPr>
        <w:t>於</w:t>
      </w:r>
      <w:r>
        <w:rPr>
          <w:rFonts w:ascii="標楷體" w:eastAsia="標楷體" w:hAnsi="標楷體" w:hint="eastAsia"/>
          <w:snapToGrid w:val="0"/>
          <w:color w:val="000000"/>
          <w:sz w:val="32"/>
          <w:szCs w:val="32"/>
        </w:rPr>
        <w:t>2</w:t>
      </w:r>
      <w:r w:rsidRPr="00A83B67">
        <w:rPr>
          <w:rFonts w:ascii="標楷體" w:eastAsia="標楷體" w:hAnsi="標楷體" w:hint="eastAsia"/>
          <w:snapToGrid w:val="0"/>
          <w:color w:val="000000"/>
          <w:sz w:val="32"/>
          <w:szCs w:val="32"/>
        </w:rPr>
        <w:t>個月內向立法院教育及文化委員會提出書面報告。</w:t>
      </w:r>
      <w:r>
        <w:rPr>
          <w:rFonts w:ascii="標楷體" w:eastAsia="標楷體" w:hAnsi="標楷體"/>
          <w:snapToGrid w:val="0"/>
          <w:color w:val="000000"/>
          <w:sz w:val="32"/>
          <w:szCs w:val="32"/>
        </w:rPr>
        <w:t>11</w:t>
      </w:r>
    </w:p>
    <w:p w:rsidR="00A52DD2" w:rsidRDefault="00A52DD2" w:rsidP="00F035E0">
      <w:pPr>
        <w:snapToGrid w:val="0"/>
        <w:spacing w:line="460" w:lineRule="exact"/>
        <w:ind w:leftChars="1250" w:left="4280" w:hangingChars="400" w:hanging="1280"/>
        <w:jc w:val="both"/>
        <w:rPr>
          <w:rFonts w:ascii="標楷體" w:eastAsia="標楷體" w:hAnsi="標楷體"/>
          <w:snapToGrid w:val="0"/>
          <w:color w:val="000000"/>
          <w:sz w:val="32"/>
          <w:szCs w:val="32"/>
        </w:rPr>
      </w:pPr>
      <w:r>
        <w:rPr>
          <w:rFonts w:ascii="標楷體" w:eastAsia="標楷體" w:hAnsi="標楷體" w:hint="eastAsia"/>
          <w:snapToGrid w:val="0"/>
          <w:color w:val="000000"/>
          <w:sz w:val="32"/>
          <w:szCs w:val="32"/>
        </w:rPr>
        <w:t>提案人：黃國書</w:t>
      </w:r>
    </w:p>
    <w:p w:rsidR="00A52DD2" w:rsidRPr="00B70493" w:rsidRDefault="00A52DD2" w:rsidP="00F035E0">
      <w:pPr>
        <w:snapToGrid w:val="0"/>
        <w:spacing w:line="460" w:lineRule="exact"/>
        <w:ind w:leftChars="1250" w:left="4280" w:hangingChars="400" w:hanging="1280"/>
        <w:jc w:val="both"/>
        <w:rPr>
          <w:rFonts w:ascii="標楷體" w:eastAsia="標楷體" w:hAnsi="標楷體"/>
          <w:bCs/>
          <w:sz w:val="32"/>
          <w:szCs w:val="32"/>
        </w:rPr>
      </w:pPr>
      <w:r>
        <w:rPr>
          <w:rFonts w:ascii="標楷體" w:eastAsia="標楷體" w:hAnsi="標楷體" w:hint="eastAsia"/>
          <w:snapToGrid w:val="0"/>
          <w:color w:val="000000"/>
          <w:sz w:val="32"/>
          <w:szCs w:val="32"/>
        </w:rPr>
        <w:t>連署人：吳思瑤  陳秀寳</w:t>
      </w:r>
    </w:p>
    <w:p w:rsidR="00A52DD2" w:rsidRPr="00B70493" w:rsidRDefault="00A52DD2" w:rsidP="00F035E0">
      <w:pPr>
        <w:snapToGrid w:val="0"/>
        <w:spacing w:beforeLines="50" w:before="180" w:line="500" w:lineRule="exact"/>
        <w:ind w:left="640" w:hangingChars="200" w:hanging="640"/>
        <w:contextualSpacing/>
        <w:jc w:val="both"/>
        <w:rPr>
          <w:rFonts w:ascii="標楷體" w:eastAsia="標楷體" w:hAnsi="標楷體"/>
          <w:bCs/>
          <w:sz w:val="32"/>
          <w:szCs w:val="32"/>
        </w:rPr>
      </w:pPr>
      <w:r w:rsidRPr="00B70493">
        <w:rPr>
          <w:rFonts w:ascii="標楷體" w:eastAsia="標楷體" w:hAnsi="標楷體" w:hint="eastAsia"/>
          <w:bCs/>
          <w:sz w:val="32"/>
          <w:szCs w:val="32"/>
        </w:rPr>
        <w:t>三、對於</w:t>
      </w:r>
      <w:r w:rsidRPr="00B70493">
        <w:rPr>
          <w:rFonts w:ascii="標楷體" w:eastAsia="標楷體" w:hAnsi="標楷體"/>
          <w:bCs/>
          <w:sz w:val="32"/>
          <w:szCs w:val="32"/>
        </w:rPr>
        <w:t>委員質詢要求提供相關資料或</w:t>
      </w:r>
      <w:r w:rsidRPr="00B70493">
        <w:rPr>
          <w:rFonts w:ascii="標楷體" w:eastAsia="標楷體" w:hAnsi="標楷體" w:hint="eastAsia"/>
          <w:bCs/>
          <w:sz w:val="32"/>
          <w:szCs w:val="32"/>
        </w:rPr>
        <w:t>未及</w:t>
      </w:r>
      <w:r w:rsidRPr="00B70493">
        <w:rPr>
          <w:rFonts w:ascii="標楷體" w:eastAsia="標楷體" w:hAnsi="標楷體"/>
          <w:bCs/>
          <w:sz w:val="32"/>
          <w:szCs w:val="32"/>
        </w:rPr>
        <w:t>答</w:t>
      </w:r>
      <w:r w:rsidRPr="00B70493">
        <w:rPr>
          <w:rFonts w:ascii="標楷體" w:eastAsia="標楷體" w:hAnsi="標楷體" w:hint="eastAsia"/>
          <w:bCs/>
          <w:sz w:val="32"/>
          <w:szCs w:val="32"/>
        </w:rPr>
        <w:t>復部分</w:t>
      </w:r>
      <w:r w:rsidRPr="00B70493">
        <w:rPr>
          <w:rFonts w:ascii="標楷體" w:eastAsia="標楷體" w:hAnsi="標楷體"/>
          <w:bCs/>
          <w:sz w:val="32"/>
          <w:szCs w:val="32"/>
        </w:rPr>
        <w:t>，請相關機關</w:t>
      </w:r>
      <w:r w:rsidRPr="00B70493">
        <w:rPr>
          <w:rFonts w:ascii="標楷體" w:eastAsia="標楷體" w:hAnsi="標楷體" w:hint="eastAsia"/>
          <w:bCs/>
          <w:sz w:val="32"/>
          <w:szCs w:val="32"/>
        </w:rPr>
        <w:t>儘速以書面答復</w:t>
      </w:r>
      <w:r w:rsidRPr="00B70493">
        <w:rPr>
          <w:rFonts w:ascii="標楷體" w:eastAsia="標楷體" w:hAnsi="標楷體"/>
          <w:bCs/>
          <w:sz w:val="32"/>
          <w:szCs w:val="32"/>
        </w:rPr>
        <w:t>。</w:t>
      </w:r>
    </w:p>
    <w:p w:rsidR="00A52DD2" w:rsidRPr="009A0D81" w:rsidRDefault="00A52DD2" w:rsidP="00F035E0">
      <w:pPr>
        <w:snapToGrid w:val="0"/>
        <w:spacing w:beforeLines="50" w:before="180" w:line="500" w:lineRule="exact"/>
        <w:ind w:left="640" w:hangingChars="200" w:hanging="640"/>
        <w:contextualSpacing/>
        <w:jc w:val="both"/>
        <w:rPr>
          <w:rFonts w:ascii="標楷體" w:eastAsia="標楷體" w:hAnsi="標楷體"/>
          <w:bCs/>
          <w:sz w:val="32"/>
          <w:szCs w:val="32"/>
        </w:rPr>
      </w:pPr>
      <w:r w:rsidRPr="00B70493">
        <w:rPr>
          <w:rFonts w:ascii="標楷體" w:eastAsia="標楷體" w:hAnsi="標楷體" w:hint="eastAsia"/>
          <w:bCs/>
          <w:sz w:val="32"/>
          <w:szCs w:val="32"/>
        </w:rPr>
        <w:t>四、</w:t>
      </w:r>
      <w:r w:rsidRPr="009A0D81">
        <w:rPr>
          <w:rFonts w:ascii="標楷體" w:eastAsia="標楷體" w:hAnsi="標楷體" w:hint="eastAsia"/>
          <w:bCs/>
          <w:sz w:val="32"/>
          <w:szCs w:val="32"/>
        </w:rPr>
        <w:t>在不影響文意前提下，授權議事人員依「11</w:t>
      </w:r>
      <w:r>
        <w:rPr>
          <w:rFonts w:ascii="標楷體" w:eastAsia="標楷體" w:hAnsi="標楷體"/>
          <w:bCs/>
          <w:sz w:val="32"/>
          <w:szCs w:val="32"/>
        </w:rPr>
        <w:t>2</w:t>
      </w:r>
      <w:r w:rsidRPr="009A0D81">
        <w:rPr>
          <w:rFonts w:ascii="標楷體" w:eastAsia="標楷體" w:hAnsi="標楷體" w:hint="eastAsia"/>
          <w:bCs/>
          <w:sz w:val="32"/>
          <w:szCs w:val="32"/>
        </w:rPr>
        <w:t>年度中央政府總預算案審查報告與黨團協商之範例」整理。</w:t>
      </w:r>
    </w:p>
    <w:p w:rsidR="00A52DD2" w:rsidRPr="009A0D81" w:rsidRDefault="00A52DD2" w:rsidP="00F035E0">
      <w:pPr>
        <w:snapToGrid w:val="0"/>
        <w:spacing w:beforeLines="50" w:before="18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五</w:t>
      </w:r>
      <w:r w:rsidRPr="009A0D81">
        <w:rPr>
          <w:rFonts w:ascii="標楷體" w:eastAsia="標楷體" w:hAnsi="標楷體" w:hint="eastAsia"/>
          <w:bCs/>
          <w:sz w:val="32"/>
          <w:szCs w:val="32"/>
        </w:rPr>
        <w:t>、11</w:t>
      </w:r>
      <w:r>
        <w:rPr>
          <w:rFonts w:ascii="標楷體" w:eastAsia="標楷體" w:hAnsi="標楷體"/>
          <w:bCs/>
          <w:sz w:val="32"/>
          <w:szCs w:val="32"/>
        </w:rPr>
        <w:t>2</w:t>
      </w:r>
      <w:r w:rsidRPr="009A0D81">
        <w:rPr>
          <w:rFonts w:ascii="標楷體" w:eastAsia="標楷體" w:hAnsi="標楷體" w:hint="eastAsia"/>
          <w:bCs/>
          <w:sz w:val="32"/>
          <w:szCs w:val="32"/>
        </w:rPr>
        <w:t>年度中央政府總預算案有關行政院原子能委員會及所屬單位預算案</w:t>
      </w:r>
      <w:r>
        <w:rPr>
          <w:rFonts w:ascii="標楷體" w:eastAsia="標楷體" w:hAnsi="標楷體" w:hint="eastAsia"/>
          <w:bCs/>
          <w:sz w:val="32"/>
          <w:szCs w:val="32"/>
        </w:rPr>
        <w:t>、</w:t>
      </w:r>
      <w:r w:rsidRPr="009A0D81">
        <w:rPr>
          <w:rFonts w:ascii="標楷體" w:eastAsia="標楷體" w:hAnsi="標楷體" w:hint="eastAsia"/>
          <w:bCs/>
          <w:sz w:val="32"/>
          <w:szCs w:val="32"/>
        </w:rPr>
        <w:t>原子能委員會主管核子事故緊急應變基金附屬單位預算案，全部審查完竣。</w:t>
      </w:r>
    </w:p>
    <w:p w:rsidR="00A52DD2" w:rsidRDefault="00A52DD2" w:rsidP="00F035E0">
      <w:pPr>
        <w:snapToGrid w:val="0"/>
        <w:spacing w:beforeLines="50" w:before="180" w:line="500" w:lineRule="exact"/>
        <w:ind w:left="641" w:hangingChars="200" w:hanging="641"/>
        <w:contextualSpacing/>
        <w:rPr>
          <w:rFonts w:ascii="標楷體" w:eastAsia="標楷體" w:hAnsi="標楷體"/>
          <w:b/>
          <w:bCs/>
          <w:sz w:val="32"/>
          <w:szCs w:val="32"/>
        </w:rPr>
      </w:pPr>
      <w:r w:rsidRPr="00AB746E">
        <w:rPr>
          <w:rFonts w:ascii="標楷體" w:eastAsia="標楷體" w:hAnsi="標楷體" w:hint="eastAsia"/>
          <w:b/>
          <w:bCs/>
          <w:sz w:val="32"/>
          <w:szCs w:val="32"/>
        </w:rPr>
        <w:t>散會</w:t>
      </w:r>
    </w:p>
    <w:p w:rsidR="00A52DD2" w:rsidRDefault="00A52DD2">
      <w:pPr>
        <w:widowControl/>
        <w:rPr>
          <w:rFonts w:ascii="標楷體" w:eastAsia="標楷體" w:hAnsi="標楷體"/>
          <w:b/>
          <w:spacing w:val="-2"/>
          <w:position w:val="2"/>
          <w:sz w:val="32"/>
          <w:szCs w:val="32"/>
        </w:rPr>
      </w:pPr>
      <w:r>
        <w:rPr>
          <w:rFonts w:ascii="標楷體" w:eastAsia="標楷體" w:hAnsi="標楷體"/>
          <w:b/>
          <w:spacing w:val="-2"/>
          <w:position w:val="2"/>
          <w:sz w:val="32"/>
          <w:szCs w:val="32"/>
        </w:rPr>
        <w:br w:type="page"/>
      </w:r>
    </w:p>
    <w:p w:rsidR="00A52DD2" w:rsidRPr="00573D4D" w:rsidRDefault="00A52DD2" w:rsidP="00A52DD2">
      <w:pPr>
        <w:pStyle w:val="01-45"/>
        <w:rPr>
          <w:position w:val="2"/>
        </w:rPr>
      </w:pPr>
      <w:bookmarkStart w:id="280" w:name="_Toc126068188"/>
      <w:r w:rsidRPr="00573D4D">
        <w:rPr>
          <w:rFonts w:hint="eastAsia"/>
        </w:rPr>
        <w:lastRenderedPageBreak/>
        <w:t>立法院第10屆第</w:t>
      </w:r>
      <w:r w:rsidRPr="00573D4D">
        <w:t>6</w:t>
      </w:r>
      <w:r w:rsidRPr="00573D4D">
        <w:rPr>
          <w:rFonts w:hint="eastAsia"/>
        </w:rPr>
        <w:t>會期教育及文化委員會第</w:t>
      </w:r>
      <w:r w:rsidRPr="00573D4D">
        <w:t>15</w:t>
      </w:r>
      <w:r w:rsidRPr="00573D4D">
        <w:rPr>
          <w:rFonts w:hint="eastAsia"/>
        </w:rPr>
        <w:t>次全體委員會議議事錄</w:t>
      </w:r>
      <w:bookmarkEnd w:id="280"/>
    </w:p>
    <w:p w:rsidR="00A52DD2" w:rsidRPr="00573D4D" w:rsidRDefault="00A52DD2" w:rsidP="00F035E0">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573D4D">
        <w:rPr>
          <w:rFonts w:ascii="標楷體" w:eastAsia="標楷體" w:hAnsi="標楷體"/>
          <w:sz w:val="32"/>
          <w:szCs w:val="32"/>
        </w:rPr>
        <w:t>時    間：</w:t>
      </w:r>
      <w:r w:rsidRPr="00573D4D">
        <w:rPr>
          <w:rFonts w:ascii="標楷體" w:eastAsia="標楷體" w:hAnsi="標楷體" w:hint="eastAsia"/>
          <w:spacing w:val="-32"/>
          <w:kern w:val="0"/>
          <w:sz w:val="32"/>
          <w:szCs w:val="32"/>
        </w:rPr>
        <w:t>中華民國1</w:t>
      </w:r>
      <w:r w:rsidRPr="00573D4D">
        <w:rPr>
          <w:rFonts w:ascii="標楷體" w:eastAsia="標楷體" w:hAnsi="標楷體"/>
          <w:spacing w:val="-32"/>
          <w:kern w:val="0"/>
          <w:sz w:val="32"/>
          <w:szCs w:val="32"/>
        </w:rPr>
        <w:t>11</w:t>
      </w:r>
      <w:r w:rsidRPr="00573D4D">
        <w:rPr>
          <w:rFonts w:ascii="標楷體" w:eastAsia="標楷體" w:hAnsi="標楷體" w:hint="eastAsia"/>
          <w:spacing w:val="-32"/>
          <w:kern w:val="0"/>
          <w:sz w:val="32"/>
          <w:szCs w:val="32"/>
        </w:rPr>
        <w:t>年</w:t>
      </w:r>
      <w:r w:rsidRPr="00573D4D">
        <w:rPr>
          <w:rFonts w:ascii="標楷體" w:eastAsia="標楷體" w:hAnsi="標楷體"/>
          <w:spacing w:val="-32"/>
          <w:kern w:val="0"/>
          <w:sz w:val="32"/>
          <w:szCs w:val="32"/>
        </w:rPr>
        <w:t>12</w:t>
      </w:r>
      <w:r w:rsidRPr="00573D4D">
        <w:rPr>
          <w:rFonts w:ascii="標楷體" w:eastAsia="標楷體" w:hAnsi="標楷體" w:hint="eastAsia"/>
          <w:spacing w:val="-32"/>
          <w:kern w:val="0"/>
          <w:sz w:val="32"/>
          <w:szCs w:val="32"/>
        </w:rPr>
        <w:t>月</w:t>
      </w:r>
      <w:r w:rsidRPr="00573D4D">
        <w:rPr>
          <w:rFonts w:ascii="標楷體" w:eastAsia="標楷體" w:hAnsi="標楷體"/>
          <w:spacing w:val="-32"/>
          <w:kern w:val="0"/>
          <w:sz w:val="32"/>
          <w:szCs w:val="32"/>
        </w:rPr>
        <w:t>21</w:t>
      </w:r>
      <w:r w:rsidRPr="00573D4D">
        <w:rPr>
          <w:rFonts w:ascii="標楷體" w:eastAsia="標楷體" w:hAnsi="標楷體" w:hint="eastAsia"/>
          <w:spacing w:val="-32"/>
          <w:kern w:val="0"/>
          <w:sz w:val="32"/>
          <w:szCs w:val="32"/>
        </w:rPr>
        <w:t>日（星期三）上午9時</w:t>
      </w:r>
      <w:r w:rsidRPr="00573D4D">
        <w:rPr>
          <w:rFonts w:ascii="標楷體" w:eastAsia="標楷體" w:hAnsi="標楷體"/>
          <w:spacing w:val="-32"/>
          <w:kern w:val="0"/>
          <w:sz w:val="32"/>
          <w:szCs w:val="32"/>
        </w:rPr>
        <w:t>6</w:t>
      </w:r>
      <w:r w:rsidRPr="00573D4D">
        <w:rPr>
          <w:rFonts w:ascii="標楷體" w:eastAsia="標楷體" w:hAnsi="標楷體" w:hint="eastAsia"/>
          <w:spacing w:val="-32"/>
          <w:kern w:val="0"/>
          <w:sz w:val="32"/>
          <w:szCs w:val="32"/>
        </w:rPr>
        <w:t>分至下午6時</w:t>
      </w:r>
      <w:r w:rsidRPr="00573D4D">
        <w:rPr>
          <w:rFonts w:ascii="標楷體" w:eastAsia="標楷體" w:hAnsi="標楷體"/>
          <w:spacing w:val="-32"/>
          <w:kern w:val="0"/>
          <w:sz w:val="32"/>
          <w:szCs w:val="32"/>
        </w:rPr>
        <w:t>51</w:t>
      </w:r>
      <w:r w:rsidRPr="00573D4D">
        <w:rPr>
          <w:rFonts w:ascii="標楷體" w:eastAsia="標楷體" w:hAnsi="標楷體" w:hint="eastAsia"/>
          <w:spacing w:val="-32"/>
          <w:kern w:val="0"/>
          <w:sz w:val="32"/>
          <w:szCs w:val="32"/>
        </w:rPr>
        <w:t>分</w:t>
      </w:r>
    </w:p>
    <w:p w:rsidR="00A52DD2" w:rsidRPr="00573D4D" w:rsidRDefault="00A52DD2" w:rsidP="00F035E0">
      <w:pPr>
        <w:snapToGrid w:val="0"/>
        <w:spacing w:line="460" w:lineRule="exact"/>
        <w:ind w:left="1706" w:rightChars="9" w:right="22" w:hangingChars="533" w:hanging="1706"/>
        <w:jc w:val="both"/>
        <w:rPr>
          <w:rFonts w:ascii="標楷體" w:eastAsia="標楷體" w:hAnsi="標楷體"/>
          <w:sz w:val="32"/>
          <w:szCs w:val="32"/>
        </w:rPr>
      </w:pPr>
      <w:r w:rsidRPr="00573D4D">
        <w:rPr>
          <w:rFonts w:ascii="標楷體" w:eastAsia="標楷體" w:hAnsi="標楷體"/>
          <w:sz w:val="32"/>
          <w:szCs w:val="32"/>
        </w:rPr>
        <w:t>地    點：</w:t>
      </w:r>
      <w:r w:rsidRPr="00573D4D">
        <w:rPr>
          <w:rFonts w:ascii="標楷體" w:eastAsia="標楷體" w:hAnsi="標楷體" w:hint="eastAsia"/>
          <w:sz w:val="32"/>
          <w:szCs w:val="32"/>
        </w:rPr>
        <w:t>本</w:t>
      </w:r>
      <w:r w:rsidRPr="00573D4D">
        <w:rPr>
          <w:rFonts w:ascii="標楷體" w:eastAsia="標楷體" w:hAnsi="標楷體"/>
          <w:sz w:val="32"/>
          <w:szCs w:val="32"/>
        </w:rPr>
        <w:t>院群賢樓101會議室</w:t>
      </w:r>
    </w:p>
    <w:p w:rsidR="00A52DD2" w:rsidRPr="00573D4D" w:rsidRDefault="00A52DD2" w:rsidP="00F035E0">
      <w:pPr>
        <w:snapToGrid w:val="0"/>
        <w:spacing w:line="460" w:lineRule="exact"/>
        <w:ind w:leftChars="2" w:left="5"/>
        <w:jc w:val="both"/>
        <w:rPr>
          <w:rFonts w:ascii="標楷體" w:eastAsia="標楷體" w:hAnsi="標楷體"/>
          <w:sz w:val="32"/>
          <w:szCs w:val="32"/>
        </w:rPr>
      </w:pPr>
      <w:r w:rsidRPr="00573D4D">
        <w:rPr>
          <w:rFonts w:ascii="標楷體" w:eastAsia="標楷體" w:hAnsi="標楷體"/>
          <w:sz w:val="32"/>
          <w:szCs w:val="32"/>
        </w:rPr>
        <w:t>出席委員</w:t>
      </w:r>
      <w:r w:rsidRPr="00573D4D">
        <w:rPr>
          <w:rFonts w:ascii="標楷體" w:eastAsia="標楷體" w:hAnsi="標楷體" w:hint="eastAsia"/>
          <w:sz w:val="32"/>
          <w:szCs w:val="32"/>
        </w:rPr>
        <w:t>：鄭正鈐  吳怡玎  林宜瑾  何欣純  黃國書  張廖萬堅</w:t>
      </w:r>
    </w:p>
    <w:p w:rsidR="00A52DD2" w:rsidRPr="00573D4D" w:rsidRDefault="00A52DD2" w:rsidP="00F035E0">
      <w:pPr>
        <w:snapToGrid w:val="0"/>
        <w:spacing w:line="460" w:lineRule="exact"/>
        <w:ind w:leftChars="2" w:left="5"/>
        <w:jc w:val="both"/>
        <w:rPr>
          <w:rFonts w:ascii="標楷體" w:eastAsia="標楷體" w:hAnsi="標楷體"/>
          <w:sz w:val="32"/>
          <w:szCs w:val="32"/>
        </w:rPr>
      </w:pPr>
      <w:r w:rsidRPr="00573D4D">
        <w:rPr>
          <w:rFonts w:ascii="標楷體" w:eastAsia="標楷體" w:hAnsi="標楷體" w:hint="eastAsia"/>
          <w:sz w:val="32"/>
          <w:szCs w:val="32"/>
        </w:rPr>
        <w:t xml:space="preserve">          吳思瑤  范  雲  王婉諭  萬美玲  林奕華  賴品妤</w:t>
      </w:r>
    </w:p>
    <w:p w:rsidR="00A52DD2" w:rsidRPr="00573D4D" w:rsidRDefault="00A52DD2" w:rsidP="00F035E0">
      <w:pPr>
        <w:snapToGrid w:val="0"/>
        <w:spacing w:line="460" w:lineRule="exact"/>
        <w:ind w:leftChars="2" w:left="5"/>
        <w:jc w:val="both"/>
        <w:rPr>
          <w:rFonts w:ascii="標楷體" w:eastAsia="標楷體" w:hAnsi="標楷體"/>
          <w:sz w:val="32"/>
          <w:szCs w:val="32"/>
        </w:rPr>
      </w:pPr>
      <w:r w:rsidRPr="00573D4D">
        <w:rPr>
          <w:rFonts w:ascii="標楷體" w:eastAsia="標楷體" w:hAnsi="標楷體" w:hint="eastAsia"/>
          <w:sz w:val="32"/>
          <w:szCs w:val="32"/>
        </w:rPr>
        <w:t xml:space="preserve">          陳秀寳  高金素梅</w:t>
      </w:r>
    </w:p>
    <w:p w:rsidR="00A52DD2" w:rsidRPr="00573D4D" w:rsidRDefault="00A52DD2" w:rsidP="00F035E0">
      <w:pPr>
        <w:snapToGrid w:val="0"/>
        <w:spacing w:line="460" w:lineRule="exact"/>
        <w:ind w:leftChars="2" w:left="5"/>
        <w:jc w:val="both"/>
        <w:rPr>
          <w:rFonts w:ascii="標楷體" w:eastAsia="標楷體" w:hAnsi="標楷體"/>
          <w:sz w:val="32"/>
          <w:szCs w:val="32"/>
        </w:rPr>
      </w:pPr>
      <w:r w:rsidRPr="00573D4D">
        <w:rPr>
          <w:rFonts w:ascii="標楷體" w:eastAsia="標楷體" w:hAnsi="標楷體" w:hint="eastAsia"/>
          <w:sz w:val="32"/>
          <w:szCs w:val="32"/>
        </w:rPr>
        <w:t xml:space="preserve">          委員出席</w:t>
      </w:r>
      <w:r w:rsidRPr="00573D4D">
        <w:rPr>
          <w:rFonts w:ascii="標楷體" w:eastAsia="標楷體" w:hAnsi="標楷體"/>
          <w:sz w:val="32"/>
          <w:szCs w:val="32"/>
        </w:rPr>
        <w:t>14</w:t>
      </w:r>
      <w:r w:rsidRPr="00573D4D">
        <w:rPr>
          <w:rFonts w:ascii="標楷體" w:eastAsia="標楷體" w:hAnsi="標楷體" w:hint="eastAsia"/>
          <w:sz w:val="32"/>
          <w:szCs w:val="32"/>
        </w:rPr>
        <w:t>人</w:t>
      </w:r>
    </w:p>
    <w:p w:rsidR="00A52DD2" w:rsidRPr="00573D4D" w:rsidRDefault="00A52DD2" w:rsidP="00F035E0">
      <w:pPr>
        <w:snapToGrid w:val="0"/>
        <w:spacing w:line="460" w:lineRule="exact"/>
        <w:ind w:left="1920" w:rightChars="9" w:right="22" w:hangingChars="600" w:hanging="1920"/>
        <w:jc w:val="both"/>
        <w:rPr>
          <w:rFonts w:ascii="標楷體" w:eastAsia="標楷體" w:hAnsi="標楷體"/>
          <w:sz w:val="32"/>
          <w:szCs w:val="32"/>
        </w:rPr>
      </w:pPr>
      <w:r w:rsidRPr="00573D4D">
        <w:rPr>
          <w:rFonts w:ascii="標楷體" w:eastAsia="標楷體" w:hAnsi="標楷體"/>
          <w:sz w:val="32"/>
          <w:szCs w:val="32"/>
        </w:rPr>
        <w:t>列席委員：</w:t>
      </w:r>
      <w:r w:rsidRPr="00573D4D">
        <w:rPr>
          <w:rFonts w:ascii="標楷體" w:eastAsia="標楷體" w:hAnsi="標楷體" w:hint="eastAsia"/>
          <w:sz w:val="32"/>
          <w:szCs w:val="32"/>
        </w:rPr>
        <w:t>游毓蘭  洪孟楷  陳椒華  陳歐珀  林思銘  劉世芳</w:t>
      </w:r>
    </w:p>
    <w:p w:rsidR="00A52DD2" w:rsidRPr="00573D4D" w:rsidRDefault="00A52DD2" w:rsidP="00F035E0">
      <w:pPr>
        <w:snapToGrid w:val="0"/>
        <w:spacing w:line="460" w:lineRule="exact"/>
        <w:ind w:left="1920" w:rightChars="9" w:right="22" w:hangingChars="600" w:hanging="1920"/>
        <w:jc w:val="both"/>
        <w:rPr>
          <w:rFonts w:ascii="標楷體" w:eastAsia="標楷體" w:hAnsi="標楷體"/>
          <w:sz w:val="32"/>
          <w:szCs w:val="32"/>
        </w:rPr>
      </w:pPr>
      <w:r w:rsidRPr="00573D4D">
        <w:rPr>
          <w:rFonts w:ascii="標楷體" w:eastAsia="標楷體" w:hAnsi="標楷體" w:hint="eastAsia"/>
          <w:sz w:val="32"/>
          <w:szCs w:val="32"/>
        </w:rPr>
        <w:t xml:space="preserve">          李德維  楊瓊瓔  張其祿  李貴敏  廖婉汝  林德福</w:t>
      </w:r>
    </w:p>
    <w:p w:rsidR="00A52DD2" w:rsidRPr="00573D4D" w:rsidRDefault="00A52DD2" w:rsidP="00F035E0">
      <w:pPr>
        <w:snapToGrid w:val="0"/>
        <w:spacing w:line="460" w:lineRule="exact"/>
        <w:ind w:leftChars="2" w:left="5"/>
        <w:jc w:val="both"/>
        <w:rPr>
          <w:rFonts w:ascii="標楷體" w:eastAsia="標楷體" w:hAnsi="標楷體"/>
          <w:sz w:val="32"/>
          <w:szCs w:val="32"/>
        </w:rPr>
      </w:pPr>
      <w:r w:rsidRPr="00573D4D">
        <w:rPr>
          <w:rFonts w:ascii="標楷體" w:eastAsia="標楷體" w:hAnsi="標楷體" w:hint="eastAsia"/>
          <w:sz w:val="32"/>
          <w:szCs w:val="32"/>
        </w:rPr>
        <w:t xml:space="preserve">          羅明才  廖國棟Sufin‧Siluko</w:t>
      </w:r>
    </w:p>
    <w:p w:rsidR="00A52DD2" w:rsidRPr="00573D4D" w:rsidRDefault="00A52DD2" w:rsidP="00F035E0">
      <w:pPr>
        <w:snapToGrid w:val="0"/>
        <w:spacing w:line="460" w:lineRule="exact"/>
        <w:ind w:left="1920" w:rightChars="9" w:right="22" w:hangingChars="600" w:hanging="1920"/>
        <w:jc w:val="both"/>
        <w:rPr>
          <w:rFonts w:ascii="標楷體" w:eastAsia="標楷體" w:hAnsi="標楷體"/>
          <w:position w:val="2"/>
          <w:sz w:val="32"/>
          <w:szCs w:val="32"/>
        </w:rPr>
      </w:pPr>
      <w:r w:rsidRPr="00573D4D">
        <w:rPr>
          <w:rFonts w:ascii="標楷體" w:eastAsia="標楷體" w:hAnsi="標楷體" w:hint="eastAsia"/>
          <w:sz w:val="32"/>
          <w:szCs w:val="32"/>
        </w:rPr>
        <w:t xml:space="preserve">          </w:t>
      </w:r>
      <w:r w:rsidRPr="00573D4D">
        <w:rPr>
          <w:rFonts w:ascii="標楷體" w:eastAsia="標楷體" w:hAnsi="標楷體"/>
          <w:position w:val="2"/>
          <w:sz w:val="32"/>
          <w:szCs w:val="32"/>
        </w:rPr>
        <w:t>委員列席</w:t>
      </w:r>
      <w:r w:rsidRPr="00573D4D">
        <w:rPr>
          <w:rFonts w:ascii="標楷體" w:eastAsia="標楷體" w:hAnsi="標楷體" w:hint="eastAsia"/>
          <w:position w:val="2"/>
          <w:sz w:val="32"/>
          <w:szCs w:val="32"/>
        </w:rPr>
        <w:t>14人</w:t>
      </w:r>
    </w:p>
    <w:p w:rsidR="00A52DD2" w:rsidRPr="00573D4D" w:rsidRDefault="00A52DD2" w:rsidP="00F035E0">
      <w:pPr>
        <w:pStyle w:val="ac"/>
        <w:spacing w:line="500" w:lineRule="exact"/>
        <w:ind w:left="975" w:hanging="964"/>
        <w:contextualSpacing/>
        <w:rPr>
          <w:sz w:val="32"/>
          <w:szCs w:val="32"/>
        </w:rPr>
      </w:pPr>
      <w:r w:rsidRPr="00573D4D">
        <w:rPr>
          <w:sz w:val="32"/>
          <w:szCs w:val="32"/>
        </w:rPr>
        <w:t>列席人員</w:t>
      </w:r>
      <w:r w:rsidRPr="00573D4D">
        <w:rPr>
          <w:rFonts w:hint="eastAsia"/>
          <w:sz w:val="32"/>
          <w:szCs w:val="32"/>
        </w:rPr>
        <w:t xml:space="preserve">：文化部部長          </w:t>
      </w:r>
      <w:r w:rsidRPr="00573D4D">
        <w:rPr>
          <w:rFonts w:hint="eastAsia"/>
          <w:sz w:val="36"/>
          <w:szCs w:val="32"/>
        </w:rPr>
        <w:t xml:space="preserve"> </w:t>
      </w:r>
      <w:r w:rsidRPr="00573D4D">
        <w:rPr>
          <w:rFonts w:hint="eastAsia"/>
          <w:sz w:val="32"/>
          <w:szCs w:val="32"/>
        </w:rPr>
        <w:t xml:space="preserve">  </w:t>
      </w:r>
      <w:r w:rsidRPr="00573D4D">
        <w:rPr>
          <w:rFonts w:hint="eastAsia"/>
          <w:sz w:val="40"/>
          <w:szCs w:val="32"/>
        </w:rPr>
        <w:t xml:space="preserve"> </w:t>
      </w:r>
      <w:r w:rsidRPr="00573D4D">
        <w:rPr>
          <w:rFonts w:hint="eastAsia"/>
          <w:sz w:val="32"/>
          <w:szCs w:val="32"/>
        </w:rPr>
        <w:t xml:space="preserve">      李永得率同有關人員</w:t>
      </w:r>
    </w:p>
    <w:p w:rsidR="00A52DD2" w:rsidRPr="00573D4D" w:rsidRDefault="00A52DD2" w:rsidP="00F035E0">
      <w:pPr>
        <w:pStyle w:val="ac"/>
        <w:tabs>
          <w:tab w:val="left" w:pos="1418"/>
        </w:tabs>
        <w:spacing w:line="500" w:lineRule="exact"/>
        <w:ind w:left="975" w:hanging="964"/>
        <w:contextualSpacing/>
        <w:rPr>
          <w:spacing w:val="-2"/>
          <w:position w:val="2"/>
          <w:sz w:val="32"/>
          <w:szCs w:val="32"/>
        </w:rPr>
      </w:pPr>
      <w:r w:rsidRPr="00573D4D">
        <w:rPr>
          <w:rFonts w:hint="eastAsia"/>
          <w:spacing w:val="-2"/>
          <w:position w:val="2"/>
          <w:sz w:val="32"/>
          <w:szCs w:val="32"/>
        </w:rPr>
        <w:t xml:space="preserve">       </w:t>
      </w:r>
      <w:r w:rsidRPr="00573D4D">
        <w:rPr>
          <w:rFonts w:hint="eastAsia"/>
          <w:spacing w:val="-2"/>
          <w:position w:val="2"/>
          <w:sz w:val="36"/>
          <w:szCs w:val="32"/>
        </w:rPr>
        <w:t xml:space="preserve"> </w:t>
      </w:r>
      <w:r w:rsidRPr="00573D4D">
        <w:rPr>
          <w:rFonts w:hint="eastAsia"/>
          <w:spacing w:val="-2"/>
          <w:position w:val="2"/>
          <w:sz w:val="32"/>
          <w:szCs w:val="32"/>
        </w:rPr>
        <w:t xml:space="preserve">  行政法人國家表演藝術中心主任秘書           郭美娟</w:t>
      </w:r>
    </w:p>
    <w:p w:rsidR="00A52DD2" w:rsidRPr="00573D4D" w:rsidRDefault="00A52DD2" w:rsidP="00F035E0">
      <w:pPr>
        <w:pStyle w:val="ac"/>
        <w:tabs>
          <w:tab w:val="left" w:pos="1418"/>
        </w:tabs>
        <w:spacing w:line="500" w:lineRule="exact"/>
        <w:ind w:left="975" w:hanging="964"/>
        <w:contextualSpacing/>
        <w:rPr>
          <w:spacing w:val="-2"/>
          <w:position w:val="2"/>
          <w:sz w:val="32"/>
          <w:szCs w:val="32"/>
        </w:rPr>
      </w:pPr>
      <w:r w:rsidRPr="00573D4D">
        <w:rPr>
          <w:rFonts w:hint="eastAsia"/>
          <w:spacing w:val="-2"/>
          <w:position w:val="2"/>
          <w:sz w:val="32"/>
          <w:szCs w:val="32"/>
        </w:rPr>
        <w:t xml:space="preserve">          行政法人文化內容策進院董事長            </w:t>
      </w:r>
      <w:r w:rsidRPr="00573D4D">
        <w:rPr>
          <w:rFonts w:hint="eastAsia"/>
          <w:spacing w:val="-2"/>
          <w:position w:val="2"/>
          <w:sz w:val="36"/>
          <w:szCs w:val="32"/>
        </w:rPr>
        <w:t xml:space="preserve"> </w:t>
      </w:r>
      <w:r w:rsidRPr="00573D4D">
        <w:rPr>
          <w:rFonts w:hint="eastAsia"/>
          <w:spacing w:val="-2"/>
          <w:position w:val="2"/>
          <w:sz w:val="32"/>
          <w:szCs w:val="32"/>
        </w:rPr>
        <w:t xml:space="preserve">  彭俊亨</w:t>
      </w:r>
    </w:p>
    <w:p w:rsidR="00A52DD2" w:rsidRPr="00573D4D" w:rsidRDefault="00A52DD2" w:rsidP="00F035E0">
      <w:pPr>
        <w:pStyle w:val="ac"/>
        <w:tabs>
          <w:tab w:val="left" w:pos="1418"/>
        </w:tabs>
        <w:spacing w:line="500" w:lineRule="exact"/>
        <w:ind w:left="975" w:hanging="964"/>
        <w:contextualSpacing/>
        <w:rPr>
          <w:spacing w:val="-2"/>
          <w:position w:val="2"/>
          <w:sz w:val="32"/>
          <w:szCs w:val="32"/>
        </w:rPr>
      </w:pPr>
      <w:r w:rsidRPr="00573D4D">
        <w:rPr>
          <w:rFonts w:hint="eastAsia"/>
          <w:spacing w:val="-2"/>
          <w:position w:val="2"/>
          <w:sz w:val="32"/>
          <w:szCs w:val="32"/>
        </w:rPr>
        <w:t xml:space="preserve">          行政法人國家電影及影視文化中心董事長       藍祖蔚</w:t>
      </w:r>
    </w:p>
    <w:p w:rsidR="00A52DD2" w:rsidRPr="00573D4D" w:rsidRDefault="00A52DD2" w:rsidP="00F035E0">
      <w:pPr>
        <w:pStyle w:val="ac"/>
        <w:tabs>
          <w:tab w:val="left" w:pos="1418"/>
        </w:tabs>
        <w:spacing w:line="500" w:lineRule="exact"/>
        <w:ind w:left="975" w:hanging="964"/>
        <w:contextualSpacing/>
        <w:rPr>
          <w:spacing w:val="-2"/>
          <w:position w:val="2"/>
          <w:sz w:val="32"/>
          <w:szCs w:val="32"/>
        </w:rPr>
      </w:pPr>
      <w:r w:rsidRPr="00573D4D">
        <w:rPr>
          <w:rFonts w:hint="eastAsia"/>
          <w:spacing w:val="-2"/>
          <w:position w:val="2"/>
          <w:sz w:val="32"/>
          <w:szCs w:val="32"/>
        </w:rPr>
        <w:t xml:space="preserve">          行政院主計總處公務預算處專門委員           翁燕雪</w:t>
      </w:r>
    </w:p>
    <w:p w:rsidR="00A52DD2" w:rsidRPr="00573D4D" w:rsidRDefault="00A52DD2" w:rsidP="00F035E0">
      <w:pPr>
        <w:pStyle w:val="ac"/>
        <w:tabs>
          <w:tab w:val="left" w:pos="1418"/>
        </w:tabs>
        <w:spacing w:line="500" w:lineRule="exact"/>
        <w:ind w:left="975" w:hanging="964"/>
        <w:contextualSpacing/>
        <w:rPr>
          <w:spacing w:val="-2"/>
          <w:position w:val="2"/>
          <w:sz w:val="32"/>
          <w:szCs w:val="32"/>
        </w:rPr>
      </w:pPr>
      <w:r w:rsidRPr="00573D4D">
        <w:rPr>
          <w:rFonts w:hint="eastAsia"/>
          <w:spacing w:val="-2"/>
          <w:position w:val="2"/>
          <w:sz w:val="32"/>
          <w:szCs w:val="32"/>
        </w:rPr>
        <w:t xml:space="preserve">          行政院主計總處基金預算處科長               謝閔傑</w:t>
      </w:r>
    </w:p>
    <w:p w:rsidR="00A52DD2" w:rsidRPr="00573D4D" w:rsidRDefault="00A52DD2" w:rsidP="00F035E0">
      <w:pPr>
        <w:spacing w:line="500" w:lineRule="exact"/>
        <w:ind w:rightChars="14" w:right="34"/>
        <w:rPr>
          <w:rFonts w:ascii="標楷體" w:eastAsia="標楷體" w:hAnsi="標楷體"/>
          <w:sz w:val="32"/>
          <w:szCs w:val="32"/>
        </w:rPr>
      </w:pPr>
      <w:r w:rsidRPr="00573D4D">
        <w:rPr>
          <w:rFonts w:ascii="標楷體" w:eastAsia="標楷體" w:hAnsi="標楷體"/>
          <w:sz w:val="32"/>
          <w:szCs w:val="32"/>
        </w:rPr>
        <w:t>主    席</w:t>
      </w:r>
      <w:r w:rsidRPr="00573D4D">
        <w:rPr>
          <w:rFonts w:ascii="標楷體" w:eastAsia="標楷體" w:hAnsi="標楷體" w:hint="eastAsia"/>
          <w:sz w:val="32"/>
          <w:szCs w:val="32"/>
        </w:rPr>
        <w:t>：鄭</w:t>
      </w:r>
      <w:r w:rsidRPr="00573D4D">
        <w:rPr>
          <w:rFonts w:ascii="標楷體" w:eastAsia="標楷體" w:hAnsi="標楷體"/>
          <w:sz w:val="32"/>
          <w:szCs w:val="32"/>
        </w:rPr>
        <w:t>召集委員</w:t>
      </w:r>
      <w:r w:rsidRPr="00573D4D">
        <w:rPr>
          <w:rFonts w:ascii="標楷體" w:eastAsia="標楷體" w:hAnsi="標楷體" w:hint="eastAsia"/>
          <w:sz w:val="32"/>
          <w:szCs w:val="32"/>
        </w:rPr>
        <w:t>正鈐</w:t>
      </w:r>
    </w:p>
    <w:p w:rsidR="00A52DD2" w:rsidRPr="00573D4D" w:rsidRDefault="00A52DD2" w:rsidP="00F035E0">
      <w:pPr>
        <w:snapToGrid w:val="0"/>
        <w:spacing w:line="500" w:lineRule="exact"/>
        <w:ind w:rightChars="9" w:right="22"/>
        <w:jc w:val="both"/>
        <w:rPr>
          <w:rFonts w:ascii="標楷體" w:eastAsia="標楷體" w:hAnsi="標楷體"/>
          <w:sz w:val="32"/>
          <w:szCs w:val="32"/>
        </w:rPr>
      </w:pPr>
      <w:r w:rsidRPr="00573D4D">
        <w:rPr>
          <w:rFonts w:ascii="標楷體" w:eastAsia="標楷體" w:hAnsi="標楷體" w:hint="eastAsia"/>
          <w:sz w:val="32"/>
          <w:szCs w:val="32"/>
        </w:rPr>
        <w:t>主任秘書：陳錫欽</w:t>
      </w:r>
    </w:p>
    <w:p w:rsidR="00A52DD2" w:rsidRPr="00573D4D" w:rsidRDefault="00A52DD2" w:rsidP="00F035E0">
      <w:pPr>
        <w:snapToGrid w:val="0"/>
        <w:spacing w:line="500" w:lineRule="exact"/>
        <w:ind w:rightChars="9" w:right="22"/>
        <w:jc w:val="both"/>
        <w:rPr>
          <w:rFonts w:ascii="標楷體" w:eastAsia="標楷體" w:hAnsi="標楷體"/>
          <w:sz w:val="32"/>
          <w:szCs w:val="32"/>
        </w:rPr>
      </w:pPr>
      <w:r w:rsidRPr="00573D4D">
        <w:rPr>
          <w:rFonts w:ascii="標楷體" w:eastAsia="標楷體" w:hAnsi="標楷體"/>
          <w:sz w:val="32"/>
          <w:szCs w:val="32"/>
        </w:rPr>
        <w:t>專門委員：</w:t>
      </w:r>
      <w:r w:rsidRPr="00573D4D">
        <w:rPr>
          <w:rFonts w:ascii="標楷體" w:eastAsia="標楷體" w:hAnsi="標楷體" w:hint="eastAsia"/>
          <w:sz w:val="32"/>
          <w:szCs w:val="32"/>
        </w:rPr>
        <w:t>朱蔚菁</w:t>
      </w:r>
    </w:p>
    <w:p w:rsidR="00A52DD2" w:rsidRPr="00573D4D" w:rsidRDefault="00A52DD2" w:rsidP="00F035E0">
      <w:pPr>
        <w:snapToGrid w:val="0"/>
        <w:spacing w:line="500" w:lineRule="exact"/>
        <w:ind w:rightChars="9" w:right="22"/>
        <w:jc w:val="both"/>
        <w:rPr>
          <w:rFonts w:ascii="標楷體" w:eastAsia="標楷體" w:hAnsi="標楷體"/>
          <w:sz w:val="32"/>
          <w:szCs w:val="32"/>
        </w:rPr>
      </w:pPr>
      <w:r w:rsidRPr="00573D4D">
        <w:rPr>
          <w:rFonts w:ascii="標楷體" w:eastAsia="標楷體" w:hAnsi="標楷體"/>
          <w:sz w:val="32"/>
          <w:szCs w:val="32"/>
        </w:rPr>
        <w:t>紀    錄：</w:t>
      </w:r>
      <w:r w:rsidRPr="00573D4D">
        <w:rPr>
          <w:rFonts w:ascii="標楷體" w:eastAsia="標楷體" w:hAnsi="標楷體" w:hint="eastAsia"/>
          <w:sz w:val="32"/>
          <w:szCs w:val="32"/>
        </w:rPr>
        <w:t>簡任秘書  林素惠  簡任編審  蔡月秋  科長  蔡國治</w:t>
      </w:r>
    </w:p>
    <w:p w:rsidR="00A52DD2" w:rsidRPr="00573D4D" w:rsidRDefault="00A52DD2" w:rsidP="00F035E0">
      <w:pPr>
        <w:snapToGrid w:val="0"/>
        <w:spacing w:line="500" w:lineRule="exact"/>
        <w:ind w:rightChars="9" w:right="22"/>
        <w:jc w:val="both"/>
        <w:rPr>
          <w:rFonts w:ascii="標楷體" w:eastAsia="標楷體" w:hAnsi="標楷體"/>
          <w:sz w:val="32"/>
          <w:szCs w:val="32"/>
        </w:rPr>
      </w:pPr>
      <w:r w:rsidRPr="00573D4D">
        <w:rPr>
          <w:rFonts w:ascii="標楷體" w:eastAsia="標楷體" w:hAnsi="標楷體" w:hint="eastAsia"/>
          <w:sz w:val="32"/>
          <w:szCs w:val="32"/>
        </w:rPr>
        <w:t xml:space="preserve">          薦任科員  李宗一</w:t>
      </w:r>
    </w:p>
    <w:p w:rsidR="00A52DD2" w:rsidRPr="00573D4D" w:rsidRDefault="00A52DD2" w:rsidP="00F035E0">
      <w:pPr>
        <w:pStyle w:val="ac"/>
        <w:spacing w:line="460" w:lineRule="exact"/>
        <w:ind w:left="980" w:hanging="966"/>
        <w:rPr>
          <w:b/>
          <w:sz w:val="32"/>
          <w:szCs w:val="32"/>
        </w:rPr>
      </w:pPr>
      <w:r w:rsidRPr="00573D4D">
        <w:rPr>
          <w:rFonts w:hint="eastAsia"/>
          <w:b/>
          <w:sz w:val="32"/>
          <w:szCs w:val="32"/>
        </w:rPr>
        <w:t>報  告  事  項</w:t>
      </w:r>
    </w:p>
    <w:p w:rsidR="00A52DD2" w:rsidRPr="00573D4D" w:rsidRDefault="00A52DD2" w:rsidP="00F035E0">
      <w:pPr>
        <w:pStyle w:val="a4"/>
        <w:snapToGrid w:val="0"/>
        <w:spacing w:before="120" w:line="500" w:lineRule="exact"/>
        <w:ind w:leftChars="0" w:left="0"/>
        <w:rPr>
          <w:rFonts w:ascii="標楷體" w:eastAsia="標楷體"/>
          <w:b/>
          <w:sz w:val="32"/>
          <w:szCs w:val="32"/>
        </w:rPr>
      </w:pPr>
      <w:r w:rsidRPr="00573D4D">
        <w:rPr>
          <w:rFonts w:ascii="標楷體" w:eastAsia="標楷體" w:hint="eastAsia"/>
          <w:b/>
          <w:sz w:val="32"/>
          <w:szCs w:val="32"/>
        </w:rPr>
        <w:t>宣讀上次會議議事錄。</w:t>
      </w:r>
    </w:p>
    <w:p w:rsidR="00A52DD2" w:rsidRPr="00573D4D" w:rsidRDefault="00A52DD2" w:rsidP="00F035E0">
      <w:pPr>
        <w:snapToGrid w:val="0"/>
        <w:spacing w:beforeLines="50" w:before="180" w:line="500" w:lineRule="exact"/>
        <w:rPr>
          <w:rFonts w:ascii="標楷體" w:eastAsia="標楷體" w:hAnsi="標楷體"/>
          <w:sz w:val="32"/>
          <w:szCs w:val="32"/>
        </w:rPr>
      </w:pPr>
      <w:r w:rsidRPr="00573D4D">
        <w:rPr>
          <w:rFonts w:ascii="標楷體" w:eastAsia="標楷體" w:hAnsi="標楷體"/>
          <w:b/>
          <w:sz w:val="32"/>
          <w:szCs w:val="32"/>
        </w:rPr>
        <w:t>決定：</w:t>
      </w:r>
      <w:r w:rsidRPr="00573D4D">
        <w:rPr>
          <w:rFonts w:ascii="標楷體" w:eastAsia="標楷體" w:hAnsi="標楷體"/>
          <w:sz w:val="32"/>
          <w:szCs w:val="32"/>
        </w:rPr>
        <w:t>議事錄確定。</w:t>
      </w:r>
    </w:p>
    <w:p w:rsidR="00A52DD2" w:rsidRPr="00573D4D" w:rsidRDefault="00A52DD2" w:rsidP="00F035E0">
      <w:pPr>
        <w:snapToGrid w:val="0"/>
        <w:spacing w:before="120" w:afterLines="50" w:after="180" w:line="460" w:lineRule="exact"/>
        <w:rPr>
          <w:rFonts w:ascii="標楷體" w:eastAsia="標楷體" w:hAnsi="標楷體"/>
          <w:b/>
          <w:sz w:val="32"/>
          <w:szCs w:val="32"/>
        </w:rPr>
      </w:pPr>
      <w:r w:rsidRPr="00573D4D">
        <w:rPr>
          <w:rFonts w:ascii="標楷體" w:eastAsia="標楷體" w:hAnsi="標楷體" w:hint="eastAsia"/>
          <w:b/>
          <w:sz w:val="32"/>
          <w:szCs w:val="32"/>
        </w:rPr>
        <w:t>討  論  事  項</w:t>
      </w:r>
    </w:p>
    <w:p w:rsidR="00A52DD2" w:rsidRPr="00573D4D" w:rsidRDefault="00A52DD2" w:rsidP="006934DD">
      <w:pPr>
        <w:widowControl/>
        <w:numPr>
          <w:ilvl w:val="0"/>
          <w:numId w:val="28"/>
        </w:numPr>
        <w:snapToGrid w:val="0"/>
        <w:spacing w:before="120"/>
        <w:ind w:left="624" w:hanging="624"/>
        <w:jc w:val="both"/>
        <w:rPr>
          <w:rFonts w:ascii="標楷體" w:eastAsia="標楷體" w:hAnsi="標楷體" w:cs="新細明體"/>
          <w:b/>
          <w:bCs/>
          <w:kern w:val="0"/>
          <w:sz w:val="32"/>
          <w:szCs w:val="32"/>
        </w:rPr>
      </w:pPr>
      <w:r w:rsidRPr="00573D4D">
        <w:rPr>
          <w:rFonts w:ascii="標楷體" w:eastAsia="標楷體" w:hAnsi="標楷體" w:cs="新細明體" w:hint="eastAsia"/>
          <w:b/>
          <w:bCs/>
          <w:kern w:val="0"/>
          <w:sz w:val="32"/>
          <w:szCs w:val="32"/>
        </w:rPr>
        <w:t>繼續審查112年度中央政府總預算案有關文化部及所屬單位預算案。</w:t>
      </w:r>
    </w:p>
    <w:p w:rsidR="00A52DD2" w:rsidRPr="00573D4D" w:rsidRDefault="00A52DD2" w:rsidP="006934DD">
      <w:pPr>
        <w:widowControl/>
        <w:numPr>
          <w:ilvl w:val="0"/>
          <w:numId w:val="28"/>
        </w:numPr>
        <w:snapToGrid w:val="0"/>
        <w:spacing w:before="120"/>
        <w:ind w:left="624" w:hanging="624"/>
        <w:jc w:val="both"/>
        <w:rPr>
          <w:rFonts w:ascii="標楷體" w:eastAsia="標楷體" w:hAnsi="標楷體" w:cs="新細明體"/>
          <w:b/>
          <w:bCs/>
          <w:kern w:val="0"/>
          <w:sz w:val="32"/>
          <w:szCs w:val="32"/>
        </w:rPr>
      </w:pPr>
      <w:r w:rsidRPr="00573D4D">
        <w:rPr>
          <w:rFonts w:ascii="標楷體" w:eastAsia="標楷體" w:hAnsi="標楷體" w:cs="新細明體" w:hint="eastAsia"/>
          <w:b/>
          <w:bCs/>
          <w:kern w:val="0"/>
          <w:sz w:val="32"/>
          <w:szCs w:val="32"/>
        </w:rPr>
        <w:lastRenderedPageBreak/>
        <w:t>繼續審查112年度中央政府總預算案有關文化部主管國立文化機構作業基金附屬單位預算案。</w:t>
      </w:r>
    </w:p>
    <w:p w:rsidR="00A52DD2" w:rsidRPr="00573D4D" w:rsidRDefault="00A52DD2" w:rsidP="006934DD">
      <w:pPr>
        <w:widowControl/>
        <w:numPr>
          <w:ilvl w:val="0"/>
          <w:numId w:val="28"/>
        </w:numPr>
        <w:snapToGrid w:val="0"/>
        <w:spacing w:before="120"/>
        <w:ind w:left="624" w:hanging="624"/>
        <w:jc w:val="both"/>
        <w:rPr>
          <w:rFonts w:ascii="標楷體" w:eastAsia="標楷體" w:hAnsi="標楷體" w:cs="新細明體"/>
          <w:b/>
          <w:bCs/>
          <w:kern w:val="0"/>
          <w:sz w:val="32"/>
          <w:szCs w:val="32"/>
        </w:rPr>
      </w:pPr>
      <w:r w:rsidRPr="00573D4D">
        <w:rPr>
          <w:rFonts w:ascii="標楷體" w:eastAsia="標楷體" w:hAnsi="標楷體" w:cs="新細明體" w:hint="eastAsia"/>
          <w:b/>
          <w:bCs/>
          <w:kern w:val="0"/>
          <w:sz w:val="32"/>
          <w:szCs w:val="32"/>
        </w:rPr>
        <w:t>繼續審查112年度中央政府總預算案有關文化部主管文化發展基金附屬單位預算案。</w:t>
      </w:r>
    </w:p>
    <w:p w:rsidR="00A52DD2" w:rsidRPr="00573D4D" w:rsidRDefault="00A52DD2" w:rsidP="006934DD">
      <w:pPr>
        <w:widowControl/>
        <w:numPr>
          <w:ilvl w:val="0"/>
          <w:numId w:val="28"/>
        </w:numPr>
        <w:snapToGrid w:val="0"/>
        <w:spacing w:before="120"/>
        <w:ind w:left="624" w:hanging="624"/>
        <w:jc w:val="both"/>
        <w:rPr>
          <w:rFonts w:ascii="標楷體" w:eastAsia="標楷體" w:hAnsi="標楷體" w:cs="新細明體"/>
          <w:b/>
          <w:bCs/>
          <w:kern w:val="0"/>
          <w:sz w:val="32"/>
          <w:szCs w:val="32"/>
        </w:rPr>
      </w:pPr>
      <w:r w:rsidRPr="00573D4D">
        <w:rPr>
          <w:rFonts w:ascii="標楷體" w:eastAsia="標楷體" w:hAnsi="標楷體" w:cs="新細明體" w:hint="eastAsia"/>
          <w:b/>
          <w:bCs/>
          <w:kern w:val="0"/>
          <w:sz w:val="32"/>
          <w:szCs w:val="32"/>
        </w:rPr>
        <w:t>繼續審查112年度行政法人國家表演藝術中心、文化內容策進院、國家電影及視聽文化中心預算案。</w:t>
      </w:r>
    </w:p>
    <w:p w:rsidR="00A52DD2" w:rsidRPr="00573D4D" w:rsidRDefault="00A52DD2" w:rsidP="00F035E0">
      <w:pPr>
        <w:snapToGrid w:val="0"/>
        <w:spacing w:beforeLines="50" w:before="180" w:line="500" w:lineRule="exact"/>
        <w:ind w:left="641" w:hangingChars="200" w:hanging="641"/>
        <w:contextualSpacing/>
        <w:rPr>
          <w:rFonts w:ascii="標楷體" w:eastAsia="標楷體" w:hAnsi="標楷體"/>
          <w:b/>
          <w:bCs/>
          <w:sz w:val="32"/>
          <w:szCs w:val="32"/>
        </w:rPr>
      </w:pPr>
      <w:r w:rsidRPr="00573D4D">
        <w:rPr>
          <w:rFonts w:ascii="標楷體" w:eastAsia="標楷體" w:hAnsi="標楷體" w:hint="eastAsia"/>
          <w:b/>
          <w:sz w:val="32"/>
          <w:szCs w:val="32"/>
        </w:rPr>
        <w:t>決議</w:t>
      </w:r>
      <w:r w:rsidRPr="00573D4D">
        <w:rPr>
          <w:rFonts w:ascii="標楷體" w:eastAsia="標楷體" w:hAnsi="標楷體"/>
          <w:b/>
          <w:bCs/>
          <w:sz w:val="32"/>
          <w:szCs w:val="32"/>
        </w:rPr>
        <w:t>：</w:t>
      </w:r>
    </w:p>
    <w:p w:rsidR="00A52DD2" w:rsidRPr="00573D4D" w:rsidRDefault="00A52DD2" w:rsidP="00F035E0">
      <w:pPr>
        <w:snapToGrid w:val="0"/>
        <w:spacing w:beforeLines="50" w:before="180" w:line="500" w:lineRule="exact"/>
        <w:ind w:left="640" w:hangingChars="200" w:hanging="640"/>
        <w:jc w:val="both"/>
        <w:rPr>
          <w:rFonts w:ascii="標楷體" w:eastAsia="標楷體" w:hAnsi="標楷體"/>
          <w:sz w:val="32"/>
          <w:szCs w:val="32"/>
        </w:rPr>
      </w:pPr>
      <w:r w:rsidRPr="00573D4D">
        <w:rPr>
          <w:rFonts w:ascii="標楷體" w:eastAsia="標楷體" w:hAnsi="標楷體" w:hint="eastAsia"/>
          <w:bCs/>
          <w:sz w:val="32"/>
          <w:szCs w:val="32"/>
        </w:rPr>
        <w:t>一、</w:t>
      </w:r>
      <w:r w:rsidRPr="00573D4D">
        <w:rPr>
          <w:rFonts w:ascii="標楷體" w:eastAsia="標楷體" w:hAnsi="標楷體" w:hint="eastAsia"/>
          <w:sz w:val="32"/>
          <w:szCs w:val="32"/>
        </w:rPr>
        <w:t>112年度中央政府總預算案有關文化部及所屬單位預算案，審查完竣。審查結果如下：</w:t>
      </w:r>
    </w:p>
    <w:p w:rsidR="00A52DD2" w:rsidRPr="00573D4D" w:rsidRDefault="00A52DD2" w:rsidP="00F035E0">
      <w:pPr>
        <w:snapToGrid w:val="0"/>
        <w:spacing w:beforeLines="50" w:before="180" w:line="460" w:lineRule="exact"/>
        <w:rPr>
          <w:rFonts w:ascii="標楷體" w:eastAsia="標楷體" w:hAnsi="標楷體"/>
          <w:sz w:val="32"/>
          <w:szCs w:val="32"/>
        </w:rPr>
      </w:pPr>
      <w:r w:rsidRPr="00573D4D">
        <w:rPr>
          <w:rFonts w:ascii="標楷體" w:eastAsia="標楷體" w:hAnsi="標楷體"/>
          <w:sz w:val="32"/>
          <w:szCs w:val="32"/>
        </w:rPr>
        <w:t>歲入部分</w:t>
      </w:r>
    </w:p>
    <w:p w:rsidR="00A52DD2" w:rsidRPr="00573D4D" w:rsidRDefault="00A52DD2" w:rsidP="00F035E0">
      <w:pPr>
        <w:snapToGrid w:val="0"/>
        <w:spacing w:beforeLines="50" w:before="180" w:line="460" w:lineRule="exact"/>
        <w:rPr>
          <w:rFonts w:ascii="標楷體" w:eastAsia="標楷體" w:hAnsi="標楷體"/>
          <w:sz w:val="32"/>
          <w:szCs w:val="32"/>
        </w:rPr>
      </w:pPr>
      <w:r w:rsidRPr="00573D4D">
        <w:rPr>
          <w:rFonts w:ascii="標楷體" w:eastAsia="標楷體" w:hAnsi="標楷體"/>
          <w:sz w:val="32"/>
          <w:szCs w:val="32"/>
        </w:rPr>
        <w:t>第2款　罰款及賠償收入</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第198項  文化部900萬元，照列。</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第199項  文化資產局300萬元，照列。</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第200項  影視及流行音樂產業局89萬7千元，照列。</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第201項  國立傳統藝術中心48萬2千元，照列。</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第202項  國立臺灣美術館及所屬28萬元，照列。</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第203項  國立臺灣工藝研究發展中心</w:t>
      </w:r>
      <w:r w:rsidRPr="00573D4D">
        <w:rPr>
          <w:rFonts w:ascii="標楷體" w:eastAsia="標楷體" w:hAnsi="標楷體"/>
          <w:sz w:val="32"/>
          <w:szCs w:val="32"/>
        </w:rPr>
        <w:t>3</w:t>
      </w:r>
      <w:r w:rsidRPr="00573D4D">
        <w:rPr>
          <w:rFonts w:ascii="標楷體" w:eastAsia="標楷體" w:hAnsi="標楷體" w:hint="eastAsia"/>
          <w:sz w:val="32"/>
          <w:szCs w:val="32"/>
        </w:rPr>
        <w:t>0萬元，照列。</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第204項  國立臺灣博物館，無列數。</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第205項  國立臺灣史前文化博物館，無列數。</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第206項  國家人權博物館，無列數。</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第207項  國立臺灣歷史博物館9萬元，照列。</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第208項  國立臺灣文學館，無列數。</w:t>
      </w:r>
    </w:p>
    <w:p w:rsidR="00A52DD2" w:rsidRPr="00573D4D" w:rsidRDefault="00A52DD2" w:rsidP="00F035E0">
      <w:pPr>
        <w:snapToGrid w:val="0"/>
        <w:spacing w:beforeLines="50" w:before="180" w:line="460" w:lineRule="exact"/>
        <w:rPr>
          <w:rFonts w:ascii="標楷體" w:eastAsia="標楷體" w:hAnsi="標楷體"/>
          <w:sz w:val="32"/>
          <w:szCs w:val="32"/>
        </w:rPr>
      </w:pPr>
      <w:r w:rsidRPr="00573D4D">
        <w:rPr>
          <w:rFonts w:ascii="標楷體" w:eastAsia="標楷體" w:hAnsi="標楷體"/>
          <w:sz w:val="32"/>
          <w:szCs w:val="32"/>
        </w:rPr>
        <w:t>第3款　規費收入</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sz w:val="32"/>
          <w:szCs w:val="32"/>
        </w:rPr>
        <w:t>第</w:t>
      </w:r>
      <w:r w:rsidRPr="00573D4D">
        <w:rPr>
          <w:rFonts w:ascii="標楷體" w:eastAsia="標楷體" w:hAnsi="標楷體" w:hint="eastAsia"/>
          <w:sz w:val="32"/>
          <w:szCs w:val="32"/>
        </w:rPr>
        <w:t>16</w:t>
      </w:r>
      <w:r w:rsidRPr="00573D4D">
        <w:rPr>
          <w:rFonts w:ascii="標楷體" w:eastAsia="標楷體" w:hAnsi="標楷體"/>
          <w:sz w:val="32"/>
          <w:szCs w:val="32"/>
        </w:rPr>
        <w:t>1項　文化部</w:t>
      </w:r>
      <w:r w:rsidRPr="00573D4D">
        <w:rPr>
          <w:rFonts w:ascii="標楷體" w:eastAsia="標楷體" w:hAnsi="標楷體" w:hint="eastAsia"/>
          <w:sz w:val="32"/>
          <w:szCs w:val="32"/>
        </w:rPr>
        <w:t>82萬元</w:t>
      </w:r>
      <w:r w:rsidRPr="00573D4D">
        <w:rPr>
          <w:rFonts w:ascii="標楷體" w:eastAsia="標楷體" w:hAnsi="標楷體"/>
          <w:sz w:val="32"/>
          <w:szCs w:val="32"/>
        </w:rPr>
        <w:t>，</w:t>
      </w:r>
      <w:r w:rsidRPr="00573D4D">
        <w:rPr>
          <w:rFonts w:ascii="標楷體" w:eastAsia="標楷體" w:hAnsi="標楷體" w:hint="eastAsia"/>
          <w:sz w:val="32"/>
          <w:szCs w:val="32"/>
        </w:rPr>
        <w:t>照</w:t>
      </w:r>
      <w:r w:rsidRPr="00573D4D">
        <w:rPr>
          <w:rFonts w:ascii="標楷體" w:eastAsia="標楷體" w:hAnsi="標楷體"/>
          <w:sz w:val="32"/>
          <w:szCs w:val="32"/>
        </w:rPr>
        <w:t>列。</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第162項　文化資產局401萬5千元，照列。</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lastRenderedPageBreak/>
        <w:t>第163項　影視及流行音樂產業局1,3</w:t>
      </w:r>
      <w:r w:rsidRPr="00573D4D">
        <w:rPr>
          <w:rFonts w:ascii="標楷體" w:eastAsia="標楷體" w:hAnsi="標楷體"/>
          <w:sz w:val="32"/>
          <w:szCs w:val="32"/>
        </w:rPr>
        <w:t>78</w:t>
      </w:r>
      <w:r w:rsidRPr="00573D4D">
        <w:rPr>
          <w:rFonts w:ascii="標楷體" w:eastAsia="標楷體" w:hAnsi="標楷體" w:hint="eastAsia"/>
          <w:sz w:val="32"/>
          <w:szCs w:val="32"/>
        </w:rPr>
        <w:t>萬8千元，照列。</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第164項　國立臺灣美術館及所屬379萬元，照列。</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第165項　國立臺灣工藝研究發展中心280萬元，照列。</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第166項　國立臺灣博物館1,370萬5千元，照列。</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第167項　國立臺灣史前文化博物館1,227萬5千元，照列</w:t>
      </w:r>
      <w:r w:rsidRPr="00573D4D">
        <w:rPr>
          <w:rFonts w:ascii="標楷體" w:eastAsia="標楷體" w:hAnsi="標楷體"/>
          <w:sz w:val="32"/>
          <w:szCs w:val="32"/>
        </w:rPr>
        <w:t>。</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第168項　國家人權博物館3萬1千元，照列</w:t>
      </w:r>
      <w:r w:rsidRPr="00573D4D">
        <w:rPr>
          <w:rFonts w:ascii="標楷體" w:eastAsia="標楷體" w:hAnsi="標楷體"/>
          <w:sz w:val="32"/>
          <w:szCs w:val="32"/>
        </w:rPr>
        <w:t>。</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第169項　國立臺灣歷史博物館1,130萬元，照列</w:t>
      </w:r>
      <w:r w:rsidRPr="00573D4D">
        <w:rPr>
          <w:rFonts w:ascii="標楷體" w:eastAsia="標楷體" w:hAnsi="標楷體"/>
          <w:sz w:val="32"/>
          <w:szCs w:val="32"/>
        </w:rPr>
        <w:t>。</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第170項　國立臺灣文學館27萬元，照列</w:t>
      </w:r>
      <w:r w:rsidRPr="00573D4D">
        <w:rPr>
          <w:rFonts w:ascii="標楷體" w:eastAsia="標楷體" w:hAnsi="標楷體"/>
          <w:sz w:val="32"/>
          <w:szCs w:val="32"/>
        </w:rPr>
        <w:t>。</w:t>
      </w:r>
    </w:p>
    <w:p w:rsidR="00A52DD2" w:rsidRPr="00573D4D" w:rsidRDefault="00A52DD2" w:rsidP="00F035E0">
      <w:pPr>
        <w:snapToGrid w:val="0"/>
        <w:spacing w:beforeLines="50" w:before="180" w:line="460" w:lineRule="exact"/>
        <w:rPr>
          <w:rFonts w:ascii="標楷體" w:eastAsia="標楷體" w:hAnsi="標楷體"/>
          <w:sz w:val="32"/>
          <w:szCs w:val="32"/>
        </w:rPr>
      </w:pPr>
      <w:r w:rsidRPr="00573D4D">
        <w:rPr>
          <w:rFonts w:ascii="標楷體" w:eastAsia="標楷體" w:hAnsi="標楷體"/>
          <w:sz w:val="32"/>
          <w:szCs w:val="32"/>
        </w:rPr>
        <w:t>第4款　財產收入</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sz w:val="32"/>
          <w:szCs w:val="32"/>
        </w:rPr>
        <w:t>第20</w:t>
      </w:r>
      <w:r w:rsidRPr="00573D4D">
        <w:rPr>
          <w:rFonts w:ascii="標楷體" w:eastAsia="標楷體" w:hAnsi="標楷體" w:hint="eastAsia"/>
          <w:sz w:val="32"/>
          <w:szCs w:val="32"/>
        </w:rPr>
        <w:t>9</w:t>
      </w:r>
      <w:r w:rsidRPr="00573D4D">
        <w:rPr>
          <w:rFonts w:ascii="標楷體" w:eastAsia="標楷體" w:hAnsi="標楷體"/>
          <w:sz w:val="32"/>
          <w:szCs w:val="32"/>
        </w:rPr>
        <w:t>項　文化部</w:t>
      </w:r>
      <w:r w:rsidRPr="00573D4D">
        <w:rPr>
          <w:rFonts w:ascii="標楷體" w:eastAsia="標楷體" w:hAnsi="標楷體" w:hint="eastAsia"/>
          <w:sz w:val="32"/>
          <w:szCs w:val="32"/>
        </w:rPr>
        <w:t>3,248萬5千元</w:t>
      </w:r>
      <w:r w:rsidRPr="00573D4D">
        <w:rPr>
          <w:rFonts w:ascii="標楷體" w:eastAsia="標楷體" w:hAnsi="標楷體"/>
          <w:sz w:val="32"/>
          <w:szCs w:val="32"/>
        </w:rPr>
        <w:t>，</w:t>
      </w:r>
      <w:r w:rsidRPr="00573D4D">
        <w:rPr>
          <w:rFonts w:ascii="標楷體" w:eastAsia="標楷體" w:hAnsi="標楷體" w:hint="eastAsia"/>
          <w:sz w:val="32"/>
          <w:szCs w:val="32"/>
        </w:rPr>
        <w:t>照列</w:t>
      </w:r>
      <w:r w:rsidRPr="00573D4D">
        <w:rPr>
          <w:rFonts w:ascii="標楷體" w:eastAsia="標楷體" w:hAnsi="標楷體"/>
          <w:sz w:val="32"/>
          <w:szCs w:val="32"/>
        </w:rPr>
        <w:t>。</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第210項　文化資產局240萬7千元，照列。</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第211項　影視及流行音樂產業局67萬元，照列。</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第212項　國立傳統藝術中心3,248萬8千元，照列。</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第213項　國立臺灣美術館及所屬511萬元，照列。</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第214項　國立臺灣工藝研究發展中心</w:t>
      </w:r>
      <w:r w:rsidRPr="00573D4D">
        <w:rPr>
          <w:rFonts w:ascii="標楷體" w:eastAsia="標楷體" w:hAnsi="標楷體" w:hint="eastAsia"/>
          <w:sz w:val="32"/>
        </w:rPr>
        <w:t>257萬5千元</w:t>
      </w:r>
      <w:r w:rsidRPr="00573D4D">
        <w:rPr>
          <w:rFonts w:ascii="標楷體" w:eastAsia="標楷體" w:hAnsi="標楷體" w:hint="eastAsia"/>
          <w:sz w:val="32"/>
          <w:szCs w:val="32"/>
        </w:rPr>
        <w:t>，照列。</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第215項　國立臺灣博物館502萬4千元，照列。</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第216項　國立臺灣史前文化博物館</w:t>
      </w:r>
      <w:r w:rsidRPr="00573D4D">
        <w:rPr>
          <w:rFonts w:ascii="標楷體" w:eastAsia="標楷體" w:hAnsi="標楷體" w:hint="eastAsia"/>
          <w:sz w:val="32"/>
        </w:rPr>
        <w:t>97萬9千元</w:t>
      </w:r>
      <w:r w:rsidRPr="00573D4D">
        <w:rPr>
          <w:rFonts w:ascii="標楷體" w:eastAsia="標楷體" w:hAnsi="標楷體" w:hint="eastAsia"/>
          <w:sz w:val="32"/>
          <w:szCs w:val="32"/>
        </w:rPr>
        <w:t>，照列</w:t>
      </w:r>
      <w:r w:rsidRPr="00573D4D">
        <w:rPr>
          <w:rFonts w:ascii="標楷體" w:eastAsia="標楷體" w:hAnsi="標楷體"/>
          <w:sz w:val="32"/>
          <w:szCs w:val="32"/>
        </w:rPr>
        <w:t>。</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第217項  國家人權博物館15萬3千元，照列</w:t>
      </w:r>
      <w:r w:rsidRPr="00573D4D">
        <w:rPr>
          <w:rFonts w:ascii="標楷體" w:eastAsia="標楷體" w:hAnsi="標楷體"/>
          <w:sz w:val="32"/>
          <w:szCs w:val="32"/>
        </w:rPr>
        <w:t>。</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第218項  國立臺灣歷史博物館126萬元，照列</w:t>
      </w:r>
      <w:r w:rsidRPr="00573D4D">
        <w:rPr>
          <w:rFonts w:ascii="標楷體" w:eastAsia="標楷體" w:hAnsi="標楷體"/>
          <w:sz w:val="32"/>
          <w:szCs w:val="32"/>
        </w:rPr>
        <w:t>。</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第219項  國立臺灣文學館77萬8千元，照列</w:t>
      </w:r>
      <w:r w:rsidRPr="00573D4D">
        <w:rPr>
          <w:rFonts w:ascii="標楷體" w:eastAsia="標楷體" w:hAnsi="標楷體"/>
          <w:sz w:val="32"/>
          <w:szCs w:val="32"/>
        </w:rPr>
        <w:t>。</w:t>
      </w:r>
    </w:p>
    <w:p w:rsidR="00A52DD2" w:rsidRPr="00573D4D" w:rsidRDefault="00A52DD2" w:rsidP="00F035E0">
      <w:pPr>
        <w:snapToGrid w:val="0"/>
        <w:spacing w:beforeLines="50" w:before="180" w:line="460" w:lineRule="exact"/>
        <w:rPr>
          <w:rFonts w:ascii="標楷體" w:eastAsia="標楷體" w:hAnsi="標楷體"/>
          <w:sz w:val="32"/>
          <w:szCs w:val="32"/>
        </w:rPr>
      </w:pPr>
      <w:r w:rsidRPr="00573D4D">
        <w:rPr>
          <w:rFonts w:ascii="標楷體" w:eastAsia="標楷體" w:hAnsi="標楷體"/>
          <w:sz w:val="32"/>
          <w:szCs w:val="32"/>
        </w:rPr>
        <w:t>第7款　其他收入</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sz w:val="32"/>
          <w:szCs w:val="32"/>
        </w:rPr>
        <w:t>第</w:t>
      </w:r>
      <w:r w:rsidRPr="00573D4D">
        <w:rPr>
          <w:rFonts w:ascii="標楷體" w:eastAsia="標楷體" w:hAnsi="標楷體" w:hint="eastAsia"/>
          <w:sz w:val="32"/>
          <w:szCs w:val="32"/>
        </w:rPr>
        <w:t>204</w:t>
      </w:r>
      <w:r w:rsidRPr="00573D4D">
        <w:rPr>
          <w:rFonts w:ascii="標楷體" w:eastAsia="標楷體" w:hAnsi="標楷體"/>
          <w:sz w:val="32"/>
          <w:szCs w:val="32"/>
        </w:rPr>
        <w:t>項　文化部</w:t>
      </w:r>
      <w:r w:rsidRPr="00573D4D">
        <w:rPr>
          <w:rFonts w:ascii="標楷體" w:eastAsia="標楷體" w:hAnsi="標楷體" w:hint="eastAsia"/>
          <w:sz w:val="32"/>
          <w:szCs w:val="32"/>
        </w:rPr>
        <w:t>2,059萬7千元</w:t>
      </w:r>
      <w:r w:rsidRPr="00573D4D">
        <w:rPr>
          <w:rFonts w:ascii="標楷體" w:eastAsia="標楷體" w:hAnsi="標楷體"/>
          <w:sz w:val="32"/>
          <w:szCs w:val="32"/>
        </w:rPr>
        <w:t>，照列。</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第205項　文化資產局384萬2千元，照列。</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第206項　影視及流行音樂產業局821萬8千元，照列。</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lastRenderedPageBreak/>
        <w:t>第207項　國立傳統藝術中心2,545萬4千元，照列。</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第208項　國立臺灣美術館及所屬902萬6千元，照列。</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第209項　國立臺灣工藝研究發展中心400萬元，照列。</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第210項　國立臺灣博物館108萬3千元，照列。</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第2</w:t>
      </w:r>
      <w:r w:rsidRPr="00573D4D">
        <w:rPr>
          <w:rFonts w:ascii="標楷體" w:eastAsia="標楷體" w:hAnsi="標楷體"/>
          <w:sz w:val="32"/>
          <w:szCs w:val="32"/>
        </w:rPr>
        <w:t>1</w:t>
      </w:r>
      <w:r w:rsidRPr="00573D4D">
        <w:rPr>
          <w:rFonts w:ascii="標楷體" w:eastAsia="標楷體" w:hAnsi="標楷體" w:hint="eastAsia"/>
          <w:sz w:val="32"/>
          <w:szCs w:val="32"/>
        </w:rPr>
        <w:t>1項　國立臺灣史前文化博物館57萬6千元，照列</w:t>
      </w:r>
      <w:r w:rsidRPr="00573D4D">
        <w:rPr>
          <w:rFonts w:ascii="標楷體" w:eastAsia="標楷體" w:hAnsi="標楷體"/>
          <w:sz w:val="32"/>
          <w:szCs w:val="32"/>
        </w:rPr>
        <w:t>。</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第2</w:t>
      </w:r>
      <w:r w:rsidRPr="00573D4D">
        <w:rPr>
          <w:rFonts w:ascii="標楷體" w:eastAsia="標楷體" w:hAnsi="標楷體"/>
          <w:sz w:val="32"/>
          <w:szCs w:val="32"/>
        </w:rPr>
        <w:t>1</w:t>
      </w:r>
      <w:r w:rsidRPr="00573D4D">
        <w:rPr>
          <w:rFonts w:ascii="標楷體" w:eastAsia="標楷體" w:hAnsi="標楷體" w:hint="eastAsia"/>
          <w:sz w:val="32"/>
          <w:szCs w:val="32"/>
        </w:rPr>
        <w:t>2項　國家人權博物館35萬6千元，照列</w:t>
      </w:r>
      <w:r w:rsidRPr="00573D4D">
        <w:rPr>
          <w:rFonts w:ascii="標楷體" w:eastAsia="標楷體" w:hAnsi="標楷體"/>
          <w:sz w:val="32"/>
          <w:szCs w:val="32"/>
        </w:rPr>
        <w:t>。</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第2</w:t>
      </w:r>
      <w:r w:rsidRPr="00573D4D">
        <w:rPr>
          <w:rFonts w:ascii="標楷體" w:eastAsia="標楷體" w:hAnsi="標楷體"/>
          <w:sz w:val="32"/>
          <w:szCs w:val="32"/>
        </w:rPr>
        <w:t>1</w:t>
      </w:r>
      <w:r w:rsidRPr="00573D4D">
        <w:rPr>
          <w:rFonts w:ascii="標楷體" w:eastAsia="標楷體" w:hAnsi="標楷體" w:hint="eastAsia"/>
          <w:sz w:val="32"/>
          <w:szCs w:val="32"/>
        </w:rPr>
        <w:t>3項　國立臺灣歷史博物館116萬3千元，照列</w:t>
      </w:r>
      <w:r w:rsidRPr="00573D4D">
        <w:rPr>
          <w:rFonts w:ascii="標楷體" w:eastAsia="標楷體" w:hAnsi="標楷體"/>
          <w:sz w:val="32"/>
          <w:szCs w:val="32"/>
        </w:rPr>
        <w:t>。</w:t>
      </w:r>
    </w:p>
    <w:p w:rsidR="00A52DD2" w:rsidRPr="00573D4D" w:rsidRDefault="00A52DD2" w:rsidP="00F035E0">
      <w:pPr>
        <w:snapToGrid w:val="0"/>
        <w:spacing w:before="120" w:line="460" w:lineRule="exact"/>
        <w:ind w:leftChars="100" w:left="1888" w:hangingChars="515" w:hanging="1648"/>
        <w:rPr>
          <w:rFonts w:ascii="標楷體" w:eastAsia="標楷體" w:hAnsi="標楷體"/>
          <w:sz w:val="32"/>
          <w:szCs w:val="32"/>
        </w:rPr>
      </w:pPr>
      <w:r w:rsidRPr="00573D4D">
        <w:rPr>
          <w:rFonts w:ascii="標楷體" w:eastAsia="標楷體" w:hAnsi="標楷體" w:hint="eastAsia"/>
          <w:sz w:val="32"/>
          <w:szCs w:val="32"/>
        </w:rPr>
        <w:t>第2</w:t>
      </w:r>
      <w:r w:rsidRPr="00573D4D">
        <w:rPr>
          <w:rFonts w:ascii="標楷體" w:eastAsia="標楷體" w:hAnsi="標楷體"/>
          <w:sz w:val="32"/>
          <w:szCs w:val="32"/>
        </w:rPr>
        <w:t>1</w:t>
      </w:r>
      <w:r w:rsidRPr="00573D4D">
        <w:rPr>
          <w:rFonts w:ascii="標楷體" w:eastAsia="標楷體" w:hAnsi="標楷體" w:hint="eastAsia"/>
          <w:sz w:val="32"/>
          <w:szCs w:val="32"/>
        </w:rPr>
        <w:t>4項　國立臺灣文學館129萬4千元，照列</w:t>
      </w:r>
      <w:r w:rsidRPr="00573D4D">
        <w:rPr>
          <w:rFonts w:ascii="標楷體" w:eastAsia="標楷體" w:hAnsi="標楷體"/>
          <w:sz w:val="32"/>
          <w:szCs w:val="32"/>
        </w:rPr>
        <w:t>。</w:t>
      </w:r>
    </w:p>
    <w:p w:rsidR="00A52DD2" w:rsidRPr="00573D4D" w:rsidRDefault="00A52DD2" w:rsidP="00F035E0">
      <w:pPr>
        <w:snapToGrid w:val="0"/>
        <w:spacing w:beforeLines="50" w:before="180" w:line="460" w:lineRule="exact"/>
        <w:rPr>
          <w:rFonts w:ascii="標楷體" w:eastAsia="標楷體" w:hAnsi="標楷體"/>
          <w:sz w:val="32"/>
          <w:szCs w:val="32"/>
        </w:rPr>
      </w:pPr>
      <w:r w:rsidRPr="00573D4D">
        <w:rPr>
          <w:rFonts w:ascii="標楷體" w:eastAsia="標楷體" w:hAnsi="標楷體" w:hint="eastAsia"/>
          <w:sz w:val="32"/>
          <w:szCs w:val="32"/>
        </w:rPr>
        <w:t>歲出部分</w:t>
      </w:r>
    </w:p>
    <w:p w:rsidR="00A52DD2" w:rsidRPr="00573D4D" w:rsidRDefault="00A52DD2" w:rsidP="00F035E0">
      <w:pPr>
        <w:snapToGrid w:val="0"/>
        <w:spacing w:beforeLines="50" w:before="180" w:line="460" w:lineRule="exact"/>
        <w:rPr>
          <w:rFonts w:ascii="標楷體" w:eastAsia="標楷體" w:hAnsi="標楷體"/>
          <w:sz w:val="32"/>
          <w:szCs w:val="32"/>
        </w:rPr>
      </w:pPr>
      <w:r w:rsidRPr="00573D4D">
        <w:rPr>
          <w:rFonts w:ascii="標楷體" w:eastAsia="標楷體" w:hAnsi="標楷體"/>
          <w:sz w:val="32"/>
          <w:szCs w:val="32"/>
        </w:rPr>
        <w:t>第2</w:t>
      </w:r>
      <w:r w:rsidRPr="00573D4D">
        <w:rPr>
          <w:rFonts w:ascii="標楷體" w:eastAsia="標楷體" w:hAnsi="標楷體" w:hint="eastAsia"/>
          <w:sz w:val="32"/>
          <w:szCs w:val="32"/>
        </w:rPr>
        <w:t>1</w:t>
      </w:r>
      <w:r w:rsidRPr="00573D4D">
        <w:rPr>
          <w:rFonts w:ascii="標楷體" w:eastAsia="標楷體" w:hAnsi="標楷體"/>
          <w:sz w:val="32"/>
          <w:szCs w:val="32"/>
        </w:rPr>
        <w:t>款　文化部主管</w:t>
      </w:r>
    </w:p>
    <w:p w:rsidR="00A52DD2" w:rsidRPr="00573D4D" w:rsidRDefault="00A52DD2" w:rsidP="00F035E0">
      <w:pPr>
        <w:kinsoku w:val="0"/>
        <w:overflowPunct w:val="0"/>
        <w:spacing w:line="500" w:lineRule="exact"/>
        <w:ind w:leftChars="150" w:left="1480" w:hangingChars="350" w:hanging="1120"/>
        <w:jc w:val="both"/>
        <w:textAlignment w:val="center"/>
        <w:rPr>
          <w:rFonts w:ascii="標楷體" w:eastAsia="標楷體" w:hAnsi="標楷體"/>
          <w:sz w:val="32"/>
          <w:szCs w:val="32"/>
        </w:rPr>
      </w:pPr>
      <w:r w:rsidRPr="00573D4D">
        <w:rPr>
          <w:rFonts w:ascii="標楷體" w:eastAsia="標楷體" w:hAnsi="標楷體" w:hint="eastAsia"/>
          <w:snapToGrid w:val="0"/>
          <w:sz w:val="32"/>
          <w:szCs w:val="32"/>
        </w:rPr>
        <w:t xml:space="preserve">第1項 </w:t>
      </w:r>
      <w:r w:rsidRPr="00573D4D">
        <w:rPr>
          <w:rFonts w:ascii="標楷體" w:eastAsia="標楷體" w:hAnsi="標楷體"/>
          <w:sz w:val="32"/>
          <w:szCs w:val="32"/>
        </w:rPr>
        <w:t>文化部原列</w:t>
      </w:r>
      <w:r w:rsidRPr="00573D4D">
        <w:rPr>
          <w:rFonts w:ascii="標楷體" w:eastAsia="標楷體" w:hAnsi="標楷體" w:hint="eastAsia"/>
          <w:sz w:val="32"/>
          <w:szCs w:val="32"/>
        </w:rPr>
        <w:t>132億9,359萬2千元</w:t>
      </w:r>
      <w:r w:rsidRPr="00573D4D">
        <w:rPr>
          <w:rFonts w:ascii="標楷體" w:eastAsia="標楷體" w:hAnsi="標楷體"/>
          <w:sz w:val="32"/>
          <w:szCs w:val="32"/>
        </w:rPr>
        <w:t>，</w:t>
      </w:r>
      <w:r w:rsidRPr="00573D4D">
        <w:rPr>
          <w:rFonts w:ascii="標楷體" w:eastAsia="標楷體" w:hAnsi="標楷體" w:hint="eastAsia"/>
          <w:sz w:val="32"/>
          <w:szCs w:val="32"/>
        </w:rPr>
        <w:t>除第10目「非營業特種基金」7,470萬9千元，暫照列，俟所屬非營業特種基金審議確定，再行調整外，減列如下：</w:t>
      </w:r>
    </w:p>
    <w:p w:rsidR="00A52DD2" w:rsidRPr="00573D4D" w:rsidRDefault="00A52DD2" w:rsidP="00F035E0">
      <w:pPr>
        <w:kinsoku w:val="0"/>
        <w:overflowPunct w:val="0"/>
        <w:spacing w:line="500" w:lineRule="exact"/>
        <w:ind w:leftChars="650" w:left="1560"/>
        <w:jc w:val="both"/>
        <w:textAlignment w:val="center"/>
        <w:rPr>
          <w:rFonts w:ascii="標楷體" w:eastAsia="標楷體" w:hAnsi="標楷體"/>
          <w:sz w:val="32"/>
          <w:szCs w:val="32"/>
        </w:rPr>
      </w:pPr>
      <w:r w:rsidRPr="00573D4D">
        <w:rPr>
          <w:rFonts w:ascii="標楷體" w:eastAsia="標楷體" w:hAnsi="標楷體" w:hint="eastAsia"/>
          <w:sz w:val="32"/>
          <w:szCs w:val="32"/>
        </w:rPr>
        <w:t>(一)第4目「文化創意產業發展業務」</w:t>
      </w:r>
      <w:r w:rsidRPr="00573D4D">
        <w:rPr>
          <w:rFonts w:ascii="標楷體" w:eastAsia="標楷體" w:hAnsi="標楷體"/>
          <w:sz w:val="32"/>
          <w:szCs w:val="32"/>
        </w:rPr>
        <w:t>300</w:t>
      </w:r>
      <w:r w:rsidRPr="00573D4D">
        <w:rPr>
          <w:rFonts w:ascii="標楷體" w:eastAsia="標楷體" w:hAnsi="標楷體" w:hint="eastAsia"/>
          <w:sz w:val="32"/>
          <w:szCs w:val="32"/>
        </w:rPr>
        <w:t>萬元</w:t>
      </w:r>
    </w:p>
    <w:p w:rsidR="00A52DD2" w:rsidRPr="00573D4D" w:rsidRDefault="00A52DD2" w:rsidP="00F035E0">
      <w:pPr>
        <w:kinsoku w:val="0"/>
        <w:overflowPunct w:val="0"/>
        <w:spacing w:line="500" w:lineRule="exact"/>
        <w:ind w:leftChars="650" w:left="1560"/>
        <w:jc w:val="both"/>
        <w:textAlignment w:val="center"/>
        <w:rPr>
          <w:rFonts w:ascii="標楷體" w:eastAsia="標楷體" w:hAnsi="標楷體"/>
          <w:sz w:val="32"/>
          <w:szCs w:val="32"/>
        </w:rPr>
      </w:pPr>
      <w:r w:rsidRPr="00573D4D">
        <w:rPr>
          <w:rFonts w:ascii="標楷體" w:eastAsia="標楷體" w:hAnsi="標楷體" w:hint="eastAsia"/>
          <w:sz w:val="32"/>
          <w:szCs w:val="32"/>
        </w:rPr>
        <w:t>(二)第5目「影視及流行音樂發展業務」300萬元</w:t>
      </w:r>
    </w:p>
    <w:p w:rsidR="00A52DD2" w:rsidRPr="00573D4D" w:rsidRDefault="00A52DD2" w:rsidP="00F035E0">
      <w:pPr>
        <w:kinsoku w:val="0"/>
        <w:overflowPunct w:val="0"/>
        <w:spacing w:line="500" w:lineRule="exact"/>
        <w:ind w:leftChars="650" w:left="1560"/>
        <w:jc w:val="both"/>
        <w:textAlignment w:val="center"/>
        <w:rPr>
          <w:rFonts w:ascii="標楷體" w:eastAsia="標楷體" w:hAnsi="標楷體"/>
          <w:sz w:val="32"/>
          <w:szCs w:val="32"/>
        </w:rPr>
      </w:pPr>
      <w:r w:rsidRPr="00573D4D">
        <w:rPr>
          <w:rFonts w:ascii="標楷體" w:eastAsia="標楷體" w:hAnsi="標楷體" w:hint="eastAsia"/>
          <w:sz w:val="32"/>
          <w:szCs w:val="32"/>
        </w:rPr>
        <w:t>以上科目均自行調整，共計減列600萬元，其餘均照列，改列為132億8,759萬2千元。</w:t>
      </w:r>
    </w:p>
    <w:p w:rsidR="00A52DD2" w:rsidRPr="00573D4D" w:rsidRDefault="00A52DD2" w:rsidP="00F035E0">
      <w:pPr>
        <w:kinsoku w:val="0"/>
        <w:overflowPunct w:val="0"/>
        <w:spacing w:beforeLines="50" w:before="180" w:line="500" w:lineRule="exact"/>
        <w:ind w:leftChars="150" w:left="1688" w:hangingChars="415" w:hanging="1328"/>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本項通過決議125項：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(一)112年度文化部第</w:t>
      </w:r>
      <w:r w:rsidRPr="00573D4D">
        <w:rPr>
          <w:rFonts w:ascii="標楷體" w:eastAsia="標楷體" w:hAnsi="標楷體"/>
          <w:snapToGrid w:val="0"/>
          <w:sz w:val="32"/>
          <w:szCs w:val="32"/>
        </w:rPr>
        <w:t>1</w:t>
      </w:r>
      <w:r w:rsidRPr="00573D4D">
        <w:rPr>
          <w:rFonts w:ascii="標楷體" w:eastAsia="標楷體" w:hAnsi="標楷體" w:hint="eastAsia"/>
          <w:snapToGrid w:val="0"/>
          <w:sz w:val="32"/>
          <w:szCs w:val="32"/>
        </w:rPr>
        <w:t>目「一般行政」預算編列5</w:t>
      </w:r>
      <w:r w:rsidRPr="00573D4D">
        <w:rPr>
          <w:rFonts w:ascii="標楷體" w:eastAsia="標楷體" w:hAnsi="標楷體" w:hint="eastAsia"/>
          <w:sz w:val="32"/>
        </w:rPr>
        <w:t>億</w:t>
      </w:r>
      <w:r w:rsidRPr="00573D4D">
        <w:rPr>
          <w:rFonts w:ascii="標楷體" w:eastAsia="標楷體" w:hAnsi="標楷體"/>
          <w:sz w:val="32"/>
        </w:rPr>
        <w:t>4</w:t>
      </w:r>
      <w:r w:rsidRPr="00573D4D">
        <w:rPr>
          <w:rFonts w:ascii="標楷體" w:eastAsia="標楷體" w:hAnsi="標楷體" w:hint="eastAsia"/>
          <w:sz w:val="32"/>
        </w:rPr>
        <w:t>,</w:t>
      </w:r>
      <w:r w:rsidRPr="00573D4D">
        <w:rPr>
          <w:rFonts w:ascii="標楷體" w:eastAsia="標楷體" w:hAnsi="標楷體"/>
          <w:sz w:val="32"/>
        </w:rPr>
        <w:t>750</w:t>
      </w:r>
      <w:r w:rsidRPr="00573D4D">
        <w:rPr>
          <w:rFonts w:ascii="標楷體" w:eastAsia="標楷體" w:hAnsi="標楷體" w:hint="eastAsia"/>
          <w:sz w:val="32"/>
        </w:rPr>
        <w:t>萬</w:t>
      </w:r>
      <w:r w:rsidRPr="00573D4D">
        <w:rPr>
          <w:rFonts w:ascii="標楷體" w:eastAsia="標楷體" w:hAnsi="標楷體"/>
          <w:sz w:val="32"/>
        </w:rPr>
        <w:t>4</w:t>
      </w:r>
      <w:r w:rsidRPr="00573D4D">
        <w:rPr>
          <w:rFonts w:ascii="標楷體" w:eastAsia="標楷體" w:hAnsi="標楷體" w:hint="eastAsia"/>
          <w:sz w:val="32"/>
        </w:rPr>
        <w:t>千元</w:t>
      </w:r>
      <w:r w:rsidRPr="00573D4D">
        <w:rPr>
          <w:rFonts w:ascii="標楷體" w:eastAsia="標楷體" w:hAnsi="標楷體" w:hint="eastAsia"/>
          <w:snapToGrid w:val="0"/>
          <w:sz w:val="32"/>
          <w:szCs w:val="32"/>
        </w:rPr>
        <w:t>，凍結</w:t>
      </w:r>
      <w:r w:rsidRPr="00573D4D">
        <w:rPr>
          <w:rFonts w:ascii="標楷體" w:eastAsia="標楷體" w:hAnsi="標楷體"/>
          <w:snapToGrid w:val="0"/>
          <w:sz w:val="32"/>
          <w:szCs w:val="32"/>
        </w:rPr>
        <w:t>1</w:t>
      </w:r>
      <w:r w:rsidRPr="00573D4D">
        <w:rPr>
          <w:rFonts w:ascii="標楷體" w:eastAsia="標楷體" w:hAnsi="標楷體" w:hint="eastAsia"/>
          <w:snapToGrid w:val="0"/>
          <w:sz w:val="32"/>
          <w:szCs w:val="32"/>
        </w:rPr>
        <w:t>00萬元，俟文化部向立法院教育及文化委員會提出書面報告後，始得動支。8-9</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提案人：鄭正鈐  張廖萬堅</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連署人：何欣純  范  雲  黃國書  林奕華</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(二)112年度文化部第2目「綜合規劃業務」預算編列</w:t>
      </w:r>
      <w:r w:rsidRPr="00573D4D">
        <w:rPr>
          <w:rFonts w:ascii="標楷體" w:eastAsia="標楷體" w:hAnsi="標楷體" w:hint="eastAsia"/>
          <w:sz w:val="32"/>
        </w:rPr>
        <w:t>2億1,824萬1千元</w:t>
      </w:r>
      <w:r w:rsidRPr="00573D4D">
        <w:rPr>
          <w:rFonts w:ascii="標楷體" w:eastAsia="標楷體" w:hAnsi="標楷體" w:hint="eastAsia"/>
          <w:snapToGrid w:val="0"/>
          <w:sz w:val="32"/>
          <w:szCs w:val="32"/>
        </w:rPr>
        <w:t>，凍結1</w:t>
      </w:r>
      <w:r w:rsidRPr="00573D4D">
        <w:rPr>
          <w:rFonts w:ascii="標楷體" w:eastAsia="標楷體" w:hAnsi="標楷體"/>
          <w:snapToGrid w:val="0"/>
          <w:sz w:val="32"/>
          <w:szCs w:val="32"/>
        </w:rPr>
        <w:t>,6</w:t>
      </w:r>
      <w:r w:rsidRPr="00573D4D">
        <w:rPr>
          <w:rFonts w:ascii="標楷體" w:eastAsia="標楷體" w:hAnsi="標楷體" w:hint="eastAsia"/>
          <w:snapToGrid w:val="0"/>
          <w:sz w:val="32"/>
          <w:szCs w:val="32"/>
        </w:rPr>
        <w:t>00萬元，俟文化部向立法院教育及文化委員會提出專案報告後，始得動支。7+1</w:t>
      </w:r>
      <w:r w:rsidRPr="00573D4D">
        <w:rPr>
          <w:rFonts w:ascii="標楷體" w:eastAsia="標楷體" w:hAnsi="標楷體"/>
          <w:snapToGrid w:val="0"/>
          <w:sz w:val="32"/>
          <w:szCs w:val="32"/>
        </w:rPr>
        <w:t>0-42</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lastRenderedPageBreak/>
        <w:t>提案人：吳怡玎  鄭正鈐  黃國書  萬美玲</w:t>
      </w:r>
    </w:p>
    <w:p w:rsidR="00A52DD2" w:rsidRPr="00573D4D" w:rsidRDefault="00A52DD2" w:rsidP="00F035E0">
      <w:pPr>
        <w:snapToGrid w:val="0"/>
        <w:spacing w:line="480" w:lineRule="exact"/>
        <w:ind w:leftChars="1650" w:left="3960"/>
        <w:jc w:val="both"/>
        <w:rPr>
          <w:rFonts w:ascii="標楷體" w:eastAsia="標楷體" w:hAnsi="標楷體"/>
          <w:sz w:val="32"/>
          <w:szCs w:val="32"/>
        </w:rPr>
      </w:pPr>
      <w:r w:rsidRPr="00573D4D">
        <w:rPr>
          <w:rFonts w:ascii="標楷體" w:eastAsia="標楷體" w:hAnsi="標楷體" w:hint="eastAsia"/>
          <w:sz w:val="32"/>
          <w:szCs w:val="32"/>
        </w:rPr>
        <w:t xml:space="preserve">  王婉諭  范  雲 </w:t>
      </w:r>
      <w:r w:rsidRPr="00573D4D">
        <w:rPr>
          <w:rFonts w:ascii="標楷體" w:eastAsia="標楷體" w:hAnsi="標楷體"/>
          <w:sz w:val="32"/>
          <w:szCs w:val="32"/>
        </w:rPr>
        <w:t xml:space="preserve"> </w:t>
      </w:r>
      <w:r w:rsidRPr="00573D4D">
        <w:rPr>
          <w:rFonts w:ascii="標楷體" w:eastAsia="標楷體" w:hAnsi="標楷體" w:hint="eastAsia"/>
          <w:sz w:val="32"/>
          <w:szCs w:val="32"/>
        </w:rPr>
        <w:t>林奕華 張廖萬堅</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 xml:space="preserve">        吳思瑤  陳秀寳  林宜瑾</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連署人：賴品妤  何欣純</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(三)112年度文化部第3目「文化資源業務」預算編列</w:t>
      </w:r>
      <w:r w:rsidRPr="00573D4D">
        <w:rPr>
          <w:rFonts w:ascii="標楷體" w:eastAsia="標楷體" w:hAnsi="標楷體" w:hint="eastAsia"/>
          <w:sz w:val="32"/>
        </w:rPr>
        <w:t>15億8,075萬7千元</w:t>
      </w:r>
      <w:r w:rsidRPr="00573D4D">
        <w:rPr>
          <w:rFonts w:ascii="標楷體" w:eastAsia="標楷體" w:hAnsi="標楷體" w:hint="eastAsia"/>
          <w:snapToGrid w:val="0"/>
          <w:sz w:val="32"/>
          <w:szCs w:val="32"/>
        </w:rPr>
        <w:t>，凍結1</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000萬元，俟文化部向立法院教育及文化委員會提出專案報告後，始得動支。</w:t>
      </w:r>
      <w:r w:rsidRPr="00573D4D">
        <w:rPr>
          <w:rFonts w:ascii="標楷體" w:eastAsia="標楷體" w:hAnsi="標楷體"/>
          <w:snapToGrid w:val="0"/>
          <w:sz w:val="32"/>
          <w:szCs w:val="32"/>
        </w:rPr>
        <w:t>7+43-76</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提案人：吳怡玎  鄭正鈐  黃國書  范  雲</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 xml:space="preserve">        林奕華  賴品妤  陳秀寳 張廖萬堅</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 xml:space="preserve">        吳思瑤  萬美玲  何欣純  王婉諭</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 xml:space="preserve">        伍麗華Saidhai Tahovecahe</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連署人：林宜瑾</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(四)112年度文化部第4目「文化創意產業發展業務」預算編列</w:t>
      </w:r>
      <w:r w:rsidRPr="00573D4D">
        <w:rPr>
          <w:rFonts w:ascii="標楷體" w:eastAsia="標楷體" w:hAnsi="標楷體" w:hint="eastAsia"/>
          <w:sz w:val="32"/>
        </w:rPr>
        <w:t>18億6,358萬5千元</w:t>
      </w:r>
      <w:r w:rsidRPr="00573D4D">
        <w:rPr>
          <w:rFonts w:ascii="標楷體" w:eastAsia="標楷體" w:hAnsi="標楷體" w:hint="eastAsia"/>
          <w:snapToGrid w:val="0"/>
          <w:sz w:val="32"/>
          <w:szCs w:val="32"/>
        </w:rPr>
        <w:t>，凍結1,000萬元，俟文化部向立法院教育及文化委員會提出書面報告後，始得動支。7+77-122</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提案人：吳怡玎  鄭正鈐  黃國書  范  雲</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 xml:space="preserve">        林奕華  吳思瑤  林宜瑾 張廖萬堅</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 xml:space="preserve">        賴品妤  王婉諭  何欣純  萬美玲</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 xml:space="preserve">        林宜瑾  陳秀寳  高金素梅</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 xml:space="preserve">        伍麗華Saidhai Tahovecahe</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(五)112年度文化部第5目「影視及流行音樂發展業務」預算編列37</w:t>
      </w:r>
      <w:r w:rsidRPr="00573D4D">
        <w:rPr>
          <w:rFonts w:ascii="標楷體" w:eastAsia="標楷體" w:hAnsi="標楷體" w:hint="eastAsia"/>
          <w:sz w:val="32"/>
        </w:rPr>
        <w:t>億</w:t>
      </w:r>
      <w:r w:rsidRPr="00573D4D">
        <w:rPr>
          <w:rFonts w:ascii="標楷體" w:eastAsia="標楷體" w:hAnsi="標楷體"/>
          <w:sz w:val="32"/>
        </w:rPr>
        <w:t>9</w:t>
      </w:r>
      <w:r w:rsidRPr="00573D4D">
        <w:rPr>
          <w:rFonts w:ascii="標楷體" w:eastAsia="標楷體" w:hAnsi="標楷體" w:hint="eastAsia"/>
          <w:sz w:val="32"/>
        </w:rPr>
        <w:t>,</w:t>
      </w:r>
      <w:r w:rsidRPr="00573D4D">
        <w:rPr>
          <w:rFonts w:ascii="標楷體" w:eastAsia="標楷體" w:hAnsi="標楷體"/>
          <w:sz w:val="32"/>
        </w:rPr>
        <w:t>733</w:t>
      </w:r>
      <w:r w:rsidRPr="00573D4D">
        <w:rPr>
          <w:rFonts w:ascii="標楷體" w:eastAsia="標楷體" w:hAnsi="標楷體" w:hint="eastAsia"/>
          <w:sz w:val="32"/>
        </w:rPr>
        <w:t>萬</w:t>
      </w:r>
      <w:r w:rsidRPr="00573D4D">
        <w:rPr>
          <w:rFonts w:ascii="標楷體" w:eastAsia="標楷體" w:hAnsi="標楷體"/>
          <w:sz w:val="32"/>
        </w:rPr>
        <w:t>3</w:t>
      </w:r>
      <w:r w:rsidRPr="00573D4D">
        <w:rPr>
          <w:rFonts w:ascii="標楷體" w:eastAsia="標楷體" w:hAnsi="標楷體" w:hint="eastAsia"/>
          <w:sz w:val="32"/>
        </w:rPr>
        <w:t>千</w:t>
      </w:r>
      <w:r w:rsidRPr="00573D4D">
        <w:rPr>
          <w:rFonts w:ascii="標楷體" w:eastAsia="標楷體" w:hAnsi="標楷體" w:hint="eastAsia"/>
          <w:snapToGrid w:val="0"/>
          <w:sz w:val="32"/>
          <w:szCs w:val="32"/>
        </w:rPr>
        <w:t>元，凍結2</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000萬元，俟文化部向立法院教育及文化委員會提出專案報告後，始得動支。7+123-170</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提案人：吳怡玎  鄭正鈐  黃國書 張廖萬堅</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 xml:space="preserve">        萬美玲  陳秀寳  何欣純  林宜瑾</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 xml:space="preserve">        林奕華  王婉諭  范  雲  吳思瑤 </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連署人：賴品妤</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lastRenderedPageBreak/>
        <w:t>(六)112年度文化部第7目「</w:t>
      </w:r>
      <w:r w:rsidRPr="00573D4D">
        <w:rPr>
          <w:rFonts w:ascii="標楷體" w:eastAsia="標楷體" w:hAnsi="標楷體" w:hint="eastAsia"/>
          <w:sz w:val="32"/>
        </w:rPr>
        <w:t>藝術發展業務</w:t>
      </w:r>
      <w:r w:rsidRPr="00573D4D">
        <w:rPr>
          <w:rFonts w:ascii="標楷體" w:eastAsia="標楷體" w:hAnsi="標楷體" w:hint="eastAsia"/>
          <w:snapToGrid w:val="0"/>
          <w:sz w:val="32"/>
          <w:szCs w:val="32"/>
        </w:rPr>
        <w:t>」預算編列37億9,868萬4千元，凍結</w:t>
      </w:r>
      <w:r w:rsidRPr="00573D4D">
        <w:rPr>
          <w:rFonts w:ascii="標楷體" w:eastAsia="標楷體" w:hAnsi="標楷體"/>
          <w:snapToGrid w:val="0"/>
          <w:sz w:val="32"/>
          <w:szCs w:val="32"/>
        </w:rPr>
        <w:t>200</w:t>
      </w:r>
      <w:r w:rsidRPr="00573D4D">
        <w:rPr>
          <w:rFonts w:ascii="標楷體" w:eastAsia="標楷體" w:hAnsi="標楷體" w:hint="eastAsia"/>
          <w:snapToGrid w:val="0"/>
          <w:sz w:val="32"/>
          <w:szCs w:val="32"/>
        </w:rPr>
        <w:t>萬元，俟文化部向立法院教育及文化委員會提出書面報告後，始得動支。7+186-218</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提案人：吳怡玎  鄭正鈐  黃國書 張廖萬堅</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 xml:space="preserve">        范  雲  萬美玲  吳思瑤  林奕華</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 xml:space="preserve">        賴品妤  林宜瑾  陳秀寳</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 xml:space="preserve">        伍麗華Saidhai Tahovecahe</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w:t>
      </w:r>
      <w:r w:rsidRPr="00573D4D">
        <w:rPr>
          <w:rFonts w:ascii="標楷體" w:eastAsia="標楷體" w:hAnsi="標楷體" w:hint="eastAsia"/>
          <w:snapToGrid w:val="0"/>
          <w:sz w:val="32"/>
          <w:szCs w:val="32"/>
        </w:rPr>
        <w:t>何欣純</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(七)112年度文化部第9目「</w:t>
      </w:r>
      <w:r w:rsidRPr="00573D4D">
        <w:rPr>
          <w:rFonts w:ascii="標楷體" w:eastAsia="標楷體" w:hAnsi="標楷體" w:hint="eastAsia"/>
          <w:sz w:val="32"/>
        </w:rPr>
        <w:t>蒙藏文化中心業務</w:t>
      </w:r>
      <w:r w:rsidRPr="00573D4D">
        <w:rPr>
          <w:rFonts w:ascii="標楷體" w:eastAsia="標楷體" w:hAnsi="標楷體" w:hint="eastAsia"/>
          <w:snapToGrid w:val="0"/>
          <w:sz w:val="32"/>
          <w:szCs w:val="32"/>
        </w:rPr>
        <w:t>」預算編列</w:t>
      </w:r>
      <w:r w:rsidRPr="00573D4D">
        <w:rPr>
          <w:rFonts w:ascii="標楷體" w:eastAsia="標楷體" w:hAnsi="標楷體"/>
          <w:snapToGrid w:val="0"/>
          <w:sz w:val="32"/>
          <w:szCs w:val="32"/>
        </w:rPr>
        <w:t>2</w:t>
      </w:r>
      <w:r w:rsidRPr="00573D4D">
        <w:rPr>
          <w:rFonts w:ascii="標楷體" w:eastAsia="標楷體" w:hAnsi="標楷體" w:hint="eastAsia"/>
          <w:snapToGrid w:val="0"/>
          <w:sz w:val="32"/>
          <w:szCs w:val="32"/>
        </w:rPr>
        <w:t>,</w:t>
      </w:r>
      <w:r w:rsidRPr="00573D4D">
        <w:rPr>
          <w:rFonts w:ascii="標楷體" w:eastAsia="標楷體" w:hAnsi="標楷體"/>
          <w:snapToGrid w:val="0"/>
          <w:sz w:val="32"/>
          <w:szCs w:val="32"/>
        </w:rPr>
        <w:t>882</w:t>
      </w:r>
      <w:r w:rsidRPr="00573D4D">
        <w:rPr>
          <w:rFonts w:ascii="標楷體" w:eastAsia="標楷體" w:hAnsi="標楷體" w:hint="eastAsia"/>
          <w:snapToGrid w:val="0"/>
          <w:sz w:val="32"/>
          <w:szCs w:val="32"/>
        </w:rPr>
        <w:t>萬</w:t>
      </w:r>
      <w:r w:rsidRPr="00573D4D">
        <w:rPr>
          <w:rFonts w:ascii="標楷體" w:eastAsia="標楷體" w:hAnsi="標楷體"/>
          <w:snapToGrid w:val="0"/>
          <w:sz w:val="32"/>
          <w:szCs w:val="32"/>
        </w:rPr>
        <w:t>6</w:t>
      </w:r>
      <w:r w:rsidRPr="00573D4D">
        <w:rPr>
          <w:rFonts w:ascii="標楷體" w:eastAsia="標楷體" w:hAnsi="標楷體" w:hint="eastAsia"/>
          <w:snapToGrid w:val="0"/>
          <w:sz w:val="32"/>
          <w:szCs w:val="32"/>
        </w:rPr>
        <w:t>千元，凍結</w:t>
      </w:r>
      <w:r w:rsidRPr="00573D4D">
        <w:rPr>
          <w:rFonts w:ascii="標楷體" w:eastAsia="標楷體" w:hAnsi="標楷體"/>
          <w:snapToGrid w:val="0"/>
          <w:sz w:val="32"/>
          <w:szCs w:val="32"/>
        </w:rPr>
        <w:t>100</w:t>
      </w:r>
      <w:r w:rsidRPr="00573D4D">
        <w:rPr>
          <w:rFonts w:ascii="標楷體" w:eastAsia="標楷體" w:hAnsi="標楷體" w:hint="eastAsia"/>
          <w:snapToGrid w:val="0"/>
          <w:sz w:val="32"/>
          <w:szCs w:val="32"/>
        </w:rPr>
        <w:t>萬元，俟文化部向立法院教育及文化委員會提出書面報告後，始得動支。2</w:t>
      </w:r>
      <w:r w:rsidRPr="00573D4D">
        <w:rPr>
          <w:rFonts w:ascii="標楷體" w:eastAsia="標楷體" w:hAnsi="標楷體"/>
          <w:snapToGrid w:val="0"/>
          <w:sz w:val="32"/>
          <w:szCs w:val="32"/>
        </w:rPr>
        <w:t>28-232</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提案人：鄭正鈐  林宜瑾</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連署人：黃國書  林奕華  陳秀寳 張廖萬堅</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 xml:space="preserve">        洪申翰</w:t>
      </w:r>
    </w:p>
    <w:p w:rsidR="00A52DD2" w:rsidRPr="00573D4D" w:rsidRDefault="00A52DD2" w:rsidP="00F035E0">
      <w:pPr>
        <w:overflowPunct w:val="0"/>
        <w:spacing w:line="50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八)為保障文藝工作者之勞動權益，近期文化部公布了文藝工作者契約範本專區，包含視覺藝術、表演藝術、文化資產、影視製作技術、影視編劇、流行音樂等6大類48種。其中關於自由接案文字工作者範疇，僅有影視編劇被涵蓋其中。然而自由接案文字工作者之業務類型廣泛，例如出版刊物委外寫作、新聞報導、翻譯、文案與發言稿撰寫等；儘管目前可以承攬或委託方式簽約，並涉著作權歸屬者，得使用經濟部智慧財產局契約範本；惟出版相關業務仍屬文化部負責，爰請文化部協調，將經濟部智慧財產局契約範本上架文藝工作者契約範本專區，以臻完善，則更能保障文藝工作者之權益，完整相關權益保障資訊。233</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提案人：何欣純</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連署人：吳思瑤  黃國書</w:t>
      </w:r>
    </w:p>
    <w:p w:rsidR="00A52DD2" w:rsidRPr="00573D4D" w:rsidRDefault="00A52DD2" w:rsidP="00F035E0">
      <w:pPr>
        <w:overflowPunct w:val="0"/>
        <w:spacing w:line="50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(九)文化部為健全產業發展、提升影視音內容產製能量與品質，</w:t>
      </w:r>
      <w:r w:rsidRPr="00573D4D">
        <w:rPr>
          <w:rFonts w:ascii="標楷體" w:eastAsia="標楷體" w:hAnsi="標楷體" w:hint="eastAsia"/>
          <w:sz w:val="32"/>
          <w:szCs w:val="32"/>
        </w:rPr>
        <w:lastRenderedPageBreak/>
        <w:t>並協助我國優秀之流行影視音作品行銷國內外市場、提升我國多元文化內容能見度及國際影響力，獎勵相關影視音從業人員，每年都會辦理或補助委辦金馬、金鐘、金曲、金音創作獎等重大影視音獎項，如今這些獎項早已成為國人關注之文化盛宴。然而從111年底開始，我國重大影視音獎項主要頒獎場地國立國父紀念館將開始整修3年；另經統計，金馬、金鐘、金曲、金音創作獎共舉辦162屆，其中北高就包辦153次、台中僅主辦2次，次數明顯不均。因此，除了未來3年「四金」頒獎典禮地點須儘早因應籌備規劃，且為彌平中部文化區域落差、實踐文化平權、提升表演藝術在地交流、發展文化特色觀光、帶動台中城市行銷等多重誘因，爰要求文化部向立法院教育及文化委員會提出台中市合適舉辦「四金」頒獎典禮場館評估書面報告，並請文化部為落實文化平權，考量將「四金」系列活動（如入圍記者會、創投會議、影展、音樂祭演唱會、嘉年華等）移師台中市舉辦。234</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提案人：何欣純</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連署人：吳思瑤  黃國書</w:t>
      </w:r>
    </w:p>
    <w:p w:rsidR="00A52DD2" w:rsidRPr="00573D4D" w:rsidRDefault="00A52DD2" w:rsidP="00F035E0">
      <w:pPr>
        <w:overflowPunct w:val="0"/>
        <w:spacing w:line="50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十)有鑑於近年文化資產數量逐年成長，政府財政負擔日益沉重。且現行公有文化資產維護管理及活化再利用主要仰賴政府經費辦理，委外營運面臨誘因不足問題，而可提供私有文化資產所有權人維護管理資源之補償方式又存有執行窒礙之處。依110年12月24日司法院大法官釋字第813號解釋，文化部應自該解釋公布之日起2年內修正「文化資產保存法」以對歷史建築物所定著之土地為第三人所有者，給予相當補償。爰要求文化部於3個月內向立法院教育及文化委員會提出文化資產永續財源機制之研議結果書面報告，維護所有權人權益及文化資產保存，以減輕政府財政負擔。235</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lastRenderedPageBreak/>
        <w:t>提案人：林奕華</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連署人：吳怡玎  鄭正鈐</w:t>
      </w:r>
    </w:p>
    <w:p w:rsidR="00A52DD2" w:rsidRPr="00573D4D" w:rsidRDefault="00A52DD2" w:rsidP="00F035E0">
      <w:pPr>
        <w:overflowPunct w:val="0"/>
        <w:spacing w:line="50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十一)有鑑於112年度文化部「影視及流行音樂策劃與發展」項下「籌建影視聽中心二期場館」中「國家電影及視聽文化典藏專業設施改善及博物館建置計畫」、「國家鐵道博物館籌備業務」項下「臺北機廠活化轉型國家鐵道博物館園區實施計畫」及「國家兒童未來館興建計畫」等，經財務評估結果未來均仍需仰賴政府挹注財源。考量國立文化相關機關參觀人數多年未見顯著成長，近年嚴重特殊傳染性肺炎疫情趨緩，但國際組織仍警告未來大規模傳染病恐發生頻率增加，爰要求文化部應及早規劃因應防疫及提升營運效益之策略，以促進興建場館之典藏及設施使用效益，並減輕政府財政負擔。236</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提案人：林奕華</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連署人：吳怡玎  鄭正鈐</w:t>
      </w:r>
    </w:p>
    <w:p w:rsidR="00A52DD2" w:rsidRPr="00573D4D" w:rsidRDefault="00A52DD2" w:rsidP="00F035E0">
      <w:pPr>
        <w:overflowPunct w:val="0"/>
        <w:spacing w:line="48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十二)有鑑於112年度文化部新增辦理「影視及流行音樂策劃與發展」項下「籌建影視聽中心二期場館」中「國家電影及視聽文化典藏專業設施改善及博物館建置計畫」，預計專業典藏片庫118年始興建完竣，然文物仍將續存放現行溫溼度及安全性欠佳之環境，恐造成文物酸腐及受損。爰要求文化部於</w:t>
      </w:r>
      <w:r w:rsidRPr="00573D4D">
        <w:rPr>
          <w:rFonts w:ascii="標楷體" w:eastAsia="標楷體" w:hAnsi="標楷體"/>
          <w:sz w:val="32"/>
          <w:szCs w:val="32"/>
        </w:rPr>
        <w:t>3</w:t>
      </w:r>
      <w:r w:rsidRPr="00573D4D">
        <w:rPr>
          <w:rFonts w:ascii="標楷體" w:eastAsia="標楷體" w:hAnsi="標楷體" w:hint="eastAsia"/>
          <w:sz w:val="32"/>
          <w:szCs w:val="32"/>
        </w:rPr>
        <w:t>個月內向立法院教育及文化委員會提出改善典藏保存空間之具體作為書面報告，並訂出具體時程積極辦理，避免影像嚴重壞損。237</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提案人：林奕華</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連署人：吳怡玎  鄭正鈐</w:t>
      </w:r>
    </w:p>
    <w:p w:rsidR="00A52DD2" w:rsidRPr="00573D4D" w:rsidRDefault="00A52DD2" w:rsidP="00F035E0">
      <w:pPr>
        <w:overflowPunct w:val="0"/>
        <w:spacing w:line="50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(十三)有鑑於文化部自107年度開始辦理文化體驗教育計畫，連結文化端資源提供教育端課程需求，預算執行因學校基於疫情考量而減少藝文團隊入校，致賸餘率達二成以上</w:t>
      </w:r>
      <w:r>
        <w:rPr>
          <w:rFonts w:ascii="標楷體" w:eastAsia="標楷體" w:hAnsi="標楷體" w:hint="eastAsia"/>
          <w:sz w:val="32"/>
          <w:szCs w:val="32"/>
        </w:rPr>
        <w:t>。</w:t>
      </w:r>
      <w:r w:rsidRPr="00573D4D">
        <w:rPr>
          <w:rFonts w:ascii="標楷體" w:eastAsia="標楷體" w:hAnsi="標楷體" w:hint="eastAsia"/>
          <w:sz w:val="32"/>
          <w:szCs w:val="32"/>
        </w:rPr>
        <w:t>另自107年以來參與課程學校以國民小學高達八成為主，國民中</w:t>
      </w:r>
      <w:r w:rsidRPr="00573D4D">
        <w:rPr>
          <w:rFonts w:ascii="標楷體" w:eastAsia="標楷體" w:hAnsi="標楷體" w:hint="eastAsia"/>
          <w:sz w:val="32"/>
          <w:szCs w:val="32"/>
        </w:rPr>
        <w:lastRenderedPageBreak/>
        <w:t>學及高級中學參與校數及學生人次仍有待提升，且補助藝文單位研發文化體驗內容課程上傳至供學校選課之網路平台媒合率僅41.30%至63.83%。爰要求文化部應持續與教育部跨部會合作推廣，提升藝文團隊及學校參與度，並研謀提升國高中參與率及上傳課程媒合率，擴大教育體驗範圍，以增進計畫執行效益，相關辦理內容請於3個月內向立法院教育及文化委員會提出書面報告。238</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提案人：林奕華</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連署人：吳怡玎  鄭正鈐</w:t>
      </w:r>
    </w:p>
    <w:p w:rsidR="00A52DD2" w:rsidRPr="00573D4D" w:rsidRDefault="00A52DD2" w:rsidP="00F035E0">
      <w:pPr>
        <w:overflowPunct w:val="0"/>
        <w:spacing w:line="50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十四)有鑑於文化部112年度賡續辦理「空總臺灣當代文化實驗場第二期整體發展綱要計畫」，然空總部分建物展演空間整體使用率未盡理想，且與臺北市政府尚未達成回饋方案共識，致基地之都市計畫變更作業迄未完成。爰要求文化部儘速與臺北市政府協商以完成都市計畫變更，俾利後續整體規劃利用作業之進行，促進資產運用效益。239</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提案人：林奕華</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連署人：吳怡玎  鄭正鈐</w:t>
      </w:r>
    </w:p>
    <w:p w:rsidR="00A52DD2" w:rsidRPr="00573D4D" w:rsidRDefault="00A52DD2" w:rsidP="00F035E0">
      <w:pPr>
        <w:overflowPunct w:val="0"/>
        <w:spacing w:line="50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十五)2022年11月10日，監察院針對公共電視台1年內，連續發生遭勒索病毒攻擊及片庫資料遭誤刪高達41萬餘筆之重大資安事件，提案糾正文化部及國家通訊傳播委員會。監察委員認為，此等重大資安事件的發生，顯示資通安全管理作業鬆散，且文化部作為主管機關，未能正視財團法人公共電視文化事業基金會長期存在資安經費與專業人力不足，以及資安管理制度鬆散等問題。監察委員同時指出，公視第7屆董事會及經營團隊2022年5月20日上任後，研提諸多人事管理改善措施，並擘劃數位轉型願景與目標，相關工作的落實，還須文化部及數位發展部共同督促，期使公視的數位轉型及資通安全皆可成為標竿。另外監察委員也談及「公共電</w:t>
      </w:r>
      <w:r w:rsidRPr="00573D4D">
        <w:rPr>
          <w:rFonts w:ascii="標楷體" w:eastAsia="標楷體" w:hAnsi="標楷體" w:hint="eastAsia"/>
          <w:sz w:val="32"/>
          <w:szCs w:val="32"/>
        </w:rPr>
        <w:lastRenderedPageBreak/>
        <w:t>視法」修法議題，並強調該法相關修法作業未能有效推動，導致財團法人公共電視文化事業基金會每年受政府捐助之9億元經費，當中人事費即達8億元，剩餘款項僅能應付基本營運需求，更無法奢談推動數位轉型及保障資通安全。文化部應針對上述監察院的糾正理由於</w:t>
      </w:r>
      <w:r w:rsidRPr="00573D4D">
        <w:rPr>
          <w:rFonts w:ascii="標楷體" w:eastAsia="標楷體" w:hAnsi="標楷體"/>
          <w:sz w:val="32"/>
          <w:szCs w:val="32"/>
        </w:rPr>
        <w:t>3</w:t>
      </w:r>
      <w:r w:rsidRPr="00573D4D">
        <w:rPr>
          <w:rFonts w:ascii="標楷體" w:eastAsia="標楷體" w:hAnsi="標楷體" w:hint="eastAsia"/>
          <w:sz w:val="32"/>
          <w:szCs w:val="32"/>
        </w:rPr>
        <w:t>個月內向立法院教育及文化委員會提出書面報告。240</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提案人：林宜瑾</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連署人：黃國書  張廖萬堅</w:t>
      </w:r>
    </w:p>
    <w:p w:rsidR="00A52DD2" w:rsidRPr="00573D4D" w:rsidRDefault="00A52DD2" w:rsidP="00F035E0">
      <w:pPr>
        <w:overflowPunct w:val="0"/>
        <w:spacing w:line="50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(十六)112年度文化部預算大幅成長20%，創下歷史新高，相較111年度預算177億5</w:t>
      </w:r>
      <w:r w:rsidRPr="00573D4D">
        <w:rPr>
          <w:rFonts w:ascii="標楷體" w:eastAsia="標楷體" w:hAnsi="標楷體"/>
          <w:sz w:val="32"/>
          <w:szCs w:val="32"/>
        </w:rPr>
        <w:t>,</w:t>
      </w:r>
      <w:r w:rsidRPr="00573D4D">
        <w:rPr>
          <w:rFonts w:ascii="標楷體" w:eastAsia="標楷體" w:hAnsi="標楷體" w:hint="eastAsia"/>
          <w:sz w:val="32"/>
          <w:szCs w:val="32"/>
        </w:rPr>
        <w:t>780萬4千元，成長幅度近20%，加上「前瞻基礎建設計畫」預算，總計112年度文化部所編列預算將達237億7</w:t>
      </w:r>
      <w:r w:rsidRPr="00573D4D">
        <w:rPr>
          <w:rFonts w:ascii="標楷體" w:eastAsia="標楷體" w:hAnsi="標楷體"/>
          <w:sz w:val="32"/>
          <w:szCs w:val="32"/>
        </w:rPr>
        <w:t>,</w:t>
      </w:r>
      <w:r w:rsidRPr="00573D4D">
        <w:rPr>
          <w:rFonts w:ascii="標楷體" w:eastAsia="標楷體" w:hAnsi="標楷體" w:hint="eastAsia"/>
          <w:sz w:val="32"/>
          <w:szCs w:val="32"/>
        </w:rPr>
        <w:t>108萬3千元。經查，文化部年度施政目標首項即為「建構文化創新生態系支持系統」，工作項目包含設立文化發展基金、落實「文化基本法」第24條第2項規定「文化部應設置文化發展基金，辦理文化發展及公共媒體等相關事項。」在預算編列相對豐厚的一年，文化部迎來文化發展基金的設立，雖為統合文化資源、建置博物館購藏國家隊的重要一步。然透過文化部2022年11月3日所做書面回覆可知，110年1月18日文化部與國立故宮博物院曾針對「文化發展基金」與「故宮文物藝術發展基金」召開過研商會議，最終結果顯示2基金在用途與功能上皆有別，應不宜併予討論，依據現行主計作業制度無法共享。2022年11月10日，李部長永得於立法院答詢時指出，目前唯一出路是故宮與文化部共組購藏基金。為利我國博物館、藝術館資源整合，文化部應積極協調與國立故宮博物院之間購藏基金成立之可能性，並於</w:t>
      </w:r>
      <w:r w:rsidRPr="00573D4D">
        <w:rPr>
          <w:rFonts w:ascii="標楷體" w:eastAsia="標楷體" w:hAnsi="標楷體"/>
          <w:sz w:val="32"/>
          <w:szCs w:val="32"/>
        </w:rPr>
        <w:t>3</w:t>
      </w:r>
      <w:r w:rsidRPr="00573D4D">
        <w:rPr>
          <w:rFonts w:ascii="標楷體" w:eastAsia="標楷體" w:hAnsi="標楷體" w:hint="eastAsia"/>
          <w:sz w:val="32"/>
          <w:szCs w:val="32"/>
        </w:rPr>
        <w:t>個月內向立法院教育及文化委員會提出書面報告，說明規劃方向與現行困境。241</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提案人：林宜瑾</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lastRenderedPageBreak/>
        <w:t>連署人：黃國書  張廖萬堅</w:t>
      </w:r>
    </w:p>
    <w:p w:rsidR="00A52DD2" w:rsidRPr="00573D4D" w:rsidRDefault="00A52DD2" w:rsidP="00F035E0">
      <w:pPr>
        <w:overflowPunct w:val="0"/>
        <w:spacing w:line="50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十七)TaiwanPlus是一道台灣相當重要的對外窗口，以目前國際通用的英語播出，致力讓各國認識台灣現況與文化。然而TaiwanPlus至今仍難稱為國際頻道，其所產出報導缺乏全球影響力。2024年巴黎奧林匹克運動會為可預期我國將參與的國際盛事，TaiwanPlus宜及早準備相關工作，並提出為產出國際性報導所需資源，文化部則應盡最大力量予以協助。李部長永得曾以韓國英文國際電視台阿里郎國際廣播為例，期許TaiwanPlus能夠達至相近標準，讓外國媒體能夠參考報導，在國際上創造更佳豐富、深度的台灣報導。針對上述提升TaiwanPlus經營績效議題，文化部應於</w:t>
      </w:r>
      <w:r w:rsidRPr="00573D4D">
        <w:rPr>
          <w:rFonts w:ascii="標楷體" w:eastAsia="標楷體" w:hAnsi="標楷體"/>
          <w:sz w:val="32"/>
          <w:szCs w:val="32"/>
        </w:rPr>
        <w:t>3</w:t>
      </w:r>
      <w:r w:rsidRPr="00573D4D">
        <w:rPr>
          <w:rFonts w:ascii="標楷體" w:eastAsia="標楷體" w:hAnsi="標楷體" w:hint="eastAsia"/>
          <w:sz w:val="32"/>
          <w:szCs w:val="32"/>
        </w:rPr>
        <w:t>個月內向立法院教育及文化委員會提出書面報告，清楚說明改善方式及期程。242</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提案人：林宜瑾</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連署人：陳秀寳  黃國書</w:t>
      </w:r>
    </w:p>
    <w:p w:rsidR="00A52DD2" w:rsidRPr="00573D4D" w:rsidRDefault="00A52DD2" w:rsidP="00F035E0">
      <w:pPr>
        <w:overflowPunct w:val="0"/>
        <w:spacing w:line="50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十八)我國台灣公共廣播電視集團處於轉型關鍵時刻，財團法人公共電視文化事業基金會如今採取多頻道、擴大公共服務範圍之經營策略，不僅業務增加，亦須面對物價的抬升。現行「公共電視法」第2條第3項，為目前財團法人公共電視文化事業基金會每年獲取捐助之法源依據，然因欠缺彈性，實難應對前述挑戰。文化部宜應儘早推動法制改革，以使公廣集團得以根據各年度經營需求，獲取相襯資源。另外同樣攸關我國台灣公共廣播電視集團發展的，還有「文化基本法」所要求設置的文化發展基金。根據「文化基本法」第24條第2項規定「文化部應設置文化發展基金，辦理文化發展及公共媒體等相關事項。」然而「文化基本法」卻未明確提及文化發展基金財源何來，為使基金可長可久存續，文化部宜應儘早提出修法，明定文化發展基金財源。針對上述議題，文</w:t>
      </w:r>
      <w:r w:rsidRPr="00573D4D">
        <w:rPr>
          <w:rFonts w:ascii="標楷體" w:eastAsia="標楷體" w:hAnsi="標楷體" w:hint="eastAsia"/>
          <w:sz w:val="32"/>
          <w:szCs w:val="32"/>
        </w:rPr>
        <w:lastRenderedPageBreak/>
        <w:t>化部應於</w:t>
      </w:r>
      <w:r w:rsidRPr="00573D4D">
        <w:rPr>
          <w:rFonts w:ascii="標楷體" w:eastAsia="標楷體" w:hAnsi="標楷體"/>
          <w:sz w:val="32"/>
          <w:szCs w:val="32"/>
        </w:rPr>
        <w:t>4</w:t>
      </w:r>
      <w:r w:rsidRPr="00573D4D">
        <w:rPr>
          <w:rFonts w:ascii="標楷體" w:eastAsia="標楷體" w:hAnsi="標楷體" w:hint="eastAsia"/>
          <w:sz w:val="32"/>
          <w:szCs w:val="32"/>
        </w:rPr>
        <w:t>個月內向立法院教育及文化委員會提出書面報告，清楚說明修法方向及期程。243</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提案人：林宜瑾</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連署人：陳秀寳  黃國書</w:t>
      </w:r>
    </w:p>
    <w:p w:rsidR="00A52DD2" w:rsidRPr="00573D4D" w:rsidRDefault="00A52DD2" w:rsidP="00F035E0">
      <w:pPr>
        <w:overflowPunct w:val="0"/>
        <w:spacing w:line="50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十九)針對高雄左營海軍眷村文化資產保留的爭議，森林城市協會等23個民間社團共同發起連署，反對左營海軍眷村「文化資產保存法」保存區解編，要求維持59公頃左營海軍眷村文化景觀身分。然依據「文化資產保存法」及文化資產登錄廢止辦法，文化景觀的廢止經主管機關也就是地方政府文化局經現場勘查、召開公聽會、審議會審定後，即可完成解編，意味文化景觀的廢止若只是市定文化景觀，是不需要經過文化部審核而僅需「備查」，並經過地方政府的文化資產審議會審議後即可廢止。惟從「文化資產保存法」、「都市計畫法」、「區域計畫法」等之立法目的來看，「文化資產保存法」是為了保存跟活用文化資產，但是否有可能變成假文化資產保存之名，實進行合法養地之實?去控管地目變更地目?未來地方政府覺得土地價值變高了，再去廢止文化景觀，賣地給建商蓋豪宅?這種授權地方政府能夠去任意變更地目是否就失去了文資保存的意義?為落實政府文資保存立法本意，爰要求文化部應就高雄左營海軍眷村一案，召集相關部會及地方政府確實檢討「文化資產保存法」、「都市計畫法」、「區域計畫法」等立法內容是否有疏漏、牴觸之處，並於3個月內向立法院教育及文化委員會提出檢討修法評析書面報告，以利落實文化資產保存之目的。244</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提案人：吳怡玎  鄭正鈐  黃國書</w:t>
      </w:r>
    </w:p>
    <w:p w:rsidR="00A52DD2" w:rsidRPr="00573D4D" w:rsidRDefault="00A52DD2" w:rsidP="00F035E0">
      <w:pPr>
        <w:overflowPunct w:val="0"/>
        <w:spacing w:line="48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(二十)高雄林商號倉庫是111年第8屆景觀新秀展東海大學的學生設計舊空間再生規劃案的標的物，該規劃案指出林商號合板股份有限公司，是高雄地區最具代表性的合板工廠，曾於</w:t>
      </w:r>
      <w:r w:rsidRPr="00573D4D">
        <w:rPr>
          <w:rFonts w:ascii="標楷體" w:eastAsia="標楷體" w:hAnsi="標楷體" w:hint="eastAsia"/>
          <w:sz w:val="32"/>
          <w:szCs w:val="32"/>
        </w:rPr>
        <w:lastRenderedPageBreak/>
        <w:t>1970年代，以傳統產業的角色名列台灣第1</w:t>
      </w:r>
      <w:r w:rsidRPr="00573D4D">
        <w:rPr>
          <w:rFonts w:ascii="標楷體" w:eastAsia="標楷體" w:hAnsi="標楷體"/>
          <w:sz w:val="32"/>
          <w:szCs w:val="32"/>
        </w:rPr>
        <w:t>7</w:t>
      </w:r>
      <w:r w:rsidRPr="00573D4D">
        <w:rPr>
          <w:rFonts w:ascii="標楷體" w:eastAsia="標楷體" w:hAnsi="標楷體" w:hint="eastAsia"/>
          <w:sz w:val="32"/>
          <w:szCs w:val="32"/>
        </w:rPr>
        <w:t>大企業，並形成移工聚落與產業園區，振興了龍水地區的經濟。然該規劃案的主角-林商號倉庫會不會如台灣有一個都市傳說：「只要古蹟或是可能成為文化資產的老屋，經常莫名</w:t>
      </w:r>
      <w:r>
        <w:rPr>
          <w:rFonts w:ascii="標楷體" w:eastAsia="標楷體" w:hAnsi="標楷體" w:hint="eastAsia"/>
          <w:sz w:val="32"/>
          <w:szCs w:val="32"/>
        </w:rPr>
        <w:t>遭火焚燬，最後變成建商蓋大樓的用地。」</w:t>
      </w:r>
      <w:r w:rsidRPr="00573D4D">
        <w:rPr>
          <w:rFonts w:ascii="標楷體" w:eastAsia="標楷體" w:hAnsi="標楷體" w:hint="eastAsia"/>
          <w:sz w:val="32"/>
          <w:szCs w:val="32"/>
        </w:rPr>
        <w:t>因此，林商號倉庫會是化成一堆灰燼，或是文化部啟動文化資產保存，讓其成為高雄美術館特區一座富有當地人記憶與歷史的空間呢?為替高雄後代子孫保留一塊具有歷史記憶軌跡的園地，爰要求文化部針對「林商號倉庫」所在區域，函請並協助地方主管機關依照「文化資產保存法」完成文化資產價值審認，於3個月內向立法院教育及文化委員會提出評析報告，後續倘經公告指定或登錄文化資產，屆時文化部再協助地方主管機關研議規劃成立「文化資產保存區」，以為高雄再保存一座歷史文化資產。2</w:t>
      </w:r>
      <w:r w:rsidRPr="00573D4D">
        <w:rPr>
          <w:rFonts w:ascii="標楷體" w:eastAsia="標楷體" w:hAnsi="標楷體"/>
          <w:sz w:val="32"/>
          <w:szCs w:val="32"/>
        </w:rPr>
        <w:t>45</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提案人：吳怡玎  鄭正鈐  黃國書</w:t>
      </w:r>
    </w:p>
    <w:p w:rsidR="00A52DD2" w:rsidRPr="00573D4D" w:rsidRDefault="00A52DD2" w:rsidP="00F035E0">
      <w:pPr>
        <w:overflowPunct w:val="0"/>
        <w:spacing w:line="48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(二十一)為了鼓勵民眾多接觸並振興藝文產業，文化部規劃於112年3月將「藝FUN券」常態化，相關藝文消費補助擬從18歲青年先行，所需總經費預算約2億5</w:t>
      </w:r>
      <w:r w:rsidRPr="00573D4D">
        <w:rPr>
          <w:rFonts w:ascii="標楷體" w:eastAsia="標楷體" w:hAnsi="標楷體"/>
          <w:sz w:val="32"/>
          <w:szCs w:val="32"/>
        </w:rPr>
        <w:t>,000</w:t>
      </w:r>
      <w:r w:rsidRPr="00573D4D">
        <w:rPr>
          <w:rFonts w:ascii="標楷體" w:eastAsia="標楷體" w:hAnsi="標楷體" w:hint="eastAsia"/>
          <w:sz w:val="32"/>
          <w:szCs w:val="32"/>
        </w:rPr>
        <w:t>萬元，除文化部編列預算2億元外，其餘經費由行政法人國家表演藝術中心國家兩廳院依「國家表演藝術中心設置條例」及相關法令規定，廣邀民間企業共同響應支持；然查以過去藝FUN券的預算來看，文化部於歷年紓困預算中，分別編列109年度15億3</w:t>
      </w:r>
      <w:r w:rsidRPr="00573D4D">
        <w:rPr>
          <w:rFonts w:ascii="標楷體" w:eastAsia="標楷體" w:hAnsi="標楷體"/>
          <w:sz w:val="32"/>
          <w:szCs w:val="32"/>
        </w:rPr>
        <w:t>,</w:t>
      </w:r>
      <w:r w:rsidRPr="00573D4D">
        <w:rPr>
          <w:rFonts w:ascii="標楷體" w:eastAsia="標楷體" w:hAnsi="標楷體" w:hint="eastAsia"/>
          <w:sz w:val="32"/>
          <w:szCs w:val="32"/>
        </w:rPr>
        <w:t>000萬元、110年度16億1</w:t>
      </w:r>
      <w:r w:rsidRPr="00573D4D">
        <w:rPr>
          <w:rFonts w:ascii="標楷體" w:eastAsia="標楷體" w:hAnsi="標楷體"/>
          <w:sz w:val="32"/>
          <w:szCs w:val="32"/>
        </w:rPr>
        <w:t>,</w:t>
      </w:r>
      <w:r w:rsidRPr="00573D4D">
        <w:rPr>
          <w:rFonts w:ascii="標楷體" w:eastAsia="標楷體" w:hAnsi="標楷體" w:hint="eastAsia"/>
          <w:sz w:val="32"/>
          <w:szCs w:val="32"/>
        </w:rPr>
        <w:t>000萬元，但藝文禮金112年度卻只編列2億元，規模嚴重縮水，稱不上常態化，應思考如何擴大財源及擴大更多藝文人口使用，而不是只限定在特定族群或藝文產業上，未來恐無法常態化來推動這項計畫。為鼓勵民眾參與各項藝文活動，爰要求文化部就112年規劃「藝文禮金」常態化計畫案，</w:t>
      </w:r>
      <w:r>
        <w:rPr>
          <w:rFonts w:ascii="標楷體" w:eastAsia="標楷體" w:hAnsi="標楷體" w:hint="eastAsia"/>
          <w:sz w:val="32"/>
          <w:szCs w:val="32"/>
        </w:rPr>
        <w:t>並</w:t>
      </w:r>
      <w:r w:rsidRPr="00573D4D">
        <w:rPr>
          <w:rFonts w:ascii="標楷體" w:eastAsia="標楷體" w:hAnsi="標楷體" w:hint="eastAsia"/>
          <w:sz w:val="32"/>
          <w:szCs w:val="32"/>
        </w:rPr>
        <w:t>於</w:t>
      </w:r>
      <w:r w:rsidRPr="00573D4D">
        <w:rPr>
          <w:rFonts w:ascii="標楷體" w:eastAsia="標楷體" w:hAnsi="標楷體"/>
          <w:sz w:val="32"/>
          <w:szCs w:val="32"/>
        </w:rPr>
        <w:t>3</w:t>
      </w:r>
      <w:r w:rsidRPr="00573D4D">
        <w:rPr>
          <w:rFonts w:ascii="標楷體" w:eastAsia="標楷體" w:hAnsi="標楷體" w:hint="eastAsia"/>
          <w:sz w:val="32"/>
          <w:szCs w:val="32"/>
        </w:rPr>
        <w:t>個月內向立法院教育及文化委員會提出評析書面報告。246</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lastRenderedPageBreak/>
        <w:t>提案人：吳怡玎  鄭正鈐  黃國書</w:t>
      </w:r>
    </w:p>
    <w:p w:rsidR="00A52DD2" w:rsidRPr="00573D4D" w:rsidRDefault="00A52DD2" w:rsidP="00F035E0">
      <w:pPr>
        <w:overflowPunct w:val="0"/>
        <w:spacing w:line="48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二十二)近期國內演唱會及運動賽事售票屢傳票券秒殺的情況，後續經查證，幾乎都是黃牛集團用事先寫好的程式來搶票，搶到之後再大量用高價轉售，從中賺取價差，不當獲利的情況非常猖獗，網路甚至有平台專門販售黃牛票。然而現行法規其實不是沒有規範，「社會秩序維護法」第64條</w:t>
      </w:r>
      <w:r>
        <w:rPr>
          <w:rFonts w:ascii="標楷體" w:eastAsia="標楷體" w:hAnsi="標楷體" w:hint="eastAsia"/>
          <w:sz w:val="32"/>
          <w:szCs w:val="32"/>
        </w:rPr>
        <w:t>第2款</w:t>
      </w:r>
      <w:r w:rsidRPr="00573D4D">
        <w:rPr>
          <w:rFonts w:ascii="標楷體" w:eastAsia="標楷體" w:hAnsi="標楷體" w:hint="eastAsia"/>
          <w:sz w:val="32"/>
          <w:szCs w:val="32"/>
        </w:rPr>
        <w:t>明定「非供自用，購買運輸、遊樂票券而轉售圖利者</w:t>
      </w:r>
      <w:r>
        <w:rPr>
          <w:rFonts w:ascii="標楷體" w:eastAsia="標楷體" w:hAnsi="標楷體" w:hint="eastAsia"/>
          <w:sz w:val="32"/>
          <w:szCs w:val="32"/>
        </w:rPr>
        <w:t>。</w:t>
      </w:r>
      <w:r w:rsidRPr="00573D4D">
        <w:rPr>
          <w:rFonts w:ascii="標楷體" w:eastAsia="標楷體" w:hAnsi="標楷體" w:hint="eastAsia"/>
          <w:sz w:val="32"/>
          <w:szCs w:val="32"/>
        </w:rPr>
        <w:t>」處三日以下拘留或新臺幣一萬八千元以下罰鍰，然而不僅實際遭裁處者寡，裁罰金額更遠不及黃牛集團之收益。顯見現有的法令有不足之處，需要再作修正。除應加重裁罰金額外，針對實務上的稽查和通報機制，以及黃牛集團涉及不當使用科技搶票的行為，也應該要一併納入規範。爰要求文化部考量現行黃牛亂象，邀集相關部會具體討論未來修法方向，並於</w:t>
      </w:r>
      <w:r w:rsidRPr="00573D4D">
        <w:rPr>
          <w:rFonts w:ascii="標楷體" w:eastAsia="標楷體" w:hAnsi="標楷體"/>
          <w:sz w:val="32"/>
          <w:szCs w:val="32"/>
        </w:rPr>
        <w:t>2</w:t>
      </w:r>
      <w:r w:rsidRPr="00573D4D">
        <w:rPr>
          <w:rFonts w:ascii="標楷體" w:eastAsia="標楷體" w:hAnsi="標楷體" w:hint="eastAsia"/>
          <w:sz w:val="32"/>
          <w:szCs w:val="32"/>
        </w:rPr>
        <w:t>個月內向立法院教育及文化委員會提出書面報告。247</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提案人：王婉諭</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連署人：林宜瑾  張廖萬堅</w:t>
      </w:r>
    </w:p>
    <w:p w:rsidR="00A52DD2" w:rsidRPr="00573D4D" w:rsidRDefault="00A52DD2" w:rsidP="00F035E0">
      <w:pPr>
        <w:overflowPunct w:val="0"/>
        <w:spacing w:line="48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二十三)近期國內演唱會及運動賽事售票屢傳黃牛集團集體掃票，不僅造成票券轉賣價格高漲，更影響到民眾購票及參與藝文活動之意願，對於我國娛樂產業發展顯無益處。對此情形國際間早已有相關應對措施，平台端可透過購票實名制、刪除轉賣座位、會員優先購票、提供檢舉獎勵等方式，來因應相關亂象。對此文化部亦曾表示，會積極推動實名制普及。爰要求文化部考量現行購票亂象，研議相關措施，鼓勵平台端使用購票實名制等機制，以杜絕黃牛購票，並於1個月內向立法院教育及文化委員會提出書面報告。248</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提案人：王婉諭</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連署人：林宜瑾  張廖萬堅</w:t>
      </w:r>
    </w:p>
    <w:p w:rsidR="00A52DD2" w:rsidRPr="00573D4D" w:rsidRDefault="00A52DD2" w:rsidP="00F035E0">
      <w:pPr>
        <w:overflowPunct w:val="0"/>
        <w:spacing w:line="48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(二十四)依據「國家語言發展法」及「推動國家語言整體發展方案」之推動精神，文化部作為臺灣台語相關主管機關，應積</w:t>
      </w:r>
      <w:r w:rsidRPr="00573D4D">
        <w:rPr>
          <w:rFonts w:ascii="標楷體" w:eastAsia="標楷體" w:hAnsi="標楷體" w:hint="eastAsia"/>
          <w:sz w:val="32"/>
          <w:szCs w:val="32"/>
        </w:rPr>
        <w:lastRenderedPageBreak/>
        <w:t>極保障臺灣台語使用者之權益，並研議比照臺灣客語、臺灣原住民語等國家語言，建立完整臺灣台語口譯系統及相關規範，並於重大政策宣導、政見發表等公辦大型活動，提供臺灣台語口譯服務，以保障臺灣台語發展及保存。爰要求文化部研議臺灣台語口譯整體發展措施，並於3個月內向立法院教育及文化委員會提出書面報告。249</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提案人：王婉諭</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連署人：林宜瑾  張廖萬堅</w:t>
      </w:r>
    </w:p>
    <w:p w:rsidR="00A52DD2" w:rsidRPr="00573D4D" w:rsidRDefault="00A52DD2" w:rsidP="00F035E0">
      <w:pPr>
        <w:overflowPunct w:val="0"/>
        <w:spacing w:line="48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二十五)依據「國家語言發展法」立法意旨，文化部應積極推動國家語言創作，以延續國家語言發展及推廣。爰此，文化部應鼓勵臺灣台語幼兒讀冊之創作與發展，並研議是否納入政府「閱讀起步走」相關書單。爰要求文化部針對鼓勵臺灣台語幼兒書籍創作之相關措施進行研議，並於3個月內向立法院教育及文化委員會提出書面報告。250</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提案人：王婉諭</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連署人：林宜瑾  張廖萬堅</w:t>
      </w:r>
    </w:p>
    <w:p w:rsidR="00A52DD2" w:rsidRPr="00573D4D" w:rsidRDefault="00A52DD2" w:rsidP="00F035E0">
      <w:pPr>
        <w:overflowPunct w:val="0"/>
        <w:spacing w:line="48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二十六)行政院公布2020年人口及住宅普查結果顯示，目前臺灣66.3%的民眾在跟他人溝通時，主要使用語言為華語，其次為臺灣台語占31.7%，第三是客語占1.5%，其他語言則都低於1%。為保障及推動臺灣各族群語言，「國家語言發展法」已於107年三讀通過，推動國家語言發展方案，由「家庭」、「學校」、「社會」三方面，從「靜態」、「動態」兩大方向來努力，讓本土語言能被頻繁使用。以年齡層而言，越低年齡層使用臺灣台語作為主要使用語言者占比越小，6至14歲以臺灣台語作為主要使用語言者僅占7.4%，合理推斷學齡前使用臺灣台語作為使用主要語言者應為7.4%以下。學齡前幼兒閱讀重點之一為繪本閱讀。然目前市面華文繪本仍占絕大多數，有學齡前幼兒家庭可選擇之臺灣台語文繪本相當有限，不利國家語言推廣保存。爰此，請文化部就</w:t>
      </w:r>
      <w:r w:rsidRPr="00573D4D">
        <w:rPr>
          <w:rFonts w:ascii="標楷體" w:eastAsia="標楷體" w:hAnsi="標楷體" w:hint="eastAsia"/>
          <w:sz w:val="32"/>
          <w:szCs w:val="32"/>
        </w:rPr>
        <w:lastRenderedPageBreak/>
        <w:t>鼓勵臺灣台語繪本之創作、翻譯（外文繪本翻譯成臺灣台語繪本）、出版，研擬相關要點及鼓勵措施，並提出具體臺灣台語繪本數量目標之進程規劃，</w:t>
      </w:r>
      <w:r>
        <w:rPr>
          <w:rFonts w:ascii="標楷體" w:eastAsia="標楷體" w:hAnsi="標楷體" w:hint="eastAsia"/>
          <w:sz w:val="32"/>
          <w:szCs w:val="32"/>
        </w:rPr>
        <w:t>並</w:t>
      </w:r>
      <w:r w:rsidRPr="00573D4D">
        <w:rPr>
          <w:rFonts w:ascii="標楷體" w:eastAsia="標楷體" w:hAnsi="標楷體" w:hint="eastAsia"/>
          <w:sz w:val="32"/>
          <w:szCs w:val="32"/>
        </w:rPr>
        <w:t>於2個月內向立法院教育及文化委員會提出書面報告。251</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提案人：范  雲</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連署人：賴品妤  吳思瑤</w:t>
      </w:r>
    </w:p>
    <w:p w:rsidR="00A52DD2" w:rsidRPr="00573D4D" w:rsidRDefault="00A52DD2" w:rsidP="00F035E0">
      <w:pPr>
        <w:overflowPunct w:val="0"/>
        <w:spacing w:line="48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(二十七)行政法人國家表演藝術中心國家兩廳院新售票平台「OPENTIX 兩廳院文化生活」，旨在成為藝文團體最有力的售票與行銷後盾，以達支持國內藝文發展之效。然藝文團體持續反應，未能從OPENTIX取得購票觀眾之去識別化背景資料，遑論觀眾圖像之數據分析。兩廳院現有之購票觀眾分析服務，不僅取得程序繁複，可能需額外支付高昂費用，也並無提供原始數據以供團體使用。爰請文化部要求行政法人國家表演藝術中心國家兩廳院OPENTIX平台，改善現有之數據分析服務或直接提供觀眾數據給藝文團體，以符合藝文團體對於售票平台之期待與需求，並於2個月內向立法院教育及文化委員會提出書面報告。252</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提案人：范  雲</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連署人：賴品妤  吳思瑤</w:t>
      </w:r>
    </w:p>
    <w:p w:rsidR="00A52DD2" w:rsidRPr="00573D4D" w:rsidRDefault="00A52DD2" w:rsidP="00F035E0">
      <w:pPr>
        <w:overflowPunct w:val="0"/>
        <w:spacing w:line="48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二十八)有鑑於立法院預算中心評估報告指出，112年度文化部「視覺及表演藝術之策劃與發展」項下「視覺藝術之輔導與推動」中「補助財團法人臺灣美術基金會辦理藝術銀行計畫」預算編列5,291萬6千元，係常態性購入通過審查之我國藝術家作品，並以出租方式租賃作品予政府部門、公私立法人團體或民間企業。根據文化部提供資料，藝術銀行計畫自102年起辦理公開徵件購入作品，作品類別包含水彩、水墨…攝影及其他等13種類，截至111年7月底止累計購入臺灣藝術創作者作品共2,759件，累計總購入金額達2億9,336萬9千元。107至111年7月底作品出租件數依序為839、</w:t>
      </w:r>
      <w:r w:rsidRPr="00573D4D">
        <w:rPr>
          <w:rFonts w:ascii="標楷體" w:eastAsia="標楷體" w:hAnsi="標楷體" w:hint="eastAsia"/>
          <w:sz w:val="32"/>
          <w:szCs w:val="32"/>
        </w:rPr>
        <w:lastRenderedPageBreak/>
        <w:t>964、900、928及919件(詳表1)，然悉108至110年近3年之藝術作品出租件數，卻未隨著作品購藏數量累增而相應提升。文化部自2013年推動藝術銀行計畫起累計購藏臺灣藝術創作者作品持續增加，惟近3 年藝術品出租件數未相應增加，請文化部應加強出租成效，以增進計畫執行績效。253</w:t>
      </w:r>
    </w:p>
    <w:p w:rsidR="00A52DD2" w:rsidRPr="00573D4D" w:rsidRDefault="00641E57" w:rsidP="00F035E0">
      <w:pPr>
        <w:snapToGrid w:val="0"/>
        <w:spacing w:line="480" w:lineRule="exact"/>
        <w:jc w:val="center"/>
        <w:rPr>
          <w:rFonts w:ascii="標楷體" w:eastAsia="標楷體" w:hAnsi="標楷體"/>
          <w:sz w:val="32"/>
          <w:szCs w:val="32"/>
        </w:rPr>
      </w:pPr>
      <w:r>
        <w:rPr>
          <w:noProof/>
        </w:rPr>
        <w:pict>
          <v:shape id="圖片 7" o:spid="_x0000_s1027" type="#_x0000_t75" style="position:absolute;left:0;text-align:left;margin-left:24.25pt;margin-top:32.5pt;width:436.35pt;height:107pt;z-index:251662848;visibility:visible">
            <v:imagedata r:id="rId315" o:title=""/>
            <w10:wrap type="square"/>
          </v:shape>
        </w:pict>
      </w:r>
      <w:r w:rsidR="00A52DD2" w:rsidRPr="00573D4D">
        <w:rPr>
          <w:rFonts w:ascii="標楷體" w:eastAsia="標楷體" w:hAnsi="標楷體" w:hint="eastAsia"/>
          <w:szCs w:val="32"/>
        </w:rPr>
        <w:t>表1：2018年至2021年7月底藝術銀行作品出租情形統計表</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提案人：吳思瑤</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連署人：范  雲  陳秀寳</w:t>
      </w:r>
    </w:p>
    <w:p w:rsidR="00A52DD2" w:rsidRPr="00573D4D" w:rsidRDefault="00A52DD2" w:rsidP="00F035E0">
      <w:pPr>
        <w:overflowPunct w:val="0"/>
        <w:spacing w:line="48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二十九)有鑑於自1971年聯合國大會通過第2758號決議，聯合國體系各專門機構相繼通過「排我納匪案」，以致我難以參與聯合國體系之會議、機制及活動。但隨著全球化的發展，政府間國際組織、多邊機制及其下屬機構是「全球治理」的重要平台，亦是我國拓展國際空間、回饋國際社會，以及發揮軟實力的重要管道。為推動我國加入國際組織體系，根據外交部國際組織司之官方網頁所述，外交部將持續爭取參與聯合國體系相關會議、機制及活動，並積極推動有意義參與「聯合國氣候變化綱要公約」（UNFCCC），以及「國際刑警組織」（INTERPOL），卻未見外交部將聯合國教育、科學及文化組織（UNESCO）納入重點加入單位，實屬可惜。反觀我國受制於國際政治局勢之現實條件，以致無法成為聯合國會員國，故無法簽署「保護世界文化及自然遺產保護公約」（</w:t>
      </w:r>
      <w:r w:rsidRPr="00573D4D">
        <w:rPr>
          <w:rFonts w:ascii="標楷體" w:eastAsia="標楷體" w:hAnsi="標楷體" w:hint="eastAsia"/>
          <w:w w:val="90"/>
          <w:sz w:val="32"/>
          <w:szCs w:val="32"/>
        </w:rPr>
        <w:t>Convention Concerning the Protection of the World Cultural and Natural Heritage</w:t>
      </w:r>
      <w:r w:rsidRPr="00573D4D">
        <w:rPr>
          <w:rFonts w:ascii="標楷體" w:eastAsia="標楷體" w:hAnsi="標楷體" w:hint="eastAsia"/>
          <w:sz w:val="32"/>
          <w:szCs w:val="32"/>
        </w:rPr>
        <w:t>，簡稱「世界遺產公約」）或「保護非物質文化遺產公約」</w:t>
      </w:r>
      <w:r w:rsidRPr="00573D4D">
        <w:rPr>
          <w:rFonts w:ascii="標楷體" w:eastAsia="標楷體" w:hAnsi="標楷體" w:hint="eastAsia"/>
          <w:w w:val="80"/>
          <w:sz w:val="32"/>
          <w:szCs w:val="32"/>
        </w:rPr>
        <w:t xml:space="preserve">（Convention for the Safeguarding of the </w:t>
      </w:r>
      <w:r w:rsidRPr="00573D4D">
        <w:rPr>
          <w:rFonts w:ascii="標楷體" w:eastAsia="標楷體" w:hAnsi="標楷體" w:hint="eastAsia"/>
          <w:w w:val="80"/>
          <w:sz w:val="32"/>
          <w:szCs w:val="32"/>
        </w:rPr>
        <w:lastRenderedPageBreak/>
        <w:t>Intangible Cultural Heritage</w:t>
      </w:r>
      <w:r w:rsidRPr="00573D4D">
        <w:rPr>
          <w:rFonts w:ascii="標楷體" w:eastAsia="標楷體" w:hAnsi="標楷體" w:hint="eastAsia"/>
          <w:sz w:val="32"/>
          <w:szCs w:val="32"/>
        </w:rPr>
        <w:t>，簡稱「非物質遺產公約」）等相關重要文化協議，更不具備向聯合國教育、科學及文化組織(UNESCO)提出申請之必要條件，然我國作為地球村之一員，無法自外於國際社會，允宜開拓我國在文化領域中更廣闊之生存與發展空間。基於積極參與政府間國際組織、多邊機制及其下屬機構的會議、活動及機制，爭取及維護國家利益，乃為我國政府重要之工作目標，請文化部應積極與外交部協調，以參照推動加入世界衛生組織之模式，爭取將參與聯合國教育、科學及文化組織（UNESCO）列為重點推動方向，俾利擴大我國文化影響力、善用國際資源以保存我國文化資產。254</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提案人：吳思瑤</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連署人：范  雲  陳秀寳</w:t>
      </w:r>
    </w:p>
    <w:p w:rsidR="00A52DD2" w:rsidRPr="00573D4D" w:rsidRDefault="00A52DD2" w:rsidP="00F035E0">
      <w:pPr>
        <w:overflowPunct w:val="0"/>
        <w:spacing w:line="48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三十)文化部主管政府捐助成立之財團法人計有：財團法人國家文化藝術基金會、財團法人文化臺灣基金會、財團法人中華民國電影事業發展基金會…等11家，112年度文化部編列捐助9家財團法人經費計29億4,594萬4千元，且捐助之委辦及補捐助占總收入比率超逾五成計9家</w:t>
      </w:r>
      <w:r>
        <w:rPr>
          <w:rFonts w:ascii="標楷體" w:eastAsia="標楷體" w:hAnsi="標楷體" w:hint="eastAsia"/>
          <w:sz w:val="32"/>
          <w:szCs w:val="32"/>
        </w:rPr>
        <w:t>。</w:t>
      </w:r>
      <w:r w:rsidRPr="00573D4D">
        <w:rPr>
          <w:rFonts w:ascii="標楷體" w:eastAsia="標楷體" w:hAnsi="標楷體" w:hint="eastAsia"/>
          <w:sz w:val="32"/>
          <w:szCs w:val="32"/>
        </w:rPr>
        <w:t>其中財團法人文化臺灣基金會、財團法人臺灣美術基金會、財團法人臺灣生活美學基金會、財團法人臺灣博物館文教基金會等4家達九成以上；財團法人公共電視文化事業基金會及財團法人中央廣播電臺等2家為八成以上，顯見文化部主管財團法人多數對文化部財源依賴度頗深。另各財團法人中決算賸餘者計7家，倘扣除政府委辦及補捐助收入轉為短絀者計有財團法人文化臺灣基金會、財團法人中央通訊社、財團法人臺灣生活美學基金會、財團法人臺灣博物館文教基金會及財團法人蒙藏基金會等5家，依靠自籌收入可有決算賸餘者僅2家</w:t>
      </w:r>
      <w:r>
        <w:rPr>
          <w:rFonts w:ascii="標楷體" w:eastAsia="標楷體" w:hAnsi="標楷體" w:hint="eastAsia"/>
          <w:sz w:val="32"/>
          <w:szCs w:val="32"/>
        </w:rPr>
        <w:t>。</w:t>
      </w:r>
      <w:r w:rsidRPr="00573D4D">
        <w:rPr>
          <w:rFonts w:ascii="標楷體" w:eastAsia="標楷體" w:hAnsi="標楷體" w:hint="eastAsia"/>
          <w:sz w:val="32"/>
          <w:szCs w:val="32"/>
        </w:rPr>
        <w:t>111及112年度預計收支平衡分別為5及3家，預計短絀者均為4家，其中財團法人公共電視文化事業基金會、財團法人中</w:t>
      </w:r>
      <w:r w:rsidRPr="00573D4D">
        <w:rPr>
          <w:rFonts w:ascii="標楷體" w:eastAsia="標楷體" w:hAnsi="標楷體" w:hint="eastAsia"/>
          <w:sz w:val="32"/>
          <w:szCs w:val="32"/>
        </w:rPr>
        <w:lastRenderedPageBreak/>
        <w:t>央廣播電臺及財團法人中華民國電影事業發展基金會等3家連年短絀，綜觀文化部所捐助之財團法人財務狀況，多數營運績效仍有持續提升空間。綜上，文化部允宜督促所轄財團法人廣拓財源，提升自籌能力，改善營運績效，並於1個月內向立法院教育及文化委員會提出書面報告。255</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提案人：黃國書</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連署人：林宜瑾  鄭正鈐</w:t>
      </w:r>
    </w:p>
    <w:p w:rsidR="00A52DD2" w:rsidRPr="00573D4D" w:rsidRDefault="00A52DD2" w:rsidP="00F035E0">
      <w:pPr>
        <w:overflowPunct w:val="0"/>
        <w:spacing w:line="48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三十一)行政院自109年度預算起全面實施性別預算制度，且為瞭解性別預算執行情形，以及回應2030年聯合國有關性別平等目標，自110年起推動上一年度性別預算執行情形填報作業，以及由行政院撰擬性別預算編列及執行情形之整體分析報告，並公開於行政院性別平等會網站性別預算專區供社會大眾參閱。文化部雖已於官網揭露性別統計資訊及辦理各項性別議題達成預計目標之成果報告，惟由官網及預算書尚難窺性別平等推動之資源投入與執行情形，應當完善性別平等資訊公開機制，以達成性別平等之目標。綜上，文化部宜依中央政府總預算編製規定辦理性別預算事宜。256</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提案人：黃國書</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連署人：林宜瑾  鄭正鈐</w:t>
      </w:r>
    </w:p>
    <w:p w:rsidR="00A52DD2" w:rsidRPr="00573D4D" w:rsidRDefault="00A52DD2" w:rsidP="00F035E0">
      <w:pPr>
        <w:overflowPunct w:val="0"/>
        <w:spacing w:line="48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三十二)111年12月司法院大法官釋字813號解釋認定現行「文化資產保存法」將他人的土地或建築物指定為歷史建築或古蹟後，沒有提供金錢或其他適當方式給予土地所有人作為補償，不符合「憲法」第15條保障人民財產權之意旨。且民眾所有之土地或建築遭指定成古蹟後，民眾對於建物或土地無法利用恐會選擇毀損古蹟，台灣自99年以來約有86座古蹟遭遇火災，有157座古蹟遭到破壞或拆毀，如何提供指定文資後充足之補償措施對於文資保護至關重要。文化部目前規劃以容積移轉、稅賦減免或協調其他機關、法人、個人等來購買古蹟或歷史建築，若無人購買則由文化部自行價購文資</w:t>
      </w:r>
      <w:r w:rsidRPr="00573D4D">
        <w:rPr>
          <w:rFonts w:ascii="標楷體" w:eastAsia="標楷體" w:hAnsi="標楷體" w:hint="eastAsia"/>
          <w:sz w:val="32"/>
          <w:szCs w:val="32"/>
        </w:rPr>
        <w:lastRenderedPageBreak/>
        <w:t>作為現行違憲之解決方案</w:t>
      </w:r>
      <w:r>
        <w:rPr>
          <w:rFonts w:ascii="標楷體" w:eastAsia="標楷體" w:hAnsi="標楷體" w:hint="eastAsia"/>
          <w:sz w:val="32"/>
          <w:szCs w:val="32"/>
        </w:rPr>
        <w:t>。</w:t>
      </w:r>
      <w:r w:rsidRPr="00573D4D">
        <w:rPr>
          <w:rFonts w:ascii="標楷體" w:eastAsia="標楷體" w:hAnsi="標楷體" w:hint="eastAsia"/>
          <w:sz w:val="32"/>
          <w:szCs w:val="32"/>
        </w:rPr>
        <w:t>然我國中央政府編列文化資產管理維護與活化再利用的經費從104年到111年增加了近3倍，共計38億元，文化資產對於政府已然是沉重之負擔，若未來推行文資價購制度，文化部更需拓展財源。</w:t>
      </w:r>
    </w:p>
    <w:p w:rsidR="00A52DD2" w:rsidRPr="00573D4D" w:rsidRDefault="00641E57" w:rsidP="00F035E0">
      <w:pPr>
        <w:overflowPunct w:val="0"/>
        <w:spacing w:line="480" w:lineRule="exact"/>
        <w:ind w:leftChars="150" w:left="840" w:hangingChars="200" w:hanging="480"/>
        <w:jc w:val="both"/>
        <w:rPr>
          <w:rFonts w:ascii="標楷體" w:eastAsia="標楷體" w:hAnsi="標楷體"/>
          <w:sz w:val="32"/>
          <w:szCs w:val="32"/>
        </w:rPr>
      </w:pPr>
      <w:r>
        <w:rPr>
          <w:noProof/>
        </w:rPr>
        <w:pict>
          <v:shape id="圖片 1" o:spid="_x0000_s1028" type="#_x0000_t75" style="position:absolute;left:0;text-align:left;margin-left:45.2pt;margin-top:17.6pt;width:432.35pt;height:143.25pt;z-index:251663872;visibility:visible">
            <v:imagedata r:id="rId316" o:title=""/>
            <w10:wrap type="square"/>
          </v:shape>
        </w:pict>
      </w:r>
    </w:p>
    <w:p w:rsidR="00A52DD2" w:rsidRPr="00573D4D" w:rsidRDefault="00A52DD2" w:rsidP="00F035E0">
      <w:pPr>
        <w:overflowPunct w:val="0"/>
        <w:spacing w:line="480" w:lineRule="exact"/>
        <w:ind w:leftChars="150" w:left="1000" w:hangingChars="200" w:hanging="640"/>
        <w:jc w:val="both"/>
        <w:rPr>
          <w:rFonts w:ascii="標楷體" w:eastAsia="標楷體" w:hAnsi="標楷體"/>
          <w:sz w:val="32"/>
          <w:szCs w:val="32"/>
        </w:rPr>
      </w:pPr>
    </w:p>
    <w:p w:rsidR="00A52DD2" w:rsidRPr="00573D4D" w:rsidRDefault="00A52DD2" w:rsidP="00F035E0">
      <w:pPr>
        <w:overflowPunct w:val="0"/>
        <w:spacing w:line="480" w:lineRule="exact"/>
        <w:ind w:leftChars="150" w:left="1000" w:hangingChars="200" w:hanging="640"/>
        <w:jc w:val="both"/>
        <w:rPr>
          <w:rFonts w:ascii="標楷體" w:eastAsia="標楷體" w:hAnsi="標楷體"/>
          <w:sz w:val="32"/>
          <w:szCs w:val="32"/>
        </w:rPr>
      </w:pPr>
    </w:p>
    <w:p w:rsidR="00A52DD2" w:rsidRPr="00573D4D" w:rsidRDefault="00A52DD2" w:rsidP="00F035E0">
      <w:pPr>
        <w:overflowPunct w:val="0"/>
        <w:spacing w:line="480" w:lineRule="exact"/>
        <w:ind w:leftChars="150" w:left="1000" w:hangingChars="200" w:hanging="640"/>
        <w:jc w:val="both"/>
        <w:rPr>
          <w:rFonts w:ascii="標楷體" w:eastAsia="標楷體" w:hAnsi="標楷體"/>
          <w:sz w:val="32"/>
          <w:szCs w:val="32"/>
        </w:rPr>
      </w:pPr>
    </w:p>
    <w:p w:rsidR="00A52DD2" w:rsidRPr="00573D4D" w:rsidRDefault="00A52DD2" w:rsidP="00F035E0">
      <w:pPr>
        <w:overflowPunct w:val="0"/>
        <w:spacing w:line="480" w:lineRule="exact"/>
        <w:ind w:leftChars="150" w:left="1000" w:hangingChars="200" w:hanging="640"/>
        <w:jc w:val="both"/>
        <w:rPr>
          <w:rFonts w:ascii="標楷體" w:eastAsia="標楷體" w:hAnsi="標楷體"/>
          <w:sz w:val="32"/>
          <w:szCs w:val="32"/>
        </w:rPr>
      </w:pPr>
    </w:p>
    <w:p w:rsidR="00A52DD2" w:rsidRPr="00573D4D" w:rsidRDefault="00A52DD2" w:rsidP="00F035E0">
      <w:pPr>
        <w:overflowPunct w:val="0"/>
        <w:spacing w:line="480" w:lineRule="exact"/>
        <w:ind w:leftChars="150" w:left="1000" w:hangingChars="200" w:hanging="640"/>
        <w:jc w:val="both"/>
        <w:rPr>
          <w:rFonts w:ascii="標楷體" w:eastAsia="標楷體" w:hAnsi="標楷體"/>
          <w:sz w:val="32"/>
          <w:szCs w:val="32"/>
        </w:rPr>
      </w:pPr>
    </w:p>
    <w:p w:rsidR="00A52DD2" w:rsidRPr="00573D4D" w:rsidRDefault="00A52DD2" w:rsidP="00F035E0">
      <w:pPr>
        <w:overflowPunct w:val="0"/>
        <w:spacing w:line="48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 xml:space="preserve">        </w:t>
      </w:r>
      <w:r w:rsidRPr="00573D4D">
        <w:rPr>
          <w:rFonts w:ascii="標楷體" w:eastAsia="標楷體" w:hAnsi="標楷體"/>
          <w:sz w:val="32"/>
          <w:szCs w:val="32"/>
        </w:rPr>
        <w:t xml:space="preserve">    </w:t>
      </w:r>
    </w:p>
    <w:p w:rsidR="00A52DD2" w:rsidRPr="00573D4D" w:rsidRDefault="00A52DD2" w:rsidP="00F035E0">
      <w:pPr>
        <w:overflowPunct w:val="0"/>
        <w:spacing w:line="480" w:lineRule="exact"/>
        <w:ind w:leftChars="350" w:left="840" w:firstLineChars="200" w:firstLine="640"/>
        <w:jc w:val="both"/>
        <w:rPr>
          <w:rFonts w:ascii="標楷體" w:eastAsia="標楷體" w:hAnsi="標楷體"/>
          <w:sz w:val="32"/>
          <w:szCs w:val="32"/>
        </w:rPr>
      </w:pPr>
      <w:r w:rsidRPr="00573D4D">
        <w:rPr>
          <w:rFonts w:ascii="標楷體" w:eastAsia="標楷體" w:hAnsi="標楷體" w:hint="eastAsia"/>
          <w:sz w:val="32"/>
          <w:szCs w:val="32"/>
        </w:rPr>
        <w:t>法國總統於107年2月設置「文化遺產樂透」，透過發行彩券與刮刮樂，為古蹟、歷史建物、文物籌湊到2</w:t>
      </w:r>
      <w:r w:rsidRPr="00573D4D">
        <w:rPr>
          <w:rFonts w:ascii="標楷體" w:eastAsia="標楷體" w:hAnsi="標楷體"/>
          <w:sz w:val="32"/>
          <w:szCs w:val="32"/>
        </w:rPr>
        <w:t>,</w:t>
      </w:r>
      <w:r w:rsidRPr="00573D4D">
        <w:rPr>
          <w:rFonts w:ascii="標楷體" w:eastAsia="標楷體" w:hAnsi="標楷體" w:hint="eastAsia"/>
          <w:sz w:val="32"/>
          <w:szCs w:val="32"/>
        </w:rPr>
        <w:t>200萬歐元之經費</w:t>
      </w:r>
      <w:r>
        <w:rPr>
          <w:rFonts w:ascii="標楷體" w:eastAsia="標楷體" w:hAnsi="標楷體" w:hint="eastAsia"/>
          <w:sz w:val="32"/>
          <w:szCs w:val="32"/>
        </w:rPr>
        <w:t>。</w:t>
      </w:r>
      <w:r w:rsidRPr="00573D4D">
        <w:rPr>
          <w:rFonts w:ascii="標楷體" w:eastAsia="標楷體" w:hAnsi="標楷體" w:hint="eastAsia"/>
          <w:sz w:val="32"/>
          <w:szCs w:val="32"/>
        </w:rPr>
        <w:t>文化部應借鑑他國之經驗，研議我國推行文化遺產樂透之可行性，為古蹟維管增募經費，並於</w:t>
      </w:r>
      <w:r w:rsidRPr="00573D4D">
        <w:rPr>
          <w:rFonts w:ascii="標楷體" w:eastAsia="標楷體" w:hAnsi="標楷體"/>
          <w:sz w:val="32"/>
          <w:szCs w:val="32"/>
        </w:rPr>
        <w:t>6</w:t>
      </w:r>
      <w:r w:rsidRPr="00573D4D">
        <w:rPr>
          <w:rFonts w:ascii="標楷體" w:eastAsia="標楷體" w:hAnsi="標楷體" w:hint="eastAsia"/>
          <w:sz w:val="32"/>
          <w:szCs w:val="32"/>
        </w:rPr>
        <w:t>個月內向立法院教育及文化委員會提出書面報告。257</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提案人：黃國書</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連署人：萬美玲  何欣純</w:t>
      </w:r>
    </w:p>
    <w:p w:rsidR="00A52DD2" w:rsidRPr="00573D4D" w:rsidRDefault="00A52DD2" w:rsidP="00F035E0">
      <w:pPr>
        <w:overflowPunct w:val="0"/>
        <w:spacing w:line="48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(三十三)文化部欲達到文化平權之目標，針對參與藝文活動意願較高，卻無充裕可支配所得之青年族群發放文化禮金，參考法國的「Culture Pass」政策，預計於112年3月針對每位當年滿18歲之青年發放1</w:t>
      </w:r>
      <w:r w:rsidRPr="00573D4D">
        <w:rPr>
          <w:rFonts w:ascii="標楷體" w:eastAsia="標楷體" w:hAnsi="標楷體"/>
          <w:sz w:val="32"/>
          <w:szCs w:val="32"/>
        </w:rPr>
        <w:t>,</w:t>
      </w:r>
      <w:r w:rsidRPr="00573D4D">
        <w:rPr>
          <w:rFonts w:ascii="標楷體" w:eastAsia="標楷體" w:hAnsi="標楷體" w:hint="eastAsia"/>
          <w:sz w:val="32"/>
          <w:szCs w:val="32"/>
        </w:rPr>
        <w:t>200元。然媒體曾報導法國發現有75%的「Culture Pass」禮金被拿去書店消費，其中消費品項大約有三分之二是漫畫。台灣過去所發行的藝FUN券亦有相類似之現象，審計部決算報告中提及藝FUN券的消費有高達六成四在書店、樂器行，近二成是電影院，有將近八成五都集中在特定行業，其他藝文表演或藝文設計商品消費之比例皆不到一成，若無相關引導措施，對於年輕人接觸藝文活動的美意恐大打折扣。</w:t>
      </w:r>
    </w:p>
    <w:p w:rsidR="00A52DD2" w:rsidRPr="00573D4D" w:rsidRDefault="00641E57" w:rsidP="00F035E0">
      <w:pPr>
        <w:overflowPunct w:val="0"/>
        <w:spacing w:line="480" w:lineRule="exact"/>
        <w:ind w:leftChars="150" w:left="840" w:hangingChars="200" w:hanging="480"/>
        <w:jc w:val="both"/>
        <w:rPr>
          <w:rFonts w:ascii="標楷體" w:eastAsia="標楷體" w:hAnsi="標楷體"/>
          <w:sz w:val="32"/>
          <w:szCs w:val="32"/>
        </w:rPr>
      </w:pPr>
      <w:r>
        <w:rPr>
          <w:noProof/>
        </w:rPr>
        <w:lastRenderedPageBreak/>
        <w:pict>
          <v:shape id="圖片 2" o:spid="_x0000_s1029" type="#_x0000_t75" style="position:absolute;left:0;text-align:left;margin-left:135.9pt;margin-top:3.15pt;width:219.15pt;height:167.15pt;z-index:251664896;visibility:visible">
            <v:imagedata r:id="rId317" o:title=""/>
            <w10:wrap type="square"/>
          </v:shape>
        </w:pict>
      </w:r>
    </w:p>
    <w:p w:rsidR="00A52DD2" w:rsidRPr="00573D4D" w:rsidRDefault="00A52DD2" w:rsidP="00F035E0">
      <w:pPr>
        <w:overflowPunct w:val="0"/>
        <w:spacing w:line="480" w:lineRule="exact"/>
        <w:ind w:leftChars="150" w:left="1000" w:hangingChars="200" w:hanging="640"/>
        <w:jc w:val="both"/>
        <w:rPr>
          <w:rFonts w:ascii="標楷體" w:eastAsia="標楷體" w:hAnsi="標楷體"/>
          <w:sz w:val="32"/>
          <w:szCs w:val="32"/>
        </w:rPr>
      </w:pPr>
    </w:p>
    <w:p w:rsidR="00A52DD2" w:rsidRPr="00573D4D" w:rsidRDefault="00A52DD2" w:rsidP="00F035E0">
      <w:pPr>
        <w:overflowPunct w:val="0"/>
        <w:spacing w:line="480" w:lineRule="exact"/>
        <w:ind w:leftChars="1250" w:left="3000"/>
        <w:jc w:val="both"/>
        <w:rPr>
          <w:rFonts w:ascii="標楷體" w:eastAsia="標楷體" w:hAnsi="標楷體"/>
          <w:sz w:val="32"/>
          <w:szCs w:val="32"/>
        </w:rPr>
      </w:pPr>
    </w:p>
    <w:p w:rsidR="00A52DD2" w:rsidRPr="00573D4D" w:rsidRDefault="00A52DD2" w:rsidP="00F035E0">
      <w:pPr>
        <w:overflowPunct w:val="0"/>
        <w:spacing w:line="480" w:lineRule="exact"/>
        <w:ind w:leftChars="1250" w:left="3000"/>
        <w:jc w:val="both"/>
        <w:rPr>
          <w:rFonts w:ascii="標楷體" w:eastAsia="標楷體" w:hAnsi="標楷體"/>
          <w:sz w:val="32"/>
          <w:szCs w:val="32"/>
        </w:rPr>
      </w:pPr>
    </w:p>
    <w:p w:rsidR="00A52DD2" w:rsidRPr="00573D4D" w:rsidRDefault="00A52DD2" w:rsidP="00F035E0">
      <w:pPr>
        <w:overflowPunct w:val="0"/>
        <w:spacing w:line="480" w:lineRule="exact"/>
        <w:ind w:leftChars="1250" w:left="3000"/>
        <w:jc w:val="both"/>
        <w:rPr>
          <w:rFonts w:ascii="標楷體" w:eastAsia="標楷體" w:hAnsi="標楷體"/>
          <w:sz w:val="32"/>
          <w:szCs w:val="32"/>
        </w:rPr>
      </w:pPr>
    </w:p>
    <w:p w:rsidR="00A52DD2" w:rsidRPr="00573D4D" w:rsidRDefault="00A52DD2" w:rsidP="00F035E0">
      <w:pPr>
        <w:overflowPunct w:val="0"/>
        <w:spacing w:line="480" w:lineRule="exact"/>
        <w:ind w:leftChars="1250" w:left="3000"/>
        <w:jc w:val="both"/>
        <w:rPr>
          <w:rFonts w:ascii="標楷體" w:eastAsia="標楷體" w:hAnsi="標楷體"/>
          <w:sz w:val="32"/>
          <w:szCs w:val="32"/>
        </w:rPr>
      </w:pPr>
    </w:p>
    <w:p w:rsidR="00A52DD2" w:rsidRPr="00573D4D" w:rsidRDefault="00A52DD2" w:rsidP="00F035E0">
      <w:pPr>
        <w:overflowPunct w:val="0"/>
        <w:spacing w:line="480" w:lineRule="exact"/>
        <w:ind w:leftChars="1250" w:left="3000"/>
        <w:jc w:val="both"/>
        <w:rPr>
          <w:rFonts w:ascii="標楷體" w:eastAsia="標楷體" w:hAnsi="標楷體"/>
          <w:sz w:val="32"/>
          <w:szCs w:val="32"/>
        </w:rPr>
      </w:pPr>
    </w:p>
    <w:p w:rsidR="00A52DD2" w:rsidRPr="00573D4D" w:rsidRDefault="00A52DD2" w:rsidP="00F035E0">
      <w:pPr>
        <w:overflowPunct w:val="0"/>
        <w:spacing w:line="48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 xml:space="preserve">        法國「Culture Pass」政策設定青年對特定產業類別消費金額上限，並且限定是法國本地的產業，將青年適當引導到本土且多元之藝文活動或產業，文化部亦應研議文化禮金之消費引導措施，並於</w:t>
      </w:r>
      <w:r w:rsidRPr="00573D4D">
        <w:rPr>
          <w:rFonts w:ascii="標楷體" w:eastAsia="標楷體" w:hAnsi="標楷體"/>
          <w:sz w:val="32"/>
          <w:szCs w:val="32"/>
        </w:rPr>
        <w:t>3</w:t>
      </w:r>
      <w:r w:rsidRPr="00573D4D">
        <w:rPr>
          <w:rFonts w:ascii="標楷體" w:eastAsia="標楷體" w:hAnsi="標楷體" w:hint="eastAsia"/>
          <w:sz w:val="32"/>
          <w:szCs w:val="32"/>
        </w:rPr>
        <w:t>個月內向立法院教育及文化委員會提出書面報告。258</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提案人：黃國書</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連署人：萬美玲  何欣純</w:t>
      </w:r>
    </w:p>
    <w:p w:rsidR="00A52DD2" w:rsidRPr="00573D4D" w:rsidRDefault="00A52DD2" w:rsidP="00F035E0">
      <w:pPr>
        <w:overflowPunct w:val="0"/>
        <w:spacing w:line="480" w:lineRule="exact"/>
        <w:ind w:leftChars="150" w:left="1000" w:hangingChars="200" w:hanging="640"/>
        <w:jc w:val="both"/>
        <w:rPr>
          <w:rFonts w:ascii="標楷體" w:eastAsia="標楷體" w:hAnsi="標楷體"/>
          <w:sz w:val="32"/>
          <w:szCs w:val="32"/>
        </w:rPr>
      </w:pPr>
      <w:r w:rsidRPr="00573D4D">
        <w:rPr>
          <w:rFonts w:ascii="標楷體" w:eastAsia="標楷體" w:hAnsi="標楷體"/>
          <w:sz w:val="32"/>
          <w:szCs w:val="32"/>
        </w:rPr>
        <w:t>(</w:t>
      </w:r>
      <w:r w:rsidRPr="00573D4D">
        <w:rPr>
          <w:rFonts w:ascii="標楷體" w:eastAsia="標楷體" w:hAnsi="標楷體" w:hint="eastAsia"/>
          <w:sz w:val="32"/>
          <w:szCs w:val="32"/>
        </w:rPr>
        <w:t>三十四</w:t>
      </w:r>
      <w:r w:rsidRPr="00573D4D">
        <w:rPr>
          <w:rFonts w:ascii="標楷體" w:eastAsia="標楷體" w:hAnsi="標楷體"/>
          <w:sz w:val="32"/>
          <w:szCs w:val="32"/>
        </w:rPr>
        <w:t>)</w:t>
      </w:r>
      <w:r w:rsidRPr="00573D4D">
        <w:rPr>
          <w:rFonts w:ascii="標楷體" w:eastAsia="標楷體" w:hAnsi="標楷體" w:hint="eastAsia"/>
          <w:sz w:val="32"/>
          <w:szCs w:val="32"/>
        </w:rPr>
        <w:t>112年度文化部及所屬辦理推動「國家語言整體發展方案」，所需經費18億6,000萬元係分散編列於文化部單位預算7項工作計畫，以及影視及流行音樂產業局、文化資產局與國立傳統藝術中心等3家文化部所屬單位預算6項工作計畫，且預算未揭露係辦理推動國家語言整體發展方案，衡酌該方案為國家重大政策，文化部允宜彙整揭露各機關編列整體國家語言整體發展方案預算明細，俾利瞭解該方案預算全貌。259</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提案人：賴品妤</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連署人：吳思瑤  陳秀寳</w:t>
      </w:r>
    </w:p>
    <w:p w:rsidR="00A52DD2" w:rsidRPr="00573D4D" w:rsidRDefault="00A52DD2" w:rsidP="00F035E0">
      <w:pPr>
        <w:overflowPunct w:val="0"/>
        <w:spacing w:line="48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(三十五</w:t>
      </w:r>
      <w:r w:rsidRPr="00573D4D">
        <w:rPr>
          <w:rFonts w:ascii="標楷體" w:eastAsia="標楷體" w:hAnsi="標楷體"/>
          <w:sz w:val="32"/>
          <w:szCs w:val="32"/>
        </w:rPr>
        <w:t>)</w:t>
      </w:r>
      <w:r w:rsidRPr="00573D4D">
        <w:rPr>
          <w:rFonts w:ascii="標楷體" w:eastAsia="標楷體" w:hAnsi="標楷體" w:hint="eastAsia"/>
          <w:sz w:val="32"/>
          <w:szCs w:val="32"/>
        </w:rPr>
        <w:t>依國際典藏標準，電影片及其相關文物之保存環境，可分為涼藏、冷藏及凍藏。涼藏之溫度為攝氏12度，冷藏為攝氏4度，凍藏為攝氏負10度（相對濕度30至50%），且不同文物之保存，均需依其材質給予不同溫溼度之保存環境。現行行政法人國家電影及視聽文化中心典藏之所有影視及廣播</w:t>
      </w:r>
      <w:r w:rsidRPr="00573D4D">
        <w:rPr>
          <w:rFonts w:ascii="標楷體" w:eastAsia="標楷體" w:hAnsi="標楷體" w:hint="eastAsia"/>
          <w:sz w:val="32"/>
          <w:szCs w:val="32"/>
        </w:rPr>
        <w:lastRenderedPageBreak/>
        <w:t>文物保存空間僅能安裝一般中央空調（最低溫約攝氏20度、相對濕度約50%），未達涼藏、冷藏及凍藏之溫度標準。且因現行保存空間不足，而將保存狀況優劣不齊之文物，存放於同一溫溼度空間，恐致酸腐情形嚴重及保存狀況差之影視及廣播文物影響狀況較佳文物之保存狀態。衡酌該計畫所規劃建置專業典藏庫房，需於118 年底始能完成籌建及進駐，此期間行政法人國家電影及視聽文化中心仍需租賃樹林工業區廠房存放數十萬件我國珍貴影視文化資產，空間分散，且周邊各式工廠林立，現行存放環境溫溼度及安全性皆不盡理想。綜上，112年度文化部新增辦理「影視及流行音樂策劃與發展」項下「籌建影視聽中心二期場館」中「國家電影及視聽文化典藏專業設施改善及博物館建置計畫」，預計專業典藏片庫118年始興建完竣，而文物仍將續存放現行溫溼度及安全性欠佳之環境，允宜研謀改善保存空間，並訂定具體時程積極辦理，以避免文物劣化。260</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提案人：賴品妤</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連署人：吳思瑤  陳秀寳</w:t>
      </w:r>
    </w:p>
    <w:p w:rsidR="00A52DD2" w:rsidRPr="00573D4D" w:rsidRDefault="00A52DD2" w:rsidP="00F035E0">
      <w:pPr>
        <w:overflowPunct w:val="0"/>
        <w:spacing w:line="48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三十六)行政院自109年度起全面實施性別預算制度，且為瞭解性別預算執行情形，以及回應2030年聯合國永續發展有關性別平等目標5之關切，自110年起推動上一年度性別預算執行情形填報作業，以及由行政院撰擬性別預算編列及執行情形之整體分析報告，公開於行政院性別平等會網站性別預算專區供社會大眾參閱。衡酌行政院公開前揭整體分析報告時間係於總預算經立法院審議後，且未就各機關辦理內容詳盡說明。為利立法院審議及外界瞭解性別平等推動之資源投入與執行情形，文化部允宜於單位預算書及官網揭露性別預算資訊。綜上，文化部已於官網揭露性別統計資訊及辦理各項性別議題已達成預計目標之成果報告，惟由官網及預算書尚難窺性別平等推動之資源投入與執行情形，為利立法院預算</w:t>
      </w:r>
      <w:r w:rsidRPr="00573D4D">
        <w:rPr>
          <w:rFonts w:ascii="標楷體" w:eastAsia="標楷體" w:hAnsi="標楷體" w:hint="eastAsia"/>
          <w:sz w:val="32"/>
          <w:szCs w:val="32"/>
        </w:rPr>
        <w:lastRenderedPageBreak/>
        <w:t>審議及外界監督考核，允宜依中央政府總預算編製</w:t>
      </w:r>
      <w:r>
        <w:rPr>
          <w:rFonts w:ascii="標楷體" w:eastAsia="標楷體" w:hAnsi="標楷體" w:hint="eastAsia"/>
          <w:sz w:val="32"/>
          <w:szCs w:val="32"/>
        </w:rPr>
        <w:t>規定</w:t>
      </w:r>
      <w:r w:rsidRPr="00573D4D">
        <w:rPr>
          <w:rFonts w:ascii="標楷體" w:eastAsia="標楷體" w:hAnsi="標楷體" w:hint="eastAsia"/>
          <w:sz w:val="32"/>
          <w:szCs w:val="32"/>
        </w:rPr>
        <w:t>辦理性別預算事宜。261</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提案人：賴品妤</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連署人：吳思瑤  陳秀寳</w:t>
      </w:r>
    </w:p>
    <w:p w:rsidR="00A52DD2" w:rsidRPr="00573D4D" w:rsidRDefault="00A52DD2" w:rsidP="00F035E0">
      <w:pPr>
        <w:overflowPunct w:val="0"/>
        <w:spacing w:line="48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三十七)依文化部初步調查結果，藝文產業用戶未執行節能減碳工作之原因為節能設備資訊不足及節能專業知識不足分別占25.7及18.6%，合共44.3%，顯示文化產業對淨零排放尚乏瞭解，文化部爰擬蒐集112至114年執行經驗與成果，製作淨零指引手冊。112年度文化部「淨零排放—文化產業減碳科研輔導計畫」，將補助重要活動平台之參(策)展業者、文化展演場域及進入文化展演場域之表演團體(業者)導入節能減碳措施或辦理相關活動者。綜上，112年度文化部新增辦理「淨零排放—文化產業減碳科研輔導計畫」，以建立示範案例</w:t>
      </w:r>
      <w:r>
        <w:rPr>
          <w:rFonts w:ascii="標楷體" w:eastAsia="標楷體" w:hAnsi="標楷體" w:hint="eastAsia"/>
          <w:sz w:val="32"/>
          <w:szCs w:val="32"/>
        </w:rPr>
        <w:t>，</w:t>
      </w:r>
      <w:r w:rsidRPr="00573D4D">
        <w:rPr>
          <w:rFonts w:ascii="標楷體" w:eastAsia="標楷體" w:hAnsi="標楷體" w:hint="eastAsia"/>
          <w:sz w:val="32"/>
          <w:szCs w:val="32"/>
        </w:rPr>
        <w:t>並以技術及資金支援等協助文化產業接軌2050淨零轉型趨勢。衡酌文化產業普遍對淨零排放瞭解不足，為有效引導落實淨零排放措施，允宜先行建立淨零減碳指引，並妥訂補助標準及淨零規範，以收實質減碳之效。262</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提案人：賴品妤</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連署人：吳思瑤  陳秀寳</w:t>
      </w:r>
    </w:p>
    <w:p w:rsidR="00A52DD2" w:rsidRPr="00573D4D" w:rsidRDefault="00A52DD2" w:rsidP="00F035E0">
      <w:pPr>
        <w:overflowPunct w:val="0"/>
        <w:spacing w:line="48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三十八)文化部為鼓勵藝文表演票券售票業者改善現行身心障礙者購買藝文表演票券方式，讓身障者不用再以傳真購票，於111年8月發布補助作業要點「文化部辦理藝文表演票券售票業者優化身心障礙者線上購票系統補助作業要點」，鼓勵售票業者介接文化部建置之身心障礙者藝文活動購票身分認證平台系統，提供線上即時驗證障礙身分功能，讓身障者亦可線上購票。惟查，雖然政府已有補助方案，但目前大部分知名的售票系統卻仍採傳統傳真的方式，文化部美意仍需業者主動申請才能真正改善購票流程，爰此要求文化部應積極向售票業者宣導該政策，並且主動瞭解業者介接文化部該身</w:t>
      </w:r>
      <w:r w:rsidRPr="00573D4D">
        <w:rPr>
          <w:rFonts w:ascii="標楷體" w:eastAsia="標楷體" w:hAnsi="標楷體" w:hint="eastAsia"/>
          <w:sz w:val="32"/>
          <w:szCs w:val="32"/>
        </w:rPr>
        <w:lastRenderedPageBreak/>
        <w:t>分認證平台系統狀況，並向立法院教育及文化委員會就其執行狀況提出書面報告。263</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提案人：張廖萬堅</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連署人：范  雲  黃國書</w:t>
      </w:r>
    </w:p>
    <w:p w:rsidR="00A52DD2" w:rsidRPr="00573D4D" w:rsidRDefault="00A52DD2" w:rsidP="00F035E0">
      <w:pPr>
        <w:overflowPunct w:val="0"/>
        <w:spacing w:line="50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(三十九)112年度財團法人中央廣播電臺之不動產、廠房及設備的帳面金額13億7,236萬9千元，其中土地帳面金額預計8億0</w:t>
      </w:r>
      <w:r w:rsidRPr="00573D4D">
        <w:rPr>
          <w:rFonts w:ascii="標楷體" w:eastAsia="標楷體" w:hAnsi="標楷體"/>
          <w:sz w:val="32"/>
          <w:szCs w:val="32"/>
        </w:rPr>
        <w:t>,</w:t>
      </w:r>
      <w:r w:rsidRPr="00573D4D">
        <w:rPr>
          <w:rFonts w:ascii="標楷體" w:eastAsia="標楷體" w:hAnsi="標楷體" w:hint="eastAsia"/>
          <w:sz w:val="32"/>
          <w:szCs w:val="32"/>
        </w:rPr>
        <w:t>675萬1千元，較111年度預計減少4億8,394萬8千元，係預計將因捐贈取得之鹿港分臺土地歸還財政部國有財產署。關於央廣鹿港分臺，於冷戰時期作為反制中共心戰宣傳之用，由美國協助臺灣貸款與採購機器並在58年10月5日正式開播。分臺占地約35公頃，有護城河、冷卻池、哨亭、南北天線區特殊的自立式四塔定向天線、國內首座室內型變電所，目前雖已功成身退半個世紀，但全地見證冷戰時期臺灣反共心戰宣傳基地的歷史。央廣於107年啟動該分臺土地返還財政部國有財產署程序，同年底彰化縣政府公告為文化景觀，央廣隨後規劃為「臺灣之音廣播園區」，然而目前該分臺機房及宿舍區屋況欠佳、有傾倒之虞，天線區鐵塔鏽蝕嚴重有坍塌風險</w:t>
      </w:r>
      <w:r>
        <w:rPr>
          <w:rFonts w:ascii="標楷體" w:eastAsia="標楷體" w:hAnsi="標楷體" w:hint="eastAsia"/>
          <w:sz w:val="32"/>
          <w:szCs w:val="32"/>
        </w:rPr>
        <w:t>。</w:t>
      </w:r>
      <w:r w:rsidRPr="00573D4D">
        <w:rPr>
          <w:rFonts w:ascii="標楷體" w:eastAsia="標楷體" w:hAnsi="標楷體" w:hint="eastAsia"/>
          <w:sz w:val="32"/>
          <w:szCs w:val="32"/>
        </w:rPr>
        <w:t>爰此要求文化部偕同財團法人中央廣播電臺應積極辦理「臺灣之音廣播園區」之修復建置、土地返還撥用以及相關規劃，使該園區內珍貴的反共播音資料和全國罕見的特殊軍事技術地景能妥善被保存下來。264</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提案人：張廖萬堅</w:t>
      </w:r>
    </w:p>
    <w:p w:rsidR="00A52DD2" w:rsidRPr="00573D4D" w:rsidRDefault="00A52DD2" w:rsidP="00F035E0">
      <w:pPr>
        <w:overflowPunct w:val="0"/>
        <w:spacing w:line="480" w:lineRule="exact"/>
        <w:ind w:leftChars="1250" w:left="3000"/>
        <w:jc w:val="both"/>
        <w:rPr>
          <w:rFonts w:ascii="標楷體" w:eastAsia="標楷體" w:hAnsi="標楷體"/>
          <w:snapToGrid w:val="0"/>
          <w:sz w:val="32"/>
          <w:szCs w:val="32"/>
        </w:rPr>
      </w:pPr>
      <w:r w:rsidRPr="00573D4D">
        <w:rPr>
          <w:rFonts w:ascii="標楷體" w:eastAsia="標楷體" w:hAnsi="標楷體" w:hint="eastAsia"/>
          <w:sz w:val="32"/>
          <w:szCs w:val="32"/>
        </w:rPr>
        <w:t>連署人：范  雲  黃國書</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四十)施工查核制度之目的係藉由各主管機關監督及輔導提升所屬工程品質及進度，是以文化部每年均於「一般行政」項下編列經費辦理公共工程施工查核業務。根據「政府採購法」第4條及第70條規定，對於政府補助辦理之工程亦應查核。而文化部之施工查核範圍，除一般工程之外，尚包括古蹟、</w:t>
      </w:r>
      <w:r w:rsidRPr="00573D4D">
        <w:rPr>
          <w:rFonts w:ascii="標楷體" w:eastAsia="標楷體" w:hAnsi="標楷體" w:hint="eastAsia"/>
          <w:snapToGrid w:val="0"/>
          <w:sz w:val="32"/>
          <w:szCs w:val="32"/>
        </w:rPr>
        <w:lastRenderedPageBreak/>
        <w:t>歷史建築、紀念建築、聚落建築群等文化資產修復工程品質查核。鑑於近日古蹟修護工作引發爭議，例如國定古蹟台南火車站修復卻被修壞，以及鹿港龍山寺彩繪修復卻引發爭議等。綜上，要求文化部應定期公布所屬機關及補助或委託其他機關、法人或團體辦理之古蹟、歷史建築、紀念建築、聚落建築群等文化資產修復工程品質之查核結果，並於3個月內向立法院教育及文化委員會提出台南火車站和鹿港龍山寺彩繪修復案之檢討書面報告。8+54</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提案人：張廖萬堅</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連署人：黃國書  林宜瑾</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四十一)112年度文化部「綜合規劃業務」預算編列2億1,824萬1千元，該經費用於落實「文化基本法」與「文化藝術獎助及促進條例」等相關綜合業務所需。經查，文化部「綜合規劃業務」項下「資訊系統維護暨安全管理」以及「數位科技及文化創新應用研究計畫」等經費，與「數位發展部組織法」第2條明定之「數位科技應用與創新發展環境之建構及人才培育」等執掌事項相類似，文化部應與數位發展部確認其權責分工，避免預算重複編列疊床架屋。綜上所述，爰要求文化部就相關計畫工作內容及效益於1個月內向立法院教育及文化委員會提出書面報告。11</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提案人：萬美玲  林奕華  鄭正鈐</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(四十二)112年度文化部「綜合規劃業務」預算編列2億1</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824萬1千元，係用於辦理跨機關文化施政之協調與推動，結合中央及地方之文化機關力量，促進整體文化施政。110年3月苗栗神仙谷發生影視從業人員溺水事件，由於劇組對拍攝現場勞動安全之疏忽而導致2人溺水不治。為有利勞動檢查機構掌握轄內外景拍攝作業，勞動部職業安全衛生署經與文化部影視及流行音樂產業局研商，於111年5月24日函請各地方縣市政府協拍單位於劇組申請拍攝之後，將外景拍攝作業</w:t>
      </w:r>
      <w:r w:rsidRPr="00573D4D">
        <w:rPr>
          <w:rFonts w:ascii="標楷體" w:eastAsia="標楷體" w:hAnsi="標楷體" w:hint="eastAsia"/>
          <w:snapToGrid w:val="0"/>
          <w:sz w:val="32"/>
          <w:szCs w:val="32"/>
        </w:rPr>
        <w:lastRenderedPageBreak/>
        <w:t>期程及地點提供轄區勞動檢查機構，以利各勞動檢查機構選列轄內較高風險之劇組製片單位，並依期程對外景拍攝之工作場域實施實地檢查。惟111年1至6月，影視協拍單位通報次數有過少之虞。為推動劇組安全維護之落實，請文化部持續強化「勞檢機構」與「協拍單位」間對影視職安的橫向溝通，讓各縣市協拍單位正視影視拍攝職安資訊通報之重要性和必要性，同時增加勞檢機構對影視產業工作性質與內容之瞭解，以兼顧現場拍攝進度與勞檢工作執行，共同打造安全良好的影視從業環境。爰請文化部於3個月內向立法院教育及文化委員會提出書面改善報告。14</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提案人：王婉諭</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連署人：何欣純  范  雲  林宜瑾  黃國書</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(四十三)112 年度文化部「綜合規劃業務」預算編列2億1,824萬1千元，其業務包括辦理跨機關文化施政之協調與推動。鑑於文化部為文化內容產業之主管機關，而今有多起文化內容產業間之商業談判影響公共利益之事件，有待文化部主動跨部會協調。請文化部就：1.藝術工作者職業公會陳情政府機關頒布之稿費基準歷經多年未修正，導致藝術工作者無論是承攬政府工作或承攬民間工作都有越做越低薪問題；2.台語老歌天價版權費以及創作人難尋造成節目製作困難且不利老歌傳唱的惡性循環；</w:t>
      </w:r>
      <w:r w:rsidRPr="00573D4D">
        <w:rPr>
          <w:rFonts w:ascii="標楷體" w:eastAsia="標楷體" w:hAnsi="標楷體"/>
          <w:snapToGrid w:val="0"/>
          <w:sz w:val="32"/>
          <w:szCs w:val="32"/>
        </w:rPr>
        <w:t>3.</w:t>
      </w:r>
      <w:r w:rsidRPr="00573D4D">
        <w:rPr>
          <w:rFonts w:ascii="標楷體" w:eastAsia="標楷體" w:hAnsi="標楷體" w:hint="eastAsia"/>
          <w:snapToGrid w:val="0"/>
          <w:sz w:val="32"/>
          <w:szCs w:val="32"/>
        </w:rPr>
        <w:t>數位平台業者與新聞內容業者之議價等議題，其跨部會協調成果；</w:t>
      </w:r>
      <w:r w:rsidRPr="00573D4D">
        <w:rPr>
          <w:rFonts w:ascii="標楷體" w:eastAsia="標楷體" w:hAnsi="標楷體"/>
          <w:snapToGrid w:val="0"/>
          <w:sz w:val="32"/>
          <w:szCs w:val="32"/>
        </w:rPr>
        <w:t>4.</w:t>
      </w:r>
      <w:r w:rsidRPr="00573D4D">
        <w:rPr>
          <w:rFonts w:ascii="標楷體" w:eastAsia="標楷體" w:hAnsi="標楷體" w:hint="eastAsia"/>
          <w:snapToGrid w:val="0"/>
          <w:sz w:val="32"/>
          <w:szCs w:val="32"/>
        </w:rPr>
        <w:t>遏止黃牛票比照日本制定專法；5.評審裁判費過低問題。請文化部於1個月內向立法院教育及文化委員會提出書面報告。16</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提案人：張廖萬堅</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連署人：黃國書  吳思瑤</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(四十四)112年度文化部「綜合規劃業務」項下「文化發展之評估與推動」預算編列8</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551萬4千元，較111年度增列辦理淨零路徑研析與輔導等經費1</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127萬4千元，然未詳細說明</w:t>
      </w:r>
      <w:r w:rsidRPr="00573D4D">
        <w:rPr>
          <w:rFonts w:ascii="標楷體" w:eastAsia="標楷體" w:hAnsi="標楷體" w:hint="eastAsia"/>
          <w:snapToGrid w:val="0"/>
          <w:sz w:val="32"/>
          <w:szCs w:val="32"/>
        </w:rPr>
        <w:lastRenderedPageBreak/>
        <w:t>預計執行狀況、計畫成果與效益。考量2050淨零轉型為國際趨勢，亦為我國重要政策，惟文化產業類型多樣，鑑於個別產業項目所能投入之資源、面臨之轉型困境，以及所需之專業知識與技能亦各有不同，請文化部積極與業界及學者專家溝通，研擬相關工作事項並確實執行，俾促成產業轉型及接軌國際。19</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提案人：鄭正鈐</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連署人：萬美玲  林奕華</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四十五)有鑑於吳委員思瑤於2021年10月29日質詢行政院蘇院長貞昌所要求設置文化發展基金事宜，文化部業於2022年6月10日獲行政院核復同意，並循112年度預算程序設立文化發展基金。然觀2021年3月所呈報之「文化發展基金設置計畫書草案」，其原始規劃之收入來源及規劃用途共計約58億元，用於「活化公共藝術、壯大公共媒體、強化文化發展」3大面向，但參照112年度文化發展基金之預算書，其預算額約2億5</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000萬元，核心業務先以辦理公共藝術相關計畫，與原先規模差距甚大，恐與缺乏適足財源有密切關係；又查文化部後續擬推「文化基本法」第24條修正條文，以期提供文化發展基金新增適足財源，俾利穩定辦理文化發展及公共媒體等相關事項。基於上開所述，吳委員思瑤業於2022年11月8日質詢行政院蘇院長貞昌，基於文化優先，應協助文化發展基金取得新增適足財源，避免重蹈財政紀律與文化發展法律競合之覆轍，獲得蘇院長貞昌正面允諾，將積極與召集相關機關研商。請文化部應善用文化會報跨部會平台，積極爭取政府預算挹注。23</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提案人：吳思瑤</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連署人：范  雲  林宜瑾</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(四十六)有鑑於文化部李部長永得已於2021年4月16日臺灣文博會之「精緻文化美食論壇」宣示：「盼將來能建立臺灣的</w:t>
      </w:r>
      <w:r w:rsidRPr="00573D4D">
        <w:rPr>
          <w:rFonts w:ascii="標楷體" w:eastAsia="標楷體" w:hAnsi="標楷體" w:hint="eastAsia"/>
          <w:snapToGrid w:val="0"/>
          <w:sz w:val="32"/>
          <w:szCs w:val="32"/>
        </w:rPr>
        <w:lastRenderedPageBreak/>
        <w:t>美食學，作為臺灣文化最重要的大事。」綜觀國際經驗，聯合國教育、科學及文化組織(下簡稱UNESCO)已於2003年公布「保護非物質文化遺產公約」，而在2010年則將法國美食及傳統墨西哥料理列入非物質文化遺產名單，可謂是將飲食文化列入無形文化資產之濫觴</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而在2022年7月1日，由於俄烏戰爭緣故，UNESCO更宣布將烏克蘭的羅宋湯烹調文化納入「需要緊急保護的非物質文化遺產名錄」，目前已有29項飲食文化獲得重視與保存。再者，反觀與我國風土民情相對接近的日本，亦於2013年獲得UNESCO之同意，將和食納入「世界非物質文化遺產名錄」，並進行後續工程，要點如下：</w:t>
      </w:r>
      <w:r w:rsidRPr="00573D4D">
        <w:rPr>
          <w:rFonts w:ascii="標楷體" w:eastAsia="標楷體" w:hAnsi="標楷體"/>
          <w:snapToGrid w:val="0"/>
          <w:sz w:val="32"/>
          <w:szCs w:val="32"/>
        </w:rPr>
        <w:t>1.</w:t>
      </w:r>
      <w:r w:rsidRPr="00573D4D">
        <w:rPr>
          <w:rFonts w:ascii="標楷體" w:eastAsia="標楷體" w:hAnsi="標楷體" w:hint="eastAsia"/>
          <w:snapToGrid w:val="0"/>
          <w:sz w:val="32"/>
          <w:szCs w:val="32"/>
        </w:rPr>
        <w:t>文部科學省善用展覽會、交流會、體驗活動等形式的科普宣傳，並與農林水產省合推「和食</w:t>
      </w:r>
      <w:r w:rsidRPr="00573D4D">
        <w:rPr>
          <w:rFonts w:ascii="標楷體" w:eastAsia="標楷體" w:hAnsi="標楷體" w:hint="eastAsia"/>
          <w:snapToGrid w:val="0"/>
          <w:sz w:val="32"/>
          <w:szCs w:val="32"/>
          <w:lang w:eastAsia="ja-JP"/>
        </w:rPr>
        <w:t>と</w:t>
      </w:r>
      <w:r w:rsidRPr="00573D4D">
        <w:rPr>
          <w:rFonts w:ascii="標楷體" w:eastAsia="標楷體" w:hAnsi="標楷體" w:hint="eastAsia"/>
          <w:snapToGrid w:val="0"/>
          <w:sz w:val="32"/>
          <w:szCs w:val="32"/>
        </w:rPr>
        <w:t>地域食文化繼承推進事業」計畫，透過政策預算引導的方式，促成在地食品生產者和其他領域合作；2.正式將「文化藝術振興基本法」修正為「文化藝術基本法」，特別將「食文化」列入文化振興的項目；3.文化廳於2018年10月正式進行內部的組織調整與員額增加，甚至新增主責擔當「食文化」、「文化觀光」的2位參事官，作為推動振興新課題之主力。綜上所述，為深化我國飲食，請文化部進行以下事項：1.透過「非物質文化遺產」的概念與架構，進行保存並推廣我國傳統飲食文化；2.針對國際如何保存、推廣飲食文化的經驗，進行相關研究。27</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提案人：吳思瑤</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連署人：范  雲  何欣純</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四十七)有鑑於吳委員思瑤於110年10月29日質詢行政院蘇院長貞昌所要求設置文化發展基金事宜，文化部業於111年6月10日獲行政院核復同意，並循112年度預算程序設立文化發展基金。然觀110年3月所呈報之「文化發展基金設置計畫書草案」，其原始規劃之收入來源及規劃用途共計約58億</w:t>
      </w:r>
      <w:r w:rsidRPr="00573D4D">
        <w:rPr>
          <w:rFonts w:ascii="標楷體" w:eastAsia="標楷體" w:hAnsi="標楷體" w:hint="eastAsia"/>
          <w:snapToGrid w:val="0"/>
          <w:sz w:val="32"/>
          <w:szCs w:val="32"/>
        </w:rPr>
        <w:lastRenderedPageBreak/>
        <w:t>元，用於「活化公共藝術、壯大公共媒體、強化文化發展」三大面向，但參照112年度文化發展基金之預算書，其預算額約2億5</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000萬元，核心業務先以辦理公共藝術相關計畫。據悉文化部於2020年曾委託辦理「通訊監理費用納入文化發展基金運用之可行性分析」，盤點該基金可能財源；另於2021年1月14日由文化部召開「文化發展基金財源跨部會協商會議」，邀請財政部、行政院科技會報辦公室、國家通訊傳播委員會、行政院主計總處等單位就該基金可能財源（5G釋照標售金溢價、無線電頻率使用費及OTT-TV平臺課稅或規費）交換意見，前2項財源依根據現行「預算法」、「財政收支劃分法」及「財政紀律法」規定，無法直接撥補挹注基金。基於有關OTT-TV平臺課稅或規費，由於非政府既有收入，仍有可能作為基金財源，惟事涉國家通訊傳播委員會權責，請文化部應積極於國家通訊傳播委員會跨部會合作，允宜借鏡「有線電視廣播法」之精神，協調「網際網路視聽服務管理法草案」新增相關法條，作為課徵法源。29</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提案人：吳思瑤</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連署人：范  雲  林宜瑾</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(四十八)112年度文化部「淨零排放-文化產業減碳科研輔導計畫」業經行政院核定匡列經費8,200萬元，係配合行政院整體作業程序辦理，即 111年3月行政院發布「臺灣 2050淨零排放路徑及策略總說明」，此為文化部首次辦理淨零轉型計畫，內容以示範、推廣為主要方向。鑑於藝文產業有八成以上屬於公益性高之微型企業，對政府節能減碳政策尚屬陌生，改採節能設備亦可能對其造成額外負擔。爰此，請文化部配合服務業節能設備補助方案，在政策上提供一定誘因鼓勵其汰換節能設備，以達政府淨零排放目標。</w:t>
      </w:r>
      <w:r w:rsidRPr="00046A85">
        <w:rPr>
          <w:rFonts w:ascii="標楷體" w:eastAsia="標楷體" w:hAnsi="標楷體" w:hint="eastAsia"/>
          <w:snapToGrid w:val="0"/>
          <w:w w:val="66"/>
          <w:sz w:val="32"/>
          <w:szCs w:val="32"/>
        </w:rPr>
        <w:t>30+65+94+186+205+314</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提案人：張廖萬堅</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連署人：黃國書  林宜瑾</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lastRenderedPageBreak/>
        <w:t>(四十九)112年度文化部「綜合規劃業務」項下「文化活動資訊調查與統計」預算編列2,820萬4千元，該經費用於辦理文化活動相關資訊審核、藝文資料蒐集及運用，以及各縣市文化活動調查統計等業務。經查，未來文化禮金之政策規劃藉由OPENTIX兩廳院文化生活平台施行，惟目前該平台合作廠商數1</w:t>
      </w:r>
      <w:r>
        <w:rPr>
          <w:rFonts w:ascii="標楷體" w:eastAsia="標楷體" w:hAnsi="標楷體"/>
          <w:snapToGrid w:val="0"/>
          <w:sz w:val="32"/>
          <w:szCs w:val="32"/>
        </w:rPr>
        <w:t>,</w:t>
      </w:r>
      <w:r w:rsidRPr="00573D4D">
        <w:rPr>
          <w:rFonts w:ascii="標楷體" w:eastAsia="標楷體" w:hAnsi="標楷體" w:hint="eastAsia"/>
          <w:snapToGrid w:val="0"/>
          <w:sz w:val="32"/>
          <w:szCs w:val="32"/>
        </w:rPr>
        <w:t>443家，與當時藝Fun券合作店家數超過1萬8千家相去甚遠，恐降低文化禮金政策施行之美意，爰請文化部允宜與行政法人國家表演藝術中心國家兩廳院橫向合作及充實文化禮金合作店家數，以利消費使用。31</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提案人：萬美玲</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連署人：林奕華  鄭正鈐</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五十)根據行政院主計總處所公布之「110年家庭收支調查報告」指出，2008年的家庭消費支出、休閒、文化及教育消費、支出占比率分別為70萬5,413元、8萬8,121元、12.49%；2021年的家庭消費支出、休閒、文化及教育消費、支出占比率分別為81萬5,442元、5萬1,718元、6.34%，足顯見2008至2021年之家庭消費支出逐年上升，休閒、文化及教育消費卻逐年下降，並未形成正比。又參照文化統計之「2021年各類文化機構及文化藝術場所參與比例」，其國人之文化藝術機構與設施參與率自2018年概為下降趨勢，近年更受嚴重特殊傳染性肺炎疫情而遽減，以致文化機關場館營運更形挑戰。    綜上所述，為協助藝文產業與場館永續經營，實有賴提升廣大民眾之文化參與率，始能發揮效益。經查依「職工福利金條例」第1條、第2條及第5條及勞動部改制前行政院勞工委員會92年3月24日勞福1字第0920016167號令規定，凡公營、私營之工廠、礦場或平時僱用職工在50人以上之金融機構、公司、行號、農、漁、牧場等之其他企業組織，應依法提撥職工福利金，並設置職工福利委員會，辦理職</w:t>
      </w:r>
      <w:r w:rsidRPr="00573D4D">
        <w:rPr>
          <w:rFonts w:ascii="標楷體" w:eastAsia="標楷體" w:hAnsi="標楷體" w:hint="eastAsia"/>
          <w:snapToGrid w:val="0"/>
          <w:sz w:val="32"/>
          <w:szCs w:val="32"/>
        </w:rPr>
        <w:lastRenderedPageBreak/>
        <w:t>工福利事業；參照勞動部勞動統計年報之職工福利概況統計顯示，我國事業單位設有「職工福利委員會」家數，截至110年底共計1萬5,634家，近5年職工福利金提撥額更有5億2</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882萬6千元至11億4</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474萬5千元不等。上開之職工福利金動之範圍及項目包括：福利輔助、教育獎助、休閒文康育樂及其他福利事業等項目，前項各款動支比率不予限制，請文化部應加強與勞動部跨部會合作，以提升文化參與率。32</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提案人：吳思瑤  林宜瑾</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連署人：范  雲</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五十一)112年度文化部「綜合規劃業務」項下「辦理文化平權推廣」預算編列703萬3千元，該經費用於辦理或輔導地方政府、團體等規劃執行文化平權、文化進用之推廣活動之用。經查，從藝fun券之施行概況可知，不論是參與之藝文商家或者消費於文藝之金額，皆以新北市及臺北市為主，與文化平權要求「在文化資源分配上，應追求有效及均等，使所有人都有均等的機會</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」之意旨相違背。爰請文化部研議相關改善措施。34</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提案人：萬美玲  林奕華  鄭正鈐</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(五十二)根據112年度文化部預算說明</w:t>
      </w:r>
      <w:r>
        <w:rPr>
          <w:rFonts w:ascii="標楷體" w:eastAsia="標楷體" w:hAnsi="標楷體" w:hint="eastAsia"/>
          <w:snapToGrid w:val="0"/>
          <w:sz w:val="32"/>
          <w:szCs w:val="32"/>
        </w:rPr>
        <w:t>計畫</w:t>
      </w:r>
      <w:r w:rsidRPr="00573D4D">
        <w:rPr>
          <w:rFonts w:ascii="標楷體" w:eastAsia="標楷體" w:hAnsi="標楷體" w:hint="eastAsia"/>
          <w:snapToGrid w:val="0"/>
          <w:sz w:val="32"/>
          <w:szCs w:val="32"/>
        </w:rPr>
        <w:t>較111年度減列「辦理文化數據平台系統開發」等預算經費，原因為何?且據了解，111年度該計畫也減列相關項目，若無需執行該項目之必要，應撙節開支調整。爰要求文化部就該計畫工作內容及效益於3個月內向立法院教育及文化委員會提出書面報告。35</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提案人：林奕華</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連署人：黃國書  王婉諭</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(五十三)112年度文化部「綜合規劃業務」項下「文化數據智能</w:t>
      </w:r>
      <w:r w:rsidRPr="00573D4D">
        <w:rPr>
          <w:rFonts w:ascii="標楷體" w:eastAsia="標楷體" w:hAnsi="標楷體" w:hint="eastAsia"/>
          <w:snapToGrid w:val="0"/>
          <w:sz w:val="32"/>
          <w:szCs w:val="32"/>
        </w:rPr>
        <w:lastRenderedPageBreak/>
        <w:t>分析與決策輔助計畫」乃源於透過即時取得藝文活動的觀眾其偏好或反應的資訊，可提供藝文館所或藝文團體瞭解市場潮流變化趨勢，據以規劃內容製作或邀請表演節目內容；亦可提升文化部對藝文表演活動獎補助機制的效益。計畫總經費9,847萬7千元，執行期間自110至114年，110至111年已編列2,150萬1千元，112年度續編752萬4千元。鑑於台灣表演藝術市場已勉強度過疫情期間無戲可演的困境，現疫情已接近尾聲，但表演藝術市場卻正陷入解封後太多節目搶市的窘境，文化部應運用「文化數據智能分析與決策輔助計畫」資源，協助表演藝術團體合法蒐集、分析及運用消費者數據，作為決策及行銷應用參考。36</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提案人：張廖萬堅</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連署人：黃國書  范  雲</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五十四)112年度文化部「綜合規劃業務」項下「數位科技及文化創新應用研究計畫」預算編列600萬元，鑑於106年文化部與科技部共同舉辦「文化科技論壇」，並提出「文化科技施政綱領」，擬以文化帶動科技創新，開展文化未來，創造文化科技、跨域共創共享，與科技跨部會合作</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但經吳委員思瑤所查，文化科技論壇已於109年停辦，而文化科技施政綱領亦未經行政院核定。觀其國際經驗，聯合國教育、科學及文化組織（UNESCO）建議各國著重科學、技術、創新體系，持續強化文化創意與文化多樣性，且透過5個主題來討論數位科技的影嚮力與挑戰，包括「文化近用」、「創意」、「文化產業」、「公眾意識與公民社會參與」、「文化數據與統計」。綜上所述，顯見在UNESCO的文化政策中，資訊科技與傳播模式扮演關鍵角色，新科技有利於文化近用之推動，使少數族群更容易接觸到文化。反觀我國，文化科技的跨部會合作近乎停擺，爰要求文化部儘速規劃辦理下列事項：1.應儘速與國家科學及技術委員會重啟文化科技論壇；2.儘</w:t>
      </w:r>
      <w:r w:rsidRPr="00573D4D">
        <w:rPr>
          <w:rFonts w:ascii="標楷體" w:eastAsia="標楷體" w:hAnsi="標楷體" w:hint="eastAsia"/>
          <w:snapToGrid w:val="0"/>
          <w:sz w:val="32"/>
          <w:szCs w:val="32"/>
        </w:rPr>
        <w:lastRenderedPageBreak/>
        <w:t>速核定文化科技施政綱領；3.請文化部積極提出亮點科技計畫，俾利爭取科技預算，使文化科技成為國科會施政重點要項，以預算引領政策，落實文化科技之核心價值。40</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提案人：吳思瑤</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連署人：范  雲  林宜瑾</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(五十五)文化部所屬博物館受疫情影響，參觀人次銳減，如今疫情已趨緩，文化部允宜積極推廣博物館吸引民眾參觀，並於3個月內向立法院教育及文化委員會提出書面報告。45</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提案人：黃國書  何欣純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五十六)國立故宮博物院曾聯合國內數家博物館發售博物館卡，透過公、私立博物館聯合加入，帶動更多國內外遊客認識了解臺灣各地博物館。由於嚴重特殊傳染性肺炎疫情影響，博物館卡原定到111年6月前要發行5萬張，卻僅發行3千多張，並於110年提早終止。然疫情逐步趨緩，從日本東京之博物館套票經驗觀之，其套票包含46家美術館、39家博物館、3間動物園、1家水族館、6間植物園等，由於其內含的場館豐富，因此獲得好評。請文化部研議博物館卡或博物館套票於臺灣推行之可能性。46</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提案人：黃國書  何欣純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五十七)112年度文化部「社區營造及村落文化發展計畫」總經費21億0,750萬元，執行期間111至116年度。111年度已編列2億8,023萬3千元，112年度續編3億1,023萬3千元，較111年度增加10%。其中「委託辦理提案計畫之輔導培力及成果推廣表揚、強化『臺灣社區通網站』功能」預算編列4,748萬9千元，然而該社區通網站之「社區人才資料庫」關於「在地達人」之專家並無資料，不利在地連結。112年度社區營造預算3億1</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023萬3千元，其中有2億3</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700萬元屬於獎補助費，而「臺灣社區通網站」卻無相關補助統</w:t>
      </w:r>
      <w:r w:rsidRPr="00573D4D">
        <w:rPr>
          <w:rFonts w:ascii="標楷體" w:eastAsia="標楷體" w:hAnsi="標楷體" w:hint="eastAsia"/>
          <w:snapToGrid w:val="0"/>
          <w:sz w:val="32"/>
          <w:szCs w:val="32"/>
        </w:rPr>
        <w:lastRenderedPageBreak/>
        <w:t>計資料，外界難以窺其補助分布。綜上，要求文化部應於3個月內改善，並就其改善情況向立法院教育及文化委員會提出書面報告。47</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提案人：張廖萬堅</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連署人：黃國書  何欣純</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五十八)行政院2017年12月28日發布院臺建字第1060040728號函同意修正之建築物實施耐震評估及補強方案，要求中央機關及直轄市、縣(市)政府應加速執行所轄1999年12月31日以前設計建造之公有建築物，針對耐震能力評估(初評、詳評)、補強(含增、改、修建)或拆除重建工作。根據行政院2022年8月17日行政院召開「中央部會公有建築物耐震能力評估補強辦理進度檢討(第5次)會議」之中央目的事業主管機關估計，其文化部主管之地方博物館、美術館、展覽館有42件之辦理作業需求，其經費預估達7億2</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000萬元，卻未納入前瞻基礎建設計畫第4期辦理</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為確保藝文消費群眾之安全，文化部應研謀精進措施，爭取相關預算，並積極協助地方政府辦理藝文館所之耐震評估、補強或拆除相關作業。53</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提案人：吳思瑤</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連署人：范  雲  林宜瑾</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(五十九)有鑑於俄羅斯在2022年2 月24日入侵烏克蘭，導致俄烏戰爭爆發，國際博物館協會（International Council of Museums，下簡稱ICOM）首日就發出聲明，要求在衝突時期，各界尊重保護遺產和博物館的國際公約；該聲明表示，強烈譴責俄羅斯侵犯烏克蘭領土主權，將持續關注博物館專業人士面臨的危險，以及這場武裝衝突對文化遺產的威脅，並建議成員依據「ICOM博物館道德守則」下的職業義務，以保護、維護和促進遺產，並確保博物館和收藏品受到保護，免</w:t>
      </w:r>
      <w:r w:rsidRPr="00573D4D">
        <w:rPr>
          <w:rFonts w:ascii="標楷體" w:eastAsia="標楷體" w:hAnsi="標楷體" w:hint="eastAsia"/>
          <w:snapToGrid w:val="0"/>
          <w:sz w:val="32"/>
          <w:szCs w:val="32"/>
        </w:rPr>
        <w:lastRenderedPageBreak/>
        <w:t>受各種風險，包括衝突。業於2022年3月15日要求李部長永得，應儘速檢視文化部所轄各館舍文物保全與撤離法規、建立搶救名單、定期進行緊急應變演練，獲得李部長永得正面允諾將積極推動。查文化部已參考「全民防衛動員準備法」、「災害防救法」等相關法規，研擬所屬博物館因應災害及動員準備典藏品保存與搶救指引，明定於平時準備、動員預備、災害中及動員實施、復原四階段之典藏品保存與搶救原則、應行事項與分工，請所屬博物館據以研擬緊急應變計畫與作業流程，並規劃典藏品分級及保存與搶救移藏保存地點。另針對非博物館典藏或保管之私有國寶與重要古物，建立古物災害搶救作業流程，包含緊急避難之保存場所與安全遷移措施等。衡酌我國身處地緣政治的高風險地區，允宜居安思危，借鏡俄烏戰爭經驗，請文化部應於「博物館政策白皮書」納入防災專章，協助博物館健全發展。59</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提案人：吳思瑤</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連署人：黃國書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六十)有鑑於「博物館法」已於2015年完成立法施行，依該法第3條規定：「中央主管機關應擬訂博物館發展政策白皮書，每四年檢討修正，報請行政院核定，做為推動博物館發展之政策依據。」根據2019全國博物館論壇結論，為協助博物館完善體系組織、健全營運發展，應儘速推動博物館司之設立，俾利推動博物館人力、組織更趨合理；且建構充實博物館預算、經費捐贈、募款之機制；應邀集各界組成政策專案小組，共同規劃下一階段博物館政策白皮書，以作為後續「博物館法」修法基礎。據悉文化部已於2021年7月完成「博物館政策白皮書草案」，經2022年1月28日函報行政院，刻正依行政院核復意見增補政策白皮書草案相關內容，迄今尚未獲行政院核定，恐不利於建構博物館發展的公共治理網絡。為建構博物館事業發展體系，協助博物館發展當代使命，</w:t>
      </w:r>
      <w:r w:rsidRPr="00573D4D">
        <w:rPr>
          <w:rFonts w:ascii="標楷體" w:eastAsia="標楷體" w:hAnsi="標楷體" w:hint="eastAsia"/>
          <w:snapToGrid w:val="0"/>
          <w:sz w:val="32"/>
          <w:szCs w:val="32"/>
        </w:rPr>
        <w:lastRenderedPageBreak/>
        <w:t>文化部應儘速完成「博物館政策白皮書」之訂定，俾利完善組織體系，健全定位、層級、整合、營運發展模式，協助博物館健全發展並與時俱進。60</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提案人：吳思瑤</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連署人：黃國書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六十一)經調閱文化部轄下博物館107至112年度相關預算科目，其購藏文物預算數額均偏低，且有逐年下降之趨勢，恐不利於博物館推動購藏之競爭力。博物館購藏文物預算偏低並非我國獨有情況，以法國羅浮宮為例，2011年羅浮宮為購藏德國藝術家老盧卡斯（Luca Cranach the Elder）文藝復興時期傑作「美惠三女神」（The Three Graces,1531），即推動「人人都是藝文贊助者」（TOUS MÉCÈNES!）計畫，透過群眾募資作為「替代性財務工具」，年年均有購藏標的，均獲得法國民眾大力支持，成功解決財源不足之困境。再者，根據歐盟調查報告印證，群眾募資不只幫助大型博物館在政府公共預算縮減的狀態下脫困，更在觀眾發展、社群參與、市場調查、行銷、推廣的層面有所助益。為協助解決我國博物館購藏預算不足之窘境，除透過文化發展基金辦理傳統工藝、美術等購藏計畫外，請文化部參考法國羅浮宮「人人都是藝文贊助者」（TOUS MÉCÈNES!）計畫推動經驗，盤點相關法規，研議將群眾募資作為文化部轄下博物館「替代性財務工具」可行性。61</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提案人：吳思瑤</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連署人：黃國書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(六十二)根據英國藝術委員會（Arts Council England）的文化、氣候和環境責任2019-2020年度報告（Culture, Climate and the Environmental Responsibility: Annual Report 2019-20）指出，博物館是藝文和文化學科中碳足跡最大的一個，占碳排放的24%，而戲劇和視覺藝術分別占17%和15%</w:t>
      </w:r>
      <w:r w:rsidRPr="00573D4D">
        <w:rPr>
          <w:rFonts w:ascii="標楷體" w:eastAsia="標楷體" w:hAnsi="標楷體" w:hint="eastAsia"/>
          <w:snapToGrid w:val="0"/>
          <w:sz w:val="32"/>
          <w:szCs w:val="32"/>
        </w:rPr>
        <w:lastRenderedPageBreak/>
        <w:t>，足顯見博物館推動淨零碳排甚為關鍵。再者，世界資源研究所（World Resources Institute）所公告之溫室氣體盤查議定書（GHG protocol），組織內碳排查分為3大範疇：1.指組織內部直接的碳排放源，如：製造水泥、燃燒燃料等；2.使用外購能源（電力、熱或蒸氣）所排放的溫室氣體；3</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其他間接排放源，如員工通勤上班過程中所產生的碳排、供應商運輸的碳排等。文化部博物館事業推展淨零排放業務係推動所屬博物館規劃減少碳排放之示範展覽，發展永續營運機制等，惟示範展覽與淨零排放之關聯不明，宜納入各館自行盤查館內碳排來源，並提出實際節能減碳措施及淨零規範等內容，另進行經驗分享與案例交流，請文化部對於該計畫之執行規劃於6個月內向立法院教育及文化委員會提出書面報告。62</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提案人：吳思瑤</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連署人：黃國書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六十三)吳委員思瑤於2017年10月16日質詢文化部鄭前部長麗君要求推動「臺灣建築博物館」建置計畫，並獲得文化部同意推動軟體先行，於前瞻基礎建設計畫項下「重建臺灣藝術史計畫」納入其主張之建築史料保存、徵集、策展及研究工作；復於2021年4月7日獲李部長永得正面回應籌備建築博物館。現階段建築博物館推動業務係委由財團法人臺灣博物館文教基金會負責，目前面臨下列狀況：1.文化部109至112年補助臺博基金會營運之預算額，自2,688萬元逐年萎縮至1,542萬元，縮減幅度達45.98%，除影響臺博基金會本身運作外，更不利於建築博物館推動；2.依財團法人臺灣博物館文教基金會規劃，將以臺北工場作為初期籌設基地，預定俟臺北市政府2023年完成修復後點交予國立臺灣博物館接續進行室內裝修等工作，惟雙方迄今尚未簽約，恐拖延辦理時程。查國際建築博物館聯合會</w:t>
      </w:r>
      <w:r w:rsidRPr="00573D4D">
        <w:rPr>
          <w:rFonts w:ascii="標楷體" w:eastAsia="標楷體" w:hAnsi="標楷體" w:hint="eastAsia"/>
          <w:snapToGrid w:val="0"/>
          <w:w w:val="80"/>
          <w:sz w:val="32"/>
          <w:szCs w:val="32"/>
        </w:rPr>
        <w:t xml:space="preserve">（International Confederation of </w:t>
      </w:r>
      <w:r w:rsidRPr="00573D4D">
        <w:rPr>
          <w:rFonts w:ascii="標楷體" w:eastAsia="標楷體" w:hAnsi="標楷體" w:hint="eastAsia"/>
          <w:snapToGrid w:val="0"/>
          <w:w w:val="80"/>
          <w:sz w:val="32"/>
          <w:szCs w:val="32"/>
        </w:rPr>
        <w:lastRenderedPageBreak/>
        <w:t>Architectural Museums, 簡稱ICAM）</w:t>
      </w:r>
      <w:r w:rsidRPr="00573D4D">
        <w:rPr>
          <w:rFonts w:ascii="標楷體" w:eastAsia="標楷體" w:hAnsi="標楷體" w:hint="eastAsia"/>
          <w:snapToGrid w:val="0"/>
          <w:sz w:val="32"/>
          <w:szCs w:val="32"/>
        </w:rPr>
        <w:t>已於2022年9月接受國立臺灣博物館成為正式會員，然對比文化部未有積極作為，另反觀2022年亞洲吹起建築博物館風潮，爰請文化部持續推動相關計畫，以回應民間對於臺灣建築博物館建置之殷切期待。64</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提案人：吳思瑤</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連署人：黃國書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(六十四)112年度文化部「文化資源業務」項下「國家鐵道博物館籌備業務」預算編列7億0</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294萬5千元，較1</w:t>
      </w:r>
      <w:r w:rsidRPr="00573D4D">
        <w:rPr>
          <w:rFonts w:ascii="標楷體" w:eastAsia="標楷體" w:hAnsi="標楷體"/>
          <w:snapToGrid w:val="0"/>
          <w:sz w:val="32"/>
          <w:szCs w:val="32"/>
        </w:rPr>
        <w:t>11</w:t>
      </w:r>
      <w:r w:rsidRPr="00573D4D">
        <w:rPr>
          <w:rFonts w:ascii="標楷體" w:eastAsia="標楷體" w:hAnsi="標楷體" w:hint="eastAsia"/>
          <w:snapToGrid w:val="0"/>
          <w:sz w:val="32"/>
          <w:szCs w:val="32"/>
        </w:rPr>
        <w:t>年度增加172萬7千元，主要是辦理國定古蹟臺北機廠活化轉型業務。關於「臺北機廠」是臺灣現存規模最大且歷史最悠久的鐵路車輛修理工廠，工廠內現存之總辦公室、組立工場、鍛冶工場、客車工場、車件工場、油漆工場等與修理作業流程相關的工廠建築設施，以及內燃機工場、電二工場、電三工場、原動室與其內部的蒸氣鍋爐、煙囪與全區配置的蒸氣管線系統等不同時期的動力與機關車修理設施，以及東、西露天吊車臺、移車臺、地下化引道、鐵軌等與車輛移動相關的設施與作業場所，均展現臺灣獨特鐵道文化，具有無可取代之地位與意義。為紀錄與維護園區內所遺留的鐵道產業文物和文化，作為日後博物館典藏及鐵道歷史研究的重要資產，文化部自107年起辦理清查盤點作業以及藏品評估審議作業，而根據審計部調查，園區內共有16處場域須辦理文物盤查，從107年迄今已逾3年仍有4處尚未完成文物清查作業；另就已完成清查31萬件文物，尚需經典藏委員會評估審議後始能登錄，但根據文化部規劃卻須於114年後才進行審議，以上作為均不利文物保存。綜上，鑑於臺北機廠建物及其文物對於臺灣鐵道文化具有獨一無二的價值，為避免文物因作業時間過長而有滅失風險，爰此要求文化部於1個月內向立法院教育及文化委員會提出檢討及改善書面報告。68</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lastRenderedPageBreak/>
        <w:t>提案人：張廖萬堅</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連署人：黃國書  何欣純</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(六十五)綜觀國際局勢，109年10月聯合國貿易和發展會議</w:t>
      </w:r>
      <w:r w:rsidRPr="00573D4D">
        <w:rPr>
          <w:rFonts w:ascii="標楷體" w:eastAsia="標楷體" w:hAnsi="標楷體" w:hint="eastAsia"/>
          <w:snapToGrid w:val="0"/>
          <w:w w:val="80"/>
          <w:sz w:val="32"/>
          <w:szCs w:val="32"/>
        </w:rPr>
        <w:t>（United Nations Conference on Trade and Development,UNCTAD）</w:t>
      </w:r>
      <w:r w:rsidRPr="00573D4D">
        <w:rPr>
          <w:rFonts w:ascii="標楷體" w:eastAsia="標楷體" w:hAnsi="標楷體" w:hint="eastAsia"/>
          <w:snapToGrid w:val="0"/>
          <w:sz w:val="32"/>
          <w:szCs w:val="32"/>
        </w:rPr>
        <w:t>召開第15屆大會，根據UNCTAD官方文件指出，由於嚴重特殊傳染性肺炎疫情，導致文化創意經濟前景黯淡，因此迫切需要促進和保護，故將110年設立為國際創意經濟促進可持續發展元年，宣示將優化文化創意產業環境，以及打造更優質之公共和私營部門投資模式</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反觀我國文化部歷年之預算金額，均未達到中央政府總預算之1%，除仰賴國家資源之挹注，實有賴透過個人與企業之投資與參與，故我國應跟上國際趨勢，積極優化公共和私營部門投資模式，俾利促進文化發展環境更加友善。以我國之「運動產業發展條例」為例，上開條例已於110年12月22日修正，為提升國內體育發展、引進民間資源、擴大體育投資</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故修正「運動產業發展條例」第26條之2以提高企業贊助體育之租稅優惠措施，就企業捐贈中央主管機關認可之職業或業餘運動業，在申報所得稅時，得以在捐贈金額新台幣1,000萬元額度內，依該金額的150%，於當年度營利事業所得額扣減，若捐贈中央主管機關專案核准重點職業或業餘運動業，其扣減營利事業所得額更不受1,000萬元上限限制。但查有關「文化創意產業發展法」自99年8月30日施行迄今，僅歷經1次修正，係於108年為推動設立文化內容策進院，進行第5條、第7條及第30條之修正，其餘條文均未修正。基於立法迄今已逾10年，文創產業受到全球化、科技化發展等環境變遷，其他產業均呈現跨域發展趨勢，反觀文化創意產業停滯不前，致使在產製量能、多元資金對接、科技整合應用及強化文化國際傳播等面向亟待賡續突破。綜上所述，據悉文化部業已提報「文化創意產業發展法修正草案」送入行政院，請文化部將「文化創意產</w:t>
      </w:r>
      <w:r w:rsidRPr="00573D4D">
        <w:rPr>
          <w:rFonts w:ascii="標楷體" w:eastAsia="標楷體" w:hAnsi="標楷體" w:hint="eastAsia"/>
          <w:snapToGrid w:val="0"/>
          <w:sz w:val="32"/>
          <w:szCs w:val="32"/>
        </w:rPr>
        <w:lastRenderedPageBreak/>
        <w:t>業發展法修正草案」儘速送至立法院審議，幫助文創事業引進資金、促進文創產業發展。79</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提案人：吳思瑤  張廖萬堅</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連署人：黃國書</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六十六)有鑑於我國文化產業多屬於微型或中小企業，且普遍缺乏資金及營運管理與財務規劃的能力，產業獲利模式不易突顯，以致金融機構易認為其為高風險產業，對於提供融資等相關資金意願偏低；兼以文化產業擁有的資產，大多數為無形智慧財產，缺乏實體擔保品，實尚待建立相關評價機制及準則。依據「產業創新條例」第13條規定，中央主管機關應邀集相關機關推動發展無形資產評價基準與管理機制。並非侷限於文化創意產業，但依據文化部所提供之資料，經濟部目前推動無形資產評價係以科技業或製造業專利技術為主，由財團法人工業技術研究院每年挑選10件有意願申請專利融資案件，推薦予評價公司進行評價，再透過財團法人中小企業信用保證基金間接保證機制，並依循銀行貸款程序辦理。據悉行政院已指示經濟部協同相關部會合作，推動「中小企業整體競爭力提升方案」，以「創新加值、淨零碳排、數位轉型、在地共榮」作為主軸，在創新加值的部分，擬與文化部跨部會合作，推動擴大投資、融資資源，充裕供應鏈資金取得，然在上開計畫核定本中，卻未見到協助文化產業進行無形資產評價。綜上所述，為增進金融機構對文化產業之投融資意願，請文化部應比照上開財團法人工業技術研究院經驗，由行政法人文化內容策進院挑選融資案件進行無形資產評價示範，俾利打造文化產業之取得資金配套機制。80</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提案人：吳思瑤  張廖萬堅</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連署人：黃國書</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(六十七)112年度文化部「文化創意產業發展業務」項下「文化創意產業推動與輔導」預算編列7,305萬2千元，辦理推動</w:t>
      </w:r>
      <w:r w:rsidRPr="00573D4D">
        <w:rPr>
          <w:rFonts w:ascii="標楷體" w:eastAsia="標楷體" w:hAnsi="標楷體" w:hint="eastAsia"/>
          <w:snapToGrid w:val="0"/>
          <w:sz w:val="32"/>
          <w:szCs w:val="32"/>
        </w:rPr>
        <w:lastRenderedPageBreak/>
        <w:t>文化創意產業發展及促進文創市場流通，其中55%用於策辦臺灣文博會。關於臺灣文博會，主要是運用文創展覽的方式促進文創市場流通，文化部自99年起策辦迄今已逾10年，但卻欠缺有系統的統計、研究及分析該策展效益，有檢討必要。又歷年均在臺北市舉辦，112年移師高雄舉辦，其產值不輸臺北市，且更帶動當地觀光人潮、促進區域發展，文化部應可思考至全臺各區域辦理之可行性，尤其臺灣中部係工藝重鎮，亦有辦理文博會之優勢。綜上，請文化部積極持續就歷年臺灣文博會成果效益進行分析，以及提供至全臺各區域辦理可行性之書面評估報告。83</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提案人：張廖萬堅  何欣純  黃國書</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(六十八)112年度文化部「文化創意產業發展業務」項下「產業集聚效應推展」預算編列8</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088萬5千元，係用於推動文創園區經營管理，強化產業育成、扶植功能及與在地文化特色之結合。文化部轄下有華山、台中、嘉義、台南、花蓮等五座文化創意產業園區，惟嘉義及花蓮文化創意產業園區有營運不佳之情形。經查，花蓮文化創意產業園區108年廠商終止營運後，由於招商不順，改為分區引招商模式，惟至今只完成7棟建築物之招商，仍有6棟建築物刻正進行招商。嘉義文化創意產業園區自110年7月與廠商終止契約後，改由文化部經營，辦理3次招商皆未順利找到業者承接。為有利於我國文化創意產業園區之群聚產業發展，文化部應積極推動園區轉型工作。90</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提案人：王婉諭  黃國書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六十九)112年度文化部「文化創意產業發展業務」項下「產業集聚效應推展」預算編列8,088萬5千元，係以辦理文化產業減碳科研輔導計畫，使文化產業界接軌2050淨零轉型趨勢。文化部對於重要活動平台之策展業者、文化展演場域及進入文化展演場域之表演團體，亦應導入節能減碳措施或針對</w:t>
      </w:r>
      <w:r w:rsidRPr="00573D4D">
        <w:rPr>
          <w:rFonts w:ascii="標楷體" w:eastAsia="標楷體" w:hAnsi="標楷體" w:hint="eastAsia"/>
          <w:snapToGrid w:val="0"/>
          <w:sz w:val="32"/>
          <w:szCs w:val="32"/>
        </w:rPr>
        <w:lastRenderedPageBreak/>
        <w:t>辦理相關活動者，訂定補助標準或訂定相關淨零規範。91</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提案人：黃國書</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連署人：林宜瑾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七十)112年度文化部「文化創意產業發展業務」項下「產業集聚效應推展」預算編列8,088萬5千元。近年國內積極設置文化創意產業園區達到產業集聚效應，鼓勵藝術與創意團隊進駐聚落，並透過文化創意產業園區經營管理、強化國內藝文產業育成。然現有部分園區委外營運工作延宕，如：花蓮文化創意產業園區現行採分區域引入廠商，目前已完成7棟建物之招商及簽約，另有6棟建物刻正進行招商，又如：嘉義文化創意產業園區與前委託營運廠商辦理移轉與返還點交作業，因未能辦理履約保證金結算事宜，與辦理3次招商後仍未能決標</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為利文化創意產業園區順利運營，文化部允宜持續積極協助文化創意產業園區排除運營障礙，以利藝文團隊儘速進駐到位，達成創造藝文產業聚集之目標。93</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提案人：黃國書</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連署人：林宜瑾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(七十一)為使臺灣時裝產業躋身於國際，打造時尚設計師品牌國家隊，並且培育國內時尚菁英設計師，文化部自</w:t>
      </w:r>
      <w:r w:rsidRPr="00573D4D">
        <w:rPr>
          <w:rFonts w:ascii="標楷體" w:eastAsia="標楷體" w:hAnsi="標楷體"/>
          <w:snapToGrid w:val="0"/>
          <w:sz w:val="32"/>
          <w:szCs w:val="32"/>
        </w:rPr>
        <w:t>107</w:t>
      </w:r>
      <w:r w:rsidRPr="00573D4D">
        <w:rPr>
          <w:rFonts w:ascii="標楷體" w:eastAsia="標楷體" w:hAnsi="標楷體" w:hint="eastAsia"/>
          <w:snapToGrid w:val="0"/>
          <w:sz w:val="32"/>
          <w:szCs w:val="32"/>
        </w:rPr>
        <w:t>年起以「時尚跨界整合旗艦計畫」</w:t>
      </w:r>
      <w:r w:rsidRPr="00573D4D">
        <w:rPr>
          <w:rFonts w:ascii="標楷體" w:eastAsia="標楷體" w:hAnsi="標楷體"/>
          <w:snapToGrid w:val="0"/>
          <w:sz w:val="32"/>
          <w:szCs w:val="32"/>
        </w:rPr>
        <w:t>7</w:t>
      </w:r>
      <w:r w:rsidRPr="00573D4D">
        <w:rPr>
          <w:rFonts w:ascii="標楷體" w:eastAsia="標楷體" w:hAnsi="標楷體" w:hint="eastAsia"/>
          <w:snapToGrid w:val="0"/>
          <w:sz w:val="32"/>
          <w:szCs w:val="32"/>
        </w:rPr>
        <w:t>億</w:t>
      </w:r>
      <w:r w:rsidRPr="00573D4D">
        <w:rPr>
          <w:rFonts w:ascii="標楷體" w:eastAsia="標楷體" w:hAnsi="標楷體"/>
          <w:snapToGrid w:val="0"/>
          <w:sz w:val="32"/>
          <w:szCs w:val="32"/>
        </w:rPr>
        <w:t>8,</w:t>
      </w:r>
      <w:r w:rsidRPr="00573D4D">
        <w:rPr>
          <w:rFonts w:ascii="標楷體" w:eastAsia="標楷體" w:hAnsi="標楷體" w:hint="eastAsia"/>
          <w:snapToGrid w:val="0"/>
          <w:sz w:val="32"/>
          <w:szCs w:val="32"/>
        </w:rPr>
        <w:t>000萬元預算，每年舉辧國家級臺北時裝週，迄今已逾</w:t>
      </w:r>
      <w:r w:rsidRPr="00573D4D">
        <w:rPr>
          <w:rFonts w:ascii="標楷體" w:eastAsia="標楷體" w:hAnsi="標楷體"/>
          <w:snapToGrid w:val="0"/>
          <w:sz w:val="32"/>
          <w:szCs w:val="32"/>
        </w:rPr>
        <w:t>4</w:t>
      </w:r>
      <w:r w:rsidRPr="00573D4D">
        <w:rPr>
          <w:rFonts w:ascii="標楷體" w:eastAsia="標楷體" w:hAnsi="標楷體" w:hint="eastAsia"/>
          <w:snapToGrid w:val="0"/>
          <w:sz w:val="32"/>
          <w:szCs w:val="32"/>
        </w:rPr>
        <w:t>年，其成效頗受外界肯定</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例如以1年2季方式辦理和國際接軌，品牌發表會以促成設計師與國際買家連線亦有一定成效。為增進之前臺北時裝週所建立的基礎，</w:t>
      </w:r>
      <w:r w:rsidRPr="00573D4D">
        <w:rPr>
          <w:rFonts w:ascii="標楷體" w:eastAsia="標楷體" w:hAnsi="標楷體"/>
          <w:snapToGrid w:val="0"/>
          <w:sz w:val="32"/>
          <w:szCs w:val="32"/>
        </w:rPr>
        <w:t>112</w:t>
      </w:r>
      <w:r w:rsidRPr="00573D4D">
        <w:rPr>
          <w:rFonts w:ascii="標楷體" w:eastAsia="標楷體" w:hAnsi="標楷體" w:hint="eastAsia"/>
          <w:snapToGrid w:val="0"/>
          <w:sz w:val="32"/>
          <w:szCs w:val="32"/>
        </w:rPr>
        <w:t>年度文化部新增「推動永續時尚產業鏈整合及臺北時裝週文化科技匯流平臺旗艦計畫」，總經費</w:t>
      </w:r>
      <w:r w:rsidRPr="00573D4D">
        <w:rPr>
          <w:rFonts w:ascii="標楷體" w:eastAsia="標楷體" w:hAnsi="標楷體"/>
          <w:snapToGrid w:val="0"/>
          <w:sz w:val="32"/>
          <w:szCs w:val="32"/>
        </w:rPr>
        <w:t>3</w:t>
      </w:r>
      <w:r w:rsidRPr="00573D4D">
        <w:rPr>
          <w:rFonts w:ascii="標楷體" w:eastAsia="標楷體" w:hAnsi="標楷體" w:hint="eastAsia"/>
          <w:snapToGrid w:val="0"/>
          <w:sz w:val="32"/>
          <w:szCs w:val="32"/>
        </w:rPr>
        <w:t>億</w:t>
      </w:r>
      <w:r w:rsidRPr="00573D4D">
        <w:rPr>
          <w:rFonts w:ascii="標楷體" w:eastAsia="標楷體" w:hAnsi="標楷體"/>
          <w:snapToGrid w:val="0"/>
          <w:sz w:val="32"/>
          <w:szCs w:val="32"/>
        </w:rPr>
        <w:t>9,5</w:t>
      </w:r>
      <w:r>
        <w:rPr>
          <w:rFonts w:ascii="標楷體" w:eastAsia="標楷體" w:hAnsi="標楷體" w:hint="eastAsia"/>
          <w:snapToGrid w:val="0"/>
          <w:sz w:val="32"/>
          <w:szCs w:val="32"/>
        </w:rPr>
        <w:t>5</w:t>
      </w:r>
      <w:r w:rsidRPr="00573D4D">
        <w:rPr>
          <w:rFonts w:ascii="標楷體" w:eastAsia="標楷體" w:hAnsi="標楷體" w:hint="eastAsia"/>
          <w:snapToGrid w:val="0"/>
          <w:sz w:val="32"/>
          <w:szCs w:val="32"/>
        </w:rPr>
        <w:t>0萬元，執行期間</w:t>
      </w:r>
      <w:r>
        <w:rPr>
          <w:rFonts w:ascii="標楷體" w:eastAsia="標楷體" w:hAnsi="標楷體" w:hint="eastAsia"/>
          <w:snapToGrid w:val="0"/>
          <w:sz w:val="32"/>
          <w:szCs w:val="32"/>
        </w:rPr>
        <w:t>自</w:t>
      </w:r>
      <w:r w:rsidRPr="00573D4D">
        <w:rPr>
          <w:rFonts w:ascii="標楷體" w:eastAsia="標楷體" w:hAnsi="標楷體"/>
          <w:snapToGrid w:val="0"/>
          <w:sz w:val="32"/>
          <w:szCs w:val="32"/>
        </w:rPr>
        <w:t>112</w:t>
      </w:r>
      <w:r w:rsidRPr="00573D4D">
        <w:rPr>
          <w:rFonts w:ascii="標楷體" w:eastAsia="標楷體" w:hAnsi="標楷體" w:hint="eastAsia"/>
          <w:snapToGrid w:val="0"/>
          <w:sz w:val="32"/>
          <w:szCs w:val="32"/>
        </w:rPr>
        <w:t>至</w:t>
      </w:r>
      <w:r w:rsidRPr="00573D4D">
        <w:rPr>
          <w:rFonts w:ascii="標楷體" w:eastAsia="標楷體" w:hAnsi="標楷體"/>
          <w:snapToGrid w:val="0"/>
          <w:sz w:val="32"/>
          <w:szCs w:val="32"/>
        </w:rPr>
        <w:t>115</w:t>
      </w:r>
      <w:r w:rsidRPr="00573D4D">
        <w:rPr>
          <w:rFonts w:ascii="標楷體" w:eastAsia="標楷體" w:hAnsi="標楷體" w:hint="eastAsia"/>
          <w:snapToGrid w:val="0"/>
          <w:sz w:val="32"/>
          <w:szCs w:val="32"/>
        </w:rPr>
        <w:t>年。惟查，國際4大時裝週（紐約、倫敦、米蘭、巴黎）都是以品牌組成之中介組織主導時裝週舉辦，由產業親自策展才能展現產業該有的時尚氛圍並累積國際及國內人脈資源，最終在國際上有一席</w:t>
      </w:r>
      <w:r w:rsidRPr="00573D4D">
        <w:rPr>
          <w:rFonts w:ascii="標楷體" w:eastAsia="標楷體" w:hAnsi="標楷體" w:hint="eastAsia"/>
          <w:snapToGrid w:val="0"/>
          <w:sz w:val="32"/>
          <w:szCs w:val="32"/>
        </w:rPr>
        <w:lastRenderedPageBreak/>
        <w:t>之地。然而，臺北時裝週仍以標案進行，標的缺點是不同得標單位對國際時裝週認知及專業背不同，擅長項目並不相同，舉辦出的性質、訴求，活動呈現氛圍及專業度更不相同，無法累積產業能量。鑑於臺北時裝週已經累積一定成果，文化部應思考如何跟上國際，由時裝品牌中介組織主導臺北時裝週，甚至臺灣時尚設計品牌產業未來方向。爰此請文化部於3個月內就臺北時裝週中介組織之規劃提出書面報告。96</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提案人：張廖萬堅</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連署人：何欣純  黃國書</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(七十二)112年度文化部「文化創意產業發展業務」項下「華山2.0文化內容產業聚落發展計畫」預算編列3億8</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680萬元，用於辦理華山2.0軟體計畫以及新建工程等業務經費。查華山2.0軟體發展計畫中，近3年產業人才培育200人次績效達成率遠高於目標值，卻未於次年度提高績效目標值，故步自封，對於產業發展不利。爰請文化部於112年度起調整前開產業人才培育之績效目標值，持續深化專業人才培育、帶動文化內容產業之發展。98</w:t>
      </w:r>
    </w:p>
    <w:tbl>
      <w:tblPr>
        <w:tblW w:w="939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063"/>
        <w:gridCol w:w="1813"/>
        <w:gridCol w:w="1760"/>
        <w:gridCol w:w="1760"/>
      </w:tblGrid>
      <w:tr w:rsidR="00A52DD2" w:rsidRPr="00573D4D" w:rsidTr="00F035E0">
        <w:trPr>
          <w:jc w:val="center"/>
        </w:trPr>
        <w:tc>
          <w:tcPr>
            <w:tcW w:w="4063" w:type="dxa"/>
            <w:vAlign w:val="center"/>
          </w:tcPr>
          <w:p w:rsidR="00A52DD2" w:rsidRPr="00573D4D" w:rsidRDefault="00A52DD2" w:rsidP="00F035E0">
            <w:pPr>
              <w:pBdr>
                <w:top w:val="nil"/>
                <w:left w:val="nil"/>
                <w:bottom w:val="nil"/>
                <w:right w:val="nil"/>
                <w:between w:val="nil"/>
              </w:pBdr>
              <w:spacing w:line="480" w:lineRule="exact"/>
              <w:jc w:val="center"/>
              <w:rPr>
                <w:rFonts w:ascii="標楷體" w:eastAsia="標楷體" w:hAnsi="標楷體" w:cs="標楷體"/>
                <w:sz w:val="28"/>
                <w:szCs w:val="28"/>
              </w:rPr>
            </w:pPr>
            <w:r w:rsidRPr="00573D4D">
              <w:rPr>
                <w:rFonts w:ascii="標楷體" w:eastAsia="標楷體" w:hAnsi="標楷體" w:cs="標楷體"/>
                <w:sz w:val="28"/>
                <w:szCs w:val="28"/>
              </w:rPr>
              <w:t>績效指標</w:t>
            </w:r>
          </w:p>
        </w:tc>
        <w:tc>
          <w:tcPr>
            <w:tcW w:w="1813" w:type="dxa"/>
            <w:vAlign w:val="center"/>
          </w:tcPr>
          <w:p w:rsidR="00A52DD2" w:rsidRPr="00573D4D" w:rsidRDefault="00A52DD2" w:rsidP="00F035E0">
            <w:pPr>
              <w:spacing w:line="480" w:lineRule="exact"/>
              <w:jc w:val="center"/>
              <w:rPr>
                <w:rFonts w:ascii="標楷體" w:eastAsia="標楷體" w:hAnsi="標楷體" w:cs="標楷體"/>
                <w:sz w:val="32"/>
                <w:szCs w:val="32"/>
              </w:rPr>
            </w:pPr>
            <w:r w:rsidRPr="00573D4D">
              <w:rPr>
                <w:rFonts w:ascii="標楷體" w:eastAsia="標楷體" w:hAnsi="標楷體" w:cs="標楷體"/>
                <w:sz w:val="32"/>
                <w:szCs w:val="32"/>
              </w:rPr>
              <w:t>109年</w:t>
            </w:r>
          </w:p>
        </w:tc>
        <w:tc>
          <w:tcPr>
            <w:tcW w:w="1760" w:type="dxa"/>
            <w:vAlign w:val="center"/>
          </w:tcPr>
          <w:p w:rsidR="00A52DD2" w:rsidRPr="00573D4D" w:rsidRDefault="00A52DD2" w:rsidP="00F035E0">
            <w:pPr>
              <w:spacing w:line="480" w:lineRule="exact"/>
              <w:jc w:val="center"/>
              <w:rPr>
                <w:rFonts w:ascii="標楷體" w:eastAsia="標楷體" w:hAnsi="標楷體" w:cs="標楷體"/>
                <w:sz w:val="32"/>
                <w:szCs w:val="32"/>
              </w:rPr>
            </w:pPr>
            <w:r w:rsidRPr="00573D4D">
              <w:rPr>
                <w:rFonts w:ascii="標楷體" w:eastAsia="標楷體" w:hAnsi="標楷體" w:cs="標楷體"/>
                <w:sz w:val="32"/>
                <w:szCs w:val="32"/>
              </w:rPr>
              <w:t>110年</w:t>
            </w:r>
          </w:p>
        </w:tc>
        <w:tc>
          <w:tcPr>
            <w:tcW w:w="1760" w:type="dxa"/>
            <w:vAlign w:val="center"/>
          </w:tcPr>
          <w:p w:rsidR="00A52DD2" w:rsidRPr="00573D4D" w:rsidRDefault="00A52DD2" w:rsidP="00F035E0">
            <w:pPr>
              <w:spacing w:line="480" w:lineRule="exact"/>
              <w:jc w:val="center"/>
              <w:rPr>
                <w:rFonts w:ascii="標楷體" w:eastAsia="標楷體" w:hAnsi="標楷體" w:cs="標楷體"/>
                <w:sz w:val="32"/>
                <w:szCs w:val="32"/>
              </w:rPr>
            </w:pPr>
            <w:r w:rsidRPr="00573D4D">
              <w:rPr>
                <w:rFonts w:ascii="標楷體" w:eastAsia="標楷體" w:hAnsi="標楷體" w:cs="標楷體"/>
                <w:sz w:val="32"/>
                <w:szCs w:val="32"/>
              </w:rPr>
              <w:t>111年</w:t>
            </w:r>
          </w:p>
          <w:p w:rsidR="00A52DD2" w:rsidRPr="00573D4D" w:rsidRDefault="00A52DD2" w:rsidP="00F035E0">
            <w:pPr>
              <w:spacing w:line="480" w:lineRule="exact"/>
              <w:jc w:val="center"/>
              <w:rPr>
                <w:rFonts w:ascii="標楷體" w:eastAsia="標楷體" w:hAnsi="標楷體" w:cs="標楷體"/>
              </w:rPr>
            </w:pPr>
            <w:r w:rsidRPr="00573D4D">
              <w:rPr>
                <w:rFonts w:ascii="標楷體" w:eastAsia="標楷體" w:hAnsi="標楷體" w:cs="標楷體"/>
              </w:rPr>
              <w:t>(截至9月)</w:t>
            </w:r>
          </w:p>
        </w:tc>
      </w:tr>
      <w:tr w:rsidR="00A52DD2" w:rsidRPr="00573D4D" w:rsidTr="00F035E0">
        <w:trPr>
          <w:jc w:val="center"/>
        </w:trPr>
        <w:tc>
          <w:tcPr>
            <w:tcW w:w="4063" w:type="dxa"/>
          </w:tcPr>
          <w:p w:rsidR="00A52DD2" w:rsidRPr="00573D4D" w:rsidRDefault="00A52DD2" w:rsidP="00F035E0">
            <w:pPr>
              <w:pBdr>
                <w:top w:val="nil"/>
                <w:left w:val="nil"/>
                <w:bottom w:val="nil"/>
                <w:right w:val="nil"/>
                <w:between w:val="nil"/>
              </w:pBdr>
              <w:spacing w:line="480" w:lineRule="exact"/>
              <w:rPr>
                <w:rFonts w:ascii="標楷體" w:eastAsia="標楷體" w:hAnsi="標楷體" w:cs="標楷體"/>
                <w:sz w:val="28"/>
                <w:szCs w:val="28"/>
              </w:rPr>
            </w:pPr>
            <w:r>
              <w:rPr>
                <w:rFonts w:ascii="標楷體" w:eastAsia="標楷體" w:hAnsi="標楷體" w:cs="標楷體" w:hint="eastAsia"/>
                <w:sz w:val="28"/>
                <w:szCs w:val="28"/>
              </w:rPr>
              <w:t>1.</w:t>
            </w:r>
            <w:r w:rsidRPr="00573D4D">
              <w:rPr>
                <w:rFonts w:ascii="標楷體" w:eastAsia="標楷體" w:hAnsi="標楷體" w:cs="標楷體"/>
                <w:sz w:val="28"/>
                <w:szCs w:val="28"/>
              </w:rPr>
              <w:t>捲動中介組織協力參與3個</w:t>
            </w:r>
          </w:p>
        </w:tc>
        <w:tc>
          <w:tcPr>
            <w:tcW w:w="1813" w:type="dxa"/>
            <w:vAlign w:val="center"/>
          </w:tcPr>
          <w:p w:rsidR="00A52DD2" w:rsidRPr="00573D4D" w:rsidRDefault="00A52DD2" w:rsidP="00F035E0">
            <w:pPr>
              <w:spacing w:line="480" w:lineRule="exact"/>
              <w:jc w:val="center"/>
              <w:rPr>
                <w:rFonts w:ascii="標楷體" w:eastAsia="標楷體" w:hAnsi="標楷體" w:cs="標楷體"/>
                <w:sz w:val="32"/>
                <w:szCs w:val="32"/>
              </w:rPr>
            </w:pPr>
            <w:r w:rsidRPr="00573D4D">
              <w:rPr>
                <w:rFonts w:ascii="標楷體" w:eastAsia="標楷體" w:hAnsi="標楷體" w:cs="標楷體"/>
                <w:sz w:val="32"/>
                <w:szCs w:val="32"/>
              </w:rPr>
              <w:t>4</w:t>
            </w:r>
          </w:p>
        </w:tc>
        <w:tc>
          <w:tcPr>
            <w:tcW w:w="1760" w:type="dxa"/>
            <w:vAlign w:val="center"/>
          </w:tcPr>
          <w:p w:rsidR="00A52DD2" w:rsidRPr="00573D4D" w:rsidRDefault="00A52DD2" w:rsidP="00F035E0">
            <w:pPr>
              <w:spacing w:line="480" w:lineRule="exact"/>
              <w:jc w:val="center"/>
              <w:rPr>
                <w:rFonts w:ascii="標楷體" w:eastAsia="標楷體" w:hAnsi="標楷體" w:cs="標楷體"/>
                <w:sz w:val="32"/>
                <w:szCs w:val="32"/>
              </w:rPr>
            </w:pPr>
            <w:r w:rsidRPr="00573D4D">
              <w:rPr>
                <w:rFonts w:ascii="標楷體" w:eastAsia="標楷體" w:hAnsi="標楷體" w:cs="標楷體"/>
                <w:sz w:val="32"/>
                <w:szCs w:val="32"/>
              </w:rPr>
              <w:t>4</w:t>
            </w:r>
          </w:p>
        </w:tc>
        <w:tc>
          <w:tcPr>
            <w:tcW w:w="1760" w:type="dxa"/>
            <w:vAlign w:val="center"/>
          </w:tcPr>
          <w:p w:rsidR="00A52DD2" w:rsidRPr="00573D4D" w:rsidRDefault="00A52DD2" w:rsidP="00F035E0">
            <w:pPr>
              <w:spacing w:line="480" w:lineRule="exact"/>
              <w:jc w:val="center"/>
              <w:rPr>
                <w:rFonts w:ascii="標楷體" w:eastAsia="標楷體" w:hAnsi="標楷體" w:cs="標楷體"/>
                <w:sz w:val="32"/>
                <w:szCs w:val="32"/>
              </w:rPr>
            </w:pPr>
            <w:r w:rsidRPr="00573D4D">
              <w:rPr>
                <w:rFonts w:ascii="標楷體" w:eastAsia="標楷體" w:hAnsi="標楷體" w:cs="標楷體"/>
                <w:sz w:val="32"/>
                <w:szCs w:val="32"/>
              </w:rPr>
              <w:t>6</w:t>
            </w:r>
          </w:p>
        </w:tc>
      </w:tr>
      <w:tr w:rsidR="00A52DD2" w:rsidRPr="00573D4D" w:rsidTr="00F035E0">
        <w:trPr>
          <w:jc w:val="center"/>
        </w:trPr>
        <w:tc>
          <w:tcPr>
            <w:tcW w:w="4063" w:type="dxa"/>
          </w:tcPr>
          <w:p w:rsidR="00A52DD2" w:rsidRPr="00573D4D" w:rsidRDefault="00A52DD2" w:rsidP="00F035E0">
            <w:pPr>
              <w:pBdr>
                <w:top w:val="nil"/>
                <w:left w:val="nil"/>
                <w:bottom w:val="nil"/>
                <w:right w:val="nil"/>
                <w:between w:val="nil"/>
              </w:pBdr>
              <w:spacing w:line="480" w:lineRule="exact"/>
              <w:rPr>
                <w:rFonts w:ascii="標楷體" w:eastAsia="標楷體" w:hAnsi="標楷體" w:cs="標楷體"/>
                <w:sz w:val="28"/>
                <w:szCs w:val="28"/>
              </w:rPr>
            </w:pPr>
            <w:r>
              <w:rPr>
                <w:rFonts w:ascii="標楷體" w:eastAsia="標楷體" w:hAnsi="標楷體" w:cs="標楷體" w:hint="eastAsia"/>
                <w:sz w:val="28"/>
                <w:szCs w:val="28"/>
              </w:rPr>
              <w:t>2.</w:t>
            </w:r>
            <w:r w:rsidRPr="00573D4D">
              <w:rPr>
                <w:rFonts w:ascii="標楷體" w:eastAsia="標楷體" w:hAnsi="標楷體" w:cs="標楷體"/>
                <w:sz w:val="28"/>
                <w:szCs w:val="28"/>
              </w:rPr>
              <w:t>原生IP開發及跨域發展5件</w:t>
            </w:r>
          </w:p>
        </w:tc>
        <w:tc>
          <w:tcPr>
            <w:tcW w:w="1813" w:type="dxa"/>
            <w:vAlign w:val="center"/>
          </w:tcPr>
          <w:p w:rsidR="00A52DD2" w:rsidRPr="00573D4D" w:rsidRDefault="00A52DD2" w:rsidP="00F035E0">
            <w:pPr>
              <w:spacing w:line="480" w:lineRule="exact"/>
              <w:jc w:val="center"/>
              <w:rPr>
                <w:rFonts w:ascii="標楷體" w:eastAsia="標楷體" w:hAnsi="標楷體" w:cs="標楷體"/>
                <w:sz w:val="32"/>
                <w:szCs w:val="32"/>
              </w:rPr>
            </w:pPr>
            <w:r w:rsidRPr="00573D4D">
              <w:rPr>
                <w:rFonts w:ascii="標楷體" w:eastAsia="標楷體" w:hAnsi="標楷體" w:cs="標楷體"/>
                <w:sz w:val="32"/>
                <w:szCs w:val="32"/>
              </w:rPr>
              <w:t>5</w:t>
            </w:r>
          </w:p>
        </w:tc>
        <w:tc>
          <w:tcPr>
            <w:tcW w:w="1760" w:type="dxa"/>
            <w:vAlign w:val="center"/>
          </w:tcPr>
          <w:p w:rsidR="00A52DD2" w:rsidRPr="00573D4D" w:rsidRDefault="00A52DD2" w:rsidP="00F035E0">
            <w:pPr>
              <w:spacing w:line="480" w:lineRule="exact"/>
              <w:jc w:val="center"/>
              <w:rPr>
                <w:rFonts w:ascii="標楷體" w:eastAsia="標楷體" w:hAnsi="標楷體" w:cs="標楷體"/>
                <w:sz w:val="32"/>
                <w:szCs w:val="32"/>
              </w:rPr>
            </w:pPr>
            <w:r w:rsidRPr="00573D4D">
              <w:rPr>
                <w:rFonts w:ascii="標楷體" w:eastAsia="標楷體" w:hAnsi="標楷體" w:cs="標楷體"/>
                <w:sz w:val="32"/>
                <w:szCs w:val="32"/>
              </w:rPr>
              <w:t>9</w:t>
            </w:r>
          </w:p>
        </w:tc>
        <w:tc>
          <w:tcPr>
            <w:tcW w:w="1760" w:type="dxa"/>
            <w:vAlign w:val="center"/>
          </w:tcPr>
          <w:p w:rsidR="00A52DD2" w:rsidRPr="00573D4D" w:rsidRDefault="00A52DD2" w:rsidP="00F035E0">
            <w:pPr>
              <w:spacing w:line="480" w:lineRule="exact"/>
              <w:jc w:val="center"/>
              <w:rPr>
                <w:rFonts w:ascii="標楷體" w:eastAsia="標楷體" w:hAnsi="標楷體" w:cs="標楷體"/>
                <w:sz w:val="32"/>
                <w:szCs w:val="32"/>
              </w:rPr>
            </w:pPr>
            <w:r w:rsidRPr="00573D4D">
              <w:rPr>
                <w:rFonts w:ascii="標楷體" w:eastAsia="標楷體" w:hAnsi="標楷體" w:cs="標楷體"/>
                <w:sz w:val="32"/>
                <w:szCs w:val="32"/>
              </w:rPr>
              <w:t>4</w:t>
            </w:r>
          </w:p>
        </w:tc>
      </w:tr>
      <w:tr w:rsidR="00A52DD2" w:rsidRPr="00573D4D" w:rsidTr="00F035E0">
        <w:trPr>
          <w:jc w:val="center"/>
        </w:trPr>
        <w:tc>
          <w:tcPr>
            <w:tcW w:w="4063" w:type="dxa"/>
          </w:tcPr>
          <w:p w:rsidR="00A52DD2" w:rsidRPr="00573D4D" w:rsidRDefault="00A52DD2" w:rsidP="00F035E0">
            <w:pPr>
              <w:pBdr>
                <w:top w:val="nil"/>
                <w:left w:val="nil"/>
                <w:bottom w:val="nil"/>
                <w:right w:val="nil"/>
                <w:between w:val="nil"/>
              </w:pBdr>
              <w:spacing w:line="480" w:lineRule="exact"/>
              <w:rPr>
                <w:rFonts w:ascii="標楷體" w:eastAsia="標楷體" w:hAnsi="標楷體" w:cs="標楷體"/>
                <w:sz w:val="28"/>
                <w:szCs w:val="28"/>
              </w:rPr>
            </w:pPr>
            <w:r>
              <w:rPr>
                <w:rFonts w:ascii="標楷體" w:eastAsia="標楷體" w:hAnsi="標楷體" w:cs="標楷體" w:hint="eastAsia"/>
                <w:sz w:val="28"/>
                <w:szCs w:val="28"/>
              </w:rPr>
              <w:t>3.</w:t>
            </w:r>
            <w:r w:rsidRPr="00573D4D">
              <w:rPr>
                <w:rFonts w:ascii="標楷體" w:eastAsia="標楷體" w:hAnsi="標楷體" w:cs="標楷體"/>
                <w:sz w:val="28"/>
                <w:szCs w:val="28"/>
              </w:rPr>
              <w:t>開發AVMR應用示範案例3件</w:t>
            </w:r>
          </w:p>
        </w:tc>
        <w:tc>
          <w:tcPr>
            <w:tcW w:w="1813" w:type="dxa"/>
            <w:vAlign w:val="center"/>
          </w:tcPr>
          <w:p w:rsidR="00A52DD2" w:rsidRPr="00573D4D" w:rsidRDefault="00A52DD2" w:rsidP="00F035E0">
            <w:pPr>
              <w:spacing w:line="480" w:lineRule="exact"/>
              <w:jc w:val="center"/>
              <w:rPr>
                <w:rFonts w:ascii="標楷體" w:eastAsia="標楷體" w:hAnsi="標楷體" w:cs="標楷體"/>
                <w:sz w:val="32"/>
                <w:szCs w:val="32"/>
              </w:rPr>
            </w:pPr>
            <w:r w:rsidRPr="00573D4D">
              <w:rPr>
                <w:rFonts w:ascii="標楷體" w:eastAsia="標楷體" w:hAnsi="標楷體" w:cs="標楷體"/>
                <w:sz w:val="32"/>
                <w:szCs w:val="32"/>
              </w:rPr>
              <w:t>5</w:t>
            </w:r>
          </w:p>
        </w:tc>
        <w:tc>
          <w:tcPr>
            <w:tcW w:w="1760" w:type="dxa"/>
            <w:vAlign w:val="center"/>
          </w:tcPr>
          <w:p w:rsidR="00A52DD2" w:rsidRPr="00573D4D" w:rsidRDefault="00A52DD2" w:rsidP="00F035E0">
            <w:pPr>
              <w:spacing w:line="480" w:lineRule="exact"/>
              <w:jc w:val="center"/>
              <w:rPr>
                <w:rFonts w:ascii="標楷體" w:eastAsia="標楷體" w:hAnsi="標楷體" w:cs="標楷體"/>
                <w:sz w:val="32"/>
                <w:szCs w:val="32"/>
              </w:rPr>
            </w:pPr>
            <w:r w:rsidRPr="00573D4D">
              <w:rPr>
                <w:rFonts w:ascii="標楷體" w:eastAsia="標楷體" w:hAnsi="標楷體" w:cs="標楷體"/>
                <w:sz w:val="32"/>
                <w:szCs w:val="32"/>
              </w:rPr>
              <w:t>15</w:t>
            </w:r>
          </w:p>
        </w:tc>
        <w:tc>
          <w:tcPr>
            <w:tcW w:w="1760" w:type="dxa"/>
            <w:vAlign w:val="center"/>
          </w:tcPr>
          <w:p w:rsidR="00A52DD2" w:rsidRPr="00573D4D" w:rsidRDefault="00A52DD2" w:rsidP="00F035E0">
            <w:pPr>
              <w:spacing w:line="480" w:lineRule="exact"/>
              <w:jc w:val="center"/>
              <w:rPr>
                <w:rFonts w:ascii="標楷體" w:eastAsia="標楷體" w:hAnsi="標楷體" w:cs="標楷體"/>
                <w:sz w:val="32"/>
                <w:szCs w:val="32"/>
              </w:rPr>
            </w:pPr>
            <w:r w:rsidRPr="00573D4D">
              <w:rPr>
                <w:rFonts w:ascii="標楷體" w:eastAsia="標楷體" w:hAnsi="標楷體" w:cs="標楷體"/>
                <w:sz w:val="32"/>
                <w:szCs w:val="32"/>
              </w:rPr>
              <w:t>3</w:t>
            </w:r>
          </w:p>
        </w:tc>
      </w:tr>
      <w:tr w:rsidR="00A52DD2" w:rsidRPr="00573D4D" w:rsidTr="00F035E0">
        <w:trPr>
          <w:jc w:val="center"/>
        </w:trPr>
        <w:tc>
          <w:tcPr>
            <w:tcW w:w="4063" w:type="dxa"/>
          </w:tcPr>
          <w:p w:rsidR="00A52DD2" w:rsidRPr="00573D4D" w:rsidRDefault="00A52DD2" w:rsidP="00F035E0">
            <w:pPr>
              <w:pBdr>
                <w:top w:val="nil"/>
                <w:left w:val="nil"/>
                <w:bottom w:val="nil"/>
                <w:right w:val="nil"/>
                <w:between w:val="nil"/>
              </w:pBdr>
              <w:spacing w:line="480" w:lineRule="exact"/>
              <w:rPr>
                <w:rFonts w:ascii="標楷體" w:eastAsia="標楷體" w:hAnsi="標楷體" w:cs="標楷體"/>
                <w:sz w:val="28"/>
                <w:szCs w:val="28"/>
              </w:rPr>
            </w:pPr>
            <w:r>
              <w:rPr>
                <w:rFonts w:ascii="標楷體" w:eastAsia="標楷體" w:hAnsi="標楷體" w:cs="標楷體" w:hint="eastAsia"/>
                <w:sz w:val="28"/>
                <w:szCs w:val="28"/>
              </w:rPr>
              <w:t>4.</w:t>
            </w:r>
            <w:r w:rsidRPr="00573D4D">
              <w:rPr>
                <w:rFonts w:ascii="標楷體" w:eastAsia="標楷體" w:hAnsi="標楷體" w:cs="標楷體"/>
                <w:sz w:val="28"/>
                <w:szCs w:val="28"/>
              </w:rPr>
              <w:t>產業人才培育200人次</w:t>
            </w:r>
          </w:p>
        </w:tc>
        <w:tc>
          <w:tcPr>
            <w:tcW w:w="1813" w:type="dxa"/>
            <w:vAlign w:val="center"/>
          </w:tcPr>
          <w:p w:rsidR="00A52DD2" w:rsidRPr="00573D4D" w:rsidRDefault="00A52DD2" w:rsidP="00F035E0">
            <w:pPr>
              <w:spacing w:line="480" w:lineRule="exact"/>
              <w:jc w:val="center"/>
              <w:rPr>
                <w:rFonts w:ascii="標楷體" w:eastAsia="標楷體" w:hAnsi="標楷體" w:cs="標楷體"/>
                <w:sz w:val="32"/>
                <w:szCs w:val="32"/>
              </w:rPr>
            </w:pPr>
            <w:r w:rsidRPr="00573D4D">
              <w:rPr>
                <w:rFonts w:ascii="標楷體" w:eastAsia="標楷體" w:hAnsi="標楷體" w:cs="標楷體"/>
                <w:sz w:val="32"/>
                <w:szCs w:val="32"/>
              </w:rPr>
              <w:t>568</w:t>
            </w:r>
          </w:p>
        </w:tc>
        <w:tc>
          <w:tcPr>
            <w:tcW w:w="1760" w:type="dxa"/>
            <w:vAlign w:val="center"/>
          </w:tcPr>
          <w:p w:rsidR="00A52DD2" w:rsidRPr="00573D4D" w:rsidRDefault="00A52DD2" w:rsidP="00F035E0">
            <w:pPr>
              <w:spacing w:line="480" w:lineRule="exact"/>
              <w:jc w:val="center"/>
              <w:rPr>
                <w:rFonts w:ascii="標楷體" w:eastAsia="標楷體" w:hAnsi="標楷體" w:cs="標楷體"/>
                <w:sz w:val="32"/>
                <w:szCs w:val="32"/>
              </w:rPr>
            </w:pPr>
            <w:r w:rsidRPr="00573D4D">
              <w:rPr>
                <w:rFonts w:ascii="標楷體" w:eastAsia="標楷體" w:hAnsi="標楷體" w:cs="標楷體"/>
                <w:sz w:val="32"/>
                <w:szCs w:val="32"/>
              </w:rPr>
              <w:t>2,707</w:t>
            </w:r>
          </w:p>
        </w:tc>
        <w:tc>
          <w:tcPr>
            <w:tcW w:w="1760" w:type="dxa"/>
            <w:vAlign w:val="center"/>
          </w:tcPr>
          <w:p w:rsidR="00A52DD2" w:rsidRPr="00573D4D" w:rsidRDefault="00A52DD2" w:rsidP="00F035E0">
            <w:pPr>
              <w:spacing w:line="480" w:lineRule="exact"/>
              <w:jc w:val="center"/>
              <w:rPr>
                <w:rFonts w:ascii="標楷體" w:eastAsia="標楷體" w:hAnsi="標楷體" w:cs="標楷體"/>
                <w:sz w:val="32"/>
                <w:szCs w:val="32"/>
              </w:rPr>
            </w:pPr>
            <w:r w:rsidRPr="00573D4D">
              <w:rPr>
                <w:rFonts w:ascii="標楷體" w:eastAsia="標楷體" w:hAnsi="標楷體" w:cs="標楷體"/>
                <w:sz w:val="32"/>
                <w:szCs w:val="32"/>
              </w:rPr>
              <w:t>4,450</w:t>
            </w:r>
          </w:p>
        </w:tc>
      </w:tr>
      <w:tr w:rsidR="00A52DD2" w:rsidRPr="00573D4D" w:rsidTr="00F035E0">
        <w:trPr>
          <w:jc w:val="center"/>
        </w:trPr>
        <w:tc>
          <w:tcPr>
            <w:tcW w:w="4063" w:type="dxa"/>
          </w:tcPr>
          <w:p w:rsidR="00A52DD2" w:rsidRPr="00573D4D" w:rsidRDefault="00A52DD2" w:rsidP="00F035E0">
            <w:pPr>
              <w:pBdr>
                <w:top w:val="nil"/>
                <w:left w:val="nil"/>
                <w:bottom w:val="nil"/>
                <w:right w:val="nil"/>
                <w:between w:val="nil"/>
              </w:pBdr>
              <w:spacing w:line="480" w:lineRule="exact"/>
              <w:rPr>
                <w:rFonts w:ascii="標楷體" w:eastAsia="標楷體" w:hAnsi="標楷體" w:cs="標楷體"/>
                <w:sz w:val="28"/>
                <w:szCs w:val="28"/>
              </w:rPr>
            </w:pPr>
            <w:r>
              <w:rPr>
                <w:rFonts w:ascii="標楷體" w:eastAsia="標楷體" w:hAnsi="標楷體" w:cs="標楷體" w:hint="eastAsia"/>
                <w:sz w:val="28"/>
                <w:szCs w:val="28"/>
              </w:rPr>
              <w:t>5.</w:t>
            </w:r>
            <w:r w:rsidRPr="00573D4D">
              <w:rPr>
                <w:rFonts w:ascii="標楷體" w:eastAsia="標楷體" w:hAnsi="標楷體" w:cs="標楷體"/>
                <w:sz w:val="28"/>
                <w:szCs w:val="28"/>
              </w:rPr>
              <w:t>媒合業者取得多元資金10件</w:t>
            </w:r>
          </w:p>
        </w:tc>
        <w:tc>
          <w:tcPr>
            <w:tcW w:w="1813" w:type="dxa"/>
            <w:vAlign w:val="center"/>
          </w:tcPr>
          <w:p w:rsidR="00A52DD2" w:rsidRPr="00573D4D" w:rsidRDefault="00A52DD2" w:rsidP="00F035E0">
            <w:pPr>
              <w:spacing w:line="480" w:lineRule="exact"/>
              <w:jc w:val="center"/>
              <w:rPr>
                <w:rFonts w:ascii="標楷體" w:eastAsia="標楷體" w:hAnsi="標楷體" w:cs="標楷體"/>
                <w:sz w:val="32"/>
                <w:szCs w:val="32"/>
              </w:rPr>
            </w:pPr>
            <w:r w:rsidRPr="00573D4D">
              <w:rPr>
                <w:rFonts w:ascii="標楷體" w:eastAsia="標楷體" w:hAnsi="標楷體" w:cs="標楷體"/>
                <w:sz w:val="32"/>
                <w:szCs w:val="32"/>
              </w:rPr>
              <w:t>11</w:t>
            </w:r>
          </w:p>
        </w:tc>
        <w:tc>
          <w:tcPr>
            <w:tcW w:w="1760" w:type="dxa"/>
            <w:vAlign w:val="center"/>
          </w:tcPr>
          <w:p w:rsidR="00A52DD2" w:rsidRPr="00573D4D" w:rsidRDefault="00A52DD2" w:rsidP="00F035E0">
            <w:pPr>
              <w:spacing w:line="480" w:lineRule="exact"/>
              <w:jc w:val="center"/>
              <w:rPr>
                <w:rFonts w:ascii="標楷體" w:eastAsia="標楷體" w:hAnsi="標楷體" w:cs="標楷體"/>
                <w:sz w:val="32"/>
                <w:szCs w:val="32"/>
              </w:rPr>
            </w:pPr>
            <w:r w:rsidRPr="00573D4D">
              <w:rPr>
                <w:rFonts w:ascii="標楷體" w:eastAsia="標楷體" w:hAnsi="標楷體" w:cs="標楷體"/>
                <w:sz w:val="32"/>
                <w:szCs w:val="32"/>
              </w:rPr>
              <w:t>30</w:t>
            </w:r>
          </w:p>
        </w:tc>
        <w:tc>
          <w:tcPr>
            <w:tcW w:w="1760" w:type="dxa"/>
            <w:vAlign w:val="center"/>
          </w:tcPr>
          <w:p w:rsidR="00A52DD2" w:rsidRPr="00573D4D" w:rsidRDefault="00A52DD2" w:rsidP="00F035E0">
            <w:pPr>
              <w:spacing w:line="480" w:lineRule="exact"/>
              <w:jc w:val="center"/>
              <w:rPr>
                <w:rFonts w:ascii="標楷體" w:eastAsia="標楷體" w:hAnsi="標楷體" w:cs="標楷體"/>
                <w:sz w:val="32"/>
                <w:szCs w:val="32"/>
              </w:rPr>
            </w:pPr>
            <w:r w:rsidRPr="00573D4D">
              <w:rPr>
                <w:rFonts w:ascii="標楷體" w:eastAsia="標楷體" w:hAnsi="標楷體" w:cs="標楷體"/>
                <w:sz w:val="32"/>
                <w:szCs w:val="32"/>
              </w:rPr>
              <w:t>20</w:t>
            </w:r>
          </w:p>
        </w:tc>
      </w:tr>
      <w:tr w:rsidR="00A52DD2" w:rsidRPr="00573D4D" w:rsidTr="00F035E0">
        <w:trPr>
          <w:jc w:val="center"/>
        </w:trPr>
        <w:tc>
          <w:tcPr>
            <w:tcW w:w="4063" w:type="dxa"/>
          </w:tcPr>
          <w:p w:rsidR="00A52DD2" w:rsidRPr="00573D4D" w:rsidRDefault="00A52DD2" w:rsidP="00F035E0">
            <w:pPr>
              <w:pBdr>
                <w:top w:val="nil"/>
                <w:left w:val="nil"/>
                <w:bottom w:val="nil"/>
                <w:right w:val="nil"/>
                <w:between w:val="nil"/>
              </w:pBdr>
              <w:spacing w:line="480" w:lineRule="exact"/>
              <w:rPr>
                <w:rFonts w:ascii="標楷體" w:eastAsia="標楷體" w:hAnsi="標楷體" w:cs="標楷體"/>
                <w:sz w:val="28"/>
                <w:szCs w:val="28"/>
              </w:rPr>
            </w:pPr>
            <w:r>
              <w:rPr>
                <w:rFonts w:ascii="標楷體" w:eastAsia="標楷體" w:hAnsi="標楷體" w:cs="標楷體" w:hint="eastAsia"/>
                <w:sz w:val="28"/>
                <w:szCs w:val="28"/>
              </w:rPr>
              <w:t>6.</w:t>
            </w:r>
            <w:r w:rsidRPr="00573D4D">
              <w:rPr>
                <w:rFonts w:ascii="標楷體" w:eastAsia="標楷體" w:hAnsi="標楷體" w:cs="標楷體"/>
                <w:sz w:val="28"/>
                <w:szCs w:val="28"/>
              </w:rPr>
              <w:t>文化品牌國際連結活動3案</w:t>
            </w:r>
          </w:p>
        </w:tc>
        <w:tc>
          <w:tcPr>
            <w:tcW w:w="1813" w:type="dxa"/>
            <w:vAlign w:val="center"/>
          </w:tcPr>
          <w:p w:rsidR="00A52DD2" w:rsidRPr="00573D4D" w:rsidRDefault="00A52DD2" w:rsidP="00F035E0">
            <w:pPr>
              <w:spacing w:line="480" w:lineRule="exact"/>
              <w:jc w:val="center"/>
              <w:rPr>
                <w:rFonts w:ascii="標楷體" w:eastAsia="標楷體" w:hAnsi="標楷體" w:cs="標楷體"/>
                <w:sz w:val="32"/>
                <w:szCs w:val="32"/>
              </w:rPr>
            </w:pPr>
            <w:r w:rsidRPr="00573D4D">
              <w:rPr>
                <w:rFonts w:ascii="標楷體" w:eastAsia="標楷體" w:hAnsi="標楷體" w:cs="標楷體"/>
                <w:sz w:val="32"/>
                <w:szCs w:val="32"/>
              </w:rPr>
              <w:t>9</w:t>
            </w:r>
          </w:p>
        </w:tc>
        <w:tc>
          <w:tcPr>
            <w:tcW w:w="1760" w:type="dxa"/>
            <w:vAlign w:val="center"/>
          </w:tcPr>
          <w:p w:rsidR="00A52DD2" w:rsidRPr="00573D4D" w:rsidRDefault="00A52DD2" w:rsidP="00F035E0">
            <w:pPr>
              <w:spacing w:line="480" w:lineRule="exact"/>
              <w:jc w:val="center"/>
              <w:rPr>
                <w:rFonts w:ascii="標楷體" w:eastAsia="標楷體" w:hAnsi="標楷體" w:cs="標楷體"/>
                <w:sz w:val="32"/>
                <w:szCs w:val="32"/>
              </w:rPr>
            </w:pPr>
            <w:r w:rsidRPr="00573D4D">
              <w:rPr>
                <w:rFonts w:ascii="標楷體" w:eastAsia="標楷體" w:hAnsi="標楷體" w:cs="標楷體"/>
                <w:sz w:val="32"/>
                <w:szCs w:val="32"/>
              </w:rPr>
              <w:t>7</w:t>
            </w:r>
          </w:p>
        </w:tc>
        <w:tc>
          <w:tcPr>
            <w:tcW w:w="1760" w:type="dxa"/>
            <w:vAlign w:val="center"/>
          </w:tcPr>
          <w:p w:rsidR="00A52DD2" w:rsidRPr="00573D4D" w:rsidRDefault="00A52DD2" w:rsidP="00F035E0">
            <w:pPr>
              <w:spacing w:line="480" w:lineRule="exact"/>
              <w:jc w:val="center"/>
              <w:rPr>
                <w:rFonts w:ascii="標楷體" w:eastAsia="標楷體" w:hAnsi="標楷體" w:cs="標楷體"/>
                <w:sz w:val="32"/>
                <w:szCs w:val="32"/>
              </w:rPr>
            </w:pPr>
            <w:r w:rsidRPr="00573D4D">
              <w:rPr>
                <w:rFonts w:ascii="標楷體" w:eastAsia="標楷體" w:hAnsi="標楷體" w:cs="標楷體"/>
                <w:sz w:val="32"/>
                <w:szCs w:val="32"/>
              </w:rPr>
              <w:t>7</w:t>
            </w:r>
          </w:p>
        </w:tc>
      </w:tr>
    </w:tbl>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提案人：萬美玲</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連署人：林奕華  鄭正鈐</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(七十三)行政法人文化內容策進院扮演支持文創產業之重要角色，近年雖業務執行量增加，然預算執行率仍有待加強，且屢</w:t>
      </w:r>
      <w:r w:rsidRPr="00573D4D">
        <w:rPr>
          <w:rFonts w:ascii="標楷體" w:eastAsia="標楷體" w:hAnsi="標楷體" w:hint="eastAsia"/>
          <w:snapToGrid w:val="0"/>
          <w:sz w:val="32"/>
          <w:szCs w:val="32"/>
        </w:rPr>
        <w:lastRenderedPageBreak/>
        <w:t>遭外界批評過於注重媒體宣傳卻未實質關心產業(業者)現況，與業者期待有些許落差。另112年度預算增列9</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543萬元，應具體說明增列的項目、分配之預算及原因，避免文策院預算過度膨脹卻未相對強化責任。爰請文化部針對行政法人文化內容策進院未來如何加強業者意見回饋及協助產業發展以及112年度預算增列之具體規劃及分配，並於3個月向立法院教育及文化委員會提出書面報告。105</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提案人：林奕華</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連署人：鄭正鈐  黃國書</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七十四)根據「行政法人法」第16條及第17條規定，以及「文化內容策進院設置條例」第23條規定，監督機關每年應邀集有關機關代表、學者專家及社會公正人士辦理該院之績效評鑑，且績效評鑑的內容應包含年度執行成果之考核、業務績效及目標達成率之評量、年度自籌款比率達成率、經費核撥之建議和其他有關事項。經查，行政法人文化內容策進院迄111年9月底，其110年度文策院績效評鑑報告尚未完成，且「年度自籌款比率達成率」從未納入績效評鑑項目，於法未合。另查，根據「文化內容策進院設置條例」第7條規定，文策院每年應舉行諮詢會議，邀請文化內容相關學者專家及產業、團體、法人與機構之代表，就文策院發展與業務等相關事項，提供諮詢意見；諮詢會議之過程應全程公開。究查文策院之產業諮詢會網頁發現，其產業諮詢會多以文章充斥，且會議內容多以節錄表示，並未依法全程公開。綜上，要求文化部針對行政法人文化內容策進院之可供自償項目提出書面報告，並應依照「文化內容策進院設置條例」第7條規定全程公開諮詢會議。106</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提案人：張廖萬堅</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連署人：何欣純  黃國書</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(七十五)112年度文化部「文化創意產業發展業務」項下「行政</w:t>
      </w:r>
      <w:r w:rsidRPr="00573D4D">
        <w:rPr>
          <w:rFonts w:ascii="標楷體" w:eastAsia="標楷體" w:hAnsi="標楷體" w:hint="eastAsia"/>
          <w:snapToGrid w:val="0"/>
          <w:sz w:val="32"/>
          <w:szCs w:val="32"/>
        </w:rPr>
        <w:lastRenderedPageBreak/>
        <w:t>法人文化內容策進院營運與發展」編列之預算包含補助文策院執行推動產業動能，催生未來內容產業等相關經費，較111年度增列9,543萬元，惟行政法人文化內容策進院致力於推廣文化相關產業，其社群平台卻一直難以吸引民眾閱覽。文策院允宜積極宣傳文策院之推動業務，並訂定相關社群平台目標，進而幫助文化部監督文策院之宣傳成效是否達到預期。爰請文化部督促行政法人文化內容策進院訂定社群平台目標並提升宣傳效益。110</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提案人：陳秀寳  賴品妤  黃國書</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七十六)112年度文化部「文化創意產業發展業務」項下「空總臺灣當代文化實驗場計畫」預算編列2億2,160萬元，用於辦理空總臺灣當代文化實驗場第二期整體計畫及其相關古蹟與歷史建築修復再利用等相關業務經費所需。另查，空總臺灣當代文化實驗場基地之都市計畫變更案自110年7月文化部送都市計畫變更概要至臺北市政府後，因相關回饋方案尚未與北市府達成共識，導致目前後續都市計畫變更作業亦未能順利執行，進而影響後續整體規劃利用作業之進行。文化部應加速與臺北市政府協調都市計畫變更方案。112</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提案人：萬美玲</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連署人：林奕華  鄭正鈐</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七十七)112年度文化部「文化創意產業發展業務」項下「空總臺灣當代文化實驗場計畫」預算編列2億2,160萬元。辦理空總臺灣當代文化實驗場第二期整體計畫，主要內容為辦理古蹟與歷史建築修復再利用工程以及於全區推廣各項活動、實驗創新計畫及合作計畫等。另查，空總臺灣當代文化實驗場基地之都市計畫變更案</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自110年7月文化部送都市計畫變更概要至臺北市政府後，因相關回饋方案尚未與北市府達成共識，導致目前後續都市計畫變更作業亦未能順利執行，進而影響後續整體規劃利用作業之進行。綜上所述，請文化</w:t>
      </w:r>
      <w:r w:rsidRPr="00573D4D">
        <w:rPr>
          <w:rFonts w:ascii="標楷體" w:eastAsia="標楷體" w:hAnsi="標楷體" w:hint="eastAsia"/>
          <w:snapToGrid w:val="0"/>
          <w:sz w:val="32"/>
          <w:szCs w:val="32"/>
        </w:rPr>
        <w:lastRenderedPageBreak/>
        <w:t>部應積極爭取行政支持，以「南側古蹟保存區、北側文教用地、免回饋」之都市計畫變更方案，賡續與臺北市政府協商，儘速完成空總都市計畫變更。113</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提案人：吳思瑤</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連署人：黃國書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七十八)112年度文化部「文化創意產業發展業務」項下「空總臺灣當代文化實驗場計畫」預算編列2億2,160萬元。臺北市空軍總司令部舊址歷經停止開發，由經濟部工業局接管成立「空總創新基地」，到現在的移交文化部成立「臺灣當代文化實驗場」，且劃設為歷史建築，空總已多年未進行整體整修及開發。對於空總之開發，文化部與臺北市政府已爭論3年多，終於111年3月始確定分為古蹟保存區作為表演藝術產業聚落，文教用地則設置「國家博物館」，然對於博物館之定位，民眾交通、參觀動線，如何利於民眾近於其藝文資源，文化部應詳盡規劃儘速完成空總之整修及利用規劃，使其得到最大限度之活化、再利用。115</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提案人：黃國書  賴品妤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七十九)有鑑於聯合國教育、科學及文化組織(UNESCO)所發布之「教科文組織對創意產業的新經濟影響展望」之資料，指出2020全球文化創意產業總值縮水7,500億美元，不同國家之收入損失幅度約為20%至40%，失業人數估計超過1,000萬人，嚴重影響創意工作者的生計，其中自由職業者的收入損失和失業率更高，迫切需要加強全球藝術家和文化專業人士的社會和經濟權利，提高人們對投資創意產業、保護藝術家地位和數位轉型必要性認知，作為推進2030年SDGs重要步驟。針對嚴重特殊傳染性肺炎疫情肆虐，UNESCO呼籲搶救全球文化事業。文化部因應疫情推出藝FUN券政策，透過補助、促進民眾消費支持國內藝文產業，提振藝文消費；又查於112年度賡續推動「文化禮金」政策，透過公私協力方式，</w:t>
      </w:r>
      <w:r w:rsidRPr="00573D4D">
        <w:rPr>
          <w:rFonts w:ascii="標楷體" w:eastAsia="標楷體" w:hAnsi="標楷體" w:hint="eastAsia"/>
          <w:snapToGrid w:val="0"/>
          <w:sz w:val="32"/>
          <w:szCs w:val="32"/>
        </w:rPr>
        <w:lastRenderedPageBreak/>
        <w:t>補助18歲青年1,200元用於藝文消費，作為文化成年禮。上開政策立意甚佳，惟一生一次的模式，恐不利於國人從小培養藝文消費習慣</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吳委員思瑤業於2022年11月8日質詢行政院蘇院長貞昌，並獲蘇院長貞昌正面支持，請文化部於112年度計畫結束後6個月內就執行成效檢討，併同下列擴大文化禮金事宜，向立法院教育及文化委員會提出書面報告：1.積極與財政機關爭取預算，並研議年紀向下延伸、一年一次之可行性；2.為落實文化平權、應優先以青年、長者、偏鄉等弱勢族群擴大發放，俾使「文化禮金」作深且廣，方有利文化永續。121</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提案人：吳思瑤  黃國書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(八十)文化部為提振文化產業，以中央政府嚴重特殊傳染性肺炎防治及紓困振興特別預算編列藝FUN券之預算，而有鼓勵文化消費之成效</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然依據100年度審計部審核報告指出，實際消費者使用藝FUN券之店家數及金額分別占適用藝FUN券之店家數及發放金額比率之27.17%、85.85%</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換言之約有近三成之店家，接受約八成五消費者使用藝FUN券進行消費，消費類別顯有過度集中之傾向。112年度文化部將提出文化禮金之政策，係使藝FUN券常態化，並參酌歐陸國家之文化政策，鼓勵青年文化消費措施，以促進藝文產業發展，然上開藝FUN券具體成效之困境，於常態化後，仍有待解決。是故，文化部應深入了解各文化產業特性及消費習慣，提出更妥善之政策，並於3個月內向立法院教育及文化委員會提出書面報告。122</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提案人：林宜瑾</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連署人：何欣純  黃國書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(八十一)文化部現行國家電影文物存放於行政法人國家電影及視聽文化中心位於樹林工業區片庫，然而未符合典藏片庫應有之保存條件，爰籌建影視廳中心二期場館，並於其中建置專</w:t>
      </w:r>
      <w:r w:rsidRPr="00573D4D">
        <w:rPr>
          <w:rFonts w:ascii="標楷體" w:eastAsia="標楷體" w:hAnsi="標楷體" w:hint="eastAsia"/>
          <w:snapToGrid w:val="0"/>
          <w:sz w:val="32"/>
          <w:szCs w:val="32"/>
        </w:rPr>
        <w:lastRenderedPageBreak/>
        <w:t>業典藏庫房。依國際典藏標準，電影片及其相關文物之保存環境，可分為涼藏、冷藏及凍藏。涼藏之溫度為攝氏</w:t>
      </w:r>
      <w:r w:rsidRPr="00573D4D">
        <w:rPr>
          <w:rFonts w:ascii="標楷體" w:eastAsia="標楷體" w:hAnsi="標楷體"/>
          <w:snapToGrid w:val="0"/>
          <w:sz w:val="32"/>
          <w:szCs w:val="32"/>
        </w:rPr>
        <w:t>12</w:t>
      </w:r>
      <w:r w:rsidRPr="00573D4D">
        <w:rPr>
          <w:rFonts w:ascii="標楷體" w:eastAsia="標楷體" w:hAnsi="標楷體" w:hint="eastAsia"/>
          <w:snapToGrid w:val="0"/>
          <w:sz w:val="32"/>
          <w:szCs w:val="32"/>
        </w:rPr>
        <w:t>度，冷藏為攝氏</w:t>
      </w:r>
      <w:r w:rsidRPr="00573D4D">
        <w:rPr>
          <w:rFonts w:ascii="標楷體" w:eastAsia="標楷體" w:hAnsi="標楷體"/>
          <w:snapToGrid w:val="0"/>
          <w:sz w:val="32"/>
          <w:szCs w:val="32"/>
        </w:rPr>
        <w:t>4</w:t>
      </w:r>
      <w:r w:rsidRPr="00573D4D">
        <w:rPr>
          <w:rFonts w:ascii="標楷體" w:eastAsia="標楷體" w:hAnsi="標楷體" w:hint="eastAsia"/>
          <w:snapToGrid w:val="0"/>
          <w:sz w:val="32"/>
          <w:szCs w:val="32"/>
        </w:rPr>
        <w:t>度，凍藏為攝氏負</w:t>
      </w:r>
      <w:r w:rsidRPr="00573D4D">
        <w:rPr>
          <w:rFonts w:ascii="標楷體" w:eastAsia="標楷體" w:hAnsi="標楷體"/>
          <w:snapToGrid w:val="0"/>
          <w:sz w:val="32"/>
          <w:szCs w:val="32"/>
        </w:rPr>
        <w:t>10</w:t>
      </w:r>
      <w:r w:rsidRPr="00573D4D">
        <w:rPr>
          <w:rFonts w:ascii="標楷體" w:eastAsia="標楷體" w:hAnsi="標楷體" w:hint="eastAsia"/>
          <w:snapToGrid w:val="0"/>
          <w:sz w:val="32"/>
          <w:szCs w:val="32"/>
        </w:rPr>
        <w:t>度，且應依其材質給予不同溼度之保存環境。現行行政法人國家電影及視聽文化中心典藏之所有影視及廣播文物保存空間僅能安裝一般中央空調，最低溫僅能達到攝氏</w:t>
      </w:r>
      <w:r w:rsidRPr="00573D4D">
        <w:rPr>
          <w:rFonts w:ascii="標楷體" w:eastAsia="標楷體" w:hAnsi="標楷體"/>
          <w:snapToGrid w:val="0"/>
          <w:sz w:val="32"/>
          <w:szCs w:val="32"/>
        </w:rPr>
        <w:t>20</w:t>
      </w:r>
      <w:r w:rsidRPr="00573D4D">
        <w:rPr>
          <w:rFonts w:ascii="標楷體" w:eastAsia="標楷體" w:hAnsi="標楷體" w:hint="eastAsia"/>
          <w:snapToGrid w:val="0"/>
          <w:sz w:val="32"/>
          <w:szCs w:val="32"/>
        </w:rPr>
        <w:t>度、相對溼度約</w:t>
      </w:r>
      <w:r w:rsidRPr="00573D4D">
        <w:rPr>
          <w:rFonts w:ascii="標楷體" w:eastAsia="標楷體" w:hAnsi="標楷體"/>
          <w:snapToGrid w:val="0"/>
          <w:sz w:val="32"/>
          <w:szCs w:val="32"/>
        </w:rPr>
        <w:t>50%</w:t>
      </w:r>
      <w:r w:rsidRPr="00573D4D">
        <w:rPr>
          <w:rFonts w:ascii="標楷體" w:eastAsia="標楷體" w:hAnsi="標楷體" w:hint="eastAsia"/>
          <w:snapToGrid w:val="0"/>
          <w:sz w:val="32"/>
          <w:szCs w:val="32"/>
        </w:rPr>
        <w:t>，均未達涼藏、冷藏及凍藏之溫度標準。且因現行保存空間不足，而將保存狀況優劣不齊之文物，存放於同一溫溼度空間，恐致文物間彼此交互影響，加速文物衰敗之情形，然專業典藏庫房，需於</w:t>
      </w:r>
      <w:r w:rsidRPr="00573D4D">
        <w:rPr>
          <w:rFonts w:ascii="標楷體" w:eastAsia="標楷體" w:hAnsi="標楷體"/>
          <w:snapToGrid w:val="0"/>
          <w:sz w:val="32"/>
          <w:szCs w:val="32"/>
        </w:rPr>
        <w:t>118</w:t>
      </w:r>
      <w:r w:rsidRPr="00573D4D">
        <w:rPr>
          <w:rFonts w:ascii="標楷體" w:eastAsia="標楷體" w:hAnsi="標楷體" w:hint="eastAsia"/>
          <w:snapToGrid w:val="0"/>
          <w:sz w:val="32"/>
          <w:szCs w:val="32"/>
        </w:rPr>
        <w:t>年底始能完成籌建，對於電影文物保存恐緩不濟急。綜上，請文化部檢討改善，並於3個月內向立法院教育及文化委員會提出書面報告，以避免我國電影文物衰敗劣化。123</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提案人：黃國書  林宜瑾  何欣純</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八十二)由於疫情趨緩，國內外歌手及樂團紛紛在台舉辦實體演唱會，許多民眾許久未見的外國歌手及樂團來台，更是造成演唱會門票迅速搶購一空。然黃牛卻進一步提高了民眾購買門票的困難程度，黃牛透過集團及電腦程式的運作提高購得門票之機率，並轉手高價賣出，目前國內知名歌手的演唱會門票被喊到13萬元，韓國女子團體的門票更是喊到了40萬元的高價。現行僅依「社會秩序維護法」來約束黃牛，但「社會秩序維護法」第19條規範了懲罰力度之上限，最高僅能處以6萬元之罰鍰，最多5日之拘留，因此「社會秩序維護法」的嚇阻效果有限。但日本在奧林匹克運動會舉辦前為了杜絕黃牛，訂立「票券不當轉賣禁止法」，對於黃牛最高得處1年以下有期徒刑併科100萬日圓以下罰金。而我國「鐵路法」亦針對販賣黃牛車票的行為，得處每張車票價格之5倍至30倍罰鍰。綜上，請文化部與日本文化廳看齊，作為管</w:t>
      </w:r>
      <w:r w:rsidRPr="00573D4D">
        <w:rPr>
          <w:rFonts w:ascii="標楷體" w:eastAsia="標楷體" w:hAnsi="標楷體" w:hint="eastAsia"/>
          <w:snapToGrid w:val="0"/>
          <w:sz w:val="32"/>
          <w:szCs w:val="32"/>
        </w:rPr>
        <w:lastRenderedPageBreak/>
        <w:t>制黃牛票的主管機關，</w:t>
      </w:r>
      <w:r>
        <w:rPr>
          <w:rFonts w:ascii="標楷體" w:eastAsia="標楷體" w:hAnsi="標楷體" w:hint="eastAsia"/>
          <w:snapToGrid w:val="0"/>
          <w:sz w:val="32"/>
          <w:szCs w:val="32"/>
        </w:rPr>
        <w:t>請文化部</w:t>
      </w:r>
      <w:r w:rsidRPr="00573D4D">
        <w:rPr>
          <w:rFonts w:ascii="標楷體" w:eastAsia="標楷體" w:hAnsi="標楷體" w:hint="eastAsia"/>
          <w:snapToGrid w:val="0"/>
          <w:sz w:val="32"/>
          <w:szCs w:val="32"/>
        </w:rPr>
        <w:t>邀集相關部會討論未來修法方向，研議「黃牛票專法」，降低黃牛對於民眾參與活動之影響，並於3個月內向立法院教育及文化委員會提供書面報告。124</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提案人：黃國書  林宜瑾  何欣純</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八十三)文化部於111年8月17日發布「文化部辦理藝文表演票券售票業者優化身心障礙者線上購票系統補助作業要點」，鼓勵售票業者介接文化部系統，補助業者金額每案上限30萬元。然前開補助為鼓勵性質，文化部目前邀集16家售票業者及18家主辦單位召開說明會，僅7家申請補助，欲購票之身心障礙人士須用傳真購買輪椅席位仍時有所聞，用傳真購票方式需耗費較其他線上或電子購票方式更多時間，且輪椅席位數量有限，往往身心障礙人士耗費時間卻又收到門票售罄之通知。綜上，請文化部除訂定補助作業要點以外，應主動接洽並輔導影音、藝文售票業者優化身心障礙者線上購買藝文表演票券流程，設定完成改善之目標家數，並於3個月內向立法院教育及文化委員會提出書面報告，以落實「文化平權」基本精神。125</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提案人：黃國書  何欣純  林宜瑾</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八十四)112年度文化部「影視及流行音樂發展業務」項下「影視及流行音樂策劃與發展」中「影視音政策規劃補助與跨域整合」預算編列1億2,493萬8千元，係111年度預算4,393萬8千元之2.8倍，有浮編之嫌。辦理影視音相關產業績優人士之急難慰助及展演活動補助業務，從111年度的120萬元，112年度增加至4,667萬5千元，有鑑於疫情自111年9月之後趨緩，文化部何以評估產業績優人士之急難救助需求暴增？補助財團法人中華民國電影事業發展基金會辦理金馬獎活動，從111年度的2,459萬元，112年度增加至6,059萬</w:t>
      </w:r>
      <w:r w:rsidRPr="00573D4D">
        <w:rPr>
          <w:rFonts w:ascii="標楷體" w:eastAsia="標楷體" w:hAnsi="標楷體" w:hint="eastAsia"/>
          <w:snapToGrid w:val="0"/>
          <w:sz w:val="32"/>
          <w:szCs w:val="32"/>
        </w:rPr>
        <w:lastRenderedPageBreak/>
        <w:t>元，經費暴增2.5倍，超出物價漲幅甚多，顯不合理。請文化部於3個月內向教育及文化委員會提出書面報告。126</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提案人：張廖萬堅</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連署人：黃國書  賴品妤</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八十五)經查行政院文化建設委員會「國際藝術及流行音樂中心計畫」於94年度專案工作報告中，就已規劃應分期興建北中南流行音樂及文化中心。近年台北流行音樂中心、高雄流行音樂中心皆已竣工營運，惟中部流行音樂中心至今仍缺乏興建計畫。為了能打造中部流行音樂產業基地，串連北中南Taiwan-POP產業，爰請文化部於5個月內向立法院教育及文化委員會提出台中流行音樂中心建設評估書面報告。131</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提案人：何欣純</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連署人：林宜瑾  吳思瑤</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八十六)文化部111年針對金鐘獎頒獎典禮進行多項改革，如：將電視金鐘獎頒獎典禮分為「節目類」及「戲劇類」2場次頒獎，讓典禮時間運用更有彈性，不因獎項過多而限縮典禮企製發揮空間；增設「造型設計獎」、「視覺特效獎」、「戲劇配樂獎」及「主題歌曲獎」4個獎項，提升對於影劇人才的肯定。然將節目類、戲劇類獎項分2天舉辦，最終典禮仍然超時，引來觀眾怨言；增設的「主題歌曲獎」亦發生最終得獎者不符「111年度電視金鐘獎獎勵要點」之獲獎資格，並於頒獎後</w:t>
      </w:r>
      <w:r>
        <w:rPr>
          <w:rFonts w:ascii="標楷體" w:eastAsia="標楷體" w:hAnsi="標楷體" w:hint="eastAsia"/>
          <w:snapToGrid w:val="0"/>
          <w:sz w:val="32"/>
          <w:szCs w:val="32"/>
        </w:rPr>
        <w:t>取消得獎資格，</w:t>
      </w:r>
      <w:r w:rsidRPr="00573D4D">
        <w:rPr>
          <w:rFonts w:ascii="標楷體" w:eastAsia="標楷體" w:hAnsi="標楷體" w:hint="eastAsia"/>
          <w:snapToGrid w:val="0"/>
          <w:sz w:val="32"/>
          <w:szCs w:val="32"/>
        </w:rPr>
        <w:t>引來與原得獎者的爭端。爰請文化部於1個月內向立法院教育及文化委員會提出書面檢討報告。132</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提案人：黃國書  何欣純  林宜瑾</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(八十七)目前行政法人國家電影及視聽文化中心二期興建計畫，預計要到118年底才能完成籌建及進駐專業庫房。然而現行影視聽中心典藏之所有影視及廣播文物保存空間僅安裝一般</w:t>
      </w:r>
      <w:r w:rsidRPr="00573D4D">
        <w:rPr>
          <w:rFonts w:ascii="標楷體" w:eastAsia="標楷體" w:hAnsi="標楷體" w:hint="eastAsia"/>
          <w:snapToGrid w:val="0"/>
          <w:sz w:val="32"/>
          <w:szCs w:val="32"/>
        </w:rPr>
        <w:lastRenderedPageBreak/>
        <w:t>中央空調，未能達涼藏、冷藏及凍藏之溫度標準；且因現行保存空間不足，將保存狀況優劣不齊之文物，存放於同一溫溼度空間，恐導致保存狀況較差之影視廣播文物影響狀況較佳的。另外，在專業庫房完成之前，行政法人國家電影及視聽文化中心仍需租賃樹林工業區廠房存放數十萬件我國珍貴影視文化資產，空間分散，且周邊各式工廠林立，現行存放環境溫溼度及安全性皆不盡理想。爰請文化部應檢討改善，並於3個月內向立法院教育及文化委員會提出書面報告，以避免我國影視文化資產劣化。134</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提案人：何欣純</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連署人：黃國書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(八十八)依據國際典藏標準，電影片及其相關文物之保存環境，可分為涼藏、冷藏、凍藏，而不同文物之保存，須依其材質給予不同溫溼度之保存環境</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然現行行政法人國家電影及視聽文化中心所典藏之影視及廣播文物保存空間僅能安裝於一般中央空調，恐未達各文物所需之涼藏、冷藏、凍藏之溫溼度標準</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且因現行保存空間不足，恐使影視及廣播文物有酸腐情形發生，雖文化部已經規劃建置專業典藏庫房，約於2029年進駐，然於「國家電影及視聽文化典藏專業設施改善及博物館建置計畫」完成前，文化部應妥善保管上開文物。爰請文化部檢討改善，並於3個月內向立法院教育及文化委員會提出書面報告。135</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提案人：林宜瑾</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連署人：吳思瑤  黃國書</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八十九)文化部「臺灣經典電影數位修復及加值利用」係科技計畫，總經費1億3,860萬元，執行期間109至112年，其中112年度文化部「影視及流行音樂發展業務」項下「影視及流行音樂策劃與發展」中「臺灣經典電影數位修復及加值利用」預算編列3,900萬元，係最後1年經費。經查，臺灣經</w:t>
      </w:r>
      <w:r w:rsidRPr="00573D4D">
        <w:rPr>
          <w:rFonts w:ascii="標楷體" w:eastAsia="標楷體" w:hAnsi="標楷體" w:hint="eastAsia"/>
          <w:snapToGrid w:val="0"/>
          <w:sz w:val="32"/>
          <w:szCs w:val="32"/>
        </w:rPr>
        <w:lastRenderedPageBreak/>
        <w:t>典電影數位修復及加值利用之執行成果良好，110年修復8部臺灣經典老電影、58部臺灣經典國語片、紀錄片等達成預定目標績效卓著。惟本科技計畫重點除「修復」之外，尚包括「加值利用」，關於經典電影如何運用5G或AI等前瞻科技予以加值利用部分有待加強（例如運用科技技術，吸引年輕人參與等）。爰此，請文化部於3個月內向立法院教育及文化委員會提出書面報告。136</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提案人：張廖萬堅</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連署人：何欣純  吳思瑤</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(九十)112年度文化部「影視及流行音樂發展業務」項下「影視及流行音樂策劃與發展」中「籌建影視聽中心二期場館」預算編列1</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000萬元，本計畫執行時間為112至118年之連續型計畫，係為建設行政法人國家電影及視聽文化中心典藏庫與博物館等專業場館，然應提供立法院核定之完整計畫內容，並說明分年預算與內容，俾利立法院檢視預算分配是否合理。另目前樹林片庫老舊且設備不足不利影像典藏，若二期場館預計要118年才能完工，期間如何改善現有典藏空間?爰此，文化部應檢討改善，並於3個月內向立法院教育及文化委員會提出書面報告，以避免我國電影文物衰敗劣化。137</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提案人：林奕華</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連署人：鄭正鈐  黃國書</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(九十一)112年度文化部「影視及流行音樂發展業務」項下「影視及流行音樂策劃與發展」中「籌建影視聽中心二期場館」預算編列1</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000萬元，係用於辦理建置行政法人國家電影及視聽文化中心之典藏庫及影視博物館等專業場館，委託代辦工程及辦理測量、鑑界鑽探等先期作業。依照國際典藏標準，電影片及相關文物保存環境，可分為涼藏、冷藏、凍藏。涼藏之溫度為攝氏12度，冷藏為攝氏4度，凍藏為攝氏負10度。惟現行影視聽中心之影視及廣播文物保存空間僅能安裝</w:t>
      </w:r>
      <w:r w:rsidRPr="00573D4D">
        <w:rPr>
          <w:rFonts w:ascii="標楷體" w:eastAsia="標楷體" w:hAnsi="標楷體" w:hint="eastAsia"/>
          <w:snapToGrid w:val="0"/>
          <w:sz w:val="32"/>
          <w:szCs w:val="32"/>
        </w:rPr>
        <w:lastRenderedPageBreak/>
        <w:t>一般空調，最低溫度僅達攝氏20度，皆未達3種保存方式之溫度標準，不利於文物之保存。專業典藏庫房之建置預計於118年完成，為確保我國影視文物之保存完整，避免因庫房因素導致珍貴文化資產劣化，文化部應積極研擬改善保存空間，並訂定具體時程辦理。爰此，文化部應檢討改善，並於3個月內向立法院教育及文化委員會提出書面報告，以避免我國電影文物衰敗劣化。139</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提案人：王婉諭  黃國書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(九十二)112年度文化部「影視及流行音樂發展業務」項下「影視及流行音樂策劃與發展」中「籌建影視聽中心二期場館」預算編列1</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000萬元，係用於國家電影及視聽文化典藏專業設施及博物館建置計畫等相關費用。查112年度經費僅委託代辦工程及辦理測量鑑界鑽探等先期作業，惟目前行政法人國家電影及視聽文化中心典藏之所有影視及廣播文物保存空間僅能安裝一般中央空調（最低溫約攝氏20度、相對濕度約50%），未達涼藏、冷藏及凍藏之溫度標準。且因現行保存空間不足，而將保存狀況優劣不齊之文物，存放於同一溫溼度空間，恐致酸腐情形嚴重及保存狀況差之影視、廣播文物影響狀況較佳文物之保存狀態，故存放環境溫溼度及安全性皆不盡理想。爰此，文化部應檢討改善，並於3個月內向立法院教育及文化委員會提出書面報告，以避免我國電影文物衰敗劣化。140</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提案人：萬美玲</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連署人：林奕華  鄭正鈐</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(九十三)112年度文化部「影視及流行音樂發展業務」項下「影視及流行音樂策劃與發展」中「公共電視發展與內容產製應用計畫」內容說明與111年度幾乎一致，然預算卻大幅增加3億1</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200萬元。爰請文化部於3個月內向立法院教育及文化委員會提出書面報告，說明增加原因及過往計畫成果與效益</w:t>
      </w:r>
      <w:r w:rsidRPr="00573D4D">
        <w:rPr>
          <w:rFonts w:ascii="標楷體" w:eastAsia="標楷體" w:hAnsi="標楷體" w:hint="eastAsia"/>
          <w:snapToGrid w:val="0"/>
          <w:sz w:val="32"/>
          <w:szCs w:val="32"/>
        </w:rPr>
        <w:lastRenderedPageBreak/>
        <w:t>，以審認推展成效。142</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提案人：林奕華</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連署人：鄭正鈐  黃國書</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九十四)有鑑於中華電視公司為我國之台灣公共廣播電視集團重要成員，係政府依據「無線電視事業公股處理條例」規定，將股份捐贈予財團法人公共電視文化事業基金會所設立的公共化無線電視台；根據「無線電視事業公股處理條例」第16條第1項規定：「公共化無線電視事業應報請主管機關轉請行政院核定收買非公股股東持有股份計畫。」政府雖持續推動收購華視公司之民股，因部分股東不服收購股價，以致未完全出售，現今之股權比例為：財團法人公共電視文化事業基金會持股占83.24%，民股占16.76%，其「非公非私」之身分，亦導致下述情況：1.華視公司受公共電視節目製播準則限制，屬非營利電視台，其節目製作或廣告方面無法比照商業電視台；2.電視台生態競爭日趨激烈，以及新媒體興起瓜分市場，致華視公司虧損多年；3</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茲因華視公司股權有民股，為避免圖利情事，政府無法依「無線電視事業公股處理條例」第14條進行補貼。為推動我國媒體生態健全發展、厚植華視競爭力，請文化部應進行下列事項：</w:t>
      </w:r>
      <w:r w:rsidRPr="00573D4D">
        <w:rPr>
          <w:rFonts w:ascii="標楷體" w:eastAsia="標楷體" w:hAnsi="標楷體"/>
          <w:snapToGrid w:val="0"/>
          <w:sz w:val="32"/>
          <w:szCs w:val="32"/>
        </w:rPr>
        <w:t>1.</w:t>
      </w:r>
      <w:r w:rsidRPr="00573D4D">
        <w:rPr>
          <w:rFonts w:ascii="標楷體" w:eastAsia="標楷體" w:hAnsi="標楷體" w:hint="eastAsia"/>
          <w:snapToGrid w:val="0"/>
          <w:sz w:val="32"/>
          <w:szCs w:val="32"/>
        </w:rPr>
        <w:t>文化部身爲「公共電視法」主管機關，為解決華視公司之媒體定位與財務窘境，文化部應研議收購占</w:t>
      </w:r>
      <w:r w:rsidRPr="00573D4D">
        <w:rPr>
          <w:rFonts w:ascii="標楷體" w:eastAsia="標楷體" w:hAnsi="標楷體"/>
          <w:snapToGrid w:val="0"/>
          <w:sz w:val="32"/>
          <w:szCs w:val="32"/>
        </w:rPr>
        <w:t>16.76%</w:t>
      </w:r>
      <w:r w:rsidRPr="00573D4D">
        <w:rPr>
          <w:rFonts w:ascii="標楷體" w:eastAsia="標楷體" w:hAnsi="標楷體" w:hint="eastAsia"/>
          <w:snapToGrid w:val="0"/>
          <w:sz w:val="32"/>
          <w:szCs w:val="32"/>
        </w:rPr>
        <w:t>之民股，從而得以與台灣公共廣播電視集團充分整合；2.基於華視公司之地理位置為台北市精華地段，為化解華視公司長期虧損，且兼顧台北城市發展，文化部應積極督導中華電視公司，以期儘速提出兼顧公共性之資產活化草案，俾利共創雙贏。146</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提案人：吳思瑤  張廖萬堅</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連署人：賴品妤</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(九十五)有鑑於文化部為建立向國際發聲管道，以增進國際人士對臺灣認識與瞭解，同時帶動國內相關產業發展，經規劃發</w:t>
      </w:r>
      <w:r w:rsidRPr="00573D4D">
        <w:rPr>
          <w:rFonts w:ascii="標楷體" w:eastAsia="標楷體" w:hAnsi="標楷體" w:hint="eastAsia"/>
          <w:snapToGrid w:val="0"/>
          <w:sz w:val="32"/>
          <w:szCs w:val="32"/>
        </w:rPr>
        <w:lastRenderedPageBreak/>
        <w:t>展國際數位傳播計畫，該計畫總經費58億元，執行期程為2021至2024年，以設立國際影音串流平臺TaiwanPlus，自2022年6月9日後，改由財團法人中央通訊社移交財團法人公共電視文化事業基金會辦理，並承接原執行專案團隊及專款專用方式運用計畫經費。根據文化部「110年國際影音串流平台營運與影音內容製作案」之勞務採購案需求規範說明書，有設立110年預計觸及人次與APP下載數目標值分別為1,500萬人次及100萬次</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然實際執行情況為：1.實際值分別為5,529萬餘人次及7萬餘次，平均每天瀏覽人數約14萬人次；2.使用者中七成為英文人口、二成為華語人口，APP使用者分布國家計有137個國家。但根據文化部所提供資料，TaiwanPlus之APP下載數仍未達標，迄2022年12月5日止，觸及人次1億1,475萬餘人次，已達預計目標，惟APP下載數僅14萬餘次，仍未達110年所設定之目標，尚缺85萬餘次。基於TaiwanPlus係國家重要社會發展計畫之中長程計畫，請文化部應積極督導財團法人公共電視文化事業基金會加強行銷推廣，持續提升平台觸及人次與APP下載數，俾利落實TaiwanPlus「讓台灣走向世界，也讓世界看見台灣」之設置目標，並於3個月內向立法院教育及文化委員會提出書面報告。152</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提案人：吳思瑤  張廖萬堅</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連署人：賴品妤</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九十六)112年度文化部「影視及流行音樂發展業務」項下「影視及流行音樂策劃與發展」中「發展國際數位傳播計畫」編列之預算包含辦理TaiwanPlus平台營運、節目內容製播及推廣相關之經費。TaiwanPlus平台之目標為「讓台灣走向世界，也讓世界看見台灣」，因此TaiwanPlus平台允宜積極規劃未來內容之製播，進行長遠之規劃。如與台灣相關之國際賽事，或是推廣台灣本土影視節目、出版品等，文化部允宜監</w:t>
      </w:r>
      <w:r w:rsidRPr="00573D4D">
        <w:rPr>
          <w:rFonts w:ascii="標楷體" w:eastAsia="標楷體" w:hAnsi="標楷體" w:hint="eastAsia"/>
          <w:snapToGrid w:val="0"/>
          <w:sz w:val="32"/>
          <w:szCs w:val="32"/>
        </w:rPr>
        <w:lastRenderedPageBreak/>
        <w:t>督TaiwanPlus平台訂定短期與長期之規劃，俾利 TaiwanPlus平台順利達成目標。爰請文化部於3個月內向立法院教育及文化委員會提出書面報告。153</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提案人：陳秀寳</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連署人：吳思瑤  賴品妤</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九十七)112年度文化部「影視及流行音樂發展業務」項下「影視及流行音樂策劃與發展」中「推升影視音智慧發展」預算編列1億4,600萬元，其中高達八成是對國內團體捐助的「獎補助費」。而根據「預算法」相關規定，年度預算編列對民間團體補(捐)助時，應按實際需要計算，並且應詳列捐助事項以及預定捐助對象。又各機關對民間團體之補（捐）助應按補（捐）助事項性質，訂定明確、合理及公開之作業規範，報請主管機關核定。綜上，請文化部應依法主動公開該計畫之獎補助作業規範、詳列捐助事項及捐助對象。159</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提案人：張廖萬堅</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連署人：黃國書  賴品妤</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(九十八)監察院2</w:t>
      </w:r>
      <w:r w:rsidRPr="00573D4D">
        <w:rPr>
          <w:rFonts w:ascii="標楷體" w:eastAsia="標楷體" w:hAnsi="標楷體"/>
          <w:snapToGrid w:val="0"/>
          <w:sz w:val="32"/>
          <w:szCs w:val="32"/>
        </w:rPr>
        <w:t>022</w:t>
      </w:r>
      <w:r w:rsidRPr="00573D4D">
        <w:rPr>
          <w:rFonts w:ascii="標楷體" w:eastAsia="標楷體" w:hAnsi="標楷體" w:hint="eastAsia"/>
          <w:snapToGrid w:val="0"/>
          <w:sz w:val="32"/>
          <w:szCs w:val="32"/>
        </w:rPr>
        <w:t>年11月通過糾正案，對於中華電視公司雖於2006年成為台灣公共廣播電視集團的一員，但仍處於「不公不民」狀態，定位不明問題原地踏步，因此提案糾正文化部。2014年監察院「公廣集團經營成效及問題之探討」專案調查報告即已指出華視定位不明及發展不力等問題，迄今仍未改善；且華視於111年4月20日至5月13日播出新聞時錯誤頻傳，究其原因發現華視存在組織編制老舊僵化及聘用人力制度複雜、新聞人力數量及專業知能不足、分工不明、設備老舊且多為手動操作等問題，請文化部應善盡監管及協助華視之責，儘速明確中華電視公司於台灣公共廣播電視集團內之定位，併同財團法人公共電視文化事業基金會協助改善組織陳舊之問題。165</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提案人：黃國書  林宜瑾  何欣純</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lastRenderedPageBreak/>
        <w:t>(九十九)中華民國出版商業同業公會全國聯合會111年5月針對國內97家業者進行「2022新冠疫情對出版業影響調查」，透過本次調查發現疫情對出版業者的營運造成持續性衝擊，近八成五以上的受訪業者表示相較於110年同期營運績效是下降的。而110年迄今市場景氣的每況愈下，連帶迫使七成以上的業者進行避險操作，出版社持續降低新書的出版及發行量，書店則縮減營業時間，種種跡象顯示出版業於疫情期間受到嚴重打擊。疫情也使得部分民眾轉而消費電子書，造成本就逐年減少的實體書讀者人數更加下滑，文化部應提出積極性藝文紓困補助專案或中、長期程的出版產業紓困及振興政策，以提振危在旦夕的實體書店及出版業。171</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提案人：黃國書  林宜瑾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一ΟΟ)近年台灣社會變遷過程中，年輕世代多已無法流暢使用其母語，遂行政院核定文化部、教育部、原住民族委員會及客家委員會共同提出之「國家語言整體發展方案」，期望營造友善的國家語言學習環境。為提升母語復振效能，文化部應定期啟動國家語言調查，檢視並追蹤語言瀕危狀況，並透過分析語料數量、語言使用及語言環境營造等推動成效，以瞭解政府投入大量資源後各面臨傳承危機之國家語言使用情形，並作為未來國家語言發展報告研訂及政策推動方向之參據。爰此，請文化部於3個月內向立法院教育及文化委員會提出定期啟動國家語言調查之規劃書面報告，以檢視語言瀕危程度並強化國家語言發展政策成效。172</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提案人：黃國書  林宜瑾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(一Ο一)111年度文化部「人文及出版業務」項下「人文文學及出版業務推展與輔導」中「人文推廣業務」預算編列</w:t>
      </w:r>
      <w:r w:rsidRPr="00573D4D">
        <w:rPr>
          <w:rFonts w:ascii="標楷體" w:eastAsia="標楷體" w:hAnsi="標楷體"/>
          <w:snapToGrid w:val="0"/>
          <w:sz w:val="32"/>
          <w:szCs w:val="32"/>
        </w:rPr>
        <w:t>2,721</w:t>
      </w:r>
      <w:r w:rsidRPr="00573D4D">
        <w:rPr>
          <w:rFonts w:ascii="標楷體" w:eastAsia="標楷體" w:hAnsi="標楷體" w:hint="eastAsia"/>
          <w:snapToGrid w:val="0"/>
          <w:sz w:val="32"/>
          <w:szCs w:val="32"/>
        </w:rPr>
        <w:t>萬</w:t>
      </w:r>
      <w:r w:rsidRPr="00573D4D">
        <w:rPr>
          <w:rFonts w:ascii="標楷體" w:eastAsia="標楷體" w:hAnsi="標楷體"/>
          <w:snapToGrid w:val="0"/>
          <w:sz w:val="32"/>
          <w:szCs w:val="32"/>
        </w:rPr>
        <w:t>7</w:t>
      </w:r>
      <w:r w:rsidRPr="00573D4D">
        <w:rPr>
          <w:rFonts w:ascii="標楷體" w:eastAsia="標楷體" w:hAnsi="標楷體" w:hint="eastAsia"/>
          <w:snapToGrid w:val="0"/>
          <w:sz w:val="32"/>
          <w:szCs w:val="32"/>
        </w:rPr>
        <w:t>千元用於辦理推動國家語言發展相關事宜</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然112年度增列辦理國家語言語料保存、推廣、友善環境等預算3億5</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597萬元，預算大幅增加，如何分配與檢視執行績效?為檢</w:t>
      </w:r>
      <w:r w:rsidRPr="00573D4D">
        <w:rPr>
          <w:rFonts w:ascii="標楷體" w:eastAsia="標楷體" w:hAnsi="標楷體" w:hint="eastAsia"/>
          <w:snapToGrid w:val="0"/>
          <w:sz w:val="32"/>
          <w:szCs w:val="32"/>
        </w:rPr>
        <w:lastRenderedPageBreak/>
        <w:t>視國家語言發展預算的規劃及執行績效，請文化部於3個月內向立法院教育及文化委員會提出112年度預算規劃及管考機制之書面報告。173</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提案人：林奕華</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連署人：林宜瑾  黃國書</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(一Ο二)112年度文化部「人文及出版業務」項下「人文文學及出版業務推展與輔導」中「人文推廣業務」預算編列4億1</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131萬7千元，較111年度增列辦理國家語言語料保存、推廣、友善環境及等預算3億5</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597萬元，金額增加較鉅，預算亦未說明執行計畫之預期成果與效益，難以審認推展成效。有鑑於面臨傳承危機之國家語言的復振刻不容緩，行政院已核定「國家語言整體發展方案(111至115年)」，由政府挹注資源支持推動各語言的傳承與復振</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爰請文化部就「國家語言整體發展方案」112年度預算及績效管考等之規劃情形，於1個月內向立法院教育及文化委員會提出書面報告。174</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提案人：鄭正鈐  林奕華  吳思瑤</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一Ο三)文字能見度為語言推廣傳承之重要環節，查現行多數語言推廣活動未搭配本土語言版本之文宣進行活動宣傳，實不利於語言推廣效能。為督促相關單位積極檢討相關制度與配套等措施，並加強語言推廣效能</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提升各本土語言文字能見度，爰此，請文化部於1個月內向立法院教育及文化委員會提出「檢討本土語言活動推廣效能」之書面報告。176</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提案人：賴品妤  陳秀寳  黃國書</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(一Ο四)112年度文化部「人文及出版業務」項下「人文文學及出版業務推展與輔導」中「人文推廣業務」預算編列4億1</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131萬7千元，較111年度增列「辦理國家語言語料保存、推廣、友善環境及創作應用等」預算3億5,597萬元。經查</w:t>
      </w:r>
      <w:r w:rsidRPr="00573D4D">
        <w:rPr>
          <w:rFonts w:ascii="標楷體" w:eastAsia="標楷體" w:hAnsi="標楷體" w:hint="eastAsia"/>
          <w:snapToGrid w:val="0"/>
          <w:sz w:val="32"/>
          <w:szCs w:val="32"/>
        </w:rPr>
        <w:lastRenderedPageBreak/>
        <w:t>，教育部為落實閱讀向下扎根，鼓勵親子共讀，於98年起於推動「嬰幼兒閱讀推廣計畫」，於全國各地圖書館設置嬰幼兒閱讀區，除提供適合的書籍外，亦培訓專業知能之閱讀志工可協助父母；另外還發送內含適齡書本的「閱讀禮袋」給0至5歲孩子，讓親子共讀環境從圖書館深入至家裡。鑑於母語保存的最佳方式就是逐代傳承，請文化部應主動連結教育部之「嬰幼兒閱讀推廣計畫」推廣母語，特別是嬰幼兒母語書籍相當匱乏，文化部應主動解決此一問題</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例如獎勵出版台語囡子冊、有聲書、或翻譯外文圖書母語版以及和教育部合作，培訓母語閱讀志工等。177</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提案人：張廖萬堅</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連署人：黃國書  林宜瑾</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一Ο五)112年度文化部「人文及出版業務」項下「人文文學及出版業務推展與輔導」中「出版事業之輔導」預算增列辦理國際書展及海外出版品行銷等預算986萬8千元，其具體內容為何?外界建議書展移交由非官方組織辦理以增加彈性，112年度有無規劃?另本計畫協助海外出版品行銷規劃為何?請文化部向立法院教育及文化委員會提出112年「出版事業之輔導」計畫相關工作規劃之書面報告。178</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提案人：林奕華</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連署人：林宜瑾  黃國書</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一Ο六)112年度文化部「人文及出版業務」項下「人文文學及出版業務推展與輔導」中「出版事業之輔導」編列之預算包含辦理出版業行銷國際、推動數位轉型及開拓內需市場等相關推廣經費。惟根據行政法人文化內容策進院資料顯示，台灣圖書出版品營業額連連衰退，107年為-5.73%、108年為-4.73%、109年為-4.46%；漫畫出版品營業額亦同，107年為-7.97%、108年為-3.93%、109年為-5.38%。文化部允宜正視出版品營業額連連衰退之問題，積極訂定相關推廣方案，以</w:t>
      </w:r>
      <w:r w:rsidRPr="00573D4D">
        <w:rPr>
          <w:rFonts w:ascii="標楷體" w:eastAsia="標楷體" w:hAnsi="標楷體" w:hint="eastAsia"/>
          <w:snapToGrid w:val="0"/>
          <w:sz w:val="32"/>
          <w:szCs w:val="32"/>
        </w:rPr>
        <w:lastRenderedPageBreak/>
        <w:t>振興台灣出版品市場，並向立法院教育及文化委員會提出書面報告。181</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提案人：陳秀寳  林宜瑾  黃國書</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一Ο七)112年度文化部「人文及出版業務」項下「人文文學及出版業務推展與輔導」中「出版產業振興方案」為8年之連續型計畫(106至113年)，然進入數位時代，本計畫內容是否有與時俱進滾動修正?就推動全國閱讀日等應避免流於形式，並應提升全民數位閱讀。另本計畫每年編列近2</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000萬元補助行政法人文化內容策進院辦理推動漫畫基地營運，2單位如何權責分工?請文化部向立法院教育及文化委員會提出如何提升全民數位閱讀及推動漫畫基地營運之書面報告。183</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提案人：林奕華</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連署人：林宜瑾  黃國書</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一Ο八)112年度文化部「人文及出版業務」項下「人文文學及出版業務推展與輔導」中「出版產業振興方案」係辦理出版產業振興、扶植本土原創作品及出版品海內外展覽等相關經費。惟根據行政法人文化內容策進院資料顯示，漫畫出版品國外作品占市場銷售94.28%，國內作品僅占5.72%；而漫畫出版品銷售管道又以國內銷售的99.44%為主、國外銷售僅占0.56%。有鑑於上開數據顯示本土漫畫出版品銷售以國內市場為主，國內市場銷售卻仍以國外漫畫出版品為大宗。文化部允宜積極推廣本土漫畫出版品，並致力推廣臺灣漫畫進入國際，俾利推動臺灣文化軟實力，順利發展文化外交，並向立法院教育及文化委員會提出提升臺灣漫畫國際能見度之書面報告。184</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提案人：陳秀寳</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連署人：林宜瑾  黃國書</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lastRenderedPageBreak/>
        <w:t>(一Ο九)109年6月紙風車劇團倉庫工廠發生大火事件，凸顯表演藝術團體需要合法、安全、便利與價格合理的倉儲空間，當時要求文化部研議建置文化倉儲物流園區的具體計畫。文化部於110年10月訂定「文化部提升表演藝術倉儲環境補助計畫作業要點」，並於111年核定補助10個表演藝術團隊暨1個試辦範例，試辦範例案中，計有7個中小型團隊進駐，總計17個藝術表演團隊受惠</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然全台有近7千個藝術表演團隊，對於倉儲需求之滿足僅為杯水車薪。請文化部於1個月內向立法院教育及文化委員會提出辦理表演藝術倉儲環境補助計畫作法與成效之書面報告。188</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提案人：黃國書  林宜瑾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一一Ο)近年藝文表演逐年興盛，各項多元化表演百花齊放，其所使用之藝文場館亦開始占有舉足輕重之地位。然各表演場館租借仍有其不便，現行仍有部分公立場館須透過來文的方式進行租借；私立場地中有33.8%未設有場地租借規範，且相關資訊對外公開比例低，須再連絡營運方才能獲取相關資訊；除此之外，在場地租借方式，公立場館提供線上租借系統僅為29.33%，多數場館仍未設有線上租借服務，私立場館亦少有場館運用第三方的租借平台，提供線上租借服務。文化部應研議協助表演場館租借資訊透明化之可行做法，以利表演團隊尋找合適場地，並於3個月內向立法院教育及文化委員會提出書面報告。189</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提案人：黃國書</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連署人：林宜瑾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(一一一)為厚植國內文化活動，近年台灣各地方政府致力於興建藝文表演場館以提供藝文團體展演，為了解國內藝文場館之現狀，文化部委外完成「我國提供表演及排練運用之公民營藝文場館使用調查分析」。 研究結果發現場館之規模朝向兩極化發展，私立場館500席以下的場地占48.24%；公立場</w:t>
      </w:r>
      <w:r w:rsidRPr="00573D4D">
        <w:rPr>
          <w:rFonts w:ascii="標楷體" w:eastAsia="標楷體" w:hAnsi="標楷體" w:hint="eastAsia"/>
          <w:snapToGrid w:val="0"/>
          <w:sz w:val="32"/>
          <w:szCs w:val="32"/>
        </w:rPr>
        <w:lastRenderedPageBreak/>
        <w:t>館中700席以上的場館約占21.98%，500席以下的場館占53.02%。不論公立或私立場館，中型場館的數量均相對較少。然對照各場地規模的使用情形，表演藝術節目為主的中型場館近2年使用率均超過五成，顯示表演團體對於中小型場館較有需求。文化部支持各縣市藝文專業場館之軟硬體資源，宜一併考量各縣市中小型場館發展狀況，鼓勵各縣市妥善貼近在地團隊實際需求。190</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提案人：黃國書</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連署人：林宜瑾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一一二)112年度文化部「藝術發展業務」項下「視覺及表演藝術之策劃與發展」中「視覺藝術之輔導與推動」之「補助財團法人臺灣美術基金會辦理藝術銀行計畫」，係常態性購入經公開徵件之我國藝術家作品，以出租方式租賃作品予政府部門、公私立法人團體或民間企業。藝術銀行計畫自112年度起辦理公開徵件購入作品，截至111年7月底止購藏藝術作品累計2,759件，累計總購入金額2億9,336萬9千元。然107至111年7月底作品出租件數依序為839件、964件、900件、928件及919件，藝術作品出租件數並未隨著作品購藏數量累增而相應增長，請文化部於3個月內向立法院教育及文化委員會提出藝術銀行計畫提升出租成效做法之書面報告。191</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提案人：黃國書</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連署人：林宜瑾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一一三)日前發生身心障礙人士赴國家兩廳院觀賞演出時，因輪椅席位訂滿，只好購買一般席位，卻於輪椅上下階梯時難以移動，且現場服務人員無法提供幫助，使該名身心障礙人士寸步難行之窘境。查「建築技術規則建築設計施工編」第167條之5，對於輪椅觀眾席位設有法定最低數量，然文化部轄下各場館，如：國家戲劇院、國家音樂廳及演奏廳之輪椅</w:t>
      </w:r>
      <w:r w:rsidRPr="00573D4D">
        <w:rPr>
          <w:rFonts w:ascii="標楷體" w:eastAsia="標楷體" w:hAnsi="標楷體" w:hint="eastAsia"/>
          <w:snapToGrid w:val="0"/>
          <w:sz w:val="32"/>
          <w:szCs w:val="32"/>
        </w:rPr>
        <w:lastRenderedPageBreak/>
        <w:t>席位數量都未及最新法規數量，且館舍內無障礙設施不足，對於身心障礙者藝文近用不利，應當儘速檢討改善。綜上，請文化部督促轄下藝文場館應符合法規，輔導地方及民間場館符合法定輪椅席位，並向立法院教育及文化委員會提出書面報告。192</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提案人：黃國書</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連署人：林宜瑾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(一一四)有鑑於近年來NFT(Non-Fungible Tokens，非同質化代幣)應用在藝術市場逐漸起步，新創之數位藝文經濟擬帶動發展新興商業模式，使政府未來法規管制架構面臨挑戰</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如NFT主管機關為文化部、數位發展部抑或財政部尚不明，以及未針對數位藝術品拍賣之發展與監理進行建構</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NFT雖可視為藝術品之數位資產，但法無明定其正式資產身分別，其究竟屬物品、金融商品、證券型代幣還是資產型代幣?其權利屬性尚有爭議，恐不利於保障買家所購得之產品。為降低法規適用之不確定性，且保障文化藝術消費者之權益，文化部應配合NFT主管機關啟動相關研究，提出數位藝術拍賣發展之政策做法。195</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提案人：吳思瑤</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連署人：林宜瑾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一一五)文化部對於表演團隊之補助，均需專業評審評比後決定之。為使評比具公正性，公布補助名單之後均會公布評審名單，但該名單僅有姓名，不如「政府採購法」之最有利標是公布評審委員姓名、評選委員職業及與採購案相關之學經歷等項目，以示其評選公平性，請文化部檢討改善。另文化部自107年推動文化體驗教育計畫，鼓勵藝文工作者及藝文團體開發體驗內容，並成立研發中心，透過文化及教育領域專家學者之輔導，協助團隊修整體驗內容，轉化為可供學校正規時數使用之課程設計。經立法院預算中心調查，歷年賸餘</w:t>
      </w:r>
      <w:r w:rsidRPr="00573D4D">
        <w:rPr>
          <w:rFonts w:ascii="標楷體" w:eastAsia="標楷體" w:hAnsi="標楷體" w:hint="eastAsia"/>
          <w:snapToGrid w:val="0"/>
          <w:sz w:val="32"/>
          <w:szCs w:val="32"/>
        </w:rPr>
        <w:lastRenderedPageBreak/>
        <w:t>數過高，參與之校數及學生數也待提升。請文化部再檢視以上業務，研議可行調整方式，以提增資源運用效益，落實政策美意。196</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提案人：張廖萬堅</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連署人：黃國書  陳秀寳</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一一六)112年度文化部「藝術發展業務」項下「視覺及表演藝術之策劃與發展」中「表演暨視覺藝術政策之研議與推動」編列之預算包含辦理補助藝術推廣及視覺與表演藝術產業分析調查等相關經費。惟根據行政法人文化內容策進院資料顯示，有67.7%的民眾對表演藝術活動有興趣，其中有實際參加的民眾只有30.5%；而48.2%民眾1年內亦僅參加1次表演藝術活動。文化部允宜在推動OPENTIX發放文化禮金與建立消費回饋機制的同時，持續推動可吸引對表演藝術活動有興趣的民眾實際參與表演藝術活動之計畫，以活絡相關藝文產業市場，提升整體藝文產業市場規模。197</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提案人：陳秀寳</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連署人：林宜瑾  黃國書</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一一七)文化部為促進文化與教育資源整合，增加學生接觸及體驗藝文內涵機會，自107年度起與教育部共同推動文化體驗教育計畫，並訂定「文化部文化體驗內容徵選補助作業要點」，補助藝文團體、藝文工作者及藝文場館辦理文化體驗課程，徵求視覺藝術、音樂及表演藝術、文學閱讀、文化資產、電影、工藝設計等多元類型提案共同參與。本計畫立意良善，協助學生體驗有別於學校藝術課程內容，建立文化藝術之感受與感知能力，亦激盪藝文工作者研發及推廣多元的文化體驗內容，深獲藝文參與團體及學校之讚賞。但目前執行狀況如下：1.立法院預算中心評估報告指出109、110年度之賸餘數占預算數比率為30.87%及21.95%，係因近2年受嚴重特殊傳染性肺炎疫情影響，以防疫優先故學校減少藝文團隊</w:t>
      </w:r>
      <w:r w:rsidRPr="00573D4D">
        <w:rPr>
          <w:rFonts w:ascii="標楷體" w:eastAsia="標楷體" w:hAnsi="標楷體" w:hint="eastAsia"/>
          <w:snapToGrid w:val="0"/>
          <w:sz w:val="32"/>
          <w:szCs w:val="32"/>
        </w:rPr>
        <w:lastRenderedPageBreak/>
        <w:t>入校，抑或改為線上授課，間接影響藝文團隊參與意願；2.據悉各地方政府教育局處以6案為原則，使眾多藝文計畫無法推至學校，實屬可惜；3.計畫參與範圍之各級學校比例仍以國民小學為主，占逾七成，國高中合計參與校數及學生數分別僅一成餘及二成餘。為增進計畫執行效益，請文化部與教育部合作提升各地方政府選擇藝文體驗教育；鼓勵藝文單位辦理國高中藝文體驗內容及課程，俾利提升國高中參與率；持續支持文化體驗教育計畫，加碼推廣。199</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提案人：吳思瑤</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連署人：林宜瑾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(一一八)112年度文化部「藝術發展業務」項下「視覺及表演藝術之策劃與發展」之「表演藝術之輔導與推動」預算編列4億0</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486萬6千元，較111年度增列辦理語言相關表演活動等預算1億6</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743萬8千元，增加金額高達1億餘元</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請文化部向立法院教育及文化委員會提出上述預算執行狀況、計畫內容與預期效益之書面報告。201</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提案人：鄭正鈐  林奕華  吳思瑤</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 xml:space="preserve">(一一九)112年度文化部「藝術發展業務」項下「視覺及表演藝術之策劃與發展」中「視覺藝術之輔導與推動」之「補助財團法人臺灣美術基金會辦理藝術銀行計畫」預算編列5,291萬6千元，該計畫係常態性購入通過審查之我國藝術家作品，並以出租方式租賃作品予政府部門、公私立法人團體或民間企業。據文化部提供資料，藝術銀行計畫自102年度起辦理公開徵件購入作品，107至111年7月底作品出租件數係839件、964件、900件、928件及919件，可悉近3年藝術作品出租件數未隨購藏作品數量累增，請文化部於1個月內向立法院教育及文化委員會提出藝術銀行計畫提升出租成效做法之書面報告。207 </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提案人：賴品妤  陳秀寳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lastRenderedPageBreak/>
        <w:t>(一二Ο)112年度文化部「藝術發展業務」項下「視覺及表演藝術之策劃與發展」中「視覺藝術之輔導與推動」之「補助財團法人臺灣美術基金會辦理藝術銀行計畫」，係以常態性購入通過審查之臺灣藝術家作品，並以出租方式租賃作品予公、私部門</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自102年辦理公開徵件購入作品，截至111年7月底達2,759件，然近3年藝術品出租件數未相應增加</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是故，為提高出租成效，並使環境得以提升，請文化部於3個月內向立法院教育及文化委員會提出藝術銀行計畫提升出租成效做法之書面報告。208</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提案人：林宜瑾</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連署人：黃國書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(一二一)112年度文化部「藝術發展業務」項下「視覺及表演藝術之策劃與發展」中「藝文場館科藝創新計畫」為新增計畫</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為立基於「科技藝術共生計畫」(執行期程為108至111年)之延續，因屬新興計畫，請文化部於3個月內向立法院教育及文化委員會提出計畫內容、分年預算與績效目標之書面報告。212</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提案人：林奕華</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連署人：黃國書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一二二)112年度文化部「文化交流業務」項下「全球布局策略推展計畫」預算編列1億2,943萬5千元。請文化部積極聯絡跨部會合作，推動文化外交與簽訂文化協議，俾利擴大文化交流，強化我國文化影響力。請文化部針對擴大文化交流、推動文化外交等內容，向立法院教育及文化委員會提出書面報告。222</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提案人：吳思瑤</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連署人：陳秀寳  黃國書</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(一二三)112年度文化部「文化交流業務」項下「全球布局策略</w:t>
      </w:r>
      <w:r w:rsidRPr="00573D4D">
        <w:rPr>
          <w:rFonts w:ascii="標楷體" w:eastAsia="標楷體" w:hAnsi="標楷體" w:hint="eastAsia"/>
          <w:snapToGrid w:val="0"/>
          <w:sz w:val="32"/>
          <w:szCs w:val="32"/>
        </w:rPr>
        <w:lastRenderedPageBreak/>
        <w:t>推展計畫」預算編列包含辦理多面向拓展文化外交及行銷臺灣進入國際等相關經費。惟根據行政法人文化內容策進院資料顯示，109年臺灣電視內容海外收入來源，有高達56.67%來自中國，40%來自香港。文化部宜積極研擬電視內容海外銷售之市場，以多元角度向世界各地拓展臺灣電視市場，讓國際看見臺灣產製之優秀影視音作品，提升非華語世界的收入來源。請文化部於3個月內向立法院教育及文化委員會提出書面報告。223</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提案人：陳秀寳</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連署人：吳思瑤  黃國書</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一二四)112年度文化部「文化交流業務」項下「國際及兩岸區域布局計畫」預算編列2億1,975萬8千元，文化部近2年疫情期間海外活動均積極推動因應提升計畫，配合當地政府之防疫政策賡續執行或轉型為線上辦理等因應方式。中國大陸地區因嚴重特殊傳染性肺炎疫情尚未開放自由往來，面臨軍事及疫情風險</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建議文化部因應國際及兩岸情勢，審慎評估公務出國交流計畫，並尋求其他可行之交流模式，俾於此非常時期維持我對外藝文能量與國際網絡</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請文化部於3個月內向立法院教育及文化委員會提出書面報告。224</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提案人：鄭正鈐  林奕華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(一二五)112年度文化部「文化交流業務」項下「國際及兩岸區域布局計畫」預算編列2億1,975萬8千元，建議文化部參酌「Taiwan NOW」執行方式，以「合創共製」、「虛擬展演」的精神，結合政府及民間力量，參與大型國際文化展會，打造文化國家隊。藉由跨國共創模式，持續向國際輸出臺灣軟實力，以有效拓展臺灣在國際之藝文空間。為有效推動臺灣文化軟實力輸出，請文化部盤點近年國際上「大規模的文化、商業及運動活動，具有訴求大眾參與，強調國際能見度」之</w:t>
      </w:r>
      <w:r w:rsidRPr="00573D4D">
        <w:rPr>
          <w:rFonts w:ascii="標楷體" w:eastAsia="標楷體" w:hAnsi="標楷體"/>
          <w:snapToGrid w:val="0"/>
          <w:sz w:val="32"/>
          <w:szCs w:val="32"/>
        </w:rPr>
        <w:t>Mega Events(</w:t>
      </w:r>
      <w:r w:rsidRPr="00573D4D">
        <w:rPr>
          <w:rFonts w:ascii="標楷體" w:eastAsia="標楷體" w:hAnsi="標楷體" w:hint="eastAsia"/>
          <w:snapToGrid w:val="0"/>
          <w:sz w:val="32"/>
          <w:szCs w:val="32"/>
        </w:rPr>
        <w:t>如</w:t>
      </w:r>
      <w:r w:rsidRPr="00573D4D">
        <w:rPr>
          <w:rFonts w:ascii="標楷體" w:eastAsia="標楷體" w:hAnsi="標楷體"/>
          <w:snapToGrid w:val="0"/>
          <w:sz w:val="32"/>
          <w:szCs w:val="32"/>
        </w:rPr>
        <w:t>2024</w:t>
      </w:r>
      <w:r w:rsidRPr="00573D4D">
        <w:rPr>
          <w:rFonts w:ascii="標楷體" w:eastAsia="標楷體" w:hAnsi="標楷體" w:hint="eastAsia"/>
          <w:snapToGrid w:val="0"/>
          <w:sz w:val="32"/>
          <w:szCs w:val="32"/>
        </w:rPr>
        <w:t>巴黎奧林匹克運動會、</w:t>
      </w:r>
      <w:r w:rsidRPr="00573D4D">
        <w:rPr>
          <w:rFonts w:ascii="標楷體" w:eastAsia="標楷體" w:hAnsi="標楷體"/>
          <w:snapToGrid w:val="0"/>
          <w:sz w:val="32"/>
          <w:szCs w:val="32"/>
        </w:rPr>
        <w:t>2025</w:t>
      </w:r>
      <w:r w:rsidRPr="00573D4D">
        <w:rPr>
          <w:rFonts w:ascii="標楷體" w:eastAsia="標楷體" w:hAnsi="標楷體" w:hint="eastAsia"/>
          <w:snapToGrid w:val="0"/>
          <w:sz w:val="32"/>
          <w:szCs w:val="32"/>
        </w:rPr>
        <w:t>大阪</w:t>
      </w:r>
      <w:r w:rsidRPr="00573D4D">
        <w:rPr>
          <w:rFonts w:ascii="標楷體" w:eastAsia="標楷體" w:hAnsi="標楷體" w:hint="eastAsia"/>
          <w:snapToGrid w:val="0"/>
          <w:sz w:val="32"/>
          <w:szCs w:val="32"/>
        </w:rPr>
        <w:lastRenderedPageBreak/>
        <w:t>世界博覽會</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，並參照「</w:t>
      </w:r>
      <w:r w:rsidRPr="00573D4D">
        <w:rPr>
          <w:rFonts w:ascii="標楷體" w:eastAsia="標楷體" w:hAnsi="標楷體"/>
          <w:snapToGrid w:val="0"/>
          <w:sz w:val="32"/>
          <w:szCs w:val="32"/>
        </w:rPr>
        <w:t>Taiwan NOW</w:t>
      </w:r>
      <w:r w:rsidRPr="00573D4D">
        <w:rPr>
          <w:rFonts w:ascii="標楷體" w:eastAsia="標楷體" w:hAnsi="標楷體" w:hint="eastAsia"/>
          <w:snapToGrid w:val="0"/>
          <w:sz w:val="32"/>
          <w:szCs w:val="32"/>
        </w:rPr>
        <w:t>」臺日交流計畫之執行方式，持續推動我國之文化輸出與外交。請文化部於</w:t>
      </w:r>
      <w:r w:rsidRPr="00573D4D">
        <w:rPr>
          <w:rFonts w:ascii="標楷體" w:eastAsia="標楷體" w:hAnsi="標楷體"/>
          <w:snapToGrid w:val="0"/>
          <w:sz w:val="32"/>
          <w:szCs w:val="32"/>
        </w:rPr>
        <w:t>3</w:t>
      </w:r>
      <w:r w:rsidRPr="00573D4D">
        <w:rPr>
          <w:rFonts w:ascii="標楷體" w:eastAsia="標楷體" w:hAnsi="標楷體" w:hint="eastAsia"/>
          <w:snapToGrid w:val="0"/>
          <w:sz w:val="32"/>
          <w:szCs w:val="32"/>
        </w:rPr>
        <w:t>個月內向立法院教育及文化委員會提出書面報告。226</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提案人：吳思瑤</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連署人：黃國書  陳秀寳</w:t>
      </w:r>
    </w:p>
    <w:p w:rsidR="00A52DD2" w:rsidRPr="00573D4D" w:rsidRDefault="00A52DD2" w:rsidP="00F035E0">
      <w:pPr>
        <w:kinsoku w:val="0"/>
        <w:overflowPunct w:val="0"/>
        <w:spacing w:beforeLines="50" w:before="180" w:line="500" w:lineRule="exact"/>
        <w:ind w:leftChars="100" w:left="1568" w:hangingChars="415" w:hanging="1328"/>
        <w:jc w:val="both"/>
        <w:textAlignment w:val="center"/>
        <w:rPr>
          <w:rFonts w:ascii="標楷體" w:eastAsia="標楷體" w:hAnsi="標楷體"/>
          <w:snapToGrid w:val="0"/>
          <w:sz w:val="32"/>
          <w:szCs w:val="32"/>
        </w:rPr>
      </w:pPr>
      <w:r w:rsidRPr="00573D4D">
        <w:rPr>
          <w:rFonts w:ascii="標楷體" w:eastAsia="標楷體" w:hAnsi="標楷體"/>
          <w:snapToGrid w:val="0"/>
          <w:sz w:val="32"/>
          <w:szCs w:val="32"/>
        </w:rPr>
        <w:t>第</w:t>
      </w:r>
      <w:r w:rsidRPr="00573D4D">
        <w:rPr>
          <w:rFonts w:ascii="標楷體" w:eastAsia="標楷體" w:hAnsi="標楷體" w:hint="eastAsia"/>
          <w:snapToGrid w:val="0"/>
          <w:sz w:val="32"/>
          <w:szCs w:val="32"/>
        </w:rPr>
        <w:t>2</w:t>
      </w:r>
      <w:r w:rsidRPr="00573D4D">
        <w:rPr>
          <w:rFonts w:ascii="標楷體" w:eastAsia="標楷體" w:hAnsi="標楷體"/>
          <w:snapToGrid w:val="0"/>
          <w:sz w:val="32"/>
          <w:szCs w:val="32"/>
        </w:rPr>
        <w:t xml:space="preserve">項　</w:t>
      </w:r>
      <w:r w:rsidRPr="00573D4D">
        <w:rPr>
          <w:rFonts w:ascii="標楷體" w:eastAsia="標楷體" w:hAnsi="標楷體" w:hint="eastAsia"/>
          <w:snapToGrid w:val="0"/>
          <w:sz w:val="32"/>
          <w:szCs w:val="32"/>
        </w:rPr>
        <w:t>文化資產局26億2,386萬1千元</w:t>
      </w:r>
      <w:r w:rsidRPr="00573D4D">
        <w:rPr>
          <w:rFonts w:ascii="標楷體" w:eastAsia="標楷體" w:hAnsi="標楷體"/>
          <w:snapToGrid w:val="0"/>
          <w:sz w:val="32"/>
          <w:szCs w:val="32"/>
        </w:rPr>
        <w:t>，照列。</w:t>
      </w:r>
    </w:p>
    <w:p w:rsidR="00A52DD2" w:rsidRPr="00573D4D" w:rsidRDefault="00A52DD2" w:rsidP="00F035E0">
      <w:pPr>
        <w:kinsoku w:val="0"/>
        <w:overflowPunct w:val="0"/>
        <w:spacing w:before="60" w:after="60" w:line="500" w:lineRule="exact"/>
        <w:ind w:leftChars="100" w:left="1568" w:hangingChars="415" w:hanging="1328"/>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本項提案2案，保留，送院會處理：</w:t>
      </w:r>
    </w:p>
    <w:p w:rsidR="00A52DD2" w:rsidRPr="00573D4D" w:rsidRDefault="00A52DD2" w:rsidP="00F035E0">
      <w:pPr>
        <w:kinsoku w:val="0"/>
        <w:overflowPunct w:val="0"/>
        <w:spacing w:before="60" w:after="60" w:line="500" w:lineRule="exact"/>
        <w:ind w:leftChars="100" w:left="88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一)文化資產公告中的指定理由具有法律效力，由提報人或主管機關撰寫，並經文化資產審議通過，成為各文化資產場所應予保存的核心價值，其後依法辦理之保存、修復再利用計畫，皆以此為目標推展。然而文化資產指定理由具威權崇仰意涵者，仍無配套處置措施。據了解，促進轉型正義委員會（促轉會）已經多次與文資局，就文化資產指定理由問題進行研商。促轉會建議主管機關針對文化資產之轉型正義意涵制定「指定理由撰寫及修訂指引」，並主動提出修正方向及公告文字，兼顧文化資產審議程序及轉型正義思維，透過文化資產保存實踐國家對轉型正義的肯認。針對促轉會所稱，文化資產指定理由具威權崇仰意涵之疑義，文資局應積極處置、研議配套，並於一個月內向立法院教育及文化委員會提出書面報告。</w:t>
      </w:r>
      <w:r w:rsidRPr="00573D4D">
        <w:rPr>
          <w:rFonts w:ascii="標楷體" w:eastAsia="標楷體" w:hAnsi="標楷體"/>
          <w:snapToGrid w:val="0"/>
          <w:sz w:val="32"/>
          <w:szCs w:val="32"/>
        </w:rPr>
        <w:t>304</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napToGrid w:val="0"/>
          <w:sz w:val="32"/>
          <w:szCs w:val="32"/>
        </w:rPr>
        <w:t>提案人：林宜瑾</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snapToGrid w:val="0"/>
          <w:sz w:val="32"/>
          <w:szCs w:val="32"/>
        </w:rPr>
        <w:t>連署人：</w:t>
      </w:r>
      <w:r w:rsidRPr="00573D4D">
        <w:rPr>
          <w:rFonts w:ascii="標楷體" w:eastAsia="標楷體" w:hAnsi="標楷體" w:hint="eastAsia"/>
          <w:snapToGrid w:val="0"/>
          <w:sz w:val="32"/>
          <w:szCs w:val="32"/>
        </w:rPr>
        <w:t>陳秀寳  黃國書</w:t>
      </w:r>
    </w:p>
    <w:p w:rsidR="00A52DD2" w:rsidRPr="00573D4D" w:rsidRDefault="00A52DD2" w:rsidP="00F035E0">
      <w:pPr>
        <w:kinsoku w:val="0"/>
        <w:overflowPunct w:val="0"/>
        <w:spacing w:before="60" w:after="60" w:line="500" w:lineRule="exact"/>
        <w:ind w:leftChars="100" w:left="880" w:hangingChars="200" w:hanging="640"/>
        <w:jc w:val="both"/>
        <w:textAlignment w:val="center"/>
        <w:rPr>
          <w:rFonts w:ascii="標楷體" w:eastAsia="標楷體" w:hAnsi="標楷體"/>
          <w:snapToGrid w:val="0"/>
          <w:sz w:val="32"/>
          <w:szCs w:val="32"/>
        </w:rPr>
      </w:pPr>
      <w:r w:rsidRPr="00573D4D">
        <w:rPr>
          <w:rFonts w:ascii="標楷體" w:eastAsia="標楷體" w:hAnsi="標楷體"/>
          <w:snapToGrid w:val="0"/>
          <w:sz w:val="32"/>
          <w:szCs w:val="32"/>
        </w:rPr>
        <w:t>(二)</w:t>
      </w:r>
      <w:r w:rsidRPr="00573D4D">
        <w:rPr>
          <w:rFonts w:ascii="標楷體" w:eastAsia="標楷體" w:hAnsi="標楷體" w:hint="eastAsia"/>
          <w:snapToGrid w:val="0"/>
          <w:sz w:val="32"/>
          <w:szCs w:val="32"/>
        </w:rPr>
        <w:t>有鑑於不義遺址的保存與法制化，促進轉型正義委員會（下簡稱促轉會）已針對二二八事件、白色恐怖時期之不義遺址進行公告，針對不義遺址保存，依據文化資產局索資回覆：「可依《文化資產保存法》申請指定登錄並經審議通過公告為各類別之法定文化資產。」其文資法雖有史蹟之類別，但不義遺址甚難於該體系保存，原因有下列二點：1.不義遺址</w:t>
      </w:r>
      <w:r w:rsidRPr="00573D4D">
        <w:rPr>
          <w:rFonts w:ascii="標楷體" w:eastAsia="標楷體" w:hAnsi="標楷體" w:hint="eastAsia"/>
          <w:snapToGrid w:val="0"/>
          <w:sz w:val="32"/>
          <w:szCs w:val="32"/>
        </w:rPr>
        <w:lastRenderedPageBreak/>
        <w:t>之原址多難明確界定範圍、原建物多已消失、改建，抑或為軍警臨時設築之近代構造物，實難全面由現行文化資產保存法之保存目的與價值基準所肯認。2.不義遺址指的是國家侵害人民權利的發生地，係國家級人權歷史紀念場景，近似日本學者荻野昌弘所提「負面文化遺產」概念。但綜觀我國現行文化資產審議程序，史蹟類必須先由各直轄市、縣（市）主管機關之文化資產審議委員會進行審議，中央主管機關方能接受提報已登錄者，進行審查登錄為重要史蹟。參照國際經驗，UNESCO於1992年推動保存檔案和文獻的「世界記憶」計畫，亦有多項與不義統治、政治壓迫相關聯的文獻遺產登錄在列；但基於我國國情與文資保存制度，其文化遺產若具備政治層面意義，若地方政府不願配合辦理，中央亦無法干涉其獨立作業，恐不利於不義遺址之法制化保存。再者，促轉會已2022年5月解編，其不義遺址之保存，實有賴於文化部積極推動，爰建請文化部應進行：1.不義遺址的保存與法制化，是否另訂專法或適用文資法，提出法律研修，2.擴大與國家發展委員會所屬之促進轉型正義基金合作，凝聚保存不義遺址共識。</w:t>
      </w:r>
      <w:r w:rsidRPr="00573D4D">
        <w:rPr>
          <w:rFonts w:ascii="標楷體" w:eastAsia="標楷體" w:hAnsi="標楷體"/>
          <w:snapToGrid w:val="0"/>
          <w:sz w:val="32"/>
          <w:szCs w:val="32"/>
        </w:rPr>
        <w:t>305</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napToGrid w:val="0"/>
          <w:sz w:val="32"/>
          <w:szCs w:val="32"/>
        </w:rPr>
        <w:t>提案人：吳思瑤</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snapToGrid w:val="0"/>
          <w:sz w:val="32"/>
          <w:szCs w:val="32"/>
        </w:rPr>
        <w:t>連署人：</w:t>
      </w:r>
      <w:r w:rsidRPr="00573D4D">
        <w:rPr>
          <w:rFonts w:ascii="標楷體" w:eastAsia="標楷體" w:hAnsi="標楷體" w:hint="eastAsia"/>
          <w:snapToGrid w:val="0"/>
          <w:sz w:val="32"/>
          <w:szCs w:val="32"/>
        </w:rPr>
        <w:t>范  雲  陳秀寳</w:t>
      </w:r>
    </w:p>
    <w:p w:rsidR="00A52DD2" w:rsidRPr="00573D4D" w:rsidRDefault="00A52DD2" w:rsidP="00F035E0">
      <w:pPr>
        <w:kinsoku w:val="0"/>
        <w:overflowPunct w:val="0"/>
        <w:spacing w:before="60" w:after="60" w:line="500" w:lineRule="exact"/>
        <w:ind w:leftChars="100" w:left="1568" w:hangingChars="415" w:hanging="1328"/>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本項通過決議21項：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(一)112年度文化部文化資產局第2目「文化資產業務」預算編列24億2,809萬9千元，凍結300萬元，俟文化部向立法院教育及文化委員會提出書面報告後，始得動支。266-300</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提案人：萬美玲  吳怡玎  鄭正鈐  黃國書</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sz w:val="32"/>
          <w:szCs w:val="32"/>
        </w:rPr>
        <w:t xml:space="preserve">        林奕華  陳秀寳  林宜瑾</w:t>
      </w:r>
      <w:r w:rsidRPr="00573D4D">
        <w:rPr>
          <w:rFonts w:ascii="標楷體" w:eastAsia="標楷體" w:hAnsi="標楷體" w:hint="eastAsia"/>
          <w:sz w:val="32"/>
          <w:szCs w:val="32"/>
        </w:rPr>
        <w:t xml:space="preserve"> 張廖萬堅</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sz w:val="32"/>
          <w:szCs w:val="32"/>
        </w:rPr>
        <w:t xml:space="preserve">        范</w:t>
      </w:r>
      <w:r w:rsidRPr="00573D4D">
        <w:rPr>
          <w:rFonts w:ascii="標楷體" w:eastAsia="標楷體" w:hAnsi="標楷體" w:hint="eastAsia"/>
          <w:sz w:val="32"/>
          <w:szCs w:val="32"/>
        </w:rPr>
        <w:t xml:space="preserve">  </w:t>
      </w:r>
      <w:r w:rsidRPr="00573D4D">
        <w:rPr>
          <w:rFonts w:ascii="標楷體" w:eastAsia="標楷體" w:hAnsi="標楷體"/>
          <w:sz w:val="32"/>
          <w:szCs w:val="32"/>
        </w:rPr>
        <w:t>雲</w:t>
      </w:r>
      <w:r w:rsidRPr="00573D4D">
        <w:rPr>
          <w:rFonts w:ascii="標楷體" w:eastAsia="標楷體" w:hAnsi="標楷體" w:hint="eastAsia"/>
          <w:sz w:val="32"/>
          <w:szCs w:val="32"/>
        </w:rPr>
        <w:t xml:space="preserve">  何欣純  吳思瑤  </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 xml:space="preserve">連署人：賴品妤  </w:t>
      </w:r>
    </w:p>
    <w:p w:rsidR="00A52DD2" w:rsidRPr="00573D4D" w:rsidRDefault="00A52DD2" w:rsidP="00F035E0">
      <w:pPr>
        <w:overflowPunct w:val="0"/>
        <w:spacing w:line="48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lastRenderedPageBreak/>
        <w:t>(二)為精進落實「原住民族文化資產保存」工作，請文化部參照教育部以「工作坊」形式推動原住民族實驗教育。「原住民族文化資產保存工作坊」讓各縣市文化局處、原民局處及原鄉部落參與，亦能透過工作坊使第一線文化資產保存工作的團隊及縣市政府文化單位得以相互交流、分享經驗，共同精進文化資產保存的具體落實。請文化部研議完善規劃報告，並於1個月內向立法院教育及文化委員會提出書面報告。301</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提案人：高金素梅</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連署人：林奕華  鄭正鈐</w:t>
      </w:r>
    </w:p>
    <w:p w:rsidR="00A52DD2" w:rsidRPr="00573D4D" w:rsidRDefault="00A52DD2" w:rsidP="00F035E0">
      <w:pPr>
        <w:overflowPunct w:val="0"/>
        <w:spacing w:line="48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三)有關臺中大里菸葉場保存、修復及活化利用，文化部持續協助相關維護管理、調查研究及修復計畫等經費。且「臺中菸葉廠產業場域轉型再造計畫」已納入前瞻基礎建設計畫預算，可加速推動園區內歷史建物的規劃，全區機電消防管線、建物構造的安全評估等規劃，以及後續歷史建物修復工程的啟動。日前第9號倉庫更轉型為「考古遺址出土遺物典存庫房」，為推動文化資產保存樹立重要里程碑。另臺中大里菸葉廠其中建築群之1、2號倉庫、辦公室、康樂室、大禮堂、複薰工場等5棟歷史建築，目前正由行政法人國家表演藝術中心臺中國家歌劇院委託專業團隊進行開發研究計畫，該基地初步定位為「創作培育」與「數位表演藝術研發」之雙主軸。雖於111年6月辦理座談會，聽取地方對此地未來之規劃建議，惟為周全該基地與整體區域及周邊之發展，爰此請文化部應就規劃之相關需求成立專案小組，以協助該計畫之進行。302</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提案人：何欣純</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連署人：黃國書  張廖萬堅</w:t>
      </w:r>
    </w:p>
    <w:p w:rsidR="00A52DD2" w:rsidRPr="00573D4D" w:rsidRDefault="00A52DD2" w:rsidP="00F035E0">
      <w:pPr>
        <w:overflowPunct w:val="0"/>
        <w:spacing w:line="48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(四)112年度文化部文化資產局「文化資產業務」預算編列24億2</w:t>
      </w:r>
      <w:r w:rsidRPr="00573D4D">
        <w:rPr>
          <w:rFonts w:ascii="標楷體" w:eastAsia="標楷體" w:hAnsi="標楷體"/>
          <w:sz w:val="32"/>
          <w:szCs w:val="32"/>
        </w:rPr>
        <w:t>,</w:t>
      </w:r>
      <w:r w:rsidRPr="00573D4D">
        <w:rPr>
          <w:rFonts w:ascii="標楷體" w:eastAsia="標楷體" w:hAnsi="標楷體" w:hint="eastAsia"/>
          <w:sz w:val="32"/>
          <w:szCs w:val="32"/>
        </w:rPr>
        <w:t>809萬9千元，其經費用於文化資產維護管理及再利用、以及歷史與文化資產維護發展等相關業務。另查，全國經指</w:t>
      </w:r>
      <w:r w:rsidRPr="00573D4D">
        <w:rPr>
          <w:rFonts w:ascii="標楷體" w:eastAsia="標楷體" w:hAnsi="標楷體" w:hint="eastAsia"/>
          <w:sz w:val="32"/>
          <w:szCs w:val="32"/>
        </w:rPr>
        <w:lastRenderedPageBreak/>
        <w:t>定登錄之古蹟、歷史建築等有形文化資產數量逐年成長，由105年3,952件增加至109年之4,880件，文化資產之保存及修復人才需求日益增加</w:t>
      </w:r>
      <w:r>
        <w:rPr>
          <w:rFonts w:ascii="標楷體" w:eastAsia="標楷體" w:hAnsi="標楷體" w:hint="eastAsia"/>
          <w:sz w:val="32"/>
          <w:szCs w:val="32"/>
        </w:rPr>
        <w:t>。</w:t>
      </w:r>
      <w:r w:rsidRPr="00573D4D">
        <w:rPr>
          <w:rFonts w:ascii="標楷體" w:eastAsia="標楷體" w:hAnsi="標楷體" w:hint="eastAsia"/>
          <w:sz w:val="32"/>
          <w:szCs w:val="32"/>
        </w:rPr>
        <w:t>然具備傳統技藝可進行保存修復之傳統匠師卻日漸凋零，願意投入古蹟修復行業之新血匠師數量稀少成長緩慢，由105年之658人至109年僅增加至786人，未來恐不利於文化資產之保存，其中主因為相較於其他建築師，古蹟修復匠師技術難度高薪資卻較低。爰要求文化部文化資產局應針對提升古蹟修復傳統匠師整體之薪資水平進行評估與長期規劃，研議就相關古蹟修復程序開始前與當地民眾溝通協調之模式，並於</w:t>
      </w:r>
      <w:r w:rsidRPr="00573D4D">
        <w:rPr>
          <w:rFonts w:ascii="標楷體" w:eastAsia="標楷體" w:hAnsi="標楷體"/>
          <w:sz w:val="32"/>
          <w:szCs w:val="32"/>
        </w:rPr>
        <w:t>2</w:t>
      </w:r>
      <w:r w:rsidRPr="00573D4D">
        <w:rPr>
          <w:rFonts w:ascii="標楷體" w:eastAsia="標楷體" w:hAnsi="標楷體" w:hint="eastAsia"/>
          <w:sz w:val="32"/>
          <w:szCs w:val="32"/>
        </w:rPr>
        <w:t>個月內向立法院教育及文化委員會提出書面報告。303</w:t>
      </w:r>
    </w:p>
    <w:p w:rsidR="00A52DD2" w:rsidRPr="00573D4D" w:rsidRDefault="00A52DD2" w:rsidP="00F035E0">
      <w:pPr>
        <w:overflowPunct w:val="0"/>
        <w:spacing w:line="48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提案人：萬美玲</w:t>
      </w:r>
    </w:p>
    <w:p w:rsidR="00A52DD2" w:rsidRPr="00573D4D" w:rsidRDefault="00A52DD2" w:rsidP="00F035E0">
      <w:pPr>
        <w:overflowPunct w:val="0"/>
        <w:spacing w:line="480" w:lineRule="exact"/>
        <w:ind w:leftChars="1250" w:left="3000"/>
        <w:jc w:val="both"/>
        <w:rPr>
          <w:rFonts w:ascii="標楷體" w:eastAsia="標楷體" w:hAnsi="標楷體"/>
          <w:snapToGrid w:val="0"/>
          <w:sz w:val="32"/>
          <w:szCs w:val="32"/>
        </w:rPr>
      </w:pPr>
      <w:r w:rsidRPr="00573D4D">
        <w:rPr>
          <w:rFonts w:ascii="標楷體" w:eastAsia="標楷體" w:hAnsi="標楷體" w:hint="eastAsia"/>
          <w:sz w:val="32"/>
          <w:szCs w:val="32"/>
        </w:rPr>
        <w:t>連署人：鄭正鈐  吳怡玎</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(五)112年度文化部文化資產局「文化資產業務」預算編列24億2</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809萬9千元，其經費係用於文化資產維護管理及再利用，以及歷史與文化資產維護發展等相關業務。查司法院大法官於110年12月24日釋字第813號解釋，要求通盤檢討「文化資產保存法」第99條第2項及第100條第1項有關未能給予歷史建築所有權人相當補償之規定，並要求儘速修法完成。文化部文化資產局雖於111年4月25日邀請專家學者召開諮詢會議、於111年5月6日邀請相關部會及各地方政府召開研商會議，惟迄今尚未報立法院審查，影響相關利害關係人的權益。請文化部文化資產局應加速修法之期程，以維護相關利害關係人權益，並於3個月內向立法院教育及文化委員會提出書面報告。267</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提案人：萬美玲</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連署人：林奕華  鄭正鈐</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(六)112年度文化部文化資產局「文化資產業務」項下「文化資產維護管理及再利用計畫」預算編列1億0</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991萬6千元，</w:t>
      </w:r>
      <w:r w:rsidRPr="00573D4D">
        <w:rPr>
          <w:rFonts w:ascii="標楷體" w:eastAsia="標楷體" w:hAnsi="標楷體" w:hint="eastAsia"/>
          <w:snapToGrid w:val="0"/>
          <w:sz w:val="32"/>
          <w:szCs w:val="32"/>
        </w:rPr>
        <w:lastRenderedPageBreak/>
        <w:t>係以辦理文化資產保存及管理計畫，包含輔助各縣市政府及文物保管單位辦理保存維護與再利用等工作。文化資產局為文化資產維護主責單位，近期發生場館文物損毀事件，文化部文化資產局應於6個月內完成古物毀損公開機制與相關配套措施之訂定，以預防古物損毀情事發生。273</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提案人：陳秀寳</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連署人：吳思瑤  林宜瑾</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(七)112年度文化部文化資產局「文化資產業務」項下「文化資產維護管理及再利用計畫」預算編列1億0</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991萬6千元，係以辦理文化資產之管理維護及活化再利用、技術研究應用推廣等工作。全台大學學士以及研究有古蹟、文資修復的相關系所總共僅有5間，1年共計招收約112人；且人力資源網站古蹟相關的職缺，起薪落在2萬8千元至3萬4千元之間，足見古蹟及文資的修復管理人才培育環境及待遇並不豐沛。文化部針對古蹟、文資修復傳統匠師規劃有薪資參考基準及工程承攬範本契約，然針對傳統匠師的證照核發及資格檢定制度等有助提升薪資待遇之相關制度，尚未有研擬及推動期程；且針對除傳統匠師以外的其他從業人員，如：設計人員、結構工程師未見設有相關的待遇配套制度，應當針對整體古蹟、文資修復所需之人才建立完整待遇保障政策，以確保修復之品質。有鑑於傳統匠師證照核發、檢定制度等有助提升文化資產保存、維護及修復之品質，請文化部文化資產局針對匠師資格檢定與證照核發制度，於3個月內向立法院教育及文化委員會提出階段成果與規劃辦理方式之書面報告。275</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提案人：黃國書  吳思瑤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(八)112年度文化部文化資產局「文化資產業務」項下「文化資產維護管理及再利用計畫」預算編列1億0</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991萬6千元，係以辦理文化資產維護管理及再利用以及歷史與文化資產維</w:t>
      </w:r>
      <w:r w:rsidRPr="00573D4D">
        <w:rPr>
          <w:rFonts w:ascii="標楷體" w:eastAsia="標楷體" w:hAnsi="標楷體" w:hint="eastAsia"/>
          <w:snapToGrid w:val="0"/>
          <w:sz w:val="32"/>
          <w:szCs w:val="32"/>
        </w:rPr>
        <w:lastRenderedPageBreak/>
        <w:t>護發展等相關業務。有鑑國立故宮博物院文物數量近70萬件，近15年內故宮暫行分級國寶399案僅審查完成275案，暫行分級重要古物2</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316案僅審查完成781案</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文化部應加強故宮文物審查效率，儘速確認文資身分，並於3個月內向立法院教育及文化委員會提出提升國立故宮博物院古物審查效率書面報告，以利古物保存管理。276</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提案人：黃國書</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連署人：吳思瑤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(九)112年度文化部文化資產局「文化資產業務」項下「文化資產維護管理及再利用計畫」預算編列1億0</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991萬6千元，係以辦理文化資產維護管理及再利用以及歷史與文化資產維護發展等相關業務。有關近日國立故宮博物院文物損毀未公告周知，文化部應檢討古物損毀後通報流程，以避免博物館隱匿損毀之情事致使民眾對其失去信心，並於6個月內就「文化資產保存法」或其相關子法訂定關於古物損毀公開、通報規範。277</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提案人：黃國書</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連署人：吳思瑤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十)依「文化資產保存法」第15條規定，興建完竣達50年以上公有建造物，即可能具有指定古蹟或登錄為歷史建築、紀念建築等潛力，於處分前，應先由主管機關進行文化資產價值評估。然若部會無須進行處分，則無須進行文化資產價值評估，現行各主管機關已提送文化資產價值評估者計353棟，完成評估者計340棟，僅占全部約1.4%，若主管機關未提送價值評估，恐影響公有財產有效利用，亦不利於公有建物是否得以認定為文資，並加以妥善管理、維護。爰文化部宜協助地方主管機關就轄內50年以上公有建造物辦理普查作業，請文化部3個月內向立法院教育及文化委員會提出辦理情形書面報告。279</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lastRenderedPageBreak/>
        <w:t>提案人：黃國書</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連署人：吳思瑤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(十一)112年度文化部文化資產局「文化資產業務」項下「文化資產維護管理及再利用計畫」預算編列1億0</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991萬6千元，係辦理傳統藝術、民俗、口述傳統及傳統知識與實踐等無形文化資產之推動工作。聯合國教育、科學及文化組織於92年通過「保護無形文化遺產公約」，使各國逐漸開始重視非物質文化資產，我國亦於105年7月27日在文化資產類別上新增「無形文化資產」。然無形文化資產之項目繁多，又屬於新型且複雜的行政事務，需要專業的人力。有論者認為行政機關公務員之晉試項目偏重於文化行政，較欠缺無形文資保存維護之相關專業，或難以累積維護之專業經驗。而民間自發成立之傳習社團，往往因為資源與人力的缺乏，而使得傳藝的成果無疾而終，應當仿效日本之獨立行政法人「日本藝術文化振興會」，協助傳統技藝之培育，以及傳統技藝資料收集、調查及研究。綜上，請文化部文化資產局於3個月內向立法院教育及文化委員會提出成立無形文化資產行政法人之可行性書面報告。280</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提案人：黃國書</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連署人：吳思瑤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(十二)鹿港龍山寺曾於104年發生修復方式之爭論，並被要求停工，111年10月鹿港龍山寺工程又因修復方式與地方民眾產生歧見，且未符合「文化資產保存法」修復前應召開說明會之規定，被要求停工，</w:t>
      </w:r>
      <w:r>
        <w:rPr>
          <w:rFonts w:ascii="標楷體" w:eastAsia="標楷體" w:hAnsi="標楷體" w:hint="eastAsia"/>
          <w:snapToGrid w:val="0"/>
          <w:sz w:val="32"/>
          <w:szCs w:val="32"/>
        </w:rPr>
        <w:t>又</w:t>
      </w:r>
      <w:r w:rsidRPr="00573D4D">
        <w:rPr>
          <w:rFonts w:ascii="標楷體" w:eastAsia="標楷體" w:hAnsi="標楷體" w:hint="eastAsia"/>
          <w:snapToGrid w:val="0"/>
          <w:sz w:val="32"/>
          <w:szCs w:val="32"/>
        </w:rPr>
        <w:t>要求停工後仍有部分人員持續進行施作。文資修復應當研擬長期且完整的修復計畫，並與民眾進行充分之溝通，過去大屯郡役所、宜蘭舊監獄門廳藍屋皆曾因修復方式引發爭議，被認為破壞古蹟原有樣貌。相關文資修復爭議問題之發生，文化部應當重新檢討文資修復的標準作業程序，避免一再因修復方式發生爭端。綜上，請文化</w:t>
      </w:r>
      <w:r w:rsidRPr="00573D4D">
        <w:rPr>
          <w:rFonts w:ascii="標楷體" w:eastAsia="標楷體" w:hAnsi="標楷體" w:hint="eastAsia"/>
          <w:snapToGrid w:val="0"/>
          <w:sz w:val="32"/>
          <w:szCs w:val="32"/>
        </w:rPr>
        <w:lastRenderedPageBreak/>
        <w:t>部應檢討文資修復之流程，並加強與修復團隊之溝通。282</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提案人：黃國書</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連署人：吳思瑤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十三)112年度文化部文化資產局「文化資產業務」項下「文化資產環境與價值深化計畫」預算編列16億1,832萬4千元，其經費係用於文化資產維護管理及再利用，以及歷史與文化資產維護發展等相關業務。其中「歷史建築及館舍活化及再利用、升級優化及維(修)復業務」預算編列1億0</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928萬7千元，較111年度預算增加28.6%。惟審計部調查文化資產園區其中4棟建築物有低度利用情形，請文化部文化資產局應就檢討古蹟活動再利用之情形。另為有效提升所經管之文化資產園區場館使用率，增加空間使用次數，請文化部文化資產局積極規劃園區相關展演或培育活動，並廣邀請文化資產、藝術文化團體等單位申請使用或透過合作方式活絡園區，促使園區歷史建築物能發揮其活化價值及量能。285</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提案人：張廖萬堅</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連署人：陳秀寳  吳思瑤</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十四)針對文化資產硬體設施進行文資保存，雖硬體修復與活化確實重要，惟隨著新科技來臨，文化資產活化利用應與數位科技跨域結合運用，透過科技跨域實踐，讓民眾更加了解文化資產的文化價值與意義。例如以台劇「茶金」為例，劇中洋樓、老茶廠等建築，以及演員服裝髮型、擺放桌上茶杯都經過歷史考據，再搭配新攝影動畫技術，還原建構1950年代台灣民間風華，正是文化資產跨域多元的應用成果。除現有文資保存修復、活化利用外，文化資產如何透過數位新興科技跨域應用實踐、擴大數位典藏與民眾參與，讓實務應用與文資相結合等。請文化部文化資產局於3個月內向立法院教育及文化委員會提出書面報告。287</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提案人：何欣純</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lastRenderedPageBreak/>
        <w:t>連署人：陳秀寳  吳思瑤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十五)我國文化資產保存概念已由過去凍結式保存，轉變為活化再利用之永續經營，文化資產應與民眾生活連結，並使民眾得以接觸、感受其文化意涵。現行各部會經管之國有文化資產可利用者計170處，而辦公室及宿舍合計67處，占比約四成；其次為陳列展覽館或博物館32處，占比約二成，其中尚未開放民眾參觀之可利用文化資產占四成之多，雖因使用情形或安全考量有其不便開放之因素</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然文化資產係挹注國家資源維護管理，卻未開放民眾參觀，有違其公共精神。爰文化部</w:t>
      </w:r>
      <w:r>
        <w:rPr>
          <w:rFonts w:ascii="標楷體" w:eastAsia="標楷體" w:hAnsi="標楷體" w:hint="eastAsia"/>
          <w:snapToGrid w:val="0"/>
          <w:sz w:val="32"/>
          <w:szCs w:val="32"/>
        </w:rPr>
        <w:t>應</w:t>
      </w:r>
      <w:r w:rsidRPr="00573D4D">
        <w:rPr>
          <w:rFonts w:ascii="標楷體" w:eastAsia="標楷體" w:hAnsi="標楷體" w:hint="eastAsia"/>
          <w:snapToGrid w:val="0"/>
          <w:sz w:val="32"/>
          <w:szCs w:val="32"/>
        </w:rPr>
        <w:t>協調各管理單位研議其經管文化資產對外適度開放之計畫。請文化部於3個月內向立法院教育及文化委員會提出辦理情形書面報告。290</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提案人：黃國書</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連署人：林宜瑾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十六)112年度文化部文化資產局「文化資產業務」項下「文化資產環境與價值深化計畫」預算編列16億1,832萬4千元，部分委辦費執行考古遺址保存計畫及典藏空間建置，亦補助各縣市辦理考古遺址相關普查或調查研究等相關業務。鑑於國內多項大型公共工程建設推展，及私人建設的大量興建，考古遺址調查經費之減列將對文化資產之保存與推廣有所影響</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請文化部加強與地方主管機關溝通協調、加速考古遺址審查程序，並落實事前調查考古遺址，以減少工程計畫延宕及預算增加之情形。291</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提案人：黃國書</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連署人：林宜瑾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(十七)為提升國內古物保存修復品質，應訂定古物修復人員資格規範、建立古物修復人才庫、培育古物修復人才。請文化部配合「文化資產保存法」修法，儘速研議訂定相關規範，並</w:t>
      </w:r>
      <w:r w:rsidRPr="00573D4D">
        <w:rPr>
          <w:rFonts w:ascii="標楷體" w:eastAsia="標楷體" w:hAnsi="標楷體" w:hint="eastAsia"/>
          <w:snapToGrid w:val="0"/>
          <w:sz w:val="32"/>
          <w:szCs w:val="32"/>
        </w:rPr>
        <w:lastRenderedPageBreak/>
        <w:t>落實古物修復人才培育。295</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提案人：何欣純</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連署人：陳秀寳  吳思瑤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(十八)有鑑於</w:t>
      </w:r>
      <w:r w:rsidRPr="00573D4D">
        <w:rPr>
          <w:rFonts w:ascii="標楷體" w:eastAsia="標楷體" w:hAnsi="標楷體"/>
          <w:snapToGrid w:val="0"/>
          <w:sz w:val="32"/>
          <w:szCs w:val="32"/>
        </w:rPr>
        <w:t>1972</w:t>
      </w:r>
      <w:r w:rsidRPr="00573D4D">
        <w:rPr>
          <w:rFonts w:ascii="標楷體" w:eastAsia="標楷體" w:hAnsi="標楷體" w:hint="eastAsia"/>
          <w:snapToGrid w:val="0"/>
          <w:sz w:val="32"/>
          <w:szCs w:val="32"/>
        </w:rPr>
        <w:t>年</w:t>
      </w:r>
      <w:r w:rsidRPr="00573D4D">
        <w:rPr>
          <w:rFonts w:ascii="標楷體" w:eastAsia="標楷體" w:hAnsi="標楷體"/>
          <w:snapToGrid w:val="0"/>
          <w:sz w:val="32"/>
          <w:szCs w:val="32"/>
        </w:rPr>
        <w:t>11</w:t>
      </w:r>
      <w:r w:rsidRPr="00573D4D">
        <w:rPr>
          <w:rFonts w:ascii="標楷體" w:eastAsia="標楷體" w:hAnsi="標楷體" w:hint="eastAsia"/>
          <w:snapToGrid w:val="0"/>
          <w:sz w:val="32"/>
          <w:szCs w:val="32"/>
        </w:rPr>
        <w:t>月第17屆聯合國教育、科學及文化組織大會通過「保護世界文化和自然遺產公約」，迄今為公約通過第</w:t>
      </w:r>
      <w:r w:rsidRPr="00573D4D">
        <w:rPr>
          <w:rFonts w:ascii="標楷體" w:eastAsia="標楷體" w:hAnsi="標楷體"/>
          <w:snapToGrid w:val="0"/>
          <w:sz w:val="32"/>
          <w:szCs w:val="32"/>
        </w:rPr>
        <w:t>50</w:t>
      </w:r>
      <w:r w:rsidRPr="00573D4D">
        <w:rPr>
          <w:rFonts w:ascii="標楷體" w:eastAsia="標楷體" w:hAnsi="標楷體" w:hint="eastAsia"/>
          <w:snapToGrid w:val="0"/>
          <w:sz w:val="32"/>
          <w:szCs w:val="32"/>
        </w:rPr>
        <w:t>年</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我國自</w:t>
      </w:r>
      <w:r w:rsidRPr="00573D4D">
        <w:rPr>
          <w:rFonts w:ascii="標楷體" w:eastAsia="標楷體" w:hAnsi="標楷體"/>
          <w:snapToGrid w:val="0"/>
          <w:sz w:val="32"/>
          <w:szCs w:val="32"/>
        </w:rPr>
        <w:t>2002</w:t>
      </w:r>
      <w:r w:rsidRPr="00573D4D">
        <w:rPr>
          <w:rFonts w:ascii="標楷體" w:eastAsia="標楷體" w:hAnsi="標楷體" w:hint="eastAsia"/>
          <w:snapToGrid w:val="0"/>
          <w:sz w:val="32"/>
          <w:szCs w:val="32"/>
        </w:rPr>
        <w:t>年由行政院文化建設委員會函請縣市政府及地方文史工作室提報具「世界遺產」潛力名單，並於</w:t>
      </w:r>
      <w:r w:rsidRPr="00573D4D">
        <w:rPr>
          <w:rFonts w:ascii="標楷體" w:eastAsia="標楷體" w:hAnsi="標楷體"/>
          <w:snapToGrid w:val="0"/>
          <w:sz w:val="32"/>
          <w:szCs w:val="32"/>
        </w:rPr>
        <w:t>2009</w:t>
      </w:r>
      <w:r w:rsidRPr="00573D4D">
        <w:rPr>
          <w:rFonts w:ascii="標楷體" w:eastAsia="標楷體" w:hAnsi="標楷體" w:hint="eastAsia"/>
          <w:snapToGrid w:val="0"/>
          <w:sz w:val="32"/>
          <w:szCs w:val="32"/>
        </w:rPr>
        <w:t>年成立第1屆臺灣世界遺產推動委員會，</w:t>
      </w:r>
      <w:r w:rsidRPr="00573D4D">
        <w:rPr>
          <w:rFonts w:ascii="標楷體" w:eastAsia="標楷體" w:hAnsi="標楷體"/>
          <w:snapToGrid w:val="0"/>
          <w:sz w:val="32"/>
          <w:szCs w:val="32"/>
        </w:rPr>
        <w:t>2010</w:t>
      </w:r>
      <w:r w:rsidRPr="00573D4D">
        <w:rPr>
          <w:rFonts w:ascii="標楷體" w:eastAsia="標楷體" w:hAnsi="標楷體" w:hint="eastAsia"/>
          <w:snapToGrid w:val="0"/>
          <w:sz w:val="32"/>
          <w:szCs w:val="32"/>
        </w:rPr>
        <w:t>年正式定案公告共計</w:t>
      </w:r>
      <w:r w:rsidRPr="00573D4D">
        <w:rPr>
          <w:rFonts w:ascii="標楷體" w:eastAsia="標楷體" w:hAnsi="標楷體"/>
          <w:snapToGrid w:val="0"/>
          <w:sz w:val="32"/>
          <w:szCs w:val="32"/>
        </w:rPr>
        <w:t>18</w:t>
      </w:r>
      <w:r w:rsidRPr="00573D4D">
        <w:rPr>
          <w:rFonts w:ascii="標楷體" w:eastAsia="標楷體" w:hAnsi="標楷體" w:hint="eastAsia"/>
          <w:snapToGrid w:val="0"/>
          <w:sz w:val="32"/>
          <w:szCs w:val="32"/>
        </w:rPr>
        <w:t>處之臺灣世界遺產潛力點。文化部已於2022年完成「臺灣世界遺產潛力點遴選及除名作業要點」之修正及新訂「非物質文化遺產潛力名錄遴選及除名作業要點」，並成立「第5屆臺灣世界遺產推動會」與「第1屆臺灣非物質文化遺產推動會」，據以持續推動保存、管理維護及臺灣文化向國際宣揚等工作。為推動臺灣文化遺產，請文化部持續進行推動會之運作，並規劃邀請國內外專家學者辦理諮詢會議，積極參與文化資產國際交流，俾使各項保存及維護工作更加落實。297</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提案人：吳思瑤</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連署人：林宜瑾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十九)依據「文化資產保存法」規定，文化景觀登錄範圍甚廣，但實務上有部分登錄為文化景觀之建物，因非屬「文化資產保存法」第21條無償撥用規範，且未能排除相關土地使用法規全部或一部之限制，恐將影響整體場域再造與規劃</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為督促文化部就其如何實踐文化場域再造，應就土地撥用、建築管理、消防安全等進行通盤檢討，並於3個月內向立法院教育及文化委員會提出書面報告。298</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提案人：何欣純</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連署人：吳思瑤  陳秀寳  張廖萬堅</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cs="PMingLiu"/>
          <w:kern w:val="0"/>
          <w:szCs w:val="24"/>
        </w:rPr>
      </w:pPr>
      <w:r w:rsidRPr="00573D4D">
        <w:rPr>
          <w:rFonts w:ascii="標楷體" w:eastAsia="標楷體" w:hAnsi="標楷體" w:hint="eastAsia"/>
          <w:snapToGrid w:val="0"/>
          <w:sz w:val="32"/>
          <w:szCs w:val="32"/>
        </w:rPr>
        <w:lastRenderedPageBreak/>
        <w:t>(二十)112年度文化部文化資產局「文化資產業務」項下「水下文化資產保存維護管理計畫」預算編列1億元</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查該計畫包含辦理專業人才培育，根據「水下文化資產專業人才培育辦法」，水下文化資產專業人才分為5類，但截至111年3月底止，文化部文化資產局辦理的培育課程，僅培育其中1類17人，其餘4類尚無取得合格證書之人才。究其原因乃「水下文化資產專業人才培育辦法」第2條第1至4款專業人才屬高階人才，須具備相當時數專業訓練才能勝任，然而現行狀況卻是具學歷者多缺乏工作經歷。爰此請文化部應採隨案養才方式，協助專業人才補足工作經歷缺口並取得專業人才資格，以及加強產官學合作機制，逐漸提升水下探測人才數量。299</w:t>
      </w:r>
    </w:p>
    <w:tbl>
      <w:tblPr>
        <w:tblW w:w="9462"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7"/>
        <w:gridCol w:w="2268"/>
        <w:gridCol w:w="1749"/>
        <w:gridCol w:w="1659"/>
        <w:gridCol w:w="1659"/>
      </w:tblGrid>
      <w:tr w:rsidR="00A52DD2" w:rsidRPr="00573D4D" w:rsidTr="00F035E0">
        <w:trPr>
          <w:jc w:val="right"/>
        </w:trPr>
        <w:tc>
          <w:tcPr>
            <w:tcW w:w="2127" w:type="dxa"/>
            <w:shd w:val="clear" w:color="auto" w:fill="auto"/>
            <w:vAlign w:val="center"/>
          </w:tcPr>
          <w:p w:rsidR="00A52DD2" w:rsidRPr="00573D4D" w:rsidRDefault="00A52DD2" w:rsidP="00F035E0">
            <w:pPr>
              <w:spacing w:line="480" w:lineRule="exact"/>
              <w:rPr>
                <w:rFonts w:ascii="標楷體" w:eastAsia="標楷體" w:hAnsi="標楷體" w:cs="PMingLiu"/>
                <w:kern w:val="0"/>
                <w:szCs w:val="24"/>
              </w:rPr>
            </w:pPr>
            <w:r w:rsidRPr="00573D4D">
              <w:rPr>
                <w:rFonts w:ascii="標楷體" w:eastAsia="標楷體" w:hAnsi="標楷體" w:cs="新細明體" w:hint="eastAsia"/>
                <w:kern w:val="0"/>
                <w:szCs w:val="24"/>
              </w:rPr>
              <w:t>水下考古人員</w:t>
            </w:r>
          </w:p>
        </w:tc>
        <w:tc>
          <w:tcPr>
            <w:tcW w:w="2268" w:type="dxa"/>
            <w:shd w:val="clear" w:color="auto" w:fill="auto"/>
            <w:vAlign w:val="center"/>
          </w:tcPr>
          <w:p w:rsidR="00A52DD2" w:rsidRPr="00573D4D" w:rsidRDefault="00A52DD2" w:rsidP="00F035E0">
            <w:pPr>
              <w:spacing w:line="480" w:lineRule="exact"/>
              <w:rPr>
                <w:rFonts w:ascii="標楷體" w:eastAsia="標楷體" w:hAnsi="標楷體" w:cs="PMingLiu"/>
                <w:kern w:val="0"/>
                <w:szCs w:val="24"/>
              </w:rPr>
            </w:pPr>
            <w:r w:rsidRPr="00573D4D">
              <w:rPr>
                <w:rFonts w:ascii="標楷體" w:eastAsia="標楷體" w:hAnsi="標楷體" w:cs="新細明體" w:hint="eastAsia"/>
                <w:kern w:val="0"/>
                <w:szCs w:val="24"/>
              </w:rPr>
              <w:t>科學潛水考古人員</w:t>
            </w:r>
          </w:p>
        </w:tc>
        <w:tc>
          <w:tcPr>
            <w:tcW w:w="1749" w:type="dxa"/>
            <w:shd w:val="clear" w:color="auto" w:fill="auto"/>
            <w:vAlign w:val="center"/>
          </w:tcPr>
          <w:p w:rsidR="00A52DD2" w:rsidRPr="00573D4D" w:rsidRDefault="00A52DD2" w:rsidP="00F035E0">
            <w:pPr>
              <w:spacing w:line="480" w:lineRule="exact"/>
              <w:rPr>
                <w:rFonts w:ascii="標楷體" w:eastAsia="標楷體" w:hAnsi="標楷體" w:cs="PMingLiu"/>
                <w:kern w:val="0"/>
                <w:szCs w:val="24"/>
              </w:rPr>
            </w:pPr>
            <w:r w:rsidRPr="00573D4D">
              <w:rPr>
                <w:rFonts w:ascii="標楷體" w:eastAsia="標楷體" w:hAnsi="標楷體" w:cs="新細明體" w:hint="eastAsia"/>
                <w:kern w:val="0"/>
                <w:szCs w:val="24"/>
              </w:rPr>
              <w:t>海洋科學人員</w:t>
            </w:r>
          </w:p>
        </w:tc>
        <w:tc>
          <w:tcPr>
            <w:tcW w:w="1659" w:type="dxa"/>
            <w:shd w:val="clear" w:color="auto" w:fill="auto"/>
            <w:vAlign w:val="center"/>
          </w:tcPr>
          <w:p w:rsidR="00A52DD2" w:rsidRPr="00573D4D" w:rsidRDefault="00A52DD2" w:rsidP="00F035E0">
            <w:pPr>
              <w:spacing w:line="480" w:lineRule="exact"/>
              <w:rPr>
                <w:rFonts w:ascii="標楷體" w:eastAsia="標楷體" w:hAnsi="標楷體" w:cs="PMingLiu"/>
                <w:kern w:val="0"/>
                <w:szCs w:val="24"/>
              </w:rPr>
            </w:pPr>
            <w:r w:rsidRPr="00573D4D">
              <w:rPr>
                <w:rFonts w:ascii="標楷體" w:eastAsia="標楷體" w:hAnsi="標楷體" w:cs="新細明體" w:hint="eastAsia"/>
                <w:kern w:val="0"/>
                <w:szCs w:val="24"/>
              </w:rPr>
              <w:t>保存科學人員</w:t>
            </w:r>
          </w:p>
        </w:tc>
        <w:tc>
          <w:tcPr>
            <w:tcW w:w="1659" w:type="dxa"/>
            <w:shd w:val="clear" w:color="auto" w:fill="auto"/>
            <w:vAlign w:val="center"/>
          </w:tcPr>
          <w:p w:rsidR="00A52DD2" w:rsidRPr="00573D4D" w:rsidRDefault="00A52DD2" w:rsidP="00F035E0">
            <w:pPr>
              <w:spacing w:line="480" w:lineRule="exact"/>
              <w:rPr>
                <w:rFonts w:ascii="標楷體" w:eastAsia="標楷體" w:hAnsi="標楷體" w:cs="PMingLiu"/>
                <w:kern w:val="0"/>
                <w:szCs w:val="24"/>
              </w:rPr>
            </w:pPr>
            <w:r w:rsidRPr="00573D4D">
              <w:rPr>
                <w:rFonts w:ascii="標楷體" w:eastAsia="標楷體" w:hAnsi="標楷體" w:cs="新細明體" w:hint="eastAsia"/>
                <w:kern w:val="0"/>
                <w:szCs w:val="24"/>
              </w:rPr>
              <w:t>經主管機關認定之其他專業人員</w:t>
            </w:r>
          </w:p>
        </w:tc>
      </w:tr>
      <w:tr w:rsidR="00A52DD2" w:rsidRPr="00573D4D" w:rsidTr="00F035E0">
        <w:trPr>
          <w:jc w:val="right"/>
        </w:trPr>
        <w:tc>
          <w:tcPr>
            <w:tcW w:w="2127" w:type="dxa"/>
            <w:shd w:val="clear" w:color="auto" w:fill="auto"/>
          </w:tcPr>
          <w:p w:rsidR="00A52DD2" w:rsidRPr="00573D4D" w:rsidRDefault="00A52DD2" w:rsidP="00F035E0">
            <w:pPr>
              <w:spacing w:line="480" w:lineRule="exact"/>
              <w:jc w:val="center"/>
              <w:rPr>
                <w:rFonts w:ascii="標楷體" w:eastAsia="標楷體" w:hAnsi="標楷體" w:cs="PMingLiu"/>
                <w:kern w:val="0"/>
                <w:szCs w:val="24"/>
              </w:rPr>
            </w:pPr>
            <w:r w:rsidRPr="00573D4D">
              <w:rPr>
                <w:rFonts w:ascii="標楷體" w:eastAsia="標楷體" w:hAnsi="標楷體" w:cs="PMingLiu"/>
                <w:kern w:val="0"/>
                <w:szCs w:val="24"/>
              </w:rPr>
              <w:t>0</w:t>
            </w:r>
            <w:r w:rsidRPr="00573D4D">
              <w:rPr>
                <w:rFonts w:ascii="標楷體" w:eastAsia="標楷體" w:hAnsi="標楷體" w:cs="新細明體" w:hint="eastAsia"/>
                <w:kern w:val="0"/>
                <w:szCs w:val="24"/>
              </w:rPr>
              <w:t>人</w:t>
            </w:r>
          </w:p>
        </w:tc>
        <w:tc>
          <w:tcPr>
            <w:tcW w:w="2268" w:type="dxa"/>
            <w:shd w:val="clear" w:color="auto" w:fill="auto"/>
          </w:tcPr>
          <w:p w:rsidR="00A52DD2" w:rsidRPr="00573D4D" w:rsidRDefault="00A52DD2" w:rsidP="00F035E0">
            <w:pPr>
              <w:spacing w:line="480" w:lineRule="exact"/>
              <w:jc w:val="center"/>
              <w:rPr>
                <w:rFonts w:ascii="標楷體" w:eastAsia="標楷體" w:hAnsi="標楷體" w:cs="Calibri"/>
                <w:kern w:val="0"/>
                <w:szCs w:val="24"/>
              </w:rPr>
            </w:pPr>
            <w:r w:rsidRPr="00573D4D">
              <w:rPr>
                <w:rFonts w:ascii="標楷體" w:eastAsia="標楷體" w:hAnsi="標楷體" w:cs="PMingLiu"/>
                <w:kern w:val="0"/>
                <w:szCs w:val="24"/>
              </w:rPr>
              <w:t>0</w:t>
            </w:r>
            <w:r w:rsidRPr="00573D4D">
              <w:rPr>
                <w:rFonts w:ascii="標楷體" w:eastAsia="標楷體" w:hAnsi="標楷體" w:cs="新細明體" w:hint="eastAsia"/>
                <w:kern w:val="0"/>
                <w:szCs w:val="24"/>
              </w:rPr>
              <w:t>人</w:t>
            </w:r>
          </w:p>
        </w:tc>
        <w:tc>
          <w:tcPr>
            <w:tcW w:w="1749" w:type="dxa"/>
            <w:shd w:val="clear" w:color="auto" w:fill="auto"/>
          </w:tcPr>
          <w:p w:rsidR="00A52DD2" w:rsidRPr="00573D4D" w:rsidRDefault="00A52DD2" w:rsidP="00F035E0">
            <w:pPr>
              <w:spacing w:line="480" w:lineRule="exact"/>
              <w:jc w:val="center"/>
              <w:rPr>
                <w:rFonts w:ascii="標楷體" w:eastAsia="標楷體" w:hAnsi="標楷體" w:cs="Calibri"/>
                <w:kern w:val="0"/>
                <w:szCs w:val="24"/>
              </w:rPr>
            </w:pPr>
            <w:r w:rsidRPr="00573D4D">
              <w:rPr>
                <w:rFonts w:ascii="標楷體" w:eastAsia="標楷體" w:hAnsi="標楷體" w:cs="PMingLiu"/>
                <w:kern w:val="0"/>
                <w:szCs w:val="24"/>
              </w:rPr>
              <w:t>0</w:t>
            </w:r>
            <w:r w:rsidRPr="00573D4D">
              <w:rPr>
                <w:rFonts w:ascii="標楷體" w:eastAsia="標楷體" w:hAnsi="標楷體" w:cs="新細明體" w:hint="eastAsia"/>
                <w:kern w:val="0"/>
                <w:szCs w:val="24"/>
              </w:rPr>
              <w:t>人</w:t>
            </w:r>
          </w:p>
        </w:tc>
        <w:tc>
          <w:tcPr>
            <w:tcW w:w="1659" w:type="dxa"/>
            <w:shd w:val="clear" w:color="auto" w:fill="auto"/>
          </w:tcPr>
          <w:p w:rsidR="00A52DD2" w:rsidRPr="00573D4D" w:rsidRDefault="00A52DD2" w:rsidP="00F035E0">
            <w:pPr>
              <w:spacing w:line="480" w:lineRule="exact"/>
              <w:jc w:val="center"/>
              <w:rPr>
                <w:rFonts w:ascii="標楷體" w:eastAsia="標楷體" w:hAnsi="標楷體" w:cs="Calibri"/>
                <w:kern w:val="0"/>
                <w:szCs w:val="24"/>
              </w:rPr>
            </w:pPr>
            <w:r w:rsidRPr="00573D4D">
              <w:rPr>
                <w:rFonts w:ascii="標楷體" w:eastAsia="標楷體" w:hAnsi="標楷體" w:cs="PMingLiu"/>
                <w:kern w:val="0"/>
                <w:szCs w:val="24"/>
              </w:rPr>
              <w:t>0</w:t>
            </w:r>
            <w:r w:rsidRPr="00573D4D">
              <w:rPr>
                <w:rFonts w:ascii="標楷體" w:eastAsia="標楷體" w:hAnsi="標楷體" w:cs="新細明體" w:hint="eastAsia"/>
                <w:kern w:val="0"/>
                <w:szCs w:val="24"/>
              </w:rPr>
              <w:t>人</w:t>
            </w:r>
          </w:p>
        </w:tc>
        <w:tc>
          <w:tcPr>
            <w:tcW w:w="1659" w:type="dxa"/>
            <w:shd w:val="clear" w:color="auto" w:fill="auto"/>
          </w:tcPr>
          <w:p w:rsidR="00A52DD2" w:rsidRPr="00573D4D" w:rsidRDefault="00A52DD2" w:rsidP="00F035E0">
            <w:pPr>
              <w:spacing w:line="480" w:lineRule="exact"/>
              <w:jc w:val="center"/>
              <w:rPr>
                <w:rFonts w:ascii="標楷體" w:eastAsia="標楷體" w:hAnsi="標楷體" w:cs="Calibri"/>
                <w:kern w:val="0"/>
                <w:szCs w:val="24"/>
              </w:rPr>
            </w:pPr>
            <w:r w:rsidRPr="00573D4D">
              <w:rPr>
                <w:rFonts w:ascii="標楷體" w:eastAsia="標楷體" w:hAnsi="標楷體" w:cs="PMingLiu"/>
                <w:kern w:val="0"/>
                <w:szCs w:val="24"/>
              </w:rPr>
              <w:t>17</w:t>
            </w:r>
            <w:r w:rsidRPr="00573D4D">
              <w:rPr>
                <w:rFonts w:ascii="標楷體" w:eastAsia="標楷體" w:hAnsi="標楷體" w:cs="新細明體" w:hint="eastAsia"/>
                <w:kern w:val="0"/>
                <w:szCs w:val="24"/>
              </w:rPr>
              <w:t>人</w:t>
            </w:r>
          </w:p>
        </w:tc>
      </w:tr>
    </w:tbl>
    <w:p w:rsidR="00A52DD2" w:rsidRDefault="00A52DD2" w:rsidP="00F035E0">
      <w:pPr>
        <w:snapToGrid w:val="0"/>
        <w:spacing w:line="240" w:lineRule="atLeast"/>
        <w:ind w:left="720" w:hangingChars="300" w:hanging="720"/>
        <w:rPr>
          <w:rFonts w:ascii="標楷體" w:eastAsia="標楷體" w:hAnsi="標楷體"/>
          <w:sz w:val="32"/>
          <w:szCs w:val="32"/>
        </w:rPr>
      </w:pPr>
      <w:r w:rsidRPr="00573D4D">
        <w:rPr>
          <w:rFonts w:ascii="標楷體" w:eastAsia="標楷體" w:hAnsi="標楷體" w:cs="標楷體"/>
          <w:kern w:val="0"/>
          <w:szCs w:val="24"/>
        </w:rPr>
        <w:t>說明</w:t>
      </w:r>
      <w:r w:rsidRPr="00573D4D">
        <w:rPr>
          <w:rFonts w:ascii="標楷體" w:eastAsia="標楷體" w:hAnsi="標楷體" w:cs="新細明體" w:hint="eastAsia"/>
          <w:kern w:val="0"/>
          <w:szCs w:val="24"/>
        </w:rPr>
        <w:t>：根據「水下文化資產專業人才培育辦法」，水下文化資產專業人才分為5類，截至</w:t>
      </w:r>
      <w:r w:rsidRPr="00573D4D">
        <w:rPr>
          <w:rFonts w:ascii="標楷體" w:eastAsia="標楷體" w:hAnsi="標楷體" w:cs="PMingLiu"/>
          <w:kern w:val="0"/>
          <w:szCs w:val="24"/>
        </w:rPr>
        <w:t>111</w:t>
      </w:r>
      <w:r w:rsidRPr="00573D4D">
        <w:rPr>
          <w:rFonts w:ascii="標楷體" w:eastAsia="標楷體" w:hAnsi="標楷體" w:cs="新細明體" w:hint="eastAsia"/>
          <w:kern w:val="0"/>
          <w:szCs w:val="24"/>
        </w:rPr>
        <w:t>年</w:t>
      </w:r>
      <w:r w:rsidRPr="00573D4D">
        <w:rPr>
          <w:rFonts w:ascii="標楷體" w:eastAsia="標楷體" w:hAnsi="標楷體" w:cs="PMingLiu"/>
          <w:kern w:val="0"/>
          <w:szCs w:val="24"/>
        </w:rPr>
        <w:t>3</w:t>
      </w:r>
      <w:r w:rsidRPr="00573D4D">
        <w:rPr>
          <w:rFonts w:ascii="標楷體" w:eastAsia="標楷體" w:hAnsi="標楷體" w:cs="新細明體" w:hint="eastAsia"/>
          <w:kern w:val="0"/>
          <w:szCs w:val="24"/>
        </w:rPr>
        <w:t>月底，經文資局培育課程而取得合格證書的專業人士</w:t>
      </w:r>
      <w:r>
        <w:rPr>
          <w:rFonts w:ascii="標楷體" w:eastAsia="標楷體" w:hAnsi="標楷體" w:cs="新細明體" w:hint="eastAsia"/>
          <w:kern w:val="0"/>
          <w:szCs w:val="24"/>
        </w:rPr>
        <w:t>。</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 xml:space="preserve">提案人：張廖萬堅  </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連署人：陳秀寳  吳思瑤</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二十一)112年度文化部文化資產局「文化資產業務」項下「水下文化資產保存維護管理計畫」預算編列1億元，係以辦理水下文化資產保存、維護、管理及推廣等工作。我國於104年制定「水下文化資產保存法」，並由水下考古團隊於108年前後將6艘沉船進行列冊為水下文化資產</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然98年在民間非正式預估中，台灣海峽由於天災、人禍可能計有 500多艘沉船，有鑑於國內水下文資調查、研究、發掘、修復人力不足，又111年11月「水下文化資產保存法」修法通過三讀，主管機關得設立或指定水下文化資產保存研究專責機構</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爰此，請文化部儘速進行國內相關單位執行量能盤點工作，並</w:t>
      </w:r>
      <w:r w:rsidRPr="00573D4D">
        <w:rPr>
          <w:rFonts w:ascii="標楷體" w:eastAsia="標楷體" w:hAnsi="標楷體" w:hint="eastAsia"/>
          <w:snapToGrid w:val="0"/>
          <w:sz w:val="32"/>
          <w:szCs w:val="32"/>
        </w:rPr>
        <w:lastRenderedPageBreak/>
        <w:t>研議設置水下文化資產保存研究專責機構發展之可行方案，以提高人才培育量能，解決現行人力不足之窘境。300</w:t>
      </w:r>
    </w:p>
    <w:p w:rsidR="00A52DD2" w:rsidRPr="00573D4D" w:rsidRDefault="00A52DD2" w:rsidP="00F035E0">
      <w:pPr>
        <w:snapToGrid w:val="0"/>
        <w:spacing w:line="48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提案人：黃國書</w:t>
      </w:r>
    </w:p>
    <w:p w:rsidR="00A52DD2" w:rsidRPr="00573D4D" w:rsidRDefault="00A52DD2" w:rsidP="00F035E0">
      <w:pPr>
        <w:snapToGrid w:val="0"/>
        <w:spacing w:line="48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連署人：林宜瑾  張廖萬堅</w:t>
      </w:r>
    </w:p>
    <w:p w:rsidR="00A52DD2" w:rsidRPr="00573D4D" w:rsidRDefault="00A52DD2" w:rsidP="00F035E0">
      <w:pPr>
        <w:kinsoku w:val="0"/>
        <w:overflowPunct w:val="0"/>
        <w:spacing w:beforeLines="50" w:before="180" w:line="500" w:lineRule="exact"/>
        <w:ind w:leftChars="100" w:left="1568" w:hangingChars="415" w:hanging="1328"/>
        <w:jc w:val="both"/>
        <w:textAlignment w:val="center"/>
        <w:rPr>
          <w:rFonts w:ascii="標楷體" w:eastAsia="標楷體" w:hAnsi="標楷體"/>
          <w:snapToGrid w:val="0"/>
          <w:sz w:val="32"/>
          <w:szCs w:val="32"/>
        </w:rPr>
      </w:pPr>
      <w:r w:rsidRPr="00573D4D">
        <w:rPr>
          <w:rFonts w:ascii="標楷體" w:eastAsia="標楷體" w:hAnsi="標楷體"/>
          <w:snapToGrid w:val="0"/>
          <w:sz w:val="32"/>
          <w:szCs w:val="32"/>
        </w:rPr>
        <w:t>第</w:t>
      </w:r>
      <w:r w:rsidRPr="00573D4D">
        <w:rPr>
          <w:rFonts w:ascii="標楷體" w:eastAsia="標楷體" w:hAnsi="標楷體" w:hint="eastAsia"/>
          <w:snapToGrid w:val="0"/>
          <w:sz w:val="32"/>
          <w:szCs w:val="32"/>
        </w:rPr>
        <w:t>3</w:t>
      </w:r>
      <w:r w:rsidRPr="00573D4D">
        <w:rPr>
          <w:rFonts w:ascii="標楷體" w:eastAsia="標楷體" w:hAnsi="標楷體"/>
          <w:snapToGrid w:val="0"/>
          <w:sz w:val="32"/>
          <w:szCs w:val="32"/>
        </w:rPr>
        <w:t xml:space="preserve">項　</w:t>
      </w:r>
      <w:r w:rsidRPr="00573D4D">
        <w:rPr>
          <w:rFonts w:ascii="標楷體" w:eastAsia="標楷體" w:hAnsi="標楷體" w:hint="eastAsia"/>
          <w:snapToGrid w:val="0"/>
          <w:sz w:val="32"/>
          <w:szCs w:val="32"/>
        </w:rPr>
        <w:t>影視及流行音樂產業局16億5,859萬元</w:t>
      </w:r>
      <w:r w:rsidRPr="00573D4D">
        <w:rPr>
          <w:rFonts w:ascii="標楷體" w:eastAsia="標楷體" w:hAnsi="標楷體"/>
          <w:snapToGrid w:val="0"/>
          <w:sz w:val="32"/>
          <w:szCs w:val="32"/>
        </w:rPr>
        <w:t>，照列。</w:t>
      </w:r>
    </w:p>
    <w:p w:rsidR="00A52DD2" w:rsidRPr="00573D4D" w:rsidRDefault="00A52DD2" w:rsidP="00F035E0">
      <w:pPr>
        <w:kinsoku w:val="0"/>
        <w:overflowPunct w:val="0"/>
        <w:spacing w:before="60" w:after="60" w:line="500" w:lineRule="exact"/>
        <w:ind w:leftChars="100" w:left="1568" w:hangingChars="415" w:hanging="1328"/>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本項通過決議14項：</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(一)112年度文化部影視及流行音樂產業局第3目「廣播電視事業輔導」預算編列</w:t>
      </w:r>
      <w:r w:rsidRPr="00573D4D">
        <w:rPr>
          <w:rFonts w:ascii="標楷體" w:eastAsia="標楷體" w:hAnsi="標楷體"/>
          <w:snapToGrid w:val="0"/>
          <w:sz w:val="32"/>
          <w:szCs w:val="32"/>
        </w:rPr>
        <w:t>5</w:t>
      </w:r>
      <w:r w:rsidRPr="00573D4D">
        <w:rPr>
          <w:rFonts w:ascii="標楷體" w:eastAsia="標楷體" w:hAnsi="標楷體" w:hint="eastAsia"/>
          <w:snapToGrid w:val="0"/>
          <w:sz w:val="32"/>
          <w:szCs w:val="32"/>
        </w:rPr>
        <w:t>億</w:t>
      </w:r>
      <w:r w:rsidRPr="00573D4D">
        <w:rPr>
          <w:rFonts w:ascii="標楷體" w:eastAsia="標楷體" w:hAnsi="標楷體"/>
          <w:snapToGrid w:val="0"/>
          <w:sz w:val="32"/>
          <w:szCs w:val="32"/>
        </w:rPr>
        <w:t>1</w:t>
      </w:r>
      <w:r w:rsidRPr="00573D4D">
        <w:rPr>
          <w:rFonts w:ascii="標楷體" w:eastAsia="標楷體" w:hAnsi="標楷體" w:hint="eastAsia"/>
          <w:snapToGrid w:val="0"/>
          <w:sz w:val="32"/>
          <w:szCs w:val="32"/>
        </w:rPr>
        <w:t>,</w:t>
      </w:r>
      <w:r w:rsidRPr="00573D4D">
        <w:rPr>
          <w:rFonts w:ascii="標楷體" w:eastAsia="標楷體" w:hAnsi="標楷體"/>
          <w:snapToGrid w:val="0"/>
          <w:sz w:val="32"/>
          <w:szCs w:val="32"/>
        </w:rPr>
        <w:t>884</w:t>
      </w:r>
      <w:r w:rsidRPr="00573D4D">
        <w:rPr>
          <w:rFonts w:ascii="標楷體" w:eastAsia="標楷體" w:hAnsi="標楷體" w:hint="eastAsia"/>
          <w:snapToGrid w:val="0"/>
          <w:sz w:val="32"/>
          <w:szCs w:val="32"/>
        </w:rPr>
        <w:t>萬</w:t>
      </w:r>
      <w:r w:rsidRPr="00573D4D">
        <w:rPr>
          <w:rFonts w:ascii="標楷體" w:eastAsia="標楷體" w:hAnsi="標楷體"/>
          <w:snapToGrid w:val="0"/>
          <w:sz w:val="32"/>
          <w:szCs w:val="32"/>
        </w:rPr>
        <w:t>9</w:t>
      </w:r>
      <w:r w:rsidRPr="00573D4D">
        <w:rPr>
          <w:rFonts w:ascii="標楷體" w:eastAsia="標楷體" w:hAnsi="標楷體" w:hint="eastAsia"/>
          <w:snapToGrid w:val="0"/>
          <w:sz w:val="32"/>
          <w:szCs w:val="32"/>
        </w:rPr>
        <w:t>千元，凍結</w:t>
      </w:r>
      <w:r w:rsidRPr="00573D4D">
        <w:rPr>
          <w:rFonts w:ascii="標楷體" w:eastAsia="標楷體" w:hAnsi="標楷體"/>
          <w:snapToGrid w:val="0"/>
          <w:sz w:val="32"/>
          <w:szCs w:val="32"/>
        </w:rPr>
        <w:t>1</w:t>
      </w:r>
      <w:r w:rsidRPr="00573D4D">
        <w:rPr>
          <w:rFonts w:ascii="標楷體" w:eastAsia="標楷體" w:hAnsi="標楷體" w:hint="eastAsia"/>
          <w:snapToGrid w:val="0"/>
          <w:sz w:val="32"/>
          <w:szCs w:val="32"/>
        </w:rPr>
        <w:t>00萬元，俟文化部向立法院教育及文化委員會提出書面報告後，始得動支。</w:t>
      </w:r>
      <w:r w:rsidRPr="00573D4D">
        <w:rPr>
          <w:rFonts w:ascii="標楷體" w:eastAsia="標楷體" w:hAnsi="標楷體"/>
          <w:snapToGrid w:val="0"/>
          <w:sz w:val="32"/>
          <w:szCs w:val="32"/>
        </w:rPr>
        <w:t>316-327</w:t>
      </w:r>
    </w:p>
    <w:p w:rsidR="00A52DD2" w:rsidRPr="00573D4D" w:rsidRDefault="00A52DD2" w:rsidP="00F035E0">
      <w:pPr>
        <w:snapToGrid w:val="0"/>
        <w:spacing w:line="46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提案人：黃國書  萬美玲  林奕華 張廖萬堅</w:t>
      </w:r>
    </w:p>
    <w:p w:rsidR="00A52DD2" w:rsidRPr="00573D4D" w:rsidRDefault="00A52DD2" w:rsidP="00F035E0">
      <w:pPr>
        <w:snapToGrid w:val="0"/>
        <w:spacing w:line="460" w:lineRule="exact"/>
        <w:ind w:leftChars="1250" w:left="4280" w:hangingChars="400" w:hanging="1280"/>
        <w:jc w:val="both"/>
        <w:rPr>
          <w:rFonts w:ascii="標楷體" w:eastAsia="標楷體" w:hAnsi="標楷體"/>
          <w:sz w:val="32"/>
          <w:szCs w:val="32"/>
        </w:rPr>
      </w:pPr>
      <w:r w:rsidRPr="00573D4D">
        <w:rPr>
          <w:rFonts w:ascii="標楷體" w:eastAsia="標楷體" w:hAnsi="標楷體"/>
          <w:sz w:val="32"/>
          <w:szCs w:val="32"/>
        </w:rPr>
        <w:t xml:space="preserve">        鄭正鈐  何欣純  陳秀寳</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w:t>
      </w:r>
      <w:r w:rsidRPr="00573D4D">
        <w:rPr>
          <w:rFonts w:ascii="標楷體" w:eastAsia="標楷體" w:hAnsi="標楷體" w:hint="eastAsia"/>
          <w:snapToGrid w:val="0"/>
          <w:sz w:val="32"/>
          <w:szCs w:val="32"/>
        </w:rPr>
        <w:t xml:space="preserve">范  雲  林宜瑾  吳怡玎  </w:t>
      </w:r>
      <w:r w:rsidRPr="00573D4D">
        <w:rPr>
          <w:rFonts w:ascii="標楷體" w:eastAsia="標楷體" w:hAnsi="標楷體"/>
          <w:snapToGrid w:val="0"/>
          <w:sz w:val="32"/>
          <w:szCs w:val="32"/>
        </w:rPr>
        <w:t>吳思瑤</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(二)112年度文化部影視及流行音樂產業局第</w:t>
      </w:r>
      <w:r w:rsidRPr="00573D4D">
        <w:rPr>
          <w:rFonts w:ascii="標楷體" w:eastAsia="標楷體" w:hAnsi="標楷體"/>
          <w:snapToGrid w:val="0"/>
          <w:sz w:val="32"/>
          <w:szCs w:val="32"/>
        </w:rPr>
        <w:t>4</w:t>
      </w:r>
      <w:r w:rsidRPr="00573D4D">
        <w:rPr>
          <w:rFonts w:ascii="標楷體" w:eastAsia="標楷體" w:hAnsi="標楷體" w:hint="eastAsia"/>
          <w:snapToGrid w:val="0"/>
          <w:sz w:val="32"/>
          <w:szCs w:val="32"/>
        </w:rPr>
        <w:t>目「流行音樂產業輔導」預算編列</w:t>
      </w:r>
      <w:r w:rsidRPr="00573D4D">
        <w:rPr>
          <w:rFonts w:ascii="標楷體" w:eastAsia="標楷體" w:hAnsi="標楷體"/>
          <w:snapToGrid w:val="0"/>
          <w:sz w:val="32"/>
          <w:szCs w:val="32"/>
        </w:rPr>
        <w:t>4</w:t>
      </w:r>
      <w:r w:rsidRPr="00573D4D">
        <w:rPr>
          <w:rFonts w:ascii="標楷體" w:eastAsia="標楷體" w:hAnsi="標楷體" w:hint="eastAsia"/>
          <w:snapToGrid w:val="0"/>
          <w:sz w:val="32"/>
          <w:szCs w:val="32"/>
        </w:rPr>
        <w:t>億</w:t>
      </w:r>
      <w:r w:rsidRPr="00573D4D">
        <w:rPr>
          <w:rFonts w:ascii="標楷體" w:eastAsia="標楷體" w:hAnsi="標楷體"/>
          <w:snapToGrid w:val="0"/>
          <w:sz w:val="32"/>
          <w:szCs w:val="32"/>
        </w:rPr>
        <w:t>3</w:t>
      </w:r>
      <w:r w:rsidRPr="00573D4D">
        <w:rPr>
          <w:rFonts w:ascii="標楷體" w:eastAsia="標楷體" w:hAnsi="標楷體" w:hint="eastAsia"/>
          <w:snapToGrid w:val="0"/>
          <w:sz w:val="32"/>
          <w:szCs w:val="32"/>
        </w:rPr>
        <w:t>,</w:t>
      </w:r>
      <w:r w:rsidRPr="00573D4D">
        <w:rPr>
          <w:rFonts w:ascii="標楷體" w:eastAsia="標楷體" w:hAnsi="標楷體"/>
          <w:snapToGrid w:val="0"/>
          <w:sz w:val="32"/>
          <w:szCs w:val="32"/>
        </w:rPr>
        <w:t>743</w:t>
      </w:r>
      <w:r w:rsidRPr="00573D4D">
        <w:rPr>
          <w:rFonts w:ascii="標楷體" w:eastAsia="標楷體" w:hAnsi="標楷體" w:hint="eastAsia"/>
          <w:snapToGrid w:val="0"/>
          <w:sz w:val="32"/>
          <w:szCs w:val="32"/>
        </w:rPr>
        <w:t>萬</w:t>
      </w:r>
      <w:r w:rsidRPr="00573D4D">
        <w:rPr>
          <w:rFonts w:ascii="標楷體" w:eastAsia="標楷體" w:hAnsi="標楷體"/>
          <w:snapToGrid w:val="0"/>
          <w:sz w:val="32"/>
          <w:szCs w:val="32"/>
        </w:rPr>
        <w:t>3</w:t>
      </w:r>
      <w:r w:rsidRPr="00573D4D">
        <w:rPr>
          <w:rFonts w:ascii="標楷體" w:eastAsia="標楷體" w:hAnsi="標楷體" w:hint="eastAsia"/>
          <w:snapToGrid w:val="0"/>
          <w:sz w:val="32"/>
          <w:szCs w:val="32"/>
        </w:rPr>
        <w:t>千元，凍結</w:t>
      </w:r>
      <w:r w:rsidRPr="00573D4D">
        <w:rPr>
          <w:rFonts w:ascii="標楷體" w:eastAsia="標楷體" w:hAnsi="標楷體"/>
          <w:snapToGrid w:val="0"/>
          <w:sz w:val="32"/>
          <w:szCs w:val="32"/>
        </w:rPr>
        <w:t>1</w:t>
      </w:r>
      <w:r w:rsidRPr="00573D4D">
        <w:rPr>
          <w:rFonts w:ascii="標楷體" w:eastAsia="標楷體" w:hAnsi="標楷體" w:hint="eastAsia"/>
          <w:snapToGrid w:val="0"/>
          <w:sz w:val="32"/>
          <w:szCs w:val="32"/>
        </w:rPr>
        <w:t>00萬元，俟文化部向立法院教育及文化委員會提出書面報告後，始得動支。3</w:t>
      </w:r>
      <w:r w:rsidRPr="00573D4D">
        <w:rPr>
          <w:rFonts w:ascii="標楷體" w:eastAsia="標楷體" w:hAnsi="標楷體"/>
          <w:snapToGrid w:val="0"/>
          <w:sz w:val="32"/>
          <w:szCs w:val="32"/>
        </w:rPr>
        <w:t>28-332</w:t>
      </w:r>
    </w:p>
    <w:p w:rsidR="00A52DD2" w:rsidRPr="00573D4D" w:rsidRDefault="00A52DD2" w:rsidP="00F035E0">
      <w:pPr>
        <w:snapToGrid w:val="0"/>
        <w:spacing w:line="46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提案人：鄭正鈐  賴品妤  何欣純</w:t>
      </w:r>
    </w:p>
    <w:p w:rsidR="00A52DD2" w:rsidRPr="00573D4D" w:rsidRDefault="00A52DD2" w:rsidP="00F035E0">
      <w:pPr>
        <w:snapToGrid w:val="0"/>
        <w:spacing w:line="46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連署人：黃國書  林奕華  吳怡玎  萬美玲</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sz w:val="32"/>
          <w:szCs w:val="32"/>
        </w:rPr>
        <w:t xml:space="preserve">        吳思瑤  陳秀寳</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(三)112年度文化部影視及流行音樂產業局「電影事業輔導」預算編列5億9</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214萬7千元，培植電影編劇人才，鼓勵多樣性劇本之創作與媒合。輔助應用數位科技技術與新媒體平臺等跨界資源，產製多元題材內容電影，提高國片類型，推動國片行銷與國片映演之雙軌輔助，以增加國片觀賞人口。在後疫情時代面臨電影產業轉型與推升的關鍵時刻，文化部影視及流行音樂產業局應妥為運用預算，讓國片於激烈的市場</w:t>
      </w:r>
      <w:r w:rsidRPr="00573D4D">
        <w:rPr>
          <w:rFonts w:ascii="標楷體" w:eastAsia="標楷體" w:hAnsi="標楷體" w:hint="eastAsia"/>
          <w:snapToGrid w:val="0"/>
          <w:sz w:val="32"/>
          <w:szCs w:val="32"/>
        </w:rPr>
        <w:lastRenderedPageBreak/>
        <w:t>競爭中站穩腳步、促進觀影人口回流。306</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提案人：鄭正鈐  陳秀寳  張廖萬堅</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(四)112年度文化部影視及流行音樂產業局編列765萬元辦理補助及獎勵民間參與國際影展等電影交流活動、預算編列143萬元輔助國片業者參與海內外電影市場展等交流活動，另外預算編列2,500萬元</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補助行政法人文化內容策進院辦理國際市場展及交流活動</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現疫情逐步趨緩，文化部影視及流行音樂產業局應妥善利用預算，整合相關資源運用，以協助我國影視作品搶進國際市場，提高我國電影國際能量輸出。307</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提案人：張廖萬堅  陳秀寳  吳思瑤</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(五)112年度文化部影視及流行音樂產業局「電影事業輔導」項下「電影產業發展旗艦計畫」總經費</w:t>
      </w:r>
      <w:r w:rsidRPr="00573D4D">
        <w:rPr>
          <w:rFonts w:ascii="標楷體" w:eastAsia="標楷體" w:hAnsi="標楷體"/>
          <w:snapToGrid w:val="0"/>
          <w:sz w:val="32"/>
          <w:szCs w:val="32"/>
        </w:rPr>
        <w:t>34</w:t>
      </w:r>
      <w:r w:rsidRPr="00573D4D">
        <w:rPr>
          <w:rFonts w:ascii="標楷體" w:eastAsia="標楷體" w:hAnsi="標楷體" w:hint="eastAsia"/>
          <w:snapToGrid w:val="0"/>
          <w:sz w:val="32"/>
          <w:szCs w:val="32"/>
        </w:rPr>
        <w:t>億</w:t>
      </w:r>
      <w:r w:rsidRPr="00573D4D">
        <w:rPr>
          <w:rFonts w:ascii="標楷體" w:eastAsia="標楷體" w:hAnsi="標楷體"/>
          <w:snapToGrid w:val="0"/>
          <w:sz w:val="32"/>
          <w:szCs w:val="32"/>
        </w:rPr>
        <w:t>4,330</w:t>
      </w:r>
      <w:r w:rsidRPr="00573D4D">
        <w:rPr>
          <w:rFonts w:ascii="標楷體" w:eastAsia="標楷體" w:hAnsi="標楷體" w:hint="eastAsia"/>
          <w:snapToGrid w:val="0"/>
          <w:sz w:val="32"/>
          <w:szCs w:val="32"/>
        </w:rPr>
        <w:t>萬元，分</w:t>
      </w:r>
      <w:r w:rsidRPr="00573D4D">
        <w:rPr>
          <w:rFonts w:ascii="標楷體" w:eastAsia="標楷體" w:hAnsi="標楷體"/>
          <w:snapToGrid w:val="0"/>
          <w:sz w:val="32"/>
          <w:szCs w:val="32"/>
        </w:rPr>
        <w:t>5</w:t>
      </w:r>
      <w:r w:rsidRPr="00573D4D">
        <w:rPr>
          <w:rFonts w:ascii="標楷體" w:eastAsia="標楷體" w:hAnsi="標楷體" w:hint="eastAsia"/>
          <w:snapToGrid w:val="0"/>
          <w:sz w:val="32"/>
          <w:szCs w:val="32"/>
        </w:rPr>
        <w:t>年辮理，</w:t>
      </w:r>
      <w:r w:rsidRPr="00573D4D">
        <w:rPr>
          <w:rFonts w:ascii="標楷體" w:eastAsia="標楷體" w:hAnsi="標楷體"/>
          <w:snapToGrid w:val="0"/>
          <w:sz w:val="32"/>
          <w:szCs w:val="32"/>
        </w:rPr>
        <w:t xml:space="preserve">109 </w:t>
      </w:r>
      <w:r w:rsidRPr="00573D4D">
        <w:rPr>
          <w:rFonts w:ascii="標楷體" w:eastAsia="標楷體" w:hAnsi="標楷體" w:hint="eastAsia"/>
          <w:snapToGrid w:val="0"/>
          <w:sz w:val="32"/>
          <w:szCs w:val="32"/>
        </w:rPr>
        <w:t>至</w:t>
      </w:r>
      <w:r w:rsidRPr="00573D4D">
        <w:rPr>
          <w:rFonts w:ascii="標楷體" w:eastAsia="標楷體" w:hAnsi="標楷體"/>
          <w:snapToGrid w:val="0"/>
          <w:sz w:val="32"/>
          <w:szCs w:val="32"/>
        </w:rPr>
        <w:t>111</w:t>
      </w:r>
      <w:r w:rsidRPr="00573D4D">
        <w:rPr>
          <w:rFonts w:ascii="標楷體" w:eastAsia="標楷體" w:hAnsi="標楷體" w:hint="eastAsia"/>
          <w:snapToGrid w:val="0"/>
          <w:sz w:val="32"/>
          <w:szCs w:val="32"/>
        </w:rPr>
        <w:t>年度</w:t>
      </w:r>
      <w:r>
        <w:rPr>
          <w:rFonts w:ascii="標楷體" w:eastAsia="標楷體" w:hAnsi="標楷體" w:hint="eastAsia"/>
          <w:snapToGrid w:val="0"/>
          <w:sz w:val="32"/>
          <w:szCs w:val="32"/>
        </w:rPr>
        <w:t>已</w:t>
      </w:r>
      <w:r w:rsidRPr="00573D4D">
        <w:rPr>
          <w:rFonts w:ascii="標楷體" w:eastAsia="標楷體" w:hAnsi="標楷體" w:hint="eastAsia"/>
          <w:snapToGrid w:val="0"/>
          <w:sz w:val="32"/>
          <w:szCs w:val="32"/>
        </w:rPr>
        <w:t>編列</w:t>
      </w:r>
      <w:r w:rsidRPr="00573D4D">
        <w:rPr>
          <w:rFonts w:ascii="標楷體" w:eastAsia="標楷體" w:hAnsi="標楷體"/>
          <w:snapToGrid w:val="0"/>
          <w:sz w:val="32"/>
          <w:szCs w:val="32"/>
        </w:rPr>
        <w:t>15</w:t>
      </w:r>
      <w:r w:rsidRPr="00573D4D">
        <w:rPr>
          <w:rFonts w:ascii="標楷體" w:eastAsia="標楷體" w:hAnsi="標楷體" w:hint="eastAsia"/>
          <w:snapToGrid w:val="0"/>
          <w:sz w:val="32"/>
          <w:szCs w:val="32"/>
        </w:rPr>
        <w:t>億</w:t>
      </w:r>
      <w:r w:rsidRPr="00573D4D">
        <w:rPr>
          <w:rFonts w:ascii="標楷體" w:eastAsia="標楷體" w:hAnsi="標楷體"/>
          <w:snapToGrid w:val="0"/>
          <w:sz w:val="32"/>
          <w:szCs w:val="32"/>
        </w:rPr>
        <w:t>0,327</w:t>
      </w:r>
      <w:r w:rsidRPr="00573D4D">
        <w:rPr>
          <w:rFonts w:ascii="標楷體" w:eastAsia="標楷體" w:hAnsi="標楷體" w:hint="eastAsia"/>
          <w:snapToGrid w:val="0"/>
          <w:sz w:val="32"/>
          <w:szCs w:val="32"/>
        </w:rPr>
        <w:t>萬</w:t>
      </w:r>
      <w:r w:rsidRPr="00573D4D">
        <w:rPr>
          <w:rFonts w:ascii="標楷體" w:eastAsia="標楷體" w:hAnsi="標楷體"/>
          <w:snapToGrid w:val="0"/>
          <w:sz w:val="32"/>
          <w:szCs w:val="32"/>
        </w:rPr>
        <w:t>2</w:t>
      </w:r>
      <w:r w:rsidRPr="00573D4D">
        <w:rPr>
          <w:rFonts w:ascii="標楷體" w:eastAsia="標楷體" w:hAnsi="標楷體" w:hint="eastAsia"/>
          <w:snapToGrid w:val="0"/>
          <w:sz w:val="32"/>
          <w:szCs w:val="32"/>
        </w:rPr>
        <w:t>千元，112年度續編第</w:t>
      </w:r>
      <w:r w:rsidRPr="00573D4D">
        <w:rPr>
          <w:rFonts w:ascii="標楷體" w:eastAsia="標楷體" w:hAnsi="標楷體"/>
          <w:snapToGrid w:val="0"/>
          <w:sz w:val="32"/>
          <w:szCs w:val="32"/>
        </w:rPr>
        <w:t>4</w:t>
      </w:r>
      <w:r w:rsidRPr="00573D4D">
        <w:rPr>
          <w:rFonts w:ascii="標楷體" w:eastAsia="標楷體" w:hAnsi="標楷體" w:hint="eastAsia"/>
          <w:snapToGrid w:val="0"/>
          <w:sz w:val="32"/>
          <w:szCs w:val="32"/>
        </w:rPr>
        <w:t>年經費</w:t>
      </w:r>
      <w:r w:rsidRPr="00573D4D">
        <w:rPr>
          <w:rFonts w:ascii="標楷體" w:eastAsia="標楷體" w:hAnsi="標楷體"/>
          <w:snapToGrid w:val="0"/>
          <w:sz w:val="32"/>
          <w:szCs w:val="32"/>
        </w:rPr>
        <w:t xml:space="preserve"> 5</w:t>
      </w:r>
      <w:r w:rsidRPr="00573D4D">
        <w:rPr>
          <w:rFonts w:ascii="標楷體" w:eastAsia="標楷體" w:hAnsi="標楷體" w:hint="eastAsia"/>
          <w:snapToGrid w:val="0"/>
          <w:sz w:val="32"/>
          <w:szCs w:val="32"/>
        </w:rPr>
        <w:t>億</w:t>
      </w:r>
      <w:r w:rsidRPr="00573D4D">
        <w:rPr>
          <w:rFonts w:ascii="標楷體" w:eastAsia="標楷體" w:hAnsi="標楷體"/>
          <w:snapToGrid w:val="0"/>
          <w:sz w:val="32"/>
          <w:szCs w:val="32"/>
        </w:rPr>
        <w:t>4,233</w:t>
      </w:r>
      <w:r w:rsidRPr="00573D4D">
        <w:rPr>
          <w:rFonts w:ascii="標楷體" w:eastAsia="標楷體" w:hAnsi="標楷體" w:hint="eastAsia"/>
          <w:snapToGrid w:val="0"/>
          <w:sz w:val="32"/>
          <w:szCs w:val="32"/>
        </w:rPr>
        <w:t>萬</w:t>
      </w:r>
      <w:r w:rsidRPr="00573D4D">
        <w:rPr>
          <w:rFonts w:ascii="標楷體" w:eastAsia="標楷體" w:hAnsi="標楷體"/>
          <w:snapToGrid w:val="0"/>
          <w:sz w:val="32"/>
          <w:szCs w:val="32"/>
        </w:rPr>
        <w:t>7</w:t>
      </w:r>
      <w:r w:rsidRPr="00573D4D">
        <w:rPr>
          <w:rFonts w:ascii="標楷體" w:eastAsia="標楷體" w:hAnsi="標楷體" w:hint="eastAsia"/>
          <w:snapToGrid w:val="0"/>
          <w:sz w:val="32"/>
          <w:szCs w:val="32"/>
        </w:rPr>
        <w:t>千元，較111年度增列</w:t>
      </w:r>
      <w:r w:rsidRPr="00573D4D">
        <w:rPr>
          <w:rFonts w:ascii="標楷體" w:eastAsia="標楷體" w:hAnsi="標楷體"/>
          <w:snapToGrid w:val="0"/>
          <w:sz w:val="32"/>
          <w:szCs w:val="32"/>
        </w:rPr>
        <w:t>6,150</w:t>
      </w:r>
      <w:r w:rsidRPr="00573D4D">
        <w:rPr>
          <w:rFonts w:ascii="標楷體" w:eastAsia="標楷體" w:hAnsi="標楷體" w:hint="eastAsia"/>
          <w:snapToGrid w:val="0"/>
          <w:sz w:val="32"/>
          <w:szCs w:val="32"/>
        </w:rPr>
        <w:t>萬元</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現疫情逐步趨緩，文化部影視及流行音樂產業局應妥善利用預算培育國內影視人才，穩定推升國片產業發展。308</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提案人：鄭正鈐  陳秀寳  張廖萬堅</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(六)112年度文化部影視及流行音樂產業局「電影事業輔導」項下「運用數位擬真科技創新影像內容計畫」預算編列4</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000萬元，較111年度增列數位內容創新科技應用等經費121萬8 千元</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文化部影視及流行音樂產業局應妥善運用預算輔助我國業者有效運用數位擬真等技術，強化製作方法，解決拍攝限制，實現創意及產製多元類型國片。312</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提案人：鄭正鈐  陳秀寳  張廖萬堅</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(七)112年度文化部影視及流行音樂產業局「電影事業輔導」項</w:t>
      </w:r>
      <w:r w:rsidRPr="00573D4D">
        <w:rPr>
          <w:rFonts w:ascii="標楷體" w:eastAsia="標楷體" w:hAnsi="標楷體" w:hint="eastAsia"/>
          <w:snapToGrid w:val="0"/>
          <w:sz w:val="32"/>
          <w:szCs w:val="32"/>
        </w:rPr>
        <w:lastRenderedPageBreak/>
        <w:t>下「運用數位擬真科技創新影像內容計畫」預算編列4</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000萬元，主要為鼓勵影像內容創作者運用數位擬真科技，創新研發並產製創新影像內容。112年度編列預算中含獎勵金1,991萬元，又政府採獎補助策略，希望藉此帶動業者投入資源</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但觀眾及市場對於新興科技之應用是否為市場接受程度，文化部影視及流行音樂產業局應可增加多元化分析指標</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例如觀眾與後市場觀影經驗調查，並能匯集各大數據及分析結果提供國內創作者及業者，作為未來國片產製發展方向參考。313</w:t>
      </w:r>
    </w:p>
    <w:p w:rsidR="00A52DD2" w:rsidRPr="00573D4D" w:rsidRDefault="00A52DD2" w:rsidP="00F035E0">
      <w:pPr>
        <w:snapToGrid w:val="0"/>
        <w:spacing w:line="46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提案人：何欣純</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連署人：陳秀寳  吳思瑤  張廖萬堅</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(八)有鑑於輔導電影事業淨零轉型具體方案不明，實際節能減碳之措施、相關淨零規範以及績效指標皆尚未規範</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基於全球淨零排放趨勢，請文化部影視及流行音樂產業局於3個月內向立法院教育及文化委員會提出相關執行做法之書面報告。315</w:t>
      </w:r>
    </w:p>
    <w:p w:rsidR="00A52DD2" w:rsidRPr="00573D4D" w:rsidRDefault="00A52DD2" w:rsidP="00F035E0">
      <w:pPr>
        <w:snapToGrid w:val="0"/>
        <w:spacing w:line="46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提案人：萬美玲</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連署人：林奕華  鄭正鈐</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九)111年3月曾有劇組於拍攝期間有工作人員墜落身亡，台北市電影戲劇業職業工會與勞安所在2020年製作之「電影電視從業人員職業災害預防研究」報告顯示，八成影視勞工平均每日工時超過10小時，甚至有四成受訪者平均每日工時超過14小時；49%的人連續工作6天休假1天，同樣49%的人則至少連續工作7天以上才休1天假，整體更有近二成的人要連續工作10天後才能休假，勞動條件不甚理想。勞動部於事後研擬補救措施，如：頒布針對文化藝術事業的勞動法規指引和1份契約指導原則，並開設免費影視職業安全課程加強從業人員勞動意識</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然部分影視從業單位仍可能具有權力結構</w:t>
      </w:r>
      <w:r w:rsidRPr="00573D4D">
        <w:rPr>
          <w:rFonts w:ascii="標楷體" w:eastAsia="標楷體" w:hAnsi="標楷體" w:hint="eastAsia"/>
          <w:snapToGrid w:val="0"/>
          <w:sz w:val="32"/>
          <w:szCs w:val="32"/>
        </w:rPr>
        <w:lastRenderedPageBreak/>
        <w:t>不對等之情事，僅透過宣導對於改善就業環境有限</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文化部應偕同勞動部定期協調影視從業人員勞動條件檢查等事項，以保障影視從業環境，並多元宣導影視從業人員勞動權益。317</w:t>
      </w:r>
    </w:p>
    <w:p w:rsidR="00A52DD2" w:rsidRPr="00573D4D" w:rsidRDefault="00A52DD2" w:rsidP="00F035E0">
      <w:pPr>
        <w:snapToGrid w:val="0"/>
        <w:spacing w:line="46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提案人：黃國書</w:t>
      </w:r>
    </w:p>
    <w:p w:rsidR="00A52DD2" w:rsidRPr="00573D4D" w:rsidRDefault="00A52DD2" w:rsidP="00F035E0">
      <w:pPr>
        <w:snapToGrid w:val="0"/>
        <w:spacing w:line="46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連署人：林宜瑾  張廖萬堅</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十)112年度文化部影視及流行音樂產業局「廣播電視事業輔導」項下「廣播電視內容產業發展旗艦計畫」其目的為挖掘我國影視編劇人才、開發原生題材及多元戲劇類型，提高我國影視產業量能。然111年度「廣播電視內容產業發展旗艦計畫」可支用預算數為5億2,732萬3千元，迄111年8月底止累計執行數為1億6,119萬4千元，占同期間累計分配數2億9,404萬6千元之54.82%，其執行率因疫情影響，多項計畫執行效率不如預期</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現疫情逐步趨緩，文化部應妥善利用預算培育國內影視人才，加速運用預算，充實電視產製能量及人才。318</w:t>
      </w:r>
    </w:p>
    <w:p w:rsidR="00A52DD2" w:rsidRPr="00573D4D" w:rsidRDefault="00A52DD2" w:rsidP="00F035E0">
      <w:pPr>
        <w:snapToGrid w:val="0"/>
        <w:spacing w:line="46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提案人：黃國書</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連署人：林宜瑾  張廖萬堅</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(十一)查112年度文化部影視及流行音樂產業局「廣播電視事業輔導」項下「廣播電視內容產業發展旗艦計畫」預算編列5億1</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649萬8千元預算，係用於主要係開發在地內容，挖掘編劇人才、開發原生題材及多元戲劇類型；強化人才養成、蓄積產業動能等相關業務費用。另查，近3年廣播金鐘獎與電視金鐘獎收視率每況愈下，惟預算額度卻逐年提高，似應先通盤檢討改善目前之窘境。雖111年度就電視金鐘獎改變舉辦模式，立意良善，惟未見收視率有顯著提升。綜上，文化部影視及流行音樂產業局應針對收視趨勢(如新媒體觀看)研議績效指標，並於3個月內向立法院教育及文化委員會提</w:t>
      </w:r>
      <w:r w:rsidRPr="00573D4D">
        <w:rPr>
          <w:rFonts w:ascii="標楷體" w:eastAsia="標楷體" w:hAnsi="標楷體" w:hint="eastAsia"/>
          <w:snapToGrid w:val="0"/>
          <w:sz w:val="32"/>
          <w:szCs w:val="32"/>
        </w:rPr>
        <w:lastRenderedPageBreak/>
        <w:t>出書面報告說明。319</w:t>
      </w:r>
    </w:p>
    <w:p w:rsidR="00A52DD2" w:rsidRPr="00573D4D" w:rsidRDefault="00A52DD2" w:rsidP="00F035E0">
      <w:pPr>
        <w:snapToGrid w:val="0"/>
        <w:spacing w:line="46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提案人：萬美玲</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連署人：林奕華  鄭正鈐</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(十二)112年度文化部影視及流行音樂產業局「廣播電視事業輔導」項下「廣播電視內容產業發展旗艦計畫」，計畫總經費36億5</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000萬元，執行期間為109至113年，112年度續編第4年經費5億1</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649萬8千元，以提升我國電視內容能見度及國際影響力，運用投融資及利息補貼雙軌進行，整合並強化整體行銷。其中電視金鐘獎頒獎典禮111年首度分為節目類、戲劇類連2天舉辦，用意是讓更多幕後的專業能被看見，頗受各界好評，尤其台灣的影視產業必須將戲劇、演員、流行音樂、甚至歌手、樂手、綜藝偶像、企劃行銷一起合作打造台灣影視音產業，在戲劇、綜藝、劇場、電影，進而向國際呈現台灣文化軟實力。但金鐘獎辦理方式應有更長遠規劃，故請文化部影視及流行音樂產業局於3個月內向立法院教育及文化委員會提出111年度有關電視金鐘獎節目、戲劇分別舉辦成效、與未來是否能本於影視音藝文活動區域均衡、擴大辦理等書面評估規劃。324</w:t>
      </w:r>
    </w:p>
    <w:p w:rsidR="00A52DD2" w:rsidRPr="00573D4D" w:rsidRDefault="00A52DD2" w:rsidP="00F035E0">
      <w:pPr>
        <w:snapToGrid w:val="0"/>
        <w:spacing w:line="46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提案人：何欣純</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連署人：陳秀寳  吳思瑤  張廖萬堅</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十三)文化部影視及流行音樂產業局「廣播電視事業輔導」項下「廣播電視內容產業發展旗艦計畫」截至111年8月底執行率僅54.82%，未如預期，主因係111年度相關補助案件及金額未如預期，且部分受疫情影響等。為確保本項計畫確實執行且實際協助相關產業，請文化部影視及流行音樂產業局依據上述狀況</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並且在質量並重之前提下</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於2個月內向立法院教育及文化委員會提出書面檢討改善報告。325</w:t>
      </w:r>
    </w:p>
    <w:p w:rsidR="00A52DD2" w:rsidRPr="00573D4D" w:rsidRDefault="00A52DD2" w:rsidP="00F035E0">
      <w:pPr>
        <w:snapToGrid w:val="0"/>
        <w:spacing w:line="46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提案人：陳秀寳</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lastRenderedPageBreak/>
        <w:t>連署人：吳思瑤  張廖萬堅</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(十四)文化部影視及流行音樂產業局辦理「流行音樂產業輔導」項下「流行音樂產業發展旗艦計畫」，計畫總經費30億元</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執行期間為109至113年，112年度續編第4年經費4億3</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743萬3千元</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為健全產業發展、提升內容產製能量，並協助流行音樂行銷國內外市場、強化人才扎根，其中為獎勵流行音樂產業、促進民間投資，辦理金曲獎、金音創作獎等活動，皆具有相當成效</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同時給予流行音樂產業極大助益，也使國人見證台灣流行音樂產業實力不斷進步的國際競爭力，並能引起國人與媒體廣泛討論。金曲獎、金音創作獎的舉辦，無論頒獎典禮或是各項系列活動，尤其在展演、創投、媒合跟行銷平台，都能帶動與促進城市各項商業、住宿、餐飲、觀光或藝文活動</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故請文化部影視及流行音樂產業局向立法院教育及文化委員會提出未來是否能本於影視音藝文活動區域均衡、豐富台灣多元文化元素，並能以音樂產業帶動城市周邊整體效益等評估規劃之書面報告。331</w:t>
      </w:r>
    </w:p>
    <w:p w:rsidR="00A52DD2" w:rsidRPr="00573D4D" w:rsidRDefault="00A52DD2" w:rsidP="00F035E0">
      <w:pPr>
        <w:snapToGrid w:val="0"/>
        <w:spacing w:line="46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提案人：何欣純</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連署人：陳秀寳  吳思瑤  張廖萬堅</w:t>
      </w:r>
    </w:p>
    <w:p w:rsidR="00A52DD2" w:rsidRPr="00573D4D" w:rsidRDefault="00A52DD2" w:rsidP="00F035E0">
      <w:pPr>
        <w:kinsoku w:val="0"/>
        <w:overflowPunct w:val="0"/>
        <w:spacing w:beforeLines="50" w:before="180" w:line="500" w:lineRule="exact"/>
        <w:ind w:leftChars="100" w:left="1568" w:hangingChars="415" w:hanging="1328"/>
        <w:jc w:val="both"/>
        <w:textAlignment w:val="center"/>
        <w:rPr>
          <w:rFonts w:ascii="標楷體" w:eastAsia="標楷體" w:hAnsi="標楷體"/>
          <w:snapToGrid w:val="0"/>
          <w:sz w:val="32"/>
          <w:szCs w:val="32"/>
        </w:rPr>
      </w:pPr>
      <w:r w:rsidRPr="00573D4D">
        <w:rPr>
          <w:rFonts w:ascii="標楷體" w:eastAsia="標楷體" w:hAnsi="標楷體"/>
          <w:snapToGrid w:val="0"/>
          <w:sz w:val="32"/>
          <w:szCs w:val="32"/>
        </w:rPr>
        <w:t>第</w:t>
      </w:r>
      <w:r w:rsidRPr="00573D4D">
        <w:rPr>
          <w:rFonts w:ascii="標楷體" w:eastAsia="標楷體" w:hAnsi="標楷體" w:hint="eastAsia"/>
          <w:snapToGrid w:val="0"/>
          <w:sz w:val="32"/>
          <w:szCs w:val="32"/>
        </w:rPr>
        <w:t>4</w:t>
      </w:r>
      <w:r w:rsidRPr="00573D4D">
        <w:rPr>
          <w:rFonts w:ascii="標楷體" w:eastAsia="標楷體" w:hAnsi="標楷體"/>
          <w:snapToGrid w:val="0"/>
          <w:sz w:val="32"/>
          <w:szCs w:val="32"/>
        </w:rPr>
        <w:t xml:space="preserve">項　</w:t>
      </w:r>
      <w:r w:rsidRPr="00573D4D">
        <w:rPr>
          <w:rFonts w:ascii="標楷體" w:eastAsia="標楷體" w:hAnsi="標楷體" w:hint="eastAsia"/>
          <w:snapToGrid w:val="0"/>
          <w:sz w:val="32"/>
          <w:szCs w:val="32"/>
        </w:rPr>
        <w:t>國立傳統藝術中心8億8,032萬8千元</w:t>
      </w:r>
      <w:r w:rsidRPr="00573D4D">
        <w:rPr>
          <w:rFonts w:ascii="標楷體" w:eastAsia="標楷體" w:hAnsi="標楷體"/>
          <w:snapToGrid w:val="0"/>
          <w:sz w:val="32"/>
          <w:szCs w:val="32"/>
        </w:rPr>
        <w:t>，照列。</w:t>
      </w:r>
    </w:p>
    <w:p w:rsidR="00A52DD2" w:rsidRPr="00573D4D" w:rsidRDefault="00A52DD2" w:rsidP="00F035E0">
      <w:pPr>
        <w:kinsoku w:val="0"/>
        <w:overflowPunct w:val="0"/>
        <w:spacing w:before="60" w:after="60" w:line="500" w:lineRule="exact"/>
        <w:ind w:leftChars="100" w:left="1568" w:hangingChars="415" w:hanging="1328"/>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本項通過決議9項：</w:t>
      </w:r>
    </w:p>
    <w:p w:rsidR="00A52DD2" w:rsidRPr="00573D4D" w:rsidRDefault="00A52DD2" w:rsidP="00F035E0">
      <w:pPr>
        <w:overflowPunct w:val="0"/>
        <w:spacing w:line="50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一)112年度國立傳統藝術中心「傳統藝術中心業務」項下新增「藝文場館科藝創新計畫」預算編列900萬元，其經費用於運用科技新媒體技術，以再造國樂、傳統戲曲、傳統工藝等傳統表演藝術之新樣貌業務之用。經查，據2021年文化統計指出，各項文化參與率上，歷年來皆以大眾傳播類(電影、電視、廣播等)參與率居首，文化藝術機構與設施(博物館等)次之，再次為文藝民俗節慶活動或表演藝術類活動，其</w:t>
      </w:r>
      <w:r w:rsidRPr="00573D4D">
        <w:rPr>
          <w:rFonts w:ascii="標楷體" w:eastAsia="標楷體" w:hAnsi="標楷體" w:hint="eastAsia"/>
          <w:sz w:val="32"/>
          <w:szCs w:val="32"/>
        </w:rPr>
        <w:lastRenderedPageBreak/>
        <w:t>中表演藝術類項下之傳統戲曲類參與率由2016/2017之14.2%逐年下降至2020/2021之7.3%；古典及傳統音樂類亦由2016/2017之15.2%逐年下降至2020/2021之8.1%；至視覺藝術工藝類活動則由2016/2017之16.8%逐年下降至2020/2021之9.8%。鑑於近年國人對於傳統戲劇、古典及傳統音樂、工藝之參與率呈逐年下降趨勢，請國立傳統藝術中心應依大眾對於展演內容及型態之偏好，研議增加國人參與之可行方式，進而有效提升參與率。爰要求國立傳統藝術中心通盤檢討目前經營管理與增加國人參與之可行方案，以有效提升國人對於文藝活動之參與。340</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提案人：萬美玲</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連署人：鄭正鈐  吳怡玎</w:t>
      </w:r>
    </w:p>
    <w:p w:rsidR="00A52DD2" w:rsidRPr="00573D4D" w:rsidRDefault="00A52DD2" w:rsidP="00F035E0">
      <w:pPr>
        <w:overflowPunct w:val="0"/>
        <w:spacing w:line="50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二)112年度國立傳統藝術中心「傳統藝術中心業務」預算編列5億1,570萬4千元，較111年度增加4,537萬6千元。關於傳統藝術表演活動，於109年疫情爆發之前，政府基於文化保存之理念，於107至109年間積極扶植其表演活動，其展演活動乃逐年升高</w:t>
      </w:r>
      <w:r>
        <w:rPr>
          <w:rFonts w:ascii="標楷體" w:eastAsia="標楷體" w:hAnsi="標楷體" w:hint="eastAsia"/>
          <w:sz w:val="32"/>
          <w:szCs w:val="32"/>
        </w:rPr>
        <w:t>。</w:t>
      </w:r>
      <w:r w:rsidRPr="00573D4D">
        <w:rPr>
          <w:rFonts w:ascii="標楷體" w:eastAsia="標楷體" w:hAnsi="標楷體" w:hint="eastAsia"/>
          <w:sz w:val="32"/>
          <w:szCs w:val="32"/>
        </w:rPr>
        <w:t>然而在疫情爆發之後，像是民俗、歌仔戲或布袋戲等戶外表演活動首當其衝受影響，導致演出活動萎縮，進而影響生計。鑑於文化紓困補助期間業已屆至，請國立傳統藝術中心針對疫情衝擊的團體持續透過跨年度專案，增加補助及輔導。341</w:t>
      </w:r>
    </w:p>
    <w:p w:rsidR="00A52DD2" w:rsidRPr="00573D4D" w:rsidRDefault="00641E57" w:rsidP="00F035E0">
      <w:pPr>
        <w:overflowPunct w:val="0"/>
        <w:spacing w:line="500" w:lineRule="exact"/>
        <w:ind w:leftChars="150" w:left="840" w:hangingChars="200" w:hanging="480"/>
        <w:jc w:val="both"/>
        <w:rPr>
          <w:rFonts w:ascii="標楷體" w:eastAsia="標楷體" w:hAnsi="標楷體"/>
          <w:sz w:val="32"/>
          <w:szCs w:val="32"/>
        </w:rPr>
      </w:pPr>
      <w:r>
        <w:rPr>
          <w:noProof/>
        </w:rPr>
        <w:pict>
          <v:shape id="圖片 4" o:spid="_x0000_s1030" type="#_x0000_t75" style="position:absolute;left:0;text-align:left;margin-left:58.95pt;margin-top:9.4pt;width:354.35pt;height:119.6pt;z-index:251665920;visibility:visible">
            <v:imagedata r:id="rId318" o:title=""/>
            <w10:wrap type="square"/>
          </v:shape>
        </w:pict>
      </w:r>
    </w:p>
    <w:p w:rsidR="00A52DD2" w:rsidRPr="00573D4D" w:rsidRDefault="00A52DD2" w:rsidP="00F035E0">
      <w:pPr>
        <w:overflowPunct w:val="0"/>
        <w:spacing w:line="500" w:lineRule="exact"/>
        <w:ind w:leftChars="150" w:left="1000" w:hangingChars="200" w:hanging="640"/>
        <w:jc w:val="both"/>
        <w:rPr>
          <w:rFonts w:ascii="標楷體" w:eastAsia="標楷體" w:hAnsi="標楷體"/>
          <w:sz w:val="32"/>
          <w:szCs w:val="32"/>
        </w:rPr>
      </w:pPr>
    </w:p>
    <w:p w:rsidR="00A52DD2" w:rsidRPr="00573D4D" w:rsidRDefault="00A52DD2" w:rsidP="00F035E0">
      <w:pPr>
        <w:overflowPunct w:val="0"/>
        <w:spacing w:line="500" w:lineRule="exact"/>
        <w:ind w:leftChars="150" w:left="1000" w:hangingChars="200" w:hanging="640"/>
        <w:jc w:val="both"/>
        <w:rPr>
          <w:rFonts w:ascii="標楷體" w:eastAsia="標楷體" w:hAnsi="標楷體"/>
          <w:sz w:val="32"/>
          <w:szCs w:val="32"/>
        </w:rPr>
      </w:pPr>
    </w:p>
    <w:p w:rsidR="00A52DD2" w:rsidRPr="00573D4D" w:rsidRDefault="00A52DD2" w:rsidP="00F035E0">
      <w:pPr>
        <w:overflowPunct w:val="0"/>
        <w:spacing w:line="500" w:lineRule="exact"/>
        <w:ind w:leftChars="150" w:left="1000" w:hangingChars="200" w:hanging="640"/>
        <w:jc w:val="both"/>
        <w:rPr>
          <w:rFonts w:ascii="標楷體" w:eastAsia="標楷體" w:hAnsi="標楷體"/>
          <w:sz w:val="32"/>
          <w:szCs w:val="32"/>
        </w:rPr>
      </w:pPr>
    </w:p>
    <w:p w:rsidR="00A52DD2" w:rsidRPr="00573D4D" w:rsidRDefault="00A52DD2" w:rsidP="00F035E0">
      <w:pPr>
        <w:overflowPunct w:val="0"/>
        <w:spacing w:line="500" w:lineRule="exact"/>
        <w:jc w:val="both"/>
        <w:rPr>
          <w:rFonts w:ascii="標楷體" w:eastAsia="標楷體" w:hAnsi="標楷體"/>
          <w:sz w:val="32"/>
          <w:szCs w:val="32"/>
        </w:rPr>
      </w:pPr>
    </w:p>
    <w:p w:rsidR="00A52DD2" w:rsidRPr="00573D4D" w:rsidRDefault="00A52DD2" w:rsidP="00F035E0">
      <w:pPr>
        <w:overflowPunct w:val="0"/>
        <w:spacing w:line="500" w:lineRule="exact"/>
        <w:jc w:val="both"/>
        <w:rPr>
          <w:rFonts w:ascii="標楷體" w:eastAsia="標楷體" w:hAnsi="標楷體"/>
          <w:sz w:val="32"/>
          <w:szCs w:val="32"/>
        </w:rPr>
      </w:pP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提案人：張廖萬堅</w:t>
      </w:r>
    </w:p>
    <w:p w:rsidR="00A52DD2" w:rsidRPr="00573D4D" w:rsidRDefault="00A52DD2" w:rsidP="00F035E0">
      <w:pPr>
        <w:overflowPunct w:val="0"/>
        <w:spacing w:line="500" w:lineRule="exact"/>
        <w:ind w:leftChars="1250" w:left="3000"/>
        <w:jc w:val="both"/>
        <w:rPr>
          <w:rFonts w:ascii="標楷體" w:eastAsia="標楷體" w:hAnsi="標楷體"/>
          <w:snapToGrid w:val="0"/>
          <w:sz w:val="32"/>
          <w:szCs w:val="32"/>
        </w:rPr>
      </w:pPr>
      <w:r w:rsidRPr="00573D4D">
        <w:rPr>
          <w:rFonts w:ascii="標楷體" w:eastAsia="標楷體" w:hAnsi="標楷體" w:hint="eastAsia"/>
          <w:sz w:val="32"/>
          <w:szCs w:val="32"/>
        </w:rPr>
        <w:lastRenderedPageBreak/>
        <w:t>連署人：吳思瑤  林宜瑾</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(三)</w:t>
      </w:r>
      <w:r w:rsidRPr="00573D4D">
        <w:rPr>
          <w:rFonts w:ascii="標楷體" w:eastAsia="標楷體" w:hAnsi="標楷體" w:hint="eastAsia"/>
          <w:sz w:val="32"/>
          <w:szCs w:val="32"/>
        </w:rPr>
        <w:t>112年度國立傳統藝術中心</w:t>
      </w:r>
      <w:r w:rsidRPr="00573D4D">
        <w:rPr>
          <w:rFonts w:ascii="標楷體" w:eastAsia="標楷體" w:hAnsi="標楷體" w:hint="eastAsia"/>
          <w:snapToGrid w:val="0"/>
          <w:sz w:val="32"/>
          <w:szCs w:val="32"/>
        </w:rPr>
        <w:t>「傳統藝術中心業務」項下「傳統藝術資料庫基礎維運與出版計畫」預算編列1,792萬元，較111年度增列辦理傳統藝術資源徵集及數位化應用等經費400萬元</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鑑於傳統藝術界藝師多屬年長，爰要求</w:t>
      </w:r>
      <w:r w:rsidRPr="00573D4D">
        <w:rPr>
          <w:rFonts w:ascii="標楷體" w:eastAsia="標楷體" w:hAnsi="標楷體" w:hint="eastAsia"/>
          <w:sz w:val="32"/>
          <w:szCs w:val="32"/>
        </w:rPr>
        <w:t>國立傳統藝術中心</w:t>
      </w:r>
      <w:r w:rsidRPr="00573D4D">
        <w:rPr>
          <w:rFonts w:ascii="標楷體" w:eastAsia="標楷體" w:hAnsi="標楷體" w:hint="eastAsia"/>
          <w:snapToGrid w:val="0"/>
          <w:sz w:val="32"/>
          <w:szCs w:val="32"/>
        </w:rPr>
        <w:t>加速妥善規劃數位保存藝師珍貴技藝，結合數位平台，作為後輩學習資源，並建立傳統表演藝術各劇種完整生態資料，以擴大傳承及推廣應用成效。333</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提案人：鄭正鈐  陳秀寳  張廖萬堅</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(四)</w:t>
      </w:r>
      <w:r w:rsidRPr="00573D4D">
        <w:rPr>
          <w:rFonts w:ascii="標楷體" w:eastAsia="標楷體" w:hAnsi="標楷體" w:hint="eastAsia"/>
          <w:sz w:val="32"/>
          <w:szCs w:val="32"/>
        </w:rPr>
        <w:t>112年度國立傳統藝術中心</w:t>
      </w:r>
      <w:r w:rsidRPr="00573D4D">
        <w:rPr>
          <w:rFonts w:ascii="標楷體" w:eastAsia="標楷體" w:hAnsi="標楷體" w:hint="eastAsia"/>
          <w:snapToGrid w:val="0"/>
          <w:sz w:val="32"/>
          <w:szCs w:val="32"/>
        </w:rPr>
        <w:t>「傳統藝術中心業務」項下「傳統藝術展演交流與推廣計畫」預算編列2億5,787萬9千元，查增列辦理傳統戲曲演出、推廣及競賽等經費5,400萬元。請</w:t>
      </w:r>
      <w:r w:rsidRPr="00573D4D">
        <w:rPr>
          <w:rFonts w:ascii="標楷體" w:eastAsia="標楷體" w:hAnsi="標楷體" w:hint="eastAsia"/>
          <w:sz w:val="32"/>
          <w:szCs w:val="32"/>
        </w:rPr>
        <w:t>國立傳統藝術中心</w:t>
      </w:r>
      <w:r w:rsidRPr="00573D4D">
        <w:rPr>
          <w:rFonts w:ascii="標楷體" w:eastAsia="標楷體" w:hAnsi="標楷體" w:hint="eastAsia"/>
          <w:snapToGrid w:val="0"/>
          <w:sz w:val="32"/>
          <w:szCs w:val="32"/>
        </w:rPr>
        <w:t>具體落實傳統戲曲之保存與發展，辦理相關計畫須擴展傳統藝術傳習推廣成效，提升民眾對傳統戲曲之認識及參與，有效培養欣賞人口以活絡傳統藝術整體生態。334</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提案人：鄭正鈐  陳秀寳  張廖萬堅</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(五)</w:t>
      </w:r>
      <w:r w:rsidRPr="00573D4D">
        <w:rPr>
          <w:rFonts w:ascii="標楷體" w:eastAsia="標楷體" w:hAnsi="標楷體" w:hint="eastAsia"/>
          <w:sz w:val="32"/>
          <w:szCs w:val="32"/>
        </w:rPr>
        <w:t>112年度國立傳統藝術中心</w:t>
      </w:r>
      <w:r w:rsidRPr="00573D4D">
        <w:rPr>
          <w:rFonts w:ascii="標楷體" w:eastAsia="標楷體" w:hAnsi="標楷體" w:hint="eastAsia"/>
          <w:snapToGrid w:val="0"/>
          <w:sz w:val="32"/>
          <w:szCs w:val="32"/>
        </w:rPr>
        <w:t>「傳統藝術中心業務」項下「傳統藝術展示與營運計畫」，較111年度預算增列民間傳統藝術推廣等經費1,400萬元</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查該增列預算係規劃辦理「傳藝go young培育計畫」及擴大「接班人駐園演出計畫」規模，有鑑於傳統藝術的傳承推廣有賴於政府之支持與扶植，請國立傳統藝術中心於執行民間傳統藝術推廣計畫時，應加強從小培養與擴增傳統藝術欣賞人口，並在既有的基礎上，提高計畫效能，進一步協助傳統藝術在當代社會的發展。335</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提案人：鄭正鈐  陳秀寳  張廖萬堅</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(六)</w:t>
      </w:r>
      <w:r w:rsidRPr="00573D4D">
        <w:rPr>
          <w:rFonts w:ascii="標楷體" w:eastAsia="標楷體" w:hAnsi="標楷體" w:hint="eastAsia"/>
          <w:sz w:val="32"/>
          <w:szCs w:val="32"/>
        </w:rPr>
        <w:t>112年度</w:t>
      </w:r>
      <w:r w:rsidRPr="00573D4D">
        <w:rPr>
          <w:rFonts w:ascii="標楷體" w:eastAsia="標楷體" w:hAnsi="標楷體" w:hint="eastAsia"/>
          <w:snapToGrid w:val="0"/>
          <w:sz w:val="32"/>
          <w:szCs w:val="32"/>
        </w:rPr>
        <w:t>國立傳統藝術中心「傳統藝術中心業務」項下「京</w:t>
      </w:r>
      <w:r w:rsidRPr="00573D4D">
        <w:rPr>
          <w:rFonts w:ascii="標楷體" w:eastAsia="標楷體" w:hAnsi="標楷體" w:hint="eastAsia"/>
          <w:snapToGrid w:val="0"/>
          <w:sz w:val="32"/>
          <w:szCs w:val="32"/>
        </w:rPr>
        <w:lastRenderedPageBreak/>
        <w:t>劇之展演與發展計畫」中「大陸地區旅費」預算編列60萬6千元</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中國大陸地區因嚴重特殊傳染性肺炎疫情致使機票費用高漲，還需負擔隔離旅館費用，尚未完全開放自由往來，預算編列尚不足機票旅館費用，又因中共軍演不斷，面臨軍事及疫情風險，避免相關人員辦理出差大陸，受困大陸之疑慮</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爰要求國立傳統藝術中心執行本案時仍須視疫情及兩岸軍事風險，並考量人員出訪安全，提前做好周全準備，隨時因應、調整及檢討。336</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提案人：鄭正鈐  陳秀寳  張廖萬堅</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(七)</w:t>
      </w:r>
      <w:r w:rsidRPr="00573D4D">
        <w:rPr>
          <w:rFonts w:ascii="標楷體" w:eastAsia="標楷體" w:hAnsi="標楷體" w:hint="eastAsia"/>
          <w:sz w:val="32"/>
          <w:szCs w:val="32"/>
        </w:rPr>
        <w:t>112年度國立傳統藝術中心</w:t>
      </w:r>
      <w:r w:rsidRPr="00573D4D">
        <w:rPr>
          <w:rFonts w:ascii="標楷體" w:eastAsia="標楷體" w:hAnsi="標楷體" w:hint="eastAsia"/>
          <w:snapToGrid w:val="0"/>
          <w:sz w:val="32"/>
          <w:szCs w:val="32"/>
        </w:rPr>
        <w:t>「傳統藝術中心業務」項下「高雄傳藝園區及豫劇之展演與發展計畫」預算編列7</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361萬6千元，較111年度增列1</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000萬元園區營運等經費。鑑於高雄傳藝園區正式營運，所建立的表演平台，可增加民間團隊推廣及演出機會，攸關南臺灣地區傳統戲曲發展；國立傳統藝術中心應妥為規劃園區營運策略，除著重演出節目及傳統藝術推廣外，並善用資源，協助民間團隊降低製作成本，提升中、小型團隊使用場館的意願，俾利活絡南臺灣傳統戲曲生態。337</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提案人：鄭正鈐  陳秀寳  張廖萬堅</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(八)</w:t>
      </w:r>
      <w:r w:rsidRPr="00573D4D">
        <w:rPr>
          <w:rFonts w:ascii="標楷體" w:eastAsia="標楷體" w:hAnsi="標楷體" w:hint="eastAsia"/>
          <w:sz w:val="32"/>
          <w:szCs w:val="32"/>
        </w:rPr>
        <w:t>112年度國立傳統藝術中心</w:t>
      </w:r>
      <w:r w:rsidRPr="00573D4D">
        <w:rPr>
          <w:rFonts w:ascii="標楷體" w:eastAsia="標楷體" w:hAnsi="標楷體" w:hint="eastAsia"/>
          <w:snapToGrid w:val="0"/>
          <w:sz w:val="32"/>
          <w:szCs w:val="32"/>
        </w:rPr>
        <w:t>「傳統藝術中心業務」之「藝文場館科藝創新計畫」預算編列900萬元，係規劃傳統工藝、傳統戲曲及國樂運用科技新媒體技術，再造傳統表演藝術新樣貌。根據「2021年文化統計」調查，約有23%會參與表演藝術之文化活動，但參與傳統戲曲表演活動僅有7.3%，爰要求</w:t>
      </w:r>
      <w:r w:rsidRPr="00573D4D">
        <w:rPr>
          <w:rFonts w:ascii="標楷體" w:eastAsia="標楷體" w:hAnsi="標楷體" w:hint="eastAsia"/>
          <w:sz w:val="32"/>
          <w:szCs w:val="32"/>
        </w:rPr>
        <w:t>國立傳統藝術中心</w:t>
      </w:r>
      <w:r w:rsidRPr="00573D4D">
        <w:rPr>
          <w:rFonts w:ascii="標楷體" w:eastAsia="標楷體" w:hAnsi="標楷體" w:hint="eastAsia"/>
          <w:snapToGrid w:val="0"/>
          <w:sz w:val="32"/>
          <w:szCs w:val="32"/>
        </w:rPr>
        <w:t>提供觀眾多元數位管道享受文化智慧服務，讓民眾親近傳統藝術，提升參與度。338</w:t>
      </w:r>
    </w:p>
    <w:p w:rsidR="00A52DD2" w:rsidRPr="00573D4D" w:rsidRDefault="00A52DD2" w:rsidP="00F035E0">
      <w:pPr>
        <w:snapToGrid w:val="0"/>
        <w:spacing w:line="46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 xml:space="preserve">提案人：張廖萬堅  </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連署人：吳思瑤  陳秀寳</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lastRenderedPageBreak/>
        <w:t>(九)</w:t>
      </w:r>
      <w:r w:rsidRPr="00573D4D">
        <w:rPr>
          <w:rFonts w:ascii="標楷體" w:eastAsia="標楷體" w:hAnsi="標楷體" w:hint="eastAsia"/>
          <w:sz w:val="32"/>
          <w:szCs w:val="32"/>
        </w:rPr>
        <w:t>112年度國立傳統藝術中心</w:t>
      </w:r>
      <w:r w:rsidRPr="00573D4D">
        <w:rPr>
          <w:rFonts w:ascii="標楷體" w:eastAsia="標楷體" w:hAnsi="標楷體" w:hint="eastAsia"/>
          <w:snapToGrid w:val="0"/>
          <w:sz w:val="32"/>
          <w:szCs w:val="32"/>
        </w:rPr>
        <w:t>「歷史與文化資產維護發展第四期計畫」項下「文化資產環境與價值深化計畫」預算編列2</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011萬1千元，較111年度增加292萬3千元</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鑑於產業市場的活絡與否對於傳統藝術傳習推廣之成效影響甚鉅，亟需透過產業鏈結以健全就業支持體系</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爰要求</w:t>
      </w:r>
      <w:r w:rsidRPr="00573D4D">
        <w:rPr>
          <w:rFonts w:ascii="標楷體" w:eastAsia="標楷體" w:hAnsi="標楷體" w:hint="eastAsia"/>
          <w:sz w:val="32"/>
          <w:szCs w:val="32"/>
        </w:rPr>
        <w:t>國立傳統藝術中心</w:t>
      </w:r>
      <w:r w:rsidRPr="00573D4D">
        <w:rPr>
          <w:rFonts w:ascii="標楷體" w:eastAsia="標楷體" w:hAnsi="標楷體" w:hint="eastAsia"/>
          <w:snapToGrid w:val="0"/>
          <w:sz w:val="32"/>
          <w:szCs w:val="32"/>
        </w:rPr>
        <w:t>積極推動青年從業人員進入市場，並強化歷史建築中山堂劇場為優質展演平台，確實達到培養傳統藝術人才、觀眾及活絡生態效益。339</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提案人：鄭正鈐  陳秀寳  張廖萬堅</w:t>
      </w:r>
    </w:p>
    <w:p w:rsidR="00A52DD2" w:rsidRPr="00573D4D" w:rsidRDefault="00A52DD2" w:rsidP="00F035E0">
      <w:pPr>
        <w:kinsoku w:val="0"/>
        <w:overflowPunct w:val="0"/>
        <w:spacing w:beforeLines="50" w:before="180" w:line="500" w:lineRule="exact"/>
        <w:ind w:leftChars="100" w:left="1568" w:hangingChars="415" w:hanging="1328"/>
        <w:jc w:val="both"/>
        <w:textAlignment w:val="center"/>
        <w:rPr>
          <w:rFonts w:ascii="標楷體" w:eastAsia="標楷體" w:hAnsi="標楷體"/>
          <w:snapToGrid w:val="0"/>
          <w:sz w:val="32"/>
          <w:szCs w:val="32"/>
        </w:rPr>
      </w:pPr>
      <w:r w:rsidRPr="00573D4D">
        <w:rPr>
          <w:rFonts w:ascii="標楷體" w:eastAsia="標楷體" w:hAnsi="標楷體"/>
          <w:snapToGrid w:val="0"/>
          <w:sz w:val="32"/>
          <w:szCs w:val="32"/>
        </w:rPr>
        <w:t>第5項　國立臺灣美術館及所屬</w:t>
      </w:r>
      <w:r w:rsidRPr="00573D4D">
        <w:rPr>
          <w:rFonts w:ascii="標楷體" w:eastAsia="標楷體" w:hAnsi="標楷體" w:hint="eastAsia"/>
          <w:snapToGrid w:val="0"/>
          <w:sz w:val="32"/>
          <w:szCs w:val="32"/>
        </w:rPr>
        <w:t>5億2,697萬9千元</w:t>
      </w:r>
      <w:r w:rsidRPr="00573D4D">
        <w:rPr>
          <w:rFonts w:ascii="標楷體" w:eastAsia="標楷體" w:hAnsi="標楷體"/>
          <w:snapToGrid w:val="0"/>
          <w:sz w:val="32"/>
          <w:szCs w:val="32"/>
        </w:rPr>
        <w:t>，照列。</w:t>
      </w:r>
    </w:p>
    <w:p w:rsidR="00A52DD2" w:rsidRPr="00573D4D" w:rsidRDefault="00A52DD2" w:rsidP="00F035E0">
      <w:pPr>
        <w:kinsoku w:val="0"/>
        <w:overflowPunct w:val="0"/>
        <w:spacing w:before="60" w:after="60" w:line="500" w:lineRule="exact"/>
        <w:ind w:leftChars="100" w:left="1568" w:hangingChars="415" w:hanging="1328"/>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本項通過決議5項：</w:t>
      </w:r>
    </w:p>
    <w:p w:rsidR="00A52DD2" w:rsidRPr="00573D4D" w:rsidRDefault="00A52DD2" w:rsidP="00F035E0">
      <w:pPr>
        <w:overflowPunct w:val="0"/>
        <w:spacing w:line="50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napToGrid w:val="0"/>
          <w:sz w:val="32"/>
          <w:szCs w:val="32"/>
        </w:rPr>
        <w:t>(一)</w:t>
      </w:r>
      <w:r w:rsidRPr="00573D4D">
        <w:rPr>
          <w:rFonts w:ascii="標楷體" w:eastAsia="標楷體" w:hAnsi="標楷體" w:hint="eastAsia"/>
          <w:sz w:val="32"/>
          <w:szCs w:val="32"/>
        </w:rPr>
        <w:t>國立臺灣美術館甫開幕之臺灣兒童藝術基地，設計理念為翻轉過去「成人為兒童規劃」的單向權力關係，努力實現開創兒童與成人平等夥伴關係。然場館中所設置之兒童友善廁所之設計，未能達成其兒童及成人平等關係之目標。雖在一般廁所中的一側，單獨設立兒童用馬桶與隔間，提供兒童可以學習自行上廁所之機會</w:t>
      </w:r>
      <w:r>
        <w:rPr>
          <w:rFonts w:ascii="標楷體" w:eastAsia="標楷體" w:hAnsi="標楷體" w:hint="eastAsia"/>
          <w:sz w:val="32"/>
          <w:szCs w:val="32"/>
        </w:rPr>
        <w:t>。</w:t>
      </w:r>
      <w:r w:rsidRPr="00573D4D">
        <w:rPr>
          <w:rFonts w:ascii="標楷體" w:eastAsia="標楷體" w:hAnsi="標楷體" w:hint="eastAsia"/>
          <w:sz w:val="32"/>
          <w:szCs w:val="32"/>
        </w:rPr>
        <w:t>然除女廁因加裝兒童專用廁所而導致走道過窄，難以通行之外，兒童廁所門板過低，使用廁所其他隔間之成人經過，皆可從門板上方直接看見兒童如廁情形。門板過低會使兒童如廁時，有被非家屬之陌生成人觀看之可能，並未尊重兒童本人之隱私權，與當初設立兒童專用廁所之目的相違背。爰請國立臺灣美術館重新考量親子友善廁所之設計，納入兒童權利之專家意見，打造真正友善兒童，且能體現成人與兒童平等關係之廁所空間，並於112年3月31日前提出檢討說明書面報告。346</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提案人：范  雲</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連署人：賴品妤  吳思瑤</w:t>
      </w:r>
    </w:p>
    <w:p w:rsidR="00A52DD2" w:rsidRPr="00573D4D" w:rsidRDefault="00A52DD2" w:rsidP="00F035E0">
      <w:pPr>
        <w:overflowPunct w:val="0"/>
        <w:spacing w:line="50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lastRenderedPageBreak/>
        <w:t>(二)112年度國立臺灣美術館及所屬「美術館業務」項下「藝文場館科藝創新計畫」，其目的之一為培育科技藝術跨域人才，提供實作演練之場域與經費，實現具有未來潛力之藝術作品與展覽。我國105至109年從事創作及藝術表演業之就業人數介於1萬6,979至2萬2,148人之間，惟109年為近5年最低點，下滑至0.15%</w:t>
      </w:r>
      <w:r>
        <w:rPr>
          <w:rFonts w:ascii="標楷體" w:eastAsia="標楷體" w:hAnsi="標楷體" w:hint="eastAsia"/>
          <w:sz w:val="32"/>
          <w:szCs w:val="32"/>
        </w:rPr>
        <w:t>。</w:t>
      </w:r>
      <w:r w:rsidRPr="00573D4D">
        <w:rPr>
          <w:rFonts w:ascii="標楷體" w:eastAsia="標楷體" w:hAnsi="標楷體" w:hint="eastAsia"/>
          <w:sz w:val="32"/>
          <w:szCs w:val="32"/>
        </w:rPr>
        <w:t>「藝文場館科藝創新計畫」欲透過「以戰代訓」之培育模式，藉由徵選機制與實地策展等方式訓練跨領域之科技藝術人才，應瞭解國內跨域藝術環境之現實情況，據以規劃後續留才久用之培育方案，以利提升國內文化相關產業就業人員，促使科技藝術跨域人才長留久用。</w:t>
      </w:r>
    </w:p>
    <w:p w:rsidR="00A52DD2" w:rsidRPr="00573D4D" w:rsidRDefault="00A52DD2" w:rsidP="00F035E0">
      <w:pPr>
        <w:spacing w:beforeLines="50" w:before="180" w:line="0" w:lineRule="atLeast"/>
        <w:jc w:val="center"/>
        <w:rPr>
          <w:rFonts w:ascii="標楷體" w:eastAsia="標楷體"/>
          <w:snapToGrid w:val="0"/>
          <w:sz w:val="28"/>
          <w:szCs w:val="28"/>
        </w:rPr>
      </w:pPr>
      <w:r w:rsidRPr="00573D4D">
        <w:rPr>
          <w:rFonts w:ascii="標楷體" w:eastAsia="標楷體" w:hint="eastAsia"/>
          <w:snapToGrid w:val="0"/>
          <w:sz w:val="28"/>
          <w:szCs w:val="28"/>
        </w:rPr>
        <w:t>2016至2020年文化相關產業就業人數</w:t>
      </w:r>
    </w:p>
    <w:tbl>
      <w:tblPr>
        <w:tblW w:w="8505" w:type="dxa"/>
        <w:tblInd w:w="838" w:type="dxa"/>
        <w:tblBorders>
          <w:top w:val="single" w:sz="12" w:space="0" w:color="000000"/>
          <w:left w:val="single" w:sz="12" w:space="0" w:color="000000"/>
          <w:bottom w:val="single" w:sz="12" w:space="0" w:color="000000"/>
          <w:right w:val="single" w:sz="12" w:space="0" w:color="000000"/>
          <w:insideH w:val="single" w:sz="4" w:space="0" w:color="auto"/>
          <w:insideV w:val="single" w:sz="4" w:space="0" w:color="auto"/>
        </w:tblBorders>
        <w:tblLook w:val="04A0" w:firstRow="1" w:lastRow="0" w:firstColumn="1" w:lastColumn="0" w:noHBand="0" w:noVBand="1"/>
      </w:tblPr>
      <w:tblGrid>
        <w:gridCol w:w="2694"/>
        <w:gridCol w:w="1162"/>
        <w:gridCol w:w="1162"/>
        <w:gridCol w:w="1162"/>
        <w:gridCol w:w="1162"/>
        <w:gridCol w:w="1163"/>
      </w:tblGrid>
      <w:tr w:rsidR="00A52DD2" w:rsidRPr="00573D4D" w:rsidTr="00F035E0">
        <w:trPr>
          <w:tblHeader/>
        </w:trPr>
        <w:tc>
          <w:tcPr>
            <w:tcW w:w="2694"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snapToGrid w:val="0"/>
                <w:szCs w:val="28"/>
              </w:rPr>
            </w:pPr>
            <w:r w:rsidRPr="00573D4D">
              <w:rPr>
                <w:rFonts w:ascii="標楷體" w:eastAsia="標楷體" w:hAnsi="標楷體" w:hint="eastAsia"/>
                <w:snapToGrid w:val="0"/>
                <w:szCs w:val="28"/>
              </w:rPr>
              <w:t>行業別</w:t>
            </w:r>
          </w:p>
        </w:tc>
        <w:tc>
          <w:tcPr>
            <w:tcW w:w="1162" w:type="dxa"/>
            <w:shd w:val="clear" w:color="auto" w:fill="auto"/>
            <w:vAlign w:val="center"/>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hint="eastAsia"/>
                <w:snapToGrid w:val="0"/>
                <w:szCs w:val="28"/>
              </w:rPr>
              <w:t>2016年</w:t>
            </w:r>
          </w:p>
        </w:tc>
        <w:tc>
          <w:tcPr>
            <w:tcW w:w="1162" w:type="dxa"/>
            <w:shd w:val="clear" w:color="auto" w:fill="auto"/>
            <w:vAlign w:val="center"/>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hint="eastAsia"/>
                <w:snapToGrid w:val="0"/>
                <w:szCs w:val="28"/>
              </w:rPr>
              <w:t>2017年</w:t>
            </w:r>
          </w:p>
        </w:tc>
        <w:tc>
          <w:tcPr>
            <w:tcW w:w="1162" w:type="dxa"/>
            <w:shd w:val="clear" w:color="auto" w:fill="auto"/>
            <w:vAlign w:val="center"/>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hint="eastAsia"/>
                <w:snapToGrid w:val="0"/>
                <w:szCs w:val="28"/>
              </w:rPr>
              <w:t>2018年</w:t>
            </w:r>
          </w:p>
        </w:tc>
        <w:tc>
          <w:tcPr>
            <w:tcW w:w="1162" w:type="dxa"/>
            <w:shd w:val="clear" w:color="auto" w:fill="auto"/>
            <w:vAlign w:val="center"/>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hint="eastAsia"/>
                <w:snapToGrid w:val="0"/>
                <w:szCs w:val="28"/>
              </w:rPr>
              <w:t>2019年</w:t>
            </w:r>
          </w:p>
        </w:tc>
        <w:tc>
          <w:tcPr>
            <w:tcW w:w="1163" w:type="dxa"/>
            <w:vAlign w:val="center"/>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hint="eastAsia"/>
                <w:snapToGrid w:val="0"/>
                <w:szCs w:val="28"/>
              </w:rPr>
              <w:t>2020年</w:t>
            </w:r>
          </w:p>
        </w:tc>
      </w:tr>
      <w:tr w:rsidR="00A52DD2" w:rsidRPr="00573D4D" w:rsidTr="00F035E0">
        <w:tc>
          <w:tcPr>
            <w:tcW w:w="2694" w:type="dxa"/>
            <w:shd w:val="clear" w:color="auto" w:fill="auto"/>
            <w:vAlign w:val="center"/>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hint="eastAsia"/>
                <w:snapToGrid w:val="0"/>
                <w:szCs w:val="28"/>
              </w:rPr>
              <w:t>創作及藝術表演(人)</w:t>
            </w:r>
          </w:p>
        </w:tc>
        <w:tc>
          <w:tcPr>
            <w:tcW w:w="1162" w:type="dxa"/>
            <w:shd w:val="clear" w:color="auto" w:fill="auto"/>
            <w:vAlign w:val="center"/>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hint="eastAsia"/>
                <w:snapToGrid w:val="0"/>
                <w:szCs w:val="28"/>
              </w:rPr>
              <w:t>17</w:t>
            </w:r>
            <w:r w:rsidRPr="00573D4D">
              <w:rPr>
                <w:rFonts w:ascii="標楷體" w:eastAsia="標楷體" w:hAnsi="標楷體"/>
                <w:snapToGrid w:val="0"/>
                <w:szCs w:val="28"/>
              </w:rPr>
              <w:t>,593</w:t>
            </w:r>
          </w:p>
        </w:tc>
        <w:tc>
          <w:tcPr>
            <w:tcW w:w="1162" w:type="dxa"/>
            <w:shd w:val="clear" w:color="auto" w:fill="auto"/>
            <w:vAlign w:val="center"/>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hint="eastAsia"/>
                <w:snapToGrid w:val="0"/>
                <w:szCs w:val="28"/>
              </w:rPr>
              <w:t>1</w:t>
            </w:r>
            <w:r w:rsidRPr="00573D4D">
              <w:rPr>
                <w:rFonts w:ascii="標楷體" w:eastAsia="標楷體" w:hAnsi="標楷體"/>
                <w:snapToGrid w:val="0"/>
                <w:szCs w:val="28"/>
              </w:rPr>
              <w:t>9,042</w:t>
            </w:r>
          </w:p>
        </w:tc>
        <w:tc>
          <w:tcPr>
            <w:tcW w:w="1162" w:type="dxa"/>
            <w:shd w:val="clear" w:color="auto" w:fill="auto"/>
            <w:vAlign w:val="center"/>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hint="eastAsia"/>
                <w:snapToGrid w:val="0"/>
                <w:szCs w:val="28"/>
              </w:rPr>
              <w:t>2</w:t>
            </w:r>
            <w:r w:rsidRPr="00573D4D">
              <w:rPr>
                <w:rFonts w:ascii="標楷體" w:eastAsia="標楷體" w:hAnsi="標楷體"/>
                <w:snapToGrid w:val="0"/>
                <w:szCs w:val="28"/>
              </w:rPr>
              <w:t>1,273</w:t>
            </w:r>
          </w:p>
        </w:tc>
        <w:tc>
          <w:tcPr>
            <w:tcW w:w="1162" w:type="dxa"/>
            <w:shd w:val="clear" w:color="auto" w:fill="auto"/>
            <w:vAlign w:val="center"/>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hint="eastAsia"/>
                <w:snapToGrid w:val="0"/>
                <w:szCs w:val="28"/>
              </w:rPr>
              <w:t>2</w:t>
            </w:r>
            <w:r w:rsidRPr="00573D4D">
              <w:rPr>
                <w:rFonts w:ascii="標楷體" w:eastAsia="標楷體" w:hAnsi="標楷體"/>
                <w:snapToGrid w:val="0"/>
                <w:szCs w:val="28"/>
              </w:rPr>
              <w:t>2,148</w:t>
            </w:r>
          </w:p>
        </w:tc>
        <w:tc>
          <w:tcPr>
            <w:tcW w:w="1163" w:type="dxa"/>
            <w:vAlign w:val="center"/>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hint="eastAsia"/>
                <w:snapToGrid w:val="0"/>
                <w:szCs w:val="28"/>
              </w:rPr>
              <w:t>1</w:t>
            </w:r>
            <w:r w:rsidRPr="00573D4D">
              <w:rPr>
                <w:rFonts w:ascii="標楷體" w:eastAsia="標楷體" w:hAnsi="標楷體"/>
                <w:snapToGrid w:val="0"/>
                <w:szCs w:val="28"/>
              </w:rPr>
              <w:t>6,979</w:t>
            </w:r>
          </w:p>
        </w:tc>
      </w:tr>
      <w:tr w:rsidR="00A52DD2" w:rsidRPr="00573D4D" w:rsidTr="00F035E0">
        <w:tc>
          <w:tcPr>
            <w:tcW w:w="2694" w:type="dxa"/>
            <w:shd w:val="clear" w:color="auto" w:fill="auto"/>
            <w:vAlign w:val="center"/>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hint="eastAsia"/>
                <w:snapToGrid w:val="0"/>
                <w:szCs w:val="28"/>
              </w:rPr>
              <w:t>我國總就業人數(千人)</w:t>
            </w:r>
          </w:p>
        </w:tc>
        <w:tc>
          <w:tcPr>
            <w:tcW w:w="1162" w:type="dxa"/>
            <w:shd w:val="clear" w:color="auto" w:fill="auto"/>
            <w:vAlign w:val="center"/>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hint="eastAsia"/>
                <w:snapToGrid w:val="0"/>
                <w:szCs w:val="28"/>
              </w:rPr>
              <w:t>1</w:t>
            </w:r>
            <w:r w:rsidRPr="00573D4D">
              <w:rPr>
                <w:rFonts w:ascii="標楷體" w:eastAsia="標楷體" w:hAnsi="標楷體"/>
                <w:snapToGrid w:val="0"/>
                <w:szCs w:val="28"/>
              </w:rPr>
              <w:t>1,267</w:t>
            </w:r>
          </w:p>
        </w:tc>
        <w:tc>
          <w:tcPr>
            <w:tcW w:w="1162" w:type="dxa"/>
            <w:shd w:val="clear" w:color="auto" w:fill="auto"/>
            <w:vAlign w:val="center"/>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hint="eastAsia"/>
                <w:snapToGrid w:val="0"/>
                <w:szCs w:val="28"/>
              </w:rPr>
              <w:t>1</w:t>
            </w:r>
            <w:r w:rsidRPr="00573D4D">
              <w:rPr>
                <w:rFonts w:ascii="標楷體" w:eastAsia="標楷體" w:hAnsi="標楷體"/>
                <w:snapToGrid w:val="0"/>
                <w:szCs w:val="28"/>
              </w:rPr>
              <w:t>1,352</w:t>
            </w:r>
          </w:p>
        </w:tc>
        <w:tc>
          <w:tcPr>
            <w:tcW w:w="1162" w:type="dxa"/>
            <w:shd w:val="clear" w:color="auto" w:fill="auto"/>
            <w:vAlign w:val="center"/>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hint="eastAsia"/>
                <w:snapToGrid w:val="0"/>
                <w:szCs w:val="28"/>
              </w:rPr>
              <w:t>1</w:t>
            </w:r>
            <w:r w:rsidRPr="00573D4D">
              <w:rPr>
                <w:rFonts w:ascii="標楷體" w:eastAsia="標楷體" w:hAnsi="標楷體"/>
                <w:snapToGrid w:val="0"/>
                <w:szCs w:val="28"/>
              </w:rPr>
              <w:t>1,434</w:t>
            </w:r>
          </w:p>
        </w:tc>
        <w:tc>
          <w:tcPr>
            <w:tcW w:w="1162" w:type="dxa"/>
            <w:shd w:val="clear" w:color="auto" w:fill="auto"/>
            <w:vAlign w:val="center"/>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hint="eastAsia"/>
                <w:snapToGrid w:val="0"/>
                <w:szCs w:val="28"/>
              </w:rPr>
              <w:t>1</w:t>
            </w:r>
            <w:r w:rsidRPr="00573D4D">
              <w:rPr>
                <w:rFonts w:ascii="標楷體" w:eastAsia="標楷體" w:hAnsi="標楷體"/>
                <w:snapToGrid w:val="0"/>
                <w:szCs w:val="28"/>
              </w:rPr>
              <w:t>1,500</w:t>
            </w:r>
          </w:p>
        </w:tc>
        <w:tc>
          <w:tcPr>
            <w:tcW w:w="1163" w:type="dxa"/>
            <w:vAlign w:val="center"/>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snapToGrid w:val="0"/>
                <w:szCs w:val="28"/>
              </w:rPr>
              <w:t>11,504</w:t>
            </w:r>
          </w:p>
        </w:tc>
      </w:tr>
      <w:tr w:rsidR="00A52DD2" w:rsidRPr="00573D4D" w:rsidTr="00F035E0">
        <w:tc>
          <w:tcPr>
            <w:tcW w:w="2694" w:type="dxa"/>
            <w:shd w:val="clear" w:color="auto" w:fill="auto"/>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hint="eastAsia"/>
                <w:snapToGrid w:val="0"/>
                <w:szCs w:val="28"/>
              </w:rPr>
              <w:t>占比(</w:t>
            </w:r>
            <w:r w:rsidRPr="00573D4D">
              <w:rPr>
                <w:rFonts w:ascii="標楷體" w:eastAsia="標楷體" w:hAnsi="標楷體"/>
                <w:snapToGrid w:val="0"/>
                <w:szCs w:val="28"/>
              </w:rPr>
              <w:t>%)</w:t>
            </w:r>
          </w:p>
        </w:tc>
        <w:tc>
          <w:tcPr>
            <w:tcW w:w="1162" w:type="dxa"/>
            <w:shd w:val="clear" w:color="auto" w:fill="auto"/>
            <w:vAlign w:val="center"/>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hint="eastAsia"/>
                <w:snapToGrid w:val="0"/>
                <w:szCs w:val="28"/>
              </w:rPr>
              <w:t>0.16</w:t>
            </w:r>
          </w:p>
        </w:tc>
        <w:tc>
          <w:tcPr>
            <w:tcW w:w="1162" w:type="dxa"/>
            <w:shd w:val="clear" w:color="auto" w:fill="auto"/>
            <w:vAlign w:val="center"/>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hint="eastAsia"/>
                <w:snapToGrid w:val="0"/>
                <w:szCs w:val="28"/>
              </w:rPr>
              <w:t>0.17</w:t>
            </w:r>
          </w:p>
        </w:tc>
        <w:tc>
          <w:tcPr>
            <w:tcW w:w="1162" w:type="dxa"/>
            <w:shd w:val="clear" w:color="auto" w:fill="auto"/>
            <w:vAlign w:val="center"/>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hint="eastAsia"/>
                <w:snapToGrid w:val="0"/>
                <w:szCs w:val="28"/>
              </w:rPr>
              <w:t>0.19</w:t>
            </w:r>
          </w:p>
        </w:tc>
        <w:tc>
          <w:tcPr>
            <w:tcW w:w="1162" w:type="dxa"/>
            <w:shd w:val="clear" w:color="auto" w:fill="auto"/>
            <w:vAlign w:val="center"/>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hint="eastAsia"/>
                <w:snapToGrid w:val="0"/>
                <w:szCs w:val="28"/>
              </w:rPr>
              <w:t>0.19</w:t>
            </w:r>
          </w:p>
        </w:tc>
        <w:tc>
          <w:tcPr>
            <w:tcW w:w="1163" w:type="dxa"/>
            <w:vAlign w:val="center"/>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hint="eastAsia"/>
                <w:snapToGrid w:val="0"/>
                <w:szCs w:val="28"/>
              </w:rPr>
              <w:t>0.15</w:t>
            </w:r>
          </w:p>
        </w:tc>
      </w:tr>
    </w:tbl>
    <w:p w:rsidR="00A52DD2" w:rsidRPr="00573D4D" w:rsidRDefault="00A52DD2" w:rsidP="00F035E0">
      <w:pPr>
        <w:overflowPunct w:val="0"/>
        <w:spacing w:line="50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 xml:space="preserve">        綜上，國立臺灣美術館及所屬單位應研謀跨領域之科技藝術人才長期留才之培育策略，爰請國立臺灣美術館及所屬單位於</w:t>
      </w:r>
      <w:r w:rsidRPr="00573D4D">
        <w:rPr>
          <w:rFonts w:ascii="標楷體" w:eastAsia="標楷體" w:hAnsi="標楷體"/>
          <w:sz w:val="32"/>
          <w:szCs w:val="32"/>
        </w:rPr>
        <w:t>3</w:t>
      </w:r>
      <w:r w:rsidRPr="00573D4D">
        <w:rPr>
          <w:rFonts w:ascii="標楷體" w:eastAsia="標楷體" w:hAnsi="標楷體" w:hint="eastAsia"/>
          <w:sz w:val="32"/>
          <w:szCs w:val="32"/>
        </w:rPr>
        <w:t>個月內向立法院教育及文化委員會提出書面報告。347</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提案人：黃國書</w:t>
      </w:r>
    </w:p>
    <w:p w:rsidR="00A52DD2" w:rsidRPr="00573D4D" w:rsidRDefault="00A52DD2" w:rsidP="00F035E0">
      <w:pPr>
        <w:overflowPunct w:val="0"/>
        <w:spacing w:line="500" w:lineRule="exact"/>
        <w:ind w:leftChars="1250" w:left="3000"/>
        <w:jc w:val="both"/>
        <w:rPr>
          <w:rFonts w:ascii="標楷體" w:eastAsia="標楷體" w:hAnsi="標楷體"/>
          <w:snapToGrid w:val="0"/>
          <w:sz w:val="32"/>
          <w:szCs w:val="32"/>
        </w:rPr>
      </w:pPr>
      <w:r w:rsidRPr="00573D4D">
        <w:rPr>
          <w:rFonts w:ascii="標楷體" w:eastAsia="標楷體" w:hAnsi="標楷體" w:hint="eastAsia"/>
          <w:sz w:val="32"/>
          <w:szCs w:val="32"/>
        </w:rPr>
        <w:t>連署人：林宜瑾  鄭正鈐</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(三)112年度國立臺灣美術館</w:t>
      </w:r>
      <w:r w:rsidRPr="00573D4D">
        <w:rPr>
          <w:rFonts w:ascii="標楷體" w:eastAsia="標楷體" w:hAnsi="標楷體" w:hint="eastAsia"/>
          <w:sz w:val="32"/>
          <w:szCs w:val="32"/>
        </w:rPr>
        <w:t>及所屬</w:t>
      </w:r>
      <w:r w:rsidRPr="00573D4D">
        <w:rPr>
          <w:rFonts w:ascii="標楷體" w:eastAsia="標楷體" w:hAnsi="標楷體" w:hint="eastAsia"/>
          <w:snapToGrid w:val="0"/>
          <w:sz w:val="32"/>
          <w:szCs w:val="32"/>
        </w:rPr>
        <w:t>「美術館業務」項下「美術推展工作」預算編列1億1</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677萬2千元，較111年度增列辦理藝術向下扎根親子美學活動等預算107萬1千元</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考量國立臺灣美術館臺灣兒童藝術基地於111年7月23日試營運，並於111年9月18日正式開幕後，能更完善運用空間打造兒童專屬的推廣活動</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爰請國立臺灣美術館</w:t>
      </w:r>
      <w:r>
        <w:rPr>
          <w:rFonts w:ascii="標楷體" w:eastAsia="標楷體" w:hAnsi="標楷體" w:hint="eastAsia"/>
          <w:snapToGrid w:val="0"/>
          <w:sz w:val="32"/>
          <w:szCs w:val="32"/>
        </w:rPr>
        <w:t>於</w:t>
      </w:r>
      <w:r w:rsidRPr="00573D4D">
        <w:rPr>
          <w:rFonts w:ascii="標楷體" w:eastAsia="標楷體" w:hAnsi="標楷體" w:hint="eastAsia"/>
          <w:snapToGrid w:val="0"/>
          <w:sz w:val="32"/>
          <w:szCs w:val="32"/>
        </w:rPr>
        <w:t>112年度持續妥善運用藝術資源，提供親子家庭觀眾豐富而友善的藝術教</w:t>
      </w:r>
      <w:r w:rsidRPr="00573D4D">
        <w:rPr>
          <w:rFonts w:ascii="標楷體" w:eastAsia="標楷體" w:hAnsi="標楷體" w:hint="eastAsia"/>
          <w:snapToGrid w:val="0"/>
          <w:sz w:val="32"/>
          <w:szCs w:val="32"/>
        </w:rPr>
        <w:lastRenderedPageBreak/>
        <w:t>育體驗機會，同時強化親子共同學習，深化美學探索課程與推廣活動的深度及廣度，刺激親子互動產生更多對話、共同學習成長。 342</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提案人：鄭正鈐  陳秀寳  張廖萬堅</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(四)112年度國立臺灣美術館</w:t>
      </w:r>
      <w:r w:rsidRPr="00573D4D">
        <w:rPr>
          <w:rFonts w:ascii="標楷體" w:eastAsia="標楷體" w:hAnsi="標楷體" w:hint="eastAsia"/>
          <w:sz w:val="32"/>
          <w:szCs w:val="32"/>
        </w:rPr>
        <w:t>及所屬</w:t>
      </w:r>
      <w:r w:rsidRPr="00573D4D">
        <w:rPr>
          <w:rFonts w:ascii="標楷體" w:eastAsia="標楷體" w:hAnsi="標楷體" w:hint="eastAsia"/>
          <w:snapToGrid w:val="0"/>
          <w:sz w:val="32"/>
          <w:szCs w:val="32"/>
        </w:rPr>
        <w:t>「美術館業務」項下新增「藝文場館科藝創新計畫」預算編列2</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100萬元</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查本案計畫係依據「智慧國家方案」之數位創新（發展數位文創）政策項目辦理，屬政府科技發展計畫，由文化部提報行政院核定編列總經費為4億3</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650萬元，執行期間為112至115年，並以運用創新與科技詮釋藝術，提升藝術內涵及價值，創造文化科技應用之深度及廣度為目標。國立臺灣美術館於此計畫中執行內容之主要目標為「製作新型態科技藝術展演，建立跨域共創模式」。關鍵指標包含：每年辦理1.跨域科技藝術國際大展1檔；</w:t>
      </w:r>
      <w:r w:rsidRPr="00573D4D">
        <w:rPr>
          <w:rFonts w:ascii="標楷體" w:eastAsia="標楷體" w:hAnsi="標楷體"/>
          <w:snapToGrid w:val="0"/>
          <w:sz w:val="32"/>
          <w:szCs w:val="32"/>
        </w:rPr>
        <w:t>2.</w:t>
      </w:r>
      <w:r w:rsidRPr="00573D4D">
        <w:rPr>
          <w:rFonts w:ascii="標楷體" w:eastAsia="標楷體" w:hAnsi="標楷體" w:hint="eastAsia"/>
          <w:snapToGrid w:val="0"/>
          <w:sz w:val="32"/>
          <w:szCs w:val="32"/>
        </w:rPr>
        <w:t>培育1至2人/團隊進行跨域、跨機構交流計畫，徵選結合科技技術與跨域思維之計畫2至3案並辦理展覽；3.完成1至2件跨域共製作品；</w:t>
      </w:r>
      <w:r w:rsidRPr="00573D4D">
        <w:rPr>
          <w:rFonts w:ascii="標楷體" w:eastAsia="標楷體" w:hAnsi="標楷體"/>
          <w:snapToGrid w:val="0"/>
          <w:sz w:val="32"/>
          <w:szCs w:val="32"/>
        </w:rPr>
        <w:t>4.</w:t>
      </w:r>
      <w:r w:rsidRPr="00573D4D">
        <w:rPr>
          <w:rFonts w:ascii="標楷體" w:eastAsia="標楷體" w:hAnsi="標楷體" w:hint="eastAsia"/>
          <w:snapToGrid w:val="0"/>
          <w:sz w:val="32"/>
          <w:szCs w:val="32"/>
        </w:rPr>
        <w:t>辦理藏品數位推展活動1式，研發互動性、主題性之推展活動。有鑑於科技藝術的跨域應用是當前趨勢，培養跨領域創作人才刻不容緩，爰請國立臺灣美術館透過跨機構整合資源，汲取並最大化各方優勢，廣納發掘相關人才，加速新型態科技藝術內容成果實現並建立國際共製模式，創造臺灣藝術家與國際交流接軌的舞台，從而逐步建構臺灣數位科技藝術品牌。344</w:t>
      </w:r>
    </w:p>
    <w:p w:rsidR="00A52DD2" w:rsidRPr="00573D4D" w:rsidRDefault="00A52DD2" w:rsidP="00F035E0">
      <w:pPr>
        <w:snapToGrid w:val="0"/>
        <w:spacing w:line="46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提案人：張廖萬堅</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連署人：黃國書  林宜瑾</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(五)112年度國立臺灣美術館博物館</w:t>
      </w:r>
      <w:r w:rsidRPr="00573D4D">
        <w:rPr>
          <w:rFonts w:ascii="標楷體" w:eastAsia="標楷體" w:hAnsi="標楷體" w:hint="eastAsia"/>
          <w:sz w:val="32"/>
          <w:szCs w:val="32"/>
        </w:rPr>
        <w:t>及所屬</w:t>
      </w:r>
      <w:r w:rsidRPr="00573D4D">
        <w:rPr>
          <w:rFonts w:ascii="標楷體" w:eastAsia="標楷體" w:hAnsi="標楷體" w:hint="eastAsia"/>
          <w:snapToGrid w:val="0"/>
          <w:sz w:val="32"/>
          <w:szCs w:val="32"/>
        </w:rPr>
        <w:t>「美術館業務」項下</w:t>
      </w:r>
      <w:r>
        <w:rPr>
          <w:rFonts w:ascii="標楷體" w:eastAsia="標楷體" w:hAnsi="標楷體" w:hint="eastAsia"/>
          <w:snapToGrid w:val="0"/>
          <w:sz w:val="32"/>
          <w:szCs w:val="32"/>
        </w:rPr>
        <w:t>新增</w:t>
      </w:r>
      <w:r w:rsidRPr="00573D4D">
        <w:rPr>
          <w:rFonts w:ascii="標楷體" w:eastAsia="標楷體" w:hAnsi="標楷體" w:hint="eastAsia"/>
          <w:snapToGrid w:val="0"/>
          <w:sz w:val="32"/>
          <w:szCs w:val="32"/>
        </w:rPr>
        <w:t>「博物館智慧升級計畫」預算編列1</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758萬4千元，較111年度增列科技防災系統建置等經費244萬元</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本案計畫執行期間為110至113年度，經查截至111年度止，國立臺</w:t>
      </w:r>
      <w:r w:rsidRPr="00573D4D">
        <w:rPr>
          <w:rFonts w:ascii="標楷體" w:eastAsia="標楷體" w:hAnsi="標楷體" w:hint="eastAsia"/>
          <w:snapToGrid w:val="0"/>
          <w:sz w:val="32"/>
          <w:szCs w:val="32"/>
        </w:rPr>
        <w:lastRenderedPageBreak/>
        <w:t>灣美術館已完成建置智慧型水資源管理暨防災系統、建築照明情境管理系統等，以強化公共安全並提升綠能永續發展。112年度預定於原建置成果上，進一步辦理建置展場空氣品質監測及控制系統、更新類比攝影機及相關設備，以整合監視資訊並優化後台分析、集中控制及檢視各處建築照明狀態，並搭配光感、保全、門禁等，將照明智能化提升節能效率</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爰請國立臺灣美術館確實檢討場館既有設施，引薦參考國內外藝文場館防災案例，加強展場空間智能強化、監控系統設備提升及照明環控系統整合，以期透過新的科技設備及技術，協助預防空污災害，並確保展品、參展民眾及園區夜間安全，達成計畫提升博物館公共安全及綠能永續發展之目標。345</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提案人：鄭正鈐  陳秀寳  張廖萬堅</w:t>
      </w:r>
    </w:p>
    <w:p w:rsidR="00A52DD2" w:rsidRPr="00573D4D" w:rsidRDefault="00A52DD2" w:rsidP="00F035E0">
      <w:pPr>
        <w:kinsoku w:val="0"/>
        <w:overflowPunct w:val="0"/>
        <w:spacing w:beforeLines="50" w:before="180" w:line="500" w:lineRule="exact"/>
        <w:ind w:leftChars="100" w:left="1568" w:hangingChars="415" w:hanging="1328"/>
        <w:jc w:val="both"/>
        <w:textAlignment w:val="center"/>
        <w:rPr>
          <w:rFonts w:ascii="標楷體" w:eastAsia="標楷體" w:hAnsi="標楷體"/>
          <w:snapToGrid w:val="0"/>
          <w:sz w:val="32"/>
          <w:szCs w:val="32"/>
        </w:rPr>
      </w:pPr>
      <w:r w:rsidRPr="00573D4D">
        <w:rPr>
          <w:rFonts w:ascii="標楷體" w:eastAsia="標楷體" w:hAnsi="標楷體"/>
          <w:snapToGrid w:val="0"/>
          <w:sz w:val="32"/>
          <w:szCs w:val="32"/>
        </w:rPr>
        <w:t>第</w:t>
      </w:r>
      <w:r w:rsidRPr="00573D4D">
        <w:rPr>
          <w:rFonts w:ascii="標楷體" w:eastAsia="標楷體" w:hAnsi="標楷體" w:hint="eastAsia"/>
          <w:snapToGrid w:val="0"/>
          <w:sz w:val="32"/>
          <w:szCs w:val="32"/>
        </w:rPr>
        <w:t>6</w:t>
      </w:r>
      <w:r w:rsidRPr="00573D4D">
        <w:rPr>
          <w:rFonts w:ascii="標楷體" w:eastAsia="標楷體" w:hAnsi="標楷體"/>
          <w:snapToGrid w:val="0"/>
          <w:sz w:val="32"/>
          <w:szCs w:val="32"/>
        </w:rPr>
        <w:t xml:space="preserve">項　</w:t>
      </w:r>
      <w:r w:rsidRPr="00573D4D">
        <w:rPr>
          <w:rFonts w:ascii="標楷體" w:eastAsia="標楷體" w:hAnsi="標楷體" w:hint="eastAsia"/>
          <w:snapToGrid w:val="0"/>
          <w:sz w:val="32"/>
          <w:szCs w:val="32"/>
        </w:rPr>
        <w:t>國立臺灣工藝研究發展中心6億3,945萬5千元</w:t>
      </w:r>
      <w:r w:rsidRPr="00573D4D">
        <w:rPr>
          <w:rFonts w:ascii="標楷體" w:eastAsia="標楷體" w:hAnsi="標楷體"/>
          <w:snapToGrid w:val="0"/>
          <w:sz w:val="32"/>
          <w:szCs w:val="32"/>
        </w:rPr>
        <w:t>，照列。</w:t>
      </w:r>
    </w:p>
    <w:p w:rsidR="00A52DD2" w:rsidRPr="00573D4D" w:rsidRDefault="00A52DD2" w:rsidP="00F035E0">
      <w:pPr>
        <w:kinsoku w:val="0"/>
        <w:overflowPunct w:val="0"/>
        <w:spacing w:before="60" w:after="60" w:line="500" w:lineRule="exact"/>
        <w:ind w:leftChars="100" w:left="1568" w:hangingChars="415" w:hanging="1328"/>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本項通過決議2項：</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(一)</w:t>
      </w:r>
      <w:r w:rsidRPr="00573D4D">
        <w:rPr>
          <w:rFonts w:ascii="標楷體" w:eastAsia="標楷體" w:hAnsi="標楷體"/>
          <w:snapToGrid w:val="0"/>
          <w:sz w:val="32"/>
          <w:szCs w:val="32"/>
        </w:rPr>
        <w:t>112</w:t>
      </w:r>
      <w:r w:rsidRPr="00573D4D">
        <w:rPr>
          <w:rFonts w:ascii="標楷體" w:eastAsia="標楷體" w:hAnsi="標楷體" w:hint="eastAsia"/>
          <w:snapToGrid w:val="0"/>
          <w:sz w:val="32"/>
          <w:szCs w:val="32"/>
        </w:rPr>
        <w:t>年度國立臺灣工藝硏究發展中心「工藝硏究發展中心業務」預算編列</w:t>
      </w:r>
      <w:r w:rsidRPr="00573D4D">
        <w:rPr>
          <w:rFonts w:ascii="標楷體" w:eastAsia="標楷體" w:hAnsi="標楷體"/>
          <w:snapToGrid w:val="0"/>
          <w:sz w:val="32"/>
          <w:szCs w:val="32"/>
        </w:rPr>
        <w:t>5</w:t>
      </w:r>
      <w:r w:rsidRPr="00573D4D">
        <w:rPr>
          <w:rFonts w:ascii="標楷體" w:eastAsia="標楷體" w:hAnsi="標楷體" w:hint="eastAsia"/>
          <w:snapToGrid w:val="0"/>
          <w:sz w:val="32"/>
          <w:szCs w:val="32"/>
        </w:rPr>
        <w:t>億</w:t>
      </w:r>
      <w:r w:rsidRPr="00573D4D">
        <w:rPr>
          <w:rFonts w:ascii="標楷體" w:eastAsia="標楷體" w:hAnsi="標楷體"/>
          <w:snapToGrid w:val="0"/>
          <w:sz w:val="32"/>
          <w:szCs w:val="32"/>
        </w:rPr>
        <w:t>1,422</w:t>
      </w:r>
      <w:r w:rsidRPr="00573D4D">
        <w:rPr>
          <w:rFonts w:ascii="標楷體" w:eastAsia="標楷體" w:hAnsi="標楷體" w:hint="eastAsia"/>
          <w:snapToGrid w:val="0"/>
          <w:sz w:val="32"/>
          <w:szCs w:val="32"/>
        </w:rPr>
        <w:t>萬</w:t>
      </w:r>
      <w:r w:rsidRPr="00573D4D">
        <w:rPr>
          <w:rFonts w:ascii="標楷體" w:eastAsia="標楷體" w:hAnsi="標楷體"/>
          <w:snapToGrid w:val="0"/>
          <w:sz w:val="32"/>
          <w:szCs w:val="32"/>
        </w:rPr>
        <w:t>1</w:t>
      </w:r>
      <w:r w:rsidRPr="00573D4D">
        <w:rPr>
          <w:rFonts w:ascii="標楷體" w:eastAsia="標楷體" w:hAnsi="標楷體" w:hint="eastAsia"/>
          <w:snapToGrid w:val="0"/>
          <w:sz w:val="32"/>
          <w:szCs w:val="32"/>
        </w:rPr>
        <w:t>千元，是</w:t>
      </w:r>
      <w:r w:rsidRPr="00573D4D">
        <w:rPr>
          <w:rFonts w:ascii="標楷體" w:eastAsia="標楷體" w:hAnsi="標楷體"/>
          <w:snapToGrid w:val="0"/>
          <w:sz w:val="32"/>
          <w:szCs w:val="32"/>
        </w:rPr>
        <w:t>111</w:t>
      </w:r>
      <w:r w:rsidRPr="00573D4D">
        <w:rPr>
          <w:rFonts w:ascii="標楷體" w:eastAsia="標楷體" w:hAnsi="標楷體" w:hint="eastAsia"/>
          <w:snapToGrid w:val="0"/>
          <w:sz w:val="32"/>
          <w:szCs w:val="32"/>
        </w:rPr>
        <w:t>年度預算</w:t>
      </w:r>
      <w:r w:rsidRPr="00573D4D">
        <w:rPr>
          <w:rFonts w:ascii="標楷體" w:eastAsia="標楷體" w:hAnsi="標楷體"/>
          <w:snapToGrid w:val="0"/>
          <w:sz w:val="32"/>
          <w:szCs w:val="32"/>
        </w:rPr>
        <w:t>(1</w:t>
      </w:r>
      <w:r w:rsidRPr="00573D4D">
        <w:rPr>
          <w:rFonts w:ascii="標楷體" w:eastAsia="標楷體" w:hAnsi="標楷體" w:hint="eastAsia"/>
          <w:snapToGrid w:val="0"/>
          <w:sz w:val="32"/>
          <w:szCs w:val="32"/>
        </w:rPr>
        <w:t>億</w:t>
      </w:r>
      <w:r w:rsidRPr="00573D4D">
        <w:rPr>
          <w:rFonts w:ascii="標楷體" w:eastAsia="標楷體" w:hAnsi="標楷體"/>
          <w:snapToGrid w:val="0"/>
          <w:sz w:val="32"/>
          <w:szCs w:val="32"/>
        </w:rPr>
        <w:t>2,456</w:t>
      </w:r>
      <w:r w:rsidRPr="00573D4D">
        <w:rPr>
          <w:rFonts w:ascii="標楷體" w:eastAsia="標楷體" w:hAnsi="標楷體" w:hint="eastAsia"/>
          <w:snapToGrid w:val="0"/>
          <w:sz w:val="32"/>
          <w:szCs w:val="32"/>
        </w:rPr>
        <w:t>萬</w:t>
      </w:r>
      <w:r w:rsidRPr="00573D4D">
        <w:rPr>
          <w:rFonts w:ascii="標楷體" w:eastAsia="標楷體" w:hAnsi="標楷體"/>
          <w:snapToGrid w:val="0"/>
          <w:sz w:val="32"/>
          <w:szCs w:val="32"/>
        </w:rPr>
        <w:t>6</w:t>
      </w:r>
      <w:r w:rsidRPr="00573D4D">
        <w:rPr>
          <w:rFonts w:ascii="標楷體" w:eastAsia="標楷體" w:hAnsi="標楷體" w:hint="eastAsia"/>
          <w:snapToGrid w:val="0"/>
          <w:sz w:val="32"/>
          <w:szCs w:val="32"/>
        </w:rPr>
        <w:t>千元）的</w:t>
      </w:r>
      <w:r w:rsidRPr="00573D4D">
        <w:rPr>
          <w:rFonts w:ascii="標楷體" w:eastAsia="標楷體" w:hAnsi="標楷體"/>
          <w:snapToGrid w:val="0"/>
          <w:sz w:val="32"/>
          <w:szCs w:val="32"/>
        </w:rPr>
        <w:t>4</w:t>
      </w:r>
      <w:r w:rsidRPr="00573D4D">
        <w:rPr>
          <w:rFonts w:ascii="標楷體" w:eastAsia="標楷體" w:hAnsi="標楷體" w:hint="eastAsia"/>
          <w:snapToGrid w:val="0"/>
          <w:sz w:val="32"/>
          <w:szCs w:val="32"/>
        </w:rPr>
        <w:t>倍!主要是因</w:t>
      </w:r>
      <w:r w:rsidRPr="00573D4D">
        <w:rPr>
          <w:rFonts w:ascii="標楷體" w:eastAsia="標楷體" w:hAnsi="標楷體"/>
          <w:snapToGrid w:val="0"/>
          <w:sz w:val="32"/>
          <w:szCs w:val="32"/>
        </w:rPr>
        <w:t>112</w:t>
      </w:r>
      <w:r w:rsidRPr="00573D4D">
        <w:rPr>
          <w:rFonts w:ascii="標楷體" w:eastAsia="標楷體" w:hAnsi="標楷體" w:hint="eastAsia"/>
          <w:snapToGrid w:val="0"/>
          <w:sz w:val="32"/>
          <w:szCs w:val="32"/>
        </w:rPr>
        <w:t>年度預算新增「臺灣工藝文化產業中長程計畫」分支計畫</w:t>
      </w:r>
      <w:r w:rsidRPr="00573D4D">
        <w:rPr>
          <w:rFonts w:ascii="標楷體" w:eastAsia="標楷體" w:hAnsi="標楷體"/>
          <w:snapToGrid w:val="0"/>
          <w:sz w:val="32"/>
          <w:szCs w:val="32"/>
        </w:rPr>
        <w:t>4</w:t>
      </w:r>
      <w:r w:rsidRPr="00573D4D">
        <w:rPr>
          <w:rFonts w:ascii="標楷體" w:eastAsia="標楷體" w:hAnsi="標楷體" w:hint="eastAsia"/>
          <w:snapToGrid w:val="0"/>
          <w:sz w:val="32"/>
          <w:szCs w:val="32"/>
        </w:rPr>
        <w:t>億</w:t>
      </w:r>
      <w:r w:rsidRPr="00573D4D">
        <w:rPr>
          <w:rFonts w:ascii="標楷體" w:eastAsia="標楷體" w:hAnsi="標楷體"/>
          <w:snapToGrid w:val="0"/>
          <w:sz w:val="32"/>
          <w:szCs w:val="32"/>
        </w:rPr>
        <w:t>6,</w:t>
      </w:r>
      <w:r w:rsidRPr="00573D4D">
        <w:rPr>
          <w:rFonts w:ascii="標楷體" w:eastAsia="標楷體" w:hAnsi="標楷體" w:hint="eastAsia"/>
          <w:snapToGrid w:val="0"/>
          <w:sz w:val="32"/>
          <w:szCs w:val="32"/>
        </w:rPr>
        <w:t>000萬元，而該中長程計畫之總經費高達</w:t>
      </w:r>
      <w:r w:rsidRPr="00573D4D">
        <w:rPr>
          <w:rFonts w:ascii="標楷體" w:eastAsia="標楷體" w:hAnsi="標楷體"/>
          <w:snapToGrid w:val="0"/>
          <w:sz w:val="32"/>
          <w:szCs w:val="32"/>
        </w:rPr>
        <w:t>28</w:t>
      </w:r>
      <w:r w:rsidRPr="00573D4D">
        <w:rPr>
          <w:rFonts w:ascii="標楷體" w:eastAsia="標楷體" w:hAnsi="標楷體" w:hint="eastAsia"/>
          <w:snapToGrid w:val="0"/>
          <w:sz w:val="32"/>
          <w:szCs w:val="32"/>
        </w:rPr>
        <w:t>億</w:t>
      </w:r>
      <w:r w:rsidRPr="00573D4D">
        <w:rPr>
          <w:rFonts w:ascii="標楷體" w:eastAsia="標楷體" w:hAnsi="標楷體"/>
          <w:snapToGrid w:val="0"/>
          <w:sz w:val="32"/>
          <w:szCs w:val="32"/>
        </w:rPr>
        <w:t>8,000</w:t>
      </w:r>
      <w:r w:rsidRPr="00573D4D">
        <w:rPr>
          <w:rFonts w:ascii="標楷體" w:eastAsia="標楷體" w:hAnsi="標楷體" w:hint="eastAsia"/>
          <w:snapToGrid w:val="0"/>
          <w:sz w:val="32"/>
          <w:szCs w:val="32"/>
        </w:rPr>
        <w:t>萬元，計畫期程橫跨</w:t>
      </w:r>
      <w:r w:rsidRPr="00573D4D">
        <w:rPr>
          <w:rFonts w:ascii="標楷體" w:eastAsia="標楷體" w:hAnsi="標楷體"/>
          <w:snapToGrid w:val="0"/>
          <w:sz w:val="32"/>
          <w:szCs w:val="32"/>
        </w:rPr>
        <w:t>112</w:t>
      </w:r>
      <w:r w:rsidRPr="00573D4D">
        <w:rPr>
          <w:rFonts w:ascii="標楷體" w:eastAsia="標楷體" w:hAnsi="標楷體" w:hint="eastAsia"/>
          <w:snapToGrid w:val="0"/>
          <w:sz w:val="32"/>
          <w:szCs w:val="32"/>
        </w:rPr>
        <w:t>至</w:t>
      </w:r>
      <w:r w:rsidRPr="00573D4D">
        <w:rPr>
          <w:rFonts w:ascii="標楷體" w:eastAsia="標楷體" w:hAnsi="標楷體"/>
          <w:snapToGrid w:val="0"/>
          <w:sz w:val="32"/>
          <w:szCs w:val="32"/>
        </w:rPr>
        <w:t>115</w:t>
      </w:r>
      <w:r w:rsidRPr="00573D4D">
        <w:rPr>
          <w:rFonts w:ascii="標楷體" w:eastAsia="標楷體" w:hAnsi="標楷體" w:hint="eastAsia"/>
          <w:snapToGrid w:val="0"/>
          <w:sz w:val="32"/>
          <w:szCs w:val="32"/>
        </w:rPr>
        <w:t>年度，有助於健全臺灣工藝產業生態環境及人才之培育</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而112年度因該中長程計畫預算規模高達</w:t>
      </w:r>
      <w:r w:rsidRPr="00573D4D">
        <w:rPr>
          <w:rFonts w:ascii="標楷體" w:eastAsia="標楷體" w:hAnsi="標楷體"/>
          <w:snapToGrid w:val="0"/>
          <w:sz w:val="32"/>
          <w:szCs w:val="32"/>
        </w:rPr>
        <w:t>6</w:t>
      </w:r>
      <w:r w:rsidRPr="00573D4D">
        <w:rPr>
          <w:rFonts w:ascii="標楷體" w:eastAsia="標楷體" w:hAnsi="標楷體" w:hint="eastAsia"/>
          <w:snapToGrid w:val="0"/>
          <w:sz w:val="32"/>
          <w:szCs w:val="32"/>
        </w:rPr>
        <w:t>億</w:t>
      </w:r>
      <w:r w:rsidRPr="00573D4D">
        <w:rPr>
          <w:rFonts w:ascii="標楷體" w:eastAsia="標楷體" w:hAnsi="標楷體"/>
          <w:snapToGrid w:val="0"/>
          <w:sz w:val="32"/>
          <w:szCs w:val="32"/>
        </w:rPr>
        <w:t>3,9</w:t>
      </w:r>
      <w:r w:rsidRPr="00573D4D">
        <w:rPr>
          <w:rFonts w:ascii="標楷體" w:eastAsia="標楷體" w:hAnsi="標楷體" w:hint="eastAsia"/>
          <w:snapToGrid w:val="0"/>
          <w:sz w:val="32"/>
          <w:szCs w:val="32"/>
        </w:rPr>
        <w:t>45萬5千元，請國立臺灣工藝硏究發展中心留意計畫執行控管，掌握時效。348</w:t>
      </w:r>
    </w:p>
    <w:p w:rsidR="00A52DD2" w:rsidRPr="00573D4D" w:rsidRDefault="00A52DD2" w:rsidP="00F035E0">
      <w:pPr>
        <w:snapToGrid w:val="0"/>
        <w:spacing w:line="46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提案人：張廖萬堅</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連署人：黃國書  林宜瑾</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(二)112年度國立臺灣工藝研究發展中心新增「工藝研究發展中</w:t>
      </w:r>
      <w:r w:rsidRPr="00573D4D">
        <w:rPr>
          <w:rFonts w:ascii="標楷體" w:eastAsia="標楷體" w:hAnsi="標楷體" w:hint="eastAsia"/>
          <w:snapToGrid w:val="0"/>
          <w:sz w:val="32"/>
          <w:szCs w:val="32"/>
        </w:rPr>
        <w:lastRenderedPageBreak/>
        <w:t>心業務」項下「臺灣工藝文化產業中長程計畫」預算編列4億6</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000萬元</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主要係健全臺灣工藝產業生產環境、建置工藝產業產製人才培育環境、健全工藝經濟與消費通路點等，以達「健全工藝產業生態系」、形成「臺灣工藝價值社會實踐」之目標。經費主要用於辦理工藝人才基地與國際工藝村等公共工程、並優化工藝產業聚落環境、推動工藝體驗經濟與觀光行旅，國立臺灣工藝研究發展中心宜審慎規劃以避免發生閒置。350</w:t>
      </w:r>
    </w:p>
    <w:p w:rsidR="00A52DD2" w:rsidRPr="00573D4D" w:rsidRDefault="00A52DD2" w:rsidP="00F035E0">
      <w:pPr>
        <w:snapToGrid w:val="0"/>
        <w:spacing w:line="46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提案人：鄭正鈐  陳秀寳</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連署人：張廖萬堅</w:t>
      </w:r>
    </w:p>
    <w:p w:rsidR="00A52DD2" w:rsidRPr="00573D4D" w:rsidRDefault="00A52DD2" w:rsidP="00F035E0">
      <w:pPr>
        <w:kinsoku w:val="0"/>
        <w:overflowPunct w:val="0"/>
        <w:spacing w:beforeLines="50" w:before="180" w:line="500" w:lineRule="exact"/>
        <w:ind w:leftChars="100" w:left="1568" w:hangingChars="415" w:hanging="1328"/>
        <w:jc w:val="both"/>
        <w:textAlignment w:val="center"/>
        <w:rPr>
          <w:rFonts w:ascii="標楷體" w:eastAsia="標楷體" w:hAnsi="標楷體"/>
          <w:snapToGrid w:val="0"/>
          <w:sz w:val="32"/>
          <w:szCs w:val="32"/>
        </w:rPr>
      </w:pPr>
      <w:r w:rsidRPr="00573D4D">
        <w:rPr>
          <w:rFonts w:ascii="標楷體" w:eastAsia="標楷體" w:hAnsi="標楷體"/>
          <w:snapToGrid w:val="0"/>
          <w:sz w:val="32"/>
          <w:szCs w:val="32"/>
        </w:rPr>
        <w:t>第</w:t>
      </w:r>
      <w:r w:rsidRPr="00573D4D">
        <w:rPr>
          <w:rFonts w:ascii="標楷體" w:eastAsia="標楷體" w:hAnsi="標楷體" w:hint="eastAsia"/>
          <w:snapToGrid w:val="0"/>
          <w:sz w:val="32"/>
          <w:szCs w:val="32"/>
        </w:rPr>
        <w:t>7</w:t>
      </w:r>
      <w:r w:rsidRPr="00573D4D">
        <w:rPr>
          <w:rFonts w:ascii="標楷體" w:eastAsia="標楷體" w:hAnsi="標楷體"/>
          <w:snapToGrid w:val="0"/>
          <w:sz w:val="32"/>
          <w:szCs w:val="32"/>
        </w:rPr>
        <w:t>項　國立臺灣</w:t>
      </w:r>
      <w:r w:rsidRPr="00573D4D">
        <w:rPr>
          <w:rFonts w:ascii="標楷體" w:eastAsia="標楷體" w:hAnsi="標楷體" w:hint="eastAsia"/>
          <w:snapToGrid w:val="0"/>
          <w:sz w:val="32"/>
          <w:szCs w:val="32"/>
        </w:rPr>
        <w:t>博物</w:t>
      </w:r>
      <w:r w:rsidRPr="00573D4D">
        <w:rPr>
          <w:rFonts w:ascii="標楷體" w:eastAsia="標楷體" w:hAnsi="標楷體"/>
          <w:snapToGrid w:val="0"/>
          <w:sz w:val="32"/>
          <w:szCs w:val="32"/>
        </w:rPr>
        <w:t>館</w:t>
      </w:r>
      <w:r w:rsidRPr="00573D4D">
        <w:rPr>
          <w:rFonts w:ascii="標楷體" w:eastAsia="標楷體" w:hAnsi="標楷體" w:hint="eastAsia"/>
          <w:snapToGrid w:val="0"/>
          <w:sz w:val="32"/>
          <w:szCs w:val="32"/>
        </w:rPr>
        <w:t>2億8,281萬7千元</w:t>
      </w:r>
      <w:r w:rsidRPr="00573D4D">
        <w:rPr>
          <w:rFonts w:ascii="標楷體" w:eastAsia="標楷體" w:hAnsi="標楷體"/>
          <w:snapToGrid w:val="0"/>
          <w:sz w:val="32"/>
          <w:szCs w:val="32"/>
        </w:rPr>
        <w:t>，照列。</w:t>
      </w:r>
    </w:p>
    <w:p w:rsidR="00A52DD2" w:rsidRPr="00573D4D" w:rsidRDefault="00A52DD2" w:rsidP="00F035E0">
      <w:pPr>
        <w:kinsoku w:val="0"/>
        <w:overflowPunct w:val="0"/>
        <w:spacing w:before="60" w:after="60" w:line="500" w:lineRule="exact"/>
        <w:ind w:leftChars="100" w:left="1568" w:hangingChars="415" w:hanging="1328"/>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本項通過決議2項：</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(一)112年度國立臺灣博物館「博物館業務」預算編列1億1</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669萬4千元，包括「業務費」7</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919萬3千元、「設備及投資」3</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750萬1千元，較111年度增列775萬9千元。近年國立臺灣博物館陸續辦理館舍升級優化，惟整體硬體設施（設備）之服務滿意度未如預期，雖已較109年略有提升，但受限古蹟原有建築空間、環境條件及相關法令限制，整體硬體設施（設備）滿意度仍較整體人員及服務、整體展覽滿意度為低</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國立臺灣博物館應持續精進並針對觀眾不滿意之硬體設施（設備）進行優化改善，並於3個月內向立法院教育及文化委員會提出書面報告，以符合觀眾期待，並提升整體服務滿意度。351</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提案人：鄭正鈐  陳秀寳  張廖萬堅</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(二)112年度國立臺灣博物館「博物館業務」項下「博物館系統升級優化計畫」預算編列2</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819萬5千元</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經查該計畫預算係為增進該館4館舍之古蹟管理維護及再利用而設，工作項</w:t>
      </w:r>
      <w:r w:rsidRPr="00573D4D">
        <w:rPr>
          <w:rFonts w:ascii="標楷體" w:eastAsia="標楷體" w:hAnsi="標楷體" w:hint="eastAsia"/>
          <w:snapToGrid w:val="0"/>
          <w:sz w:val="32"/>
          <w:szCs w:val="32"/>
        </w:rPr>
        <w:lastRenderedPageBreak/>
        <w:t>目主要是辦理古蹟及相關設備硬體升級優化及維護。雖110年臺博館服務滿意度調查資料顯示民眾對「整體硬體設施（設備）」之滿意度最低，但已較109年滿意度略有提升。受限古蹟建築空間、環境條件及相關法令限制，雖臺博館自109年度起已陸續辦理硬體設施升級優化，但民眾仍對整體環境好感度偏低，顯見升級優化尚不足以滿足參觀者之期待與需求。國立臺灣博物館應持續精進並再加強對整體硬體設施（設備）之優化改善，並於3個月內向立法院教育及文化委員會提出書面報告，以提供符合觀眾需求且更加完善之軟硬體服務，提升整體滿意度。353</w:t>
      </w:r>
    </w:p>
    <w:p w:rsidR="00A52DD2" w:rsidRPr="00573D4D" w:rsidRDefault="00A52DD2" w:rsidP="00F035E0">
      <w:pPr>
        <w:snapToGrid w:val="0"/>
        <w:spacing w:line="46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提案人：張廖萬堅</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連署人：陳秀寳  吳思瑤</w:t>
      </w:r>
    </w:p>
    <w:p w:rsidR="00A52DD2" w:rsidRPr="00573D4D" w:rsidRDefault="00A52DD2" w:rsidP="00F035E0">
      <w:pPr>
        <w:kinsoku w:val="0"/>
        <w:overflowPunct w:val="0"/>
        <w:spacing w:beforeLines="50" w:before="180" w:line="500" w:lineRule="exact"/>
        <w:ind w:leftChars="100" w:left="1568" w:hangingChars="415" w:hanging="1328"/>
        <w:jc w:val="both"/>
        <w:textAlignment w:val="center"/>
        <w:rPr>
          <w:rFonts w:ascii="標楷體" w:eastAsia="標楷體" w:hAnsi="標楷體"/>
          <w:snapToGrid w:val="0"/>
          <w:sz w:val="32"/>
          <w:szCs w:val="32"/>
        </w:rPr>
      </w:pPr>
      <w:r w:rsidRPr="00573D4D">
        <w:rPr>
          <w:rFonts w:ascii="標楷體" w:eastAsia="標楷體" w:hAnsi="標楷體"/>
          <w:snapToGrid w:val="0"/>
          <w:sz w:val="32"/>
          <w:szCs w:val="32"/>
        </w:rPr>
        <w:t>第8項　國立臺灣史前文化博物館</w:t>
      </w:r>
      <w:r w:rsidRPr="00573D4D">
        <w:rPr>
          <w:rFonts w:ascii="標楷體" w:eastAsia="標楷體" w:hAnsi="標楷體" w:hint="eastAsia"/>
          <w:snapToGrid w:val="0"/>
          <w:sz w:val="32"/>
          <w:szCs w:val="32"/>
        </w:rPr>
        <w:t>2億6,089萬7千元</w:t>
      </w:r>
      <w:r w:rsidRPr="00573D4D">
        <w:rPr>
          <w:rFonts w:ascii="標楷體" w:eastAsia="標楷體" w:hAnsi="標楷體"/>
          <w:snapToGrid w:val="0"/>
          <w:sz w:val="32"/>
          <w:szCs w:val="32"/>
        </w:rPr>
        <w:t>，照列。</w:t>
      </w:r>
    </w:p>
    <w:p w:rsidR="00A52DD2" w:rsidRPr="00573D4D" w:rsidRDefault="00A52DD2" w:rsidP="00F035E0">
      <w:pPr>
        <w:kinsoku w:val="0"/>
        <w:overflowPunct w:val="0"/>
        <w:spacing w:before="60" w:after="60" w:line="500" w:lineRule="exact"/>
        <w:ind w:leftChars="100" w:left="1568" w:hangingChars="415" w:hanging="1328"/>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本項通過決議1項：</w:t>
      </w:r>
    </w:p>
    <w:p w:rsidR="00A52DD2" w:rsidRPr="00573D4D" w:rsidRDefault="00A52DD2" w:rsidP="00F035E0">
      <w:pPr>
        <w:kinsoku w:val="0"/>
        <w:overflowPunct w:val="0"/>
        <w:spacing w:before="120" w:line="500" w:lineRule="exact"/>
        <w:ind w:leftChars="150" w:left="36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 xml:space="preserve">    112年度</w:t>
      </w:r>
      <w:r w:rsidRPr="00573D4D">
        <w:rPr>
          <w:rFonts w:ascii="標楷體" w:eastAsia="標楷體" w:hAnsi="標楷體"/>
          <w:snapToGrid w:val="0"/>
          <w:sz w:val="32"/>
          <w:szCs w:val="32"/>
        </w:rPr>
        <w:t>國立臺灣史前文化博物館</w:t>
      </w:r>
      <w:r w:rsidRPr="00573D4D">
        <w:rPr>
          <w:rFonts w:ascii="標楷體" w:eastAsia="標楷體" w:hAnsi="標楷體" w:hint="eastAsia"/>
          <w:snapToGrid w:val="0"/>
          <w:sz w:val="32"/>
          <w:szCs w:val="32"/>
        </w:rPr>
        <w:t>「館務業務活動」項下「博物館智慧升級示範計畫」中「臨時人員酬金」預算編列500萬元，係依「文化部臨時人員管理要點」聘用9名專案助理執行3D掃描、科學檢測、實驗分析、數位資料建置與教育推廣等業務。為持續發展博物館科技應用，請國立臺灣史前文化博物館本於博物館之社會責任，將計畫完成之高精度3D模型、文物科學檢測及主題研究等執行成果對外公開，提升博物館專業性與公共化，並撙節經費，發揮預算最大效益，以提升博物館之數位與科技應用成效。355</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提案人：鄭正鈐  陳秀寳  張廖萬堅</w:t>
      </w:r>
    </w:p>
    <w:p w:rsidR="00A52DD2" w:rsidRPr="00573D4D" w:rsidRDefault="00A52DD2" w:rsidP="00F035E0">
      <w:pPr>
        <w:kinsoku w:val="0"/>
        <w:overflowPunct w:val="0"/>
        <w:spacing w:beforeLines="50" w:before="180" w:line="500" w:lineRule="exact"/>
        <w:ind w:leftChars="100" w:left="1568" w:hangingChars="415" w:hanging="1328"/>
        <w:jc w:val="both"/>
        <w:textAlignment w:val="center"/>
        <w:rPr>
          <w:rFonts w:ascii="標楷體" w:eastAsia="標楷體" w:hAnsi="標楷體"/>
          <w:snapToGrid w:val="0"/>
          <w:sz w:val="32"/>
          <w:szCs w:val="32"/>
        </w:rPr>
      </w:pPr>
      <w:r w:rsidRPr="00573D4D">
        <w:rPr>
          <w:rFonts w:ascii="標楷體" w:eastAsia="標楷體" w:hAnsi="標楷體"/>
          <w:snapToGrid w:val="0"/>
          <w:sz w:val="32"/>
          <w:szCs w:val="32"/>
        </w:rPr>
        <w:t>第</w:t>
      </w:r>
      <w:r w:rsidRPr="00573D4D">
        <w:rPr>
          <w:rFonts w:ascii="標楷體" w:eastAsia="標楷體" w:hAnsi="標楷體" w:hint="eastAsia"/>
          <w:snapToGrid w:val="0"/>
          <w:sz w:val="32"/>
          <w:szCs w:val="32"/>
        </w:rPr>
        <w:t>9</w:t>
      </w:r>
      <w:r w:rsidRPr="00573D4D">
        <w:rPr>
          <w:rFonts w:ascii="標楷體" w:eastAsia="標楷體" w:hAnsi="標楷體"/>
          <w:snapToGrid w:val="0"/>
          <w:sz w:val="32"/>
          <w:szCs w:val="32"/>
        </w:rPr>
        <w:t xml:space="preserve">項　</w:t>
      </w:r>
      <w:r w:rsidRPr="00573D4D">
        <w:rPr>
          <w:rFonts w:ascii="標楷體" w:eastAsia="標楷體" w:hAnsi="標楷體" w:hint="eastAsia"/>
          <w:snapToGrid w:val="0"/>
          <w:sz w:val="32"/>
          <w:szCs w:val="32"/>
        </w:rPr>
        <w:t>國家人權博物館5億2,402萬元</w:t>
      </w:r>
      <w:r w:rsidRPr="00573D4D">
        <w:rPr>
          <w:rFonts w:ascii="標楷體" w:eastAsia="標楷體" w:hAnsi="標楷體"/>
          <w:snapToGrid w:val="0"/>
          <w:sz w:val="32"/>
          <w:szCs w:val="32"/>
        </w:rPr>
        <w:t>，照列。</w:t>
      </w:r>
    </w:p>
    <w:p w:rsidR="00A52DD2" w:rsidRPr="00573D4D" w:rsidRDefault="00A52DD2" w:rsidP="00F035E0">
      <w:pPr>
        <w:kinsoku w:val="0"/>
        <w:overflowPunct w:val="0"/>
        <w:spacing w:before="60" w:after="60" w:line="500" w:lineRule="exact"/>
        <w:ind w:leftChars="100" w:left="1568" w:hangingChars="415" w:hanging="1328"/>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本項通過決議4項：</w:t>
      </w:r>
    </w:p>
    <w:p w:rsidR="00A52DD2" w:rsidRPr="00573D4D" w:rsidRDefault="00A52DD2" w:rsidP="00F035E0">
      <w:pPr>
        <w:kinsoku w:val="0"/>
        <w:overflowPunct w:val="0"/>
        <w:spacing w:before="120" w:line="500" w:lineRule="exact"/>
        <w:ind w:leftChars="150" w:left="1064" w:hangingChars="220" w:hanging="704"/>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(一) 112年度文化部所屬國家人權博物館第2目「博物館業務之</w:t>
      </w:r>
      <w:r w:rsidRPr="00573D4D">
        <w:rPr>
          <w:rFonts w:ascii="標楷體" w:eastAsia="標楷體" w:hAnsi="標楷體" w:hint="eastAsia"/>
          <w:snapToGrid w:val="0"/>
          <w:sz w:val="32"/>
          <w:szCs w:val="32"/>
        </w:rPr>
        <w:lastRenderedPageBreak/>
        <w:t>推展」預算編列</w:t>
      </w:r>
      <w:r w:rsidRPr="00573D4D">
        <w:rPr>
          <w:rFonts w:ascii="標楷體" w:eastAsia="標楷體" w:hAnsi="標楷體" w:hint="eastAsia"/>
          <w:sz w:val="32"/>
        </w:rPr>
        <w:t>4億2,846萬3千元，</w:t>
      </w:r>
      <w:r w:rsidRPr="00573D4D">
        <w:rPr>
          <w:rFonts w:ascii="標楷體" w:eastAsia="標楷體" w:hAnsi="標楷體" w:hint="eastAsia"/>
          <w:snapToGrid w:val="0"/>
          <w:sz w:val="32"/>
          <w:szCs w:val="32"/>
        </w:rPr>
        <w:t>凍結100萬元，俟文化部向立法院教育及文化委員會提出書面報告後，始得動支。3</w:t>
      </w:r>
      <w:r w:rsidRPr="00573D4D">
        <w:rPr>
          <w:rFonts w:ascii="標楷體" w:eastAsia="標楷體" w:hAnsi="標楷體"/>
          <w:snapToGrid w:val="0"/>
          <w:sz w:val="32"/>
          <w:szCs w:val="32"/>
        </w:rPr>
        <w:t>56-360</w:t>
      </w:r>
    </w:p>
    <w:p w:rsidR="00A52DD2" w:rsidRPr="00573D4D" w:rsidRDefault="00A52DD2" w:rsidP="00F035E0">
      <w:pPr>
        <w:snapToGrid w:val="0"/>
        <w:spacing w:line="46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提案人：王婉諭  范  雲  鄭正鈐 張廖萬堅</w:t>
      </w:r>
    </w:p>
    <w:p w:rsidR="00A52DD2" w:rsidRPr="00573D4D" w:rsidRDefault="00A52DD2" w:rsidP="00F035E0">
      <w:pPr>
        <w:snapToGrid w:val="0"/>
        <w:spacing w:line="46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連署人：林宜瑾  黃國書  賴品妤  吳思瑤</w:t>
      </w:r>
    </w:p>
    <w:p w:rsidR="00A52DD2" w:rsidRPr="00573D4D" w:rsidRDefault="00A52DD2" w:rsidP="00F035E0">
      <w:pPr>
        <w:snapToGrid w:val="0"/>
        <w:spacing w:line="460" w:lineRule="exact"/>
        <w:ind w:leftChars="1250" w:left="4280" w:hangingChars="400" w:hanging="1280"/>
        <w:jc w:val="both"/>
        <w:rPr>
          <w:rFonts w:ascii="標楷體" w:eastAsia="標楷體" w:hAnsi="標楷體"/>
          <w:sz w:val="32"/>
          <w:szCs w:val="32"/>
        </w:rPr>
      </w:pPr>
      <w:r w:rsidRPr="00573D4D">
        <w:rPr>
          <w:rFonts w:ascii="標楷體" w:eastAsia="標楷體" w:hAnsi="標楷體"/>
          <w:sz w:val="32"/>
          <w:szCs w:val="32"/>
        </w:rPr>
        <w:t xml:space="preserve">        何欣純</w:t>
      </w:r>
      <w:r w:rsidRPr="00573D4D">
        <w:rPr>
          <w:rFonts w:ascii="標楷體" w:eastAsia="標楷體" w:hAnsi="標楷體" w:hint="eastAsia"/>
          <w:sz w:val="32"/>
          <w:szCs w:val="32"/>
        </w:rPr>
        <w:t xml:space="preserve">  吳怡玎  萬美玲</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二)鑑於促進轉型正義委員會於111年5月完成階段性任務而依法解散，為使轉型正義不中斷，後續將由文化部等8個部會參照「促進轉型正義委員會任務總結報告」，協力落實各類轉型正義任務、深化民主及保障人權。 據此，文化部負責辦理保存不義遺址事項，促進轉型正義委員會4年來共盤點107處「不義遺址」，並已審定42處，尚有65處「潛在不義遺址」，待文化部繼續處理審定事宜。位於新北市不義遺址「安康接待室」已於111年11月移撥予國家人權博物館管理，該建築物漏水、器物毀損嚴重，亟待妥善保存與修復，爰請國家人權博物館儘速進行活化再利用等相關工作。357</w:t>
      </w:r>
    </w:p>
    <w:p w:rsidR="00A52DD2" w:rsidRPr="00573D4D" w:rsidRDefault="00A52DD2" w:rsidP="00F035E0">
      <w:pPr>
        <w:snapToGrid w:val="0"/>
        <w:spacing w:line="46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 xml:space="preserve">提案人：張廖萬堅  吳思瑤  </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連署人：陳秀寳</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三)國家人權博物館作為我國推進轉型正義之重要國家級館所，保存並展出許多珍貴的政治受難者文物。確保文物不因時間、環境或其他外力因素而受損，為博物館之應盡義務。然國家人權博物館於111年11月進行相關設備維修，未將正在展出之展品暫時移位，導致發生施工工人不慎壓壞展品之意外事故。除在施工SOP方面有不完備之疑，國家人權博物館對於展品保護措施過於薄弱，使展品處於危險之中。爰請國家人權博物館，檢討現有展示文物保護措施，並訂定施工時文物保護SOP，以確保展出之文物安全無虞。358</w:t>
      </w:r>
    </w:p>
    <w:p w:rsidR="00A52DD2" w:rsidRPr="00573D4D" w:rsidRDefault="00A52DD2" w:rsidP="00F035E0">
      <w:pPr>
        <w:snapToGrid w:val="0"/>
        <w:spacing w:line="46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提案人：范  雲</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lastRenderedPageBreak/>
        <w:t>連署人：黃國書  何欣純</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(四)112年度國家人權博物館「博物館業務之推展」之「國家人權博物館中程計畫」預算編列3億1</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845萬元，較111年度預算數2億3</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415萬4千元，增加36%。經查該計畫期程乃自105至114年，總經費22億0</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190萬元，依據審計部調查該計畫歷年執行率偏低，常有賸餘數繳庫之情形，自計畫施行以來至110年度止累計編列預算數10億0</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135萬餘元，累計執行數6億5,723萬餘元，其中累計賸餘數達2億6,866萬餘元。又查國家人權博物館就綠島及景美園區既有建築及整擴建計畫等工程，均因文化資產審議致使工期延宕，爰請國家人權博物館儘速完成文化資產審議，後續並積極辦理相關工程招標作業，俾使各項工程如期如質完工。359</w:t>
      </w:r>
    </w:p>
    <w:p w:rsidR="00A52DD2" w:rsidRPr="00573D4D" w:rsidRDefault="00A52DD2" w:rsidP="00F035E0">
      <w:pPr>
        <w:snapToGrid w:val="0"/>
        <w:spacing w:line="46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提案人：張廖萬堅</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連署人：吳思瑤  陳秀寳</w:t>
      </w:r>
    </w:p>
    <w:p w:rsidR="00A52DD2" w:rsidRPr="00573D4D" w:rsidRDefault="00A52DD2" w:rsidP="00F035E0">
      <w:pPr>
        <w:kinsoku w:val="0"/>
        <w:overflowPunct w:val="0"/>
        <w:spacing w:beforeLines="50" w:before="180" w:line="500" w:lineRule="exact"/>
        <w:ind w:leftChars="100" w:left="1568" w:hangingChars="415" w:hanging="1328"/>
        <w:jc w:val="both"/>
        <w:textAlignment w:val="center"/>
        <w:rPr>
          <w:rFonts w:ascii="標楷體" w:eastAsia="標楷體" w:hAnsi="標楷體"/>
          <w:snapToGrid w:val="0"/>
          <w:sz w:val="32"/>
          <w:szCs w:val="32"/>
        </w:rPr>
      </w:pPr>
      <w:r w:rsidRPr="00573D4D">
        <w:rPr>
          <w:rFonts w:ascii="標楷體" w:eastAsia="標楷體" w:hAnsi="標楷體"/>
          <w:snapToGrid w:val="0"/>
          <w:sz w:val="32"/>
          <w:szCs w:val="32"/>
        </w:rPr>
        <w:t>第</w:t>
      </w:r>
      <w:r w:rsidRPr="00573D4D">
        <w:rPr>
          <w:rFonts w:ascii="標楷體" w:eastAsia="標楷體" w:hAnsi="標楷體" w:hint="eastAsia"/>
          <w:snapToGrid w:val="0"/>
          <w:sz w:val="32"/>
          <w:szCs w:val="32"/>
        </w:rPr>
        <w:t>10</w:t>
      </w:r>
      <w:r w:rsidRPr="00573D4D">
        <w:rPr>
          <w:rFonts w:ascii="標楷體" w:eastAsia="標楷體" w:hAnsi="標楷體"/>
          <w:snapToGrid w:val="0"/>
          <w:sz w:val="32"/>
          <w:szCs w:val="32"/>
        </w:rPr>
        <w:t xml:space="preserve">項　</w:t>
      </w:r>
      <w:r w:rsidRPr="00573D4D">
        <w:rPr>
          <w:rFonts w:ascii="標楷體" w:eastAsia="標楷體" w:hAnsi="標楷體" w:hint="eastAsia"/>
          <w:bCs/>
          <w:snapToGrid w:val="0"/>
          <w:sz w:val="32"/>
          <w:szCs w:val="32"/>
        </w:rPr>
        <w:t>國立臺灣歷史博物館</w:t>
      </w:r>
      <w:r w:rsidRPr="00573D4D">
        <w:rPr>
          <w:rFonts w:ascii="標楷體" w:eastAsia="標楷體" w:hAnsi="標楷體" w:hint="eastAsia"/>
          <w:snapToGrid w:val="0"/>
          <w:sz w:val="32"/>
          <w:szCs w:val="32"/>
        </w:rPr>
        <w:t>2億7,878萬6千元</w:t>
      </w:r>
      <w:r w:rsidRPr="00573D4D">
        <w:rPr>
          <w:rFonts w:ascii="標楷體" w:eastAsia="標楷體" w:hAnsi="標楷體"/>
          <w:snapToGrid w:val="0"/>
          <w:sz w:val="32"/>
          <w:szCs w:val="32"/>
        </w:rPr>
        <w:t>，照列。</w:t>
      </w:r>
    </w:p>
    <w:p w:rsidR="00A52DD2" w:rsidRPr="00573D4D" w:rsidRDefault="00A52DD2" w:rsidP="00F035E0">
      <w:pPr>
        <w:kinsoku w:val="0"/>
        <w:overflowPunct w:val="0"/>
        <w:spacing w:before="60" w:after="60" w:line="500" w:lineRule="exact"/>
        <w:ind w:leftChars="100" w:left="1568" w:hangingChars="415" w:hanging="1328"/>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本項通過決議2項：</w:t>
      </w:r>
    </w:p>
    <w:p w:rsidR="00A52DD2" w:rsidRDefault="00A52DD2" w:rsidP="00F035E0">
      <w:pPr>
        <w:overflowPunct w:val="0"/>
        <w:spacing w:line="500" w:lineRule="exact"/>
        <w:ind w:leftChars="150" w:left="1000" w:hangingChars="200" w:hanging="640"/>
        <w:jc w:val="both"/>
        <w:rPr>
          <w:rFonts w:ascii="標楷體" w:eastAsia="標楷體" w:hAnsi="標楷體"/>
          <w:sz w:val="32"/>
          <w:szCs w:val="32"/>
        </w:rPr>
      </w:pPr>
      <w:r w:rsidRPr="00573D4D">
        <w:rPr>
          <w:rFonts w:ascii="標楷體" w:eastAsia="標楷體" w:hAnsi="標楷體" w:hint="eastAsia"/>
          <w:sz w:val="32"/>
          <w:szCs w:val="32"/>
        </w:rPr>
        <w:t>(一)111年度國立臺灣歷史博物館建置主題資料庫並進行數位資源推廣行銷活動，包括規劃辦理「學習資源平臺功能改善計畫」及「線上臺史博」數位資源整合入口案，維運線上學習與研究資源平臺</w:t>
      </w:r>
      <w:r>
        <w:rPr>
          <w:rFonts w:ascii="標楷體" w:eastAsia="標楷體" w:hAnsi="標楷體" w:hint="eastAsia"/>
          <w:sz w:val="32"/>
          <w:szCs w:val="32"/>
        </w:rPr>
        <w:t>。</w:t>
      </w:r>
      <w:r w:rsidRPr="00573D4D">
        <w:rPr>
          <w:rFonts w:ascii="標楷體" w:eastAsia="標楷體" w:hAnsi="標楷體" w:hint="eastAsia"/>
          <w:sz w:val="32"/>
          <w:szCs w:val="32"/>
        </w:rPr>
        <w:t>110年「臺史博線上博物館」、「臺史博影音資料庫」、「近代臺灣報刊資料庫」之瀏覽人次，國立臺灣歷史博物館部分線上平臺使用人次尚有成長空間，宜加強推廣，以提升數位資源使用效益</w:t>
      </w:r>
      <w:r>
        <w:rPr>
          <w:rFonts w:ascii="標楷體" w:eastAsia="標楷體" w:hAnsi="標楷體" w:hint="eastAsia"/>
          <w:sz w:val="32"/>
          <w:szCs w:val="32"/>
        </w:rPr>
        <w:t>。</w:t>
      </w:r>
      <w:r w:rsidRPr="00573D4D">
        <w:rPr>
          <w:rFonts w:ascii="標楷體" w:eastAsia="標楷體" w:hAnsi="標楷體" w:hint="eastAsia"/>
          <w:sz w:val="32"/>
          <w:szCs w:val="32"/>
        </w:rPr>
        <w:t>爰要求國立臺灣歷史博物館於2週內向立法院教育及文化委員會提出書面說明改善方案報告。362</w:t>
      </w:r>
    </w:p>
    <w:tbl>
      <w:tblPr>
        <w:tblpPr w:leftFromText="180" w:rightFromText="180" w:vertAnchor="text" w:horzAnchor="margin" w:tblpXSpec="right" w:tblpY="396"/>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3398"/>
        <w:gridCol w:w="1407"/>
        <w:gridCol w:w="1417"/>
        <w:gridCol w:w="1701"/>
      </w:tblGrid>
      <w:tr w:rsidR="00A52DD2" w:rsidRPr="00573D4D" w:rsidTr="00F035E0">
        <w:trPr>
          <w:tblHeader/>
        </w:trPr>
        <w:tc>
          <w:tcPr>
            <w:tcW w:w="3398"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b/>
                <w:szCs w:val="28"/>
              </w:rPr>
            </w:pPr>
            <w:r w:rsidRPr="00573D4D">
              <w:rPr>
                <w:rFonts w:ascii="標楷體" w:eastAsia="標楷體" w:hAnsi="標楷體" w:hint="eastAsia"/>
                <w:b/>
                <w:szCs w:val="28"/>
              </w:rPr>
              <w:t>網站名稱</w:t>
            </w:r>
          </w:p>
        </w:tc>
        <w:tc>
          <w:tcPr>
            <w:tcW w:w="1407"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b/>
                <w:szCs w:val="28"/>
              </w:rPr>
            </w:pPr>
            <w:r w:rsidRPr="00573D4D">
              <w:rPr>
                <w:rFonts w:ascii="標楷體" w:eastAsia="標楷體" w:hAnsi="標楷體" w:hint="eastAsia"/>
                <w:b/>
                <w:szCs w:val="28"/>
              </w:rPr>
              <w:t>109年</w:t>
            </w:r>
          </w:p>
        </w:tc>
        <w:tc>
          <w:tcPr>
            <w:tcW w:w="1417"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b/>
                <w:szCs w:val="28"/>
              </w:rPr>
            </w:pPr>
            <w:r w:rsidRPr="00573D4D">
              <w:rPr>
                <w:rFonts w:ascii="標楷體" w:eastAsia="標楷體" w:hAnsi="標楷體" w:hint="eastAsia"/>
                <w:b/>
                <w:szCs w:val="28"/>
              </w:rPr>
              <w:t>110年</w:t>
            </w:r>
          </w:p>
        </w:tc>
        <w:tc>
          <w:tcPr>
            <w:tcW w:w="1701"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b/>
                <w:szCs w:val="28"/>
              </w:rPr>
            </w:pPr>
            <w:r w:rsidRPr="00573D4D">
              <w:rPr>
                <w:rFonts w:ascii="標楷體" w:eastAsia="標楷體" w:hAnsi="標楷體" w:hint="eastAsia"/>
                <w:b/>
                <w:szCs w:val="28"/>
              </w:rPr>
              <w:t>111年</w:t>
            </w:r>
          </w:p>
          <w:p w:rsidR="00A52DD2" w:rsidRPr="00573D4D" w:rsidRDefault="00A52DD2" w:rsidP="00F035E0">
            <w:pPr>
              <w:spacing w:line="280" w:lineRule="exact"/>
              <w:ind w:left="561" w:hanging="561"/>
              <w:jc w:val="center"/>
              <w:rPr>
                <w:rFonts w:ascii="標楷體" w:eastAsia="標楷體" w:hAnsi="標楷體"/>
                <w:b/>
                <w:szCs w:val="28"/>
              </w:rPr>
            </w:pPr>
            <w:r w:rsidRPr="00573D4D">
              <w:rPr>
                <w:rFonts w:ascii="標楷體" w:eastAsia="標楷體" w:hAnsi="標楷體" w:hint="eastAsia"/>
                <w:b/>
                <w:szCs w:val="28"/>
              </w:rPr>
              <w:t>1至8月</w:t>
            </w:r>
          </w:p>
        </w:tc>
      </w:tr>
      <w:tr w:rsidR="00A52DD2" w:rsidRPr="00573D4D" w:rsidTr="00F035E0">
        <w:tc>
          <w:tcPr>
            <w:tcW w:w="3398" w:type="dxa"/>
            <w:shd w:val="clear" w:color="auto" w:fill="auto"/>
            <w:vAlign w:val="center"/>
          </w:tcPr>
          <w:p w:rsidR="00A52DD2" w:rsidRPr="00573D4D" w:rsidRDefault="00A52DD2" w:rsidP="00F035E0">
            <w:pPr>
              <w:spacing w:line="280" w:lineRule="exact"/>
              <w:ind w:left="561" w:hanging="561"/>
              <w:jc w:val="both"/>
              <w:rPr>
                <w:rFonts w:ascii="標楷體" w:eastAsia="標楷體" w:hAnsi="標楷體"/>
                <w:szCs w:val="28"/>
              </w:rPr>
            </w:pPr>
            <w:r w:rsidRPr="00573D4D">
              <w:rPr>
                <w:rFonts w:ascii="標楷體" w:eastAsia="標楷體" w:hAnsi="標楷體" w:hint="eastAsia"/>
                <w:snapToGrid w:val="0"/>
                <w:szCs w:val="28"/>
              </w:rPr>
              <w:t>臺史博線上博物館</w:t>
            </w:r>
          </w:p>
        </w:tc>
        <w:tc>
          <w:tcPr>
            <w:tcW w:w="1407"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szCs w:val="28"/>
              </w:rPr>
            </w:pPr>
            <w:r w:rsidRPr="00573D4D">
              <w:rPr>
                <w:rFonts w:ascii="標楷體" w:eastAsia="標楷體" w:hAnsi="標楷體" w:hint="eastAsia"/>
                <w:snapToGrid w:val="0"/>
                <w:szCs w:val="28"/>
              </w:rPr>
              <w:t>8</w:t>
            </w:r>
            <w:r w:rsidRPr="00573D4D">
              <w:rPr>
                <w:rFonts w:ascii="標楷體" w:eastAsia="標楷體" w:hAnsi="標楷體"/>
                <w:snapToGrid w:val="0"/>
                <w:szCs w:val="28"/>
              </w:rPr>
              <w:t>5,839</w:t>
            </w:r>
          </w:p>
        </w:tc>
        <w:tc>
          <w:tcPr>
            <w:tcW w:w="1417"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szCs w:val="28"/>
              </w:rPr>
            </w:pPr>
            <w:r w:rsidRPr="00573D4D">
              <w:rPr>
                <w:rFonts w:ascii="標楷體" w:eastAsia="標楷體" w:hAnsi="標楷體" w:hint="eastAsia"/>
                <w:snapToGrid w:val="0"/>
                <w:szCs w:val="28"/>
              </w:rPr>
              <w:t>6</w:t>
            </w:r>
            <w:r w:rsidRPr="00573D4D">
              <w:rPr>
                <w:rFonts w:ascii="標楷體" w:eastAsia="標楷體" w:hAnsi="標楷體"/>
                <w:snapToGrid w:val="0"/>
                <w:szCs w:val="28"/>
              </w:rPr>
              <w:t>7,786</w:t>
            </w:r>
          </w:p>
        </w:tc>
        <w:tc>
          <w:tcPr>
            <w:tcW w:w="1701"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szCs w:val="28"/>
              </w:rPr>
            </w:pPr>
            <w:r w:rsidRPr="00573D4D">
              <w:rPr>
                <w:rFonts w:ascii="標楷體" w:eastAsia="標楷體" w:hAnsi="標楷體" w:hint="eastAsia"/>
                <w:snapToGrid w:val="0"/>
                <w:szCs w:val="28"/>
              </w:rPr>
              <w:t>40</w:t>
            </w:r>
            <w:r w:rsidRPr="00573D4D">
              <w:rPr>
                <w:rFonts w:ascii="標楷體" w:eastAsia="標楷體" w:hAnsi="標楷體"/>
                <w:snapToGrid w:val="0"/>
                <w:szCs w:val="28"/>
              </w:rPr>
              <w:t>,</w:t>
            </w:r>
            <w:r w:rsidRPr="00573D4D">
              <w:rPr>
                <w:rFonts w:ascii="標楷體" w:eastAsia="標楷體" w:hAnsi="標楷體" w:hint="eastAsia"/>
                <w:snapToGrid w:val="0"/>
                <w:szCs w:val="28"/>
              </w:rPr>
              <w:t>887</w:t>
            </w:r>
          </w:p>
        </w:tc>
      </w:tr>
      <w:tr w:rsidR="00A52DD2" w:rsidRPr="00573D4D" w:rsidTr="00F035E0">
        <w:tc>
          <w:tcPr>
            <w:tcW w:w="3398" w:type="dxa"/>
            <w:shd w:val="clear" w:color="auto" w:fill="auto"/>
            <w:vAlign w:val="center"/>
          </w:tcPr>
          <w:p w:rsidR="00A52DD2" w:rsidRPr="00573D4D" w:rsidRDefault="00A52DD2" w:rsidP="00F035E0">
            <w:pPr>
              <w:spacing w:line="280" w:lineRule="exact"/>
              <w:ind w:left="561" w:hanging="561"/>
              <w:jc w:val="both"/>
              <w:rPr>
                <w:rFonts w:ascii="標楷體" w:eastAsia="標楷體" w:hAnsi="標楷體"/>
                <w:szCs w:val="28"/>
              </w:rPr>
            </w:pPr>
            <w:r w:rsidRPr="00573D4D">
              <w:rPr>
                <w:rFonts w:ascii="標楷體" w:eastAsia="標楷體" w:hAnsi="標楷體" w:hint="eastAsia"/>
                <w:snapToGrid w:val="0"/>
                <w:szCs w:val="28"/>
              </w:rPr>
              <w:lastRenderedPageBreak/>
              <w:t>臺灣女人網站</w:t>
            </w:r>
          </w:p>
        </w:tc>
        <w:tc>
          <w:tcPr>
            <w:tcW w:w="1407"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szCs w:val="28"/>
              </w:rPr>
            </w:pPr>
            <w:r w:rsidRPr="00573D4D">
              <w:rPr>
                <w:rFonts w:ascii="標楷體" w:eastAsia="標楷體" w:hAnsi="標楷體" w:hint="eastAsia"/>
                <w:snapToGrid w:val="0"/>
                <w:szCs w:val="28"/>
              </w:rPr>
              <w:t>1</w:t>
            </w:r>
            <w:r w:rsidRPr="00573D4D">
              <w:rPr>
                <w:rFonts w:ascii="標楷體" w:eastAsia="標楷體" w:hAnsi="標楷體"/>
                <w:snapToGrid w:val="0"/>
                <w:szCs w:val="28"/>
              </w:rPr>
              <w:t>43,421</w:t>
            </w:r>
          </w:p>
        </w:tc>
        <w:tc>
          <w:tcPr>
            <w:tcW w:w="1417"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szCs w:val="28"/>
              </w:rPr>
            </w:pPr>
            <w:r w:rsidRPr="00573D4D">
              <w:rPr>
                <w:rFonts w:ascii="標楷體" w:eastAsia="標楷體" w:hAnsi="標楷體" w:hint="eastAsia"/>
                <w:snapToGrid w:val="0"/>
                <w:szCs w:val="28"/>
              </w:rPr>
              <w:t>1</w:t>
            </w:r>
            <w:r w:rsidRPr="00573D4D">
              <w:rPr>
                <w:rFonts w:ascii="標楷體" w:eastAsia="標楷體" w:hAnsi="標楷體"/>
                <w:snapToGrid w:val="0"/>
                <w:szCs w:val="28"/>
              </w:rPr>
              <w:t>96,545</w:t>
            </w:r>
          </w:p>
        </w:tc>
        <w:tc>
          <w:tcPr>
            <w:tcW w:w="1701"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szCs w:val="28"/>
              </w:rPr>
            </w:pPr>
            <w:r w:rsidRPr="00573D4D">
              <w:rPr>
                <w:rFonts w:ascii="標楷體" w:eastAsia="標楷體" w:hAnsi="標楷體" w:hint="eastAsia"/>
                <w:snapToGrid w:val="0"/>
                <w:szCs w:val="28"/>
              </w:rPr>
              <w:t>155</w:t>
            </w:r>
            <w:r w:rsidRPr="00573D4D">
              <w:rPr>
                <w:rFonts w:ascii="標楷體" w:eastAsia="標楷體" w:hAnsi="標楷體"/>
                <w:snapToGrid w:val="0"/>
                <w:szCs w:val="28"/>
              </w:rPr>
              <w:t>,</w:t>
            </w:r>
            <w:r w:rsidRPr="00573D4D">
              <w:rPr>
                <w:rFonts w:ascii="標楷體" w:eastAsia="標楷體" w:hAnsi="標楷體" w:hint="eastAsia"/>
                <w:snapToGrid w:val="0"/>
                <w:szCs w:val="28"/>
              </w:rPr>
              <w:t>166</w:t>
            </w:r>
          </w:p>
        </w:tc>
      </w:tr>
      <w:tr w:rsidR="00A52DD2" w:rsidRPr="00573D4D" w:rsidTr="00F035E0">
        <w:tc>
          <w:tcPr>
            <w:tcW w:w="3398" w:type="dxa"/>
            <w:shd w:val="clear" w:color="auto" w:fill="auto"/>
            <w:vAlign w:val="center"/>
          </w:tcPr>
          <w:p w:rsidR="00A52DD2" w:rsidRPr="00573D4D" w:rsidRDefault="00A52DD2" w:rsidP="00F035E0">
            <w:pPr>
              <w:spacing w:line="280" w:lineRule="exact"/>
              <w:ind w:left="561" w:hanging="561"/>
              <w:jc w:val="both"/>
              <w:rPr>
                <w:rFonts w:ascii="標楷體" w:eastAsia="標楷體" w:hAnsi="標楷體"/>
                <w:szCs w:val="28"/>
              </w:rPr>
            </w:pPr>
            <w:r w:rsidRPr="00573D4D">
              <w:rPr>
                <w:rFonts w:ascii="標楷體" w:eastAsia="標楷體" w:hAnsi="標楷體" w:hint="eastAsia"/>
                <w:snapToGrid w:val="0"/>
                <w:szCs w:val="28"/>
              </w:rPr>
              <w:t>臺灣音聲100年資料庫</w:t>
            </w:r>
          </w:p>
        </w:tc>
        <w:tc>
          <w:tcPr>
            <w:tcW w:w="1407"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szCs w:val="28"/>
              </w:rPr>
            </w:pPr>
            <w:r w:rsidRPr="00573D4D">
              <w:rPr>
                <w:rFonts w:ascii="標楷體" w:eastAsia="標楷體" w:hAnsi="標楷體" w:hint="eastAsia"/>
                <w:snapToGrid w:val="0"/>
                <w:szCs w:val="28"/>
              </w:rPr>
              <w:t>3</w:t>
            </w:r>
            <w:r w:rsidRPr="00573D4D">
              <w:rPr>
                <w:rFonts w:ascii="標楷體" w:eastAsia="標楷體" w:hAnsi="標楷體"/>
                <w:snapToGrid w:val="0"/>
                <w:szCs w:val="28"/>
              </w:rPr>
              <w:t>1,141</w:t>
            </w:r>
          </w:p>
        </w:tc>
        <w:tc>
          <w:tcPr>
            <w:tcW w:w="1417"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szCs w:val="28"/>
              </w:rPr>
            </w:pPr>
            <w:r w:rsidRPr="00573D4D">
              <w:rPr>
                <w:rFonts w:ascii="標楷體" w:eastAsia="標楷體" w:hAnsi="標楷體" w:hint="eastAsia"/>
                <w:snapToGrid w:val="0"/>
                <w:szCs w:val="28"/>
              </w:rPr>
              <w:t>4</w:t>
            </w:r>
            <w:r w:rsidRPr="00573D4D">
              <w:rPr>
                <w:rFonts w:ascii="標楷體" w:eastAsia="標楷體" w:hAnsi="標楷體"/>
                <w:snapToGrid w:val="0"/>
                <w:szCs w:val="28"/>
              </w:rPr>
              <w:t>8,061</w:t>
            </w:r>
          </w:p>
        </w:tc>
        <w:tc>
          <w:tcPr>
            <w:tcW w:w="1701"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szCs w:val="28"/>
              </w:rPr>
            </w:pPr>
            <w:r w:rsidRPr="00573D4D">
              <w:rPr>
                <w:rFonts w:ascii="標楷體" w:eastAsia="標楷體" w:hAnsi="標楷體" w:hint="eastAsia"/>
                <w:snapToGrid w:val="0"/>
                <w:szCs w:val="28"/>
              </w:rPr>
              <w:t>26</w:t>
            </w:r>
            <w:r w:rsidRPr="00573D4D">
              <w:rPr>
                <w:rFonts w:ascii="標楷體" w:eastAsia="標楷體" w:hAnsi="標楷體"/>
                <w:snapToGrid w:val="0"/>
                <w:szCs w:val="28"/>
              </w:rPr>
              <w:t>,</w:t>
            </w:r>
            <w:r w:rsidRPr="00573D4D">
              <w:rPr>
                <w:rFonts w:ascii="標楷體" w:eastAsia="標楷體" w:hAnsi="標楷體" w:hint="eastAsia"/>
                <w:snapToGrid w:val="0"/>
                <w:szCs w:val="28"/>
              </w:rPr>
              <w:t>293</w:t>
            </w:r>
          </w:p>
        </w:tc>
      </w:tr>
      <w:tr w:rsidR="00A52DD2" w:rsidRPr="00573D4D" w:rsidTr="00F035E0">
        <w:tc>
          <w:tcPr>
            <w:tcW w:w="3398" w:type="dxa"/>
            <w:shd w:val="clear" w:color="auto" w:fill="auto"/>
            <w:vAlign w:val="center"/>
          </w:tcPr>
          <w:p w:rsidR="00A52DD2" w:rsidRPr="00573D4D" w:rsidRDefault="00A52DD2" w:rsidP="00F035E0">
            <w:pPr>
              <w:spacing w:line="280" w:lineRule="exact"/>
              <w:ind w:left="561" w:hanging="561"/>
              <w:jc w:val="both"/>
              <w:rPr>
                <w:rFonts w:ascii="標楷體" w:eastAsia="標楷體" w:hAnsi="標楷體"/>
                <w:szCs w:val="28"/>
              </w:rPr>
            </w:pPr>
            <w:r w:rsidRPr="00573D4D">
              <w:rPr>
                <w:rFonts w:ascii="標楷體" w:eastAsia="標楷體" w:hAnsi="標楷體" w:hint="eastAsia"/>
                <w:snapToGrid w:val="0"/>
                <w:szCs w:val="28"/>
              </w:rPr>
              <w:t>臺灣史料集成資料庫</w:t>
            </w:r>
          </w:p>
        </w:tc>
        <w:tc>
          <w:tcPr>
            <w:tcW w:w="1407"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szCs w:val="28"/>
              </w:rPr>
            </w:pPr>
            <w:r w:rsidRPr="00573D4D">
              <w:rPr>
                <w:rFonts w:ascii="標楷體" w:eastAsia="標楷體" w:hAnsi="標楷體" w:hint="eastAsia"/>
                <w:snapToGrid w:val="0"/>
                <w:szCs w:val="28"/>
              </w:rPr>
              <w:t>1</w:t>
            </w:r>
            <w:r w:rsidRPr="00573D4D">
              <w:rPr>
                <w:rFonts w:ascii="標楷體" w:eastAsia="標楷體" w:hAnsi="標楷體"/>
                <w:snapToGrid w:val="0"/>
                <w:szCs w:val="28"/>
              </w:rPr>
              <w:t>,395</w:t>
            </w:r>
          </w:p>
        </w:tc>
        <w:tc>
          <w:tcPr>
            <w:tcW w:w="1417"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szCs w:val="28"/>
              </w:rPr>
            </w:pPr>
            <w:r w:rsidRPr="00573D4D">
              <w:rPr>
                <w:rFonts w:ascii="標楷體" w:eastAsia="標楷體" w:hAnsi="標楷體" w:hint="eastAsia"/>
                <w:snapToGrid w:val="0"/>
                <w:szCs w:val="28"/>
              </w:rPr>
              <w:t>1</w:t>
            </w:r>
            <w:r w:rsidRPr="00573D4D">
              <w:rPr>
                <w:rFonts w:ascii="標楷體" w:eastAsia="標楷體" w:hAnsi="標楷體"/>
                <w:snapToGrid w:val="0"/>
                <w:szCs w:val="28"/>
              </w:rPr>
              <w:t>,614</w:t>
            </w:r>
          </w:p>
        </w:tc>
        <w:tc>
          <w:tcPr>
            <w:tcW w:w="1701"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szCs w:val="28"/>
              </w:rPr>
            </w:pPr>
            <w:r w:rsidRPr="00573D4D">
              <w:rPr>
                <w:rFonts w:ascii="標楷體" w:eastAsia="標楷體" w:hAnsi="標楷體" w:hint="eastAsia"/>
                <w:snapToGrid w:val="0"/>
                <w:szCs w:val="28"/>
              </w:rPr>
              <w:t>-</w:t>
            </w:r>
          </w:p>
        </w:tc>
      </w:tr>
      <w:tr w:rsidR="00A52DD2" w:rsidRPr="00573D4D" w:rsidTr="00F035E0">
        <w:tc>
          <w:tcPr>
            <w:tcW w:w="3398" w:type="dxa"/>
            <w:shd w:val="clear" w:color="auto" w:fill="auto"/>
            <w:vAlign w:val="center"/>
          </w:tcPr>
          <w:p w:rsidR="00A52DD2" w:rsidRPr="00573D4D" w:rsidRDefault="00A52DD2" w:rsidP="00F035E0">
            <w:pPr>
              <w:spacing w:line="280" w:lineRule="exact"/>
              <w:ind w:left="561" w:hanging="561"/>
              <w:jc w:val="both"/>
              <w:rPr>
                <w:rFonts w:ascii="標楷體" w:eastAsia="標楷體" w:hAnsi="標楷體"/>
                <w:szCs w:val="28"/>
              </w:rPr>
            </w:pPr>
            <w:r w:rsidRPr="00573D4D">
              <w:rPr>
                <w:rFonts w:ascii="標楷體" w:eastAsia="標楷體" w:hAnsi="標楷體" w:hint="eastAsia"/>
                <w:snapToGrid w:val="0"/>
                <w:szCs w:val="28"/>
              </w:rPr>
              <w:t>臺史博影音資料庫</w:t>
            </w:r>
          </w:p>
        </w:tc>
        <w:tc>
          <w:tcPr>
            <w:tcW w:w="1407"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szCs w:val="28"/>
              </w:rPr>
            </w:pPr>
            <w:r w:rsidRPr="00573D4D">
              <w:rPr>
                <w:rFonts w:ascii="標楷體" w:eastAsia="標楷體" w:hAnsi="標楷體" w:hint="eastAsia"/>
                <w:snapToGrid w:val="0"/>
                <w:szCs w:val="28"/>
              </w:rPr>
              <w:t>4</w:t>
            </w:r>
            <w:r w:rsidRPr="00573D4D">
              <w:rPr>
                <w:rFonts w:ascii="標楷體" w:eastAsia="標楷體" w:hAnsi="標楷體"/>
                <w:snapToGrid w:val="0"/>
                <w:szCs w:val="28"/>
              </w:rPr>
              <w:t>,979</w:t>
            </w:r>
          </w:p>
        </w:tc>
        <w:tc>
          <w:tcPr>
            <w:tcW w:w="1417"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szCs w:val="28"/>
              </w:rPr>
            </w:pPr>
            <w:r w:rsidRPr="00573D4D">
              <w:rPr>
                <w:rFonts w:ascii="標楷體" w:eastAsia="標楷體" w:hAnsi="標楷體" w:hint="eastAsia"/>
                <w:snapToGrid w:val="0"/>
                <w:szCs w:val="28"/>
              </w:rPr>
              <w:t>2</w:t>
            </w:r>
            <w:r w:rsidRPr="00573D4D">
              <w:rPr>
                <w:rFonts w:ascii="標楷體" w:eastAsia="標楷體" w:hAnsi="標楷體"/>
                <w:snapToGrid w:val="0"/>
                <w:szCs w:val="28"/>
              </w:rPr>
              <w:t>,298</w:t>
            </w:r>
          </w:p>
        </w:tc>
        <w:tc>
          <w:tcPr>
            <w:tcW w:w="1701"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szCs w:val="28"/>
              </w:rPr>
            </w:pPr>
            <w:r w:rsidRPr="00573D4D">
              <w:rPr>
                <w:rFonts w:ascii="標楷體" w:eastAsia="標楷體" w:hAnsi="標楷體" w:hint="eastAsia"/>
                <w:snapToGrid w:val="0"/>
                <w:szCs w:val="28"/>
              </w:rPr>
              <w:t>703</w:t>
            </w:r>
          </w:p>
        </w:tc>
      </w:tr>
      <w:tr w:rsidR="00A52DD2" w:rsidRPr="00573D4D" w:rsidTr="00F035E0">
        <w:tc>
          <w:tcPr>
            <w:tcW w:w="3398" w:type="dxa"/>
            <w:shd w:val="clear" w:color="auto" w:fill="auto"/>
            <w:vAlign w:val="center"/>
          </w:tcPr>
          <w:p w:rsidR="00A52DD2" w:rsidRPr="00573D4D" w:rsidRDefault="00A52DD2" w:rsidP="00F035E0">
            <w:pPr>
              <w:spacing w:line="280" w:lineRule="exact"/>
              <w:ind w:left="561" w:hanging="561"/>
              <w:jc w:val="both"/>
              <w:rPr>
                <w:rFonts w:ascii="標楷體" w:eastAsia="標楷體" w:hAnsi="標楷體"/>
                <w:szCs w:val="28"/>
              </w:rPr>
            </w:pPr>
            <w:r w:rsidRPr="00573D4D">
              <w:rPr>
                <w:rFonts w:ascii="標楷體" w:eastAsia="標楷體" w:hAnsi="標楷體" w:hint="eastAsia"/>
                <w:snapToGrid w:val="0"/>
                <w:szCs w:val="28"/>
              </w:rPr>
              <w:t>近代臺灣報刊資料庫</w:t>
            </w:r>
          </w:p>
        </w:tc>
        <w:tc>
          <w:tcPr>
            <w:tcW w:w="1407"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szCs w:val="28"/>
              </w:rPr>
            </w:pPr>
            <w:r w:rsidRPr="00573D4D">
              <w:rPr>
                <w:rFonts w:ascii="標楷體" w:eastAsia="標楷體" w:hAnsi="標楷體" w:hint="eastAsia"/>
                <w:snapToGrid w:val="0"/>
                <w:szCs w:val="28"/>
              </w:rPr>
              <w:t>2</w:t>
            </w:r>
            <w:r w:rsidRPr="00573D4D">
              <w:rPr>
                <w:rFonts w:ascii="標楷體" w:eastAsia="標楷體" w:hAnsi="標楷體"/>
                <w:snapToGrid w:val="0"/>
                <w:szCs w:val="28"/>
              </w:rPr>
              <w:t>,887</w:t>
            </w:r>
          </w:p>
        </w:tc>
        <w:tc>
          <w:tcPr>
            <w:tcW w:w="1417"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szCs w:val="28"/>
              </w:rPr>
            </w:pPr>
            <w:r w:rsidRPr="00573D4D">
              <w:rPr>
                <w:rFonts w:ascii="標楷體" w:eastAsia="標楷體" w:hAnsi="標楷體" w:hint="eastAsia"/>
                <w:snapToGrid w:val="0"/>
                <w:szCs w:val="28"/>
              </w:rPr>
              <w:t>1</w:t>
            </w:r>
            <w:r w:rsidRPr="00573D4D">
              <w:rPr>
                <w:rFonts w:ascii="標楷體" w:eastAsia="標楷體" w:hAnsi="標楷體"/>
                <w:snapToGrid w:val="0"/>
                <w:szCs w:val="28"/>
              </w:rPr>
              <w:t>,656</w:t>
            </w:r>
          </w:p>
        </w:tc>
        <w:tc>
          <w:tcPr>
            <w:tcW w:w="1701"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szCs w:val="28"/>
              </w:rPr>
            </w:pPr>
            <w:r w:rsidRPr="00573D4D">
              <w:rPr>
                <w:rFonts w:ascii="標楷體" w:eastAsia="標楷體" w:hAnsi="標楷體" w:hint="eastAsia"/>
                <w:snapToGrid w:val="0"/>
                <w:szCs w:val="28"/>
              </w:rPr>
              <w:t>2</w:t>
            </w:r>
            <w:r w:rsidRPr="00573D4D">
              <w:rPr>
                <w:rFonts w:ascii="標楷體" w:eastAsia="標楷體" w:hAnsi="標楷體"/>
                <w:snapToGrid w:val="0"/>
                <w:szCs w:val="28"/>
              </w:rPr>
              <w:t>,</w:t>
            </w:r>
            <w:r w:rsidRPr="00573D4D">
              <w:rPr>
                <w:rFonts w:ascii="標楷體" w:eastAsia="標楷體" w:hAnsi="標楷體" w:hint="eastAsia"/>
                <w:snapToGrid w:val="0"/>
                <w:szCs w:val="28"/>
              </w:rPr>
              <w:t>985</w:t>
            </w:r>
          </w:p>
        </w:tc>
      </w:tr>
      <w:tr w:rsidR="00A52DD2" w:rsidRPr="00573D4D" w:rsidTr="00F035E0">
        <w:tc>
          <w:tcPr>
            <w:tcW w:w="3398" w:type="dxa"/>
            <w:shd w:val="clear" w:color="auto" w:fill="auto"/>
            <w:vAlign w:val="center"/>
          </w:tcPr>
          <w:p w:rsidR="00A52DD2" w:rsidRPr="00573D4D" w:rsidRDefault="00A52DD2" w:rsidP="00F035E0">
            <w:pPr>
              <w:spacing w:line="280" w:lineRule="exact"/>
              <w:ind w:left="561" w:hanging="561"/>
              <w:jc w:val="both"/>
              <w:rPr>
                <w:rFonts w:ascii="標楷體" w:eastAsia="標楷體" w:hAnsi="標楷體"/>
                <w:szCs w:val="28"/>
              </w:rPr>
            </w:pPr>
            <w:r w:rsidRPr="00573D4D">
              <w:rPr>
                <w:rFonts w:ascii="標楷體" w:eastAsia="標楷體" w:hAnsi="標楷體" w:hint="eastAsia"/>
                <w:snapToGrid w:val="0"/>
                <w:szCs w:val="28"/>
              </w:rPr>
              <w:t>臺南文史研究資料庫</w:t>
            </w:r>
          </w:p>
        </w:tc>
        <w:tc>
          <w:tcPr>
            <w:tcW w:w="1407"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szCs w:val="28"/>
              </w:rPr>
            </w:pPr>
            <w:r w:rsidRPr="00573D4D">
              <w:rPr>
                <w:rFonts w:ascii="標楷體" w:eastAsia="標楷體" w:hAnsi="標楷體" w:hint="eastAsia"/>
                <w:snapToGrid w:val="0"/>
                <w:szCs w:val="28"/>
              </w:rPr>
              <w:t>2</w:t>
            </w:r>
            <w:r w:rsidRPr="00573D4D">
              <w:rPr>
                <w:rFonts w:ascii="標楷體" w:eastAsia="標楷體" w:hAnsi="標楷體"/>
                <w:snapToGrid w:val="0"/>
                <w:szCs w:val="28"/>
              </w:rPr>
              <w:t>0,565</w:t>
            </w:r>
          </w:p>
        </w:tc>
        <w:tc>
          <w:tcPr>
            <w:tcW w:w="1417"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szCs w:val="28"/>
              </w:rPr>
            </w:pPr>
            <w:r w:rsidRPr="00573D4D">
              <w:rPr>
                <w:rFonts w:ascii="標楷體" w:eastAsia="標楷體" w:hAnsi="標楷體" w:hint="eastAsia"/>
                <w:snapToGrid w:val="0"/>
                <w:szCs w:val="28"/>
              </w:rPr>
              <w:t>2</w:t>
            </w:r>
            <w:r w:rsidRPr="00573D4D">
              <w:rPr>
                <w:rFonts w:ascii="標楷體" w:eastAsia="標楷體" w:hAnsi="標楷體"/>
                <w:snapToGrid w:val="0"/>
                <w:szCs w:val="28"/>
              </w:rPr>
              <w:t>4,540</w:t>
            </w:r>
          </w:p>
        </w:tc>
        <w:tc>
          <w:tcPr>
            <w:tcW w:w="1701"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szCs w:val="28"/>
              </w:rPr>
            </w:pPr>
            <w:r w:rsidRPr="00573D4D">
              <w:rPr>
                <w:rFonts w:ascii="標楷體" w:eastAsia="標楷體" w:hAnsi="標楷體" w:hint="eastAsia"/>
                <w:snapToGrid w:val="0"/>
                <w:szCs w:val="28"/>
              </w:rPr>
              <w:t>14</w:t>
            </w:r>
            <w:r w:rsidRPr="00573D4D">
              <w:rPr>
                <w:rFonts w:ascii="標楷體" w:eastAsia="標楷體" w:hAnsi="標楷體"/>
                <w:snapToGrid w:val="0"/>
                <w:szCs w:val="28"/>
              </w:rPr>
              <w:t>,</w:t>
            </w:r>
            <w:r w:rsidRPr="00573D4D">
              <w:rPr>
                <w:rFonts w:ascii="標楷體" w:eastAsia="標楷體" w:hAnsi="標楷體" w:hint="eastAsia"/>
                <w:snapToGrid w:val="0"/>
                <w:szCs w:val="28"/>
              </w:rPr>
              <w:t>062</w:t>
            </w:r>
          </w:p>
        </w:tc>
      </w:tr>
      <w:tr w:rsidR="00A52DD2" w:rsidRPr="00573D4D" w:rsidTr="00F035E0">
        <w:tc>
          <w:tcPr>
            <w:tcW w:w="3398" w:type="dxa"/>
            <w:shd w:val="clear" w:color="auto" w:fill="auto"/>
            <w:vAlign w:val="center"/>
          </w:tcPr>
          <w:p w:rsidR="00A52DD2" w:rsidRPr="00573D4D" w:rsidRDefault="00A52DD2" w:rsidP="00F035E0">
            <w:pPr>
              <w:spacing w:line="280" w:lineRule="exact"/>
              <w:ind w:left="561" w:hanging="561"/>
              <w:jc w:val="both"/>
              <w:rPr>
                <w:rFonts w:ascii="標楷體" w:eastAsia="標楷體" w:hAnsi="標楷體"/>
                <w:szCs w:val="28"/>
              </w:rPr>
            </w:pPr>
            <w:r w:rsidRPr="00573D4D">
              <w:rPr>
                <w:rFonts w:ascii="標楷體" w:eastAsia="標楷體" w:hAnsi="標楷體" w:hint="eastAsia"/>
                <w:snapToGrid w:val="0"/>
                <w:szCs w:val="28"/>
              </w:rPr>
              <w:t>校園生活記憶庫</w:t>
            </w:r>
          </w:p>
        </w:tc>
        <w:tc>
          <w:tcPr>
            <w:tcW w:w="1407"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szCs w:val="28"/>
              </w:rPr>
            </w:pPr>
            <w:r w:rsidRPr="00573D4D">
              <w:rPr>
                <w:rFonts w:ascii="標楷體" w:eastAsia="標楷體" w:hAnsi="標楷體" w:hint="eastAsia"/>
                <w:snapToGrid w:val="0"/>
                <w:szCs w:val="28"/>
              </w:rPr>
              <w:t>7</w:t>
            </w:r>
            <w:r w:rsidRPr="00573D4D">
              <w:rPr>
                <w:rFonts w:ascii="標楷體" w:eastAsia="標楷體" w:hAnsi="標楷體"/>
                <w:snapToGrid w:val="0"/>
                <w:szCs w:val="28"/>
              </w:rPr>
              <w:t>,404</w:t>
            </w:r>
          </w:p>
        </w:tc>
        <w:tc>
          <w:tcPr>
            <w:tcW w:w="1417"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szCs w:val="28"/>
              </w:rPr>
            </w:pPr>
            <w:r w:rsidRPr="00573D4D">
              <w:rPr>
                <w:rFonts w:ascii="標楷體" w:eastAsia="標楷體" w:hAnsi="標楷體" w:hint="eastAsia"/>
                <w:snapToGrid w:val="0"/>
                <w:szCs w:val="28"/>
              </w:rPr>
              <w:t>9</w:t>
            </w:r>
            <w:r w:rsidRPr="00573D4D">
              <w:rPr>
                <w:rFonts w:ascii="標楷體" w:eastAsia="標楷體" w:hAnsi="標楷體"/>
                <w:snapToGrid w:val="0"/>
                <w:szCs w:val="28"/>
              </w:rPr>
              <w:t>,148</w:t>
            </w:r>
          </w:p>
        </w:tc>
        <w:tc>
          <w:tcPr>
            <w:tcW w:w="1701"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szCs w:val="28"/>
              </w:rPr>
            </w:pPr>
            <w:r w:rsidRPr="00573D4D">
              <w:rPr>
                <w:rFonts w:ascii="標楷體" w:eastAsia="標楷體" w:hAnsi="標楷體" w:hint="eastAsia"/>
                <w:snapToGrid w:val="0"/>
                <w:szCs w:val="28"/>
              </w:rPr>
              <w:t>6</w:t>
            </w:r>
            <w:r w:rsidRPr="00573D4D">
              <w:rPr>
                <w:rFonts w:ascii="標楷體" w:eastAsia="標楷體" w:hAnsi="標楷體"/>
                <w:snapToGrid w:val="0"/>
                <w:szCs w:val="28"/>
              </w:rPr>
              <w:t>,</w:t>
            </w:r>
            <w:r w:rsidRPr="00573D4D">
              <w:rPr>
                <w:rFonts w:ascii="標楷體" w:eastAsia="標楷體" w:hAnsi="標楷體" w:hint="eastAsia"/>
                <w:snapToGrid w:val="0"/>
                <w:szCs w:val="28"/>
              </w:rPr>
              <w:t>831</w:t>
            </w:r>
          </w:p>
        </w:tc>
      </w:tr>
      <w:tr w:rsidR="00A52DD2" w:rsidRPr="00573D4D" w:rsidTr="00F035E0">
        <w:tc>
          <w:tcPr>
            <w:tcW w:w="3398" w:type="dxa"/>
            <w:shd w:val="clear" w:color="auto" w:fill="auto"/>
            <w:vAlign w:val="center"/>
          </w:tcPr>
          <w:p w:rsidR="00A52DD2" w:rsidRPr="00573D4D" w:rsidRDefault="00A52DD2" w:rsidP="00F035E0">
            <w:pPr>
              <w:spacing w:line="280" w:lineRule="exact"/>
              <w:ind w:left="561" w:hanging="561"/>
              <w:jc w:val="both"/>
              <w:rPr>
                <w:rFonts w:ascii="標楷體" w:eastAsia="標楷體" w:hAnsi="標楷體"/>
                <w:szCs w:val="28"/>
              </w:rPr>
            </w:pPr>
            <w:r w:rsidRPr="00573D4D">
              <w:rPr>
                <w:rFonts w:ascii="標楷體" w:eastAsia="標楷體" w:hAnsi="標楷體" w:hint="eastAsia"/>
                <w:snapToGrid w:val="0"/>
                <w:szCs w:val="28"/>
              </w:rPr>
              <w:t>母語地名故事線上展覽</w:t>
            </w:r>
          </w:p>
        </w:tc>
        <w:tc>
          <w:tcPr>
            <w:tcW w:w="1407"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szCs w:val="28"/>
              </w:rPr>
            </w:pPr>
            <w:r w:rsidRPr="00573D4D">
              <w:rPr>
                <w:rFonts w:ascii="標楷體" w:eastAsia="標楷體" w:hAnsi="標楷體" w:hint="eastAsia"/>
                <w:snapToGrid w:val="0"/>
                <w:szCs w:val="28"/>
              </w:rPr>
              <w:t>-</w:t>
            </w:r>
          </w:p>
        </w:tc>
        <w:tc>
          <w:tcPr>
            <w:tcW w:w="1417"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szCs w:val="28"/>
              </w:rPr>
            </w:pPr>
            <w:r w:rsidRPr="00573D4D">
              <w:rPr>
                <w:rFonts w:ascii="標楷體" w:eastAsia="標楷體" w:hAnsi="標楷體" w:hint="eastAsia"/>
                <w:snapToGrid w:val="0"/>
                <w:szCs w:val="28"/>
              </w:rPr>
              <w:t>-</w:t>
            </w:r>
          </w:p>
        </w:tc>
        <w:tc>
          <w:tcPr>
            <w:tcW w:w="1701"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szCs w:val="28"/>
              </w:rPr>
            </w:pPr>
            <w:r w:rsidRPr="00573D4D">
              <w:rPr>
                <w:rFonts w:ascii="標楷體" w:eastAsia="標楷體" w:hAnsi="標楷體" w:hint="eastAsia"/>
                <w:snapToGrid w:val="0"/>
                <w:szCs w:val="28"/>
              </w:rPr>
              <w:t>-</w:t>
            </w:r>
          </w:p>
        </w:tc>
      </w:tr>
      <w:tr w:rsidR="00A52DD2" w:rsidRPr="00573D4D" w:rsidTr="00F035E0">
        <w:tc>
          <w:tcPr>
            <w:tcW w:w="3398" w:type="dxa"/>
            <w:shd w:val="clear" w:color="auto" w:fill="auto"/>
            <w:vAlign w:val="center"/>
          </w:tcPr>
          <w:p w:rsidR="00A52DD2" w:rsidRPr="00573D4D" w:rsidRDefault="00A52DD2" w:rsidP="00F035E0">
            <w:pPr>
              <w:spacing w:line="280" w:lineRule="exact"/>
              <w:ind w:left="561" w:hanging="561"/>
              <w:jc w:val="both"/>
              <w:rPr>
                <w:rFonts w:ascii="標楷體" w:eastAsia="標楷體" w:hAnsi="標楷體"/>
                <w:szCs w:val="28"/>
              </w:rPr>
            </w:pPr>
            <w:r w:rsidRPr="00573D4D">
              <w:rPr>
                <w:rFonts w:ascii="標楷體" w:eastAsia="標楷體" w:hAnsi="標楷體" w:hint="eastAsia"/>
                <w:snapToGrid w:val="0"/>
                <w:szCs w:val="28"/>
              </w:rPr>
              <w:t>臺灣史數位資源整合入口網</w:t>
            </w:r>
          </w:p>
        </w:tc>
        <w:tc>
          <w:tcPr>
            <w:tcW w:w="1407"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szCs w:val="28"/>
              </w:rPr>
            </w:pPr>
            <w:r w:rsidRPr="00573D4D">
              <w:rPr>
                <w:rFonts w:ascii="標楷體" w:eastAsia="標楷體" w:hAnsi="標楷體" w:hint="eastAsia"/>
                <w:snapToGrid w:val="0"/>
                <w:szCs w:val="28"/>
              </w:rPr>
              <w:t>-</w:t>
            </w:r>
          </w:p>
        </w:tc>
        <w:tc>
          <w:tcPr>
            <w:tcW w:w="1417"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szCs w:val="28"/>
              </w:rPr>
            </w:pPr>
            <w:r w:rsidRPr="00573D4D">
              <w:rPr>
                <w:rFonts w:ascii="標楷體" w:eastAsia="標楷體" w:hAnsi="標楷體" w:hint="eastAsia"/>
                <w:snapToGrid w:val="0"/>
                <w:szCs w:val="28"/>
              </w:rPr>
              <w:t>4</w:t>
            </w:r>
            <w:r w:rsidRPr="00573D4D">
              <w:rPr>
                <w:rFonts w:ascii="標楷體" w:eastAsia="標楷體" w:hAnsi="標楷體"/>
                <w:snapToGrid w:val="0"/>
                <w:szCs w:val="28"/>
              </w:rPr>
              <w:t>69</w:t>
            </w:r>
          </w:p>
        </w:tc>
        <w:tc>
          <w:tcPr>
            <w:tcW w:w="1701"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szCs w:val="28"/>
              </w:rPr>
            </w:pPr>
            <w:r w:rsidRPr="00573D4D">
              <w:rPr>
                <w:rFonts w:ascii="標楷體" w:eastAsia="標楷體" w:hAnsi="標楷體" w:hint="eastAsia"/>
                <w:snapToGrid w:val="0"/>
                <w:szCs w:val="28"/>
              </w:rPr>
              <w:t>104</w:t>
            </w:r>
          </w:p>
        </w:tc>
      </w:tr>
      <w:tr w:rsidR="00A52DD2" w:rsidRPr="00573D4D" w:rsidTr="00F035E0">
        <w:tc>
          <w:tcPr>
            <w:tcW w:w="3398" w:type="dxa"/>
            <w:shd w:val="clear" w:color="auto" w:fill="auto"/>
            <w:vAlign w:val="center"/>
          </w:tcPr>
          <w:p w:rsidR="00A52DD2" w:rsidRPr="00573D4D" w:rsidRDefault="00A52DD2" w:rsidP="00F035E0">
            <w:pPr>
              <w:spacing w:line="280" w:lineRule="exact"/>
              <w:ind w:left="561" w:hanging="561"/>
              <w:jc w:val="both"/>
              <w:rPr>
                <w:rFonts w:ascii="標楷體" w:eastAsia="標楷體" w:hAnsi="標楷體"/>
                <w:szCs w:val="28"/>
              </w:rPr>
            </w:pPr>
            <w:r w:rsidRPr="00573D4D">
              <w:rPr>
                <w:rFonts w:ascii="標楷體" w:eastAsia="標楷體" w:hAnsi="標楷體" w:hint="eastAsia"/>
                <w:snapToGrid w:val="0"/>
                <w:szCs w:val="28"/>
              </w:rPr>
              <w:t>看見臺灣數位學習網站</w:t>
            </w:r>
          </w:p>
        </w:tc>
        <w:tc>
          <w:tcPr>
            <w:tcW w:w="1407"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szCs w:val="28"/>
              </w:rPr>
            </w:pPr>
            <w:r w:rsidRPr="00573D4D">
              <w:rPr>
                <w:rFonts w:ascii="標楷體" w:eastAsia="標楷體" w:hAnsi="標楷體" w:hint="eastAsia"/>
                <w:snapToGrid w:val="0"/>
                <w:szCs w:val="28"/>
              </w:rPr>
              <w:t>-</w:t>
            </w:r>
          </w:p>
        </w:tc>
        <w:tc>
          <w:tcPr>
            <w:tcW w:w="1417"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szCs w:val="28"/>
              </w:rPr>
            </w:pPr>
            <w:r w:rsidRPr="00573D4D">
              <w:rPr>
                <w:rFonts w:ascii="標楷體" w:eastAsia="標楷體" w:hAnsi="標楷體" w:hint="eastAsia"/>
                <w:snapToGrid w:val="0"/>
                <w:szCs w:val="28"/>
              </w:rPr>
              <w:t>-</w:t>
            </w:r>
          </w:p>
        </w:tc>
        <w:tc>
          <w:tcPr>
            <w:tcW w:w="1701" w:type="dxa"/>
            <w:shd w:val="clear" w:color="auto" w:fill="auto"/>
            <w:vAlign w:val="center"/>
          </w:tcPr>
          <w:p w:rsidR="00A52DD2" w:rsidRPr="00573D4D" w:rsidRDefault="00A52DD2" w:rsidP="00F035E0">
            <w:pPr>
              <w:spacing w:line="280" w:lineRule="exact"/>
              <w:ind w:left="561" w:hanging="561"/>
              <w:jc w:val="center"/>
              <w:rPr>
                <w:rFonts w:ascii="標楷體" w:eastAsia="標楷體" w:hAnsi="標楷體"/>
                <w:szCs w:val="28"/>
              </w:rPr>
            </w:pPr>
            <w:r w:rsidRPr="00573D4D">
              <w:rPr>
                <w:rFonts w:ascii="標楷體" w:eastAsia="標楷體" w:hAnsi="標楷體" w:hint="eastAsia"/>
                <w:snapToGrid w:val="0"/>
                <w:szCs w:val="28"/>
              </w:rPr>
              <w:t>-</w:t>
            </w:r>
          </w:p>
        </w:tc>
      </w:tr>
    </w:tbl>
    <w:p w:rsidR="00A52DD2" w:rsidRDefault="00A52DD2" w:rsidP="00F035E0">
      <w:pPr>
        <w:overflowPunct w:val="0"/>
        <w:spacing w:line="500" w:lineRule="exact"/>
        <w:ind w:leftChars="150" w:left="1000" w:hangingChars="200" w:hanging="640"/>
        <w:jc w:val="both"/>
        <w:rPr>
          <w:rFonts w:ascii="標楷體" w:eastAsia="標楷體" w:hAnsi="標楷體"/>
          <w:sz w:val="32"/>
          <w:szCs w:val="32"/>
        </w:rPr>
      </w:pPr>
    </w:p>
    <w:p w:rsidR="00A52DD2" w:rsidRDefault="00A52DD2" w:rsidP="00F035E0">
      <w:pPr>
        <w:overflowPunct w:val="0"/>
        <w:spacing w:line="500" w:lineRule="exact"/>
        <w:ind w:leftChars="150" w:left="1000" w:hangingChars="200" w:hanging="640"/>
        <w:jc w:val="both"/>
        <w:rPr>
          <w:rFonts w:ascii="標楷體" w:eastAsia="標楷體" w:hAnsi="標楷體"/>
          <w:sz w:val="32"/>
          <w:szCs w:val="32"/>
        </w:rPr>
      </w:pPr>
    </w:p>
    <w:p w:rsidR="00A52DD2" w:rsidRPr="00573D4D" w:rsidRDefault="00A52DD2" w:rsidP="00F035E0">
      <w:pPr>
        <w:overflowPunct w:val="0"/>
        <w:spacing w:line="500" w:lineRule="exact"/>
        <w:ind w:leftChars="150" w:left="1000" w:hangingChars="200" w:hanging="640"/>
        <w:jc w:val="both"/>
        <w:rPr>
          <w:rFonts w:ascii="標楷體" w:eastAsia="標楷體" w:hAnsi="標楷體"/>
          <w:sz w:val="32"/>
          <w:szCs w:val="32"/>
        </w:rPr>
      </w:pP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提案人：鄭正鈐</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連署人：黃國書  林奕華</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73D4D">
        <w:rPr>
          <w:rFonts w:ascii="標楷體" w:eastAsia="標楷體" w:hAnsi="標楷體" w:hint="eastAsia"/>
          <w:snapToGrid w:val="0"/>
          <w:sz w:val="32"/>
          <w:szCs w:val="32"/>
        </w:rPr>
        <w:t>(二)112年度國立臺灣歷史博物館「博物館業務」預算編列1億3,047萬9千元。臺史博近年啟動永久性保存臺灣史數位資料之方案規劃，優化該館經營之各主題數位資源，並建構史料資源共享平臺，強化展示能量。然以臺史博各項網路資源瀏覽人次情形觀之，部分數位平臺推廣尚有精進空間，臺史博應研謀策略提升民眾數位平臺使用率，促使資源發揮最大效益。請國立臺灣歷史博物館於3個月內向立法院教育及文化委員會提出書面報告。361</w:t>
      </w:r>
    </w:p>
    <w:p w:rsidR="00A52DD2" w:rsidRPr="00573D4D" w:rsidRDefault="00A52DD2" w:rsidP="00F035E0">
      <w:pPr>
        <w:snapToGrid w:val="0"/>
        <w:spacing w:line="460" w:lineRule="exact"/>
        <w:ind w:leftChars="1250" w:left="4280" w:hangingChars="400" w:hanging="1280"/>
        <w:jc w:val="both"/>
        <w:rPr>
          <w:rFonts w:ascii="標楷體" w:eastAsia="標楷體" w:hAnsi="標楷體"/>
          <w:sz w:val="32"/>
          <w:szCs w:val="32"/>
        </w:rPr>
      </w:pPr>
      <w:r w:rsidRPr="00573D4D">
        <w:rPr>
          <w:rFonts w:ascii="標楷體" w:eastAsia="標楷體" w:hAnsi="標楷體" w:hint="eastAsia"/>
          <w:sz w:val="32"/>
          <w:szCs w:val="32"/>
        </w:rPr>
        <w:t>提案人：黃國書</w:t>
      </w:r>
    </w:p>
    <w:p w:rsidR="00A52DD2" w:rsidRPr="00573D4D" w:rsidRDefault="00A52DD2" w:rsidP="00F035E0">
      <w:pPr>
        <w:snapToGrid w:val="0"/>
        <w:spacing w:line="460" w:lineRule="exact"/>
        <w:ind w:leftChars="1250" w:left="4280" w:hangingChars="400" w:hanging="1280"/>
        <w:jc w:val="both"/>
        <w:rPr>
          <w:rFonts w:ascii="標楷體" w:eastAsia="標楷體" w:hAnsi="標楷體"/>
          <w:snapToGrid w:val="0"/>
          <w:sz w:val="32"/>
          <w:szCs w:val="32"/>
        </w:rPr>
      </w:pPr>
      <w:r w:rsidRPr="00573D4D">
        <w:rPr>
          <w:rFonts w:ascii="標楷體" w:eastAsia="標楷體" w:hAnsi="標楷體" w:hint="eastAsia"/>
          <w:sz w:val="32"/>
          <w:szCs w:val="32"/>
        </w:rPr>
        <w:t>連署人：林宜瑾  張廖萬堅</w:t>
      </w:r>
    </w:p>
    <w:p w:rsidR="00A52DD2" w:rsidRPr="00573D4D" w:rsidRDefault="00A52DD2" w:rsidP="00F035E0">
      <w:pPr>
        <w:kinsoku w:val="0"/>
        <w:overflowPunct w:val="0"/>
        <w:spacing w:beforeLines="50" w:before="180" w:line="500" w:lineRule="exact"/>
        <w:ind w:leftChars="100" w:left="1568" w:hangingChars="415" w:hanging="1328"/>
        <w:jc w:val="both"/>
        <w:textAlignment w:val="center"/>
        <w:rPr>
          <w:rFonts w:ascii="標楷體" w:eastAsia="標楷體" w:hAnsi="標楷體"/>
          <w:bCs/>
          <w:sz w:val="32"/>
          <w:szCs w:val="32"/>
        </w:rPr>
      </w:pPr>
      <w:r w:rsidRPr="00573D4D">
        <w:rPr>
          <w:rFonts w:ascii="標楷體" w:eastAsia="標楷體" w:hAnsi="標楷體"/>
          <w:snapToGrid w:val="0"/>
          <w:sz w:val="32"/>
          <w:szCs w:val="32"/>
        </w:rPr>
        <w:t>第1</w:t>
      </w:r>
      <w:r w:rsidRPr="00573D4D">
        <w:rPr>
          <w:rFonts w:ascii="標楷體" w:eastAsia="標楷體" w:hAnsi="標楷體" w:hint="eastAsia"/>
          <w:snapToGrid w:val="0"/>
          <w:sz w:val="32"/>
          <w:szCs w:val="32"/>
        </w:rPr>
        <w:t>1</w:t>
      </w:r>
      <w:r w:rsidRPr="00573D4D">
        <w:rPr>
          <w:rFonts w:ascii="標楷體" w:eastAsia="標楷體" w:hAnsi="標楷體"/>
          <w:snapToGrid w:val="0"/>
          <w:sz w:val="32"/>
          <w:szCs w:val="32"/>
        </w:rPr>
        <w:t xml:space="preserve">項　</w:t>
      </w:r>
      <w:r w:rsidRPr="00573D4D">
        <w:rPr>
          <w:rFonts w:ascii="標楷體" w:eastAsia="標楷體" w:hAnsi="標楷體" w:hint="eastAsia"/>
          <w:bCs/>
          <w:sz w:val="32"/>
        </w:rPr>
        <w:t>國立</w:t>
      </w:r>
      <w:r w:rsidRPr="00573D4D">
        <w:rPr>
          <w:rFonts w:ascii="標楷體" w:eastAsia="標楷體" w:hAnsi="標楷體" w:hint="eastAsia"/>
          <w:snapToGrid w:val="0"/>
          <w:sz w:val="32"/>
          <w:szCs w:val="32"/>
        </w:rPr>
        <w:t>臺灣</w:t>
      </w:r>
      <w:r w:rsidRPr="00573D4D">
        <w:rPr>
          <w:rFonts w:ascii="標楷體" w:eastAsia="標楷體" w:hAnsi="標楷體" w:hint="eastAsia"/>
          <w:bCs/>
          <w:sz w:val="32"/>
        </w:rPr>
        <w:t>文學館</w:t>
      </w:r>
      <w:r w:rsidRPr="00573D4D">
        <w:rPr>
          <w:rFonts w:ascii="標楷體" w:eastAsia="標楷體" w:hAnsi="標楷體" w:hint="eastAsia"/>
          <w:snapToGrid w:val="0"/>
          <w:sz w:val="32"/>
          <w:szCs w:val="32"/>
        </w:rPr>
        <w:t>2億4,835萬8千元</w:t>
      </w:r>
      <w:r w:rsidRPr="00573D4D">
        <w:rPr>
          <w:rFonts w:ascii="標楷體" w:eastAsia="標楷體" w:hAnsi="標楷體"/>
          <w:snapToGrid w:val="0"/>
          <w:sz w:val="32"/>
          <w:szCs w:val="32"/>
        </w:rPr>
        <w:t>，照列。</w:t>
      </w:r>
    </w:p>
    <w:p w:rsidR="00A52DD2" w:rsidRPr="00573D4D" w:rsidRDefault="00A52DD2" w:rsidP="00F035E0">
      <w:pPr>
        <w:snapToGrid w:val="0"/>
        <w:spacing w:beforeLines="50" w:before="180" w:line="500" w:lineRule="exact"/>
        <w:ind w:left="640" w:hangingChars="200" w:hanging="640"/>
        <w:jc w:val="both"/>
        <w:rPr>
          <w:rFonts w:ascii="標楷體" w:eastAsia="標楷體" w:hAnsi="標楷體"/>
          <w:color w:val="000000"/>
          <w:sz w:val="32"/>
          <w:szCs w:val="32"/>
        </w:rPr>
      </w:pPr>
      <w:r w:rsidRPr="00573D4D">
        <w:rPr>
          <w:rFonts w:ascii="標楷體" w:eastAsia="標楷體" w:hAnsi="標楷體"/>
          <w:bCs/>
          <w:sz w:val="32"/>
          <w:szCs w:val="32"/>
        </w:rPr>
        <w:t>二</w:t>
      </w:r>
      <w:r w:rsidRPr="00573D4D">
        <w:rPr>
          <w:rFonts w:ascii="標楷體" w:eastAsia="標楷體" w:hAnsi="標楷體" w:hint="eastAsia"/>
          <w:bCs/>
          <w:sz w:val="32"/>
          <w:szCs w:val="32"/>
        </w:rPr>
        <w:t>、</w:t>
      </w:r>
      <w:r w:rsidRPr="00573D4D">
        <w:rPr>
          <w:rFonts w:ascii="標楷體" w:eastAsia="標楷體" w:hAnsi="標楷體" w:hint="eastAsia"/>
          <w:sz w:val="32"/>
          <w:szCs w:val="32"/>
        </w:rPr>
        <w:t>112年度中央政府總預算案有關</w:t>
      </w:r>
      <w:r w:rsidRPr="00573D4D">
        <w:rPr>
          <w:rFonts w:ascii="標楷體" w:eastAsia="標楷體" w:hint="eastAsia"/>
          <w:color w:val="000000"/>
          <w:sz w:val="32"/>
          <w:szCs w:val="32"/>
        </w:rPr>
        <w:t>文化部主管國立文化機構作業基金附屬單位</w:t>
      </w:r>
      <w:r w:rsidRPr="00573D4D">
        <w:rPr>
          <w:rFonts w:ascii="標楷體" w:eastAsia="標楷體" w:hAnsi="標楷體" w:hint="eastAsia"/>
          <w:sz w:val="32"/>
          <w:szCs w:val="32"/>
        </w:rPr>
        <w:t>預算案，審查完竣。審查結果如下：</w:t>
      </w:r>
    </w:p>
    <w:p w:rsidR="00A52DD2" w:rsidRPr="00573D4D" w:rsidRDefault="00A52DD2" w:rsidP="00F035E0">
      <w:pPr>
        <w:snapToGrid w:val="0"/>
        <w:spacing w:beforeLines="50" w:before="180" w:line="460" w:lineRule="exact"/>
        <w:rPr>
          <w:rFonts w:ascii="標楷體" w:eastAsia="標楷體" w:hAnsi="標楷體"/>
          <w:b/>
          <w:sz w:val="32"/>
          <w:szCs w:val="32"/>
        </w:rPr>
      </w:pPr>
      <w:r w:rsidRPr="00573D4D">
        <w:rPr>
          <w:rFonts w:ascii="標楷體" w:eastAsia="標楷體" w:hAnsi="標楷體" w:hint="eastAsia"/>
          <w:b/>
          <w:sz w:val="32"/>
          <w:szCs w:val="32"/>
        </w:rPr>
        <w:t>國立文化機構作業基金</w:t>
      </w:r>
    </w:p>
    <w:p w:rsidR="00A52DD2" w:rsidRPr="00573D4D" w:rsidRDefault="00A52DD2" w:rsidP="00F035E0">
      <w:pPr>
        <w:snapToGrid w:val="0"/>
        <w:spacing w:before="120" w:line="480" w:lineRule="exact"/>
        <w:ind w:leftChars="11" w:left="666" w:hangingChars="200" w:hanging="640"/>
        <w:jc w:val="both"/>
        <w:rPr>
          <w:rFonts w:ascii="標楷體" w:eastAsia="標楷體" w:hAnsi="標楷體"/>
          <w:sz w:val="32"/>
          <w:szCs w:val="32"/>
        </w:rPr>
      </w:pPr>
      <w:r w:rsidRPr="00573D4D">
        <w:rPr>
          <w:rFonts w:ascii="標楷體" w:eastAsia="標楷體" w:hAnsi="標楷體" w:hint="eastAsia"/>
          <w:sz w:val="32"/>
          <w:szCs w:val="32"/>
        </w:rPr>
        <w:t>(一)</w:t>
      </w:r>
      <w:r w:rsidRPr="00573D4D">
        <w:rPr>
          <w:rFonts w:ascii="標楷體" w:eastAsia="標楷體" w:hAnsi="標楷體"/>
          <w:sz w:val="32"/>
          <w:szCs w:val="32"/>
        </w:rPr>
        <w:t>業務計畫：應依據業務收支、轉投資、固定資產建設改良擴充及資金運用等項之審查結果，隨同調整。</w:t>
      </w:r>
    </w:p>
    <w:p w:rsidR="00A52DD2" w:rsidRPr="00573D4D" w:rsidRDefault="00A52DD2" w:rsidP="00F035E0">
      <w:pPr>
        <w:snapToGrid w:val="0"/>
        <w:spacing w:before="120" w:line="480" w:lineRule="exact"/>
        <w:ind w:leftChars="11" w:left="666" w:hangingChars="200" w:hanging="640"/>
        <w:jc w:val="both"/>
        <w:rPr>
          <w:rFonts w:ascii="標楷體" w:eastAsia="標楷體" w:hAnsi="標楷體"/>
          <w:sz w:val="32"/>
          <w:szCs w:val="32"/>
        </w:rPr>
      </w:pPr>
      <w:r w:rsidRPr="00573D4D">
        <w:rPr>
          <w:rFonts w:ascii="標楷體" w:eastAsia="標楷體" w:hAnsi="標楷體" w:hint="eastAsia"/>
          <w:sz w:val="32"/>
          <w:szCs w:val="32"/>
        </w:rPr>
        <w:t>(二)</w:t>
      </w:r>
      <w:r w:rsidRPr="00573D4D">
        <w:rPr>
          <w:rFonts w:ascii="標楷體" w:eastAsia="標楷體" w:hAnsi="標楷體"/>
          <w:sz w:val="32"/>
          <w:szCs w:val="32"/>
        </w:rPr>
        <w:t>業務收支：</w:t>
      </w:r>
    </w:p>
    <w:p w:rsidR="00A52DD2" w:rsidRPr="00573D4D" w:rsidRDefault="00A52DD2" w:rsidP="00F035E0">
      <w:pPr>
        <w:kinsoku w:val="0"/>
        <w:overflowPunct w:val="0"/>
        <w:spacing w:before="120" w:line="480" w:lineRule="exact"/>
        <w:ind w:leftChars="150" w:left="680" w:hangingChars="100" w:hanging="320"/>
        <w:jc w:val="both"/>
        <w:textAlignment w:val="center"/>
        <w:rPr>
          <w:rFonts w:ascii="標楷體" w:eastAsia="標楷體" w:hAnsi="標楷體"/>
          <w:color w:val="000000"/>
          <w:sz w:val="32"/>
          <w:szCs w:val="32"/>
        </w:rPr>
      </w:pPr>
      <w:r w:rsidRPr="00573D4D">
        <w:rPr>
          <w:rFonts w:ascii="標楷體" w:eastAsia="標楷體" w:hAnsi="標楷體" w:hint="eastAsia"/>
          <w:color w:val="000000"/>
          <w:sz w:val="32"/>
          <w:szCs w:val="32"/>
        </w:rPr>
        <w:t>1.</w:t>
      </w:r>
      <w:r w:rsidRPr="00573D4D">
        <w:rPr>
          <w:rFonts w:ascii="標楷體" w:eastAsia="標楷體" w:hAnsi="標楷體"/>
          <w:color w:val="000000"/>
          <w:sz w:val="32"/>
          <w:szCs w:val="32"/>
        </w:rPr>
        <w:t>業務總</w:t>
      </w:r>
      <w:r w:rsidRPr="00573D4D">
        <w:rPr>
          <w:rFonts w:ascii="標楷體" w:eastAsia="標楷體" w:hAnsi="標楷體"/>
          <w:snapToGrid w:val="0"/>
          <w:color w:val="000000"/>
          <w:sz w:val="32"/>
          <w:szCs w:val="32"/>
        </w:rPr>
        <w:t>收入</w:t>
      </w:r>
      <w:r w:rsidRPr="00573D4D">
        <w:rPr>
          <w:rFonts w:ascii="標楷體" w:eastAsia="標楷體" w:hAnsi="標楷體"/>
          <w:color w:val="000000"/>
          <w:sz w:val="32"/>
          <w:szCs w:val="32"/>
        </w:rPr>
        <w:t>：</w:t>
      </w:r>
      <w:r w:rsidRPr="00573D4D">
        <w:rPr>
          <w:rFonts w:ascii="標楷體" w:eastAsia="標楷體" w:hAnsi="標楷體" w:hint="eastAsia"/>
          <w:color w:val="000000"/>
          <w:sz w:val="32"/>
          <w:szCs w:val="32"/>
        </w:rPr>
        <w:t>8億0,634萬4千元</w:t>
      </w:r>
      <w:r w:rsidRPr="00573D4D">
        <w:rPr>
          <w:rFonts w:ascii="標楷體" w:eastAsia="標楷體" w:hAnsi="標楷體"/>
          <w:color w:val="000000"/>
          <w:sz w:val="32"/>
          <w:szCs w:val="32"/>
        </w:rPr>
        <w:t>，</w:t>
      </w:r>
      <w:r w:rsidRPr="00573D4D">
        <w:rPr>
          <w:rFonts w:ascii="標楷體" w:eastAsia="標楷體" w:hAnsi="標楷體" w:hint="eastAsia"/>
          <w:color w:val="000000"/>
          <w:sz w:val="32"/>
          <w:szCs w:val="32"/>
        </w:rPr>
        <w:t>照列。</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color w:val="000000"/>
          <w:sz w:val="32"/>
          <w:szCs w:val="32"/>
        </w:rPr>
      </w:pPr>
      <w:r w:rsidRPr="00573D4D">
        <w:rPr>
          <w:rFonts w:ascii="標楷體" w:eastAsia="標楷體" w:hAnsi="標楷體" w:hint="eastAsia"/>
          <w:color w:val="000000"/>
          <w:sz w:val="32"/>
          <w:szCs w:val="32"/>
        </w:rPr>
        <w:lastRenderedPageBreak/>
        <w:t>2.</w:t>
      </w:r>
      <w:r w:rsidRPr="00573D4D">
        <w:rPr>
          <w:rFonts w:ascii="標楷體" w:eastAsia="標楷體" w:hAnsi="標楷體"/>
          <w:snapToGrid w:val="0"/>
          <w:color w:val="000000"/>
          <w:sz w:val="32"/>
          <w:szCs w:val="32"/>
        </w:rPr>
        <w:t>業務</w:t>
      </w:r>
      <w:r w:rsidRPr="00573D4D">
        <w:rPr>
          <w:rFonts w:ascii="標楷體" w:eastAsia="標楷體" w:hAnsi="標楷體"/>
          <w:color w:val="000000"/>
          <w:sz w:val="32"/>
          <w:szCs w:val="32"/>
        </w:rPr>
        <w:t>總支出：</w:t>
      </w:r>
      <w:r w:rsidRPr="00573D4D">
        <w:rPr>
          <w:rFonts w:ascii="標楷體" w:eastAsia="標楷體" w:hAnsi="標楷體" w:hint="eastAsia"/>
          <w:color w:val="000000"/>
          <w:sz w:val="32"/>
          <w:szCs w:val="32"/>
        </w:rPr>
        <w:t>9億5,198萬2千元</w:t>
      </w:r>
      <w:r w:rsidRPr="00573D4D">
        <w:rPr>
          <w:rFonts w:ascii="標楷體" w:eastAsia="標楷體" w:hAnsi="標楷體"/>
          <w:color w:val="000000"/>
          <w:sz w:val="32"/>
          <w:szCs w:val="32"/>
        </w:rPr>
        <w:t>，</w:t>
      </w:r>
      <w:r w:rsidRPr="00573D4D">
        <w:rPr>
          <w:rFonts w:ascii="標楷體" w:eastAsia="標楷體" w:hAnsi="標楷體" w:hint="eastAsia"/>
          <w:color w:val="000000"/>
          <w:sz w:val="32"/>
          <w:szCs w:val="32"/>
        </w:rPr>
        <w:t>照列</w:t>
      </w:r>
      <w:r w:rsidRPr="00573D4D">
        <w:rPr>
          <w:rFonts w:ascii="標楷體" w:eastAsia="標楷體" w:hAnsi="標楷體"/>
          <w:color w:val="000000"/>
          <w:sz w:val="32"/>
          <w:szCs w:val="32"/>
        </w:rPr>
        <w:t>。</w:t>
      </w:r>
    </w:p>
    <w:p w:rsidR="00A52DD2" w:rsidRPr="00573D4D" w:rsidRDefault="00A52DD2" w:rsidP="00F035E0">
      <w:pPr>
        <w:kinsoku w:val="0"/>
        <w:overflowPunct w:val="0"/>
        <w:spacing w:before="120" w:line="480" w:lineRule="exact"/>
        <w:ind w:leftChars="150" w:left="1000" w:hangingChars="200" w:hanging="640"/>
        <w:jc w:val="both"/>
        <w:textAlignment w:val="center"/>
        <w:rPr>
          <w:rFonts w:ascii="標楷體" w:eastAsia="標楷體" w:hAnsi="標楷體"/>
          <w:color w:val="000000"/>
          <w:sz w:val="32"/>
          <w:szCs w:val="32"/>
        </w:rPr>
      </w:pPr>
      <w:r w:rsidRPr="00573D4D">
        <w:rPr>
          <w:rFonts w:ascii="標楷體" w:eastAsia="標楷體" w:hAnsi="標楷體" w:hint="eastAsia"/>
          <w:color w:val="000000"/>
          <w:sz w:val="32"/>
          <w:szCs w:val="32"/>
        </w:rPr>
        <w:t>3.</w:t>
      </w:r>
      <w:r w:rsidRPr="00573D4D">
        <w:rPr>
          <w:rFonts w:ascii="標楷體" w:eastAsia="標楷體" w:hAnsi="標楷體"/>
          <w:color w:val="000000"/>
          <w:sz w:val="32"/>
          <w:szCs w:val="32"/>
        </w:rPr>
        <w:t>本期</w:t>
      </w:r>
      <w:r w:rsidRPr="00573D4D">
        <w:rPr>
          <w:rFonts w:ascii="標楷體" w:eastAsia="標楷體" w:hAnsi="標楷體" w:hint="eastAsia"/>
          <w:color w:val="000000"/>
          <w:sz w:val="32"/>
          <w:szCs w:val="32"/>
        </w:rPr>
        <w:t>短絀</w:t>
      </w:r>
      <w:r w:rsidRPr="00573D4D">
        <w:rPr>
          <w:rFonts w:ascii="標楷體" w:eastAsia="標楷體" w:hAnsi="標楷體"/>
          <w:color w:val="000000"/>
          <w:sz w:val="32"/>
          <w:szCs w:val="32"/>
        </w:rPr>
        <w:t>：</w:t>
      </w:r>
      <w:r w:rsidRPr="00573D4D">
        <w:rPr>
          <w:rFonts w:ascii="標楷體" w:eastAsia="標楷體" w:hAnsi="標楷體" w:hint="eastAsia"/>
          <w:color w:val="000000"/>
          <w:sz w:val="32"/>
          <w:szCs w:val="32"/>
        </w:rPr>
        <w:t>1億4,563萬8千元</w:t>
      </w:r>
      <w:r w:rsidRPr="00573D4D">
        <w:rPr>
          <w:rFonts w:ascii="標楷體" w:eastAsia="標楷體" w:hAnsi="標楷體"/>
          <w:color w:val="000000"/>
          <w:sz w:val="32"/>
          <w:szCs w:val="32"/>
        </w:rPr>
        <w:t>，</w:t>
      </w:r>
      <w:r w:rsidRPr="00573D4D">
        <w:rPr>
          <w:rFonts w:ascii="標楷體" w:eastAsia="標楷體" w:hAnsi="標楷體" w:hint="eastAsia"/>
          <w:color w:val="000000"/>
          <w:sz w:val="32"/>
          <w:szCs w:val="32"/>
        </w:rPr>
        <w:t>照列。</w:t>
      </w:r>
    </w:p>
    <w:p w:rsidR="00A52DD2" w:rsidRPr="00573D4D" w:rsidRDefault="00A52DD2" w:rsidP="00F035E0">
      <w:pPr>
        <w:snapToGrid w:val="0"/>
        <w:spacing w:before="120" w:line="480" w:lineRule="exact"/>
        <w:ind w:leftChars="11" w:left="666" w:hangingChars="200" w:hanging="640"/>
        <w:jc w:val="both"/>
        <w:rPr>
          <w:rFonts w:ascii="標楷體" w:eastAsia="標楷體" w:hAnsi="標楷體"/>
          <w:color w:val="000000"/>
          <w:sz w:val="32"/>
          <w:szCs w:val="32"/>
        </w:rPr>
      </w:pPr>
      <w:r w:rsidRPr="00573D4D">
        <w:rPr>
          <w:rFonts w:ascii="標楷體" w:eastAsia="標楷體" w:hAnsi="標楷體" w:hint="eastAsia"/>
          <w:color w:val="000000"/>
          <w:sz w:val="32"/>
          <w:szCs w:val="32"/>
        </w:rPr>
        <w:t>(三)</w:t>
      </w:r>
      <w:r w:rsidRPr="00573D4D">
        <w:rPr>
          <w:rFonts w:ascii="標楷體" w:eastAsia="標楷體" w:hAnsi="標楷體"/>
          <w:color w:val="000000"/>
          <w:sz w:val="32"/>
          <w:szCs w:val="32"/>
        </w:rPr>
        <w:t>解繳</w:t>
      </w:r>
      <w:r w:rsidRPr="00573D4D">
        <w:rPr>
          <w:rFonts w:ascii="標楷體" w:eastAsia="標楷體" w:hAnsi="標楷體" w:hint="eastAsia"/>
          <w:color w:val="000000"/>
          <w:sz w:val="32"/>
          <w:szCs w:val="32"/>
        </w:rPr>
        <w:t>公</w:t>
      </w:r>
      <w:r w:rsidRPr="00573D4D">
        <w:rPr>
          <w:rFonts w:ascii="標楷體" w:eastAsia="標楷體" w:hAnsi="標楷體"/>
          <w:color w:val="000000"/>
          <w:sz w:val="32"/>
          <w:szCs w:val="32"/>
        </w:rPr>
        <w:t>庫淨額：無列數。</w:t>
      </w:r>
    </w:p>
    <w:p w:rsidR="00A52DD2" w:rsidRPr="00573D4D" w:rsidRDefault="00A52DD2" w:rsidP="00F035E0">
      <w:pPr>
        <w:snapToGrid w:val="0"/>
        <w:spacing w:before="120" w:line="480" w:lineRule="exact"/>
        <w:ind w:leftChars="11" w:left="666" w:hangingChars="200" w:hanging="640"/>
        <w:jc w:val="both"/>
        <w:rPr>
          <w:rFonts w:ascii="標楷體" w:eastAsia="標楷體" w:hAnsi="標楷體"/>
          <w:color w:val="000000"/>
          <w:sz w:val="32"/>
          <w:szCs w:val="32"/>
        </w:rPr>
      </w:pPr>
      <w:r w:rsidRPr="00573D4D">
        <w:rPr>
          <w:rFonts w:ascii="標楷體" w:eastAsia="標楷體" w:hAnsi="標楷體" w:hint="eastAsia"/>
          <w:color w:val="000000"/>
          <w:sz w:val="32"/>
          <w:szCs w:val="32"/>
        </w:rPr>
        <w:t>(四)</w:t>
      </w:r>
      <w:r w:rsidRPr="00573D4D">
        <w:rPr>
          <w:rFonts w:ascii="標楷體" w:eastAsia="標楷體" w:hAnsi="標楷體"/>
          <w:color w:val="000000"/>
          <w:sz w:val="32"/>
          <w:szCs w:val="32"/>
        </w:rPr>
        <w:t>轉投資計畫：無列數。</w:t>
      </w:r>
    </w:p>
    <w:p w:rsidR="00A52DD2" w:rsidRPr="00573D4D" w:rsidRDefault="00A52DD2" w:rsidP="00F035E0">
      <w:pPr>
        <w:snapToGrid w:val="0"/>
        <w:spacing w:before="120" w:line="480" w:lineRule="exact"/>
        <w:ind w:leftChars="11" w:left="666" w:hangingChars="200" w:hanging="640"/>
        <w:jc w:val="both"/>
        <w:rPr>
          <w:rFonts w:ascii="標楷體" w:eastAsia="標楷體" w:hAnsi="標楷體"/>
          <w:color w:val="000000"/>
          <w:sz w:val="32"/>
          <w:szCs w:val="32"/>
        </w:rPr>
      </w:pPr>
      <w:r w:rsidRPr="00573D4D">
        <w:rPr>
          <w:rFonts w:ascii="標楷體" w:eastAsia="標楷體" w:hAnsi="標楷體" w:hint="eastAsia"/>
          <w:color w:val="000000"/>
          <w:sz w:val="32"/>
          <w:szCs w:val="32"/>
        </w:rPr>
        <w:t>(五)固定資產建設改良擴充：8,874萬1千元，照列。</w:t>
      </w:r>
    </w:p>
    <w:p w:rsidR="00A52DD2" w:rsidRPr="00573D4D" w:rsidRDefault="00A52DD2" w:rsidP="00F035E0">
      <w:pPr>
        <w:snapToGrid w:val="0"/>
        <w:spacing w:before="120" w:line="480" w:lineRule="exact"/>
        <w:ind w:leftChars="11" w:left="666" w:hangingChars="200" w:hanging="640"/>
        <w:jc w:val="both"/>
        <w:rPr>
          <w:rFonts w:ascii="標楷體" w:eastAsia="標楷體" w:hAnsi="標楷體"/>
          <w:bCs/>
          <w:sz w:val="32"/>
          <w:szCs w:val="32"/>
        </w:rPr>
      </w:pPr>
      <w:r w:rsidRPr="00573D4D">
        <w:rPr>
          <w:rFonts w:ascii="標楷體" w:eastAsia="標楷體" w:hAnsi="標楷體" w:hint="eastAsia"/>
          <w:color w:val="000000"/>
          <w:sz w:val="32"/>
          <w:szCs w:val="32"/>
        </w:rPr>
        <w:t>(六)國庫增撥基金額：7,470萬9千元，照列。</w:t>
      </w:r>
    </w:p>
    <w:p w:rsidR="00A52DD2" w:rsidRPr="00573D4D" w:rsidRDefault="00A52DD2" w:rsidP="00F035E0">
      <w:pPr>
        <w:snapToGrid w:val="0"/>
        <w:spacing w:beforeLines="50" w:before="180" w:line="500" w:lineRule="exact"/>
        <w:ind w:left="640" w:hangingChars="200" w:hanging="640"/>
        <w:jc w:val="both"/>
        <w:rPr>
          <w:rFonts w:ascii="標楷體" w:eastAsia="標楷體" w:hAnsi="標楷體"/>
          <w:color w:val="000000"/>
          <w:sz w:val="32"/>
          <w:szCs w:val="32"/>
        </w:rPr>
      </w:pPr>
      <w:r w:rsidRPr="00573D4D">
        <w:rPr>
          <w:rFonts w:ascii="標楷體" w:eastAsia="標楷體" w:hAnsi="標楷體" w:hint="eastAsia"/>
          <w:bCs/>
          <w:sz w:val="32"/>
          <w:szCs w:val="32"/>
        </w:rPr>
        <w:t>三、</w:t>
      </w:r>
      <w:r w:rsidRPr="00573D4D">
        <w:rPr>
          <w:rFonts w:ascii="標楷體" w:eastAsia="標楷體" w:hAnsi="標楷體" w:hint="eastAsia"/>
          <w:color w:val="000000"/>
          <w:sz w:val="32"/>
          <w:szCs w:val="32"/>
        </w:rPr>
        <w:t>112年度中央政府總預算案有關</w:t>
      </w:r>
      <w:r w:rsidRPr="00573D4D">
        <w:rPr>
          <w:rFonts w:ascii="標楷體" w:eastAsia="標楷體" w:hint="eastAsia"/>
          <w:color w:val="000000"/>
          <w:sz w:val="32"/>
          <w:szCs w:val="32"/>
        </w:rPr>
        <w:t>文化部主管文化發展基金</w:t>
      </w:r>
      <w:r>
        <w:rPr>
          <w:rFonts w:ascii="標楷體" w:eastAsia="標楷體" w:hint="eastAsia"/>
          <w:color w:val="000000"/>
          <w:sz w:val="32"/>
          <w:szCs w:val="32"/>
        </w:rPr>
        <w:t>附</w:t>
      </w:r>
      <w:r w:rsidRPr="00573D4D">
        <w:rPr>
          <w:rFonts w:ascii="標楷體" w:eastAsia="標楷體" w:hint="eastAsia"/>
          <w:color w:val="000000"/>
          <w:sz w:val="32"/>
          <w:szCs w:val="32"/>
        </w:rPr>
        <w:t>屬單位</w:t>
      </w:r>
      <w:r w:rsidRPr="00573D4D">
        <w:rPr>
          <w:rFonts w:ascii="標楷體" w:eastAsia="標楷體" w:hAnsi="標楷體" w:hint="eastAsia"/>
          <w:color w:val="000000"/>
          <w:sz w:val="32"/>
          <w:szCs w:val="32"/>
        </w:rPr>
        <w:t>預算案，審查完竣。審查結果如下：</w:t>
      </w:r>
    </w:p>
    <w:p w:rsidR="00A52DD2" w:rsidRPr="00573D4D" w:rsidRDefault="00A52DD2" w:rsidP="00F035E0">
      <w:pPr>
        <w:snapToGrid w:val="0"/>
        <w:spacing w:beforeLines="50" w:before="180" w:line="460" w:lineRule="exact"/>
        <w:rPr>
          <w:rFonts w:ascii="標楷體" w:eastAsia="標楷體"/>
          <w:b/>
          <w:color w:val="000000"/>
          <w:sz w:val="32"/>
          <w:szCs w:val="32"/>
        </w:rPr>
      </w:pPr>
      <w:r w:rsidRPr="00573D4D">
        <w:rPr>
          <w:rFonts w:ascii="標楷體" w:eastAsia="標楷體" w:hAnsi="標楷體" w:hint="eastAsia"/>
          <w:b/>
          <w:sz w:val="32"/>
          <w:szCs w:val="32"/>
        </w:rPr>
        <w:t>文化發展</w:t>
      </w:r>
      <w:r w:rsidRPr="00573D4D">
        <w:rPr>
          <w:rFonts w:ascii="標楷體" w:eastAsia="標楷體" w:hint="eastAsia"/>
          <w:b/>
          <w:color w:val="000000"/>
          <w:sz w:val="32"/>
          <w:szCs w:val="32"/>
        </w:rPr>
        <w:t>基金</w:t>
      </w:r>
    </w:p>
    <w:p w:rsidR="00A52DD2" w:rsidRPr="00573D4D" w:rsidRDefault="00A52DD2" w:rsidP="00F035E0">
      <w:pPr>
        <w:snapToGrid w:val="0"/>
        <w:spacing w:before="120" w:line="440" w:lineRule="exact"/>
        <w:ind w:leftChars="11" w:left="666" w:hangingChars="200" w:hanging="640"/>
        <w:jc w:val="both"/>
        <w:rPr>
          <w:rFonts w:ascii="標楷體" w:eastAsia="標楷體" w:hAnsi="標楷體"/>
          <w:color w:val="000000"/>
          <w:sz w:val="32"/>
          <w:szCs w:val="32"/>
        </w:rPr>
      </w:pPr>
      <w:r w:rsidRPr="00573D4D">
        <w:rPr>
          <w:rFonts w:ascii="標楷體" w:eastAsia="標楷體" w:hAnsi="標楷體" w:hint="eastAsia"/>
          <w:color w:val="000000"/>
          <w:sz w:val="32"/>
          <w:szCs w:val="32"/>
        </w:rPr>
        <w:t>(一)</w:t>
      </w:r>
      <w:r w:rsidRPr="00573D4D">
        <w:rPr>
          <w:rFonts w:ascii="標楷體" w:eastAsia="標楷體" w:hAnsi="標楷體"/>
          <w:color w:val="000000"/>
          <w:sz w:val="32"/>
          <w:szCs w:val="32"/>
        </w:rPr>
        <w:t>業務計畫：</w:t>
      </w:r>
      <w:r w:rsidRPr="00573D4D">
        <w:rPr>
          <w:rFonts w:ascii="標楷體" w:eastAsia="標楷體" w:hAnsi="標楷體" w:hint="eastAsia"/>
          <w:color w:val="000000"/>
          <w:sz w:val="32"/>
          <w:szCs w:val="32"/>
        </w:rPr>
        <w:t>應依據基金來源與用途審查結果，隨同調整。</w:t>
      </w:r>
    </w:p>
    <w:p w:rsidR="00A52DD2" w:rsidRPr="00573D4D" w:rsidRDefault="00A52DD2" w:rsidP="00F035E0">
      <w:pPr>
        <w:snapToGrid w:val="0"/>
        <w:spacing w:before="120" w:line="440" w:lineRule="exact"/>
        <w:ind w:leftChars="11" w:left="666" w:hangingChars="200" w:hanging="640"/>
        <w:jc w:val="both"/>
        <w:rPr>
          <w:rFonts w:ascii="標楷體" w:eastAsia="標楷體" w:hAnsi="標楷體"/>
          <w:color w:val="000000"/>
          <w:sz w:val="32"/>
          <w:szCs w:val="32"/>
        </w:rPr>
      </w:pPr>
      <w:r w:rsidRPr="00573D4D">
        <w:rPr>
          <w:rFonts w:ascii="標楷體" w:eastAsia="標楷體" w:hAnsi="標楷體" w:hint="eastAsia"/>
          <w:color w:val="000000"/>
          <w:sz w:val="32"/>
          <w:szCs w:val="32"/>
        </w:rPr>
        <w:t>(二)</w:t>
      </w:r>
      <w:r w:rsidRPr="00573D4D">
        <w:rPr>
          <w:rFonts w:ascii="標楷體" w:eastAsia="標楷體" w:hAnsi="標楷體"/>
          <w:color w:val="000000"/>
          <w:sz w:val="32"/>
          <w:szCs w:val="32"/>
        </w:rPr>
        <w:t>業務收支：</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color w:val="000000"/>
          <w:sz w:val="32"/>
          <w:szCs w:val="32"/>
        </w:rPr>
      </w:pPr>
      <w:r w:rsidRPr="00573D4D">
        <w:rPr>
          <w:rFonts w:ascii="標楷體" w:eastAsia="標楷體" w:hAnsi="標楷體" w:hint="eastAsia"/>
          <w:color w:val="000000"/>
          <w:sz w:val="32"/>
          <w:szCs w:val="32"/>
        </w:rPr>
        <w:t>1.基金來源</w:t>
      </w:r>
      <w:r w:rsidRPr="00573D4D">
        <w:rPr>
          <w:rFonts w:ascii="標楷體" w:eastAsia="標楷體" w:hAnsi="標楷體"/>
          <w:color w:val="000000"/>
          <w:sz w:val="32"/>
          <w:szCs w:val="32"/>
        </w:rPr>
        <w:t>：</w:t>
      </w:r>
      <w:r w:rsidRPr="00573D4D">
        <w:rPr>
          <w:rFonts w:ascii="標楷體" w:eastAsia="標楷體" w:hAnsi="標楷體" w:hint="eastAsia"/>
          <w:color w:val="000000"/>
          <w:sz w:val="32"/>
          <w:szCs w:val="32"/>
        </w:rPr>
        <w:t>2億5,000萬元</w:t>
      </w:r>
      <w:r w:rsidRPr="00573D4D">
        <w:rPr>
          <w:rFonts w:ascii="標楷體" w:eastAsia="標楷體" w:hAnsi="標楷體"/>
          <w:color w:val="000000"/>
          <w:sz w:val="32"/>
          <w:szCs w:val="32"/>
        </w:rPr>
        <w:t>，</w:t>
      </w:r>
      <w:r w:rsidRPr="00573D4D">
        <w:rPr>
          <w:rFonts w:ascii="標楷體" w:eastAsia="標楷體" w:hAnsi="標楷體" w:hint="eastAsia"/>
          <w:color w:val="000000"/>
          <w:sz w:val="32"/>
          <w:szCs w:val="32"/>
        </w:rPr>
        <w:t>照列。</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color w:val="000000"/>
          <w:sz w:val="32"/>
          <w:szCs w:val="32"/>
        </w:rPr>
      </w:pPr>
      <w:r w:rsidRPr="00573D4D">
        <w:rPr>
          <w:rFonts w:ascii="標楷體" w:eastAsia="標楷體" w:hAnsi="標楷體" w:hint="eastAsia"/>
          <w:color w:val="000000"/>
          <w:sz w:val="32"/>
          <w:szCs w:val="32"/>
        </w:rPr>
        <w:t>2.基金用途</w:t>
      </w:r>
      <w:r w:rsidRPr="00573D4D">
        <w:rPr>
          <w:rFonts w:ascii="標楷體" w:eastAsia="標楷體" w:hAnsi="標楷體"/>
          <w:color w:val="000000"/>
          <w:sz w:val="32"/>
          <w:szCs w:val="32"/>
        </w:rPr>
        <w:t>：</w:t>
      </w:r>
      <w:r w:rsidRPr="00573D4D">
        <w:rPr>
          <w:rFonts w:ascii="標楷體" w:eastAsia="標楷體" w:hAnsi="標楷體" w:hint="eastAsia"/>
          <w:color w:val="000000"/>
          <w:sz w:val="32"/>
          <w:szCs w:val="32"/>
        </w:rPr>
        <w:t>2億2,910萬元</w:t>
      </w:r>
      <w:r w:rsidRPr="00573D4D">
        <w:rPr>
          <w:rFonts w:ascii="標楷體" w:eastAsia="標楷體" w:hAnsi="標楷體"/>
          <w:color w:val="000000"/>
          <w:sz w:val="32"/>
          <w:szCs w:val="32"/>
        </w:rPr>
        <w:t>，</w:t>
      </w:r>
      <w:r w:rsidRPr="00573D4D">
        <w:rPr>
          <w:rFonts w:ascii="標楷體" w:eastAsia="標楷體" w:hAnsi="標楷體" w:hint="eastAsia"/>
          <w:color w:val="000000"/>
          <w:sz w:val="32"/>
          <w:szCs w:val="32"/>
        </w:rPr>
        <w:t>照列</w:t>
      </w:r>
      <w:r w:rsidRPr="00573D4D">
        <w:rPr>
          <w:rFonts w:ascii="標楷體" w:eastAsia="標楷體" w:hAnsi="標楷體"/>
          <w:color w:val="000000"/>
          <w:sz w:val="32"/>
          <w:szCs w:val="32"/>
        </w:rPr>
        <w:t>。</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color w:val="000000"/>
          <w:sz w:val="32"/>
          <w:szCs w:val="32"/>
        </w:rPr>
      </w:pPr>
      <w:r w:rsidRPr="00573D4D">
        <w:rPr>
          <w:rFonts w:ascii="標楷體" w:eastAsia="標楷體" w:hAnsi="標楷體" w:hint="eastAsia"/>
          <w:color w:val="000000"/>
          <w:sz w:val="32"/>
          <w:szCs w:val="32"/>
        </w:rPr>
        <w:t>3.</w:t>
      </w:r>
      <w:r w:rsidRPr="00573D4D">
        <w:rPr>
          <w:rFonts w:ascii="標楷體" w:eastAsia="標楷體" w:hAnsi="標楷體"/>
          <w:color w:val="000000"/>
          <w:sz w:val="32"/>
          <w:szCs w:val="32"/>
        </w:rPr>
        <w:t>本期</w:t>
      </w:r>
      <w:r w:rsidRPr="00573D4D">
        <w:rPr>
          <w:rFonts w:ascii="標楷體" w:eastAsia="標楷體" w:hAnsi="標楷體" w:hint="eastAsia"/>
          <w:color w:val="000000"/>
          <w:sz w:val="32"/>
          <w:szCs w:val="32"/>
        </w:rPr>
        <w:t>賸餘</w:t>
      </w:r>
      <w:r w:rsidRPr="00573D4D">
        <w:rPr>
          <w:rFonts w:ascii="標楷體" w:eastAsia="標楷體" w:hAnsi="標楷體"/>
          <w:color w:val="000000"/>
          <w:sz w:val="32"/>
          <w:szCs w:val="32"/>
        </w:rPr>
        <w:t>：</w:t>
      </w:r>
      <w:r w:rsidRPr="00573D4D">
        <w:rPr>
          <w:rFonts w:ascii="標楷體" w:eastAsia="標楷體" w:hAnsi="標楷體" w:hint="eastAsia"/>
          <w:color w:val="000000"/>
          <w:sz w:val="32"/>
          <w:szCs w:val="32"/>
        </w:rPr>
        <w:t>2,090萬元</w:t>
      </w:r>
      <w:r w:rsidRPr="00573D4D">
        <w:rPr>
          <w:rFonts w:ascii="標楷體" w:eastAsia="標楷體" w:hAnsi="標楷體"/>
          <w:color w:val="000000"/>
          <w:sz w:val="32"/>
          <w:szCs w:val="32"/>
        </w:rPr>
        <w:t>，</w:t>
      </w:r>
      <w:r w:rsidRPr="00573D4D">
        <w:rPr>
          <w:rFonts w:ascii="標楷體" w:eastAsia="標楷體" w:hAnsi="標楷體" w:hint="eastAsia"/>
          <w:color w:val="000000"/>
          <w:sz w:val="32"/>
          <w:szCs w:val="32"/>
        </w:rPr>
        <w:t>照列。</w:t>
      </w:r>
    </w:p>
    <w:p w:rsidR="00A52DD2" w:rsidRPr="00573D4D" w:rsidRDefault="00A52DD2" w:rsidP="00F035E0">
      <w:pPr>
        <w:snapToGrid w:val="0"/>
        <w:spacing w:before="120" w:line="440" w:lineRule="exact"/>
        <w:ind w:leftChars="11" w:left="666" w:hangingChars="200" w:hanging="640"/>
        <w:jc w:val="both"/>
        <w:rPr>
          <w:rFonts w:ascii="標楷體" w:eastAsia="標楷體" w:hAnsi="標楷體"/>
          <w:color w:val="000000"/>
          <w:sz w:val="32"/>
          <w:szCs w:val="32"/>
        </w:rPr>
      </w:pPr>
      <w:r w:rsidRPr="00573D4D">
        <w:rPr>
          <w:rFonts w:ascii="標楷體" w:eastAsia="標楷體" w:hAnsi="標楷體" w:hint="eastAsia"/>
          <w:color w:val="000000"/>
          <w:sz w:val="32"/>
          <w:szCs w:val="32"/>
        </w:rPr>
        <w:t>(三)</w:t>
      </w:r>
      <w:r w:rsidRPr="00573D4D">
        <w:rPr>
          <w:rFonts w:ascii="標楷體" w:eastAsia="標楷體" w:hAnsi="標楷體"/>
          <w:color w:val="000000"/>
          <w:sz w:val="32"/>
          <w:szCs w:val="32"/>
        </w:rPr>
        <w:t>解繳</w:t>
      </w:r>
      <w:r w:rsidRPr="00573D4D">
        <w:rPr>
          <w:rFonts w:ascii="標楷體" w:eastAsia="標楷體" w:hAnsi="標楷體" w:hint="eastAsia"/>
          <w:color w:val="000000"/>
          <w:sz w:val="32"/>
          <w:szCs w:val="32"/>
        </w:rPr>
        <w:t>公</w:t>
      </w:r>
      <w:r w:rsidRPr="00573D4D">
        <w:rPr>
          <w:rFonts w:ascii="標楷體" w:eastAsia="標楷體" w:hAnsi="標楷體"/>
          <w:color w:val="000000"/>
          <w:sz w:val="32"/>
          <w:szCs w:val="32"/>
        </w:rPr>
        <w:t>庫淨額：無列數。</w:t>
      </w:r>
    </w:p>
    <w:p w:rsidR="00A52DD2" w:rsidRPr="00573D4D" w:rsidRDefault="00A52DD2" w:rsidP="00F035E0">
      <w:pPr>
        <w:snapToGrid w:val="0"/>
        <w:spacing w:before="120" w:line="440" w:lineRule="exact"/>
        <w:ind w:leftChars="11" w:left="666" w:hangingChars="200" w:hanging="640"/>
        <w:jc w:val="both"/>
        <w:rPr>
          <w:rFonts w:ascii="標楷體" w:eastAsia="標楷體" w:hAnsi="標楷體"/>
          <w:sz w:val="32"/>
          <w:szCs w:val="32"/>
        </w:rPr>
      </w:pPr>
      <w:r w:rsidRPr="00573D4D">
        <w:rPr>
          <w:rFonts w:ascii="標楷體" w:eastAsia="標楷體" w:hAnsi="標楷體" w:hint="eastAsia"/>
          <w:sz w:val="32"/>
          <w:szCs w:val="32"/>
        </w:rPr>
        <w:t>(四)通過</w:t>
      </w:r>
      <w:r w:rsidRPr="00573D4D">
        <w:rPr>
          <w:rFonts w:ascii="標楷體" w:eastAsia="標楷體" w:hAnsi="標楷體" w:hint="eastAsia"/>
          <w:color w:val="000000"/>
          <w:sz w:val="32"/>
          <w:szCs w:val="32"/>
        </w:rPr>
        <w:t>決議5</w:t>
      </w:r>
      <w:r w:rsidRPr="00573D4D">
        <w:rPr>
          <w:rFonts w:ascii="標楷體" w:eastAsia="標楷體" w:hAnsi="標楷體" w:hint="eastAsia"/>
          <w:sz w:val="32"/>
          <w:szCs w:val="32"/>
        </w:rPr>
        <w:t>項：</w:t>
      </w:r>
    </w:p>
    <w:p w:rsidR="00A52DD2" w:rsidRPr="00573D4D" w:rsidRDefault="00A52DD2" w:rsidP="00F035E0">
      <w:pPr>
        <w:overflowPunct w:val="0"/>
        <w:spacing w:line="500" w:lineRule="exact"/>
        <w:ind w:leftChars="150" w:left="680" w:hangingChars="100" w:hanging="320"/>
        <w:jc w:val="both"/>
        <w:rPr>
          <w:rFonts w:ascii="標楷體" w:eastAsia="標楷體" w:hAnsi="標楷體"/>
          <w:sz w:val="32"/>
          <w:szCs w:val="32"/>
        </w:rPr>
      </w:pPr>
      <w:r w:rsidRPr="00573D4D">
        <w:rPr>
          <w:rFonts w:ascii="標楷體" w:eastAsia="標楷體" w:hAnsi="標楷體" w:hint="eastAsia"/>
          <w:sz w:val="32"/>
          <w:szCs w:val="32"/>
        </w:rPr>
        <w:t>1.文化發展基金係依據「文化基本法」第24條第2項規定：「文化部應設置文化發展基金，辦理文化發展及公共媒體等相關事項。」設立，期盼藉由基金提供相關文化事務推動穩定財源，該項基金施政重點有：1.辦理公共藝術相關計畫；2.傳統工藝及美術等購藏計畫；3.多元文化友善平權推動計畫等。然112年度文化發展基金「基金來源」預算僅編列2億5</w:t>
      </w:r>
      <w:r w:rsidRPr="00573D4D">
        <w:rPr>
          <w:rFonts w:ascii="標楷體" w:eastAsia="標楷體" w:hAnsi="標楷體"/>
          <w:sz w:val="32"/>
          <w:szCs w:val="32"/>
        </w:rPr>
        <w:t>,</w:t>
      </w:r>
      <w:r w:rsidRPr="00573D4D">
        <w:rPr>
          <w:rFonts w:ascii="標楷體" w:eastAsia="標楷體" w:hAnsi="標楷體" w:hint="eastAsia"/>
          <w:sz w:val="32"/>
          <w:szCs w:val="32"/>
        </w:rPr>
        <w:t>000萬元，而財團法人公共電視文化事業基金會所屬TaiwanPlus項目極有可能使用到文化發展基金，若是如此，將會嚴重排擠傳統工藝保存發展、美術購藏等項目之預算；為避免基金預算遭濫用，</w:t>
      </w:r>
      <w:r w:rsidRPr="00573D4D">
        <w:rPr>
          <w:rFonts w:ascii="標楷體" w:eastAsia="標楷體" w:hAnsi="標楷體" w:hint="eastAsia"/>
          <w:sz w:val="32"/>
          <w:szCs w:val="32"/>
        </w:rPr>
        <w:lastRenderedPageBreak/>
        <w:t>而失去其設立目的，爰要求文化部不得流用上述112年度經費辦理公共媒體相關業務。5</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提案人：吳怡玎  鄭正鈐  黃國書</w:t>
      </w:r>
    </w:p>
    <w:p w:rsidR="00A52DD2" w:rsidRPr="00573D4D" w:rsidRDefault="00A52DD2" w:rsidP="00F035E0">
      <w:pPr>
        <w:overflowPunct w:val="0"/>
        <w:spacing w:line="500" w:lineRule="exact"/>
        <w:ind w:leftChars="150" w:left="680" w:hangingChars="100" w:hanging="320"/>
        <w:jc w:val="both"/>
        <w:rPr>
          <w:rFonts w:ascii="標楷體" w:eastAsia="標楷體" w:hAnsi="標楷體"/>
          <w:sz w:val="32"/>
          <w:szCs w:val="32"/>
        </w:rPr>
      </w:pPr>
      <w:r w:rsidRPr="00573D4D">
        <w:rPr>
          <w:rFonts w:ascii="標楷體" w:eastAsia="標楷體" w:hAnsi="標楷體" w:hint="eastAsia"/>
          <w:sz w:val="32"/>
          <w:szCs w:val="32"/>
        </w:rPr>
        <w:t>2</w:t>
      </w:r>
      <w:r w:rsidRPr="00573D4D">
        <w:rPr>
          <w:rFonts w:ascii="標楷體" w:eastAsia="標楷體" w:hAnsi="標楷體"/>
          <w:sz w:val="32"/>
          <w:szCs w:val="32"/>
        </w:rPr>
        <w:t>.</w:t>
      </w:r>
      <w:r w:rsidRPr="00573D4D">
        <w:rPr>
          <w:rFonts w:ascii="標楷體" w:eastAsia="標楷體" w:hAnsi="標楷體" w:hint="eastAsia"/>
          <w:sz w:val="32"/>
          <w:szCs w:val="32"/>
        </w:rPr>
        <w:t>文化發展基金初期核心業務先以「購藏」為主，購藏範圍涵蓋畫作、工藝品、傳統藝術等藝術作品，以支持台灣藝術家，特別是傳統工藝、美術等類別。然國內博物館多設有藝術作品徵集審查機制，如：國立故宮博物院訂定「國立故宮博物院藏品徵集辦法」，其藏品之徵集係採三級三審制，文物徵集如遇有合適標的，須先經資料蒐集、辨別真偽、確認來源及合理鑑價等過程，續行預審、初審、複審3階段審查，再經議價程序等，始得購入。考量文化發展基金初期核心業務以購藏為主，但預算有限，若基金用途主要係購置公共藝術、傳統工藝與美術作品等，允宜訂定一致性購藏規範，促使收購各類藝術品之標準與程序有所依據，將基金資源妥善配置並得以發揮最大效益。綜上，文化發展基金應訂定藝術作品購藏或徵集法規，爰請文化部於</w:t>
      </w:r>
      <w:r w:rsidRPr="00573D4D">
        <w:rPr>
          <w:rFonts w:ascii="標楷體" w:eastAsia="標楷體" w:hAnsi="標楷體"/>
          <w:sz w:val="32"/>
          <w:szCs w:val="32"/>
        </w:rPr>
        <w:t>6</w:t>
      </w:r>
      <w:r w:rsidRPr="00573D4D">
        <w:rPr>
          <w:rFonts w:ascii="標楷體" w:eastAsia="標楷體" w:hAnsi="標楷體" w:hint="eastAsia"/>
          <w:sz w:val="32"/>
          <w:szCs w:val="32"/>
        </w:rPr>
        <w:t>個月內向立法院教育及文化委員會提出書面報告。6</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提案人：黃國書</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連署人：林宜瑾  鄭正鈐</w:t>
      </w:r>
    </w:p>
    <w:p w:rsidR="00A52DD2" w:rsidRPr="00573D4D" w:rsidRDefault="00A52DD2" w:rsidP="00F035E0">
      <w:pPr>
        <w:overflowPunct w:val="0"/>
        <w:spacing w:line="500" w:lineRule="exact"/>
        <w:ind w:leftChars="150" w:left="680" w:hangingChars="100" w:hanging="320"/>
        <w:jc w:val="both"/>
        <w:rPr>
          <w:rFonts w:ascii="標楷體" w:eastAsia="標楷體" w:hAnsi="標楷體"/>
          <w:sz w:val="32"/>
          <w:szCs w:val="32"/>
        </w:rPr>
      </w:pPr>
      <w:r w:rsidRPr="00573D4D">
        <w:rPr>
          <w:rFonts w:ascii="標楷體" w:eastAsia="標楷體" w:hAnsi="標楷體" w:hint="eastAsia"/>
          <w:sz w:val="32"/>
          <w:szCs w:val="32"/>
        </w:rPr>
        <w:t>3</w:t>
      </w:r>
      <w:r w:rsidRPr="00573D4D">
        <w:rPr>
          <w:rFonts w:ascii="標楷體" w:eastAsia="標楷體" w:hAnsi="標楷體"/>
          <w:sz w:val="32"/>
          <w:szCs w:val="32"/>
        </w:rPr>
        <w:t>.</w:t>
      </w:r>
      <w:r w:rsidRPr="00573D4D">
        <w:rPr>
          <w:rFonts w:ascii="標楷體" w:eastAsia="標楷體" w:hAnsi="標楷體" w:hint="eastAsia"/>
          <w:sz w:val="32"/>
          <w:szCs w:val="32"/>
        </w:rPr>
        <w:t>112年度文化發展基金「辦理公共藝術相關計畫」預算編列6,000萬元：包括辦理公共藝術相關活動及作品購藏等5,000 萬元、補助政府機關(構)及捐助民間文化藝術相關團體辦理公共藝術推展事務等1,000萬元。以國立故宮博物院為例，故宮為辦理古文物與藝術品之徵集事項，特訂定「國立故宮博物院收藏品徵集辦法」，其藏品之徵集係採三級三審制，文物徵集如遇有合適標的，須先經資料蒐集、辦別真偽、確認來源及合理鑑價等過程，續行預審、初審、複審三階段審查，再經議價程序等，始得購入。詢據文化部表示，有關公共藝術相關計畫</w:t>
      </w:r>
      <w:r w:rsidRPr="00573D4D">
        <w:rPr>
          <w:rFonts w:ascii="標楷體" w:eastAsia="標楷體" w:hAnsi="標楷體" w:hint="eastAsia"/>
          <w:sz w:val="32"/>
          <w:szCs w:val="32"/>
        </w:rPr>
        <w:lastRenderedPageBreak/>
        <w:t>與傳統工藝、美術等購藏計畫之執行面，未來將依「文化發展基金收支保管及運用辦法」予以審查，或由基金管理會召開會議討論後依決議辦理，或部分購藏按現行規定如「國立傳統藝術中心典藏原則」等辦理。考量文化發展基金初期核心業務以購藏為主，又基金用途主要係購置公共藝術、傳統工藝與美術作品等，允宜訂定一致性購藏規範，促使收購各類藝術品之標準與程序有所依據，俾基金資源妥善配置以發揮最大效益。為避免收購各類藝術品之標準與程序不一，俾利基金資源妥善配置以發揮最大效益，請文化部向立法院教育及文化委員會提出「檢討藝術品徵集收購標準與程序」之書面報告。2</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提案人：賴品妤</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連署人：陳秀寳  黃國書</w:t>
      </w:r>
    </w:p>
    <w:p w:rsidR="00A52DD2" w:rsidRPr="00573D4D" w:rsidRDefault="00A52DD2" w:rsidP="00F035E0">
      <w:pPr>
        <w:overflowPunct w:val="0"/>
        <w:spacing w:line="500" w:lineRule="exact"/>
        <w:ind w:leftChars="150" w:left="680" w:hangingChars="100" w:hanging="320"/>
        <w:jc w:val="both"/>
        <w:rPr>
          <w:rFonts w:ascii="標楷體" w:eastAsia="標楷體" w:hAnsi="標楷體"/>
          <w:sz w:val="32"/>
          <w:szCs w:val="32"/>
        </w:rPr>
      </w:pPr>
      <w:r w:rsidRPr="00573D4D">
        <w:rPr>
          <w:rFonts w:ascii="標楷體" w:eastAsia="標楷體" w:hAnsi="標楷體" w:hint="eastAsia"/>
          <w:sz w:val="32"/>
          <w:szCs w:val="32"/>
        </w:rPr>
        <w:t>4.112年度文化發展基金「傳統工藝、美術等購藏計畫」預算編列1億4,030萬元，包括辦理臺灣工藝獎得獎作品、青年工藝作品、工藝成就獎作品、工藝史相關之重要及指標性物件等購藏計畫5,000萬元；傳統工藝保存者共作展示、文化資產傳統修復技術之共作與購置等2,000萬元；購藏傳統工藝保存者作品、無文資身分但具有一定藝術價值之名家作品及具文資古物潛力價值之重要傳統工藝文物等4,030萬元；博物館文物購藏及相關委託調查研究等3,000萬元。以國立故宮博物院為例，故宮為辦理古文物與藝術品之徵集事項，特訂定「國立故宮博物院藏品徵集辦法」，其藏品之徵集係採三級三審制，文物徵集如遇有合適標的，須先經資料蒐集、辦別真偽、確認來源及合理鑑價等過程，續行預審、初審、複審三階段審查，再經議價程序等，始得購入。詢據文化部表示，有關公共藝術相關計畫與傳統工藝、美術等購藏計畫之執行面，未來將依文化發展基金收支保管及運用辦法予以審查，或由基金管理會召開會議討論後依決議辦理，或部分購藏按現行規定如「國立傳統藝術</w:t>
      </w:r>
      <w:r w:rsidRPr="00573D4D">
        <w:rPr>
          <w:rFonts w:ascii="標楷體" w:eastAsia="標楷體" w:hAnsi="標楷體" w:hint="eastAsia"/>
          <w:sz w:val="32"/>
          <w:szCs w:val="32"/>
        </w:rPr>
        <w:lastRenderedPageBreak/>
        <w:t>中心典藏原則」等辦理。考量文化發展基金初期核心業務以購藏為主，又基金用途主要係購置公共藝術、傳統工藝與美術作品等，允宜訂定一致性購藏規範，促使收購各類藝術品之標準與程序有所依據，俾基金資源妥善配置並發揮最大效益。為避免收購各類藝術品之標準與程序不一，俾利基金資源妥善配置以發揮最大效益，爰此請文化部業務單位提出「檢討藝術品徵集收購標準與程序」之書面報告。3</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提案人：賴品妤</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連署人：陳秀寳  黃國書</w:t>
      </w:r>
    </w:p>
    <w:p w:rsidR="00A52DD2" w:rsidRPr="00573D4D" w:rsidRDefault="00A52DD2" w:rsidP="00F035E0">
      <w:pPr>
        <w:overflowPunct w:val="0"/>
        <w:spacing w:line="500" w:lineRule="exact"/>
        <w:ind w:leftChars="150" w:left="680" w:hangingChars="100" w:hanging="320"/>
        <w:jc w:val="both"/>
        <w:rPr>
          <w:rFonts w:ascii="標楷體" w:eastAsia="標楷體" w:hAnsi="標楷體"/>
          <w:sz w:val="32"/>
          <w:szCs w:val="32"/>
        </w:rPr>
      </w:pPr>
      <w:r w:rsidRPr="00573D4D">
        <w:rPr>
          <w:rFonts w:ascii="標楷體" w:eastAsia="標楷體" w:hAnsi="標楷體" w:hint="eastAsia"/>
          <w:sz w:val="32"/>
          <w:szCs w:val="32"/>
        </w:rPr>
        <w:t>5.文化發展基金為表達對藝術家之支持，目前主要任務以「購藏」為主，其購藏所涵蓋範圍包含畫作、工藝品、傳統藝術等藝術作品，而未來有關公共藝術相關計畫與傳统工藝、美術等購藏計畫之執行面，未來將依文化發展基金收支保管及運用辦法或依基金管理會召開會議討論後依決議辦理。然文化發展基金用以提升文化部轄下之館舍館藏文物數量，對於改善各館文物之館藏品質亦有至關重要之作用，以豐富民眾人文生活之所需。是故，文化部為完備文物購藏機制，應參酌國立故宮博物院，就辦理古文物與藝術品之徵集事項，制定相關一致性之徵集辦法，或採三级三審制，以避免收購各類藝術品之標準與程序不一，爰請文化部於6個月內向立法院教育及文化委員會提出書面報告。4</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提案人：林宜瑾</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連署人：黃國書  吳思瑤</w:t>
      </w:r>
    </w:p>
    <w:p w:rsidR="00A52DD2" w:rsidRPr="00573D4D" w:rsidRDefault="00A52DD2" w:rsidP="00F035E0">
      <w:pPr>
        <w:snapToGrid w:val="0"/>
        <w:spacing w:beforeLines="50" w:before="180" w:line="500" w:lineRule="exact"/>
        <w:ind w:left="640" w:hangingChars="200" w:hanging="640"/>
        <w:jc w:val="both"/>
        <w:rPr>
          <w:rFonts w:ascii="標楷體" w:eastAsia="標楷體" w:hAnsi="標楷體"/>
          <w:sz w:val="32"/>
          <w:szCs w:val="32"/>
        </w:rPr>
      </w:pPr>
      <w:r w:rsidRPr="00573D4D">
        <w:rPr>
          <w:rFonts w:ascii="標楷體" w:eastAsia="標楷體" w:hAnsi="標楷體" w:hint="eastAsia"/>
          <w:bCs/>
          <w:sz w:val="32"/>
          <w:szCs w:val="32"/>
        </w:rPr>
        <w:t>四、</w:t>
      </w:r>
      <w:r w:rsidRPr="00573D4D">
        <w:rPr>
          <w:rFonts w:ascii="標楷體" w:eastAsia="標楷體" w:hAnsi="標楷體" w:hint="eastAsia"/>
          <w:sz w:val="32"/>
          <w:szCs w:val="32"/>
        </w:rPr>
        <w:t>112年度行政法人國家表演藝術中心預算案</w:t>
      </w:r>
      <w:r w:rsidRPr="00573D4D">
        <w:rPr>
          <w:rFonts w:ascii="新細明體" w:hAnsi="新細明體" w:hint="eastAsia"/>
          <w:sz w:val="32"/>
          <w:szCs w:val="32"/>
        </w:rPr>
        <w:t>，</w:t>
      </w:r>
      <w:r w:rsidRPr="00573D4D">
        <w:rPr>
          <w:rFonts w:ascii="標楷體" w:eastAsia="標楷體" w:hAnsi="標楷體" w:hint="eastAsia"/>
          <w:sz w:val="32"/>
          <w:szCs w:val="32"/>
        </w:rPr>
        <w:t>審查完竣，擬具審查報告，提報院會，不須交由黨團協商，院會討論時，由鄭召集委員正鈐出席說明。審查結果如下：</w:t>
      </w:r>
    </w:p>
    <w:p w:rsidR="00DC0A81" w:rsidRDefault="00DC0A81">
      <w:pPr>
        <w:widowControl/>
        <w:rPr>
          <w:rFonts w:ascii="標楷體" w:eastAsia="標楷體" w:hAnsi="標楷體"/>
          <w:b/>
          <w:sz w:val="32"/>
          <w:szCs w:val="32"/>
        </w:rPr>
      </w:pPr>
      <w:r>
        <w:rPr>
          <w:rFonts w:ascii="標楷體" w:eastAsia="標楷體" w:hAnsi="標楷體"/>
          <w:b/>
          <w:sz w:val="32"/>
          <w:szCs w:val="32"/>
        </w:rPr>
        <w:br w:type="page"/>
      </w:r>
    </w:p>
    <w:p w:rsidR="00A52DD2" w:rsidRPr="00573D4D" w:rsidRDefault="00A52DD2" w:rsidP="00F035E0">
      <w:pPr>
        <w:snapToGrid w:val="0"/>
        <w:spacing w:beforeLines="50" w:before="180" w:line="460" w:lineRule="exact"/>
        <w:rPr>
          <w:rFonts w:ascii="標楷體" w:eastAsia="標楷體" w:hAnsi="標楷體"/>
          <w:b/>
          <w:sz w:val="32"/>
          <w:szCs w:val="32"/>
        </w:rPr>
      </w:pPr>
      <w:r w:rsidRPr="00573D4D">
        <w:rPr>
          <w:rFonts w:ascii="標楷體" w:eastAsia="標楷體" w:hAnsi="標楷體" w:hint="eastAsia"/>
          <w:b/>
          <w:sz w:val="32"/>
          <w:szCs w:val="32"/>
        </w:rPr>
        <w:lastRenderedPageBreak/>
        <w:t>國家表演藝術中心112年度預算書案</w:t>
      </w:r>
    </w:p>
    <w:p w:rsidR="00A52DD2" w:rsidRPr="00573D4D" w:rsidRDefault="00A52DD2" w:rsidP="00F035E0">
      <w:pPr>
        <w:snapToGrid w:val="0"/>
        <w:spacing w:before="120" w:line="440" w:lineRule="exact"/>
        <w:ind w:leftChars="11" w:left="666" w:hangingChars="200" w:hanging="640"/>
        <w:jc w:val="both"/>
        <w:rPr>
          <w:rFonts w:ascii="標楷體" w:eastAsia="標楷體" w:hAnsi="標楷體"/>
          <w:snapToGrid w:val="0"/>
          <w:sz w:val="32"/>
          <w:szCs w:val="32"/>
        </w:rPr>
      </w:pPr>
      <w:r w:rsidRPr="00573D4D">
        <w:rPr>
          <w:rFonts w:ascii="標楷體" w:eastAsia="標楷體" w:hAnsi="標楷體" w:hint="eastAsia"/>
          <w:snapToGrid w:val="0"/>
          <w:sz w:val="32"/>
          <w:szCs w:val="32"/>
        </w:rPr>
        <w:t>(一)</w:t>
      </w:r>
      <w:r w:rsidRPr="00573D4D">
        <w:rPr>
          <w:rFonts w:ascii="標楷體" w:eastAsia="標楷體" w:hAnsi="標楷體"/>
          <w:snapToGrid w:val="0"/>
          <w:sz w:val="32"/>
          <w:szCs w:val="32"/>
        </w:rPr>
        <w:t>業務計畫：應依據業務收支、固定資產建設改良擴充及資金運用等項之審查結果，隨同調整。</w:t>
      </w:r>
    </w:p>
    <w:p w:rsidR="00A52DD2" w:rsidRPr="00573D4D" w:rsidRDefault="00A52DD2" w:rsidP="00F035E0">
      <w:pPr>
        <w:snapToGrid w:val="0"/>
        <w:spacing w:before="120" w:line="440" w:lineRule="exact"/>
        <w:ind w:leftChars="11" w:left="666" w:hangingChars="200" w:hanging="640"/>
        <w:jc w:val="both"/>
        <w:rPr>
          <w:rFonts w:ascii="標楷體" w:eastAsia="標楷體" w:hAnsi="標楷體"/>
          <w:snapToGrid w:val="0"/>
          <w:sz w:val="32"/>
          <w:szCs w:val="32"/>
        </w:rPr>
      </w:pPr>
      <w:r w:rsidRPr="00573D4D">
        <w:rPr>
          <w:rFonts w:ascii="標楷體" w:eastAsia="標楷體" w:hAnsi="標楷體" w:hint="eastAsia"/>
          <w:snapToGrid w:val="0"/>
          <w:sz w:val="32"/>
          <w:szCs w:val="32"/>
        </w:rPr>
        <w:t>(</w:t>
      </w:r>
      <w:r w:rsidRPr="00573D4D">
        <w:rPr>
          <w:rFonts w:ascii="標楷體" w:eastAsia="標楷體" w:hAnsi="標楷體"/>
          <w:snapToGrid w:val="0"/>
          <w:sz w:val="32"/>
          <w:szCs w:val="32"/>
        </w:rPr>
        <w:t>二</w:t>
      </w:r>
      <w:r w:rsidRPr="00573D4D">
        <w:rPr>
          <w:rFonts w:ascii="標楷體" w:eastAsia="標楷體" w:hAnsi="標楷體" w:hint="eastAsia"/>
          <w:snapToGrid w:val="0"/>
          <w:sz w:val="32"/>
          <w:szCs w:val="32"/>
        </w:rPr>
        <w:t>)</w:t>
      </w:r>
      <w:r w:rsidRPr="00573D4D">
        <w:rPr>
          <w:rFonts w:ascii="標楷體" w:eastAsia="標楷體" w:hAnsi="標楷體"/>
          <w:snapToGrid w:val="0"/>
          <w:sz w:val="32"/>
          <w:szCs w:val="32"/>
        </w:rPr>
        <w:t>業務收支：</w:t>
      </w:r>
    </w:p>
    <w:p w:rsidR="00A52DD2" w:rsidRPr="00573D4D" w:rsidRDefault="00A52DD2" w:rsidP="00F035E0">
      <w:pPr>
        <w:kinsoku w:val="0"/>
        <w:overflowPunct w:val="0"/>
        <w:spacing w:before="120" w:line="500" w:lineRule="exact"/>
        <w:ind w:leftChars="150" w:left="680" w:hangingChars="100" w:hanging="320"/>
        <w:jc w:val="both"/>
        <w:textAlignment w:val="center"/>
        <w:rPr>
          <w:rFonts w:ascii="標楷體" w:eastAsia="標楷體" w:hAnsi="標楷體"/>
          <w:snapToGrid w:val="0"/>
          <w:color w:val="000000"/>
          <w:sz w:val="32"/>
          <w:szCs w:val="32"/>
        </w:rPr>
      </w:pPr>
      <w:r w:rsidRPr="00573D4D">
        <w:rPr>
          <w:rFonts w:ascii="標楷體" w:eastAsia="標楷體" w:hAnsi="標楷體" w:hint="eastAsia"/>
          <w:snapToGrid w:val="0"/>
          <w:sz w:val="32"/>
          <w:szCs w:val="32"/>
        </w:rPr>
        <w:t>1.</w:t>
      </w:r>
      <w:r w:rsidRPr="00573D4D">
        <w:rPr>
          <w:rFonts w:ascii="標楷體" w:eastAsia="標楷體" w:hAnsi="標楷體"/>
          <w:snapToGrid w:val="0"/>
          <w:sz w:val="32"/>
          <w:szCs w:val="32"/>
        </w:rPr>
        <w:t>業務總收入：</w:t>
      </w:r>
      <w:r w:rsidRPr="00573D4D">
        <w:rPr>
          <w:rFonts w:ascii="標楷體" w:eastAsia="標楷體" w:hAnsi="標楷體" w:hint="eastAsia"/>
          <w:snapToGrid w:val="0"/>
          <w:color w:val="000000"/>
          <w:sz w:val="32"/>
          <w:szCs w:val="32"/>
        </w:rPr>
        <w:t>34億6,655萬4千元</w:t>
      </w:r>
      <w:r w:rsidRPr="00573D4D">
        <w:rPr>
          <w:rFonts w:ascii="標楷體" w:eastAsia="標楷體" w:hAnsi="標楷體"/>
          <w:snapToGrid w:val="0"/>
          <w:color w:val="000000"/>
          <w:sz w:val="32"/>
          <w:szCs w:val="32"/>
        </w:rPr>
        <w:t>，</w:t>
      </w:r>
      <w:r w:rsidRPr="00573D4D">
        <w:rPr>
          <w:rFonts w:ascii="標楷體" w:eastAsia="標楷體" w:hAnsi="標楷體" w:hint="eastAsia"/>
          <w:snapToGrid w:val="0"/>
          <w:color w:val="000000"/>
          <w:sz w:val="32"/>
          <w:szCs w:val="32"/>
        </w:rPr>
        <w:t>照列</w:t>
      </w:r>
      <w:r w:rsidRPr="00573D4D">
        <w:rPr>
          <w:rFonts w:ascii="標楷體" w:eastAsia="標楷體" w:hAnsi="標楷體"/>
          <w:snapToGrid w:val="0"/>
          <w:color w:val="000000"/>
          <w:sz w:val="32"/>
          <w:szCs w:val="32"/>
        </w:rPr>
        <w:t>。</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573D4D">
        <w:rPr>
          <w:rFonts w:ascii="標楷體" w:eastAsia="標楷體" w:hAnsi="標楷體" w:hint="eastAsia"/>
          <w:snapToGrid w:val="0"/>
          <w:color w:val="000000"/>
          <w:sz w:val="32"/>
          <w:szCs w:val="32"/>
        </w:rPr>
        <w:t>2.</w:t>
      </w:r>
      <w:r w:rsidRPr="00573D4D">
        <w:rPr>
          <w:rFonts w:ascii="標楷體" w:eastAsia="標楷體" w:hAnsi="標楷體"/>
          <w:snapToGrid w:val="0"/>
          <w:color w:val="000000"/>
          <w:sz w:val="32"/>
          <w:szCs w:val="32"/>
        </w:rPr>
        <w:t>業務總支出：</w:t>
      </w:r>
      <w:r w:rsidRPr="00573D4D">
        <w:rPr>
          <w:rFonts w:ascii="標楷體" w:eastAsia="標楷體" w:hAnsi="標楷體" w:hint="eastAsia"/>
          <w:color w:val="000000"/>
          <w:sz w:val="32"/>
          <w:szCs w:val="40"/>
        </w:rPr>
        <w:t>35億3,360萬1千元</w:t>
      </w:r>
      <w:r w:rsidRPr="00573D4D">
        <w:rPr>
          <w:rFonts w:ascii="標楷體" w:eastAsia="標楷體" w:hAnsi="標楷體"/>
          <w:snapToGrid w:val="0"/>
          <w:color w:val="000000"/>
          <w:sz w:val="32"/>
          <w:szCs w:val="32"/>
        </w:rPr>
        <w:t>，照列。</w:t>
      </w:r>
    </w:p>
    <w:p w:rsidR="00A52DD2" w:rsidRPr="00573D4D" w:rsidRDefault="00A52DD2" w:rsidP="00F035E0">
      <w:pPr>
        <w:kinsoku w:val="0"/>
        <w:overflowPunct w:val="0"/>
        <w:spacing w:before="120" w:line="500" w:lineRule="exact"/>
        <w:ind w:leftChars="150" w:left="680" w:hangingChars="100" w:hanging="320"/>
        <w:jc w:val="both"/>
        <w:textAlignment w:val="center"/>
        <w:rPr>
          <w:rFonts w:ascii="標楷體" w:eastAsia="標楷體" w:hAnsi="標楷體"/>
          <w:snapToGrid w:val="0"/>
          <w:color w:val="000000"/>
          <w:sz w:val="32"/>
          <w:szCs w:val="32"/>
        </w:rPr>
      </w:pPr>
      <w:r w:rsidRPr="00573D4D">
        <w:rPr>
          <w:rFonts w:ascii="標楷體" w:eastAsia="標楷體" w:hAnsi="標楷體" w:hint="eastAsia"/>
          <w:snapToGrid w:val="0"/>
          <w:color w:val="000000"/>
          <w:sz w:val="32"/>
          <w:szCs w:val="32"/>
        </w:rPr>
        <w:t>3.</w:t>
      </w:r>
      <w:r w:rsidRPr="00573D4D">
        <w:rPr>
          <w:rFonts w:ascii="標楷體" w:eastAsia="標楷體" w:hAnsi="標楷體"/>
          <w:snapToGrid w:val="0"/>
          <w:color w:val="000000"/>
          <w:sz w:val="32"/>
          <w:szCs w:val="32"/>
        </w:rPr>
        <w:t>本期</w:t>
      </w:r>
      <w:r w:rsidRPr="00573D4D">
        <w:rPr>
          <w:rFonts w:ascii="標楷體" w:eastAsia="標楷體" w:hAnsi="標楷體" w:hint="eastAsia"/>
          <w:snapToGrid w:val="0"/>
          <w:color w:val="000000"/>
          <w:sz w:val="32"/>
          <w:szCs w:val="32"/>
        </w:rPr>
        <w:t>短絀</w:t>
      </w:r>
      <w:r w:rsidRPr="00573D4D">
        <w:rPr>
          <w:rFonts w:ascii="標楷體" w:eastAsia="標楷體" w:hAnsi="標楷體"/>
          <w:snapToGrid w:val="0"/>
          <w:color w:val="000000"/>
          <w:sz w:val="32"/>
          <w:szCs w:val="32"/>
        </w:rPr>
        <w:t>：</w:t>
      </w:r>
      <w:r w:rsidRPr="00573D4D">
        <w:rPr>
          <w:rFonts w:ascii="標楷體" w:eastAsia="標楷體" w:hAnsi="標楷體" w:hint="eastAsia"/>
          <w:color w:val="000000"/>
          <w:sz w:val="32"/>
          <w:szCs w:val="40"/>
        </w:rPr>
        <w:t>6,704萬7千元</w:t>
      </w:r>
      <w:r w:rsidRPr="00573D4D">
        <w:rPr>
          <w:rFonts w:ascii="標楷體" w:eastAsia="標楷體" w:hAnsi="標楷體"/>
          <w:snapToGrid w:val="0"/>
          <w:color w:val="000000"/>
          <w:sz w:val="32"/>
          <w:szCs w:val="32"/>
        </w:rPr>
        <w:t>，</w:t>
      </w:r>
      <w:r w:rsidRPr="00573D4D">
        <w:rPr>
          <w:rFonts w:ascii="標楷體" w:eastAsia="標楷體" w:hAnsi="標楷體" w:hint="eastAsia"/>
          <w:snapToGrid w:val="0"/>
          <w:color w:val="000000"/>
          <w:sz w:val="32"/>
          <w:szCs w:val="32"/>
        </w:rPr>
        <w:t>照列</w:t>
      </w:r>
      <w:r w:rsidRPr="00573D4D">
        <w:rPr>
          <w:rFonts w:ascii="標楷體" w:eastAsia="標楷體" w:hAnsi="標楷體"/>
          <w:snapToGrid w:val="0"/>
          <w:color w:val="000000"/>
          <w:sz w:val="32"/>
          <w:szCs w:val="32"/>
        </w:rPr>
        <w:t>。</w:t>
      </w:r>
    </w:p>
    <w:p w:rsidR="00A52DD2" w:rsidRPr="00573D4D" w:rsidRDefault="00A52DD2" w:rsidP="00F035E0">
      <w:pPr>
        <w:snapToGrid w:val="0"/>
        <w:spacing w:before="120" w:line="440" w:lineRule="exact"/>
        <w:ind w:leftChars="11" w:left="666" w:hangingChars="200" w:hanging="640"/>
        <w:jc w:val="both"/>
        <w:rPr>
          <w:rFonts w:ascii="標楷體" w:eastAsia="標楷體" w:hAnsi="標楷體"/>
          <w:snapToGrid w:val="0"/>
          <w:color w:val="000000"/>
          <w:sz w:val="32"/>
          <w:szCs w:val="32"/>
        </w:rPr>
      </w:pPr>
      <w:r w:rsidRPr="00573D4D">
        <w:rPr>
          <w:rFonts w:ascii="標楷體" w:eastAsia="標楷體" w:hAnsi="標楷體" w:hint="eastAsia"/>
          <w:snapToGrid w:val="0"/>
          <w:color w:val="000000"/>
          <w:sz w:val="32"/>
          <w:szCs w:val="32"/>
        </w:rPr>
        <w:t>(</w:t>
      </w:r>
      <w:r w:rsidRPr="00573D4D">
        <w:rPr>
          <w:rFonts w:ascii="標楷體" w:eastAsia="標楷體" w:hAnsi="標楷體"/>
          <w:snapToGrid w:val="0"/>
          <w:color w:val="000000"/>
          <w:sz w:val="32"/>
          <w:szCs w:val="32"/>
        </w:rPr>
        <w:t>三</w:t>
      </w:r>
      <w:r w:rsidRPr="00573D4D">
        <w:rPr>
          <w:rFonts w:ascii="標楷體" w:eastAsia="標楷體" w:hAnsi="標楷體" w:hint="eastAsia"/>
          <w:snapToGrid w:val="0"/>
          <w:color w:val="000000"/>
          <w:sz w:val="32"/>
          <w:szCs w:val="32"/>
        </w:rPr>
        <w:t>)</w:t>
      </w:r>
      <w:r w:rsidRPr="00573D4D">
        <w:rPr>
          <w:rFonts w:ascii="標楷體" w:eastAsia="標楷體" w:hAnsi="標楷體"/>
          <w:snapToGrid w:val="0"/>
          <w:color w:val="000000"/>
          <w:sz w:val="32"/>
          <w:szCs w:val="32"/>
        </w:rPr>
        <w:t>固定資產建設改良擴充：</w:t>
      </w:r>
      <w:r w:rsidRPr="00573D4D">
        <w:rPr>
          <w:rFonts w:ascii="標楷體" w:eastAsia="標楷體" w:hAnsi="標楷體" w:hint="eastAsia"/>
          <w:color w:val="000000"/>
          <w:sz w:val="32"/>
          <w:szCs w:val="40"/>
        </w:rPr>
        <w:t>1億9,906萬7千元</w:t>
      </w:r>
      <w:r w:rsidRPr="00573D4D">
        <w:rPr>
          <w:rFonts w:ascii="標楷體" w:eastAsia="標楷體" w:hAnsi="標楷體"/>
          <w:snapToGrid w:val="0"/>
          <w:color w:val="000000"/>
          <w:sz w:val="32"/>
          <w:szCs w:val="32"/>
        </w:rPr>
        <w:t>，照列。</w:t>
      </w:r>
    </w:p>
    <w:p w:rsidR="00A52DD2" w:rsidRPr="00573D4D" w:rsidRDefault="00A52DD2" w:rsidP="00F035E0">
      <w:pPr>
        <w:snapToGrid w:val="0"/>
        <w:spacing w:before="120" w:line="440" w:lineRule="exact"/>
        <w:ind w:leftChars="11" w:left="666" w:hangingChars="200" w:hanging="640"/>
        <w:jc w:val="both"/>
        <w:rPr>
          <w:rFonts w:ascii="標楷體" w:eastAsia="標楷體" w:hAnsi="標楷體"/>
          <w:snapToGrid w:val="0"/>
          <w:sz w:val="32"/>
          <w:szCs w:val="32"/>
        </w:rPr>
      </w:pPr>
      <w:r w:rsidRPr="00573D4D">
        <w:rPr>
          <w:rFonts w:ascii="標楷體" w:eastAsia="標楷體" w:hAnsi="標楷體" w:hint="eastAsia"/>
          <w:snapToGrid w:val="0"/>
          <w:color w:val="000000"/>
          <w:sz w:val="32"/>
          <w:szCs w:val="32"/>
        </w:rPr>
        <w:t>(</w:t>
      </w:r>
      <w:r w:rsidRPr="00573D4D">
        <w:rPr>
          <w:rFonts w:ascii="標楷體" w:eastAsia="標楷體" w:hAnsi="標楷體"/>
          <w:snapToGrid w:val="0"/>
          <w:color w:val="000000"/>
          <w:sz w:val="32"/>
          <w:szCs w:val="32"/>
        </w:rPr>
        <w:t>四</w:t>
      </w:r>
      <w:r w:rsidRPr="00573D4D">
        <w:rPr>
          <w:rFonts w:ascii="標楷體" w:eastAsia="標楷體" w:hAnsi="標楷體" w:hint="eastAsia"/>
          <w:snapToGrid w:val="0"/>
          <w:color w:val="000000"/>
          <w:sz w:val="32"/>
          <w:szCs w:val="32"/>
        </w:rPr>
        <w:t>)</w:t>
      </w:r>
      <w:r w:rsidRPr="00573D4D">
        <w:rPr>
          <w:rFonts w:ascii="標楷體" w:eastAsia="標楷體" w:hAnsi="標楷體"/>
          <w:snapToGrid w:val="0"/>
          <w:color w:val="000000"/>
          <w:sz w:val="32"/>
          <w:szCs w:val="32"/>
        </w:rPr>
        <w:t>資金運用：應依據業務收支及固定資產之建設改良擴充等項之</w:t>
      </w:r>
      <w:r w:rsidRPr="00573D4D">
        <w:rPr>
          <w:rFonts w:ascii="標楷體" w:eastAsia="標楷體" w:hAnsi="標楷體"/>
          <w:snapToGrid w:val="0"/>
          <w:sz w:val="32"/>
          <w:szCs w:val="32"/>
        </w:rPr>
        <w:t>審查結果，隨同調整。</w:t>
      </w:r>
    </w:p>
    <w:p w:rsidR="00A52DD2" w:rsidRPr="00573D4D" w:rsidRDefault="00A52DD2" w:rsidP="00F035E0">
      <w:pPr>
        <w:snapToGrid w:val="0"/>
        <w:spacing w:before="120" w:line="440" w:lineRule="exact"/>
        <w:ind w:leftChars="11" w:left="666" w:hangingChars="200" w:hanging="640"/>
        <w:jc w:val="both"/>
        <w:rPr>
          <w:rFonts w:ascii="標楷體" w:eastAsia="標楷體" w:hAnsi="標楷體"/>
          <w:snapToGrid w:val="0"/>
          <w:sz w:val="32"/>
          <w:szCs w:val="32"/>
        </w:rPr>
      </w:pPr>
      <w:r w:rsidRPr="00573D4D">
        <w:rPr>
          <w:rFonts w:ascii="標楷體" w:eastAsia="標楷體" w:hAnsi="標楷體" w:hint="eastAsia"/>
          <w:snapToGrid w:val="0"/>
          <w:sz w:val="32"/>
          <w:szCs w:val="32"/>
        </w:rPr>
        <w:t>(</w:t>
      </w:r>
      <w:r w:rsidRPr="00573D4D">
        <w:rPr>
          <w:rFonts w:ascii="標楷體" w:eastAsia="標楷體" w:hAnsi="標楷體"/>
          <w:snapToGrid w:val="0"/>
          <w:sz w:val="32"/>
          <w:szCs w:val="32"/>
        </w:rPr>
        <w:t>五</w:t>
      </w:r>
      <w:r w:rsidRPr="00573D4D">
        <w:rPr>
          <w:rFonts w:ascii="標楷體" w:eastAsia="標楷體" w:hAnsi="標楷體" w:hint="eastAsia"/>
          <w:snapToGrid w:val="0"/>
          <w:sz w:val="32"/>
          <w:szCs w:val="32"/>
        </w:rPr>
        <w:t>)通過決議10項：</w:t>
      </w:r>
    </w:p>
    <w:p w:rsidR="00A52DD2" w:rsidRPr="00573D4D" w:rsidRDefault="00A52DD2" w:rsidP="00F035E0">
      <w:pPr>
        <w:overflowPunct w:val="0"/>
        <w:spacing w:line="500" w:lineRule="exact"/>
        <w:ind w:leftChars="150" w:left="680" w:hangingChars="100" w:hanging="320"/>
        <w:jc w:val="both"/>
        <w:rPr>
          <w:rFonts w:ascii="標楷體" w:eastAsia="標楷體" w:hAnsi="標楷體"/>
          <w:sz w:val="32"/>
          <w:szCs w:val="32"/>
        </w:rPr>
      </w:pPr>
      <w:r w:rsidRPr="00573D4D">
        <w:rPr>
          <w:rFonts w:ascii="標楷體" w:eastAsia="標楷體" w:hAnsi="標楷體" w:hint="eastAsia"/>
          <w:sz w:val="32"/>
          <w:szCs w:val="32"/>
        </w:rPr>
        <w:t>1.OPENTIX兩廳院文化生活售票平台於110年4月1日正式上線後，以行動優先、使用體驗為目標，打造眾人的、永續經營的文化生活平台，除表演藝術票券銷售，還進一步延伸至展覽、影展、博物館、流行音樂及文創等更多元的產品內容，持續累積及創造國內重要的文化數據與分析，期許成為亞洲具指標性的售票平台。根據「OPENTIX兩廳院文化生活2021年度數據報告」內文，110年累計約21萬人次的會員、其中有消費之會員占比七成；和超過800家藝文團隊合作進行票券代售、藝文單位會員服務合作12家。文化部於立法院教育及文化委員會針對「推動文化禮金規劃辦理情形」進行專題報告內指出，預計會在112年3月對青年發放「文化成年禮」1</w:t>
      </w:r>
      <w:r w:rsidRPr="00573D4D">
        <w:rPr>
          <w:rFonts w:ascii="標楷體" w:eastAsia="標楷體" w:hAnsi="標楷體"/>
          <w:sz w:val="32"/>
          <w:szCs w:val="32"/>
        </w:rPr>
        <w:t>,</w:t>
      </w:r>
      <w:r w:rsidRPr="00573D4D">
        <w:rPr>
          <w:rFonts w:ascii="標楷體" w:eastAsia="標楷體" w:hAnsi="標楷體" w:hint="eastAsia"/>
          <w:sz w:val="32"/>
          <w:szCs w:val="32"/>
        </w:rPr>
        <w:t>200元，希望鼓勵青年接觸更多元的藝文活動，並由兩廳院OPENTIX平台負責執行。然而OPENTIX平台上的藝文活動多集中六都，不僅須注意城鄉差距；且經查目前OPENTIX平台上多為公營藝文單位（行政法人國家表演藝術中心國家兩廳院、臺中國家歌劇院、衛武營國家藝術文化中心、行政法人國家電影及視聽文化中心、臺</w:t>
      </w:r>
      <w:r w:rsidRPr="00573D4D">
        <w:rPr>
          <w:rFonts w:ascii="標楷體" w:eastAsia="標楷體" w:hAnsi="標楷體" w:hint="eastAsia"/>
          <w:sz w:val="32"/>
          <w:szCs w:val="32"/>
        </w:rPr>
        <w:lastRenderedPageBreak/>
        <w:t>中市政府文化局、臺北表演藝術中心等），許多民間藝文團體、商業藝文活動票券系統並未在OPENTIX平台上架</w:t>
      </w:r>
      <w:r>
        <w:rPr>
          <w:rFonts w:ascii="標楷體" w:eastAsia="標楷體" w:hAnsi="標楷體" w:hint="eastAsia"/>
          <w:sz w:val="32"/>
          <w:szCs w:val="32"/>
        </w:rPr>
        <w:t>。</w:t>
      </w:r>
      <w:r w:rsidRPr="00573D4D">
        <w:rPr>
          <w:rFonts w:ascii="標楷體" w:eastAsia="標楷體" w:hAnsi="標楷體" w:hint="eastAsia"/>
          <w:sz w:val="32"/>
          <w:szCs w:val="32"/>
        </w:rPr>
        <w:t>爰請行政法人國家表演藝術中心國家兩廳院儘速研擬提升民間藝文活動上架OPENTIX平台比例、以及文化禮金應擴大至其他民間藝文售票系統相關作為，俾利國內各項藝文活動之推展。6</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提案人：何欣純</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連署人：吳思瑤  黃國書</w:t>
      </w:r>
    </w:p>
    <w:p w:rsidR="00A52DD2" w:rsidRPr="00573D4D" w:rsidRDefault="00A52DD2" w:rsidP="00F035E0">
      <w:pPr>
        <w:overflowPunct w:val="0"/>
        <w:spacing w:line="500" w:lineRule="exact"/>
        <w:ind w:leftChars="150" w:left="680" w:hangingChars="100" w:hanging="320"/>
        <w:jc w:val="both"/>
        <w:rPr>
          <w:rFonts w:ascii="標楷體" w:eastAsia="標楷體" w:hAnsi="標楷體"/>
          <w:sz w:val="32"/>
          <w:szCs w:val="32"/>
        </w:rPr>
      </w:pPr>
      <w:r w:rsidRPr="00573D4D">
        <w:rPr>
          <w:rFonts w:ascii="標楷體" w:eastAsia="標楷體" w:hAnsi="標楷體" w:hint="eastAsia"/>
          <w:sz w:val="32"/>
          <w:szCs w:val="32"/>
        </w:rPr>
        <w:t>2.111年7月底OPENTIX系統註冊會員人數及活躍會員人數仍低於舊系統，年度活躍會員比率已由65%下降至34%，行政法人國家表演藝術中心新售票系統OPENTIX於110年4月正式營運，取代舊「兩廳院售票系統」，迄111年7月底註冊會員人數41萬餘人，年度活躍會員比率34%，應積極提升OPENTIX註冊會員人數之策，俾利其帶動藝文消費及建構。避免預算遭濫用虛擲，使其發揮應有之功能性。應規劃更具務實性。爰要求行政法人國家表演藝術中心國家兩廳院於2週內向立法院教育及文化委員會提出改善方案書面報告。7</w:t>
      </w:r>
    </w:p>
    <w:tbl>
      <w:tblPr>
        <w:tblW w:w="0" w:type="auto"/>
        <w:tblInd w:w="1302" w:type="dxa"/>
        <w:tblCellMar>
          <w:top w:w="15" w:type="dxa"/>
          <w:left w:w="15" w:type="dxa"/>
          <w:bottom w:w="15" w:type="dxa"/>
          <w:right w:w="15" w:type="dxa"/>
        </w:tblCellMar>
        <w:tblLook w:val="04A0" w:firstRow="1" w:lastRow="0" w:firstColumn="1" w:lastColumn="0" w:noHBand="0" w:noVBand="1"/>
      </w:tblPr>
      <w:tblGrid>
        <w:gridCol w:w="2600"/>
        <w:gridCol w:w="1829"/>
        <w:gridCol w:w="1410"/>
        <w:gridCol w:w="1096"/>
        <w:gridCol w:w="1107"/>
      </w:tblGrid>
      <w:tr w:rsidR="00A52DD2" w:rsidRPr="00573D4D" w:rsidTr="00F035E0">
        <w:trPr>
          <w:tblHeader/>
        </w:trPr>
        <w:tc>
          <w:tcPr>
            <w:tcW w:w="2600" w:type="dxa"/>
            <w:tcBorders>
              <w:top w:val="single" w:sz="12"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hideMark/>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snapToGrid w:val="0"/>
                <w:szCs w:val="28"/>
              </w:rPr>
              <w:t>系統別</w:t>
            </w:r>
          </w:p>
        </w:tc>
        <w:tc>
          <w:tcPr>
            <w:tcW w:w="1829" w:type="dxa"/>
            <w:tcBorders>
              <w:top w:val="single" w:sz="12"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A52DD2" w:rsidRPr="00573D4D" w:rsidRDefault="00A52DD2" w:rsidP="00F035E0">
            <w:pPr>
              <w:spacing w:line="280" w:lineRule="exact"/>
              <w:ind w:rightChars="-37" w:right="-89"/>
              <w:jc w:val="center"/>
              <w:rPr>
                <w:rFonts w:ascii="標楷體" w:eastAsia="標楷體" w:hAnsi="標楷體"/>
                <w:snapToGrid w:val="0"/>
                <w:szCs w:val="28"/>
              </w:rPr>
            </w:pPr>
            <w:r w:rsidRPr="00573D4D">
              <w:rPr>
                <w:rFonts w:ascii="標楷體" w:eastAsia="標楷體" w:hAnsi="標楷體"/>
                <w:snapToGrid w:val="0"/>
                <w:szCs w:val="28"/>
              </w:rPr>
              <w:t>兩廳院售票系統</w:t>
            </w:r>
          </w:p>
        </w:tc>
        <w:tc>
          <w:tcPr>
            <w:tcW w:w="3613" w:type="dxa"/>
            <w:gridSpan w:val="3"/>
            <w:tcBorders>
              <w:top w:val="single" w:sz="12" w:space="0" w:color="000000"/>
              <w:left w:val="single" w:sz="6" w:space="0" w:color="000000"/>
              <w:bottom w:val="single" w:sz="4" w:space="0" w:color="auto"/>
              <w:right w:val="single" w:sz="12" w:space="0" w:color="000000"/>
            </w:tcBorders>
            <w:tcMar>
              <w:top w:w="0" w:type="dxa"/>
              <w:left w:w="108" w:type="dxa"/>
              <w:bottom w:w="0" w:type="dxa"/>
              <w:right w:w="108" w:type="dxa"/>
            </w:tcMar>
            <w:vAlign w:val="center"/>
            <w:hideMark/>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snapToGrid w:val="0"/>
                <w:szCs w:val="28"/>
              </w:rPr>
              <w:t>OPENTIX</w:t>
            </w:r>
          </w:p>
        </w:tc>
      </w:tr>
      <w:tr w:rsidR="00A52DD2" w:rsidRPr="00573D4D" w:rsidTr="00F035E0">
        <w:tc>
          <w:tcPr>
            <w:tcW w:w="2600" w:type="dxa"/>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hideMark/>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hint="eastAsia"/>
                <w:snapToGrid w:val="0"/>
                <w:szCs w:val="28"/>
              </w:rPr>
              <w:t>期間</w:t>
            </w:r>
          </w:p>
        </w:tc>
        <w:tc>
          <w:tcPr>
            <w:tcW w:w="18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A52DD2" w:rsidRPr="00573D4D" w:rsidRDefault="00A52DD2" w:rsidP="00F035E0">
            <w:pPr>
              <w:spacing w:line="280" w:lineRule="exact"/>
              <w:ind w:rightChars="-27" w:right="-65"/>
              <w:jc w:val="center"/>
              <w:rPr>
                <w:rFonts w:ascii="標楷體" w:eastAsia="標楷體" w:hAnsi="標楷體"/>
                <w:snapToGrid w:val="0"/>
                <w:szCs w:val="28"/>
              </w:rPr>
            </w:pPr>
            <w:r w:rsidRPr="00573D4D">
              <w:rPr>
                <w:rFonts w:ascii="標楷體" w:eastAsia="標楷體" w:hAnsi="標楷體" w:hint="eastAsia"/>
                <w:snapToGrid w:val="0"/>
                <w:szCs w:val="28"/>
              </w:rPr>
              <w:t>93</w:t>
            </w:r>
            <w:r w:rsidRPr="00573D4D">
              <w:rPr>
                <w:rFonts w:ascii="標楷體" w:eastAsia="標楷體" w:hAnsi="標楷體"/>
                <w:snapToGrid w:val="0"/>
                <w:szCs w:val="28"/>
              </w:rPr>
              <w:t>年</w:t>
            </w:r>
            <w:r w:rsidRPr="00573D4D">
              <w:rPr>
                <w:rFonts w:ascii="標楷體" w:eastAsia="標楷體" w:hAnsi="標楷體" w:hint="eastAsia"/>
                <w:snapToGrid w:val="0"/>
                <w:szCs w:val="28"/>
              </w:rPr>
              <w:t>至</w:t>
            </w:r>
          </w:p>
          <w:p w:rsidR="00A52DD2" w:rsidRPr="00573D4D" w:rsidRDefault="00A52DD2" w:rsidP="00F035E0">
            <w:pPr>
              <w:spacing w:line="280" w:lineRule="exact"/>
              <w:ind w:rightChars="-27" w:right="-65"/>
              <w:jc w:val="center"/>
              <w:rPr>
                <w:rFonts w:ascii="標楷體" w:eastAsia="標楷體" w:hAnsi="標楷體"/>
                <w:snapToGrid w:val="0"/>
                <w:szCs w:val="28"/>
              </w:rPr>
            </w:pPr>
            <w:r w:rsidRPr="00573D4D">
              <w:rPr>
                <w:rFonts w:ascii="標楷體" w:eastAsia="標楷體" w:hAnsi="標楷體" w:hint="eastAsia"/>
                <w:snapToGrid w:val="0"/>
                <w:szCs w:val="28"/>
              </w:rPr>
              <w:t>110年3月底</w:t>
            </w:r>
          </w:p>
        </w:tc>
        <w:tc>
          <w:tcPr>
            <w:tcW w:w="1410" w:type="dxa"/>
            <w:tcBorders>
              <w:top w:val="single" w:sz="4" w:space="0" w:color="auto"/>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hint="eastAsia"/>
                <w:snapToGrid w:val="0"/>
                <w:szCs w:val="28"/>
              </w:rPr>
              <w:t>109年底</w:t>
            </w:r>
            <w:r w:rsidRPr="00573D4D">
              <w:rPr>
                <w:rFonts w:ascii="標楷體" w:eastAsia="標楷體" w:hAnsi="標楷體"/>
                <w:snapToGrid w:val="0"/>
                <w:szCs w:val="28"/>
              </w:rPr>
              <w:t>(11月起試營運)</w:t>
            </w:r>
          </w:p>
        </w:tc>
        <w:tc>
          <w:tcPr>
            <w:tcW w:w="1096" w:type="dxa"/>
            <w:tcBorders>
              <w:top w:val="single" w:sz="4" w:space="0" w:color="auto"/>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A52DD2" w:rsidRPr="00573D4D" w:rsidRDefault="00A52DD2" w:rsidP="00F035E0">
            <w:pPr>
              <w:spacing w:line="280" w:lineRule="exact"/>
              <w:ind w:rightChars="-39" w:right="-94"/>
              <w:jc w:val="center"/>
              <w:rPr>
                <w:rFonts w:ascii="標楷體" w:eastAsia="標楷體" w:hAnsi="標楷體"/>
                <w:snapToGrid w:val="0"/>
                <w:szCs w:val="28"/>
              </w:rPr>
            </w:pPr>
            <w:r w:rsidRPr="00573D4D">
              <w:rPr>
                <w:rFonts w:ascii="標楷體" w:eastAsia="標楷體" w:hAnsi="標楷體" w:hint="eastAsia"/>
                <w:snapToGrid w:val="0"/>
                <w:szCs w:val="28"/>
              </w:rPr>
              <w:t>110</w:t>
            </w:r>
            <w:r w:rsidRPr="00573D4D">
              <w:rPr>
                <w:rFonts w:ascii="標楷體" w:eastAsia="標楷體" w:hAnsi="標楷體"/>
                <w:snapToGrid w:val="0"/>
                <w:szCs w:val="28"/>
              </w:rPr>
              <w:t>年</w:t>
            </w:r>
            <w:r w:rsidRPr="00573D4D">
              <w:rPr>
                <w:rFonts w:ascii="標楷體" w:eastAsia="標楷體" w:hAnsi="標楷體" w:hint="eastAsia"/>
                <w:snapToGrid w:val="0"/>
                <w:szCs w:val="28"/>
              </w:rPr>
              <w:t>底</w:t>
            </w:r>
          </w:p>
        </w:tc>
        <w:tc>
          <w:tcPr>
            <w:tcW w:w="1107" w:type="dxa"/>
            <w:tcBorders>
              <w:top w:val="single" w:sz="4" w:space="0" w:color="auto"/>
              <w:left w:val="single" w:sz="6" w:space="0" w:color="000000"/>
              <w:bottom w:val="single" w:sz="6" w:space="0" w:color="000000"/>
              <w:right w:val="single" w:sz="12" w:space="0" w:color="000000"/>
            </w:tcBorders>
            <w:tcMar>
              <w:top w:w="0" w:type="dxa"/>
              <w:left w:w="108" w:type="dxa"/>
              <w:bottom w:w="0" w:type="dxa"/>
              <w:right w:w="108" w:type="dxa"/>
            </w:tcMar>
            <w:vAlign w:val="center"/>
            <w:hideMark/>
          </w:tcPr>
          <w:p w:rsidR="00A52DD2" w:rsidRPr="00573D4D" w:rsidRDefault="00A52DD2" w:rsidP="00F035E0">
            <w:pPr>
              <w:spacing w:line="280" w:lineRule="exact"/>
              <w:ind w:rightChars="-28" w:right="-67"/>
              <w:jc w:val="center"/>
              <w:rPr>
                <w:rFonts w:ascii="標楷體" w:eastAsia="標楷體" w:hAnsi="標楷體"/>
                <w:snapToGrid w:val="0"/>
                <w:szCs w:val="28"/>
              </w:rPr>
            </w:pPr>
            <w:r w:rsidRPr="00573D4D">
              <w:rPr>
                <w:rFonts w:ascii="標楷體" w:eastAsia="標楷體" w:hAnsi="標楷體" w:hint="eastAsia"/>
                <w:snapToGrid w:val="0"/>
                <w:szCs w:val="28"/>
              </w:rPr>
              <w:t>111年</w:t>
            </w:r>
          </w:p>
          <w:p w:rsidR="00A52DD2" w:rsidRPr="00573D4D" w:rsidRDefault="00A52DD2" w:rsidP="00F035E0">
            <w:pPr>
              <w:spacing w:line="280" w:lineRule="exact"/>
              <w:ind w:rightChars="-28" w:right="-67"/>
              <w:jc w:val="center"/>
              <w:rPr>
                <w:rFonts w:ascii="標楷體" w:eastAsia="標楷體" w:hAnsi="標楷體"/>
                <w:snapToGrid w:val="0"/>
                <w:szCs w:val="28"/>
              </w:rPr>
            </w:pPr>
            <w:r w:rsidRPr="00573D4D">
              <w:rPr>
                <w:rFonts w:ascii="標楷體" w:eastAsia="標楷體" w:hAnsi="標楷體"/>
                <w:snapToGrid w:val="0"/>
                <w:szCs w:val="28"/>
              </w:rPr>
              <w:t>7月底</w:t>
            </w:r>
          </w:p>
        </w:tc>
      </w:tr>
      <w:tr w:rsidR="00A52DD2" w:rsidRPr="00573D4D" w:rsidTr="00F035E0">
        <w:tc>
          <w:tcPr>
            <w:tcW w:w="2600" w:type="dxa"/>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hideMark/>
          </w:tcPr>
          <w:p w:rsidR="00A52DD2" w:rsidRPr="00573D4D" w:rsidRDefault="00A52DD2" w:rsidP="00F035E0">
            <w:pPr>
              <w:spacing w:line="280" w:lineRule="exact"/>
              <w:rPr>
                <w:rFonts w:ascii="標楷體" w:eastAsia="標楷體" w:hAnsi="標楷體"/>
                <w:snapToGrid w:val="0"/>
                <w:szCs w:val="28"/>
              </w:rPr>
            </w:pPr>
            <w:r w:rsidRPr="00573D4D">
              <w:rPr>
                <w:rFonts w:ascii="標楷體" w:eastAsia="標楷體" w:hAnsi="標楷體"/>
                <w:snapToGrid w:val="0"/>
                <w:szCs w:val="28"/>
              </w:rPr>
              <w:t>註冊會員帳號累計總數</w:t>
            </w:r>
            <w:r w:rsidRPr="00573D4D">
              <w:rPr>
                <w:rFonts w:ascii="標楷體" w:eastAsia="標楷體" w:hAnsi="標楷體" w:hint="eastAsia"/>
                <w:snapToGrid w:val="0"/>
                <w:szCs w:val="28"/>
              </w:rPr>
              <w:t>A</w:t>
            </w:r>
          </w:p>
        </w:tc>
        <w:tc>
          <w:tcPr>
            <w:tcW w:w="18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snapToGrid w:val="0"/>
                <w:szCs w:val="28"/>
              </w:rPr>
              <w:t>1,503,463</w:t>
            </w:r>
          </w:p>
        </w:tc>
        <w:tc>
          <w:tcPr>
            <w:tcW w:w="14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snapToGrid w:val="0"/>
                <w:szCs w:val="28"/>
              </w:rPr>
              <w:t>44,021</w:t>
            </w:r>
          </w:p>
        </w:tc>
        <w:tc>
          <w:tcPr>
            <w:tcW w:w="10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snapToGrid w:val="0"/>
                <w:szCs w:val="28"/>
              </w:rPr>
              <w:t>249,456</w:t>
            </w:r>
          </w:p>
        </w:tc>
        <w:tc>
          <w:tcPr>
            <w:tcW w:w="1107" w:type="dxa"/>
            <w:tcBorders>
              <w:top w:val="single" w:sz="6" w:space="0" w:color="000000"/>
              <w:left w:val="single" w:sz="6" w:space="0" w:color="000000"/>
              <w:bottom w:val="single" w:sz="6" w:space="0" w:color="000000"/>
              <w:right w:val="single" w:sz="12" w:space="0" w:color="000000"/>
            </w:tcBorders>
            <w:tcMar>
              <w:top w:w="0" w:type="dxa"/>
              <w:left w:w="108" w:type="dxa"/>
              <w:bottom w:w="0" w:type="dxa"/>
              <w:right w:w="108" w:type="dxa"/>
            </w:tcMar>
            <w:vAlign w:val="center"/>
            <w:hideMark/>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snapToGrid w:val="0"/>
                <w:szCs w:val="28"/>
              </w:rPr>
              <w:t>415,755</w:t>
            </w:r>
          </w:p>
        </w:tc>
      </w:tr>
      <w:tr w:rsidR="00A52DD2" w:rsidRPr="00573D4D" w:rsidTr="00F035E0">
        <w:tc>
          <w:tcPr>
            <w:tcW w:w="2600" w:type="dxa"/>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hideMark/>
          </w:tcPr>
          <w:p w:rsidR="00A52DD2" w:rsidRPr="00573D4D" w:rsidRDefault="00A52DD2" w:rsidP="00F035E0">
            <w:pPr>
              <w:spacing w:line="280" w:lineRule="exact"/>
              <w:rPr>
                <w:rFonts w:ascii="標楷體" w:eastAsia="標楷體" w:hAnsi="標楷體"/>
                <w:snapToGrid w:val="0"/>
                <w:szCs w:val="28"/>
              </w:rPr>
            </w:pPr>
            <w:r w:rsidRPr="00573D4D">
              <w:rPr>
                <w:rFonts w:ascii="標楷體" w:eastAsia="標楷體" w:hAnsi="標楷體"/>
                <w:snapToGrid w:val="0"/>
                <w:szCs w:val="28"/>
              </w:rPr>
              <w:t>年度活躍會員數</w:t>
            </w:r>
            <w:r w:rsidRPr="00573D4D">
              <w:rPr>
                <w:rFonts w:ascii="標楷體" w:eastAsia="標楷體" w:hAnsi="標楷體" w:hint="eastAsia"/>
                <w:snapToGrid w:val="0"/>
                <w:szCs w:val="28"/>
              </w:rPr>
              <w:t>B</w:t>
            </w:r>
          </w:p>
        </w:tc>
        <w:tc>
          <w:tcPr>
            <w:tcW w:w="18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snapToGrid w:val="0"/>
                <w:szCs w:val="28"/>
              </w:rPr>
              <w:t>197,500</w:t>
            </w:r>
          </w:p>
        </w:tc>
        <w:tc>
          <w:tcPr>
            <w:tcW w:w="14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snapToGrid w:val="0"/>
                <w:szCs w:val="28"/>
              </w:rPr>
              <w:t>28,566</w:t>
            </w:r>
          </w:p>
        </w:tc>
        <w:tc>
          <w:tcPr>
            <w:tcW w:w="10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snapToGrid w:val="0"/>
                <w:szCs w:val="28"/>
              </w:rPr>
              <w:t>160,880</w:t>
            </w:r>
          </w:p>
        </w:tc>
        <w:tc>
          <w:tcPr>
            <w:tcW w:w="1107" w:type="dxa"/>
            <w:tcBorders>
              <w:top w:val="single" w:sz="6" w:space="0" w:color="000000"/>
              <w:left w:val="single" w:sz="6" w:space="0" w:color="000000"/>
              <w:bottom w:val="single" w:sz="6" w:space="0" w:color="000000"/>
              <w:right w:val="single" w:sz="12" w:space="0" w:color="000000"/>
            </w:tcBorders>
            <w:tcMar>
              <w:top w:w="0" w:type="dxa"/>
              <w:left w:w="108" w:type="dxa"/>
              <w:bottom w:w="0" w:type="dxa"/>
              <w:right w:w="108" w:type="dxa"/>
            </w:tcMar>
            <w:vAlign w:val="center"/>
            <w:hideMark/>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snapToGrid w:val="0"/>
                <w:szCs w:val="28"/>
              </w:rPr>
              <w:t>142,846</w:t>
            </w:r>
          </w:p>
        </w:tc>
      </w:tr>
      <w:tr w:rsidR="00A52DD2" w:rsidRPr="00573D4D" w:rsidTr="00F035E0">
        <w:tc>
          <w:tcPr>
            <w:tcW w:w="2600" w:type="dxa"/>
            <w:tcBorders>
              <w:top w:val="single" w:sz="6" w:space="0" w:color="000000"/>
              <w:left w:val="single" w:sz="12" w:space="0" w:color="000000"/>
              <w:bottom w:val="single" w:sz="12" w:space="0" w:color="000000"/>
              <w:right w:val="single" w:sz="6" w:space="0" w:color="000000"/>
            </w:tcBorders>
            <w:tcMar>
              <w:top w:w="0" w:type="dxa"/>
              <w:left w:w="108" w:type="dxa"/>
              <w:bottom w:w="0" w:type="dxa"/>
              <w:right w:w="108" w:type="dxa"/>
            </w:tcMar>
            <w:vAlign w:val="center"/>
            <w:hideMark/>
          </w:tcPr>
          <w:p w:rsidR="00A52DD2" w:rsidRPr="00573D4D" w:rsidRDefault="00A52DD2" w:rsidP="00F035E0">
            <w:pPr>
              <w:spacing w:line="280" w:lineRule="exact"/>
              <w:rPr>
                <w:rFonts w:ascii="標楷體" w:eastAsia="標楷體" w:hAnsi="標楷體"/>
                <w:snapToGrid w:val="0"/>
                <w:szCs w:val="28"/>
              </w:rPr>
            </w:pPr>
            <w:r w:rsidRPr="00573D4D">
              <w:rPr>
                <w:rFonts w:ascii="標楷體" w:eastAsia="標楷體" w:hAnsi="標楷體"/>
                <w:snapToGrid w:val="0"/>
                <w:szCs w:val="28"/>
              </w:rPr>
              <w:t>活躍</w:t>
            </w:r>
            <w:r w:rsidRPr="00573D4D">
              <w:rPr>
                <w:rFonts w:ascii="標楷體" w:eastAsia="標楷體" w:hAnsi="標楷體" w:hint="eastAsia"/>
                <w:snapToGrid w:val="0"/>
                <w:szCs w:val="28"/>
              </w:rPr>
              <w:t>會員</w:t>
            </w:r>
            <w:r w:rsidRPr="00573D4D">
              <w:rPr>
                <w:rFonts w:ascii="標楷體" w:eastAsia="標楷體" w:hAnsi="標楷體"/>
                <w:snapToGrid w:val="0"/>
                <w:szCs w:val="28"/>
              </w:rPr>
              <w:t>比</w:t>
            </w:r>
            <w:r w:rsidRPr="00573D4D">
              <w:rPr>
                <w:rFonts w:ascii="標楷體" w:eastAsia="標楷體" w:hAnsi="標楷體" w:hint="eastAsia"/>
                <w:snapToGrid w:val="0"/>
                <w:szCs w:val="28"/>
              </w:rPr>
              <w:t>率B/A×100%</w:t>
            </w:r>
          </w:p>
        </w:tc>
        <w:tc>
          <w:tcPr>
            <w:tcW w:w="1829" w:type="dxa"/>
            <w:tcBorders>
              <w:top w:val="single" w:sz="6" w:space="0" w:color="000000"/>
              <w:left w:val="single" w:sz="6" w:space="0" w:color="000000"/>
              <w:bottom w:val="single" w:sz="12" w:space="0" w:color="000000"/>
              <w:right w:val="single" w:sz="6" w:space="0" w:color="000000"/>
            </w:tcBorders>
            <w:tcMar>
              <w:top w:w="0" w:type="dxa"/>
              <w:left w:w="108" w:type="dxa"/>
              <w:bottom w:w="0" w:type="dxa"/>
              <w:right w:w="108" w:type="dxa"/>
            </w:tcMar>
            <w:vAlign w:val="center"/>
            <w:hideMark/>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snapToGrid w:val="0"/>
                <w:szCs w:val="28"/>
              </w:rPr>
              <w:t>13</w:t>
            </w:r>
          </w:p>
        </w:tc>
        <w:tc>
          <w:tcPr>
            <w:tcW w:w="1410" w:type="dxa"/>
            <w:tcBorders>
              <w:top w:val="single" w:sz="6" w:space="0" w:color="000000"/>
              <w:left w:val="single" w:sz="6" w:space="0" w:color="000000"/>
              <w:bottom w:val="single" w:sz="12" w:space="0" w:color="000000"/>
              <w:right w:val="single" w:sz="6" w:space="0" w:color="000000"/>
            </w:tcBorders>
            <w:tcMar>
              <w:top w:w="0" w:type="dxa"/>
              <w:left w:w="108" w:type="dxa"/>
              <w:bottom w:w="0" w:type="dxa"/>
              <w:right w:w="108" w:type="dxa"/>
            </w:tcMar>
            <w:vAlign w:val="center"/>
            <w:hideMark/>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snapToGrid w:val="0"/>
                <w:szCs w:val="28"/>
              </w:rPr>
              <w:t>65</w:t>
            </w:r>
          </w:p>
        </w:tc>
        <w:tc>
          <w:tcPr>
            <w:tcW w:w="1096" w:type="dxa"/>
            <w:tcBorders>
              <w:top w:val="single" w:sz="6" w:space="0" w:color="000000"/>
              <w:left w:val="single" w:sz="6" w:space="0" w:color="000000"/>
              <w:bottom w:val="single" w:sz="12" w:space="0" w:color="000000"/>
              <w:right w:val="single" w:sz="6" w:space="0" w:color="000000"/>
            </w:tcBorders>
            <w:tcMar>
              <w:top w:w="0" w:type="dxa"/>
              <w:left w:w="108" w:type="dxa"/>
              <w:bottom w:w="0" w:type="dxa"/>
              <w:right w:w="108" w:type="dxa"/>
            </w:tcMar>
            <w:vAlign w:val="center"/>
            <w:hideMark/>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snapToGrid w:val="0"/>
                <w:szCs w:val="28"/>
              </w:rPr>
              <w:t>64</w:t>
            </w:r>
          </w:p>
        </w:tc>
        <w:tc>
          <w:tcPr>
            <w:tcW w:w="1107" w:type="dxa"/>
            <w:tcBorders>
              <w:top w:val="single" w:sz="6" w:space="0" w:color="000000"/>
              <w:left w:val="single" w:sz="6" w:space="0" w:color="000000"/>
              <w:bottom w:val="single" w:sz="12" w:space="0" w:color="000000"/>
              <w:right w:val="single" w:sz="12" w:space="0" w:color="000000"/>
            </w:tcBorders>
            <w:tcMar>
              <w:top w:w="0" w:type="dxa"/>
              <w:left w:w="108" w:type="dxa"/>
              <w:bottom w:w="0" w:type="dxa"/>
              <w:right w:w="108" w:type="dxa"/>
            </w:tcMar>
            <w:vAlign w:val="center"/>
            <w:hideMark/>
          </w:tcPr>
          <w:p w:rsidR="00A52DD2" w:rsidRPr="00573D4D" w:rsidRDefault="00A52DD2" w:rsidP="00F035E0">
            <w:pPr>
              <w:spacing w:line="280" w:lineRule="exact"/>
              <w:jc w:val="center"/>
              <w:rPr>
                <w:rFonts w:ascii="標楷體" w:eastAsia="標楷體" w:hAnsi="標楷體"/>
                <w:snapToGrid w:val="0"/>
                <w:szCs w:val="28"/>
              </w:rPr>
            </w:pPr>
            <w:r w:rsidRPr="00573D4D">
              <w:rPr>
                <w:rFonts w:ascii="標楷體" w:eastAsia="標楷體" w:hAnsi="標楷體"/>
                <w:snapToGrid w:val="0"/>
                <w:szCs w:val="28"/>
              </w:rPr>
              <w:t>34</w:t>
            </w:r>
          </w:p>
        </w:tc>
      </w:tr>
    </w:tbl>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提案人：鄭正鈐</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連署人：黃國書  林奕華</w:t>
      </w:r>
    </w:p>
    <w:p w:rsidR="00A52DD2" w:rsidRPr="00573D4D" w:rsidRDefault="00A52DD2" w:rsidP="00F035E0">
      <w:pPr>
        <w:overflowPunct w:val="0"/>
        <w:spacing w:line="500" w:lineRule="exact"/>
        <w:ind w:leftChars="150" w:left="680" w:hangingChars="100" w:hanging="320"/>
        <w:jc w:val="both"/>
        <w:rPr>
          <w:rFonts w:ascii="標楷體" w:eastAsia="標楷體" w:hAnsi="標楷體"/>
          <w:sz w:val="32"/>
          <w:szCs w:val="32"/>
        </w:rPr>
      </w:pPr>
      <w:r w:rsidRPr="00573D4D">
        <w:rPr>
          <w:rFonts w:ascii="標楷體" w:eastAsia="標楷體" w:hAnsi="標楷體" w:hint="eastAsia"/>
          <w:sz w:val="32"/>
          <w:szCs w:val="32"/>
        </w:rPr>
        <w:t>3.行政法人國家表演藝術中心國家兩廳院，部分線上節目售票率低於四成，應建立觀演回饋機制，研謀精進節目品質及提升售票率之策略。112年行政法人國家表演藝術中心度「業務收入」項下「勞務收入」中「演藝收入」預算編列2億8,650萬4千元，主要係該中心本部及下轄3館1團之票房及邀演收入。</w:t>
      </w:r>
      <w:r w:rsidRPr="00573D4D">
        <w:rPr>
          <w:rFonts w:ascii="標楷體" w:eastAsia="標楷體" w:hAnsi="標楷體" w:hint="eastAsia"/>
          <w:sz w:val="32"/>
          <w:szCs w:val="32"/>
        </w:rPr>
        <w:lastRenderedPageBreak/>
        <w:t>為維持表演藝術產業動能，提供觀眾欣賞表演藝術，推出線上節目，惟部分線上節目售票率僅介於3%至40%間，遠不如預期，對一般民眾吸引力較低。現在疫情趨緩，國家表演藝術中心國家兩廳院應對表演節目品質及提升售票率。爰要求行政法人國家表演藝術中心國家兩廳院於2週內向立法院教育及文化委員會提出書面說明改善方案報告。8</w:t>
      </w:r>
    </w:p>
    <w:p w:rsidR="00A52DD2" w:rsidRPr="00573D4D" w:rsidRDefault="00A52DD2" w:rsidP="00F035E0">
      <w:pPr>
        <w:snapToGrid w:val="0"/>
        <w:jc w:val="right"/>
        <w:rPr>
          <w:rFonts w:ascii="標楷體" w:eastAsia="標楷體" w:hAnsi="標楷體"/>
          <w:sz w:val="28"/>
          <w:szCs w:val="32"/>
        </w:rPr>
      </w:pPr>
      <w:r w:rsidRPr="00573D4D">
        <w:rPr>
          <w:rFonts w:ascii="標楷體" w:eastAsia="標楷體" w:hAnsi="標楷體" w:hint="eastAsia"/>
          <w:sz w:val="28"/>
          <w:szCs w:val="32"/>
        </w:rPr>
        <w:t>國家表演藝術中心近年演藝收入彙總表    單位：新臺幣千元</w:t>
      </w:r>
    </w:p>
    <w:tbl>
      <w:tblPr>
        <w:tblW w:w="0" w:type="auto"/>
        <w:tblInd w:w="110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770"/>
        <w:gridCol w:w="1261"/>
        <w:gridCol w:w="1262"/>
        <w:gridCol w:w="1261"/>
        <w:gridCol w:w="1261"/>
        <w:gridCol w:w="1261"/>
        <w:gridCol w:w="1261"/>
      </w:tblGrid>
      <w:tr w:rsidR="00A52DD2" w:rsidRPr="00573D4D" w:rsidTr="00F035E0">
        <w:tc>
          <w:tcPr>
            <w:tcW w:w="811" w:type="dxa"/>
            <w:shd w:val="clear" w:color="auto" w:fill="auto"/>
          </w:tcPr>
          <w:p w:rsidR="00A52DD2" w:rsidRPr="00573D4D" w:rsidRDefault="00A52DD2" w:rsidP="00F035E0">
            <w:pPr>
              <w:snapToGrid w:val="0"/>
              <w:jc w:val="center"/>
              <w:rPr>
                <w:rFonts w:ascii="標楷體" w:eastAsia="標楷體" w:hAnsi="標楷體"/>
                <w:sz w:val="28"/>
                <w:szCs w:val="32"/>
              </w:rPr>
            </w:pPr>
            <w:r w:rsidRPr="00573D4D">
              <w:rPr>
                <w:rFonts w:ascii="標楷體" w:eastAsia="標楷體" w:hAnsi="標楷體" w:hint="eastAsia"/>
                <w:sz w:val="28"/>
                <w:szCs w:val="32"/>
              </w:rPr>
              <w:t>年度</w:t>
            </w:r>
          </w:p>
        </w:tc>
        <w:tc>
          <w:tcPr>
            <w:tcW w:w="1271" w:type="dxa"/>
            <w:shd w:val="clear" w:color="auto" w:fill="auto"/>
          </w:tcPr>
          <w:p w:rsidR="00A52DD2" w:rsidRPr="00573D4D" w:rsidRDefault="00A52DD2" w:rsidP="00F035E0">
            <w:pPr>
              <w:snapToGrid w:val="0"/>
              <w:jc w:val="center"/>
              <w:rPr>
                <w:rFonts w:ascii="標楷體" w:eastAsia="標楷體" w:hAnsi="標楷體"/>
                <w:sz w:val="28"/>
                <w:szCs w:val="32"/>
              </w:rPr>
            </w:pPr>
            <w:r w:rsidRPr="00573D4D">
              <w:rPr>
                <w:rFonts w:ascii="標楷體" w:eastAsia="標楷體" w:hAnsi="標楷體" w:hint="eastAsia"/>
                <w:sz w:val="28"/>
                <w:szCs w:val="32"/>
              </w:rPr>
              <w:t>107</w:t>
            </w:r>
          </w:p>
        </w:tc>
        <w:tc>
          <w:tcPr>
            <w:tcW w:w="1271" w:type="dxa"/>
            <w:shd w:val="clear" w:color="auto" w:fill="auto"/>
          </w:tcPr>
          <w:p w:rsidR="00A52DD2" w:rsidRPr="00573D4D" w:rsidRDefault="00A52DD2" w:rsidP="00F035E0">
            <w:pPr>
              <w:snapToGrid w:val="0"/>
              <w:jc w:val="center"/>
              <w:rPr>
                <w:rFonts w:ascii="標楷體" w:eastAsia="標楷體" w:hAnsi="標楷體"/>
                <w:sz w:val="28"/>
                <w:szCs w:val="32"/>
              </w:rPr>
            </w:pPr>
            <w:r w:rsidRPr="00573D4D">
              <w:rPr>
                <w:rFonts w:ascii="標楷體" w:eastAsia="標楷體" w:hAnsi="標楷體" w:hint="eastAsia"/>
                <w:sz w:val="28"/>
                <w:szCs w:val="32"/>
              </w:rPr>
              <w:t>108</w:t>
            </w:r>
          </w:p>
        </w:tc>
        <w:tc>
          <w:tcPr>
            <w:tcW w:w="1270" w:type="dxa"/>
            <w:shd w:val="clear" w:color="auto" w:fill="auto"/>
          </w:tcPr>
          <w:p w:rsidR="00A52DD2" w:rsidRPr="00573D4D" w:rsidRDefault="00A52DD2" w:rsidP="00F035E0">
            <w:pPr>
              <w:snapToGrid w:val="0"/>
              <w:jc w:val="center"/>
              <w:rPr>
                <w:rFonts w:ascii="標楷體" w:eastAsia="標楷體" w:hAnsi="標楷體"/>
                <w:sz w:val="28"/>
                <w:szCs w:val="32"/>
              </w:rPr>
            </w:pPr>
            <w:r w:rsidRPr="00573D4D">
              <w:rPr>
                <w:rFonts w:ascii="標楷體" w:eastAsia="標楷體" w:hAnsi="標楷體" w:hint="eastAsia"/>
                <w:sz w:val="28"/>
                <w:szCs w:val="32"/>
              </w:rPr>
              <w:t>109</w:t>
            </w:r>
          </w:p>
        </w:tc>
        <w:tc>
          <w:tcPr>
            <w:tcW w:w="1270" w:type="dxa"/>
            <w:shd w:val="clear" w:color="auto" w:fill="auto"/>
          </w:tcPr>
          <w:p w:rsidR="00A52DD2" w:rsidRPr="00573D4D" w:rsidRDefault="00A52DD2" w:rsidP="00F035E0">
            <w:pPr>
              <w:snapToGrid w:val="0"/>
              <w:jc w:val="center"/>
              <w:rPr>
                <w:rFonts w:ascii="標楷體" w:eastAsia="標楷體" w:hAnsi="標楷體"/>
                <w:sz w:val="28"/>
                <w:szCs w:val="32"/>
              </w:rPr>
            </w:pPr>
            <w:r w:rsidRPr="00573D4D">
              <w:rPr>
                <w:rFonts w:ascii="標楷體" w:eastAsia="標楷體" w:hAnsi="標楷體" w:hint="eastAsia"/>
                <w:sz w:val="28"/>
                <w:szCs w:val="32"/>
              </w:rPr>
              <w:t>110</w:t>
            </w:r>
          </w:p>
        </w:tc>
        <w:tc>
          <w:tcPr>
            <w:tcW w:w="1270" w:type="dxa"/>
            <w:shd w:val="clear" w:color="auto" w:fill="auto"/>
          </w:tcPr>
          <w:p w:rsidR="00A52DD2" w:rsidRPr="00573D4D" w:rsidRDefault="00A52DD2" w:rsidP="00F035E0">
            <w:pPr>
              <w:snapToGrid w:val="0"/>
              <w:jc w:val="center"/>
              <w:rPr>
                <w:rFonts w:ascii="標楷體" w:eastAsia="標楷體" w:hAnsi="標楷體"/>
                <w:sz w:val="28"/>
                <w:szCs w:val="32"/>
              </w:rPr>
            </w:pPr>
            <w:r w:rsidRPr="00573D4D">
              <w:rPr>
                <w:rFonts w:ascii="標楷體" w:eastAsia="標楷體" w:hAnsi="標楷體" w:hint="eastAsia"/>
                <w:sz w:val="28"/>
                <w:szCs w:val="32"/>
              </w:rPr>
              <w:t>111</w:t>
            </w:r>
          </w:p>
        </w:tc>
        <w:tc>
          <w:tcPr>
            <w:tcW w:w="1270" w:type="dxa"/>
            <w:shd w:val="clear" w:color="auto" w:fill="auto"/>
          </w:tcPr>
          <w:p w:rsidR="00A52DD2" w:rsidRPr="00573D4D" w:rsidRDefault="00A52DD2" w:rsidP="00F035E0">
            <w:pPr>
              <w:snapToGrid w:val="0"/>
              <w:jc w:val="center"/>
              <w:rPr>
                <w:rFonts w:ascii="標楷體" w:eastAsia="標楷體" w:hAnsi="標楷體"/>
                <w:sz w:val="28"/>
                <w:szCs w:val="32"/>
              </w:rPr>
            </w:pPr>
            <w:r w:rsidRPr="00573D4D">
              <w:rPr>
                <w:rFonts w:ascii="標楷體" w:eastAsia="標楷體" w:hAnsi="標楷體" w:hint="eastAsia"/>
                <w:sz w:val="28"/>
                <w:szCs w:val="32"/>
              </w:rPr>
              <w:t>112</w:t>
            </w:r>
          </w:p>
        </w:tc>
      </w:tr>
      <w:tr w:rsidR="00A52DD2" w:rsidRPr="00573D4D" w:rsidTr="00F035E0">
        <w:tc>
          <w:tcPr>
            <w:tcW w:w="811" w:type="dxa"/>
            <w:shd w:val="clear" w:color="auto" w:fill="auto"/>
          </w:tcPr>
          <w:p w:rsidR="00A52DD2" w:rsidRPr="00573D4D" w:rsidRDefault="00A52DD2" w:rsidP="00F035E0">
            <w:pPr>
              <w:snapToGrid w:val="0"/>
              <w:jc w:val="center"/>
              <w:rPr>
                <w:rFonts w:ascii="標楷體" w:eastAsia="標楷體" w:hAnsi="標楷體"/>
                <w:sz w:val="28"/>
                <w:szCs w:val="32"/>
              </w:rPr>
            </w:pPr>
            <w:r w:rsidRPr="00573D4D">
              <w:rPr>
                <w:rFonts w:ascii="標楷體" w:eastAsia="標楷體" w:hAnsi="標楷體" w:hint="eastAsia"/>
                <w:sz w:val="28"/>
                <w:szCs w:val="32"/>
              </w:rPr>
              <w:t>演藝收入</w:t>
            </w:r>
          </w:p>
        </w:tc>
        <w:tc>
          <w:tcPr>
            <w:tcW w:w="1271" w:type="dxa"/>
            <w:shd w:val="clear" w:color="auto" w:fill="auto"/>
          </w:tcPr>
          <w:p w:rsidR="00A52DD2" w:rsidRPr="00573D4D" w:rsidRDefault="00A52DD2" w:rsidP="00F035E0">
            <w:pPr>
              <w:snapToGrid w:val="0"/>
              <w:jc w:val="center"/>
              <w:rPr>
                <w:rFonts w:ascii="標楷體" w:eastAsia="標楷體" w:hAnsi="標楷體"/>
                <w:sz w:val="28"/>
                <w:szCs w:val="32"/>
              </w:rPr>
            </w:pPr>
            <w:r w:rsidRPr="00573D4D">
              <w:rPr>
                <w:rFonts w:ascii="標楷體" w:eastAsia="標楷體" w:hAnsi="標楷體" w:hint="eastAsia"/>
                <w:sz w:val="28"/>
                <w:szCs w:val="32"/>
              </w:rPr>
              <w:t>226,334</w:t>
            </w:r>
          </w:p>
        </w:tc>
        <w:tc>
          <w:tcPr>
            <w:tcW w:w="1271" w:type="dxa"/>
            <w:shd w:val="clear" w:color="auto" w:fill="auto"/>
          </w:tcPr>
          <w:p w:rsidR="00A52DD2" w:rsidRPr="00573D4D" w:rsidRDefault="00A52DD2" w:rsidP="00F035E0">
            <w:pPr>
              <w:snapToGrid w:val="0"/>
              <w:jc w:val="center"/>
              <w:rPr>
                <w:rFonts w:ascii="標楷體" w:eastAsia="標楷體" w:hAnsi="標楷體"/>
                <w:sz w:val="28"/>
                <w:szCs w:val="32"/>
              </w:rPr>
            </w:pPr>
            <w:r w:rsidRPr="00573D4D">
              <w:rPr>
                <w:rFonts w:ascii="標楷體" w:eastAsia="標楷體" w:hAnsi="標楷體" w:hint="eastAsia"/>
                <w:sz w:val="28"/>
                <w:szCs w:val="32"/>
              </w:rPr>
              <w:t>265,415</w:t>
            </w:r>
          </w:p>
        </w:tc>
        <w:tc>
          <w:tcPr>
            <w:tcW w:w="1270" w:type="dxa"/>
            <w:shd w:val="clear" w:color="auto" w:fill="auto"/>
          </w:tcPr>
          <w:p w:rsidR="00A52DD2" w:rsidRPr="00573D4D" w:rsidRDefault="00A52DD2" w:rsidP="00F035E0">
            <w:pPr>
              <w:snapToGrid w:val="0"/>
              <w:jc w:val="center"/>
              <w:rPr>
                <w:rFonts w:ascii="標楷體" w:eastAsia="標楷體" w:hAnsi="標楷體"/>
                <w:sz w:val="28"/>
                <w:szCs w:val="32"/>
              </w:rPr>
            </w:pPr>
            <w:r w:rsidRPr="00573D4D">
              <w:rPr>
                <w:rFonts w:ascii="標楷體" w:eastAsia="標楷體" w:hAnsi="標楷體" w:hint="eastAsia"/>
                <w:sz w:val="28"/>
                <w:szCs w:val="32"/>
              </w:rPr>
              <w:t>134,390</w:t>
            </w:r>
          </w:p>
        </w:tc>
        <w:tc>
          <w:tcPr>
            <w:tcW w:w="1270" w:type="dxa"/>
            <w:shd w:val="clear" w:color="auto" w:fill="auto"/>
          </w:tcPr>
          <w:p w:rsidR="00A52DD2" w:rsidRPr="00573D4D" w:rsidRDefault="00A52DD2" w:rsidP="00F035E0">
            <w:pPr>
              <w:snapToGrid w:val="0"/>
              <w:jc w:val="center"/>
              <w:rPr>
                <w:rFonts w:ascii="標楷體" w:eastAsia="標楷體" w:hAnsi="標楷體"/>
                <w:sz w:val="28"/>
                <w:szCs w:val="32"/>
              </w:rPr>
            </w:pPr>
            <w:r w:rsidRPr="00573D4D">
              <w:rPr>
                <w:rFonts w:ascii="標楷體" w:eastAsia="標楷體" w:hAnsi="標楷體" w:hint="eastAsia"/>
                <w:sz w:val="28"/>
                <w:szCs w:val="32"/>
              </w:rPr>
              <w:t>117,333</w:t>
            </w:r>
          </w:p>
        </w:tc>
        <w:tc>
          <w:tcPr>
            <w:tcW w:w="1270" w:type="dxa"/>
            <w:shd w:val="clear" w:color="auto" w:fill="auto"/>
          </w:tcPr>
          <w:p w:rsidR="00A52DD2" w:rsidRPr="00573D4D" w:rsidRDefault="00A52DD2" w:rsidP="00F035E0">
            <w:pPr>
              <w:snapToGrid w:val="0"/>
              <w:jc w:val="center"/>
              <w:rPr>
                <w:rFonts w:ascii="標楷體" w:eastAsia="標楷體" w:hAnsi="標楷體"/>
                <w:sz w:val="28"/>
                <w:szCs w:val="32"/>
              </w:rPr>
            </w:pPr>
            <w:r w:rsidRPr="00573D4D">
              <w:rPr>
                <w:rFonts w:ascii="標楷體" w:eastAsia="標楷體" w:hAnsi="標楷體" w:hint="eastAsia"/>
                <w:sz w:val="28"/>
                <w:szCs w:val="32"/>
              </w:rPr>
              <w:t>293,090</w:t>
            </w:r>
          </w:p>
        </w:tc>
        <w:tc>
          <w:tcPr>
            <w:tcW w:w="1270" w:type="dxa"/>
            <w:shd w:val="clear" w:color="auto" w:fill="auto"/>
          </w:tcPr>
          <w:p w:rsidR="00A52DD2" w:rsidRPr="00573D4D" w:rsidRDefault="00A52DD2" w:rsidP="00F035E0">
            <w:pPr>
              <w:snapToGrid w:val="0"/>
              <w:jc w:val="center"/>
              <w:rPr>
                <w:rFonts w:ascii="標楷體" w:eastAsia="標楷體" w:hAnsi="標楷體"/>
                <w:sz w:val="28"/>
                <w:szCs w:val="32"/>
              </w:rPr>
            </w:pPr>
            <w:r w:rsidRPr="00573D4D">
              <w:rPr>
                <w:rFonts w:ascii="標楷體" w:eastAsia="標楷體" w:hAnsi="標楷體" w:hint="eastAsia"/>
                <w:sz w:val="28"/>
                <w:szCs w:val="32"/>
              </w:rPr>
              <w:t>286,504</w:t>
            </w:r>
          </w:p>
        </w:tc>
      </w:tr>
    </w:tbl>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提案人：鄭正鈐</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連署人：黃國書  林奕華</w:t>
      </w:r>
    </w:p>
    <w:p w:rsidR="00A52DD2" w:rsidRPr="00573D4D" w:rsidRDefault="00A52DD2" w:rsidP="00F035E0">
      <w:pPr>
        <w:overflowPunct w:val="0"/>
        <w:spacing w:line="500" w:lineRule="exact"/>
        <w:ind w:leftChars="150" w:left="680" w:hangingChars="100" w:hanging="320"/>
        <w:jc w:val="both"/>
        <w:rPr>
          <w:rFonts w:ascii="標楷體" w:eastAsia="標楷體" w:hAnsi="標楷體"/>
          <w:sz w:val="32"/>
          <w:szCs w:val="32"/>
        </w:rPr>
      </w:pPr>
      <w:r w:rsidRPr="00573D4D">
        <w:rPr>
          <w:rFonts w:ascii="標楷體" w:eastAsia="標楷體" w:hAnsi="標楷體" w:hint="eastAsia"/>
          <w:sz w:val="32"/>
          <w:szCs w:val="32"/>
        </w:rPr>
        <w:t>4.行政法人國家表演藝術中心國家兩廳院於2019年起推動臨時托育服務，由專業陪伴者陪同兒童，讓家長可以輕鬆看演出。此項托育服務推出後，廣受家長好評，然單一場次托育服務，需有3名以上兒童報名才開辦，有民眾反應，曾於1年間申請數次，卻都因人數不足而未能成功使用托育服務。且除兩廳院主辦節目與兩廳院場地夥伴節目外，純外租場地之節目也無法向兩廳院申請提供托育服務。兩廳院臨時托育服務推出後，廣受民眾好評。惟因並非所有於兩廳院內演出之團體皆能申請，且有3人以上才開辦之限制，導致民眾有意願申請卻無法托育。爰請行政法人國家表演藝術中心國家兩廳院，評估擴大開放托育服務之申請對象團體資格，以及報名托育服務未滿3人時，加收費用使服務仍然能夠開辦之選項，讓所有兩廳院的演出，皆能實現育兒友善，並於112年1月31日前向立法院教育及文化委員會提出評估結果之書面報告。9</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提案人：范  雲</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lastRenderedPageBreak/>
        <w:t>連署人：賴品妤  吳思瑤</w:t>
      </w:r>
    </w:p>
    <w:p w:rsidR="00A52DD2" w:rsidRPr="00573D4D" w:rsidRDefault="00A52DD2" w:rsidP="00F035E0">
      <w:pPr>
        <w:overflowPunct w:val="0"/>
        <w:spacing w:line="500" w:lineRule="exact"/>
        <w:ind w:leftChars="150" w:left="680" w:hangingChars="100" w:hanging="320"/>
        <w:jc w:val="both"/>
        <w:rPr>
          <w:rFonts w:ascii="標楷體" w:eastAsia="標楷體" w:hAnsi="標楷體"/>
          <w:sz w:val="32"/>
          <w:szCs w:val="32"/>
        </w:rPr>
      </w:pPr>
      <w:r w:rsidRPr="00573D4D">
        <w:rPr>
          <w:rFonts w:ascii="標楷體" w:eastAsia="標楷體" w:hAnsi="標楷體" w:hint="eastAsia"/>
          <w:sz w:val="32"/>
          <w:szCs w:val="32"/>
        </w:rPr>
        <w:t>5.文化部預定於OPENTIX發放文化禮金，針對112年滿18歲的青年發放1</w:t>
      </w:r>
      <w:r w:rsidRPr="00573D4D">
        <w:rPr>
          <w:rFonts w:ascii="標楷體" w:eastAsia="標楷體" w:hAnsi="標楷體"/>
          <w:sz w:val="32"/>
          <w:szCs w:val="32"/>
        </w:rPr>
        <w:t>,</w:t>
      </w:r>
      <w:r w:rsidRPr="00573D4D">
        <w:rPr>
          <w:rFonts w:ascii="標楷體" w:eastAsia="標楷體" w:hAnsi="標楷體" w:hint="eastAsia"/>
          <w:sz w:val="32"/>
          <w:szCs w:val="32"/>
        </w:rPr>
        <w:t>200元，作為「文化成年禮」，且預計使用範圍和方式與藝FUN券相似，包括兩廳院、書店及電影院等，使用店家至少1萬8千多家。然現行OPENTIX程式功能多為查看店家訊息、電子地圖，並串聯文化部及藝文館所，提供各項活動及優惠訊息，可消費店家僅1</w:t>
      </w:r>
      <w:r w:rsidRPr="00573D4D">
        <w:rPr>
          <w:rFonts w:ascii="標楷體" w:eastAsia="標楷體" w:hAnsi="標楷體"/>
          <w:sz w:val="32"/>
          <w:szCs w:val="32"/>
        </w:rPr>
        <w:t>,</w:t>
      </w:r>
      <w:r w:rsidRPr="00573D4D">
        <w:rPr>
          <w:rFonts w:ascii="標楷體" w:eastAsia="標楷體" w:hAnsi="標楷體" w:hint="eastAsia"/>
          <w:sz w:val="32"/>
          <w:szCs w:val="32"/>
        </w:rPr>
        <w:t>400多家，且大多為購買藝文活動票券，對於112年欲上路文化禮金政策得消費之場所大多未臻明確，多數店家仍在洽談中，與原藝FUN券可使用之店家數仍有落差，如何與多元藝文場所合作，並促使青年消費進而及早接觸藝文活動，仍有待詳盡規劃。綜上，行政法人國家表演藝術中心應持續積極開發新店家加入OPENTIX平台，並於1個月內向立法院教育及文化委員會提出書面報告。10</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提案人：黃國書</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連署人：林宜瑾  鄭正鈐</w:t>
      </w:r>
    </w:p>
    <w:p w:rsidR="00A52DD2" w:rsidRPr="00573D4D" w:rsidRDefault="00A52DD2" w:rsidP="00F035E0">
      <w:pPr>
        <w:overflowPunct w:val="0"/>
        <w:spacing w:line="500" w:lineRule="exact"/>
        <w:ind w:leftChars="150" w:left="680" w:hangingChars="100" w:hanging="320"/>
        <w:jc w:val="both"/>
        <w:rPr>
          <w:rFonts w:ascii="標楷體" w:eastAsia="標楷體" w:hAnsi="標楷體"/>
          <w:bCs/>
          <w:sz w:val="32"/>
          <w:szCs w:val="32"/>
        </w:rPr>
      </w:pPr>
      <w:r w:rsidRPr="00573D4D">
        <w:rPr>
          <w:rFonts w:ascii="標楷體" w:eastAsia="標楷體" w:hAnsi="標楷體" w:hint="eastAsia"/>
          <w:bCs/>
          <w:sz w:val="32"/>
          <w:szCs w:val="32"/>
        </w:rPr>
        <w:t>6.因疫情期間常有劇團因確診宣布停演，如今疫情威脅解除國境重新開放，國家兩廳院在</w:t>
      </w:r>
      <w:r w:rsidRPr="00573D4D">
        <w:rPr>
          <w:rFonts w:ascii="標楷體" w:eastAsia="標楷體" w:hAnsi="標楷體"/>
          <w:bCs/>
          <w:sz w:val="32"/>
          <w:szCs w:val="32"/>
        </w:rPr>
        <w:t>35</w:t>
      </w:r>
      <w:r w:rsidRPr="00573D4D">
        <w:rPr>
          <w:rFonts w:ascii="標楷體" w:eastAsia="標楷體" w:hAnsi="標楷體" w:hint="eastAsia"/>
          <w:bCs/>
          <w:sz w:val="32"/>
          <w:szCs w:val="32"/>
        </w:rPr>
        <w:t>週年開賣舞台劇，在疫情後創下國家兩廳院</w:t>
      </w:r>
      <w:r w:rsidRPr="00573D4D">
        <w:rPr>
          <w:rFonts w:ascii="標楷體" w:eastAsia="標楷體" w:hAnsi="標楷體"/>
          <w:bCs/>
          <w:sz w:val="32"/>
          <w:szCs w:val="32"/>
        </w:rPr>
        <w:t>35</w:t>
      </w:r>
      <w:r w:rsidRPr="00573D4D">
        <w:rPr>
          <w:rFonts w:ascii="標楷體" w:eastAsia="標楷體" w:hAnsi="標楷體" w:hint="eastAsia"/>
          <w:bCs/>
          <w:sz w:val="32"/>
          <w:szCs w:val="32"/>
        </w:rPr>
        <w:t>年來最快銷售速度，開賣瞬間1萬3千人同時上線搶票，不到</w:t>
      </w:r>
      <w:r w:rsidRPr="00573D4D">
        <w:rPr>
          <w:rFonts w:ascii="標楷體" w:eastAsia="標楷體" w:hAnsi="標楷體"/>
          <w:bCs/>
          <w:sz w:val="32"/>
          <w:szCs w:val="32"/>
        </w:rPr>
        <w:t>24</w:t>
      </w:r>
      <w:r w:rsidRPr="00573D4D">
        <w:rPr>
          <w:rFonts w:ascii="標楷體" w:eastAsia="標楷體" w:hAnsi="標楷體" w:hint="eastAsia"/>
          <w:bCs/>
          <w:sz w:val="32"/>
          <w:szCs w:val="32"/>
        </w:rPr>
        <w:t>小時近萬張票券完售，票房亮眼的戲劇表演多帶給觀眾嶄新體驗的節目，足見觀眾回流，行政法人國家表演藝術中心應加強自籌收入來源及額度，持續加強提高預算收入使其發揮應有之功能性。1</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提案人：鄭正鈐</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連署人：陳秀寳  吳思瑤</w:t>
      </w:r>
    </w:p>
    <w:p w:rsidR="00A52DD2" w:rsidRPr="00573D4D" w:rsidRDefault="00A52DD2" w:rsidP="00F035E0">
      <w:pPr>
        <w:overflowPunct w:val="0"/>
        <w:spacing w:line="500" w:lineRule="exact"/>
        <w:ind w:leftChars="150" w:left="680" w:hangingChars="100" w:hanging="320"/>
        <w:jc w:val="both"/>
        <w:rPr>
          <w:rFonts w:ascii="標楷體" w:eastAsia="標楷體" w:hAnsi="標楷體"/>
          <w:bCs/>
          <w:sz w:val="32"/>
          <w:szCs w:val="32"/>
        </w:rPr>
      </w:pPr>
      <w:r w:rsidRPr="00573D4D">
        <w:rPr>
          <w:rFonts w:ascii="標楷體" w:eastAsia="標楷體" w:hAnsi="標楷體" w:hint="eastAsia"/>
          <w:bCs/>
          <w:sz w:val="32"/>
          <w:szCs w:val="32"/>
        </w:rPr>
        <w:t>7.112年度行政法人國家表演藝術中心「業務成本與費用」項下「業務費用」預算編列6億8,229 萬9千元。國家表演藝術中心售票系統OPENTIX於110年4月取代其前身「兩廳院售票系統」並正式營運，係由兩廳院自營，提供票券及商品代售、廣</w:t>
      </w:r>
      <w:r w:rsidRPr="00573D4D">
        <w:rPr>
          <w:rFonts w:ascii="標楷體" w:eastAsia="標楷體" w:hAnsi="標楷體" w:hint="eastAsia"/>
          <w:bCs/>
          <w:sz w:val="32"/>
          <w:szCs w:val="32"/>
        </w:rPr>
        <w:lastRenderedPageBreak/>
        <w:t>告、會員代管及專案分析服務，並預計112年度增加發放文化禮金之功能。舊兩廳院售票系統自93年啟用迄110年3月底終止營運，註冊會員帳號累計總數達150萬3千人，年度售票系統活躍會員（曾有訂單消費紀錄者）計19萬7,500人；然OPENTIX自109年11月起試營運，截至111年7月底，註冊會員人數為41萬5,755人，年度活躍會員人數為14萬 2,846人，皆低於舊系統之人數，且自110年起活躍會員數呈下滑趨勢。文化部於112年度規劃由OPENTIX系統對滿18歲青年發放文化禮金，若系統知名度及使用人數過低，恐難以作為文化禮金之發放平台。綜上，爰請行政法人國家表演藝術中心探究上述會員人數低落原因及研謀改善，並於1個月內向立法院教育及文化委員會提出書面報告。2</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提案人：黃國書</w:t>
      </w:r>
    </w:p>
    <w:p w:rsidR="00A52DD2" w:rsidRPr="00573D4D" w:rsidRDefault="00A52DD2" w:rsidP="00F035E0">
      <w:pPr>
        <w:overflowPunct w:val="0"/>
        <w:spacing w:line="500" w:lineRule="exact"/>
        <w:ind w:leftChars="1250" w:left="3000"/>
        <w:jc w:val="both"/>
        <w:rPr>
          <w:rFonts w:ascii="標楷體" w:eastAsia="標楷體" w:hAnsi="標楷體"/>
          <w:bCs/>
          <w:sz w:val="32"/>
          <w:szCs w:val="32"/>
        </w:rPr>
      </w:pPr>
      <w:r w:rsidRPr="00573D4D">
        <w:rPr>
          <w:rFonts w:ascii="標楷體" w:eastAsia="標楷體" w:hAnsi="標楷體" w:hint="eastAsia"/>
          <w:sz w:val="32"/>
          <w:szCs w:val="32"/>
        </w:rPr>
        <w:t>連署人：林宜瑾  張廖萬堅</w:t>
      </w:r>
    </w:p>
    <w:p w:rsidR="00A52DD2" w:rsidRPr="00573D4D" w:rsidRDefault="00A52DD2" w:rsidP="00F035E0">
      <w:pPr>
        <w:overflowPunct w:val="0"/>
        <w:spacing w:line="500" w:lineRule="exact"/>
        <w:ind w:leftChars="150" w:left="680" w:hangingChars="100" w:hanging="320"/>
        <w:jc w:val="both"/>
        <w:rPr>
          <w:rFonts w:ascii="標楷體" w:eastAsia="標楷體" w:hAnsi="標楷體"/>
          <w:bCs/>
          <w:sz w:val="32"/>
          <w:szCs w:val="32"/>
        </w:rPr>
      </w:pPr>
      <w:r w:rsidRPr="00573D4D">
        <w:rPr>
          <w:rFonts w:ascii="標楷體" w:eastAsia="標楷體" w:hAnsi="標楷體" w:hint="eastAsia"/>
          <w:bCs/>
          <w:sz w:val="32"/>
          <w:szCs w:val="32"/>
        </w:rPr>
        <w:t>8.112年度行政法人國家表演藝術中心「業務成本與費用」項下「業務費用」預算編列6億8,229萬9千元。近年疫情重創全球表演藝術產業，國家表演藝術中心實體表演票房及邀演收入受到重大影響，爰此各場館發展出線上觀演機制，以供民眾於疫情期間仍可觀賞藝文活動。然付費線上節目銷售不如預期，如：衛武營國家藝術文化中心</w:t>
      </w:r>
      <w:r w:rsidRPr="00573D4D">
        <w:rPr>
          <w:rFonts w:ascii="標楷體" w:eastAsia="標楷體" w:hAnsi="標楷體"/>
          <w:bCs/>
          <w:sz w:val="32"/>
          <w:szCs w:val="32"/>
        </w:rPr>
        <w:t>110</w:t>
      </w:r>
      <w:r w:rsidRPr="00573D4D">
        <w:rPr>
          <w:rFonts w:ascii="標楷體" w:eastAsia="標楷體" w:hAnsi="標楷體" w:hint="eastAsia"/>
          <w:bCs/>
          <w:sz w:val="32"/>
          <w:szCs w:val="32"/>
        </w:rPr>
        <w:t>年</w:t>
      </w:r>
      <w:r w:rsidRPr="00573D4D">
        <w:rPr>
          <w:rFonts w:ascii="標楷體" w:eastAsia="標楷體" w:hAnsi="標楷體"/>
          <w:bCs/>
          <w:sz w:val="32"/>
          <w:szCs w:val="32"/>
        </w:rPr>
        <w:t>9</w:t>
      </w:r>
      <w:r w:rsidRPr="00573D4D">
        <w:rPr>
          <w:rFonts w:ascii="標楷體" w:eastAsia="標楷體" w:hAnsi="標楷體" w:hint="eastAsia"/>
          <w:bCs/>
          <w:sz w:val="32"/>
          <w:szCs w:val="32"/>
        </w:rPr>
        <w:t>至</w:t>
      </w:r>
      <w:r w:rsidRPr="00573D4D">
        <w:rPr>
          <w:rFonts w:ascii="標楷體" w:eastAsia="標楷體" w:hAnsi="標楷體"/>
          <w:bCs/>
          <w:sz w:val="32"/>
          <w:szCs w:val="32"/>
        </w:rPr>
        <w:t>12</w:t>
      </w:r>
      <w:r w:rsidRPr="00573D4D">
        <w:rPr>
          <w:rFonts w:ascii="標楷體" w:eastAsia="標楷體" w:hAnsi="標楷體" w:hint="eastAsia"/>
          <w:bCs/>
          <w:sz w:val="32"/>
          <w:szCs w:val="32"/>
        </w:rPr>
        <w:t>月推出</w:t>
      </w:r>
      <w:r w:rsidRPr="00573D4D">
        <w:rPr>
          <w:rFonts w:ascii="標楷體" w:eastAsia="標楷體" w:hAnsi="標楷體"/>
          <w:bCs/>
          <w:sz w:val="32"/>
          <w:szCs w:val="32"/>
        </w:rPr>
        <w:t>4</w:t>
      </w:r>
      <w:r w:rsidRPr="00573D4D">
        <w:rPr>
          <w:rFonts w:ascii="標楷體" w:eastAsia="標楷體" w:hAnsi="標楷體" w:hint="eastAsia"/>
          <w:bCs/>
          <w:sz w:val="32"/>
          <w:szCs w:val="32"/>
        </w:rPr>
        <w:t>檔付費線上節目，預計售票數合計</w:t>
      </w:r>
      <w:r w:rsidRPr="00573D4D">
        <w:rPr>
          <w:rFonts w:ascii="標楷體" w:eastAsia="標楷體" w:hAnsi="標楷體"/>
          <w:bCs/>
          <w:sz w:val="32"/>
          <w:szCs w:val="32"/>
        </w:rPr>
        <w:t>5,800</w:t>
      </w:r>
      <w:r w:rsidRPr="00573D4D">
        <w:rPr>
          <w:rFonts w:ascii="標楷體" w:eastAsia="標楷體" w:hAnsi="標楷體" w:hint="eastAsia"/>
          <w:bCs/>
          <w:sz w:val="32"/>
          <w:szCs w:val="32"/>
        </w:rPr>
        <w:t>張，實際售票數</w:t>
      </w:r>
      <w:r w:rsidRPr="00573D4D">
        <w:rPr>
          <w:rFonts w:ascii="標楷體" w:eastAsia="標楷體" w:hAnsi="標楷體"/>
          <w:bCs/>
          <w:sz w:val="32"/>
          <w:szCs w:val="32"/>
        </w:rPr>
        <w:t>613</w:t>
      </w:r>
      <w:r w:rsidRPr="00573D4D">
        <w:rPr>
          <w:rFonts w:ascii="標楷體" w:eastAsia="標楷體" w:hAnsi="標楷體" w:hint="eastAsia"/>
          <w:bCs/>
          <w:sz w:val="32"/>
          <w:szCs w:val="32"/>
        </w:rPr>
        <w:t>張，平均售票率</w:t>
      </w:r>
      <w:r w:rsidRPr="00573D4D">
        <w:rPr>
          <w:rFonts w:ascii="標楷體" w:eastAsia="標楷體" w:hAnsi="標楷體"/>
          <w:bCs/>
          <w:sz w:val="32"/>
          <w:szCs w:val="32"/>
        </w:rPr>
        <w:t>1l%</w:t>
      </w:r>
      <w:r w:rsidRPr="00573D4D">
        <w:rPr>
          <w:rFonts w:ascii="標楷體" w:eastAsia="標楷體" w:hAnsi="標楷體" w:hint="eastAsia"/>
          <w:bCs/>
          <w:sz w:val="32"/>
          <w:szCs w:val="32"/>
        </w:rPr>
        <w:t>，又如：國家交響樂團於</w:t>
      </w:r>
      <w:r w:rsidRPr="00573D4D">
        <w:rPr>
          <w:rFonts w:ascii="標楷體" w:eastAsia="標楷體" w:hAnsi="標楷體"/>
          <w:bCs/>
          <w:sz w:val="32"/>
          <w:szCs w:val="32"/>
        </w:rPr>
        <w:t>110</w:t>
      </w:r>
      <w:r w:rsidRPr="00573D4D">
        <w:rPr>
          <w:rFonts w:ascii="標楷體" w:eastAsia="標楷體" w:hAnsi="標楷體" w:hint="eastAsia"/>
          <w:bCs/>
          <w:sz w:val="32"/>
          <w:szCs w:val="32"/>
        </w:rPr>
        <w:t>年</w:t>
      </w:r>
      <w:r w:rsidRPr="00573D4D">
        <w:rPr>
          <w:rFonts w:ascii="標楷體" w:eastAsia="標楷體" w:hAnsi="標楷體"/>
          <w:bCs/>
          <w:sz w:val="32"/>
          <w:szCs w:val="32"/>
        </w:rPr>
        <w:t>8</w:t>
      </w:r>
      <w:r w:rsidRPr="00573D4D">
        <w:rPr>
          <w:rFonts w:ascii="標楷體" w:eastAsia="標楷體" w:hAnsi="標楷體" w:hint="eastAsia"/>
          <w:bCs/>
          <w:sz w:val="32"/>
          <w:szCs w:val="32"/>
        </w:rPr>
        <w:t>月下旬至</w:t>
      </w:r>
      <w:r w:rsidRPr="00573D4D">
        <w:rPr>
          <w:rFonts w:ascii="標楷體" w:eastAsia="標楷體" w:hAnsi="標楷體"/>
          <w:bCs/>
          <w:sz w:val="32"/>
          <w:szCs w:val="32"/>
        </w:rPr>
        <w:t>9</w:t>
      </w:r>
      <w:r w:rsidRPr="00573D4D">
        <w:rPr>
          <w:rFonts w:ascii="標楷體" w:eastAsia="標楷體" w:hAnsi="標楷體" w:hint="eastAsia"/>
          <w:bCs/>
          <w:sz w:val="32"/>
          <w:szCs w:val="32"/>
        </w:rPr>
        <w:t>月間推出</w:t>
      </w:r>
      <w:r w:rsidRPr="00573D4D">
        <w:rPr>
          <w:rFonts w:ascii="標楷體" w:eastAsia="標楷體" w:hAnsi="標楷體"/>
          <w:bCs/>
          <w:sz w:val="32"/>
          <w:szCs w:val="32"/>
        </w:rPr>
        <w:t>5</w:t>
      </w:r>
      <w:r w:rsidRPr="00573D4D">
        <w:rPr>
          <w:rFonts w:ascii="標楷體" w:eastAsia="標楷體" w:hAnsi="標楷體" w:hint="eastAsia"/>
          <w:bCs/>
          <w:sz w:val="32"/>
          <w:szCs w:val="32"/>
        </w:rPr>
        <w:t>檔付費線上節目，預計售票數合計</w:t>
      </w:r>
      <w:r w:rsidRPr="00573D4D">
        <w:rPr>
          <w:rFonts w:ascii="標楷體" w:eastAsia="標楷體" w:hAnsi="標楷體"/>
          <w:bCs/>
          <w:sz w:val="32"/>
          <w:szCs w:val="32"/>
        </w:rPr>
        <w:t>1,700</w:t>
      </w:r>
      <w:r w:rsidRPr="00573D4D">
        <w:rPr>
          <w:rFonts w:ascii="標楷體" w:eastAsia="標楷體" w:hAnsi="標楷體" w:hint="eastAsia"/>
          <w:bCs/>
          <w:sz w:val="32"/>
          <w:szCs w:val="32"/>
        </w:rPr>
        <w:t>張，實際售票數</w:t>
      </w:r>
      <w:r w:rsidRPr="00573D4D">
        <w:rPr>
          <w:rFonts w:ascii="標楷體" w:eastAsia="標楷體" w:hAnsi="標楷體"/>
          <w:bCs/>
          <w:sz w:val="32"/>
          <w:szCs w:val="32"/>
        </w:rPr>
        <w:t>1,200</w:t>
      </w:r>
      <w:r w:rsidRPr="00573D4D">
        <w:rPr>
          <w:rFonts w:ascii="標楷體" w:eastAsia="標楷體" w:hAnsi="標楷體" w:hint="eastAsia"/>
          <w:bCs/>
          <w:sz w:val="32"/>
          <w:szCs w:val="32"/>
        </w:rPr>
        <w:t>張，平均售票率</w:t>
      </w:r>
      <w:r w:rsidRPr="00573D4D">
        <w:rPr>
          <w:rFonts w:ascii="標楷體" w:eastAsia="標楷體" w:hAnsi="標楷體"/>
          <w:bCs/>
          <w:sz w:val="32"/>
          <w:szCs w:val="32"/>
        </w:rPr>
        <w:t>71%</w:t>
      </w:r>
      <w:r w:rsidRPr="00573D4D">
        <w:rPr>
          <w:rFonts w:ascii="標楷體" w:eastAsia="標楷體" w:hAnsi="標楷體" w:hint="eastAsia"/>
          <w:bCs/>
          <w:sz w:val="32"/>
          <w:szCs w:val="32"/>
        </w:rPr>
        <w:t>。雖疫情已日漸趨緩，但民眾生活及消費習慣已逐漸改變，也趨於選擇多元方式進行娛樂消費，國表藝中心仍應針對線上付費節目硏議行銷策略。綜上，爰請行政法人國家表演藝術中心研謀提升線上節目售票率，並於1個月內向立法院教育及文化委員會提出書面報告。3</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lastRenderedPageBreak/>
        <w:t>提案人：黃國書</w:t>
      </w:r>
    </w:p>
    <w:p w:rsidR="00A52DD2" w:rsidRPr="00573D4D" w:rsidRDefault="00A52DD2" w:rsidP="00F035E0">
      <w:pPr>
        <w:overflowPunct w:val="0"/>
        <w:spacing w:line="500" w:lineRule="exact"/>
        <w:ind w:leftChars="1250" w:left="3000"/>
        <w:jc w:val="both"/>
        <w:rPr>
          <w:rFonts w:ascii="標楷體" w:eastAsia="標楷體" w:hAnsi="標楷體"/>
          <w:bCs/>
          <w:sz w:val="32"/>
          <w:szCs w:val="32"/>
        </w:rPr>
      </w:pPr>
      <w:r w:rsidRPr="00573D4D">
        <w:rPr>
          <w:rFonts w:ascii="標楷體" w:eastAsia="標楷體" w:hAnsi="標楷體" w:hint="eastAsia"/>
          <w:sz w:val="32"/>
          <w:szCs w:val="32"/>
        </w:rPr>
        <w:t>連署人：林宜瑾  張廖萬堅</w:t>
      </w:r>
    </w:p>
    <w:p w:rsidR="00A52DD2" w:rsidRPr="00573D4D" w:rsidRDefault="00A52DD2" w:rsidP="00F035E0">
      <w:pPr>
        <w:overflowPunct w:val="0"/>
        <w:spacing w:line="500" w:lineRule="exact"/>
        <w:ind w:leftChars="150" w:left="680" w:hangingChars="100" w:hanging="320"/>
        <w:jc w:val="both"/>
        <w:rPr>
          <w:rFonts w:ascii="標楷體" w:eastAsia="標楷體" w:hAnsi="標楷體"/>
          <w:bCs/>
          <w:sz w:val="32"/>
          <w:szCs w:val="32"/>
        </w:rPr>
      </w:pPr>
      <w:r w:rsidRPr="00573D4D">
        <w:rPr>
          <w:rFonts w:ascii="標楷體" w:eastAsia="標楷體" w:hAnsi="標楷體" w:hint="eastAsia"/>
          <w:bCs/>
          <w:sz w:val="32"/>
          <w:szCs w:val="32"/>
        </w:rPr>
        <w:t>9.112年度行政法人國家表演藝術中心「國表藝兩廳院平台營運發整計畫」業務推廣及點數發行費用預算編列1億6</w:t>
      </w:r>
      <w:r w:rsidRPr="00573D4D">
        <w:rPr>
          <w:rFonts w:ascii="標楷體" w:eastAsia="標楷體" w:hAnsi="標楷體"/>
          <w:bCs/>
          <w:sz w:val="32"/>
          <w:szCs w:val="32"/>
        </w:rPr>
        <w:t>,</w:t>
      </w:r>
      <w:r w:rsidRPr="00573D4D">
        <w:rPr>
          <w:rFonts w:ascii="標楷體" w:eastAsia="標楷體" w:hAnsi="標楷體" w:hint="eastAsia"/>
          <w:bCs/>
          <w:sz w:val="32"/>
          <w:szCs w:val="32"/>
        </w:rPr>
        <w:t>512萬元。文化部預計從112年度起，針對青年發放「文化成年禮」1</w:t>
      </w:r>
      <w:r w:rsidRPr="00573D4D">
        <w:rPr>
          <w:rFonts w:ascii="標楷體" w:eastAsia="標楷體" w:hAnsi="標楷體"/>
          <w:bCs/>
          <w:sz w:val="32"/>
          <w:szCs w:val="32"/>
        </w:rPr>
        <w:t>,</w:t>
      </w:r>
      <w:r w:rsidRPr="00573D4D">
        <w:rPr>
          <w:rFonts w:ascii="標楷體" w:eastAsia="標楷體" w:hAnsi="標楷體" w:hint="eastAsia"/>
          <w:bCs/>
          <w:sz w:val="32"/>
          <w:szCs w:val="32"/>
        </w:rPr>
        <w:t>200元，希望鼓勵其接觸更多元的藝文活動，且目前預計以兩廳院OPENTIX為主要消費與合作平台。而在OPENTIX平台上加入藝文活動募資項目，則更能達成培養青年藝文消費習慣、鼓勵藝文產業、鼓勵企業出資聯名發行等發行文化禮金3大目標。爰請行政法人國家表演藝術中心於1個月內向立法院教育及文化委員會提出OPENTIX平台納入藝文募資項目之書面報告。4</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提案人：何欣純</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連署人：陳秀寳  吳思瑤  張廖萬堅</w:t>
      </w:r>
    </w:p>
    <w:p w:rsidR="00A52DD2" w:rsidRPr="00573D4D" w:rsidRDefault="00A52DD2" w:rsidP="00F035E0">
      <w:pPr>
        <w:overflowPunct w:val="0"/>
        <w:spacing w:line="500" w:lineRule="exact"/>
        <w:ind w:leftChars="150" w:left="680" w:hangingChars="100" w:hanging="320"/>
        <w:jc w:val="both"/>
        <w:rPr>
          <w:rFonts w:ascii="標楷體" w:eastAsia="標楷體" w:hAnsi="標楷體"/>
          <w:bCs/>
          <w:sz w:val="32"/>
          <w:szCs w:val="32"/>
        </w:rPr>
      </w:pPr>
      <w:r w:rsidRPr="00573D4D">
        <w:rPr>
          <w:rFonts w:ascii="標楷體" w:eastAsia="標楷體" w:hAnsi="標楷體" w:hint="eastAsia"/>
          <w:bCs/>
          <w:sz w:val="32"/>
          <w:szCs w:val="32"/>
        </w:rPr>
        <w:t>10.112年度行政法人國家表演藝術中心「業務成本與費用」項下「衛武營國家藝術文化中心」中「業務費用」之「行銷費用」之「服務費用」之「公共關係費」預算編列45萬元，公共關係費並無規劃計畫成果與效益，難以審認與推展業務具關聯性。且國家兩廳院僅編列公共關係費42萬元，避免公共關係費遭濫用，使其發揮應有之功能性。爰請行政法人國家表演藝術中心於1個月內向立法院教育及文化委員會提出書面報告。5</w:t>
      </w:r>
    </w:p>
    <w:p w:rsidR="00A52DD2" w:rsidRPr="00573D4D" w:rsidRDefault="00A52DD2" w:rsidP="00F035E0">
      <w:pPr>
        <w:overflowPunct w:val="0"/>
        <w:spacing w:line="500" w:lineRule="exact"/>
        <w:ind w:leftChars="1250" w:left="3000"/>
        <w:jc w:val="both"/>
        <w:rPr>
          <w:rFonts w:ascii="標楷體" w:eastAsia="標楷體" w:hAnsi="標楷體"/>
          <w:bCs/>
          <w:sz w:val="32"/>
          <w:szCs w:val="32"/>
        </w:rPr>
      </w:pPr>
      <w:r w:rsidRPr="00573D4D">
        <w:rPr>
          <w:rFonts w:ascii="標楷體" w:eastAsia="標楷體" w:hAnsi="標楷體" w:hint="eastAsia"/>
          <w:sz w:val="32"/>
          <w:szCs w:val="32"/>
        </w:rPr>
        <w:t>提案人：鄭正鈐  吳思瑤  陳秀寳</w:t>
      </w:r>
    </w:p>
    <w:p w:rsidR="00A52DD2" w:rsidRPr="00573D4D" w:rsidRDefault="00A52DD2" w:rsidP="00F035E0">
      <w:pPr>
        <w:snapToGrid w:val="0"/>
        <w:spacing w:beforeLines="50" w:before="180" w:line="500" w:lineRule="exact"/>
        <w:ind w:left="640" w:hangingChars="200" w:hanging="640"/>
        <w:jc w:val="both"/>
        <w:rPr>
          <w:rFonts w:ascii="標楷體" w:eastAsia="標楷體" w:hAnsi="標楷體"/>
          <w:sz w:val="32"/>
          <w:szCs w:val="32"/>
        </w:rPr>
      </w:pPr>
      <w:r w:rsidRPr="00573D4D">
        <w:rPr>
          <w:rFonts w:ascii="標楷體" w:eastAsia="標楷體" w:hAnsi="標楷體" w:hint="eastAsia"/>
          <w:bCs/>
          <w:sz w:val="32"/>
          <w:szCs w:val="32"/>
        </w:rPr>
        <w:t>五、</w:t>
      </w:r>
      <w:r w:rsidRPr="00573D4D">
        <w:rPr>
          <w:rFonts w:ascii="標楷體" w:eastAsia="標楷體" w:hAnsi="標楷體" w:hint="eastAsia"/>
          <w:sz w:val="32"/>
          <w:szCs w:val="32"/>
        </w:rPr>
        <w:t>112年度行政法人文化內容策進院預算案</w:t>
      </w:r>
      <w:r w:rsidRPr="00573D4D">
        <w:rPr>
          <w:rFonts w:ascii="新細明體" w:hAnsi="新細明體" w:hint="eastAsia"/>
          <w:sz w:val="32"/>
          <w:szCs w:val="32"/>
        </w:rPr>
        <w:t>，</w:t>
      </w:r>
      <w:r w:rsidRPr="00573D4D">
        <w:rPr>
          <w:rFonts w:ascii="標楷體" w:eastAsia="標楷體" w:hAnsi="標楷體" w:hint="eastAsia"/>
          <w:sz w:val="32"/>
          <w:szCs w:val="32"/>
        </w:rPr>
        <w:t>審查完竣，擬具審查報告，提報院會，不須交由黨團協商，院會討論時，由鄭召集委員正鈐出席說明。審查結果如下：</w:t>
      </w:r>
    </w:p>
    <w:p w:rsidR="00A52DD2" w:rsidRPr="00573D4D" w:rsidRDefault="00A52DD2" w:rsidP="00F035E0">
      <w:pPr>
        <w:snapToGrid w:val="0"/>
        <w:spacing w:beforeLines="50" w:before="180" w:line="460" w:lineRule="exact"/>
        <w:rPr>
          <w:rFonts w:ascii="標楷體" w:eastAsia="標楷體" w:hAnsi="標楷體"/>
          <w:b/>
          <w:sz w:val="32"/>
          <w:szCs w:val="32"/>
        </w:rPr>
      </w:pPr>
      <w:r w:rsidRPr="00573D4D">
        <w:rPr>
          <w:rFonts w:ascii="標楷體" w:eastAsia="標楷體" w:hAnsi="標楷體" w:hint="eastAsia"/>
          <w:b/>
          <w:sz w:val="32"/>
          <w:szCs w:val="32"/>
        </w:rPr>
        <w:t>文化內容策進院112年度預算書案</w:t>
      </w:r>
    </w:p>
    <w:p w:rsidR="00A52DD2" w:rsidRPr="00573D4D" w:rsidRDefault="00A52DD2" w:rsidP="00F035E0">
      <w:pPr>
        <w:snapToGrid w:val="0"/>
        <w:spacing w:before="120" w:line="440" w:lineRule="exact"/>
        <w:ind w:leftChars="11" w:left="666" w:hangingChars="200" w:hanging="640"/>
        <w:jc w:val="both"/>
        <w:rPr>
          <w:rFonts w:ascii="標楷體" w:eastAsia="標楷體" w:hAnsi="標楷體"/>
          <w:snapToGrid w:val="0"/>
          <w:sz w:val="32"/>
          <w:szCs w:val="32"/>
        </w:rPr>
      </w:pPr>
      <w:r w:rsidRPr="00573D4D">
        <w:rPr>
          <w:rFonts w:ascii="標楷體" w:eastAsia="標楷體" w:hAnsi="標楷體" w:hint="eastAsia"/>
          <w:snapToGrid w:val="0"/>
          <w:sz w:val="32"/>
          <w:szCs w:val="32"/>
        </w:rPr>
        <w:t>(一)</w:t>
      </w:r>
      <w:r w:rsidRPr="00573D4D">
        <w:rPr>
          <w:rFonts w:ascii="標楷體" w:eastAsia="標楷體" w:hAnsi="標楷體"/>
          <w:snapToGrid w:val="0"/>
          <w:sz w:val="32"/>
          <w:szCs w:val="32"/>
        </w:rPr>
        <w:t>業務計畫：應依據業務收支、固定資產建設改良擴充及資金運</w:t>
      </w:r>
      <w:r w:rsidRPr="00573D4D">
        <w:rPr>
          <w:rFonts w:ascii="標楷體" w:eastAsia="標楷體" w:hAnsi="標楷體"/>
          <w:snapToGrid w:val="0"/>
          <w:sz w:val="32"/>
          <w:szCs w:val="32"/>
        </w:rPr>
        <w:lastRenderedPageBreak/>
        <w:t>用等項之審查結果，隨同調整。</w:t>
      </w:r>
    </w:p>
    <w:p w:rsidR="00A52DD2" w:rsidRPr="00573D4D" w:rsidRDefault="00A52DD2" w:rsidP="00F035E0">
      <w:pPr>
        <w:snapToGrid w:val="0"/>
        <w:spacing w:before="120" w:line="440" w:lineRule="exact"/>
        <w:ind w:leftChars="11" w:left="666" w:hangingChars="200" w:hanging="640"/>
        <w:jc w:val="both"/>
        <w:rPr>
          <w:rFonts w:ascii="標楷體" w:eastAsia="標楷體" w:hAnsi="標楷體"/>
          <w:snapToGrid w:val="0"/>
          <w:sz w:val="32"/>
          <w:szCs w:val="32"/>
        </w:rPr>
      </w:pPr>
      <w:r w:rsidRPr="00573D4D">
        <w:rPr>
          <w:rFonts w:ascii="標楷體" w:eastAsia="標楷體" w:hAnsi="標楷體" w:hint="eastAsia"/>
          <w:snapToGrid w:val="0"/>
          <w:sz w:val="32"/>
          <w:szCs w:val="32"/>
        </w:rPr>
        <w:t>(</w:t>
      </w:r>
      <w:r w:rsidRPr="00573D4D">
        <w:rPr>
          <w:rFonts w:ascii="標楷體" w:eastAsia="標楷體" w:hAnsi="標楷體"/>
          <w:snapToGrid w:val="0"/>
          <w:sz w:val="32"/>
          <w:szCs w:val="32"/>
        </w:rPr>
        <w:t>二</w:t>
      </w:r>
      <w:r w:rsidRPr="00573D4D">
        <w:rPr>
          <w:rFonts w:ascii="標楷體" w:eastAsia="標楷體" w:hAnsi="標楷體" w:hint="eastAsia"/>
          <w:snapToGrid w:val="0"/>
          <w:sz w:val="32"/>
          <w:szCs w:val="32"/>
        </w:rPr>
        <w:t>)</w:t>
      </w:r>
      <w:r w:rsidRPr="00573D4D">
        <w:rPr>
          <w:rFonts w:ascii="標楷體" w:eastAsia="標楷體" w:hAnsi="標楷體"/>
          <w:snapToGrid w:val="0"/>
          <w:sz w:val="32"/>
          <w:szCs w:val="32"/>
        </w:rPr>
        <w:t>業務收支：</w:t>
      </w:r>
    </w:p>
    <w:p w:rsidR="00A52DD2" w:rsidRPr="00573D4D" w:rsidRDefault="00A52DD2" w:rsidP="00F035E0">
      <w:pPr>
        <w:kinsoku w:val="0"/>
        <w:overflowPunct w:val="0"/>
        <w:spacing w:before="120" w:line="500" w:lineRule="exact"/>
        <w:ind w:leftChars="150" w:left="680" w:hangingChars="100" w:hanging="320"/>
        <w:jc w:val="both"/>
        <w:textAlignment w:val="center"/>
        <w:rPr>
          <w:rFonts w:ascii="標楷體" w:eastAsia="標楷體" w:hAnsi="標楷體"/>
          <w:snapToGrid w:val="0"/>
          <w:color w:val="000000"/>
          <w:sz w:val="32"/>
          <w:szCs w:val="32"/>
        </w:rPr>
      </w:pPr>
      <w:r w:rsidRPr="00573D4D">
        <w:rPr>
          <w:rFonts w:ascii="標楷體" w:eastAsia="標楷體" w:hAnsi="標楷體" w:hint="eastAsia"/>
          <w:snapToGrid w:val="0"/>
          <w:color w:val="000000"/>
          <w:sz w:val="32"/>
          <w:szCs w:val="32"/>
        </w:rPr>
        <w:t>1.</w:t>
      </w:r>
      <w:r w:rsidRPr="00573D4D">
        <w:rPr>
          <w:rFonts w:ascii="標楷體" w:eastAsia="標楷體" w:hAnsi="標楷體"/>
          <w:snapToGrid w:val="0"/>
          <w:color w:val="000000"/>
          <w:sz w:val="32"/>
          <w:szCs w:val="32"/>
        </w:rPr>
        <w:t>業務總收入：</w:t>
      </w:r>
      <w:r w:rsidRPr="00573D4D">
        <w:rPr>
          <w:rFonts w:ascii="標楷體" w:eastAsia="標楷體" w:hAnsi="標楷體" w:hint="eastAsia"/>
          <w:color w:val="000000"/>
          <w:sz w:val="32"/>
          <w:szCs w:val="40"/>
        </w:rPr>
        <w:t>10億7,941萬4千元</w:t>
      </w:r>
      <w:r w:rsidRPr="00573D4D">
        <w:rPr>
          <w:rFonts w:ascii="標楷體" w:eastAsia="標楷體" w:hAnsi="標楷體"/>
          <w:snapToGrid w:val="0"/>
          <w:color w:val="000000"/>
          <w:sz w:val="32"/>
          <w:szCs w:val="32"/>
        </w:rPr>
        <w:t>，</w:t>
      </w:r>
      <w:r w:rsidRPr="00573D4D">
        <w:rPr>
          <w:rFonts w:ascii="標楷體" w:eastAsia="標楷體" w:hAnsi="標楷體" w:hint="eastAsia"/>
          <w:snapToGrid w:val="0"/>
          <w:color w:val="000000"/>
          <w:sz w:val="32"/>
          <w:szCs w:val="32"/>
        </w:rPr>
        <w:t>照列</w:t>
      </w:r>
      <w:r w:rsidRPr="00573D4D">
        <w:rPr>
          <w:rFonts w:ascii="標楷體" w:eastAsia="標楷體" w:hAnsi="標楷體"/>
          <w:snapToGrid w:val="0"/>
          <w:color w:val="000000"/>
          <w:sz w:val="32"/>
          <w:szCs w:val="32"/>
        </w:rPr>
        <w:t>。</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573D4D">
        <w:rPr>
          <w:rFonts w:ascii="標楷體" w:eastAsia="標楷體" w:hAnsi="標楷體" w:hint="eastAsia"/>
          <w:snapToGrid w:val="0"/>
          <w:color w:val="000000"/>
          <w:sz w:val="32"/>
          <w:szCs w:val="32"/>
        </w:rPr>
        <w:t>2.</w:t>
      </w:r>
      <w:r w:rsidRPr="00573D4D">
        <w:rPr>
          <w:rFonts w:ascii="標楷體" w:eastAsia="標楷體" w:hAnsi="標楷體"/>
          <w:snapToGrid w:val="0"/>
          <w:color w:val="000000"/>
          <w:sz w:val="32"/>
          <w:szCs w:val="32"/>
        </w:rPr>
        <w:t>業務總支出：</w:t>
      </w:r>
      <w:r w:rsidRPr="00573D4D">
        <w:rPr>
          <w:rFonts w:ascii="標楷體" w:eastAsia="標楷體" w:hAnsi="標楷體" w:hint="eastAsia"/>
          <w:color w:val="000000"/>
          <w:sz w:val="32"/>
          <w:szCs w:val="40"/>
        </w:rPr>
        <w:t>10億7,941萬4千元</w:t>
      </w:r>
      <w:r w:rsidRPr="00573D4D">
        <w:rPr>
          <w:rFonts w:ascii="標楷體" w:eastAsia="標楷體" w:hAnsi="標楷體"/>
          <w:snapToGrid w:val="0"/>
          <w:color w:val="000000"/>
          <w:sz w:val="32"/>
          <w:szCs w:val="32"/>
        </w:rPr>
        <w:t>，照列。</w:t>
      </w:r>
    </w:p>
    <w:p w:rsidR="00A52DD2" w:rsidRPr="00573D4D" w:rsidRDefault="00A52DD2" w:rsidP="00F035E0">
      <w:pPr>
        <w:kinsoku w:val="0"/>
        <w:overflowPunct w:val="0"/>
        <w:spacing w:before="120" w:line="500" w:lineRule="exact"/>
        <w:ind w:leftChars="150" w:left="680" w:hangingChars="100" w:hanging="320"/>
        <w:jc w:val="both"/>
        <w:textAlignment w:val="center"/>
        <w:rPr>
          <w:rFonts w:ascii="標楷體" w:eastAsia="標楷體" w:hAnsi="標楷體"/>
          <w:snapToGrid w:val="0"/>
          <w:color w:val="000000"/>
          <w:sz w:val="32"/>
          <w:szCs w:val="32"/>
        </w:rPr>
      </w:pPr>
      <w:r w:rsidRPr="00573D4D">
        <w:rPr>
          <w:rFonts w:ascii="標楷體" w:eastAsia="標楷體" w:hAnsi="標楷體" w:hint="eastAsia"/>
          <w:snapToGrid w:val="0"/>
          <w:color w:val="000000"/>
          <w:sz w:val="32"/>
          <w:szCs w:val="32"/>
        </w:rPr>
        <w:t>3.</w:t>
      </w:r>
      <w:r w:rsidRPr="00573D4D">
        <w:rPr>
          <w:rFonts w:ascii="標楷體" w:eastAsia="標楷體" w:hAnsi="標楷體"/>
          <w:snapToGrid w:val="0"/>
          <w:color w:val="000000"/>
          <w:sz w:val="32"/>
          <w:szCs w:val="32"/>
        </w:rPr>
        <w:t>本期</w:t>
      </w:r>
      <w:r w:rsidRPr="00573D4D">
        <w:rPr>
          <w:rFonts w:ascii="標楷體" w:eastAsia="標楷體" w:hAnsi="標楷體" w:hint="eastAsia"/>
          <w:color w:val="000000"/>
          <w:sz w:val="32"/>
          <w:szCs w:val="40"/>
        </w:rPr>
        <w:t>賸餘</w:t>
      </w:r>
      <w:r w:rsidRPr="00573D4D">
        <w:rPr>
          <w:rFonts w:ascii="標楷體" w:eastAsia="標楷體" w:hAnsi="標楷體"/>
          <w:snapToGrid w:val="0"/>
          <w:color w:val="000000"/>
          <w:sz w:val="32"/>
          <w:szCs w:val="32"/>
        </w:rPr>
        <w:t>：</w:t>
      </w:r>
      <w:r w:rsidRPr="00573D4D">
        <w:rPr>
          <w:rFonts w:ascii="標楷體" w:eastAsia="標楷體" w:hAnsi="標楷體" w:hint="eastAsia"/>
          <w:color w:val="000000"/>
          <w:sz w:val="32"/>
          <w:szCs w:val="40"/>
        </w:rPr>
        <w:t>無列數</w:t>
      </w:r>
      <w:r w:rsidRPr="00573D4D">
        <w:rPr>
          <w:rFonts w:ascii="標楷體" w:eastAsia="標楷體" w:hAnsi="標楷體"/>
          <w:snapToGrid w:val="0"/>
          <w:color w:val="000000"/>
          <w:sz w:val="32"/>
          <w:szCs w:val="32"/>
        </w:rPr>
        <w:t>。</w:t>
      </w:r>
    </w:p>
    <w:p w:rsidR="00A52DD2" w:rsidRPr="00573D4D" w:rsidRDefault="00A52DD2" w:rsidP="00F035E0">
      <w:pPr>
        <w:snapToGrid w:val="0"/>
        <w:spacing w:before="120" w:line="440" w:lineRule="exact"/>
        <w:ind w:leftChars="11" w:left="666" w:hangingChars="200" w:hanging="640"/>
        <w:jc w:val="both"/>
        <w:rPr>
          <w:rFonts w:ascii="標楷體" w:eastAsia="標楷體" w:hAnsi="標楷體"/>
          <w:snapToGrid w:val="0"/>
          <w:sz w:val="32"/>
          <w:szCs w:val="32"/>
        </w:rPr>
      </w:pPr>
      <w:r w:rsidRPr="00573D4D">
        <w:rPr>
          <w:rFonts w:ascii="標楷體" w:eastAsia="標楷體" w:hAnsi="標楷體" w:hint="eastAsia"/>
          <w:snapToGrid w:val="0"/>
          <w:sz w:val="32"/>
          <w:szCs w:val="32"/>
        </w:rPr>
        <w:t>(</w:t>
      </w:r>
      <w:r w:rsidRPr="00573D4D">
        <w:rPr>
          <w:rFonts w:ascii="標楷體" w:eastAsia="標楷體" w:hAnsi="標楷體"/>
          <w:snapToGrid w:val="0"/>
          <w:sz w:val="32"/>
          <w:szCs w:val="32"/>
        </w:rPr>
        <w:t>三</w:t>
      </w:r>
      <w:r w:rsidRPr="00573D4D">
        <w:rPr>
          <w:rFonts w:ascii="標楷體" w:eastAsia="標楷體" w:hAnsi="標楷體" w:hint="eastAsia"/>
          <w:snapToGrid w:val="0"/>
          <w:sz w:val="32"/>
          <w:szCs w:val="32"/>
        </w:rPr>
        <w:t>)</w:t>
      </w:r>
      <w:r w:rsidRPr="00573D4D">
        <w:rPr>
          <w:rFonts w:ascii="標楷體" w:eastAsia="標楷體" w:hAnsi="標楷體"/>
          <w:snapToGrid w:val="0"/>
          <w:sz w:val="32"/>
          <w:szCs w:val="32"/>
        </w:rPr>
        <w:t>固定資產建設改良擴充：</w:t>
      </w:r>
      <w:r w:rsidRPr="00573D4D">
        <w:rPr>
          <w:rFonts w:ascii="標楷體" w:eastAsia="標楷體" w:hAnsi="標楷體" w:hint="eastAsia"/>
          <w:snapToGrid w:val="0"/>
          <w:sz w:val="32"/>
          <w:szCs w:val="32"/>
        </w:rPr>
        <w:t>190萬元</w:t>
      </w:r>
      <w:r w:rsidRPr="00573D4D">
        <w:rPr>
          <w:rFonts w:ascii="標楷體" w:eastAsia="標楷體" w:hAnsi="標楷體"/>
          <w:snapToGrid w:val="0"/>
          <w:color w:val="000000"/>
          <w:sz w:val="32"/>
          <w:szCs w:val="32"/>
        </w:rPr>
        <w:t>，照列</w:t>
      </w:r>
      <w:r w:rsidRPr="00573D4D">
        <w:rPr>
          <w:rFonts w:ascii="標楷體" w:eastAsia="標楷體" w:hAnsi="標楷體"/>
          <w:snapToGrid w:val="0"/>
          <w:sz w:val="32"/>
          <w:szCs w:val="32"/>
        </w:rPr>
        <w:t>。</w:t>
      </w:r>
    </w:p>
    <w:p w:rsidR="00A52DD2" w:rsidRPr="00573D4D" w:rsidRDefault="00A52DD2" w:rsidP="00F035E0">
      <w:pPr>
        <w:snapToGrid w:val="0"/>
        <w:spacing w:before="120" w:line="440" w:lineRule="exact"/>
        <w:ind w:leftChars="11" w:left="666" w:hangingChars="200" w:hanging="640"/>
        <w:jc w:val="both"/>
        <w:rPr>
          <w:rFonts w:ascii="標楷體" w:eastAsia="標楷體" w:hAnsi="標楷體"/>
          <w:snapToGrid w:val="0"/>
          <w:sz w:val="32"/>
          <w:szCs w:val="32"/>
        </w:rPr>
      </w:pPr>
      <w:r w:rsidRPr="00573D4D">
        <w:rPr>
          <w:rFonts w:ascii="標楷體" w:eastAsia="標楷體" w:hAnsi="標楷體" w:hint="eastAsia"/>
          <w:snapToGrid w:val="0"/>
          <w:sz w:val="32"/>
          <w:szCs w:val="32"/>
        </w:rPr>
        <w:t>(</w:t>
      </w:r>
      <w:r w:rsidRPr="00573D4D">
        <w:rPr>
          <w:rFonts w:ascii="標楷體" w:eastAsia="標楷體" w:hAnsi="標楷體"/>
          <w:snapToGrid w:val="0"/>
          <w:sz w:val="32"/>
          <w:szCs w:val="32"/>
        </w:rPr>
        <w:t>四</w:t>
      </w:r>
      <w:r w:rsidRPr="00573D4D">
        <w:rPr>
          <w:rFonts w:ascii="標楷體" w:eastAsia="標楷體" w:hAnsi="標楷體" w:hint="eastAsia"/>
          <w:snapToGrid w:val="0"/>
          <w:sz w:val="32"/>
          <w:szCs w:val="32"/>
        </w:rPr>
        <w:t>)</w:t>
      </w:r>
      <w:r w:rsidRPr="00573D4D">
        <w:rPr>
          <w:rFonts w:ascii="標楷體" w:eastAsia="標楷體" w:hAnsi="標楷體"/>
          <w:snapToGrid w:val="0"/>
          <w:sz w:val="32"/>
          <w:szCs w:val="32"/>
        </w:rPr>
        <w:t>資金運用：應依據業務收支及固定資產之建設改良擴充等項之審查結果，隨同調整。</w:t>
      </w:r>
    </w:p>
    <w:p w:rsidR="00A52DD2" w:rsidRPr="00573D4D" w:rsidRDefault="00A52DD2" w:rsidP="00F035E0">
      <w:pPr>
        <w:snapToGrid w:val="0"/>
        <w:spacing w:before="120" w:after="120" w:line="440" w:lineRule="exact"/>
        <w:ind w:leftChars="11" w:left="666" w:hangingChars="200" w:hanging="640"/>
        <w:jc w:val="both"/>
        <w:rPr>
          <w:rFonts w:ascii="標楷體" w:eastAsia="標楷體" w:hAnsi="標楷體"/>
          <w:snapToGrid w:val="0"/>
          <w:sz w:val="32"/>
          <w:szCs w:val="32"/>
        </w:rPr>
      </w:pPr>
      <w:r w:rsidRPr="00573D4D">
        <w:rPr>
          <w:rFonts w:ascii="標楷體" w:eastAsia="標楷體" w:hAnsi="標楷體" w:hint="eastAsia"/>
          <w:snapToGrid w:val="0"/>
          <w:sz w:val="32"/>
          <w:szCs w:val="32"/>
        </w:rPr>
        <w:t>(</w:t>
      </w:r>
      <w:r w:rsidRPr="00573D4D">
        <w:rPr>
          <w:rFonts w:ascii="標楷體" w:eastAsia="標楷體" w:hAnsi="標楷體"/>
          <w:snapToGrid w:val="0"/>
          <w:sz w:val="32"/>
          <w:szCs w:val="32"/>
        </w:rPr>
        <w:t>五</w:t>
      </w:r>
      <w:r w:rsidRPr="00573D4D">
        <w:rPr>
          <w:rFonts w:ascii="標楷體" w:eastAsia="標楷體" w:hAnsi="標楷體" w:hint="eastAsia"/>
          <w:snapToGrid w:val="0"/>
          <w:sz w:val="32"/>
          <w:szCs w:val="32"/>
        </w:rPr>
        <w:t>)通過決議13項：</w:t>
      </w:r>
    </w:p>
    <w:p w:rsidR="00A52DD2" w:rsidRPr="00573D4D" w:rsidRDefault="00A52DD2" w:rsidP="00F035E0">
      <w:pPr>
        <w:overflowPunct w:val="0"/>
        <w:spacing w:line="500" w:lineRule="exact"/>
        <w:ind w:leftChars="150" w:left="680" w:hangingChars="100" w:hanging="320"/>
        <w:jc w:val="both"/>
        <w:rPr>
          <w:rFonts w:ascii="標楷體" w:eastAsia="標楷體" w:hAnsi="標楷體"/>
          <w:sz w:val="32"/>
          <w:szCs w:val="32"/>
        </w:rPr>
      </w:pPr>
      <w:r w:rsidRPr="00573D4D">
        <w:rPr>
          <w:rFonts w:ascii="標楷體" w:eastAsia="標楷體" w:hAnsi="標楷體" w:hint="eastAsia"/>
          <w:snapToGrid w:val="0"/>
          <w:sz w:val="32"/>
          <w:szCs w:val="32"/>
        </w:rPr>
        <w:t>1.</w:t>
      </w:r>
      <w:r w:rsidRPr="00573D4D">
        <w:rPr>
          <w:rFonts w:ascii="標楷體" w:eastAsia="標楷體" w:hAnsi="標楷體" w:hint="eastAsia"/>
          <w:sz w:val="32"/>
          <w:szCs w:val="32"/>
        </w:rPr>
        <w:t>行政法人文化內容策進院之設立宗旨，是為整合政府與民間的資源與力量，形塑國家文化品牌，引領業者進軍國際市場，並能深遠布局，所支持的產業含括影視、出版、時尚、設計、漫畫、遊戲、動畫、藝術等產業，媒合資金、產製、技術、通路，以平台整合打造台流、創造產值；文策院於108年成立，依據「文化內容策進院設置條例」有關經費來源，包括政府核撥及捐助、國內外捐贈、委託研究提供服務收入、營運產品收入及其他收入等5項，但以112年度文策院預估自籌收入157萬5千元，僅占總收入10億7</w:t>
      </w:r>
      <w:r w:rsidRPr="00573D4D">
        <w:rPr>
          <w:rFonts w:ascii="標楷體" w:eastAsia="標楷體" w:hAnsi="標楷體"/>
          <w:sz w:val="32"/>
          <w:szCs w:val="32"/>
        </w:rPr>
        <w:t>,</w:t>
      </w:r>
      <w:r w:rsidRPr="00573D4D">
        <w:rPr>
          <w:rFonts w:ascii="標楷體" w:eastAsia="標楷體" w:hAnsi="標楷體" w:hint="eastAsia"/>
          <w:sz w:val="32"/>
          <w:szCs w:val="32"/>
        </w:rPr>
        <w:t>941萬4千元的0.15%</w:t>
      </w:r>
      <w:r>
        <w:rPr>
          <w:rFonts w:ascii="標楷體" w:eastAsia="標楷體" w:hAnsi="標楷體" w:hint="eastAsia"/>
          <w:sz w:val="32"/>
          <w:szCs w:val="32"/>
        </w:rPr>
        <w:t>。</w:t>
      </w:r>
      <w:r w:rsidRPr="00573D4D">
        <w:rPr>
          <w:rFonts w:ascii="標楷體" w:eastAsia="標楷體" w:hAnsi="標楷體" w:hint="eastAsia"/>
          <w:sz w:val="32"/>
          <w:szCs w:val="32"/>
        </w:rPr>
        <w:t>爰請行政法人文化內容策進院盤點各項計畫內容，對於各項開源之可行性提出分析，並於2個月內向立法院教育及文化委員會提出提升自主財源目標與期程之書面報告。10</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提案人：何欣純</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連署人：吳思瑤  黃國書</w:t>
      </w:r>
    </w:p>
    <w:p w:rsidR="00A52DD2" w:rsidRPr="00573D4D" w:rsidRDefault="00A52DD2" w:rsidP="00F035E0">
      <w:pPr>
        <w:overflowPunct w:val="0"/>
        <w:spacing w:line="500" w:lineRule="exact"/>
        <w:ind w:leftChars="150" w:left="680" w:hangingChars="100" w:hanging="320"/>
        <w:jc w:val="both"/>
        <w:rPr>
          <w:rFonts w:ascii="標楷體" w:eastAsia="標楷體" w:hAnsi="標楷體"/>
          <w:sz w:val="32"/>
          <w:szCs w:val="32"/>
        </w:rPr>
      </w:pPr>
      <w:r w:rsidRPr="00573D4D">
        <w:rPr>
          <w:rFonts w:ascii="標楷體" w:eastAsia="標楷體" w:hAnsi="標楷體" w:hint="eastAsia"/>
          <w:sz w:val="32"/>
          <w:szCs w:val="32"/>
        </w:rPr>
        <w:t>2.有鑑於行政法人文化內容策進院受文化部委託營運臺灣漫畫基地，所設置專業繪圖工作站110及111年迄7月底平均使用率分別僅三成及一成九，考量近年疫情肆虐，影響創作者使用意願，惟發揮設施運用效益仍屬必要。爰要求行政法人文化內容</w:t>
      </w:r>
      <w:r w:rsidRPr="00573D4D">
        <w:rPr>
          <w:rFonts w:ascii="標楷體" w:eastAsia="標楷體" w:hAnsi="標楷體" w:hint="eastAsia"/>
          <w:sz w:val="32"/>
          <w:szCs w:val="32"/>
        </w:rPr>
        <w:lastRenderedPageBreak/>
        <w:t>策進院應持續強化防疫措施，並適時滾動檢討宣導及優化服務措施之有效性，以提升漫畫基地工作站使用率，相關檢討與具體</w:t>
      </w:r>
      <w:r>
        <w:rPr>
          <w:rFonts w:ascii="標楷體" w:eastAsia="標楷體" w:hAnsi="標楷體" w:hint="eastAsia"/>
          <w:sz w:val="32"/>
          <w:szCs w:val="32"/>
        </w:rPr>
        <w:t>作為</w:t>
      </w:r>
      <w:r w:rsidRPr="00573D4D">
        <w:rPr>
          <w:rFonts w:ascii="標楷體" w:eastAsia="標楷體" w:hAnsi="標楷體" w:hint="eastAsia"/>
          <w:sz w:val="32"/>
          <w:szCs w:val="32"/>
        </w:rPr>
        <w:t>於1個月內向立法院教育及文化委員會提出書面報告。11</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提案人：林奕華</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連署人：吳怡玎  鄭正鈐</w:t>
      </w:r>
    </w:p>
    <w:p w:rsidR="00A52DD2" w:rsidRPr="00573D4D" w:rsidRDefault="00A52DD2" w:rsidP="00F035E0">
      <w:pPr>
        <w:overflowPunct w:val="0"/>
        <w:spacing w:line="500" w:lineRule="exact"/>
        <w:ind w:leftChars="150" w:left="680" w:hangingChars="100" w:hanging="320"/>
        <w:jc w:val="both"/>
        <w:rPr>
          <w:rFonts w:ascii="標楷體" w:eastAsia="標楷體" w:hAnsi="標楷體"/>
          <w:sz w:val="32"/>
          <w:szCs w:val="32"/>
        </w:rPr>
      </w:pPr>
      <w:r w:rsidRPr="00573D4D">
        <w:rPr>
          <w:rFonts w:ascii="標楷體" w:eastAsia="標楷體" w:hAnsi="標楷體" w:hint="eastAsia"/>
          <w:sz w:val="32"/>
          <w:szCs w:val="32"/>
        </w:rPr>
        <w:t>3.有鑑於112年度行政法人文化內容策進院新增文化部專案補助辦理「影音場域之5G創新應用領航計畫」，其中包括籌辦國際級未來內容產業商展，以進行商務媒合交易及趨勢交流，並建構國際品牌形象。考量國際展會型態轉變為實體與線上並行，疫情未來仍充滿不確定性，爰要求行政法人文化內容策進院應及早研謀因應方案，並增訂帶動產業交易金額之績效指標，俾激勵有效達</w:t>
      </w:r>
      <w:r>
        <w:rPr>
          <w:rFonts w:ascii="標楷體" w:eastAsia="標楷體" w:hAnsi="標楷體" w:hint="eastAsia"/>
          <w:sz w:val="32"/>
          <w:szCs w:val="32"/>
        </w:rPr>
        <w:t>成藉由國際級商展導入未來內容產業發展動能之目標，相關檢討與作為</w:t>
      </w:r>
      <w:r w:rsidRPr="00573D4D">
        <w:rPr>
          <w:rFonts w:ascii="標楷體" w:eastAsia="標楷體" w:hAnsi="標楷體" w:hint="eastAsia"/>
          <w:sz w:val="32"/>
          <w:szCs w:val="32"/>
        </w:rPr>
        <w:t>於1個月內向立法院教育及文化委員會提出書面報告。12</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提案人：林奕華</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連署人：吳怡玎  鄭正鈐</w:t>
      </w:r>
    </w:p>
    <w:p w:rsidR="00A52DD2" w:rsidRPr="00573D4D" w:rsidRDefault="00A52DD2" w:rsidP="00F035E0">
      <w:pPr>
        <w:overflowPunct w:val="0"/>
        <w:spacing w:line="500" w:lineRule="exact"/>
        <w:ind w:leftChars="150" w:left="680" w:hangingChars="100" w:hanging="320"/>
        <w:jc w:val="both"/>
        <w:rPr>
          <w:rFonts w:ascii="標楷體" w:eastAsia="標楷體" w:hAnsi="標楷體"/>
          <w:sz w:val="32"/>
          <w:szCs w:val="32"/>
        </w:rPr>
      </w:pPr>
      <w:r w:rsidRPr="00573D4D">
        <w:rPr>
          <w:rFonts w:ascii="標楷體" w:eastAsia="標楷體" w:hAnsi="標楷體" w:hint="eastAsia"/>
          <w:sz w:val="32"/>
          <w:szCs w:val="32"/>
        </w:rPr>
        <w:t>4.有鑑於行政院國家發展基金匡列100億元投資於國內文化創意產業，以期促進文化創意產業蓬勃發展，行政法人文化內容策進院受託執行該項投資，然迄111年7月底，有三成被投資事業營運績效不佳或困難，且文策院官網公開執行成果時間落後。爰要求行政法人文化內容策進院應持續積極掌握被投資事業之經營狀況，並精進諮詢輔導及投資評估審議工作，同時應依規定每半年即時公開相關資訊，俾利外界瞭解及監督。13</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提案人：林奕華</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連署人：吳怡玎  鄭正鈐</w:t>
      </w:r>
    </w:p>
    <w:p w:rsidR="00A52DD2" w:rsidRPr="00573D4D" w:rsidRDefault="00A52DD2" w:rsidP="00F035E0">
      <w:pPr>
        <w:overflowPunct w:val="0"/>
        <w:spacing w:line="500" w:lineRule="exact"/>
        <w:ind w:leftChars="150" w:left="680" w:hangingChars="100" w:hanging="320"/>
        <w:jc w:val="both"/>
        <w:rPr>
          <w:rFonts w:ascii="標楷體" w:eastAsia="標楷體" w:hAnsi="標楷體"/>
          <w:sz w:val="32"/>
          <w:szCs w:val="32"/>
        </w:rPr>
      </w:pPr>
      <w:r w:rsidRPr="00573D4D">
        <w:rPr>
          <w:rFonts w:ascii="標楷體" w:eastAsia="標楷體" w:hAnsi="標楷體" w:hint="eastAsia"/>
          <w:sz w:val="32"/>
          <w:szCs w:val="32"/>
        </w:rPr>
        <w:t>5.行政法人文化內容策進院營運之漫畫基地設置專業繪圖工作站供會員使用，110年10個工作站可供使用時數合計2萬3,760</w:t>
      </w:r>
      <w:r w:rsidRPr="00573D4D">
        <w:rPr>
          <w:rFonts w:ascii="標楷體" w:eastAsia="標楷體" w:hAnsi="標楷體" w:hint="eastAsia"/>
          <w:sz w:val="32"/>
          <w:szCs w:val="32"/>
        </w:rPr>
        <w:lastRenderedPageBreak/>
        <w:t>小時，實際使用7,150小時，平均使用率30.09%，111年1至7月之平均使用率下降至19.17%，各工作站使用率介於11.68%至35.87%間。設置專業繪圖工作站供會員使用，惟110年度平均使用率僅三成，111年迄7月底使用率跌至二成以下，避免遭濫用虛擲，使其發揮應有之功能性。應規劃更具務實性。爰要求行政法人文化內容策進院於1個月內向立法院教育及文化委員會提出改善方案書面報告。14</w:t>
      </w:r>
    </w:p>
    <w:p w:rsidR="00A52DD2" w:rsidRPr="00573D4D" w:rsidRDefault="00A52DD2" w:rsidP="00F035E0">
      <w:pPr>
        <w:spacing w:beforeLines="30" w:before="108" w:line="500" w:lineRule="exact"/>
        <w:ind w:leftChars="-78" w:left="689" w:hangingChars="365" w:hanging="876"/>
        <w:jc w:val="right"/>
        <w:rPr>
          <w:rFonts w:ascii="標楷體" w:eastAsia="標楷體" w:hAnsi="標楷體"/>
        </w:rPr>
      </w:pPr>
      <w:r w:rsidRPr="00573D4D">
        <w:rPr>
          <w:rFonts w:ascii="標楷體" w:eastAsia="標楷體" w:hAnsi="標楷體" w:hint="eastAsia"/>
        </w:rPr>
        <w:t>表1  110年度至111年7月底文策院漫畫基地繪圖工作站使用時數及使用率彙總表</w:t>
      </w:r>
      <w:r w:rsidRPr="00573D4D">
        <w:rPr>
          <w:rFonts w:hint="eastAsia"/>
        </w:rPr>
        <w:t xml:space="preserve">                          </w:t>
      </w:r>
      <w:r w:rsidRPr="00573D4D">
        <w:rPr>
          <w:rFonts w:ascii="標楷體" w:eastAsia="標楷體" w:hAnsi="標楷體" w:hint="eastAsia"/>
        </w:rPr>
        <w:t xml:space="preserve">     </w:t>
      </w:r>
      <w:r w:rsidRPr="00573D4D">
        <w:rPr>
          <w:rFonts w:ascii="標楷體" w:eastAsia="標楷體" w:hAnsi="標楷體" w:hint="eastAsia"/>
          <w:szCs w:val="24"/>
        </w:rPr>
        <w:t>單位：小時；%</w:t>
      </w:r>
    </w:p>
    <w:tbl>
      <w:tblPr>
        <w:tblW w:w="8483" w:type="dxa"/>
        <w:tblInd w:w="863"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15"/>
        <w:gridCol w:w="1311"/>
        <w:gridCol w:w="1311"/>
        <w:gridCol w:w="1312"/>
        <w:gridCol w:w="1311"/>
        <w:gridCol w:w="1311"/>
        <w:gridCol w:w="1312"/>
      </w:tblGrid>
      <w:tr w:rsidR="00A52DD2" w:rsidRPr="00573D4D" w:rsidTr="00F035E0">
        <w:trPr>
          <w:tblHeader/>
        </w:trPr>
        <w:tc>
          <w:tcPr>
            <w:tcW w:w="615" w:type="dxa"/>
            <w:vMerge w:val="restart"/>
            <w:shd w:val="clear" w:color="000000" w:fill="FFFFFF"/>
            <w:vAlign w:val="center"/>
            <w:hideMark/>
          </w:tcPr>
          <w:p w:rsidR="00A52DD2" w:rsidRPr="00573D4D" w:rsidRDefault="00A52DD2" w:rsidP="00F035E0">
            <w:pPr>
              <w:spacing w:line="500" w:lineRule="exact"/>
              <w:jc w:val="center"/>
              <w:rPr>
                <w:rFonts w:ascii="標楷體" w:eastAsia="標楷體" w:hAnsi="標楷體"/>
                <w:szCs w:val="28"/>
              </w:rPr>
            </w:pPr>
            <w:r w:rsidRPr="00573D4D">
              <w:rPr>
                <w:rFonts w:ascii="標楷體" w:eastAsia="標楷體" w:hAnsi="標楷體" w:hint="eastAsia"/>
                <w:szCs w:val="28"/>
              </w:rPr>
              <w:t>工作站編號</w:t>
            </w:r>
          </w:p>
        </w:tc>
        <w:tc>
          <w:tcPr>
            <w:tcW w:w="3934" w:type="dxa"/>
            <w:gridSpan w:val="3"/>
            <w:shd w:val="clear" w:color="auto" w:fill="auto"/>
            <w:noWrap/>
            <w:vAlign w:val="center"/>
            <w:hideMark/>
          </w:tcPr>
          <w:p w:rsidR="00A52DD2" w:rsidRPr="00573D4D" w:rsidRDefault="00A52DD2" w:rsidP="00F035E0">
            <w:pPr>
              <w:spacing w:line="500" w:lineRule="exact"/>
              <w:jc w:val="center"/>
              <w:rPr>
                <w:rFonts w:ascii="標楷體" w:eastAsia="標楷體" w:hAnsi="標楷體"/>
                <w:szCs w:val="28"/>
              </w:rPr>
            </w:pPr>
            <w:r w:rsidRPr="00573D4D">
              <w:rPr>
                <w:rFonts w:ascii="標楷體" w:eastAsia="標楷體" w:hAnsi="標楷體" w:hint="eastAsia"/>
                <w:szCs w:val="28"/>
              </w:rPr>
              <w:t>110年度</w:t>
            </w:r>
          </w:p>
        </w:tc>
        <w:tc>
          <w:tcPr>
            <w:tcW w:w="3934" w:type="dxa"/>
            <w:gridSpan w:val="3"/>
            <w:shd w:val="clear" w:color="auto" w:fill="auto"/>
            <w:noWrap/>
            <w:vAlign w:val="center"/>
            <w:hideMark/>
          </w:tcPr>
          <w:p w:rsidR="00A52DD2" w:rsidRPr="00573D4D" w:rsidRDefault="00A52DD2" w:rsidP="00F035E0">
            <w:pPr>
              <w:spacing w:line="500" w:lineRule="exact"/>
              <w:jc w:val="center"/>
              <w:rPr>
                <w:rFonts w:ascii="標楷體" w:eastAsia="標楷體" w:hAnsi="標楷體"/>
                <w:szCs w:val="28"/>
              </w:rPr>
            </w:pPr>
            <w:r w:rsidRPr="00573D4D">
              <w:rPr>
                <w:rFonts w:ascii="標楷體" w:eastAsia="標楷體" w:hAnsi="標楷體" w:hint="eastAsia"/>
                <w:szCs w:val="28"/>
              </w:rPr>
              <w:t>111年1-7月</w:t>
            </w:r>
          </w:p>
        </w:tc>
      </w:tr>
      <w:tr w:rsidR="00A52DD2" w:rsidRPr="00573D4D" w:rsidTr="00F035E0">
        <w:trPr>
          <w:tblHeader/>
        </w:trPr>
        <w:tc>
          <w:tcPr>
            <w:tcW w:w="615" w:type="dxa"/>
            <w:vMerge/>
            <w:vAlign w:val="center"/>
            <w:hideMark/>
          </w:tcPr>
          <w:p w:rsidR="00A52DD2" w:rsidRPr="00573D4D" w:rsidRDefault="00A52DD2" w:rsidP="00F035E0">
            <w:pPr>
              <w:spacing w:line="500" w:lineRule="exact"/>
              <w:jc w:val="center"/>
              <w:rPr>
                <w:rFonts w:ascii="標楷體" w:eastAsia="標楷體" w:hAnsi="標楷體"/>
                <w:szCs w:val="28"/>
              </w:rPr>
            </w:pPr>
          </w:p>
        </w:tc>
        <w:tc>
          <w:tcPr>
            <w:tcW w:w="1311" w:type="dxa"/>
            <w:shd w:val="clear" w:color="000000" w:fill="FFFFFF"/>
            <w:vAlign w:val="center"/>
            <w:hideMark/>
          </w:tcPr>
          <w:p w:rsidR="00A52DD2" w:rsidRPr="00573D4D" w:rsidRDefault="00A52DD2" w:rsidP="00F035E0">
            <w:pPr>
              <w:spacing w:line="500" w:lineRule="exact"/>
              <w:jc w:val="center"/>
              <w:rPr>
                <w:rFonts w:ascii="標楷體" w:eastAsia="標楷體" w:hAnsi="標楷體"/>
                <w:szCs w:val="28"/>
              </w:rPr>
            </w:pPr>
            <w:r w:rsidRPr="00573D4D">
              <w:rPr>
                <w:rFonts w:ascii="標楷體" w:eastAsia="標楷體" w:hAnsi="標楷體" w:hint="eastAsia"/>
                <w:szCs w:val="28"/>
              </w:rPr>
              <w:t>可供</w:t>
            </w:r>
          </w:p>
          <w:p w:rsidR="00A52DD2" w:rsidRPr="00573D4D" w:rsidRDefault="00A52DD2" w:rsidP="00F035E0">
            <w:pPr>
              <w:spacing w:line="500" w:lineRule="exact"/>
              <w:jc w:val="center"/>
              <w:rPr>
                <w:rFonts w:ascii="標楷體" w:eastAsia="標楷體" w:hAnsi="標楷體"/>
                <w:szCs w:val="28"/>
              </w:rPr>
            </w:pPr>
            <w:r w:rsidRPr="00573D4D">
              <w:rPr>
                <w:rFonts w:ascii="標楷體" w:eastAsia="標楷體" w:hAnsi="標楷體" w:hint="eastAsia"/>
                <w:szCs w:val="28"/>
              </w:rPr>
              <w:t>使用時數</w:t>
            </w:r>
          </w:p>
        </w:tc>
        <w:tc>
          <w:tcPr>
            <w:tcW w:w="1311" w:type="dxa"/>
            <w:shd w:val="clear" w:color="000000" w:fill="FFFFFF"/>
            <w:vAlign w:val="center"/>
            <w:hideMark/>
          </w:tcPr>
          <w:p w:rsidR="00A52DD2" w:rsidRPr="00573D4D" w:rsidRDefault="00A52DD2" w:rsidP="00F035E0">
            <w:pPr>
              <w:spacing w:line="500" w:lineRule="exact"/>
              <w:jc w:val="center"/>
              <w:rPr>
                <w:rFonts w:ascii="標楷體" w:eastAsia="標楷體" w:hAnsi="標楷體"/>
                <w:szCs w:val="28"/>
              </w:rPr>
            </w:pPr>
            <w:r w:rsidRPr="00573D4D">
              <w:rPr>
                <w:rFonts w:ascii="標楷體" w:eastAsia="標楷體" w:hAnsi="標楷體" w:hint="eastAsia"/>
                <w:szCs w:val="28"/>
              </w:rPr>
              <w:t>實際</w:t>
            </w:r>
          </w:p>
          <w:p w:rsidR="00A52DD2" w:rsidRPr="00573D4D" w:rsidRDefault="00A52DD2" w:rsidP="00F035E0">
            <w:pPr>
              <w:spacing w:line="500" w:lineRule="exact"/>
              <w:jc w:val="center"/>
              <w:rPr>
                <w:rFonts w:ascii="標楷體" w:eastAsia="標楷體" w:hAnsi="標楷體"/>
                <w:szCs w:val="28"/>
              </w:rPr>
            </w:pPr>
            <w:r w:rsidRPr="00573D4D">
              <w:rPr>
                <w:rFonts w:ascii="標楷體" w:eastAsia="標楷體" w:hAnsi="標楷體" w:hint="eastAsia"/>
                <w:szCs w:val="28"/>
              </w:rPr>
              <w:t>使用時數</w:t>
            </w:r>
          </w:p>
        </w:tc>
        <w:tc>
          <w:tcPr>
            <w:tcW w:w="1312" w:type="dxa"/>
            <w:shd w:val="clear" w:color="000000" w:fill="FFFFFF"/>
            <w:vAlign w:val="center"/>
            <w:hideMark/>
          </w:tcPr>
          <w:p w:rsidR="00A52DD2" w:rsidRPr="00573D4D" w:rsidRDefault="00A52DD2" w:rsidP="00F035E0">
            <w:pPr>
              <w:spacing w:line="500" w:lineRule="exact"/>
              <w:jc w:val="center"/>
              <w:rPr>
                <w:rFonts w:ascii="標楷體" w:eastAsia="標楷體" w:hAnsi="標楷體"/>
                <w:szCs w:val="28"/>
              </w:rPr>
            </w:pPr>
            <w:r w:rsidRPr="00573D4D">
              <w:rPr>
                <w:rFonts w:ascii="標楷體" w:eastAsia="標楷體" w:hAnsi="標楷體" w:hint="eastAsia"/>
                <w:szCs w:val="28"/>
              </w:rPr>
              <w:t>使用率</w:t>
            </w:r>
          </w:p>
        </w:tc>
        <w:tc>
          <w:tcPr>
            <w:tcW w:w="1311" w:type="dxa"/>
            <w:shd w:val="clear" w:color="000000" w:fill="FFFFFF"/>
            <w:vAlign w:val="center"/>
            <w:hideMark/>
          </w:tcPr>
          <w:p w:rsidR="00A52DD2" w:rsidRPr="00573D4D" w:rsidRDefault="00A52DD2" w:rsidP="00F035E0">
            <w:pPr>
              <w:spacing w:line="500" w:lineRule="exact"/>
              <w:jc w:val="center"/>
              <w:rPr>
                <w:rFonts w:ascii="標楷體" w:eastAsia="標楷體" w:hAnsi="標楷體"/>
                <w:szCs w:val="28"/>
              </w:rPr>
            </w:pPr>
            <w:r w:rsidRPr="00573D4D">
              <w:rPr>
                <w:rFonts w:ascii="標楷體" w:eastAsia="標楷體" w:hAnsi="標楷體" w:hint="eastAsia"/>
                <w:szCs w:val="28"/>
              </w:rPr>
              <w:t>可供</w:t>
            </w:r>
          </w:p>
          <w:p w:rsidR="00A52DD2" w:rsidRPr="00573D4D" w:rsidRDefault="00A52DD2" w:rsidP="00F035E0">
            <w:pPr>
              <w:spacing w:line="500" w:lineRule="exact"/>
              <w:jc w:val="center"/>
              <w:rPr>
                <w:rFonts w:ascii="標楷體" w:eastAsia="標楷體" w:hAnsi="標楷體"/>
                <w:szCs w:val="28"/>
              </w:rPr>
            </w:pPr>
            <w:r w:rsidRPr="00573D4D">
              <w:rPr>
                <w:rFonts w:ascii="標楷體" w:eastAsia="標楷體" w:hAnsi="標楷體" w:hint="eastAsia"/>
                <w:szCs w:val="28"/>
              </w:rPr>
              <w:t>使用時數</w:t>
            </w:r>
          </w:p>
        </w:tc>
        <w:tc>
          <w:tcPr>
            <w:tcW w:w="1311" w:type="dxa"/>
            <w:shd w:val="clear" w:color="000000" w:fill="FFFFFF"/>
            <w:vAlign w:val="center"/>
            <w:hideMark/>
          </w:tcPr>
          <w:p w:rsidR="00A52DD2" w:rsidRPr="00573D4D" w:rsidRDefault="00A52DD2" w:rsidP="00F035E0">
            <w:pPr>
              <w:spacing w:line="500" w:lineRule="exact"/>
              <w:jc w:val="center"/>
              <w:rPr>
                <w:rFonts w:ascii="標楷體" w:eastAsia="標楷體" w:hAnsi="標楷體"/>
                <w:szCs w:val="28"/>
              </w:rPr>
            </w:pPr>
            <w:r w:rsidRPr="00573D4D">
              <w:rPr>
                <w:rFonts w:ascii="標楷體" w:eastAsia="標楷體" w:hAnsi="標楷體" w:hint="eastAsia"/>
                <w:szCs w:val="28"/>
              </w:rPr>
              <w:t>實際</w:t>
            </w:r>
          </w:p>
          <w:p w:rsidR="00A52DD2" w:rsidRPr="00573D4D" w:rsidRDefault="00A52DD2" w:rsidP="00F035E0">
            <w:pPr>
              <w:spacing w:line="500" w:lineRule="exact"/>
              <w:jc w:val="center"/>
              <w:rPr>
                <w:rFonts w:ascii="標楷體" w:eastAsia="標楷體" w:hAnsi="標楷體"/>
                <w:szCs w:val="28"/>
              </w:rPr>
            </w:pPr>
            <w:r w:rsidRPr="00573D4D">
              <w:rPr>
                <w:rFonts w:ascii="標楷體" w:eastAsia="標楷體" w:hAnsi="標楷體" w:hint="eastAsia"/>
                <w:szCs w:val="28"/>
              </w:rPr>
              <w:t>使用時數</w:t>
            </w:r>
          </w:p>
        </w:tc>
        <w:tc>
          <w:tcPr>
            <w:tcW w:w="1312" w:type="dxa"/>
            <w:shd w:val="clear" w:color="000000" w:fill="FFFFFF"/>
            <w:vAlign w:val="center"/>
            <w:hideMark/>
          </w:tcPr>
          <w:p w:rsidR="00A52DD2" w:rsidRPr="00573D4D" w:rsidRDefault="00A52DD2" w:rsidP="00F035E0">
            <w:pPr>
              <w:spacing w:line="500" w:lineRule="exact"/>
              <w:jc w:val="center"/>
              <w:rPr>
                <w:rFonts w:ascii="標楷體" w:eastAsia="標楷體" w:hAnsi="標楷體"/>
                <w:szCs w:val="28"/>
              </w:rPr>
            </w:pPr>
            <w:r w:rsidRPr="00573D4D">
              <w:rPr>
                <w:rFonts w:ascii="標楷體" w:eastAsia="標楷體" w:hAnsi="標楷體" w:hint="eastAsia"/>
                <w:szCs w:val="28"/>
              </w:rPr>
              <w:t>使用率</w:t>
            </w:r>
          </w:p>
        </w:tc>
      </w:tr>
      <w:tr w:rsidR="00A52DD2" w:rsidRPr="00573D4D" w:rsidTr="00F035E0">
        <w:tc>
          <w:tcPr>
            <w:tcW w:w="615" w:type="dxa"/>
            <w:tcBorders>
              <w:bottom w:val="single" w:sz="4" w:space="0" w:color="auto"/>
            </w:tcBorders>
            <w:shd w:val="clear" w:color="000000" w:fill="FFFFFF"/>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合計</w:t>
            </w:r>
          </w:p>
        </w:tc>
        <w:tc>
          <w:tcPr>
            <w:tcW w:w="1311" w:type="dxa"/>
            <w:tcBorders>
              <w:bottom w:val="single" w:sz="4" w:space="0" w:color="auto"/>
            </w:tcBorders>
            <w:shd w:val="clear" w:color="000000" w:fill="FFFFFF"/>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23,760</w:t>
            </w:r>
          </w:p>
        </w:tc>
        <w:tc>
          <w:tcPr>
            <w:tcW w:w="1311" w:type="dxa"/>
            <w:tcBorders>
              <w:bottom w:val="single" w:sz="4" w:space="0" w:color="auto"/>
            </w:tcBorders>
            <w:shd w:val="clear" w:color="000000" w:fill="FFFFFF"/>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7,150</w:t>
            </w:r>
          </w:p>
        </w:tc>
        <w:tc>
          <w:tcPr>
            <w:tcW w:w="1312" w:type="dxa"/>
            <w:tcBorders>
              <w:bottom w:val="single" w:sz="4" w:space="0" w:color="auto"/>
            </w:tcBorders>
            <w:shd w:val="clear" w:color="000000" w:fill="FFFFFF"/>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30.09</w:t>
            </w:r>
          </w:p>
        </w:tc>
        <w:tc>
          <w:tcPr>
            <w:tcW w:w="1311" w:type="dxa"/>
            <w:tcBorders>
              <w:bottom w:val="single" w:sz="4" w:space="0" w:color="auto"/>
            </w:tcBorders>
            <w:shd w:val="clear" w:color="000000" w:fill="FFFFFF"/>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18,150</w:t>
            </w:r>
          </w:p>
        </w:tc>
        <w:tc>
          <w:tcPr>
            <w:tcW w:w="1311" w:type="dxa"/>
            <w:tcBorders>
              <w:bottom w:val="single" w:sz="4" w:space="0" w:color="auto"/>
            </w:tcBorders>
            <w:shd w:val="clear" w:color="000000" w:fill="FFFFFF"/>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3,480</w:t>
            </w:r>
          </w:p>
        </w:tc>
        <w:tc>
          <w:tcPr>
            <w:tcW w:w="1312" w:type="dxa"/>
            <w:tcBorders>
              <w:bottom w:val="single" w:sz="4" w:space="0" w:color="auto"/>
            </w:tcBorders>
            <w:shd w:val="clear" w:color="000000" w:fill="FFFFFF"/>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19.17</w:t>
            </w:r>
          </w:p>
        </w:tc>
      </w:tr>
      <w:tr w:rsidR="00A52DD2" w:rsidRPr="00573D4D" w:rsidTr="00F035E0">
        <w:tc>
          <w:tcPr>
            <w:tcW w:w="615"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1</w:t>
            </w:r>
          </w:p>
        </w:tc>
        <w:tc>
          <w:tcPr>
            <w:tcW w:w="1311"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2,376</w:t>
            </w:r>
          </w:p>
        </w:tc>
        <w:tc>
          <w:tcPr>
            <w:tcW w:w="1311"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1,510</w:t>
            </w:r>
          </w:p>
        </w:tc>
        <w:tc>
          <w:tcPr>
            <w:tcW w:w="1312"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63.55</w:t>
            </w:r>
          </w:p>
        </w:tc>
        <w:tc>
          <w:tcPr>
            <w:tcW w:w="1311"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1,815</w:t>
            </w:r>
          </w:p>
        </w:tc>
        <w:tc>
          <w:tcPr>
            <w:tcW w:w="1311"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651</w:t>
            </w:r>
          </w:p>
        </w:tc>
        <w:tc>
          <w:tcPr>
            <w:tcW w:w="1312"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35.87</w:t>
            </w:r>
          </w:p>
        </w:tc>
      </w:tr>
      <w:tr w:rsidR="00A52DD2" w:rsidRPr="00573D4D" w:rsidTr="00F035E0">
        <w:tc>
          <w:tcPr>
            <w:tcW w:w="615"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szCs w:val="28"/>
              </w:rPr>
            </w:pPr>
            <w:r w:rsidRPr="00573D4D">
              <w:rPr>
                <w:rFonts w:ascii="標楷體" w:eastAsia="標楷體" w:hAnsi="標楷體" w:hint="eastAsia"/>
                <w:szCs w:val="28"/>
              </w:rPr>
              <w:t>2</w:t>
            </w:r>
          </w:p>
        </w:tc>
        <w:tc>
          <w:tcPr>
            <w:tcW w:w="1311"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szCs w:val="28"/>
              </w:rPr>
            </w:pPr>
            <w:r w:rsidRPr="00573D4D">
              <w:rPr>
                <w:rFonts w:ascii="標楷體" w:eastAsia="標楷體" w:hAnsi="標楷體" w:hint="eastAsia"/>
                <w:szCs w:val="28"/>
              </w:rPr>
              <w:t>2,376</w:t>
            </w:r>
          </w:p>
        </w:tc>
        <w:tc>
          <w:tcPr>
            <w:tcW w:w="1311"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szCs w:val="28"/>
              </w:rPr>
            </w:pPr>
            <w:r w:rsidRPr="00573D4D">
              <w:rPr>
                <w:rFonts w:ascii="標楷體" w:eastAsia="標楷體" w:hAnsi="標楷體" w:hint="eastAsia"/>
                <w:szCs w:val="28"/>
              </w:rPr>
              <w:t>176</w:t>
            </w:r>
          </w:p>
        </w:tc>
        <w:tc>
          <w:tcPr>
            <w:tcW w:w="1312"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szCs w:val="28"/>
              </w:rPr>
            </w:pPr>
            <w:r w:rsidRPr="00573D4D">
              <w:rPr>
                <w:rFonts w:ascii="標楷體" w:eastAsia="標楷體" w:hAnsi="標楷體" w:hint="eastAsia"/>
                <w:szCs w:val="28"/>
              </w:rPr>
              <w:t>7.41</w:t>
            </w:r>
          </w:p>
        </w:tc>
        <w:tc>
          <w:tcPr>
            <w:tcW w:w="1311"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szCs w:val="28"/>
              </w:rPr>
            </w:pPr>
            <w:r w:rsidRPr="00573D4D">
              <w:rPr>
                <w:rFonts w:ascii="標楷體" w:eastAsia="標楷體" w:hAnsi="標楷體" w:hint="eastAsia"/>
                <w:szCs w:val="28"/>
              </w:rPr>
              <w:t>1,815</w:t>
            </w:r>
          </w:p>
        </w:tc>
        <w:tc>
          <w:tcPr>
            <w:tcW w:w="1311"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szCs w:val="28"/>
              </w:rPr>
            </w:pPr>
            <w:r w:rsidRPr="00573D4D">
              <w:rPr>
                <w:rFonts w:ascii="標楷體" w:eastAsia="標楷體" w:hAnsi="標楷體" w:hint="eastAsia"/>
                <w:szCs w:val="28"/>
              </w:rPr>
              <w:t>229</w:t>
            </w:r>
          </w:p>
        </w:tc>
        <w:tc>
          <w:tcPr>
            <w:tcW w:w="1312"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szCs w:val="28"/>
              </w:rPr>
            </w:pPr>
            <w:r w:rsidRPr="00573D4D">
              <w:rPr>
                <w:rFonts w:ascii="標楷體" w:eastAsia="標楷體" w:hAnsi="標楷體" w:hint="eastAsia"/>
                <w:szCs w:val="28"/>
              </w:rPr>
              <w:t>12.62</w:t>
            </w:r>
          </w:p>
        </w:tc>
      </w:tr>
      <w:tr w:rsidR="00A52DD2" w:rsidRPr="00573D4D" w:rsidTr="00F035E0">
        <w:tc>
          <w:tcPr>
            <w:tcW w:w="615"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3</w:t>
            </w:r>
          </w:p>
        </w:tc>
        <w:tc>
          <w:tcPr>
            <w:tcW w:w="1311"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2,376</w:t>
            </w:r>
          </w:p>
        </w:tc>
        <w:tc>
          <w:tcPr>
            <w:tcW w:w="1311"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855</w:t>
            </w:r>
          </w:p>
        </w:tc>
        <w:tc>
          <w:tcPr>
            <w:tcW w:w="1312"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35.98</w:t>
            </w:r>
          </w:p>
        </w:tc>
        <w:tc>
          <w:tcPr>
            <w:tcW w:w="1311"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1,815</w:t>
            </w:r>
          </w:p>
        </w:tc>
        <w:tc>
          <w:tcPr>
            <w:tcW w:w="1311"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327</w:t>
            </w:r>
          </w:p>
        </w:tc>
        <w:tc>
          <w:tcPr>
            <w:tcW w:w="1312"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18.02</w:t>
            </w:r>
          </w:p>
        </w:tc>
      </w:tr>
      <w:tr w:rsidR="00A52DD2" w:rsidRPr="00573D4D" w:rsidTr="00F035E0">
        <w:tc>
          <w:tcPr>
            <w:tcW w:w="615"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4</w:t>
            </w:r>
          </w:p>
        </w:tc>
        <w:tc>
          <w:tcPr>
            <w:tcW w:w="1311"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2,376</w:t>
            </w:r>
          </w:p>
        </w:tc>
        <w:tc>
          <w:tcPr>
            <w:tcW w:w="1311"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583</w:t>
            </w:r>
          </w:p>
        </w:tc>
        <w:tc>
          <w:tcPr>
            <w:tcW w:w="1312"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24.54</w:t>
            </w:r>
          </w:p>
        </w:tc>
        <w:tc>
          <w:tcPr>
            <w:tcW w:w="1311"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1,815</w:t>
            </w:r>
          </w:p>
        </w:tc>
        <w:tc>
          <w:tcPr>
            <w:tcW w:w="1311"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278</w:t>
            </w:r>
          </w:p>
        </w:tc>
        <w:tc>
          <w:tcPr>
            <w:tcW w:w="1312"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15.32</w:t>
            </w:r>
          </w:p>
        </w:tc>
      </w:tr>
      <w:tr w:rsidR="00A52DD2" w:rsidRPr="00573D4D" w:rsidTr="00F035E0">
        <w:tc>
          <w:tcPr>
            <w:tcW w:w="615"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5</w:t>
            </w:r>
          </w:p>
        </w:tc>
        <w:tc>
          <w:tcPr>
            <w:tcW w:w="1311"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2,376</w:t>
            </w:r>
          </w:p>
        </w:tc>
        <w:tc>
          <w:tcPr>
            <w:tcW w:w="1311"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1,106</w:t>
            </w:r>
          </w:p>
        </w:tc>
        <w:tc>
          <w:tcPr>
            <w:tcW w:w="1312"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46.55</w:t>
            </w:r>
          </w:p>
        </w:tc>
        <w:tc>
          <w:tcPr>
            <w:tcW w:w="1311"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1,815</w:t>
            </w:r>
          </w:p>
        </w:tc>
        <w:tc>
          <w:tcPr>
            <w:tcW w:w="1311"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393</w:t>
            </w:r>
          </w:p>
        </w:tc>
        <w:tc>
          <w:tcPr>
            <w:tcW w:w="1312"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21.65</w:t>
            </w:r>
          </w:p>
        </w:tc>
      </w:tr>
      <w:tr w:rsidR="00A52DD2" w:rsidRPr="00573D4D" w:rsidTr="00F035E0">
        <w:tc>
          <w:tcPr>
            <w:tcW w:w="615"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6</w:t>
            </w:r>
          </w:p>
        </w:tc>
        <w:tc>
          <w:tcPr>
            <w:tcW w:w="1311"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2,376</w:t>
            </w:r>
          </w:p>
        </w:tc>
        <w:tc>
          <w:tcPr>
            <w:tcW w:w="1311"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660</w:t>
            </w:r>
          </w:p>
        </w:tc>
        <w:tc>
          <w:tcPr>
            <w:tcW w:w="1312"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27.78</w:t>
            </w:r>
          </w:p>
        </w:tc>
        <w:tc>
          <w:tcPr>
            <w:tcW w:w="1311"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1,815</w:t>
            </w:r>
          </w:p>
        </w:tc>
        <w:tc>
          <w:tcPr>
            <w:tcW w:w="1311"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212</w:t>
            </w:r>
          </w:p>
        </w:tc>
        <w:tc>
          <w:tcPr>
            <w:tcW w:w="1312"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olor w:val="000000"/>
                <w:szCs w:val="28"/>
              </w:rPr>
            </w:pPr>
            <w:r w:rsidRPr="00573D4D">
              <w:rPr>
                <w:rFonts w:ascii="標楷體" w:eastAsia="標楷體" w:hAnsi="標楷體" w:hint="eastAsia"/>
                <w:color w:val="000000"/>
                <w:szCs w:val="28"/>
              </w:rPr>
              <w:t>11.68</w:t>
            </w:r>
          </w:p>
        </w:tc>
      </w:tr>
      <w:tr w:rsidR="00A52DD2" w:rsidRPr="00573D4D" w:rsidTr="00F035E0">
        <w:tc>
          <w:tcPr>
            <w:tcW w:w="615"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s="新細明體"/>
                <w:color w:val="000000"/>
                <w:kern w:val="0"/>
                <w:szCs w:val="24"/>
              </w:rPr>
            </w:pPr>
            <w:r w:rsidRPr="00573D4D">
              <w:rPr>
                <w:rFonts w:ascii="標楷體" w:eastAsia="標楷體" w:hAnsi="標楷體" w:cs="新細明體" w:hint="eastAsia"/>
                <w:color w:val="000000"/>
                <w:kern w:val="0"/>
                <w:szCs w:val="24"/>
              </w:rPr>
              <w:t>7</w:t>
            </w:r>
          </w:p>
        </w:tc>
        <w:tc>
          <w:tcPr>
            <w:tcW w:w="1311"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s="新細明體"/>
                <w:color w:val="000000"/>
                <w:kern w:val="0"/>
                <w:szCs w:val="24"/>
              </w:rPr>
            </w:pPr>
            <w:r w:rsidRPr="00573D4D">
              <w:rPr>
                <w:rFonts w:ascii="標楷體" w:eastAsia="標楷體" w:hAnsi="標楷體" w:cs="新細明體" w:hint="eastAsia"/>
                <w:color w:val="000000"/>
                <w:kern w:val="0"/>
                <w:szCs w:val="24"/>
              </w:rPr>
              <w:t>2,376</w:t>
            </w:r>
          </w:p>
        </w:tc>
        <w:tc>
          <w:tcPr>
            <w:tcW w:w="1311"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s="新細明體"/>
                <w:color w:val="000000"/>
                <w:kern w:val="0"/>
                <w:szCs w:val="24"/>
              </w:rPr>
            </w:pPr>
            <w:r w:rsidRPr="00573D4D">
              <w:rPr>
                <w:rFonts w:ascii="標楷體" w:eastAsia="標楷體" w:hAnsi="標楷體" w:cs="新細明體" w:hint="eastAsia"/>
                <w:color w:val="000000"/>
                <w:kern w:val="0"/>
                <w:szCs w:val="24"/>
              </w:rPr>
              <w:t>798</w:t>
            </w:r>
          </w:p>
        </w:tc>
        <w:tc>
          <w:tcPr>
            <w:tcW w:w="1312"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s="新細明體"/>
                <w:color w:val="000000"/>
                <w:kern w:val="0"/>
                <w:szCs w:val="24"/>
              </w:rPr>
            </w:pPr>
            <w:r w:rsidRPr="00573D4D">
              <w:rPr>
                <w:rFonts w:ascii="標楷體" w:eastAsia="標楷體" w:hAnsi="標楷體" w:cs="新細明體" w:hint="eastAsia"/>
                <w:color w:val="000000"/>
                <w:kern w:val="0"/>
                <w:szCs w:val="24"/>
              </w:rPr>
              <w:t>33.59</w:t>
            </w:r>
          </w:p>
        </w:tc>
        <w:tc>
          <w:tcPr>
            <w:tcW w:w="1311"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s="新細明體"/>
                <w:color w:val="000000"/>
                <w:kern w:val="0"/>
                <w:szCs w:val="24"/>
              </w:rPr>
            </w:pPr>
            <w:r w:rsidRPr="00573D4D">
              <w:rPr>
                <w:rFonts w:ascii="標楷體" w:eastAsia="標楷體" w:hAnsi="標楷體" w:cs="新細明體" w:hint="eastAsia"/>
                <w:color w:val="000000"/>
                <w:kern w:val="0"/>
                <w:szCs w:val="24"/>
              </w:rPr>
              <w:t>1,815</w:t>
            </w:r>
          </w:p>
        </w:tc>
        <w:tc>
          <w:tcPr>
            <w:tcW w:w="1311"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s="新細明體"/>
                <w:color w:val="000000"/>
                <w:kern w:val="0"/>
                <w:szCs w:val="24"/>
              </w:rPr>
            </w:pPr>
            <w:r w:rsidRPr="00573D4D">
              <w:rPr>
                <w:rFonts w:ascii="標楷體" w:eastAsia="標楷體" w:hAnsi="標楷體" w:cs="新細明體" w:hint="eastAsia"/>
                <w:color w:val="000000"/>
                <w:kern w:val="0"/>
                <w:szCs w:val="24"/>
              </w:rPr>
              <w:t>262</w:t>
            </w:r>
          </w:p>
        </w:tc>
        <w:tc>
          <w:tcPr>
            <w:tcW w:w="1312"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s="新細明體"/>
                <w:color w:val="000000"/>
                <w:kern w:val="0"/>
                <w:szCs w:val="24"/>
              </w:rPr>
            </w:pPr>
            <w:r w:rsidRPr="00573D4D">
              <w:rPr>
                <w:rFonts w:ascii="標楷體" w:eastAsia="標楷體" w:hAnsi="標楷體" w:cs="新細明體" w:hint="eastAsia"/>
                <w:color w:val="000000"/>
                <w:kern w:val="0"/>
                <w:szCs w:val="24"/>
              </w:rPr>
              <w:t>14.44</w:t>
            </w:r>
          </w:p>
        </w:tc>
      </w:tr>
      <w:tr w:rsidR="00A52DD2" w:rsidRPr="00573D4D" w:rsidTr="00F035E0">
        <w:tc>
          <w:tcPr>
            <w:tcW w:w="615"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s="新細明體"/>
                <w:color w:val="000000"/>
                <w:kern w:val="0"/>
                <w:szCs w:val="24"/>
              </w:rPr>
            </w:pPr>
            <w:r w:rsidRPr="00573D4D">
              <w:rPr>
                <w:rFonts w:ascii="標楷體" w:eastAsia="標楷體" w:hAnsi="標楷體" w:cs="新細明體" w:hint="eastAsia"/>
                <w:color w:val="000000"/>
                <w:kern w:val="0"/>
                <w:szCs w:val="24"/>
              </w:rPr>
              <w:t>8</w:t>
            </w:r>
          </w:p>
        </w:tc>
        <w:tc>
          <w:tcPr>
            <w:tcW w:w="1311"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s="新細明體"/>
                <w:color w:val="000000"/>
                <w:kern w:val="0"/>
                <w:szCs w:val="24"/>
              </w:rPr>
            </w:pPr>
            <w:r w:rsidRPr="00573D4D">
              <w:rPr>
                <w:rFonts w:ascii="標楷體" w:eastAsia="標楷體" w:hAnsi="標楷體" w:cs="新細明體" w:hint="eastAsia"/>
                <w:color w:val="000000"/>
                <w:kern w:val="0"/>
                <w:szCs w:val="24"/>
              </w:rPr>
              <w:t>2,376</w:t>
            </w:r>
          </w:p>
        </w:tc>
        <w:tc>
          <w:tcPr>
            <w:tcW w:w="1311"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s="新細明體"/>
                <w:color w:val="000000"/>
                <w:kern w:val="0"/>
                <w:szCs w:val="24"/>
              </w:rPr>
            </w:pPr>
            <w:r w:rsidRPr="00573D4D">
              <w:rPr>
                <w:rFonts w:ascii="標楷體" w:eastAsia="標楷體" w:hAnsi="標楷體" w:cs="新細明體" w:hint="eastAsia"/>
                <w:color w:val="000000"/>
                <w:kern w:val="0"/>
                <w:szCs w:val="24"/>
              </w:rPr>
              <w:t>626</w:t>
            </w:r>
          </w:p>
        </w:tc>
        <w:tc>
          <w:tcPr>
            <w:tcW w:w="1312"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s="新細明體"/>
                <w:color w:val="000000"/>
                <w:kern w:val="0"/>
                <w:szCs w:val="24"/>
              </w:rPr>
            </w:pPr>
            <w:r w:rsidRPr="00573D4D">
              <w:rPr>
                <w:rFonts w:ascii="標楷體" w:eastAsia="標楷體" w:hAnsi="標楷體" w:cs="新細明體" w:hint="eastAsia"/>
                <w:color w:val="000000"/>
                <w:kern w:val="0"/>
                <w:szCs w:val="24"/>
              </w:rPr>
              <w:t>26.35</w:t>
            </w:r>
          </w:p>
        </w:tc>
        <w:tc>
          <w:tcPr>
            <w:tcW w:w="1311"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s="新細明體"/>
                <w:color w:val="000000"/>
                <w:kern w:val="0"/>
                <w:szCs w:val="24"/>
              </w:rPr>
            </w:pPr>
            <w:r w:rsidRPr="00573D4D">
              <w:rPr>
                <w:rFonts w:ascii="標楷體" w:eastAsia="標楷體" w:hAnsi="標楷體" w:cs="新細明體" w:hint="eastAsia"/>
                <w:color w:val="000000"/>
                <w:kern w:val="0"/>
                <w:szCs w:val="24"/>
              </w:rPr>
              <w:t>1,815</w:t>
            </w:r>
          </w:p>
        </w:tc>
        <w:tc>
          <w:tcPr>
            <w:tcW w:w="1311"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s="新細明體"/>
                <w:color w:val="000000"/>
                <w:kern w:val="0"/>
                <w:szCs w:val="24"/>
              </w:rPr>
            </w:pPr>
            <w:r w:rsidRPr="00573D4D">
              <w:rPr>
                <w:rFonts w:ascii="標楷體" w:eastAsia="標楷體" w:hAnsi="標楷體" w:cs="新細明體" w:hint="eastAsia"/>
                <w:color w:val="000000"/>
                <w:kern w:val="0"/>
                <w:szCs w:val="24"/>
              </w:rPr>
              <w:t>344</w:t>
            </w:r>
          </w:p>
        </w:tc>
        <w:tc>
          <w:tcPr>
            <w:tcW w:w="1312" w:type="dxa"/>
            <w:tcBorders>
              <w:top w:val="single" w:sz="4" w:space="0" w:color="auto"/>
              <w:bottom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s="新細明體"/>
                <w:color w:val="000000"/>
                <w:kern w:val="0"/>
                <w:szCs w:val="24"/>
              </w:rPr>
            </w:pPr>
            <w:r w:rsidRPr="00573D4D">
              <w:rPr>
                <w:rFonts w:ascii="標楷體" w:eastAsia="標楷體" w:hAnsi="標楷體" w:cs="新細明體" w:hint="eastAsia"/>
                <w:color w:val="000000"/>
                <w:kern w:val="0"/>
                <w:szCs w:val="24"/>
              </w:rPr>
              <w:t>18.95</w:t>
            </w:r>
          </w:p>
        </w:tc>
      </w:tr>
      <w:tr w:rsidR="00A52DD2" w:rsidRPr="00573D4D" w:rsidTr="00F035E0">
        <w:tc>
          <w:tcPr>
            <w:tcW w:w="615" w:type="dxa"/>
            <w:tcBorders>
              <w:top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s="新細明體"/>
                <w:color w:val="000000"/>
                <w:kern w:val="0"/>
                <w:szCs w:val="24"/>
              </w:rPr>
            </w:pPr>
            <w:r w:rsidRPr="00573D4D">
              <w:rPr>
                <w:rFonts w:ascii="標楷體" w:eastAsia="標楷體" w:hAnsi="標楷體" w:cs="新細明體" w:hint="eastAsia"/>
                <w:color w:val="000000"/>
                <w:kern w:val="0"/>
                <w:szCs w:val="24"/>
              </w:rPr>
              <w:t>9</w:t>
            </w:r>
          </w:p>
        </w:tc>
        <w:tc>
          <w:tcPr>
            <w:tcW w:w="1311" w:type="dxa"/>
            <w:tcBorders>
              <w:top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s="新細明體"/>
                <w:color w:val="000000"/>
                <w:kern w:val="0"/>
                <w:szCs w:val="24"/>
              </w:rPr>
            </w:pPr>
            <w:r w:rsidRPr="00573D4D">
              <w:rPr>
                <w:rFonts w:ascii="標楷體" w:eastAsia="標楷體" w:hAnsi="標楷體" w:cs="新細明體" w:hint="eastAsia"/>
                <w:color w:val="000000"/>
                <w:kern w:val="0"/>
                <w:szCs w:val="24"/>
              </w:rPr>
              <w:t>2,376</w:t>
            </w:r>
          </w:p>
        </w:tc>
        <w:tc>
          <w:tcPr>
            <w:tcW w:w="1311" w:type="dxa"/>
            <w:tcBorders>
              <w:top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s="新細明體"/>
                <w:color w:val="000000"/>
                <w:kern w:val="0"/>
                <w:szCs w:val="24"/>
              </w:rPr>
            </w:pPr>
            <w:r w:rsidRPr="00573D4D">
              <w:rPr>
                <w:rFonts w:ascii="標楷體" w:eastAsia="標楷體" w:hAnsi="標楷體" w:cs="新細明體" w:hint="eastAsia"/>
                <w:color w:val="000000"/>
                <w:kern w:val="0"/>
                <w:szCs w:val="24"/>
              </w:rPr>
              <w:t>404</w:t>
            </w:r>
          </w:p>
        </w:tc>
        <w:tc>
          <w:tcPr>
            <w:tcW w:w="1312" w:type="dxa"/>
            <w:tcBorders>
              <w:top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s="新細明體"/>
                <w:color w:val="000000"/>
                <w:kern w:val="0"/>
                <w:szCs w:val="24"/>
              </w:rPr>
            </w:pPr>
            <w:r w:rsidRPr="00573D4D">
              <w:rPr>
                <w:rFonts w:ascii="標楷體" w:eastAsia="標楷體" w:hAnsi="標楷體" w:cs="新細明體" w:hint="eastAsia"/>
                <w:color w:val="000000"/>
                <w:kern w:val="0"/>
                <w:szCs w:val="24"/>
              </w:rPr>
              <w:t>17.00</w:t>
            </w:r>
          </w:p>
        </w:tc>
        <w:tc>
          <w:tcPr>
            <w:tcW w:w="1311" w:type="dxa"/>
            <w:tcBorders>
              <w:top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s="新細明體"/>
                <w:color w:val="000000"/>
                <w:kern w:val="0"/>
                <w:szCs w:val="24"/>
              </w:rPr>
            </w:pPr>
            <w:r w:rsidRPr="00573D4D">
              <w:rPr>
                <w:rFonts w:ascii="標楷體" w:eastAsia="標楷體" w:hAnsi="標楷體" w:cs="新細明體" w:hint="eastAsia"/>
                <w:color w:val="000000"/>
                <w:kern w:val="0"/>
                <w:szCs w:val="24"/>
              </w:rPr>
              <w:t>1,815</w:t>
            </w:r>
          </w:p>
        </w:tc>
        <w:tc>
          <w:tcPr>
            <w:tcW w:w="1311" w:type="dxa"/>
            <w:tcBorders>
              <w:top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s="新細明體"/>
                <w:color w:val="000000"/>
                <w:kern w:val="0"/>
                <w:szCs w:val="24"/>
              </w:rPr>
            </w:pPr>
            <w:r w:rsidRPr="00573D4D">
              <w:rPr>
                <w:rFonts w:ascii="標楷體" w:eastAsia="標楷體" w:hAnsi="標楷體" w:cs="新細明體" w:hint="eastAsia"/>
                <w:color w:val="000000"/>
                <w:kern w:val="0"/>
                <w:szCs w:val="24"/>
              </w:rPr>
              <w:t>328</w:t>
            </w:r>
          </w:p>
        </w:tc>
        <w:tc>
          <w:tcPr>
            <w:tcW w:w="1312" w:type="dxa"/>
            <w:tcBorders>
              <w:top w:val="single" w:sz="4" w:space="0" w:color="auto"/>
            </w:tcBorders>
            <w:shd w:val="clear" w:color="auto" w:fill="auto"/>
            <w:vAlign w:val="center"/>
            <w:hideMark/>
          </w:tcPr>
          <w:p w:rsidR="00A52DD2" w:rsidRPr="00573D4D" w:rsidRDefault="00A52DD2" w:rsidP="00F035E0">
            <w:pPr>
              <w:spacing w:line="500" w:lineRule="exact"/>
              <w:jc w:val="center"/>
              <w:rPr>
                <w:rFonts w:ascii="標楷體" w:eastAsia="標楷體" w:hAnsi="標楷體" w:cs="新細明體"/>
                <w:color w:val="000000"/>
                <w:kern w:val="0"/>
                <w:szCs w:val="24"/>
              </w:rPr>
            </w:pPr>
            <w:r w:rsidRPr="00573D4D">
              <w:rPr>
                <w:rFonts w:ascii="標楷體" w:eastAsia="標楷體" w:hAnsi="標楷體" w:cs="新細明體" w:hint="eastAsia"/>
                <w:color w:val="000000"/>
                <w:kern w:val="0"/>
                <w:szCs w:val="24"/>
              </w:rPr>
              <w:t>18.07</w:t>
            </w:r>
          </w:p>
        </w:tc>
      </w:tr>
      <w:tr w:rsidR="00A52DD2" w:rsidRPr="00573D4D" w:rsidTr="00F035E0">
        <w:tc>
          <w:tcPr>
            <w:tcW w:w="615" w:type="dxa"/>
            <w:shd w:val="clear" w:color="000000" w:fill="FFFFFF"/>
            <w:vAlign w:val="center"/>
            <w:hideMark/>
          </w:tcPr>
          <w:p w:rsidR="00A52DD2" w:rsidRPr="00573D4D" w:rsidRDefault="00A52DD2" w:rsidP="00F035E0">
            <w:pPr>
              <w:spacing w:line="500" w:lineRule="exact"/>
              <w:jc w:val="center"/>
              <w:rPr>
                <w:rFonts w:ascii="標楷體" w:eastAsia="標楷體" w:hAnsi="標楷體" w:cs="新細明體"/>
                <w:color w:val="000000"/>
                <w:kern w:val="0"/>
                <w:szCs w:val="24"/>
              </w:rPr>
            </w:pPr>
            <w:r w:rsidRPr="00573D4D">
              <w:rPr>
                <w:rFonts w:ascii="標楷體" w:eastAsia="標楷體" w:hAnsi="標楷體" w:cs="新細明體" w:hint="eastAsia"/>
                <w:color w:val="000000"/>
                <w:kern w:val="0"/>
                <w:szCs w:val="24"/>
              </w:rPr>
              <w:t>10</w:t>
            </w:r>
          </w:p>
        </w:tc>
        <w:tc>
          <w:tcPr>
            <w:tcW w:w="1311" w:type="dxa"/>
            <w:shd w:val="clear" w:color="000000" w:fill="FFFFFF"/>
            <w:vAlign w:val="center"/>
            <w:hideMark/>
          </w:tcPr>
          <w:p w:rsidR="00A52DD2" w:rsidRPr="00573D4D" w:rsidRDefault="00A52DD2" w:rsidP="00F035E0">
            <w:pPr>
              <w:spacing w:line="500" w:lineRule="exact"/>
              <w:jc w:val="center"/>
              <w:rPr>
                <w:rFonts w:ascii="標楷體" w:eastAsia="標楷體" w:hAnsi="標楷體" w:cs="新細明體"/>
                <w:color w:val="000000"/>
                <w:kern w:val="0"/>
                <w:szCs w:val="24"/>
              </w:rPr>
            </w:pPr>
            <w:r w:rsidRPr="00573D4D">
              <w:rPr>
                <w:rFonts w:ascii="標楷體" w:eastAsia="標楷體" w:hAnsi="標楷體" w:cs="新細明體" w:hint="eastAsia"/>
                <w:color w:val="000000"/>
                <w:kern w:val="0"/>
                <w:szCs w:val="24"/>
              </w:rPr>
              <w:t>2,376</w:t>
            </w:r>
          </w:p>
        </w:tc>
        <w:tc>
          <w:tcPr>
            <w:tcW w:w="1311" w:type="dxa"/>
            <w:shd w:val="clear" w:color="000000" w:fill="FFFFFF"/>
            <w:vAlign w:val="center"/>
            <w:hideMark/>
          </w:tcPr>
          <w:p w:rsidR="00A52DD2" w:rsidRPr="00573D4D" w:rsidRDefault="00A52DD2" w:rsidP="00F035E0">
            <w:pPr>
              <w:spacing w:line="500" w:lineRule="exact"/>
              <w:jc w:val="center"/>
              <w:rPr>
                <w:rFonts w:ascii="標楷體" w:eastAsia="標楷體" w:hAnsi="標楷體" w:cs="新細明體"/>
                <w:color w:val="000000"/>
                <w:kern w:val="0"/>
                <w:szCs w:val="24"/>
              </w:rPr>
            </w:pPr>
            <w:r w:rsidRPr="00573D4D">
              <w:rPr>
                <w:rFonts w:ascii="標楷體" w:eastAsia="標楷體" w:hAnsi="標楷體" w:cs="新細明體" w:hint="eastAsia"/>
                <w:color w:val="000000"/>
                <w:kern w:val="0"/>
                <w:szCs w:val="24"/>
              </w:rPr>
              <w:t>432</w:t>
            </w:r>
          </w:p>
        </w:tc>
        <w:tc>
          <w:tcPr>
            <w:tcW w:w="1312" w:type="dxa"/>
            <w:shd w:val="clear" w:color="000000" w:fill="FFFFFF"/>
            <w:vAlign w:val="center"/>
            <w:hideMark/>
          </w:tcPr>
          <w:p w:rsidR="00A52DD2" w:rsidRPr="00573D4D" w:rsidRDefault="00A52DD2" w:rsidP="00F035E0">
            <w:pPr>
              <w:spacing w:line="500" w:lineRule="exact"/>
              <w:jc w:val="center"/>
              <w:rPr>
                <w:rFonts w:ascii="標楷體" w:eastAsia="標楷體" w:hAnsi="標楷體" w:cs="新細明體"/>
                <w:color w:val="000000"/>
                <w:kern w:val="0"/>
                <w:szCs w:val="24"/>
              </w:rPr>
            </w:pPr>
            <w:r w:rsidRPr="00573D4D">
              <w:rPr>
                <w:rFonts w:ascii="標楷體" w:eastAsia="標楷體" w:hAnsi="標楷體" w:cs="新細明體" w:hint="eastAsia"/>
                <w:color w:val="000000"/>
                <w:kern w:val="0"/>
                <w:szCs w:val="24"/>
              </w:rPr>
              <w:t>18.18</w:t>
            </w:r>
          </w:p>
        </w:tc>
        <w:tc>
          <w:tcPr>
            <w:tcW w:w="1311" w:type="dxa"/>
            <w:shd w:val="clear" w:color="000000" w:fill="FFFFFF"/>
            <w:vAlign w:val="center"/>
            <w:hideMark/>
          </w:tcPr>
          <w:p w:rsidR="00A52DD2" w:rsidRPr="00573D4D" w:rsidRDefault="00A52DD2" w:rsidP="00F035E0">
            <w:pPr>
              <w:spacing w:line="500" w:lineRule="exact"/>
              <w:jc w:val="center"/>
              <w:rPr>
                <w:rFonts w:ascii="標楷體" w:eastAsia="標楷體" w:hAnsi="標楷體" w:cs="新細明體"/>
                <w:color w:val="000000"/>
                <w:kern w:val="0"/>
                <w:szCs w:val="24"/>
              </w:rPr>
            </w:pPr>
            <w:r w:rsidRPr="00573D4D">
              <w:rPr>
                <w:rFonts w:ascii="標楷體" w:eastAsia="標楷體" w:hAnsi="標楷體" w:cs="新細明體" w:hint="eastAsia"/>
                <w:color w:val="000000"/>
                <w:kern w:val="0"/>
                <w:szCs w:val="24"/>
              </w:rPr>
              <w:t>1,815</w:t>
            </w:r>
          </w:p>
        </w:tc>
        <w:tc>
          <w:tcPr>
            <w:tcW w:w="1311" w:type="dxa"/>
            <w:shd w:val="clear" w:color="000000" w:fill="FFFFFF"/>
            <w:vAlign w:val="center"/>
            <w:hideMark/>
          </w:tcPr>
          <w:p w:rsidR="00A52DD2" w:rsidRPr="00573D4D" w:rsidRDefault="00A52DD2" w:rsidP="00F035E0">
            <w:pPr>
              <w:spacing w:line="500" w:lineRule="exact"/>
              <w:jc w:val="center"/>
              <w:rPr>
                <w:rFonts w:ascii="標楷體" w:eastAsia="標楷體" w:hAnsi="標楷體" w:cs="新細明體"/>
                <w:color w:val="000000"/>
                <w:kern w:val="0"/>
                <w:szCs w:val="24"/>
              </w:rPr>
            </w:pPr>
            <w:r w:rsidRPr="00573D4D">
              <w:rPr>
                <w:rFonts w:ascii="標楷體" w:eastAsia="標楷體" w:hAnsi="標楷體" w:cs="新細明體" w:hint="eastAsia"/>
                <w:color w:val="000000"/>
                <w:kern w:val="0"/>
                <w:szCs w:val="24"/>
              </w:rPr>
              <w:t>456</w:t>
            </w:r>
          </w:p>
        </w:tc>
        <w:tc>
          <w:tcPr>
            <w:tcW w:w="1312" w:type="dxa"/>
            <w:shd w:val="clear" w:color="000000" w:fill="FFFFFF"/>
            <w:vAlign w:val="center"/>
            <w:hideMark/>
          </w:tcPr>
          <w:p w:rsidR="00A52DD2" w:rsidRPr="00573D4D" w:rsidRDefault="00A52DD2" w:rsidP="00F035E0">
            <w:pPr>
              <w:spacing w:line="500" w:lineRule="exact"/>
              <w:jc w:val="center"/>
              <w:rPr>
                <w:rFonts w:ascii="標楷體" w:eastAsia="標楷體" w:hAnsi="標楷體" w:cs="新細明體"/>
                <w:color w:val="000000"/>
                <w:kern w:val="0"/>
                <w:szCs w:val="24"/>
              </w:rPr>
            </w:pPr>
            <w:r w:rsidRPr="00573D4D">
              <w:rPr>
                <w:rFonts w:ascii="標楷體" w:eastAsia="標楷體" w:hAnsi="標楷體" w:cs="新細明體" w:hint="eastAsia"/>
                <w:color w:val="000000"/>
                <w:kern w:val="0"/>
                <w:szCs w:val="24"/>
              </w:rPr>
              <w:t>25.12</w:t>
            </w:r>
          </w:p>
        </w:tc>
      </w:tr>
    </w:tbl>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提案人：鄭正鈐</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連署人：黃國書  林奕華</w:t>
      </w:r>
    </w:p>
    <w:p w:rsidR="00A52DD2" w:rsidRPr="00573D4D" w:rsidRDefault="00A52DD2" w:rsidP="00F035E0">
      <w:pPr>
        <w:overflowPunct w:val="0"/>
        <w:spacing w:line="480" w:lineRule="exact"/>
        <w:ind w:leftChars="150" w:left="680" w:hangingChars="100" w:hanging="320"/>
        <w:jc w:val="both"/>
        <w:rPr>
          <w:rFonts w:ascii="標楷體" w:eastAsia="標楷體" w:hAnsi="標楷體"/>
          <w:snapToGrid w:val="0"/>
          <w:sz w:val="32"/>
          <w:szCs w:val="32"/>
        </w:rPr>
      </w:pPr>
      <w:r w:rsidRPr="00573D4D">
        <w:rPr>
          <w:rFonts w:ascii="標楷體" w:eastAsia="標楷體" w:hAnsi="標楷體" w:hint="eastAsia"/>
          <w:snapToGrid w:val="0"/>
          <w:sz w:val="32"/>
          <w:szCs w:val="32"/>
        </w:rPr>
        <w:t>6.112年度行政法人文化內容策進院「業務成本與費用」項下「行銷及業務費用」預算編列8億0</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200萬5千元，並以推動文化投融資、多元內容開發助攻、國際市場拓展與臺流行銷、</w:t>
      </w:r>
      <w:r w:rsidRPr="00573D4D">
        <w:rPr>
          <w:rFonts w:ascii="標楷體" w:eastAsia="標楷體" w:hAnsi="標楷體" w:hint="eastAsia"/>
          <w:snapToGrid w:val="0"/>
          <w:sz w:val="32"/>
          <w:szCs w:val="32"/>
        </w:rPr>
        <w:lastRenderedPageBreak/>
        <w:t>推動台灣文化科技力及強化基礎建設為工作重點。文策院運用國家發展基金投資文創產業，迄111年7月底三成被投資事業營運績效不佳或困難，其諮詢輔導及投資評估審議工作有待檢討；此外，該院官網公開執行成果時間落後且未定期，有違文化部所頒布的作業辦法。文策院應當就投資標的持續掌握經營狀況，籌謀精進諮詢輔導及投資評估工作。綜上所述，爰要求行政法人文化內容策進院於1個月內就前述內容於向立法院教育及文化委員會提出精進及檢討書面報告。2</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提案人：張廖萬堅</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連署人：陳秀寳  吳思瑤</w:t>
      </w:r>
    </w:p>
    <w:p w:rsidR="00A52DD2" w:rsidRPr="00573D4D" w:rsidRDefault="00A52DD2" w:rsidP="00F035E0">
      <w:pPr>
        <w:overflowPunct w:val="0"/>
        <w:spacing w:line="500" w:lineRule="exact"/>
        <w:ind w:leftChars="150" w:left="680" w:hangingChars="100" w:hanging="320"/>
        <w:jc w:val="both"/>
        <w:rPr>
          <w:rFonts w:ascii="標楷體" w:eastAsia="標楷體" w:hAnsi="標楷體"/>
          <w:snapToGrid w:val="0"/>
          <w:sz w:val="32"/>
          <w:szCs w:val="32"/>
        </w:rPr>
      </w:pPr>
      <w:r w:rsidRPr="00573D4D">
        <w:rPr>
          <w:rFonts w:ascii="標楷體" w:eastAsia="標楷體" w:hAnsi="標楷體" w:hint="eastAsia"/>
          <w:snapToGrid w:val="0"/>
          <w:sz w:val="32"/>
          <w:szCs w:val="32"/>
        </w:rPr>
        <w:t>7.112年度行政法人文化內容策進院「業務成本與費用」項下「行銷及業務費用」預算編列8億0</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200萬5千元。文策院業務包括推動文化融資及推動台灣文化科技力等相關業務。根據「文化部辦理加強投資文化創意產業實施方案作業要點」相關規範，文策院應每半年將投資相關重要資訊函送文化部備查後，公開於文策院官網。惟文策院針對100年6至12月投資執行成果，遲至111年7月29始公開，逾應公開資料之半年時效。綜上所述，爰要求行政法人文化內容策進院於1</w:t>
      </w:r>
      <w:r>
        <w:rPr>
          <w:rFonts w:ascii="標楷體" w:eastAsia="標楷體" w:hAnsi="標楷體" w:hint="eastAsia"/>
          <w:snapToGrid w:val="0"/>
          <w:sz w:val="32"/>
          <w:szCs w:val="32"/>
        </w:rPr>
        <w:t>個月內就前述內容</w:t>
      </w:r>
      <w:r w:rsidRPr="00573D4D">
        <w:rPr>
          <w:rFonts w:ascii="標楷體" w:eastAsia="標楷體" w:hAnsi="標楷體" w:hint="eastAsia"/>
          <w:snapToGrid w:val="0"/>
          <w:sz w:val="32"/>
          <w:szCs w:val="32"/>
        </w:rPr>
        <w:t>向立法院教育及文化委員會提出檢討及精進書面報告。3</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提案人：陳秀寳  吳思瑤  鄭正鈐</w:t>
      </w:r>
    </w:p>
    <w:p w:rsidR="00A52DD2" w:rsidRPr="00573D4D" w:rsidRDefault="00A52DD2" w:rsidP="00F035E0">
      <w:pPr>
        <w:overflowPunct w:val="0"/>
        <w:spacing w:line="500" w:lineRule="exact"/>
        <w:ind w:leftChars="150" w:left="680" w:hangingChars="100" w:hanging="320"/>
        <w:jc w:val="both"/>
        <w:rPr>
          <w:rFonts w:ascii="標楷體" w:eastAsia="標楷體" w:hAnsi="標楷體"/>
          <w:snapToGrid w:val="0"/>
          <w:sz w:val="32"/>
          <w:szCs w:val="32"/>
        </w:rPr>
      </w:pPr>
      <w:r w:rsidRPr="00573D4D">
        <w:rPr>
          <w:rFonts w:ascii="標楷體" w:eastAsia="標楷體" w:hAnsi="標楷體" w:hint="eastAsia"/>
          <w:snapToGrid w:val="0"/>
          <w:sz w:val="32"/>
          <w:szCs w:val="32"/>
        </w:rPr>
        <w:t>8.112年度行政法人文化內容策進院「業務成本與費用」項下「行銷及業務費用」預算編列8億0</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200萬5千元，包含推動文化相關產業行銷及相關藝文活動宣傳之相關經費。惟文策院經營之社群粉絲專頁追蹤人數與貼文互動率皆偏低，難以在社群平台上吸引民眾點閱觀看，文策院允宜制定每年推廣社群平台之目標，以檢視行銷策略是否有達成相關績效。綜上所述，爰要求行政法人文化內容策進院於1個月內就前述內容向立法</w:t>
      </w:r>
      <w:r w:rsidRPr="00573D4D">
        <w:rPr>
          <w:rFonts w:ascii="標楷體" w:eastAsia="標楷體" w:hAnsi="標楷體" w:hint="eastAsia"/>
          <w:snapToGrid w:val="0"/>
          <w:sz w:val="32"/>
          <w:szCs w:val="32"/>
        </w:rPr>
        <w:lastRenderedPageBreak/>
        <w:t>院教育及文化委員會提出檢討及精進書面報告。4</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提案人：陳秀寳  鄭正鈐  吳思瑤</w:t>
      </w:r>
    </w:p>
    <w:p w:rsidR="00A52DD2" w:rsidRPr="00573D4D" w:rsidRDefault="00A52DD2" w:rsidP="00F035E0">
      <w:pPr>
        <w:overflowPunct w:val="0"/>
        <w:spacing w:line="500" w:lineRule="exact"/>
        <w:ind w:leftChars="150" w:left="680" w:hangingChars="100" w:hanging="320"/>
        <w:jc w:val="both"/>
        <w:rPr>
          <w:rFonts w:ascii="標楷體" w:eastAsia="標楷體" w:hAnsi="標楷體"/>
          <w:snapToGrid w:val="0"/>
          <w:sz w:val="32"/>
          <w:szCs w:val="32"/>
        </w:rPr>
      </w:pPr>
      <w:r w:rsidRPr="00573D4D">
        <w:rPr>
          <w:rFonts w:ascii="標楷體" w:eastAsia="標楷體" w:hAnsi="標楷體" w:hint="eastAsia"/>
          <w:snapToGrid w:val="0"/>
          <w:sz w:val="32"/>
          <w:szCs w:val="32"/>
        </w:rPr>
        <w:t>9.112年度行政法人文化內容策進院「業務成本與費用」項下「行銷及業務費用」中「業務費用」之「服務費用」之「一般服務費」預算編列2億5</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307萬1千元</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係完善其服務功能，並擴大藝文團體認識與使用，然預算亦未說明執行狀況計畫成果與效益，難以審認與推展成效。文策院以「完善文化內容產業資金生態系」、「全球業務拓展及產銷並重」和「推動關鍵基礎建設」為3大重點發展方向，並透過諮詢會議作為檢討改進產業服務工作之參考。綜上所述，爰要求行政法人文化內容策進院於3個月內就前述內容向立法院教育及文化委員會提出書面報告。5</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提案人：鄭正鈐  陳秀寳  吳思瑤</w:t>
      </w:r>
    </w:p>
    <w:p w:rsidR="00A52DD2" w:rsidRPr="00573D4D" w:rsidRDefault="00A52DD2" w:rsidP="00F035E0">
      <w:pPr>
        <w:overflowPunct w:val="0"/>
        <w:spacing w:line="500" w:lineRule="exact"/>
        <w:ind w:leftChars="150" w:left="680" w:hangingChars="100" w:hanging="320"/>
        <w:jc w:val="both"/>
        <w:rPr>
          <w:rFonts w:ascii="標楷體" w:eastAsia="標楷體" w:hAnsi="標楷體"/>
          <w:snapToGrid w:val="0"/>
          <w:sz w:val="32"/>
          <w:szCs w:val="32"/>
        </w:rPr>
      </w:pPr>
      <w:r w:rsidRPr="00573D4D">
        <w:rPr>
          <w:rFonts w:ascii="標楷體" w:eastAsia="標楷體" w:hAnsi="標楷體" w:hint="eastAsia"/>
          <w:snapToGrid w:val="0"/>
          <w:sz w:val="32"/>
          <w:szCs w:val="32"/>
        </w:rPr>
        <w:t>10.112年度行政法人文化內容策進院「業務成本與費用」項下「行銷及業務費用」中「業務費用」之「服務費用」之「一般服務費」預算編列2億5</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307萬1千元。文策院自109年度營運臺灣漫畫基地，目的係為協助培養國內漫畫創作人才，以及進行產業對接及市場行銷，系統性推動臺灣漫畫產業發展等功能。然漫畫基地內所提供之專業繪圖工作站使用頻率偏低，110年度10個工作站平均使用率30.09%，111年1至7月，平均使用率下降至19.17%，雖疫情影響恐為工作站使用效率低落之原因，然疫情已逐步趨緩，文策院應當促進會員善加利用工作站，以避免資源閒置。綜上所述，爰要求行政法人文化內容策進院於1個月內就前述內容向立法院教育及文化委員會提出檢討及精進書面報告。6</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提案人：黃國書</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連署人：林宜瑾  張廖萬堅</w:t>
      </w:r>
    </w:p>
    <w:p w:rsidR="00A52DD2" w:rsidRPr="00573D4D" w:rsidRDefault="00A52DD2" w:rsidP="00F035E0">
      <w:pPr>
        <w:overflowPunct w:val="0"/>
        <w:spacing w:line="480" w:lineRule="exact"/>
        <w:ind w:leftChars="150" w:left="680" w:hangingChars="100" w:hanging="320"/>
        <w:jc w:val="both"/>
        <w:rPr>
          <w:rFonts w:ascii="標楷體" w:eastAsia="標楷體" w:hAnsi="標楷體"/>
          <w:snapToGrid w:val="0"/>
          <w:sz w:val="32"/>
          <w:szCs w:val="32"/>
        </w:rPr>
      </w:pPr>
      <w:r w:rsidRPr="00573D4D">
        <w:rPr>
          <w:rFonts w:ascii="標楷體" w:eastAsia="標楷體" w:hAnsi="標楷體" w:hint="eastAsia"/>
          <w:snapToGrid w:val="0"/>
          <w:sz w:val="32"/>
          <w:szCs w:val="32"/>
        </w:rPr>
        <w:t>11.112年度行政法人文化內容策進院「業務成本與費用」項下</w:t>
      </w:r>
      <w:r w:rsidRPr="00573D4D">
        <w:rPr>
          <w:rFonts w:ascii="標楷體" w:eastAsia="標楷體" w:hAnsi="標楷體" w:hint="eastAsia"/>
          <w:snapToGrid w:val="0"/>
          <w:sz w:val="32"/>
          <w:szCs w:val="32"/>
        </w:rPr>
        <w:lastRenderedPageBreak/>
        <w:t>「行銷及業務費用」中「業務費用」之「服務費用」之「一般服務費」預算編列2億5</w:t>
      </w:r>
      <w:r w:rsidRPr="00573D4D">
        <w:rPr>
          <w:rFonts w:ascii="標楷體" w:eastAsia="標楷體" w:hAnsi="標楷體"/>
          <w:snapToGrid w:val="0"/>
          <w:sz w:val="32"/>
          <w:szCs w:val="32"/>
        </w:rPr>
        <w:t>,</w:t>
      </w:r>
      <w:r w:rsidRPr="00573D4D">
        <w:rPr>
          <w:rFonts w:ascii="標楷體" w:eastAsia="標楷體" w:hAnsi="標楷體" w:hint="eastAsia"/>
          <w:snapToGrid w:val="0"/>
          <w:sz w:val="32"/>
          <w:szCs w:val="32"/>
        </w:rPr>
        <w:t>307萬1千元。文策院設立目的之一即為執行投資國內文化創意產業，期透過資金挹注有助文化創意產業蓬勃發展。然迄111年7月底止，文策院目前負責投後管理的被投資公司共計31家，追蹤戶8家、列管戶1家、沖銷戶1家，亦即營運績效不佳或困難者計10家，占已評定分類投資家數31家之32.26%。文策院應當就投資標的持續掌握經營狀況，籌謀精進諮詢輔導及投資評估工作。綜上所述，爰要求行政法人文化內容策進院於1個月內就前述內容向立法院教育及文化委員會提出精進及檢討書面報告。7</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提案人：黃國書</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連署人：林宜瑾  張廖萬堅</w:t>
      </w:r>
    </w:p>
    <w:p w:rsidR="00A52DD2" w:rsidRPr="00573D4D" w:rsidRDefault="00A52DD2" w:rsidP="00F035E0">
      <w:pPr>
        <w:overflowPunct w:val="0"/>
        <w:spacing w:line="480" w:lineRule="exact"/>
        <w:ind w:leftChars="150" w:left="680" w:hangingChars="100" w:hanging="320"/>
        <w:jc w:val="both"/>
        <w:rPr>
          <w:rFonts w:ascii="標楷體" w:eastAsia="標楷體" w:hAnsi="標楷體"/>
          <w:snapToGrid w:val="0"/>
          <w:sz w:val="32"/>
          <w:szCs w:val="32"/>
        </w:rPr>
      </w:pPr>
      <w:r w:rsidRPr="00573D4D">
        <w:rPr>
          <w:rFonts w:ascii="標楷體" w:eastAsia="標楷體" w:hAnsi="標楷體" w:hint="eastAsia"/>
          <w:snapToGrid w:val="0"/>
          <w:sz w:val="32"/>
          <w:szCs w:val="32"/>
        </w:rPr>
        <w:t>12.112年度行政法人文化內容策進院「業務成本與費用」項下「行銷及業務費用」中「業務費用」之「服務費用」之「公共關係費」預算編列209萬2千元。公關費並無計畫成果與效益，難以審認與推展文化內容策進院業務具關聯性。為了解文策院公關費支出與社會溝通業務之相關性及成效，爰要求行政法人文化內容策進院於1個月內就前述內容向立法院教育及文化委員會提出檢討及精進書面報告。8</w:t>
      </w:r>
    </w:p>
    <w:p w:rsidR="00A52DD2" w:rsidRPr="00573D4D" w:rsidRDefault="00A52DD2" w:rsidP="00F035E0">
      <w:pPr>
        <w:overflowPunct w:val="0"/>
        <w:spacing w:line="500" w:lineRule="exact"/>
        <w:ind w:leftChars="1250" w:left="3000"/>
        <w:jc w:val="both"/>
        <w:rPr>
          <w:rFonts w:ascii="標楷體" w:eastAsia="標楷體" w:hAnsi="標楷體"/>
          <w:bCs/>
          <w:sz w:val="32"/>
          <w:szCs w:val="32"/>
        </w:rPr>
      </w:pPr>
      <w:r w:rsidRPr="00573D4D">
        <w:rPr>
          <w:rFonts w:ascii="標楷體" w:eastAsia="標楷體" w:hAnsi="標楷體" w:hint="eastAsia"/>
          <w:sz w:val="32"/>
          <w:szCs w:val="32"/>
        </w:rPr>
        <w:t>提案人：鄭正鈐  陳秀寳  吳思瑤</w:t>
      </w:r>
    </w:p>
    <w:p w:rsidR="00A52DD2" w:rsidRPr="00573D4D" w:rsidRDefault="00A52DD2" w:rsidP="00F035E0">
      <w:pPr>
        <w:overflowPunct w:val="0"/>
        <w:spacing w:line="480" w:lineRule="exact"/>
        <w:ind w:leftChars="150" w:left="680" w:hangingChars="100" w:hanging="320"/>
        <w:jc w:val="both"/>
        <w:rPr>
          <w:rFonts w:ascii="標楷體" w:eastAsia="標楷體" w:hAnsi="標楷體"/>
          <w:snapToGrid w:val="0"/>
          <w:sz w:val="32"/>
          <w:szCs w:val="32"/>
        </w:rPr>
      </w:pPr>
      <w:r w:rsidRPr="00573D4D">
        <w:rPr>
          <w:rFonts w:ascii="標楷體" w:eastAsia="標楷體" w:hAnsi="標楷體" w:hint="eastAsia"/>
          <w:snapToGrid w:val="0"/>
          <w:sz w:val="32"/>
          <w:szCs w:val="32"/>
        </w:rPr>
        <w:t>13.112年度行政法人文化內容策進院「業務成本與費用」項下「管理及總務費用」預算編列2億7,740萬9千元，較111年度預算數2億2,924萬2千元增加21%。經查文策院並未新增業務，但112年度支出完全吃掉111年度賸餘，並不妥適。而該院財源完全仰賴政府挹注，管理總務等辦公事務費用宜應量入為出。綜上所述，爰要求行政法人文化內容策進院於1個月內就前述內容向立法院教育及文化委員會提出書面報告。9</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提案人：張廖萬堅</w:t>
      </w:r>
    </w:p>
    <w:p w:rsidR="00A52DD2" w:rsidRPr="00573D4D" w:rsidRDefault="00A52DD2" w:rsidP="00F035E0">
      <w:pPr>
        <w:overflowPunct w:val="0"/>
        <w:spacing w:line="500" w:lineRule="exact"/>
        <w:ind w:leftChars="1250" w:left="3000"/>
        <w:jc w:val="both"/>
        <w:rPr>
          <w:rFonts w:ascii="標楷體" w:eastAsia="標楷體" w:hAnsi="標楷體"/>
          <w:bCs/>
          <w:sz w:val="32"/>
          <w:szCs w:val="32"/>
        </w:rPr>
      </w:pPr>
      <w:r w:rsidRPr="00573D4D">
        <w:rPr>
          <w:rFonts w:ascii="標楷體" w:eastAsia="標楷體" w:hAnsi="標楷體" w:hint="eastAsia"/>
          <w:sz w:val="32"/>
          <w:szCs w:val="32"/>
        </w:rPr>
        <w:t>連署人：陳秀寳  吳思瑤</w:t>
      </w:r>
    </w:p>
    <w:p w:rsidR="00A52DD2" w:rsidRPr="00573D4D" w:rsidRDefault="00A52DD2" w:rsidP="00F035E0">
      <w:pPr>
        <w:snapToGrid w:val="0"/>
        <w:spacing w:beforeLines="50" w:before="180" w:line="500" w:lineRule="exact"/>
        <w:ind w:left="640" w:hangingChars="200" w:hanging="640"/>
        <w:jc w:val="both"/>
        <w:rPr>
          <w:rFonts w:ascii="標楷體" w:eastAsia="標楷體" w:hAnsi="標楷體"/>
          <w:sz w:val="32"/>
          <w:szCs w:val="32"/>
        </w:rPr>
      </w:pPr>
      <w:r w:rsidRPr="00573D4D">
        <w:rPr>
          <w:rFonts w:ascii="標楷體" w:eastAsia="標楷體" w:hAnsi="標楷體" w:hint="eastAsia"/>
          <w:bCs/>
          <w:sz w:val="32"/>
          <w:szCs w:val="32"/>
        </w:rPr>
        <w:lastRenderedPageBreak/>
        <w:t>六、</w:t>
      </w:r>
      <w:r w:rsidRPr="00573D4D">
        <w:rPr>
          <w:rFonts w:ascii="標楷體" w:eastAsia="標楷體" w:hAnsi="標楷體" w:hint="eastAsia"/>
          <w:sz w:val="32"/>
          <w:szCs w:val="32"/>
        </w:rPr>
        <w:t>112年度行政法人國家電影及視聽文化中心預算案，擬具審查報告，提報院會</w:t>
      </w:r>
      <w:r w:rsidRPr="00573D4D">
        <w:rPr>
          <w:rFonts w:ascii="新細明體" w:hAnsi="新細明體" w:hint="eastAsia"/>
          <w:sz w:val="32"/>
          <w:szCs w:val="32"/>
        </w:rPr>
        <w:t>，</w:t>
      </w:r>
      <w:r w:rsidRPr="00573D4D">
        <w:rPr>
          <w:rFonts w:ascii="標楷體" w:eastAsia="標楷體" w:hAnsi="標楷體" w:hint="eastAsia"/>
          <w:sz w:val="32"/>
          <w:szCs w:val="32"/>
        </w:rPr>
        <w:t>審查完竣，不須交由黨團協商，院會討論時，由鄭召集委員正鈐出席說明。審查結果如下：</w:t>
      </w:r>
    </w:p>
    <w:p w:rsidR="00A52DD2" w:rsidRPr="00573D4D" w:rsidRDefault="00A52DD2" w:rsidP="00F035E0">
      <w:pPr>
        <w:snapToGrid w:val="0"/>
        <w:spacing w:beforeLines="50" w:before="180" w:line="460" w:lineRule="exact"/>
        <w:rPr>
          <w:rFonts w:ascii="標楷體" w:eastAsia="標楷體" w:hAnsi="標楷體"/>
          <w:b/>
          <w:sz w:val="32"/>
          <w:szCs w:val="32"/>
        </w:rPr>
      </w:pPr>
      <w:r w:rsidRPr="00573D4D">
        <w:rPr>
          <w:rFonts w:ascii="標楷體" w:eastAsia="標楷體" w:hAnsi="標楷體" w:hint="eastAsia"/>
          <w:b/>
          <w:sz w:val="32"/>
          <w:szCs w:val="32"/>
        </w:rPr>
        <w:t>國家電影及視聽文化中心112年度預算書案</w:t>
      </w:r>
    </w:p>
    <w:p w:rsidR="00A52DD2" w:rsidRPr="00573D4D" w:rsidRDefault="00A52DD2" w:rsidP="00687DEC">
      <w:pPr>
        <w:snapToGrid w:val="0"/>
        <w:spacing w:before="120" w:line="480" w:lineRule="exact"/>
        <w:ind w:leftChars="11" w:left="666" w:hangingChars="200" w:hanging="640"/>
        <w:jc w:val="both"/>
        <w:rPr>
          <w:rFonts w:ascii="標楷體" w:eastAsia="標楷體" w:hAnsi="標楷體"/>
          <w:snapToGrid w:val="0"/>
          <w:sz w:val="32"/>
          <w:szCs w:val="32"/>
        </w:rPr>
      </w:pPr>
      <w:r w:rsidRPr="00573D4D">
        <w:rPr>
          <w:rFonts w:ascii="標楷體" w:eastAsia="標楷體" w:hAnsi="標楷體" w:hint="eastAsia"/>
          <w:snapToGrid w:val="0"/>
          <w:sz w:val="32"/>
          <w:szCs w:val="32"/>
        </w:rPr>
        <w:t>(一)</w:t>
      </w:r>
      <w:r w:rsidRPr="00573D4D">
        <w:rPr>
          <w:rFonts w:ascii="標楷體" w:eastAsia="標楷體" w:hAnsi="標楷體"/>
          <w:snapToGrid w:val="0"/>
          <w:sz w:val="32"/>
          <w:szCs w:val="32"/>
        </w:rPr>
        <w:t>業務計畫：應依據業務收支、固定資產建設改良擴充及資金運用等項之審查結果，隨同調整。</w:t>
      </w:r>
    </w:p>
    <w:p w:rsidR="00A52DD2" w:rsidRPr="00573D4D" w:rsidRDefault="00A52DD2" w:rsidP="00F035E0">
      <w:pPr>
        <w:snapToGrid w:val="0"/>
        <w:spacing w:before="120" w:line="440" w:lineRule="exact"/>
        <w:ind w:leftChars="11" w:left="666" w:hangingChars="200" w:hanging="640"/>
        <w:jc w:val="both"/>
        <w:rPr>
          <w:rFonts w:ascii="標楷體" w:eastAsia="標楷體" w:hAnsi="標楷體"/>
          <w:snapToGrid w:val="0"/>
          <w:sz w:val="32"/>
          <w:szCs w:val="32"/>
        </w:rPr>
      </w:pPr>
      <w:r w:rsidRPr="00573D4D">
        <w:rPr>
          <w:rFonts w:ascii="標楷體" w:eastAsia="標楷體" w:hAnsi="標楷體" w:hint="eastAsia"/>
          <w:snapToGrid w:val="0"/>
          <w:sz w:val="32"/>
          <w:szCs w:val="32"/>
        </w:rPr>
        <w:t>(</w:t>
      </w:r>
      <w:r w:rsidRPr="00573D4D">
        <w:rPr>
          <w:rFonts w:ascii="標楷體" w:eastAsia="標楷體" w:hAnsi="標楷體"/>
          <w:snapToGrid w:val="0"/>
          <w:sz w:val="32"/>
          <w:szCs w:val="32"/>
        </w:rPr>
        <w:t>二</w:t>
      </w:r>
      <w:r w:rsidRPr="00573D4D">
        <w:rPr>
          <w:rFonts w:ascii="標楷體" w:eastAsia="標楷體" w:hAnsi="標楷體" w:hint="eastAsia"/>
          <w:snapToGrid w:val="0"/>
          <w:sz w:val="32"/>
          <w:szCs w:val="32"/>
        </w:rPr>
        <w:t>)</w:t>
      </w:r>
      <w:r w:rsidRPr="00573D4D">
        <w:rPr>
          <w:rFonts w:ascii="標楷體" w:eastAsia="標楷體" w:hAnsi="標楷體"/>
          <w:snapToGrid w:val="0"/>
          <w:sz w:val="32"/>
          <w:szCs w:val="32"/>
        </w:rPr>
        <w:t>業務收支：</w:t>
      </w:r>
    </w:p>
    <w:p w:rsidR="00A52DD2" w:rsidRPr="00573D4D" w:rsidRDefault="00A52DD2" w:rsidP="00F035E0">
      <w:pPr>
        <w:kinsoku w:val="0"/>
        <w:overflowPunct w:val="0"/>
        <w:spacing w:before="120" w:line="500" w:lineRule="exact"/>
        <w:ind w:leftChars="150" w:left="680" w:hangingChars="100" w:hanging="320"/>
        <w:jc w:val="both"/>
        <w:textAlignment w:val="center"/>
        <w:rPr>
          <w:rFonts w:ascii="標楷體" w:eastAsia="標楷體" w:hAnsi="標楷體"/>
          <w:snapToGrid w:val="0"/>
          <w:color w:val="000000"/>
          <w:sz w:val="32"/>
          <w:szCs w:val="32"/>
        </w:rPr>
      </w:pPr>
      <w:r w:rsidRPr="00573D4D">
        <w:rPr>
          <w:rFonts w:ascii="標楷體" w:eastAsia="標楷體" w:hAnsi="標楷體" w:hint="eastAsia"/>
          <w:snapToGrid w:val="0"/>
          <w:color w:val="000000"/>
          <w:sz w:val="32"/>
          <w:szCs w:val="32"/>
        </w:rPr>
        <w:t>1.</w:t>
      </w:r>
      <w:r w:rsidRPr="00573D4D">
        <w:rPr>
          <w:rFonts w:ascii="標楷體" w:eastAsia="標楷體" w:hAnsi="標楷體"/>
          <w:snapToGrid w:val="0"/>
          <w:color w:val="000000"/>
          <w:sz w:val="32"/>
          <w:szCs w:val="32"/>
        </w:rPr>
        <w:t>業務總收入：</w:t>
      </w:r>
      <w:r w:rsidRPr="00573D4D">
        <w:rPr>
          <w:rFonts w:ascii="標楷體" w:eastAsia="標楷體" w:hAnsi="標楷體" w:hint="eastAsia"/>
          <w:color w:val="000000"/>
          <w:sz w:val="32"/>
          <w:szCs w:val="40"/>
        </w:rPr>
        <w:t>3億5,757萬4千元</w:t>
      </w:r>
      <w:r w:rsidRPr="00573D4D">
        <w:rPr>
          <w:rFonts w:ascii="標楷體" w:eastAsia="標楷體" w:hAnsi="標楷體"/>
          <w:snapToGrid w:val="0"/>
          <w:color w:val="000000"/>
          <w:sz w:val="32"/>
          <w:szCs w:val="32"/>
        </w:rPr>
        <w:t>，</w:t>
      </w:r>
      <w:r w:rsidRPr="00573D4D">
        <w:rPr>
          <w:rFonts w:ascii="標楷體" w:eastAsia="標楷體" w:hAnsi="標楷體" w:hint="eastAsia"/>
          <w:snapToGrid w:val="0"/>
          <w:color w:val="000000"/>
          <w:sz w:val="32"/>
          <w:szCs w:val="32"/>
        </w:rPr>
        <w:t>照列</w:t>
      </w:r>
      <w:r w:rsidRPr="00573D4D">
        <w:rPr>
          <w:rFonts w:ascii="標楷體" w:eastAsia="標楷體" w:hAnsi="標楷體"/>
          <w:snapToGrid w:val="0"/>
          <w:color w:val="000000"/>
          <w:sz w:val="32"/>
          <w:szCs w:val="32"/>
        </w:rPr>
        <w:t>。</w:t>
      </w:r>
    </w:p>
    <w:p w:rsidR="00A52DD2" w:rsidRPr="00573D4D" w:rsidRDefault="00A52DD2" w:rsidP="00F035E0">
      <w:pPr>
        <w:kinsoku w:val="0"/>
        <w:overflowPunct w:val="0"/>
        <w:spacing w:before="120" w:line="500" w:lineRule="exact"/>
        <w:ind w:leftChars="150" w:left="1000" w:hangingChars="200" w:hanging="640"/>
        <w:jc w:val="both"/>
        <w:textAlignment w:val="center"/>
        <w:rPr>
          <w:rFonts w:ascii="標楷體" w:eastAsia="標楷體" w:hAnsi="標楷體"/>
          <w:snapToGrid w:val="0"/>
          <w:color w:val="000000"/>
          <w:sz w:val="32"/>
          <w:szCs w:val="32"/>
        </w:rPr>
      </w:pPr>
      <w:r w:rsidRPr="00573D4D">
        <w:rPr>
          <w:rFonts w:ascii="標楷體" w:eastAsia="標楷體" w:hAnsi="標楷體" w:hint="eastAsia"/>
          <w:snapToGrid w:val="0"/>
          <w:color w:val="000000"/>
          <w:sz w:val="32"/>
          <w:szCs w:val="32"/>
        </w:rPr>
        <w:t>2.</w:t>
      </w:r>
      <w:r w:rsidRPr="00573D4D">
        <w:rPr>
          <w:rFonts w:ascii="標楷體" w:eastAsia="標楷體" w:hAnsi="標楷體"/>
          <w:snapToGrid w:val="0"/>
          <w:color w:val="000000"/>
          <w:sz w:val="32"/>
          <w:szCs w:val="32"/>
        </w:rPr>
        <w:t>業務總支出：</w:t>
      </w:r>
      <w:r w:rsidRPr="00573D4D">
        <w:rPr>
          <w:rFonts w:ascii="標楷體" w:eastAsia="標楷體" w:hAnsi="標楷體" w:hint="eastAsia"/>
          <w:color w:val="000000"/>
          <w:sz w:val="32"/>
          <w:szCs w:val="40"/>
        </w:rPr>
        <w:t>3億6,519萬2千元</w:t>
      </w:r>
      <w:r w:rsidRPr="00573D4D">
        <w:rPr>
          <w:rFonts w:ascii="標楷體" w:eastAsia="標楷體" w:hAnsi="標楷體"/>
          <w:snapToGrid w:val="0"/>
          <w:color w:val="000000"/>
          <w:sz w:val="32"/>
          <w:szCs w:val="32"/>
        </w:rPr>
        <w:t>，照列。</w:t>
      </w:r>
    </w:p>
    <w:p w:rsidR="00A52DD2" w:rsidRPr="00573D4D" w:rsidRDefault="00A52DD2" w:rsidP="00F035E0">
      <w:pPr>
        <w:kinsoku w:val="0"/>
        <w:overflowPunct w:val="0"/>
        <w:spacing w:before="120" w:line="500" w:lineRule="exact"/>
        <w:ind w:leftChars="150" w:left="680" w:hangingChars="100" w:hanging="320"/>
        <w:jc w:val="both"/>
        <w:textAlignment w:val="center"/>
        <w:rPr>
          <w:rFonts w:ascii="標楷體" w:eastAsia="標楷體" w:hAnsi="標楷體"/>
          <w:snapToGrid w:val="0"/>
          <w:color w:val="000000"/>
          <w:sz w:val="32"/>
          <w:szCs w:val="32"/>
        </w:rPr>
      </w:pPr>
      <w:r w:rsidRPr="00573D4D">
        <w:rPr>
          <w:rFonts w:ascii="標楷體" w:eastAsia="標楷體" w:hAnsi="標楷體" w:hint="eastAsia"/>
          <w:snapToGrid w:val="0"/>
          <w:color w:val="000000"/>
          <w:sz w:val="32"/>
          <w:szCs w:val="32"/>
        </w:rPr>
        <w:t>3.</w:t>
      </w:r>
      <w:r w:rsidRPr="00573D4D">
        <w:rPr>
          <w:rFonts w:ascii="標楷體" w:eastAsia="標楷體" w:hAnsi="標楷體"/>
          <w:snapToGrid w:val="0"/>
          <w:color w:val="000000"/>
          <w:sz w:val="32"/>
          <w:szCs w:val="32"/>
        </w:rPr>
        <w:t>本期</w:t>
      </w:r>
      <w:r w:rsidRPr="00573D4D">
        <w:rPr>
          <w:rFonts w:ascii="標楷體" w:eastAsia="標楷體" w:hAnsi="標楷體" w:hint="eastAsia"/>
          <w:color w:val="000000"/>
          <w:sz w:val="32"/>
          <w:szCs w:val="40"/>
        </w:rPr>
        <w:t>短絀</w:t>
      </w:r>
      <w:r w:rsidRPr="00573D4D">
        <w:rPr>
          <w:rFonts w:ascii="標楷體" w:eastAsia="標楷體" w:hAnsi="標楷體"/>
          <w:snapToGrid w:val="0"/>
          <w:color w:val="000000"/>
          <w:sz w:val="32"/>
          <w:szCs w:val="32"/>
        </w:rPr>
        <w:t>：</w:t>
      </w:r>
      <w:r w:rsidRPr="00573D4D">
        <w:rPr>
          <w:rFonts w:ascii="標楷體" w:eastAsia="標楷體" w:hAnsi="標楷體" w:hint="eastAsia"/>
          <w:color w:val="000000"/>
          <w:sz w:val="32"/>
          <w:szCs w:val="40"/>
        </w:rPr>
        <w:t>761萬8千元</w:t>
      </w:r>
      <w:r w:rsidRPr="00573D4D">
        <w:rPr>
          <w:rFonts w:ascii="標楷體" w:eastAsia="標楷體" w:hAnsi="標楷體"/>
          <w:snapToGrid w:val="0"/>
          <w:color w:val="000000"/>
          <w:sz w:val="32"/>
          <w:szCs w:val="32"/>
        </w:rPr>
        <w:t>，照列。</w:t>
      </w:r>
    </w:p>
    <w:p w:rsidR="00A52DD2" w:rsidRPr="00573D4D" w:rsidRDefault="00A52DD2" w:rsidP="00F035E0">
      <w:pPr>
        <w:snapToGrid w:val="0"/>
        <w:spacing w:before="120" w:line="440" w:lineRule="exact"/>
        <w:ind w:leftChars="11" w:left="666" w:hangingChars="200" w:hanging="640"/>
        <w:jc w:val="both"/>
        <w:rPr>
          <w:rFonts w:ascii="標楷體" w:eastAsia="標楷體" w:hAnsi="標楷體"/>
          <w:snapToGrid w:val="0"/>
          <w:color w:val="000000"/>
          <w:sz w:val="32"/>
          <w:szCs w:val="32"/>
        </w:rPr>
      </w:pPr>
      <w:r w:rsidRPr="00573D4D">
        <w:rPr>
          <w:rFonts w:ascii="標楷體" w:eastAsia="標楷體" w:hAnsi="標楷體" w:hint="eastAsia"/>
          <w:snapToGrid w:val="0"/>
          <w:color w:val="000000"/>
          <w:sz w:val="32"/>
          <w:szCs w:val="32"/>
        </w:rPr>
        <w:t>(</w:t>
      </w:r>
      <w:r w:rsidRPr="00573D4D">
        <w:rPr>
          <w:rFonts w:ascii="標楷體" w:eastAsia="標楷體" w:hAnsi="標楷體"/>
          <w:snapToGrid w:val="0"/>
          <w:color w:val="000000"/>
          <w:sz w:val="32"/>
          <w:szCs w:val="32"/>
        </w:rPr>
        <w:t>三</w:t>
      </w:r>
      <w:r w:rsidRPr="00573D4D">
        <w:rPr>
          <w:rFonts w:ascii="標楷體" w:eastAsia="標楷體" w:hAnsi="標楷體" w:hint="eastAsia"/>
          <w:snapToGrid w:val="0"/>
          <w:color w:val="000000"/>
          <w:sz w:val="32"/>
          <w:szCs w:val="32"/>
        </w:rPr>
        <w:t>)</w:t>
      </w:r>
      <w:r w:rsidRPr="00573D4D">
        <w:rPr>
          <w:rFonts w:ascii="標楷體" w:eastAsia="標楷體" w:hAnsi="標楷體"/>
          <w:snapToGrid w:val="0"/>
          <w:color w:val="000000"/>
          <w:sz w:val="32"/>
          <w:szCs w:val="32"/>
        </w:rPr>
        <w:t>固定資產建設改良擴充：</w:t>
      </w:r>
      <w:r w:rsidRPr="00573D4D">
        <w:rPr>
          <w:rFonts w:ascii="標楷體" w:eastAsia="標楷體" w:hAnsi="標楷體" w:hint="eastAsia"/>
          <w:snapToGrid w:val="0"/>
          <w:color w:val="000000"/>
          <w:sz w:val="32"/>
          <w:szCs w:val="32"/>
        </w:rPr>
        <w:t>1,530萬1千元</w:t>
      </w:r>
      <w:r w:rsidRPr="00573D4D">
        <w:rPr>
          <w:rFonts w:ascii="標楷體" w:eastAsia="標楷體" w:hAnsi="標楷體"/>
          <w:snapToGrid w:val="0"/>
          <w:color w:val="000000"/>
          <w:sz w:val="32"/>
          <w:szCs w:val="32"/>
        </w:rPr>
        <w:t>，照列。</w:t>
      </w:r>
    </w:p>
    <w:p w:rsidR="00A52DD2" w:rsidRPr="00573D4D" w:rsidRDefault="00A52DD2" w:rsidP="00F035E0">
      <w:pPr>
        <w:snapToGrid w:val="0"/>
        <w:spacing w:before="120" w:line="440" w:lineRule="exact"/>
        <w:ind w:leftChars="11" w:left="666" w:hangingChars="200" w:hanging="640"/>
        <w:jc w:val="both"/>
        <w:rPr>
          <w:rFonts w:ascii="標楷體" w:eastAsia="標楷體" w:hAnsi="標楷體"/>
          <w:snapToGrid w:val="0"/>
          <w:sz w:val="32"/>
          <w:szCs w:val="32"/>
        </w:rPr>
      </w:pPr>
      <w:r w:rsidRPr="00573D4D">
        <w:rPr>
          <w:rFonts w:ascii="標楷體" w:eastAsia="標楷體" w:hAnsi="標楷體" w:hint="eastAsia"/>
          <w:snapToGrid w:val="0"/>
          <w:sz w:val="32"/>
          <w:szCs w:val="32"/>
        </w:rPr>
        <w:t>(</w:t>
      </w:r>
      <w:r w:rsidRPr="00573D4D">
        <w:rPr>
          <w:rFonts w:ascii="標楷體" w:eastAsia="標楷體" w:hAnsi="標楷體"/>
          <w:snapToGrid w:val="0"/>
          <w:sz w:val="32"/>
          <w:szCs w:val="32"/>
        </w:rPr>
        <w:t>四</w:t>
      </w:r>
      <w:r w:rsidRPr="00573D4D">
        <w:rPr>
          <w:rFonts w:ascii="標楷體" w:eastAsia="標楷體" w:hAnsi="標楷體" w:hint="eastAsia"/>
          <w:snapToGrid w:val="0"/>
          <w:sz w:val="32"/>
          <w:szCs w:val="32"/>
        </w:rPr>
        <w:t>)</w:t>
      </w:r>
      <w:r w:rsidRPr="00573D4D">
        <w:rPr>
          <w:rFonts w:ascii="標楷體" w:eastAsia="標楷體" w:hAnsi="標楷體"/>
          <w:snapToGrid w:val="0"/>
          <w:sz w:val="32"/>
          <w:szCs w:val="32"/>
        </w:rPr>
        <w:t>資金運用：應依據業務收支及固定資產之建設改良擴充等項之審查結果，隨同調整。</w:t>
      </w:r>
    </w:p>
    <w:p w:rsidR="00A52DD2" w:rsidRPr="00573D4D" w:rsidRDefault="00A52DD2" w:rsidP="00F035E0">
      <w:pPr>
        <w:snapToGrid w:val="0"/>
        <w:spacing w:before="120" w:after="120" w:line="440" w:lineRule="exact"/>
        <w:ind w:leftChars="11" w:left="666" w:hangingChars="200" w:hanging="640"/>
        <w:jc w:val="both"/>
        <w:rPr>
          <w:rFonts w:ascii="標楷體" w:eastAsia="標楷體" w:hAnsi="標楷體"/>
          <w:snapToGrid w:val="0"/>
          <w:sz w:val="32"/>
          <w:szCs w:val="32"/>
        </w:rPr>
      </w:pPr>
      <w:r w:rsidRPr="00573D4D">
        <w:rPr>
          <w:rFonts w:ascii="標楷體" w:eastAsia="標楷體" w:hAnsi="標楷體" w:hint="eastAsia"/>
          <w:snapToGrid w:val="0"/>
          <w:sz w:val="32"/>
          <w:szCs w:val="32"/>
        </w:rPr>
        <w:t>(</w:t>
      </w:r>
      <w:r w:rsidRPr="00573D4D">
        <w:rPr>
          <w:rFonts w:ascii="標楷體" w:eastAsia="標楷體" w:hAnsi="標楷體"/>
          <w:snapToGrid w:val="0"/>
          <w:sz w:val="32"/>
          <w:szCs w:val="32"/>
        </w:rPr>
        <w:t>五</w:t>
      </w:r>
      <w:r w:rsidRPr="00573D4D">
        <w:rPr>
          <w:rFonts w:ascii="標楷體" w:eastAsia="標楷體" w:hAnsi="標楷體" w:hint="eastAsia"/>
          <w:snapToGrid w:val="0"/>
          <w:sz w:val="32"/>
          <w:szCs w:val="32"/>
        </w:rPr>
        <w:t>)通過決議5項：</w:t>
      </w:r>
    </w:p>
    <w:p w:rsidR="00A52DD2" w:rsidRPr="00573D4D" w:rsidRDefault="00A52DD2" w:rsidP="00F035E0">
      <w:pPr>
        <w:overflowPunct w:val="0"/>
        <w:spacing w:line="480" w:lineRule="exact"/>
        <w:ind w:leftChars="150" w:left="680" w:hangingChars="100" w:hanging="320"/>
        <w:jc w:val="both"/>
        <w:rPr>
          <w:rFonts w:ascii="標楷體" w:eastAsia="標楷體" w:hAnsi="標楷體"/>
          <w:sz w:val="32"/>
          <w:szCs w:val="32"/>
        </w:rPr>
      </w:pPr>
      <w:r w:rsidRPr="00573D4D">
        <w:rPr>
          <w:rFonts w:ascii="標楷體" w:eastAsia="標楷體" w:hAnsi="標楷體" w:hint="eastAsia"/>
          <w:snapToGrid w:val="0"/>
          <w:sz w:val="32"/>
          <w:szCs w:val="32"/>
        </w:rPr>
        <w:t>1.</w:t>
      </w:r>
      <w:r w:rsidRPr="00573D4D">
        <w:rPr>
          <w:rFonts w:ascii="標楷體" w:eastAsia="標楷體" w:hAnsi="標楷體" w:hint="eastAsia"/>
          <w:sz w:val="32"/>
          <w:szCs w:val="32"/>
        </w:rPr>
        <w:t>有鑑於行政法人國家電影及視聽文化中心自97年起接受主管機關委託執行</w:t>
      </w:r>
      <w:r w:rsidRPr="002D03A5">
        <w:rPr>
          <w:rFonts w:ascii="標楷體" w:eastAsia="標楷體" w:hAnsi="標楷體" w:hint="eastAsia"/>
          <w:snapToGrid w:val="0"/>
          <w:sz w:val="32"/>
          <w:szCs w:val="32"/>
        </w:rPr>
        <w:t>電影</w:t>
      </w:r>
      <w:r w:rsidRPr="00573D4D">
        <w:rPr>
          <w:rFonts w:ascii="標楷體" w:eastAsia="標楷體" w:hAnsi="標楷體" w:hint="eastAsia"/>
          <w:sz w:val="32"/>
          <w:szCs w:val="32"/>
        </w:rPr>
        <w:t>數位典藏、修復及加值利用相關計畫，迄今已近15年</w:t>
      </w:r>
      <w:r>
        <w:rPr>
          <w:rFonts w:ascii="標楷體" w:eastAsia="標楷體" w:hAnsi="標楷體" w:hint="eastAsia"/>
          <w:sz w:val="32"/>
          <w:szCs w:val="32"/>
        </w:rPr>
        <w:t>。</w:t>
      </w:r>
      <w:r w:rsidRPr="00573D4D">
        <w:rPr>
          <w:rFonts w:ascii="標楷體" w:eastAsia="標楷體" w:hAnsi="標楷體" w:hint="eastAsia"/>
          <w:sz w:val="32"/>
          <w:szCs w:val="32"/>
        </w:rPr>
        <w:t>然該中心典藏劇情片及非劇情片畫質嚴重受損占比分別為33.93%及54.59%，為數不少，雖考量修復成本高昂而未納修所有影片</w:t>
      </w:r>
      <w:r>
        <w:rPr>
          <w:rFonts w:ascii="標楷體" w:eastAsia="標楷體" w:hAnsi="標楷體" w:hint="eastAsia"/>
          <w:sz w:val="32"/>
          <w:szCs w:val="32"/>
        </w:rPr>
        <w:t>。</w:t>
      </w:r>
      <w:r w:rsidRPr="00573D4D">
        <w:rPr>
          <w:rFonts w:ascii="標楷體" w:eastAsia="標楷體" w:hAnsi="標楷體" w:hint="eastAsia"/>
          <w:sz w:val="32"/>
          <w:szCs w:val="32"/>
        </w:rPr>
        <w:t>然迄111年7月底僅完成修復66部，且國影中心規劃影片全面數位化，然已完成數位化之典藏劇情片及非劇情片分別占其</w:t>
      </w:r>
      <w:r w:rsidRPr="002D03A5">
        <w:rPr>
          <w:rFonts w:ascii="標楷體" w:eastAsia="標楷體" w:hAnsi="標楷體" w:hint="eastAsia"/>
          <w:snapToGrid w:val="0"/>
          <w:sz w:val="32"/>
          <w:szCs w:val="32"/>
        </w:rPr>
        <w:t>類別</w:t>
      </w:r>
      <w:r w:rsidRPr="00573D4D">
        <w:rPr>
          <w:rFonts w:ascii="標楷體" w:eastAsia="標楷體" w:hAnsi="標楷體" w:hint="eastAsia"/>
          <w:sz w:val="32"/>
          <w:szCs w:val="32"/>
        </w:rPr>
        <w:t>影片總數僅5.49%及0.65%</w:t>
      </w:r>
      <w:r>
        <w:rPr>
          <w:rFonts w:ascii="標楷體" w:eastAsia="標楷體" w:hAnsi="標楷體" w:hint="eastAsia"/>
          <w:sz w:val="32"/>
          <w:szCs w:val="32"/>
        </w:rPr>
        <w:t>。</w:t>
      </w:r>
      <w:r w:rsidRPr="00573D4D">
        <w:rPr>
          <w:rFonts w:ascii="標楷體" w:eastAsia="標楷體" w:hAnsi="標楷體" w:hint="eastAsia"/>
          <w:sz w:val="32"/>
          <w:szCs w:val="32"/>
        </w:rPr>
        <w:t>以上顯示國影中心修復及數位化影片之進度緩慢。爰要求行政法人國家電影及視聽文化中心於</w:t>
      </w:r>
      <w:r w:rsidRPr="00573D4D">
        <w:rPr>
          <w:rFonts w:ascii="標楷體" w:eastAsia="標楷體" w:hAnsi="標楷體"/>
          <w:sz w:val="32"/>
          <w:szCs w:val="32"/>
        </w:rPr>
        <w:t>3</w:t>
      </w:r>
      <w:r w:rsidRPr="00573D4D">
        <w:rPr>
          <w:rFonts w:ascii="標楷體" w:eastAsia="標楷體" w:hAnsi="標楷體" w:hint="eastAsia"/>
          <w:sz w:val="32"/>
          <w:szCs w:val="32"/>
        </w:rPr>
        <w:t>個月內向立法院教育及文化委員會提出加速相關修復及數位化作業計畫，俾完善保存國家珍貴電影文化資產。4</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提案人：林奕華</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連署人：吳怡玎  鄭正鈐</w:t>
      </w:r>
    </w:p>
    <w:p w:rsidR="00A52DD2" w:rsidRPr="00573D4D" w:rsidRDefault="00A52DD2" w:rsidP="00F035E0">
      <w:pPr>
        <w:overflowPunct w:val="0"/>
        <w:spacing w:line="480" w:lineRule="exact"/>
        <w:ind w:leftChars="150" w:left="680" w:hangingChars="100" w:hanging="320"/>
        <w:jc w:val="both"/>
        <w:rPr>
          <w:rFonts w:ascii="標楷體" w:eastAsia="標楷體" w:hAnsi="標楷體"/>
          <w:sz w:val="32"/>
          <w:szCs w:val="32"/>
        </w:rPr>
      </w:pPr>
      <w:r w:rsidRPr="00573D4D">
        <w:rPr>
          <w:rFonts w:ascii="標楷體" w:eastAsia="標楷體" w:hAnsi="標楷體" w:hint="eastAsia"/>
          <w:sz w:val="32"/>
          <w:szCs w:val="32"/>
        </w:rPr>
        <w:lastRenderedPageBreak/>
        <w:t>2.有鑑於</w:t>
      </w:r>
      <w:r w:rsidRPr="002D03A5">
        <w:rPr>
          <w:rFonts w:ascii="標楷體" w:eastAsia="標楷體" w:hAnsi="標楷體" w:hint="eastAsia"/>
          <w:snapToGrid w:val="0"/>
          <w:sz w:val="32"/>
          <w:szCs w:val="32"/>
        </w:rPr>
        <w:t>112</w:t>
      </w:r>
      <w:r w:rsidRPr="00573D4D">
        <w:rPr>
          <w:rFonts w:ascii="標楷體" w:eastAsia="標楷體" w:hAnsi="標楷體" w:hint="eastAsia"/>
          <w:sz w:val="32"/>
          <w:szCs w:val="32"/>
        </w:rPr>
        <w:t>年度行政法人國家電影及視聽文化中心賡續辦理「國家文化記憶庫及數位博物館應用計畫」，其執行前期計畫雖已達成預計目標，惟其典藏文物之權利盤點比率偏低。為利於後續開放及加值利用，爰要求行政法人國家電影及視聽文化中心於</w:t>
      </w:r>
      <w:r w:rsidRPr="00573D4D">
        <w:rPr>
          <w:rFonts w:ascii="標楷體" w:eastAsia="標楷體" w:hAnsi="標楷體"/>
          <w:sz w:val="32"/>
          <w:szCs w:val="32"/>
        </w:rPr>
        <w:t>3</w:t>
      </w:r>
      <w:r w:rsidRPr="00573D4D">
        <w:rPr>
          <w:rFonts w:ascii="標楷體" w:eastAsia="標楷體" w:hAnsi="標楷體" w:hint="eastAsia"/>
          <w:sz w:val="32"/>
          <w:szCs w:val="32"/>
        </w:rPr>
        <w:t>個月內積極加速辦理權利盤點，並研議取得授權國家文化記憶庫開放民眾使用之可行性，俾利促進國家文化記憶庫建置效益。5</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提案人：林奕華</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連署人：吳怡玎  鄭正鈐</w:t>
      </w:r>
    </w:p>
    <w:p w:rsidR="00A52DD2" w:rsidRPr="00573D4D" w:rsidRDefault="00A52DD2" w:rsidP="00F035E0">
      <w:pPr>
        <w:overflowPunct w:val="0"/>
        <w:spacing w:line="480" w:lineRule="exact"/>
        <w:ind w:leftChars="150" w:left="680" w:hangingChars="100" w:hanging="320"/>
        <w:jc w:val="both"/>
        <w:rPr>
          <w:rFonts w:ascii="標楷體" w:eastAsia="標楷體" w:hAnsi="標楷體"/>
          <w:snapToGrid w:val="0"/>
          <w:sz w:val="32"/>
          <w:szCs w:val="32"/>
        </w:rPr>
      </w:pPr>
      <w:r w:rsidRPr="00573D4D">
        <w:rPr>
          <w:rFonts w:ascii="標楷體" w:eastAsia="標楷體" w:hAnsi="標楷體" w:hint="eastAsia"/>
          <w:snapToGrid w:val="0"/>
          <w:sz w:val="32"/>
          <w:szCs w:val="32"/>
        </w:rPr>
        <w:t>3.行政法人國家電影及視聽文化中心自97年度起接受文化部委託電影數位典藏、修復及加值利用相關計畫，以保存我國珍貴之電影歷史與文化資產。國家電影及視聽文化中心典藏影片保存狀態畫質嚴重受損之劇情片及及非劇情片分别占其頻别影片總筆數高達</w:t>
      </w:r>
      <w:r w:rsidRPr="00573D4D">
        <w:rPr>
          <w:rFonts w:ascii="標楷體" w:eastAsia="標楷體" w:hAnsi="標楷體"/>
          <w:snapToGrid w:val="0"/>
          <w:sz w:val="32"/>
          <w:szCs w:val="32"/>
        </w:rPr>
        <w:t>33%</w:t>
      </w:r>
      <w:r w:rsidRPr="00573D4D">
        <w:rPr>
          <w:rFonts w:ascii="標楷體" w:eastAsia="標楷體" w:hAnsi="標楷體" w:hint="eastAsia"/>
          <w:snapToGrid w:val="0"/>
          <w:sz w:val="32"/>
          <w:szCs w:val="32"/>
        </w:rPr>
        <w:t>及</w:t>
      </w:r>
      <w:r w:rsidRPr="00573D4D">
        <w:rPr>
          <w:rFonts w:ascii="標楷體" w:eastAsia="標楷體" w:hAnsi="標楷體"/>
          <w:snapToGrid w:val="0"/>
          <w:sz w:val="32"/>
          <w:szCs w:val="32"/>
        </w:rPr>
        <w:t>54%</w:t>
      </w:r>
      <w:r w:rsidRPr="00573D4D">
        <w:rPr>
          <w:rFonts w:ascii="標楷體" w:eastAsia="標楷體" w:hAnsi="標楷體" w:hint="eastAsia"/>
          <w:snapToGrid w:val="0"/>
          <w:sz w:val="32"/>
          <w:szCs w:val="32"/>
        </w:rPr>
        <w:t>，顯示該中心不少保存狀態欠佳之典藏影片。然迄</w:t>
      </w:r>
      <w:r w:rsidRPr="00573D4D">
        <w:rPr>
          <w:rFonts w:ascii="標楷體" w:eastAsia="標楷體" w:hAnsi="標楷體"/>
          <w:snapToGrid w:val="0"/>
          <w:sz w:val="32"/>
          <w:szCs w:val="32"/>
        </w:rPr>
        <w:t>111</w:t>
      </w:r>
      <w:r w:rsidRPr="00573D4D">
        <w:rPr>
          <w:rFonts w:ascii="標楷體" w:eastAsia="標楷體" w:hAnsi="標楷體" w:hint="eastAsia"/>
          <w:snapToGrid w:val="0"/>
          <w:sz w:val="32"/>
          <w:szCs w:val="32"/>
        </w:rPr>
        <w:t>年</w:t>
      </w:r>
      <w:r w:rsidRPr="00573D4D">
        <w:rPr>
          <w:rFonts w:ascii="標楷體" w:eastAsia="標楷體" w:hAnsi="標楷體"/>
          <w:snapToGrid w:val="0"/>
          <w:sz w:val="32"/>
          <w:szCs w:val="32"/>
        </w:rPr>
        <w:t>7</w:t>
      </w:r>
      <w:r w:rsidRPr="00573D4D">
        <w:rPr>
          <w:rFonts w:ascii="標楷體" w:eastAsia="標楷體" w:hAnsi="標楷體" w:hint="eastAsia"/>
          <w:snapToGrid w:val="0"/>
          <w:sz w:val="32"/>
          <w:szCs w:val="32"/>
        </w:rPr>
        <w:t>月底止典藏影片總數</w:t>
      </w:r>
      <w:r w:rsidRPr="00573D4D">
        <w:rPr>
          <w:rFonts w:ascii="標楷體" w:eastAsia="標楷體" w:hAnsi="標楷體"/>
          <w:snapToGrid w:val="0"/>
          <w:sz w:val="32"/>
          <w:szCs w:val="32"/>
        </w:rPr>
        <w:t>1</w:t>
      </w:r>
      <w:r w:rsidRPr="00573D4D">
        <w:rPr>
          <w:rFonts w:ascii="標楷體" w:eastAsia="標楷體" w:hAnsi="標楷體" w:hint="eastAsia"/>
          <w:snapToGrid w:val="0"/>
          <w:sz w:val="32"/>
          <w:szCs w:val="32"/>
        </w:rPr>
        <w:t>萬</w:t>
      </w:r>
      <w:r w:rsidRPr="00573D4D">
        <w:rPr>
          <w:rFonts w:ascii="標楷體" w:eastAsia="標楷體" w:hAnsi="標楷體"/>
          <w:snapToGrid w:val="0"/>
          <w:sz w:val="32"/>
          <w:szCs w:val="32"/>
        </w:rPr>
        <w:t>8,827</w:t>
      </w:r>
      <w:r w:rsidRPr="00573D4D">
        <w:rPr>
          <w:rFonts w:ascii="標楷體" w:eastAsia="標楷體" w:hAnsi="標楷體" w:hint="eastAsia"/>
          <w:snapToGrid w:val="0"/>
          <w:sz w:val="32"/>
          <w:szCs w:val="32"/>
        </w:rPr>
        <w:t>部，已修復劇情片</w:t>
      </w:r>
      <w:r w:rsidRPr="00573D4D">
        <w:rPr>
          <w:rFonts w:ascii="標楷體" w:eastAsia="標楷體" w:hAnsi="標楷體"/>
          <w:snapToGrid w:val="0"/>
          <w:sz w:val="32"/>
          <w:szCs w:val="32"/>
        </w:rPr>
        <w:t>50</w:t>
      </w:r>
      <w:r w:rsidRPr="00573D4D">
        <w:rPr>
          <w:rFonts w:ascii="標楷體" w:eastAsia="標楷體" w:hAnsi="標楷體" w:hint="eastAsia"/>
          <w:snapToGrid w:val="0"/>
          <w:sz w:val="32"/>
          <w:szCs w:val="32"/>
        </w:rPr>
        <w:t>部占典藏劇情片總數</w:t>
      </w:r>
      <w:r w:rsidRPr="00573D4D">
        <w:rPr>
          <w:rFonts w:ascii="標楷體" w:eastAsia="標楷體" w:hAnsi="標楷體"/>
          <w:snapToGrid w:val="0"/>
          <w:sz w:val="32"/>
          <w:szCs w:val="32"/>
        </w:rPr>
        <w:t>6,243</w:t>
      </w:r>
      <w:r w:rsidRPr="00573D4D">
        <w:rPr>
          <w:rFonts w:ascii="標楷體" w:eastAsia="標楷體" w:hAnsi="標楷體" w:hint="eastAsia"/>
          <w:snapToGrid w:val="0"/>
          <w:sz w:val="32"/>
          <w:szCs w:val="32"/>
        </w:rPr>
        <w:t>部之</w:t>
      </w:r>
      <w:r w:rsidRPr="00573D4D">
        <w:rPr>
          <w:rFonts w:ascii="標楷體" w:eastAsia="標楷體" w:hAnsi="標楷體"/>
          <w:snapToGrid w:val="0"/>
          <w:sz w:val="32"/>
          <w:szCs w:val="32"/>
        </w:rPr>
        <w:t>0.80%</w:t>
      </w:r>
      <w:r w:rsidRPr="00573D4D">
        <w:rPr>
          <w:rFonts w:ascii="標楷體" w:eastAsia="標楷體" w:hAnsi="標楷體" w:hint="eastAsia"/>
          <w:snapToGrid w:val="0"/>
          <w:sz w:val="32"/>
          <w:szCs w:val="32"/>
        </w:rPr>
        <w:t>，已修復之非劇情片</w:t>
      </w:r>
      <w:r w:rsidRPr="00573D4D">
        <w:rPr>
          <w:rFonts w:ascii="標楷體" w:eastAsia="標楷體" w:hAnsi="標楷體"/>
          <w:snapToGrid w:val="0"/>
          <w:sz w:val="32"/>
          <w:szCs w:val="32"/>
        </w:rPr>
        <w:t>16</w:t>
      </w:r>
      <w:r w:rsidRPr="00573D4D">
        <w:rPr>
          <w:rFonts w:ascii="標楷體" w:eastAsia="標楷體" w:hAnsi="標楷體" w:hint="eastAsia"/>
          <w:snapToGrid w:val="0"/>
          <w:sz w:val="32"/>
          <w:szCs w:val="32"/>
        </w:rPr>
        <w:t>部占典藏非劇情片總數</w:t>
      </w:r>
      <w:r w:rsidRPr="00573D4D">
        <w:rPr>
          <w:rFonts w:ascii="標楷體" w:eastAsia="標楷體" w:hAnsi="標楷體"/>
          <w:snapToGrid w:val="0"/>
          <w:sz w:val="32"/>
          <w:szCs w:val="32"/>
        </w:rPr>
        <w:t>1</w:t>
      </w:r>
      <w:r w:rsidRPr="00573D4D">
        <w:rPr>
          <w:rFonts w:ascii="標楷體" w:eastAsia="標楷體" w:hAnsi="標楷體" w:hint="eastAsia"/>
          <w:snapToGrid w:val="0"/>
          <w:sz w:val="32"/>
          <w:szCs w:val="32"/>
        </w:rPr>
        <w:t>萬</w:t>
      </w:r>
      <w:r w:rsidRPr="00573D4D">
        <w:rPr>
          <w:rFonts w:ascii="標楷體" w:eastAsia="標楷體" w:hAnsi="標楷體"/>
          <w:snapToGrid w:val="0"/>
          <w:sz w:val="32"/>
          <w:szCs w:val="32"/>
        </w:rPr>
        <w:t>2,584</w:t>
      </w:r>
      <w:r w:rsidRPr="00573D4D">
        <w:rPr>
          <w:rFonts w:ascii="標楷體" w:eastAsia="標楷體" w:hAnsi="標楷體" w:hint="eastAsia"/>
          <w:snapToGrid w:val="0"/>
          <w:sz w:val="32"/>
          <w:szCs w:val="32"/>
        </w:rPr>
        <w:t>部之</w:t>
      </w:r>
      <w:r w:rsidRPr="00573D4D">
        <w:rPr>
          <w:rFonts w:ascii="標楷體" w:eastAsia="標楷體" w:hAnsi="標楷體"/>
          <w:snapToGrid w:val="0"/>
          <w:sz w:val="32"/>
          <w:szCs w:val="32"/>
        </w:rPr>
        <w:t>0.13%</w:t>
      </w:r>
      <w:r w:rsidRPr="00573D4D">
        <w:rPr>
          <w:rFonts w:ascii="標楷體" w:eastAsia="標楷體" w:hAnsi="標楷體" w:hint="eastAsia"/>
          <w:snapToGrid w:val="0"/>
          <w:sz w:val="32"/>
          <w:szCs w:val="32"/>
        </w:rPr>
        <w:t>，修復進度與保存狀態不佳之典藏影片數量相差甚遠。故請行政法人國家電影及視聽文化中心加速辦理修復及數位化影片，以保存我國珍貴之電影歷史與文化資產。1</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t>提案人：黃國書</w:t>
      </w:r>
    </w:p>
    <w:p w:rsidR="00A52DD2" w:rsidRPr="00573D4D" w:rsidRDefault="00A52DD2" w:rsidP="00F035E0">
      <w:pPr>
        <w:overflowPunct w:val="0"/>
        <w:spacing w:line="500" w:lineRule="exact"/>
        <w:ind w:leftChars="1250" w:left="3000"/>
        <w:jc w:val="both"/>
        <w:rPr>
          <w:rFonts w:ascii="標楷體" w:eastAsia="標楷體" w:hAnsi="標楷體"/>
          <w:snapToGrid w:val="0"/>
          <w:sz w:val="32"/>
          <w:szCs w:val="32"/>
        </w:rPr>
      </w:pPr>
      <w:r w:rsidRPr="00573D4D">
        <w:rPr>
          <w:rFonts w:ascii="標楷體" w:eastAsia="標楷體" w:hAnsi="標楷體" w:hint="eastAsia"/>
          <w:sz w:val="32"/>
          <w:szCs w:val="32"/>
        </w:rPr>
        <w:t>連署人：林宜瑾  張廖萬堅</w:t>
      </w:r>
    </w:p>
    <w:p w:rsidR="00A52DD2" w:rsidRPr="00573D4D" w:rsidRDefault="00A52DD2" w:rsidP="00F035E0">
      <w:pPr>
        <w:overflowPunct w:val="0"/>
        <w:spacing w:line="480" w:lineRule="exact"/>
        <w:ind w:leftChars="150" w:left="680" w:hangingChars="100" w:hanging="320"/>
        <w:jc w:val="both"/>
        <w:rPr>
          <w:rFonts w:ascii="標楷體" w:eastAsia="標楷體" w:hAnsi="標楷體"/>
          <w:snapToGrid w:val="0"/>
          <w:sz w:val="32"/>
          <w:szCs w:val="32"/>
        </w:rPr>
      </w:pPr>
      <w:r w:rsidRPr="00573D4D">
        <w:rPr>
          <w:rFonts w:ascii="標楷體" w:eastAsia="標楷體" w:hAnsi="標楷體" w:hint="eastAsia"/>
          <w:snapToGrid w:val="0"/>
          <w:sz w:val="32"/>
          <w:szCs w:val="32"/>
        </w:rPr>
        <w:t>4.112年度行政法人國家電影及視聽文化中心「業務成本與費用」項下「業務費用」中「業務費用」之「服務費用」之「公共慰勞費」預算編列31萬7千元</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然預算未說明執行狀況、計畫成果及效益，難以審認與推展成效</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惟經瞭解公共慰勞費係為辦理影人交流所需，以利該中心與各界維繫公共關係之用</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為避免公共慰勞費遭濫用，爰請行政法人國家電影及視聽文化中心撙節支出，使其發揮應有之功能性。2</w:t>
      </w:r>
    </w:p>
    <w:p w:rsidR="00A52DD2" w:rsidRPr="00573D4D" w:rsidRDefault="00A52DD2" w:rsidP="00F035E0">
      <w:pPr>
        <w:overflowPunct w:val="0"/>
        <w:spacing w:line="500" w:lineRule="exact"/>
        <w:ind w:leftChars="1250" w:left="3000"/>
        <w:jc w:val="both"/>
        <w:rPr>
          <w:rFonts w:ascii="標楷體" w:eastAsia="標楷體" w:hAnsi="標楷體"/>
          <w:sz w:val="32"/>
          <w:szCs w:val="32"/>
        </w:rPr>
      </w:pPr>
      <w:r w:rsidRPr="00573D4D">
        <w:rPr>
          <w:rFonts w:ascii="標楷體" w:eastAsia="標楷體" w:hAnsi="標楷體" w:hint="eastAsia"/>
          <w:sz w:val="32"/>
          <w:szCs w:val="32"/>
        </w:rPr>
        <w:lastRenderedPageBreak/>
        <w:t>提案人：鄭正鈐  陳秀寳  吳思瑤</w:t>
      </w:r>
    </w:p>
    <w:p w:rsidR="00A52DD2" w:rsidRPr="00573D4D" w:rsidRDefault="00A52DD2" w:rsidP="00F035E0">
      <w:pPr>
        <w:overflowPunct w:val="0"/>
        <w:spacing w:line="480" w:lineRule="exact"/>
        <w:ind w:leftChars="150" w:left="680" w:hangingChars="100" w:hanging="320"/>
        <w:jc w:val="both"/>
        <w:rPr>
          <w:rFonts w:ascii="標楷體" w:eastAsia="標楷體" w:hAnsi="標楷體"/>
          <w:snapToGrid w:val="0"/>
          <w:sz w:val="32"/>
          <w:szCs w:val="32"/>
        </w:rPr>
      </w:pPr>
      <w:r w:rsidRPr="00573D4D">
        <w:rPr>
          <w:rFonts w:ascii="標楷體" w:eastAsia="標楷體" w:hAnsi="標楷體" w:hint="eastAsia"/>
          <w:snapToGrid w:val="0"/>
          <w:sz w:val="32"/>
          <w:szCs w:val="32"/>
        </w:rPr>
        <w:t>5.112年度行政法人國家電影及視聽文化中心「業務成本與費用」項下「業務費用」中「業務費用」之「服務費用」之「行銷推廣費」預算編列766萬5千元</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然預算未說明執行狀況、計畫成果及效益，難以審認與推展成效</w:t>
      </w:r>
      <w:r>
        <w:rPr>
          <w:rFonts w:ascii="標楷體" w:eastAsia="標楷體" w:hAnsi="標楷體" w:hint="eastAsia"/>
          <w:snapToGrid w:val="0"/>
          <w:sz w:val="32"/>
          <w:szCs w:val="32"/>
        </w:rPr>
        <w:t>。</w:t>
      </w:r>
      <w:r w:rsidRPr="00573D4D">
        <w:rPr>
          <w:rFonts w:ascii="標楷體" w:eastAsia="標楷體" w:hAnsi="標楷體" w:hint="eastAsia"/>
          <w:snapToGrid w:val="0"/>
          <w:sz w:val="32"/>
          <w:szCs w:val="32"/>
        </w:rPr>
        <w:t>惟經瞭解行銷推廣費係為辦理場館節目策展、發行中心出版品及國內外活動推廣之所需。為避免行銷推廣費遭濫用，爰請國家電影及視聽文化中心務實依計畫辦理，使其發揮應有之功能性。3</w:t>
      </w:r>
    </w:p>
    <w:p w:rsidR="00A52DD2" w:rsidRPr="00573D4D" w:rsidRDefault="00A52DD2" w:rsidP="00F035E0">
      <w:pPr>
        <w:overflowPunct w:val="0"/>
        <w:spacing w:line="500" w:lineRule="exact"/>
        <w:ind w:leftChars="1250" w:left="3000"/>
        <w:jc w:val="both"/>
        <w:rPr>
          <w:rFonts w:ascii="標楷體" w:eastAsia="標楷體" w:hAnsi="標楷體"/>
          <w:bCs/>
          <w:sz w:val="32"/>
          <w:szCs w:val="32"/>
        </w:rPr>
      </w:pPr>
      <w:r w:rsidRPr="00573D4D">
        <w:rPr>
          <w:rFonts w:ascii="標楷體" w:eastAsia="標楷體" w:hAnsi="標楷體" w:hint="eastAsia"/>
          <w:sz w:val="32"/>
          <w:szCs w:val="32"/>
        </w:rPr>
        <w:t>提案人：鄭正鈐  吳思瑤  陳秀寳</w:t>
      </w:r>
    </w:p>
    <w:p w:rsidR="00A52DD2" w:rsidRPr="00573D4D" w:rsidRDefault="00A52DD2" w:rsidP="00F035E0">
      <w:pPr>
        <w:snapToGrid w:val="0"/>
        <w:spacing w:beforeLines="50" w:before="180" w:after="240" w:line="500" w:lineRule="exact"/>
        <w:ind w:leftChars="1" w:left="642" w:hangingChars="200" w:hanging="640"/>
        <w:contextualSpacing/>
        <w:jc w:val="both"/>
        <w:rPr>
          <w:rFonts w:ascii="標楷體" w:eastAsia="標楷體" w:hAnsi="標楷體"/>
          <w:bCs/>
          <w:sz w:val="32"/>
          <w:szCs w:val="32"/>
        </w:rPr>
      </w:pPr>
      <w:r w:rsidRPr="00573D4D">
        <w:rPr>
          <w:rFonts w:ascii="標楷體" w:eastAsia="標楷體" w:hAnsi="標楷體" w:hint="eastAsia"/>
          <w:bCs/>
          <w:sz w:val="32"/>
          <w:szCs w:val="32"/>
        </w:rPr>
        <w:t>七、對於</w:t>
      </w:r>
      <w:r w:rsidRPr="00573D4D">
        <w:rPr>
          <w:rFonts w:ascii="標楷體" w:eastAsia="標楷體" w:hAnsi="標楷體"/>
          <w:bCs/>
          <w:sz w:val="32"/>
          <w:szCs w:val="32"/>
        </w:rPr>
        <w:t>委員質詢要求提供相關資料或</w:t>
      </w:r>
      <w:r w:rsidRPr="00573D4D">
        <w:rPr>
          <w:rFonts w:ascii="標楷體" w:eastAsia="標楷體" w:hAnsi="標楷體" w:hint="eastAsia"/>
          <w:bCs/>
          <w:sz w:val="32"/>
          <w:szCs w:val="32"/>
        </w:rPr>
        <w:t>未及</w:t>
      </w:r>
      <w:r w:rsidRPr="00573D4D">
        <w:rPr>
          <w:rFonts w:ascii="標楷體" w:eastAsia="標楷體" w:hAnsi="標楷體"/>
          <w:bCs/>
          <w:sz w:val="32"/>
          <w:szCs w:val="32"/>
        </w:rPr>
        <w:t>答</w:t>
      </w:r>
      <w:r w:rsidRPr="00573D4D">
        <w:rPr>
          <w:rFonts w:ascii="標楷體" w:eastAsia="標楷體" w:hAnsi="標楷體" w:hint="eastAsia"/>
          <w:bCs/>
          <w:sz w:val="32"/>
          <w:szCs w:val="32"/>
        </w:rPr>
        <w:t>復部分</w:t>
      </w:r>
      <w:r w:rsidRPr="00573D4D">
        <w:rPr>
          <w:rFonts w:ascii="標楷體" w:eastAsia="標楷體" w:hAnsi="標楷體"/>
          <w:bCs/>
          <w:sz w:val="32"/>
          <w:szCs w:val="32"/>
        </w:rPr>
        <w:t>，請相關機關</w:t>
      </w:r>
      <w:r w:rsidRPr="00573D4D">
        <w:rPr>
          <w:rFonts w:ascii="標楷體" w:eastAsia="標楷體" w:hAnsi="標楷體" w:hint="eastAsia"/>
          <w:bCs/>
          <w:sz w:val="32"/>
          <w:szCs w:val="32"/>
        </w:rPr>
        <w:t>儘速以書面答復</w:t>
      </w:r>
      <w:r w:rsidRPr="00573D4D">
        <w:rPr>
          <w:rFonts w:ascii="標楷體" w:eastAsia="標楷體" w:hAnsi="標楷體"/>
          <w:bCs/>
          <w:sz w:val="32"/>
          <w:szCs w:val="32"/>
        </w:rPr>
        <w:t>。</w:t>
      </w:r>
    </w:p>
    <w:p w:rsidR="00A52DD2" w:rsidRPr="00573D4D" w:rsidRDefault="00A52DD2" w:rsidP="00F035E0">
      <w:pPr>
        <w:snapToGrid w:val="0"/>
        <w:spacing w:beforeLines="50" w:before="180" w:after="240" w:line="500" w:lineRule="exact"/>
        <w:ind w:leftChars="1" w:left="642" w:hangingChars="200" w:hanging="640"/>
        <w:contextualSpacing/>
        <w:jc w:val="both"/>
        <w:rPr>
          <w:rFonts w:ascii="標楷體" w:eastAsia="標楷體" w:hAnsi="標楷體"/>
          <w:bCs/>
          <w:sz w:val="32"/>
          <w:szCs w:val="32"/>
        </w:rPr>
      </w:pPr>
      <w:r w:rsidRPr="00573D4D">
        <w:rPr>
          <w:rFonts w:ascii="標楷體" w:eastAsia="標楷體" w:hAnsi="標楷體" w:hint="eastAsia"/>
          <w:bCs/>
          <w:sz w:val="32"/>
          <w:szCs w:val="32"/>
        </w:rPr>
        <w:t>八、在不影響文意前提下，授權議事人員依「112年度中央政府總預算案審查報告與黨團協商之範例」整理。</w:t>
      </w:r>
    </w:p>
    <w:p w:rsidR="00A52DD2" w:rsidRPr="00573D4D" w:rsidRDefault="00A52DD2" w:rsidP="00F035E0">
      <w:pPr>
        <w:snapToGrid w:val="0"/>
        <w:spacing w:beforeLines="50" w:before="180" w:after="240" w:line="500" w:lineRule="exact"/>
        <w:ind w:leftChars="1" w:left="642" w:hangingChars="200" w:hanging="640"/>
        <w:contextualSpacing/>
        <w:jc w:val="both"/>
        <w:rPr>
          <w:rFonts w:ascii="標楷體" w:eastAsia="標楷體" w:hAnsi="標楷體"/>
          <w:bCs/>
          <w:sz w:val="32"/>
          <w:szCs w:val="32"/>
        </w:rPr>
      </w:pPr>
      <w:r w:rsidRPr="00573D4D">
        <w:rPr>
          <w:rFonts w:ascii="標楷體" w:eastAsia="標楷體" w:hAnsi="標楷體" w:hint="eastAsia"/>
          <w:bCs/>
          <w:sz w:val="32"/>
          <w:szCs w:val="32"/>
        </w:rPr>
        <w:t>九、112年度中央政府總預算案有關文化部及所屬單位預算案、國立文化機構作業基金附屬單位預算案、文化發展基金附屬單位預算案、行政法人國家表演藝術中心、文化內容策進院、國家電影及視聽文化中心預算案，全部審查完竣。</w:t>
      </w:r>
    </w:p>
    <w:p w:rsidR="00A52DD2" w:rsidRPr="00573D4D" w:rsidRDefault="00A52DD2" w:rsidP="00F035E0">
      <w:pPr>
        <w:spacing w:line="500" w:lineRule="exact"/>
        <w:ind w:left="640" w:hangingChars="200" w:hanging="640"/>
        <w:jc w:val="both"/>
        <w:rPr>
          <w:rFonts w:ascii="標楷體" w:eastAsia="標楷體" w:hAnsi="標楷體"/>
          <w:sz w:val="32"/>
          <w:szCs w:val="32"/>
        </w:rPr>
      </w:pPr>
      <w:r w:rsidRPr="00573D4D">
        <w:rPr>
          <w:rFonts w:ascii="標楷體" w:eastAsia="標楷體" w:hAnsi="標楷體" w:hint="eastAsia"/>
          <w:sz w:val="32"/>
          <w:szCs w:val="32"/>
        </w:rPr>
        <w:t>十、本會主審「中華民國11</w:t>
      </w:r>
      <w:r w:rsidRPr="00573D4D">
        <w:rPr>
          <w:rFonts w:ascii="標楷體" w:eastAsia="標楷體" w:hAnsi="標楷體"/>
          <w:sz w:val="32"/>
          <w:szCs w:val="32"/>
        </w:rPr>
        <w:t>2</w:t>
      </w:r>
      <w:r w:rsidRPr="00573D4D">
        <w:rPr>
          <w:rFonts w:ascii="標楷體" w:eastAsia="標楷體" w:hAnsi="標楷體" w:hint="eastAsia"/>
          <w:sz w:val="32"/>
          <w:szCs w:val="32"/>
        </w:rPr>
        <w:t>年度中央政府總預算案」公務預算及非營業基金預算部分，均已審查完竣。有關政事別歲出預算，隨同以上機關別審查結果調整。擬具審查報告，函復財政委員會；審查結果，須交由黨團協商，院會討論時，由鄭召集委員正鈐出席說明。</w:t>
      </w:r>
    </w:p>
    <w:p w:rsidR="00A52DD2" w:rsidRPr="00573D4D" w:rsidRDefault="00A52DD2" w:rsidP="00F035E0">
      <w:pPr>
        <w:snapToGrid w:val="0"/>
        <w:spacing w:before="240" w:after="120" w:line="520" w:lineRule="exact"/>
        <w:ind w:leftChars="1" w:left="643" w:hangingChars="200" w:hanging="641"/>
        <w:jc w:val="both"/>
        <w:rPr>
          <w:rFonts w:ascii="標楷體" w:eastAsia="標楷體" w:hAnsi="標楷體"/>
          <w:b/>
          <w:bCs/>
          <w:sz w:val="32"/>
          <w:szCs w:val="32"/>
        </w:rPr>
      </w:pPr>
      <w:r w:rsidRPr="00573D4D">
        <w:rPr>
          <w:rFonts w:ascii="標楷體" w:eastAsia="標楷體" w:hAnsi="標楷體" w:hint="eastAsia"/>
          <w:b/>
          <w:bCs/>
          <w:sz w:val="32"/>
          <w:szCs w:val="32"/>
        </w:rPr>
        <w:t>通過臨時提案1項：</w:t>
      </w:r>
    </w:p>
    <w:p w:rsidR="00A52DD2" w:rsidRPr="00573D4D" w:rsidRDefault="00A52DD2" w:rsidP="00F035E0">
      <w:pPr>
        <w:snapToGrid w:val="0"/>
        <w:spacing w:beforeLines="50" w:before="180" w:after="240" w:line="520" w:lineRule="exact"/>
        <w:ind w:leftChars="1" w:left="2"/>
        <w:contextualSpacing/>
        <w:jc w:val="both"/>
        <w:rPr>
          <w:rFonts w:ascii="標楷體" w:eastAsia="標楷體" w:hAnsi="標楷體"/>
          <w:bCs/>
          <w:sz w:val="32"/>
          <w:szCs w:val="32"/>
        </w:rPr>
      </w:pPr>
      <w:r w:rsidRPr="00573D4D">
        <w:rPr>
          <w:rFonts w:ascii="標楷體" w:eastAsia="標楷體" w:hAnsi="標楷體" w:hint="eastAsia"/>
          <w:bCs/>
          <w:sz w:val="32"/>
          <w:szCs w:val="32"/>
        </w:rPr>
        <w:t xml:space="preserve">    因數位發展進步，近年來OTT串流平台服務取代有線電視頻道的狀況屢屢發生。例如：原先的迪士尼頻道因應Disney+串流平台上架提供服務，便停止在有線電視頻道的播送，將播送內容全部移往串流平台上。惟實際使用串流平台後發現，其中將外國語言翻譯</w:t>
      </w:r>
      <w:r w:rsidRPr="00573D4D">
        <w:rPr>
          <w:rFonts w:ascii="標楷體" w:eastAsia="標楷體" w:hAnsi="標楷體" w:hint="eastAsia"/>
          <w:bCs/>
          <w:sz w:val="32"/>
          <w:szCs w:val="32"/>
        </w:rPr>
        <w:lastRenderedPageBreak/>
        <w:t>成中文的字幕部分，竟有將提及「Taiwan」的部分翻譯成「中國台灣」；更遑論有些字幕及配音內容所用詞語已非台灣日常使用之詞彙，而改使用中國用語。「國家語言發展法」第1條第1項及第2條第1項即明定，文化部應促進國家語言之傳承、復振及發展；針對串流平台影音字幕及配音所使用之語言及詞彙內容，文化部應審慎視之。爰此，請文化部會同相關部會，針對串流平台之字幕、翻譯及配音內容，如何應用我國慣用之用語及詞彙，並避免使用中國用語，於3個月內向立法院教育及文化委員會提出檢討方案。</w:t>
      </w:r>
    </w:p>
    <w:p w:rsidR="00A52DD2" w:rsidRPr="00573D4D" w:rsidRDefault="00A52DD2" w:rsidP="00F035E0">
      <w:pPr>
        <w:snapToGrid w:val="0"/>
        <w:spacing w:beforeLines="50" w:before="180" w:after="240" w:line="520" w:lineRule="exact"/>
        <w:ind w:leftChars="1250" w:left="3000"/>
        <w:contextualSpacing/>
        <w:jc w:val="both"/>
        <w:rPr>
          <w:rFonts w:ascii="標楷體" w:eastAsia="標楷體" w:hAnsi="標楷體"/>
          <w:bCs/>
          <w:sz w:val="32"/>
          <w:szCs w:val="32"/>
        </w:rPr>
      </w:pPr>
      <w:r w:rsidRPr="00573D4D">
        <w:rPr>
          <w:rFonts w:ascii="標楷體" w:eastAsia="標楷體" w:hAnsi="標楷體" w:hint="eastAsia"/>
          <w:bCs/>
          <w:sz w:val="32"/>
          <w:szCs w:val="32"/>
        </w:rPr>
        <w:t>提案人：陳秀寳</w:t>
      </w:r>
    </w:p>
    <w:p w:rsidR="00A52DD2" w:rsidRPr="00573D4D" w:rsidRDefault="00A52DD2" w:rsidP="00F035E0">
      <w:pPr>
        <w:snapToGrid w:val="0"/>
        <w:spacing w:beforeLines="50" w:before="180" w:after="240" w:line="520" w:lineRule="exact"/>
        <w:ind w:leftChars="1250" w:left="3000"/>
        <w:contextualSpacing/>
        <w:jc w:val="both"/>
        <w:rPr>
          <w:rFonts w:ascii="標楷體" w:eastAsia="標楷體" w:hAnsi="標楷體"/>
          <w:bCs/>
          <w:sz w:val="32"/>
          <w:szCs w:val="32"/>
        </w:rPr>
      </w:pPr>
      <w:r w:rsidRPr="00573D4D">
        <w:rPr>
          <w:rFonts w:ascii="標楷體" w:eastAsia="標楷體" w:hAnsi="標楷體" w:hint="eastAsia"/>
          <w:bCs/>
          <w:sz w:val="32"/>
          <w:szCs w:val="32"/>
        </w:rPr>
        <w:t>連署人：黃國書  吳思瑤  張廖萬堅</w:t>
      </w:r>
    </w:p>
    <w:p w:rsidR="00A52DD2" w:rsidRPr="006E7407" w:rsidRDefault="00A52DD2" w:rsidP="00F035E0">
      <w:pPr>
        <w:snapToGrid w:val="0"/>
        <w:spacing w:line="460" w:lineRule="exact"/>
        <w:ind w:rightChars="9" w:right="22"/>
        <w:jc w:val="both"/>
        <w:rPr>
          <w:rFonts w:ascii="標楷體" w:eastAsia="標楷體" w:hAnsi="標楷體"/>
          <w:b/>
          <w:bCs/>
          <w:sz w:val="32"/>
          <w:szCs w:val="32"/>
        </w:rPr>
      </w:pPr>
      <w:r w:rsidRPr="00573D4D">
        <w:rPr>
          <w:rFonts w:ascii="標楷體" w:eastAsia="標楷體" w:hAnsi="標楷體" w:hint="eastAsia"/>
          <w:b/>
          <w:bCs/>
          <w:sz w:val="32"/>
          <w:szCs w:val="32"/>
        </w:rPr>
        <w:t>散會</w:t>
      </w:r>
    </w:p>
    <w:p w:rsidR="00A52DD2" w:rsidRDefault="00A52DD2">
      <w:pPr>
        <w:widowControl/>
        <w:rPr>
          <w:rFonts w:ascii="標楷體" w:eastAsia="標楷體" w:hAnsi="標楷體"/>
          <w:b/>
          <w:bCs/>
          <w:sz w:val="32"/>
          <w:szCs w:val="32"/>
        </w:rPr>
      </w:pPr>
      <w:r>
        <w:rPr>
          <w:rFonts w:ascii="標楷體" w:eastAsia="標楷體" w:hAnsi="標楷體"/>
          <w:b/>
          <w:bCs/>
          <w:sz w:val="32"/>
          <w:szCs w:val="32"/>
        </w:rPr>
        <w:br w:type="page"/>
      </w:r>
    </w:p>
    <w:p w:rsidR="00A52DD2" w:rsidRPr="00D92739" w:rsidRDefault="00A52DD2" w:rsidP="00A52DD2">
      <w:pPr>
        <w:pStyle w:val="01-45"/>
        <w:rPr>
          <w:position w:val="2"/>
        </w:rPr>
      </w:pPr>
      <w:bookmarkStart w:id="281" w:name="_Toc126068189"/>
      <w:r w:rsidRPr="00D92739">
        <w:rPr>
          <w:rFonts w:hint="eastAsia"/>
        </w:rPr>
        <w:lastRenderedPageBreak/>
        <w:t>立法院第</w:t>
      </w:r>
      <w:r>
        <w:rPr>
          <w:rFonts w:hint="eastAsia"/>
        </w:rPr>
        <w:t>10</w:t>
      </w:r>
      <w:r w:rsidRPr="00D92739">
        <w:rPr>
          <w:rFonts w:hint="eastAsia"/>
        </w:rPr>
        <w:t>屆第</w:t>
      </w:r>
      <w:r>
        <w:rPr>
          <w:rFonts w:hint="eastAsia"/>
        </w:rPr>
        <w:t>6</w:t>
      </w:r>
      <w:r w:rsidRPr="00D92739">
        <w:rPr>
          <w:rFonts w:hint="eastAsia"/>
        </w:rPr>
        <w:t>會期教育及文化委員會第</w:t>
      </w:r>
      <w:r>
        <w:t>16</w:t>
      </w:r>
      <w:r w:rsidRPr="00D92739">
        <w:rPr>
          <w:rFonts w:hint="eastAsia"/>
        </w:rPr>
        <w:t>次全體委員會議議事錄</w:t>
      </w:r>
      <w:bookmarkEnd w:id="281"/>
    </w:p>
    <w:p w:rsidR="00A52DD2" w:rsidRDefault="00A52DD2" w:rsidP="00F035E0">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A52DD2">
        <w:rPr>
          <w:rFonts w:ascii="標楷體" w:eastAsia="標楷體" w:hAnsi="標楷體"/>
          <w:kern w:val="0"/>
          <w:sz w:val="32"/>
          <w:szCs w:val="32"/>
          <w:fitText w:val="1600" w:id="-1323555072"/>
        </w:rPr>
        <w:t>時    間：</w:t>
      </w:r>
      <w:r w:rsidRPr="00214CF8">
        <w:rPr>
          <w:rFonts w:ascii="標楷體" w:eastAsia="標楷體" w:hAnsi="標楷體" w:hint="eastAsia"/>
          <w:spacing w:val="-32"/>
          <w:kern w:val="0"/>
          <w:sz w:val="32"/>
          <w:szCs w:val="32"/>
        </w:rPr>
        <w:t>中華民國</w:t>
      </w:r>
      <w:r>
        <w:rPr>
          <w:rFonts w:ascii="標楷體" w:eastAsia="標楷體" w:hAnsi="標楷體"/>
          <w:spacing w:val="-32"/>
          <w:kern w:val="0"/>
          <w:sz w:val="32"/>
          <w:szCs w:val="32"/>
        </w:rPr>
        <w:t>111</w:t>
      </w:r>
      <w:r w:rsidRPr="00214CF8">
        <w:rPr>
          <w:rFonts w:ascii="標楷體" w:eastAsia="標楷體" w:hAnsi="標楷體" w:hint="eastAsia"/>
          <w:spacing w:val="-32"/>
          <w:kern w:val="0"/>
          <w:sz w:val="32"/>
          <w:szCs w:val="32"/>
        </w:rPr>
        <w:t>年</w:t>
      </w:r>
      <w:r>
        <w:rPr>
          <w:rFonts w:ascii="標楷體" w:eastAsia="標楷體" w:hAnsi="標楷體"/>
          <w:spacing w:val="-32"/>
          <w:kern w:val="0"/>
          <w:sz w:val="32"/>
          <w:szCs w:val="32"/>
        </w:rPr>
        <w:t>12</w:t>
      </w:r>
      <w:r w:rsidRPr="00214CF8">
        <w:rPr>
          <w:rFonts w:ascii="標楷體" w:eastAsia="標楷體" w:hAnsi="標楷體" w:hint="eastAsia"/>
          <w:spacing w:val="-32"/>
          <w:kern w:val="0"/>
          <w:sz w:val="32"/>
          <w:szCs w:val="32"/>
        </w:rPr>
        <w:t>月</w:t>
      </w:r>
      <w:r>
        <w:rPr>
          <w:rFonts w:ascii="標楷體" w:eastAsia="標楷體" w:hAnsi="標楷體"/>
          <w:spacing w:val="-32"/>
          <w:kern w:val="0"/>
          <w:sz w:val="32"/>
          <w:szCs w:val="32"/>
        </w:rPr>
        <w:t>26</w:t>
      </w:r>
      <w:r>
        <w:rPr>
          <w:rFonts w:ascii="標楷體" w:eastAsia="標楷體" w:hAnsi="標楷體" w:hint="eastAsia"/>
          <w:spacing w:val="-32"/>
          <w:kern w:val="0"/>
          <w:sz w:val="32"/>
          <w:szCs w:val="32"/>
        </w:rPr>
        <w:t>日（星期一</w:t>
      </w:r>
      <w:r w:rsidRPr="00214CF8">
        <w:rPr>
          <w:rFonts w:ascii="標楷體" w:eastAsia="標楷體" w:hAnsi="標楷體" w:hint="eastAsia"/>
          <w:spacing w:val="-32"/>
          <w:kern w:val="0"/>
          <w:sz w:val="32"/>
          <w:szCs w:val="32"/>
        </w:rPr>
        <w:t>）上午9時</w:t>
      </w:r>
      <w:r>
        <w:rPr>
          <w:rFonts w:ascii="標楷體" w:eastAsia="標楷體" w:hAnsi="標楷體"/>
          <w:spacing w:val="-32"/>
          <w:kern w:val="0"/>
          <w:sz w:val="32"/>
          <w:szCs w:val="32"/>
        </w:rPr>
        <w:t>3</w:t>
      </w:r>
      <w:r>
        <w:rPr>
          <w:rFonts w:ascii="標楷體" w:eastAsia="標楷體" w:hAnsi="標楷體" w:hint="eastAsia"/>
          <w:spacing w:val="-32"/>
          <w:kern w:val="0"/>
          <w:sz w:val="32"/>
          <w:szCs w:val="32"/>
        </w:rPr>
        <w:t>分</w:t>
      </w:r>
      <w:r w:rsidRPr="00214CF8">
        <w:rPr>
          <w:rFonts w:ascii="標楷體" w:eastAsia="標楷體" w:hAnsi="標楷體" w:hint="eastAsia"/>
          <w:spacing w:val="-32"/>
          <w:kern w:val="0"/>
          <w:sz w:val="32"/>
          <w:szCs w:val="32"/>
        </w:rPr>
        <w:t>至</w:t>
      </w:r>
      <w:r>
        <w:rPr>
          <w:rFonts w:ascii="標楷體" w:eastAsia="標楷體" w:hAnsi="標楷體"/>
          <w:spacing w:val="-32"/>
          <w:kern w:val="0"/>
          <w:sz w:val="32"/>
          <w:szCs w:val="32"/>
        </w:rPr>
        <w:t>9</w:t>
      </w:r>
      <w:r w:rsidRPr="00214CF8">
        <w:rPr>
          <w:rFonts w:ascii="標楷體" w:eastAsia="標楷體" w:hAnsi="標楷體" w:hint="eastAsia"/>
          <w:spacing w:val="-32"/>
          <w:kern w:val="0"/>
          <w:sz w:val="32"/>
          <w:szCs w:val="32"/>
        </w:rPr>
        <w:t>時</w:t>
      </w:r>
      <w:r>
        <w:rPr>
          <w:rFonts w:ascii="標楷體" w:eastAsia="標楷體" w:hAnsi="標楷體"/>
          <w:spacing w:val="-32"/>
          <w:kern w:val="0"/>
          <w:sz w:val="32"/>
          <w:szCs w:val="32"/>
        </w:rPr>
        <w:t>18</w:t>
      </w:r>
      <w:r w:rsidRPr="00214CF8">
        <w:rPr>
          <w:rFonts w:ascii="標楷體" w:eastAsia="標楷體" w:hAnsi="標楷體" w:hint="eastAsia"/>
          <w:spacing w:val="-32"/>
          <w:kern w:val="0"/>
          <w:sz w:val="32"/>
          <w:szCs w:val="32"/>
        </w:rPr>
        <w:t>分</w:t>
      </w:r>
    </w:p>
    <w:p w:rsidR="00A52DD2" w:rsidRDefault="00A52DD2" w:rsidP="00F035E0">
      <w:pPr>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r>
        <w:rPr>
          <w:rFonts w:ascii="標楷體" w:eastAsia="標楷體" w:hAnsi="標楷體" w:hint="eastAsia"/>
          <w:sz w:val="32"/>
          <w:szCs w:val="32"/>
        </w:rPr>
        <w:t xml:space="preserve"> </w:t>
      </w:r>
    </w:p>
    <w:p w:rsidR="00A52DD2" w:rsidRDefault="00A52DD2" w:rsidP="00F035E0">
      <w:pPr>
        <w:snapToGrid w:val="0"/>
        <w:spacing w:line="48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：林宜瑾  陳秀寳</w:t>
      </w:r>
      <w:r w:rsidRPr="00201F2C">
        <w:rPr>
          <w:rFonts w:ascii="標楷體" w:eastAsia="標楷體" w:hAnsi="標楷體" w:hint="eastAsia"/>
          <w:sz w:val="32"/>
          <w:szCs w:val="32"/>
        </w:rPr>
        <w:t xml:space="preserve">  </w:t>
      </w:r>
      <w:r>
        <w:rPr>
          <w:rFonts w:ascii="標楷體" w:eastAsia="標楷體" w:hAnsi="標楷體" w:hint="eastAsia"/>
          <w:sz w:val="32"/>
          <w:szCs w:val="32"/>
        </w:rPr>
        <w:t>林奕華  鄭正鈐  吳怡玎  賴品妤</w:t>
      </w:r>
    </w:p>
    <w:p w:rsidR="00A52DD2" w:rsidRDefault="00A52DD2" w:rsidP="00F035E0">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何欣純  黃國書  范  雲  王婉諭  萬美玲  </w:t>
      </w:r>
      <w:r w:rsidRPr="00201F2C">
        <w:rPr>
          <w:rFonts w:ascii="標楷體" w:eastAsia="標楷體" w:hAnsi="標楷體" w:hint="eastAsia"/>
          <w:sz w:val="32"/>
          <w:szCs w:val="32"/>
        </w:rPr>
        <w:t>張廖萬堅</w:t>
      </w:r>
    </w:p>
    <w:p w:rsidR="00A52DD2" w:rsidRDefault="00A52DD2" w:rsidP="00F035E0">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吳思瑤 </w:t>
      </w:r>
      <w:r>
        <w:rPr>
          <w:rFonts w:ascii="標楷體" w:eastAsia="標楷體" w:hAnsi="標楷體"/>
          <w:sz w:val="32"/>
          <w:szCs w:val="32"/>
        </w:rPr>
        <w:t xml:space="preserve"> </w:t>
      </w:r>
      <w:r>
        <w:rPr>
          <w:rFonts w:ascii="標楷體" w:eastAsia="標楷體" w:hAnsi="標楷體" w:hint="eastAsia"/>
          <w:sz w:val="32"/>
          <w:szCs w:val="32"/>
        </w:rPr>
        <w:t>高金素梅</w:t>
      </w:r>
    </w:p>
    <w:p w:rsidR="00A52DD2" w:rsidRDefault="00A52DD2" w:rsidP="00F035E0">
      <w:pPr>
        <w:snapToGrid w:val="0"/>
        <w:spacing w:line="480" w:lineRule="exact"/>
        <w:ind w:leftChars="2" w:left="5"/>
        <w:jc w:val="both"/>
        <w:rPr>
          <w:rFonts w:ascii="標楷體" w:eastAsia="標楷體" w:hAnsi="標楷體"/>
          <w:sz w:val="32"/>
          <w:szCs w:val="32"/>
        </w:rPr>
      </w:pPr>
      <w:r w:rsidRPr="00FA4E8F">
        <w:rPr>
          <w:rFonts w:ascii="標楷體" w:eastAsia="標楷體" w:hAnsi="標楷體" w:hint="eastAsia"/>
          <w:sz w:val="32"/>
          <w:szCs w:val="32"/>
        </w:rPr>
        <w:t xml:space="preserve">          委員出席</w:t>
      </w:r>
      <w:r>
        <w:rPr>
          <w:rFonts w:ascii="標楷體" w:eastAsia="標楷體" w:hAnsi="標楷體"/>
          <w:sz w:val="32"/>
          <w:szCs w:val="32"/>
        </w:rPr>
        <w:t>14</w:t>
      </w:r>
      <w:r w:rsidRPr="00FA4E8F">
        <w:rPr>
          <w:rFonts w:ascii="標楷體" w:eastAsia="標楷體" w:hAnsi="標楷體" w:hint="eastAsia"/>
          <w:sz w:val="32"/>
          <w:szCs w:val="32"/>
        </w:rPr>
        <w:t>人</w:t>
      </w:r>
    </w:p>
    <w:p w:rsidR="00A52DD2" w:rsidRDefault="00A52DD2" w:rsidP="00F035E0">
      <w:pPr>
        <w:snapToGrid w:val="0"/>
        <w:spacing w:line="48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吳秉叡  李貴敏  劉世芳  洪孟楷  陳椒華  林德福</w:t>
      </w:r>
    </w:p>
    <w:p w:rsidR="00A52DD2" w:rsidRDefault="00A52DD2" w:rsidP="00F035E0">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王美惠  楊瓊瓔  游毓蘭  張其祿  </w:t>
      </w:r>
      <w:r w:rsidRPr="008C153B">
        <w:rPr>
          <w:rFonts w:ascii="標楷體" w:eastAsia="標楷體" w:hAnsi="標楷體" w:hint="eastAsia"/>
          <w:sz w:val="32"/>
          <w:szCs w:val="32"/>
        </w:rPr>
        <w:t>鄭天財Sra Kacaw</w:t>
      </w:r>
    </w:p>
    <w:p w:rsidR="00A52DD2" w:rsidRPr="008C78CE" w:rsidRDefault="00A52DD2" w:rsidP="00F035E0">
      <w:pPr>
        <w:snapToGrid w:val="0"/>
        <w:spacing w:line="480" w:lineRule="exact"/>
        <w:ind w:left="1920" w:rightChars="9" w:right="22" w:hangingChars="600" w:hanging="1920"/>
        <w:jc w:val="both"/>
        <w:rPr>
          <w:rFonts w:ascii="標楷體" w:eastAsia="標楷體" w:hAnsi="標楷體"/>
          <w:position w:val="2"/>
          <w:sz w:val="32"/>
          <w:szCs w:val="32"/>
        </w:rPr>
      </w:pPr>
      <w:r>
        <w:rPr>
          <w:rFonts w:ascii="標楷體" w:eastAsia="標楷體" w:hAnsi="標楷體" w:hint="eastAsia"/>
          <w:sz w:val="32"/>
          <w:szCs w:val="32"/>
        </w:rPr>
        <w:t xml:space="preserve">          </w:t>
      </w:r>
      <w:r>
        <w:rPr>
          <w:rFonts w:ascii="標楷體" w:eastAsia="標楷體" w:hAnsi="標楷體"/>
          <w:position w:val="2"/>
          <w:sz w:val="32"/>
          <w:szCs w:val="32"/>
        </w:rPr>
        <w:t>委員列</w:t>
      </w:r>
      <w:r>
        <w:rPr>
          <w:rFonts w:ascii="標楷體" w:eastAsia="標楷體" w:hAnsi="標楷體" w:hint="eastAsia"/>
          <w:position w:val="2"/>
          <w:sz w:val="32"/>
          <w:szCs w:val="32"/>
        </w:rPr>
        <w:t>席</w:t>
      </w:r>
      <w:r>
        <w:rPr>
          <w:rFonts w:ascii="標楷體" w:eastAsia="標楷體" w:hAnsi="標楷體"/>
          <w:position w:val="2"/>
          <w:sz w:val="32"/>
          <w:szCs w:val="32"/>
        </w:rPr>
        <w:t>11</w:t>
      </w:r>
      <w:r w:rsidRPr="008C78CE">
        <w:rPr>
          <w:rFonts w:ascii="標楷體" w:eastAsia="標楷體" w:hAnsi="標楷體"/>
          <w:position w:val="2"/>
          <w:sz w:val="32"/>
          <w:szCs w:val="32"/>
        </w:rPr>
        <w:t>人</w:t>
      </w:r>
    </w:p>
    <w:p w:rsidR="00A52DD2" w:rsidRDefault="00A52DD2" w:rsidP="00F035E0">
      <w:pPr>
        <w:pStyle w:val="ac"/>
        <w:spacing w:line="500" w:lineRule="exact"/>
        <w:ind w:left="975" w:hanging="964"/>
        <w:contextualSpacing/>
        <w:rPr>
          <w:sz w:val="32"/>
          <w:szCs w:val="32"/>
        </w:rPr>
      </w:pPr>
      <w:r w:rsidRPr="00ED0FE7">
        <w:rPr>
          <w:sz w:val="32"/>
          <w:szCs w:val="32"/>
        </w:rPr>
        <w:t>列席人員</w:t>
      </w:r>
      <w:r w:rsidRPr="00ED0FE7">
        <w:rPr>
          <w:rFonts w:hint="eastAsia"/>
          <w:sz w:val="32"/>
          <w:szCs w:val="32"/>
        </w:rPr>
        <w:t>：</w:t>
      </w:r>
      <w:r>
        <w:rPr>
          <w:rFonts w:hint="eastAsia"/>
          <w:sz w:val="32"/>
          <w:szCs w:val="32"/>
        </w:rPr>
        <w:t>教育部政務次長                劉孟奇</w:t>
      </w:r>
      <w:r w:rsidRPr="00A279DC">
        <w:rPr>
          <w:rFonts w:hint="eastAsia"/>
          <w:sz w:val="32"/>
          <w:szCs w:val="32"/>
        </w:rPr>
        <w:t>率同有關人員</w:t>
      </w:r>
    </w:p>
    <w:p w:rsidR="00A52DD2" w:rsidRPr="006C6684" w:rsidRDefault="00A52DD2" w:rsidP="00F035E0">
      <w:pPr>
        <w:pStyle w:val="ac"/>
        <w:spacing w:line="500" w:lineRule="exact"/>
        <w:ind w:left="975" w:hanging="964"/>
        <w:contextualSpacing/>
        <w:rPr>
          <w:sz w:val="32"/>
          <w:szCs w:val="32"/>
        </w:rPr>
      </w:pPr>
      <w:r w:rsidRPr="00C2349A">
        <w:rPr>
          <w:sz w:val="32"/>
          <w:szCs w:val="32"/>
        </w:rPr>
        <w:t>主    席</w:t>
      </w:r>
      <w:r w:rsidRPr="00C2349A">
        <w:rPr>
          <w:rFonts w:hint="eastAsia"/>
          <w:sz w:val="32"/>
          <w:szCs w:val="32"/>
        </w:rPr>
        <w:t>：</w:t>
      </w:r>
      <w:r>
        <w:rPr>
          <w:rFonts w:hint="eastAsia"/>
          <w:sz w:val="32"/>
          <w:szCs w:val="32"/>
        </w:rPr>
        <w:t>陳</w:t>
      </w:r>
      <w:r w:rsidRPr="00C2349A">
        <w:rPr>
          <w:sz w:val="32"/>
          <w:szCs w:val="32"/>
        </w:rPr>
        <w:t>召集委員</w:t>
      </w:r>
      <w:r>
        <w:rPr>
          <w:rFonts w:hint="eastAsia"/>
          <w:sz w:val="32"/>
          <w:szCs w:val="32"/>
        </w:rPr>
        <w:t>秀寳</w:t>
      </w:r>
    </w:p>
    <w:p w:rsidR="00A52DD2" w:rsidRDefault="00A52DD2" w:rsidP="00F035E0">
      <w:pPr>
        <w:snapToGrid w:val="0"/>
        <w:spacing w:line="500" w:lineRule="exact"/>
        <w:ind w:rightChars="9" w:right="22"/>
        <w:jc w:val="both"/>
        <w:rPr>
          <w:rFonts w:ascii="標楷體" w:eastAsia="標楷體" w:hAnsi="標楷體"/>
          <w:sz w:val="32"/>
          <w:szCs w:val="32"/>
        </w:rPr>
      </w:pPr>
      <w:r w:rsidRPr="00A279DC">
        <w:rPr>
          <w:rFonts w:ascii="標楷體" w:eastAsia="標楷體" w:hAnsi="標楷體" w:hint="eastAsia"/>
          <w:sz w:val="32"/>
          <w:szCs w:val="32"/>
        </w:rPr>
        <w:t>主任秘書：陳錫欽</w:t>
      </w:r>
    </w:p>
    <w:p w:rsidR="00A52DD2" w:rsidRPr="008C78CE" w:rsidRDefault="00A52DD2" w:rsidP="00F035E0">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朱蔚菁</w:t>
      </w:r>
    </w:p>
    <w:p w:rsidR="00A52DD2" w:rsidRDefault="00A52DD2" w:rsidP="00F035E0">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林素惠  簡任編審  蔡月秋  科長  蔡國治</w:t>
      </w:r>
    </w:p>
    <w:p w:rsidR="00A52DD2" w:rsidRPr="00121576" w:rsidRDefault="00A52DD2" w:rsidP="00F035E0">
      <w:pPr>
        <w:snapToGrid w:val="0"/>
        <w:spacing w:line="500" w:lineRule="exact"/>
        <w:ind w:rightChars="9" w:right="22"/>
        <w:jc w:val="both"/>
        <w:rPr>
          <w:rFonts w:ascii="標楷體" w:eastAsia="標楷體" w:hAnsi="標楷體"/>
          <w:sz w:val="32"/>
          <w:szCs w:val="32"/>
        </w:rPr>
      </w:pPr>
      <w:r>
        <w:rPr>
          <w:rFonts w:ascii="標楷體" w:eastAsia="標楷體" w:hAnsi="標楷體" w:hint="eastAsia"/>
          <w:sz w:val="32"/>
          <w:szCs w:val="32"/>
        </w:rPr>
        <w:t xml:space="preserve">          </w:t>
      </w:r>
      <w:r w:rsidRPr="00121576">
        <w:rPr>
          <w:rFonts w:ascii="標楷體" w:eastAsia="標楷體" w:hAnsi="標楷體" w:hint="eastAsia"/>
          <w:sz w:val="32"/>
          <w:szCs w:val="32"/>
        </w:rPr>
        <w:t>薦任科員  李宗一</w:t>
      </w:r>
    </w:p>
    <w:p w:rsidR="00A52DD2" w:rsidRDefault="00A52DD2" w:rsidP="00F035E0">
      <w:pPr>
        <w:pStyle w:val="ac"/>
        <w:spacing w:line="460" w:lineRule="exact"/>
        <w:ind w:left="980" w:hanging="966"/>
        <w:contextualSpacing/>
        <w:rPr>
          <w:b/>
          <w:sz w:val="32"/>
          <w:szCs w:val="32"/>
        </w:rPr>
      </w:pPr>
      <w:r w:rsidRPr="0084281E">
        <w:rPr>
          <w:rFonts w:hint="eastAsia"/>
          <w:b/>
          <w:sz w:val="32"/>
          <w:szCs w:val="32"/>
        </w:rPr>
        <w:t>報  告  事  項</w:t>
      </w:r>
    </w:p>
    <w:p w:rsidR="00A52DD2" w:rsidRPr="009B6966" w:rsidRDefault="00A52DD2" w:rsidP="00F035E0">
      <w:pPr>
        <w:pStyle w:val="a4"/>
        <w:snapToGrid w:val="0"/>
        <w:spacing w:line="500" w:lineRule="exact"/>
        <w:ind w:leftChars="0" w:left="0"/>
        <w:contextualSpacing/>
        <w:jc w:val="both"/>
        <w:rPr>
          <w:rFonts w:ascii="標楷體" w:eastAsia="標楷體"/>
          <w:b/>
          <w:sz w:val="32"/>
          <w:szCs w:val="32"/>
        </w:rPr>
      </w:pPr>
      <w:r w:rsidRPr="009B6966">
        <w:rPr>
          <w:rFonts w:ascii="標楷體" w:eastAsia="標楷體" w:hint="eastAsia"/>
          <w:b/>
          <w:sz w:val="32"/>
          <w:szCs w:val="32"/>
        </w:rPr>
        <w:t>宣讀上次會議議事錄。</w:t>
      </w:r>
    </w:p>
    <w:p w:rsidR="00A52DD2" w:rsidRPr="009B6966" w:rsidRDefault="00A52DD2" w:rsidP="00F035E0">
      <w:pPr>
        <w:snapToGrid w:val="0"/>
        <w:spacing w:line="500" w:lineRule="exact"/>
        <w:contextualSpacing/>
        <w:jc w:val="both"/>
        <w:rPr>
          <w:rFonts w:ascii="標楷體" w:eastAsia="標楷體" w:hAnsi="標楷體"/>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A52DD2" w:rsidRDefault="00A52DD2" w:rsidP="00F035E0">
      <w:pPr>
        <w:pStyle w:val="a4"/>
        <w:snapToGrid w:val="0"/>
        <w:spacing w:line="460" w:lineRule="exact"/>
        <w:ind w:leftChars="0" w:left="0"/>
        <w:rPr>
          <w:b/>
          <w:sz w:val="32"/>
          <w:szCs w:val="32"/>
        </w:rPr>
      </w:pPr>
      <w:r w:rsidRPr="00AE0707">
        <w:rPr>
          <w:rFonts w:ascii="標楷體" w:eastAsia="標楷體" w:hAnsi="標楷體" w:hint="eastAsia"/>
          <w:b/>
          <w:sz w:val="32"/>
          <w:szCs w:val="32"/>
        </w:rPr>
        <w:t>討  論  事  項</w:t>
      </w:r>
    </w:p>
    <w:p w:rsidR="00A52DD2" w:rsidRPr="001C16C9" w:rsidRDefault="00A52DD2" w:rsidP="00F035E0">
      <w:pPr>
        <w:widowControl/>
        <w:snapToGrid w:val="0"/>
        <w:spacing w:line="480" w:lineRule="exact"/>
        <w:jc w:val="both"/>
        <w:rPr>
          <w:rFonts w:ascii="標楷體" w:eastAsia="Yu Mincho" w:hAnsi="標楷體" w:cs="新細明體"/>
          <w:bCs/>
          <w:kern w:val="0"/>
          <w:sz w:val="32"/>
          <w:szCs w:val="32"/>
          <w:lang w:eastAsia="ja-JP"/>
        </w:rPr>
      </w:pPr>
      <w:r>
        <w:rPr>
          <w:rFonts w:ascii="標楷體" w:eastAsia="標楷體" w:hAnsi="標楷體" w:cs="新細明體" w:hint="eastAsia"/>
          <w:bCs/>
          <w:kern w:val="0"/>
          <w:sz w:val="32"/>
          <w:szCs w:val="32"/>
        </w:rPr>
        <w:t>審查有關</w:t>
      </w:r>
      <w:r w:rsidRPr="00355F5B">
        <w:rPr>
          <w:rFonts w:ascii="標楷體" w:eastAsia="標楷體" w:hAnsi="標楷體" w:cs="新細明體" w:hint="eastAsia"/>
          <w:bCs/>
          <w:kern w:val="0"/>
          <w:sz w:val="32"/>
          <w:szCs w:val="32"/>
        </w:rPr>
        <w:t>葉方叡君所提教師法第九條條文修正草案，建請</w:t>
      </w:r>
      <w:r>
        <w:rPr>
          <w:rFonts w:ascii="標楷體" w:eastAsia="標楷體" w:hAnsi="標楷體" w:cs="新細明體" w:hint="eastAsia"/>
          <w:bCs/>
          <w:kern w:val="0"/>
          <w:sz w:val="32"/>
          <w:szCs w:val="32"/>
        </w:rPr>
        <w:t>將學生代表納入教師評審委員會成員請願案。</w:t>
      </w:r>
    </w:p>
    <w:p w:rsidR="00A52DD2" w:rsidRPr="005B7656" w:rsidRDefault="00A52DD2" w:rsidP="00F035E0">
      <w:pPr>
        <w:snapToGrid w:val="0"/>
        <w:spacing w:line="480" w:lineRule="exact"/>
        <w:ind w:left="641" w:hangingChars="200" w:hanging="641"/>
        <w:contextualSpacing/>
        <w:rPr>
          <w:rFonts w:ascii="標楷體" w:eastAsia="標楷體" w:hAnsi="標楷體"/>
          <w:b/>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A52DD2" w:rsidRDefault="00A52DD2" w:rsidP="00F035E0">
      <w:pPr>
        <w:snapToGrid w:val="0"/>
        <w:spacing w:line="480" w:lineRule="exact"/>
        <w:ind w:left="608" w:hangingChars="190" w:hanging="608"/>
        <w:contextualSpacing/>
        <w:jc w:val="both"/>
        <w:rPr>
          <w:rFonts w:ascii="標楷體" w:eastAsia="標楷體" w:hAnsi="標楷體"/>
          <w:bCs/>
          <w:sz w:val="32"/>
          <w:szCs w:val="32"/>
        </w:rPr>
      </w:pPr>
      <w:r>
        <w:rPr>
          <w:rFonts w:ascii="標楷體" w:eastAsia="標楷體" w:hAnsi="標楷體" w:hint="eastAsia"/>
          <w:bCs/>
          <w:sz w:val="32"/>
          <w:szCs w:val="32"/>
        </w:rPr>
        <w:t>一、</w:t>
      </w:r>
      <w:r w:rsidRPr="00D92711">
        <w:rPr>
          <w:rFonts w:ascii="標楷體" w:eastAsia="標楷體" w:hAnsi="標楷體" w:hint="eastAsia"/>
          <w:bCs/>
          <w:sz w:val="32"/>
          <w:szCs w:val="32"/>
        </w:rPr>
        <w:t>請願案1案不成為議案，依立法院職權行使法第67條第2項之規定，送由程序委員會報請院會存查，並通知請願人；另將各案請願資料併卷存查，於審查相關法律案時，提供委員參考。</w:t>
      </w:r>
    </w:p>
    <w:p w:rsidR="00A52DD2" w:rsidRDefault="00A52DD2" w:rsidP="00F035E0">
      <w:pPr>
        <w:snapToGrid w:val="0"/>
        <w:spacing w:line="48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二、</w:t>
      </w:r>
      <w:r w:rsidRPr="00F320E2">
        <w:rPr>
          <w:rFonts w:ascii="標楷體" w:eastAsia="標楷體" w:hAnsi="標楷體" w:hint="eastAsia"/>
          <w:bCs/>
          <w:sz w:val="32"/>
          <w:szCs w:val="32"/>
        </w:rPr>
        <w:t>本次會議議事錄，授權主席確認後，即上傳立法院全球資訊網公開。</w:t>
      </w:r>
    </w:p>
    <w:p w:rsidR="00687DEC" w:rsidRDefault="00687DEC" w:rsidP="00F035E0">
      <w:pPr>
        <w:snapToGrid w:val="0"/>
        <w:spacing w:line="480" w:lineRule="exact"/>
        <w:ind w:left="641" w:hangingChars="200" w:hanging="641"/>
        <w:contextualSpacing/>
        <w:jc w:val="both"/>
        <w:rPr>
          <w:rFonts w:ascii="標楷體" w:eastAsia="標楷體" w:hAnsi="標楷體"/>
          <w:bCs/>
          <w:sz w:val="32"/>
          <w:szCs w:val="32"/>
        </w:rPr>
      </w:pPr>
      <w:r>
        <w:rPr>
          <w:rFonts w:ascii="標楷體" w:eastAsia="標楷體" w:hAnsi="標楷體" w:hint="eastAsia"/>
          <w:b/>
          <w:bCs/>
          <w:sz w:val="32"/>
          <w:szCs w:val="32"/>
        </w:rPr>
        <w:t>散會</w:t>
      </w:r>
    </w:p>
    <w:sectPr w:rsidR="00687DEC" w:rsidSect="00C01581">
      <w:footerReference w:type="default" r:id="rId319"/>
      <w:pgSz w:w="11906" w:h="16838"/>
      <w:pgMar w:top="1134" w:right="1134" w:bottom="1134"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41E57" w:rsidRDefault="00641E57" w:rsidP="00E975D7">
      <w:r>
        <w:separator/>
      </w:r>
    </w:p>
  </w:endnote>
  <w:endnote w:type="continuationSeparator" w:id="0">
    <w:p w:rsidR="00641E57" w:rsidRDefault="00641E57" w:rsidP="00E975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華康細明體">
    <w:panose1 w:val="02020309000000000000"/>
    <w:charset w:val="88"/>
    <w:family w:val="modern"/>
    <w:pitch w:val="fixed"/>
    <w:sig w:usb0="800000A3" w:usb1="38C97878" w:usb2="00000016" w:usb3="00000000" w:csb0="00100000" w:csb1="00000000"/>
  </w:font>
  <w:font w:name="華康楷書體W5">
    <w:panose1 w:val="03000509000000000000"/>
    <w:charset w:val="88"/>
    <w:family w:val="script"/>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Mangal">
    <w:panose1 w:val="00000400000000000000"/>
    <w:charset w:val="01"/>
    <w:family w:val="roman"/>
    <w:pitch w:val="variable"/>
    <w:sig w:usb0="00002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Microsoft YaHei">
    <w:panose1 w:val="020B0503020204020204"/>
    <w:charset w:val="86"/>
    <w:family w:val="swiss"/>
    <w:pitch w:val="variable"/>
    <w:sig w:usb0="80000287" w:usb1="2ACF3C50" w:usb2="00000016" w:usb3="00000000" w:csb0="0004001F" w:csb1="00000000"/>
  </w:font>
  <w:font w:name="Yu Mincho">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PMingLiu">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31E0" w:rsidRDefault="00CE31E0">
    <w:pPr>
      <w:pStyle w:val="a7"/>
      <w:jc w:val="center"/>
    </w:pPr>
  </w:p>
  <w:p w:rsidR="00CE31E0" w:rsidRDefault="00CE31E0">
    <w:pPr>
      <w:pStyle w:val="a7"/>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31E0" w:rsidRDefault="00CE31E0">
    <w:pPr>
      <w:pStyle w:val="a7"/>
      <w:jc w:val="center"/>
    </w:pPr>
  </w:p>
  <w:p w:rsidR="00CE31E0" w:rsidRDefault="00CE31E0">
    <w:pPr>
      <w:pStyle w:val="a7"/>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03015581"/>
      <w:docPartObj>
        <w:docPartGallery w:val="Page Numbers (Bottom of Page)"/>
        <w:docPartUnique/>
      </w:docPartObj>
    </w:sdtPr>
    <w:sdtEndPr/>
    <w:sdtContent>
      <w:p w:rsidR="00CE31E0" w:rsidRDefault="00CE31E0">
        <w:pPr>
          <w:pStyle w:val="a7"/>
          <w:jc w:val="center"/>
        </w:pPr>
        <w:r>
          <w:fldChar w:fldCharType="begin"/>
        </w:r>
        <w:r>
          <w:instrText>PAGE   \* MERGEFORMAT</w:instrText>
        </w:r>
        <w:r>
          <w:fldChar w:fldCharType="separate"/>
        </w:r>
        <w:r w:rsidR="00A871B0" w:rsidRPr="00A871B0">
          <w:rPr>
            <w:noProof/>
            <w:lang w:val="zh-TW"/>
          </w:rPr>
          <w:t>III</w:t>
        </w:r>
        <w:r>
          <w:fldChar w:fldCharType="end"/>
        </w:r>
      </w:p>
    </w:sdtContent>
  </w:sdt>
  <w:p w:rsidR="00CE31E0" w:rsidRDefault="00CE31E0">
    <w:pPr>
      <w:pStyle w:val="a7"/>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878EE" w:rsidRDefault="004878EE">
    <w:pPr>
      <w:pStyle w:val="a7"/>
      <w:jc w:val="center"/>
    </w:pPr>
  </w:p>
  <w:p w:rsidR="004878EE" w:rsidRDefault="004878EE">
    <w:pPr>
      <w:pStyle w:val="a7"/>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31E0" w:rsidRDefault="00CE31E0">
    <w:pPr>
      <w:pStyle w:val="a7"/>
      <w:jc w:val="center"/>
    </w:pPr>
    <w:r>
      <w:fldChar w:fldCharType="begin"/>
    </w:r>
    <w:r>
      <w:instrText>PAGE   \* MERGEFORMAT</w:instrText>
    </w:r>
    <w:r>
      <w:fldChar w:fldCharType="separate"/>
    </w:r>
    <w:r w:rsidR="00A871B0" w:rsidRPr="00A871B0">
      <w:rPr>
        <w:noProof/>
        <w:lang w:val="zh-TW"/>
      </w:rPr>
      <w:t>25</w:t>
    </w:r>
    <w:r>
      <w:fldChar w:fldCharType="end"/>
    </w:r>
  </w:p>
  <w:p w:rsidR="00CE31E0" w:rsidRDefault="00CE31E0">
    <w:pPr>
      <w:pStyle w:val="a7"/>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31E0" w:rsidRPr="00757420" w:rsidRDefault="00CE31E0" w:rsidP="00CE4377">
    <w:r w:rsidRPr="00757420">
      <w:fldChar w:fldCharType="begin"/>
    </w:r>
    <w:r w:rsidRPr="00757420">
      <w:instrText xml:space="preserve">PAGE  </w:instrText>
    </w:r>
    <w:r w:rsidRPr="00757420">
      <w:fldChar w:fldCharType="end"/>
    </w:r>
  </w:p>
  <w:p w:rsidR="00CE31E0" w:rsidRPr="00757420" w:rsidRDefault="00CE31E0" w:rsidP="00CE4377"/>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31E0" w:rsidRDefault="00CE31E0">
    <w:pPr>
      <w:pStyle w:val="a7"/>
      <w:jc w:val="center"/>
    </w:pPr>
    <w:r>
      <w:fldChar w:fldCharType="begin"/>
    </w:r>
    <w:r>
      <w:instrText>PAGE   \* MERGEFORMAT</w:instrText>
    </w:r>
    <w:r>
      <w:fldChar w:fldCharType="separate"/>
    </w:r>
    <w:r w:rsidR="00A871B0" w:rsidRPr="00A871B0">
      <w:rPr>
        <w:noProof/>
        <w:lang w:val="zh-TW"/>
      </w:rPr>
      <w:t>88</w:t>
    </w:r>
    <w:r>
      <w:fldChar w:fldCharType="end"/>
    </w:r>
  </w:p>
  <w:p w:rsidR="00CE31E0" w:rsidRPr="00757420" w:rsidRDefault="00CE31E0" w:rsidP="00CE4377"/>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31E0" w:rsidRDefault="00CE31E0">
    <w:pPr>
      <w:pStyle w:val="a7"/>
      <w:jc w:val="center"/>
    </w:pPr>
    <w:r>
      <w:fldChar w:fldCharType="begin"/>
    </w:r>
    <w:r>
      <w:instrText>PAGE   \* MERGEFORMAT</w:instrText>
    </w:r>
    <w:r>
      <w:fldChar w:fldCharType="separate"/>
    </w:r>
    <w:r w:rsidR="00A871B0" w:rsidRPr="00A871B0">
      <w:rPr>
        <w:noProof/>
        <w:lang w:val="zh-TW"/>
      </w:rPr>
      <w:t>181</w:t>
    </w:r>
    <w:r>
      <w:fldChar w:fldCharType="end"/>
    </w:r>
  </w:p>
  <w:p w:rsidR="00CE31E0" w:rsidRDefault="00CE31E0">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41E57" w:rsidRDefault="00641E57" w:rsidP="00E975D7">
      <w:r>
        <w:separator/>
      </w:r>
    </w:p>
  </w:footnote>
  <w:footnote w:type="continuationSeparator" w:id="0">
    <w:p w:rsidR="00641E57" w:rsidRDefault="00641E57" w:rsidP="00E975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23700"/>
    <w:multiLevelType w:val="hybridMultilevel"/>
    <w:tmpl w:val="D63EB574"/>
    <w:lvl w:ilvl="0" w:tplc="77EE6F32">
      <w:start w:val="1"/>
      <w:numFmt w:val="decimal"/>
      <w:lvlText w:val="%1"/>
      <w:lvlJc w:val="center"/>
      <w:pPr>
        <w:ind w:left="764" w:hanging="480"/>
      </w:pPr>
      <w:rPr>
        <w:rFonts w:hint="eastAsia"/>
        <w:color w:val="auto"/>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031730B"/>
    <w:multiLevelType w:val="hybridMultilevel"/>
    <w:tmpl w:val="2CE22F72"/>
    <w:lvl w:ilvl="0" w:tplc="568A71A4">
      <w:start w:val="1"/>
      <w:numFmt w:val="decimal"/>
      <w:lvlText w:val="%1."/>
      <w:lvlJc w:val="left"/>
      <w:pPr>
        <w:ind w:left="386" w:hanging="360"/>
      </w:pPr>
      <w:rPr>
        <w:rFonts w:hint="default"/>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2" w15:restartNumberingAfterBreak="0">
    <w:nsid w:val="00AE5013"/>
    <w:multiLevelType w:val="hybridMultilevel"/>
    <w:tmpl w:val="FC4EF196"/>
    <w:lvl w:ilvl="0" w:tplc="C64841DC">
      <w:start w:val="1"/>
      <w:numFmt w:val="taiwaneseCountingThousand"/>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22B578F"/>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25D56B8"/>
    <w:multiLevelType w:val="hybridMultilevel"/>
    <w:tmpl w:val="FC4EF196"/>
    <w:lvl w:ilvl="0" w:tplc="C64841DC">
      <w:start w:val="1"/>
      <w:numFmt w:val="taiwaneseCountingThousand"/>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27169D3"/>
    <w:multiLevelType w:val="hybridMultilevel"/>
    <w:tmpl w:val="EDA2ED56"/>
    <w:lvl w:ilvl="0" w:tplc="8EC0CC74">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 w15:restartNumberingAfterBreak="0">
    <w:nsid w:val="06EA026B"/>
    <w:multiLevelType w:val="hybridMultilevel"/>
    <w:tmpl w:val="15501DFE"/>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0B45174D"/>
    <w:multiLevelType w:val="hybridMultilevel"/>
    <w:tmpl w:val="E9B465A2"/>
    <w:lvl w:ilvl="0" w:tplc="5EDC8146">
      <w:start w:val="1"/>
      <w:numFmt w:val="decimal"/>
      <w:suff w:val="nothing"/>
      <w:lvlText w:val="%1"/>
      <w:lvlJc w:val="center"/>
      <w:pPr>
        <w:ind w:left="840" w:hanging="556"/>
      </w:pPr>
      <w:rPr>
        <w:rFonts w:hint="eastAsia"/>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 w15:restartNumberingAfterBreak="0">
    <w:nsid w:val="0D4825C2"/>
    <w:multiLevelType w:val="hybridMultilevel"/>
    <w:tmpl w:val="F0B4B01E"/>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0FD47A3A"/>
    <w:multiLevelType w:val="hybridMultilevel"/>
    <w:tmpl w:val="EEA4C320"/>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10AA0887"/>
    <w:multiLevelType w:val="hybridMultilevel"/>
    <w:tmpl w:val="33B2970E"/>
    <w:lvl w:ilvl="0" w:tplc="D95E781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1B20CF9"/>
    <w:multiLevelType w:val="hybridMultilevel"/>
    <w:tmpl w:val="2AF6AD88"/>
    <w:lvl w:ilvl="0" w:tplc="E5C2E56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11C4353F"/>
    <w:multiLevelType w:val="hybridMultilevel"/>
    <w:tmpl w:val="DD6E7B70"/>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13457D9B"/>
    <w:multiLevelType w:val="hybridMultilevel"/>
    <w:tmpl w:val="4CB40BFE"/>
    <w:lvl w:ilvl="0" w:tplc="1AE04526">
      <w:start w:val="1"/>
      <w:numFmt w:val="decimal"/>
      <w:lvlText w:val="%1."/>
      <w:lvlJc w:val="left"/>
      <w:pPr>
        <w:ind w:left="410" w:hanging="360"/>
      </w:pPr>
      <w:rPr>
        <w:rFonts w:hint="default"/>
      </w:rPr>
    </w:lvl>
    <w:lvl w:ilvl="1" w:tplc="04090019" w:tentative="1">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abstractNum w:abstractNumId="14" w15:restartNumberingAfterBreak="0">
    <w:nsid w:val="13572E64"/>
    <w:multiLevelType w:val="hybridMultilevel"/>
    <w:tmpl w:val="15501DFE"/>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14011336"/>
    <w:multiLevelType w:val="hybridMultilevel"/>
    <w:tmpl w:val="FC4EF196"/>
    <w:lvl w:ilvl="0" w:tplc="C64841DC">
      <w:start w:val="1"/>
      <w:numFmt w:val="taiwaneseCountingThousand"/>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180478D2"/>
    <w:multiLevelType w:val="hybridMultilevel"/>
    <w:tmpl w:val="351E0D66"/>
    <w:lvl w:ilvl="0" w:tplc="20B883D0">
      <w:start w:val="1"/>
      <w:numFmt w:val="taiwaneseCountingThousand"/>
      <w:suff w:val="nothing"/>
      <w:lvlText w:val="%1、"/>
      <w:lvlJc w:val="left"/>
      <w:pPr>
        <w:ind w:left="720" w:hanging="720"/>
      </w:pPr>
      <w:rPr>
        <w:rFonts w:hint="default"/>
      </w:rPr>
    </w:lvl>
    <w:lvl w:ilvl="1" w:tplc="1B3E8866">
      <w:start w:val="1"/>
      <w:numFmt w:val="taiwaneseCountingThousand"/>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1916067E"/>
    <w:multiLevelType w:val="hybridMultilevel"/>
    <w:tmpl w:val="DD6E7B70"/>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191F013E"/>
    <w:multiLevelType w:val="hybridMultilevel"/>
    <w:tmpl w:val="351E0D66"/>
    <w:lvl w:ilvl="0" w:tplc="20B883D0">
      <w:start w:val="1"/>
      <w:numFmt w:val="taiwaneseCountingThousand"/>
      <w:suff w:val="nothing"/>
      <w:lvlText w:val="%1、"/>
      <w:lvlJc w:val="left"/>
      <w:pPr>
        <w:ind w:left="720" w:hanging="720"/>
      </w:pPr>
      <w:rPr>
        <w:rFonts w:hint="default"/>
      </w:rPr>
    </w:lvl>
    <w:lvl w:ilvl="1" w:tplc="1B3E8866">
      <w:start w:val="1"/>
      <w:numFmt w:val="taiwaneseCountingThousand"/>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198B17F4"/>
    <w:multiLevelType w:val="hybridMultilevel"/>
    <w:tmpl w:val="A51CB5E0"/>
    <w:lvl w:ilvl="0" w:tplc="DAD6F488">
      <w:start w:val="1"/>
      <w:numFmt w:val="taiwaneseCountingThousand"/>
      <w:suff w:val="space"/>
      <w:lvlText w:val="%1、"/>
      <w:lvlJc w:val="left"/>
      <w:pPr>
        <w:ind w:left="720" w:hanging="720"/>
      </w:pPr>
      <w:rPr>
        <w:rFonts w:hAnsi="標楷體"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1A1B4267"/>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1DCF35EC"/>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20313A5A"/>
    <w:multiLevelType w:val="hybridMultilevel"/>
    <w:tmpl w:val="FC4EF196"/>
    <w:lvl w:ilvl="0" w:tplc="C64841DC">
      <w:start w:val="1"/>
      <w:numFmt w:val="taiwaneseCountingThousand"/>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215B68C1"/>
    <w:multiLevelType w:val="hybridMultilevel"/>
    <w:tmpl w:val="3230DEA4"/>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4" w15:restartNumberingAfterBreak="0">
    <w:nsid w:val="265704F6"/>
    <w:multiLevelType w:val="hybridMultilevel"/>
    <w:tmpl w:val="21B6A2FA"/>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271F0FD9"/>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2BEE1080"/>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339F27F3"/>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34FC5446"/>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374D346E"/>
    <w:multiLevelType w:val="hybridMultilevel"/>
    <w:tmpl w:val="351E0D66"/>
    <w:lvl w:ilvl="0" w:tplc="20B883D0">
      <w:start w:val="1"/>
      <w:numFmt w:val="taiwaneseCountingThousand"/>
      <w:suff w:val="nothing"/>
      <w:lvlText w:val="%1、"/>
      <w:lvlJc w:val="left"/>
      <w:pPr>
        <w:ind w:left="720" w:hanging="720"/>
      </w:pPr>
      <w:rPr>
        <w:rFonts w:hint="default"/>
      </w:rPr>
    </w:lvl>
    <w:lvl w:ilvl="1" w:tplc="1B3E8866">
      <w:start w:val="1"/>
      <w:numFmt w:val="taiwaneseCountingThousand"/>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38CE6452"/>
    <w:multiLevelType w:val="hybridMultilevel"/>
    <w:tmpl w:val="7DB27B98"/>
    <w:lvl w:ilvl="0" w:tplc="9B581C5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1" w15:restartNumberingAfterBreak="0">
    <w:nsid w:val="3CA42987"/>
    <w:multiLevelType w:val="hybridMultilevel"/>
    <w:tmpl w:val="351E0D66"/>
    <w:lvl w:ilvl="0" w:tplc="20B883D0">
      <w:start w:val="1"/>
      <w:numFmt w:val="taiwaneseCountingThousand"/>
      <w:suff w:val="nothing"/>
      <w:lvlText w:val="%1、"/>
      <w:lvlJc w:val="left"/>
      <w:pPr>
        <w:ind w:left="720" w:hanging="720"/>
      </w:pPr>
      <w:rPr>
        <w:rFonts w:hint="default"/>
      </w:rPr>
    </w:lvl>
    <w:lvl w:ilvl="1" w:tplc="1B3E8866">
      <w:start w:val="1"/>
      <w:numFmt w:val="taiwaneseCountingThousand"/>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3EB029E9"/>
    <w:multiLevelType w:val="hybridMultilevel"/>
    <w:tmpl w:val="351E0D66"/>
    <w:lvl w:ilvl="0" w:tplc="20B883D0">
      <w:start w:val="1"/>
      <w:numFmt w:val="taiwaneseCountingThousand"/>
      <w:suff w:val="nothing"/>
      <w:lvlText w:val="%1、"/>
      <w:lvlJc w:val="left"/>
      <w:pPr>
        <w:ind w:left="720" w:hanging="720"/>
      </w:pPr>
      <w:rPr>
        <w:rFonts w:hint="default"/>
      </w:rPr>
    </w:lvl>
    <w:lvl w:ilvl="1" w:tplc="1B3E8866">
      <w:start w:val="1"/>
      <w:numFmt w:val="taiwaneseCountingThousand"/>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3F3638CB"/>
    <w:multiLevelType w:val="hybridMultilevel"/>
    <w:tmpl w:val="351E0D66"/>
    <w:lvl w:ilvl="0" w:tplc="20B883D0">
      <w:start w:val="1"/>
      <w:numFmt w:val="taiwaneseCountingThousand"/>
      <w:suff w:val="nothing"/>
      <w:lvlText w:val="%1、"/>
      <w:lvlJc w:val="left"/>
      <w:pPr>
        <w:ind w:left="720" w:hanging="720"/>
      </w:pPr>
      <w:rPr>
        <w:rFonts w:hint="default"/>
      </w:rPr>
    </w:lvl>
    <w:lvl w:ilvl="1" w:tplc="1B3E8866">
      <w:start w:val="1"/>
      <w:numFmt w:val="taiwaneseCountingThousand"/>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3FA6177E"/>
    <w:multiLevelType w:val="hybridMultilevel"/>
    <w:tmpl w:val="E69E00CA"/>
    <w:lvl w:ilvl="0" w:tplc="7BB68DF6">
      <w:start w:val="1"/>
      <w:numFmt w:val="decimal"/>
      <w:lvlText w:val="%1"/>
      <w:lvlJc w:val="center"/>
      <w:pPr>
        <w:ind w:left="764" w:hanging="480"/>
      </w:pPr>
      <w:rPr>
        <w:rFonts w:hint="eastAsia"/>
        <w:color w:val="auto"/>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41F45E71"/>
    <w:multiLevelType w:val="hybridMultilevel"/>
    <w:tmpl w:val="3230DEA4"/>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6" w15:restartNumberingAfterBreak="0">
    <w:nsid w:val="42FB4965"/>
    <w:multiLevelType w:val="hybridMultilevel"/>
    <w:tmpl w:val="55FE6AE2"/>
    <w:lvl w:ilvl="0" w:tplc="63B2305A">
      <w:start w:val="1"/>
      <w:numFmt w:val="decimal"/>
      <w:lvlText w:val="%1."/>
      <w:lvlJc w:val="left"/>
      <w:pPr>
        <w:ind w:left="410" w:hanging="360"/>
      </w:pPr>
      <w:rPr>
        <w:rFonts w:hint="default"/>
      </w:rPr>
    </w:lvl>
    <w:lvl w:ilvl="1" w:tplc="04090019" w:tentative="1">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abstractNum w:abstractNumId="37" w15:restartNumberingAfterBreak="0">
    <w:nsid w:val="44EF3D20"/>
    <w:multiLevelType w:val="hybridMultilevel"/>
    <w:tmpl w:val="73921022"/>
    <w:lvl w:ilvl="0" w:tplc="485A1FF0">
      <w:start w:val="1"/>
      <w:numFmt w:val="taiwaneseCountingThousand"/>
      <w:lvlText w:val="%1、"/>
      <w:lvlJc w:val="left"/>
      <w:pPr>
        <w:ind w:left="720" w:hanging="720"/>
      </w:pPr>
      <w:rPr>
        <w:rFonts w:hAnsi="標楷體"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46433591"/>
    <w:multiLevelType w:val="hybridMultilevel"/>
    <w:tmpl w:val="DD6E7B70"/>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47FA7C4D"/>
    <w:multiLevelType w:val="hybridMultilevel"/>
    <w:tmpl w:val="3230DEA4"/>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0" w15:restartNumberingAfterBreak="0">
    <w:nsid w:val="48ED76D6"/>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49950F58"/>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4A1664F3"/>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50FB0068"/>
    <w:multiLevelType w:val="hybridMultilevel"/>
    <w:tmpl w:val="A660540A"/>
    <w:lvl w:ilvl="0" w:tplc="9B581C5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4" w15:restartNumberingAfterBreak="0">
    <w:nsid w:val="53441266"/>
    <w:multiLevelType w:val="hybridMultilevel"/>
    <w:tmpl w:val="39FAA3D2"/>
    <w:lvl w:ilvl="0" w:tplc="72663810">
      <w:start w:val="1"/>
      <w:numFmt w:val="decimal"/>
      <w:lvlText w:val="%1."/>
      <w:lvlJc w:val="left"/>
      <w:pPr>
        <w:ind w:left="410" w:hanging="360"/>
      </w:pPr>
      <w:rPr>
        <w:rFonts w:hint="default"/>
      </w:rPr>
    </w:lvl>
    <w:lvl w:ilvl="1" w:tplc="04090019" w:tentative="1">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abstractNum w:abstractNumId="45" w15:restartNumberingAfterBreak="0">
    <w:nsid w:val="564D7FDF"/>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58F749A2"/>
    <w:multiLevelType w:val="hybridMultilevel"/>
    <w:tmpl w:val="A072A274"/>
    <w:lvl w:ilvl="0" w:tplc="FF3AFDE8">
      <w:start w:val="1"/>
      <w:numFmt w:val="decimal"/>
      <w:lvlText w:val="%1"/>
      <w:lvlJc w:val="center"/>
      <w:pPr>
        <w:tabs>
          <w:tab w:val="num" w:pos="360"/>
        </w:tabs>
        <w:ind w:left="840" w:hanging="556"/>
      </w:pPr>
      <w:rPr>
        <w:rFonts w:hint="eastAsia"/>
        <w:color w:val="auto"/>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5CC66E9A"/>
    <w:multiLevelType w:val="hybridMultilevel"/>
    <w:tmpl w:val="0CC8BFA0"/>
    <w:lvl w:ilvl="0" w:tplc="5EDC8146">
      <w:start w:val="1"/>
      <w:numFmt w:val="decimal"/>
      <w:suff w:val="nothing"/>
      <w:lvlText w:val="%1"/>
      <w:lvlJc w:val="center"/>
      <w:pPr>
        <w:ind w:left="840" w:hanging="556"/>
      </w:pPr>
      <w:rPr>
        <w:rFonts w:hint="eastAsia"/>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8" w15:restartNumberingAfterBreak="0">
    <w:nsid w:val="5D1C3D09"/>
    <w:multiLevelType w:val="hybridMultilevel"/>
    <w:tmpl w:val="7DB27B98"/>
    <w:lvl w:ilvl="0" w:tplc="9B581C5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9" w15:restartNumberingAfterBreak="0">
    <w:nsid w:val="5DD1666F"/>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15:restartNumberingAfterBreak="0">
    <w:nsid w:val="5F1E5CE5"/>
    <w:multiLevelType w:val="hybridMultilevel"/>
    <w:tmpl w:val="6B7859C2"/>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1" w15:restartNumberingAfterBreak="0">
    <w:nsid w:val="66C30BED"/>
    <w:multiLevelType w:val="hybridMultilevel"/>
    <w:tmpl w:val="0CC8BFA0"/>
    <w:lvl w:ilvl="0" w:tplc="5EDC8146">
      <w:start w:val="1"/>
      <w:numFmt w:val="decimal"/>
      <w:suff w:val="nothing"/>
      <w:lvlText w:val="%1"/>
      <w:lvlJc w:val="center"/>
      <w:pPr>
        <w:ind w:left="840" w:hanging="556"/>
      </w:pPr>
      <w:rPr>
        <w:rFonts w:hint="eastAsia"/>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2" w15:restartNumberingAfterBreak="0">
    <w:nsid w:val="68F54374"/>
    <w:multiLevelType w:val="hybridMultilevel"/>
    <w:tmpl w:val="15501DFE"/>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6BEB6876"/>
    <w:multiLevelType w:val="hybridMultilevel"/>
    <w:tmpl w:val="0CC8BFA0"/>
    <w:lvl w:ilvl="0" w:tplc="5EDC8146">
      <w:start w:val="1"/>
      <w:numFmt w:val="decimal"/>
      <w:suff w:val="nothing"/>
      <w:lvlText w:val="%1"/>
      <w:lvlJc w:val="center"/>
      <w:pPr>
        <w:ind w:left="840" w:hanging="556"/>
      </w:pPr>
      <w:rPr>
        <w:rFonts w:hint="eastAsia"/>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4" w15:restartNumberingAfterBreak="0">
    <w:nsid w:val="6C622ED3"/>
    <w:multiLevelType w:val="multilevel"/>
    <w:tmpl w:val="4A481B76"/>
    <w:lvl w:ilvl="0">
      <w:start w:val="1"/>
      <w:numFmt w:val="taiwaneseCountingThousand"/>
      <w:pStyle w:val="a"/>
      <w:suff w:val="nothing"/>
      <w:lvlText w:val="%1、"/>
      <w:lvlJc w:val="left"/>
      <w:pPr>
        <w:ind w:left="1135" w:hanging="567"/>
      </w:pPr>
      <w:rPr>
        <w:rFonts w:eastAsia="標楷體" w:hint="eastAsia"/>
        <w:b/>
        <w:i w:val="0"/>
        <w:sz w:val="32"/>
      </w:rPr>
    </w:lvl>
    <w:lvl w:ilvl="1">
      <w:start w:val="1"/>
      <w:numFmt w:val="taiwaneseCountingThousand"/>
      <w:suff w:val="nothing"/>
      <w:lvlText w:val="（%2）"/>
      <w:lvlJc w:val="left"/>
      <w:pPr>
        <w:ind w:left="1702" w:hanging="850"/>
      </w:pPr>
      <w:rPr>
        <w:rFonts w:hint="eastAsia"/>
      </w:rPr>
    </w:lvl>
    <w:lvl w:ilvl="2">
      <w:start w:val="1"/>
      <w:numFmt w:val="decimalFullWidth"/>
      <w:suff w:val="nothing"/>
      <w:lvlText w:val="%3、"/>
      <w:lvlJc w:val="left"/>
      <w:pPr>
        <w:ind w:left="1986" w:hanging="567"/>
      </w:pPr>
      <w:rPr>
        <w:rFonts w:hint="eastAsia"/>
      </w:rPr>
    </w:lvl>
    <w:lvl w:ilvl="3">
      <w:start w:val="1"/>
      <w:numFmt w:val="decimalFullWidth"/>
      <w:suff w:val="nothing"/>
      <w:lvlText w:val="（%4）"/>
      <w:lvlJc w:val="left"/>
      <w:pPr>
        <w:ind w:left="2553" w:hanging="851"/>
      </w:pPr>
      <w:rPr>
        <w:rFonts w:hint="eastAsia"/>
      </w:rPr>
    </w:lvl>
    <w:lvl w:ilvl="4">
      <w:start w:val="1"/>
      <w:numFmt w:val="ideographTraditional"/>
      <w:suff w:val="nothing"/>
      <w:lvlText w:val="%5、"/>
      <w:lvlJc w:val="left"/>
      <w:pPr>
        <w:ind w:left="2836" w:hanging="567"/>
      </w:pPr>
      <w:rPr>
        <w:rFonts w:hint="eastAsia"/>
      </w:rPr>
    </w:lvl>
    <w:lvl w:ilvl="5">
      <w:start w:val="1"/>
      <w:numFmt w:val="ideographTraditional"/>
      <w:suff w:val="nothing"/>
      <w:lvlText w:val="（%6）"/>
      <w:lvlJc w:val="left"/>
      <w:pPr>
        <w:ind w:left="3403" w:hanging="850"/>
      </w:pPr>
      <w:rPr>
        <w:rFonts w:hint="eastAsia"/>
      </w:rPr>
    </w:lvl>
    <w:lvl w:ilvl="6">
      <w:start w:val="1"/>
      <w:numFmt w:val="ideographZodiac"/>
      <w:suff w:val="nothing"/>
      <w:lvlText w:val="%7、"/>
      <w:lvlJc w:val="left"/>
      <w:pPr>
        <w:ind w:left="3687" w:hanging="567"/>
      </w:pPr>
      <w:rPr>
        <w:rFonts w:hint="eastAsia"/>
      </w:rPr>
    </w:lvl>
    <w:lvl w:ilvl="7">
      <w:start w:val="1"/>
      <w:numFmt w:val="ideographZodiac"/>
      <w:suff w:val="nothing"/>
      <w:lvlText w:val="（%8）"/>
      <w:lvlJc w:val="left"/>
      <w:pPr>
        <w:ind w:left="4254" w:hanging="851"/>
      </w:pPr>
      <w:rPr>
        <w:rFonts w:hint="eastAsia"/>
      </w:rPr>
    </w:lvl>
    <w:lvl w:ilvl="8">
      <w:start w:val="1"/>
      <w:numFmt w:val="decimalFullWidth"/>
      <w:suff w:val="nothing"/>
      <w:lvlText w:val="%9）"/>
      <w:lvlJc w:val="left"/>
      <w:pPr>
        <w:ind w:left="4537" w:hanging="567"/>
      </w:pPr>
      <w:rPr>
        <w:rFonts w:hint="eastAsia"/>
      </w:rPr>
    </w:lvl>
  </w:abstractNum>
  <w:abstractNum w:abstractNumId="55" w15:restartNumberingAfterBreak="0">
    <w:nsid w:val="6C722086"/>
    <w:multiLevelType w:val="hybridMultilevel"/>
    <w:tmpl w:val="D63EB574"/>
    <w:lvl w:ilvl="0" w:tplc="77EE6F32">
      <w:start w:val="1"/>
      <w:numFmt w:val="decimal"/>
      <w:lvlText w:val="%1"/>
      <w:lvlJc w:val="center"/>
      <w:pPr>
        <w:ind w:left="764" w:hanging="480"/>
      </w:pPr>
      <w:rPr>
        <w:rFonts w:hint="eastAsia"/>
        <w:color w:val="auto"/>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6FDF1486"/>
    <w:multiLevelType w:val="hybridMultilevel"/>
    <w:tmpl w:val="3202F134"/>
    <w:lvl w:ilvl="0" w:tplc="C89C85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7" w15:restartNumberingAfterBreak="0">
    <w:nsid w:val="7019425E"/>
    <w:multiLevelType w:val="hybridMultilevel"/>
    <w:tmpl w:val="D5722C90"/>
    <w:lvl w:ilvl="0" w:tplc="3FEEE5F6">
      <w:start w:val="1"/>
      <w:numFmt w:val="decimal"/>
      <w:lvlText w:val="%1."/>
      <w:lvlJc w:val="left"/>
      <w:pPr>
        <w:ind w:left="372" w:hanging="360"/>
      </w:pPr>
      <w:rPr>
        <w:rFonts w:hint="default"/>
      </w:rPr>
    </w:lvl>
    <w:lvl w:ilvl="1" w:tplc="04090019" w:tentative="1">
      <w:start w:val="1"/>
      <w:numFmt w:val="ideographTraditional"/>
      <w:lvlText w:val="%2、"/>
      <w:lvlJc w:val="left"/>
      <w:pPr>
        <w:ind w:left="972" w:hanging="480"/>
      </w:pPr>
    </w:lvl>
    <w:lvl w:ilvl="2" w:tplc="0409001B" w:tentative="1">
      <w:start w:val="1"/>
      <w:numFmt w:val="lowerRoman"/>
      <w:lvlText w:val="%3."/>
      <w:lvlJc w:val="right"/>
      <w:pPr>
        <w:ind w:left="1452" w:hanging="480"/>
      </w:pPr>
    </w:lvl>
    <w:lvl w:ilvl="3" w:tplc="0409000F" w:tentative="1">
      <w:start w:val="1"/>
      <w:numFmt w:val="decimal"/>
      <w:lvlText w:val="%4."/>
      <w:lvlJc w:val="left"/>
      <w:pPr>
        <w:ind w:left="1932" w:hanging="480"/>
      </w:pPr>
    </w:lvl>
    <w:lvl w:ilvl="4" w:tplc="04090019" w:tentative="1">
      <w:start w:val="1"/>
      <w:numFmt w:val="ideographTraditional"/>
      <w:lvlText w:val="%5、"/>
      <w:lvlJc w:val="left"/>
      <w:pPr>
        <w:ind w:left="2412" w:hanging="480"/>
      </w:pPr>
    </w:lvl>
    <w:lvl w:ilvl="5" w:tplc="0409001B" w:tentative="1">
      <w:start w:val="1"/>
      <w:numFmt w:val="lowerRoman"/>
      <w:lvlText w:val="%6."/>
      <w:lvlJc w:val="right"/>
      <w:pPr>
        <w:ind w:left="2892" w:hanging="480"/>
      </w:pPr>
    </w:lvl>
    <w:lvl w:ilvl="6" w:tplc="0409000F" w:tentative="1">
      <w:start w:val="1"/>
      <w:numFmt w:val="decimal"/>
      <w:lvlText w:val="%7."/>
      <w:lvlJc w:val="left"/>
      <w:pPr>
        <w:ind w:left="3372" w:hanging="480"/>
      </w:pPr>
    </w:lvl>
    <w:lvl w:ilvl="7" w:tplc="04090019" w:tentative="1">
      <w:start w:val="1"/>
      <w:numFmt w:val="ideographTraditional"/>
      <w:lvlText w:val="%8、"/>
      <w:lvlJc w:val="left"/>
      <w:pPr>
        <w:ind w:left="3852" w:hanging="480"/>
      </w:pPr>
    </w:lvl>
    <w:lvl w:ilvl="8" w:tplc="0409001B" w:tentative="1">
      <w:start w:val="1"/>
      <w:numFmt w:val="lowerRoman"/>
      <w:lvlText w:val="%9."/>
      <w:lvlJc w:val="right"/>
      <w:pPr>
        <w:ind w:left="4332" w:hanging="480"/>
      </w:pPr>
    </w:lvl>
  </w:abstractNum>
  <w:abstractNum w:abstractNumId="58" w15:restartNumberingAfterBreak="0">
    <w:nsid w:val="71923179"/>
    <w:multiLevelType w:val="hybridMultilevel"/>
    <w:tmpl w:val="7BA87570"/>
    <w:lvl w:ilvl="0" w:tplc="AAEA4D7A">
      <w:start w:val="1"/>
      <w:numFmt w:val="ideographLegalTraditional"/>
      <w:lvlText w:val="%1、"/>
      <w:lvlJc w:val="left"/>
      <w:pPr>
        <w:ind w:left="731" w:hanging="720"/>
      </w:pPr>
      <w:rPr>
        <w:rFonts w:hint="default"/>
        <w:b/>
      </w:rPr>
    </w:lvl>
    <w:lvl w:ilvl="1" w:tplc="04090019" w:tentative="1">
      <w:start w:val="1"/>
      <w:numFmt w:val="ideographTraditional"/>
      <w:lvlText w:val="%2、"/>
      <w:lvlJc w:val="left"/>
      <w:pPr>
        <w:ind w:left="971" w:hanging="480"/>
      </w:pPr>
    </w:lvl>
    <w:lvl w:ilvl="2" w:tplc="0409001B" w:tentative="1">
      <w:start w:val="1"/>
      <w:numFmt w:val="lowerRoman"/>
      <w:lvlText w:val="%3."/>
      <w:lvlJc w:val="right"/>
      <w:pPr>
        <w:ind w:left="1451" w:hanging="480"/>
      </w:pPr>
    </w:lvl>
    <w:lvl w:ilvl="3" w:tplc="0409000F" w:tentative="1">
      <w:start w:val="1"/>
      <w:numFmt w:val="decimal"/>
      <w:lvlText w:val="%4."/>
      <w:lvlJc w:val="left"/>
      <w:pPr>
        <w:ind w:left="1931" w:hanging="480"/>
      </w:pPr>
    </w:lvl>
    <w:lvl w:ilvl="4" w:tplc="04090019" w:tentative="1">
      <w:start w:val="1"/>
      <w:numFmt w:val="ideographTraditional"/>
      <w:lvlText w:val="%5、"/>
      <w:lvlJc w:val="left"/>
      <w:pPr>
        <w:ind w:left="2411" w:hanging="480"/>
      </w:pPr>
    </w:lvl>
    <w:lvl w:ilvl="5" w:tplc="0409001B" w:tentative="1">
      <w:start w:val="1"/>
      <w:numFmt w:val="lowerRoman"/>
      <w:lvlText w:val="%6."/>
      <w:lvlJc w:val="right"/>
      <w:pPr>
        <w:ind w:left="2891" w:hanging="480"/>
      </w:pPr>
    </w:lvl>
    <w:lvl w:ilvl="6" w:tplc="0409000F" w:tentative="1">
      <w:start w:val="1"/>
      <w:numFmt w:val="decimal"/>
      <w:lvlText w:val="%7."/>
      <w:lvlJc w:val="left"/>
      <w:pPr>
        <w:ind w:left="3371" w:hanging="480"/>
      </w:pPr>
    </w:lvl>
    <w:lvl w:ilvl="7" w:tplc="04090019" w:tentative="1">
      <w:start w:val="1"/>
      <w:numFmt w:val="ideographTraditional"/>
      <w:lvlText w:val="%8、"/>
      <w:lvlJc w:val="left"/>
      <w:pPr>
        <w:ind w:left="3851" w:hanging="480"/>
      </w:pPr>
    </w:lvl>
    <w:lvl w:ilvl="8" w:tplc="0409001B" w:tentative="1">
      <w:start w:val="1"/>
      <w:numFmt w:val="lowerRoman"/>
      <w:lvlText w:val="%9."/>
      <w:lvlJc w:val="right"/>
      <w:pPr>
        <w:ind w:left="4331" w:hanging="480"/>
      </w:pPr>
    </w:lvl>
  </w:abstractNum>
  <w:abstractNum w:abstractNumId="59" w15:restartNumberingAfterBreak="0">
    <w:nsid w:val="72087ACC"/>
    <w:multiLevelType w:val="hybridMultilevel"/>
    <w:tmpl w:val="7F4E791C"/>
    <w:lvl w:ilvl="0" w:tplc="E5B4B58A">
      <w:start w:val="1"/>
      <w:numFmt w:val="decimal"/>
      <w:lvlText w:val="%1"/>
      <w:lvlJc w:val="center"/>
      <w:pPr>
        <w:tabs>
          <w:tab w:val="num" w:pos="360"/>
        </w:tabs>
        <w:ind w:left="840" w:hanging="556"/>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0" w15:restartNumberingAfterBreak="0">
    <w:nsid w:val="72697398"/>
    <w:multiLevelType w:val="hybridMultilevel"/>
    <w:tmpl w:val="3230DEA4"/>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1" w15:restartNumberingAfterBreak="0">
    <w:nsid w:val="767423D3"/>
    <w:multiLevelType w:val="hybridMultilevel"/>
    <w:tmpl w:val="3F1ECB78"/>
    <w:lvl w:ilvl="0" w:tplc="C256102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2" w15:restartNumberingAfterBreak="0">
    <w:nsid w:val="76917B26"/>
    <w:multiLevelType w:val="multilevel"/>
    <w:tmpl w:val="58564206"/>
    <w:lvl w:ilvl="0">
      <w:start w:val="1"/>
      <w:numFmt w:val="taiwaneseCountingThousand"/>
      <w:lvlText w:val="(%1)"/>
      <w:lvlJc w:val="left"/>
      <w:pPr>
        <w:ind w:left="794" w:hanging="477"/>
      </w:pPr>
      <w:rPr>
        <w:rFonts w:hint="default"/>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63" w15:restartNumberingAfterBreak="0">
    <w:nsid w:val="780D4BFF"/>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4" w15:restartNumberingAfterBreak="0">
    <w:nsid w:val="7D253E06"/>
    <w:multiLevelType w:val="hybridMultilevel"/>
    <w:tmpl w:val="21B6A2FA"/>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5" w15:restartNumberingAfterBreak="0">
    <w:nsid w:val="7D573FD4"/>
    <w:multiLevelType w:val="hybridMultilevel"/>
    <w:tmpl w:val="DD6E7B70"/>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6" w15:restartNumberingAfterBreak="0">
    <w:nsid w:val="7ECE7175"/>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4"/>
  </w:num>
  <w:num w:numId="2">
    <w:abstractNumId w:val="63"/>
  </w:num>
  <w:num w:numId="3">
    <w:abstractNumId w:val="41"/>
  </w:num>
  <w:num w:numId="4">
    <w:abstractNumId w:val="49"/>
  </w:num>
  <w:num w:numId="5">
    <w:abstractNumId w:val="53"/>
  </w:num>
  <w:num w:numId="6">
    <w:abstractNumId w:val="21"/>
  </w:num>
  <w:num w:numId="7">
    <w:abstractNumId w:val="43"/>
  </w:num>
  <w:num w:numId="8">
    <w:abstractNumId w:val="28"/>
  </w:num>
  <w:num w:numId="9">
    <w:abstractNumId w:val="50"/>
  </w:num>
  <w:num w:numId="10">
    <w:abstractNumId w:val="46"/>
  </w:num>
  <w:num w:numId="11">
    <w:abstractNumId w:val="66"/>
  </w:num>
  <w:num w:numId="12">
    <w:abstractNumId w:val="19"/>
  </w:num>
  <w:num w:numId="13">
    <w:abstractNumId w:val="7"/>
  </w:num>
  <w:num w:numId="14">
    <w:abstractNumId w:val="9"/>
  </w:num>
  <w:num w:numId="15">
    <w:abstractNumId w:val="24"/>
  </w:num>
  <w:num w:numId="16">
    <w:abstractNumId w:val="35"/>
  </w:num>
  <w:num w:numId="17">
    <w:abstractNumId w:val="62"/>
  </w:num>
  <w:num w:numId="18">
    <w:abstractNumId w:val="59"/>
  </w:num>
  <w:num w:numId="19">
    <w:abstractNumId w:val="8"/>
  </w:num>
  <w:num w:numId="20">
    <w:abstractNumId w:val="42"/>
  </w:num>
  <w:num w:numId="21">
    <w:abstractNumId w:val="45"/>
  </w:num>
  <w:num w:numId="22">
    <w:abstractNumId w:val="1"/>
  </w:num>
  <w:num w:numId="23">
    <w:abstractNumId w:val="5"/>
  </w:num>
  <w:num w:numId="24">
    <w:abstractNumId w:val="2"/>
  </w:num>
  <w:num w:numId="25">
    <w:abstractNumId w:val="16"/>
  </w:num>
  <w:num w:numId="26">
    <w:abstractNumId w:val="58"/>
  </w:num>
  <w:num w:numId="27">
    <w:abstractNumId w:val="37"/>
  </w:num>
  <w:num w:numId="28">
    <w:abstractNumId w:val="29"/>
  </w:num>
  <w:num w:numId="29">
    <w:abstractNumId w:val="56"/>
  </w:num>
  <w:num w:numId="30">
    <w:abstractNumId w:val="40"/>
  </w:num>
  <w:num w:numId="31">
    <w:abstractNumId w:val="4"/>
  </w:num>
  <w:num w:numId="32">
    <w:abstractNumId w:val="33"/>
  </w:num>
  <w:num w:numId="33">
    <w:abstractNumId w:val="26"/>
  </w:num>
  <w:num w:numId="34">
    <w:abstractNumId w:val="20"/>
  </w:num>
  <w:num w:numId="35">
    <w:abstractNumId w:val="27"/>
  </w:num>
  <w:num w:numId="36">
    <w:abstractNumId w:val="32"/>
  </w:num>
  <w:num w:numId="37">
    <w:abstractNumId w:val="25"/>
  </w:num>
  <w:num w:numId="38">
    <w:abstractNumId w:val="22"/>
  </w:num>
  <w:num w:numId="39">
    <w:abstractNumId w:val="15"/>
  </w:num>
  <w:num w:numId="40">
    <w:abstractNumId w:val="31"/>
  </w:num>
  <w:num w:numId="41">
    <w:abstractNumId w:val="18"/>
  </w:num>
  <w:num w:numId="42">
    <w:abstractNumId w:val="0"/>
  </w:num>
  <w:num w:numId="43">
    <w:abstractNumId w:val="23"/>
  </w:num>
  <w:num w:numId="44">
    <w:abstractNumId w:val="39"/>
  </w:num>
  <w:num w:numId="45">
    <w:abstractNumId w:val="11"/>
  </w:num>
  <w:num w:numId="46">
    <w:abstractNumId w:val="3"/>
  </w:num>
  <w:num w:numId="47">
    <w:abstractNumId w:val="30"/>
  </w:num>
  <w:num w:numId="48">
    <w:abstractNumId w:val="34"/>
  </w:num>
  <w:num w:numId="49">
    <w:abstractNumId w:val="61"/>
  </w:num>
  <w:num w:numId="50">
    <w:abstractNumId w:val="57"/>
  </w:num>
  <w:num w:numId="51">
    <w:abstractNumId w:val="55"/>
  </w:num>
  <w:num w:numId="52">
    <w:abstractNumId w:val="60"/>
  </w:num>
  <w:num w:numId="53">
    <w:abstractNumId w:val="13"/>
  </w:num>
  <w:num w:numId="54">
    <w:abstractNumId w:val="36"/>
  </w:num>
  <w:num w:numId="55">
    <w:abstractNumId w:val="17"/>
  </w:num>
  <w:num w:numId="56">
    <w:abstractNumId w:val="10"/>
  </w:num>
  <w:num w:numId="57">
    <w:abstractNumId w:val="65"/>
  </w:num>
  <w:num w:numId="58">
    <w:abstractNumId w:val="44"/>
  </w:num>
  <w:num w:numId="59">
    <w:abstractNumId w:val="12"/>
  </w:num>
  <w:num w:numId="60">
    <w:abstractNumId w:val="38"/>
  </w:num>
  <w:num w:numId="61">
    <w:abstractNumId w:val="14"/>
  </w:num>
  <w:num w:numId="62">
    <w:abstractNumId w:val="6"/>
  </w:num>
  <w:num w:numId="63">
    <w:abstractNumId w:val="48"/>
  </w:num>
  <w:num w:numId="64">
    <w:abstractNumId w:val="64"/>
  </w:num>
  <w:num w:numId="65">
    <w:abstractNumId w:val="51"/>
  </w:num>
  <w:num w:numId="66">
    <w:abstractNumId w:val="47"/>
  </w:num>
  <w:num w:numId="67">
    <w:abstractNumId w:val="5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defaultTabStop w:val="480"/>
  <w:drawingGridHorizontalSpacing w:val="12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4757"/>
    <w:rsid w:val="00000299"/>
    <w:rsid w:val="00001611"/>
    <w:rsid w:val="00005492"/>
    <w:rsid w:val="00007D25"/>
    <w:rsid w:val="000101A5"/>
    <w:rsid w:val="000110D5"/>
    <w:rsid w:val="000118A1"/>
    <w:rsid w:val="00011F82"/>
    <w:rsid w:val="0001205A"/>
    <w:rsid w:val="000121AE"/>
    <w:rsid w:val="0001486D"/>
    <w:rsid w:val="000150AC"/>
    <w:rsid w:val="00015EE8"/>
    <w:rsid w:val="0001631A"/>
    <w:rsid w:val="0001643B"/>
    <w:rsid w:val="00017AA4"/>
    <w:rsid w:val="000224A5"/>
    <w:rsid w:val="00023748"/>
    <w:rsid w:val="00027381"/>
    <w:rsid w:val="000306DD"/>
    <w:rsid w:val="00031D3B"/>
    <w:rsid w:val="00033878"/>
    <w:rsid w:val="00034FF7"/>
    <w:rsid w:val="0003569B"/>
    <w:rsid w:val="00035A13"/>
    <w:rsid w:val="000376A2"/>
    <w:rsid w:val="00040EB7"/>
    <w:rsid w:val="00041497"/>
    <w:rsid w:val="000424DE"/>
    <w:rsid w:val="00042711"/>
    <w:rsid w:val="000428F1"/>
    <w:rsid w:val="0004398C"/>
    <w:rsid w:val="00045F0E"/>
    <w:rsid w:val="00047FA1"/>
    <w:rsid w:val="00051236"/>
    <w:rsid w:val="00051A40"/>
    <w:rsid w:val="000526A0"/>
    <w:rsid w:val="00052881"/>
    <w:rsid w:val="0005302C"/>
    <w:rsid w:val="0005446B"/>
    <w:rsid w:val="0005583A"/>
    <w:rsid w:val="00056636"/>
    <w:rsid w:val="00057E30"/>
    <w:rsid w:val="00057F7D"/>
    <w:rsid w:val="00062A0D"/>
    <w:rsid w:val="000642EC"/>
    <w:rsid w:val="00064388"/>
    <w:rsid w:val="00064396"/>
    <w:rsid w:val="000646F4"/>
    <w:rsid w:val="000663D4"/>
    <w:rsid w:val="00066418"/>
    <w:rsid w:val="0007118E"/>
    <w:rsid w:val="00071A05"/>
    <w:rsid w:val="00071FF5"/>
    <w:rsid w:val="00072795"/>
    <w:rsid w:val="00072DD7"/>
    <w:rsid w:val="00073EFD"/>
    <w:rsid w:val="00075002"/>
    <w:rsid w:val="00075723"/>
    <w:rsid w:val="000775FB"/>
    <w:rsid w:val="000777CC"/>
    <w:rsid w:val="00077A4E"/>
    <w:rsid w:val="00083ADE"/>
    <w:rsid w:val="00086712"/>
    <w:rsid w:val="00086D41"/>
    <w:rsid w:val="00087D44"/>
    <w:rsid w:val="00090017"/>
    <w:rsid w:val="000902EC"/>
    <w:rsid w:val="00090314"/>
    <w:rsid w:val="000903BD"/>
    <w:rsid w:val="00092966"/>
    <w:rsid w:val="000933EE"/>
    <w:rsid w:val="00094DDD"/>
    <w:rsid w:val="00094FE8"/>
    <w:rsid w:val="00096156"/>
    <w:rsid w:val="00097C37"/>
    <w:rsid w:val="000A0A9C"/>
    <w:rsid w:val="000A22BF"/>
    <w:rsid w:val="000A3AF0"/>
    <w:rsid w:val="000A3FF1"/>
    <w:rsid w:val="000A4F71"/>
    <w:rsid w:val="000A59D1"/>
    <w:rsid w:val="000B293F"/>
    <w:rsid w:val="000B5478"/>
    <w:rsid w:val="000B55E8"/>
    <w:rsid w:val="000B5B85"/>
    <w:rsid w:val="000B5F69"/>
    <w:rsid w:val="000B6F45"/>
    <w:rsid w:val="000C070E"/>
    <w:rsid w:val="000C17D6"/>
    <w:rsid w:val="000C3402"/>
    <w:rsid w:val="000C42EB"/>
    <w:rsid w:val="000C53D2"/>
    <w:rsid w:val="000C659F"/>
    <w:rsid w:val="000C79A4"/>
    <w:rsid w:val="000D0154"/>
    <w:rsid w:val="000D04B3"/>
    <w:rsid w:val="000D0D9A"/>
    <w:rsid w:val="000D1A30"/>
    <w:rsid w:val="000D1CEC"/>
    <w:rsid w:val="000D38D1"/>
    <w:rsid w:val="000D558E"/>
    <w:rsid w:val="000D5847"/>
    <w:rsid w:val="000D59F2"/>
    <w:rsid w:val="000D60F1"/>
    <w:rsid w:val="000E21E1"/>
    <w:rsid w:val="000E31F9"/>
    <w:rsid w:val="000E42EC"/>
    <w:rsid w:val="000E677A"/>
    <w:rsid w:val="000E7F24"/>
    <w:rsid w:val="000F00BD"/>
    <w:rsid w:val="000F0A95"/>
    <w:rsid w:val="000F0ACA"/>
    <w:rsid w:val="000F1455"/>
    <w:rsid w:val="000F16D8"/>
    <w:rsid w:val="000F2058"/>
    <w:rsid w:val="000F2733"/>
    <w:rsid w:val="000F4607"/>
    <w:rsid w:val="000F48EA"/>
    <w:rsid w:val="000F4DE1"/>
    <w:rsid w:val="000F4EE5"/>
    <w:rsid w:val="000F5264"/>
    <w:rsid w:val="000F693B"/>
    <w:rsid w:val="00101F20"/>
    <w:rsid w:val="00103D00"/>
    <w:rsid w:val="00104ABA"/>
    <w:rsid w:val="00104C28"/>
    <w:rsid w:val="00107C6E"/>
    <w:rsid w:val="0011039C"/>
    <w:rsid w:val="0011340D"/>
    <w:rsid w:val="00114133"/>
    <w:rsid w:val="00114CB9"/>
    <w:rsid w:val="00114FB0"/>
    <w:rsid w:val="00114FCF"/>
    <w:rsid w:val="00115442"/>
    <w:rsid w:val="00117643"/>
    <w:rsid w:val="00120545"/>
    <w:rsid w:val="0012199C"/>
    <w:rsid w:val="00122542"/>
    <w:rsid w:val="00125617"/>
    <w:rsid w:val="00125AD8"/>
    <w:rsid w:val="001260A8"/>
    <w:rsid w:val="001276A0"/>
    <w:rsid w:val="001278AF"/>
    <w:rsid w:val="00130BE3"/>
    <w:rsid w:val="0013289D"/>
    <w:rsid w:val="001345F7"/>
    <w:rsid w:val="001377A4"/>
    <w:rsid w:val="00137F97"/>
    <w:rsid w:val="001401DD"/>
    <w:rsid w:val="001418C9"/>
    <w:rsid w:val="00144C64"/>
    <w:rsid w:val="0014672C"/>
    <w:rsid w:val="0015095B"/>
    <w:rsid w:val="00150A42"/>
    <w:rsid w:val="0015104A"/>
    <w:rsid w:val="00151E8E"/>
    <w:rsid w:val="0015255F"/>
    <w:rsid w:val="001533FB"/>
    <w:rsid w:val="001535C6"/>
    <w:rsid w:val="0015431F"/>
    <w:rsid w:val="001551F3"/>
    <w:rsid w:val="001559D8"/>
    <w:rsid w:val="00155AF4"/>
    <w:rsid w:val="00157D26"/>
    <w:rsid w:val="001602F0"/>
    <w:rsid w:val="001604C2"/>
    <w:rsid w:val="00161DED"/>
    <w:rsid w:val="00162034"/>
    <w:rsid w:val="001622A8"/>
    <w:rsid w:val="001627DF"/>
    <w:rsid w:val="00163AA2"/>
    <w:rsid w:val="00164141"/>
    <w:rsid w:val="0016418C"/>
    <w:rsid w:val="00164DEF"/>
    <w:rsid w:val="0016510F"/>
    <w:rsid w:val="001655A1"/>
    <w:rsid w:val="0017076D"/>
    <w:rsid w:val="001725AE"/>
    <w:rsid w:val="00173752"/>
    <w:rsid w:val="00173AB9"/>
    <w:rsid w:val="00173D87"/>
    <w:rsid w:val="00174AB9"/>
    <w:rsid w:val="00175040"/>
    <w:rsid w:val="00180B96"/>
    <w:rsid w:val="00181820"/>
    <w:rsid w:val="00181CF9"/>
    <w:rsid w:val="001876C9"/>
    <w:rsid w:val="001904A4"/>
    <w:rsid w:val="00194BE2"/>
    <w:rsid w:val="00197D49"/>
    <w:rsid w:val="00197E89"/>
    <w:rsid w:val="001A23D6"/>
    <w:rsid w:val="001A495B"/>
    <w:rsid w:val="001A51A7"/>
    <w:rsid w:val="001A53FD"/>
    <w:rsid w:val="001A706A"/>
    <w:rsid w:val="001B1476"/>
    <w:rsid w:val="001B1F06"/>
    <w:rsid w:val="001B20BD"/>
    <w:rsid w:val="001B63BC"/>
    <w:rsid w:val="001C0078"/>
    <w:rsid w:val="001C0263"/>
    <w:rsid w:val="001C0B3D"/>
    <w:rsid w:val="001C0CD2"/>
    <w:rsid w:val="001C27E8"/>
    <w:rsid w:val="001C2A7A"/>
    <w:rsid w:val="001C3392"/>
    <w:rsid w:val="001C36A5"/>
    <w:rsid w:val="001C4955"/>
    <w:rsid w:val="001C56E9"/>
    <w:rsid w:val="001C7663"/>
    <w:rsid w:val="001C7F7F"/>
    <w:rsid w:val="001D132D"/>
    <w:rsid w:val="001D15EE"/>
    <w:rsid w:val="001D1A7A"/>
    <w:rsid w:val="001D2540"/>
    <w:rsid w:val="001D4A29"/>
    <w:rsid w:val="001D5133"/>
    <w:rsid w:val="001D58F9"/>
    <w:rsid w:val="001D5F3F"/>
    <w:rsid w:val="001D6E4B"/>
    <w:rsid w:val="001D712B"/>
    <w:rsid w:val="001E0633"/>
    <w:rsid w:val="001E331C"/>
    <w:rsid w:val="001E471E"/>
    <w:rsid w:val="001E5024"/>
    <w:rsid w:val="001E538B"/>
    <w:rsid w:val="001E5720"/>
    <w:rsid w:val="001E5C76"/>
    <w:rsid w:val="001E7E70"/>
    <w:rsid w:val="001F00E0"/>
    <w:rsid w:val="001F2342"/>
    <w:rsid w:val="001F281C"/>
    <w:rsid w:val="001F37AD"/>
    <w:rsid w:val="001F3AF0"/>
    <w:rsid w:val="001F3F42"/>
    <w:rsid w:val="001F4D7E"/>
    <w:rsid w:val="001F55A0"/>
    <w:rsid w:val="001F6967"/>
    <w:rsid w:val="001F6C00"/>
    <w:rsid w:val="001F7C7C"/>
    <w:rsid w:val="00200AD9"/>
    <w:rsid w:val="00205A4B"/>
    <w:rsid w:val="00205C43"/>
    <w:rsid w:val="00205E6F"/>
    <w:rsid w:val="002066EA"/>
    <w:rsid w:val="00206A7C"/>
    <w:rsid w:val="00210E58"/>
    <w:rsid w:val="0021172E"/>
    <w:rsid w:val="00212563"/>
    <w:rsid w:val="00213190"/>
    <w:rsid w:val="00216B3D"/>
    <w:rsid w:val="00220680"/>
    <w:rsid w:val="00221A7B"/>
    <w:rsid w:val="00222EB3"/>
    <w:rsid w:val="00224212"/>
    <w:rsid w:val="00225B53"/>
    <w:rsid w:val="0022616A"/>
    <w:rsid w:val="00227126"/>
    <w:rsid w:val="0022729B"/>
    <w:rsid w:val="002314CC"/>
    <w:rsid w:val="00231ACD"/>
    <w:rsid w:val="00233A83"/>
    <w:rsid w:val="002346EA"/>
    <w:rsid w:val="002362F0"/>
    <w:rsid w:val="00236801"/>
    <w:rsid w:val="00236F6E"/>
    <w:rsid w:val="0023790C"/>
    <w:rsid w:val="002379BB"/>
    <w:rsid w:val="00240352"/>
    <w:rsid w:val="00241901"/>
    <w:rsid w:val="00242A42"/>
    <w:rsid w:val="00242D08"/>
    <w:rsid w:val="00242F33"/>
    <w:rsid w:val="0024330E"/>
    <w:rsid w:val="00246C71"/>
    <w:rsid w:val="0024707D"/>
    <w:rsid w:val="00250F3C"/>
    <w:rsid w:val="00252D4A"/>
    <w:rsid w:val="002544FC"/>
    <w:rsid w:val="00254631"/>
    <w:rsid w:val="00254728"/>
    <w:rsid w:val="002554DF"/>
    <w:rsid w:val="002570A4"/>
    <w:rsid w:val="002616CE"/>
    <w:rsid w:val="002634CF"/>
    <w:rsid w:val="00263DF7"/>
    <w:rsid w:val="0026553D"/>
    <w:rsid w:val="002662FF"/>
    <w:rsid w:val="00266A49"/>
    <w:rsid w:val="00266D47"/>
    <w:rsid w:val="0026753F"/>
    <w:rsid w:val="0027022F"/>
    <w:rsid w:val="00270252"/>
    <w:rsid w:val="0027033B"/>
    <w:rsid w:val="00270F48"/>
    <w:rsid w:val="00270F5F"/>
    <w:rsid w:val="00271C7C"/>
    <w:rsid w:val="0027221B"/>
    <w:rsid w:val="002724D7"/>
    <w:rsid w:val="00273897"/>
    <w:rsid w:val="00273B89"/>
    <w:rsid w:val="00273DA5"/>
    <w:rsid w:val="00274564"/>
    <w:rsid w:val="002751EA"/>
    <w:rsid w:val="002803BF"/>
    <w:rsid w:val="00280419"/>
    <w:rsid w:val="002809A4"/>
    <w:rsid w:val="00280C90"/>
    <w:rsid w:val="00280CE4"/>
    <w:rsid w:val="00282297"/>
    <w:rsid w:val="00282A1E"/>
    <w:rsid w:val="00283411"/>
    <w:rsid w:val="002849B8"/>
    <w:rsid w:val="00284AEF"/>
    <w:rsid w:val="0028546F"/>
    <w:rsid w:val="00285BA5"/>
    <w:rsid w:val="00286698"/>
    <w:rsid w:val="00286A87"/>
    <w:rsid w:val="002873F5"/>
    <w:rsid w:val="00287897"/>
    <w:rsid w:val="00287922"/>
    <w:rsid w:val="0029032A"/>
    <w:rsid w:val="00290412"/>
    <w:rsid w:val="00292850"/>
    <w:rsid w:val="00293954"/>
    <w:rsid w:val="00293A13"/>
    <w:rsid w:val="00295073"/>
    <w:rsid w:val="002964FE"/>
    <w:rsid w:val="002966E7"/>
    <w:rsid w:val="0029767F"/>
    <w:rsid w:val="002A0E2A"/>
    <w:rsid w:val="002A1200"/>
    <w:rsid w:val="002A2048"/>
    <w:rsid w:val="002A3317"/>
    <w:rsid w:val="002A63E0"/>
    <w:rsid w:val="002A66F8"/>
    <w:rsid w:val="002A6F96"/>
    <w:rsid w:val="002B6812"/>
    <w:rsid w:val="002C07FA"/>
    <w:rsid w:val="002C0856"/>
    <w:rsid w:val="002C1FF1"/>
    <w:rsid w:val="002C2D71"/>
    <w:rsid w:val="002C3DC5"/>
    <w:rsid w:val="002C4868"/>
    <w:rsid w:val="002C6428"/>
    <w:rsid w:val="002C676A"/>
    <w:rsid w:val="002C7AB1"/>
    <w:rsid w:val="002D15A0"/>
    <w:rsid w:val="002D4412"/>
    <w:rsid w:val="002D53E9"/>
    <w:rsid w:val="002D5D83"/>
    <w:rsid w:val="002D61FB"/>
    <w:rsid w:val="002D66CC"/>
    <w:rsid w:val="002D7850"/>
    <w:rsid w:val="002D7DA1"/>
    <w:rsid w:val="002E0539"/>
    <w:rsid w:val="002E0703"/>
    <w:rsid w:val="002E1C52"/>
    <w:rsid w:val="002E1FE7"/>
    <w:rsid w:val="002E20FD"/>
    <w:rsid w:val="002E2D76"/>
    <w:rsid w:val="002E5A1E"/>
    <w:rsid w:val="002E71E5"/>
    <w:rsid w:val="002E7C9B"/>
    <w:rsid w:val="002F2F36"/>
    <w:rsid w:val="002F4477"/>
    <w:rsid w:val="002F505C"/>
    <w:rsid w:val="002F56B5"/>
    <w:rsid w:val="002F5A77"/>
    <w:rsid w:val="002F5F9C"/>
    <w:rsid w:val="002F7B94"/>
    <w:rsid w:val="002F7DBB"/>
    <w:rsid w:val="00301886"/>
    <w:rsid w:val="00303040"/>
    <w:rsid w:val="00303C08"/>
    <w:rsid w:val="003042AB"/>
    <w:rsid w:val="00304302"/>
    <w:rsid w:val="00310BDC"/>
    <w:rsid w:val="00311129"/>
    <w:rsid w:val="00313481"/>
    <w:rsid w:val="00315B18"/>
    <w:rsid w:val="0031627C"/>
    <w:rsid w:val="003165AF"/>
    <w:rsid w:val="003169DE"/>
    <w:rsid w:val="0032406F"/>
    <w:rsid w:val="00324E5B"/>
    <w:rsid w:val="00325DD4"/>
    <w:rsid w:val="00326E59"/>
    <w:rsid w:val="0032799D"/>
    <w:rsid w:val="00327A94"/>
    <w:rsid w:val="00331261"/>
    <w:rsid w:val="00335695"/>
    <w:rsid w:val="00335D7D"/>
    <w:rsid w:val="0033687E"/>
    <w:rsid w:val="00340042"/>
    <w:rsid w:val="0034026F"/>
    <w:rsid w:val="003413B0"/>
    <w:rsid w:val="00341486"/>
    <w:rsid w:val="003417BE"/>
    <w:rsid w:val="003439BF"/>
    <w:rsid w:val="00343A16"/>
    <w:rsid w:val="00344885"/>
    <w:rsid w:val="00345114"/>
    <w:rsid w:val="003461EC"/>
    <w:rsid w:val="00346CD5"/>
    <w:rsid w:val="00347462"/>
    <w:rsid w:val="0034776C"/>
    <w:rsid w:val="003510BF"/>
    <w:rsid w:val="003514AD"/>
    <w:rsid w:val="0035193B"/>
    <w:rsid w:val="003522B4"/>
    <w:rsid w:val="00352BE5"/>
    <w:rsid w:val="00352C26"/>
    <w:rsid w:val="00353235"/>
    <w:rsid w:val="0035370B"/>
    <w:rsid w:val="0035599B"/>
    <w:rsid w:val="00355EDC"/>
    <w:rsid w:val="00356C47"/>
    <w:rsid w:val="0035749B"/>
    <w:rsid w:val="003604B2"/>
    <w:rsid w:val="0036085A"/>
    <w:rsid w:val="00361960"/>
    <w:rsid w:val="00362AEF"/>
    <w:rsid w:val="003634C7"/>
    <w:rsid w:val="003636D7"/>
    <w:rsid w:val="00363843"/>
    <w:rsid w:val="00363EA3"/>
    <w:rsid w:val="00365467"/>
    <w:rsid w:val="00366215"/>
    <w:rsid w:val="00366A45"/>
    <w:rsid w:val="003702E7"/>
    <w:rsid w:val="003709BA"/>
    <w:rsid w:val="00371134"/>
    <w:rsid w:val="00371213"/>
    <w:rsid w:val="00372D56"/>
    <w:rsid w:val="003741C8"/>
    <w:rsid w:val="00374CCA"/>
    <w:rsid w:val="00374D93"/>
    <w:rsid w:val="00375197"/>
    <w:rsid w:val="00376377"/>
    <w:rsid w:val="00376BA8"/>
    <w:rsid w:val="00380690"/>
    <w:rsid w:val="00380A79"/>
    <w:rsid w:val="0038145F"/>
    <w:rsid w:val="003826BB"/>
    <w:rsid w:val="00382A1B"/>
    <w:rsid w:val="00382EE3"/>
    <w:rsid w:val="00382F9C"/>
    <w:rsid w:val="00383310"/>
    <w:rsid w:val="00383980"/>
    <w:rsid w:val="003848B4"/>
    <w:rsid w:val="00386233"/>
    <w:rsid w:val="003864B8"/>
    <w:rsid w:val="003873B2"/>
    <w:rsid w:val="00390460"/>
    <w:rsid w:val="00390590"/>
    <w:rsid w:val="0039073D"/>
    <w:rsid w:val="00390A5B"/>
    <w:rsid w:val="00391110"/>
    <w:rsid w:val="00392E83"/>
    <w:rsid w:val="00392F5A"/>
    <w:rsid w:val="00393268"/>
    <w:rsid w:val="003969D6"/>
    <w:rsid w:val="00396B4F"/>
    <w:rsid w:val="00396C2A"/>
    <w:rsid w:val="00397127"/>
    <w:rsid w:val="003B1C65"/>
    <w:rsid w:val="003B31E2"/>
    <w:rsid w:val="003B3AF2"/>
    <w:rsid w:val="003B74C0"/>
    <w:rsid w:val="003C09FC"/>
    <w:rsid w:val="003C2796"/>
    <w:rsid w:val="003C3FF1"/>
    <w:rsid w:val="003C46EB"/>
    <w:rsid w:val="003C583F"/>
    <w:rsid w:val="003C7253"/>
    <w:rsid w:val="003C7D44"/>
    <w:rsid w:val="003D1820"/>
    <w:rsid w:val="003D2E21"/>
    <w:rsid w:val="003D3233"/>
    <w:rsid w:val="003D375D"/>
    <w:rsid w:val="003D5A36"/>
    <w:rsid w:val="003D5BD6"/>
    <w:rsid w:val="003E0BDC"/>
    <w:rsid w:val="003E3F0F"/>
    <w:rsid w:val="003E4ADD"/>
    <w:rsid w:val="003E6C3A"/>
    <w:rsid w:val="003E7026"/>
    <w:rsid w:val="003F4AC2"/>
    <w:rsid w:val="003F5704"/>
    <w:rsid w:val="003F5995"/>
    <w:rsid w:val="003F5E05"/>
    <w:rsid w:val="003F6A26"/>
    <w:rsid w:val="0040079B"/>
    <w:rsid w:val="004015D1"/>
    <w:rsid w:val="0040186C"/>
    <w:rsid w:val="00402A16"/>
    <w:rsid w:val="00402E6E"/>
    <w:rsid w:val="00402F38"/>
    <w:rsid w:val="004044E1"/>
    <w:rsid w:val="00411286"/>
    <w:rsid w:val="004141EC"/>
    <w:rsid w:val="0041792B"/>
    <w:rsid w:val="004206CC"/>
    <w:rsid w:val="004220A2"/>
    <w:rsid w:val="004222E1"/>
    <w:rsid w:val="004226CA"/>
    <w:rsid w:val="00422FB0"/>
    <w:rsid w:val="0042329F"/>
    <w:rsid w:val="0042343C"/>
    <w:rsid w:val="004236E8"/>
    <w:rsid w:val="00423CDB"/>
    <w:rsid w:val="00424752"/>
    <w:rsid w:val="00425588"/>
    <w:rsid w:val="00425B76"/>
    <w:rsid w:val="00425CDB"/>
    <w:rsid w:val="004278FF"/>
    <w:rsid w:val="00427E58"/>
    <w:rsid w:val="00430384"/>
    <w:rsid w:val="004303D0"/>
    <w:rsid w:val="0043174C"/>
    <w:rsid w:val="004321BC"/>
    <w:rsid w:val="00432AB5"/>
    <w:rsid w:val="00432D4B"/>
    <w:rsid w:val="00432F6D"/>
    <w:rsid w:val="0043318C"/>
    <w:rsid w:val="004338EC"/>
    <w:rsid w:val="00435B1A"/>
    <w:rsid w:val="00436DEF"/>
    <w:rsid w:val="00437BF7"/>
    <w:rsid w:val="00437EF8"/>
    <w:rsid w:val="00440ADD"/>
    <w:rsid w:val="00441E66"/>
    <w:rsid w:val="004422E7"/>
    <w:rsid w:val="004425AB"/>
    <w:rsid w:val="004439AA"/>
    <w:rsid w:val="00443B56"/>
    <w:rsid w:val="00444D82"/>
    <w:rsid w:val="00445EE6"/>
    <w:rsid w:val="00446BFD"/>
    <w:rsid w:val="00446C59"/>
    <w:rsid w:val="00446DD4"/>
    <w:rsid w:val="00450A50"/>
    <w:rsid w:val="00450C1E"/>
    <w:rsid w:val="004516DC"/>
    <w:rsid w:val="00451757"/>
    <w:rsid w:val="00451903"/>
    <w:rsid w:val="0045200B"/>
    <w:rsid w:val="00452A5B"/>
    <w:rsid w:val="00454382"/>
    <w:rsid w:val="0045594A"/>
    <w:rsid w:val="00456F86"/>
    <w:rsid w:val="0045718F"/>
    <w:rsid w:val="004577C8"/>
    <w:rsid w:val="00457E5D"/>
    <w:rsid w:val="00461531"/>
    <w:rsid w:val="0046177F"/>
    <w:rsid w:val="00462701"/>
    <w:rsid w:val="00462DE0"/>
    <w:rsid w:val="00463AD8"/>
    <w:rsid w:val="0046700E"/>
    <w:rsid w:val="00467297"/>
    <w:rsid w:val="0046753C"/>
    <w:rsid w:val="00470106"/>
    <w:rsid w:val="004712F8"/>
    <w:rsid w:val="00473404"/>
    <w:rsid w:val="00473A5E"/>
    <w:rsid w:val="004744C8"/>
    <w:rsid w:val="004747CF"/>
    <w:rsid w:val="004765A8"/>
    <w:rsid w:val="004768D6"/>
    <w:rsid w:val="00480528"/>
    <w:rsid w:val="00482B08"/>
    <w:rsid w:val="004837CD"/>
    <w:rsid w:val="00484130"/>
    <w:rsid w:val="004863E8"/>
    <w:rsid w:val="004878EE"/>
    <w:rsid w:val="00492459"/>
    <w:rsid w:val="00492B07"/>
    <w:rsid w:val="0049327E"/>
    <w:rsid w:val="00493FE9"/>
    <w:rsid w:val="004945BF"/>
    <w:rsid w:val="00495EA2"/>
    <w:rsid w:val="004967F7"/>
    <w:rsid w:val="00496828"/>
    <w:rsid w:val="0049690D"/>
    <w:rsid w:val="00496FBF"/>
    <w:rsid w:val="00497203"/>
    <w:rsid w:val="00497BDA"/>
    <w:rsid w:val="004A25BF"/>
    <w:rsid w:val="004A59AB"/>
    <w:rsid w:val="004A66DD"/>
    <w:rsid w:val="004A7B53"/>
    <w:rsid w:val="004B011C"/>
    <w:rsid w:val="004B05E1"/>
    <w:rsid w:val="004B0B75"/>
    <w:rsid w:val="004B23A4"/>
    <w:rsid w:val="004B2622"/>
    <w:rsid w:val="004B4900"/>
    <w:rsid w:val="004B69A3"/>
    <w:rsid w:val="004B7FC9"/>
    <w:rsid w:val="004C0B9B"/>
    <w:rsid w:val="004C3848"/>
    <w:rsid w:val="004C4548"/>
    <w:rsid w:val="004C461F"/>
    <w:rsid w:val="004C51CA"/>
    <w:rsid w:val="004C589E"/>
    <w:rsid w:val="004C62E6"/>
    <w:rsid w:val="004C73CB"/>
    <w:rsid w:val="004C7F15"/>
    <w:rsid w:val="004D4440"/>
    <w:rsid w:val="004D48C4"/>
    <w:rsid w:val="004D7BF1"/>
    <w:rsid w:val="004E0D3D"/>
    <w:rsid w:val="004E2A8A"/>
    <w:rsid w:val="004E47BC"/>
    <w:rsid w:val="004E7C86"/>
    <w:rsid w:val="004F02F3"/>
    <w:rsid w:val="004F0765"/>
    <w:rsid w:val="004F0BAF"/>
    <w:rsid w:val="004F3DA4"/>
    <w:rsid w:val="004F3E0B"/>
    <w:rsid w:val="004F4BD8"/>
    <w:rsid w:val="004F6AE4"/>
    <w:rsid w:val="004F76AA"/>
    <w:rsid w:val="004F7A1E"/>
    <w:rsid w:val="005002D1"/>
    <w:rsid w:val="005010CB"/>
    <w:rsid w:val="00502BBF"/>
    <w:rsid w:val="00503A7E"/>
    <w:rsid w:val="005046CE"/>
    <w:rsid w:val="00504A26"/>
    <w:rsid w:val="00505102"/>
    <w:rsid w:val="00505BFB"/>
    <w:rsid w:val="005068A5"/>
    <w:rsid w:val="005072B6"/>
    <w:rsid w:val="0051180F"/>
    <w:rsid w:val="005126E1"/>
    <w:rsid w:val="00512DB7"/>
    <w:rsid w:val="00512F9C"/>
    <w:rsid w:val="00512FCD"/>
    <w:rsid w:val="00513340"/>
    <w:rsid w:val="0051338A"/>
    <w:rsid w:val="005163D6"/>
    <w:rsid w:val="00516431"/>
    <w:rsid w:val="005168F9"/>
    <w:rsid w:val="00517F65"/>
    <w:rsid w:val="0052080F"/>
    <w:rsid w:val="00522B88"/>
    <w:rsid w:val="00524A8C"/>
    <w:rsid w:val="00524F19"/>
    <w:rsid w:val="00524FAE"/>
    <w:rsid w:val="00526D37"/>
    <w:rsid w:val="005300F7"/>
    <w:rsid w:val="00532AF6"/>
    <w:rsid w:val="00532EC6"/>
    <w:rsid w:val="00532F55"/>
    <w:rsid w:val="005344D7"/>
    <w:rsid w:val="00536E6B"/>
    <w:rsid w:val="00537EAD"/>
    <w:rsid w:val="00540A60"/>
    <w:rsid w:val="0054779F"/>
    <w:rsid w:val="005534EB"/>
    <w:rsid w:val="00553786"/>
    <w:rsid w:val="005571AB"/>
    <w:rsid w:val="0055749F"/>
    <w:rsid w:val="00557915"/>
    <w:rsid w:val="00557DE5"/>
    <w:rsid w:val="00562672"/>
    <w:rsid w:val="00562A00"/>
    <w:rsid w:val="00562FBB"/>
    <w:rsid w:val="005661CE"/>
    <w:rsid w:val="0056741F"/>
    <w:rsid w:val="005711C3"/>
    <w:rsid w:val="00571CEC"/>
    <w:rsid w:val="00573032"/>
    <w:rsid w:val="005736A5"/>
    <w:rsid w:val="00576164"/>
    <w:rsid w:val="00576CA4"/>
    <w:rsid w:val="00576F9C"/>
    <w:rsid w:val="00580F3C"/>
    <w:rsid w:val="00582F8C"/>
    <w:rsid w:val="005830EC"/>
    <w:rsid w:val="005831F2"/>
    <w:rsid w:val="005833EF"/>
    <w:rsid w:val="0058344C"/>
    <w:rsid w:val="00583EDF"/>
    <w:rsid w:val="005847A3"/>
    <w:rsid w:val="00585351"/>
    <w:rsid w:val="005879B5"/>
    <w:rsid w:val="00587BCA"/>
    <w:rsid w:val="005916BD"/>
    <w:rsid w:val="00591A9D"/>
    <w:rsid w:val="005922D3"/>
    <w:rsid w:val="0059257E"/>
    <w:rsid w:val="00592D23"/>
    <w:rsid w:val="00594AE9"/>
    <w:rsid w:val="00594E9E"/>
    <w:rsid w:val="00595D29"/>
    <w:rsid w:val="00595E1D"/>
    <w:rsid w:val="005967F9"/>
    <w:rsid w:val="00596C20"/>
    <w:rsid w:val="00596CA8"/>
    <w:rsid w:val="00596F2F"/>
    <w:rsid w:val="00596F3A"/>
    <w:rsid w:val="005A1AB1"/>
    <w:rsid w:val="005A1BAD"/>
    <w:rsid w:val="005A2831"/>
    <w:rsid w:val="005A334C"/>
    <w:rsid w:val="005A4955"/>
    <w:rsid w:val="005A57FC"/>
    <w:rsid w:val="005A61FF"/>
    <w:rsid w:val="005A747B"/>
    <w:rsid w:val="005B1FAC"/>
    <w:rsid w:val="005B237E"/>
    <w:rsid w:val="005B330C"/>
    <w:rsid w:val="005B4A2F"/>
    <w:rsid w:val="005B5EF4"/>
    <w:rsid w:val="005B6F25"/>
    <w:rsid w:val="005B74D5"/>
    <w:rsid w:val="005B7DF5"/>
    <w:rsid w:val="005C0748"/>
    <w:rsid w:val="005C2482"/>
    <w:rsid w:val="005C5616"/>
    <w:rsid w:val="005C7D02"/>
    <w:rsid w:val="005D0372"/>
    <w:rsid w:val="005D1374"/>
    <w:rsid w:val="005D23D5"/>
    <w:rsid w:val="005D4C2A"/>
    <w:rsid w:val="005D6329"/>
    <w:rsid w:val="005D65CE"/>
    <w:rsid w:val="005E011A"/>
    <w:rsid w:val="005E2C11"/>
    <w:rsid w:val="005E3111"/>
    <w:rsid w:val="005E58F1"/>
    <w:rsid w:val="005E6AB3"/>
    <w:rsid w:val="005F0D48"/>
    <w:rsid w:val="005F10AC"/>
    <w:rsid w:val="005F2D02"/>
    <w:rsid w:val="005F3851"/>
    <w:rsid w:val="005F4EDA"/>
    <w:rsid w:val="005F584C"/>
    <w:rsid w:val="0060019F"/>
    <w:rsid w:val="00600BA0"/>
    <w:rsid w:val="00601DA1"/>
    <w:rsid w:val="00602D14"/>
    <w:rsid w:val="00603364"/>
    <w:rsid w:val="0060354A"/>
    <w:rsid w:val="00603891"/>
    <w:rsid w:val="00604498"/>
    <w:rsid w:val="00605BD1"/>
    <w:rsid w:val="00610CA5"/>
    <w:rsid w:val="00611596"/>
    <w:rsid w:val="00611CFD"/>
    <w:rsid w:val="00612238"/>
    <w:rsid w:val="006124D3"/>
    <w:rsid w:val="00613A41"/>
    <w:rsid w:val="00616389"/>
    <w:rsid w:val="00616CCE"/>
    <w:rsid w:val="00616FA3"/>
    <w:rsid w:val="00616FBE"/>
    <w:rsid w:val="00617E37"/>
    <w:rsid w:val="00620552"/>
    <w:rsid w:val="006206B6"/>
    <w:rsid w:val="006217ED"/>
    <w:rsid w:val="006218B4"/>
    <w:rsid w:val="00623647"/>
    <w:rsid w:val="00624D2B"/>
    <w:rsid w:val="00625846"/>
    <w:rsid w:val="0062657F"/>
    <w:rsid w:val="0062669D"/>
    <w:rsid w:val="00633179"/>
    <w:rsid w:val="0063360B"/>
    <w:rsid w:val="00634510"/>
    <w:rsid w:val="0063504D"/>
    <w:rsid w:val="0063513D"/>
    <w:rsid w:val="00635BB5"/>
    <w:rsid w:val="00635BBD"/>
    <w:rsid w:val="006361B1"/>
    <w:rsid w:val="00640377"/>
    <w:rsid w:val="00641E57"/>
    <w:rsid w:val="00642019"/>
    <w:rsid w:val="00642DF6"/>
    <w:rsid w:val="006455A7"/>
    <w:rsid w:val="0064607D"/>
    <w:rsid w:val="00647EE4"/>
    <w:rsid w:val="006516C7"/>
    <w:rsid w:val="00653AB1"/>
    <w:rsid w:val="00654419"/>
    <w:rsid w:val="0066083B"/>
    <w:rsid w:val="006610CE"/>
    <w:rsid w:val="00665162"/>
    <w:rsid w:val="00667207"/>
    <w:rsid w:val="0066766D"/>
    <w:rsid w:val="006708A0"/>
    <w:rsid w:val="00670928"/>
    <w:rsid w:val="00670D01"/>
    <w:rsid w:val="00672325"/>
    <w:rsid w:val="00672470"/>
    <w:rsid w:val="006747F9"/>
    <w:rsid w:val="00676B81"/>
    <w:rsid w:val="00677099"/>
    <w:rsid w:val="006771A6"/>
    <w:rsid w:val="00680149"/>
    <w:rsid w:val="0068198C"/>
    <w:rsid w:val="00685809"/>
    <w:rsid w:val="00687DEC"/>
    <w:rsid w:val="00690ACD"/>
    <w:rsid w:val="00690FEE"/>
    <w:rsid w:val="006927E1"/>
    <w:rsid w:val="006934DD"/>
    <w:rsid w:val="00694D1C"/>
    <w:rsid w:val="00695900"/>
    <w:rsid w:val="00696A5C"/>
    <w:rsid w:val="006A189E"/>
    <w:rsid w:val="006A3B66"/>
    <w:rsid w:val="006A3DF9"/>
    <w:rsid w:val="006A5A28"/>
    <w:rsid w:val="006A7A25"/>
    <w:rsid w:val="006B0066"/>
    <w:rsid w:val="006B064D"/>
    <w:rsid w:val="006B1C5B"/>
    <w:rsid w:val="006B4BCF"/>
    <w:rsid w:val="006B534B"/>
    <w:rsid w:val="006B694D"/>
    <w:rsid w:val="006C10A0"/>
    <w:rsid w:val="006C2820"/>
    <w:rsid w:val="006C321B"/>
    <w:rsid w:val="006C586B"/>
    <w:rsid w:val="006C7ABF"/>
    <w:rsid w:val="006C7FA0"/>
    <w:rsid w:val="006C7FD7"/>
    <w:rsid w:val="006D2CFB"/>
    <w:rsid w:val="006D3A4B"/>
    <w:rsid w:val="006D4630"/>
    <w:rsid w:val="006D4931"/>
    <w:rsid w:val="006D4DE6"/>
    <w:rsid w:val="006D5B61"/>
    <w:rsid w:val="006D62CB"/>
    <w:rsid w:val="006D652B"/>
    <w:rsid w:val="006D6AFA"/>
    <w:rsid w:val="006D6F3B"/>
    <w:rsid w:val="006E0D3B"/>
    <w:rsid w:val="006E2B7F"/>
    <w:rsid w:val="006E33B0"/>
    <w:rsid w:val="006E4677"/>
    <w:rsid w:val="006E5844"/>
    <w:rsid w:val="006E747C"/>
    <w:rsid w:val="006F06E2"/>
    <w:rsid w:val="006F1765"/>
    <w:rsid w:val="006F1AB5"/>
    <w:rsid w:val="006F3C2A"/>
    <w:rsid w:val="006F3E85"/>
    <w:rsid w:val="006F44EE"/>
    <w:rsid w:val="006F4956"/>
    <w:rsid w:val="006F59DA"/>
    <w:rsid w:val="006F5F56"/>
    <w:rsid w:val="00700103"/>
    <w:rsid w:val="00700AC3"/>
    <w:rsid w:val="0070166B"/>
    <w:rsid w:val="007019E2"/>
    <w:rsid w:val="00702246"/>
    <w:rsid w:val="00703992"/>
    <w:rsid w:val="00704176"/>
    <w:rsid w:val="00704353"/>
    <w:rsid w:val="00704A2B"/>
    <w:rsid w:val="00704BA6"/>
    <w:rsid w:val="00704E3B"/>
    <w:rsid w:val="00704F94"/>
    <w:rsid w:val="007076E6"/>
    <w:rsid w:val="007106F8"/>
    <w:rsid w:val="00710E46"/>
    <w:rsid w:val="0071156A"/>
    <w:rsid w:val="0071157D"/>
    <w:rsid w:val="00712EBD"/>
    <w:rsid w:val="00714932"/>
    <w:rsid w:val="0071625E"/>
    <w:rsid w:val="00716BE9"/>
    <w:rsid w:val="007176A8"/>
    <w:rsid w:val="00721F7F"/>
    <w:rsid w:val="00723A9E"/>
    <w:rsid w:val="00725AB6"/>
    <w:rsid w:val="00725BBA"/>
    <w:rsid w:val="00726011"/>
    <w:rsid w:val="007271B7"/>
    <w:rsid w:val="00727B86"/>
    <w:rsid w:val="00731992"/>
    <w:rsid w:val="0073227C"/>
    <w:rsid w:val="00732884"/>
    <w:rsid w:val="00734384"/>
    <w:rsid w:val="007344C5"/>
    <w:rsid w:val="0073452B"/>
    <w:rsid w:val="00734FD2"/>
    <w:rsid w:val="0073669C"/>
    <w:rsid w:val="00737375"/>
    <w:rsid w:val="00737A22"/>
    <w:rsid w:val="00737A86"/>
    <w:rsid w:val="00737E6B"/>
    <w:rsid w:val="0074273C"/>
    <w:rsid w:val="007429BA"/>
    <w:rsid w:val="00744636"/>
    <w:rsid w:val="00744837"/>
    <w:rsid w:val="007450A6"/>
    <w:rsid w:val="0074574A"/>
    <w:rsid w:val="00747612"/>
    <w:rsid w:val="00753BB3"/>
    <w:rsid w:val="00754AEF"/>
    <w:rsid w:val="00754B97"/>
    <w:rsid w:val="00755C46"/>
    <w:rsid w:val="007565F8"/>
    <w:rsid w:val="007579B4"/>
    <w:rsid w:val="00760837"/>
    <w:rsid w:val="00760971"/>
    <w:rsid w:val="0076147A"/>
    <w:rsid w:val="007614CC"/>
    <w:rsid w:val="00761D1D"/>
    <w:rsid w:val="00765939"/>
    <w:rsid w:val="00765F93"/>
    <w:rsid w:val="00767656"/>
    <w:rsid w:val="00767FE9"/>
    <w:rsid w:val="00771774"/>
    <w:rsid w:val="00772C9D"/>
    <w:rsid w:val="007739C0"/>
    <w:rsid w:val="00780ACF"/>
    <w:rsid w:val="00780EE0"/>
    <w:rsid w:val="00783FD8"/>
    <w:rsid w:val="00785E73"/>
    <w:rsid w:val="0078677A"/>
    <w:rsid w:val="00787482"/>
    <w:rsid w:val="00787592"/>
    <w:rsid w:val="00787C46"/>
    <w:rsid w:val="00790097"/>
    <w:rsid w:val="00791645"/>
    <w:rsid w:val="0079252B"/>
    <w:rsid w:val="007935D9"/>
    <w:rsid w:val="00794337"/>
    <w:rsid w:val="00795964"/>
    <w:rsid w:val="00795B11"/>
    <w:rsid w:val="00795D03"/>
    <w:rsid w:val="00795FAA"/>
    <w:rsid w:val="007969F8"/>
    <w:rsid w:val="0079788A"/>
    <w:rsid w:val="00797B23"/>
    <w:rsid w:val="007A059B"/>
    <w:rsid w:val="007A07F2"/>
    <w:rsid w:val="007A0909"/>
    <w:rsid w:val="007A185A"/>
    <w:rsid w:val="007A1FA3"/>
    <w:rsid w:val="007A203B"/>
    <w:rsid w:val="007A203E"/>
    <w:rsid w:val="007A27C9"/>
    <w:rsid w:val="007A33CD"/>
    <w:rsid w:val="007A3406"/>
    <w:rsid w:val="007A3B8C"/>
    <w:rsid w:val="007A43A8"/>
    <w:rsid w:val="007A43D1"/>
    <w:rsid w:val="007A4976"/>
    <w:rsid w:val="007A64A6"/>
    <w:rsid w:val="007A7F27"/>
    <w:rsid w:val="007B13FC"/>
    <w:rsid w:val="007B2420"/>
    <w:rsid w:val="007B288A"/>
    <w:rsid w:val="007B2C6B"/>
    <w:rsid w:val="007B4408"/>
    <w:rsid w:val="007B46E0"/>
    <w:rsid w:val="007B59F7"/>
    <w:rsid w:val="007B60AD"/>
    <w:rsid w:val="007B627D"/>
    <w:rsid w:val="007B701A"/>
    <w:rsid w:val="007B72D8"/>
    <w:rsid w:val="007C1AAF"/>
    <w:rsid w:val="007C1D8F"/>
    <w:rsid w:val="007C47E2"/>
    <w:rsid w:val="007C612F"/>
    <w:rsid w:val="007C7731"/>
    <w:rsid w:val="007C7A19"/>
    <w:rsid w:val="007D0106"/>
    <w:rsid w:val="007D22CA"/>
    <w:rsid w:val="007D2B02"/>
    <w:rsid w:val="007D4ED3"/>
    <w:rsid w:val="007D589B"/>
    <w:rsid w:val="007E1449"/>
    <w:rsid w:val="007E15FD"/>
    <w:rsid w:val="007E17F6"/>
    <w:rsid w:val="007E3429"/>
    <w:rsid w:val="007E3C86"/>
    <w:rsid w:val="007E49D8"/>
    <w:rsid w:val="007E5E1D"/>
    <w:rsid w:val="007E6A5A"/>
    <w:rsid w:val="007E6E4E"/>
    <w:rsid w:val="007F0DE0"/>
    <w:rsid w:val="007F18BE"/>
    <w:rsid w:val="007F4372"/>
    <w:rsid w:val="007F4D28"/>
    <w:rsid w:val="007F5154"/>
    <w:rsid w:val="007F5871"/>
    <w:rsid w:val="007F5E78"/>
    <w:rsid w:val="007F756D"/>
    <w:rsid w:val="007F797D"/>
    <w:rsid w:val="007F7B30"/>
    <w:rsid w:val="00800291"/>
    <w:rsid w:val="00800DCF"/>
    <w:rsid w:val="00801055"/>
    <w:rsid w:val="008041E2"/>
    <w:rsid w:val="00805206"/>
    <w:rsid w:val="0080534B"/>
    <w:rsid w:val="00805759"/>
    <w:rsid w:val="008059F3"/>
    <w:rsid w:val="00805EE9"/>
    <w:rsid w:val="008071C5"/>
    <w:rsid w:val="00811D37"/>
    <w:rsid w:val="00812095"/>
    <w:rsid w:val="00814F9D"/>
    <w:rsid w:val="0081566D"/>
    <w:rsid w:val="00815C26"/>
    <w:rsid w:val="008163FD"/>
    <w:rsid w:val="0081672F"/>
    <w:rsid w:val="0081691E"/>
    <w:rsid w:val="00816FC3"/>
    <w:rsid w:val="008208D7"/>
    <w:rsid w:val="0082118F"/>
    <w:rsid w:val="00821430"/>
    <w:rsid w:val="008227EE"/>
    <w:rsid w:val="00823EBF"/>
    <w:rsid w:val="008244DE"/>
    <w:rsid w:val="00824893"/>
    <w:rsid w:val="00825091"/>
    <w:rsid w:val="00825358"/>
    <w:rsid w:val="00826482"/>
    <w:rsid w:val="00826C6E"/>
    <w:rsid w:val="00827138"/>
    <w:rsid w:val="00827286"/>
    <w:rsid w:val="00830A93"/>
    <w:rsid w:val="0083294F"/>
    <w:rsid w:val="00833128"/>
    <w:rsid w:val="008332DC"/>
    <w:rsid w:val="00833C57"/>
    <w:rsid w:val="00833CFC"/>
    <w:rsid w:val="00833E24"/>
    <w:rsid w:val="00834A77"/>
    <w:rsid w:val="008354A8"/>
    <w:rsid w:val="00837105"/>
    <w:rsid w:val="00837130"/>
    <w:rsid w:val="00840391"/>
    <w:rsid w:val="008435C9"/>
    <w:rsid w:val="00844588"/>
    <w:rsid w:val="0084554E"/>
    <w:rsid w:val="0084721E"/>
    <w:rsid w:val="00847459"/>
    <w:rsid w:val="00847640"/>
    <w:rsid w:val="0085190E"/>
    <w:rsid w:val="00852E9E"/>
    <w:rsid w:val="00853F65"/>
    <w:rsid w:val="00854B4C"/>
    <w:rsid w:val="008555FA"/>
    <w:rsid w:val="00855ADB"/>
    <w:rsid w:val="00856273"/>
    <w:rsid w:val="00856E9C"/>
    <w:rsid w:val="0085756B"/>
    <w:rsid w:val="00857EC2"/>
    <w:rsid w:val="00861774"/>
    <w:rsid w:val="00861B0E"/>
    <w:rsid w:val="00861C29"/>
    <w:rsid w:val="008627B2"/>
    <w:rsid w:val="00864632"/>
    <w:rsid w:val="008653C9"/>
    <w:rsid w:val="00865E7D"/>
    <w:rsid w:val="0086740C"/>
    <w:rsid w:val="00867F04"/>
    <w:rsid w:val="00867F84"/>
    <w:rsid w:val="008715E5"/>
    <w:rsid w:val="00871DA3"/>
    <w:rsid w:val="008724DD"/>
    <w:rsid w:val="00872520"/>
    <w:rsid w:val="00873E29"/>
    <w:rsid w:val="00875E84"/>
    <w:rsid w:val="00876900"/>
    <w:rsid w:val="008770A0"/>
    <w:rsid w:val="00880C78"/>
    <w:rsid w:val="00881684"/>
    <w:rsid w:val="0088186C"/>
    <w:rsid w:val="00882566"/>
    <w:rsid w:val="00883865"/>
    <w:rsid w:val="00884A29"/>
    <w:rsid w:val="0088535D"/>
    <w:rsid w:val="00885B55"/>
    <w:rsid w:val="0088691D"/>
    <w:rsid w:val="008902E2"/>
    <w:rsid w:val="008922D0"/>
    <w:rsid w:val="00892E01"/>
    <w:rsid w:val="00893D40"/>
    <w:rsid w:val="00895342"/>
    <w:rsid w:val="00897B66"/>
    <w:rsid w:val="008A0431"/>
    <w:rsid w:val="008A0CFB"/>
    <w:rsid w:val="008A0D9D"/>
    <w:rsid w:val="008A4179"/>
    <w:rsid w:val="008A42D6"/>
    <w:rsid w:val="008A4303"/>
    <w:rsid w:val="008A510E"/>
    <w:rsid w:val="008A5741"/>
    <w:rsid w:val="008A58A8"/>
    <w:rsid w:val="008A6CD8"/>
    <w:rsid w:val="008B00AF"/>
    <w:rsid w:val="008B1775"/>
    <w:rsid w:val="008B25B2"/>
    <w:rsid w:val="008B2CF8"/>
    <w:rsid w:val="008B392E"/>
    <w:rsid w:val="008B3AD6"/>
    <w:rsid w:val="008B42BC"/>
    <w:rsid w:val="008B485F"/>
    <w:rsid w:val="008B60C5"/>
    <w:rsid w:val="008B6E2C"/>
    <w:rsid w:val="008B76A9"/>
    <w:rsid w:val="008B7A32"/>
    <w:rsid w:val="008B7E66"/>
    <w:rsid w:val="008C1668"/>
    <w:rsid w:val="008C1735"/>
    <w:rsid w:val="008C18DB"/>
    <w:rsid w:val="008C2561"/>
    <w:rsid w:val="008C5E40"/>
    <w:rsid w:val="008C6FBD"/>
    <w:rsid w:val="008C7EAF"/>
    <w:rsid w:val="008D02A4"/>
    <w:rsid w:val="008D0544"/>
    <w:rsid w:val="008D0A21"/>
    <w:rsid w:val="008D0A60"/>
    <w:rsid w:val="008D15D7"/>
    <w:rsid w:val="008D454D"/>
    <w:rsid w:val="008D4FEC"/>
    <w:rsid w:val="008D5828"/>
    <w:rsid w:val="008D59D7"/>
    <w:rsid w:val="008D7A95"/>
    <w:rsid w:val="008E03F1"/>
    <w:rsid w:val="008E055B"/>
    <w:rsid w:val="008E22A4"/>
    <w:rsid w:val="008E2B62"/>
    <w:rsid w:val="008E588C"/>
    <w:rsid w:val="008E5FEE"/>
    <w:rsid w:val="008E6A54"/>
    <w:rsid w:val="008F00CE"/>
    <w:rsid w:val="008F0B9E"/>
    <w:rsid w:val="008F0BE0"/>
    <w:rsid w:val="008F17B6"/>
    <w:rsid w:val="008F221B"/>
    <w:rsid w:val="008F28C2"/>
    <w:rsid w:val="008F2C55"/>
    <w:rsid w:val="00900F8D"/>
    <w:rsid w:val="00902534"/>
    <w:rsid w:val="0090254B"/>
    <w:rsid w:val="009034C2"/>
    <w:rsid w:val="009036B5"/>
    <w:rsid w:val="00903750"/>
    <w:rsid w:val="0090450C"/>
    <w:rsid w:val="009045D6"/>
    <w:rsid w:val="00905104"/>
    <w:rsid w:val="00905886"/>
    <w:rsid w:val="00905B70"/>
    <w:rsid w:val="00906B5E"/>
    <w:rsid w:val="00906B8B"/>
    <w:rsid w:val="00910B0B"/>
    <w:rsid w:val="00910DD4"/>
    <w:rsid w:val="009112A3"/>
    <w:rsid w:val="009132DE"/>
    <w:rsid w:val="009135FD"/>
    <w:rsid w:val="0091381E"/>
    <w:rsid w:val="00914B62"/>
    <w:rsid w:val="00920597"/>
    <w:rsid w:val="00920786"/>
    <w:rsid w:val="00920961"/>
    <w:rsid w:val="00920AFC"/>
    <w:rsid w:val="00920EE5"/>
    <w:rsid w:val="00921D5D"/>
    <w:rsid w:val="00924A42"/>
    <w:rsid w:val="00927DAC"/>
    <w:rsid w:val="009308D5"/>
    <w:rsid w:val="009332F5"/>
    <w:rsid w:val="00933D10"/>
    <w:rsid w:val="00935996"/>
    <w:rsid w:val="00935F77"/>
    <w:rsid w:val="00937EBE"/>
    <w:rsid w:val="00940A2B"/>
    <w:rsid w:val="00943D05"/>
    <w:rsid w:val="00944F13"/>
    <w:rsid w:val="009460C0"/>
    <w:rsid w:val="00946A1B"/>
    <w:rsid w:val="00946B67"/>
    <w:rsid w:val="00947B84"/>
    <w:rsid w:val="00947C73"/>
    <w:rsid w:val="00947F23"/>
    <w:rsid w:val="009507CB"/>
    <w:rsid w:val="0095519D"/>
    <w:rsid w:val="00955607"/>
    <w:rsid w:val="009577AF"/>
    <w:rsid w:val="00960544"/>
    <w:rsid w:val="00962C74"/>
    <w:rsid w:val="00963FA5"/>
    <w:rsid w:val="00964865"/>
    <w:rsid w:val="009653A9"/>
    <w:rsid w:val="0096581A"/>
    <w:rsid w:val="00965C47"/>
    <w:rsid w:val="009660AF"/>
    <w:rsid w:val="009663B7"/>
    <w:rsid w:val="009671E3"/>
    <w:rsid w:val="0096772F"/>
    <w:rsid w:val="00967C3E"/>
    <w:rsid w:val="00967DA0"/>
    <w:rsid w:val="009703DF"/>
    <w:rsid w:val="009704B2"/>
    <w:rsid w:val="00970B89"/>
    <w:rsid w:val="0097198D"/>
    <w:rsid w:val="00971DC3"/>
    <w:rsid w:val="00974368"/>
    <w:rsid w:val="00975ED0"/>
    <w:rsid w:val="00976056"/>
    <w:rsid w:val="009762B1"/>
    <w:rsid w:val="00977C47"/>
    <w:rsid w:val="00980F33"/>
    <w:rsid w:val="0098200B"/>
    <w:rsid w:val="00982D07"/>
    <w:rsid w:val="00983023"/>
    <w:rsid w:val="00983BD1"/>
    <w:rsid w:val="00983EE8"/>
    <w:rsid w:val="00983FC8"/>
    <w:rsid w:val="00984910"/>
    <w:rsid w:val="0099088E"/>
    <w:rsid w:val="00990F4F"/>
    <w:rsid w:val="009918D7"/>
    <w:rsid w:val="00991902"/>
    <w:rsid w:val="00992C64"/>
    <w:rsid w:val="00992F26"/>
    <w:rsid w:val="009931EE"/>
    <w:rsid w:val="009945F6"/>
    <w:rsid w:val="0099788C"/>
    <w:rsid w:val="009A0D13"/>
    <w:rsid w:val="009A3461"/>
    <w:rsid w:val="009A59AD"/>
    <w:rsid w:val="009A681D"/>
    <w:rsid w:val="009A7915"/>
    <w:rsid w:val="009B22FB"/>
    <w:rsid w:val="009B2805"/>
    <w:rsid w:val="009B29BB"/>
    <w:rsid w:val="009B2A66"/>
    <w:rsid w:val="009B369A"/>
    <w:rsid w:val="009B5363"/>
    <w:rsid w:val="009B5839"/>
    <w:rsid w:val="009B5D68"/>
    <w:rsid w:val="009B6136"/>
    <w:rsid w:val="009B6CE7"/>
    <w:rsid w:val="009C0729"/>
    <w:rsid w:val="009C08D4"/>
    <w:rsid w:val="009D0409"/>
    <w:rsid w:val="009D205F"/>
    <w:rsid w:val="009D2AC5"/>
    <w:rsid w:val="009D3A71"/>
    <w:rsid w:val="009D6286"/>
    <w:rsid w:val="009D702A"/>
    <w:rsid w:val="009D7180"/>
    <w:rsid w:val="009E0F48"/>
    <w:rsid w:val="009E2D99"/>
    <w:rsid w:val="009E3611"/>
    <w:rsid w:val="009E3DF2"/>
    <w:rsid w:val="009E42BA"/>
    <w:rsid w:val="009E7356"/>
    <w:rsid w:val="009E7FB5"/>
    <w:rsid w:val="009F0657"/>
    <w:rsid w:val="009F07B9"/>
    <w:rsid w:val="009F2100"/>
    <w:rsid w:val="009F2CC8"/>
    <w:rsid w:val="009F4571"/>
    <w:rsid w:val="009F4EC3"/>
    <w:rsid w:val="009F67B9"/>
    <w:rsid w:val="009F719F"/>
    <w:rsid w:val="00A00101"/>
    <w:rsid w:val="00A0083B"/>
    <w:rsid w:val="00A00F59"/>
    <w:rsid w:val="00A01B0B"/>
    <w:rsid w:val="00A02CBB"/>
    <w:rsid w:val="00A03CAD"/>
    <w:rsid w:val="00A0493D"/>
    <w:rsid w:val="00A052E9"/>
    <w:rsid w:val="00A05E8F"/>
    <w:rsid w:val="00A0634C"/>
    <w:rsid w:val="00A07A62"/>
    <w:rsid w:val="00A07AC4"/>
    <w:rsid w:val="00A10E2F"/>
    <w:rsid w:val="00A11702"/>
    <w:rsid w:val="00A11DA2"/>
    <w:rsid w:val="00A125D0"/>
    <w:rsid w:val="00A12618"/>
    <w:rsid w:val="00A15034"/>
    <w:rsid w:val="00A1640F"/>
    <w:rsid w:val="00A16DA6"/>
    <w:rsid w:val="00A16F6C"/>
    <w:rsid w:val="00A2089B"/>
    <w:rsid w:val="00A208D7"/>
    <w:rsid w:val="00A24D57"/>
    <w:rsid w:val="00A24E74"/>
    <w:rsid w:val="00A25D06"/>
    <w:rsid w:val="00A25EEC"/>
    <w:rsid w:val="00A26609"/>
    <w:rsid w:val="00A27206"/>
    <w:rsid w:val="00A272B0"/>
    <w:rsid w:val="00A27840"/>
    <w:rsid w:val="00A31CA0"/>
    <w:rsid w:val="00A3320A"/>
    <w:rsid w:val="00A338AF"/>
    <w:rsid w:val="00A35F39"/>
    <w:rsid w:val="00A35FB2"/>
    <w:rsid w:val="00A36746"/>
    <w:rsid w:val="00A36961"/>
    <w:rsid w:val="00A4133F"/>
    <w:rsid w:val="00A41BBF"/>
    <w:rsid w:val="00A43301"/>
    <w:rsid w:val="00A43464"/>
    <w:rsid w:val="00A43930"/>
    <w:rsid w:val="00A44309"/>
    <w:rsid w:val="00A44EEA"/>
    <w:rsid w:val="00A45A02"/>
    <w:rsid w:val="00A475DE"/>
    <w:rsid w:val="00A475EB"/>
    <w:rsid w:val="00A51041"/>
    <w:rsid w:val="00A519BE"/>
    <w:rsid w:val="00A52B7A"/>
    <w:rsid w:val="00A52DB1"/>
    <w:rsid w:val="00A52DD2"/>
    <w:rsid w:val="00A530E9"/>
    <w:rsid w:val="00A5312C"/>
    <w:rsid w:val="00A53193"/>
    <w:rsid w:val="00A53929"/>
    <w:rsid w:val="00A53E46"/>
    <w:rsid w:val="00A54BF3"/>
    <w:rsid w:val="00A56001"/>
    <w:rsid w:val="00A563E8"/>
    <w:rsid w:val="00A563FA"/>
    <w:rsid w:val="00A56439"/>
    <w:rsid w:val="00A608B3"/>
    <w:rsid w:val="00A609C4"/>
    <w:rsid w:val="00A65CE6"/>
    <w:rsid w:val="00A65FBA"/>
    <w:rsid w:val="00A67E35"/>
    <w:rsid w:val="00A70DA6"/>
    <w:rsid w:val="00A74270"/>
    <w:rsid w:val="00A76001"/>
    <w:rsid w:val="00A77024"/>
    <w:rsid w:val="00A77081"/>
    <w:rsid w:val="00A77493"/>
    <w:rsid w:val="00A77B57"/>
    <w:rsid w:val="00A81354"/>
    <w:rsid w:val="00A8160C"/>
    <w:rsid w:val="00A81964"/>
    <w:rsid w:val="00A835FA"/>
    <w:rsid w:val="00A84898"/>
    <w:rsid w:val="00A84D69"/>
    <w:rsid w:val="00A871B0"/>
    <w:rsid w:val="00A90377"/>
    <w:rsid w:val="00A9184C"/>
    <w:rsid w:val="00A934AD"/>
    <w:rsid w:val="00A9452D"/>
    <w:rsid w:val="00A948F6"/>
    <w:rsid w:val="00A95D81"/>
    <w:rsid w:val="00A96164"/>
    <w:rsid w:val="00A96722"/>
    <w:rsid w:val="00A96E4D"/>
    <w:rsid w:val="00A97BFC"/>
    <w:rsid w:val="00AA0C29"/>
    <w:rsid w:val="00AA1D93"/>
    <w:rsid w:val="00AA1E84"/>
    <w:rsid w:val="00AA2BA7"/>
    <w:rsid w:val="00AA7BD4"/>
    <w:rsid w:val="00AA7F7B"/>
    <w:rsid w:val="00AB00BF"/>
    <w:rsid w:val="00AB1BAB"/>
    <w:rsid w:val="00AB32E5"/>
    <w:rsid w:val="00AB60F3"/>
    <w:rsid w:val="00AB6AF1"/>
    <w:rsid w:val="00AB6DB0"/>
    <w:rsid w:val="00AB7045"/>
    <w:rsid w:val="00AB7220"/>
    <w:rsid w:val="00AC0093"/>
    <w:rsid w:val="00AC088C"/>
    <w:rsid w:val="00AC0A49"/>
    <w:rsid w:val="00AC135E"/>
    <w:rsid w:val="00AC165B"/>
    <w:rsid w:val="00AC17F0"/>
    <w:rsid w:val="00AC17FD"/>
    <w:rsid w:val="00AC1947"/>
    <w:rsid w:val="00AC1E42"/>
    <w:rsid w:val="00AC3AC6"/>
    <w:rsid w:val="00AC42DD"/>
    <w:rsid w:val="00AC4CCE"/>
    <w:rsid w:val="00AC60A1"/>
    <w:rsid w:val="00AC6B29"/>
    <w:rsid w:val="00AC7083"/>
    <w:rsid w:val="00AC7539"/>
    <w:rsid w:val="00AD0067"/>
    <w:rsid w:val="00AD42C5"/>
    <w:rsid w:val="00AD4461"/>
    <w:rsid w:val="00AE0847"/>
    <w:rsid w:val="00AE0A39"/>
    <w:rsid w:val="00AE0C2D"/>
    <w:rsid w:val="00AE1389"/>
    <w:rsid w:val="00AE1A2B"/>
    <w:rsid w:val="00AE1ADE"/>
    <w:rsid w:val="00AE1CF6"/>
    <w:rsid w:val="00AE272E"/>
    <w:rsid w:val="00AE4BB0"/>
    <w:rsid w:val="00AE59C2"/>
    <w:rsid w:val="00AE6BAE"/>
    <w:rsid w:val="00AE75B0"/>
    <w:rsid w:val="00AF0A92"/>
    <w:rsid w:val="00AF1056"/>
    <w:rsid w:val="00AF1ED1"/>
    <w:rsid w:val="00AF221E"/>
    <w:rsid w:val="00AF3B11"/>
    <w:rsid w:val="00AF3E7C"/>
    <w:rsid w:val="00AF62FC"/>
    <w:rsid w:val="00AF6976"/>
    <w:rsid w:val="00AF7592"/>
    <w:rsid w:val="00B01BF8"/>
    <w:rsid w:val="00B03EAC"/>
    <w:rsid w:val="00B07DF0"/>
    <w:rsid w:val="00B11B0D"/>
    <w:rsid w:val="00B11CC9"/>
    <w:rsid w:val="00B13D41"/>
    <w:rsid w:val="00B143C0"/>
    <w:rsid w:val="00B1645E"/>
    <w:rsid w:val="00B17878"/>
    <w:rsid w:val="00B207A3"/>
    <w:rsid w:val="00B24781"/>
    <w:rsid w:val="00B25039"/>
    <w:rsid w:val="00B2606C"/>
    <w:rsid w:val="00B26F00"/>
    <w:rsid w:val="00B276C9"/>
    <w:rsid w:val="00B31934"/>
    <w:rsid w:val="00B31C75"/>
    <w:rsid w:val="00B32BF4"/>
    <w:rsid w:val="00B32EC1"/>
    <w:rsid w:val="00B3417E"/>
    <w:rsid w:val="00B406B7"/>
    <w:rsid w:val="00B4203E"/>
    <w:rsid w:val="00B4269F"/>
    <w:rsid w:val="00B44253"/>
    <w:rsid w:val="00B46AD4"/>
    <w:rsid w:val="00B47C18"/>
    <w:rsid w:val="00B47F37"/>
    <w:rsid w:val="00B501C3"/>
    <w:rsid w:val="00B50540"/>
    <w:rsid w:val="00B50F02"/>
    <w:rsid w:val="00B510C0"/>
    <w:rsid w:val="00B51801"/>
    <w:rsid w:val="00B54718"/>
    <w:rsid w:val="00B5510D"/>
    <w:rsid w:val="00B5651F"/>
    <w:rsid w:val="00B602A0"/>
    <w:rsid w:val="00B604B0"/>
    <w:rsid w:val="00B607FC"/>
    <w:rsid w:val="00B6184F"/>
    <w:rsid w:val="00B61913"/>
    <w:rsid w:val="00B621A6"/>
    <w:rsid w:val="00B626E9"/>
    <w:rsid w:val="00B643ED"/>
    <w:rsid w:val="00B65489"/>
    <w:rsid w:val="00B657B5"/>
    <w:rsid w:val="00B65A66"/>
    <w:rsid w:val="00B66A7A"/>
    <w:rsid w:val="00B67433"/>
    <w:rsid w:val="00B6794D"/>
    <w:rsid w:val="00B71664"/>
    <w:rsid w:val="00B71A5E"/>
    <w:rsid w:val="00B72E65"/>
    <w:rsid w:val="00B76EEC"/>
    <w:rsid w:val="00B801D0"/>
    <w:rsid w:val="00B81882"/>
    <w:rsid w:val="00B83DDD"/>
    <w:rsid w:val="00B83EE2"/>
    <w:rsid w:val="00B852D6"/>
    <w:rsid w:val="00B85709"/>
    <w:rsid w:val="00B85EDF"/>
    <w:rsid w:val="00B864D9"/>
    <w:rsid w:val="00B864E7"/>
    <w:rsid w:val="00B904D2"/>
    <w:rsid w:val="00B909D1"/>
    <w:rsid w:val="00B92FB6"/>
    <w:rsid w:val="00B93633"/>
    <w:rsid w:val="00B93FDE"/>
    <w:rsid w:val="00B94484"/>
    <w:rsid w:val="00B94D79"/>
    <w:rsid w:val="00B97BE6"/>
    <w:rsid w:val="00BA07D1"/>
    <w:rsid w:val="00BA1B63"/>
    <w:rsid w:val="00BA2577"/>
    <w:rsid w:val="00BA3A44"/>
    <w:rsid w:val="00BA5111"/>
    <w:rsid w:val="00BB04D2"/>
    <w:rsid w:val="00BB0B10"/>
    <w:rsid w:val="00BB0D2C"/>
    <w:rsid w:val="00BB0F0E"/>
    <w:rsid w:val="00BB1F9E"/>
    <w:rsid w:val="00BB3E4C"/>
    <w:rsid w:val="00BB4AE0"/>
    <w:rsid w:val="00BB4E56"/>
    <w:rsid w:val="00BB5A05"/>
    <w:rsid w:val="00BB6DF6"/>
    <w:rsid w:val="00BC07CA"/>
    <w:rsid w:val="00BC0BFF"/>
    <w:rsid w:val="00BC234D"/>
    <w:rsid w:val="00BC3FA7"/>
    <w:rsid w:val="00BC67E4"/>
    <w:rsid w:val="00BC7CA9"/>
    <w:rsid w:val="00BD04BE"/>
    <w:rsid w:val="00BD085F"/>
    <w:rsid w:val="00BD0C17"/>
    <w:rsid w:val="00BD1306"/>
    <w:rsid w:val="00BD29B7"/>
    <w:rsid w:val="00BD5EDC"/>
    <w:rsid w:val="00BD6099"/>
    <w:rsid w:val="00BD663E"/>
    <w:rsid w:val="00BD70EB"/>
    <w:rsid w:val="00BD76B9"/>
    <w:rsid w:val="00BE00D5"/>
    <w:rsid w:val="00BE03DD"/>
    <w:rsid w:val="00BE1253"/>
    <w:rsid w:val="00BE3319"/>
    <w:rsid w:val="00BE6713"/>
    <w:rsid w:val="00BE7025"/>
    <w:rsid w:val="00BF1E8A"/>
    <w:rsid w:val="00BF3589"/>
    <w:rsid w:val="00BF3D1D"/>
    <w:rsid w:val="00BF4684"/>
    <w:rsid w:val="00BF6423"/>
    <w:rsid w:val="00BF7078"/>
    <w:rsid w:val="00BF7805"/>
    <w:rsid w:val="00C00437"/>
    <w:rsid w:val="00C01581"/>
    <w:rsid w:val="00C01682"/>
    <w:rsid w:val="00C01E61"/>
    <w:rsid w:val="00C024D0"/>
    <w:rsid w:val="00C02649"/>
    <w:rsid w:val="00C02728"/>
    <w:rsid w:val="00C02CB6"/>
    <w:rsid w:val="00C03543"/>
    <w:rsid w:val="00C037E4"/>
    <w:rsid w:val="00C03E42"/>
    <w:rsid w:val="00C04A22"/>
    <w:rsid w:val="00C04E60"/>
    <w:rsid w:val="00C04EDC"/>
    <w:rsid w:val="00C053D1"/>
    <w:rsid w:val="00C05B0A"/>
    <w:rsid w:val="00C0684C"/>
    <w:rsid w:val="00C07833"/>
    <w:rsid w:val="00C100C9"/>
    <w:rsid w:val="00C10B96"/>
    <w:rsid w:val="00C114DC"/>
    <w:rsid w:val="00C13D49"/>
    <w:rsid w:val="00C16EFD"/>
    <w:rsid w:val="00C1715F"/>
    <w:rsid w:val="00C17444"/>
    <w:rsid w:val="00C20DE6"/>
    <w:rsid w:val="00C2137C"/>
    <w:rsid w:val="00C24681"/>
    <w:rsid w:val="00C25FFE"/>
    <w:rsid w:val="00C27245"/>
    <w:rsid w:val="00C30243"/>
    <w:rsid w:val="00C31BB6"/>
    <w:rsid w:val="00C322AC"/>
    <w:rsid w:val="00C33710"/>
    <w:rsid w:val="00C34F0D"/>
    <w:rsid w:val="00C35F7B"/>
    <w:rsid w:val="00C370B7"/>
    <w:rsid w:val="00C37266"/>
    <w:rsid w:val="00C37BD2"/>
    <w:rsid w:val="00C4065A"/>
    <w:rsid w:val="00C407BA"/>
    <w:rsid w:val="00C40B41"/>
    <w:rsid w:val="00C41219"/>
    <w:rsid w:val="00C41B77"/>
    <w:rsid w:val="00C42396"/>
    <w:rsid w:val="00C43FA6"/>
    <w:rsid w:val="00C44022"/>
    <w:rsid w:val="00C44757"/>
    <w:rsid w:val="00C4663C"/>
    <w:rsid w:val="00C5037D"/>
    <w:rsid w:val="00C512D1"/>
    <w:rsid w:val="00C51442"/>
    <w:rsid w:val="00C53B2B"/>
    <w:rsid w:val="00C54DB2"/>
    <w:rsid w:val="00C55049"/>
    <w:rsid w:val="00C55A14"/>
    <w:rsid w:val="00C564AC"/>
    <w:rsid w:val="00C56E33"/>
    <w:rsid w:val="00C6026A"/>
    <w:rsid w:val="00C630D4"/>
    <w:rsid w:val="00C63C07"/>
    <w:rsid w:val="00C64A59"/>
    <w:rsid w:val="00C66C1D"/>
    <w:rsid w:val="00C676FB"/>
    <w:rsid w:val="00C677BA"/>
    <w:rsid w:val="00C67AEA"/>
    <w:rsid w:val="00C706D8"/>
    <w:rsid w:val="00C71921"/>
    <w:rsid w:val="00C74DE7"/>
    <w:rsid w:val="00C753E1"/>
    <w:rsid w:val="00C76837"/>
    <w:rsid w:val="00C76E91"/>
    <w:rsid w:val="00C81722"/>
    <w:rsid w:val="00C818EC"/>
    <w:rsid w:val="00C8269E"/>
    <w:rsid w:val="00C84D65"/>
    <w:rsid w:val="00C85C72"/>
    <w:rsid w:val="00C87773"/>
    <w:rsid w:val="00C87993"/>
    <w:rsid w:val="00C90690"/>
    <w:rsid w:val="00C91EFE"/>
    <w:rsid w:val="00C92E98"/>
    <w:rsid w:val="00C93386"/>
    <w:rsid w:val="00C93902"/>
    <w:rsid w:val="00C9565A"/>
    <w:rsid w:val="00C95AA8"/>
    <w:rsid w:val="00C95CE5"/>
    <w:rsid w:val="00C9704C"/>
    <w:rsid w:val="00CA06B4"/>
    <w:rsid w:val="00CA0D5C"/>
    <w:rsid w:val="00CA1D7B"/>
    <w:rsid w:val="00CA2429"/>
    <w:rsid w:val="00CA3E60"/>
    <w:rsid w:val="00CA497E"/>
    <w:rsid w:val="00CA59C3"/>
    <w:rsid w:val="00CB09CB"/>
    <w:rsid w:val="00CB0B72"/>
    <w:rsid w:val="00CB2BC9"/>
    <w:rsid w:val="00CB2CF7"/>
    <w:rsid w:val="00CB4211"/>
    <w:rsid w:val="00CB4C2E"/>
    <w:rsid w:val="00CB52E5"/>
    <w:rsid w:val="00CB5759"/>
    <w:rsid w:val="00CB5BF2"/>
    <w:rsid w:val="00CB605B"/>
    <w:rsid w:val="00CC204F"/>
    <w:rsid w:val="00CC2550"/>
    <w:rsid w:val="00CC2584"/>
    <w:rsid w:val="00CC26E9"/>
    <w:rsid w:val="00CC4A48"/>
    <w:rsid w:val="00CC51F8"/>
    <w:rsid w:val="00CC6D68"/>
    <w:rsid w:val="00CD0D60"/>
    <w:rsid w:val="00CD2235"/>
    <w:rsid w:val="00CD2476"/>
    <w:rsid w:val="00CD3053"/>
    <w:rsid w:val="00CD3A84"/>
    <w:rsid w:val="00CD7F09"/>
    <w:rsid w:val="00CE24CC"/>
    <w:rsid w:val="00CE31E0"/>
    <w:rsid w:val="00CE4377"/>
    <w:rsid w:val="00CE4C48"/>
    <w:rsid w:val="00CE5289"/>
    <w:rsid w:val="00CE54B8"/>
    <w:rsid w:val="00CE61F1"/>
    <w:rsid w:val="00CE655F"/>
    <w:rsid w:val="00CE6FD6"/>
    <w:rsid w:val="00CE7134"/>
    <w:rsid w:val="00CE7819"/>
    <w:rsid w:val="00CE7B6A"/>
    <w:rsid w:val="00CF054D"/>
    <w:rsid w:val="00CF1E79"/>
    <w:rsid w:val="00CF27E6"/>
    <w:rsid w:val="00CF3636"/>
    <w:rsid w:val="00CF39BD"/>
    <w:rsid w:val="00CF4A00"/>
    <w:rsid w:val="00CF5346"/>
    <w:rsid w:val="00CF7814"/>
    <w:rsid w:val="00CF7AE7"/>
    <w:rsid w:val="00D0353B"/>
    <w:rsid w:val="00D0714A"/>
    <w:rsid w:val="00D07239"/>
    <w:rsid w:val="00D0787D"/>
    <w:rsid w:val="00D07BAD"/>
    <w:rsid w:val="00D102F2"/>
    <w:rsid w:val="00D10D17"/>
    <w:rsid w:val="00D1195A"/>
    <w:rsid w:val="00D14117"/>
    <w:rsid w:val="00D14817"/>
    <w:rsid w:val="00D14ED5"/>
    <w:rsid w:val="00D17CFA"/>
    <w:rsid w:val="00D17E29"/>
    <w:rsid w:val="00D17F00"/>
    <w:rsid w:val="00D20807"/>
    <w:rsid w:val="00D226BB"/>
    <w:rsid w:val="00D23D2D"/>
    <w:rsid w:val="00D24488"/>
    <w:rsid w:val="00D24713"/>
    <w:rsid w:val="00D30C7F"/>
    <w:rsid w:val="00D314DB"/>
    <w:rsid w:val="00D331EE"/>
    <w:rsid w:val="00D33FD1"/>
    <w:rsid w:val="00D36467"/>
    <w:rsid w:val="00D37CD4"/>
    <w:rsid w:val="00D404F8"/>
    <w:rsid w:val="00D40755"/>
    <w:rsid w:val="00D40D88"/>
    <w:rsid w:val="00D41211"/>
    <w:rsid w:val="00D427E8"/>
    <w:rsid w:val="00D42C3B"/>
    <w:rsid w:val="00D459E4"/>
    <w:rsid w:val="00D503F2"/>
    <w:rsid w:val="00D53CF9"/>
    <w:rsid w:val="00D53F11"/>
    <w:rsid w:val="00D55603"/>
    <w:rsid w:val="00D5567F"/>
    <w:rsid w:val="00D60579"/>
    <w:rsid w:val="00D617A6"/>
    <w:rsid w:val="00D61A82"/>
    <w:rsid w:val="00D641BB"/>
    <w:rsid w:val="00D6487B"/>
    <w:rsid w:val="00D70E22"/>
    <w:rsid w:val="00D711CD"/>
    <w:rsid w:val="00D71868"/>
    <w:rsid w:val="00D7324F"/>
    <w:rsid w:val="00D732E4"/>
    <w:rsid w:val="00D73AFC"/>
    <w:rsid w:val="00D73B44"/>
    <w:rsid w:val="00D74D27"/>
    <w:rsid w:val="00D75156"/>
    <w:rsid w:val="00D75920"/>
    <w:rsid w:val="00D761DC"/>
    <w:rsid w:val="00D7663E"/>
    <w:rsid w:val="00D76780"/>
    <w:rsid w:val="00D77ABD"/>
    <w:rsid w:val="00D8093F"/>
    <w:rsid w:val="00D80A80"/>
    <w:rsid w:val="00D815A9"/>
    <w:rsid w:val="00D82C66"/>
    <w:rsid w:val="00D84B3E"/>
    <w:rsid w:val="00D84D14"/>
    <w:rsid w:val="00D85C6C"/>
    <w:rsid w:val="00D86179"/>
    <w:rsid w:val="00D861CB"/>
    <w:rsid w:val="00D93B31"/>
    <w:rsid w:val="00D940B6"/>
    <w:rsid w:val="00D9635C"/>
    <w:rsid w:val="00D97677"/>
    <w:rsid w:val="00DA03D5"/>
    <w:rsid w:val="00DA0746"/>
    <w:rsid w:val="00DA1758"/>
    <w:rsid w:val="00DA1922"/>
    <w:rsid w:val="00DA382C"/>
    <w:rsid w:val="00DA38FB"/>
    <w:rsid w:val="00DA46BA"/>
    <w:rsid w:val="00DA5D7B"/>
    <w:rsid w:val="00DA6710"/>
    <w:rsid w:val="00DA7BCD"/>
    <w:rsid w:val="00DB0C92"/>
    <w:rsid w:val="00DB27A6"/>
    <w:rsid w:val="00DB3FA5"/>
    <w:rsid w:val="00DB424D"/>
    <w:rsid w:val="00DB5796"/>
    <w:rsid w:val="00DB6B9D"/>
    <w:rsid w:val="00DB70BA"/>
    <w:rsid w:val="00DC04B6"/>
    <w:rsid w:val="00DC0A81"/>
    <w:rsid w:val="00DC15CD"/>
    <w:rsid w:val="00DC3717"/>
    <w:rsid w:val="00DC3D66"/>
    <w:rsid w:val="00DC59FF"/>
    <w:rsid w:val="00DC6FD4"/>
    <w:rsid w:val="00DD08DC"/>
    <w:rsid w:val="00DD14D7"/>
    <w:rsid w:val="00DD1784"/>
    <w:rsid w:val="00DD225F"/>
    <w:rsid w:val="00DD23BB"/>
    <w:rsid w:val="00DD6AE6"/>
    <w:rsid w:val="00DE079B"/>
    <w:rsid w:val="00DE0BFB"/>
    <w:rsid w:val="00DE1CCF"/>
    <w:rsid w:val="00DE31BA"/>
    <w:rsid w:val="00DE46F8"/>
    <w:rsid w:val="00DE4D1D"/>
    <w:rsid w:val="00DE65E4"/>
    <w:rsid w:val="00DE7120"/>
    <w:rsid w:val="00DE76AE"/>
    <w:rsid w:val="00DF0525"/>
    <w:rsid w:val="00DF238D"/>
    <w:rsid w:val="00DF35B9"/>
    <w:rsid w:val="00DF43FB"/>
    <w:rsid w:val="00DF4FDE"/>
    <w:rsid w:val="00DF652F"/>
    <w:rsid w:val="00DF67AC"/>
    <w:rsid w:val="00DF6937"/>
    <w:rsid w:val="00DF7CD0"/>
    <w:rsid w:val="00E00767"/>
    <w:rsid w:val="00E00E0E"/>
    <w:rsid w:val="00E0298A"/>
    <w:rsid w:val="00E03DEB"/>
    <w:rsid w:val="00E03ECE"/>
    <w:rsid w:val="00E0421A"/>
    <w:rsid w:val="00E062DD"/>
    <w:rsid w:val="00E0751D"/>
    <w:rsid w:val="00E10776"/>
    <w:rsid w:val="00E10B42"/>
    <w:rsid w:val="00E1339C"/>
    <w:rsid w:val="00E1343B"/>
    <w:rsid w:val="00E13F48"/>
    <w:rsid w:val="00E13F64"/>
    <w:rsid w:val="00E16758"/>
    <w:rsid w:val="00E1686F"/>
    <w:rsid w:val="00E16A79"/>
    <w:rsid w:val="00E17546"/>
    <w:rsid w:val="00E1786D"/>
    <w:rsid w:val="00E2164E"/>
    <w:rsid w:val="00E23D88"/>
    <w:rsid w:val="00E25F5F"/>
    <w:rsid w:val="00E27492"/>
    <w:rsid w:val="00E30499"/>
    <w:rsid w:val="00E323E8"/>
    <w:rsid w:val="00E3327F"/>
    <w:rsid w:val="00E33A5F"/>
    <w:rsid w:val="00E35551"/>
    <w:rsid w:val="00E35620"/>
    <w:rsid w:val="00E4260D"/>
    <w:rsid w:val="00E439C0"/>
    <w:rsid w:val="00E4559A"/>
    <w:rsid w:val="00E45BF7"/>
    <w:rsid w:val="00E4621C"/>
    <w:rsid w:val="00E4670E"/>
    <w:rsid w:val="00E46EE0"/>
    <w:rsid w:val="00E4725E"/>
    <w:rsid w:val="00E47607"/>
    <w:rsid w:val="00E50DC5"/>
    <w:rsid w:val="00E5273D"/>
    <w:rsid w:val="00E529E4"/>
    <w:rsid w:val="00E53DE6"/>
    <w:rsid w:val="00E5400E"/>
    <w:rsid w:val="00E54E38"/>
    <w:rsid w:val="00E565D1"/>
    <w:rsid w:val="00E57651"/>
    <w:rsid w:val="00E57A94"/>
    <w:rsid w:val="00E61C53"/>
    <w:rsid w:val="00E62595"/>
    <w:rsid w:val="00E632EE"/>
    <w:rsid w:val="00E63C97"/>
    <w:rsid w:val="00E64983"/>
    <w:rsid w:val="00E66C05"/>
    <w:rsid w:val="00E66DE0"/>
    <w:rsid w:val="00E67357"/>
    <w:rsid w:val="00E70429"/>
    <w:rsid w:val="00E7091F"/>
    <w:rsid w:val="00E710E8"/>
    <w:rsid w:val="00E73B4A"/>
    <w:rsid w:val="00E73C94"/>
    <w:rsid w:val="00E74E68"/>
    <w:rsid w:val="00E8113C"/>
    <w:rsid w:val="00E81BB8"/>
    <w:rsid w:val="00E84C2E"/>
    <w:rsid w:val="00E8506E"/>
    <w:rsid w:val="00E85CE4"/>
    <w:rsid w:val="00E871E6"/>
    <w:rsid w:val="00E87E88"/>
    <w:rsid w:val="00E90568"/>
    <w:rsid w:val="00E907E2"/>
    <w:rsid w:val="00E909C4"/>
    <w:rsid w:val="00E92436"/>
    <w:rsid w:val="00E92BC7"/>
    <w:rsid w:val="00E94539"/>
    <w:rsid w:val="00E96D60"/>
    <w:rsid w:val="00E975D7"/>
    <w:rsid w:val="00EA0936"/>
    <w:rsid w:val="00EA0AE1"/>
    <w:rsid w:val="00EA15B4"/>
    <w:rsid w:val="00EA230C"/>
    <w:rsid w:val="00EA3229"/>
    <w:rsid w:val="00EA62AB"/>
    <w:rsid w:val="00EA6FEA"/>
    <w:rsid w:val="00EA7F7E"/>
    <w:rsid w:val="00EB035E"/>
    <w:rsid w:val="00EB1399"/>
    <w:rsid w:val="00EB185C"/>
    <w:rsid w:val="00EB1908"/>
    <w:rsid w:val="00EB23C6"/>
    <w:rsid w:val="00EB4142"/>
    <w:rsid w:val="00EB4621"/>
    <w:rsid w:val="00EB532F"/>
    <w:rsid w:val="00EB68BD"/>
    <w:rsid w:val="00EC0FC2"/>
    <w:rsid w:val="00EC1865"/>
    <w:rsid w:val="00EC373D"/>
    <w:rsid w:val="00EC4831"/>
    <w:rsid w:val="00EC536A"/>
    <w:rsid w:val="00EC5B2D"/>
    <w:rsid w:val="00EC7284"/>
    <w:rsid w:val="00EC7593"/>
    <w:rsid w:val="00EC7EEF"/>
    <w:rsid w:val="00ED0077"/>
    <w:rsid w:val="00ED03FB"/>
    <w:rsid w:val="00ED091D"/>
    <w:rsid w:val="00ED33E2"/>
    <w:rsid w:val="00ED4979"/>
    <w:rsid w:val="00ED500F"/>
    <w:rsid w:val="00ED69B6"/>
    <w:rsid w:val="00ED6CC0"/>
    <w:rsid w:val="00ED71FE"/>
    <w:rsid w:val="00ED7B1F"/>
    <w:rsid w:val="00ED7D58"/>
    <w:rsid w:val="00EE287F"/>
    <w:rsid w:val="00EE32B8"/>
    <w:rsid w:val="00EE3959"/>
    <w:rsid w:val="00EE3A06"/>
    <w:rsid w:val="00EE638F"/>
    <w:rsid w:val="00EE6711"/>
    <w:rsid w:val="00EF0128"/>
    <w:rsid w:val="00EF0F59"/>
    <w:rsid w:val="00EF191B"/>
    <w:rsid w:val="00EF2090"/>
    <w:rsid w:val="00EF33A1"/>
    <w:rsid w:val="00EF3820"/>
    <w:rsid w:val="00EF5123"/>
    <w:rsid w:val="00EF55DE"/>
    <w:rsid w:val="00EF5E3A"/>
    <w:rsid w:val="00EF6DF7"/>
    <w:rsid w:val="00F032A3"/>
    <w:rsid w:val="00F035E0"/>
    <w:rsid w:val="00F048EF"/>
    <w:rsid w:val="00F067FD"/>
    <w:rsid w:val="00F06A7E"/>
    <w:rsid w:val="00F06F43"/>
    <w:rsid w:val="00F10C1D"/>
    <w:rsid w:val="00F11FBA"/>
    <w:rsid w:val="00F1216E"/>
    <w:rsid w:val="00F13227"/>
    <w:rsid w:val="00F168C7"/>
    <w:rsid w:val="00F168F9"/>
    <w:rsid w:val="00F16A0A"/>
    <w:rsid w:val="00F16A7C"/>
    <w:rsid w:val="00F172D5"/>
    <w:rsid w:val="00F209B4"/>
    <w:rsid w:val="00F236AF"/>
    <w:rsid w:val="00F24411"/>
    <w:rsid w:val="00F2618B"/>
    <w:rsid w:val="00F26531"/>
    <w:rsid w:val="00F268A1"/>
    <w:rsid w:val="00F2796D"/>
    <w:rsid w:val="00F305D4"/>
    <w:rsid w:val="00F31930"/>
    <w:rsid w:val="00F3193C"/>
    <w:rsid w:val="00F3296B"/>
    <w:rsid w:val="00F351C1"/>
    <w:rsid w:val="00F35953"/>
    <w:rsid w:val="00F364F9"/>
    <w:rsid w:val="00F41455"/>
    <w:rsid w:val="00F42689"/>
    <w:rsid w:val="00F4280F"/>
    <w:rsid w:val="00F42E30"/>
    <w:rsid w:val="00F44093"/>
    <w:rsid w:val="00F442BA"/>
    <w:rsid w:val="00F452B6"/>
    <w:rsid w:val="00F45385"/>
    <w:rsid w:val="00F45B16"/>
    <w:rsid w:val="00F46CFE"/>
    <w:rsid w:val="00F477DB"/>
    <w:rsid w:val="00F51B27"/>
    <w:rsid w:val="00F52F6E"/>
    <w:rsid w:val="00F53ECC"/>
    <w:rsid w:val="00F5497E"/>
    <w:rsid w:val="00F55662"/>
    <w:rsid w:val="00F55C8B"/>
    <w:rsid w:val="00F56C2A"/>
    <w:rsid w:val="00F577A6"/>
    <w:rsid w:val="00F57893"/>
    <w:rsid w:val="00F60966"/>
    <w:rsid w:val="00F613DD"/>
    <w:rsid w:val="00F62749"/>
    <w:rsid w:val="00F650DC"/>
    <w:rsid w:val="00F654E8"/>
    <w:rsid w:val="00F65CB6"/>
    <w:rsid w:val="00F66678"/>
    <w:rsid w:val="00F66A7E"/>
    <w:rsid w:val="00F67F88"/>
    <w:rsid w:val="00F70287"/>
    <w:rsid w:val="00F70E7C"/>
    <w:rsid w:val="00F71EFF"/>
    <w:rsid w:val="00F72864"/>
    <w:rsid w:val="00F72DB3"/>
    <w:rsid w:val="00F74345"/>
    <w:rsid w:val="00F74F46"/>
    <w:rsid w:val="00F76692"/>
    <w:rsid w:val="00F76B06"/>
    <w:rsid w:val="00F7747B"/>
    <w:rsid w:val="00F77CB1"/>
    <w:rsid w:val="00F77FFB"/>
    <w:rsid w:val="00F81C58"/>
    <w:rsid w:val="00F822E4"/>
    <w:rsid w:val="00F8292D"/>
    <w:rsid w:val="00F847A3"/>
    <w:rsid w:val="00F854D8"/>
    <w:rsid w:val="00F86118"/>
    <w:rsid w:val="00F87375"/>
    <w:rsid w:val="00F87B32"/>
    <w:rsid w:val="00F901BE"/>
    <w:rsid w:val="00F903AD"/>
    <w:rsid w:val="00F955B1"/>
    <w:rsid w:val="00F96419"/>
    <w:rsid w:val="00F96799"/>
    <w:rsid w:val="00F96F23"/>
    <w:rsid w:val="00F9788C"/>
    <w:rsid w:val="00F97D47"/>
    <w:rsid w:val="00FA32F2"/>
    <w:rsid w:val="00FA3F31"/>
    <w:rsid w:val="00FA49D7"/>
    <w:rsid w:val="00FA6868"/>
    <w:rsid w:val="00FB0608"/>
    <w:rsid w:val="00FB1C60"/>
    <w:rsid w:val="00FB2DCC"/>
    <w:rsid w:val="00FB3603"/>
    <w:rsid w:val="00FB3BBA"/>
    <w:rsid w:val="00FB3CFD"/>
    <w:rsid w:val="00FB3EC1"/>
    <w:rsid w:val="00FB60CC"/>
    <w:rsid w:val="00FB642A"/>
    <w:rsid w:val="00FB74ED"/>
    <w:rsid w:val="00FC0B5B"/>
    <w:rsid w:val="00FC20B8"/>
    <w:rsid w:val="00FC3B93"/>
    <w:rsid w:val="00FC456F"/>
    <w:rsid w:val="00FC787A"/>
    <w:rsid w:val="00FD0002"/>
    <w:rsid w:val="00FD0E90"/>
    <w:rsid w:val="00FD0EC9"/>
    <w:rsid w:val="00FD18C0"/>
    <w:rsid w:val="00FD1D01"/>
    <w:rsid w:val="00FD3BEA"/>
    <w:rsid w:val="00FD4127"/>
    <w:rsid w:val="00FD4932"/>
    <w:rsid w:val="00FD4DDE"/>
    <w:rsid w:val="00FD5D18"/>
    <w:rsid w:val="00FD781D"/>
    <w:rsid w:val="00FE1E19"/>
    <w:rsid w:val="00FE213B"/>
    <w:rsid w:val="00FE2CB7"/>
    <w:rsid w:val="00FE5819"/>
    <w:rsid w:val="00FE6562"/>
    <w:rsid w:val="00FE675B"/>
    <w:rsid w:val="00FF103A"/>
    <w:rsid w:val="00FF4788"/>
    <w:rsid w:val="00FF6057"/>
    <w:rsid w:val="00FF613D"/>
    <w:rsid w:val="00FF6362"/>
    <w:rsid w:val="00FF64D7"/>
    <w:rsid w:val="00FF6972"/>
    <w:rsid w:val="00FF6E8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3AC08B6-447D-45CB-96EC-0076FF895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967C3E"/>
    <w:pPr>
      <w:widowControl w:val="0"/>
    </w:pPr>
    <w:rPr>
      <w:rFonts w:ascii="Times New Roman" w:hAnsi="Times New Roman"/>
      <w:kern w:val="2"/>
      <w:sz w:val="24"/>
    </w:rPr>
  </w:style>
  <w:style w:type="paragraph" w:styleId="1">
    <w:name w:val="heading 1"/>
    <w:aliases w:val=" 字元9"/>
    <w:basedOn w:val="a0"/>
    <w:next w:val="a0"/>
    <w:link w:val="10"/>
    <w:uiPriority w:val="9"/>
    <w:qFormat/>
    <w:rsid w:val="00064388"/>
    <w:pPr>
      <w:keepNext/>
      <w:spacing w:line="500" w:lineRule="exact"/>
      <w:jc w:val="both"/>
      <w:outlineLvl w:val="0"/>
    </w:pPr>
    <w:rPr>
      <w:rFonts w:ascii="Arial" w:eastAsia="標楷體" w:hAnsi="Arial"/>
      <w:b/>
      <w:bCs/>
      <w:kern w:val="52"/>
      <w:sz w:val="28"/>
      <w:szCs w:val="52"/>
    </w:rPr>
  </w:style>
  <w:style w:type="paragraph" w:styleId="2">
    <w:name w:val="heading 2"/>
    <w:aliases w:val="字元8,標題 2-16字,（二）標題 2"/>
    <w:basedOn w:val="a0"/>
    <w:next w:val="a0"/>
    <w:link w:val="20"/>
    <w:uiPriority w:val="9"/>
    <w:qFormat/>
    <w:rsid w:val="00064388"/>
    <w:pPr>
      <w:keepNext/>
      <w:spacing w:line="500" w:lineRule="exact"/>
      <w:ind w:leftChars="250" w:left="250"/>
      <w:jc w:val="both"/>
      <w:outlineLvl w:val="1"/>
    </w:pPr>
    <w:rPr>
      <w:rFonts w:ascii="Arial" w:eastAsia="標楷體" w:hAnsi="Arial"/>
      <w:bCs/>
      <w:sz w:val="28"/>
      <w:szCs w:val="48"/>
    </w:rPr>
  </w:style>
  <w:style w:type="paragraph" w:styleId="3">
    <w:name w:val="heading 3"/>
    <w:basedOn w:val="a0"/>
    <w:next w:val="a0"/>
    <w:link w:val="30"/>
    <w:uiPriority w:val="9"/>
    <w:semiHidden/>
    <w:unhideWhenUsed/>
    <w:qFormat/>
    <w:rsid w:val="00114CB9"/>
    <w:pPr>
      <w:keepNext/>
      <w:spacing w:line="720" w:lineRule="auto"/>
      <w:outlineLvl w:val="2"/>
    </w:pPr>
    <w:rPr>
      <w:rFonts w:asciiTheme="majorHAnsi" w:eastAsiaTheme="majorEastAsia" w:hAnsiTheme="majorHAnsi" w:cstheme="majorBidi"/>
      <w:b/>
      <w:bCs/>
      <w:sz w:val="36"/>
      <w:szCs w:val="36"/>
    </w:rPr>
  </w:style>
  <w:style w:type="paragraph" w:styleId="5">
    <w:name w:val="heading 5"/>
    <w:basedOn w:val="a0"/>
    <w:next w:val="a0"/>
    <w:link w:val="50"/>
    <w:uiPriority w:val="9"/>
    <w:semiHidden/>
    <w:unhideWhenUsed/>
    <w:qFormat/>
    <w:rsid w:val="0071156A"/>
    <w:pPr>
      <w:keepNext/>
      <w:spacing w:line="720" w:lineRule="auto"/>
      <w:ind w:leftChars="200" w:left="200"/>
      <w:outlineLvl w:val="4"/>
    </w:pPr>
    <w:rPr>
      <w:rFonts w:asciiTheme="majorHAnsi" w:eastAsiaTheme="majorEastAsia" w:hAnsiTheme="majorHAnsi" w:cstheme="majorBidi"/>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uiPriority w:val="34"/>
    <w:qFormat/>
    <w:rsid w:val="00605BD1"/>
    <w:pPr>
      <w:ind w:leftChars="200" w:left="480"/>
    </w:pPr>
  </w:style>
  <w:style w:type="paragraph" w:styleId="a5">
    <w:name w:val="header"/>
    <w:basedOn w:val="a0"/>
    <w:link w:val="a6"/>
    <w:unhideWhenUsed/>
    <w:rsid w:val="00E975D7"/>
    <w:pPr>
      <w:tabs>
        <w:tab w:val="center" w:pos="4153"/>
        <w:tab w:val="right" w:pos="8306"/>
      </w:tabs>
      <w:snapToGrid w:val="0"/>
    </w:pPr>
    <w:rPr>
      <w:sz w:val="20"/>
    </w:rPr>
  </w:style>
  <w:style w:type="character" w:customStyle="1" w:styleId="a6">
    <w:name w:val="頁首 字元"/>
    <w:link w:val="a5"/>
    <w:rsid w:val="00E975D7"/>
    <w:rPr>
      <w:rFonts w:ascii="Times New Roman" w:eastAsia="新細明體" w:hAnsi="Times New Roman" w:cs="Times New Roman"/>
      <w:sz w:val="20"/>
      <w:szCs w:val="20"/>
    </w:rPr>
  </w:style>
  <w:style w:type="paragraph" w:styleId="a7">
    <w:name w:val="footer"/>
    <w:basedOn w:val="a0"/>
    <w:link w:val="a8"/>
    <w:uiPriority w:val="99"/>
    <w:unhideWhenUsed/>
    <w:rsid w:val="00E975D7"/>
    <w:pPr>
      <w:tabs>
        <w:tab w:val="center" w:pos="4153"/>
        <w:tab w:val="right" w:pos="8306"/>
      </w:tabs>
      <w:snapToGrid w:val="0"/>
    </w:pPr>
    <w:rPr>
      <w:sz w:val="20"/>
    </w:rPr>
  </w:style>
  <w:style w:type="character" w:customStyle="1" w:styleId="a8">
    <w:name w:val="頁尾 字元"/>
    <w:link w:val="a7"/>
    <w:uiPriority w:val="99"/>
    <w:rsid w:val="00E975D7"/>
    <w:rPr>
      <w:rFonts w:ascii="Times New Roman" w:eastAsia="新細明體" w:hAnsi="Times New Roman" w:cs="Times New Roman"/>
      <w:sz w:val="20"/>
      <w:szCs w:val="20"/>
    </w:rPr>
  </w:style>
  <w:style w:type="paragraph" w:styleId="a9">
    <w:name w:val="Balloon Text"/>
    <w:basedOn w:val="a0"/>
    <w:link w:val="aa"/>
    <w:semiHidden/>
    <w:unhideWhenUsed/>
    <w:rsid w:val="00E975D7"/>
    <w:rPr>
      <w:rFonts w:ascii="Cambria" w:hAnsi="Cambria"/>
      <w:sz w:val="18"/>
      <w:szCs w:val="18"/>
    </w:rPr>
  </w:style>
  <w:style w:type="character" w:customStyle="1" w:styleId="aa">
    <w:name w:val="註解方塊文字 字元"/>
    <w:link w:val="a9"/>
    <w:semiHidden/>
    <w:rsid w:val="00E975D7"/>
    <w:rPr>
      <w:rFonts w:ascii="Cambria" w:eastAsia="新細明體" w:hAnsi="Cambria" w:cs="Times New Roman"/>
      <w:sz w:val="18"/>
      <w:szCs w:val="18"/>
    </w:rPr>
  </w:style>
  <w:style w:type="character" w:customStyle="1" w:styleId="10">
    <w:name w:val="標題 1 字元"/>
    <w:aliases w:val=" 字元9 字元"/>
    <w:link w:val="1"/>
    <w:uiPriority w:val="9"/>
    <w:rsid w:val="00064388"/>
    <w:rPr>
      <w:rFonts w:ascii="Arial" w:eastAsia="標楷體" w:hAnsi="Arial"/>
      <w:b/>
      <w:bCs/>
      <w:kern w:val="52"/>
      <w:sz w:val="28"/>
      <w:szCs w:val="52"/>
    </w:rPr>
  </w:style>
  <w:style w:type="character" w:customStyle="1" w:styleId="20">
    <w:name w:val="標題 2 字元"/>
    <w:aliases w:val="字元8 字元,標題 2-16字 字元,（二）標題 2 字元"/>
    <w:link w:val="2"/>
    <w:uiPriority w:val="9"/>
    <w:rsid w:val="00064388"/>
    <w:rPr>
      <w:rFonts w:ascii="Arial" w:eastAsia="標楷體" w:hAnsi="Arial"/>
      <w:bCs/>
      <w:kern w:val="2"/>
      <w:sz w:val="28"/>
      <w:szCs w:val="48"/>
    </w:rPr>
  </w:style>
  <w:style w:type="paragraph" w:customStyle="1" w:styleId="01-1">
    <w:name w:val="(01)-考察1"/>
    <w:basedOn w:val="a0"/>
    <w:link w:val="01-10"/>
    <w:rsid w:val="00064388"/>
    <w:pPr>
      <w:spacing w:line="480" w:lineRule="exact"/>
      <w:ind w:leftChars="50" w:left="960" w:hangingChars="300" w:hanging="840"/>
      <w:jc w:val="both"/>
    </w:pPr>
    <w:rPr>
      <w:rFonts w:ascii="標楷體" w:eastAsia="標楷體" w:hAnsi="標楷體"/>
      <w:iCs/>
      <w:kern w:val="0"/>
      <w:sz w:val="28"/>
      <w:szCs w:val="28"/>
    </w:rPr>
  </w:style>
  <w:style w:type="paragraph" w:customStyle="1" w:styleId="01-2">
    <w:name w:val="(01)-考察2"/>
    <w:basedOn w:val="a0"/>
    <w:link w:val="01-20"/>
    <w:rsid w:val="00064388"/>
    <w:pPr>
      <w:spacing w:line="480" w:lineRule="exact"/>
      <w:ind w:leftChars="400" w:left="960" w:firstLineChars="200" w:firstLine="560"/>
      <w:jc w:val="both"/>
    </w:pPr>
    <w:rPr>
      <w:rFonts w:ascii="標楷體" w:eastAsia="標楷體" w:hAnsi="標楷體"/>
      <w:sz w:val="28"/>
      <w:szCs w:val="28"/>
    </w:rPr>
  </w:style>
  <w:style w:type="character" w:customStyle="1" w:styleId="01-10">
    <w:name w:val="(01)-考察1 字元"/>
    <w:link w:val="01-1"/>
    <w:rsid w:val="00064388"/>
    <w:rPr>
      <w:rFonts w:ascii="標楷體" w:eastAsia="標楷體" w:hAnsi="標楷體"/>
      <w:iCs/>
      <w:sz w:val="28"/>
      <w:szCs w:val="28"/>
    </w:rPr>
  </w:style>
  <w:style w:type="character" w:customStyle="1" w:styleId="01-20">
    <w:name w:val="(01)-考察2 字元"/>
    <w:link w:val="01-2"/>
    <w:rsid w:val="00064388"/>
    <w:rPr>
      <w:rFonts w:ascii="標楷體" w:eastAsia="標楷體" w:hAnsi="標楷體"/>
      <w:kern w:val="2"/>
      <w:sz w:val="28"/>
      <w:szCs w:val="28"/>
    </w:rPr>
  </w:style>
  <w:style w:type="paragraph" w:customStyle="1" w:styleId="01-11">
    <w:name w:val="01-1"/>
    <w:basedOn w:val="1"/>
    <w:link w:val="01-12"/>
    <w:qFormat/>
    <w:rsid w:val="00990F4F"/>
    <w:pPr>
      <w:keepNext w:val="0"/>
      <w:snapToGrid w:val="0"/>
      <w:spacing w:afterLines="50" w:after="180"/>
    </w:pPr>
    <w:rPr>
      <w:rFonts w:ascii="標楷體" w:hAnsi="標楷體"/>
      <w:sz w:val="36"/>
      <w:szCs w:val="36"/>
    </w:rPr>
  </w:style>
  <w:style w:type="paragraph" w:customStyle="1" w:styleId="01-21">
    <w:name w:val="01-2"/>
    <w:basedOn w:val="2"/>
    <w:link w:val="01-22"/>
    <w:qFormat/>
    <w:rsid w:val="00990F4F"/>
    <w:pPr>
      <w:keepNext w:val="0"/>
      <w:snapToGrid w:val="0"/>
      <w:spacing w:afterLines="30" w:after="108" w:line="480" w:lineRule="exact"/>
      <w:ind w:leftChars="119" w:left="446" w:hangingChars="50" w:hanging="160"/>
    </w:pPr>
    <w:rPr>
      <w:rFonts w:ascii="標楷體" w:hAnsi="標楷體"/>
      <w:b/>
      <w:sz w:val="32"/>
      <w:szCs w:val="32"/>
    </w:rPr>
  </w:style>
  <w:style w:type="character" w:customStyle="1" w:styleId="01-12">
    <w:name w:val="01-1 字元"/>
    <w:link w:val="01-11"/>
    <w:rsid w:val="00990F4F"/>
    <w:rPr>
      <w:rFonts w:ascii="標楷體" w:eastAsia="標楷體" w:hAnsi="標楷體"/>
      <w:b/>
      <w:bCs/>
      <w:kern w:val="52"/>
      <w:sz w:val="36"/>
      <w:szCs w:val="36"/>
    </w:rPr>
  </w:style>
  <w:style w:type="paragraph" w:styleId="11">
    <w:name w:val="toc 1"/>
    <w:basedOn w:val="a0"/>
    <w:next w:val="a0"/>
    <w:autoRedefine/>
    <w:uiPriority w:val="39"/>
    <w:unhideWhenUsed/>
    <w:rsid w:val="00881684"/>
    <w:pPr>
      <w:tabs>
        <w:tab w:val="right" w:leader="dot" w:pos="9629"/>
      </w:tabs>
      <w:spacing w:line="470" w:lineRule="exact"/>
    </w:pPr>
    <w:rPr>
      <w:rFonts w:ascii="標楷體" w:eastAsia="標楷體" w:hAnsi="標楷體"/>
      <w:b/>
      <w:bCs/>
      <w:noProof/>
      <w:kern w:val="52"/>
      <w:sz w:val="32"/>
      <w:szCs w:val="32"/>
    </w:rPr>
  </w:style>
  <w:style w:type="character" w:customStyle="1" w:styleId="01-22">
    <w:name w:val="01-2 字元"/>
    <w:link w:val="01-21"/>
    <w:rsid w:val="00990F4F"/>
    <w:rPr>
      <w:rFonts w:ascii="標楷體" w:eastAsia="標楷體" w:hAnsi="標楷體"/>
      <w:b/>
      <w:bCs/>
      <w:kern w:val="2"/>
      <w:sz w:val="32"/>
      <w:szCs w:val="32"/>
    </w:rPr>
  </w:style>
  <w:style w:type="paragraph" w:styleId="21">
    <w:name w:val="toc 2"/>
    <w:basedOn w:val="a0"/>
    <w:next w:val="a0"/>
    <w:autoRedefine/>
    <w:uiPriority w:val="39"/>
    <w:unhideWhenUsed/>
    <w:rsid w:val="00755C46"/>
    <w:pPr>
      <w:tabs>
        <w:tab w:val="right" w:leader="dot" w:pos="9629"/>
      </w:tabs>
      <w:spacing w:line="440" w:lineRule="exact"/>
      <w:ind w:leftChars="200" w:left="480"/>
    </w:pPr>
    <w:rPr>
      <w:rFonts w:ascii="標楷體" w:eastAsia="標楷體" w:hAnsi="標楷體"/>
      <w:bCs/>
      <w:noProof/>
      <w:sz w:val="28"/>
      <w:szCs w:val="28"/>
    </w:rPr>
  </w:style>
  <w:style w:type="character" w:styleId="ab">
    <w:name w:val="Hyperlink"/>
    <w:uiPriority w:val="99"/>
    <w:unhideWhenUsed/>
    <w:rsid w:val="00064388"/>
    <w:rPr>
      <w:color w:val="0563C1"/>
      <w:u w:val="single"/>
    </w:rPr>
  </w:style>
  <w:style w:type="paragraph" w:customStyle="1" w:styleId="01-5">
    <w:name w:val="01-5"/>
    <w:basedOn w:val="2"/>
    <w:next w:val="a0"/>
    <w:link w:val="01-50"/>
    <w:qFormat/>
    <w:rsid w:val="00B93633"/>
    <w:pPr>
      <w:keepNext w:val="0"/>
      <w:snapToGrid w:val="0"/>
      <w:spacing w:afterLines="50" w:after="180" w:line="440" w:lineRule="exact"/>
      <w:ind w:leftChars="119" w:left="426" w:hangingChars="50" w:hanging="140"/>
      <w:outlineLvl w:val="9"/>
    </w:pPr>
    <w:rPr>
      <w:rFonts w:ascii="標楷體" w:hAnsi="標楷體"/>
      <w:szCs w:val="28"/>
    </w:rPr>
  </w:style>
  <w:style w:type="paragraph" w:customStyle="1" w:styleId="01-6">
    <w:name w:val="01-6"/>
    <w:basedOn w:val="a0"/>
    <w:next w:val="a0"/>
    <w:link w:val="01-60"/>
    <w:qFormat/>
    <w:rsid w:val="00B93633"/>
    <w:pPr>
      <w:spacing w:beforeLines="50" w:before="180" w:afterLines="50" w:after="180" w:line="440" w:lineRule="exact"/>
      <w:ind w:leftChars="177" w:left="425" w:firstLineChars="248" w:firstLine="694"/>
    </w:pPr>
    <w:rPr>
      <w:rFonts w:ascii="標楷體" w:eastAsia="標楷體" w:hAnsi="標楷體"/>
      <w:sz w:val="28"/>
      <w:szCs w:val="28"/>
    </w:rPr>
  </w:style>
  <w:style w:type="character" w:customStyle="1" w:styleId="01-50">
    <w:name w:val="01-5 字元"/>
    <w:link w:val="01-5"/>
    <w:rsid w:val="00B93633"/>
    <w:rPr>
      <w:rFonts w:ascii="標楷體" w:eastAsia="標楷體" w:hAnsi="標楷體"/>
      <w:bCs/>
      <w:kern w:val="2"/>
      <w:sz w:val="28"/>
      <w:szCs w:val="28"/>
    </w:rPr>
  </w:style>
  <w:style w:type="paragraph" w:customStyle="1" w:styleId="01-3">
    <w:name w:val="01-3"/>
    <w:basedOn w:val="a0"/>
    <w:link w:val="01-30"/>
    <w:qFormat/>
    <w:rsid w:val="008D0A60"/>
    <w:pPr>
      <w:snapToGrid w:val="0"/>
      <w:spacing w:beforeLines="50" w:before="180" w:line="480" w:lineRule="exact"/>
      <w:ind w:leftChars="100" w:left="240" w:firstLineChars="104" w:firstLine="325"/>
      <w:jc w:val="both"/>
      <w:outlineLvl w:val="2"/>
    </w:pPr>
    <w:rPr>
      <w:rFonts w:ascii="標楷體" w:eastAsia="標楷體" w:hAnsi="標楷體"/>
      <w:b/>
      <w:spacing w:val="-4"/>
      <w:sz w:val="32"/>
      <w:szCs w:val="32"/>
    </w:rPr>
  </w:style>
  <w:style w:type="character" w:customStyle="1" w:styleId="01-60">
    <w:name w:val="01-6 字元"/>
    <w:link w:val="01-6"/>
    <w:rsid w:val="00B93633"/>
    <w:rPr>
      <w:rFonts w:ascii="標楷體" w:eastAsia="標楷體" w:hAnsi="標楷體"/>
      <w:bCs w:val="0"/>
      <w:kern w:val="2"/>
      <w:sz w:val="28"/>
      <w:szCs w:val="28"/>
    </w:rPr>
  </w:style>
  <w:style w:type="paragraph" w:styleId="31">
    <w:name w:val="toc 3"/>
    <w:basedOn w:val="a0"/>
    <w:next w:val="a0"/>
    <w:autoRedefine/>
    <w:uiPriority w:val="39"/>
    <w:unhideWhenUsed/>
    <w:rsid w:val="00755C46"/>
    <w:pPr>
      <w:tabs>
        <w:tab w:val="right" w:leader="dot" w:pos="9629"/>
      </w:tabs>
      <w:spacing w:line="470" w:lineRule="exact"/>
      <w:ind w:leftChars="300" w:left="720"/>
    </w:pPr>
    <w:rPr>
      <w:rFonts w:ascii="標楷體" w:eastAsia="標楷體" w:hAnsi="標楷體"/>
      <w:bCs/>
      <w:noProof/>
      <w:color w:val="000000"/>
      <w:spacing w:val="-4"/>
      <w:sz w:val="28"/>
      <w:szCs w:val="28"/>
    </w:rPr>
  </w:style>
  <w:style w:type="character" w:customStyle="1" w:styleId="01-30">
    <w:name w:val="01-3 字元"/>
    <w:link w:val="01-3"/>
    <w:rsid w:val="008D0A60"/>
    <w:rPr>
      <w:rFonts w:ascii="標楷體" w:eastAsia="標楷體" w:hAnsi="標楷體"/>
      <w:b/>
      <w:spacing w:val="-4"/>
      <w:kern w:val="2"/>
      <w:sz w:val="32"/>
      <w:szCs w:val="32"/>
    </w:rPr>
  </w:style>
  <w:style w:type="paragraph" w:customStyle="1" w:styleId="ac">
    <w:name w:val="立法院公文(備註)"/>
    <w:basedOn w:val="a0"/>
    <w:link w:val="ad"/>
    <w:rsid w:val="00E67357"/>
    <w:pPr>
      <w:snapToGrid w:val="0"/>
      <w:spacing w:line="240" w:lineRule="atLeast"/>
      <w:ind w:left="714" w:hanging="714"/>
    </w:pPr>
    <w:rPr>
      <w:rFonts w:ascii="標楷體" w:eastAsia="標楷體" w:hAnsi="標楷體"/>
      <w:szCs w:val="24"/>
    </w:rPr>
  </w:style>
  <w:style w:type="table" w:styleId="ae">
    <w:name w:val="Table Grid"/>
    <w:basedOn w:val="a2"/>
    <w:uiPriority w:val="59"/>
    <w:rsid w:val="00E673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
    <w:name w:val="立法院(決行)"/>
    <w:basedOn w:val="a0"/>
    <w:rsid w:val="00E67357"/>
    <w:rPr>
      <w:rFonts w:ascii="標楷體" w:eastAsia="標楷體" w:hAnsi="標楷體"/>
      <w:szCs w:val="24"/>
    </w:rPr>
  </w:style>
  <w:style w:type="paragraph" w:customStyle="1" w:styleId="22">
    <w:name w:val="(一)下內文縮2"/>
    <w:basedOn w:val="a0"/>
    <w:link w:val="23"/>
    <w:qFormat/>
    <w:rsid w:val="00E67357"/>
    <w:pPr>
      <w:adjustRightInd w:val="0"/>
      <w:spacing w:line="500" w:lineRule="exact"/>
      <w:ind w:leftChars="300" w:left="300" w:firstLineChars="200" w:firstLine="200"/>
      <w:jc w:val="both"/>
    </w:pPr>
    <w:rPr>
      <w:rFonts w:eastAsia="標楷體"/>
      <w:snapToGrid w:val="0"/>
      <w:sz w:val="28"/>
      <w:szCs w:val="28"/>
    </w:rPr>
  </w:style>
  <w:style w:type="character" w:customStyle="1" w:styleId="23">
    <w:name w:val="(一)下內文縮2 字元"/>
    <w:link w:val="22"/>
    <w:rsid w:val="00E67357"/>
    <w:rPr>
      <w:rFonts w:ascii="Times New Roman" w:eastAsia="標楷體" w:hAnsi="Times New Roman"/>
      <w:snapToGrid w:val="0"/>
      <w:kern w:val="2"/>
      <w:sz w:val="28"/>
      <w:szCs w:val="28"/>
    </w:rPr>
  </w:style>
  <w:style w:type="paragraph" w:styleId="af0">
    <w:name w:val="No Spacing"/>
    <w:uiPriority w:val="1"/>
    <w:qFormat/>
    <w:rsid w:val="00E67357"/>
    <w:pPr>
      <w:widowControl w:val="0"/>
    </w:pPr>
    <w:rPr>
      <w:kern w:val="2"/>
      <w:sz w:val="24"/>
      <w:szCs w:val="22"/>
    </w:rPr>
  </w:style>
  <w:style w:type="character" w:customStyle="1" w:styleId="220">
    <w:name w:val="(一)下內文縮2 字元2"/>
    <w:rsid w:val="00E67357"/>
    <w:rPr>
      <w:rFonts w:ascii="標楷體" w:eastAsia="標楷體" w:hAnsi="Times New Roman"/>
      <w:snapToGrid w:val="0"/>
      <w:kern w:val="2"/>
      <w:sz w:val="28"/>
      <w:szCs w:val="28"/>
    </w:rPr>
  </w:style>
  <w:style w:type="paragraph" w:styleId="HTML">
    <w:name w:val="HTML Preformatted"/>
    <w:basedOn w:val="a0"/>
    <w:link w:val="HTML0"/>
    <w:uiPriority w:val="99"/>
    <w:unhideWhenUsed/>
    <w:rsid w:val="00E6735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link w:val="HTML"/>
    <w:uiPriority w:val="99"/>
    <w:rsid w:val="00E67357"/>
    <w:rPr>
      <w:rFonts w:ascii="細明體" w:eastAsia="細明體" w:hAnsi="細明體" w:cs="細明體"/>
      <w:sz w:val="24"/>
      <w:szCs w:val="24"/>
    </w:rPr>
  </w:style>
  <w:style w:type="character" w:styleId="af1">
    <w:name w:val="annotation reference"/>
    <w:semiHidden/>
    <w:unhideWhenUsed/>
    <w:rsid w:val="00E67357"/>
    <w:rPr>
      <w:sz w:val="18"/>
      <w:szCs w:val="18"/>
    </w:rPr>
  </w:style>
  <w:style w:type="paragraph" w:styleId="af2">
    <w:name w:val="annotation text"/>
    <w:basedOn w:val="a0"/>
    <w:link w:val="af3"/>
    <w:semiHidden/>
    <w:unhideWhenUsed/>
    <w:rsid w:val="00E67357"/>
    <w:rPr>
      <w:rFonts w:ascii="Calibri" w:hAnsi="Calibri"/>
      <w:szCs w:val="22"/>
    </w:rPr>
  </w:style>
  <w:style w:type="character" w:customStyle="1" w:styleId="af3">
    <w:name w:val="註解文字 字元"/>
    <w:link w:val="af2"/>
    <w:semiHidden/>
    <w:rsid w:val="00E67357"/>
    <w:rPr>
      <w:kern w:val="2"/>
      <w:sz w:val="24"/>
      <w:szCs w:val="22"/>
    </w:rPr>
  </w:style>
  <w:style w:type="paragraph" w:styleId="af4">
    <w:name w:val="annotation subject"/>
    <w:basedOn w:val="af2"/>
    <w:next w:val="af2"/>
    <w:link w:val="af5"/>
    <w:semiHidden/>
    <w:unhideWhenUsed/>
    <w:rsid w:val="00E67357"/>
    <w:rPr>
      <w:b/>
      <w:bCs/>
    </w:rPr>
  </w:style>
  <w:style w:type="character" w:customStyle="1" w:styleId="af5">
    <w:name w:val="註解主旨 字元"/>
    <w:link w:val="af4"/>
    <w:semiHidden/>
    <w:rsid w:val="00E67357"/>
    <w:rPr>
      <w:b/>
      <w:bCs/>
      <w:kern w:val="2"/>
      <w:sz w:val="24"/>
      <w:szCs w:val="22"/>
    </w:rPr>
  </w:style>
  <w:style w:type="paragraph" w:customStyle="1" w:styleId="af6">
    <w:name w:val="說明"/>
    <w:basedOn w:val="a0"/>
    <w:next w:val="a0"/>
    <w:rsid w:val="00E67357"/>
    <w:pPr>
      <w:kinsoku w:val="0"/>
      <w:overflowPunct w:val="0"/>
      <w:spacing w:line="420" w:lineRule="exact"/>
      <w:ind w:left="300" w:hangingChars="300" w:hanging="300"/>
      <w:jc w:val="both"/>
      <w:textAlignment w:val="center"/>
    </w:pPr>
    <w:rPr>
      <w:rFonts w:eastAsia="華康細明體"/>
      <w:noProof/>
      <w:kern w:val="0"/>
      <w:sz w:val="21"/>
      <w:szCs w:val="24"/>
    </w:rPr>
  </w:style>
  <w:style w:type="paragraph" w:customStyle="1" w:styleId="af7">
    <w:name w:val="案由(議)"/>
    <w:basedOn w:val="a0"/>
    <w:next w:val="a0"/>
    <w:rsid w:val="00E67357"/>
    <w:pPr>
      <w:kinsoku w:val="0"/>
      <w:overflowPunct w:val="0"/>
      <w:spacing w:line="480" w:lineRule="exact"/>
      <w:ind w:leftChars="250" w:left="550" w:hangingChars="300" w:hanging="300"/>
      <w:jc w:val="both"/>
      <w:textAlignment w:val="center"/>
    </w:pPr>
    <w:rPr>
      <w:rFonts w:eastAsia="華康楷書體W5"/>
      <w:noProof/>
      <w:spacing w:val="2"/>
      <w:kern w:val="0"/>
      <w:sz w:val="28"/>
      <w:szCs w:val="24"/>
    </w:rPr>
  </w:style>
  <w:style w:type="paragraph" w:customStyle="1" w:styleId="af8">
    <w:name w:val="特殊段落"/>
    <w:basedOn w:val="a0"/>
    <w:rsid w:val="00E67357"/>
    <w:pPr>
      <w:kinsoku w:val="0"/>
      <w:overflowPunct w:val="0"/>
      <w:autoSpaceDE w:val="0"/>
      <w:autoSpaceDN w:val="0"/>
      <w:jc w:val="both"/>
    </w:pPr>
    <w:rPr>
      <w:rFonts w:eastAsia="華康細明體"/>
      <w:snapToGrid w:val="0"/>
      <w:szCs w:val="24"/>
    </w:rPr>
  </w:style>
  <w:style w:type="paragraph" w:customStyle="1" w:styleId="14">
    <w:name w:val="表格內文(14行高)"/>
    <w:basedOn w:val="af9"/>
    <w:link w:val="140"/>
    <w:qFormat/>
    <w:rsid w:val="00E67357"/>
    <w:pPr>
      <w:spacing w:line="280" w:lineRule="exact"/>
      <w:ind w:leftChars="0" w:left="0" w:firstLineChars="0" w:firstLine="0"/>
    </w:pPr>
    <w:rPr>
      <w:rFonts w:ascii="標楷體" w:eastAsia="標楷體" w:hAnsi="標楷體"/>
      <w:snapToGrid w:val="0"/>
      <w:szCs w:val="28"/>
    </w:rPr>
  </w:style>
  <w:style w:type="character" w:customStyle="1" w:styleId="140">
    <w:name w:val="表格內文(14行高) 字元"/>
    <w:link w:val="14"/>
    <w:rsid w:val="00E67357"/>
    <w:rPr>
      <w:rFonts w:ascii="標楷體" w:eastAsia="標楷體" w:hAnsi="標楷體"/>
      <w:snapToGrid w:val="0"/>
      <w:kern w:val="2"/>
      <w:sz w:val="24"/>
      <w:szCs w:val="28"/>
    </w:rPr>
  </w:style>
  <w:style w:type="paragraph" w:styleId="af9">
    <w:name w:val="table of figures"/>
    <w:basedOn w:val="a0"/>
    <w:next w:val="a0"/>
    <w:uiPriority w:val="99"/>
    <w:semiHidden/>
    <w:unhideWhenUsed/>
    <w:rsid w:val="00E67357"/>
    <w:pPr>
      <w:ind w:leftChars="400" w:left="400" w:hangingChars="200" w:hanging="200"/>
    </w:pPr>
    <w:rPr>
      <w:rFonts w:ascii="Calibri" w:hAnsi="Calibri"/>
      <w:szCs w:val="22"/>
    </w:rPr>
  </w:style>
  <w:style w:type="paragraph" w:styleId="afa">
    <w:name w:val="Date"/>
    <w:basedOn w:val="a0"/>
    <w:next w:val="a0"/>
    <w:link w:val="afb"/>
    <w:uiPriority w:val="99"/>
    <w:semiHidden/>
    <w:unhideWhenUsed/>
    <w:rsid w:val="00E67357"/>
    <w:pPr>
      <w:jc w:val="right"/>
    </w:pPr>
    <w:rPr>
      <w:rFonts w:ascii="Calibri" w:hAnsi="Calibri"/>
      <w:szCs w:val="22"/>
    </w:rPr>
  </w:style>
  <w:style w:type="character" w:customStyle="1" w:styleId="afb">
    <w:name w:val="日期 字元"/>
    <w:link w:val="afa"/>
    <w:uiPriority w:val="99"/>
    <w:semiHidden/>
    <w:rsid w:val="00E67357"/>
    <w:rPr>
      <w:kern w:val="2"/>
      <w:sz w:val="24"/>
      <w:szCs w:val="22"/>
    </w:rPr>
  </w:style>
  <w:style w:type="paragraph" w:customStyle="1" w:styleId="Default">
    <w:name w:val="Default"/>
    <w:rsid w:val="00E67357"/>
    <w:pPr>
      <w:widowControl w:val="0"/>
      <w:autoSpaceDE w:val="0"/>
      <w:autoSpaceDN w:val="0"/>
      <w:adjustRightInd w:val="0"/>
    </w:pPr>
    <w:rPr>
      <w:rFonts w:ascii="標楷體" w:hAnsi="標楷體" w:cs="標楷體"/>
      <w:color w:val="000000"/>
      <w:sz w:val="24"/>
      <w:szCs w:val="24"/>
    </w:rPr>
  </w:style>
  <w:style w:type="table" w:customStyle="1" w:styleId="12">
    <w:name w:val="表格格線1"/>
    <w:basedOn w:val="a2"/>
    <w:next w:val="ae"/>
    <w:uiPriority w:val="39"/>
    <w:rsid w:val="00E673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格格線11"/>
    <w:basedOn w:val="a2"/>
    <w:next w:val="ae"/>
    <w:uiPriority w:val="39"/>
    <w:rsid w:val="00E67357"/>
    <w:rPr>
      <w:rFonts w:eastAsia="Times New Roman"/>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表格格線2"/>
    <w:basedOn w:val="a2"/>
    <w:next w:val="ae"/>
    <w:uiPriority w:val="39"/>
    <w:rsid w:val="00E67357"/>
    <w:rPr>
      <w:rFonts w:eastAsia="Times New Roman"/>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 (淺色)1"/>
    <w:basedOn w:val="a2"/>
    <w:uiPriority w:val="40"/>
    <w:rsid w:val="00E67357"/>
    <w:rPr>
      <w:kern w:val="2"/>
      <w:sz w:val="24"/>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GridTableLight1">
    <w:name w:val="Grid Table Light1"/>
    <w:basedOn w:val="a2"/>
    <w:uiPriority w:val="40"/>
    <w:rsid w:val="00E67357"/>
    <w:rPr>
      <w:kern w:val="2"/>
      <w:sz w:val="24"/>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numbering" w:customStyle="1" w:styleId="15">
    <w:name w:val="無清單1"/>
    <w:next w:val="a3"/>
    <w:uiPriority w:val="99"/>
    <w:semiHidden/>
    <w:unhideWhenUsed/>
    <w:rsid w:val="00E67357"/>
  </w:style>
  <w:style w:type="table" w:customStyle="1" w:styleId="32">
    <w:name w:val="表格格線3"/>
    <w:basedOn w:val="a2"/>
    <w:next w:val="ae"/>
    <w:uiPriority w:val="39"/>
    <w:rsid w:val="00E673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c">
    <w:name w:val="caption"/>
    <w:basedOn w:val="a0"/>
    <w:next w:val="a0"/>
    <w:uiPriority w:val="35"/>
    <w:unhideWhenUsed/>
    <w:qFormat/>
    <w:rsid w:val="00E67357"/>
    <w:rPr>
      <w:rFonts w:ascii="Calibri" w:hAnsi="Calibri"/>
      <w:sz w:val="20"/>
    </w:rPr>
  </w:style>
  <w:style w:type="table" w:styleId="-1">
    <w:name w:val="Colorful List Accent 1"/>
    <w:basedOn w:val="a2"/>
    <w:uiPriority w:val="72"/>
    <w:rsid w:val="00E67357"/>
    <w:rPr>
      <w:color w:val="00000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111">
    <w:name w:val="純表格 11"/>
    <w:basedOn w:val="a2"/>
    <w:uiPriority w:val="41"/>
    <w:rsid w:val="00E67357"/>
    <w:rPr>
      <w:kern w:val="2"/>
      <w:sz w:val="24"/>
      <w:szCs w:val="22"/>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1">
    <w:name w:val="Plain Table 11"/>
    <w:basedOn w:val="a2"/>
    <w:uiPriority w:val="41"/>
    <w:rsid w:val="00E67357"/>
    <w:rPr>
      <w:kern w:val="2"/>
      <w:sz w:val="24"/>
      <w:szCs w:val="22"/>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310">
    <w:name w:val="表格格線31"/>
    <w:basedOn w:val="a2"/>
    <w:next w:val="ae"/>
    <w:uiPriority w:val="39"/>
    <w:rsid w:val="00E673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2"/>
    <w:next w:val="ae"/>
    <w:uiPriority w:val="39"/>
    <w:rsid w:val="00E673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
    <w:name w:val="無清單2"/>
    <w:next w:val="a3"/>
    <w:uiPriority w:val="99"/>
    <w:semiHidden/>
    <w:unhideWhenUsed/>
    <w:rsid w:val="00E67357"/>
  </w:style>
  <w:style w:type="table" w:customStyle="1" w:styleId="GridTableLight2">
    <w:name w:val="Grid Table Light2"/>
    <w:basedOn w:val="a2"/>
    <w:uiPriority w:val="40"/>
    <w:rsid w:val="00E67357"/>
    <w:rPr>
      <w:kern w:val="2"/>
      <w:sz w:val="24"/>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4">
    <w:name w:val="表格格線4"/>
    <w:basedOn w:val="a2"/>
    <w:next w:val="ae"/>
    <w:uiPriority w:val="39"/>
    <w:rsid w:val="00E673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d">
    <w:name w:val="Body Text"/>
    <w:basedOn w:val="a0"/>
    <w:link w:val="afe"/>
    <w:rsid w:val="00E67357"/>
    <w:rPr>
      <w:rFonts w:eastAsia="標楷體"/>
      <w:sz w:val="34"/>
      <w:szCs w:val="24"/>
    </w:rPr>
  </w:style>
  <w:style w:type="character" w:customStyle="1" w:styleId="afe">
    <w:name w:val="本文 字元"/>
    <w:link w:val="afd"/>
    <w:rsid w:val="00E67357"/>
    <w:rPr>
      <w:rFonts w:ascii="Times New Roman" w:eastAsia="標楷體" w:hAnsi="Times New Roman"/>
      <w:kern w:val="2"/>
      <w:sz w:val="34"/>
      <w:szCs w:val="24"/>
    </w:rPr>
  </w:style>
  <w:style w:type="table" w:customStyle="1" w:styleId="120">
    <w:name w:val="表格格線12"/>
    <w:basedOn w:val="a2"/>
    <w:next w:val="ae"/>
    <w:uiPriority w:val="59"/>
    <w:rsid w:val="00E67357"/>
    <w:rPr>
      <w:rFonts w:eastAsia="Times New Roman"/>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2"/>
    <w:next w:val="ae"/>
    <w:uiPriority w:val="59"/>
    <w:rsid w:val="00E67357"/>
    <w:rPr>
      <w:rFonts w:eastAsia="Times New Roman"/>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表格格線14"/>
    <w:basedOn w:val="a2"/>
    <w:next w:val="ae"/>
    <w:uiPriority w:val="59"/>
    <w:rsid w:val="00E67357"/>
    <w:rPr>
      <w:rFonts w:eastAsia="Times New Roman"/>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表格格線33"/>
    <w:basedOn w:val="a2"/>
    <w:next w:val="ae"/>
    <w:uiPriority w:val="39"/>
    <w:rsid w:val="00E67357"/>
    <w:rPr>
      <w:rFonts w:eastAsia="Times New Roman"/>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
    <w:name w:val="FollowedHyperlink"/>
    <w:unhideWhenUsed/>
    <w:rsid w:val="00E67357"/>
    <w:rPr>
      <w:color w:val="800080"/>
      <w:u w:val="single"/>
    </w:rPr>
  </w:style>
  <w:style w:type="numbering" w:customStyle="1" w:styleId="112">
    <w:name w:val="無清單11"/>
    <w:next w:val="a3"/>
    <w:uiPriority w:val="99"/>
    <w:semiHidden/>
    <w:unhideWhenUsed/>
    <w:rsid w:val="00E67357"/>
  </w:style>
  <w:style w:type="paragraph" w:styleId="aff0">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0"/>
    <w:link w:val="aff1"/>
    <w:rsid w:val="00E67357"/>
    <w:pPr>
      <w:ind w:leftChars="297" w:left="713"/>
    </w:pPr>
    <w:rPr>
      <w:rFonts w:eastAsia="標楷體"/>
      <w:sz w:val="32"/>
      <w:szCs w:val="24"/>
    </w:rPr>
  </w:style>
  <w:style w:type="character" w:customStyle="1" w:styleId="aff1">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 字元,字元 字元1,字元 字元 字元 字元 字元 字元 字元 字元 字元 字元 字元 字元 字元,字元 字元 字元 字元 字元 字元 字元 字元"/>
    <w:link w:val="aff0"/>
    <w:rsid w:val="00E67357"/>
    <w:rPr>
      <w:rFonts w:ascii="Times New Roman" w:eastAsia="標楷體" w:hAnsi="Times New Roman"/>
      <w:kern w:val="2"/>
      <w:sz w:val="32"/>
      <w:szCs w:val="24"/>
    </w:rPr>
  </w:style>
  <w:style w:type="paragraph" w:customStyle="1" w:styleId="aff2">
    <w:name w:val="a"/>
    <w:basedOn w:val="a0"/>
    <w:rsid w:val="00E67357"/>
    <w:pPr>
      <w:widowControl/>
      <w:spacing w:before="100" w:beforeAutospacing="1" w:after="100" w:afterAutospacing="1"/>
    </w:pPr>
    <w:rPr>
      <w:rFonts w:ascii="新細明體" w:hAnsi="新細明體" w:cs="新細明體"/>
      <w:kern w:val="0"/>
      <w:szCs w:val="24"/>
    </w:rPr>
  </w:style>
  <w:style w:type="paragraph" w:customStyle="1" w:styleId="a00">
    <w:name w:val="a0"/>
    <w:basedOn w:val="a0"/>
    <w:rsid w:val="00E67357"/>
    <w:pPr>
      <w:widowControl/>
      <w:spacing w:before="100" w:beforeAutospacing="1" w:after="100" w:afterAutospacing="1"/>
    </w:pPr>
    <w:rPr>
      <w:rFonts w:ascii="新細明體" w:hAnsi="新細明體" w:cs="新細明體"/>
      <w:kern w:val="0"/>
      <w:szCs w:val="24"/>
    </w:rPr>
  </w:style>
  <w:style w:type="paragraph" w:customStyle="1" w:styleId="a10">
    <w:name w:val="a1"/>
    <w:basedOn w:val="a0"/>
    <w:rsid w:val="00E67357"/>
    <w:pPr>
      <w:widowControl/>
      <w:spacing w:before="100" w:beforeAutospacing="1" w:after="100" w:afterAutospacing="1"/>
    </w:pPr>
    <w:rPr>
      <w:rFonts w:ascii="新細明體" w:hAnsi="新細明體" w:cs="新細明體"/>
      <w:kern w:val="0"/>
      <w:szCs w:val="24"/>
    </w:rPr>
  </w:style>
  <w:style w:type="numbering" w:customStyle="1" w:styleId="34">
    <w:name w:val="無清單3"/>
    <w:next w:val="a3"/>
    <w:uiPriority w:val="99"/>
    <w:semiHidden/>
    <w:unhideWhenUsed/>
    <w:rsid w:val="00E67357"/>
  </w:style>
  <w:style w:type="character" w:styleId="aff3">
    <w:name w:val="page number"/>
    <w:rsid w:val="00E67357"/>
  </w:style>
  <w:style w:type="numbering" w:customStyle="1" w:styleId="40">
    <w:name w:val="無清單4"/>
    <w:next w:val="a3"/>
    <w:uiPriority w:val="99"/>
    <w:semiHidden/>
    <w:unhideWhenUsed/>
    <w:rsid w:val="00E67357"/>
  </w:style>
  <w:style w:type="paragraph" w:customStyle="1" w:styleId="011">
    <w:name w:val="01提案1"/>
    <w:basedOn w:val="a0"/>
    <w:link w:val="0110"/>
    <w:qFormat/>
    <w:rsid w:val="00E67357"/>
    <w:pPr>
      <w:kinsoku w:val="0"/>
      <w:overflowPunct w:val="0"/>
      <w:spacing w:before="120" w:line="500" w:lineRule="exact"/>
      <w:ind w:leftChars="150" w:left="1000" w:hangingChars="200" w:hanging="640"/>
      <w:jc w:val="both"/>
      <w:textAlignment w:val="center"/>
    </w:pPr>
    <w:rPr>
      <w:rFonts w:ascii="標楷體" w:eastAsia="標楷體" w:hAnsi="標楷體"/>
      <w:snapToGrid w:val="0"/>
      <w:sz w:val="32"/>
      <w:szCs w:val="32"/>
    </w:rPr>
  </w:style>
  <w:style w:type="paragraph" w:customStyle="1" w:styleId="02-2">
    <w:name w:val="02-提案2段"/>
    <w:basedOn w:val="011"/>
    <w:link w:val="02-20"/>
    <w:qFormat/>
    <w:rsid w:val="00E67357"/>
    <w:pPr>
      <w:spacing w:before="0"/>
      <w:ind w:leftChars="450" w:left="1080" w:firstLineChars="200" w:firstLine="640"/>
    </w:pPr>
  </w:style>
  <w:style w:type="character" w:customStyle="1" w:styleId="0110">
    <w:name w:val="01提案1 字元"/>
    <w:link w:val="011"/>
    <w:rsid w:val="00E67357"/>
    <w:rPr>
      <w:rFonts w:ascii="標楷體" w:eastAsia="標楷體" w:hAnsi="標楷體"/>
      <w:snapToGrid w:val="0"/>
      <w:kern w:val="2"/>
      <w:sz w:val="32"/>
      <w:szCs w:val="32"/>
    </w:rPr>
  </w:style>
  <w:style w:type="paragraph" w:customStyle="1" w:styleId="03-1">
    <w:name w:val="03-提案人1"/>
    <w:basedOn w:val="a0"/>
    <w:link w:val="03-10"/>
    <w:qFormat/>
    <w:rsid w:val="00E67357"/>
    <w:pPr>
      <w:snapToGrid w:val="0"/>
      <w:spacing w:line="460" w:lineRule="exact"/>
      <w:ind w:leftChars="1250" w:left="4280" w:hangingChars="400" w:hanging="1280"/>
      <w:jc w:val="both"/>
    </w:pPr>
    <w:rPr>
      <w:rFonts w:ascii="標楷體" w:eastAsia="標楷體" w:hAnsi="標楷體"/>
      <w:sz w:val="32"/>
      <w:szCs w:val="32"/>
    </w:rPr>
  </w:style>
  <w:style w:type="character" w:customStyle="1" w:styleId="02-20">
    <w:name w:val="02-提案2段 字元"/>
    <w:link w:val="02-2"/>
    <w:rsid w:val="00E67357"/>
    <w:rPr>
      <w:rFonts w:ascii="標楷體" w:eastAsia="標楷體" w:hAnsi="標楷體"/>
      <w:snapToGrid w:val="0"/>
      <w:kern w:val="2"/>
      <w:sz w:val="32"/>
      <w:szCs w:val="32"/>
    </w:rPr>
  </w:style>
  <w:style w:type="paragraph" w:customStyle="1" w:styleId="04-2">
    <w:name w:val="04-提案人2"/>
    <w:basedOn w:val="a0"/>
    <w:link w:val="04-20"/>
    <w:qFormat/>
    <w:rsid w:val="00E67357"/>
    <w:pPr>
      <w:kinsoku w:val="0"/>
      <w:overflowPunct w:val="0"/>
      <w:spacing w:before="120" w:line="500" w:lineRule="exact"/>
      <w:ind w:leftChars="1750" w:left="4840" w:hangingChars="200" w:hanging="640"/>
      <w:jc w:val="both"/>
      <w:textAlignment w:val="center"/>
    </w:pPr>
    <w:rPr>
      <w:rFonts w:ascii="標楷體" w:eastAsia="標楷體" w:hAnsi="標楷體"/>
      <w:snapToGrid w:val="0"/>
      <w:sz w:val="32"/>
      <w:szCs w:val="32"/>
    </w:rPr>
  </w:style>
  <w:style w:type="character" w:customStyle="1" w:styleId="03-10">
    <w:name w:val="03-提案人1 字元"/>
    <w:link w:val="03-1"/>
    <w:rsid w:val="00E67357"/>
    <w:rPr>
      <w:rFonts w:ascii="標楷體" w:eastAsia="標楷體" w:hAnsi="標楷體"/>
      <w:kern w:val="2"/>
      <w:sz w:val="32"/>
      <w:szCs w:val="32"/>
    </w:rPr>
  </w:style>
  <w:style w:type="character" w:customStyle="1" w:styleId="04-20">
    <w:name w:val="04-提案人2 字元"/>
    <w:link w:val="04-2"/>
    <w:rsid w:val="00E67357"/>
    <w:rPr>
      <w:rFonts w:ascii="標楷體" w:eastAsia="標楷體" w:hAnsi="標楷體"/>
      <w:snapToGrid w:val="0"/>
      <w:kern w:val="2"/>
      <w:sz w:val="32"/>
      <w:szCs w:val="32"/>
    </w:rPr>
  </w:style>
  <w:style w:type="paragraph" w:customStyle="1" w:styleId="01-4">
    <w:name w:val="01-4"/>
    <w:basedOn w:val="ac"/>
    <w:link w:val="01-40"/>
    <w:qFormat/>
    <w:rsid w:val="00DB3FA5"/>
    <w:pPr>
      <w:spacing w:beforeLines="20" w:before="72" w:afterLines="20" w:after="72" w:line="500" w:lineRule="exact"/>
      <w:ind w:leftChars="400" w:left="960" w:firstLineChars="25" w:firstLine="74"/>
      <w:jc w:val="both"/>
      <w:outlineLvl w:val="2"/>
    </w:pPr>
    <w:rPr>
      <w:b/>
      <w:bCs/>
      <w:spacing w:val="-12"/>
      <w:sz w:val="32"/>
      <w:szCs w:val="32"/>
    </w:rPr>
  </w:style>
  <w:style w:type="paragraph" w:styleId="26">
    <w:name w:val="Body Text Indent 2"/>
    <w:basedOn w:val="a0"/>
    <w:link w:val="27"/>
    <w:rsid w:val="009112A3"/>
    <w:pPr>
      <w:ind w:left="480" w:hanging="480"/>
      <w:jc w:val="both"/>
    </w:pPr>
    <w:rPr>
      <w:rFonts w:eastAsia="標楷體"/>
      <w:sz w:val="32"/>
    </w:rPr>
  </w:style>
  <w:style w:type="character" w:customStyle="1" w:styleId="ad">
    <w:name w:val="立法院公文(備註) 字元"/>
    <w:link w:val="ac"/>
    <w:rsid w:val="00A96164"/>
    <w:rPr>
      <w:rFonts w:ascii="標楷體" w:eastAsia="標楷體" w:hAnsi="標楷體"/>
      <w:kern w:val="2"/>
      <w:sz w:val="24"/>
      <w:szCs w:val="24"/>
    </w:rPr>
  </w:style>
  <w:style w:type="character" w:customStyle="1" w:styleId="01-40">
    <w:name w:val="01-4 字元"/>
    <w:link w:val="01-4"/>
    <w:rsid w:val="00DB3FA5"/>
    <w:rPr>
      <w:rFonts w:ascii="標楷體" w:eastAsia="標楷體" w:hAnsi="標楷體"/>
      <w:b/>
      <w:bCs/>
      <w:spacing w:val="-12"/>
      <w:kern w:val="2"/>
      <w:sz w:val="32"/>
      <w:szCs w:val="32"/>
    </w:rPr>
  </w:style>
  <w:style w:type="character" w:customStyle="1" w:styleId="27">
    <w:name w:val="本文縮排 2 字元"/>
    <w:link w:val="26"/>
    <w:rsid w:val="009112A3"/>
    <w:rPr>
      <w:rFonts w:ascii="Times New Roman" w:eastAsia="標楷體" w:hAnsi="Times New Roman"/>
      <w:kern w:val="2"/>
      <w:sz w:val="32"/>
    </w:rPr>
  </w:style>
  <w:style w:type="paragraph" w:styleId="aff4">
    <w:name w:val="Block Text"/>
    <w:basedOn w:val="a0"/>
    <w:rsid w:val="009112A3"/>
    <w:pPr>
      <w:ind w:left="92" w:right="92"/>
      <w:jc w:val="both"/>
    </w:pPr>
    <w:rPr>
      <w:rFonts w:eastAsia="標楷體"/>
      <w:sz w:val="32"/>
    </w:rPr>
  </w:style>
  <w:style w:type="paragraph" w:styleId="35">
    <w:name w:val="Body Text Indent 3"/>
    <w:basedOn w:val="a0"/>
    <w:link w:val="36"/>
    <w:rsid w:val="009112A3"/>
    <w:pPr>
      <w:ind w:leftChars="38" w:left="731" w:hangingChars="200" w:hanging="640"/>
      <w:jc w:val="both"/>
    </w:pPr>
    <w:rPr>
      <w:rFonts w:eastAsia="標楷體"/>
      <w:sz w:val="32"/>
    </w:rPr>
  </w:style>
  <w:style w:type="character" w:customStyle="1" w:styleId="36">
    <w:name w:val="本文縮排 3 字元"/>
    <w:link w:val="35"/>
    <w:rsid w:val="009112A3"/>
    <w:rPr>
      <w:rFonts w:ascii="Times New Roman" w:eastAsia="標楷體" w:hAnsi="Times New Roman"/>
      <w:kern w:val="2"/>
      <w:sz w:val="32"/>
    </w:rPr>
  </w:style>
  <w:style w:type="paragraph" w:customStyle="1" w:styleId="aff5">
    <w:name w:val="立法院公文(機關全銜)"/>
    <w:basedOn w:val="a0"/>
    <w:rsid w:val="009112A3"/>
    <w:rPr>
      <w:rFonts w:ascii="標楷體" w:eastAsia="標楷體" w:hAnsi="標楷體"/>
      <w:sz w:val="40"/>
      <w:szCs w:val="24"/>
    </w:rPr>
  </w:style>
  <w:style w:type="paragraph" w:customStyle="1" w:styleId="aff6">
    <w:name w:val="立法院公文(機關地址)"/>
    <w:basedOn w:val="a0"/>
    <w:rsid w:val="009112A3"/>
    <w:pPr>
      <w:ind w:leftChars="3000" w:left="3000"/>
    </w:pPr>
    <w:rPr>
      <w:rFonts w:ascii="標楷體" w:eastAsia="標楷體" w:hAnsi="標楷體"/>
      <w:sz w:val="28"/>
      <w:szCs w:val="24"/>
    </w:rPr>
  </w:style>
  <w:style w:type="paragraph" w:customStyle="1" w:styleId="aff7">
    <w:name w:val="立法院公文(傳真)"/>
    <w:basedOn w:val="a0"/>
    <w:rsid w:val="009112A3"/>
    <w:pPr>
      <w:ind w:leftChars="3000" w:left="3000"/>
    </w:pPr>
    <w:rPr>
      <w:rFonts w:ascii="標楷體" w:eastAsia="標楷體" w:hAnsi="標楷體"/>
      <w:sz w:val="28"/>
      <w:szCs w:val="24"/>
    </w:rPr>
  </w:style>
  <w:style w:type="paragraph" w:customStyle="1" w:styleId="aff8">
    <w:name w:val="立法院公文(受文者)"/>
    <w:basedOn w:val="a0"/>
    <w:next w:val="a0"/>
    <w:rsid w:val="009112A3"/>
    <w:pPr>
      <w:ind w:left="1134" w:hanging="1134"/>
    </w:pPr>
    <w:rPr>
      <w:rFonts w:ascii="標楷體" w:eastAsia="標楷體" w:hAnsi="標楷體"/>
      <w:sz w:val="32"/>
      <w:szCs w:val="24"/>
    </w:rPr>
  </w:style>
  <w:style w:type="paragraph" w:customStyle="1" w:styleId="aff9">
    <w:name w:val="立法院公文(速別)"/>
    <w:basedOn w:val="a0"/>
    <w:rsid w:val="009112A3"/>
    <w:pPr>
      <w:ind w:left="731" w:hanging="731"/>
    </w:pPr>
    <w:rPr>
      <w:rFonts w:ascii="標楷體" w:eastAsia="標楷體" w:hAnsi="標楷體"/>
      <w:sz w:val="28"/>
      <w:szCs w:val="24"/>
    </w:rPr>
  </w:style>
  <w:style w:type="paragraph" w:customStyle="1" w:styleId="affa">
    <w:name w:val="立法院公文(密等)"/>
    <w:basedOn w:val="a0"/>
    <w:rsid w:val="009112A3"/>
    <w:pPr>
      <w:ind w:left="1945" w:hanging="1945"/>
    </w:pPr>
    <w:rPr>
      <w:rFonts w:ascii="標楷體" w:eastAsia="標楷體" w:hAnsi="標楷體"/>
      <w:szCs w:val="24"/>
    </w:rPr>
  </w:style>
  <w:style w:type="paragraph" w:customStyle="1" w:styleId="affb">
    <w:name w:val="立法院公文(發文字號)"/>
    <w:basedOn w:val="a0"/>
    <w:rsid w:val="009112A3"/>
    <w:pPr>
      <w:ind w:left="1213" w:hanging="1213"/>
    </w:pPr>
    <w:rPr>
      <w:rFonts w:ascii="標楷體" w:eastAsia="標楷體" w:hAnsi="標楷體"/>
      <w:szCs w:val="24"/>
    </w:rPr>
  </w:style>
  <w:style w:type="paragraph" w:customStyle="1" w:styleId="affc">
    <w:name w:val="立法院公文(附件)"/>
    <w:basedOn w:val="a0"/>
    <w:next w:val="a0"/>
    <w:rsid w:val="009112A3"/>
    <w:pPr>
      <w:ind w:left="731" w:hanging="731"/>
    </w:pPr>
    <w:rPr>
      <w:rFonts w:ascii="標楷體" w:eastAsia="標楷體" w:hAnsi="標楷體"/>
      <w:szCs w:val="24"/>
    </w:rPr>
  </w:style>
  <w:style w:type="paragraph" w:customStyle="1" w:styleId="a">
    <w:name w:val="立法院公文(接續段落_說明)"/>
    <w:basedOn w:val="a0"/>
    <w:rsid w:val="009112A3"/>
    <w:pPr>
      <w:numPr>
        <w:numId w:val="1"/>
      </w:numPr>
      <w:spacing w:line="560" w:lineRule="exact"/>
      <w:ind w:left="919" w:hanging="635"/>
    </w:pPr>
    <w:rPr>
      <w:rFonts w:ascii="標楷體" w:eastAsia="標楷體" w:hAnsi="標楷體"/>
      <w:sz w:val="32"/>
      <w:szCs w:val="24"/>
    </w:rPr>
  </w:style>
  <w:style w:type="paragraph" w:customStyle="1" w:styleId="affd">
    <w:name w:val="立法院公文(說明)"/>
    <w:basedOn w:val="a0"/>
    <w:next w:val="a"/>
    <w:rsid w:val="009112A3"/>
    <w:pPr>
      <w:spacing w:line="560" w:lineRule="exact"/>
      <w:ind w:left="992" w:hanging="992"/>
    </w:pPr>
    <w:rPr>
      <w:rFonts w:ascii="標楷體" w:eastAsia="標楷體" w:hAnsi="標楷體"/>
      <w:sz w:val="32"/>
      <w:szCs w:val="24"/>
    </w:rPr>
  </w:style>
  <w:style w:type="paragraph" w:customStyle="1" w:styleId="affe">
    <w:name w:val="立法院公文(正本)"/>
    <w:basedOn w:val="a0"/>
    <w:rsid w:val="009112A3"/>
    <w:pPr>
      <w:ind w:left="731" w:hanging="731"/>
    </w:pPr>
    <w:rPr>
      <w:rFonts w:ascii="標楷體" w:eastAsia="標楷體" w:hAnsi="標楷體"/>
      <w:szCs w:val="24"/>
    </w:rPr>
  </w:style>
  <w:style w:type="paragraph" w:styleId="28">
    <w:name w:val="Body Text 2"/>
    <w:basedOn w:val="a0"/>
    <w:link w:val="29"/>
    <w:rsid w:val="009112A3"/>
    <w:pPr>
      <w:spacing w:line="400" w:lineRule="exact"/>
      <w:jc w:val="both"/>
    </w:pPr>
    <w:rPr>
      <w:rFonts w:ascii="標楷體" w:eastAsia="標楷體"/>
      <w:sz w:val="28"/>
    </w:rPr>
  </w:style>
  <w:style w:type="character" w:customStyle="1" w:styleId="29">
    <w:name w:val="本文 2 字元"/>
    <w:link w:val="28"/>
    <w:rsid w:val="009112A3"/>
    <w:rPr>
      <w:rFonts w:ascii="標楷體" w:eastAsia="標楷體" w:hAnsi="Times New Roman"/>
      <w:kern w:val="2"/>
      <w:sz w:val="28"/>
    </w:rPr>
  </w:style>
  <w:style w:type="paragraph" w:customStyle="1" w:styleId="afff">
    <w:name w:val="立法院公文(開會事由)"/>
    <w:basedOn w:val="a0"/>
    <w:rsid w:val="009112A3"/>
    <w:pPr>
      <w:spacing w:line="560" w:lineRule="exact"/>
      <w:ind w:left="1661" w:hanging="1661"/>
    </w:pPr>
    <w:rPr>
      <w:rFonts w:ascii="標楷體" w:eastAsia="標楷體" w:hAnsi="標楷體"/>
      <w:sz w:val="32"/>
      <w:szCs w:val="24"/>
    </w:rPr>
  </w:style>
  <w:style w:type="paragraph" w:customStyle="1" w:styleId="afff0">
    <w:name w:val="立法院公文(開會地點)"/>
    <w:basedOn w:val="a0"/>
    <w:rsid w:val="009112A3"/>
    <w:pPr>
      <w:spacing w:line="560" w:lineRule="exact"/>
      <w:ind w:left="1661" w:hanging="1661"/>
    </w:pPr>
    <w:rPr>
      <w:rFonts w:ascii="標楷體" w:eastAsia="標楷體" w:hAnsi="標楷體"/>
      <w:sz w:val="32"/>
      <w:szCs w:val="24"/>
    </w:rPr>
  </w:style>
  <w:style w:type="paragraph" w:customStyle="1" w:styleId="afff1">
    <w:name w:val="立法院公文(會議名稱)"/>
    <w:basedOn w:val="a0"/>
    <w:rsid w:val="009112A3"/>
    <w:pPr>
      <w:spacing w:line="640" w:lineRule="exact"/>
      <w:ind w:left="1661" w:hanging="1661"/>
    </w:pPr>
    <w:rPr>
      <w:rFonts w:ascii="標楷體" w:eastAsia="標楷體" w:hAnsi="標楷體"/>
      <w:b/>
      <w:bCs/>
      <w:sz w:val="32"/>
      <w:szCs w:val="24"/>
    </w:rPr>
  </w:style>
  <w:style w:type="paragraph" w:styleId="37">
    <w:name w:val="Body Text 3"/>
    <w:basedOn w:val="a0"/>
    <w:link w:val="38"/>
    <w:rsid w:val="009112A3"/>
    <w:pPr>
      <w:jc w:val="both"/>
    </w:pPr>
    <w:rPr>
      <w:rFonts w:ascii="標楷體" w:eastAsia="標楷體" w:hAnsi="標楷體"/>
      <w:bCs/>
      <w:color w:val="000000"/>
      <w:sz w:val="28"/>
      <w:szCs w:val="28"/>
    </w:rPr>
  </w:style>
  <w:style w:type="character" w:customStyle="1" w:styleId="38">
    <w:name w:val="本文 3 字元"/>
    <w:link w:val="37"/>
    <w:rsid w:val="009112A3"/>
    <w:rPr>
      <w:rFonts w:ascii="標楷體" w:eastAsia="標楷體" w:hAnsi="標楷體"/>
      <w:bCs/>
      <w:color w:val="000000"/>
      <w:kern w:val="2"/>
      <w:sz w:val="28"/>
      <w:szCs w:val="28"/>
    </w:rPr>
  </w:style>
  <w:style w:type="paragraph" w:customStyle="1" w:styleId="2a">
    <w:name w:val="字元2 字元 字元 字元 字元 字元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2b">
    <w:name w:val="字元 字元2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2c">
    <w:name w:val="字元 字元2 字元 字元 字元 字元 字元 字元 字元 字元 字元 字元 字元 字元 字元 字元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2d">
    <w:name w:val="字元 字元2 字元 字元 字元 字元 字元 字元 字元 字元 字元 字元 字元 字元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2e">
    <w:name w:val="字元 字元2 字元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afff2">
    <w:name w:val="表格第一列(文字分散)"/>
    <w:basedOn w:val="a0"/>
    <w:next w:val="a0"/>
    <w:rsid w:val="009112A3"/>
    <w:pPr>
      <w:kinsoku w:val="0"/>
      <w:overflowPunct w:val="0"/>
      <w:autoSpaceDE w:val="0"/>
      <w:autoSpaceDN w:val="0"/>
      <w:spacing w:line="315" w:lineRule="exact"/>
      <w:ind w:leftChars="50" w:left="50" w:rightChars="50" w:right="50"/>
      <w:jc w:val="distribute"/>
      <w:textAlignment w:val="center"/>
    </w:pPr>
    <w:rPr>
      <w:rFonts w:ascii="華康楷書體W5" w:eastAsia="華康楷書體W5"/>
      <w:snapToGrid w:val="0"/>
      <w:sz w:val="28"/>
      <w:szCs w:val="24"/>
    </w:rPr>
  </w:style>
  <w:style w:type="paragraph" w:customStyle="1" w:styleId="afff3">
    <w:name w:val="甲"/>
    <w:basedOn w:val="a0"/>
    <w:rsid w:val="009112A3"/>
    <w:pPr>
      <w:keepNext/>
      <w:spacing w:beforeLines="50" w:before="180" w:afterLines="50" w:after="180" w:line="400" w:lineRule="exact"/>
      <w:jc w:val="center"/>
      <w:outlineLvl w:val="1"/>
    </w:pPr>
    <w:rPr>
      <w:rFonts w:ascii="標楷體" w:eastAsia="標楷體" w:hAnsi="標楷體"/>
      <w:b/>
      <w:bCs/>
      <w:color w:val="FF0000"/>
      <w:sz w:val="28"/>
      <w:szCs w:val="28"/>
    </w:rPr>
  </w:style>
  <w:style w:type="paragraph" w:customStyle="1" w:styleId="afff4">
    <w:name w:val="報告事項次目錄(內文)"/>
    <w:basedOn w:val="a0"/>
    <w:next w:val="a0"/>
    <w:rsid w:val="009112A3"/>
    <w:pPr>
      <w:kinsoku w:val="0"/>
      <w:wordWrap w:val="0"/>
      <w:overflowPunct w:val="0"/>
      <w:autoSpaceDE w:val="0"/>
      <w:ind w:leftChars="400" w:left="400" w:rightChars="100" w:right="100"/>
      <w:jc w:val="both"/>
    </w:pPr>
    <w:rPr>
      <w:rFonts w:ascii="華康楷書體W5" w:eastAsia="華康楷書體W5"/>
      <w:kern w:val="0"/>
      <w:sz w:val="28"/>
      <w:szCs w:val="24"/>
    </w:rPr>
  </w:style>
  <w:style w:type="paragraph" w:customStyle="1" w:styleId="afff5">
    <w:name w:val="報告事項次目錄(項目符號)"/>
    <w:basedOn w:val="a0"/>
    <w:next w:val="a0"/>
    <w:rsid w:val="009112A3"/>
    <w:pPr>
      <w:kinsoku w:val="0"/>
      <w:wordWrap w:val="0"/>
      <w:overflowPunct w:val="0"/>
      <w:autoSpaceDE w:val="0"/>
      <w:ind w:leftChars="200" w:left="1120" w:rightChars="100" w:right="280" w:hangingChars="200" w:hanging="560"/>
      <w:jc w:val="both"/>
    </w:pPr>
    <w:rPr>
      <w:rFonts w:ascii="華康楷書體W5" w:eastAsia="華康楷書體W5"/>
      <w:kern w:val="0"/>
      <w:sz w:val="28"/>
      <w:szCs w:val="24"/>
    </w:rPr>
  </w:style>
  <w:style w:type="paragraph" w:styleId="41">
    <w:name w:val="toc 4"/>
    <w:basedOn w:val="a0"/>
    <w:next w:val="a0"/>
    <w:autoRedefine/>
    <w:uiPriority w:val="39"/>
    <w:unhideWhenUsed/>
    <w:rsid w:val="00732884"/>
    <w:pPr>
      <w:ind w:leftChars="600" w:left="1440"/>
    </w:pPr>
    <w:rPr>
      <w:rFonts w:ascii="Calibri" w:hAnsi="Calibri"/>
      <w:szCs w:val="22"/>
    </w:rPr>
  </w:style>
  <w:style w:type="paragraph" w:styleId="51">
    <w:name w:val="toc 5"/>
    <w:basedOn w:val="a0"/>
    <w:next w:val="a0"/>
    <w:autoRedefine/>
    <w:uiPriority w:val="39"/>
    <w:unhideWhenUsed/>
    <w:rsid w:val="00732884"/>
    <w:pPr>
      <w:ind w:leftChars="800" w:left="1920"/>
    </w:pPr>
    <w:rPr>
      <w:rFonts w:ascii="Calibri" w:hAnsi="Calibri"/>
      <w:szCs w:val="22"/>
    </w:rPr>
  </w:style>
  <w:style w:type="paragraph" w:styleId="6">
    <w:name w:val="toc 6"/>
    <w:basedOn w:val="a0"/>
    <w:next w:val="a0"/>
    <w:autoRedefine/>
    <w:uiPriority w:val="39"/>
    <w:unhideWhenUsed/>
    <w:rsid w:val="00732884"/>
    <w:pPr>
      <w:ind w:leftChars="1000" w:left="2400"/>
    </w:pPr>
    <w:rPr>
      <w:rFonts w:ascii="Calibri" w:hAnsi="Calibri"/>
      <w:szCs w:val="22"/>
    </w:rPr>
  </w:style>
  <w:style w:type="paragraph" w:styleId="7">
    <w:name w:val="toc 7"/>
    <w:basedOn w:val="a0"/>
    <w:next w:val="a0"/>
    <w:autoRedefine/>
    <w:uiPriority w:val="39"/>
    <w:unhideWhenUsed/>
    <w:rsid w:val="00732884"/>
    <w:pPr>
      <w:ind w:leftChars="1200" w:left="2880"/>
    </w:pPr>
    <w:rPr>
      <w:rFonts w:ascii="Calibri" w:hAnsi="Calibri"/>
      <w:szCs w:val="22"/>
    </w:rPr>
  </w:style>
  <w:style w:type="paragraph" w:styleId="8">
    <w:name w:val="toc 8"/>
    <w:basedOn w:val="a0"/>
    <w:next w:val="a0"/>
    <w:autoRedefine/>
    <w:uiPriority w:val="39"/>
    <w:unhideWhenUsed/>
    <w:rsid w:val="00732884"/>
    <w:pPr>
      <w:ind w:leftChars="1400" w:left="3360"/>
    </w:pPr>
    <w:rPr>
      <w:rFonts w:ascii="Calibri" w:hAnsi="Calibri"/>
      <w:szCs w:val="22"/>
    </w:rPr>
  </w:style>
  <w:style w:type="paragraph" w:styleId="9">
    <w:name w:val="toc 9"/>
    <w:basedOn w:val="a0"/>
    <w:next w:val="a0"/>
    <w:autoRedefine/>
    <w:uiPriority w:val="39"/>
    <w:unhideWhenUsed/>
    <w:rsid w:val="00732884"/>
    <w:pPr>
      <w:ind w:leftChars="1600" w:left="3840"/>
    </w:pPr>
    <w:rPr>
      <w:rFonts w:ascii="Calibri" w:hAnsi="Calibri"/>
      <w:szCs w:val="22"/>
    </w:rPr>
  </w:style>
  <w:style w:type="paragraph" w:styleId="Web">
    <w:name w:val="Normal (Web)"/>
    <w:basedOn w:val="a0"/>
    <w:uiPriority w:val="99"/>
    <w:semiHidden/>
    <w:unhideWhenUsed/>
    <w:rsid w:val="00DD1784"/>
    <w:rPr>
      <w:szCs w:val="24"/>
    </w:rPr>
  </w:style>
  <w:style w:type="paragraph" w:customStyle="1" w:styleId="01-45">
    <w:name w:val="01-4.5(會次)"/>
    <w:basedOn w:val="01-4"/>
    <w:link w:val="01-450"/>
    <w:qFormat/>
    <w:rsid w:val="00C676FB"/>
    <w:pPr>
      <w:ind w:leftChars="0" w:left="0"/>
    </w:pPr>
  </w:style>
  <w:style w:type="paragraph" w:customStyle="1" w:styleId="01-">
    <w:name w:val="01-議事錄標題"/>
    <w:basedOn w:val="a0"/>
    <w:link w:val="01-0"/>
    <w:qFormat/>
    <w:rsid w:val="0068198C"/>
    <w:pPr>
      <w:snapToGrid w:val="0"/>
      <w:spacing w:line="460" w:lineRule="exact"/>
      <w:ind w:left="1520" w:hangingChars="506" w:hanging="1520"/>
      <w:jc w:val="both"/>
    </w:pPr>
    <w:rPr>
      <w:rFonts w:ascii="標楷體" w:eastAsia="標楷體" w:hAnsi="標楷體"/>
      <w:b/>
      <w:bCs/>
      <w:spacing w:val="-10"/>
      <w:sz w:val="32"/>
      <w:szCs w:val="32"/>
    </w:rPr>
  </w:style>
  <w:style w:type="character" w:customStyle="1" w:styleId="01-450">
    <w:name w:val="01-4.5(會次) 字元"/>
    <w:basedOn w:val="01-40"/>
    <w:link w:val="01-45"/>
    <w:rsid w:val="00C676FB"/>
    <w:rPr>
      <w:rFonts w:ascii="標楷體" w:eastAsia="標楷體" w:hAnsi="標楷體"/>
      <w:b/>
      <w:bCs/>
      <w:spacing w:val="-12"/>
      <w:kern w:val="2"/>
      <w:sz w:val="32"/>
      <w:szCs w:val="32"/>
    </w:rPr>
  </w:style>
  <w:style w:type="paragraph" w:customStyle="1" w:styleId="02-">
    <w:name w:val="02-時間"/>
    <w:basedOn w:val="a0"/>
    <w:link w:val="02-0"/>
    <w:qFormat/>
    <w:rsid w:val="0068198C"/>
    <w:pPr>
      <w:snapToGrid w:val="0"/>
      <w:spacing w:line="460" w:lineRule="exact"/>
      <w:ind w:left="1619" w:hangingChars="506" w:hanging="1619"/>
      <w:jc w:val="both"/>
    </w:pPr>
    <w:rPr>
      <w:rFonts w:ascii="標楷體" w:eastAsia="標楷體" w:hAnsi="標楷體"/>
      <w:sz w:val="32"/>
      <w:szCs w:val="32"/>
    </w:rPr>
  </w:style>
  <w:style w:type="character" w:customStyle="1" w:styleId="01-0">
    <w:name w:val="01-議事錄標題 字元"/>
    <w:link w:val="01-"/>
    <w:rsid w:val="0068198C"/>
    <w:rPr>
      <w:rFonts w:ascii="標楷體" w:eastAsia="標楷體" w:hAnsi="標楷體"/>
      <w:b/>
      <w:bCs/>
      <w:spacing w:val="-10"/>
      <w:kern w:val="2"/>
      <w:sz w:val="32"/>
      <w:szCs w:val="32"/>
    </w:rPr>
  </w:style>
  <w:style w:type="character" w:customStyle="1" w:styleId="02-0">
    <w:name w:val="02-時間 字元"/>
    <w:link w:val="02-"/>
    <w:rsid w:val="0068198C"/>
    <w:rPr>
      <w:rFonts w:ascii="標楷體" w:eastAsia="標楷體" w:hAnsi="標楷體"/>
      <w:kern w:val="2"/>
      <w:sz w:val="32"/>
      <w:szCs w:val="32"/>
    </w:rPr>
  </w:style>
  <w:style w:type="paragraph" w:customStyle="1" w:styleId="2f">
    <w:name w:val="字元2 字元 字元 字元 字元 字元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customStyle="1" w:styleId="2f0">
    <w:name w:val="字元 字元2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customStyle="1" w:styleId="2f1">
    <w:name w:val="字元 字元2 字元 字元 字元 字元 字元 字元 字元 字元 字元 字元 字元 字元 字元 字元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customStyle="1" w:styleId="2f2">
    <w:name w:val="字元 字元2 字元 字元 字元 字元 字元 字元 字元 字元 字元 字元 字元 字元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customStyle="1" w:styleId="2f3">
    <w:name w:val="字元 字元2 字元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styleId="afff6">
    <w:name w:val="Revision"/>
    <w:hidden/>
    <w:uiPriority w:val="99"/>
    <w:semiHidden/>
    <w:rsid w:val="00B626E9"/>
    <w:rPr>
      <w:rFonts w:ascii="Times New Roman" w:hAnsi="Times New Roman"/>
      <w:kern w:val="2"/>
      <w:sz w:val="24"/>
    </w:rPr>
  </w:style>
  <w:style w:type="paragraph" w:customStyle="1" w:styleId="2f4">
    <w:name w:val="字元2 字元 字元 字元 字元 字元 字元 字元 字元"/>
    <w:basedOn w:val="a0"/>
    <w:semiHidden/>
    <w:rsid w:val="003F6A26"/>
    <w:pPr>
      <w:widowControl/>
      <w:spacing w:after="160" w:line="240" w:lineRule="exact"/>
    </w:pPr>
    <w:rPr>
      <w:rFonts w:ascii="Verdana" w:eastAsia="Times New Roman" w:hAnsi="Verdana"/>
      <w:kern w:val="0"/>
      <w:sz w:val="20"/>
      <w:lang w:eastAsia="en-US"/>
    </w:rPr>
  </w:style>
  <w:style w:type="paragraph" w:customStyle="1" w:styleId="2f5">
    <w:name w:val="字元 字元2 字元 字元 字元"/>
    <w:basedOn w:val="a0"/>
    <w:semiHidden/>
    <w:rsid w:val="003F6A26"/>
    <w:pPr>
      <w:widowControl/>
      <w:spacing w:after="160" w:line="240" w:lineRule="exact"/>
    </w:pPr>
    <w:rPr>
      <w:rFonts w:ascii="Verdana" w:eastAsia="Times New Roman" w:hAnsi="Verdana"/>
      <w:kern w:val="0"/>
      <w:sz w:val="20"/>
      <w:lang w:eastAsia="en-US"/>
    </w:rPr>
  </w:style>
  <w:style w:type="paragraph" w:customStyle="1" w:styleId="2f6">
    <w:name w:val="字元 字元2 字元 字元 字元 字元 字元 字元 字元 字元 字元 字元 字元 字元 字元 字元 字元 字元 字元"/>
    <w:basedOn w:val="a0"/>
    <w:semiHidden/>
    <w:rsid w:val="003F6A26"/>
    <w:pPr>
      <w:widowControl/>
      <w:spacing w:after="160" w:line="240" w:lineRule="exact"/>
    </w:pPr>
    <w:rPr>
      <w:rFonts w:ascii="Verdana" w:eastAsia="Times New Roman" w:hAnsi="Verdana"/>
      <w:kern w:val="0"/>
      <w:sz w:val="20"/>
      <w:lang w:eastAsia="en-US"/>
    </w:rPr>
  </w:style>
  <w:style w:type="paragraph" w:customStyle="1" w:styleId="2f7">
    <w:name w:val="字元 字元2 字元 字元 字元 字元 字元 字元 字元 字元 字元 字元 字元 字元 字元 字元 字元"/>
    <w:basedOn w:val="a0"/>
    <w:semiHidden/>
    <w:rsid w:val="003F6A26"/>
    <w:pPr>
      <w:widowControl/>
      <w:spacing w:after="160" w:line="240" w:lineRule="exact"/>
    </w:pPr>
    <w:rPr>
      <w:rFonts w:ascii="Verdana" w:eastAsia="Times New Roman" w:hAnsi="Verdana"/>
      <w:kern w:val="0"/>
      <w:sz w:val="20"/>
      <w:lang w:eastAsia="en-US"/>
    </w:rPr>
  </w:style>
  <w:style w:type="paragraph" w:customStyle="1" w:styleId="2f8">
    <w:name w:val="字元 字元2 字元 字元 字元 字元"/>
    <w:basedOn w:val="a0"/>
    <w:semiHidden/>
    <w:rsid w:val="003F6A26"/>
    <w:pPr>
      <w:widowControl/>
      <w:spacing w:after="160" w:line="240" w:lineRule="exact"/>
    </w:pPr>
    <w:rPr>
      <w:rFonts w:ascii="Verdana" w:eastAsia="Times New Roman" w:hAnsi="Verdana"/>
      <w:kern w:val="0"/>
      <w:sz w:val="20"/>
      <w:lang w:eastAsia="en-US"/>
    </w:rPr>
  </w:style>
  <w:style w:type="character" w:customStyle="1" w:styleId="30">
    <w:name w:val="標題 3 字元"/>
    <w:basedOn w:val="a1"/>
    <w:link w:val="3"/>
    <w:uiPriority w:val="9"/>
    <w:semiHidden/>
    <w:rsid w:val="00114CB9"/>
    <w:rPr>
      <w:rFonts w:asciiTheme="majorHAnsi" w:eastAsiaTheme="majorEastAsia" w:hAnsiTheme="majorHAnsi" w:cstheme="majorBidi"/>
      <w:b/>
      <w:bCs/>
      <w:kern w:val="2"/>
      <w:sz w:val="36"/>
      <w:szCs w:val="36"/>
    </w:rPr>
  </w:style>
  <w:style w:type="paragraph" w:customStyle="1" w:styleId="01">
    <w:name w:val="01"/>
    <w:basedOn w:val="a0"/>
    <w:link w:val="010"/>
    <w:qFormat/>
    <w:rsid w:val="000B5478"/>
    <w:pPr>
      <w:snapToGrid w:val="0"/>
      <w:spacing w:line="460" w:lineRule="exact"/>
      <w:ind w:leftChars="500" w:left="1840" w:hangingChars="200" w:hanging="640"/>
      <w:contextualSpacing/>
    </w:pPr>
    <w:rPr>
      <w:rFonts w:ascii="標楷體" w:eastAsia="標楷體" w:hAnsi="標楷體"/>
      <w:bCs/>
      <w:sz w:val="32"/>
      <w:szCs w:val="32"/>
    </w:rPr>
  </w:style>
  <w:style w:type="paragraph" w:customStyle="1" w:styleId="02">
    <w:name w:val="02"/>
    <w:basedOn w:val="a0"/>
    <w:link w:val="020"/>
    <w:qFormat/>
    <w:rsid w:val="000B5478"/>
    <w:pPr>
      <w:snapToGrid w:val="0"/>
      <w:spacing w:line="460" w:lineRule="exact"/>
      <w:ind w:leftChars="770" w:left="1848" w:firstLineChars="200" w:firstLine="640"/>
      <w:contextualSpacing/>
    </w:pPr>
    <w:rPr>
      <w:rFonts w:ascii="標楷體" w:eastAsia="標楷體" w:hAnsi="標楷體"/>
      <w:bCs/>
      <w:sz w:val="32"/>
      <w:szCs w:val="32"/>
    </w:rPr>
  </w:style>
  <w:style w:type="character" w:customStyle="1" w:styleId="010">
    <w:name w:val="01 字元"/>
    <w:link w:val="01"/>
    <w:rsid w:val="000B5478"/>
    <w:rPr>
      <w:rFonts w:ascii="標楷體" w:eastAsia="標楷體" w:hAnsi="標楷體"/>
      <w:bCs/>
      <w:kern w:val="2"/>
      <w:sz w:val="32"/>
      <w:szCs w:val="32"/>
    </w:rPr>
  </w:style>
  <w:style w:type="paragraph" w:customStyle="1" w:styleId="03">
    <w:name w:val="03"/>
    <w:basedOn w:val="01"/>
    <w:link w:val="030"/>
    <w:qFormat/>
    <w:rsid w:val="000B5478"/>
    <w:pPr>
      <w:ind w:leftChars="800" w:left="2560"/>
    </w:pPr>
  </w:style>
  <w:style w:type="character" w:customStyle="1" w:styleId="020">
    <w:name w:val="02 字元"/>
    <w:link w:val="02"/>
    <w:rsid w:val="000B5478"/>
    <w:rPr>
      <w:rFonts w:ascii="標楷體" w:eastAsia="標楷體" w:hAnsi="標楷體"/>
      <w:bCs/>
      <w:kern w:val="2"/>
      <w:sz w:val="32"/>
      <w:szCs w:val="32"/>
    </w:rPr>
  </w:style>
  <w:style w:type="character" w:customStyle="1" w:styleId="030">
    <w:name w:val="03 字元"/>
    <w:basedOn w:val="010"/>
    <w:link w:val="03"/>
    <w:rsid w:val="000B5478"/>
    <w:rPr>
      <w:rFonts w:ascii="標楷體" w:eastAsia="標楷體" w:hAnsi="標楷體"/>
      <w:bCs/>
      <w:kern w:val="2"/>
      <w:sz w:val="32"/>
      <w:szCs w:val="32"/>
    </w:rPr>
  </w:style>
  <w:style w:type="table" w:customStyle="1" w:styleId="52">
    <w:name w:val="表格格線5"/>
    <w:basedOn w:val="a2"/>
    <w:next w:val="ae"/>
    <w:uiPriority w:val="39"/>
    <w:rsid w:val="0027389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表格格線6"/>
    <w:basedOn w:val="a2"/>
    <w:next w:val="ae"/>
    <w:uiPriority w:val="39"/>
    <w:rsid w:val="0027389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
    <w:name w:val="表格格線7"/>
    <w:basedOn w:val="a2"/>
    <w:next w:val="ae"/>
    <w:uiPriority w:val="59"/>
    <w:rsid w:val="0027389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無清單5"/>
    <w:next w:val="a3"/>
    <w:semiHidden/>
    <w:unhideWhenUsed/>
    <w:rsid w:val="001F3F42"/>
  </w:style>
  <w:style w:type="paragraph" w:customStyle="1" w:styleId="2f9">
    <w:name w:val="字元2 字元 字元 字元 字元 字元 字元 字元 字元"/>
    <w:basedOn w:val="a0"/>
    <w:semiHidden/>
    <w:rsid w:val="001F3F42"/>
    <w:pPr>
      <w:widowControl/>
      <w:spacing w:after="160" w:line="240" w:lineRule="exact"/>
    </w:pPr>
    <w:rPr>
      <w:rFonts w:ascii="Verdana" w:eastAsia="Times New Roman" w:hAnsi="Verdana"/>
      <w:kern w:val="0"/>
      <w:sz w:val="20"/>
      <w:lang w:eastAsia="en-US"/>
    </w:rPr>
  </w:style>
  <w:style w:type="paragraph" w:customStyle="1" w:styleId="2fa">
    <w:name w:val="字元 字元2 字元 字元 字元"/>
    <w:basedOn w:val="a0"/>
    <w:semiHidden/>
    <w:rsid w:val="001F3F42"/>
    <w:pPr>
      <w:widowControl/>
      <w:spacing w:after="160" w:line="240" w:lineRule="exact"/>
    </w:pPr>
    <w:rPr>
      <w:rFonts w:ascii="Verdana" w:eastAsia="Times New Roman" w:hAnsi="Verdana"/>
      <w:kern w:val="0"/>
      <w:sz w:val="20"/>
      <w:lang w:eastAsia="en-US"/>
    </w:rPr>
  </w:style>
  <w:style w:type="paragraph" w:customStyle="1" w:styleId="2fb">
    <w:name w:val="字元 字元2 字元 字元 字元 字元 字元 字元 字元 字元 字元 字元 字元 字元 字元 字元 字元 字元 字元"/>
    <w:basedOn w:val="a0"/>
    <w:semiHidden/>
    <w:rsid w:val="001F3F42"/>
    <w:pPr>
      <w:widowControl/>
      <w:spacing w:after="160" w:line="240" w:lineRule="exact"/>
    </w:pPr>
    <w:rPr>
      <w:rFonts w:ascii="Verdana" w:eastAsia="Times New Roman" w:hAnsi="Verdana"/>
      <w:kern w:val="0"/>
      <w:sz w:val="20"/>
      <w:lang w:eastAsia="en-US"/>
    </w:rPr>
  </w:style>
  <w:style w:type="paragraph" w:customStyle="1" w:styleId="2fc">
    <w:name w:val="字元 字元2 字元 字元 字元 字元 字元 字元 字元 字元 字元 字元 字元 字元 字元 字元 字元"/>
    <w:basedOn w:val="a0"/>
    <w:semiHidden/>
    <w:rsid w:val="001F3F42"/>
    <w:pPr>
      <w:widowControl/>
      <w:spacing w:after="160" w:line="240" w:lineRule="exact"/>
    </w:pPr>
    <w:rPr>
      <w:rFonts w:ascii="Verdana" w:eastAsia="Times New Roman" w:hAnsi="Verdana"/>
      <w:kern w:val="0"/>
      <w:sz w:val="20"/>
      <w:lang w:eastAsia="en-US"/>
    </w:rPr>
  </w:style>
  <w:style w:type="paragraph" w:customStyle="1" w:styleId="2fd">
    <w:name w:val="字元 字元2 字元 字元 字元 字元"/>
    <w:basedOn w:val="a0"/>
    <w:semiHidden/>
    <w:rsid w:val="001F3F42"/>
    <w:pPr>
      <w:widowControl/>
      <w:spacing w:after="160" w:line="240" w:lineRule="exact"/>
    </w:pPr>
    <w:rPr>
      <w:rFonts w:ascii="Verdana" w:eastAsia="Times New Roman" w:hAnsi="Verdana"/>
      <w:kern w:val="0"/>
      <w:sz w:val="20"/>
      <w:lang w:eastAsia="en-US"/>
    </w:rPr>
  </w:style>
  <w:style w:type="numbering" w:customStyle="1" w:styleId="61">
    <w:name w:val="無清單6"/>
    <w:next w:val="a3"/>
    <w:semiHidden/>
    <w:unhideWhenUsed/>
    <w:rsid w:val="001A495B"/>
  </w:style>
  <w:style w:type="paragraph" w:customStyle="1" w:styleId="2fe">
    <w:name w:val="字元2 字元 字元 字元 字元 字元 字元 字元 字元"/>
    <w:basedOn w:val="a0"/>
    <w:semiHidden/>
    <w:rsid w:val="001A495B"/>
    <w:pPr>
      <w:widowControl/>
      <w:spacing w:after="160" w:line="240" w:lineRule="exact"/>
    </w:pPr>
    <w:rPr>
      <w:rFonts w:ascii="Verdana" w:eastAsia="Times New Roman" w:hAnsi="Verdana"/>
      <w:kern w:val="0"/>
      <w:sz w:val="20"/>
      <w:lang w:eastAsia="en-US"/>
    </w:rPr>
  </w:style>
  <w:style w:type="paragraph" w:customStyle="1" w:styleId="2ff">
    <w:name w:val="字元 字元2 字元 字元 字元"/>
    <w:basedOn w:val="a0"/>
    <w:semiHidden/>
    <w:rsid w:val="001A495B"/>
    <w:pPr>
      <w:widowControl/>
      <w:spacing w:after="160" w:line="240" w:lineRule="exact"/>
    </w:pPr>
    <w:rPr>
      <w:rFonts w:ascii="Verdana" w:eastAsia="Times New Roman" w:hAnsi="Verdana"/>
      <w:kern w:val="0"/>
      <w:sz w:val="20"/>
      <w:lang w:eastAsia="en-US"/>
    </w:rPr>
  </w:style>
  <w:style w:type="paragraph" w:customStyle="1" w:styleId="2ff0">
    <w:name w:val="字元 字元2 字元 字元 字元 字元 字元 字元 字元 字元 字元 字元 字元 字元 字元 字元 字元 字元 字元"/>
    <w:basedOn w:val="a0"/>
    <w:semiHidden/>
    <w:rsid w:val="001A495B"/>
    <w:pPr>
      <w:widowControl/>
      <w:spacing w:after="160" w:line="240" w:lineRule="exact"/>
    </w:pPr>
    <w:rPr>
      <w:rFonts w:ascii="Verdana" w:eastAsia="Times New Roman" w:hAnsi="Verdana"/>
      <w:kern w:val="0"/>
      <w:sz w:val="20"/>
      <w:lang w:eastAsia="en-US"/>
    </w:rPr>
  </w:style>
  <w:style w:type="paragraph" w:customStyle="1" w:styleId="2ff1">
    <w:name w:val="字元 字元2 字元 字元 字元 字元 字元 字元 字元 字元 字元 字元 字元 字元 字元 字元 字元"/>
    <w:basedOn w:val="a0"/>
    <w:semiHidden/>
    <w:rsid w:val="001A495B"/>
    <w:pPr>
      <w:widowControl/>
      <w:spacing w:after="160" w:line="240" w:lineRule="exact"/>
    </w:pPr>
    <w:rPr>
      <w:rFonts w:ascii="Verdana" w:eastAsia="Times New Roman" w:hAnsi="Verdana"/>
      <w:kern w:val="0"/>
      <w:sz w:val="20"/>
      <w:lang w:eastAsia="en-US"/>
    </w:rPr>
  </w:style>
  <w:style w:type="paragraph" w:customStyle="1" w:styleId="2ff2">
    <w:name w:val="字元 字元2 字元 字元 字元 字元"/>
    <w:basedOn w:val="a0"/>
    <w:semiHidden/>
    <w:rsid w:val="001A495B"/>
    <w:pPr>
      <w:widowControl/>
      <w:spacing w:after="160" w:line="240" w:lineRule="exact"/>
    </w:pPr>
    <w:rPr>
      <w:rFonts w:ascii="Verdana" w:eastAsia="Times New Roman" w:hAnsi="Verdana"/>
      <w:kern w:val="0"/>
      <w:sz w:val="20"/>
      <w:lang w:eastAsia="en-US"/>
    </w:rPr>
  </w:style>
  <w:style w:type="paragraph" w:customStyle="1" w:styleId="0-">
    <w:name w:val="0-內文"/>
    <w:basedOn w:val="a0"/>
    <w:link w:val="0-0"/>
    <w:qFormat/>
    <w:rsid w:val="001A495B"/>
    <w:pPr>
      <w:spacing w:line="400" w:lineRule="exact"/>
      <w:jc w:val="both"/>
    </w:pPr>
    <w:rPr>
      <w:rFonts w:ascii="標楷體" w:eastAsia="標楷體" w:hAnsi="標楷體"/>
      <w:color w:val="000000"/>
      <w:sz w:val="28"/>
      <w:szCs w:val="28"/>
    </w:rPr>
  </w:style>
  <w:style w:type="character" w:customStyle="1" w:styleId="0-0">
    <w:name w:val="0-內文 字元"/>
    <w:basedOn w:val="a1"/>
    <w:link w:val="0-"/>
    <w:rsid w:val="001A495B"/>
    <w:rPr>
      <w:rFonts w:ascii="標楷體" w:eastAsia="標楷體" w:hAnsi="標楷體"/>
      <w:color w:val="000000"/>
      <w:kern w:val="2"/>
      <w:sz w:val="28"/>
      <w:szCs w:val="28"/>
    </w:rPr>
  </w:style>
  <w:style w:type="character" w:customStyle="1" w:styleId="50">
    <w:name w:val="標題 5 字元"/>
    <w:basedOn w:val="a1"/>
    <w:link w:val="5"/>
    <w:uiPriority w:val="9"/>
    <w:semiHidden/>
    <w:rsid w:val="0071156A"/>
    <w:rPr>
      <w:rFonts w:asciiTheme="majorHAnsi" w:eastAsiaTheme="majorEastAsia" w:hAnsiTheme="majorHAnsi" w:cstheme="majorBidi"/>
      <w:b/>
      <w:bCs/>
      <w:kern w:val="2"/>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6333790">
      <w:bodyDiv w:val="1"/>
      <w:marLeft w:val="0"/>
      <w:marRight w:val="0"/>
      <w:marTop w:val="0"/>
      <w:marBottom w:val="0"/>
      <w:divBdr>
        <w:top w:val="none" w:sz="0" w:space="0" w:color="auto"/>
        <w:left w:val="none" w:sz="0" w:space="0" w:color="auto"/>
        <w:bottom w:val="none" w:sz="0" w:space="0" w:color="auto"/>
        <w:right w:val="none" w:sz="0" w:space="0" w:color="auto"/>
      </w:divBdr>
    </w:div>
    <w:div w:id="352657760">
      <w:bodyDiv w:val="1"/>
      <w:marLeft w:val="0"/>
      <w:marRight w:val="0"/>
      <w:marTop w:val="0"/>
      <w:marBottom w:val="0"/>
      <w:divBdr>
        <w:top w:val="none" w:sz="0" w:space="0" w:color="auto"/>
        <w:left w:val="none" w:sz="0" w:space="0" w:color="auto"/>
        <w:bottom w:val="none" w:sz="0" w:space="0" w:color="auto"/>
        <w:right w:val="none" w:sz="0" w:space="0" w:color="auto"/>
      </w:divBdr>
    </w:div>
    <w:div w:id="708728193">
      <w:bodyDiv w:val="1"/>
      <w:marLeft w:val="0"/>
      <w:marRight w:val="0"/>
      <w:marTop w:val="0"/>
      <w:marBottom w:val="0"/>
      <w:divBdr>
        <w:top w:val="none" w:sz="0" w:space="0" w:color="auto"/>
        <w:left w:val="none" w:sz="0" w:space="0" w:color="auto"/>
        <w:bottom w:val="none" w:sz="0" w:space="0" w:color="auto"/>
        <w:right w:val="none" w:sz="0" w:space="0" w:color="auto"/>
      </w:divBdr>
    </w:div>
    <w:div w:id="796485581">
      <w:bodyDiv w:val="1"/>
      <w:marLeft w:val="0"/>
      <w:marRight w:val="0"/>
      <w:marTop w:val="0"/>
      <w:marBottom w:val="0"/>
      <w:divBdr>
        <w:top w:val="none" w:sz="0" w:space="0" w:color="auto"/>
        <w:left w:val="none" w:sz="0" w:space="0" w:color="auto"/>
        <w:bottom w:val="none" w:sz="0" w:space="0" w:color="auto"/>
        <w:right w:val="none" w:sz="0" w:space="0" w:color="auto"/>
      </w:divBdr>
    </w:div>
    <w:div w:id="1110779575">
      <w:bodyDiv w:val="1"/>
      <w:marLeft w:val="0"/>
      <w:marRight w:val="0"/>
      <w:marTop w:val="0"/>
      <w:marBottom w:val="0"/>
      <w:divBdr>
        <w:top w:val="none" w:sz="0" w:space="0" w:color="auto"/>
        <w:left w:val="none" w:sz="0" w:space="0" w:color="auto"/>
        <w:bottom w:val="none" w:sz="0" w:space="0" w:color="auto"/>
        <w:right w:val="none" w:sz="0" w:space="0" w:color="auto"/>
      </w:divBdr>
    </w:div>
    <w:div w:id="1825005982">
      <w:bodyDiv w:val="1"/>
      <w:marLeft w:val="0"/>
      <w:marRight w:val="0"/>
      <w:marTop w:val="0"/>
      <w:marBottom w:val="0"/>
      <w:divBdr>
        <w:top w:val="none" w:sz="0" w:space="0" w:color="auto"/>
        <w:left w:val="none" w:sz="0" w:space="0" w:color="auto"/>
        <w:bottom w:val="none" w:sz="0" w:space="0" w:color="auto"/>
        <w:right w:val="none" w:sz="0" w:space="0" w:color="auto"/>
      </w:divBdr>
    </w:div>
    <w:div w:id="1857232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hacss3.ly.gov.tw:9018/MISQ/IQuery/misq5000QueryMeetingDetail.action" TargetMode="External"/><Relationship Id="rId299" Type="http://schemas.openxmlformats.org/officeDocument/2006/relationships/hyperlink" Target="http://hacss3.ly.gov.tw:9018/MISQ/IQuery/misq5000QueryMeetingDetail.action" TargetMode="External"/><Relationship Id="rId303" Type="http://schemas.openxmlformats.org/officeDocument/2006/relationships/hyperlink" Target="http://hacss3.ly.gov.tw:9018/MISQ/IQuery/misq5000QueryMeetingDetail.action" TargetMode="External"/><Relationship Id="rId21" Type="http://schemas.openxmlformats.org/officeDocument/2006/relationships/hyperlink" Target="http://hacss3.ly.gov.tw:9018/MISQ/IQuery/misq5000QueryMeetingDetail.action" TargetMode="External"/><Relationship Id="rId42" Type="http://schemas.openxmlformats.org/officeDocument/2006/relationships/hyperlink" Target="http://hacss3.ly.gov.tw:9018/MISQ/IQuery/misq5000QueryMeetingDetail.action" TargetMode="External"/><Relationship Id="rId63" Type="http://schemas.openxmlformats.org/officeDocument/2006/relationships/hyperlink" Target="http://hacss3.ly.gov.tw:9018/MISQ/IQuery/misq5000QueryMeetingDetail.action" TargetMode="External"/><Relationship Id="rId84" Type="http://schemas.openxmlformats.org/officeDocument/2006/relationships/hyperlink" Target="http://hacss3.ly.gov.tw:9018/MISQ/IQuery/misq5000QueryMeetingDetail.action" TargetMode="External"/><Relationship Id="rId138" Type="http://schemas.openxmlformats.org/officeDocument/2006/relationships/hyperlink" Target="http://hacss3.ly.gov.tw:9018/MISQ/IQuery/misq5000QueryMeetingDetail.action" TargetMode="External"/><Relationship Id="rId159" Type="http://schemas.openxmlformats.org/officeDocument/2006/relationships/hyperlink" Target="http://hacss3.ly.gov.tw:9018/MISQ/IQuery/misq5000QueryMeetingDetail.action" TargetMode="External"/><Relationship Id="rId170" Type="http://schemas.openxmlformats.org/officeDocument/2006/relationships/hyperlink" Target="http://hacss3.ly.gov.tw:9018/MISQ/IQuery/misq5000QueryMeetingDetail.action" TargetMode="External"/><Relationship Id="rId191" Type="http://schemas.openxmlformats.org/officeDocument/2006/relationships/hyperlink" Target="http://hacss3.ly.gov.tw:9018/MISQ/IQuery/misq5000QueryMeetingDetail.action" TargetMode="External"/><Relationship Id="rId205" Type="http://schemas.openxmlformats.org/officeDocument/2006/relationships/hyperlink" Target="http://hacss3.ly.gov.tw:9018/MISQ/IQuery/misq5000QueryMeetingDetail.action" TargetMode="External"/><Relationship Id="rId226" Type="http://schemas.openxmlformats.org/officeDocument/2006/relationships/hyperlink" Target="http://hacss3.ly.gov.tw:9018/MISQ/IQuery/misq5000QueryMeetingDetail.action" TargetMode="External"/><Relationship Id="rId247" Type="http://schemas.openxmlformats.org/officeDocument/2006/relationships/hyperlink" Target="http://hacss3.ly.gov.tw:9018/MISQ/IQuery/misq5000QueryMeetingDetail.action" TargetMode="External"/><Relationship Id="rId107" Type="http://schemas.openxmlformats.org/officeDocument/2006/relationships/hyperlink" Target="http://hacss3.ly.gov.tw:9018/MISQ/IQuery/misq5000QueryMeetingDetail.action" TargetMode="External"/><Relationship Id="rId268" Type="http://schemas.openxmlformats.org/officeDocument/2006/relationships/hyperlink" Target="http://hacss3.ly.gov.tw:9018/MISQ/IQuery/misq5000QueryMeetingDetail.action" TargetMode="External"/><Relationship Id="rId289" Type="http://schemas.openxmlformats.org/officeDocument/2006/relationships/hyperlink" Target="http://hacss3.ly.gov.tw:9018/MISQ/IQuery/misq5000QueryMeetingDetail.action" TargetMode="External"/><Relationship Id="rId11" Type="http://schemas.openxmlformats.org/officeDocument/2006/relationships/footer" Target="footer3.xml"/><Relationship Id="rId32" Type="http://schemas.openxmlformats.org/officeDocument/2006/relationships/hyperlink" Target="http://hacss3.ly.gov.tw:9018/MISQ/IQuery/misq5000QueryMeetingDetail.action" TargetMode="External"/><Relationship Id="rId53" Type="http://schemas.openxmlformats.org/officeDocument/2006/relationships/hyperlink" Target="http://hacss3.ly.gov.tw:9018/MISQ/IQuery/misq5000QueryMeetingDetail.action" TargetMode="External"/><Relationship Id="rId74" Type="http://schemas.openxmlformats.org/officeDocument/2006/relationships/hyperlink" Target="http://hacss3.ly.gov.tw:9018/MISQ/IQuery/misq5000QueryMeetingDetail.action" TargetMode="External"/><Relationship Id="rId128" Type="http://schemas.openxmlformats.org/officeDocument/2006/relationships/hyperlink" Target="http://hacss3.ly.gov.tw:9018/MISQ/IQuery/misq5000QueryMeetingDetail.action" TargetMode="External"/><Relationship Id="rId149" Type="http://schemas.openxmlformats.org/officeDocument/2006/relationships/hyperlink" Target="http://hacss3.ly.gov.tw:9018/MISQ/IQuery/misq5000QueryMeetingDetail.action" TargetMode="External"/><Relationship Id="rId314" Type="http://schemas.openxmlformats.org/officeDocument/2006/relationships/image" Target="media/image2.png"/><Relationship Id="rId5" Type="http://schemas.openxmlformats.org/officeDocument/2006/relationships/webSettings" Target="webSettings.xml"/><Relationship Id="rId95" Type="http://schemas.openxmlformats.org/officeDocument/2006/relationships/hyperlink" Target="http://hacss3.ly.gov.tw:9018/MISQ/IQuery/misq5000QueryMeetingDetail.action" TargetMode="External"/><Relationship Id="rId160" Type="http://schemas.openxmlformats.org/officeDocument/2006/relationships/hyperlink" Target="http://hacss3.ly.gov.tw:9018/MISQ/IQuery/misq5000QueryMeetingDetail.action" TargetMode="External"/><Relationship Id="rId181" Type="http://schemas.openxmlformats.org/officeDocument/2006/relationships/hyperlink" Target="http://hacss3.ly.gov.tw:9018/MISQ/IQuery/misq5000QueryMeetingDetail.action" TargetMode="External"/><Relationship Id="rId216" Type="http://schemas.openxmlformats.org/officeDocument/2006/relationships/hyperlink" Target="http://hacss3.ly.gov.tw:9018/MISQ/IQuery/misq5000QueryMeetingDetail.action" TargetMode="External"/><Relationship Id="rId237" Type="http://schemas.openxmlformats.org/officeDocument/2006/relationships/hyperlink" Target="http://hacss3.ly.gov.tw:9018/MISQ/IQuery/misq5000QueryMeetingDetail.action" TargetMode="External"/><Relationship Id="rId258" Type="http://schemas.openxmlformats.org/officeDocument/2006/relationships/hyperlink" Target="http://hacss3.ly.gov.tw:9018/MISQ/IQuery/misq5000QueryMeetingDetail.action" TargetMode="External"/><Relationship Id="rId279" Type="http://schemas.openxmlformats.org/officeDocument/2006/relationships/hyperlink" Target="http://hacss3.ly.gov.tw:9018/MISQ/IQuery/misq5000QueryMeetingDetail.action" TargetMode="External"/><Relationship Id="rId22" Type="http://schemas.openxmlformats.org/officeDocument/2006/relationships/hyperlink" Target="http://hacss3.ly.gov.tw:9018/MISQ/IQuery/misq5000QueryMeetingDetail.action" TargetMode="External"/><Relationship Id="rId43" Type="http://schemas.openxmlformats.org/officeDocument/2006/relationships/hyperlink" Target="http://hacss3.ly.gov.tw:9018/MISQ/IQuery/misq5000QueryMeetingDetail.action" TargetMode="External"/><Relationship Id="rId64" Type="http://schemas.openxmlformats.org/officeDocument/2006/relationships/hyperlink" Target="http://hacss3.ly.gov.tw:9018/MISQ/IQuery/misq5000QueryMeetingDetail.action" TargetMode="External"/><Relationship Id="rId118" Type="http://schemas.openxmlformats.org/officeDocument/2006/relationships/hyperlink" Target="http://hacss3.ly.gov.tw:9018/MISQ/IQuery/misq5000QueryMeetingDetail.action" TargetMode="External"/><Relationship Id="rId139" Type="http://schemas.openxmlformats.org/officeDocument/2006/relationships/hyperlink" Target="http://hacss3.ly.gov.tw:9018/MISQ/IQuery/misq5000QueryMeetingDetail.action" TargetMode="External"/><Relationship Id="rId290" Type="http://schemas.openxmlformats.org/officeDocument/2006/relationships/hyperlink" Target="http://hacss3.ly.gov.tw:9018/MISQ/IQuery/misq5000QueryMeetingDetail.action" TargetMode="External"/><Relationship Id="rId304" Type="http://schemas.openxmlformats.org/officeDocument/2006/relationships/hyperlink" Target="http://hacss3.ly.gov.tw:9018/MISQ/IQuery/misq5000QueryMeetingDetail.action" TargetMode="External"/><Relationship Id="rId85" Type="http://schemas.openxmlformats.org/officeDocument/2006/relationships/hyperlink" Target="http://hacss3.ly.gov.tw:9018/MISQ/IQuery/misq5000QueryMeetingDetail.action" TargetMode="External"/><Relationship Id="rId150" Type="http://schemas.openxmlformats.org/officeDocument/2006/relationships/hyperlink" Target="http://hacss3.ly.gov.tw:9018/MISQ/IQuery/misq5000QueryMeetingDetail.action" TargetMode="External"/><Relationship Id="rId171" Type="http://schemas.openxmlformats.org/officeDocument/2006/relationships/hyperlink" Target="http://hacss3.ly.gov.tw:9018/MISQ/IQuery/misq5000QueryMeetingDetail.action" TargetMode="External"/><Relationship Id="rId192" Type="http://schemas.openxmlformats.org/officeDocument/2006/relationships/hyperlink" Target="http://hacss3.ly.gov.tw:9018/MISQ/IQuery/misq5000QueryMeetingDetail.action" TargetMode="External"/><Relationship Id="rId206" Type="http://schemas.openxmlformats.org/officeDocument/2006/relationships/hyperlink" Target="http://hacss3.ly.gov.tw:9018/MISQ/IQuery/misq5000QueryMeetingDetail.action" TargetMode="External"/><Relationship Id="rId227" Type="http://schemas.openxmlformats.org/officeDocument/2006/relationships/hyperlink" Target="http://hacss3.ly.gov.tw:9018/MISQ/IQuery/misq5000QueryMeetingDetail.action" TargetMode="External"/><Relationship Id="rId248" Type="http://schemas.openxmlformats.org/officeDocument/2006/relationships/hyperlink" Target="http://hacss3.ly.gov.tw:9018/MISQ/IQuery/misq5000QueryMeetingDetail.action" TargetMode="External"/><Relationship Id="rId269" Type="http://schemas.openxmlformats.org/officeDocument/2006/relationships/hyperlink" Target="http://hacss3.ly.gov.tw:9018/MISQ/IQuery/misq5000QueryMeetingDetail.action" TargetMode="External"/><Relationship Id="rId12" Type="http://schemas.openxmlformats.org/officeDocument/2006/relationships/footer" Target="footer4.xml"/><Relationship Id="rId33" Type="http://schemas.openxmlformats.org/officeDocument/2006/relationships/hyperlink" Target="http://hacss3.ly.gov.tw:9018/MISQ/IQuery/misq5000QueryMeetingDetail.action" TargetMode="External"/><Relationship Id="rId108" Type="http://schemas.openxmlformats.org/officeDocument/2006/relationships/hyperlink" Target="http://hacss3.ly.gov.tw:9018/MISQ/IQuery/misq5000QueryMeetingDetail.action" TargetMode="External"/><Relationship Id="rId129" Type="http://schemas.openxmlformats.org/officeDocument/2006/relationships/hyperlink" Target="http://hacss3.ly.gov.tw:9018/MISQ/IQuery/misq5000QueryMeetingDetail.action" TargetMode="External"/><Relationship Id="rId280" Type="http://schemas.openxmlformats.org/officeDocument/2006/relationships/hyperlink" Target="http://hacss3.ly.gov.tw:9018/MISQ/IQuery/misq5000QueryMeetingDetail.action" TargetMode="External"/><Relationship Id="rId315" Type="http://schemas.openxmlformats.org/officeDocument/2006/relationships/image" Target="media/image3.png"/><Relationship Id="rId54" Type="http://schemas.openxmlformats.org/officeDocument/2006/relationships/hyperlink" Target="http://hacss3.ly.gov.tw:9018/MISQ/IQuery/misq5000QueryMeetingDetail.action" TargetMode="External"/><Relationship Id="rId75" Type="http://schemas.openxmlformats.org/officeDocument/2006/relationships/hyperlink" Target="http://hacss3.ly.gov.tw:9018/MISQ/IQuery/misq5000QueryMeetingDetail.action" TargetMode="External"/><Relationship Id="rId96" Type="http://schemas.openxmlformats.org/officeDocument/2006/relationships/hyperlink" Target="http://hacss3.ly.gov.tw:9018/MISQ/IQuery/misq5000QueryMeetingDetail.action" TargetMode="External"/><Relationship Id="rId140" Type="http://schemas.openxmlformats.org/officeDocument/2006/relationships/hyperlink" Target="http://hacss3.ly.gov.tw:9018/MISQ/IQuery/misq5000QueryMeetingDetail.action" TargetMode="External"/><Relationship Id="rId161" Type="http://schemas.openxmlformats.org/officeDocument/2006/relationships/hyperlink" Target="http://hacss3.ly.gov.tw:9018/MISQ/IQuery/misq5000QueryMeetingDetail.action" TargetMode="External"/><Relationship Id="rId182" Type="http://schemas.openxmlformats.org/officeDocument/2006/relationships/hyperlink" Target="http://hacss3.ly.gov.tw:9018/MISQ/IQuery/misq5000QueryMeetingDetail.action" TargetMode="External"/><Relationship Id="rId217" Type="http://schemas.openxmlformats.org/officeDocument/2006/relationships/hyperlink" Target="http://hacss3.ly.gov.tw:9018/MISQ/IQuery/misq5000QueryMeetingDetail.action" TargetMode="External"/><Relationship Id="rId6" Type="http://schemas.openxmlformats.org/officeDocument/2006/relationships/footnotes" Target="footnotes.xml"/><Relationship Id="rId238" Type="http://schemas.openxmlformats.org/officeDocument/2006/relationships/hyperlink" Target="http://hacss3.ly.gov.tw:9018/MISQ/IQuery/misq5000QueryMeetingDetail.action" TargetMode="External"/><Relationship Id="rId259" Type="http://schemas.openxmlformats.org/officeDocument/2006/relationships/hyperlink" Target="http://hacss3.ly.gov.tw:9018/MISQ/IQuery/misq5000QueryMeetingDetail.action" TargetMode="External"/><Relationship Id="rId23" Type="http://schemas.openxmlformats.org/officeDocument/2006/relationships/hyperlink" Target="http://hacss3.ly.gov.tw:9018/MISQ/IQuery/misq5000QueryMeetingDetail.action" TargetMode="External"/><Relationship Id="rId119" Type="http://schemas.openxmlformats.org/officeDocument/2006/relationships/hyperlink" Target="http://hacss3.ly.gov.tw:9018/MISQ/IQuery/misq5000QueryMeetingDetail.action" TargetMode="External"/><Relationship Id="rId270" Type="http://schemas.openxmlformats.org/officeDocument/2006/relationships/hyperlink" Target="http://hacss3.ly.gov.tw:9018/MISQ/IQuery/misq5000QueryMeetingDetail.action" TargetMode="External"/><Relationship Id="rId291" Type="http://schemas.openxmlformats.org/officeDocument/2006/relationships/hyperlink" Target="http://hacss3.ly.gov.tw:9018/MISQ/IQuery/misq5000QueryMeetingDetail.action" TargetMode="External"/><Relationship Id="rId305" Type="http://schemas.openxmlformats.org/officeDocument/2006/relationships/hyperlink" Target="http://hacss3.ly.gov.tw:9018/MISQ/IQuery/misq5000QueryMeetingDetail.action" TargetMode="External"/><Relationship Id="rId44" Type="http://schemas.openxmlformats.org/officeDocument/2006/relationships/hyperlink" Target="http://hacss3.ly.gov.tw:9018/MISQ/IQuery/misq5000QueryMeetingDetail.action" TargetMode="External"/><Relationship Id="rId65" Type="http://schemas.openxmlformats.org/officeDocument/2006/relationships/hyperlink" Target="http://hacss3.ly.gov.tw:9018/MISQ/IQuery/misq5000QueryMeetingDetail.action" TargetMode="External"/><Relationship Id="rId86" Type="http://schemas.openxmlformats.org/officeDocument/2006/relationships/hyperlink" Target="http://hacss3.ly.gov.tw:9018/MISQ/IQuery/misq5000QueryMeetingDetail.action" TargetMode="External"/><Relationship Id="rId130" Type="http://schemas.openxmlformats.org/officeDocument/2006/relationships/hyperlink" Target="http://hacss3.ly.gov.tw:9018/MISQ/IQuery/misq5000QueryMeetingDetail.action" TargetMode="External"/><Relationship Id="rId151" Type="http://schemas.openxmlformats.org/officeDocument/2006/relationships/hyperlink" Target="http://hacss3.ly.gov.tw:9018/MISQ/IQuery/misq5000QueryMeetingDetail.action" TargetMode="External"/><Relationship Id="rId172" Type="http://schemas.openxmlformats.org/officeDocument/2006/relationships/hyperlink" Target="http://hacss3.ly.gov.tw:9018/MISQ/IQuery/misq5000QueryMeetingDetail.action" TargetMode="External"/><Relationship Id="rId193" Type="http://schemas.openxmlformats.org/officeDocument/2006/relationships/hyperlink" Target="http://hacss3.ly.gov.tw:9018/MISQ/IQuery/misq5000QueryMeetingDetail.action" TargetMode="External"/><Relationship Id="rId207" Type="http://schemas.openxmlformats.org/officeDocument/2006/relationships/hyperlink" Target="http://hacss3.ly.gov.tw:9018/MISQ/IQuery/misq5000QueryMeetingDetail.action" TargetMode="External"/><Relationship Id="rId228" Type="http://schemas.openxmlformats.org/officeDocument/2006/relationships/hyperlink" Target="http://hacss3.ly.gov.tw:9018/MISQ/IQuery/misq5000QueryMeetingDetail.action" TargetMode="External"/><Relationship Id="rId249" Type="http://schemas.openxmlformats.org/officeDocument/2006/relationships/hyperlink" Target="http://hacss3.ly.gov.tw:9018/MISQ/IQuery/misq5000QueryMeetingDetail.action" TargetMode="External"/><Relationship Id="rId13" Type="http://schemas.openxmlformats.org/officeDocument/2006/relationships/footer" Target="footer5.xml"/><Relationship Id="rId109" Type="http://schemas.openxmlformats.org/officeDocument/2006/relationships/hyperlink" Target="http://hacss3.ly.gov.tw:9018/MISQ/IQuery/misq5000QueryMeetingDetail.action" TargetMode="External"/><Relationship Id="rId260" Type="http://schemas.openxmlformats.org/officeDocument/2006/relationships/hyperlink" Target="http://hacss3.ly.gov.tw:9018/MISQ/IQuery/misq5000QueryMeetingDetail.action" TargetMode="External"/><Relationship Id="rId281" Type="http://schemas.openxmlformats.org/officeDocument/2006/relationships/hyperlink" Target="http://hacss3.ly.gov.tw:9018/MISQ/IQuery/misq5000QueryMeetingDetail.action" TargetMode="External"/><Relationship Id="rId316" Type="http://schemas.openxmlformats.org/officeDocument/2006/relationships/image" Target="media/image4.png"/><Relationship Id="rId34" Type="http://schemas.openxmlformats.org/officeDocument/2006/relationships/hyperlink" Target="http://hacss3.ly.gov.tw:9018/MISQ/IQuery/misq5000QueryMeetingDetail.action" TargetMode="External"/><Relationship Id="rId55" Type="http://schemas.openxmlformats.org/officeDocument/2006/relationships/hyperlink" Target="http://hacss3.ly.gov.tw:9018/MISQ/IQuery/misq5000QueryMeetingDetail.action" TargetMode="External"/><Relationship Id="rId76" Type="http://schemas.openxmlformats.org/officeDocument/2006/relationships/hyperlink" Target="http://hacss3.ly.gov.tw:9018/MISQ/IQuery/misq5000QueryMeetingDetail.action" TargetMode="External"/><Relationship Id="rId97" Type="http://schemas.openxmlformats.org/officeDocument/2006/relationships/hyperlink" Target="http://hacss3.ly.gov.tw:9018/MISQ/IQuery/misq5000QueryMeetingDetail.action" TargetMode="External"/><Relationship Id="rId120" Type="http://schemas.openxmlformats.org/officeDocument/2006/relationships/hyperlink" Target="http://hacss3.ly.gov.tw:9018/MISQ/IQuery/misq5000QueryMeetingDetail.action" TargetMode="External"/><Relationship Id="rId141" Type="http://schemas.openxmlformats.org/officeDocument/2006/relationships/hyperlink" Target="http://hacss3.ly.gov.tw:9018/MISQ/IQuery/misq5000QueryMeetingDetail.action" TargetMode="External"/><Relationship Id="rId7" Type="http://schemas.openxmlformats.org/officeDocument/2006/relationships/endnotes" Target="endnotes.xml"/><Relationship Id="rId162" Type="http://schemas.openxmlformats.org/officeDocument/2006/relationships/hyperlink" Target="http://hacss3.ly.gov.tw:9018/MISQ/IQuery/misq5000QueryMeetingDetail.action" TargetMode="External"/><Relationship Id="rId183" Type="http://schemas.openxmlformats.org/officeDocument/2006/relationships/hyperlink" Target="http://hacss3.ly.gov.tw:9018/MISQ/IQuery/misq5000QueryMeetingDetail.action" TargetMode="External"/><Relationship Id="rId218" Type="http://schemas.openxmlformats.org/officeDocument/2006/relationships/hyperlink" Target="http://hacss3.ly.gov.tw:9018/MISQ/IQuery/misq5000QueryMeetingDetail.action" TargetMode="External"/><Relationship Id="rId239" Type="http://schemas.openxmlformats.org/officeDocument/2006/relationships/hyperlink" Target="http://hacss3.ly.gov.tw:9018/MISQ/IQuery/misq5000QueryMeetingDetail.action" TargetMode="External"/><Relationship Id="rId250" Type="http://schemas.openxmlformats.org/officeDocument/2006/relationships/hyperlink" Target="http://hacss3.ly.gov.tw:9018/MISQ/IQuery/misq5000QueryMeetingDetail.action" TargetMode="External"/><Relationship Id="rId271" Type="http://schemas.openxmlformats.org/officeDocument/2006/relationships/hyperlink" Target="http://hacss3.ly.gov.tw:9018/MISQ/IQuery/misq5000QueryMeetingDetail.action" TargetMode="External"/><Relationship Id="rId292" Type="http://schemas.openxmlformats.org/officeDocument/2006/relationships/hyperlink" Target="http://hacss3.ly.gov.tw:9018/MISQ/IQuery/misq5000QueryMeetingDetail.action" TargetMode="External"/><Relationship Id="rId306" Type="http://schemas.openxmlformats.org/officeDocument/2006/relationships/hyperlink" Target="http://hacss3.ly.gov.tw:9018/MISQ/IQuery/misq5000QueryMeetingDetail.action" TargetMode="External"/><Relationship Id="rId24" Type="http://schemas.openxmlformats.org/officeDocument/2006/relationships/hyperlink" Target="http://hacss3.ly.gov.tw:9018/MISQ/IQuery/misq5000QueryMeetingDetail.action" TargetMode="External"/><Relationship Id="rId45" Type="http://schemas.openxmlformats.org/officeDocument/2006/relationships/hyperlink" Target="http://hacss3.ly.gov.tw:9018/MISQ/IQuery/misq5000QueryMeetingDetail.action" TargetMode="External"/><Relationship Id="rId66" Type="http://schemas.openxmlformats.org/officeDocument/2006/relationships/hyperlink" Target="http://hacss3.ly.gov.tw:9018/MISQ/IQuery/misq5000QueryMeetingDetail.action" TargetMode="External"/><Relationship Id="rId87" Type="http://schemas.openxmlformats.org/officeDocument/2006/relationships/hyperlink" Target="http://hacss3.ly.gov.tw:9018/MISQ/IQuery/misq5000QueryMeetingDetail.action" TargetMode="External"/><Relationship Id="rId110" Type="http://schemas.openxmlformats.org/officeDocument/2006/relationships/hyperlink" Target="http://hacss3.ly.gov.tw:9018/MISQ/IQuery/misq5000QueryMeetingDetail.action" TargetMode="External"/><Relationship Id="rId131" Type="http://schemas.openxmlformats.org/officeDocument/2006/relationships/hyperlink" Target="http://hacss3.ly.gov.tw:9018/MISQ/IQuery/misq5000QueryMeetingDetail.action" TargetMode="External"/><Relationship Id="rId152" Type="http://schemas.openxmlformats.org/officeDocument/2006/relationships/hyperlink" Target="http://hacss3.ly.gov.tw:9018/MISQ/IQuery/misq5000QueryMeetingDetail.action" TargetMode="External"/><Relationship Id="rId173" Type="http://schemas.openxmlformats.org/officeDocument/2006/relationships/hyperlink" Target="http://hacss3.ly.gov.tw:9018/MISQ/IQuery/misq5000QueryMeetingDetail.action" TargetMode="External"/><Relationship Id="rId194" Type="http://schemas.openxmlformats.org/officeDocument/2006/relationships/hyperlink" Target="http://hacss3.ly.gov.tw:9018/MISQ/IQuery/misq5000QueryMeetingDetail.action" TargetMode="External"/><Relationship Id="rId208" Type="http://schemas.openxmlformats.org/officeDocument/2006/relationships/hyperlink" Target="http://hacss3.ly.gov.tw:9018/MISQ/IQuery/misq5000QueryMeetingDetail.action" TargetMode="External"/><Relationship Id="rId229" Type="http://schemas.openxmlformats.org/officeDocument/2006/relationships/hyperlink" Target="http://hacss3.ly.gov.tw:9018/MISQ/IQuery/misq5000QueryMeetingDetail.action" TargetMode="External"/><Relationship Id="rId19" Type="http://schemas.openxmlformats.org/officeDocument/2006/relationships/hyperlink" Target="http://hacss3.ly.gov.tw:9018/MISQ/IQuery/misq5000QueryMeetingDetail.action" TargetMode="External"/><Relationship Id="rId224" Type="http://schemas.openxmlformats.org/officeDocument/2006/relationships/hyperlink" Target="http://hacss3.ly.gov.tw:9018/MISQ/IQuery/misq5000QueryMeetingDetail.action" TargetMode="External"/><Relationship Id="rId240" Type="http://schemas.openxmlformats.org/officeDocument/2006/relationships/hyperlink" Target="http://hacss3.ly.gov.tw:9018/MISQ/IQuery/misq5000QueryMeetingDetail.action" TargetMode="External"/><Relationship Id="rId245" Type="http://schemas.openxmlformats.org/officeDocument/2006/relationships/hyperlink" Target="http://hacss3.ly.gov.tw:9018/MISQ/IQuery/misq5000QueryMeetingDetail.action" TargetMode="External"/><Relationship Id="rId261" Type="http://schemas.openxmlformats.org/officeDocument/2006/relationships/hyperlink" Target="http://hacss3.ly.gov.tw:9018/MISQ/IQuery/misq5000QueryMeetingDetail.action" TargetMode="External"/><Relationship Id="rId266" Type="http://schemas.openxmlformats.org/officeDocument/2006/relationships/hyperlink" Target="http://hacss3.ly.gov.tw:9018/MISQ/IQuery/misq5000QueryMeetingDetail.action" TargetMode="External"/><Relationship Id="rId287" Type="http://schemas.openxmlformats.org/officeDocument/2006/relationships/hyperlink" Target="http://hacss3.ly.gov.tw:9018/MISQ/IQuery/misq5000QueryMeetingDetail.action" TargetMode="External"/><Relationship Id="rId14" Type="http://schemas.openxmlformats.org/officeDocument/2006/relationships/footer" Target="footer6.xml"/><Relationship Id="rId30" Type="http://schemas.openxmlformats.org/officeDocument/2006/relationships/hyperlink" Target="http://hacss3.ly.gov.tw:9018/MISQ/IQuery/misq5000QueryMeetingDetail.action" TargetMode="External"/><Relationship Id="rId35" Type="http://schemas.openxmlformats.org/officeDocument/2006/relationships/hyperlink" Target="http://hacss3.ly.gov.tw:9018/MISQ/IQuery/misq5000QueryMeetingDetail.action" TargetMode="External"/><Relationship Id="rId56" Type="http://schemas.openxmlformats.org/officeDocument/2006/relationships/hyperlink" Target="http://hacss3.ly.gov.tw:9018/MISQ/IQuery/misq5000QueryMeetingDetail.action" TargetMode="External"/><Relationship Id="rId77" Type="http://schemas.openxmlformats.org/officeDocument/2006/relationships/hyperlink" Target="http://hacss3.ly.gov.tw:9018/MISQ/IQuery/misq5000QueryMeetingDetail.action" TargetMode="External"/><Relationship Id="rId100" Type="http://schemas.openxmlformats.org/officeDocument/2006/relationships/hyperlink" Target="http://hacss3.ly.gov.tw:9018/MISQ/IQuery/misq5000QueryMeetingDetail.action" TargetMode="External"/><Relationship Id="rId105" Type="http://schemas.openxmlformats.org/officeDocument/2006/relationships/hyperlink" Target="http://hacss3.ly.gov.tw:9018/MISQ/IQuery/misq5000QueryMeetingDetail.action" TargetMode="External"/><Relationship Id="rId126" Type="http://schemas.openxmlformats.org/officeDocument/2006/relationships/hyperlink" Target="http://hacss3.ly.gov.tw:9018/MISQ/IQuery/misq5000QueryMeetingDetail.action" TargetMode="External"/><Relationship Id="rId147" Type="http://schemas.openxmlformats.org/officeDocument/2006/relationships/hyperlink" Target="http://hacss3.ly.gov.tw:9018/MISQ/IQuery/misq5000QueryMeetingDetail.action" TargetMode="External"/><Relationship Id="rId168" Type="http://schemas.openxmlformats.org/officeDocument/2006/relationships/hyperlink" Target="http://hacss3.ly.gov.tw:9018/MISQ/IQuery/misq5000QueryMeetingDetail.action" TargetMode="External"/><Relationship Id="rId282" Type="http://schemas.openxmlformats.org/officeDocument/2006/relationships/hyperlink" Target="http://hacss3.ly.gov.tw:9018/MISQ/IQuery/misq5000QueryMeetingDetail.action" TargetMode="External"/><Relationship Id="rId312" Type="http://schemas.openxmlformats.org/officeDocument/2006/relationships/hyperlink" Target="http://hacss3.ly.gov.tw:9018/MISQ/IQuery/misq5000QueryMeetingDetail.action" TargetMode="External"/><Relationship Id="rId317" Type="http://schemas.openxmlformats.org/officeDocument/2006/relationships/image" Target="media/image5.png"/><Relationship Id="rId8" Type="http://schemas.openxmlformats.org/officeDocument/2006/relationships/image" Target="media/image1.png"/><Relationship Id="rId51" Type="http://schemas.openxmlformats.org/officeDocument/2006/relationships/hyperlink" Target="http://hacss3.ly.gov.tw:9018/MISQ/IQuery/misq5000QueryMeetingDetail.action" TargetMode="External"/><Relationship Id="rId72" Type="http://schemas.openxmlformats.org/officeDocument/2006/relationships/hyperlink" Target="http://hacss3.ly.gov.tw:9018/MISQ/IQuery/misq5000QueryMeetingDetail.action" TargetMode="External"/><Relationship Id="rId93" Type="http://schemas.openxmlformats.org/officeDocument/2006/relationships/hyperlink" Target="http://hacss3.ly.gov.tw:9018/MISQ/IQuery/misq5000QueryMeetingDetail.action" TargetMode="External"/><Relationship Id="rId98" Type="http://schemas.openxmlformats.org/officeDocument/2006/relationships/hyperlink" Target="http://hacss3.ly.gov.tw:9018/MISQ/IQuery/misq5000QueryMeetingDetail.action" TargetMode="External"/><Relationship Id="rId121" Type="http://schemas.openxmlformats.org/officeDocument/2006/relationships/hyperlink" Target="http://hacss3.ly.gov.tw:9018/MISQ/IQuery/misq5000QueryMeetingDetail.action" TargetMode="External"/><Relationship Id="rId142" Type="http://schemas.openxmlformats.org/officeDocument/2006/relationships/hyperlink" Target="http://hacss3.ly.gov.tw:9018/MISQ/IQuery/misq5000QueryMeetingDetail.action" TargetMode="External"/><Relationship Id="rId163" Type="http://schemas.openxmlformats.org/officeDocument/2006/relationships/hyperlink" Target="http://hacss3.ly.gov.tw:9018/MISQ/IQuery/misq5000QueryMeetingDetail.action" TargetMode="External"/><Relationship Id="rId184" Type="http://schemas.openxmlformats.org/officeDocument/2006/relationships/hyperlink" Target="http://hacss3.ly.gov.tw:9018/MISQ/IQuery/misq5000QueryMeetingDetail.action" TargetMode="External"/><Relationship Id="rId189" Type="http://schemas.openxmlformats.org/officeDocument/2006/relationships/hyperlink" Target="http://hacss3.ly.gov.tw:9018/MISQ/IQuery/misq5000QueryMeetingDetail.action" TargetMode="External"/><Relationship Id="rId219" Type="http://schemas.openxmlformats.org/officeDocument/2006/relationships/hyperlink" Target="http://hacss3.ly.gov.tw:9018/MISQ/IQuery/misq5000QueryMeetingDetail.action" TargetMode="External"/><Relationship Id="rId3" Type="http://schemas.openxmlformats.org/officeDocument/2006/relationships/styles" Target="styles.xml"/><Relationship Id="rId214" Type="http://schemas.openxmlformats.org/officeDocument/2006/relationships/hyperlink" Target="http://hacss3.ly.gov.tw:9018/MISQ/IQuery/misq5000QueryMeetingDetail.action" TargetMode="External"/><Relationship Id="rId230" Type="http://schemas.openxmlformats.org/officeDocument/2006/relationships/hyperlink" Target="http://hacss3.ly.gov.tw:9018/MISQ/IQuery/misq5000QueryMeetingDetail.action" TargetMode="External"/><Relationship Id="rId235" Type="http://schemas.openxmlformats.org/officeDocument/2006/relationships/hyperlink" Target="http://hacss3.ly.gov.tw:9018/MISQ/IQuery/misq5000QueryMeetingDetail.action" TargetMode="External"/><Relationship Id="rId251" Type="http://schemas.openxmlformats.org/officeDocument/2006/relationships/hyperlink" Target="http://hacss3.ly.gov.tw:9018/MISQ/IQuery/misq5000QueryMeetingDetail.action" TargetMode="External"/><Relationship Id="rId256" Type="http://schemas.openxmlformats.org/officeDocument/2006/relationships/hyperlink" Target="http://hacss3.ly.gov.tw:9018/MISQ/IQuery/misq5000QueryMeetingDetail.action" TargetMode="External"/><Relationship Id="rId277" Type="http://schemas.openxmlformats.org/officeDocument/2006/relationships/hyperlink" Target="http://hacss3.ly.gov.tw:9018/MISQ/IQuery/misq5000QueryMeetingDetail.action" TargetMode="External"/><Relationship Id="rId298" Type="http://schemas.openxmlformats.org/officeDocument/2006/relationships/hyperlink" Target="http://hacss3.ly.gov.tw:9018/MISQ/IQuery/misq5000QueryMeetingDetail.action" TargetMode="External"/><Relationship Id="rId25" Type="http://schemas.openxmlformats.org/officeDocument/2006/relationships/hyperlink" Target="http://hacss3.ly.gov.tw:9018/MISQ/IQuery/misq5000QueryMeetingDetail.action" TargetMode="External"/><Relationship Id="rId46" Type="http://schemas.openxmlformats.org/officeDocument/2006/relationships/hyperlink" Target="http://hacss3.ly.gov.tw:9018/MISQ/IQuery/misq5000QueryMeetingDetail.action" TargetMode="External"/><Relationship Id="rId67" Type="http://schemas.openxmlformats.org/officeDocument/2006/relationships/hyperlink" Target="http://hacss3.ly.gov.tw:9018/MISQ/IQuery/misq5000QueryMeetingDetail.action" TargetMode="External"/><Relationship Id="rId116" Type="http://schemas.openxmlformats.org/officeDocument/2006/relationships/hyperlink" Target="http://hacss3.ly.gov.tw:9018/MISQ/IQuery/misq5000QueryMeetingDetail.action" TargetMode="External"/><Relationship Id="rId137" Type="http://schemas.openxmlformats.org/officeDocument/2006/relationships/hyperlink" Target="http://hacss3.ly.gov.tw:9018/MISQ/IQuery/misq5000QueryMeetingDetail.action" TargetMode="External"/><Relationship Id="rId158" Type="http://schemas.openxmlformats.org/officeDocument/2006/relationships/hyperlink" Target="http://hacss3.ly.gov.tw:9018/MISQ/IQuery/misq5000QueryMeetingDetail.action" TargetMode="External"/><Relationship Id="rId272" Type="http://schemas.openxmlformats.org/officeDocument/2006/relationships/hyperlink" Target="http://hacss3.ly.gov.tw:9018/MISQ/IQuery/misq5000QueryMeetingDetail.action" TargetMode="External"/><Relationship Id="rId293" Type="http://schemas.openxmlformats.org/officeDocument/2006/relationships/hyperlink" Target="http://hacss3.ly.gov.tw:9018/MISQ/IQuery/misq5000QueryMeetingDetail.action" TargetMode="External"/><Relationship Id="rId302" Type="http://schemas.openxmlformats.org/officeDocument/2006/relationships/hyperlink" Target="http://hacss3.ly.gov.tw:9018/MISQ/IQuery/misq5000QueryMeetingDetail.action" TargetMode="External"/><Relationship Id="rId307" Type="http://schemas.openxmlformats.org/officeDocument/2006/relationships/hyperlink" Target="http://hacss3.ly.gov.tw:9018/MISQ/IQuery/misq5000QueryMeetingDetail.action" TargetMode="External"/><Relationship Id="rId20" Type="http://schemas.openxmlformats.org/officeDocument/2006/relationships/hyperlink" Target="http://hacss3.ly.gov.tw:9018/MISQ/IQuery/misq5000QueryMeetingDetail.action" TargetMode="External"/><Relationship Id="rId41" Type="http://schemas.openxmlformats.org/officeDocument/2006/relationships/hyperlink" Target="http://hacss3.ly.gov.tw:9018/MISQ/IQuery/misq5000QueryMeetingDetail.action" TargetMode="External"/><Relationship Id="rId62" Type="http://schemas.openxmlformats.org/officeDocument/2006/relationships/hyperlink" Target="http://hacss3.ly.gov.tw:9018/MISQ/IQuery/misq5000QueryMeetingDetail.action" TargetMode="External"/><Relationship Id="rId83" Type="http://schemas.openxmlformats.org/officeDocument/2006/relationships/hyperlink" Target="http://hacss3.ly.gov.tw:9018/MISQ/IQuery/misq5000QueryMeetingDetail.action" TargetMode="External"/><Relationship Id="rId88" Type="http://schemas.openxmlformats.org/officeDocument/2006/relationships/hyperlink" Target="http://hacss3.ly.gov.tw:9018/MISQ/IQuery/misq5000QueryMeetingDetail.action" TargetMode="External"/><Relationship Id="rId111" Type="http://schemas.openxmlformats.org/officeDocument/2006/relationships/hyperlink" Target="http://hacss3.ly.gov.tw:9018/MISQ/IQuery/misq5000QueryMeetingDetail.action" TargetMode="External"/><Relationship Id="rId132" Type="http://schemas.openxmlformats.org/officeDocument/2006/relationships/hyperlink" Target="http://hacss3.ly.gov.tw:9018/MISQ/IQuery/misq5000QueryMeetingDetail.action" TargetMode="External"/><Relationship Id="rId153" Type="http://schemas.openxmlformats.org/officeDocument/2006/relationships/hyperlink" Target="http://hacss3.ly.gov.tw:9018/MISQ/IQuery/misq5000QueryMeetingDetail.action" TargetMode="External"/><Relationship Id="rId174" Type="http://schemas.openxmlformats.org/officeDocument/2006/relationships/hyperlink" Target="http://hacss3.ly.gov.tw:9018/MISQ/IQuery/misq5000QueryMeetingDetail.action" TargetMode="External"/><Relationship Id="rId179" Type="http://schemas.openxmlformats.org/officeDocument/2006/relationships/hyperlink" Target="http://hacss3.ly.gov.tw:9018/MISQ/IQuery/misq5000QueryMeetingDetail.action" TargetMode="External"/><Relationship Id="rId195" Type="http://schemas.openxmlformats.org/officeDocument/2006/relationships/hyperlink" Target="http://hacss3.ly.gov.tw:9018/MISQ/IQuery/misq5000QueryMeetingDetail.action" TargetMode="External"/><Relationship Id="rId209" Type="http://schemas.openxmlformats.org/officeDocument/2006/relationships/hyperlink" Target="http://hacss3.ly.gov.tw:9018/MISQ/IQuery/misq5000QueryMeetingDetail.action" TargetMode="External"/><Relationship Id="rId190" Type="http://schemas.openxmlformats.org/officeDocument/2006/relationships/hyperlink" Target="http://hacss3.ly.gov.tw:9018/MISQ/IQuery/misq5000QueryMeetingDetail.action" TargetMode="External"/><Relationship Id="rId204" Type="http://schemas.openxmlformats.org/officeDocument/2006/relationships/hyperlink" Target="http://hacss3.ly.gov.tw:9018/MISQ/IQuery/misq5000QueryMeetingDetail.action" TargetMode="External"/><Relationship Id="rId220" Type="http://schemas.openxmlformats.org/officeDocument/2006/relationships/hyperlink" Target="http://hacss3.ly.gov.tw:9018/MISQ/IQuery/misq5000QueryMeetingDetail.action" TargetMode="External"/><Relationship Id="rId225" Type="http://schemas.openxmlformats.org/officeDocument/2006/relationships/hyperlink" Target="http://hacss3.ly.gov.tw:9018/MISQ/IQuery/misq5000QueryMeetingDetail.action" TargetMode="External"/><Relationship Id="rId241" Type="http://schemas.openxmlformats.org/officeDocument/2006/relationships/hyperlink" Target="http://hacss3.ly.gov.tw:9018/MISQ/IQuery/misq5000QueryMeetingDetail.action" TargetMode="External"/><Relationship Id="rId246" Type="http://schemas.openxmlformats.org/officeDocument/2006/relationships/hyperlink" Target="http://hacss3.ly.gov.tw:9018/MISQ/IQuery/misq5000QueryMeetingDetail.action" TargetMode="External"/><Relationship Id="rId267" Type="http://schemas.openxmlformats.org/officeDocument/2006/relationships/hyperlink" Target="http://hacss3.ly.gov.tw:9018/MISQ/IQuery/misq5000QueryMeetingDetail.action" TargetMode="External"/><Relationship Id="rId288" Type="http://schemas.openxmlformats.org/officeDocument/2006/relationships/hyperlink" Target="http://hacss3.ly.gov.tw:9018/MISQ/IQuery/misq5000QueryMeetingDetail.action" TargetMode="External"/><Relationship Id="rId15" Type="http://schemas.openxmlformats.org/officeDocument/2006/relationships/footer" Target="footer7.xml"/><Relationship Id="rId36" Type="http://schemas.openxmlformats.org/officeDocument/2006/relationships/hyperlink" Target="http://hacss3.ly.gov.tw:9018/MISQ/IQuery/misq5000QueryMeetingDetail.action" TargetMode="External"/><Relationship Id="rId57" Type="http://schemas.openxmlformats.org/officeDocument/2006/relationships/hyperlink" Target="http://hacss3.ly.gov.tw:9018/MISQ/IQuery/misq5000QueryMeetingDetail.action" TargetMode="External"/><Relationship Id="rId106" Type="http://schemas.openxmlformats.org/officeDocument/2006/relationships/hyperlink" Target="http://hacss3.ly.gov.tw:9018/MISQ/IQuery/misq5000QueryMeetingDetail.action" TargetMode="External"/><Relationship Id="rId127" Type="http://schemas.openxmlformats.org/officeDocument/2006/relationships/hyperlink" Target="http://hacss3.ly.gov.tw:9018/MISQ/IQuery/misq5000QueryMeetingDetail.action" TargetMode="External"/><Relationship Id="rId262" Type="http://schemas.openxmlformats.org/officeDocument/2006/relationships/hyperlink" Target="http://hacss3.ly.gov.tw:9018/MISQ/IQuery/misq5000QueryMeetingDetail.action" TargetMode="External"/><Relationship Id="rId283" Type="http://schemas.openxmlformats.org/officeDocument/2006/relationships/hyperlink" Target="http://hacss3.ly.gov.tw:9018/MISQ/IQuery/misq5000QueryMeetingDetail.action" TargetMode="External"/><Relationship Id="rId313" Type="http://schemas.openxmlformats.org/officeDocument/2006/relationships/hyperlink" Target="http://hacss3.ly.gov.tw:9018/MISQ/IQuery/misq5000QueryMeetingDetail.action" TargetMode="External"/><Relationship Id="rId318" Type="http://schemas.openxmlformats.org/officeDocument/2006/relationships/image" Target="media/image6.png"/><Relationship Id="rId10" Type="http://schemas.openxmlformats.org/officeDocument/2006/relationships/footer" Target="footer2.xml"/><Relationship Id="rId31" Type="http://schemas.openxmlformats.org/officeDocument/2006/relationships/hyperlink" Target="http://hacss3.ly.gov.tw:9018/MISQ/IQuery/misq5000QueryMeetingDetail.action" TargetMode="External"/><Relationship Id="rId52" Type="http://schemas.openxmlformats.org/officeDocument/2006/relationships/hyperlink" Target="http://hacss3.ly.gov.tw:9018/MISQ/IQuery/misq5000QueryMeetingDetail.action" TargetMode="External"/><Relationship Id="rId73" Type="http://schemas.openxmlformats.org/officeDocument/2006/relationships/hyperlink" Target="http://hacss3.ly.gov.tw:9018/MISQ/IQuery/misq5000QueryMeetingDetail.action" TargetMode="External"/><Relationship Id="rId78" Type="http://schemas.openxmlformats.org/officeDocument/2006/relationships/hyperlink" Target="http://hacss3.ly.gov.tw:9018/MISQ/IQuery/misq5000QueryMeetingDetail.action" TargetMode="External"/><Relationship Id="rId94" Type="http://schemas.openxmlformats.org/officeDocument/2006/relationships/hyperlink" Target="http://hacss3.ly.gov.tw:9018/MISQ/IQuery/misq5000QueryMeetingDetail.action" TargetMode="External"/><Relationship Id="rId99" Type="http://schemas.openxmlformats.org/officeDocument/2006/relationships/hyperlink" Target="http://hacss3.ly.gov.tw:9018/MISQ/IQuery/misq5000QueryMeetingDetail.action" TargetMode="External"/><Relationship Id="rId101" Type="http://schemas.openxmlformats.org/officeDocument/2006/relationships/hyperlink" Target="http://hacss3.ly.gov.tw:9018/MISQ/IQuery/misq5000QueryMeetingDetail.action" TargetMode="External"/><Relationship Id="rId122" Type="http://schemas.openxmlformats.org/officeDocument/2006/relationships/hyperlink" Target="http://hacss3.ly.gov.tw:9018/MISQ/IQuery/misq5000QueryMeetingDetail.action" TargetMode="External"/><Relationship Id="rId143" Type="http://schemas.openxmlformats.org/officeDocument/2006/relationships/hyperlink" Target="http://hacss3.ly.gov.tw:9018/MISQ/IQuery/misq5000QueryMeetingDetail.action" TargetMode="External"/><Relationship Id="rId148" Type="http://schemas.openxmlformats.org/officeDocument/2006/relationships/hyperlink" Target="http://hacss3.ly.gov.tw:9018/MISQ/IQuery/misq5000QueryMeetingDetail.action" TargetMode="External"/><Relationship Id="rId164" Type="http://schemas.openxmlformats.org/officeDocument/2006/relationships/hyperlink" Target="http://hacss3.ly.gov.tw:9018/MISQ/IQuery/misq5000QueryMeetingDetail.action" TargetMode="External"/><Relationship Id="rId169" Type="http://schemas.openxmlformats.org/officeDocument/2006/relationships/hyperlink" Target="http://hacss3.ly.gov.tw:9018/MISQ/IQuery/misq5000QueryMeetingDetail.action" TargetMode="External"/><Relationship Id="rId185" Type="http://schemas.openxmlformats.org/officeDocument/2006/relationships/hyperlink" Target="http://hacss3.ly.gov.tw:9018/MISQ/IQuery/misq5000QueryMeetingDetail.action" TargetMode="External"/><Relationship Id="rId4" Type="http://schemas.openxmlformats.org/officeDocument/2006/relationships/settings" Target="settings.xml"/><Relationship Id="rId9" Type="http://schemas.openxmlformats.org/officeDocument/2006/relationships/footer" Target="footer1.xml"/><Relationship Id="rId180" Type="http://schemas.openxmlformats.org/officeDocument/2006/relationships/hyperlink" Target="http://hacss3.ly.gov.tw:9018/MISQ/IQuery/misq5000QueryMeetingDetail.action" TargetMode="External"/><Relationship Id="rId210" Type="http://schemas.openxmlformats.org/officeDocument/2006/relationships/hyperlink" Target="http://hacss3.ly.gov.tw:9018/MISQ/IQuery/misq5000QueryMeetingDetail.action" TargetMode="External"/><Relationship Id="rId215" Type="http://schemas.openxmlformats.org/officeDocument/2006/relationships/hyperlink" Target="http://hacss3.ly.gov.tw:9018/MISQ/IQuery/misq5000QueryMeetingDetail.action" TargetMode="External"/><Relationship Id="rId236" Type="http://schemas.openxmlformats.org/officeDocument/2006/relationships/hyperlink" Target="http://hacss3.ly.gov.tw:9018/MISQ/IQuery/misq5000QueryMeetingDetail.action" TargetMode="External"/><Relationship Id="rId257" Type="http://schemas.openxmlformats.org/officeDocument/2006/relationships/hyperlink" Target="http://hacss3.ly.gov.tw:9018/MISQ/IQuery/misq5000QueryMeetingDetail.action" TargetMode="External"/><Relationship Id="rId278" Type="http://schemas.openxmlformats.org/officeDocument/2006/relationships/hyperlink" Target="http://hacss3.ly.gov.tw:9018/MISQ/IQuery/misq5000QueryMeetingDetail.action" TargetMode="External"/><Relationship Id="rId26" Type="http://schemas.openxmlformats.org/officeDocument/2006/relationships/hyperlink" Target="http://hacss3.ly.gov.tw:9018/MISQ/IQuery/misq5000QueryMeetingDetail.action" TargetMode="External"/><Relationship Id="rId231" Type="http://schemas.openxmlformats.org/officeDocument/2006/relationships/hyperlink" Target="http://hacss3.ly.gov.tw:9018/MISQ/IQuery/misq5000QueryMeetingDetail.action" TargetMode="External"/><Relationship Id="rId252" Type="http://schemas.openxmlformats.org/officeDocument/2006/relationships/hyperlink" Target="http://hacss3.ly.gov.tw:9018/MISQ/IQuery/misq5000QueryMeetingDetail.action" TargetMode="External"/><Relationship Id="rId273" Type="http://schemas.openxmlformats.org/officeDocument/2006/relationships/hyperlink" Target="http://hacss3.ly.gov.tw:9018/MISQ/IQuery/misq5000QueryMeetingDetail.action" TargetMode="External"/><Relationship Id="rId294" Type="http://schemas.openxmlformats.org/officeDocument/2006/relationships/hyperlink" Target="http://hacss3.ly.gov.tw:9018/MISQ/IQuery/misq5000QueryMeetingDetail.action" TargetMode="External"/><Relationship Id="rId308" Type="http://schemas.openxmlformats.org/officeDocument/2006/relationships/hyperlink" Target="http://hacss3.ly.gov.tw:9018/MISQ/IQuery/misq5000QueryMeetingDetail.action" TargetMode="External"/><Relationship Id="rId47" Type="http://schemas.openxmlformats.org/officeDocument/2006/relationships/hyperlink" Target="http://hacss3.ly.gov.tw:9018/MISQ/IQuery/misq5000QueryMeetingDetail.action" TargetMode="External"/><Relationship Id="rId68" Type="http://schemas.openxmlformats.org/officeDocument/2006/relationships/hyperlink" Target="http://hacss3.ly.gov.tw:9018/MISQ/IQuery/misq5000QueryMeetingDetail.action" TargetMode="External"/><Relationship Id="rId89" Type="http://schemas.openxmlformats.org/officeDocument/2006/relationships/hyperlink" Target="http://hacss3.ly.gov.tw:9018/MISQ/IQuery/misq5000QueryMeetingDetail.action" TargetMode="External"/><Relationship Id="rId112" Type="http://schemas.openxmlformats.org/officeDocument/2006/relationships/hyperlink" Target="http://hacss3.ly.gov.tw:9018/MISQ/IQuery/misq5000QueryMeetingDetail.action" TargetMode="External"/><Relationship Id="rId133" Type="http://schemas.openxmlformats.org/officeDocument/2006/relationships/hyperlink" Target="http://hacss3.ly.gov.tw:9018/MISQ/IQuery/misq5000QueryMeetingDetail.action" TargetMode="External"/><Relationship Id="rId154" Type="http://schemas.openxmlformats.org/officeDocument/2006/relationships/hyperlink" Target="http://hacss3.ly.gov.tw:9018/MISQ/IQuery/misq5000QueryMeetingDetail.action" TargetMode="External"/><Relationship Id="rId175" Type="http://schemas.openxmlformats.org/officeDocument/2006/relationships/hyperlink" Target="http://hacss3.ly.gov.tw:9018/MISQ/IQuery/misq5000QueryMeetingDetail.action" TargetMode="External"/><Relationship Id="rId196" Type="http://schemas.openxmlformats.org/officeDocument/2006/relationships/hyperlink" Target="http://hacss3.ly.gov.tw:9018/MISQ/IQuery/misq5000QueryMeetingDetail.action" TargetMode="External"/><Relationship Id="rId200" Type="http://schemas.openxmlformats.org/officeDocument/2006/relationships/hyperlink" Target="http://hacss3.ly.gov.tw:9018/MISQ/IQuery/misq5000QueryMeetingDetail.action" TargetMode="External"/><Relationship Id="rId16" Type="http://schemas.openxmlformats.org/officeDocument/2006/relationships/hyperlink" Target="http://hacss3.ly.gov.tw:9018/MISQ/IQuery/misq5000QueryMeetingDetail.action" TargetMode="External"/><Relationship Id="rId221" Type="http://schemas.openxmlformats.org/officeDocument/2006/relationships/hyperlink" Target="http://hacss3.ly.gov.tw:9018/MISQ/IQuery/misq5000QueryMeetingDetail.action" TargetMode="External"/><Relationship Id="rId242" Type="http://schemas.openxmlformats.org/officeDocument/2006/relationships/hyperlink" Target="http://hacss3.ly.gov.tw:9018/MISQ/IQuery/misq5000QueryMeetingDetail.action" TargetMode="External"/><Relationship Id="rId263" Type="http://schemas.openxmlformats.org/officeDocument/2006/relationships/hyperlink" Target="http://hacss3.ly.gov.tw:9018/MISQ/IQuery/misq5000QueryMeetingDetail.action" TargetMode="External"/><Relationship Id="rId284" Type="http://schemas.openxmlformats.org/officeDocument/2006/relationships/hyperlink" Target="http://hacss3.ly.gov.tw:9018/MISQ/IQuery/misq5000QueryMeetingDetail.action" TargetMode="External"/><Relationship Id="rId319" Type="http://schemas.openxmlformats.org/officeDocument/2006/relationships/footer" Target="footer8.xml"/><Relationship Id="rId37" Type="http://schemas.openxmlformats.org/officeDocument/2006/relationships/hyperlink" Target="http://hacss3.ly.gov.tw:9018/MISQ/IQuery/misq5000QueryMeetingDetail.action" TargetMode="External"/><Relationship Id="rId58" Type="http://schemas.openxmlformats.org/officeDocument/2006/relationships/hyperlink" Target="http://hacss3.ly.gov.tw:9018/MISQ/IQuery/misq5000QueryMeetingDetail.action" TargetMode="External"/><Relationship Id="rId79" Type="http://schemas.openxmlformats.org/officeDocument/2006/relationships/hyperlink" Target="http://hacss3.ly.gov.tw:9018/MISQ/IQuery/misq5000QueryMeetingDetail.action" TargetMode="External"/><Relationship Id="rId102" Type="http://schemas.openxmlformats.org/officeDocument/2006/relationships/hyperlink" Target="http://hacss3.ly.gov.tw:9018/MISQ/IQuery/misq5000QueryMeetingDetail.action" TargetMode="External"/><Relationship Id="rId123" Type="http://schemas.openxmlformats.org/officeDocument/2006/relationships/hyperlink" Target="http://hacss3.ly.gov.tw:9018/MISQ/IQuery/misq5000QueryMeetingDetail.action" TargetMode="External"/><Relationship Id="rId144" Type="http://schemas.openxmlformats.org/officeDocument/2006/relationships/hyperlink" Target="http://hacss3.ly.gov.tw:9018/MISQ/IQuery/misq5000QueryMeetingDetail.action" TargetMode="External"/><Relationship Id="rId90" Type="http://schemas.openxmlformats.org/officeDocument/2006/relationships/hyperlink" Target="http://hacss3.ly.gov.tw:9018/MISQ/IQuery/misq5000QueryMeetingDetail.action" TargetMode="External"/><Relationship Id="rId165" Type="http://schemas.openxmlformats.org/officeDocument/2006/relationships/hyperlink" Target="http://hacss3.ly.gov.tw:9018/MISQ/IQuery/misq5000QueryMeetingDetail.action" TargetMode="External"/><Relationship Id="rId186" Type="http://schemas.openxmlformats.org/officeDocument/2006/relationships/hyperlink" Target="http://hacss3.ly.gov.tw:9018/MISQ/IQuery/misq5000QueryMeetingDetail.action" TargetMode="External"/><Relationship Id="rId211" Type="http://schemas.openxmlformats.org/officeDocument/2006/relationships/hyperlink" Target="http://hacss3.ly.gov.tw:9018/MISQ/IQuery/misq5000QueryMeetingDetail.action" TargetMode="External"/><Relationship Id="rId232" Type="http://schemas.openxmlformats.org/officeDocument/2006/relationships/hyperlink" Target="http://hacss3.ly.gov.tw:9018/MISQ/IQuery/misq5000QueryMeetingDetail.action" TargetMode="External"/><Relationship Id="rId253" Type="http://schemas.openxmlformats.org/officeDocument/2006/relationships/hyperlink" Target="http://hacss3.ly.gov.tw:9018/MISQ/IQuery/misq5000QueryMeetingDetail.action" TargetMode="External"/><Relationship Id="rId274" Type="http://schemas.openxmlformats.org/officeDocument/2006/relationships/hyperlink" Target="http://hacss3.ly.gov.tw:9018/MISQ/IQuery/misq5000QueryMeetingDetail.action" TargetMode="External"/><Relationship Id="rId295" Type="http://schemas.openxmlformats.org/officeDocument/2006/relationships/hyperlink" Target="http://hacss3.ly.gov.tw:9018/MISQ/IQuery/misq5000QueryMeetingDetail.action" TargetMode="External"/><Relationship Id="rId309" Type="http://schemas.openxmlformats.org/officeDocument/2006/relationships/hyperlink" Target="http://hacss3.ly.gov.tw:9018/MISQ/IQuery/misq5000QueryMeetingDetail.action" TargetMode="External"/><Relationship Id="rId27" Type="http://schemas.openxmlformats.org/officeDocument/2006/relationships/hyperlink" Target="http://hacss3.ly.gov.tw:9018/MISQ/IQuery/misq5000QueryMeetingDetail.action" TargetMode="External"/><Relationship Id="rId48" Type="http://schemas.openxmlformats.org/officeDocument/2006/relationships/hyperlink" Target="http://hacss3.ly.gov.tw:9018/MISQ/IQuery/misq5000QueryMeetingDetail.action" TargetMode="External"/><Relationship Id="rId69" Type="http://schemas.openxmlformats.org/officeDocument/2006/relationships/hyperlink" Target="http://hacss3.ly.gov.tw:9018/MISQ/IQuery/misq5000QueryMeetingDetail.action" TargetMode="External"/><Relationship Id="rId113" Type="http://schemas.openxmlformats.org/officeDocument/2006/relationships/hyperlink" Target="http://hacss3.ly.gov.tw:9018/MISQ/IQuery/misq5000QueryMeetingDetail.action" TargetMode="External"/><Relationship Id="rId134" Type="http://schemas.openxmlformats.org/officeDocument/2006/relationships/hyperlink" Target="http://hacss3.ly.gov.tw:9018/MISQ/IQuery/misq5000QueryMeetingDetail.action" TargetMode="External"/><Relationship Id="rId320" Type="http://schemas.openxmlformats.org/officeDocument/2006/relationships/fontTable" Target="fontTable.xml"/><Relationship Id="rId80" Type="http://schemas.openxmlformats.org/officeDocument/2006/relationships/hyperlink" Target="http://hacss3.ly.gov.tw:9018/MISQ/IQuery/misq5000QueryMeetingDetail.action" TargetMode="External"/><Relationship Id="rId155" Type="http://schemas.openxmlformats.org/officeDocument/2006/relationships/hyperlink" Target="http://hacss3.ly.gov.tw:9018/MISQ/IQuery/misq5000QueryMeetingDetail.action" TargetMode="External"/><Relationship Id="rId176" Type="http://schemas.openxmlformats.org/officeDocument/2006/relationships/hyperlink" Target="http://hacss3.ly.gov.tw:9018/MISQ/IQuery/misq5000QueryMeetingDetail.action" TargetMode="External"/><Relationship Id="rId197" Type="http://schemas.openxmlformats.org/officeDocument/2006/relationships/hyperlink" Target="http://hacss3.ly.gov.tw:9018/MISQ/IQuery/misq5000QueryMeetingDetail.action" TargetMode="External"/><Relationship Id="rId201" Type="http://schemas.openxmlformats.org/officeDocument/2006/relationships/hyperlink" Target="http://hacss3.ly.gov.tw:9018/MISQ/IQuery/misq5000QueryMeetingDetail.action" TargetMode="External"/><Relationship Id="rId222" Type="http://schemas.openxmlformats.org/officeDocument/2006/relationships/hyperlink" Target="http://hacss3.ly.gov.tw:9018/MISQ/IQuery/misq5000QueryMeetingDetail.action" TargetMode="External"/><Relationship Id="rId243" Type="http://schemas.openxmlformats.org/officeDocument/2006/relationships/hyperlink" Target="http://hacss3.ly.gov.tw:9018/MISQ/IQuery/misq5000QueryMeetingDetail.action" TargetMode="External"/><Relationship Id="rId264" Type="http://schemas.openxmlformats.org/officeDocument/2006/relationships/hyperlink" Target="http://hacss3.ly.gov.tw:9018/MISQ/IQuery/misq5000QueryMeetingDetail.action" TargetMode="External"/><Relationship Id="rId285" Type="http://schemas.openxmlformats.org/officeDocument/2006/relationships/hyperlink" Target="http://hacss3.ly.gov.tw:9018/MISQ/IQuery/misq5000QueryMeetingDetail.action" TargetMode="External"/><Relationship Id="rId17" Type="http://schemas.openxmlformats.org/officeDocument/2006/relationships/hyperlink" Target="http://hacss3.ly.gov.tw:9018/MISQ/IQuery/misq5000QueryMeetingDetail.action" TargetMode="External"/><Relationship Id="rId38" Type="http://schemas.openxmlformats.org/officeDocument/2006/relationships/hyperlink" Target="http://hacss3.ly.gov.tw:9018/MISQ/IQuery/misq5000QueryMeetingDetail.action" TargetMode="External"/><Relationship Id="rId59" Type="http://schemas.openxmlformats.org/officeDocument/2006/relationships/hyperlink" Target="http://hacss3.ly.gov.tw:9018/MISQ/IQuery/misq5000QueryMeetingDetail.action" TargetMode="External"/><Relationship Id="rId103" Type="http://schemas.openxmlformats.org/officeDocument/2006/relationships/hyperlink" Target="http://hacss3.ly.gov.tw:9018/MISQ/IQuery/misq5000QueryMeetingDetail.action" TargetMode="External"/><Relationship Id="rId124" Type="http://schemas.openxmlformats.org/officeDocument/2006/relationships/hyperlink" Target="http://hacss3.ly.gov.tw:9018/MISQ/IQuery/misq5000QueryMeetingDetail.action" TargetMode="External"/><Relationship Id="rId310" Type="http://schemas.openxmlformats.org/officeDocument/2006/relationships/hyperlink" Target="http://hacss3.ly.gov.tw:9018/MISQ/IQuery/misq5000QueryMeetingDetail.action" TargetMode="External"/><Relationship Id="rId70" Type="http://schemas.openxmlformats.org/officeDocument/2006/relationships/hyperlink" Target="http://hacss3.ly.gov.tw:9018/MISQ/IQuery/misq5000QueryMeetingDetail.action" TargetMode="External"/><Relationship Id="rId91" Type="http://schemas.openxmlformats.org/officeDocument/2006/relationships/hyperlink" Target="http://hacss3.ly.gov.tw:9018/MISQ/IQuery/misq5000QueryMeetingDetail.action" TargetMode="External"/><Relationship Id="rId145" Type="http://schemas.openxmlformats.org/officeDocument/2006/relationships/hyperlink" Target="http://hacss3.ly.gov.tw:9018/MISQ/IQuery/misq5000QueryMeetingDetail.action" TargetMode="External"/><Relationship Id="rId166" Type="http://schemas.openxmlformats.org/officeDocument/2006/relationships/hyperlink" Target="http://hacss3.ly.gov.tw:9018/MISQ/IQuery/misq5000QueryMeetingDetail.action" TargetMode="External"/><Relationship Id="rId187" Type="http://schemas.openxmlformats.org/officeDocument/2006/relationships/hyperlink" Target="http://hacss3.ly.gov.tw:9018/MISQ/IQuery/misq5000QueryMeetingDetail.action" TargetMode="External"/><Relationship Id="rId1" Type="http://schemas.openxmlformats.org/officeDocument/2006/relationships/customXml" Target="../customXml/item1.xml"/><Relationship Id="rId212" Type="http://schemas.openxmlformats.org/officeDocument/2006/relationships/hyperlink" Target="http://hacss3.ly.gov.tw:9018/MISQ/IQuery/misq5000QueryMeetingDetail.action" TargetMode="External"/><Relationship Id="rId233" Type="http://schemas.openxmlformats.org/officeDocument/2006/relationships/hyperlink" Target="http://hacss3.ly.gov.tw:9018/MISQ/IQuery/misq5000QueryMeetingDetail.action" TargetMode="External"/><Relationship Id="rId254" Type="http://schemas.openxmlformats.org/officeDocument/2006/relationships/hyperlink" Target="http://hacss3.ly.gov.tw:9018/MISQ/IQuery/misq5000QueryMeetingDetail.action" TargetMode="External"/><Relationship Id="rId28" Type="http://schemas.openxmlformats.org/officeDocument/2006/relationships/hyperlink" Target="http://hacss3.ly.gov.tw:9018/MISQ/IQuery/misq5000QueryMeetingDetail.action" TargetMode="External"/><Relationship Id="rId49" Type="http://schemas.openxmlformats.org/officeDocument/2006/relationships/hyperlink" Target="http://hacss3.ly.gov.tw:9018/MISQ/IQuery/misq5000QueryMeetingDetail.action" TargetMode="External"/><Relationship Id="rId114" Type="http://schemas.openxmlformats.org/officeDocument/2006/relationships/hyperlink" Target="http://hacss3.ly.gov.tw:9018/MISQ/IQuery/misq5000QueryMeetingDetail.action" TargetMode="External"/><Relationship Id="rId275" Type="http://schemas.openxmlformats.org/officeDocument/2006/relationships/hyperlink" Target="http://hacss3.ly.gov.tw:9018/MISQ/IQuery/misq5000QueryMeetingDetail.action" TargetMode="External"/><Relationship Id="rId296" Type="http://schemas.openxmlformats.org/officeDocument/2006/relationships/hyperlink" Target="http://hacss3.ly.gov.tw:9018/MISQ/IQuery/misq5000QueryMeetingDetail.action" TargetMode="External"/><Relationship Id="rId300" Type="http://schemas.openxmlformats.org/officeDocument/2006/relationships/hyperlink" Target="http://hacss3.ly.gov.tw:9018/MISQ/IQuery/misq5000QueryMeetingDetail.action" TargetMode="External"/><Relationship Id="rId60" Type="http://schemas.openxmlformats.org/officeDocument/2006/relationships/hyperlink" Target="http://hacss3.ly.gov.tw:9018/MISQ/IQuery/misq5000QueryMeetingDetail.action" TargetMode="External"/><Relationship Id="rId81" Type="http://schemas.openxmlformats.org/officeDocument/2006/relationships/hyperlink" Target="http://hacss3.ly.gov.tw:9018/MISQ/IQuery/misq5000QueryMeetingDetail.action" TargetMode="External"/><Relationship Id="rId135" Type="http://schemas.openxmlformats.org/officeDocument/2006/relationships/hyperlink" Target="http://hacss3.ly.gov.tw:9018/MISQ/IQuery/misq5000QueryMeetingDetail.action" TargetMode="External"/><Relationship Id="rId156" Type="http://schemas.openxmlformats.org/officeDocument/2006/relationships/hyperlink" Target="http://hacss3.ly.gov.tw:9018/MISQ/IQuery/misq5000QueryMeetingDetail.action" TargetMode="External"/><Relationship Id="rId177" Type="http://schemas.openxmlformats.org/officeDocument/2006/relationships/hyperlink" Target="http://hacss3.ly.gov.tw:9018/MISQ/IQuery/misq5000QueryMeetingDetail.action" TargetMode="External"/><Relationship Id="rId198" Type="http://schemas.openxmlformats.org/officeDocument/2006/relationships/hyperlink" Target="http://hacss3.ly.gov.tw:9018/MISQ/IQuery/misq5000QueryMeetingDetail.action" TargetMode="External"/><Relationship Id="rId321" Type="http://schemas.openxmlformats.org/officeDocument/2006/relationships/theme" Target="theme/theme1.xml"/><Relationship Id="rId202" Type="http://schemas.openxmlformats.org/officeDocument/2006/relationships/hyperlink" Target="http://hacss3.ly.gov.tw:9018/MISQ/IQuery/misq5000QueryMeetingDetail.action" TargetMode="External"/><Relationship Id="rId223" Type="http://schemas.openxmlformats.org/officeDocument/2006/relationships/hyperlink" Target="http://hacss3.ly.gov.tw:9018/MISQ/IQuery/misq5000QueryMeetingDetail.action" TargetMode="External"/><Relationship Id="rId244" Type="http://schemas.openxmlformats.org/officeDocument/2006/relationships/hyperlink" Target="http://hacss3.ly.gov.tw:9018/MISQ/IQuery/misq5000QueryMeetingDetail.action" TargetMode="External"/><Relationship Id="rId18" Type="http://schemas.openxmlformats.org/officeDocument/2006/relationships/hyperlink" Target="http://hacss3.ly.gov.tw:9018/MISQ/IQuery/misq5000QueryMeetingDetail.action" TargetMode="External"/><Relationship Id="rId39" Type="http://schemas.openxmlformats.org/officeDocument/2006/relationships/hyperlink" Target="http://hacss3.ly.gov.tw:9018/MISQ/IQuery/misq5000QueryMeetingDetail.action" TargetMode="External"/><Relationship Id="rId265" Type="http://schemas.openxmlformats.org/officeDocument/2006/relationships/hyperlink" Target="http://hacss3.ly.gov.tw:9018/MISQ/IQuery/misq5000QueryMeetingDetail.action" TargetMode="External"/><Relationship Id="rId286" Type="http://schemas.openxmlformats.org/officeDocument/2006/relationships/hyperlink" Target="http://hacss3.ly.gov.tw:9018/MISQ/IQuery/misq5000QueryMeetingDetail.action" TargetMode="External"/><Relationship Id="rId50" Type="http://schemas.openxmlformats.org/officeDocument/2006/relationships/hyperlink" Target="http://hacss3.ly.gov.tw:9018/MISQ/IQuery/misq5000QueryMeetingDetail.action" TargetMode="External"/><Relationship Id="rId104" Type="http://schemas.openxmlformats.org/officeDocument/2006/relationships/hyperlink" Target="http://hacss3.ly.gov.tw:9018/MISQ/IQuery/misq5000QueryMeetingDetail.action" TargetMode="External"/><Relationship Id="rId125" Type="http://schemas.openxmlformats.org/officeDocument/2006/relationships/hyperlink" Target="http://hacss3.ly.gov.tw:9018/MISQ/IQuery/misq5000QueryMeetingDetail.action" TargetMode="External"/><Relationship Id="rId146" Type="http://schemas.openxmlformats.org/officeDocument/2006/relationships/hyperlink" Target="http://hacss3.ly.gov.tw:9018/MISQ/IQuery/misq5000QueryMeetingDetail.action" TargetMode="External"/><Relationship Id="rId167" Type="http://schemas.openxmlformats.org/officeDocument/2006/relationships/hyperlink" Target="http://hacss3.ly.gov.tw:9018/MISQ/IQuery/misq5000QueryMeetingDetail.action" TargetMode="External"/><Relationship Id="rId188" Type="http://schemas.openxmlformats.org/officeDocument/2006/relationships/hyperlink" Target="http://hacss3.ly.gov.tw:9018/MISQ/IQuery/misq5000QueryMeetingDetail.action" TargetMode="External"/><Relationship Id="rId311" Type="http://schemas.openxmlformats.org/officeDocument/2006/relationships/hyperlink" Target="http://hacss3.ly.gov.tw:9018/MISQ/IQuery/misq5000QueryMeetingDetail.action" TargetMode="External"/><Relationship Id="rId71" Type="http://schemas.openxmlformats.org/officeDocument/2006/relationships/hyperlink" Target="http://hacss3.ly.gov.tw:9018/MISQ/IQuery/misq5000QueryMeetingDetail.action" TargetMode="External"/><Relationship Id="rId92" Type="http://schemas.openxmlformats.org/officeDocument/2006/relationships/hyperlink" Target="http://hacss3.ly.gov.tw:9018/MISQ/IQuery/misq5000QueryMeetingDetail.action" TargetMode="External"/><Relationship Id="rId213" Type="http://schemas.openxmlformats.org/officeDocument/2006/relationships/hyperlink" Target="http://hacss3.ly.gov.tw:9018/MISQ/IQuery/misq5000QueryMeetingDetail.action" TargetMode="External"/><Relationship Id="rId234" Type="http://schemas.openxmlformats.org/officeDocument/2006/relationships/hyperlink" Target="http://hacss3.ly.gov.tw:9018/MISQ/IQuery/misq5000QueryMeetingDetail.action" TargetMode="External"/><Relationship Id="rId2" Type="http://schemas.openxmlformats.org/officeDocument/2006/relationships/numbering" Target="numbering.xml"/><Relationship Id="rId29" Type="http://schemas.openxmlformats.org/officeDocument/2006/relationships/hyperlink" Target="http://hacss3.ly.gov.tw:9018/MISQ/IQuery/misq5000QueryMeetingDetail.action" TargetMode="External"/><Relationship Id="rId255" Type="http://schemas.openxmlformats.org/officeDocument/2006/relationships/hyperlink" Target="http://hacss3.ly.gov.tw:9018/MISQ/IQuery/misq5000QueryMeetingDetail.action" TargetMode="External"/><Relationship Id="rId276" Type="http://schemas.openxmlformats.org/officeDocument/2006/relationships/hyperlink" Target="http://hacss3.ly.gov.tw:9018/MISQ/IQuery/misq5000QueryMeetingDetail.action" TargetMode="External"/><Relationship Id="rId297" Type="http://schemas.openxmlformats.org/officeDocument/2006/relationships/hyperlink" Target="http://hacss3.ly.gov.tw:9018/MISQ/IQuery/misq5000QueryMeetingDetail.action" TargetMode="External"/><Relationship Id="rId40" Type="http://schemas.openxmlformats.org/officeDocument/2006/relationships/hyperlink" Target="http://hacss3.ly.gov.tw:9018/MISQ/IQuery/misq5000QueryMeetingDetail.action" TargetMode="External"/><Relationship Id="rId115" Type="http://schemas.openxmlformats.org/officeDocument/2006/relationships/hyperlink" Target="http://hacss3.ly.gov.tw:9018/MISQ/IQuery/misq5000QueryMeetingDetail.action" TargetMode="External"/><Relationship Id="rId136" Type="http://schemas.openxmlformats.org/officeDocument/2006/relationships/hyperlink" Target="http://hacss3.ly.gov.tw:9018/MISQ/IQuery/misq5000QueryMeetingDetail.action" TargetMode="External"/><Relationship Id="rId157" Type="http://schemas.openxmlformats.org/officeDocument/2006/relationships/hyperlink" Target="http://hacss3.ly.gov.tw:9018/MISQ/IQuery/misq5000QueryMeetingDetail.action" TargetMode="External"/><Relationship Id="rId178" Type="http://schemas.openxmlformats.org/officeDocument/2006/relationships/hyperlink" Target="http://hacss3.ly.gov.tw:9018/MISQ/IQuery/misq5000QueryMeetingDetail.action" TargetMode="External"/><Relationship Id="rId301" Type="http://schemas.openxmlformats.org/officeDocument/2006/relationships/hyperlink" Target="http://hacss3.ly.gov.tw:9018/MISQ/IQuery/misq5000QueryMeetingDetail.action" TargetMode="External"/><Relationship Id="rId61" Type="http://schemas.openxmlformats.org/officeDocument/2006/relationships/hyperlink" Target="http://hacss3.ly.gov.tw:9018/MISQ/IQuery/misq5000QueryMeetingDetail.action" TargetMode="External"/><Relationship Id="rId82" Type="http://schemas.openxmlformats.org/officeDocument/2006/relationships/hyperlink" Target="http://hacss3.ly.gov.tw:9018/MISQ/IQuery/misq5000QueryMeetingDetail.action" TargetMode="External"/><Relationship Id="rId199" Type="http://schemas.openxmlformats.org/officeDocument/2006/relationships/hyperlink" Target="http://hacss3.ly.gov.tw:9018/MISQ/IQuery/misq5000QueryMeetingDetail.action" TargetMode="External"/><Relationship Id="rId203" Type="http://schemas.openxmlformats.org/officeDocument/2006/relationships/hyperlink" Target="http://hacss3.ly.gov.tw:9018/MISQ/IQuery/misq5000QueryMeetingDetail.action"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089878-F352-489C-95C8-790D81A9AC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733</Pages>
  <Words>77190</Words>
  <Characters>439989</Characters>
  <Application>Microsoft Office Word</Application>
  <DocSecurity>0</DocSecurity>
  <Lines>3666</Lines>
  <Paragraphs>1032</Paragraphs>
  <ScaleCrop>false</ScaleCrop>
  <Company/>
  <LinksUpToDate>false</LinksUpToDate>
  <CharactersWithSpaces>516147</CharactersWithSpaces>
  <SharedDoc>false</SharedDoc>
  <HLinks>
    <vt:vector size="540" baseType="variant">
      <vt:variant>
        <vt:i4>1114169</vt:i4>
      </vt:variant>
      <vt:variant>
        <vt:i4>536</vt:i4>
      </vt:variant>
      <vt:variant>
        <vt:i4>0</vt:i4>
      </vt:variant>
      <vt:variant>
        <vt:i4>5</vt:i4>
      </vt:variant>
      <vt:variant>
        <vt:lpwstr/>
      </vt:variant>
      <vt:variant>
        <vt:lpwstr>_Toc78295097</vt:lpwstr>
      </vt:variant>
      <vt:variant>
        <vt:i4>1048633</vt:i4>
      </vt:variant>
      <vt:variant>
        <vt:i4>530</vt:i4>
      </vt:variant>
      <vt:variant>
        <vt:i4>0</vt:i4>
      </vt:variant>
      <vt:variant>
        <vt:i4>5</vt:i4>
      </vt:variant>
      <vt:variant>
        <vt:lpwstr/>
      </vt:variant>
      <vt:variant>
        <vt:lpwstr>_Toc78295096</vt:lpwstr>
      </vt:variant>
      <vt:variant>
        <vt:i4>1245241</vt:i4>
      </vt:variant>
      <vt:variant>
        <vt:i4>524</vt:i4>
      </vt:variant>
      <vt:variant>
        <vt:i4>0</vt:i4>
      </vt:variant>
      <vt:variant>
        <vt:i4>5</vt:i4>
      </vt:variant>
      <vt:variant>
        <vt:lpwstr/>
      </vt:variant>
      <vt:variant>
        <vt:lpwstr>_Toc78295095</vt:lpwstr>
      </vt:variant>
      <vt:variant>
        <vt:i4>1179705</vt:i4>
      </vt:variant>
      <vt:variant>
        <vt:i4>518</vt:i4>
      </vt:variant>
      <vt:variant>
        <vt:i4>0</vt:i4>
      </vt:variant>
      <vt:variant>
        <vt:i4>5</vt:i4>
      </vt:variant>
      <vt:variant>
        <vt:lpwstr/>
      </vt:variant>
      <vt:variant>
        <vt:lpwstr>_Toc78295094</vt:lpwstr>
      </vt:variant>
      <vt:variant>
        <vt:i4>1376313</vt:i4>
      </vt:variant>
      <vt:variant>
        <vt:i4>512</vt:i4>
      </vt:variant>
      <vt:variant>
        <vt:i4>0</vt:i4>
      </vt:variant>
      <vt:variant>
        <vt:i4>5</vt:i4>
      </vt:variant>
      <vt:variant>
        <vt:lpwstr/>
      </vt:variant>
      <vt:variant>
        <vt:lpwstr>_Toc78295093</vt:lpwstr>
      </vt:variant>
      <vt:variant>
        <vt:i4>1310777</vt:i4>
      </vt:variant>
      <vt:variant>
        <vt:i4>506</vt:i4>
      </vt:variant>
      <vt:variant>
        <vt:i4>0</vt:i4>
      </vt:variant>
      <vt:variant>
        <vt:i4>5</vt:i4>
      </vt:variant>
      <vt:variant>
        <vt:lpwstr/>
      </vt:variant>
      <vt:variant>
        <vt:lpwstr>_Toc78295092</vt:lpwstr>
      </vt:variant>
      <vt:variant>
        <vt:i4>1507385</vt:i4>
      </vt:variant>
      <vt:variant>
        <vt:i4>500</vt:i4>
      </vt:variant>
      <vt:variant>
        <vt:i4>0</vt:i4>
      </vt:variant>
      <vt:variant>
        <vt:i4>5</vt:i4>
      </vt:variant>
      <vt:variant>
        <vt:lpwstr/>
      </vt:variant>
      <vt:variant>
        <vt:lpwstr>_Toc78295091</vt:lpwstr>
      </vt:variant>
      <vt:variant>
        <vt:i4>1441849</vt:i4>
      </vt:variant>
      <vt:variant>
        <vt:i4>494</vt:i4>
      </vt:variant>
      <vt:variant>
        <vt:i4>0</vt:i4>
      </vt:variant>
      <vt:variant>
        <vt:i4>5</vt:i4>
      </vt:variant>
      <vt:variant>
        <vt:lpwstr/>
      </vt:variant>
      <vt:variant>
        <vt:lpwstr>_Toc78295090</vt:lpwstr>
      </vt:variant>
      <vt:variant>
        <vt:i4>2031672</vt:i4>
      </vt:variant>
      <vt:variant>
        <vt:i4>488</vt:i4>
      </vt:variant>
      <vt:variant>
        <vt:i4>0</vt:i4>
      </vt:variant>
      <vt:variant>
        <vt:i4>5</vt:i4>
      </vt:variant>
      <vt:variant>
        <vt:lpwstr/>
      </vt:variant>
      <vt:variant>
        <vt:lpwstr>_Toc78295089</vt:lpwstr>
      </vt:variant>
      <vt:variant>
        <vt:i4>1966136</vt:i4>
      </vt:variant>
      <vt:variant>
        <vt:i4>482</vt:i4>
      </vt:variant>
      <vt:variant>
        <vt:i4>0</vt:i4>
      </vt:variant>
      <vt:variant>
        <vt:i4>5</vt:i4>
      </vt:variant>
      <vt:variant>
        <vt:lpwstr/>
      </vt:variant>
      <vt:variant>
        <vt:lpwstr>_Toc78295088</vt:lpwstr>
      </vt:variant>
      <vt:variant>
        <vt:i4>1114168</vt:i4>
      </vt:variant>
      <vt:variant>
        <vt:i4>476</vt:i4>
      </vt:variant>
      <vt:variant>
        <vt:i4>0</vt:i4>
      </vt:variant>
      <vt:variant>
        <vt:i4>5</vt:i4>
      </vt:variant>
      <vt:variant>
        <vt:lpwstr/>
      </vt:variant>
      <vt:variant>
        <vt:lpwstr>_Toc78295087</vt:lpwstr>
      </vt:variant>
      <vt:variant>
        <vt:i4>1048632</vt:i4>
      </vt:variant>
      <vt:variant>
        <vt:i4>470</vt:i4>
      </vt:variant>
      <vt:variant>
        <vt:i4>0</vt:i4>
      </vt:variant>
      <vt:variant>
        <vt:i4>5</vt:i4>
      </vt:variant>
      <vt:variant>
        <vt:lpwstr/>
      </vt:variant>
      <vt:variant>
        <vt:lpwstr>_Toc78295086</vt:lpwstr>
      </vt:variant>
      <vt:variant>
        <vt:i4>1245240</vt:i4>
      </vt:variant>
      <vt:variant>
        <vt:i4>464</vt:i4>
      </vt:variant>
      <vt:variant>
        <vt:i4>0</vt:i4>
      </vt:variant>
      <vt:variant>
        <vt:i4>5</vt:i4>
      </vt:variant>
      <vt:variant>
        <vt:lpwstr/>
      </vt:variant>
      <vt:variant>
        <vt:lpwstr>_Toc78295085</vt:lpwstr>
      </vt:variant>
      <vt:variant>
        <vt:i4>1179704</vt:i4>
      </vt:variant>
      <vt:variant>
        <vt:i4>458</vt:i4>
      </vt:variant>
      <vt:variant>
        <vt:i4>0</vt:i4>
      </vt:variant>
      <vt:variant>
        <vt:i4>5</vt:i4>
      </vt:variant>
      <vt:variant>
        <vt:lpwstr/>
      </vt:variant>
      <vt:variant>
        <vt:lpwstr>_Toc78295084</vt:lpwstr>
      </vt:variant>
      <vt:variant>
        <vt:i4>1376312</vt:i4>
      </vt:variant>
      <vt:variant>
        <vt:i4>452</vt:i4>
      </vt:variant>
      <vt:variant>
        <vt:i4>0</vt:i4>
      </vt:variant>
      <vt:variant>
        <vt:i4>5</vt:i4>
      </vt:variant>
      <vt:variant>
        <vt:lpwstr/>
      </vt:variant>
      <vt:variant>
        <vt:lpwstr>_Toc78295083</vt:lpwstr>
      </vt:variant>
      <vt:variant>
        <vt:i4>1310776</vt:i4>
      </vt:variant>
      <vt:variant>
        <vt:i4>446</vt:i4>
      </vt:variant>
      <vt:variant>
        <vt:i4>0</vt:i4>
      </vt:variant>
      <vt:variant>
        <vt:i4>5</vt:i4>
      </vt:variant>
      <vt:variant>
        <vt:lpwstr/>
      </vt:variant>
      <vt:variant>
        <vt:lpwstr>_Toc78295082</vt:lpwstr>
      </vt:variant>
      <vt:variant>
        <vt:i4>1507384</vt:i4>
      </vt:variant>
      <vt:variant>
        <vt:i4>440</vt:i4>
      </vt:variant>
      <vt:variant>
        <vt:i4>0</vt:i4>
      </vt:variant>
      <vt:variant>
        <vt:i4>5</vt:i4>
      </vt:variant>
      <vt:variant>
        <vt:lpwstr/>
      </vt:variant>
      <vt:variant>
        <vt:lpwstr>_Toc78295081</vt:lpwstr>
      </vt:variant>
      <vt:variant>
        <vt:i4>1441848</vt:i4>
      </vt:variant>
      <vt:variant>
        <vt:i4>434</vt:i4>
      </vt:variant>
      <vt:variant>
        <vt:i4>0</vt:i4>
      </vt:variant>
      <vt:variant>
        <vt:i4>5</vt:i4>
      </vt:variant>
      <vt:variant>
        <vt:lpwstr/>
      </vt:variant>
      <vt:variant>
        <vt:lpwstr>_Toc78295080</vt:lpwstr>
      </vt:variant>
      <vt:variant>
        <vt:i4>2031671</vt:i4>
      </vt:variant>
      <vt:variant>
        <vt:i4>428</vt:i4>
      </vt:variant>
      <vt:variant>
        <vt:i4>0</vt:i4>
      </vt:variant>
      <vt:variant>
        <vt:i4>5</vt:i4>
      </vt:variant>
      <vt:variant>
        <vt:lpwstr/>
      </vt:variant>
      <vt:variant>
        <vt:lpwstr>_Toc78295079</vt:lpwstr>
      </vt:variant>
      <vt:variant>
        <vt:i4>1966135</vt:i4>
      </vt:variant>
      <vt:variant>
        <vt:i4>422</vt:i4>
      </vt:variant>
      <vt:variant>
        <vt:i4>0</vt:i4>
      </vt:variant>
      <vt:variant>
        <vt:i4>5</vt:i4>
      </vt:variant>
      <vt:variant>
        <vt:lpwstr/>
      </vt:variant>
      <vt:variant>
        <vt:lpwstr>_Toc78295078</vt:lpwstr>
      </vt:variant>
      <vt:variant>
        <vt:i4>1114167</vt:i4>
      </vt:variant>
      <vt:variant>
        <vt:i4>416</vt:i4>
      </vt:variant>
      <vt:variant>
        <vt:i4>0</vt:i4>
      </vt:variant>
      <vt:variant>
        <vt:i4>5</vt:i4>
      </vt:variant>
      <vt:variant>
        <vt:lpwstr/>
      </vt:variant>
      <vt:variant>
        <vt:lpwstr>_Toc78295077</vt:lpwstr>
      </vt:variant>
      <vt:variant>
        <vt:i4>1048631</vt:i4>
      </vt:variant>
      <vt:variant>
        <vt:i4>410</vt:i4>
      </vt:variant>
      <vt:variant>
        <vt:i4>0</vt:i4>
      </vt:variant>
      <vt:variant>
        <vt:i4>5</vt:i4>
      </vt:variant>
      <vt:variant>
        <vt:lpwstr/>
      </vt:variant>
      <vt:variant>
        <vt:lpwstr>_Toc78295076</vt:lpwstr>
      </vt:variant>
      <vt:variant>
        <vt:i4>1245239</vt:i4>
      </vt:variant>
      <vt:variant>
        <vt:i4>404</vt:i4>
      </vt:variant>
      <vt:variant>
        <vt:i4>0</vt:i4>
      </vt:variant>
      <vt:variant>
        <vt:i4>5</vt:i4>
      </vt:variant>
      <vt:variant>
        <vt:lpwstr/>
      </vt:variant>
      <vt:variant>
        <vt:lpwstr>_Toc78295075</vt:lpwstr>
      </vt:variant>
      <vt:variant>
        <vt:i4>1179703</vt:i4>
      </vt:variant>
      <vt:variant>
        <vt:i4>398</vt:i4>
      </vt:variant>
      <vt:variant>
        <vt:i4>0</vt:i4>
      </vt:variant>
      <vt:variant>
        <vt:i4>5</vt:i4>
      </vt:variant>
      <vt:variant>
        <vt:lpwstr/>
      </vt:variant>
      <vt:variant>
        <vt:lpwstr>_Toc78295074</vt:lpwstr>
      </vt:variant>
      <vt:variant>
        <vt:i4>1376311</vt:i4>
      </vt:variant>
      <vt:variant>
        <vt:i4>392</vt:i4>
      </vt:variant>
      <vt:variant>
        <vt:i4>0</vt:i4>
      </vt:variant>
      <vt:variant>
        <vt:i4>5</vt:i4>
      </vt:variant>
      <vt:variant>
        <vt:lpwstr/>
      </vt:variant>
      <vt:variant>
        <vt:lpwstr>_Toc78295073</vt:lpwstr>
      </vt:variant>
      <vt:variant>
        <vt:i4>1310775</vt:i4>
      </vt:variant>
      <vt:variant>
        <vt:i4>386</vt:i4>
      </vt:variant>
      <vt:variant>
        <vt:i4>0</vt:i4>
      </vt:variant>
      <vt:variant>
        <vt:i4>5</vt:i4>
      </vt:variant>
      <vt:variant>
        <vt:lpwstr/>
      </vt:variant>
      <vt:variant>
        <vt:lpwstr>_Toc78295072</vt:lpwstr>
      </vt:variant>
      <vt:variant>
        <vt:i4>1507383</vt:i4>
      </vt:variant>
      <vt:variant>
        <vt:i4>380</vt:i4>
      </vt:variant>
      <vt:variant>
        <vt:i4>0</vt:i4>
      </vt:variant>
      <vt:variant>
        <vt:i4>5</vt:i4>
      </vt:variant>
      <vt:variant>
        <vt:lpwstr/>
      </vt:variant>
      <vt:variant>
        <vt:lpwstr>_Toc78295071</vt:lpwstr>
      </vt:variant>
      <vt:variant>
        <vt:i4>1441847</vt:i4>
      </vt:variant>
      <vt:variant>
        <vt:i4>374</vt:i4>
      </vt:variant>
      <vt:variant>
        <vt:i4>0</vt:i4>
      </vt:variant>
      <vt:variant>
        <vt:i4>5</vt:i4>
      </vt:variant>
      <vt:variant>
        <vt:lpwstr/>
      </vt:variant>
      <vt:variant>
        <vt:lpwstr>_Toc78295070</vt:lpwstr>
      </vt:variant>
      <vt:variant>
        <vt:i4>2031670</vt:i4>
      </vt:variant>
      <vt:variant>
        <vt:i4>368</vt:i4>
      </vt:variant>
      <vt:variant>
        <vt:i4>0</vt:i4>
      </vt:variant>
      <vt:variant>
        <vt:i4>5</vt:i4>
      </vt:variant>
      <vt:variant>
        <vt:lpwstr/>
      </vt:variant>
      <vt:variant>
        <vt:lpwstr>_Toc78295069</vt:lpwstr>
      </vt:variant>
      <vt:variant>
        <vt:i4>1966134</vt:i4>
      </vt:variant>
      <vt:variant>
        <vt:i4>362</vt:i4>
      </vt:variant>
      <vt:variant>
        <vt:i4>0</vt:i4>
      </vt:variant>
      <vt:variant>
        <vt:i4>5</vt:i4>
      </vt:variant>
      <vt:variant>
        <vt:lpwstr/>
      </vt:variant>
      <vt:variant>
        <vt:lpwstr>_Toc78295068</vt:lpwstr>
      </vt:variant>
      <vt:variant>
        <vt:i4>1114166</vt:i4>
      </vt:variant>
      <vt:variant>
        <vt:i4>356</vt:i4>
      </vt:variant>
      <vt:variant>
        <vt:i4>0</vt:i4>
      </vt:variant>
      <vt:variant>
        <vt:i4>5</vt:i4>
      </vt:variant>
      <vt:variant>
        <vt:lpwstr/>
      </vt:variant>
      <vt:variant>
        <vt:lpwstr>_Toc78295067</vt:lpwstr>
      </vt:variant>
      <vt:variant>
        <vt:i4>1048630</vt:i4>
      </vt:variant>
      <vt:variant>
        <vt:i4>350</vt:i4>
      </vt:variant>
      <vt:variant>
        <vt:i4>0</vt:i4>
      </vt:variant>
      <vt:variant>
        <vt:i4>5</vt:i4>
      </vt:variant>
      <vt:variant>
        <vt:lpwstr/>
      </vt:variant>
      <vt:variant>
        <vt:lpwstr>_Toc78295066</vt:lpwstr>
      </vt:variant>
      <vt:variant>
        <vt:i4>1245238</vt:i4>
      </vt:variant>
      <vt:variant>
        <vt:i4>344</vt:i4>
      </vt:variant>
      <vt:variant>
        <vt:i4>0</vt:i4>
      </vt:variant>
      <vt:variant>
        <vt:i4>5</vt:i4>
      </vt:variant>
      <vt:variant>
        <vt:lpwstr/>
      </vt:variant>
      <vt:variant>
        <vt:lpwstr>_Toc78295065</vt:lpwstr>
      </vt:variant>
      <vt:variant>
        <vt:i4>1179702</vt:i4>
      </vt:variant>
      <vt:variant>
        <vt:i4>338</vt:i4>
      </vt:variant>
      <vt:variant>
        <vt:i4>0</vt:i4>
      </vt:variant>
      <vt:variant>
        <vt:i4>5</vt:i4>
      </vt:variant>
      <vt:variant>
        <vt:lpwstr/>
      </vt:variant>
      <vt:variant>
        <vt:lpwstr>_Toc78295064</vt:lpwstr>
      </vt:variant>
      <vt:variant>
        <vt:i4>1376310</vt:i4>
      </vt:variant>
      <vt:variant>
        <vt:i4>332</vt:i4>
      </vt:variant>
      <vt:variant>
        <vt:i4>0</vt:i4>
      </vt:variant>
      <vt:variant>
        <vt:i4>5</vt:i4>
      </vt:variant>
      <vt:variant>
        <vt:lpwstr/>
      </vt:variant>
      <vt:variant>
        <vt:lpwstr>_Toc78295063</vt:lpwstr>
      </vt:variant>
      <vt:variant>
        <vt:i4>1310774</vt:i4>
      </vt:variant>
      <vt:variant>
        <vt:i4>326</vt:i4>
      </vt:variant>
      <vt:variant>
        <vt:i4>0</vt:i4>
      </vt:variant>
      <vt:variant>
        <vt:i4>5</vt:i4>
      </vt:variant>
      <vt:variant>
        <vt:lpwstr/>
      </vt:variant>
      <vt:variant>
        <vt:lpwstr>_Toc78295062</vt:lpwstr>
      </vt:variant>
      <vt:variant>
        <vt:i4>1507382</vt:i4>
      </vt:variant>
      <vt:variant>
        <vt:i4>320</vt:i4>
      </vt:variant>
      <vt:variant>
        <vt:i4>0</vt:i4>
      </vt:variant>
      <vt:variant>
        <vt:i4>5</vt:i4>
      </vt:variant>
      <vt:variant>
        <vt:lpwstr/>
      </vt:variant>
      <vt:variant>
        <vt:lpwstr>_Toc78295061</vt:lpwstr>
      </vt:variant>
      <vt:variant>
        <vt:i4>1441846</vt:i4>
      </vt:variant>
      <vt:variant>
        <vt:i4>314</vt:i4>
      </vt:variant>
      <vt:variant>
        <vt:i4>0</vt:i4>
      </vt:variant>
      <vt:variant>
        <vt:i4>5</vt:i4>
      </vt:variant>
      <vt:variant>
        <vt:lpwstr/>
      </vt:variant>
      <vt:variant>
        <vt:lpwstr>_Toc78295060</vt:lpwstr>
      </vt:variant>
      <vt:variant>
        <vt:i4>2031669</vt:i4>
      </vt:variant>
      <vt:variant>
        <vt:i4>308</vt:i4>
      </vt:variant>
      <vt:variant>
        <vt:i4>0</vt:i4>
      </vt:variant>
      <vt:variant>
        <vt:i4>5</vt:i4>
      </vt:variant>
      <vt:variant>
        <vt:lpwstr/>
      </vt:variant>
      <vt:variant>
        <vt:lpwstr>_Toc78295059</vt:lpwstr>
      </vt:variant>
      <vt:variant>
        <vt:i4>1966133</vt:i4>
      </vt:variant>
      <vt:variant>
        <vt:i4>302</vt:i4>
      </vt:variant>
      <vt:variant>
        <vt:i4>0</vt:i4>
      </vt:variant>
      <vt:variant>
        <vt:i4>5</vt:i4>
      </vt:variant>
      <vt:variant>
        <vt:lpwstr/>
      </vt:variant>
      <vt:variant>
        <vt:lpwstr>_Toc78295058</vt:lpwstr>
      </vt:variant>
      <vt:variant>
        <vt:i4>1114165</vt:i4>
      </vt:variant>
      <vt:variant>
        <vt:i4>296</vt:i4>
      </vt:variant>
      <vt:variant>
        <vt:i4>0</vt:i4>
      </vt:variant>
      <vt:variant>
        <vt:i4>5</vt:i4>
      </vt:variant>
      <vt:variant>
        <vt:lpwstr/>
      </vt:variant>
      <vt:variant>
        <vt:lpwstr>_Toc78295057</vt:lpwstr>
      </vt:variant>
      <vt:variant>
        <vt:i4>1048629</vt:i4>
      </vt:variant>
      <vt:variant>
        <vt:i4>290</vt:i4>
      </vt:variant>
      <vt:variant>
        <vt:i4>0</vt:i4>
      </vt:variant>
      <vt:variant>
        <vt:i4>5</vt:i4>
      </vt:variant>
      <vt:variant>
        <vt:lpwstr/>
      </vt:variant>
      <vt:variant>
        <vt:lpwstr>_Toc78295056</vt:lpwstr>
      </vt:variant>
      <vt:variant>
        <vt:i4>1245237</vt:i4>
      </vt:variant>
      <vt:variant>
        <vt:i4>284</vt:i4>
      </vt:variant>
      <vt:variant>
        <vt:i4>0</vt:i4>
      </vt:variant>
      <vt:variant>
        <vt:i4>5</vt:i4>
      </vt:variant>
      <vt:variant>
        <vt:lpwstr/>
      </vt:variant>
      <vt:variant>
        <vt:lpwstr>_Toc78295055</vt:lpwstr>
      </vt:variant>
      <vt:variant>
        <vt:i4>1179701</vt:i4>
      </vt:variant>
      <vt:variant>
        <vt:i4>278</vt:i4>
      </vt:variant>
      <vt:variant>
        <vt:i4>0</vt:i4>
      </vt:variant>
      <vt:variant>
        <vt:i4>5</vt:i4>
      </vt:variant>
      <vt:variant>
        <vt:lpwstr/>
      </vt:variant>
      <vt:variant>
        <vt:lpwstr>_Toc78295054</vt:lpwstr>
      </vt:variant>
      <vt:variant>
        <vt:i4>1376309</vt:i4>
      </vt:variant>
      <vt:variant>
        <vt:i4>272</vt:i4>
      </vt:variant>
      <vt:variant>
        <vt:i4>0</vt:i4>
      </vt:variant>
      <vt:variant>
        <vt:i4>5</vt:i4>
      </vt:variant>
      <vt:variant>
        <vt:lpwstr/>
      </vt:variant>
      <vt:variant>
        <vt:lpwstr>_Toc78295053</vt:lpwstr>
      </vt:variant>
      <vt:variant>
        <vt:i4>1310773</vt:i4>
      </vt:variant>
      <vt:variant>
        <vt:i4>266</vt:i4>
      </vt:variant>
      <vt:variant>
        <vt:i4>0</vt:i4>
      </vt:variant>
      <vt:variant>
        <vt:i4>5</vt:i4>
      </vt:variant>
      <vt:variant>
        <vt:lpwstr/>
      </vt:variant>
      <vt:variant>
        <vt:lpwstr>_Toc78295052</vt:lpwstr>
      </vt:variant>
      <vt:variant>
        <vt:i4>1507381</vt:i4>
      </vt:variant>
      <vt:variant>
        <vt:i4>260</vt:i4>
      </vt:variant>
      <vt:variant>
        <vt:i4>0</vt:i4>
      </vt:variant>
      <vt:variant>
        <vt:i4>5</vt:i4>
      </vt:variant>
      <vt:variant>
        <vt:lpwstr/>
      </vt:variant>
      <vt:variant>
        <vt:lpwstr>_Toc78295051</vt:lpwstr>
      </vt:variant>
      <vt:variant>
        <vt:i4>1441845</vt:i4>
      </vt:variant>
      <vt:variant>
        <vt:i4>254</vt:i4>
      </vt:variant>
      <vt:variant>
        <vt:i4>0</vt:i4>
      </vt:variant>
      <vt:variant>
        <vt:i4>5</vt:i4>
      </vt:variant>
      <vt:variant>
        <vt:lpwstr/>
      </vt:variant>
      <vt:variant>
        <vt:lpwstr>_Toc78295050</vt:lpwstr>
      </vt:variant>
      <vt:variant>
        <vt:i4>2031668</vt:i4>
      </vt:variant>
      <vt:variant>
        <vt:i4>248</vt:i4>
      </vt:variant>
      <vt:variant>
        <vt:i4>0</vt:i4>
      </vt:variant>
      <vt:variant>
        <vt:i4>5</vt:i4>
      </vt:variant>
      <vt:variant>
        <vt:lpwstr/>
      </vt:variant>
      <vt:variant>
        <vt:lpwstr>_Toc78295049</vt:lpwstr>
      </vt:variant>
      <vt:variant>
        <vt:i4>1966132</vt:i4>
      </vt:variant>
      <vt:variant>
        <vt:i4>242</vt:i4>
      </vt:variant>
      <vt:variant>
        <vt:i4>0</vt:i4>
      </vt:variant>
      <vt:variant>
        <vt:i4>5</vt:i4>
      </vt:variant>
      <vt:variant>
        <vt:lpwstr/>
      </vt:variant>
      <vt:variant>
        <vt:lpwstr>_Toc78295048</vt:lpwstr>
      </vt:variant>
      <vt:variant>
        <vt:i4>1114164</vt:i4>
      </vt:variant>
      <vt:variant>
        <vt:i4>236</vt:i4>
      </vt:variant>
      <vt:variant>
        <vt:i4>0</vt:i4>
      </vt:variant>
      <vt:variant>
        <vt:i4>5</vt:i4>
      </vt:variant>
      <vt:variant>
        <vt:lpwstr/>
      </vt:variant>
      <vt:variant>
        <vt:lpwstr>_Toc78295047</vt:lpwstr>
      </vt:variant>
      <vt:variant>
        <vt:i4>1048628</vt:i4>
      </vt:variant>
      <vt:variant>
        <vt:i4>230</vt:i4>
      </vt:variant>
      <vt:variant>
        <vt:i4>0</vt:i4>
      </vt:variant>
      <vt:variant>
        <vt:i4>5</vt:i4>
      </vt:variant>
      <vt:variant>
        <vt:lpwstr/>
      </vt:variant>
      <vt:variant>
        <vt:lpwstr>_Toc78295046</vt:lpwstr>
      </vt:variant>
      <vt:variant>
        <vt:i4>1245236</vt:i4>
      </vt:variant>
      <vt:variant>
        <vt:i4>224</vt:i4>
      </vt:variant>
      <vt:variant>
        <vt:i4>0</vt:i4>
      </vt:variant>
      <vt:variant>
        <vt:i4>5</vt:i4>
      </vt:variant>
      <vt:variant>
        <vt:lpwstr/>
      </vt:variant>
      <vt:variant>
        <vt:lpwstr>_Toc78295045</vt:lpwstr>
      </vt:variant>
      <vt:variant>
        <vt:i4>1179700</vt:i4>
      </vt:variant>
      <vt:variant>
        <vt:i4>218</vt:i4>
      </vt:variant>
      <vt:variant>
        <vt:i4>0</vt:i4>
      </vt:variant>
      <vt:variant>
        <vt:i4>5</vt:i4>
      </vt:variant>
      <vt:variant>
        <vt:lpwstr/>
      </vt:variant>
      <vt:variant>
        <vt:lpwstr>_Toc78295044</vt:lpwstr>
      </vt:variant>
      <vt:variant>
        <vt:i4>1376308</vt:i4>
      </vt:variant>
      <vt:variant>
        <vt:i4>212</vt:i4>
      </vt:variant>
      <vt:variant>
        <vt:i4>0</vt:i4>
      </vt:variant>
      <vt:variant>
        <vt:i4>5</vt:i4>
      </vt:variant>
      <vt:variant>
        <vt:lpwstr/>
      </vt:variant>
      <vt:variant>
        <vt:lpwstr>_Toc78295043</vt:lpwstr>
      </vt:variant>
      <vt:variant>
        <vt:i4>1310772</vt:i4>
      </vt:variant>
      <vt:variant>
        <vt:i4>206</vt:i4>
      </vt:variant>
      <vt:variant>
        <vt:i4>0</vt:i4>
      </vt:variant>
      <vt:variant>
        <vt:i4>5</vt:i4>
      </vt:variant>
      <vt:variant>
        <vt:lpwstr/>
      </vt:variant>
      <vt:variant>
        <vt:lpwstr>_Toc78295042</vt:lpwstr>
      </vt:variant>
      <vt:variant>
        <vt:i4>1507380</vt:i4>
      </vt:variant>
      <vt:variant>
        <vt:i4>200</vt:i4>
      </vt:variant>
      <vt:variant>
        <vt:i4>0</vt:i4>
      </vt:variant>
      <vt:variant>
        <vt:i4>5</vt:i4>
      </vt:variant>
      <vt:variant>
        <vt:lpwstr/>
      </vt:variant>
      <vt:variant>
        <vt:lpwstr>_Toc78295041</vt:lpwstr>
      </vt:variant>
      <vt:variant>
        <vt:i4>1441844</vt:i4>
      </vt:variant>
      <vt:variant>
        <vt:i4>194</vt:i4>
      </vt:variant>
      <vt:variant>
        <vt:i4>0</vt:i4>
      </vt:variant>
      <vt:variant>
        <vt:i4>5</vt:i4>
      </vt:variant>
      <vt:variant>
        <vt:lpwstr/>
      </vt:variant>
      <vt:variant>
        <vt:lpwstr>_Toc78295040</vt:lpwstr>
      </vt:variant>
      <vt:variant>
        <vt:i4>2031667</vt:i4>
      </vt:variant>
      <vt:variant>
        <vt:i4>188</vt:i4>
      </vt:variant>
      <vt:variant>
        <vt:i4>0</vt:i4>
      </vt:variant>
      <vt:variant>
        <vt:i4>5</vt:i4>
      </vt:variant>
      <vt:variant>
        <vt:lpwstr/>
      </vt:variant>
      <vt:variant>
        <vt:lpwstr>_Toc78295039</vt:lpwstr>
      </vt:variant>
      <vt:variant>
        <vt:i4>1966131</vt:i4>
      </vt:variant>
      <vt:variant>
        <vt:i4>182</vt:i4>
      </vt:variant>
      <vt:variant>
        <vt:i4>0</vt:i4>
      </vt:variant>
      <vt:variant>
        <vt:i4>5</vt:i4>
      </vt:variant>
      <vt:variant>
        <vt:lpwstr/>
      </vt:variant>
      <vt:variant>
        <vt:lpwstr>_Toc78295038</vt:lpwstr>
      </vt:variant>
      <vt:variant>
        <vt:i4>1114163</vt:i4>
      </vt:variant>
      <vt:variant>
        <vt:i4>176</vt:i4>
      </vt:variant>
      <vt:variant>
        <vt:i4>0</vt:i4>
      </vt:variant>
      <vt:variant>
        <vt:i4>5</vt:i4>
      </vt:variant>
      <vt:variant>
        <vt:lpwstr/>
      </vt:variant>
      <vt:variant>
        <vt:lpwstr>_Toc78295037</vt:lpwstr>
      </vt:variant>
      <vt:variant>
        <vt:i4>1048627</vt:i4>
      </vt:variant>
      <vt:variant>
        <vt:i4>170</vt:i4>
      </vt:variant>
      <vt:variant>
        <vt:i4>0</vt:i4>
      </vt:variant>
      <vt:variant>
        <vt:i4>5</vt:i4>
      </vt:variant>
      <vt:variant>
        <vt:lpwstr/>
      </vt:variant>
      <vt:variant>
        <vt:lpwstr>_Toc78295036</vt:lpwstr>
      </vt:variant>
      <vt:variant>
        <vt:i4>1245235</vt:i4>
      </vt:variant>
      <vt:variant>
        <vt:i4>164</vt:i4>
      </vt:variant>
      <vt:variant>
        <vt:i4>0</vt:i4>
      </vt:variant>
      <vt:variant>
        <vt:i4>5</vt:i4>
      </vt:variant>
      <vt:variant>
        <vt:lpwstr/>
      </vt:variant>
      <vt:variant>
        <vt:lpwstr>_Toc78295035</vt:lpwstr>
      </vt:variant>
      <vt:variant>
        <vt:i4>1179699</vt:i4>
      </vt:variant>
      <vt:variant>
        <vt:i4>158</vt:i4>
      </vt:variant>
      <vt:variant>
        <vt:i4>0</vt:i4>
      </vt:variant>
      <vt:variant>
        <vt:i4>5</vt:i4>
      </vt:variant>
      <vt:variant>
        <vt:lpwstr/>
      </vt:variant>
      <vt:variant>
        <vt:lpwstr>_Toc78295034</vt:lpwstr>
      </vt:variant>
      <vt:variant>
        <vt:i4>1376307</vt:i4>
      </vt:variant>
      <vt:variant>
        <vt:i4>152</vt:i4>
      </vt:variant>
      <vt:variant>
        <vt:i4>0</vt:i4>
      </vt:variant>
      <vt:variant>
        <vt:i4>5</vt:i4>
      </vt:variant>
      <vt:variant>
        <vt:lpwstr/>
      </vt:variant>
      <vt:variant>
        <vt:lpwstr>_Toc78295033</vt:lpwstr>
      </vt:variant>
      <vt:variant>
        <vt:i4>1310771</vt:i4>
      </vt:variant>
      <vt:variant>
        <vt:i4>146</vt:i4>
      </vt:variant>
      <vt:variant>
        <vt:i4>0</vt:i4>
      </vt:variant>
      <vt:variant>
        <vt:i4>5</vt:i4>
      </vt:variant>
      <vt:variant>
        <vt:lpwstr/>
      </vt:variant>
      <vt:variant>
        <vt:lpwstr>_Toc78295032</vt:lpwstr>
      </vt:variant>
      <vt:variant>
        <vt:i4>1507379</vt:i4>
      </vt:variant>
      <vt:variant>
        <vt:i4>140</vt:i4>
      </vt:variant>
      <vt:variant>
        <vt:i4>0</vt:i4>
      </vt:variant>
      <vt:variant>
        <vt:i4>5</vt:i4>
      </vt:variant>
      <vt:variant>
        <vt:lpwstr/>
      </vt:variant>
      <vt:variant>
        <vt:lpwstr>_Toc78295031</vt:lpwstr>
      </vt:variant>
      <vt:variant>
        <vt:i4>1441843</vt:i4>
      </vt:variant>
      <vt:variant>
        <vt:i4>134</vt:i4>
      </vt:variant>
      <vt:variant>
        <vt:i4>0</vt:i4>
      </vt:variant>
      <vt:variant>
        <vt:i4>5</vt:i4>
      </vt:variant>
      <vt:variant>
        <vt:lpwstr/>
      </vt:variant>
      <vt:variant>
        <vt:lpwstr>_Toc78295030</vt:lpwstr>
      </vt:variant>
      <vt:variant>
        <vt:i4>2031666</vt:i4>
      </vt:variant>
      <vt:variant>
        <vt:i4>128</vt:i4>
      </vt:variant>
      <vt:variant>
        <vt:i4>0</vt:i4>
      </vt:variant>
      <vt:variant>
        <vt:i4>5</vt:i4>
      </vt:variant>
      <vt:variant>
        <vt:lpwstr/>
      </vt:variant>
      <vt:variant>
        <vt:lpwstr>_Toc78295029</vt:lpwstr>
      </vt:variant>
      <vt:variant>
        <vt:i4>1966130</vt:i4>
      </vt:variant>
      <vt:variant>
        <vt:i4>122</vt:i4>
      </vt:variant>
      <vt:variant>
        <vt:i4>0</vt:i4>
      </vt:variant>
      <vt:variant>
        <vt:i4>5</vt:i4>
      </vt:variant>
      <vt:variant>
        <vt:lpwstr/>
      </vt:variant>
      <vt:variant>
        <vt:lpwstr>_Toc78295028</vt:lpwstr>
      </vt:variant>
      <vt:variant>
        <vt:i4>1114162</vt:i4>
      </vt:variant>
      <vt:variant>
        <vt:i4>116</vt:i4>
      </vt:variant>
      <vt:variant>
        <vt:i4>0</vt:i4>
      </vt:variant>
      <vt:variant>
        <vt:i4>5</vt:i4>
      </vt:variant>
      <vt:variant>
        <vt:lpwstr/>
      </vt:variant>
      <vt:variant>
        <vt:lpwstr>_Toc78295027</vt:lpwstr>
      </vt:variant>
      <vt:variant>
        <vt:i4>1048626</vt:i4>
      </vt:variant>
      <vt:variant>
        <vt:i4>110</vt:i4>
      </vt:variant>
      <vt:variant>
        <vt:i4>0</vt:i4>
      </vt:variant>
      <vt:variant>
        <vt:i4>5</vt:i4>
      </vt:variant>
      <vt:variant>
        <vt:lpwstr/>
      </vt:variant>
      <vt:variant>
        <vt:lpwstr>_Toc78295026</vt:lpwstr>
      </vt:variant>
      <vt:variant>
        <vt:i4>1245234</vt:i4>
      </vt:variant>
      <vt:variant>
        <vt:i4>104</vt:i4>
      </vt:variant>
      <vt:variant>
        <vt:i4>0</vt:i4>
      </vt:variant>
      <vt:variant>
        <vt:i4>5</vt:i4>
      </vt:variant>
      <vt:variant>
        <vt:lpwstr/>
      </vt:variant>
      <vt:variant>
        <vt:lpwstr>_Toc78295025</vt:lpwstr>
      </vt:variant>
      <vt:variant>
        <vt:i4>1179698</vt:i4>
      </vt:variant>
      <vt:variant>
        <vt:i4>98</vt:i4>
      </vt:variant>
      <vt:variant>
        <vt:i4>0</vt:i4>
      </vt:variant>
      <vt:variant>
        <vt:i4>5</vt:i4>
      </vt:variant>
      <vt:variant>
        <vt:lpwstr/>
      </vt:variant>
      <vt:variant>
        <vt:lpwstr>_Toc78295024</vt:lpwstr>
      </vt:variant>
      <vt:variant>
        <vt:i4>1376306</vt:i4>
      </vt:variant>
      <vt:variant>
        <vt:i4>92</vt:i4>
      </vt:variant>
      <vt:variant>
        <vt:i4>0</vt:i4>
      </vt:variant>
      <vt:variant>
        <vt:i4>5</vt:i4>
      </vt:variant>
      <vt:variant>
        <vt:lpwstr/>
      </vt:variant>
      <vt:variant>
        <vt:lpwstr>_Toc78295023</vt:lpwstr>
      </vt:variant>
      <vt:variant>
        <vt:i4>1310770</vt:i4>
      </vt:variant>
      <vt:variant>
        <vt:i4>86</vt:i4>
      </vt:variant>
      <vt:variant>
        <vt:i4>0</vt:i4>
      </vt:variant>
      <vt:variant>
        <vt:i4>5</vt:i4>
      </vt:variant>
      <vt:variant>
        <vt:lpwstr/>
      </vt:variant>
      <vt:variant>
        <vt:lpwstr>_Toc78295022</vt:lpwstr>
      </vt:variant>
      <vt:variant>
        <vt:i4>1507378</vt:i4>
      </vt:variant>
      <vt:variant>
        <vt:i4>80</vt:i4>
      </vt:variant>
      <vt:variant>
        <vt:i4>0</vt:i4>
      </vt:variant>
      <vt:variant>
        <vt:i4>5</vt:i4>
      </vt:variant>
      <vt:variant>
        <vt:lpwstr/>
      </vt:variant>
      <vt:variant>
        <vt:lpwstr>_Toc78295021</vt:lpwstr>
      </vt:variant>
      <vt:variant>
        <vt:i4>1441842</vt:i4>
      </vt:variant>
      <vt:variant>
        <vt:i4>74</vt:i4>
      </vt:variant>
      <vt:variant>
        <vt:i4>0</vt:i4>
      </vt:variant>
      <vt:variant>
        <vt:i4>5</vt:i4>
      </vt:variant>
      <vt:variant>
        <vt:lpwstr/>
      </vt:variant>
      <vt:variant>
        <vt:lpwstr>_Toc78295020</vt:lpwstr>
      </vt:variant>
      <vt:variant>
        <vt:i4>2031665</vt:i4>
      </vt:variant>
      <vt:variant>
        <vt:i4>68</vt:i4>
      </vt:variant>
      <vt:variant>
        <vt:i4>0</vt:i4>
      </vt:variant>
      <vt:variant>
        <vt:i4>5</vt:i4>
      </vt:variant>
      <vt:variant>
        <vt:lpwstr/>
      </vt:variant>
      <vt:variant>
        <vt:lpwstr>_Toc78295019</vt:lpwstr>
      </vt:variant>
      <vt:variant>
        <vt:i4>1966129</vt:i4>
      </vt:variant>
      <vt:variant>
        <vt:i4>62</vt:i4>
      </vt:variant>
      <vt:variant>
        <vt:i4>0</vt:i4>
      </vt:variant>
      <vt:variant>
        <vt:i4>5</vt:i4>
      </vt:variant>
      <vt:variant>
        <vt:lpwstr/>
      </vt:variant>
      <vt:variant>
        <vt:lpwstr>_Toc78295018</vt:lpwstr>
      </vt:variant>
      <vt:variant>
        <vt:i4>1114161</vt:i4>
      </vt:variant>
      <vt:variant>
        <vt:i4>56</vt:i4>
      </vt:variant>
      <vt:variant>
        <vt:i4>0</vt:i4>
      </vt:variant>
      <vt:variant>
        <vt:i4>5</vt:i4>
      </vt:variant>
      <vt:variant>
        <vt:lpwstr/>
      </vt:variant>
      <vt:variant>
        <vt:lpwstr>_Toc78295017</vt:lpwstr>
      </vt:variant>
      <vt:variant>
        <vt:i4>1048625</vt:i4>
      </vt:variant>
      <vt:variant>
        <vt:i4>50</vt:i4>
      </vt:variant>
      <vt:variant>
        <vt:i4>0</vt:i4>
      </vt:variant>
      <vt:variant>
        <vt:i4>5</vt:i4>
      </vt:variant>
      <vt:variant>
        <vt:lpwstr/>
      </vt:variant>
      <vt:variant>
        <vt:lpwstr>_Toc78295016</vt:lpwstr>
      </vt:variant>
      <vt:variant>
        <vt:i4>1245233</vt:i4>
      </vt:variant>
      <vt:variant>
        <vt:i4>44</vt:i4>
      </vt:variant>
      <vt:variant>
        <vt:i4>0</vt:i4>
      </vt:variant>
      <vt:variant>
        <vt:i4>5</vt:i4>
      </vt:variant>
      <vt:variant>
        <vt:lpwstr/>
      </vt:variant>
      <vt:variant>
        <vt:lpwstr>_Toc78295015</vt:lpwstr>
      </vt:variant>
      <vt:variant>
        <vt:i4>1179697</vt:i4>
      </vt:variant>
      <vt:variant>
        <vt:i4>38</vt:i4>
      </vt:variant>
      <vt:variant>
        <vt:i4>0</vt:i4>
      </vt:variant>
      <vt:variant>
        <vt:i4>5</vt:i4>
      </vt:variant>
      <vt:variant>
        <vt:lpwstr/>
      </vt:variant>
      <vt:variant>
        <vt:lpwstr>_Toc78295014</vt:lpwstr>
      </vt:variant>
      <vt:variant>
        <vt:i4>1376305</vt:i4>
      </vt:variant>
      <vt:variant>
        <vt:i4>32</vt:i4>
      </vt:variant>
      <vt:variant>
        <vt:i4>0</vt:i4>
      </vt:variant>
      <vt:variant>
        <vt:i4>5</vt:i4>
      </vt:variant>
      <vt:variant>
        <vt:lpwstr/>
      </vt:variant>
      <vt:variant>
        <vt:lpwstr>_Toc78295013</vt:lpwstr>
      </vt:variant>
      <vt:variant>
        <vt:i4>1310769</vt:i4>
      </vt:variant>
      <vt:variant>
        <vt:i4>26</vt:i4>
      </vt:variant>
      <vt:variant>
        <vt:i4>0</vt:i4>
      </vt:variant>
      <vt:variant>
        <vt:i4>5</vt:i4>
      </vt:variant>
      <vt:variant>
        <vt:lpwstr/>
      </vt:variant>
      <vt:variant>
        <vt:lpwstr>_Toc78295012</vt:lpwstr>
      </vt:variant>
      <vt:variant>
        <vt:i4>1507377</vt:i4>
      </vt:variant>
      <vt:variant>
        <vt:i4>20</vt:i4>
      </vt:variant>
      <vt:variant>
        <vt:i4>0</vt:i4>
      </vt:variant>
      <vt:variant>
        <vt:i4>5</vt:i4>
      </vt:variant>
      <vt:variant>
        <vt:lpwstr/>
      </vt:variant>
      <vt:variant>
        <vt:lpwstr>_Toc78295011</vt:lpwstr>
      </vt:variant>
      <vt:variant>
        <vt:i4>1441841</vt:i4>
      </vt:variant>
      <vt:variant>
        <vt:i4>14</vt:i4>
      </vt:variant>
      <vt:variant>
        <vt:i4>0</vt:i4>
      </vt:variant>
      <vt:variant>
        <vt:i4>5</vt:i4>
      </vt:variant>
      <vt:variant>
        <vt:lpwstr/>
      </vt:variant>
      <vt:variant>
        <vt:lpwstr>_Toc78295010</vt:lpwstr>
      </vt:variant>
      <vt:variant>
        <vt:i4>2031664</vt:i4>
      </vt:variant>
      <vt:variant>
        <vt:i4>8</vt:i4>
      </vt:variant>
      <vt:variant>
        <vt:i4>0</vt:i4>
      </vt:variant>
      <vt:variant>
        <vt:i4>5</vt:i4>
      </vt:variant>
      <vt:variant>
        <vt:lpwstr/>
      </vt:variant>
      <vt:variant>
        <vt:lpwstr>_Toc78295009</vt:lpwstr>
      </vt:variant>
      <vt:variant>
        <vt:i4>1966128</vt:i4>
      </vt:variant>
      <vt:variant>
        <vt:i4>2</vt:i4>
      </vt:variant>
      <vt:variant>
        <vt:i4>0</vt:i4>
      </vt:variant>
      <vt:variant>
        <vt:i4>5</vt:i4>
      </vt:variant>
      <vt:variant>
        <vt:lpwstr/>
      </vt:variant>
      <vt:variant>
        <vt:lpwstr>_Toc78295008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hp400g3</dc:creator>
  <cp:keywords/>
  <cp:lastModifiedBy>kuochih0819@gmail.com</cp:lastModifiedBy>
  <cp:revision>2</cp:revision>
  <cp:lastPrinted>2023-02-13T01:09:00Z</cp:lastPrinted>
  <dcterms:created xsi:type="dcterms:W3CDTF">2023-02-13T01:10:00Z</dcterms:created>
  <dcterms:modified xsi:type="dcterms:W3CDTF">2023-02-13T01:10:00Z</dcterms:modified>
</cp:coreProperties>
</file>